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65D" w:rsidRPr="00AF629F" w:rsidRDefault="009942DE">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AF629F">
        <w:rPr>
          <w:rFonts w:ascii="Times New Roman" w:hAnsi="Times New Roman" w:cs="Times New Roman"/>
          <w:sz w:val="28"/>
          <w:szCs w:val="24"/>
        </w:rPr>
        <w:t xml:space="preserve"> </w:t>
      </w:r>
    </w:p>
    <w:p w:rsidR="005F565D" w:rsidRPr="00AF629F" w:rsidRDefault="005F565D">
      <w:pPr>
        <w:widowControl w:val="0"/>
        <w:autoSpaceDE w:val="0"/>
        <w:autoSpaceDN w:val="0"/>
        <w:adjustRightInd w:val="0"/>
        <w:spacing w:after="0" w:line="240" w:lineRule="auto"/>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center"/>
        <w:rPr>
          <w:rFonts w:ascii="Times New Roman" w:hAnsi="Times New Roman" w:cs="Times New Roman"/>
          <w:b/>
          <w:bCs/>
          <w:sz w:val="28"/>
          <w:szCs w:val="28"/>
        </w:rPr>
      </w:pPr>
      <w:r w:rsidRPr="00AF629F">
        <w:rPr>
          <w:rFonts w:ascii="Times New Roman" w:hAnsi="Times New Roman" w:cs="Times New Roman"/>
          <w:b/>
          <w:bCs/>
          <w:sz w:val="28"/>
          <w:szCs w:val="28"/>
        </w:rPr>
        <w:t xml:space="preserve">TEMAS-SUBTEMAS </w:t>
      </w:r>
    </w:p>
    <w:p w:rsidR="005F565D" w:rsidRPr="00AF629F" w:rsidRDefault="005F565D">
      <w:pPr>
        <w:widowControl w:val="0"/>
        <w:autoSpaceDE w:val="0"/>
        <w:autoSpaceDN w:val="0"/>
        <w:adjustRightInd w:val="0"/>
        <w:spacing w:after="0" w:line="240" w:lineRule="auto"/>
        <w:jc w:val="center"/>
        <w:rPr>
          <w:rFonts w:ascii="Times New Roman" w:hAnsi="Times New Roman" w:cs="Times New Roman"/>
          <w:b/>
          <w:bCs/>
          <w:sz w:val="28"/>
          <w:szCs w:val="28"/>
        </w:rPr>
      </w:pPr>
    </w:p>
    <w:p w:rsidR="005F565D" w:rsidRPr="00AF629F" w:rsidRDefault="009942DE">
      <w:pPr>
        <w:widowControl w:val="0"/>
        <w:autoSpaceDE w:val="0"/>
        <w:autoSpaceDN w:val="0"/>
        <w:adjustRightInd w:val="0"/>
        <w:spacing w:after="0" w:line="240" w:lineRule="auto"/>
        <w:jc w:val="center"/>
        <w:rPr>
          <w:rFonts w:ascii="Times New Roman" w:hAnsi="Times New Roman" w:cs="Times New Roman"/>
          <w:sz w:val="28"/>
          <w:szCs w:val="28"/>
        </w:rPr>
      </w:pPr>
      <w:r w:rsidRPr="00AF629F">
        <w:rPr>
          <w:rFonts w:ascii="Times New Roman" w:hAnsi="Times New Roman" w:cs="Times New Roman"/>
          <w:b/>
          <w:bCs/>
          <w:sz w:val="28"/>
          <w:szCs w:val="28"/>
        </w:rPr>
        <w:t xml:space="preserve">Sentencia C-037/24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PRINCIPIO DE UNIDAD DE MATERIA EN LEY DEL PLAN NACIONAL DE DESARROLLO</w:t>
      </w:r>
      <w:r w:rsidRPr="00AF629F">
        <w:rPr>
          <w:rFonts w:ascii="Times New Roman" w:hAnsi="Times New Roman" w:cs="Times New Roman"/>
          <w:sz w:val="28"/>
          <w:szCs w:val="28"/>
        </w:rPr>
        <w:t>-Inexistencia de conexidad directa</w:t>
      </w:r>
      <w:r w:rsidRPr="00AF629F">
        <w:rPr>
          <w:rFonts w:ascii="Times New Roman" w:hAnsi="Times New Roman" w:cs="Times New Roman"/>
          <w:b/>
          <w:bCs/>
          <w:sz w:val="28"/>
          <w:szCs w:val="28"/>
        </w:rPr>
        <w:t>/PRINCIPIO DE UNIDAD DE MATERIA</w:t>
      </w:r>
      <w:r w:rsidRPr="00AF629F">
        <w:rPr>
          <w:rFonts w:ascii="Times New Roman" w:hAnsi="Times New Roman" w:cs="Times New Roman"/>
          <w:sz w:val="28"/>
          <w:szCs w:val="28"/>
        </w:rPr>
        <w:t>-Desconocimiento</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i/>
          <w:iCs/>
          <w:sz w:val="28"/>
          <w:szCs w:val="28"/>
        </w:rPr>
        <w:t>La disposición del plan nacional de desarrollo que se demanda introduce una modificación permanente al ordenamiento jurídico. A pesar de su alcance instrumental, no persigue un fin planificador ni de impulso a la ejecución del plan cuatrienal, y no es claro que la medida que incorpora tenga relación de conexidad estrecha, directa e inmediata con las políticas y estrategias que guiarán la acción del Gobierno en función de alcanzar los objetivos y metas fijados en la parte general del plan, o con los programas y proyectos del plan de inversiones. Por tanto, el artículo 322 de la Ley 2294 de 2023 desconoce lo dispuesto en los artículos 158 y 169 de la Constitución, de los que se ha derivado el principio constitucional de unidad de materia para el trámite de las leyes y, en consecuencia, se debe declarar su inexequibilidad con efectos inmediatos.</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PRINCIPIO DE UNIDAD DE MATERIA EN LEY DEL PLAN NACIONAL DE DESARROLLO</w:t>
      </w:r>
      <w:r w:rsidRPr="00AF629F">
        <w:rPr>
          <w:rFonts w:ascii="Times New Roman" w:hAnsi="Times New Roman" w:cs="Times New Roman"/>
          <w:sz w:val="28"/>
          <w:szCs w:val="28"/>
        </w:rPr>
        <w:t xml:space="preserve">-Se vulnera al despojar al Congreso de la República de su función natural, ordinaria y permanente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PLAN NACIONAL DE DESARROLLO</w:t>
      </w:r>
      <w:r w:rsidRPr="00AF629F">
        <w:rPr>
          <w:rFonts w:ascii="Times New Roman" w:hAnsi="Times New Roman" w:cs="Times New Roman"/>
          <w:sz w:val="28"/>
          <w:szCs w:val="28"/>
        </w:rPr>
        <w:t xml:space="preserve">-Objetivos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PLAN NACIONAL DE DESARROLLO</w:t>
      </w:r>
      <w:r w:rsidRPr="00AF629F">
        <w:rPr>
          <w:rFonts w:ascii="Times New Roman" w:hAnsi="Times New Roman" w:cs="Times New Roman"/>
          <w:sz w:val="28"/>
          <w:szCs w:val="28"/>
        </w:rPr>
        <w:t xml:space="preserve">-Participación democrática en la fase de elaboración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PLAN NACIONAL DE DESARROLLO</w:t>
      </w:r>
      <w:r w:rsidRPr="00AF629F">
        <w:rPr>
          <w:rFonts w:ascii="Times New Roman" w:hAnsi="Times New Roman" w:cs="Times New Roman"/>
          <w:sz w:val="28"/>
          <w:szCs w:val="28"/>
        </w:rPr>
        <w:t xml:space="preserve">-Trámite de elaboración y aprobación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PLAN NACIONAL DE DESARROLLO</w:t>
      </w:r>
      <w:r w:rsidRPr="00AF629F">
        <w:rPr>
          <w:rFonts w:ascii="Times New Roman" w:hAnsi="Times New Roman" w:cs="Times New Roman"/>
          <w:sz w:val="28"/>
          <w:szCs w:val="28"/>
        </w:rPr>
        <w:t xml:space="preserve">-Parte general y plan de inversiones públicas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PRINCIPIO DE UNIDAD DE MATERIA APLICADO EN LEY DEL PLAN NACIONAL DE DESARROLLO</w:t>
      </w:r>
      <w:r w:rsidRPr="00AF629F">
        <w:rPr>
          <w:rFonts w:ascii="Times New Roman" w:hAnsi="Times New Roman" w:cs="Times New Roman"/>
          <w:sz w:val="28"/>
          <w:szCs w:val="28"/>
        </w:rPr>
        <w:t xml:space="preserve">-Reglas jurisprudenciales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LEY DEL PLAN NACIONAL DE DESARROLLO</w:t>
      </w:r>
      <w:r w:rsidRPr="00AF629F">
        <w:rPr>
          <w:rFonts w:ascii="Times New Roman" w:hAnsi="Times New Roman" w:cs="Times New Roman"/>
          <w:sz w:val="28"/>
          <w:szCs w:val="28"/>
        </w:rPr>
        <w:t xml:space="preserve">-Control del respeto al principio de unidad de materia debe ser rígido a diferencia de lo que ocurre en el caso de las leyes ordinarias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CONTROL DE CONSTITUCIONALIDAD POR VULNERACION DEL PRINCIPIO DE UNIDAD DE MATERIA</w:t>
      </w:r>
      <w:r w:rsidRPr="00AF629F">
        <w:rPr>
          <w:rFonts w:ascii="Times New Roman" w:hAnsi="Times New Roman" w:cs="Times New Roman"/>
          <w:sz w:val="28"/>
          <w:szCs w:val="28"/>
        </w:rPr>
        <w:t xml:space="preserve">-Metodología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PLAN NACIONAL DE DESARROLLO</w:t>
      </w:r>
      <w:r w:rsidRPr="00AF629F">
        <w:rPr>
          <w:rFonts w:ascii="Times New Roman" w:hAnsi="Times New Roman" w:cs="Times New Roman"/>
          <w:sz w:val="28"/>
          <w:szCs w:val="28"/>
        </w:rPr>
        <w:t xml:space="preserve">-Conexidad directa e inmediata con el principio de unidad de materia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PRINCIPIO DE UNIDAD DE MATERIA EN LEY APROBATORIA DEL PLAN NACIONAL DE DESARROLLO</w:t>
      </w:r>
      <w:r w:rsidRPr="00AF629F">
        <w:rPr>
          <w:rFonts w:ascii="Times New Roman" w:hAnsi="Times New Roman" w:cs="Times New Roman"/>
          <w:sz w:val="28"/>
          <w:szCs w:val="28"/>
        </w:rPr>
        <w:t>-Alcance</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i/>
          <w:iCs/>
          <w:sz w:val="28"/>
          <w:szCs w:val="28"/>
        </w:rPr>
        <w:t>(...) las medidas que se incorporan a las leyes aprobatorias de los planes nacionales de desarrollo y que introducen modificaciones permanentes al ordenamiento jurídico o cuya vigencia supera el respectivo periodo cuatrienal de gobierno, son compatibles con el principio constitucional de unidad de materia solo si cumplen las siguientes exigencias: (i) tienen un carácter instrumental, en el sentido de que se trata de procedimientos, mecanismos o medidas destinadas a impulsar el cumplimiento del plan, o de apropiación de los recursos necesarios para su ejecución, (ii) persiguen un fin planificador y de impulso a la ejecución del plan cuatrienal, y (iiii) deben guardar conexidad estrecha, directa e inmediata con las políticas y estrategias que guiarán la acción del Gobierno para alcanzar los objetivos y metas fijados en la parte general del plan, o con los programas y proyectos del plan de inversiones.</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PRINCIPIO DE UNIDAD DE MATERIA Y JUICIO DE CONSTITUCIONALIDAD</w:t>
      </w:r>
      <w:r w:rsidRPr="00AF629F">
        <w:rPr>
          <w:rFonts w:ascii="Times New Roman" w:hAnsi="Times New Roman" w:cs="Times New Roman"/>
          <w:sz w:val="28"/>
          <w:szCs w:val="28"/>
        </w:rPr>
        <w:t xml:space="preserve">-Etapas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9942DE">
      <w:pPr>
        <w:widowControl w:val="0"/>
        <w:autoSpaceDE w:val="0"/>
        <w:autoSpaceDN w:val="0"/>
        <w:adjustRightInd w:val="0"/>
        <w:spacing w:after="0" w:line="240" w:lineRule="auto"/>
        <w:jc w:val="both"/>
        <w:rPr>
          <w:rFonts w:ascii="Times New Roman" w:hAnsi="Times New Roman" w:cs="Times New Roman"/>
          <w:sz w:val="28"/>
          <w:szCs w:val="28"/>
        </w:rPr>
      </w:pPr>
      <w:r w:rsidRPr="00AF629F">
        <w:rPr>
          <w:rFonts w:ascii="Times New Roman" w:hAnsi="Times New Roman" w:cs="Times New Roman"/>
          <w:b/>
          <w:bCs/>
          <w:sz w:val="28"/>
          <w:szCs w:val="28"/>
        </w:rPr>
        <w:t>PRINCIPIO DE UNIDAD DE MATERIA</w:t>
      </w:r>
      <w:r w:rsidRPr="00AF629F">
        <w:rPr>
          <w:rFonts w:ascii="Times New Roman" w:hAnsi="Times New Roman" w:cs="Times New Roman"/>
          <w:sz w:val="28"/>
          <w:szCs w:val="28"/>
        </w:rPr>
        <w:t xml:space="preserve">-Requisito de temporalidad </w:t>
      </w:r>
    </w:p>
    <w:p w:rsidR="005F565D" w:rsidRPr="00AF629F" w:rsidRDefault="005F565D">
      <w:pPr>
        <w:widowControl w:val="0"/>
        <w:autoSpaceDE w:val="0"/>
        <w:autoSpaceDN w:val="0"/>
        <w:adjustRightInd w:val="0"/>
        <w:spacing w:after="0" w:line="240" w:lineRule="auto"/>
        <w:jc w:val="both"/>
        <w:rPr>
          <w:rFonts w:ascii="Times New Roman" w:hAnsi="Times New Roman" w:cs="Times New Roman"/>
          <w:sz w:val="28"/>
          <w:szCs w:val="28"/>
        </w:rPr>
      </w:pPr>
    </w:p>
    <w:p w:rsidR="005F565D" w:rsidRPr="00AF629F" w:rsidRDefault="00AF629F">
      <w:pPr>
        <w:widowControl w:val="0"/>
        <w:autoSpaceDE w:val="0"/>
        <w:autoSpaceDN w:val="0"/>
        <w:adjustRightInd w:val="0"/>
        <w:spacing w:after="0" w:line="240" w:lineRule="auto"/>
        <w:jc w:val="both"/>
        <w:rPr>
          <w:rFonts w:ascii="Times New Roman" w:hAnsi="Times New Roman" w:cs="Times New Roman"/>
          <w:sz w:val="28"/>
        </w:rPr>
      </w:pPr>
      <w:r w:rsidRPr="00AF629F">
        <w:rPr>
          <w:rFonts w:ascii="Times New Roman" w:hAnsi="Times New Roman" w:cs="Times New Roman"/>
          <w:sz w:val="28"/>
          <w:szCs w:val="28"/>
        </w:rPr>
        <w:pict>
          <v:rect id="_x0000_i1025" style="width:0;height:1.5pt" o:hralign="center" o:hrstd="t" o:hr="t" fillcolor="#a0a0a0" stroked="f"/>
        </w:pict>
      </w:r>
    </w:p>
    <w:p w:rsidR="00CA505F" w:rsidRPr="00AF629F" w:rsidRDefault="00AF629F" w:rsidP="00020271">
      <w:pPr>
        <w:ind w:right="49"/>
        <w:jc w:val="center"/>
        <w:rPr>
          <w:rFonts w:ascii="Times New Roman" w:hAnsi="Times New Roman" w:cs="Times New Roman"/>
          <w:b/>
          <w:sz w:val="28"/>
          <w:szCs w:val="28"/>
          <w:lang w:eastAsia="es-ES"/>
        </w:rPr>
      </w:pPr>
      <w:r w:rsidRPr="00AF629F">
        <w:rPr>
          <w:rFonts w:ascii="Times New Roman" w:hAnsi="Times New Roman" w:cs="Times New Roman"/>
          <w:b/>
          <w:sz w:val="28"/>
          <w:szCs w:val="28"/>
          <w:lang w:eastAsia="es-ES"/>
        </w:rPr>
        <w:t>REPÚBLICA DE COLOMBIA</w:t>
      </w:r>
    </w:p>
    <w:p w:rsidR="00CA505F" w:rsidRPr="00AF629F" w:rsidRDefault="00AF629F" w:rsidP="00C5080C">
      <w:pPr>
        <w:ind w:right="11"/>
        <w:jc w:val="center"/>
        <w:rPr>
          <w:rFonts w:ascii="Times New Roman" w:hAnsi="Times New Roman" w:cs="Times New Roman"/>
          <w:b/>
          <w:sz w:val="28"/>
          <w:szCs w:val="28"/>
        </w:rPr>
      </w:pPr>
      <w:r w:rsidRPr="00AF629F">
        <w:rPr>
          <w:rFonts w:ascii="Times New Roman" w:hAnsi="Times New Roman" w:cs="Times New Roman"/>
          <w:b/>
          <w:noProof/>
          <w:sz w:val="28"/>
          <w:szCs w:val="28"/>
        </w:rPr>
        <w:drawing>
          <wp:inline distT="0" distB="0" distL="0" distR="0" wp14:anchorId="5ED1C6DA" wp14:editId="30C67236">
            <wp:extent cx="792000" cy="792000"/>
            <wp:effectExtent l="0" t="0" r="8255" b="8255"/>
            <wp:docPr id="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7"/>
                    <a:stretch>
                      <a:fillRect/>
                    </a:stretch>
                  </pic:blipFill>
                  <pic:spPr>
                    <a:xfrm>
                      <a:off x="0" y="0"/>
                      <a:ext cx="792000" cy="792000"/>
                    </a:xfrm>
                    <a:prstGeom prst="rect">
                      <a:avLst/>
                    </a:prstGeom>
                  </pic:spPr>
                </pic:pic>
              </a:graphicData>
            </a:graphic>
          </wp:inline>
        </w:drawing>
      </w:r>
    </w:p>
    <w:p w:rsidR="00CA505F" w:rsidRPr="00AF629F" w:rsidRDefault="00AF629F" w:rsidP="00C5080C">
      <w:pPr>
        <w:ind w:right="11"/>
        <w:jc w:val="center"/>
        <w:rPr>
          <w:rFonts w:ascii="Times New Roman" w:hAnsi="Times New Roman" w:cs="Times New Roman"/>
          <w:b/>
          <w:sz w:val="28"/>
          <w:szCs w:val="28"/>
        </w:rPr>
      </w:pPr>
      <w:r w:rsidRPr="00AF629F">
        <w:rPr>
          <w:rFonts w:ascii="Times New Roman" w:hAnsi="Times New Roman" w:cs="Times New Roman"/>
          <w:b/>
          <w:sz w:val="28"/>
          <w:szCs w:val="28"/>
        </w:rPr>
        <w:t>CORTE CONSTITUCIONAL</w:t>
      </w:r>
    </w:p>
    <w:p w:rsidR="00CA505F" w:rsidRPr="00AF629F" w:rsidRDefault="00AF629F" w:rsidP="00C5080C">
      <w:pPr>
        <w:ind w:right="11"/>
        <w:jc w:val="center"/>
        <w:rPr>
          <w:rFonts w:ascii="Times New Roman" w:hAnsi="Times New Roman" w:cs="Times New Roman"/>
          <w:b/>
          <w:sz w:val="28"/>
          <w:szCs w:val="28"/>
        </w:rPr>
      </w:pPr>
      <w:r w:rsidRPr="00AF629F">
        <w:rPr>
          <w:rFonts w:ascii="Times New Roman" w:hAnsi="Times New Roman" w:cs="Times New Roman"/>
          <w:b/>
          <w:sz w:val="28"/>
          <w:szCs w:val="28"/>
        </w:rPr>
        <w:t>Sala Plena</w:t>
      </w:r>
    </w:p>
    <w:p w:rsidR="00601841" w:rsidRPr="00AF629F" w:rsidRDefault="00AF629F" w:rsidP="00020271">
      <w:pPr>
        <w:ind w:right="11"/>
        <w:jc w:val="center"/>
        <w:rPr>
          <w:rFonts w:ascii="Times New Roman" w:hAnsi="Times New Roman" w:cs="Times New Roman"/>
          <w:b/>
          <w:sz w:val="28"/>
          <w:szCs w:val="28"/>
        </w:rPr>
      </w:pPr>
    </w:p>
    <w:p w:rsidR="00C80584" w:rsidRPr="00AF629F" w:rsidRDefault="00AF629F" w:rsidP="00020271">
      <w:pPr>
        <w:ind w:right="11"/>
        <w:jc w:val="center"/>
        <w:rPr>
          <w:rFonts w:ascii="Times New Roman" w:hAnsi="Times New Roman" w:cs="Times New Roman"/>
          <w:b/>
          <w:sz w:val="28"/>
          <w:szCs w:val="28"/>
        </w:rPr>
      </w:pPr>
    </w:p>
    <w:p w:rsidR="00601841" w:rsidRPr="00AF629F" w:rsidRDefault="00AF629F" w:rsidP="00020271">
      <w:pPr>
        <w:ind w:right="11"/>
        <w:jc w:val="center"/>
        <w:rPr>
          <w:rFonts w:ascii="Times New Roman" w:hAnsi="Times New Roman" w:cs="Times New Roman"/>
          <w:b/>
          <w:sz w:val="28"/>
          <w:szCs w:val="28"/>
        </w:rPr>
      </w:pPr>
      <w:r w:rsidRPr="00AF629F">
        <w:rPr>
          <w:rFonts w:ascii="Times New Roman" w:hAnsi="Times New Roman" w:cs="Times New Roman"/>
          <w:b/>
          <w:sz w:val="28"/>
          <w:szCs w:val="28"/>
        </w:rPr>
        <w:t>SENTENCIA C-</w:t>
      </w:r>
      <w:r w:rsidRPr="00AF629F">
        <w:rPr>
          <w:rFonts w:ascii="Times New Roman" w:hAnsi="Times New Roman" w:cs="Times New Roman"/>
          <w:b/>
          <w:sz w:val="28"/>
          <w:szCs w:val="28"/>
        </w:rPr>
        <w:t xml:space="preserve">037 </w:t>
      </w:r>
      <w:r w:rsidRPr="00AF629F">
        <w:rPr>
          <w:rFonts w:ascii="Times New Roman" w:hAnsi="Times New Roman" w:cs="Times New Roman"/>
          <w:b/>
          <w:sz w:val="28"/>
          <w:szCs w:val="28"/>
        </w:rPr>
        <w:t>DE</w:t>
      </w:r>
      <w:r w:rsidRPr="00AF629F">
        <w:rPr>
          <w:rFonts w:ascii="Times New Roman" w:hAnsi="Times New Roman" w:cs="Times New Roman"/>
          <w:b/>
          <w:sz w:val="28"/>
          <w:szCs w:val="28"/>
        </w:rPr>
        <w:t xml:space="preserve"> 202</w:t>
      </w:r>
      <w:r w:rsidRPr="00AF629F">
        <w:rPr>
          <w:rFonts w:ascii="Times New Roman" w:hAnsi="Times New Roman" w:cs="Times New Roman"/>
          <w:b/>
          <w:sz w:val="28"/>
          <w:szCs w:val="28"/>
        </w:rPr>
        <w:t>4</w:t>
      </w:r>
    </w:p>
    <w:p w:rsidR="006D4874" w:rsidRPr="00AF629F" w:rsidRDefault="00AF629F" w:rsidP="00020271">
      <w:pPr>
        <w:ind w:right="51"/>
        <w:jc w:val="both"/>
        <w:rPr>
          <w:rFonts w:ascii="Times New Roman" w:hAnsi="Times New Roman" w:cs="Times New Roman"/>
          <w:b/>
          <w:sz w:val="28"/>
          <w:szCs w:val="28"/>
        </w:rPr>
      </w:pPr>
    </w:p>
    <w:p w:rsidR="009B6FF4" w:rsidRPr="00AF629F" w:rsidRDefault="00AF629F" w:rsidP="00020271">
      <w:pPr>
        <w:ind w:right="51"/>
        <w:jc w:val="both"/>
        <w:rPr>
          <w:rFonts w:ascii="Times New Roman" w:hAnsi="Times New Roman" w:cs="Times New Roman"/>
          <w:b/>
          <w:sz w:val="28"/>
          <w:szCs w:val="28"/>
        </w:rPr>
      </w:pPr>
    </w:p>
    <w:p w:rsidR="006D4874" w:rsidRPr="00AF629F" w:rsidRDefault="00AF629F" w:rsidP="00020271">
      <w:pPr>
        <w:ind w:left="3828" w:right="51"/>
        <w:jc w:val="both"/>
        <w:rPr>
          <w:rFonts w:ascii="Times New Roman" w:hAnsi="Times New Roman" w:cs="Times New Roman"/>
          <w:sz w:val="28"/>
          <w:szCs w:val="28"/>
        </w:rPr>
      </w:pPr>
      <w:r w:rsidRPr="00AF629F">
        <w:rPr>
          <w:rFonts w:ascii="Times New Roman" w:hAnsi="Times New Roman" w:cs="Times New Roman"/>
          <w:b/>
          <w:bCs/>
          <w:sz w:val="28"/>
          <w:szCs w:val="28"/>
        </w:rPr>
        <w:t>Referencia</w:t>
      </w:r>
      <w:r w:rsidRPr="00AF629F">
        <w:rPr>
          <w:rFonts w:ascii="Times New Roman" w:hAnsi="Times New Roman" w:cs="Times New Roman"/>
          <w:sz w:val="28"/>
          <w:szCs w:val="28"/>
        </w:rPr>
        <w:t>: Expediente D-1</w:t>
      </w:r>
      <w:r w:rsidRPr="00AF629F">
        <w:rPr>
          <w:rFonts w:ascii="Times New Roman" w:hAnsi="Times New Roman" w:cs="Times New Roman"/>
          <w:sz w:val="28"/>
          <w:szCs w:val="28"/>
        </w:rPr>
        <w:t>5.350</w:t>
      </w:r>
    </w:p>
    <w:p w:rsidR="00AD0CAD" w:rsidRPr="00AF629F" w:rsidRDefault="00AF629F" w:rsidP="00020271">
      <w:pPr>
        <w:ind w:left="3828" w:right="51"/>
        <w:jc w:val="both"/>
        <w:rPr>
          <w:rFonts w:ascii="Times New Roman" w:hAnsi="Times New Roman" w:cs="Times New Roman"/>
          <w:sz w:val="28"/>
          <w:szCs w:val="28"/>
        </w:rPr>
      </w:pPr>
    </w:p>
    <w:p w:rsidR="006D4874" w:rsidRPr="00AF629F" w:rsidRDefault="00AF629F" w:rsidP="00020271">
      <w:pPr>
        <w:tabs>
          <w:tab w:val="left" w:pos="3969"/>
        </w:tabs>
        <w:ind w:left="3828" w:right="51"/>
        <w:jc w:val="both"/>
        <w:rPr>
          <w:rFonts w:ascii="Times New Roman" w:hAnsi="Times New Roman" w:cs="Times New Roman"/>
          <w:sz w:val="28"/>
          <w:szCs w:val="28"/>
          <w:lang w:val="es-ES_tradnl"/>
        </w:rPr>
      </w:pPr>
      <w:r w:rsidRPr="00AF629F">
        <w:rPr>
          <w:rFonts w:ascii="Times New Roman" w:hAnsi="Times New Roman" w:cs="Times New Roman"/>
          <w:b/>
          <w:bCs/>
          <w:sz w:val="28"/>
          <w:szCs w:val="28"/>
        </w:rPr>
        <w:t>Asunto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d</w:t>
      </w:r>
      <w:r w:rsidRPr="00AF629F">
        <w:rPr>
          <w:rFonts w:ascii="Times New Roman" w:hAnsi="Times New Roman" w:cs="Times New Roman"/>
          <w:sz w:val="28"/>
          <w:szCs w:val="28"/>
        </w:rPr>
        <w:t xml:space="preserve">emanda de inconstitucionalidad </w:t>
      </w:r>
      <w:r w:rsidRPr="00AF629F">
        <w:rPr>
          <w:rFonts w:ascii="Times New Roman" w:hAnsi="Times New Roman" w:cs="Times New Roman"/>
          <w:sz w:val="28"/>
          <w:szCs w:val="28"/>
          <w:lang w:val="es-ES_tradnl"/>
        </w:rPr>
        <w:t xml:space="preserve">en contra del </w:t>
      </w:r>
      <w:r w:rsidRPr="00AF629F">
        <w:rPr>
          <w:rFonts w:ascii="Times New Roman" w:hAnsi="Times New Roman" w:cs="Times New Roman"/>
          <w:sz w:val="28"/>
          <w:szCs w:val="28"/>
          <w:lang w:val="es-ES_tradnl"/>
        </w:rPr>
        <w:t>artículo 322 de la Ley 2294 de 2023</w:t>
      </w:r>
      <w:r w:rsidRPr="00AF629F">
        <w:rPr>
          <w:rFonts w:ascii="Times New Roman" w:hAnsi="Times New Roman" w:cs="Times New Roman"/>
          <w:sz w:val="28"/>
          <w:szCs w:val="28"/>
          <w:lang w:val="es-ES_tradnl"/>
        </w:rPr>
        <w:t>.</w:t>
      </w:r>
    </w:p>
    <w:p w:rsidR="00AD0CAD" w:rsidRPr="00AF629F" w:rsidRDefault="00AF629F" w:rsidP="00020271">
      <w:pPr>
        <w:tabs>
          <w:tab w:val="left" w:pos="3969"/>
        </w:tabs>
        <w:ind w:left="3828" w:right="51"/>
        <w:jc w:val="both"/>
        <w:rPr>
          <w:rFonts w:ascii="Times New Roman" w:hAnsi="Times New Roman" w:cs="Times New Roman"/>
          <w:sz w:val="28"/>
          <w:szCs w:val="28"/>
        </w:rPr>
      </w:pPr>
    </w:p>
    <w:p w:rsidR="006D4874" w:rsidRPr="00AF629F" w:rsidRDefault="00AF629F" w:rsidP="00020271">
      <w:pPr>
        <w:tabs>
          <w:tab w:val="left" w:pos="3969"/>
        </w:tabs>
        <w:ind w:left="3828" w:right="51"/>
        <w:jc w:val="both"/>
        <w:rPr>
          <w:rFonts w:ascii="Times New Roman" w:hAnsi="Times New Roman" w:cs="Times New Roman"/>
          <w:sz w:val="28"/>
          <w:szCs w:val="28"/>
        </w:rPr>
      </w:pPr>
      <w:r w:rsidRPr="00AF629F">
        <w:rPr>
          <w:rFonts w:ascii="Times New Roman" w:hAnsi="Times New Roman" w:cs="Times New Roman"/>
          <w:b/>
          <w:bCs/>
          <w:sz w:val="28"/>
          <w:szCs w:val="28"/>
        </w:rPr>
        <w:t>Demandante</w:t>
      </w:r>
      <w:r w:rsidRPr="00AF629F">
        <w:rPr>
          <w:rFonts w:ascii="Times New Roman" w:hAnsi="Times New Roman" w:cs="Times New Roman"/>
          <w:sz w:val="28"/>
          <w:szCs w:val="28"/>
        </w:rPr>
        <w:t xml:space="preserve">: </w:t>
      </w:r>
      <w:r w:rsidRPr="00AF629F">
        <w:rPr>
          <w:rFonts w:ascii="Times New Roman" w:hAnsi="Times New Roman" w:cs="Times New Roman"/>
          <w:sz w:val="28"/>
          <w:szCs w:val="28"/>
          <w:lang w:val="es-ES_tradnl"/>
        </w:rPr>
        <w:t>Luisa Fernanda Guarín Plata</w:t>
      </w:r>
    </w:p>
    <w:p w:rsidR="009B6FF4" w:rsidRPr="00AF629F" w:rsidRDefault="00AF629F" w:rsidP="00020271">
      <w:pPr>
        <w:tabs>
          <w:tab w:val="left" w:pos="3969"/>
        </w:tabs>
        <w:ind w:left="3828" w:right="51"/>
        <w:jc w:val="both"/>
        <w:rPr>
          <w:rFonts w:ascii="Times New Roman" w:hAnsi="Times New Roman" w:cs="Times New Roman"/>
          <w:sz w:val="28"/>
          <w:szCs w:val="28"/>
        </w:rPr>
      </w:pPr>
    </w:p>
    <w:p w:rsidR="006D4874" w:rsidRPr="00AF629F" w:rsidRDefault="00AF629F" w:rsidP="00020271">
      <w:pPr>
        <w:tabs>
          <w:tab w:val="left" w:pos="3969"/>
        </w:tabs>
        <w:ind w:left="3828" w:right="51"/>
        <w:jc w:val="both"/>
        <w:rPr>
          <w:rFonts w:ascii="Times New Roman" w:hAnsi="Times New Roman" w:cs="Times New Roman"/>
          <w:sz w:val="28"/>
          <w:szCs w:val="28"/>
        </w:rPr>
      </w:pPr>
      <w:r w:rsidRPr="00AF629F">
        <w:rPr>
          <w:rFonts w:ascii="Times New Roman" w:hAnsi="Times New Roman" w:cs="Times New Roman"/>
          <w:b/>
          <w:bCs/>
          <w:sz w:val="28"/>
          <w:szCs w:val="28"/>
        </w:rPr>
        <w:t xml:space="preserve">Magistrado </w:t>
      </w:r>
      <w:r w:rsidRPr="00AF629F">
        <w:rPr>
          <w:rFonts w:ascii="Times New Roman" w:hAnsi="Times New Roman" w:cs="Times New Roman"/>
          <w:b/>
          <w:bCs/>
          <w:sz w:val="28"/>
          <w:szCs w:val="28"/>
        </w:rPr>
        <w:t>S</w:t>
      </w:r>
      <w:r w:rsidRPr="00AF629F">
        <w:rPr>
          <w:rFonts w:ascii="Times New Roman" w:hAnsi="Times New Roman" w:cs="Times New Roman"/>
          <w:b/>
          <w:bCs/>
          <w:sz w:val="28"/>
          <w:szCs w:val="28"/>
        </w:rPr>
        <w:t>ustanciador</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Antonio José Lizarazo Ocampo</w:t>
      </w:r>
    </w:p>
    <w:p w:rsidR="006D4874" w:rsidRPr="00AF629F" w:rsidRDefault="00AF629F" w:rsidP="00020271">
      <w:pPr>
        <w:ind w:right="51"/>
        <w:jc w:val="both"/>
        <w:rPr>
          <w:rFonts w:ascii="Times New Roman" w:hAnsi="Times New Roman" w:cs="Times New Roman"/>
          <w:sz w:val="28"/>
          <w:szCs w:val="28"/>
        </w:rPr>
      </w:pPr>
    </w:p>
    <w:p w:rsidR="006A7781" w:rsidRPr="00AF629F" w:rsidRDefault="00AF629F" w:rsidP="00020271">
      <w:pPr>
        <w:ind w:right="51"/>
        <w:jc w:val="both"/>
        <w:rPr>
          <w:rFonts w:ascii="Times New Roman" w:hAnsi="Times New Roman" w:cs="Times New Roman"/>
          <w:sz w:val="28"/>
          <w:szCs w:val="28"/>
        </w:rPr>
      </w:pPr>
    </w:p>
    <w:p w:rsidR="006D4874" w:rsidRPr="00AF629F" w:rsidRDefault="00AF629F" w:rsidP="00020271">
      <w:pPr>
        <w:jc w:val="both"/>
        <w:rPr>
          <w:rFonts w:ascii="Times New Roman" w:hAnsi="Times New Roman" w:cs="Times New Roman"/>
          <w:sz w:val="28"/>
          <w:szCs w:val="28"/>
        </w:rPr>
      </w:pPr>
      <w:r w:rsidRPr="00AF629F">
        <w:rPr>
          <w:rFonts w:ascii="Times New Roman" w:hAnsi="Times New Roman" w:cs="Times New Roman"/>
          <w:sz w:val="28"/>
          <w:szCs w:val="28"/>
        </w:rPr>
        <w:t>Bogotá D.C.,</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quince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w:t>
      </w:r>
      <w:r w:rsidRPr="00AF629F">
        <w:rPr>
          <w:rFonts w:ascii="Times New Roman" w:hAnsi="Times New Roman" w:cs="Times New Roman"/>
          <w:sz w:val="28"/>
          <w:szCs w:val="28"/>
        </w:rPr>
        <w:t>15</w:t>
      </w:r>
      <w:r w:rsidRPr="00AF629F">
        <w:rPr>
          <w:rFonts w:ascii="Times New Roman" w:hAnsi="Times New Roman" w:cs="Times New Roman"/>
          <w:sz w:val="28"/>
          <w:szCs w:val="28"/>
        </w:rPr>
        <w:t xml:space="preserve">) de </w:t>
      </w:r>
      <w:r w:rsidRPr="00AF629F">
        <w:rPr>
          <w:rFonts w:ascii="Times New Roman" w:hAnsi="Times New Roman" w:cs="Times New Roman"/>
          <w:sz w:val="28"/>
          <w:szCs w:val="28"/>
        </w:rPr>
        <w:t xml:space="preserve">febrero </w:t>
      </w:r>
      <w:r w:rsidRPr="00AF629F">
        <w:rPr>
          <w:rFonts w:ascii="Times New Roman" w:hAnsi="Times New Roman" w:cs="Times New Roman"/>
          <w:sz w:val="28"/>
          <w:szCs w:val="28"/>
        </w:rPr>
        <w:t xml:space="preserve">de dos mil </w:t>
      </w:r>
      <w:r w:rsidRPr="00AF629F">
        <w:rPr>
          <w:rFonts w:ascii="Times New Roman" w:hAnsi="Times New Roman" w:cs="Times New Roman"/>
          <w:sz w:val="28"/>
          <w:szCs w:val="28"/>
        </w:rPr>
        <w:t>veint</w:t>
      </w:r>
      <w:r w:rsidRPr="00AF629F">
        <w:rPr>
          <w:rFonts w:ascii="Times New Roman" w:hAnsi="Times New Roman" w:cs="Times New Roman"/>
          <w:sz w:val="28"/>
          <w:szCs w:val="28"/>
        </w:rPr>
        <w:t>icuatro</w:t>
      </w:r>
      <w:r w:rsidRPr="00AF629F">
        <w:rPr>
          <w:rFonts w:ascii="Times New Roman" w:hAnsi="Times New Roman" w:cs="Times New Roman"/>
          <w:sz w:val="28"/>
          <w:szCs w:val="28"/>
        </w:rPr>
        <w:t xml:space="preserve"> (202</w:t>
      </w:r>
      <w:r w:rsidRPr="00AF629F">
        <w:rPr>
          <w:rFonts w:ascii="Times New Roman" w:hAnsi="Times New Roman" w:cs="Times New Roman"/>
          <w:sz w:val="28"/>
          <w:szCs w:val="28"/>
        </w:rPr>
        <w:t>4</w:t>
      </w:r>
      <w:r w:rsidRPr="00AF629F">
        <w:rPr>
          <w:rFonts w:ascii="Times New Roman" w:hAnsi="Times New Roman" w:cs="Times New Roman"/>
          <w:sz w:val="28"/>
          <w:szCs w:val="28"/>
        </w:rPr>
        <w:t>)</w:t>
      </w:r>
    </w:p>
    <w:p w:rsidR="006D4874" w:rsidRPr="00AF629F" w:rsidRDefault="00AF629F" w:rsidP="00020271">
      <w:pPr>
        <w:jc w:val="both"/>
        <w:rPr>
          <w:rFonts w:ascii="Times New Roman" w:hAnsi="Times New Roman" w:cs="Times New Roman"/>
          <w:sz w:val="28"/>
          <w:szCs w:val="28"/>
        </w:rPr>
      </w:pPr>
    </w:p>
    <w:p w:rsidR="00423ED3" w:rsidRPr="00AF629F" w:rsidRDefault="00AF629F" w:rsidP="00020271">
      <w:pPr>
        <w:jc w:val="both"/>
        <w:rPr>
          <w:rFonts w:ascii="Times New Roman" w:hAnsi="Times New Roman" w:cs="Times New Roman"/>
          <w:sz w:val="28"/>
          <w:szCs w:val="28"/>
        </w:rPr>
      </w:pPr>
      <w:r w:rsidRPr="00AF629F">
        <w:rPr>
          <w:rFonts w:ascii="Times New Roman" w:hAnsi="Times New Roman" w:cs="Times New Roman"/>
          <w:sz w:val="28"/>
          <w:szCs w:val="28"/>
        </w:rPr>
        <w:t xml:space="preserve">La Sala Plena de la Corte Constitucional, con fundamento en el artículo 241.4 de la </w:t>
      </w:r>
      <w:r w:rsidRPr="00AF629F">
        <w:rPr>
          <w:rFonts w:ascii="Times New Roman" w:hAnsi="Times New Roman" w:cs="Times New Roman"/>
          <w:sz w:val="28"/>
          <w:szCs w:val="28"/>
        </w:rPr>
        <w:t>Constitución y cumplidos los trámites</w:t>
      </w:r>
      <w:r w:rsidRPr="00AF629F">
        <w:rPr>
          <w:rStyle w:val="Refdenotaalpie"/>
          <w:rFonts w:ascii="Times New Roman" w:hAnsi="Times New Roman" w:cs="Times New Roman"/>
          <w:sz w:val="28"/>
          <w:szCs w:val="28"/>
        </w:rPr>
        <w:footnoteReference w:id="1"/>
      </w:r>
      <w:r w:rsidRPr="00AF629F">
        <w:rPr>
          <w:rFonts w:ascii="Times New Roman" w:hAnsi="Times New Roman" w:cs="Times New Roman"/>
          <w:sz w:val="28"/>
          <w:szCs w:val="28"/>
        </w:rPr>
        <w:t xml:space="preserve"> previstos en el Decreto Ley 2067 de 1991, </w:t>
      </w:r>
      <w:r w:rsidRPr="00AF629F">
        <w:rPr>
          <w:rFonts w:ascii="Times New Roman" w:hAnsi="Times New Roman" w:cs="Times New Roman"/>
          <w:sz w:val="28"/>
          <w:szCs w:val="28"/>
        </w:rPr>
        <w:t>decide sobre la demanda presentada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con fundamento en el artículo 40.6 de la Constitución, </w:t>
      </w:r>
      <w:r w:rsidRPr="00AF629F">
        <w:rPr>
          <w:rFonts w:ascii="Times New Roman" w:hAnsi="Times New Roman" w:cs="Times New Roman"/>
          <w:sz w:val="28"/>
          <w:szCs w:val="28"/>
        </w:rPr>
        <w:t xml:space="preserve">por </w:t>
      </w:r>
      <w:r w:rsidRPr="00AF629F">
        <w:rPr>
          <w:rFonts w:ascii="Times New Roman" w:hAnsi="Times New Roman" w:cs="Times New Roman"/>
          <w:sz w:val="28"/>
          <w:szCs w:val="28"/>
        </w:rPr>
        <w:t xml:space="preserve">la </w:t>
      </w:r>
      <w:r w:rsidRPr="00AF629F">
        <w:rPr>
          <w:rFonts w:ascii="Times New Roman" w:hAnsi="Times New Roman" w:cs="Times New Roman"/>
          <w:sz w:val="28"/>
          <w:szCs w:val="28"/>
        </w:rPr>
        <w:t>ciudadan</w:t>
      </w:r>
      <w:r w:rsidRPr="00AF629F">
        <w:rPr>
          <w:rFonts w:ascii="Times New Roman" w:hAnsi="Times New Roman" w:cs="Times New Roman"/>
          <w:sz w:val="28"/>
          <w:szCs w:val="28"/>
        </w:rPr>
        <w:t>a</w:t>
      </w:r>
      <w:r w:rsidRPr="00AF629F">
        <w:rPr>
          <w:rFonts w:ascii="Times New Roman" w:hAnsi="Times New Roman" w:cs="Times New Roman"/>
          <w:sz w:val="28"/>
          <w:szCs w:val="28"/>
        </w:rPr>
        <w:t xml:space="preserve"> </w:t>
      </w:r>
      <w:r w:rsidRPr="00AF629F">
        <w:rPr>
          <w:rFonts w:ascii="Times New Roman" w:hAnsi="Times New Roman" w:cs="Times New Roman"/>
          <w:sz w:val="28"/>
          <w:szCs w:val="28"/>
          <w:lang w:val="es-ES_tradnl"/>
        </w:rPr>
        <w:t xml:space="preserve">Luisa Fernanda Guarín Plata </w:t>
      </w:r>
      <w:r w:rsidRPr="00AF629F">
        <w:rPr>
          <w:rFonts w:ascii="Times New Roman" w:hAnsi="Times New Roman" w:cs="Times New Roman"/>
          <w:sz w:val="28"/>
          <w:szCs w:val="28"/>
        </w:rPr>
        <w:t xml:space="preserve">contra el </w:t>
      </w:r>
      <w:r w:rsidRPr="00AF629F">
        <w:rPr>
          <w:rFonts w:ascii="Times New Roman" w:hAnsi="Times New Roman" w:cs="Times New Roman"/>
          <w:sz w:val="28"/>
          <w:szCs w:val="28"/>
          <w:lang w:val="es-ES_tradnl"/>
        </w:rPr>
        <w:t xml:space="preserve">artículo 322 de la Ley 2294 </w:t>
      </w:r>
      <w:r w:rsidRPr="00AF629F">
        <w:rPr>
          <w:rFonts w:ascii="Times New Roman" w:hAnsi="Times New Roman" w:cs="Times New Roman"/>
          <w:sz w:val="28"/>
          <w:szCs w:val="28"/>
          <w:lang w:val="es-ES_tradnl"/>
        </w:rPr>
        <w:t>de 2023</w:t>
      </w:r>
      <w:r w:rsidRPr="00AF629F">
        <w:rPr>
          <w:rFonts w:ascii="Times New Roman" w:hAnsi="Times New Roman" w:cs="Times New Roman"/>
          <w:sz w:val="28"/>
          <w:szCs w:val="28"/>
        </w:rPr>
        <w:t xml:space="preserve">, cuyo texto es </w:t>
      </w:r>
      <w:r w:rsidRPr="00AF629F">
        <w:rPr>
          <w:rFonts w:ascii="Times New Roman" w:hAnsi="Times New Roman" w:cs="Times New Roman"/>
          <w:sz w:val="28"/>
          <w:szCs w:val="28"/>
        </w:rPr>
        <w:t xml:space="preserve">el </w:t>
      </w:r>
      <w:r w:rsidRPr="00AF629F">
        <w:rPr>
          <w:rFonts w:ascii="Times New Roman" w:hAnsi="Times New Roman" w:cs="Times New Roman"/>
          <w:sz w:val="28"/>
          <w:szCs w:val="28"/>
        </w:rPr>
        <w:t>siguiente</w:t>
      </w:r>
      <w:r w:rsidRPr="00AF629F">
        <w:rPr>
          <w:rFonts w:ascii="Times New Roman" w:hAnsi="Times New Roman" w:cs="Times New Roman"/>
          <w:sz w:val="28"/>
          <w:szCs w:val="28"/>
        </w:rPr>
        <w:t xml:space="preserve"> (se resalta el apartado que se acusa)</w:t>
      </w:r>
      <w:r w:rsidRPr="00AF629F">
        <w:rPr>
          <w:rFonts w:ascii="Times New Roman" w:hAnsi="Times New Roman" w:cs="Times New Roman"/>
          <w:sz w:val="28"/>
          <w:szCs w:val="28"/>
        </w:rPr>
        <w:t>:</w:t>
      </w:r>
    </w:p>
    <w:p w:rsidR="00666C43" w:rsidRPr="00AF629F" w:rsidRDefault="00AF629F" w:rsidP="00020271">
      <w:pPr>
        <w:jc w:val="both"/>
        <w:rPr>
          <w:rFonts w:ascii="Times New Roman" w:hAnsi="Times New Roman" w:cs="Times New Roman"/>
          <w:b/>
          <w:bCs/>
          <w:sz w:val="28"/>
          <w:szCs w:val="28"/>
        </w:rPr>
      </w:pPr>
    </w:p>
    <w:p w:rsidR="00790360" w:rsidRPr="00AF629F" w:rsidRDefault="00AF629F" w:rsidP="00020271">
      <w:pPr>
        <w:jc w:val="both"/>
        <w:rPr>
          <w:rFonts w:ascii="Times New Roman" w:hAnsi="Times New Roman" w:cs="Times New Roman"/>
          <w:b/>
          <w:bCs/>
          <w:sz w:val="28"/>
          <w:szCs w:val="28"/>
        </w:rPr>
      </w:pPr>
    </w:p>
    <w:p w:rsidR="0080756E" w:rsidRPr="00AF629F" w:rsidRDefault="00AF629F" w:rsidP="00020271">
      <w:pPr>
        <w:pStyle w:val="Estilo1"/>
        <w:numPr>
          <w:ilvl w:val="0"/>
          <w:numId w:val="1"/>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DISPOSICIÓN DEMANDADA</w:t>
      </w:r>
    </w:p>
    <w:p w:rsidR="0080756E" w:rsidRPr="00AF629F" w:rsidRDefault="00AF629F" w:rsidP="00020271">
      <w:pPr>
        <w:pBdr>
          <w:top w:val="nil"/>
          <w:left w:val="nil"/>
          <w:bottom w:val="nil"/>
          <w:right w:val="nil"/>
          <w:between w:val="nil"/>
        </w:pBdr>
        <w:ind w:right="56"/>
        <w:contextualSpacing/>
        <w:jc w:val="both"/>
        <w:rPr>
          <w:rFonts w:ascii="Times New Roman" w:hAnsi="Times New Roman" w:cs="Times New Roman"/>
          <w:sz w:val="28"/>
          <w:szCs w:val="28"/>
        </w:rPr>
      </w:pPr>
    </w:p>
    <w:p w:rsidR="00E125AC" w:rsidRPr="00AF629F" w:rsidRDefault="00AF629F" w:rsidP="00E125AC">
      <w:pPr>
        <w:ind w:left="567" w:right="618"/>
        <w:jc w:val="center"/>
        <w:rPr>
          <w:rFonts w:ascii="Times New Roman" w:hAnsi="Times New Roman" w:cs="Times New Roman"/>
          <w:sz w:val="28"/>
          <w:szCs w:val="24"/>
        </w:rPr>
      </w:pPr>
      <w:r w:rsidRPr="00AF629F">
        <w:rPr>
          <w:rFonts w:ascii="Times New Roman" w:hAnsi="Times New Roman" w:cs="Times New Roman"/>
          <w:sz w:val="28"/>
          <w:szCs w:val="24"/>
        </w:rPr>
        <w:t>“LEY 2294 DE 2023</w:t>
      </w:r>
      <w:r w:rsidRPr="00AF629F">
        <w:rPr>
          <w:rStyle w:val="Refdenotaalpie"/>
          <w:rFonts w:ascii="Times New Roman" w:hAnsi="Times New Roman" w:cs="Times New Roman"/>
          <w:sz w:val="28"/>
          <w:szCs w:val="24"/>
        </w:rPr>
        <w:footnoteReference w:id="2"/>
      </w:r>
    </w:p>
    <w:p w:rsidR="00E125AC" w:rsidRPr="00AF629F" w:rsidRDefault="00AF629F" w:rsidP="00E125AC">
      <w:pPr>
        <w:ind w:left="567" w:right="618"/>
        <w:jc w:val="center"/>
        <w:rPr>
          <w:rFonts w:ascii="Times New Roman" w:hAnsi="Times New Roman" w:cs="Times New Roman"/>
          <w:sz w:val="28"/>
          <w:szCs w:val="24"/>
        </w:rPr>
      </w:pPr>
      <w:bookmarkStart w:id="1" w:name="_Hlk135141479"/>
    </w:p>
    <w:p w:rsidR="00E125AC" w:rsidRPr="00AF629F" w:rsidRDefault="00AF629F" w:rsidP="00E125AC">
      <w:pPr>
        <w:ind w:left="567" w:right="618"/>
        <w:jc w:val="center"/>
        <w:rPr>
          <w:rFonts w:ascii="Times New Roman" w:hAnsi="Times New Roman" w:cs="Times New Roman"/>
          <w:sz w:val="28"/>
          <w:szCs w:val="24"/>
        </w:rPr>
      </w:pPr>
      <w:bookmarkStart w:id="2" w:name="_Hlk150349964"/>
      <w:r w:rsidRPr="00AF629F">
        <w:rPr>
          <w:rFonts w:ascii="Times New Roman" w:hAnsi="Times New Roman" w:cs="Times New Roman"/>
          <w:sz w:val="28"/>
          <w:szCs w:val="24"/>
        </w:rPr>
        <w:t>Por la cual se expide el Plan Nacional de Desarrollo 2022-2026. Colombia Potencia Mundial de la Vida</w:t>
      </w:r>
      <w:bookmarkEnd w:id="1"/>
      <w:r w:rsidRPr="00AF629F">
        <w:rPr>
          <w:rFonts w:ascii="Times New Roman" w:hAnsi="Times New Roman" w:cs="Times New Roman"/>
          <w:sz w:val="28"/>
          <w:szCs w:val="24"/>
        </w:rPr>
        <w:t>.</w:t>
      </w:r>
      <w:bookmarkEnd w:id="2"/>
    </w:p>
    <w:p w:rsidR="00E125AC" w:rsidRPr="00AF629F" w:rsidRDefault="00AF629F" w:rsidP="00E125AC">
      <w:pPr>
        <w:ind w:left="567" w:right="618"/>
        <w:jc w:val="center"/>
        <w:rPr>
          <w:rFonts w:ascii="Times New Roman" w:hAnsi="Times New Roman" w:cs="Times New Roman"/>
          <w:sz w:val="28"/>
          <w:szCs w:val="24"/>
        </w:rPr>
      </w:pPr>
    </w:p>
    <w:p w:rsidR="00E125AC" w:rsidRPr="00AF629F" w:rsidRDefault="00AF629F" w:rsidP="00E125AC">
      <w:pPr>
        <w:ind w:left="567" w:right="618"/>
        <w:jc w:val="center"/>
        <w:rPr>
          <w:rFonts w:ascii="Times New Roman" w:hAnsi="Times New Roman" w:cs="Times New Roman"/>
          <w:sz w:val="28"/>
          <w:szCs w:val="24"/>
        </w:rPr>
      </w:pPr>
      <w:r w:rsidRPr="00AF629F">
        <w:rPr>
          <w:rFonts w:ascii="Times New Roman" w:hAnsi="Times New Roman" w:cs="Times New Roman"/>
          <w:sz w:val="28"/>
          <w:szCs w:val="24"/>
        </w:rPr>
        <w:t>EL CONGRESO DE COLOMBIA DECRETA:</w:t>
      </w:r>
    </w:p>
    <w:p w:rsidR="00E125AC" w:rsidRPr="00AF629F" w:rsidRDefault="00AF629F" w:rsidP="00E125AC">
      <w:pPr>
        <w:ind w:left="567" w:right="618"/>
        <w:jc w:val="center"/>
        <w:rPr>
          <w:rFonts w:ascii="Times New Roman" w:hAnsi="Times New Roman" w:cs="Times New Roman"/>
          <w:sz w:val="28"/>
          <w:szCs w:val="24"/>
        </w:rPr>
      </w:pPr>
      <w:r w:rsidRPr="00AF629F">
        <w:rPr>
          <w:rFonts w:ascii="Times New Roman" w:hAnsi="Times New Roman" w:cs="Times New Roman"/>
          <w:sz w:val="28"/>
          <w:szCs w:val="24"/>
        </w:rPr>
        <w:t>[…]</w:t>
      </w:r>
    </w:p>
    <w:p w:rsidR="00E125AC" w:rsidRPr="00AF629F" w:rsidRDefault="00AF629F" w:rsidP="00E125AC">
      <w:pPr>
        <w:ind w:left="567" w:right="618"/>
        <w:jc w:val="center"/>
        <w:rPr>
          <w:rFonts w:ascii="Times New Roman" w:hAnsi="Times New Roman" w:cs="Times New Roman"/>
          <w:sz w:val="28"/>
          <w:szCs w:val="24"/>
        </w:rPr>
      </w:pPr>
      <w:r w:rsidRPr="00AF629F">
        <w:rPr>
          <w:rFonts w:ascii="Times New Roman" w:hAnsi="Times New Roman" w:cs="Times New Roman"/>
          <w:sz w:val="28"/>
          <w:szCs w:val="24"/>
        </w:rPr>
        <w:t>CAPÍTULO VII</w:t>
      </w:r>
    </w:p>
    <w:p w:rsidR="00E125AC" w:rsidRPr="00AF629F" w:rsidRDefault="00AF629F" w:rsidP="00E125AC">
      <w:pPr>
        <w:ind w:left="567" w:right="618"/>
        <w:jc w:val="center"/>
        <w:rPr>
          <w:rFonts w:ascii="Times New Roman" w:hAnsi="Times New Roman" w:cs="Times New Roman"/>
          <w:sz w:val="28"/>
          <w:szCs w:val="24"/>
        </w:rPr>
      </w:pPr>
      <w:r w:rsidRPr="00AF629F">
        <w:rPr>
          <w:rFonts w:ascii="Times New Roman" w:hAnsi="Times New Roman" w:cs="Times New Roman"/>
          <w:sz w:val="28"/>
          <w:szCs w:val="24"/>
        </w:rPr>
        <w:t>ESTABILIDAD MACROECONÓMICA</w:t>
      </w:r>
    </w:p>
    <w:p w:rsidR="00E125AC" w:rsidRPr="00AF629F" w:rsidRDefault="00AF629F" w:rsidP="00E125AC">
      <w:pPr>
        <w:ind w:left="567" w:right="618"/>
        <w:jc w:val="both"/>
        <w:rPr>
          <w:rFonts w:ascii="Times New Roman" w:hAnsi="Times New Roman" w:cs="Times New Roman"/>
          <w:sz w:val="28"/>
          <w:szCs w:val="24"/>
        </w:rPr>
      </w:pPr>
    </w:p>
    <w:p w:rsidR="00E125AC" w:rsidRPr="00AF629F" w:rsidRDefault="00AF629F" w:rsidP="00E125AC">
      <w:pPr>
        <w:ind w:left="567" w:right="618"/>
        <w:jc w:val="both"/>
        <w:rPr>
          <w:rFonts w:ascii="Times New Roman" w:hAnsi="Times New Roman" w:cs="Times New Roman"/>
          <w:sz w:val="28"/>
          <w:szCs w:val="24"/>
        </w:rPr>
      </w:pPr>
      <w:r w:rsidRPr="00AF629F">
        <w:rPr>
          <w:rFonts w:ascii="Times New Roman" w:hAnsi="Times New Roman" w:cs="Times New Roman"/>
          <w:sz w:val="28"/>
          <w:szCs w:val="24"/>
        </w:rPr>
        <w:t xml:space="preserve">Artículo 322. El Ministerio de Hacienda y Crédito Público podrá, por razones de favorabilidad de mercado, disponer de la administración de recursos del FONPET bajo la modalidad de contratación directa, a través </w:t>
      </w:r>
      <w:r w:rsidRPr="00AF629F">
        <w:rPr>
          <w:rFonts w:ascii="Times New Roman" w:hAnsi="Times New Roman" w:cs="Times New Roman"/>
          <w:sz w:val="28"/>
          <w:szCs w:val="24"/>
        </w:rPr>
        <w:t>de contratos interadministrativos, por un periodo no menor a 5 años, con sociedades fiduciarias de carácter público, en el marco de la Ley 549 de 1999. Estas entidades deberán acreditar experiencia en administración de portafolios pensionales. En todo caso</w:t>
      </w:r>
      <w:r w:rsidRPr="00AF629F">
        <w:rPr>
          <w:rFonts w:ascii="Times New Roman" w:hAnsi="Times New Roman" w:cs="Times New Roman"/>
          <w:sz w:val="28"/>
          <w:szCs w:val="24"/>
        </w:rPr>
        <w:t xml:space="preserve"> se deberá cumplir con los márgenes de solvencia y la disposición de la rentabilidad mínima establecida en el numeral 5 del artículo 7 de la Ley 549 de 1999”.</w:t>
      </w:r>
    </w:p>
    <w:p w:rsidR="00666C43" w:rsidRPr="00AF629F" w:rsidRDefault="00AF629F" w:rsidP="00020271">
      <w:pPr>
        <w:keepNext/>
        <w:tabs>
          <w:tab w:val="left" w:pos="2725"/>
        </w:tabs>
        <w:jc w:val="both"/>
        <w:rPr>
          <w:rFonts w:ascii="Times New Roman" w:hAnsi="Times New Roman" w:cs="Times New Roman"/>
          <w:sz w:val="28"/>
          <w:szCs w:val="28"/>
        </w:rPr>
      </w:pPr>
    </w:p>
    <w:p w:rsidR="00790360" w:rsidRPr="00AF629F" w:rsidRDefault="00AF629F" w:rsidP="00020271">
      <w:pPr>
        <w:keepNext/>
        <w:tabs>
          <w:tab w:val="left" w:pos="2725"/>
        </w:tabs>
        <w:jc w:val="both"/>
        <w:rPr>
          <w:rFonts w:ascii="Times New Roman" w:hAnsi="Times New Roman" w:cs="Times New Roman"/>
          <w:sz w:val="28"/>
          <w:szCs w:val="28"/>
        </w:rPr>
      </w:pPr>
    </w:p>
    <w:p w:rsidR="0080756E" w:rsidRPr="00AF629F" w:rsidRDefault="00AF629F" w:rsidP="00020271">
      <w:pPr>
        <w:pStyle w:val="Estilo1"/>
        <w:numPr>
          <w:ilvl w:val="0"/>
          <w:numId w:val="1"/>
        </w:numPr>
        <w:ind w:left="0" w:firstLine="0"/>
        <w:outlineLvl w:val="0"/>
        <w:rPr>
          <w:rStyle w:val="Ttulo1Car"/>
          <w:rFonts w:ascii="Times New Roman" w:hAnsi="Times New Roman" w:cs="Times New Roman"/>
          <w:color w:val="auto"/>
          <w:sz w:val="28"/>
          <w:szCs w:val="28"/>
        </w:rPr>
      </w:pPr>
      <w:r w:rsidRPr="00AF629F">
        <w:rPr>
          <w:rStyle w:val="Ttulo1Car"/>
          <w:rFonts w:ascii="Times New Roman" w:hAnsi="Times New Roman" w:cs="Times New Roman"/>
          <w:color w:val="auto"/>
          <w:sz w:val="28"/>
          <w:szCs w:val="28"/>
        </w:rPr>
        <w:t>LA DEMANDA</w:t>
      </w:r>
    </w:p>
    <w:p w:rsidR="00E125AC" w:rsidRPr="00AF629F" w:rsidRDefault="00AF629F" w:rsidP="00E125AC">
      <w:pPr>
        <w:pStyle w:val="Prrafodelista"/>
        <w:ind w:left="0"/>
        <w:jc w:val="both"/>
        <w:rPr>
          <w:rFonts w:ascii="Times New Roman" w:hAnsi="Times New Roman" w:cs="Times New Roman"/>
          <w:sz w:val="28"/>
          <w:szCs w:val="28"/>
        </w:rPr>
      </w:pPr>
    </w:p>
    <w:p w:rsidR="00E125AC" w:rsidRPr="00AF629F" w:rsidRDefault="00AF629F" w:rsidP="00696175">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lang w:val="es-ES_tradnl"/>
        </w:rPr>
        <w:t xml:space="preserve">Para la </w:t>
      </w:r>
      <w:r w:rsidRPr="00AF629F">
        <w:rPr>
          <w:rFonts w:ascii="Times New Roman" w:hAnsi="Times New Roman" w:cs="Times New Roman"/>
          <w:sz w:val="28"/>
          <w:szCs w:val="28"/>
          <w:lang w:val="es-ES_tradnl"/>
        </w:rPr>
        <w:t>ciudadan</w:t>
      </w:r>
      <w:r w:rsidRPr="00AF629F">
        <w:rPr>
          <w:rFonts w:ascii="Times New Roman" w:hAnsi="Times New Roman" w:cs="Times New Roman"/>
          <w:sz w:val="28"/>
          <w:szCs w:val="28"/>
          <w:lang w:val="es-ES_tradnl"/>
        </w:rPr>
        <w:t>a</w:t>
      </w:r>
      <w:r w:rsidRPr="00AF629F">
        <w:rPr>
          <w:rFonts w:ascii="Times New Roman" w:hAnsi="Times New Roman" w:cs="Times New Roman"/>
          <w:sz w:val="28"/>
          <w:szCs w:val="28"/>
          <w:lang w:val="es-ES_tradnl"/>
        </w:rPr>
        <w:t xml:space="preserve"> </w:t>
      </w:r>
      <w:r w:rsidRPr="00AF629F">
        <w:rPr>
          <w:rFonts w:ascii="Times New Roman" w:hAnsi="Times New Roman" w:cs="Times New Roman"/>
          <w:sz w:val="28"/>
          <w:szCs w:val="28"/>
          <w:lang w:val="es-ES_tradnl"/>
        </w:rPr>
        <w:t xml:space="preserve">demandante la disposición desconoce el principio </w:t>
      </w:r>
      <w:r w:rsidRPr="00AF629F">
        <w:rPr>
          <w:rFonts w:ascii="Times New Roman" w:hAnsi="Times New Roman" w:cs="Times New Roman"/>
          <w:sz w:val="28"/>
          <w:szCs w:val="28"/>
          <w:lang w:val="es-ES_tradnl"/>
        </w:rPr>
        <w:t xml:space="preserve">constitucional </w:t>
      </w:r>
      <w:r w:rsidRPr="00AF629F">
        <w:rPr>
          <w:rFonts w:ascii="Times New Roman" w:hAnsi="Times New Roman" w:cs="Times New Roman"/>
          <w:sz w:val="28"/>
          <w:szCs w:val="28"/>
          <w:lang w:val="es-ES_tradnl"/>
        </w:rPr>
        <w:t>de unidad de materia</w:t>
      </w:r>
      <w:r w:rsidRPr="00AF629F">
        <w:rPr>
          <w:rFonts w:ascii="Times New Roman" w:hAnsi="Times New Roman" w:cs="Times New Roman"/>
          <w:sz w:val="28"/>
          <w:szCs w:val="28"/>
          <w:lang w:val="es-ES_tradnl"/>
        </w:rPr>
        <w:t xml:space="preserve"> (artículos 158 y 169 de la Constitución)</w:t>
      </w:r>
      <w:r w:rsidRPr="00AF629F">
        <w:rPr>
          <w:rFonts w:ascii="Times New Roman" w:hAnsi="Times New Roman" w:cs="Times New Roman"/>
          <w:sz w:val="28"/>
          <w:szCs w:val="28"/>
          <w:lang w:val="es-ES_tradnl"/>
        </w:rPr>
        <w:t xml:space="preserve">, </w:t>
      </w:r>
      <w:r w:rsidRPr="00AF629F">
        <w:rPr>
          <w:rFonts w:ascii="Times New Roman" w:hAnsi="Times New Roman" w:cs="Times New Roman"/>
          <w:sz w:val="28"/>
          <w:szCs w:val="28"/>
          <w:lang w:val="es-ES_tradnl"/>
        </w:rPr>
        <w:t xml:space="preserve">al introducir una modificación permanente </w:t>
      </w:r>
      <w:r w:rsidRPr="00AF629F">
        <w:rPr>
          <w:rFonts w:ascii="Times New Roman" w:eastAsia="Calibri" w:hAnsi="Times New Roman" w:cs="Times New Roman"/>
          <w:sz w:val="28"/>
          <w:szCs w:val="28"/>
        </w:rPr>
        <w:t>a la Ley 549 de 1999</w:t>
      </w:r>
      <w:r w:rsidRPr="00AF629F">
        <w:rPr>
          <w:rFonts w:ascii="Times New Roman" w:eastAsia="Calibri" w:hAnsi="Times New Roman" w:cs="Times New Roman"/>
          <w:sz w:val="28"/>
          <w:szCs w:val="28"/>
        </w:rPr>
        <w:t xml:space="preserve">, sin que </w:t>
      </w:r>
      <w:r w:rsidRPr="00AF629F">
        <w:rPr>
          <w:rFonts w:ascii="Times New Roman" w:eastAsia="Calibri" w:hAnsi="Times New Roman" w:cs="Times New Roman"/>
          <w:sz w:val="28"/>
          <w:szCs w:val="28"/>
        </w:rPr>
        <w:t>dicha medida</w:t>
      </w:r>
      <w:r w:rsidRPr="00AF629F">
        <w:rPr>
          <w:rFonts w:ascii="Times New Roman" w:eastAsia="Calibri" w:hAnsi="Times New Roman" w:cs="Times New Roman"/>
          <w:sz w:val="28"/>
          <w:szCs w:val="28"/>
        </w:rPr>
        <w:t xml:space="preserve"> </w:t>
      </w:r>
      <w:r w:rsidRPr="00AF629F">
        <w:rPr>
          <w:rFonts w:ascii="Times New Roman" w:eastAsia="Calibri" w:hAnsi="Times New Roman" w:cs="Times New Roman"/>
          <w:sz w:val="28"/>
          <w:szCs w:val="28"/>
        </w:rPr>
        <w:t>guard</w:t>
      </w:r>
      <w:r w:rsidRPr="00AF629F">
        <w:rPr>
          <w:rFonts w:ascii="Times New Roman" w:eastAsia="Calibri" w:hAnsi="Times New Roman" w:cs="Times New Roman"/>
          <w:sz w:val="28"/>
          <w:szCs w:val="28"/>
        </w:rPr>
        <w:t>e</w:t>
      </w:r>
      <w:r w:rsidRPr="00AF629F">
        <w:rPr>
          <w:rFonts w:ascii="Times New Roman" w:eastAsia="Calibri" w:hAnsi="Times New Roman" w:cs="Times New Roman"/>
          <w:sz w:val="28"/>
          <w:szCs w:val="28"/>
        </w:rPr>
        <w:t xml:space="preserve"> </w:t>
      </w:r>
      <w:r w:rsidRPr="00AF629F">
        <w:rPr>
          <w:rFonts w:ascii="Times New Roman" w:eastAsia="Calibri" w:hAnsi="Times New Roman" w:cs="Times New Roman"/>
          <w:sz w:val="28"/>
          <w:szCs w:val="28"/>
        </w:rPr>
        <w:t xml:space="preserve">una </w:t>
      </w:r>
      <w:r w:rsidRPr="00AF629F">
        <w:rPr>
          <w:rFonts w:ascii="Times New Roman" w:eastAsia="Calibri" w:hAnsi="Times New Roman" w:cs="Times New Roman"/>
          <w:sz w:val="28"/>
          <w:szCs w:val="28"/>
        </w:rPr>
        <w:t xml:space="preserve">conexidad </w:t>
      </w:r>
      <w:r w:rsidRPr="00AF629F">
        <w:rPr>
          <w:rFonts w:ascii="Times New Roman" w:eastAsia="Calibri" w:hAnsi="Times New Roman" w:cs="Times New Roman"/>
          <w:sz w:val="28"/>
          <w:szCs w:val="28"/>
        </w:rPr>
        <w:t>“</w:t>
      </w:r>
      <w:r w:rsidRPr="00AF629F">
        <w:rPr>
          <w:rFonts w:ascii="Times New Roman" w:eastAsia="Calibri" w:hAnsi="Times New Roman" w:cs="Times New Roman"/>
          <w:sz w:val="28"/>
          <w:szCs w:val="28"/>
        </w:rPr>
        <w:t>directa</w:t>
      </w:r>
      <w:r w:rsidRPr="00AF629F">
        <w:rPr>
          <w:rFonts w:ascii="Times New Roman" w:eastAsia="Calibri" w:hAnsi="Times New Roman" w:cs="Times New Roman"/>
          <w:sz w:val="28"/>
          <w:szCs w:val="28"/>
        </w:rPr>
        <w:t>”</w:t>
      </w:r>
      <w:r w:rsidRPr="00AF629F">
        <w:rPr>
          <w:rFonts w:ascii="Times New Roman" w:eastAsia="Calibri" w:hAnsi="Times New Roman" w:cs="Times New Roman"/>
          <w:sz w:val="28"/>
          <w:szCs w:val="28"/>
        </w:rPr>
        <w:t xml:space="preserve"> con la parte general del </w:t>
      </w:r>
      <w:r w:rsidRPr="00AF629F">
        <w:rPr>
          <w:rFonts w:ascii="Times New Roman" w:eastAsia="Calibri" w:hAnsi="Times New Roman" w:cs="Times New Roman"/>
          <w:sz w:val="28"/>
          <w:szCs w:val="28"/>
        </w:rPr>
        <w:t>p</w:t>
      </w:r>
      <w:r w:rsidRPr="00AF629F">
        <w:rPr>
          <w:rFonts w:ascii="Times New Roman" w:eastAsia="Calibri" w:hAnsi="Times New Roman" w:cs="Times New Roman"/>
          <w:sz w:val="28"/>
          <w:szCs w:val="28"/>
        </w:rPr>
        <w:t xml:space="preserve">lan </w:t>
      </w:r>
      <w:r w:rsidRPr="00AF629F">
        <w:rPr>
          <w:rFonts w:ascii="Times New Roman" w:eastAsia="Calibri" w:hAnsi="Times New Roman" w:cs="Times New Roman"/>
          <w:sz w:val="28"/>
          <w:szCs w:val="28"/>
        </w:rPr>
        <w:t>n</w:t>
      </w:r>
      <w:r w:rsidRPr="00AF629F">
        <w:rPr>
          <w:rFonts w:ascii="Times New Roman" w:eastAsia="Calibri" w:hAnsi="Times New Roman" w:cs="Times New Roman"/>
          <w:sz w:val="28"/>
          <w:szCs w:val="28"/>
        </w:rPr>
        <w:t xml:space="preserve">acional de </w:t>
      </w:r>
      <w:r w:rsidRPr="00AF629F">
        <w:rPr>
          <w:rFonts w:ascii="Times New Roman" w:eastAsia="Calibri" w:hAnsi="Times New Roman" w:cs="Times New Roman"/>
          <w:sz w:val="28"/>
          <w:szCs w:val="28"/>
        </w:rPr>
        <w:t>d</w:t>
      </w:r>
      <w:r w:rsidRPr="00AF629F">
        <w:rPr>
          <w:rFonts w:ascii="Times New Roman" w:eastAsia="Calibri" w:hAnsi="Times New Roman" w:cs="Times New Roman"/>
          <w:sz w:val="28"/>
          <w:szCs w:val="28"/>
        </w:rPr>
        <w:t>esarrollo</w:t>
      </w:r>
      <w:r w:rsidRPr="00AF629F">
        <w:rPr>
          <w:rFonts w:ascii="Times New Roman" w:eastAsia="Calibri" w:hAnsi="Times New Roman" w:cs="Times New Roman"/>
          <w:sz w:val="28"/>
          <w:szCs w:val="28"/>
        </w:rPr>
        <w:t>, además de que</w:t>
      </w:r>
      <w:r w:rsidRPr="00AF629F">
        <w:rPr>
          <w:rFonts w:ascii="Times New Roman" w:eastAsia="Calibri" w:hAnsi="Times New Roman" w:cs="Times New Roman"/>
          <w:sz w:val="28"/>
          <w:szCs w:val="28"/>
        </w:rPr>
        <w:t xml:space="preserve">, en los </w:t>
      </w:r>
      <w:r w:rsidRPr="00AF629F">
        <w:rPr>
          <w:rFonts w:ascii="Times New Roman" w:eastAsia="Calibri" w:hAnsi="Times New Roman" w:cs="Times New Roman"/>
          <w:sz w:val="28"/>
          <w:szCs w:val="28"/>
        </w:rPr>
        <w:t>términos del artículo 339 de la Constitución,</w:t>
      </w:r>
      <w:r w:rsidRPr="00AF629F">
        <w:rPr>
          <w:rFonts w:ascii="Times New Roman" w:eastAsia="Calibri" w:hAnsi="Times New Roman" w:cs="Times New Roman"/>
          <w:sz w:val="28"/>
          <w:szCs w:val="28"/>
        </w:rPr>
        <w:t xml:space="preserve"> </w:t>
      </w:r>
      <w:r w:rsidRPr="00AF629F">
        <w:rPr>
          <w:rFonts w:ascii="Times New Roman" w:eastAsia="Calibri" w:hAnsi="Times New Roman" w:cs="Times New Roman"/>
          <w:sz w:val="28"/>
          <w:szCs w:val="28"/>
        </w:rPr>
        <w:t>la materia regula</w:t>
      </w:r>
      <w:r w:rsidRPr="00AF629F">
        <w:rPr>
          <w:rFonts w:ascii="Times New Roman" w:eastAsia="Calibri" w:hAnsi="Times New Roman" w:cs="Times New Roman"/>
          <w:sz w:val="28"/>
          <w:szCs w:val="28"/>
        </w:rPr>
        <w:t>da</w:t>
      </w:r>
      <w:r w:rsidRPr="00AF629F">
        <w:rPr>
          <w:rFonts w:ascii="Times New Roman" w:eastAsia="Calibri" w:hAnsi="Times New Roman" w:cs="Times New Roman"/>
          <w:sz w:val="28"/>
          <w:szCs w:val="28"/>
        </w:rPr>
        <w:t xml:space="preserve"> no correspond</w:t>
      </w:r>
      <w:r w:rsidRPr="00AF629F">
        <w:rPr>
          <w:rFonts w:ascii="Times New Roman" w:eastAsia="Calibri" w:hAnsi="Times New Roman" w:cs="Times New Roman"/>
          <w:sz w:val="28"/>
          <w:szCs w:val="28"/>
        </w:rPr>
        <w:t>a</w:t>
      </w:r>
      <w:r w:rsidRPr="00AF629F">
        <w:rPr>
          <w:rFonts w:ascii="Times New Roman" w:eastAsia="Calibri" w:hAnsi="Times New Roman" w:cs="Times New Roman"/>
          <w:sz w:val="28"/>
          <w:szCs w:val="28"/>
        </w:rPr>
        <w:t xml:space="preserve"> </w:t>
      </w:r>
      <w:r w:rsidRPr="00AF629F">
        <w:rPr>
          <w:rFonts w:ascii="Times New Roman" w:eastAsia="Calibri" w:hAnsi="Times New Roman" w:cs="Times New Roman"/>
          <w:sz w:val="28"/>
          <w:szCs w:val="28"/>
        </w:rPr>
        <w:t>a</w:t>
      </w:r>
      <w:r w:rsidRPr="00AF629F">
        <w:rPr>
          <w:rFonts w:ascii="Times New Roman" w:eastAsia="Calibri" w:hAnsi="Times New Roman" w:cs="Times New Roman"/>
          <w:sz w:val="28"/>
          <w:szCs w:val="28"/>
        </w:rPr>
        <w:t xml:space="preserve"> las propias de un plan nacional de desarrollo.</w:t>
      </w:r>
      <w:r w:rsidRPr="00AF629F">
        <w:rPr>
          <w:rFonts w:ascii="Times New Roman" w:eastAsia="Calibri" w:hAnsi="Times New Roman" w:cs="Times New Roman"/>
          <w:sz w:val="28"/>
          <w:szCs w:val="28"/>
        </w:rPr>
        <w:t xml:space="preserve"> </w:t>
      </w:r>
    </w:p>
    <w:p w:rsidR="005B770B" w:rsidRPr="00AF629F" w:rsidRDefault="00AF629F" w:rsidP="005B770B">
      <w:pPr>
        <w:pStyle w:val="Prrafodelista"/>
        <w:rPr>
          <w:rFonts w:ascii="Times New Roman" w:hAnsi="Times New Roman" w:cs="Times New Roman"/>
          <w:sz w:val="28"/>
          <w:szCs w:val="28"/>
        </w:rPr>
      </w:pPr>
    </w:p>
    <w:p w:rsidR="003675D5" w:rsidRPr="00AF629F" w:rsidRDefault="00AF629F" w:rsidP="003675D5">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Según indica, la disposición autoriza “al Ministerio de Hacienda para contratar en forma directa la administración de los recursos del Fonpet con sociedades fiduciarias de carácter público”, </w:t>
      </w:r>
      <w:r w:rsidRPr="00AF629F">
        <w:rPr>
          <w:rFonts w:ascii="Times New Roman" w:hAnsi="Times New Roman" w:cs="Times New Roman"/>
          <w:sz w:val="28"/>
          <w:szCs w:val="28"/>
        </w:rPr>
        <w:t>competencia que, de un lado, “</w:t>
      </w:r>
      <w:r w:rsidRPr="00AF629F">
        <w:rPr>
          <w:rFonts w:ascii="Times New Roman" w:eastAsia="Calibri" w:hAnsi="Times New Roman" w:cs="Times New Roman"/>
          <w:sz w:val="28"/>
          <w:szCs w:val="28"/>
        </w:rPr>
        <w:t>no tiene conexidad directa con la p</w:t>
      </w:r>
      <w:r w:rsidRPr="00AF629F">
        <w:rPr>
          <w:rFonts w:ascii="Times New Roman" w:eastAsia="Calibri" w:hAnsi="Times New Roman" w:cs="Times New Roman"/>
          <w:sz w:val="28"/>
          <w:szCs w:val="28"/>
        </w:rPr>
        <w:t>arte general del Plan de Desarrollo”, ni “puede predicarse una relación indirecta, mediata o eventual con la primera parte de misma ley” y, de otro lado, “no establece un propósito u objetivo general de largo plazo, una meta o prioridad de la acción estata</w:t>
      </w:r>
      <w:r w:rsidRPr="00AF629F">
        <w:rPr>
          <w:rFonts w:ascii="Times New Roman" w:eastAsia="Calibri" w:hAnsi="Times New Roman" w:cs="Times New Roman"/>
          <w:sz w:val="28"/>
          <w:szCs w:val="28"/>
        </w:rPr>
        <w:t>l de mediano plazo, ni una estrategia u orientación general de la política económica, social o ambiental, y tampoco forma parte del plan de inversiones públicas ni es un instrumento de consecución directa de alguno de estos cometidos, estrategias o priorid</w:t>
      </w:r>
      <w:r w:rsidRPr="00AF629F">
        <w:rPr>
          <w:rFonts w:ascii="Times New Roman" w:eastAsia="Calibri" w:hAnsi="Times New Roman" w:cs="Times New Roman"/>
          <w:sz w:val="28"/>
          <w:szCs w:val="28"/>
        </w:rPr>
        <w:t>ades, por lo cual no tiene relación con el contenido propio de un Plan Nacional de Desarrollo”.</w:t>
      </w:r>
      <w:r w:rsidRPr="00AF629F">
        <w:rPr>
          <w:rFonts w:ascii="Times New Roman" w:hAnsi="Times New Roman" w:cs="Times New Roman"/>
          <w:sz w:val="28"/>
          <w:szCs w:val="28"/>
        </w:rPr>
        <w:t xml:space="preserve"> </w:t>
      </w:r>
      <w:r w:rsidRPr="00AF629F">
        <w:rPr>
          <w:rFonts w:ascii="Times New Roman" w:eastAsia="Calibri" w:hAnsi="Times New Roman" w:cs="Times New Roman"/>
          <w:sz w:val="28"/>
          <w:szCs w:val="28"/>
        </w:rPr>
        <w:t>D</w:t>
      </w:r>
      <w:r w:rsidRPr="00AF629F">
        <w:rPr>
          <w:rFonts w:ascii="Times New Roman" w:eastAsia="Calibri" w:hAnsi="Times New Roman" w:cs="Times New Roman"/>
          <w:sz w:val="28"/>
          <w:szCs w:val="28"/>
        </w:rPr>
        <w:t xml:space="preserve">a tres razones para fundamentar </w:t>
      </w:r>
      <w:r w:rsidRPr="00AF629F">
        <w:rPr>
          <w:rFonts w:ascii="Times New Roman" w:eastAsia="Calibri" w:hAnsi="Times New Roman" w:cs="Times New Roman"/>
          <w:sz w:val="28"/>
          <w:szCs w:val="28"/>
        </w:rPr>
        <w:t xml:space="preserve">esta </w:t>
      </w:r>
      <w:r w:rsidRPr="00AF629F">
        <w:rPr>
          <w:rFonts w:ascii="Times New Roman" w:eastAsia="Calibri" w:hAnsi="Times New Roman" w:cs="Times New Roman"/>
          <w:sz w:val="28"/>
          <w:szCs w:val="28"/>
        </w:rPr>
        <w:t>tesis</w:t>
      </w:r>
      <w:r w:rsidRPr="00AF629F">
        <w:rPr>
          <w:rFonts w:ascii="Times New Roman" w:eastAsia="Calibri" w:hAnsi="Times New Roman" w:cs="Times New Roman"/>
          <w:sz w:val="28"/>
          <w:szCs w:val="28"/>
        </w:rPr>
        <w:t>:</w:t>
      </w:r>
      <w:r w:rsidRPr="00AF629F">
        <w:rPr>
          <w:rFonts w:ascii="Times New Roman" w:eastAsia="Calibri" w:hAnsi="Times New Roman" w:cs="Times New Roman"/>
          <w:sz w:val="28"/>
          <w:szCs w:val="28"/>
        </w:rPr>
        <w:t xml:space="preserve"> </w:t>
      </w:r>
    </w:p>
    <w:p w:rsidR="003675D5" w:rsidRPr="00AF629F" w:rsidRDefault="00AF629F" w:rsidP="003675D5">
      <w:pPr>
        <w:pStyle w:val="Prrafodelista"/>
        <w:rPr>
          <w:rFonts w:ascii="Times New Roman" w:eastAsia="Calibri" w:hAnsi="Times New Roman" w:cs="Times New Roman"/>
          <w:sz w:val="28"/>
          <w:szCs w:val="28"/>
        </w:rPr>
      </w:pPr>
    </w:p>
    <w:p w:rsidR="00DD303B" w:rsidRPr="00AF629F" w:rsidRDefault="00AF629F" w:rsidP="003675D5">
      <w:pPr>
        <w:pStyle w:val="Prrafodelista"/>
        <w:numPr>
          <w:ilvl w:val="0"/>
          <w:numId w:val="2"/>
        </w:numPr>
        <w:ind w:left="0" w:firstLine="0"/>
        <w:jc w:val="both"/>
        <w:rPr>
          <w:rFonts w:ascii="Times New Roman" w:hAnsi="Times New Roman" w:cs="Times New Roman"/>
          <w:sz w:val="28"/>
          <w:szCs w:val="28"/>
        </w:rPr>
      </w:pPr>
      <w:r w:rsidRPr="00AF629F">
        <w:rPr>
          <w:rFonts w:ascii="Times New Roman" w:eastAsia="Calibri" w:hAnsi="Times New Roman" w:cs="Times New Roman"/>
          <w:sz w:val="28"/>
          <w:szCs w:val="28"/>
        </w:rPr>
        <w:t>En primer lugar</w:t>
      </w:r>
      <w:r w:rsidRPr="00AF629F">
        <w:rPr>
          <w:rFonts w:ascii="Times New Roman" w:eastAsia="Calibri" w:hAnsi="Times New Roman" w:cs="Times New Roman"/>
          <w:sz w:val="28"/>
          <w:szCs w:val="28"/>
        </w:rPr>
        <w:t>,</w:t>
      </w:r>
      <w:r w:rsidRPr="00AF629F">
        <w:rPr>
          <w:rFonts w:ascii="Times New Roman" w:eastAsia="Calibri" w:hAnsi="Times New Roman" w:cs="Times New Roman"/>
          <w:sz w:val="28"/>
          <w:szCs w:val="28"/>
        </w:rPr>
        <w:t xml:space="preserve"> indica que “[l]</w:t>
      </w:r>
      <w:r w:rsidRPr="00AF629F">
        <w:rPr>
          <w:rFonts w:ascii="Times New Roman" w:eastAsia="Calibri" w:hAnsi="Times New Roman" w:cs="Times New Roman"/>
          <w:sz w:val="28"/>
          <w:szCs w:val="28"/>
        </w:rPr>
        <w:t>a</w:t>
      </w:r>
      <w:r w:rsidRPr="00AF629F">
        <w:rPr>
          <w:rFonts w:ascii="Times New Roman" w:eastAsia="Calibri" w:hAnsi="Times New Roman" w:cs="Times New Roman"/>
          <w:sz w:val="28"/>
          <w:szCs w:val="28"/>
        </w:rPr>
        <w:t xml:space="preserve"> autorización que se otorga al Ministerio de Hacienda para disponer de la admini</w:t>
      </w:r>
      <w:r w:rsidRPr="00AF629F">
        <w:rPr>
          <w:rFonts w:ascii="Times New Roman" w:eastAsia="Calibri" w:hAnsi="Times New Roman" w:cs="Times New Roman"/>
          <w:sz w:val="28"/>
          <w:szCs w:val="28"/>
        </w:rPr>
        <w:t>stración de recursos del FONPET bajo la modalidad de contratación directa, a través de contratos interadministrativos”, “no tiene un vínculo sistemático con el objetico [sic] principal de la ley y tampoco con el eje transversal de la estabilidad macroeconó</w:t>
      </w:r>
      <w:r w:rsidRPr="00AF629F">
        <w:rPr>
          <w:rFonts w:ascii="Times New Roman" w:eastAsia="Calibri" w:hAnsi="Times New Roman" w:cs="Times New Roman"/>
          <w:sz w:val="28"/>
          <w:szCs w:val="28"/>
        </w:rPr>
        <w:t>mica”</w:t>
      </w:r>
      <w:r w:rsidRPr="00AF629F">
        <w:rPr>
          <w:rStyle w:val="Refdenotaalpie"/>
          <w:rFonts w:ascii="Times New Roman" w:eastAsia="Calibri" w:hAnsi="Times New Roman" w:cs="Times New Roman"/>
          <w:sz w:val="28"/>
          <w:szCs w:val="28"/>
        </w:rPr>
        <w:footnoteReference w:id="3"/>
      </w:r>
      <w:r w:rsidRPr="00AF629F">
        <w:rPr>
          <w:rFonts w:ascii="Times New Roman" w:eastAsia="Calibri" w:hAnsi="Times New Roman" w:cs="Times New Roman"/>
          <w:sz w:val="28"/>
          <w:szCs w:val="28"/>
        </w:rPr>
        <w:t>, y, en todo caso, “la efectividad del objetivo de la parte general, tal como aparece definido en la ley,</w:t>
      </w:r>
      <w:r w:rsidRPr="00AF629F">
        <w:rPr>
          <w:rFonts w:ascii="Times New Roman" w:eastAsia="Calibri" w:hAnsi="Times New Roman" w:cs="Times New Roman"/>
          <w:i/>
          <w:iCs/>
          <w:sz w:val="28"/>
          <w:szCs w:val="28"/>
        </w:rPr>
        <w:t xml:space="preserve"> </w:t>
      </w:r>
      <w:r w:rsidRPr="00AF629F">
        <w:rPr>
          <w:rFonts w:ascii="Times New Roman" w:eastAsia="Calibri" w:hAnsi="Times New Roman" w:cs="Times New Roman"/>
          <w:sz w:val="28"/>
          <w:szCs w:val="28"/>
        </w:rPr>
        <w:t>no se deriva en forma alguna de la ejecución del régimen de contratación directa para la administración de los recursos del FONPET de manera que, como ya se enuncio [sic] al inicio de la demanda, la norma censurada no solo no tiene una conexidad directa co</w:t>
      </w:r>
      <w:r w:rsidRPr="00AF629F">
        <w:rPr>
          <w:rFonts w:ascii="Times New Roman" w:eastAsia="Calibri" w:hAnsi="Times New Roman" w:cs="Times New Roman"/>
          <w:sz w:val="28"/>
          <w:szCs w:val="28"/>
        </w:rPr>
        <w:t xml:space="preserve">n la parte general, sino que ni siguiera [sic] ostenta una  relación  indirecta,  mediata  o eventual con la primera parte de ley”. </w:t>
      </w:r>
    </w:p>
    <w:p w:rsidR="00DD303B" w:rsidRPr="00AF629F" w:rsidRDefault="00AF629F" w:rsidP="00DD303B">
      <w:pPr>
        <w:pStyle w:val="Prrafodelista"/>
        <w:rPr>
          <w:rFonts w:ascii="Times New Roman" w:eastAsia="Calibri" w:hAnsi="Times New Roman" w:cs="Times New Roman"/>
          <w:sz w:val="28"/>
          <w:szCs w:val="28"/>
        </w:rPr>
      </w:pPr>
    </w:p>
    <w:p w:rsidR="00DD303B" w:rsidRPr="00AF629F" w:rsidRDefault="00AF629F" w:rsidP="00DD303B">
      <w:pPr>
        <w:pStyle w:val="Prrafodelista"/>
        <w:numPr>
          <w:ilvl w:val="0"/>
          <w:numId w:val="2"/>
        </w:numPr>
        <w:ind w:left="0" w:firstLine="0"/>
        <w:jc w:val="both"/>
        <w:rPr>
          <w:rFonts w:ascii="Times New Roman" w:hAnsi="Times New Roman" w:cs="Times New Roman"/>
          <w:sz w:val="28"/>
          <w:szCs w:val="28"/>
        </w:rPr>
      </w:pPr>
      <w:r w:rsidRPr="00AF629F">
        <w:rPr>
          <w:rFonts w:ascii="Times New Roman" w:eastAsia="Calibri" w:hAnsi="Times New Roman" w:cs="Times New Roman"/>
          <w:sz w:val="28"/>
          <w:szCs w:val="28"/>
        </w:rPr>
        <w:t>En segundo lugar, precisa que no “existe conexión directa con el objetivo transversal de definir apuestas en materia econó</w:t>
      </w:r>
      <w:r w:rsidRPr="00AF629F">
        <w:rPr>
          <w:rFonts w:ascii="Times New Roman" w:eastAsia="Calibri" w:hAnsi="Times New Roman" w:cs="Times New Roman"/>
          <w:sz w:val="28"/>
          <w:szCs w:val="28"/>
        </w:rPr>
        <w:t xml:space="preserve">mica para garantizar la disponibilidad de los recursos públicos que permitirán financiar las transformaciones”, debido a que “[la] autorización que se otorga al Ministerio de Hacienda </w:t>
      </w:r>
      <w:r w:rsidRPr="00AF629F">
        <w:rPr>
          <w:rFonts w:ascii="Times New Roman" w:hAnsi="Times New Roman" w:cs="Times New Roman"/>
          <w:sz w:val="28"/>
          <w:szCs w:val="28"/>
        </w:rPr>
        <w:t>para disponer de la administración de recursos del FONPET bajo la modali</w:t>
      </w:r>
      <w:r w:rsidRPr="00AF629F">
        <w:rPr>
          <w:rFonts w:ascii="Times New Roman" w:hAnsi="Times New Roman" w:cs="Times New Roman"/>
          <w:sz w:val="28"/>
          <w:szCs w:val="28"/>
        </w:rPr>
        <w:t>dad de contratación directa, a través de contratos interadministrativos, por un periodo no menor a 5 años, con sociedades fiduciarias de carácter público, no garantiza la disponibilidad de los recursos públicos que permitirán financiar las transformaciones</w:t>
      </w:r>
      <w:r w:rsidRPr="00AF629F">
        <w:rPr>
          <w:rFonts w:ascii="Times New Roman" w:hAnsi="Times New Roman" w:cs="Times New Roman"/>
          <w:sz w:val="28"/>
          <w:szCs w:val="28"/>
        </w:rPr>
        <w:t xml:space="preserve">, por </w:t>
      </w:r>
      <w:r w:rsidRPr="00AF629F">
        <w:rPr>
          <w:rFonts w:ascii="Times New Roman" w:eastAsia="Calibri" w:hAnsi="Times New Roman" w:cs="Times New Roman"/>
          <w:sz w:val="28"/>
          <w:szCs w:val="28"/>
        </w:rPr>
        <w:t>la elemental razón que se trata de la administración de recursos que son propiedad de las entidades territoriales, y que tienen un fin específico determinado por la Ley 549 de 1999”.</w:t>
      </w:r>
    </w:p>
    <w:p w:rsidR="00DD303B" w:rsidRPr="00AF629F" w:rsidRDefault="00AF629F" w:rsidP="00DD303B">
      <w:pPr>
        <w:pStyle w:val="Prrafodelista"/>
        <w:rPr>
          <w:rFonts w:ascii="Times New Roman" w:eastAsia="Calibri" w:hAnsi="Times New Roman" w:cs="Times New Roman"/>
          <w:sz w:val="28"/>
          <w:szCs w:val="28"/>
        </w:rPr>
      </w:pPr>
    </w:p>
    <w:p w:rsidR="00DD303B" w:rsidRPr="00AF629F" w:rsidRDefault="00AF629F" w:rsidP="00DD303B">
      <w:pPr>
        <w:pStyle w:val="Prrafodelista"/>
        <w:numPr>
          <w:ilvl w:val="0"/>
          <w:numId w:val="2"/>
        </w:numPr>
        <w:ind w:left="0" w:firstLine="0"/>
        <w:jc w:val="both"/>
        <w:rPr>
          <w:rFonts w:ascii="Times New Roman" w:hAnsi="Times New Roman" w:cs="Times New Roman"/>
          <w:sz w:val="28"/>
          <w:szCs w:val="28"/>
        </w:rPr>
      </w:pPr>
      <w:r w:rsidRPr="00AF629F">
        <w:rPr>
          <w:rFonts w:ascii="Times New Roman" w:eastAsia="Calibri" w:hAnsi="Times New Roman" w:cs="Times New Roman"/>
          <w:sz w:val="28"/>
          <w:szCs w:val="28"/>
        </w:rPr>
        <w:t>En tercer lugar, manifiesta que “[l]a derogatoria de esta regulaci</w:t>
      </w:r>
      <w:r w:rsidRPr="00AF629F">
        <w:rPr>
          <w:rFonts w:ascii="Times New Roman" w:eastAsia="Calibri" w:hAnsi="Times New Roman" w:cs="Times New Roman"/>
          <w:sz w:val="28"/>
          <w:szCs w:val="28"/>
        </w:rPr>
        <w:t>ón de la ley 549 de 1999 por el Plan de Desarrol[l]o (si se trata de una norma instrumental de carácter permanente) o la suspensión (si se trata de una norma con vigencia restringida) no convierte los recursos territoriales en recursos de la Nación y menos</w:t>
      </w:r>
      <w:r w:rsidRPr="00AF629F">
        <w:rPr>
          <w:rFonts w:ascii="Times New Roman" w:eastAsia="Calibri" w:hAnsi="Times New Roman" w:cs="Times New Roman"/>
          <w:sz w:val="28"/>
          <w:szCs w:val="28"/>
        </w:rPr>
        <w:t xml:space="preserve"> aún cambia su destinación específica, para dedicarlos a financiar las transformaciones que se propone el Plan dentro del cuatrienio presidencial”, </w:t>
      </w:r>
      <w:r w:rsidRPr="00AF629F">
        <w:rPr>
          <w:rFonts w:ascii="Times New Roman" w:hAnsi="Times New Roman" w:cs="Times New Roman"/>
          <w:sz w:val="28"/>
          <w:szCs w:val="28"/>
        </w:rPr>
        <w:t>de allí que, “el mecanismo instrumental creado en el precepto demandado adolece de conexión directa, indirec</w:t>
      </w:r>
      <w:r w:rsidRPr="00AF629F">
        <w:rPr>
          <w:rFonts w:ascii="Times New Roman" w:hAnsi="Times New Roman" w:cs="Times New Roman"/>
          <w:sz w:val="28"/>
          <w:szCs w:val="28"/>
        </w:rPr>
        <w:t xml:space="preserve">ta, o eventual con el eje transversal denominado estabilidad macroeconómica”. </w:t>
      </w:r>
      <w:r w:rsidRPr="00AF629F">
        <w:rPr>
          <w:rFonts w:ascii="Times New Roman" w:eastAsia="Calibri" w:hAnsi="Times New Roman" w:cs="Times New Roman"/>
          <w:sz w:val="28"/>
          <w:szCs w:val="28"/>
        </w:rPr>
        <w:t>Así, concluye “que no existe una conexidad directa ni inmediata e[n]tre el tema reglado en el artículo 322 de la Ley del Plan Nacional de Desarrollo […] y los objetivos, metas, p</w:t>
      </w:r>
      <w:r w:rsidRPr="00AF629F">
        <w:rPr>
          <w:rFonts w:ascii="Times New Roman" w:eastAsia="Calibri" w:hAnsi="Times New Roman" w:cs="Times New Roman"/>
          <w:sz w:val="28"/>
          <w:szCs w:val="28"/>
        </w:rPr>
        <w:t>lanes o estrategias vistos en conjunto e incorporados en la Ley 2294 de 2023”.</w:t>
      </w:r>
      <w:r w:rsidRPr="00AF629F">
        <w:rPr>
          <w:rFonts w:ascii="Times New Roman" w:hAnsi="Times New Roman" w:cs="Times New Roman"/>
          <w:sz w:val="28"/>
          <w:szCs w:val="28"/>
        </w:rPr>
        <w:t xml:space="preserve"> En relación con este aspecto, también señala que, </w:t>
      </w:r>
      <w:r w:rsidRPr="00AF629F">
        <w:rPr>
          <w:rFonts w:ascii="Times New Roman" w:eastAsia="Calibri" w:hAnsi="Times New Roman" w:cs="Times New Roman"/>
          <w:sz w:val="28"/>
          <w:szCs w:val="28"/>
        </w:rPr>
        <w:t>“</w:t>
      </w:r>
      <w:r w:rsidRPr="00AF629F">
        <w:rPr>
          <w:rFonts w:ascii="Times New Roman" w:hAnsi="Times New Roman" w:cs="Times New Roman"/>
          <w:sz w:val="28"/>
          <w:szCs w:val="28"/>
        </w:rPr>
        <w:t>hay una desconexión total entre las bases del Plan Nacional de Desarrollo y el precepto enjuiciado</w:t>
      </w:r>
      <w:r w:rsidRPr="00AF629F">
        <w:rPr>
          <w:rFonts w:ascii="Times New Roman" w:eastAsia="Calibri" w:hAnsi="Times New Roman" w:cs="Times New Roman"/>
          <w:sz w:val="28"/>
          <w:szCs w:val="28"/>
        </w:rPr>
        <w:t>”</w:t>
      </w:r>
      <w:r w:rsidRPr="00AF629F">
        <w:rPr>
          <w:rStyle w:val="Refdenotaalpie"/>
          <w:rFonts w:ascii="Times New Roman" w:eastAsia="Calibri" w:hAnsi="Times New Roman" w:cs="Times New Roman"/>
          <w:sz w:val="28"/>
          <w:szCs w:val="28"/>
        </w:rPr>
        <w:footnoteReference w:id="4"/>
      </w:r>
      <w:r w:rsidRPr="00AF629F">
        <w:rPr>
          <w:rFonts w:ascii="Times New Roman" w:eastAsia="Calibri" w:hAnsi="Times New Roman" w:cs="Times New Roman"/>
          <w:sz w:val="28"/>
          <w:szCs w:val="28"/>
        </w:rPr>
        <w:t>, porque “</w:t>
      </w:r>
      <w:r w:rsidRPr="00AF629F">
        <w:rPr>
          <w:rFonts w:ascii="Times New Roman" w:hAnsi="Times New Roman" w:cs="Times New Roman"/>
          <w:sz w:val="28"/>
          <w:szCs w:val="28"/>
        </w:rPr>
        <w:t xml:space="preserve">no es razonable </w:t>
      </w:r>
      <w:r w:rsidRPr="00AF629F">
        <w:rPr>
          <w:rFonts w:ascii="Times New Roman" w:hAnsi="Times New Roman" w:cs="Times New Roman"/>
          <w:sz w:val="28"/>
          <w:szCs w:val="28"/>
        </w:rPr>
        <w:t xml:space="preserve">que se prescinda del procedimiento de la licitación pública que garantiza los principios de publicidad, igualdad, concurrencia, transparencia y responsabilidad en la selección, para permitir la contratación directa, pues ello no contribuye al cumplimiento </w:t>
      </w:r>
      <w:r w:rsidRPr="00AF629F">
        <w:rPr>
          <w:rFonts w:ascii="Times New Roman" w:hAnsi="Times New Roman" w:cs="Times New Roman"/>
          <w:sz w:val="28"/>
          <w:szCs w:val="28"/>
        </w:rPr>
        <w:t>de los propósitos de lucha contra la corrupción enunciados en las Bases del Plan</w:t>
      </w:r>
      <w:r w:rsidRPr="00AF629F">
        <w:rPr>
          <w:rFonts w:ascii="Times New Roman" w:eastAsia="Calibri" w:hAnsi="Times New Roman" w:cs="Times New Roman"/>
          <w:sz w:val="28"/>
          <w:szCs w:val="28"/>
        </w:rPr>
        <w:t xml:space="preserve">”, máxime que, </w:t>
      </w:r>
      <w:r w:rsidRPr="00AF629F">
        <w:rPr>
          <w:rFonts w:ascii="Times New Roman" w:hAnsi="Times New Roman" w:cs="Times New Roman"/>
          <w:sz w:val="28"/>
          <w:szCs w:val="28"/>
        </w:rPr>
        <w:t>“[e]</w:t>
      </w:r>
      <w:r w:rsidRPr="00AF629F">
        <w:rPr>
          <w:rFonts w:ascii="Times New Roman" w:eastAsia="Calibri" w:hAnsi="Times New Roman" w:cs="Times New Roman"/>
          <w:sz w:val="28"/>
          <w:szCs w:val="28"/>
        </w:rPr>
        <w:t xml:space="preserve">s un axioma que la contratación directa genera el mayor riesgo de corrupción </w:t>
      </w:r>
      <w:r w:rsidRPr="00AF629F">
        <w:rPr>
          <w:rFonts w:ascii="Times New Roman" w:eastAsia="Calibri" w:hAnsi="Times New Roman" w:cs="Times New Roman"/>
          <w:sz w:val="28"/>
          <w:szCs w:val="28"/>
        </w:rPr>
        <w:t>administrativa</w:t>
      </w:r>
      <w:r w:rsidRPr="00AF629F">
        <w:rPr>
          <w:rFonts w:ascii="Times New Roman" w:eastAsia="Calibri" w:hAnsi="Times New Roman" w:cs="Times New Roman"/>
          <w:sz w:val="28"/>
          <w:szCs w:val="28"/>
        </w:rPr>
        <w:t>, [sic] más aún cuando se involucran recursos públicos de cuantías</w:t>
      </w:r>
      <w:r w:rsidRPr="00AF629F">
        <w:rPr>
          <w:rFonts w:ascii="Times New Roman" w:eastAsia="Calibri" w:hAnsi="Times New Roman" w:cs="Times New Roman"/>
          <w:sz w:val="28"/>
          <w:szCs w:val="28"/>
        </w:rPr>
        <w:t xml:space="preserve"> tan importantes, que como en este caso, superan los 50 billones de pesos”.</w:t>
      </w:r>
    </w:p>
    <w:p w:rsidR="00951EBF" w:rsidRPr="00AF629F" w:rsidRDefault="00AF629F" w:rsidP="00951EBF">
      <w:pPr>
        <w:jc w:val="both"/>
        <w:rPr>
          <w:rFonts w:ascii="Times New Roman" w:hAnsi="Times New Roman" w:cs="Times New Roman"/>
          <w:sz w:val="28"/>
          <w:szCs w:val="28"/>
        </w:rPr>
      </w:pPr>
    </w:p>
    <w:p w:rsidR="00790360" w:rsidRPr="00AF629F" w:rsidRDefault="00AF629F" w:rsidP="00951EBF">
      <w:pPr>
        <w:jc w:val="both"/>
        <w:rPr>
          <w:rFonts w:ascii="Times New Roman" w:hAnsi="Times New Roman" w:cs="Times New Roman"/>
          <w:sz w:val="28"/>
          <w:szCs w:val="28"/>
        </w:rPr>
      </w:pPr>
    </w:p>
    <w:p w:rsidR="00951EBF" w:rsidRPr="00AF629F" w:rsidRDefault="00AF629F" w:rsidP="00951EBF">
      <w:pPr>
        <w:pStyle w:val="Estilo1"/>
        <w:numPr>
          <w:ilvl w:val="0"/>
          <w:numId w:val="1"/>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INTERVENCIONES CIUDADANAS</w:t>
      </w:r>
      <w:r w:rsidRPr="00AF629F">
        <w:rPr>
          <w:rStyle w:val="Ttulo1Car"/>
          <w:rFonts w:ascii="Times New Roman" w:hAnsi="Times New Roman" w:cs="Times New Roman"/>
          <w:bCs/>
          <w:color w:val="auto"/>
          <w:sz w:val="28"/>
          <w:szCs w:val="28"/>
        </w:rPr>
        <w:t xml:space="preserve"> Y CONCEPTOS</w:t>
      </w:r>
    </w:p>
    <w:p w:rsidR="00951EBF" w:rsidRPr="00AF629F" w:rsidRDefault="00AF629F" w:rsidP="00951EBF">
      <w:pPr>
        <w:jc w:val="both"/>
        <w:rPr>
          <w:rFonts w:ascii="Times New Roman" w:hAnsi="Times New Roman" w:cs="Times New Roman"/>
          <w:b/>
          <w:sz w:val="28"/>
          <w:szCs w:val="28"/>
        </w:rPr>
      </w:pPr>
    </w:p>
    <w:p w:rsidR="00951EBF" w:rsidRPr="00AF629F" w:rsidRDefault="00AF629F" w:rsidP="00951EB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En el presente proceso no se recibieron intervenciones ciudadanas </w:t>
      </w:r>
      <w:r w:rsidRPr="00AF629F">
        <w:rPr>
          <w:rFonts w:ascii="Times New Roman" w:hAnsi="Times New Roman" w:cs="Times New Roman"/>
          <w:sz w:val="28"/>
          <w:szCs w:val="28"/>
          <w:lang w:val="es-ES_tradnl"/>
        </w:rPr>
        <w:t>(artículos 242.1 y 7 del Decreto 2067 de 1991)</w:t>
      </w:r>
      <w:r w:rsidRPr="00AF629F">
        <w:rPr>
          <w:rFonts w:ascii="Times New Roman" w:hAnsi="Times New Roman" w:cs="Times New Roman"/>
          <w:sz w:val="28"/>
          <w:szCs w:val="28"/>
          <w:vertAlign w:val="superscript"/>
          <w:lang w:val="es-ES"/>
        </w:rPr>
        <w:footnoteReference w:id="5"/>
      </w:r>
      <w:r w:rsidRPr="00AF629F">
        <w:rPr>
          <w:rFonts w:ascii="Times New Roman" w:hAnsi="Times New Roman" w:cs="Times New Roman"/>
          <w:sz w:val="28"/>
          <w:szCs w:val="28"/>
          <w:lang w:val="es-ES_tradnl"/>
        </w:rPr>
        <w:t>. Por tal razón en</w:t>
      </w:r>
      <w:r w:rsidRPr="00AF629F">
        <w:rPr>
          <w:rFonts w:ascii="Times New Roman" w:hAnsi="Times New Roman" w:cs="Times New Roman"/>
          <w:sz w:val="28"/>
          <w:szCs w:val="28"/>
        </w:rPr>
        <w:t xml:space="preserve"> la siguiente tabla </w:t>
      </w:r>
      <w:r w:rsidRPr="00AF629F">
        <w:rPr>
          <w:rFonts w:ascii="Times New Roman" w:hAnsi="Times New Roman" w:cs="Times New Roman"/>
          <w:sz w:val="28"/>
          <w:szCs w:val="28"/>
        </w:rPr>
        <w:t>sólo se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sintetizará</w:t>
      </w:r>
      <w:r w:rsidRPr="00AF629F">
        <w:rPr>
          <w:rFonts w:ascii="Times New Roman" w:hAnsi="Times New Roman" w:cs="Times New Roman"/>
          <w:sz w:val="28"/>
          <w:szCs w:val="28"/>
        </w:rPr>
        <w:t xml:space="preserve"> el sentido de </w:t>
      </w:r>
      <w:r w:rsidRPr="00AF629F">
        <w:rPr>
          <w:rFonts w:ascii="Times New Roman" w:hAnsi="Times New Roman" w:cs="Times New Roman"/>
          <w:sz w:val="28"/>
          <w:szCs w:val="28"/>
        </w:rPr>
        <w:t>l</w:t>
      </w:r>
      <w:r w:rsidRPr="00AF629F">
        <w:rPr>
          <w:rFonts w:ascii="Times New Roman" w:hAnsi="Times New Roman" w:cs="Times New Roman"/>
          <w:sz w:val="28"/>
          <w:szCs w:val="28"/>
        </w:rPr>
        <w:t>o</w:t>
      </w:r>
      <w:r w:rsidRPr="00AF629F">
        <w:rPr>
          <w:rFonts w:ascii="Times New Roman" w:hAnsi="Times New Roman" w:cs="Times New Roman"/>
          <w:sz w:val="28"/>
          <w:szCs w:val="28"/>
        </w:rPr>
        <w:t>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conceptos</w:t>
      </w:r>
      <w:r w:rsidRPr="00AF629F">
        <w:rPr>
          <w:rFonts w:ascii="Times New Roman" w:hAnsi="Times New Roman" w:cs="Times New Roman"/>
          <w:sz w:val="28"/>
          <w:szCs w:val="28"/>
        </w:rPr>
        <w:t xml:space="preserve"> recibidos</w:t>
      </w:r>
      <w:r w:rsidRPr="00AF629F">
        <w:rPr>
          <w:rFonts w:ascii="Times New Roman" w:hAnsi="Times New Roman" w:cs="Times New Roman"/>
          <w:sz w:val="28"/>
          <w:szCs w:val="28"/>
        </w:rPr>
        <w:t>:</w:t>
      </w:r>
    </w:p>
    <w:p w:rsidR="00184ABA" w:rsidRPr="00AF629F" w:rsidRDefault="00AF629F" w:rsidP="00951EBF">
      <w:pPr>
        <w:jc w:val="both"/>
        <w:rPr>
          <w:rFonts w:ascii="Times New Roman" w:hAnsi="Times New Roman" w:cs="Times New Roman"/>
          <w:sz w:val="28"/>
          <w:szCs w:val="28"/>
        </w:rPr>
      </w:pPr>
    </w:p>
    <w:tbl>
      <w:tblPr>
        <w:tblStyle w:val="Tablaconcuadrcula"/>
        <w:tblW w:w="5000" w:type="pct"/>
        <w:jc w:val="center"/>
        <w:tblLook w:val="04A0" w:firstRow="1" w:lastRow="0" w:firstColumn="1" w:lastColumn="0" w:noHBand="0" w:noVBand="1"/>
      </w:tblPr>
      <w:tblGrid>
        <w:gridCol w:w="2989"/>
        <w:gridCol w:w="1969"/>
        <w:gridCol w:w="3870"/>
      </w:tblGrid>
      <w:tr w:rsidR="000A5790" w:rsidRPr="00AF629F" w:rsidTr="004937F1">
        <w:trPr>
          <w:tblHeader/>
          <w:jc w:val="center"/>
        </w:trPr>
        <w:tc>
          <w:tcPr>
            <w:tcW w:w="1693" w:type="pct"/>
            <w:shd w:val="clear" w:color="auto" w:fill="D0CECE" w:themeFill="background2" w:themeFillShade="E6"/>
          </w:tcPr>
          <w:p w:rsidR="00492169" w:rsidRPr="00AF629F" w:rsidRDefault="00AF629F" w:rsidP="00016264">
            <w:pPr>
              <w:pStyle w:val="Prrafodelista"/>
              <w:ind w:left="0"/>
              <w:jc w:val="center"/>
              <w:rPr>
                <w:b/>
                <w:bCs/>
                <w:color w:val="auto"/>
                <w:sz w:val="28"/>
                <w:szCs w:val="22"/>
                <w:lang w:val="es-ES_tradnl"/>
              </w:rPr>
            </w:pPr>
            <w:r w:rsidRPr="00AF629F">
              <w:rPr>
                <w:b/>
                <w:bCs/>
                <w:color w:val="auto"/>
                <w:sz w:val="28"/>
                <w:szCs w:val="22"/>
                <w:lang w:val="es-ES_tradnl"/>
              </w:rPr>
              <w:t>Tipo de participación</w:t>
            </w:r>
          </w:p>
        </w:tc>
        <w:tc>
          <w:tcPr>
            <w:tcW w:w="1115" w:type="pct"/>
            <w:shd w:val="clear" w:color="auto" w:fill="D0CECE" w:themeFill="background2" w:themeFillShade="E6"/>
          </w:tcPr>
          <w:p w:rsidR="00492169" w:rsidRPr="00AF629F" w:rsidRDefault="00AF629F" w:rsidP="00016264">
            <w:pPr>
              <w:pStyle w:val="Prrafodelista"/>
              <w:ind w:left="0"/>
              <w:jc w:val="center"/>
              <w:rPr>
                <w:b/>
                <w:bCs/>
                <w:color w:val="auto"/>
                <w:sz w:val="28"/>
                <w:szCs w:val="22"/>
                <w:lang w:val="es-ES_tradnl"/>
              </w:rPr>
            </w:pPr>
            <w:r w:rsidRPr="00AF629F">
              <w:rPr>
                <w:b/>
                <w:bCs/>
                <w:color w:val="auto"/>
                <w:sz w:val="28"/>
                <w:szCs w:val="22"/>
                <w:lang w:val="es-ES_tradnl"/>
              </w:rPr>
              <w:t>Exequibilidad</w:t>
            </w:r>
          </w:p>
        </w:tc>
        <w:tc>
          <w:tcPr>
            <w:tcW w:w="2192" w:type="pct"/>
            <w:shd w:val="clear" w:color="auto" w:fill="D0CECE" w:themeFill="background2" w:themeFillShade="E6"/>
          </w:tcPr>
          <w:p w:rsidR="00492169" w:rsidRPr="00AF629F" w:rsidRDefault="00AF629F" w:rsidP="00016264">
            <w:pPr>
              <w:pStyle w:val="Prrafodelista"/>
              <w:ind w:left="0"/>
              <w:jc w:val="center"/>
              <w:rPr>
                <w:b/>
                <w:bCs/>
                <w:color w:val="auto"/>
                <w:sz w:val="28"/>
                <w:szCs w:val="22"/>
                <w:lang w:val="es-ES_tradnl"/>
              </w:rPr>
            </w:pPr>
            <w:r w:rsidRPr="00AF629F">
              <w:rPr>
                <w:b/>
                <w:bCs/>
                <w:color w:val="auto"/>
                <w:sz w:val="28"/>
                <w:szCs w:val="22"/>
                <w:lang w:val="es-ES_tradnl"/>
              </w:rPr>
              <w:t>Inexequibilidad</w:t>
            </w:r>
          </w:p>
        </w:tc>
      </w:tr>
      <w:tr w:rsidR="000A5790" w:rsidRPr="00AF629F" w:rsidTr="004937F1">
        <w:trPr>
          <w:jc w:val="center"/>
        </w:trPr>
        <w:tc>
          <w:tcPr>
            <w:tcW w:w="1693" w:type="pct"/>
            <w:vAlign w:val="center"/>
          </w:tcPr>
          <w:p w:rsidR="00492169" w:rsidRPr="00AF629F" w:rsidRDefault="00AF629F" w:rsidP="00016264">
            <w:pPr>
              <w:pStyle w:val="Prrafodelista"/>
              <w:ind w:left="0"/>
              <w:jc w:val="both"/>
              <w:rPr>
                <w:color w:val="auto"/>
                <w:sz w:val="28"/>
                <w:szCs w:val="22"/>
              </w:rPr>
            </w:pPr>
            <w:r w:rsidRPr="00AF629F">
              <w:rPr>
                <w:color w:val="auto"/>
                <w:sz w:val="28"/>
                <w:szCs w:val="22"/>
              </w:rPr>
              <w:t xml:space="preserve">Conceptos de organismos y entidades del Estado </w:t>
            </w:r>
            <w:r w:rsidRPr="00AF629F">
              <w:rPr>
                <w:rStyle w:val="Ttulo1Car"/>
                <w:rFonts w:ascii="Times New Roman" w:hAnsi="Times New Roman" w:cs="Times New Roman"/>
                <w:b w:val="0"/>
                <w:color w:val="auto"/>
                <w:sz w:val="28"/>
                <w:szCs w:val="22"/>
              </w:rPr>
              <w:t>(artículo 11</w:t>
            </w:r>
            <w:r w:rsidRPr="00AF629F">
              <w:rPr>
                <w:rStyle w:val="Ttulo1Car"/>
                <w:rFonts w:ascii="Times New Roman" w:hAnsi="Times New Roman" w:cs="Times New Roman"/>
                <w:color w:val="auto"/>
                <w:sz w:val="28"/>
                <w:szCs w:val="22"/>
              </w:rPr>
              <w:t xml:space="preserve"> </w:t>
            </w:r>
            <w:r w:rsidRPr="00AF629F">
              <w:rPr>
                <w:rStyle w:val="Ttulo1Car"/>
                <w:rFonts w:ascii="Times New Roman" w:hAnsi="Times New Roman" w:cs="Times New Roman"/>
                <w:b w:val="0"/>
                <w:color w:val="auto"/>
                <w:sz w:val="28"/>
                <w:szCs w:val="22"/>
              </w:rPr>
              <w:t>del Decreto 2067 de 1991)</w:t>
            </w:r>
            <w:r w:rsidRPr="00AF629F">
              <w:rPr>
                <w:rStyle w:val="Refdenotaalpie"/>
                <w:color w:val="auto"/>
                <w:sz w:val="28"/>
                <w:szCs w:val="22"/>
              </w:rPr>
              <w:footnoteReference w:id="6"/>
            </w:r>
            <w:r w:rsidRPr="00AF629F">
              <w:rPr>
                <w:color w:val="auto"/>
                <w:sz w:val="28"/>
                <w:szCs w:val="22"/>
              </w:rPr>
              <w:t>.</w:t>
            </w:r>
          </w:p>
        </w:tc>
        <w:tc>
          <w:tcPr>
            <w:tcW w:w="1115" w:type="pct"/>
            <w:shd w:val="clear" w:color="auto" w:fill="auto"/>
            <w:vAlign w:val="center"/>
          </w:tcPr>
          <w:p w:rsidR="00492169" w:rsidRPr="00AF629F" w:rsidRDefault="00AF629F" w:rsidP="00016264">
            <w:pPr>
              <w:pStyle w:val="Prrafodelista"/>
              <w:ind w:left="0"/>
              <w:jc w:val="both"/>
              <w:rPr>
                <w:color w:val="auto"/>
                <w:sz w:val="28"/>
                <w:szCs w:val="22"/>
              </w:rPr>
            </w:pPr>
            <w:r w:rsidRPr="00AF629F">
              <w:rPr>
                <w:color w:val="auto"/>
                <w:sz w:val="28"/>
                <w:szCs w:val="22"/>
              </w:rPr>
              <w:t xml:space="preserve">Departamento administrativo de la </w:t>
            </w:r>
            <w:r w:rsidRPr="00AF629F">
              <w:rPr>
                <w:color w:val="auto"/>
                <w:sz w:val="28"/>
                <w:szCs w:val="22"/>
              </w:rPr>
              <w:t>Presidencia de la República</w:t>
            </w:r>
          </w:p>
        </w:tc>
        <w:tc>
          <w:tcPr>
            <w:tcW w:w="2192" w:type="pct"/>
            <w:shd w:val="clear" w:color="auto" w:fill="auto"/>
            <w:vAlign w:val="center"/>
          </w:tcPr>
          <w:p w:rsidR="00492169" w:rsidRPr="00AF629F" w:rsidRDefault="00AF629F" w:rsidP="00016264">
            <w:pPr>
              <w:pStyle w:val="Prrafodelista"/>
              <w:ind w:left="0"/>
              <w:jc w:val="both"/>
              <w:rPr>
                <w:color w:val="auto"/>
                <w:sz w:val="28"/>
                <w:szCs w:val="22"/>
              </w:rPr>
            </w:pPr>
          </w:p>
        </w:tc>
      </w:tr>
      <w:tr w:rsidR="000A5790" w:rsidRPr="00AF629F" w:rsidTr="004937F1">
        <w:trPr>
          <w:jc w:val="center"/>
        </w:trPr>
        <w:tc>
          <w:tcPr>
            <w:tcW w:w="1693" w:type="pct"/>
            <w:vAlign w:val="center"/>
          </w:tcPr>
          <w:p w:rsidR="00492169" w:rsidRPr="00AF629F" w:rsidRDefault="00AF629F" w:rsidP="00016264">
            <w:pPr>
              <w:pStyle w:val="Prrafodelista"/>
              <w:ind w:left="0"/>
              <w:jc w:val="both"/>
              <w:rPr>
                <w:color w:val="auto"/>
                <w:sz w:val="28"/>
                <w:szCs w:val="22"/>
                <w:lang w:val="es-ES_tradnl"/>
              </w:rPr>
            </w:pPr>
            <w:r w:rsidRPr="00AF629F">
              <w:rPr>
                <w:rStyle w:val="Ttulo1Car"/>
                <w:rFonts w:ascii="Times New Roman" w:hAnsi="Times New Roman" w:cs="Times New Roman"/>
                <w:b w:val="0"/>
                <w:color w:val="auto"/>
                <w:sz w:val="28"/>
                <w:szCs w:val="22"/>
              </w:rPr>
              <w:t>Conceptos de organizaciones, entidades y expertos invitados (artículo 13 del Decreto 2067 de 1991)</w:t>
            </w:r>
            <w:r w:rsidRPr="00AF629F">
              <w:rPr>
                <w:rStyle w:val="Refdenotaalpie"/>
                <w:color w:val="auto"/>
                <w:sz w:val="28"/>
                <w:szCs w:val="22"/>
                <w:shd w:val="clear" w:color="auto" w:fill="FFFFFF"/>
              </w:rPr>
              <w:footnoteReference w:id="7"/>
            </w:r>
            <w:r w:rsidRPr="00AF629F">
              <w:rPr>
                <w:color w:val="auto"/>
                <w:sz w:val="28"/>
                <w:szCs w:val="22"/>
                <w:shd w:val="clear" w:color="auto" w:fill="FFFFFF"/>
              </w:rPr>
              <w:t>.</w:t>
            </w:r>
          </w:p>
        </w:tc>
        <w:tc>
          <w:tcPr>
            <w:tcW w:w="1115" w:type="pct"/>
            <w:shd w:val="clear" w:color="auto" w:fill="auto"/>
            <w:vAlign w:val="center"/>
          </w:tcPr>
          <w:p w:rsidR="00492169" w:rsidRPr="00AF629F" w:rsidRDefault="00AF629F" w:rsidP="00016264">
            <w:pPr>
              <w:pStyle w:val="Prrafodelista"/>
              <w:ind w:left="0"/>
              <w:jc w:val="both"/>
              <w:rPr>
                <w:color w:val="auto"/>
                <w:sz w:val="28"/>
                <w:szCs w:val="22"/>
                <w:lang w:val="es-ES_tradnl"/>
              </w:rPr>
            </w:pPr>
          </w:p>
        </w:tc>
        <w:tc>
          <w:tcPr>
            <w:tcW w:w="2192" w:type="pct"/>
            <w:shd w:val="clear" w:color="auto" w:fill="auto"/>
            <w:vAlign w:val="center"/>
          </w:tcPr>
          <w:p w:rsidR="00492169" w:rsidRPr="00AF629F" w:rsidRDefault="00AF629F" w:rsidP="00492169">
            <w:pPr>
              <w:widowControl/>
              <w:jc w:val="both"/>
              <w:rPr>
                <w:color w:val="auto"/>
                <w:sz w:val="28"/>
                <w:szCs w:val="22"/>
                <w:lang w:val="es-ES_tradnl"/>
              </w:rPr>
            </w:pPr>
            <w:r w:rsidRPr="00AF629F">
              <w:rPr>
                <w:color w:val="auto"/>
                <w:sz w:val="28"/>
                <w:szCs w:val="22"/>
                <w:lang w:val="es-ES_tradnl"/>
              </w:rPr>
              <w:t xml:space="preserve">Asociación de Fiduciarias (Asofiduciarias), Universidad Externado de Colombia (Departamento de Derecho Laboral y Seguridad Social), Federación Colombiana de Municipios, Federación Nacional de Departamentos y </w:t>
            </w:r>
            <w:r w:rsidRPr="00AF629F">
              <w:rPr>
                <w:color w:val="auto"/>
                <w:sz w:val="28"/>
                <w:szCs w:val="22"/>
              </w:rPr>
              <w:t>Universidad Pontificia Bolivariana de Medellín (</w:t>
            </w:r>
            <w:r w:rsidRPr="00AF629F">
              <w:rPr>
                <w:color w:val="auto"/>
                <w:sz w:val="28"/>
                <w:szCs w:val="22"/>
              </w:rPr>
              <w:t>clínica jurídica de la Facultad de Derecho)</w:t>
            </w:r>
          </w:p>
        </w:tc>
      </w:tr>
      <w:tr w:rsidR="000A5790" w:rsidRPr="00AF629F" w:rsidTr="004937F1">
        <w:trPr>
          <w:jc w:val="center"/>
        </w:trPr>
        <w:tc>
          <w:tcPr>
            <w:tcW w:w="1693" w:type="pct"/>
            <w:vAlign w:val="center"/>
          </w:tcPr>
          <w:p w:rsidR="00492169" w:rsidRPr="00AF629F" w:rsidRDefault="00AF629F" w:rsidP="00016264">
            <w:pPr>
              <w:pStyle w:val="Prrafodelista"/>
              <w:ind w:left="0"/>
              <w:jc w:val="both"/>
              <w:rPr>
                <w:rStyle w:val="Ttulo1Car"/>
                <w:rFonts w:ascii="Times New Roman" w:hAnsi="Times New Roman" w:cs="Times New Roman"/>
                <w:b w:val="0"/>
                <w:color w:val="auto"/>
                <w:sz w:val="28"/>
                <w:szCs w:val="22"/>
              </w:rPr>
            </w:pPr>
            <w:r w:rsidRPr="00AF629F">
              <w:rPr>
                <w:rStyle w:val="Ttulo1Car"/>
                <w:rFonts w:ascii="Times New Roman" w:hAnsi="Times New Roman" w:cs="Times New Roman"/>
                <w:b w:val="0"/>
                <w:color w:val="auto"/>
                <w:sz w:val="28"/>
                <w:szCs w:val="22"/>
              </w:rPr>
              <w:t>Concepto de la Procuradora General de la Nación (artículos 38 y 7 del Decreto 2067 de 1991)</w:t>
            </w:r>
          </w:p>
        </w:tc>
        <w:tc>
          <w:tcPr>
            <w:tcW w:w="1115" w:type="pct"/>
            <w:shd w:val="clear" w:color="auto" w:fill="auto"/>
            <w:vAlign w:val="center"/>
          </w:tcPr>
          <w:p w:rsidR="00492169" w:rsidRPr="00AF629F" w:rsidRDefault="00AF629F" w:rsidP="00016264">
            <w:pPr>
              <w:pStyle w:val="Prrafodelista"/>
              <w:ind w:left="0"/>
              <w:jc w:val="both"/>
              <w:rPr>
                <w:color w:val="auto"/>
                <w:sz w:val="28"/>
                <w:szCs w:val="22"/>
                <w:lang w:val="es-ES_tradnl"/>
              </w:rPr>
            </w:pPr>
          </w:p>
        </w:tc>
        <w:tc>
          <w:tcPr>
            <w:tcW w:w="2192" w:type="pct"/>
            <w:shd w:val="clear" w:color="auto" w:fill="auto"/>
            <w:vAlign w:val="center"/>
          </w:tcPr>
          <w:p w:rsidR="00492169" w:rsidRPr="00AF629F" w:rsidRDefault="00AF629F" w:rsidP="00016264">
            <w:pPr>
              <w:widowControl/>
              <w:jc w:val="both"/>
              <w:rPr>
                <w:color w:val="auto"/>
                <w:sz w:val="28"/>
                <w:szCs w:val="22"/>
                <w:lang w:val="es-ES_tradnl"/>
              </w:rPr>
            </w:pPr>
            <w:r w:rsidRPr="00AF629F">
              <w:rPr>
                <w:color w:val="auto"/>
                <w:sz w:val="28"/>
                <w:szCs w:val="22"/>
                <w:lang w:val="es-ES_tradnl"/>
              </w:rPr>
              <w:t>Procuradora General de la Nación</w:t>
            </w:r>
          </w:p>
        </w:tc>
      </w:tr>
    </w:tbl>
    <w:p w:rsidR="00EE311B" w:rsidRPr="00AF629F" w:rsidRDefault="00AF629F" w:rsidP="00020271">
      <w:pPr>
        <w:jc w:val="both"/>
        <w:rPr>
          <w:rFonts w:ascii="Times New Roman" w:hAnsi="Times New Roman" w:cs="Times New Roman"/>
          <w:sz w:val="28"/>
          <w:szCs w:val="28"/>
        </w:rPr>
      </w:pPr>
    </w:p>
    <w:p w:rsidR="00B12037" w:rsidRPr="00AF629F" w:rsidRDefault="00AF629F" w:rsidP="00020271">
      <w:pPr>
        <w:pStyle w:val="Estilo1"/>
        <w:numPr>
          <w:ilvl w:val="0"/>
          <w:numId w:val="3"/>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 xml:space="preserve">Argumentos de </w:t>
      </w:r>
      <w:r w:rsidRPr="00AF629F">
        <w:rPr>
          <w:rStyle w:val="Ttulo1Car"/>
          <w:rFonts w:ascii="Times New Roman" w:hAnsi="Times New Roman" w:cs="Times New Roman"/>
          <w:bCs/>
          <w:color w:val="auto"/>
          <w:sz w:val="28"/>
          <w:szCs w:val="28"/>
        </w:rPr>
        <w:t xml:space="preserve">quienes </w:t>
      </w:r>
      <w:r w:rsidRPr="00AF629F">
        <w:rPr>
          <w:rStyle w:val="Ttulo1Car"/>
          <w:rFonts w:ascii="Times New Roman" w:hAnsi="Times New Roman" w:cs="Times New Roman"/>
          <w:bCs/>
          <w:color w:val="auto"/>
          <w:sz w:val="28"/>
          <w:szCs w:val="28"/>
        </w:rPr>
        <w:t xml:space="preserve">solicitan </w:t>
      </w:r>
      <w:r w:rsidRPr="00AF629F">
        <w:rPr>
          <w:rStyle w:val="Ttulo1Car"/>
          <w:rFonts w:ascii="Times New Roman" w:hAnsi="Times New Roman" w:cs="Times New Roman"/>
          <w:bCs/>
          <w:color w:val="auto"/>
          <w:sz w:val="28"/>
          <w:szCs w:val="28"/>
        </w:rPr>
        <w:t>la</w:t>
      </w:r>
      <w:r w:rsidRPr="00AF629F">
        <w:rPr>
          <w:rStyle w:val="Ttulo1Car"/>
          <w:rFonts w:ascii="Times New Roman" w:hAnsi="Times New Roman" w:cs="Times New Roman"/>
          <w:bCs/>
          <w:color w:val="auto"/>
          <w:sz w:val="28"/>
          <w:szCs w:val="28"/>
        </w:rPr>
        <w:t xml:space="preserve"> declaratoria de exequibilidad</w:t>
      </w:r>
    </w:p>
    <w:p w:rsidR="006A5E11" w:rsidRPr="00AF629F" w:rsidRDefault="00AF629F" w:rsidP="00020271">
      <w:pPr>
        <w:jc w:val="both"/>
        <w:rPr>
          <w:rFonts w:ascii="Times New Roman" w:hAnsi="Times New Roman" w:cs="Times New Roman"/>
          <w:sz w:val="28"/>
          <w:szCs w:val="28"/>
        </w:rPr>
      </w:pPr>
    </w:p>
    <w:p w:rsidR="00F7349B" w:rsidRPr="00AF629F" w:rsidRDefault="00AF629F" w:rsidP="00F7349B">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El Departamento Administrativo de la Presidencia de la República </w:t>
      </w:r>
      <w:r w:rsidRPr="00AF629F">
        <w:rPr>
          <w:rFonts w:ascii="Times New Roman" w:hAnsi="Times New Roman" w:cs="Times New Roman"/>
          <w:sz w:val="28"/>
          <w:szCs w:val="28"/>
        </w:rPr>
        <w:t>defendió la exequibilidad de la disposición demanda</w:t>
      </w:r>
      <w:r w:rsidRPr="00AF629F">
        <w:rPr>
          <w:rFonts w:ascii="Times New Roman" w:hAnsi="Times New Roman" w:cs="Times New Roman"/>
          <w:sz w:val="28"/>
          <w:szCs w:val="28"/>
        </w:rPr>
        <w:t>da</w:t>
      </w:r>
      <w:r w:rsidRPr="00AF629F">
        <w:rPr>
          <w:rFonts w:ascii="Times New Roman" w:hAnsi="Times New Roman" w:cs="Times New Roman"/>
          <w:sz w:val="28"/>
          <w:szCs w:val="28"/>
        </w:rPr>
        <w:t>. Según precis</w:t>
      </w:r>
      <w:r w:rsidRPr="00AF629F">
        <w:rPr>
          <w:rFonts w:ascii="Times New Roman" w:hAnsi="Times New Roman" w:cs="Times New Roman"/>
          <w:sz w:val="28"/>
          <w:szCs w:val="28"/>
        </w:rPr>
        <w:t>ó</w:t>
      </w:r>
      <w:r w:rsidRPr="00AF629F">
        <w:rPr>
          <w:rFonts w:ascii="Times New Roman" w:hAnsi="Times New Roman" w:cs="Times New Roman"/>
          <w:sz w:val="28"/>
          <w:szCs w:val="28"/>
        </w:rPr>
        <w:t>, la norma tiene una “clara y evidente relación de conexidad directa” con “los ejes transversales de la Ley del Plan Nacion</w:t>
      </w:r>
      <w:r w:rsidRPr="00AF629F">
        <w:rPr>
          <w:rFonts w:ascii="Times New Roman" w:hAnsi="Times New Roman" w:cs="Times New Roman"/>
          <w:sz w:val="28"/>
          <w:szCs w:val="28"/>
        </w:rPr>
        <w:t>al de Desarrollo”.</w:t>
      </w:r>
      <w:r w:rsidRPr="00AF629F">
        <w:rPr>
          <w:rFonts w:ascii="Times New Roman" w:hAnsi="Times New Roman" w:cs="Times New Roman"/>
          <w:sz w:val="28"/>
          <w:szCs w:val="28"/>
        </w:rPr>
        <w:t xml:space="preserve"> La tesis de</w:t>
      </w:r>
      <w:r w:rsidRPr="00AF629F">
        <w:rPr>
          <w:rFonts w:ascii="Times New Roman" w:hAnsi="Times New Roman" w:cs="Times New Roman"/>
          <w:sz w:val="28"/>
          <w:szCs w:val="28"/>
        </w:rPr>
        <w:t>l concepto</w:t>
      </w:r>
      <w:r w:rsidRPr="00AF629F">
        <w:rPr>
          <w:rFonts w:ascii="Times New Roman" w:hAnsi="Times New Roman" w:cs="Times New Roman"/>
          <w:sz w:val="28"/>
          <w:szCs w:val="28"/>
        </w:rPr>
        <w:t>, a partir de la cual justifica est</w:t>
      </w:r>
      <w:r w:rsidRPr="00AF629F">
        <w:rPr>
          <w:rFonts w:ascii="Times New Roman" w:hAnsi="Times New Roman" w:cs="Times New Roman"/>
          <w:sz w:val="28"/>
          <w:szCs w:val="28"/>
        </w:rPr>
        <w:t>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argumento</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es la siguiente: </w:t>
      </w:r>
    </w:p>
    <w:p w:rsidR="00794B8A" w:rsidRPr="00AF629F" w:rsidRDefault="00AF629F" w:rsidP="00EC07BF">
      <w:pPr>
        <w:rPr>
          <w:rFonts w:ascii="Times New Roman" w:hAnsi="Times New Roman" w:cs="Times New Roman"/>
          <w:sz w:val="28"/>
          <w:szCs w:val="28"/>
        </w:rPr>
      </w:pPr>
    </w:p>
    <w:p w:rsidR="00AF382A" w:rsidRPr="00AF629F" w:rsidRDefault="00AF629F" w:rsidP="00587AC4">
      <w:pPr>
        <w:pStyle w:val="Ttulo11"/>
        <w:ind w:left="567" w:right="616"/>
        <w:jc w:val="both"/>
        <w:rPr>
          <w:rFonts w:ascii="Times New Roman" w:hAnsi="Times New Roman" w:cs="Times New Roman"/>
          <w:sz w:val="28"/>
        </w:rPr>
      </w:pPr>
      <w:r w:rsidRPr="00AF629F">
        <w:rPr>
          <w:rFonts w:ascii="Times New Roman" w:hAnsi="Times New Roman" w:cs="Times New Roman"/>
          <w:sz w:val="28"/>
        </w:rPr>
        <w:t>“</w:t>
      </w:r>
      <w:r w:rsidRPr="00AF629F">
        <w:rPr>
          <w:rFonts w:ascii="Times New Roman" w:hAnsi="Times New Roman" w:cs="Times New Roman"/>
          <w:sz w:val="28"/>
        </w:rPr>
        <w:t xml:space="preserve">[…] </w:t>
      </w:r>
      <w:r w:rsidRPr="00AF629F">
        <w:rPr>
          <w:rFonts w:ascii="Times New Roman" w:hAnsi="Times New Roman" w:cs="Times New Roman"/>
          <w:sz w:val="28"/>
        </w:rPr>
        <w:t>la regla contenida en el artículo 322 de la Ley 2294 de 2023, demandado en esta causa, en cuanto prevé la posibilidad de administrar los recurso</w:t>
      </w:r>
      <w:r w:rsidRPr="00AF629F">
        <w:rPr>
          <w:rFonts w:ascii="Times New Roman" w:hAnsi="Times New Roman" w:cs="Times New Roman"/>
          <w:sz w:val="28"/>
        </w:rPr>
        <w:t>s del FONPET a través de contratos interadministrativos (negocios fiduciarios) suscritos por el Ministerio de Hacienda y Crédito Público con una sociedad fiduciaria de naturaleza pública, contribuye de manera cierta y efectiva a una gestión eficiente de lo</w:t>
      </w:r>
      <w:r w:rsidRPr="00AF629F">
        <w:rPr>
          <w:rFonts w:ascii="Times New Roman" w:hAnsi="Times New Roman" w:cs="Times New Roman"/>
          <w:sz w:val="28"/>
        </w:rPr>
        <w:t>s recursos públicos y tiene como finalidad incrementar la inversión pública y optimizar su destinación, propósitos que constituyen, como se indicó antes, estrategias y metas del plan nacional de desarrollo para alcanzar sus objetivos</w:t>
      </w:r>
      <w:r w:rsidRPr="00AF629F">
        <w:rPr>
          <w:rFonts w:ascii="Times New Roman" w:hAnsi="Times New Roman" w:cs="Times New Roman"/>
          <w:sz w:val="28"/>
        </w:rPr>
        <w:t xml:space="preserve">. || </w:t>
      </w:r>
      <w:r w:rsidRPr="00AF629F">
        <w:rPr>
          <w:rFonts w:ascii="Times New Roman" w:hAnsi="Times New Roman" w:cs="Times New Roman"/>
          <w:sz w:val="28"/>
        </w:rPr>
        <w:t xml:space="preserve">Así las cosas, es </w:t>
      </w:r>
      <w:r w:rsidRPr="00AF629F">
        <w:rPr>
          <w:rFonts w:ascii="Times New Roman" w:hAnsi="Times New Roman" w:cs="Times New Roman"/>
          <w:sz w:val="28"/>
        </w:rPr>
        <w:t xml:space="preserve">claro que el artículo 322 de la Ley 2294 de 2023 </w:t>
      </w:r>
      <w:r w:rsidRPr="00AF629F">
        <w:rPr>
          <w:rFonts w:ascii="Times New Roman" w:hAnsi="Times New Roman" w:cs="Times New Roman"/>
          <w:sz w:val="28"/>
        </w:rPr>
        <w:t xml:space="preserve">[…] </w:t>
      </w:r>
      <w:r w:rsidRPr="00AF629F">
        <w:rPr>
          <w:rFonts w:ascii="Times New Roman" w:hAnsi="Times New Roman" w:cs="Times New Roman"/>
          <w:sz w:val="28"/>
        </w:rPr>
        <w:t>constituye un medio cierto y efectivo para la realización de las metas y estrategias del Plan Nacional de Desarrollo previstas en el Eje Transversal “Estabilidad Macroeconómica” relacionadas con el incre</w:t>
      </w:r>
      <w:r w:rsidRPr="00AF629F">
        <w:rPr>
          <w:rFonts w:ascii="Times New Roman" w:hAnsi="Times New Roman" w:cs="Times New Roman"/>
          <w:sz w:val="28"/>
        </w:rPr>
        <w:t>mento de la inversión pública, la optimización de su destinación y la gestión eficiente de los recursos públicos</w:t>
      </w:r>
      <w:r w:rsidRPr="00AF629F">
        <w:rPr>
          <w:rFonts w:ascii="Times New Roman" w:hAnsi="Times New Roman" w:cs="Times New Roman"/>
          <w:sz w:val="28"/>
        </w:rPr>
        <w:t>[</w:t>
      </w:r>
      <w:r w:rsidRPr="00AF629F">
        <w:rPr>
          <w:rStyle w:val="Refdenotaalpie"/>
          <w:rFonts w:ascii="Times New Roman" w:hAnsi="Times New Roman" w:cs="Times New Roman"/>
          <w:sz w:val="28"/>
        </w:rPr>
        <w:footnoteReference w:id="8"/>
      </w:r>
      <w:r w:rsidRPr="00AF629F">
        <w:rPr>
          <w:rFonts w:ascii="Times New Roman" w:hAnsi="Times New Roman" w:cs="Times New Roman"/>
          <w:sz w:val="28"/>
        </w:rPr>
        <w:t>]</w:t>
      </w:r>
      <w:r w:rsidRPr="00AF629F">
        <w:rPr>
          <w:rFonts w:ascii="Times New Roman" w:hAnsi="Times New Roman" w:cs="Times New Roman"/>
          <w:sz w:val="28"/>
        </w:rPr>
        <w:t xml:space="preserve">. || </w:t>
      </w:r>
      <w:r w:rsidRPr="00AF629F">
        <w:rPr>
          <w:rFonts w:ascii="Times New Roman" w:hAnsi="Times New Roman" w:cs="Times New Roman"/>
          <w:sz w:val="28"/>
        </w:rPr>
        <w:t xml:space="preserve">Es importante resaltar que la sola ubicación de la norma demandada (Capítulo VII ESTABILIDAD MACROECONÓMICA de la Ley 2294 de 2023) </w:t>
      </w:r>
      <w:r w:rsidRPr="00AF629F">
        <w:rPr>
          <w:rFonts w:ascii="Times New Roman" w:hAnsi="Times New Roman" w:cs="Times New Roman"/>
          <w:sz w:val="28"/>
        </w:rPr>
        <w:t>permite deducir que, se trata de un mecanismo para garantizar la disponibilidad de los recursos públicos que permitan financiar las transformaciones, las cuales están enmarcadas en la actual coyuntura económica global, regional y nacional. Por lo que la no</w:t>
      </w:r>
      <w:r w:rsidRPr="00AF629F">
        <w:rPr>
          <w:rFonts w:ascii="Times New Roman" w:hAnsi="Times New Roman" w:cs="Times New Roman"/>
          <w:sz w:val="28"/>
        </w:rPr>
        <w:t>rma acusada</w:t>
      </w:r>
      <w:r w:rsidRPr="00AF629F">
        <w:rPr>
          <w:rFonts w:ascii="Times New Roman" w:hAnsi="Times New Roman" w:cs="Times New Roman"/>
          <w:sz w:val="28"/>
        </w:rPr>
        <w:t xml:space="preserve"> </w:t>
      </w:r>
      <w:r w:rsidRPr="00AF629F">
        <w:rPr>
          <w:rFonts w:ascii="Times New Roman" w:hAnsi="Times New Roman" w:cs="Times New Roman"/>
          <w:sz w:val="28"/>
        </w:rPr>
        <w:t>guarda una relación de medio a fin con la política de estabilidad macroeconómica”.</w:t>
      </w:r>
    </w:p>
    <w:p w:rsidR="00AF382A" w:rsidRPr="00AF629F" w:rsidRDefault="00AF629F" w:rsidP="00EC07BF">
      <w:pPr>
        <w:rPr>
          <w:rFonts w:ascii="Times New Roman" w:hAnsi="Times New Roman" w:cs="Times New Roman"/>
          <w:sz w:val="28"/>
          <w:szCs w:val="28"/>
          <w:lang w:val="es-ES"/>
        </w:rPr>
      </w:pPr>
    </w:p>
    <w:p w:rsidR="00DF544C" w:rsidRPr="00AF629F" w:rsidRDefault="00AF629F" w:rsidP="00020271">
      <w:pPr>
        <w:pStyle w:val="Estilo1"/>
        <w:numPr>
          <w:ilvl w:val="0"/>
          <w:numId w:val="3"/>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 xml:space="preserve">Argumentos de quienes solicitan </w:t>
      </w:r>
      <w:r w:rsidRPr="00AF629F">
        <w:rPr>
          <w:rStyle w:val="Ttulo1Car"/>
          <w:rFonts w:ascii="Times New Roman" w:hAnsi="Times New Roman" w:cs="Times New Roman"/>
          <w:bCs/>
          <w:color w:val="auto"/>
          <w:sz w:val="28"/>
          <w:szCs w:val="28"/>
        </w:rPr>
        <w:t>la</w:t>
      </w:r>
      <w:r w:rsidRPr="00AF629F">
        <w:rPr>
          <w:rStyle w:val="Ttulo1Car"/>
          <w:rFonts w:ascii="Times New Roman" w:hAnsi="Times New Roman" w:cs="Times New Roman"/>
          <w:bCs/>
          <w:color w:val="auto"/>
          <w:sz w:val="28"/>
          <w:szCs w:val="28"/>
        </w:rPr>
        <w:t xml:space="preserve"> declaratoria de </w:t>
      </w:r>
      <w:r w:rsidRPr="00AF629F">
        <w:rPr>
          <w:rStyle w:val="Ttulo1Car"/>
          <w:rFonts w:ascii="Times New Roman" w:hAnsi="Times New Roman" w:cs="Times New Roman"/>
          <w:bCs/>
          <w:color w:val="auto"/>
          <w:sz w:val="28"/>
          <w:szCs w:val="28"/>
        </w:rPr>
        <w:t>in</w:t>
      </w:r>
      <w:r w:rsidRPr="00AF629F">
        <w:rPr>
          <w:rStyle w:val="Ttulo1Car"/>
          <w:rFonts w:ascii="Times New Roman" w:hAnsi="Times New Roman" w:cs="Times New Roman"/>
          <w:bCs/>
          <w:color w:val="auto"/>
          <w:sz w:val="28"/>
          <w:szCs w:val="28"/>
        </w:rPr>
        <w:t>exequibilidad</w:t>
      </w:r>
    </w:p>
    <w:p w:rsidR="00DF544C" w:rsidRPr="00AF629F" w:rsidRDefault="00AF629F" w:rsidP="00020271">
      <w:pPr>
        <w:jc w:val="both"/>
        <w:rPr>
          <w:rFonts w:ascii="Times New Roman" w:hAnsi="Times New Roman" w:cs="Times New Roman"/>
          <w:b/>
          <w:sz w:val="28"/>
          <w:szCs w:val="28"/>
        </w:rPr>
      </w:pPr>
    </w:p>
    <w:p w:rsidR="00EC07BF" w:rsidRPr="00AF629F" w:rsidRDefault="00AF629F" w:rsidP="00020271">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L</w:t>
      </w:r>
      <w:r w:rsidRPr="00AF629F">
        <w:rPr>
          <w:rFonts w:ascii="Times New Roman" w:hAnsi="Times New Roman" w:cs="Times New Roman"/>
          <w:sz w:val="28"/>
          <w:szCs w:val="28"/>
        </w:rPr>
        <w:t xml:space="preserve">as entidades y expertos invitados que presentaron concepto, al igual que la Procuradora General de la Nación, </w:t>
      </w:r>
      <w:r w:rsidRPr="00AF629F">
        <w:rPr>
          <w:rFonts w:ascii="Times New Roman" w:hAnsi="Times New Roman" w:cs="Times New Roman"/>
          <w:sz w:val="28"/>
          <w:szCs w:val="28"/>
        </w:rPr>
        <w:t xml:space="preserve">indicaron </w:t>
      </w:r>
      <w:r w:rsidRPr="00AF629F">
        <w:rPr>
          <w:rFonts w:ascii="Times New Roman" w:hAnsi="Times New Roman" w:cs="Times New Roman"/>
          <w:sz w:val="28"/>
          <w:szCs w:val="28"/>
        </w:rPr>
        <w:t>que la disposición demanda</w:t>
      </w:r>
      <w:r w:rsidRPr="00AF629F">
        <w:rPr>
          <w:rFonts w:ascii="Times New Roman" w:hAnsi="Times New Roman" w:cs="Times New Roman"/>
          <w:sz w:val="28"/>
          <w:szCs w:val="28"/>
        </w:rPr>
        <w:t>da</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era </w:t>
      </w:r>
      <w:r w:rsidRPr="00AF629F">
        <w:rPr>
          <w:rFonts w:ascii="Times New Roman" w:hAnsi="Times New Roman" w:cs="Times New Roman"/>
          <w:sz w:val="28"/>
          <w:szCs w:val="28"/>
        </w:rPr>
        <w:t xml:space="preserve">contraria al principio </w:t>
      </w:r>
      <w:r w:rsidRPr="00AF629F">
        <w:rPr>
          <w:rFonts w:ascii="Times New Roman" w:hAnsi="Times New Roman" w:cs="Times New Roman"/>
          <w:sz w:val="28"/>
          <w:szCs w:val="28"/>
        </w:rPr>
        <w:t xml:space="preserve">constitucional </w:t>
      </w:r>
      <w:r w:rsidRPr="00AF629F">
        <w:rPr>
          <w:rFonts w:ascii="Times New Roman" w:hAnsi="Times New Roman" w:cs="Times New Roman"/>
          <w:sz w:val="28"/>
          <w:szCs w:val="28"/>
        </w:rPr>
        <w:t>de unidad de materia.</w:t>
      </w:r>
    </w:p>
    <w:p w:rsidR="001242C8" w:rsidRPr="00AF629F" w:rsidRDefault="00AF629F" w:rsidP="001242C8">
      <w:pPr>
        <w:pStyle w:val="Prrafodelista"/>
        <w:ind w:left="0"/>
        <w:jc w:val="both"/>
        <w:rPr>
          <w:rFonts w:ascii="Times New Roman" w:hAnsi="Times New Roman" w:cs="Times New Roman"/>
          <w:sz w:val="28"/>
          <w:szCs w:val="28"/>
        </w:rPr>
      </w:pPr>
    </w:p>
    <w:p w:rsidR="00475DEE" w:rsidRPr="00AF629F" w:rsidRDefault="00AF629F" w:rsidP="00134C6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ASOFIDUCIARIAS admite que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la disposición d</w:t>
      </w:r>
      <w:r w:rsidRPr="00AF629F">
        <w:rPr>
          <w:rFonts w:ascii="Times New Roman" w:hAnsi="Times New Roman" w:cs="Times New Roman"/>
          <w:sz w:val="28"/>
          <w:szCs w:val="28"/>
        </w:rPr>
        <w:t xml:space="preserve">emandada es de carácter instrumental, </w:t>
      </w:r>
      <w:r w:rsidRPr="00AF629F">
        <w:rPr>
          <w:rFonts w:ascii="Times New Roman" w:hAnsi="Times New Roman" w:cs="Times New Roman"/>
          <w:sz w:val="28"/>
          <w:szCs w:val="28"/>
        </w:rPr>
        <w:t>al ubicarse “en los mecanismos de ejecución del Plan”</w:t>
      </w:r>
      <w:r w:rsidRPr="00AF629F">
        <w:rPr>
          <w:rFonts w:ascii="Times New Roman" w:hAnsi="Times New Roman" w:cs="Times New Roman"/>
          <w:sz w:val="28"/>
          <w:szCs w:val="28"/>
        </w:rPr>
        <w:t xml:space="preserve">, esto es, en el </w:t>
      </w:r>
      <w:r w:rsidRPr="00AF629F">
        <w:rPr>
          <w:rFonts w:ascii="Times New Roman" w:hAnsi="Times New Roman" w:cs="Times New Roman"/>
          <w:sz w:val="28"/>
          <w:szCs w:val="28"/>
        </w:rPr>
        <w:t xml:space="preserve">capítulo VII </w:t>
      </w:r>
      <w:r w:rsidRPr="00AF629F">
        <w:rPr>
          <w:rFonts w:ascii="Times New Roman" w:hAnsi="Times New Roman" w:cs="Times New Roman"/>
          <w:sz w:val="28"/>
          <w:szCs w:val="28"/>
        </w:rPr>
        <w:t>“Estabilidad macroeconómica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del </w:t>
      </w:r>
      <w:r w:rsidRPr="00AF629F">
        <w:rPr>
          <w:rFonts w:ascii="Times New Roman" w:hAnsi="Times New Roman" w:cs="Times New Roman"/>
          <w:sz w:val="28"/>
          <w:szCs w:val="28"/>
        </w:rPr>
        <w:t xml:space="preserve">Título III </w:t>
      </w:r>
      <w:r w:rsidRPr="00AF629F">
        <w:rPr>
          <w:rFonts w:ascii="Times New Roman" w:hAnsi="Times New Roman" w:cs="Times New Roman"/>
          <w:sz w:val="28"/>
          <w:szCs w:val="28"/>
        </w:rPr>
        <w:t>“</w:t>
      </w:r>
      <w:r w:rsidRPr="00AF629F">
        <w:rPr>
          <w:rFonts w:ascii="Times New Roman" w:hAnsi="Times New Roman" w:cs="Times New Roman"/>
          <w:sz w:val="28"/>
          <w:szCs w:val="28"/>
        </w:rPr>
        <w:t>Mecanismos de ejecución del Plan</w:t>
      </w:r>
      <w:r w:rsidRPr="00AF629F">
        <w:rPr>
          <w:rFonts w:ascii="Times New Roman" w:hAnsi="Times New Roman" w:cs="Times New Roman"/>
          <w:sz w:val="28"/>
          <w:szCs w:val="28"/>
        </w:rPr>
        <w:t>”</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y</w:t>
      </w:r>
      <w:r w:rsidRPr="00AF629F">
        <w:rPr>
          <w:rFonts w:ascii="Times New Roman" w:hAnsi="Times New Roman" w:cs="Times New Roman"/>
          <w:sz w:val="28"/>
          <w:szCs w:val="28"/>
        </w:rPr>
        <w:t xml:space="preserve"> que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tiene relación </w:t>
      </w:r>
      <w:r w:rsidRPr="00AF629F">
        <w:rPr>
          <w:rFonts w:ascii="Times New Roman" w:hAnsi="Times New Roman" w:cs="Times New Roman"/>
          <w:sz w:val="28"/>
          <w:szCs w:val="28"/>
        </w:rPr>
        <w:t>con el capítulo “</w:t>
      </w:r>
      <w:r w:rsidRPr="00AF629F">
        <w:rPr>
          <w:rFonts w:ascii="Times New Roman" w:hAnsi="Times New Roman" w:cs="Times New Roman"/>
          <w:sz w:val="28"/>
          <w:szCs w:val="28"/>
        </w:rPr>
        <w:t>[h]</w:t>
      </w:r>
      <w:r w:rsidRPr="00AF629F">
        <w:rPr>
          <w:rFonts w:ascii="Times New Roman" w:hAnsi="Times New Roman" w:cs="Times New Roman"/>
          <w:sz w:val="28"/>
          <w:szCs w:val="28"/>
        </w:rPr>
        <w:t>acia</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la</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estabilidad macroeconómica: sostenibilidad financiera” </w:t>
      </w:r>
      <w:r w:rsidRPr="00AF629F">
        <w:rPr>
          <w:rFonts w:ascii="Times New Roman" w:hAnsi="Times New Roman" w:cs="Times New Roman"/>
          <w:sz w:val="28"/>
          <w:szCs w:val="28"/>
        </w:rPr>
        <w:t xml:space="preserve">de las bases del plan, </w:t>
      </w:r>
      <w:r w:rsidRPr="00AF629F">
        <w:rPr>
          <w:rFonts w:ascii="Times New Roman" w:hAnsi="Times New Roman" w:cs="Times New Roman"/>
          <w:sz w:val="28"/>
          <w:szCs w:val="28"/>
        </w:rPr>
        <w:t xml:space="preserve">en particular </w:t>
      </w:r>
      <w:r w:rsidRPr="00AF629F">
        <w:rPr>
          <w:rFonts w:ascii="Times New Roman" w:hAnsi="Times New Roman" w:cs="Times New Roman"/>
          <w:sz w:val="28"/>
          <w:szCs w:val="28"/>
        </w:rPr>
        <w:t xml:space="preserve">con </w:t>
      </w:r>
      <w:r w:rsidRPr="00AF629F">
        <w:rPr>
          <w:rFonts w:ascii="Times New Roman" w:hAnsi="Times New Roman" w:cs="Times New Roman"/>
          <w:sz w:val="28"/>
          <w:szCs w:val="28"/>
        </w:rPr>
        <w:t>sus literales A</w:t>
      </w:r>
      <w:r w:rsidRPr="00AF629F">
        <w:rPr>
          <w:rFonts w:ascii="Times New Roman" w:hAnsi="Times New Roman" w:cs="Times New Roman"/>
          <w:sz w:val="28"/>
          <w:szCs w:val="28"/>
        </w:rPr>
        <w:t xml:space="preserve"> (“Expectativas de crecimiento para el periodo 2022 - 2026”) </w:t>
      </w:r>
      <w:r w:rsidRPr="00AF629F">
        <w:rPr>
          <w:rFonts w:ascii="Times New Roman" w:hAnsi="Times New Roman" w:cs="Times New Roman"/>
          <w:sz w:val="28"/>
          <w:szCs w:val="28"/>
        </w:rPr>
        <w:t xml:space="preserve">y B </w:t>
      </w:r>
      <w:r w:rsidRPr="00AF629F">
        <w:rPr>
          <w:rFonts w:ascii="Times New Roman" w:hAnsi="Times New Roman" w:cs="Times New Roman"/>
          <w:sz w:val="28"/>
          <w:szCs w:val="28"/>
        </w:rPr>
        <w:t>(“Progresividad y sostenibilidad fiscal”).</w:t>
      </w:r>
      <w:r w:rsidRPr="00AF629F">
        <w:rPr>
          <w:rFonts w:ascii="Times New Roman" w:hAnsi="Times New Roman" w:cs="Times New Roman"/>
          <w:sz w:val="28"/>
          <w:szCs w:val="28"/>
        </w:rPr>
        <w:t xml:space="preserve"> Sin embargo, considera </w:t>
      </w:r>
      <w:r w:rsidRPr="00AF629F">
        <w:rPr>
          <w:rFonts w:ascii="Times New Roman" w:hAnsi="Times New Roman" w:cs="Times New Roman"/>
          <w:sz w:val="28"/>
          <w:szCs w:val="28"/>
        </w:rPr>
        <w:t>que la modific</w:t>
      </w:r>
      <w:r w:rsidRPr="00AF629F">
        <w:rPr>
          <w:rFonts w:ascii="Times New Roman" w:hAnsi="Times New Roman" w:cs="Times New Roman"/>
          <w:sz w:val="28"/>
          <w:szCs w:val="28"/>
        </w:rPr>
        <w:t>ación compromete “la transitoriedad del PND ignorando su vocación temporal”</w:t>
      </w:r>
      <w:r w:rsidRPr="00AF629F">
        <w:rPr>
          <w:rStyle w:val="Refdenotaalpie"/>
          <w:rFonts w:ascii="Times New Roman" w:hAnsi="Times New Roman" w:cs="Times New Roman"/>
          <w:sz w:val="28"/>
          <w:szCs w:val="28"/>
        </w:rPr>
        <w:footnoteReference w:id="9"/>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que </w:t>
      </w:r>
      <w:r w:rsidRPr="00AF629F">
        <w:rPr>
          <w:rFonts w:ascii="Times New Roman" w:hAnsi="Times New Roman" w:cs="Times New Roman"/>
          <w:sz w:val="28"/>
          <w:szCs w:val="28"/>
        </w:rPr>
        <w:t xml:space="preserve">entre </w:t>
      </w:r>
      <w:r w:rsidRPr="00AF629F">
        <w:rPr>
          <w:rFonts w:ascii="Times New Roman" w:hAnsi="Times New Roman" w:cs="Times New Roman"/>
          <w:sz w:val="28"/>
          <w:szCs w:val="28"/>
        </w:rPr>
        <w:t xml:space="preserve">aquellos </w:t>
      </w:r>
      <w:r w:rsidRPr="00AF629F">
        <w:rPr>
          <w:rFonts w:ascii="Times New Roman" w:hAnsi="Times New Roman" w:cs="Times New Roman"/>
          <w:sz w:val="28"/>
          <w:szCs w:val="28"/>
        </w:rPr>
        <w:t>elementos no es posible establecer una relación de conexidad “directa”</w:t>
      </w:r>
      <w:r w:rsidRPr="00AF629F">
        <w:rPr>
          <w:rStyle w:val="Refdenotaalpie"/>
          <w:rFonts w:ascii="Times New Roman" w:hAnsi="Times New Roman" w:cs="Times New Roman"/>
          <w:sz w:val="28"/>
          <w:szCs w:val="28"/>
        </w:rPr>
        <w:footnoteReference w:id="10"/>
      </w:r>
      <w:r w:rsidRPr="00AF629F">
        <w:rPr>
          <w:rFonts w:ascii="Times New Roman" w:hAnsi="Times New Roman" w:cs="Times New Roman"/>
          <w:sz w:val="28"/>
          <w:szCs w:val="28"/>
        </w:rPr>
        <w:t xml:space="preserve"> y</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finalmente, </w:t>
      </w:r>
      <w:r w:rsidRPr="00AF629F">
        <w:rPr>
          <w:rFonts w:ascii="Times New Roman" w:hAnsi="Times New Roman" w:cs="Times New Roman"/>
          <w:sz w:val="28"/>
          <w:szCs w:val="28"/>
        </w:rPr>
        <w:t xml:space="preserve">que la medida no es idónea para ejecutar los objetivos generales del </w:t>
      </w:r>
      <w:r w:rsidRPr="00AF629F">
        <w:rPr>
          <w:rFonts w:ascii="Times New Roman" w:hAnsi="Times New Roman" w:cs="Times New Roman"/>
          <w:sz w:val="28"/>
          <w:szCs w:val="28"/>
        </w:rPr>
        <w:t>plan nacional de desarrollo, por cuanto, “el plan plurianual de inversiones no contempla recursos suficientes para atender los requerimientos de solvencia de las sociedades fiduciarias públicas, y en consecuencia, hacen inoperante la medida”</w:t>
      </w:r>
      <w:r w:rsidRPr="00AF629F">
        <w:rPr>
          <w:rStyle w:val="Refdenotaalpie"/>
          <w:rFonts w:ascii="Times New Roman" w:hAnsi="Times New Roman" w:cs="Times New Roman"/>
          <w:sz w:val="28"/>
          <w:szCs w:val="28"/>
        </w:rPr>
        <w:footnoteReference w:id="11"/>
      </w:r>
      <w:r w:rsidRPr="00AF629F">
        <w:rPr>
          <w:rFonts w:ascii="Times New Roman" w:hAnsi="Times New Roman" w:cs="Times New Roman"/>
          <w:sz w:val="28"/>
          <w:szCs w:val="28"/>
        </w:rPr>
        <w:t>.</w:t>
      </w:r>
    </w:p>
    <w:p w:rsidR="00C94E7F" w:rsidRPr="00AF629F" w:rsidRDefault="00AF629F" w:rsidP="00C94E7F">
      <w:pPr>
        <w:pStyle w:val="Prrafodelista"/>
        <w:ind w:left="0"/>
        <w:jc w:val="both"/>
        <w:rPr>
          <w:rFonts w:ascii="Times New Roman" w:hAnsi="Times New Roman" w:cs="Times New Roman"/>
          <w:sz w:val="28"/>
          <w:szCs w:val="28"/>
        </w:rPr>
      </w:pPr>
    </w:p>
    <w:p w:rsidR="00F841E0" w:rsidRPr="00AF629F" w:rsidRDefault="00AF629F" w:rsidP="005F299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La </w:t>
      </w:r>
      <w:r w:rsidRPr="00AF629F">
        <w:rPr>
          <w:rFonts w:ascii="Times New Roman" w:hAnsi="Times New Roman" w:cs="Times New Roman"/>
          <w:sz w:val="28"/>
          <w:szCs w:val="28"/>
        </w:rPr>
        <w:t>Universi</w:t>
      </w:r>
      <w:r w:rsidRPr="00AF629F">
        <w:rPr>
          <w:rFonts w:ascii="Times New Roman" w:hAnsi="Times New Roman" w:cs="Times New Roman"/>
          <w:sz w:val="28"/>
          <w:szCs w:val="28"/>
        </w:rPr>
        <w:t xml:space="preserve">dad Externado de Colombia (Departamento de Derecho Laboral y Seguridad Social) indica que </w:t>
      </w:r>
      <w:r w:rsidRPr="00AF629F">
        <w:rPr>
          <w:rFonts w:ascii="Times New Roman" w:hAnsi="Times New Roman" w:cs="Times New Roman"/>
          <w:sz w:val="28"/>
          <w:szCs w:val="28"/>
        </w:rPr>
        <w:t xml:space="preserve">la disposición </w:t>
      </w:r>
      <w:r w:rsidRPr="00AF629F">
        <w:rPr>
          <w:rFonts w:ascii="Times New Roman" w:hAnsi="Times New Roman" w:cs="Times New Roman"/>
          <w:sz w:val="28"/>
          <w:szCs w:val="28"/>
        </w:rPr>
        <w:t xml:space="preserve">demandada </w:t>
      </w:r>
      <w:r w:rsidRPr="00AF629F">
        <w:rPr>
          <w:rFonts w:ascii="Times New Roman" w:hAnsi="Times New Roman" w:cs="Times New Roman"/>
          <w:sz w:val="28"/>
          <w:szCs w:val="28"/>
        </w:rPr>
        <w:t xml:space="preserve">modifica de manera permanente el artículo 7 de la Ley </w:t>
      </w:r>
      <w:r w:rsidRPr="00AF629F">
        <w:rPr>
          <w:rFonts w:ascii="Times New Roman" w:hAnsi="Times New Roman" w:cs="Times New Roman"/>
          <w:sz w:val="28"/>
          <w:szCs w:val="28"/>
        </w:rPr>
        <w:t xml:space="preserve">549 de 1999 </w:t>
      </w:r>
      <w:r w:rsidRPr="00AF629F">
        <w:rPr>
          <w:rFonts w:ascii="Times New Roman" w:hAnsi="Times New Roman" w:cs="Times New Roman"/>
          <w:sz w:val="28"/>
          <w:szCs w:val="28"/>
        </w:rPr>
        <w:t>en cuanto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ordena que la selección de</w:t>
      </w:r>
      <w:r w:rsidRPr="00AF629F">
        <w:rPr>
          <w:rFonts w:ascii="Times New Roman" w:hAnsi="Times New Roman" w:cs="Times New Roman"/>
          <w:sz w:val="28"/>
          <w:szCs w:val="28"/>
        </w:rPr>
        <w:t xml:space="preserve">l o los </w:t>
      </w:r>
      <w:r w:rsidRPr="00AF629F">
        <w:rPr>
          <w:rFonts w:ascii="Times New Roman" w:hAnsi="Times New Roman" w:cs="Times New Roman"/>
          <w:sz w:val="28"/>
          <w:szCs w:val="28"/>
        </w:rPr>
        <w:t>administrador</w:t>
      </w:r>
      <w:r w:rsidRPr="00AF629F">
        <w:rPr>
          <w:rFonts w:ascii="Times New Roman" w:hAnsi="Times New Roman" w:cs="Times New Roman"/>
          <w:sz w:val="28"/>
          <w:szCs w:val="28"/>
        </w:rPr>
        <w:t>es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de los recursos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 xml:space="preserve">se realice mediante el procedimiento de licitación pública. Esta circunstancia </w:t>
      </w:r>
      <w:r w:rsidRPr="00AF629F">
        <w:rPr>
          <w:rFonts w:ascii="Times New Roman" w:hAnsi="Times New Roman" w:cs="Times New Roman"/>
          <w:sz w:val="28"/>
          <w:szCs w:val="28"/>
        </w:rPr>
        <w:t xml:space="preserve">desconoce la “vocación de temporalidad” que debe caracterizar </w:t>
      </w:r>
      <w:r w:rsidRPr="00AF629F">
        <w:rPr>
          <w:rFonts w:ascii="Times New Roman" w:hAnsi="Times New Roman" w:cs="Times New Roman"/>
          <w:sz w:val="28"/>
          <w:szCs w:val="28"/>
        </w:rPr>
        <w:t xml:space="preserve">a </w:t>
      </w:r>
      <w:r w:rsidRPr="00AF629F">
        <w:rPr>
          <w:rFonts w:ascii="Times New Roman" w:hAnsi="Times New Roman" w:cs="Times New Roman"/>
          <w:sz w:val="28"/>
          <w:szCs w:val="28"/>
        </w:rPr>
        <w:t xml:space="preserve">las disposiciones del plan nacional de desarrollo, </w:t>
      </w:r>
      <w:r w:rsidRPr="00AF629F">
        <w:rPr>
          <w:rFonts w:ascii="Times New Roman" w:hAnsi="Times New Roman" w:cs="Times New Roman"/>
          <w:sz w:val="28"/>
          <w:szCs w:val="28"/>
        </w:rPr>
        <w:t>de allí que “</w:t>
      </w:r>
      <w:r w:rsidRPr="00AF629F">
        <w:rPr>
          <w:rFonts w:ascii="Times New Roman" w:hAnsi="Times New Roman" w:cs="Times New Roman"/>
          <w:sz w:val="28"/>
          <w:szCs w:val="28"/>
        </w:rPr>
        <w:t>no deben introducir mo</w:t>
      </w:r>
      <w:r w:rsidRPr="00AF629F">
        <w:rPr>
          <w:rFonts w:ascii="Times New Roman" w:hAnsi="Times New Roman" w:cs="Times New Roman"/>
          <w:sz w:val="28"/>
          <w:szCs w:val="28"/>
        </w:rPr>
        <w:t>dificaciones permanentes en la legislación, ya que esto se encuentra dentro las funciones propias del Órgano Legislativo que deben desarrollarse mediante ley ordinaria”</w:t>
      </w:r>
      <w:r w:rsidRPr="00AF629F">
        <w:rPr>
          <w:rFonts w:ascii="Times New Roman" w:hAnsi="Times New Roman" w:cs="Times New Roman"/>
          <w:sz w:val="28"/>
          <w:szCs w:val="28"/>
        </w:rPr>
        <w:t>. También precisa que esta modificación permanente del ordenamiento jurídico no “tiene u</w:t>
      </w:r>
      <w:r w:rsidRPr="00AF629F">
        <w:rPr>
          <w:rFonts w:ascii="Times New Roman" w:hAnsi="Times New Roman" w:cs="Times New Roman"/>
          <w:sz w:val="28"/>
          <w:szCs w:val="28"/>
        </w:rPr>
        <w:t>n fin planificador y de impulso a la ejecución del Plan cuatrienal</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cuando la licitación pública permite mayor transparencia, máxime cuando se está ante recursos de la seguridad social</w:t>
      </w:r>
      <w:r w:rsidRPr="00AF629F">
        <w:rPr>
          <w:rFonts w:ascii="Times New Roman" w:hAnsi="Times New Roman" w:cs="Times New Roman"/>
          <w:sz w:val="28"/>
          <w:szCs w:val="28"/>
        </w:rPr>
        <w:t>”</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Finalmente, indica que </w:t>
      </w:r>
      <w:r w:rsidRPr="00AF629F">
        <w:rPr>
          <w:rFonts w:ascii="Times New Roman" w:hAnsi="Times New Roman" w:cs="Times New Roman"/>
          <w:sz w:val="28"/>
          <w:szCs w:val="28"/>
        </w:rPr>
        <w:t xml:space="preserve">no existe </w:t>
      </w:r>
      <w:r w:rsidRPr="00AF629F">
        <w:rPr>
          <w:rFonts w:ascii="Times New Roman" w:hAnsi="Times New Roman" w:cs="Times New Roman"/>
          <w:sz w:val="28"/>
          <w:szCs w:val="28"/>
          <w:lang w:val="es-ES" w:eastAsia="es-ES"/>
        </w:rPr>
        <w:t>“</w:t>
      </w:r>
      <w:r w:rsidRPr="00AF629F">
        <w:rPr>
          <w:rFonts w:ascii="Times New Roman" w:hAnsi="Times New Roman" w:cs="Times New Roman"/>
          <w:sz w:val="28"/>
          <w:szCs w:val="28"/>
        </w:rPr>
        <w:t>conexidad directa e inmediata entre</w:t>
      </w:r>
      <w:r w:rsidRPr="00AF629F">
        <w:rPr>
          <w:rFonts w:ascii="Times New Roman" w:hAnsi="Times New Roman" w:cs="Times New Roman"/>
          <w:sz w:val="28"/>
          <w:szCs w:val="28"/>
        </w:rPr>
        <w:t xml:space="preserve"> la disposición demandada y los objetivos, metas, estrategias y políticas enunciados en la parte general del plan</w:t>
      </w:r>
      <w:r w:rsidRPr="00AF629F">
        <w:rPr>
          <w:rFonts w:ascii="Times New Roman" w:hAnsi="Times New Roman" w:cs="Times New Roman"/>
          <w:sz w:val="28"/>
          <w:szCs w:val="28"/>
        </w:rPr>
        <w:t xml:space="preserve"> […] </w:t>
      </w:r>
      <w:r w:rsidRPr="00AF629F">
        <w:rPr>
          <w:rFonts w:ascii="Times New Roman" w:hAnsi="Times New Roman" w:cs="Times New Roman"/>
          <w:sz w:val="28"/>
          <w:szCs w:val="28"/>
        </w:rPr>
        <w:t>por cuanto no es claro cómo el hecho de cambiar la modalidad en la contratación y escogencia de la fiduciaria que administrará los recurso</w:t>
      </w:r>
      <w:r w:rsidRPr="00AF629F">
        <w:rPr>
          <w:rFonts w:ascii="Times New Roman" w:hAnsi="Times New Roman" w:cs="Times New Roman"/>
          <w:sz w:val="28"/>
          <w:szCs w:val="28"/>
        </w:rPr>
        <w:t>s del FONPET, afecta positivamente o es necesaria para la consecución de los fines previstos en el PND”</w:t>
      </w:r>
      <w:r w:rsidRPr="00AF629F">
        <w:rPr>
          <w:rFonts w:ascii="Times New Roman" w:hAnsi="Times New Roman" w:cs="Times New Roman"/>
          <w:sz w:val="28"/>
          <w:szCs w:val="28"/>
        </w:rPr>
        <w:t>.</w:t>
      </w:r>
    </w:p>
    <w:p w:rsidR="00230BF4" w:rsidRPr="00AF629F" w:rsidRDefault="00AF629F" w:rsidP="00230BF4">
      <w:pPr>
        <w:pStyle w:val="Prrafodelista"/>
        <w:ind w:left="0"/>
        <w:jc w:val="both"/>
        <w:rPr>
          <w:rFonts w:ascii="Times New Roman" w:hAnsi="Times New Roman" w:cs="Times New Roman"/>
          <w:sz w:val="28"/>
          <w:szCs w:val="28"/>
        </w:rPr>
      </w:pPr>
    </w:p>
    <w:p w:rsidR="005F2997" w:rsidRPr="00AF629F" w:rsidRDefault="00AF629F" w:rsidP="005F299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Para la Federación </w:t>
      </w:r>
      <w:r w:rsidRPr="00AF629F">
        <w:rPr>
          <w:rFonts w:ascii="Times New Roman" w:hAnsi="Times New Roman" w:cs="Times New Roman"/>
          <w:sz w:val="28"/>
          <w:szCs w:val="28"/>
        </w:rPr>
        <w:t>Colombiana de Municipios “</w:t>
      </w:r>
      <w:r w:rsidRPr="00AF629F">
        <w:rPr>
          <w:rFonts w:ascii="Times New Roman" w:hAnsi="Times New Roman" w:cs="Times New Roman"/>
          <w:sz w:val="28"/>
          <w:szCs w:val="28"/>
        </w:rPr>
        <w:t xml:space="preserve">la norma </w:t>
      </w:r>
      <w:r w:rsidRPr="00AF629F">
        <w:rPr>
          <w:rFonts w:ascii="Times New Roman" w:hAnsi="Times New Roman" w:cs="Times New Roman"/>
          <w:sz w:val="28"/>
          <w:szCs w:val="28"/>
          <w:lang w:val="es-ES"/>
        </w:rPr>
        <w:t>acusada no guarda conexidad con la parte general ni con el plan de inversiones</w:t>
      </w:r>
      <w:r w:rsidRPr="00AF629F">
        <w:rPr>
          <w:rFonts w:ascii="Times New Roman" w:hAnsi="Times New Roman" w:cs="Times New Roman"/>
          <w:sz w:val="28"/>
          <w:szCs w:val="28"/>
          <w:lang w:val="es-ES"/>
        </w:rPr>
        <w:t xml:space="preserve"> del plan de desarrollo, como t</w:t>
      </w:r>
      <w:r w:rsidRPr="00AF629F">
        <w:rPr>
          <w:rFonts w:ascii="Times New Roman" w:hAnsi="Times New Roman" w:cs="Times New Roman"/>
          <w:sz w:val="28"/>
          <w:szCs w:val="28"/>
          <w:lang w:val="es-ES"/>
        </w:rPr>
        <w:t>ampoco</w:t>
      </w:r>
      <w:r w:rsidRPr="00AF629F">
        <w:rPr>
          <w:rFonts w:ascii="Times New Roman" w:hAnsi="Times New Roman" w:cs="Times New Roman"/>
          <w:sz w:val="28"/>
          <w:szCs w:val="28"/>
          <w:lang w:val="es-ES"/>
        </w:rPr>
        <w:t xml:space="preserve"> constituye mecanismo idóneo para alcanzar </w:t>
      </w:r>
      <w:r w:rsidRPr="00AF629F">
        <w:rPr>
          <w:rFonts w:ascii="Times New Roman" w:hAnsi="Times New Roman" w:cs="Times New Roman"/>
          <w:sz w:val="28"/>
          <w:szCs w:val="28"/>
          <w:lang w:val="es-ES"/>
        </w:rPr>
        <w:t>tales objetivos, me</w:t>
      </w:r>
      <w:r w:rsidRPr="00AF629F">
        <w:rPr>
          <w:rFonts w:ascii="Times New Roman" w:hAnsi="Times New Roman" w:cs="Times New Roman"/>
          <w:sz w:val="28"/>
          <w:szCs w:val="28"/>
          <w:lang w:val="es-ES"/>
        </w:rPr>
        <w:t>d</w:t>
      </w:r>
      <w:r w:rsidRPr="00AF629F">
        <w:rPr>
          <w:rFonts w:ascii="Times New Roman" w:hAnsi="Times New Roman" w:cs="Times New Roman"/>
          <w:sz w:val="28"/>
          <w:szCs w:val="28"/>
          <w:lang w:val="es-ES"/>
        </w:rPr>
        <w:t xml:space="preserve">idas, estrategias o políticas, o </w:t>
      </w:r>
      <w:r w:rsidRPr="00AF629F">
        <w:rPr>
          <w:rFonts w:ascii="Times New Roman" w:hAnsi="Times New Roman" w:cs="Times New Roman"/>
          <w:sz w:val="28"/>
          <w:szCs w:val="28"/>
          <w:lang w:val="es-ES"/>
        </w:rPr>
        <w:t>para la ejecución de los programas y proyectos de inversión”.</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 xml:space="preserve">Según indica, dado que los recursos del </w:t>
      </w:r>
      <w:r w:rsidRPr="00AF629F">
        <w:rPr>
          <w:rFonts w:ascii="Times New Roman" w:hAnsi="Times New Roman" w:cs="Times New Roman"/>
          <w:sz w:val="28"/>
          <w:szCs w:val="28"/>
          <w:lang w:val="es-ES"/>
        </w:rPr>
        <w:t xml:space="preserve">FONPET </w:t>
      </w:r>
      <w:r w:rsidRPr="00AF629F">
        <w:rPr>
          <w:rFonts w:ascii="Times New Roman" w:hAnsi="Times New Roman" w:cs="Times New Roman"/>
          <w:sz w:val="28"/>
          <w:szCs w:val="28"/>
          <w:lang w:val="es-ES"/>
        </w:rPr>
        <w:t>corresponden a</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 xml:space="preserve">rentas de propiedad de las entidades territoriales”, “no se ve de qué manera la sola modificación en la forma de contratación </w:t>
      </w:r>
      <w:r w:rsidRPr="00AF629F">
        <w:rPr>
          <w:rFonts w:ascii="Times New Roman" w:hAnsi="Times New Roman" w:cs="Times New Roman"/>
          <w:sz w:val="28"/>
          <w:szCs w:val="28"/>
          <w:lang w:val="es-ES"/>
        </w:rPr>
        <w:t xml:space="preserve">pueda </w:t>
      </w:r>
      <w:r w:rsidRPr="00AF629F">
        <w:rPr>
          <w:rFonts w:ascii="Times New Roman" w:hAnsi="Times New Roman" w:cs="Times New Roman"/>
          <w:sz w:val="28"/>
          <w:szCs w:val="28"/>
          <w:lang w:val="es-ES"/>
        </w:rPr>
        <w:t xml:space="preserve">corresponder a un conjunto de apuestas en materia económica para </w:t>
      </w:r>
      <w:r w:rsidRPr="00AF629F">
        <w:rPr>
          <w:rFonts w:ascii="Times New Roman" w:hAnsi="Times New Roman" w:cs="Times New Roman"/>
          <w:sz w:val="28"/>
          <w:szCs w:val="28"/>
          <w:lang w:val="es-ES"/>
        </w:rPr>
        <w:t xml:space="preserve">garantizar </w:t>
      </w:r>
      <w:r w:rsidRPr="00AF629F">
        <w:rPr>
          <w:rFonts w:ascii="Times New Roman" w:hAnsi="Times New Roman" w:cs="Times New Roman"/>
          <w:sz w:val="28"/>
          <w:szCs w:val="28"/>
          <w:lang w:val="es-ES"/>
        </w:rPr>
        <w:t xml:space="preserve">la disponibilidad de recursos que permitan </w:t>
      </w:r>
      <w:r w:rsidRPr="00AF629F">
        <w:rPr>
          <w:rFonts w:ascii="Times New Roman" w:hAnsi="Times New Roman" w:cs="Times New Roman"/>
          <w:sz w:val="28"/>
          <w:szCs w:val="28"/>
          <w:lang w:val="es-ES"/>
        </w:rPr>
        <w:t>financiar las transformaciones</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 xml:space="preserve">máxime que </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esos recursos</w:t>
      </w:r>
      <w:r w:rsidRPr="00AF629F">
        <w:rPr>
          <w:rFonts w:ascii="Times New Roman" w:hAnsi="Times New Roman" w:cs="Times New Roman"/>
          <w:sz w:val="28"/>
          <w:szCs w:val="28"/>
          <w:lang w:val="es-ES"/>
        </w:rPr>
        <w:t xml:space="preserve"> […] </w:t>
      </w:r>
      <w:r w:rsidRPr="00AF629F">
        <w:rPr>
          <w:rFonts w:ascii="Times New Roman" w:hAnsi="Times New Roman" w:cs="Times New Roman"/>
          <w:sz w:val="28"/>
          <w:szCs w:val="28"/>
          <w:lang w:val="es-ES"/>
        </w:rPr>
        <w:t>están afectados por una destinación específica”</w:t>
      </w:r>
      <w:r w:rsidRPr="00AF629F">
        <w:rPr>
          <w:rFonts w:ascii="Times New Roman" w:hAnsi="Times New Roman" w:cs="Times New Roman"/>
          <w:sz w:val="28"/>
          <w:szCs w:val="28"/>
          <w:lang w:val="es-ES"/>
        </w:rPr>
        <w:t>.</w:t>
      </w:r>
    </w:p>
    <w:p w:rsidR="0085437F" w:rsidRPr="00AF629F" w:rsidRDefault="00AF629F" w:rsidP="0085437F">
      <w:pPr>
        <w:pStyle w:val="Prrafodelista"/>
        <w:rPr>
          <w:rFonts w:ascii="Times New Roman" w:hAnsi="Times New Roman" w:cs="Times New Roman"/>
          <w:sz w:val="28"/>
          <w:szCs w:val="28"/>
        </w:rPr>
      </w:pPr>
    </w:p>
    <w:p w:rsidR="0085437F" w:rsidRPr="00AF629F" w:rsidRDefault="00AF629F" w:rsidP="002D278C">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Para la Federación Nacional de Departamentos</w:t>
      </w:r>
      <w:r w:rsidRPr="00AF629F">
        <w:rPr>
          <w:rFonts w:ascii="Times New Roman" w:hAnsi="Times New Roman" w:cs="Times New Roman"/>
          <w:sz w:val="28"/>
          <w:szCs w:val="28"/>
        </w:rPr>
        <w:t xml:space="preserve"> la disposición demandada “no se refiere ni guarda relación alguna con la habilitación o uso de los</w:t>
      </w:r>
      <w:r w:rsidRPr="00AF629F">
        <w:rPr>
          <w:rFonts w:ascii="Times New Roman" w:hAnsi="Times New Roman" w:cs="Times New Roman"/>
          <w:sz w:val="28"/>
          <w:szCs w:val="28"/>
        </w:rPr>
        <w:t xml:space="preserve"> recursos del FONPET para la financiación de los proyectos de inversión o apuestas espec</w:t>
      </w:r>
      <w:r w:rsidRPr="00AF629F">
        <w:rPr>
          <w:rFonts w:ascii="Times New Roman" w:hAnsi="Times New Roman" w:cs="Times New Roman"/>
          <w:sz w:val="28"/>
          <w:szCs w:val="28"/>
        </w:rPr>
        <w:t>í</w:t>
      </w:r>
      <w:r w:rsidRPr="00AF629F">
        <w:rPr>
          <w:rFonts w:ascii="Times New Roman" w:hAnsi="Times New Roman" w:cs="Times New Roman"/>
          <w:sz w:val="28"/>
          <w:szCs w:val="28"/>
        </w:rPr>
        <w:t xml:space="preserve">ficas contenidas en el Plan Nacional de Desarrollo”, </w:t>
      </w:r>
      <w:r w:rsidRPr="00AF629F">
        <w:rPr>
          <w:rFonts w:ascii="Times New Roman" w:hAnsi="Times New Roman" w:cs="Times New Roman"/>
          <w:sz w:val="28"/>
          <w:szCs w:val="28"/>
        </w:rPr>
        <w:t xml:space="preserve">y, por tanto, </w:t>
      </w:r>
      <w:r w:rsidRPr="00AF629F">
        <w:rPr>
          <w:rFonts w:ascii="Times New Roman" w:hAnsi="Times New Roman" w:cs="Times New Roman"/>
          <w:sz w:val="28"/>
          <w:szCs w:val="28"/>
        </w:rPr>
        <w:t>no cumple con las exigencias derivadas del principio de unidad de materia en este ámbito específico.</w:t>
      </w:r>
      <w:r w:rsidRPr="00AF629F">
        <w:rPr>
          <w:rFonts w:ascii="Times New Roman" w:hAnsi="Times New Roman" w:cs="Times New Roman"/>
          <w:sz w:val="28"/>
          <w:szCs w:val="28"/>
        </w:rPr>
        <w:t xml:space="preserve"> Para justificar esta inferencia </w:t>
      </w:r>
      <w:r w:rsidRPr="00AF629F">
        <w:rPr>
          <w:rFonts w:ascii="Times New Roman" w:hAnsi="Times New Roman" w:cs="Times New Roman"/>
          <w:sz w:val="28"/>
          <w:szCs w:val="28"/>
        </w:rPr>
        <w:t>expone</w:t>
      </w:r>
      <w:r w:rsidRPr="00AF629F">
        <w:rPr>
          <w:rFonts w:ascii="Times New Roman" w:hAnsi="Times New Roman" w:cs="Times New Roman"/>
          <w:sz w:val="28"/>
          <w:szCs w:val="28"/>
        </w:rPr>
        <w:t xml:space="preserve"> tres razones: en primer lugar, </w:t>
      </w:r>
      <w:r w:rsidRPr="00AF629F">
        <w:rPr>
          <w:rFonts w:ascii="Times New Roman" w:hAnsi="Times New Roman" w:cs="Times New Roman"/>
          <w:sz w:val="28"/>
          <w:szCs w:val="28"/>
        </w:rPr>
        <w:t xml:space="preserve">“el Gobierno nacional estaría facultándose para hacer la contratación directa para la administración del FONPET y a su vez cierra el tipo de entidades habilitadas en el mercado para la </w:t>
      </w:r>
      <w:r w:rsidRPr="00AF629F">
        <w:rPr>
          <w:rFonts w:ascii="Times New Roman" w:hAnsi="Times New Roman" w:cs="Times New Roman"/>
          <w:sz w:val="28"/>
          <w:szCs w:val="28"/>
        </w:rPr>
        <w:t xml:space="preserve">administración de estos importantes recursos solamente a sociedades fiduciarias de carácter público, mientras que la Ley 549 establece la licitación pública como mecanismo de contratación para elegir entre una natural mayor pluralidad de oferentes”. </w:t>
      </w:r>
      <w:r w:rsidRPr="00AF629F">
        <w:rPr>
          <w:rFonts w:ascii="Times New Roman" w:hAnsi="Times New Roman" w:cs="Times New Roman"/>
          <w:sz w:val="28"/>
          <w:szCs w:val="28"/>
        </w:rPr>
        <w:t>En seg</w:t>
      </w:r>
      <w:r w:rsidRPr="00AF629F">
        <w:rPr>
          <w:rFonts w:ascii="Times New Roman" w:hAnsi="Times New Roman" w:cs="Times New Roman"/>
          <w:sz w:val="28"/>
          <w:szCs w:val="28"/>
        </w:rPr>
        <w:t>undo lugar</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señala que, “[d]el análisis armónico del contenido de la norma demanda (artículo 322 de la Ley 2294 de 2023), con la justificación de la necesidad planteada en el documento </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Bases del Plan Nacional de Desarrollo 2022-2026 Colombia Potencia </w:t>
      </w:r>
      <w:r w:rsidRPr="00AF629F">
        <w:rPr>
          <w:rFonts w:ascii="Times New Roman" w:hAnsi="Times New Roman" w:cs="Times New Roman"/>
          <w:sz w:val="28"/>
          <w:szCs w:val="28"/>
        </w:rPr>
        <w:t>Mundial de la Vida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[en particular, lo indicado </w:t>
      </w:r>
      <w:r w:rsidRPr="00AF629F">
        <w:rPr>
          <w:rFonts w:ascii="Times New Roman" w:hAnsi="Times New Roman" w:cs="Times New Roman"/>
          <w:sz w:val="28"/>
          <w:szCs w:val="28"/>
        </w:rPr>
        <w:t>“en el acápite ‘Estabilidad Macroeconómica’ (pag.</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276), en el literal ‘B. Progresividad y sostenibilidad fiscal’</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se observa que efectivamente no existe una conexidad directa ni inmediata entre estos, pues </w:t>
      </w:r>
      <w:r w:rsidRPr="00AF629F">
        <w:rPr>
          <w:rFonts w:ascii="Times New Roman" w:hAnsi="Times New Roman" w:cs="Times New Roman"/>
          <w:sz w:val="28"/>
          <w:szCs w:val="28"/>
        </w:rPr>
        <w:t xml:space="preserve">la autorización conferida al Ministerio de Hacienda y Crédito Público para contratar directamente la administración de los recursos del FONPET mediante fiduciarias públicas, no implica per se, ni de manera conexa mejorar la inversión social o un mejor uso </w:t>
      </w:r>
      <w:r w:rsidRPr="00AF629F">
        <w:rPr>
          <w:rFonts w:ascii="Times New Roman" w:hAnsi="Times New Roman" w:cs="Times New Roman"/>
          <w:sz w:val="28"/>
          <w:szCs w:val="28"/>
        </w:rPr>
        <w:t>de los recursos del FONPET para el pago de los pasivos pensionales; lo cual en ultimas</w:t>
      </w:r>
      <w:r w:rsidRPr="00AF629F">
        <w:rPr>
          <w:rFonts w:ascii="Times New Roman" w:hAnsi="Times New Roman" w:cs="Times New Roman"/>
          <w:sz w:val="28"/>
          <w:szCs w:val="28"/>
        </w:rPr>
        <w:t xml:space="preserve"> [sic]</w:t>
      </w:r>
      <w:r w:rsidRPr="00AF629F">
        <w:rPr>
          <w:rFonts w:ascii="Times New Roman" w:hAnsi="Times New Roman" w:cs="Times New Roman"/>
          <w:sz w:val="28"/>
          <w:szCs w:val="28"/>
        </w:rPr>
        <w:t xml:space="preserve"> es el objetivo macroeconómico propuesto</w:t>
      </w:r>
      <w:r w:rsidRPr="00AF629F">
        <w:rPr>
          <w:rFonts w:ascii="Times New Roman" w:hAnsi="Times New Roman" w:cs="Times New Roman"/>
          <w:sz w:val="28"/>
          <w:szCs w:val="28"/>
        </w:rPr>
        <w:t>”</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En tercer lugar, manifiesta que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“es de suma importancia tener en cuenta la naturaleza jurídica, titularidad y la destina</w:t>
      </w:r>
      <w:r w:rsidRPr="00AF629F">
        <w:rPr>
          <w:rFonts w:ascii="Times New Roman" w:hAnsi="Times New Roman" w:cs="Times New Roman"/>
          <w:sz w:val="28"/>
          <w:szCs w:val="28"/>
        </w:rPr>
        <w:t>ción específica que ostentan dichos recursos como se advirtió anteriormente, ya que al ser rentas de propiedad de las entidades territoriales para garantizar el pago de obligaciones pensionales, no podrían</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respaldar apuestas macroeconómicas o considerarse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concurrentes de otras fuentes de recursos, ‘para financiar proyectos catalizadores de gran impacto regional, que promuevan sostenidamente el bienestar económico, social y ambiental, de forma inclusiva</w:t>
      </w:r>
      <w:r w:rsidRPr="00AF629F">
        <w:rPr>
          <w:rFonts w:ascii="Times New Roman" w:hAnsi="Times New Roman" w:cs="Times New Roman"/>
          <w:sz w:val="28"/>
          <w:szCs w:val="28"/>
        </w:rPr>
        <w:t>’.</w:t>
      </w:r>
      <w:r w:rsidRPr="00AF629F">
        <w:rPr>
          <w:rFonts w:ascii="Times New Roman" w:hAnsi="Times New Roman" w:cs="Times New Roman"/>
          <w:sz w:val="28"/>
          <w:szCs w:val="28"/>
        </w:rPr>
        <w:t>”</w:t>
      </w:r>
      <w:r w:rsidRPr="00AF629F">
        <w:rPr>
          <w:rFonts w:ascii="Times New Roman" w:hAnsi="Times New Roman" w:cs="Times New Roman"/>
          <w:sz w:val="28"/>
          <w:szCs w:val="28"/>
        </w:rPr>
        <w:t>.</w:t>
      </w:r>
    </w:p>
    <w:p w:rsidR="00D46748" w:rsidRPr="00AF629F" w:rsidRDefault="00AF629F" w:rsidP="00D46748">
      <w:pPr>
        <w:pStyle w:val="Prrafodelista"/>
        <w:ind w:left="0"/>
        <w:jc w:val="both"/>
        <w:rPr>
          <w:rFonts w:ascii="Times New Roman" w:hAnsi="Times New Roman" w:cs="Times New Roman"/>
          <w:sz w:val="28"/>
          <w:szCs w:val="28"/>
        </w:rPr>
      </w:pPr>
    </w:p>
    <w:p w:rsidR="00D46748" w:rsidRPr="00AF629F" w:rsidRDefault="00AF629F" w:rsidP="002D278C">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Finalmente, </w:t>
      </w:r>
      <w:r w:rsidRPr="00AF629F">
        <w:rPr>
          <w:rFonts w:ascii="Times New Roman" w:hAnsi="Times New Roman" w:cs="Times New Roman"/>
          <w:sz w:val="28"/>
          <w:szCs w:val="28"/>
        </w:rPr>
        <w:t xml:space="preserve">para </w:t>
      </w:r>
      <w:r w:rsidRPr="00AF629F">
        <w:rPr>
          <w:rFonts w:ascii="Times New Roman" w:hAnsi="Times New Roman" w:cs="Times New Roman"/>
          <w:sz w:val="28"/>
          <w:szCs w:val="28"/>
        </w:rPr>
        <w:t xml:space="preserve">la Universidad Pontificia </w:t>
      </w:r>
      <w:r w:rsidRPr="00AF629F">
        <w:rPr>
          <w:rFonts w:ascii="Times New Roman" w:hAnsi="Times New Roman" w:cs="Times New Roman"/>
          <w:sz w:val="28"/>
          <w:szCs w:val="28"/>
        </w:rPr>
        <w:t>Bolivariana de Medellín (clínica jurídica de la Facultad de Derecho)</w:t>
      </w:r>
      <w:r w:rsidRPr="00AF629F">
        <w:rPr>
          <w:rFonts w:ascii="Times New Roman" w:hAnsi="Times New Roman" w:cs="Times New Roman"/>
          <w:sz w:val="28"/>
          <w:szCs w:val="28"/>
        </w:rPr>
        <w:t xml:space="preserve"> “la disposición normativa acusada no da cuenta de una relación de conexidad directa e inmediata con los objetivos, metas, programas y proyectos de la Ley 2294 de 2023, las Bases del Plan </w:t>
      </w:r>
      <w:r w:rsidRPr="00AF629F">
        <w:rPr>
          <w:rFonts w:ascii="Times New Roman" w:hAnsi="Times New Roman" w:cs="Times New Roman"/>
          <w:sz w:val="28"/>
          <w:szCs w:val="28"/>
        </w:rPr>
        <w:t xml:space="preserve">Nacional de Desarrollo y el Plan </w:t>
      </w:r>
      <w:r w:rsidRPr="00AF629F">
        <w:rPr>
          <w:rFonts w:ascii="Times New Roman" w:hAnsi="Times New Roman" w:cs="Times New Roman"/>
          <w:sz w:val="28"/>
          <w:szCs w:val="28"/>
        </w:rPr>
        <w:t>Plurianual</w:t>
      </w:r>
      <w:r w:rsidRPr="00AF629F">
        <w:rPr>
          <w:rFonts w:ascii="Times New Roman" w:hAnsi="Times New Roman" w:cs="Times New Roman"/>
          <w:sz w:val="28"/>
          <w:szCs w:val="28"/>
        </w:rPr>
        <w:t xml:space="preserve"> de Inversiones. Flexibilizar las condiciones de contratación, autorizando la modalidad de contratación directa mediante convenios interadministrativos, no encuentra una razón suficiente en los fundamentos teleoló</w:t>
      </w:r>
      <w:r w:rsidRPr="00AF629F">
        <w:rPr>
          <w:rFonts w:ascii="Times New Roman" w:hAnsi="Times New Roman" w:cs="Times New Roman"/>
          <w:sz w:val="28"/>
          <w:szCs w:val="28"/>
        </w:rPr>
        <w:t>gicos del PND”</w:t>
      </w:r>
      <w:r w:rsidRPr="00AF629F">
        <w:rPr>
          <w:rStyle w:val="Refdenotaalpie"/>
          <w:rFonts w:ascii="Times New Roman" w:hAnsi="Times New Roman" w:cs="Times New Roman"/>
          <w:sz w:val="28"/>
          <w:szCs w:val="28"/>
        </w:rPr>
        <w:footnoteReference w:id="12"/>
      </w:r>
      <w:r w:rsidRPr="00AF629F">
        <w:rPr>
          <w:rFonts w:ascii="Times New Roman" w:hAnsi="Times New Roman" w:cs="Times New Roman"/>
          <w:sz w:val="28"/>
          <w:szCs w:val="28"/>
        </w:rPr>
        <w:t>.</w:t>
      </w:r>
    </w:p>
    <w:p w:rsidR="00586507" w:rsidRPr="00AF629F" w:rsidRDefault="00AF629F" w:rsidP="00CD65A7">
      <w:pPr>
        <w:rPr>
          <w:rFonts w:ascii="Times New Roman" w:hAnsi="Times New Roman" w:cs="Times New Roman"/>
          <w:sz w:val="28"/>
          <w:szCs w:val="28"/>
        </w:rPr>
      </w:pPr>
    </w:p>
    <w:p w:rsidR="00086EB8" w:rsidRPr="00AF629F" w:rsidRDefault="00AF629F" w:rsidP="00020271">
      <w:pPr>
        <w:jc w:val="both"/>
        <w:rPr>
          <w:rFonts w:ascii="Times New Roman" w:hAnsi="Times New Roman" w:cs="Times New Roman"/>
          <w:sz w:val="28"/>
          <w:szCs w:val="28"/>
          <w:lang w:val="es-ES_tradnl"/>
        </w:rPr>
      </w:pPr>
    </w:p>
    <w:p w:rsidR="008278C2" w:rsidRPr="00AF629F" w:rsidRDefault="00AF629F" w:rsidP="00020271">
      <w:pPr>
        <w:pStyle w:val="Estilo1"/>
        <w:numPr>
          <w:ilvl w:val="0"/>
          <w:numId w:val="1"/>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CONCEPTO DE LA PROCURADORA GENERAL DE LA NACIÓN</w:t>
      </w:r>
    </w:p>
    <w:p w:rsidR="009D02BA" w:rsidRPr="00AF629F" w:rsidRDefault="00AF629F" w:rsidP="00020271">
      <w:pPr>
        <w:pStyle w:val="Prrafodelista"/>
        <w:rPr>
          <w:rFonts w:ascii="Times New Roman" w:hAnsi="Times New Roman" w:cs="Times New Roman"/>
          <w:bCs/>
          <w:sz w:val="28"/>
          <w:szCs w:val="28"/>
        </w:rPr>
      </w:pPr>
    </w:p>
    <w:p w:rsidR="009D02BA" w:rsidRPr="00AF629F" w:rsidRDefault="00AF629F" w:rsidP="00020271">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 xml:space="preserve">Mediante el concepto n.° </w:t>
      </w:r>
      <w:r w:rsidRPr="00AF629F">
        <w:rPr>
          <w:rFonts w:ascii="Times New Roman" w:hAnsi="Times New Roman" w:cs="Times New Roman"/>
          <w:bCs/>
          <w:sz w:val="28"/>
          <w:szCs w:val="28"/>
        </w:rPr>
        <w:t>7266</w:t>
      </w:r>
      <w:r w:rsidRPr="00AF629F">
        <w:rPr>
          <w:rFonts w:ascii="Times New Roman" w:hAnsi="Times New Roman" w:cs="Times New Roman"/>
          <w:bCs/>
          <w:sz w:val="28"/>
          <w:szCs w:val="28"/>
        </w:rPr>
        <w:t xml:space="preserve">, de </w:t>
      </w:r>
      <w:r w:rsidRPr="00AF629F">
        <w:rPr>
          <w:rFonts w:ascii="Times New Roman" w:hAnsi="Times New Roman" w:cs="Times New Roman"/>
          <w:bCs/>
          <w:sz w:val="28"/>
          <w:szCs w:val="28"/>
        </w:rPr>
        <w:t xml:space="preserve">septiembre 25 </w:t>
      </w:r>
      <w:r w:rsidRPr="00AF629F">
        <w:rPr>
          <w:rFonts w:ascii="Times New Roman" w:hAnsi="Times New Roman" w:cs="Times New Roman"/>
          <w:bCs/>
          <w:sz w:val="28"/>
          <w:szCs w:val="28"/>
        </w:rPr>
        <w:t>de 2023, la Procuradora General de la Nación solicit</w:t>
      </w:r>
      <w:r w:rsidRPr="00AF629F">
        <w:rPr>
          <w:rFonts w:ascii="Times New Roman" w:hAnsi="Times New Roman" w:cs="Times New Roman"/>
          <w:bCs/>
          <w:sz w:val="28"/>
          <w:szCs w:val="28"/>
        </w:rPr>
        <w:t>ó</w:t>
      </w:r>
      <w:r w:rsidRPr="00AF629F">
        <w:rPr>
          <w:rFonts w:ascii="Times New Roman" w:hAnsi="Times New Roman" w:cs="Times New Roman"/>
          <w:bCs/>
          <w:sz w:val="28"/>
          <w:szCs w:val="28"/>
        </w:rPr>
        <w:t xml:space="preserve"> la declaratoria de </w:t>
      </w:r>
      <w:r w:rsidRPr="00AF629F">
        <w:rPr>
          <w:rFonts w:ascii="Times New Roman" w:hAnsi="Times New Roman" w:cs="Times New Roman"/>
          <w:bCs/>
          <w:sz w:val="28"/>
          <w:szCs w:val="28"/>
        </w:rPr>
        <w:t xml:space="preserve">inexequibilidad </w:t>
      </w:r>
      <w:r w:rsidRPr="00AF629F">
        <w:rPr>
          <w:rFonts w:ascii="Times New Roman" w:hAnsi="Times New Roman" w:cs="Times New Roman"/>
          <w:bCs/>
          <w:sz w:val="28"/>
          <w:szCs w:val="28"/>
        </w:rPr>
        <w:t>d</w:t>
      </w:r>
      <w:r w:rsidRPr="00AF629F">
        <w:rPr>
          <w:rFonts w:ascii="Times New Roman" w:hAnsi="Times New Roman" w:cs="Times New Roman"/>
          <w:sz w:val="28"/>
          <w:szCs w:val="28"/>
        </w:rPr>
        <w:t xml:space="preserve">el </w:t>
      </w:r>
      <w:r w:rsidRPr="00AF629F">
        <w:rPr>
          <w:rFonts w:ascii="Times New Roman" w:hAnsi="Times New Roman" w:cs="Times New Roman"/>
          <w:sz w:val="28"/>
          <w:szCs w:val="28"/>
          <w:lang w:val="es-ES_tradnl"/>
        </w:rPr>
        <w:t>artículo 322 de la Ley 2294 de 2023</w:t>
      </w:r>
      <w:r w:rsidRPr="00AF629F">
        <w:rPr>
          <w:rFonts w:ascii="Times New Roman" w:hAnsi="Times New Roman" w:cs="Times New Roman"/>
          <w:bCs/>
          <w:sz w:val="28"/>
          <w:szCs w:val="28"/>
        </w:rPr>
        <w:t xml:space="preserve">, al </w:t>
      </w:r>
      <w:r w:rsidRPr="00AF629F">
        <w:rPr>
          <w:rFonts w:ascii="Times New Roman" w:hAnsi="Times New Roman" w:cs="Times New Roman"/>
          <w:bCs/>
          <w:sz w:val="28"/>
          <w:szCs w:val="28"/>
        </w:rPr>
        <w:t>evidenciar el desconocimiento del artículo 158 de la Constitución</w:t>
      </w:r>
      <w:r w:rsidRPr="00AF629F">
        <w:rPr>
          <w:rFonts w:ascii="Times New Roman" w:hAnsi="Times New Roman" w:cs="Times New Roman"/>
          <w:bCs/>
          <w:sz w:val="28"/>
          <w:szCs w:val="28"/>
        </w:rPr>
        <w:t xml:space="preserve">, por </w:t>
      </w:r>
      <w:r w:rsidRPr="00AF629F">
        <w:rPr>
          <w:rFonts w:ascii="Times New Roman" w:hAnsi="Times New Roman" w:cs="Times New Roman"/>
          <w:bCs/>
          <w:sz w:val="28"/>
          <w:szCs w:val="28"/>
        </w:rPr>
        <w:t>considerar que</w:t>
      </w:r>
      <w:r w:rsidRPr="00AF629F">
        <w:rPr>
          <w:rFonts w:ascii="Times New Roman" w:hAnsi="Times New Roman" w:cs="Times New Roman"/>
          <w:bCs/>
          <w:sz w:val="28"/>
          <w:szCs w:val="28"/>
        </w:rPr>
        <w:t xml:space="preserve"> “</w:t>
      </w:r>
      <w:r w:rsidRPr="00AF629F">
        <w:rPr>
          <w:rFonts w:ascii="Times New Roman" w:hAnsi="Times New Roman" w:cs="Times New Roman"/>
          <w:sz w:val="28"/>
          <w:szCs w:val="28"/>
        </w:rPr>
        <w:t>se trata de una disposición que no cumple con la exigencia de conexidad razonable con el cuerpo normativo en el que se encuentra contenida”</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El fundamento abstracto de e</w:t>
      </w:r>
      <w:r w:rsidRPr="00AF629F">
        <w:rPr>
          <w:rFonts w:ascii="Times New Roman" w:hAnsi="Times New Roman" w:cs="Times New Roman"/>
          <w:bCs/>
          <w:sz w:val="28"/>
          <w:szCs w:val="28"/>
        </w:rPr>
        <w:t>ste razonamiento</w:t>
      </w:r>
      <w:r w:rsidRPr="00AF629F">
        <w:rPr>
          <w:rFonts w:ascii="Times New Roman" w:hAnsi="Times New Roman" w:cs="Times New Roman"/>
          <w:bCs/>
          <w:sz w:val="28"/>
          <w:szCs w:val="28"/>
        </w:rPr>
        <w:t xml:space="preserve">, que deriva de su interpretación </w:t>
      </w:r>
      <w:r w:rsidRPr="00AF629F">
        <w:rPr>
          <w:rFonts w:ascii="Times New Roman" w:hAnsi="Times New Roman" w:cs="Times New Roman"/>
          <w:sz w:val="28"/>
          <w:szCs w:val="28"/>
        </w:rPr>
        <w:t>de los artículos 339 a 344 de la Constitución, y de lo resuelto en las sentencias C-219 de 2019, C-068 de 2020, C-276 de 2021 y C-049 de 2022,</w:t>
      </w:r>
      <w:r w:rsidRPr="00AF629F">
        <w:rPr>
          <w:rFonts w:ascii="Times New Roman" w:hAnsi="Times New Roman" w:cs="Times New Roman"/>
          <w:bCs/>
          <w:sz w:val="28"/>
          <w:szCs w:val="28"/>
        </w:rPr>
        <w:t xml:space="preserve"> es el siguiente:</w:t>
      </w:r>
    </w:p>
    <w:p w:rsidR="002657F9" w:rsidRPr="00AF629F" w:rsidRDefault="00AF629F" w:rsidP="002657F9">
      <w:pPr>
        <w:pStyle w:val="Prrafodelista"/>
        <w:ind w:left="0"/>
        <w:jc w:val="both"/>
        <w:rPr>
          <w:rFonts w:ascii="Times New Roman" w:hAnsi="Times New Roman" w:cs="Times New Roman"/>
          <w:bCs/>
          <w:sz w:val="28"/>
          <w:szCs w:val="28"/>
        </w:rPr>
      </w:pPr>
    </w:p>
    <w:p w:rsidR="00B32940" w:rsidRPr="00AF629F" w:rsidRDefault="00AF629F" w:rsidP="00FF2175">
      <w:pPr>
        <w:pStyle w:val="Prrafodelista"/>
        <w:ind w:left="567" w:right="616"/>
        <w:jc w:val="both"/>
        <w:rPr>
          <w:rFonts w:ascii="Times New Roman" w:hAnsi="Times New Roman" w:cs="Times New Roman"/>
          <w:bCs/>
          <w:sz w:val="28"/>
          <w:szCs w:val="24"/>
        </w:rPr>
      </w:pPr>
      <w:r w:rsidRPr="00AF629F">
        <w:rPr>
          <w:rFonts w:ascii="Times New Roman" w:hAnsi="Times New Roman" w:cs="Times New Roman"/>
          <w:bCs/>
          <w:sz w:val="28"/>
          <w:szCs w:val="24"/>
        </w:rPr>
        <w:t>“</w:t>
      </w:r>
      <w:r w:rsidRPr="00AF629F">
        <w:rPr>
          <w:rFonts w:ascii="Times New Roman" w:hAnsi="Times New Roman" w:cs="Times New Roman"/>
          <w:sz w:val="28"/>
          <w:szCs w:val="24"/>
        </w:rPr>
        <w:t xml:space="preserve">la modificación de normas ordinarias relacionadas con la administración, la organización y el funcionamiento de los sistemas de seguridad social por medio de leyes que aprueban planes nacionales de desarrollo resulta una operación </w:t>
      </w:r>
      <w:r w:rsidRPr="00AF629F">
        <w:rPr>
          <w:rFonts w:ascii="Times New Roman" w:hAnsi="Times New Roman" w:cs="Times New Roman"/>
          <w:i/>
          <w:iCs/>
          <w:sz w:val="28"/>
          <w:szCs w:val="24"/>
        </w:rPr>
        <w:t>prima facie</w:t>
      </w:r>
      <w:r w:rsidRPr="00AF629F">
        <w:rPr>
          <w:rFonts w:ascii="Times New Roman" w:hAnsi="Times New Roman" w:cs="Times New Roman"/>
          <w:sz w:val="28"/>
          <w:szCs w:val="24"/>
        </w:rPr>
        <w:t xml:space="preserve"> inconstitucio</w:t>
      </w:r>
      <w:r w:rsidRPr="00AF629F">
        <w:rPr>
          <w:rFonts w:ascii="Times New Roman" w:hAnsi="Times New Roman" w:cs="Times New Roman"/>
          <w:sz w:val="28"/>
          <w:szCs w:val="24"/>
        </w:rPr>
        <w:t xml:space="preserve">nal. Ello, porque si bien, por lo general, es posible encontrar alguna conexidad genérica de las mismas con los programas, inversiones y políticas sociales que deben incluirse por mandato superior en dichos cuerpos normativos, lo cierto es que se trata de </w:t>
      </w:r>
      <w:r w:rsidRPr="00AF629F">
        <w:rPr>
          <w:rFonts w:ascii="Times New Roman" w:hAnsi="Times New Roman" w:cs="Times New Roman"/>
          <w:sz w:val="28"/>
          <w:szCs w:val="24"/>
        </w:rPr>
        <w:t xml:space="preserve">subrogaciones que, en la mayoría de los eventos, guardan una correspondencia hipotética, conjetural e indirecta con los objetivos generales de los planes respectivos”. Lo anterior, en la medida en que “se trata de preceptos que se limitan a </w:t>
      </w:r>
      <w:r w:rsidRPr="00AF629F">
        <w:rPr>
          <w:rFonts w:ascii="Times New Roman" w:hAnsi="Times New Roman" w:cs="Times New Roman"/>
          <w:sz w:val="28"/>
          <w:szCs w:val="24"/>
        </w:rPr>
        <w:t>‘</w:t>
      </w:r>
      <w:r w:rsidRPr="00AF629F">
        <w:rPr>
          <w:rFonts w:ascii="Times New Roman" w:hAnsi="Times New Roman" w:cs="Times New Roman"/>
          <w:sz w:val="28"/>
          <w:szCs w:val="24"/>
        </w:rPr>
        <w:t>subsanar defic</w:t>
      </w:r>
      <w:r w:rsidRPr="00AF629F">
        <w:rPr>
          <w:rFonts w:ascii="Times New Roman" w:hAnsi="Times New Roman" w:cs="Times New Roman"/>
          <w:sz w:val="28"/>
          <w:szCs w:val="24"/>
        </w:rPr>
        <w:t>iencias</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o </w:t>
      </w:r>
      <w:r w:rsidRPr="00AF629F">
        <w:rPr>
          <w:rFonts w:ascii="Times New Roman" w:hAnsi="Times New Roman" w:cs="Times New Roman"/>
          <w:sz w:val="28"/>
          <w:szCs w:val="24"/>
        </w:rPr>
        <w:t>‘</w:t>
      </w:r>
      <w:r w:rsidRPr="00AF629F">
        <w:rPr>
          <w:rFonts w:ascii="Times New Roman" w:hAnsi="Times New Roman" w:cs="Times New Roman"/>
          <w:sz w:val="28"/>
          <w:szCs w:val="24"/>
        </w:rPr>
        <w:t>problemáticas</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detectadas </w:t>
      </w:r>
      <w:r w:rsidRPr="00AF629F">
        <w:rPr>
          <w:rFonts w:ascii="Times New Roman" w:hAnsi="Times New Roman" w:cs="Times New Roman"/>
          <w:sz w:val="28"/>
          <w:szCs w:val="24"/>
        </w:rPr>
        <w:t>‘</w:t>
      </w:r>
      <w:r w:rsidRPr="00AF629F">
        <w:rPr>
          <w:rFonts w:ascii="Times New Roman" w:hAnsi="Times New Roman" w:cs="Times New Roman"/>
          <w:sz w:val="28"/>
          <w:szCs w:val="24"/>
        </w:rPr>
        <w:t>en sistemas preexistentes</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de seguridad social, eludiendo el trámite legislativo ordinario, en el que se puede adelantar </w:t>
      </w:r>
      <w:r w:rsidRPr="00AF629F">
        <w:rPr>
          <w:rFonts w:ascii="Times New Roman" w:hAnsi="Times New Roman" w:cs="Times New Roman"/>
          <w:sz w:val="28"/>
          <w:szCs w:val="24"/>
        </w:rPr>
        <w:t>‘</w:t>
      </w:r>
      <w:r w:rsidRPr="00AF629F">
        <w:rPr>
          <w:rFonts w:ascii="Times New Roman" w:hAnsi="Times New Roman" w:cs="Times New Roman"/>
          <w:sz w:val="28"/>
          <w:szCs w:val="24"/>
        </w:rPr>
        <w:t>un debate informado y suficiente que preserve la necesaria deliberación democrática</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sobre la m</w:t>
      </w:r>
      <w:r w:rsidRPr="00AF629F">
        <w:rPr>
          <w:rFonts w:ascii="Times New Roman" w:hAnsi="Times New Roman" w:cs="Times New Roman"/>
          <w:sz w:val="28"/>
          <w:szCs w:val="24"/>
        </w:rPr>
        <w:t>ateria”.”</w:t>
      </w:r>
    </w:p>
    <w:p w:rsidR="00B32940" w:rsidRPr="00AF629F" w:rsidRDefault="00AF629F" w:rsidP="002657F9">
      <w:pPr>
        <w:pStyle w:val="Prrafodelista"/>
        <w:ind w:left="0"/>
        <w:jc w:val="both"/>
        <w:rPr>
          <w:rFonts w:ascii="Times New Roman" w:hAnsi="Times New Roman" w:cs="Times New Roman"/>
          <w:bCs/>
          <w:sz w:val="28"/>
          <w:szCs w:val="28"/>
        </w:rPr>
      </w:pPr>
    </w:p>
    <w:p w:rsidR="0073176D" w:rsidRPr="00AF629F" w:rsidRDefault="00AF629F" w:rsidP="00D169D5">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En relación con el caso concreto, la te</w:t>
      </w:r>
      <w:r w:rsidRPr="00AF629F">
        <w:rPr>
          <w:rFonts w:ascii="Times New Roman" w:hAnsi="Times New Roman" w:cs="Times New Roman"/>
          <w:bCs/>
          <w:sz w:val="28"/>
          <w:szCs w:val="28"/>
        </w:rPr>
        <w:t xml:space="preserve">sis del concepto la justifica en las siguientes </w:t>
      </w:r>
      <w:r w:rsidRPr="00AF629F">
        <w:rPr>
          <w:rFonts w:ascii="Times New Roman" w:hAnsi="Times New Roman" w:cs="Times New Roman"/>
          <w:bCs/>
          <w:sz w:val="28"/>
          <w:szCs w:val="28"/>
        </w:rPr>
        <w:t xml:space="preserve">tres </w:t>
      </w:r>
      <w:r w:rsidRPr="00AF629F">
        <w:rPr>
          <w:rFonts w:ascii="Times New Roman" w:hAnsi="Times New Roman" w:cs="Times New Roman"/>
          <w:bCs/>
          <w:sz w:val="28"/>
          <w:szCs w:val="28"/>
        </w:rPr>
        <w:t xml:space="preserve">razones: </w:t>
      </w:r>
      <w:r w:rsidRPr="00AF629F">
        <w:rPr>
          <w:rFonts w:ascii="Times New Roman" w:hAnsi="Times New Roman" w:cs="Times New Roman"/>
          <w:bCs/>
          <w:sz w:val="28"/>
          <w:szCs w:val="28"/>
        </w:rPr>
        <w:t xml:space="preserve">en primer </w:t>
      </w:r>
      <w:r w:rsidRPr="00AF629F">
        <w:rPr>
          <w:rFonts w:ascii="Times New Roman" w:hAnsi="Times New Roman" w:cs="Times New Roman"/>
          <w:bCs/>
          <w:sz w:val="28"/>
          <w:szCs w:val="28"/>
        </w:rPr>
        <w:t>lugar,</w:t>
      </w:r>
      <w:r w:rsidRPr="00AF629F">
        <w:rPr>
          <w:rFonts w:ascii="Times New Roman" w:hAnsi="Times New Roman" w:cs="Times New Roman"/>
          <w:bCs/>
          <w:sz w:val="28"/>
          <w:szCs w:val="28"/>
        </w:rPr>
        <w:t xml:space="preserve"> señala: </w:t>
      </w:r>
      <w:r w:rsidRPr="00AF629F">
        <w:rPr>
          <w:rFonts w:ascii="Times New Roman" w:hAnsi="Times New Roman" w:cs="Times New Roman"/>
          <w:sz w:val="28"/>
          <w:szCs w:val="28"/>
        </w:rPr>
        <w:t>“</w:t>
      </w:r>
      <w:r w:rsidRPr="00AF629F">
        <w:rPr>
          <w:rFonts w:ascii="Times New Roman" w:hAnsi="Times New Roman" w:cs="Times New Roman"/>
          <w:sz w:val="28"/>
          <w:szCs w:val="28"/>
        </w:rPr>
        <w:t>[l]</w:t>
      </w:r>
      <w:r w:rsidRPr="00AF629F">
        <w:rPr>
          <w:rFonts w:ascii="Times New Roman" w:hAnsi="Times New Roman" w:cs="Times New Roman"/>
          <w:sz w:val="28"/>
          <w:szCs w:val="28"/>
        </w:rPr>
        <w:t>a norma acusada enmienda tácitamente el artículo 7.4 de la Ley 549 de 1999, en el cual se estipula que la cesión de</w:t>
      </w:r>
      <w:r w:rsidRPr="00AF629F">
        <w:rPr>
          <w:rFonts w:ascii="Times New Roman" w:hAnsi="Times New Roman" w:cs="Times New Roman"/>
          <w:sz w:val="28"/>
          <w:szCs w:val="28"/>
        </w:rPr>
        <w:t xml:space="preserve"> la administración de los recursos del FONPET a sociedades fiduciarias se realizará mediante licitaciones públicas en los términos de la Ley 80 de 1993</w:t>
      </w:r>
      <w:r w:rsidRPr="00AF629F">
        <w:rPr>
          <w:rFonts w:ascii="Times New Roman" w:hAnsi="Times New Roman" w:cs="Times New Roman"/>
          <w:sz w:val="28"/>
          <w:szCs w:val="28"/>
        </w:rPr>
        <w:t xml:space="preserve">”. En segundo </w:t>
      </w:r>
      <w:r w:rsidRPr="00AF629F">
        <w:rPr>
          <w:rFonts w:ascii="Times New Roman" w:hAnsi="Times New Roman" w:cs="Times New Roman"/>
          <w:sz w:val="28"/>
          <w:szCs w:val="28"/>
        </w:rPr>
        <w:t>lugar,</w:t>
      </w:r>
      <w:r w:rsidRPr="00AF629F">
        <w:rPr>
          <w:rFonts w:ascii="Times New Roman" w:hAnsi="Times New Roman" w:cs="Times New Roman"/>
          <w:sz w:val="28"/>
          <w:szCs w:val="28"/>
        </w:rPr>
        <w:t xml:space="preserve"> indica: “[s]</w:t>
      </w:r>
      <w:r w:rsidRPr="00AF629F">
        <w:rPr>
          <w:rFonts w:ascii="Times New Roman" w:hAnsi="Times New Roman" w:cs="Times New Roman"/>
          <w:sz w:val="28"/>
          <w:szCs w:val="28"/>
        </w:rPr>
        <w:t>i bien en el anexo de la Ley 2294 de 2023 (Bases del Plan Nacional de De</w:t>
      </w:r>
      <w:r w:rsidRPr="00AF629F">
        <w:rPr>
          <w:rFonts w:ascii="Times New Roman" w:hAnsi="Times New Roman" w:cs="Times New Roman"/>
          <w:sz w:val="28"/>
          <w:szCs w:val="28"/>
        </w:rPr>
        <w:t>sarrollo 2022-202) se hace referencia a la optimización de la inversión estatal financiada, entre otros recursos, con los dineros del FONPET, lo cierto es que no es claro que la contratación de administración de estos capitales mediante la modalidad direct</w:t>
      </w:r>
      <w:r w:rsidRPr="00AF629F">
        <w:rPr>
          <w:rFonts w:ascii="Times New Roman" w:hAnsi="Times New Roman" w:cs="Times New Roman"/>
          <w:sz w:val="28"/>
          <w:szCs w:val="28"/>
        </w:rPr>
        <w:t>a en lugar de la licitación pública sea un instrumento adecuado e indispensable para ejecutar dicho propósito”</w:t>
      </w:r>
      <w:r w:rsidRPr="00AF629F">
        <w:rPr>
          <w:rFonts w:ascii="Times New Roman" w:hAnsi="Times New Roman" w:cs="Times New Roman"/>
          <w:sz w:val="28"/>
          <w:szCs w:val="28"/>
        </w:rPr>
        <w:t xml:space="preserve">. Finalmente, </w:t>
      </w:r>
      <w:r w:rsidRPr="00AF629F">
        <w:rPr>
          <w:rFonts w:ascii="Times New Roman" w:hAnsi="Times New Roman" w:cs="Times New Roman"/>
          <w:sz w:val="28"/>
          <w:szCs w:val="28"/>
        </w:rPr>
        <w:t>precisa que “la modificación a la normativa que incorpora la disposición acusada debió realizarse por medio de una ley ordinaria a f</w:t>
      </w:r>
      <w:r w:rsidRPr="00AF629F">
        <w:rPr>
          <w:rFonts w:ascii="Times New Roman" w:hAnsi="Times New Roman" w:cs="Times New Roman"/>
          <w:sz w:val="28"/>
          <w:szCs w:val="28"/>
        </w:rPr>
        <w:t xml:space="preserve">in de debatir de manera abierta y democrática la conveniencia de enmendar la modalidad de contratación de la administración de los recursos del FONPET. Lo anterior, puesto que resulta un elemento extraño a las características de las leyes que aprueban los </w:t>
      </w:r>
      <w:r w:rsidRPr="00AF629F">
        <w:rPr>
          <w:rFonts w:ascii="Times New Roman" w:hAnsi="Times New Roman" w:cs="Times New Roman"/>
          <w:sz w:val="28"/>
          <w:szCs w:val="28"/>
        </w:rPr>
        <w:t>planes nacionales de desarrollo incluir una reforma permanente sobre la referida materia, dado el carácter eminentemente planificador y la vocación temporal de los referidos cuerpos normativos”.</w:t>
      </w:r>
    </w:p>
    <w:p w:rsidR="0073176D" w:rsidRPr="00AF629F" w:rsidRDefault="00AF629F" w:rsidP="0073176D">
      <w:pPr>
        <w:pStyle w:val="Prrafodelista"/>
        <w:ind w:left="0"/>
        <w:jc w:val="both"/>
        <w:rPr>
          <w:rFonts w:ascii="Times New Roman" w:hAnsi="Times New Roman" w:cs="Times New Roman"/>
          <w:bCs/>
          <w:sz w:val="28"/>
          <w:szCs w:val="28"/>
          <w:lang w:val="es-ES"/>
        </w:rPr>
      </w:pPr>
    </w:p>
    <w:p w:rsidR="00666C43" w:rsidRPr="00AF629F" w:rsidRDefault="00AF629F" w:rsidP="00020271">
      <w:pPr>
        <w:jc w:val="both"/>
        <w:rPr>
          <w:rFonts w:ascii="Times New Roman" w:hAnsi="Times New Roman" w:cs="Times New Roman"/>
          <w:b/>
          <w:sz w:val="28"/>
          <w:szCs w:val="28"/>
        </w:rPr>
      </w:pPr>
    </w:p>
    <w:p w:rsidR="0080756E" w:rsidRPr="00AF629F" w:rsidRDefault="00AF629F" w:rsidP="00AC7DA3">
      <w:pPr>
        <w:pStyle w:val="Estilo1"/>
        <w:numPr>
          <w:ilvl w:val="0"/>
          <w:numId w:val="1"/>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CONSIDERACIONES</w:t>
      </w:r>
    </w:p>
    <w:p w:rsidR="0080756E" w:rsidRPr="00AF629F" w:rsidRDefault="00AF629F" w:rsidP="00AC7DA3">
      <w:pPr>
        <w:jc w:val="both"/>
        <w:rPr>
          <w:rFonts w:ascii="Times New Roman" w:hAnsi="Times New Roman" w:cs="Times New Roman"/>
          <w:b/>
          <w:sz w:val="28"/>
          <w:szCs w:val="28"/>
        </w:rPr>
      </w:pPr>
    </w:p>
    <w:p w:rsidR="0080756E" w:rsidRPr="00AF629F" w:rsidRDefault="00AF629F" w:rsidP="00AC7DA3">
      <w:pPr>
        <w:pStyle w:val="Estilo1"/>
        <w:numPr>
          <w:ilvl w:val="0"/>
          <w:numId w:val="4"/>
        </w:numPr>
        <w:outlineLvl w:val="0"/>
        <w:rPr>
          <w:rStyle w:val="Ttulo1Car"/>
          <w:rFonts w:ascii="Times New Roman" w:hAnsi="Times New Roman" w:cs="Times New Roman"/>
          <w:color w:val="auto"/>
          <w:sz w:val="28"/>
          <w:szCs w:val="28"/>
        </w:rPr>
      </w:pPr>
      <w:bookmarkStart w:id="3" w:name="_Hlk63325080"/>
      <w:r w:rsidRPr="00AF629F">
        <w:rPr>
          <w:rStyle w:val="Ttulo1Car"/>
          <w:rFonts w:ascii="Times New Roman" w:hAnsi="Times New Roman" w:cs="Times New Roman"/>
          <w:color w:val="auto"/>
          <w:sz w:val="28"/>
          <w:szCs w:val="28"/>
        </w:rPr>
        <w:t>Competencia</w:t>
      </w:r>
    </w:p>
    <w:bookmarkEnd w:id="3"/>
    <w:p w:rsidR="0080756E" w:rsidRPr="00AF629F" w:rsidRDefault="00AF629F" w:rsidP="00AC7DA3">
      <w:pPr>
        <w:jc w:val="both"/>
        <w:rPr>
          <w:rFonts w:ascii="Times New Roman" w:hAnsi="Times New Roman" w:cs="Times New Roman"/>
          <w:b/>
          <w:sz w:val="28"/>
          <w:szCs w:val="28"/>
        </w:rPr>
      </w:pPr>
    </w:p>
    <w:p w:rsidR="008D65F5" w:rsidRPr="00AF629F" w:rsidRDefault="00AF629F" w:rsidP="00AC7DA3">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La Corte Constitucional es co</w:t>
      </w:r>
      <w:r w:rsidRPr="00AF629F">
        <w:rPr>
          <w:rFonts w:ascii="Times New Roman" w:hAnsi="Times New Roman" w:cs="Times New Roman"/>
          <w:sz w:val="28"/>
          <w:szCs w:val="28"/>
        </w:rPr>
        <w:t>mpetente para conocer de la demanda de la referencia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de conformidad con lo dispuesto </w:t>
      </w:r>
      <w:r w:rsidRPr="00AF629F">
        <w:rPr>
          <w:rFonts w:ascii="Times New Roman" w:hAnsi="Times New Roman" w:cs="Times New Roman"/>
          <w:sz w:val="28"/>
          <w:szCs w:val="28"/>
        </w:rPr>
        <w:t>en</w:t>
      </w:r>
      <w:r w:rsidRPr="00AF629F">
        <w:rPr>
          <w:rFonts w:ascii="Times New Roman" w:hAnsi="Times New Roman" w:cs="Times New Roman"/>
          <w:sz w:val="28"/>
          <w:szCs w:val="28"/>
        </w:rPr>
        <w:t xml:space="preserve"> el </w:t>
      </w:r>
      <w:r w:rsidRPr="00AF629F">
        <w:rPr>
          <w:rFonts w:ascii="Times New Roman" w:hAnsi="Times New Roman" w:cs="Times New Roman"/>
          <w:sz w:val="28"/>
          <w:szCs w:val="28"/>
        </w:rPr>
        <w:t>art</w:t>
      </w:r>
      <w:r w:rsidRPr="00AF629F">
        <w:rPr>
          <w:rFonts w:ascii="Times New Roman" w:hAnsi="Times New Roman" w:cs="Times New Roman"/>
          <w:sz w:val="28"/>
          <w:szCs w:val="28"/>
        </w:rPr>
        <w:t>ículo</w:t>
      </w:r>
      <w:r w:rsidRPr="00AF629F">
        <w:rPr>
          <w:rFonts w:ascii="Times New Roman" w:hAnsi="Times New Roman" w:cs="Times New Roman"/>
          <w:sz w:val="28"/>
          <w:szCs w:val="28"/>
        </w:rPr>
        <w:t xml:space="preserve"> 241.4 </w:t>
      </w:r>
      <w:r w:rsidRPr="00AF629F">
        <w:rPr>
          <w:rFonts w:ascii="Times New Roman" w:hAnsi="Times New Roman" w:cs="Times New Roman"/>
          <w:sz w:val="28"/>
          <w:szCs w:val="28"/>
        </w:rPr>
        <w:t>de la Constitución</w:t>
      </w:r>
      <w:r w:rsidRPr="00AF629F">
        <w:rPr>
          <w:rFonts w:ascii="Times New Roman" w:hAnsi="Times New Roman" w:cs="Times New Roman"/>
          <w:sz w:val="28"/>
          <w:szCs w:val="28"/>
        </w:rPr>
        <w:t xml:space="preserve">, por dirigirse contra una disposición contenida en </w:t>
      </w:r>
      <w:r w:rsidRPr="00AF629F">
        <w:rPr>
          <w:rFonts w:ascii="Times New Roman" w:hAnsi="Times New Roman" w:cs="Times New Roman"/>
          <w:sz w:val="28"/>
          <w:szCs w:val="28"/>
        </w:rPr>
        <w:t>una ley ordinaria, esto es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la Ley 2294 de 2023, “</w:t>
      </w:r>
      <w:r w:rsidRPr="00AF629F">
        <w:rPr>
          <w:rFonts w:ascii="Times New Roman" w:hAnsi="Times New Roman" w:cs="Times New Roman"/>
          <w:sz w:val="28"/>
          <w:szCs w:val="28"/>
        </w:rPr>
        <w:t>[p]</w:t>
      </w:r>
      <w:r w:rsidRPr="00AF629F">
        <w:rPr>
          <w:rFonts w:ascii="Times New Roman" w:hAnsi="Times New Roman" w:cs="Times New Roman"/>
          <w:sz w:val="28"/>
          <w:szCs w:val="28"/>
        </w:rPr>
        <w:t xml:space="preserve">or la cual se expide el </w:t>
      </w:r>
      <w:r w:rsidRPr="00AF629F">
        <w:rPr>
          <w:rFonts w:ascii="Times New Roman" w:hAnsi="Times New Roman" w:cs="Times New Roman"/>
          <w:sz w:val="28"/>
          <w:szCs w:val="28"/>
        </w:rPr>
        <w:t>Plan Nacional de Desarrollo 2022-2026. Colombia Potencia Mundial de la Vida”.</w:t>
      </w:r>
    </w:p>
    <w:p w:rsidR="00EE311B" w:rsidRPr="00AF629F" w:rsidRDefault="00AF629F" w:rsidP="00AC7DA3">
      <w:pPr>
        <w:jc w:val="both"/>
        <w:rPr>
          <w:rFonts w:ascii="Times New Roman" w:hAnsi="Times New Roman" w:cs="Times New Roman"/>
          <w:b/>
          <w:sz w:val="28"/>
          <w:szCs w:val="28"/>
        </w:rPr>
      </w:pPr>
    </w:p>
    <w:p w:rsidR="00B261CB" w:rsidRPr="00AF629F" w:rsidRDefault="00AF629F" w:rsidP="00AC7DA3">
      <w:pPr>
        <w:pStyle w:val="Estilo1"/>
        <w:numPr>
          <w:ilvl w:val="0"/>
          <w:numId w:val="4"/>
        </w:numPr>
        <w:ind w:left="0" w:firstLine="0"/>
        <w:outlineLvl w:val="0"/>
        <w:rPr>
          <w:rStyle w:val="Ttulo1Car"/>
          <w:rFonts w:ascii="Times New Roman" w:hAnsi="Times New Roman" w:cs="Times New Roman"/>
          <w:color w:val="auto"/>
          <w:sz w:val="28"/>
          <w:szCs w:val="28"/>
        </w:rPr>
      </w:pPr>
      <w:r w:rsidRPr="00AF629F">
        <w:rPr>
          <w:rStyle w:val="Ttulo1Car"/>
          <w:rFonts w:ascii="Times New Roman" w:hAnsi="Times New Roman" w:cs="Times New Roman"/>
          <w:color w:val="auto"/>
          <w:sz w:val="28"/>
          <w:szCs w:val="28"/>
        </w:rPr>
        <w:t>P</w:t>
      </w:r>
      <w:r w:rsidRPr="00AF629F">
        <w:rPr>
          <w:rStyle w:val="Ttulo1Car"/>
          <w:rFonts w:ascii="Times New Roman" w:hAnsi="Times New Roman" w:cs="Times New Roman"/>
          <w:color w:val="auto"/>
          <w:sz w:val="28"/>
          <w:szCs w:val="28"/>
        </w:rPr>
        <w:t>roblema jurídico</w:t>
      </w:r>
      <w:r w:rsidRPr="00AF629F">
        <w:rPr>
          <w:rStyle w:val="Ttulo1Car"/>
          <w:rFonts w:ascii="Times New Roman" w:hAnsi="Times New Roman" w:cs="Times New Roman"/>
          <w:color w:val="auto"/>
          <w:sz w:val="28"/>
          <w:szCs w:val="28"/>
        </w:rPr>
        <w:t xml:space="preserve"> </w:t>
      </w:r>
      <w:r w:rsidRPr="00AF629F">
        <w:rPr>
          <w:rStyle w:val="Ttulo1Car"/>
          <w:rFonts w:ascii="Times New Roman" w:hAnsi="Times New Roman" w:cs="Times New Roman"/>
          <w:color w:val="auto"/>
          <w:sz w:val="28"/>
          <w:szCs w:val="28"/>
        </w:rPr>
        <w:t xml:space="preserve">y </w:t>
      </w:r>
      <w:r w:rsidRPr="00AF629F">
        <w:rPr>
          <w:rStyle w:val="Ttulo1Car"/>
          <w:rFonts w:ascii="Times New Roman" w:hAnsi="Times New Roman" w:cs="Times New Roman"/>
          <w:color w:val="auto"/>
          <w:sz w:val="28"/>
          <w:szCs w:val="28"/>
        </w:rPr>
        <w:t>metodología de decisión</w:t>
      </w:r>
    </w:p>
    <w:p w:rsidR="007E5B6A" w:rsidRPr="00AF629F" w:rsidRDefault="00AF629F" w:rsidP="00AC7DA3">
      <w:pPr>
        <w:rPr>
          <w:rFonts w:ascii="Times New Roman" w:hAnsi="Times New Roman" w:cs="Times New Roman"/>
          <w:sz w:val="28"/>
          <w:szCs w:val="28"/>
        </w:rPr>
      </w:pPr>
      <w:bookmarkStart w:id="4" w:name="_Hlk128753364"/>
    </w:p>
    <w:p w:rsidR="00013274" w:rsidRPr="00AF629F" w:rsidRDefault="00AF629F" w:rsidP="00AC7DA3">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E</w:t>
      </w:r>
      <w:r w:rsidRPr="00AF629F">
        <w:rPr>
          <w:rFonts w:ascii="Times New Roman" w:hAnsi="Times New Roman" w:cs="Times New Roman"/>
          <w:sz w:val="28"/>
          <w:szCs w:val="28"/>
        </w:rPr>
        <w:t>n atención a</w:t>
      </w:r>
      <w:r w:rsidRPr="00AF629F">
        <w:rPr>
          <w:rFonts w:ascii="Times New Roman" w:hAnsi="Times New Roman" w:cs="Times New Roman"/>
          <w:sz w:val="28"/>
          <w:szCs w:val="28"/>
        </w:rPr>
        <w:t>l único cargo apto</w:t>
      </w:r>
      <w:r w:rsidRPr="00AF629F">
        <w:rPr>
          <w:rFonts w:ascii="Times New Roman" w:hAnsi="Times New Roman" w:cs="Times New Roman"/>
          <w:sz w:val="28"/>
          <w:szCs w:val="28"/>
        </w:rPr>
        <w:t xml:space="preserve"> y </w:t>
      </w:r>
      <w:r w:rsidRPr="00AF629F">
        <w:rPr>
          <w:rFonts w:ascii="Times New Roman" w:hAnsi="Times New Roman" w:cs="Times New Roman"/>
          <w:sz w:val="28"/>
          <w:szCs w:val="28"/>
        </w:rPr>
        <w:t xml:space="preserve">a los conceptos </w:t>
      </w:r>
      <w:r w:rsidRPr="00AF629F">
        <w:rPr>
          <w:rFonts w:ascii="Times New Roman" w:hAnsi="Times New Roman" w:cs="Times New Roman"/>
          <w:sz w:val="28"/>
          <w:szCs w:val="28"/>
        </w:rPr>
        <w:t>recibid</w:t>
      </w:r>
      <w:r w:rsidRPr="00AF629F">
        <w:rPr>
          <w:rFonts w:ascii="Times New Roman" w:hAnsi="Times New Roman" w:cs="Times New Roman"/>
          <w:sz w:val="28"/>
          <w:szCs w:val="28"/>
        </w:rPr>
        <w:t>o</w:t>
      </w:r>
      <w:r w:rsidRPr="00AF629F">
        <w:rPr>
          <w:rFonts w:ascii="Times New Roman" w:hAnsi="Times New Roman" w:cs="Times New Roman"/>
          <w:sz w:val="28"/>
          <w:szCs w:val="28"/>
        </w:rPr>
        <w:t xml:space="preserve">s durante el trámite, </w:t>
      </w:r>
      <w:r w:rsidRPr="00AF629F">
        <w:rPr>
          <w:rFonts w:ascii="Times New Roman" w:hAnsi="Times New Roman" w:cs="Times New Roman"/>
          <w:sz w:val="28"/>
          <w:szCs w:val="28"/>
        </w:rPr>
        <w:t xml:space="preserve">corresponde </w:t>
      </w:r>
      <w:r w:rsidRPr="00AF629F">
        <w:rPr>
          <w:rFonts w:ascii="Times New Roman" w:hAnsi="Times New Roman" w:cs="Times New Roman"/>
          <w:sz w:val="28"/>
          <w:szCs w:val="28"/>
        </w:rPr>
        <w:t xml:space="preserve">a la Sala </w:t>
      </w:r>
      <w:r w:rsidRPr="00AF629F">
        <w:rPr>
          <w:rFonts w:ascii="Times New Roman" w:hAnsi="Times New Roman" w:cs="Times New Roman"/>
          <w:sz w:val="28"/>
          <w:szCs w:val="28"/>
        </w:rPr>
        <w:t xml:space="preserve">decidir </w:t>
      </w:r>
      <w:r w:rsidRPr="00AF629F">
        <w:rPr>
          <w:rFonts w:ascii="Times New Roman" w:hAnsi="Times New Roman" w:cs="Times New Roman"/>
          <w:sz w:val="28"/>
          <w:szCs w:val="28"/>
        </w:rPr>
        <w:t xml:space="preserve">si el artículo 322 de la Ley 2294 de 2023 desconoce el principio </w:t>
      </w:r>
      <w:r w:rsidRPr="00AF629F">
        <w:rPr>
          <w:rFonts w:ascii="Times New Roman" w:hAnsi="Times New Roman" w:cs="Times New Roman"/>
          <w:sz w:val="28"/>
          <w:szCs w:val="28"/>
        </w:rPr>
        <w:t xml:space="preserve">constitucional </w:t>
      </w:r>
      <w:r w:rsidRPr="00AF629F">
        <w:rPr>
          <w:rFonts w:ascii="Times New Roman" w:hAnsi="Times New Roman" w:cs="Times New Roman"/>
          <w:sz w:val="28"/>
          <w:szCs w:val="28"/>
        </w:rPr>
        <w:t>de unidad de materia (artículo</w:t>
      </w:r>
      <w:r w:rsidRPr="00AF629F">
        <w:rPr>
          <w:rFonts w:ascii="Times New Roman" w:hAnsi="Times New Roman" w:cs="Times New Roman"/>
          <w:sz w:val="28"/>
          <w:szCs w:val="28"/>
        </w:rPr>
        <w:t>s</w:t>
      </w:r>
      <w:r w:rsidRPr="00AF629F">
        <w:rPr>
          <w:rFonts w:ascii="Times New Roman" w:hAnsi="Times New Roman" w:cs="Times New Roman"/>
          <w:sz w:val="28"/>
          <w:szCs w:val="28"/>
        </w:rPr>
        <w:t xml:space="preserve"> 158 </w:t>
      </w:r>
      <w:r w:rsidRPr="00AF629F">
        <w:rPr>
          <w:rFonts w:ascii="Times New Roman" w:hAnsi="Times New Roman" w:cs="Times New Roman"/>
          <w:sz w:val="28"/>
          <w:szCs w:val="28"/>
        </w:rPr>
        <w:t xml:space="preserve">y 169 </w:t>
      </w:r>
      <w:r w:rsidRPr="00AF629F">
        <w:rPr>
          <w:rFonts w:ascii="Times New Roman" w:hAnsi="Times New Roman" w:cs="Times New Roman"/>
          <w:sz w:val="28"/>
          <w:szCs w:val="28"/>
        </w:rPr>
        <w:t>de la Constitución)</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teniendo en cuenta que se trata de una</w:t>
      </w:r>
      <w:r w:rsidRPr="00AF629F">
        <w:rPr>
          <w:rFonts w:ascii="Times New Roman" w:hAnsi="Times New Roman" w:cs="Times New Roman"/>
          <w:sz w:val="28"/>
          <w:szCs w:val="28"/>
        </w:rPr>
        <w:t xml:space="preserve"> disposici</w:t>
      </w:r>
      <w:r w:rsidRPr="00AF629F">
        <w:rPr>
          <w:rFonts w:ascii="Times New Roman" w:hAnsi="Times New Roman" w:cs="Times New Roman"/>
          <w:sz w:val="28"/>
          <w:szCs w:val="28"/>
        </w:rPr>
        <w:t xml:space="preserve">ón </w:t>
      </w:r>
      <w:r w:rsidRPr="00AF629F">
        <w:rPr>
          <w:rFonts w:ascii="Times New Roman" w:hAnsi="Times New Roman" w:cs="Times New Roman"/>
          <w:sz w:val="28"/>
          <w:szCs w:val="28"/>
        </w:rPr>
        <w:t xml:space="preserve">que </w:t>
      </w:r>
      <w:r w:rsidRPr="00AF629F">
        <w:rPr>
          <w:rFonts w:ascii="Times New Roman" w:hAnsi="Times New Roman" w:cs="Times New Roman"/>
          <w:sz w:val="28"/>
          <w:szCs w:val="28"/>
        </w:rPr>
        <w:t>forma parte de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una</w:t>
      </w:r>
      <w:r w:rsidRPr="00AF629F">
        <w:rPr>
          <w:rFonts w:ascii="Times New Roman" w:hAnsi="Times New Roman" w:cs="Times New Roman"/>
          <w:sz w:val="28"/>
          <w:szCs w:val="28"/>
        </w:rPr>
        <w:t xml:space="preserve"> ley aprobatoria del </w:t>
      </w:r>
      <w:r w:rsidRPr="00AF629F">
        <w:rPr>
          <w:rFonts w:ascii="Times New Roman" w:hAnsi="Times New Roman" w:cs="Times New Roman"/>
          <w:sz w:val="28"/>
          <w:szCs w:val="28"/>
        </w:rPr>
        <w:t xml:space="preserve">plan nacional de </w:t>
      </w:r>
      <w:r w:rsidRPr="00AF629F">
        <w:rPr>
          <w:rFonts w:ascii="Times New Roman" w:hAnsi="Times New Roman" w:cs="Times New Roman"/>
          <w:sz w:val="28"/>
          <w:szCs w:val="28"/>
        </w:rPr>
        <w:t>desarroll</w:t>
      </w:r>
      <w:r w:rsidRPr="00AF629F">
        <w:rPr>
          <w:rFonts w:ascii="Times New Roman" w:hAnsi="Times New Roman" w:cs="Times New Roman"/>
          <w:sz w:val="28"/>
          <w:szCs w:val="28"/>
        </w:rPr>
        <w:t>o</w:t>
      </w:r>
      <w:r w:rsidRPr="00AF629F">
        <w:rPr>
          <w:rFonts w:ascii="Times New Roman" w:hAnsi="Times New Roman" w:cs="Times New Roman"/>
          <w:sz w:val="28"/>
          <w:szCs w:val="28"/>
        </w:rPr>
        <w:t>.</w:t>
      </w:r>
    </w:p>
    <w:p w:rsidR="00013274" w:rsidRPr="00AF629F" w:rsidRDefault="00AF629F" w:rsidP="00013274">
      <w:pPr>
        <w:pStyle w:val="Prrafodelista"/>
        <w:ind w:left="0"/>
        <w:jc w:val="both"/>
        <w:rPr>
          <w:rFonts w:ascii="Times New Roman" w:hAnsi="Times New Roman" w:cs="Times New Roman"/>
          <w:sz w:val="28"/>
          <w:szCs w:val="28"/>
        </w:rPr>
      </w:pPr>
    </w:p>
    <w:p w:rsidR="00591EB2" w:rsidRPr="00AF629F" w:rsidRDefault="00AF629F" w:rsidP="005376F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Para </w:t>
      </w:r>
      <w:r w:rsidRPr="00AF629F">
        <w:rPr>
          <w:rFonts w:ascii="Times New Roman" w:hAnsi="Times New Roman" w:cs="Times New Roman"/>
          <w:sz w:val="28"/>
          <w:szCs w:val="28"/>
        </w:rPr>
        <w:t xml:space="preserve">resolver el problema jurídico, la Sala </w:t>
      </w:r>
      <w:r w:rsidRPr="00AF629F">
        <w:rPr>
          <w:rFonts w:ascii="Times New Roman" w:hAnsi="Times New Roman" w:cs="Times New Roman"/>
          <w:sz w:val="28"/>
          <w:szCs w:val="28"/>
        </w:rPr>
        <w:t>hará referencia a</w:t>
      </w:r>
      <w:r w:rsidRPr="00AF629F">
        <w:rPr>
          <w:rFonts w:ascii="Times New Roman" w:hAnsi="Times New Roman" w:cs="Times New Roman"/>
          <w:sz w:val="28"/>
          <w:szCs w:val="28"/>
        </w:rPr>
        <w:t xml:space="preserve"> la</w:t>
      </w:r>
      <w:r w:rsidRPr="00AF629F">
        <w:rPr>
          <w:rFonts w:ascii="Times New Roman" w:hAnsi="Times New Roman" w:cs="Times New Roman"/>
          <w:sz w:val="28"/>
          <w:szCs w:val="28"/>
        </w:rPr>
        <w:t>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características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específicas </w:t>
      </w:r>
      <w:r w:rsidRPr="00AF629F">
        <w:rPr>
          <w:rFonts w:ascii="Times New Roman" w:hAnsi="Times New Roman" w:cs="Times New Roman"/>
          <w:sz w:val="28"/>
          <w:szCs w:val="28"/>
        </w:rPr>
        <w:t>de la ley aprobatoria de</w:t>
      </w:r>
      <w:r w:rsidRPr="00AF629F">
        <w:rPr>
          <w:rFonts w:ascii="Times New Roman" w:hAnsi="Times New Roman" w:cs="Times New Roman"/>
          <w:sz w:val="28"/>
          <w:szCs w:val="28"/>
        </w:rPr>
        <w:t>l</w:t>
      </w:r>
      <w:r w:rsidRPr="00AF629F">
        <w:rPr>
          <w:rFonts w:ascii="Times New Roman" w:hAnsi="Times New Roman" w:cs="Times New Roman"/>
          <w:sz w:val="28"/>
          <w:szCs w:val="28"/>
        </w:rPr>
        <w:t xml:space="preserve"> plan nacional de desarrollo (Título 3), al </w:t>
      </w:r>
      <w:r w:rsidRPr="00AF629F">
        <w:rPr>
          <w:rFonts w:ascii="Times New Roman" w:hAnsi="Times New Roman" w:cs="Times New Roman"/>
          <w:sz w:val="28"/>
          <w:szCs w:val="28"/>
        </w:rPr>
        <w:t xml:space="preserve">alcance </w:t>
      </w:r>
      <w:r w:rsidRPr="00AF629F">
        <w:rPr>
          <w:rFonts w:ascii="Times New Roman" w:hAnsi="Times New Roman" w:cs="Times New Roman"/>
          <w:sz w:val="28"/>
          <w:szCs w:val="28"/>
        </w:rPr>
        <w:t xml:space="preserve">del principio de unidad de materia como </w:t>
      </w:r>
      <w:r w:rsidRPr="00AF629F">
        <w:rPr>
          <w:rFonts w:ascii="Times New Roman" w:hAnsi="Times New Roman" w:cs="Times New Roman"/>
          <w:sz w:val="28"/>
          <w:szCs w:val="28"/>
        </w:rPr>
        <w:t xml:space="preserve">parámetro de control constitucional </w:t>
      </w:r>
      <w:r w:rsidRPr="00AF629F">
        <w:rPr>
          <w:rFonts w:ascii="Times New Roman" w:hAnsi="Times New Roman" w:cs="Times New Roman"/>
          <w:sz w:val="28"/>
          <w:szCs w:val="28"/>
        </w:rPr>
        <w:t>de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esta ley especial</w:t>
      </w:r>
      <w:r w:rsidRPr="00AF629F">
        <w:rPr>
          <w:rFonts w:ascii="Times New Roman" w:hAnsi="Times New Roman" w:cs="Times New Roman"/>
          <w:sz w:val="28"/>
          <w:szCs w:val="28"/>
        </w:rPr>
        <w:t xml:space="preserve">, en </w:t>
      </w:r>
      <w:r w:rsidRPr="00AF629F">
        <w:rPr>
          <w:rFonts w:ascii="Times New Roman" w:hAnsi="Times New Roman" w:cs="Times New Roman"/>
          <w:sz w:val="28"/>
          <w:szCs w:val="28"/>
        </w:rPr>
        <w:t xml:space="preserve">particular </w:t>
      </w:r>
      <w:r w:rsidRPr="00AF629F">
        <w:rPr>
          <w:rFonts w:ascii="Times New Roman" w:hAnsi="Times New Roman" w:cs="Times New Roman"/>
          <w:sz w:val="28"/>
          <w:szCs w:val="28"/>
        </w:rPr>
        <w:t xml:space="preserve">cuando se trata de normas que introducen modificaciones permanentes </w:t>
      </w:r>
      <w:r w:rsidRPr="00AF629F">
        <w:rPr>
          <w:rFonts w:ascii="Times New Roman" w:hAnsi="Times New Roman" w:cs="Times New Roman"/>
          <w:sz w:val="28"/>
          <w:szCs w:val="28"/>
        </w:rPr>
        <w:t>a</w:t>
      </w:r>
      <w:r w:rsidRPr="00AF629F">
        <w:rPr>
          <w:rFonts w:ascii="Times New Roman" w:hAnsi="Times New Roman" w:cs="Times New Roman"/>
          <w:sz w:val="28"/>
          <w:szCs w:val="28"/>
        </w:rPr>
        <w:t>l ordenamiento jurídico</w:t>
      </w:r>
      <w:r w:rsidRPr="00AF629F">
        <w:rPr>
          <w:rFonts w:ascii="Times New Roman" w:hAnsi="Times New Roman" w:cs="Times New Roman"/>
          <w:i/>
          <w:sz w:val="28"/>
          <w:szCs w:val="28"/>
        </w:rPr>
        <w:t xml:space="preserve"> </w:t>
      </w:r>
      <w:r w:rsidRPr="00AF629F">
        <w:rPr>
          <w:rFonts w:ascii="Times New Roman" w:hAnsi="Times New Roman" w:cs="Times New Roman"/>
          <w:sz w:val="28"/>
          <w:szCs w:val="28"/>
        </w:rPr>
        <w:t xml:space="preserve">(Título </w:t>
      </w:r>
      <w:r w:rsidRPr="00AF629F">
        <w:rPr>
          <w:rFonts w:ascii="Times New Roman" w:hAnsi="Times New Roman" w:cs="Times New Roman"/>
          <w:sz w:val="28"/>
          <w:szCs w:val="28"/>
        </w:rPr>
        <w:t>4</w:t>
      </w:r>
      <w:r w:rsidRPr="00AF629F">
        <w:rPr>
          <w:rFonts w:ascii="Times New Roman" w:hAnsi="Times New Roman" w:cs="Times New Roman"/>
          <w:sz w:val="28"/>
          <w:szCs w:val="28"/>
        </w:rPr>
        <w:t>)</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y</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a partir de </w:t>
      </w:r>
      <w:r w:rsidRPr="00AF629F">
        <w:rPr>
          <w:rFonts w:ascii="Times New Roman" w:hAnsi="Times New Roman" w:cs="Times New Roman"/>
          <w:sz w:val="28"/>
          <w:szCs w:val="28"/>
        </w:rPr>
        <w:t>estos elementos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concluirá</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que</w:t>
      </w:r>
      <w:r w:rsidRPr="00AF629F">
        <w:rPr>
          <w:rFonts w:ascii="Times New Roman" w:hAnsi="Times New Roman" w:cs="Times New Roman"/>
          <w:sz w:val="28"/>
          <w:szCs w:val="28"/>
        </w:rPr>
        <w:t xml:space="preserve"> la disposición demanda</w:t>
      </w:r>
      <w:r w:rsidRPr="00AF629F">
        <w:rPr>
          <w:rFonts w:ascii="Times New Roman" w:hAnsi="Times New Roman" w:cs="Times New Roman"/>
          <w:sz w:val="28"/>
          <w:szCs w:val="28"/>
        </w:rPr>
        <w:t>da no</w:t>
      </w:r>
      <w:r w:rsidRPr="00AF629F">
        <w:rPr>
          <w:rFonts w:ascii="Times New Roman" w:hAnsi="Times New Roman" w:cs="Times New Roman"/>
          <w:sz w:val="28"/>
          <w:szCs w:val="28"/>
        </w:rPr>
        <w:t xml:space="preserve"> satis</w:t>
      </w:r>
      <w:r w:rsidRPr="00AF629F">
        <w:rPr>
          <w:rFonts w:ascii="Times New Roman" w:hAnsi="Times New Roman" w:cs="Times New Roman"/>
          <w:sz w:val="28"/>
          <w:szCs w:val="28"/>
        </w:rPr>
        <w:t xml:space="preserve">face las exigencias normativas del citado principio </w:t>
      </w:r>
      <w:r w:rsidRPr="00AF629F">
        <w:rPr>
          <w:rFonts w:ascii="Times New Roman" w:hAnsi="Times New Roman" w:cs="Times New Roman"/>
          <w:sz w:val="28"/>
          <w:szCs w:val="28"/>
        </w:rPr>
        <w:t xml:space="preserve">constitucional </w:t>
      </w:r>
      <w:r w:rsidRPr="00AF629F">
        <w:rPr>
          <w:rFonts w:ascii="Times New Roman" w:hAnsi="Times New Roman" w:cs="Times New Roman"/>
          <w:sz w:val="28"/>
          <w:szCs w:val="28"/>
        </w:rPr>
        <w:t xml:space="preserve">(Título </w:t>
      </w:r>
      <w:r w:rsidRPr="00AF629F">
        <w:rPr>
          <w:rFonts w:ascii="Times New Roman" w:hAnsi="Times New Roman" w:cs="Times New Roman"/>
          <w:sz w:val="28"/>
          <w:szCs w:val="28"/>
        </w:rPr>
        <w:t>5</w:t>
      </w:r>
      <w:r w:rsidRPr="00AF629F">
        <w:rPr>
          <w:rFonts w:ascii="Times New Roman" w:hAnsi="Times New Roman" w:cs="Times New Roman"/>
          <w:sz w:val="28"/>
          <w:szCs w:val="28"/>
        </w:rPr>
        <w:t>).</w:t>
      </w:r>
    </w:p>
    <w:p w:rsidR="009A6390" w:rsidRPr="00AF629F" w:rsidRDefault="00AF629F" w:rsidP="008B1317">
      <w:pPr>
        <w:rPr>
          <w:rFonts w:ascii="Times New Roman" w:hAnsi="Times New Roman" w:cs="Times New Roman"/>
          <w:sz w:val="28"/>
          <w:szCs w:val="28"/>
        </w:rPr>
      </w:pPr>
      <w:bookmarkStart w:id="5" w:name="_Hlk112755391"/>
      <w:bookmarkEnd w:id="4"/>
    </w:p>
    <w:p w:rsidR="00D93491" w:rsidRPr="00AF629F" w:rsidRDefault="00AF629F" w:rsidP="00D93491">
      <w:pPr>
        <w:pStyle w:val="Estilo1"/>
        <w:numPr>
          <w:ilvl w:val="0"/>
          <w:numId w:val="4"/>
        </w:numPr>
        <w:ind w:left="0" w:firstLine="0"/>
        <w:outlineLvl w:val="0"/>
        <w:rPr>
          <w:rStyle w:val="Ttulo1Car"/>
          <w:rFonts w:ascii="Times New Roman" w:hAnsi="Times New Roman" w:cs="Times New Roman"/>
          <w:bCs/>
          <w:color w:val="auto"/>
          <w:sz w:val="28"/>
          <w:szCs w:val="28"/>
        </w:rPr>
      </w:pPr>
      <w:r w:rsidRPr="00AF629F">
        <w:rPr>
          <w:rFonts w:ascii="Times New Roman" w:hAnsi="Times New Roman" w:cs="Times New Roman"/>
          <w:b/>
          <w:bCs/>
        </w:rPr>
        <w:t xml:space="preserve">Características </w:t>
      </w:r>
      <w:r w:rsidRPr="00AF629F">
        <w:rPr>
          <w:rFonts w:ascii="Times New Roman" w:hAnsi="Times New Roman" w:cs="Times New Roman"/>
          <w:b/>
          <w:bCs/>
        </w:rPr>
        <w:t>de la ley aprobatoria del plan nacional de desarrollo</w:t>
      </w:r>
      <w:r w:rsidRPr="00AF629F">
        <w:rPr>
          <w:rStyle w:val="Refdenotaalpie"/>
          <w:rFonts w:ascii="Times New Roman" w:eastAsia="Cambria" w:hAnsi="Times New Roman" w:cs="Times New Roman"/>
          <w:b/>
          <w:bCs/>
        </w:rPr>
        <w:footnoteReference w:id="13"/>
      </w:r>
    </w:p>
    <w:p w:rsidR="00D93491" w:rsidRPr="00AF629F" w:rsidRDefault="00AF629F" w:rsidP="00D93491">
      <w:pPr>
        <w:jc w:val="both"/>
        <w:rPr>
          <w:rFonts w:ascii="Times New Roman" w:hAnsi="Times New Roman" w:cs="Times New Roman"/>
          <w:b/>
          <w:sz w:val="28"/>
          <w:szCs w:val="28"/>
        </w:rPr>
      </w:pPr>
    </w:p>
    <w:p w:rsidR="003833C9" w:rsidRPr="00AF629F" w:rsidRDefault="00AF629F" w:rsidP="009A791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bCs/>
          <w:sz w:val="28"/>
          <w:szCs w:val="28"/>
          <w:shd w:val="clear" w:color="auto" w:fill="FFFFFF"/>
          <w:lang w:val="es-ES_tradnl"/>
        </w:rPr>
        <w:t xml:space="preserve">De conformidad con lo dispuesto en </w:t>
      </w:r>
      <w:r w:rsidRPr="00AF629F">
        <w:rPr>
          <w:rFonts w:ascii="Times New Roman" w:hAnsi="Times New Roman" w:cs="Times New Roman"/>
          <w:sz w:val="28"/>
          <w:szCs w:val="28"/>
          <w:shd w:val="clear" w:color="auto" w:fill="FFFFFF"/>
        </w:rPr>
        <w:t>el Capítulo II del Título XII de la Constitución</w:t>
      </w:r>
      <w:r w:rsidRPr="00AF629F">
        <w:rPr>
          <w:rFonts w:ascii="Times New Roman" w:hAnsi="Times New Roman" w:cs="Times New Roman"/>
          <w:sz w:val="28"/>
          <w:szCs w:val="28"/>
          <w:shd w:val="clear" w:color="auto" w:fill="FFFFFF"/>
          <w:vertAlign w:val="superscript"/>
        </w:rPr>
        <w:footnoteReference w:id="14"/>
      </w:r>
      <w:r w:rsidRPr="00AF629F">
        <w:rPr>
          <w:rFonts w:ascii="Times New Roman" w:hAnsi="Times New Roman" w:cs="Times New Roman"/>
          <w:sz w:val="28"/>
          <w:szCs w:val="28"/>
          <w:shd w:val="clear" w:color="auto" w:fill="FFFFFF"/>
        </w:rPr>
        <w:t xml:space="preserve"> y en la Ley 152 de 1994 </w:t>
      </w:r>
      <w:r w:rsidRPr="00AF629F">
        <w:rPr>
          <w:rFonts w:ascii="Times New Roman" w:hAnsi="Times New Roman" w:cs="Times New Roman"/>
          <w:iCs/>
          <w:sz w:val="28"/>
          <w:szCs w:val="28"/>
          <w:shd w:val="clear" w:color="auto" w:fill="FFFFFF"/>
        </w:rPr>
        <w:t xml:space="preserve">“por la cual se establece la Ley Orgánica del Plan de Desarrollo”, </w:t>
      </w:r>
      <w:r w:rsidRPr="00AF629F">
        <w:rPr>
          <w:rFonts w:ascii="Times New Roman" w:hAnsi="Times New Roman" w:cs="Times New Roman"/>
          <w:sz w:val="28"/>
          <w:szCs w:val="28"/>
          <w:shd w:val="clear" w:color="auto" w:fill="FFFFFF"/>
        </w:rPr>
        <w:t>el</w:t>
      </w:r>
      <w:r w:rsidRPr="00AF629F">
        <w:rPr>
          <w:rFonts w:ascii="Times New Roman" w:hAnsi="Times New Roman" w:cs="Times New Roman"/>
          <w:sz w:val="28"/>
          <w:szCs w:val="28"/>
          <w:shd w:val="clear" w:color="auto" w:fill="FFFFFF"/>
        </w:rPr>
        <w:t xml:space="preserve"> plan nacional de desarrollo </w:t>
      </w:r>
      <w:r w:rsidRPr="00AF629F">
        <w:rPr>
          <w:rFonts w:ascii="Times New Roman" w:hAnsi="Times New Roman" w:cs="Times New Roman"/>
          <w:sz w:val="28"/>
          <w:szCs w:val="28"/>
          <w:shd w:val="clear" w:color="auto" w:fill="FFFFFF"/>
        </w:rPr>
        <w:t>es</w:t>
      </w:r>
      <w:r w:rsidRPr="00AF629F">
        <w:rPr>
          <w:rFonts w:ascii="Times New Roman" w:hAnsi="Times New Roman" w:cs="Times New Roman"/>
          <w:sz w:val="28"/>
          <w:szCs w:val="28"/>
          <w:shd w:val="clear" w:color="auto" w:fill="FFFFFF"/>
        </w:rPr>
        <w:t xml:space="preserve"> el principal instrumento de</w:t>
      </w:r>
      <w:r w:rsidRPr="00AF629F">
        <w:rPr>
          <w:rFonts w:ascii="Times New Roman" w:hAnsi="Times New Roman" w:cs="Times New Roman"/>
          <w:sz w:val="28"/>
          <w:szCs w:val="28"/>
          <w:shd w:val="clear" w:color="auto" w:fill="FFFFFF"/>
        </w:rPr>
        <w:t xml:space="preserve"> formulación de </w:t>
      </w:r>
      <w:r w:rsidRPr="00AF629F">
        <w:rPr>
          <w:rFonts w:ascii="Times New Roman" w:hAnsi="Times New Roman" w:cs="Times New Roman"/>
          <w:sz w:val="28"/>
          <w:szCs w:val="28"/>
          <w:shd w:val="clear" w:color="auto" w:fill="FFFFFF"/>
        </w:rPr>
        <w:t>las estrategias y orientaciones generales de la política</w:t>
      </w:r>
      <w:r w:rsidRPr="00AF629F">
        <w:rPr>
          <w:rFonts w:ascii="Times New Roman" w:hAnsi="Times New Roman" w:cs="Times New Roman"/>
          <w:sz w:val="28"/>
          <w:szCs w:val="18"/>
          <w:lang w:eastAsia="es-MX"/>
        </w:rPr>
        <w:t xml:space="preserve"> </w:t>
      </w:r>
      <w:r w:rsidRPr="00AF629F">
        <w:rPr>
          <w:rFonts w:ascii="Times New Roman" w:hAnsi="Times New Roman" w:cs="Times New Roman"/>
          <w:sz w:val="28"/>
          <w:szCs w:val="28"/>
          <w:shd w:val="clear" w:color="auto" w:fill="FFFFFF"/>
        </w:rPr>
        <w:t xml:space="preserve">económica, social y ambiental que </w:t>
      </w:r>
      <w:r w:rsidRPr="00AF629F">
        <w:rPr>
          <w:rFonts w:ascii="Times New Roman" w:hAnsi="Times New Roman" w:cs="Times New Roman"/>
          <w:sz w:val="28"/>
          <w:szCs w:val="28"/>
          <w:shd w:val="clear" w:color="auto" w:fill="FFFFFF"/>
        </w:rPr>
        <w:t>será</w:t>
      </w:r>
      <w:r w:rsidRPr="00AF629F">
        <w:rPr>
          <w:rFonts w:ascii="Times New Roman" w:hAnsi="Times New Roman" w:cs="Times New Roman"/>
          <w:sz w:val="28"/>
          <w:szCs w:val="28"/>
          <w:shd w:val="clear" w:color="auto" w:fill="FFFFFF"/>
        </w:rPr>
        <w:t>n</w:t>
      </w:r>
      <w:r w:rsidRPr="00AF629F">
        <w:rPr>
          <w:rFonts w:ascii="Times New Roman" w:hAnsi="Times New Roman" w:cs="Times New Roman"/>
          <w:sz w:val="28"/>
          <w:szCs w:val="28"/>
          <w:shd w:val="clear" w:color="auto" w:fill="FFFFFF"/>
        </w:rPr>
        <w:t xml:space="preserve"> adoptada</w:t>
      </w:r>
      <w:r w:rsidRPr="00AF629F">
        <w:rPr>
          <w:rFonts w:ascii="Times New Roman" w:hAnsi="Times New Roman" w:cs="Times New Roman"/>
          <w:sz w:val="28"/>
          <w:szCs w:val="28"/>
          <w:shd w:val="clear" w:color="auto" w:fill="FFFFFF"/>
        </w:rPr>
        <w:t>s</w:t>
      </w:r>
      <w:r w:rsidRPr="00AF629F">
        <w:rPr>
          <w:rFonts w:ascii="Times New Roman" w:hAnsi="Times New Roman" w:cs="Times New Roman"/>
          <w:sz w:val="28"/>
          <w:szCs w:val="28"/>
          <w:shd w:val="clear" w:color="auto" w:fill="FFFFFF"/>
        </w:rPr>
        <w:t xml:space="preserve"> por </w:t>
      </w:r>
      <w:r w:rsidRPr="00AF629F">
        <w:rPr>
          <w:rFonts w:ascii="Times New Roman" w:hAnsi="Times New Roman" w:cs="Times New Roman"/>
          <w:sz w:val="28"/>
          <w:szCs w:val="28"/>
          <w:shd w:val="clear" w:color="auto" w:fill="FFFFFF"/>
        </w:rPr>
        <w:t xml:space="preserve">el Gobierno durante el respectivo </w:t>
      </w:r>
      <w:r w:rsidRPr="00AF629F">
        <w:rPr>
          <w:rFonts w:ascii="Times New Roman" w:hAnsi="Times New Roman" w:cs="Times New Roman"/>
          <w:sz w:val="28"/>
          <w:szCs w:val="28"/>
          <w:shd w:val="clear" w:color="auto" w:fill="FFFFFF"/>
        </w:rPr>
        <w:t xml:space="preserve">período </w:t>
      </w:r>
      <w:r w:rsidRPr="00AF629F">
        <w:rPr>
          <w:rFonts w:ascii="Times New Roman" w:hAnsi="Times New Roman" w:cs="Times New Roman"/>
          <w:sz w:val="28"/>
          <w:szCs w:val="28"/>
          <w:shd w:val="clear" w:color="auto" w:fill="FFFFFF"/>
        </w:rPr>
        <w:t>cuatrien</w:t>
      </w:r>
      <w:r w:rsidRPr="00AF629F">
        <w:rPr>
          <w:rFonts w:ascii="Times New Roman" w:hAnsi="Times New Roman" w:cs="Times New Roman"/>
          <w:sz w:val="28"/>
          <w:szCs w:val="28"/>
          <w:shd w:val="clear" w:color="auto" w:fill="FFFFFF"/>
        </w:rPr>
        <w:t>al</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para alcanzar</w:t>
      </w:r>
      <w:r w:rsidRPr="00AF629F">
        <w:rPr>
          <w:rFonts w:ascii="Times New Roman" w:hAnsi="Times New Roman" w:cs="Times New Roman"/>
          <w:sz w:val="28"/>
          <w:szCs w:val="28"/>
          <w:shd w:val="clear" w:color="auto" w:fill="FFFFFF"/>
        </w:rPr>
        <w:t xml:space="preserve"> los objetivos y metas nacionales y sectoriales de la acción estatal</w:t>
      </w:r>
      <w:r w:rsidRPr="00AF629F">
        <w:rPr>
          <w:rFonts w:ascii="Times New Roman" w:hAnsi="Times New Roman" w:cs="Times New Roman"/>
          <w:sz w:val="28"/>
          <w:szCs w:val="28"/>
          <w:shd w:val="clear" w:color="auto" w:fill="FFFFFF"/>
        </w:rPr>
        <w:t xml:space="preserve"> señaladas en el plan</w:t>
      </w:r>
      <w:r w:rsidRPr="00AF629F">
        <w:rPr>
          <w:rStyle w:val="Refdenotaalpie"/>
          <w:rFonts w:ascii="Times New Roman" w:hAnsi="Times New Roman" w:cs="Times New Roman"/>
          <w:bCs/>
          <w:sz w:val="28"/>
          <w:szCs w:val="28"/>
          <w:shd w:val="clear" w:color="auto" w:fill="FFFFFF"/>
          <w:lang w:val="es-ES_tradnl"/>
        </w:rPr>
        <w:footnoteReference w:id="15"/>
      </w:r>
      <w:r w:rsidRPr="00AF629F">
        <w:rPr>
          <w:rFonts w:ascii="Times New Roman" w:hAnsi="Times New Roman" w:cs="Times New Roman"/>
          <w:bCs/>
          <w:sz w:val="28"/>
          <w:szCs w:val="28"/>
          <w:shd w:val="clear" w:color="auto" w:fill="FFFFFF"/>
        </w:rPr>
        <w:t>.</w:t>
      </w:r>
    </w:p>
    <w:p w:rsidR="003833C9" w:rsidRPr="00AF629F" w:rsidRDefault="00AF629F" w:rsidP="003833C9">
      <w:pPr>
        <w:pStyle w:val="Prrafodelista"/>
        <w:ind w:left="0"/>
        <w:jc w:val="both"/>
        <w:rPr>
          <w:rFonts w:ascii="Times New Roman" w:hAnsi="Times New Roman" w:cs="Times New Roman"/>
          <w:sz w:val="28"/>
          <w:szCs w:val="28"/>
        </w:rPr>
      </w:pPr>
    </w:p>
    <w:p w:rsidR="003F3342" w:rsidRPr="00AF629F" w:rsidRDefault="00AF629F" w:rsidP="003F334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La </w:t>
      </w:r>
      <w:r w:rsidRPr="00AF629F">
        <w:rPr>
          <w:rFonts w:ascii="Times New Roman" w:hAnsi="Times New Roman" w:cs="Times New Roman"/>
          <w:sz w:val="28"/>
          <w:szCs w:val="28"/>
          <w:shd w:val="clear" w:color="auto" w:fill="FFFFFF"/>
          <w:lang w:val="es-ES"/>
        </w:rPr>
        <w:t xml:space="preserve">estructura básica </w:t>
      </w:r>
      <w:r w:rsidRPr="00AF629F">
        <w:rPr>
          <w:rFonts w:ascii="Times New Roman" w:hAnsi="Times New Roman" w:cs="Times New Roman"/>
          <w:sz w:val="28"/>
          <w:szCs w:val="28"/>
          <w:shd w:val="clear" w:color="auto" w:fill="FFFFFF"/>
          <w:lang w:val="es-ES"/>
        </w:rPr>
        <w:t xml:space="preserve">del plan </w:t>
      </w:r>
      <w:r w:rsidRPr="00AF629F">
        <w:rPr>
          <w:rFonts w:ascii="Times New Roman" w:hAnsi="Times New Roman" w:cs="Times New Roman"/>
          <w:sz w:val="28"/>
          <w:szCs w:val="28"/>
          <w:shd w:val="clear" w:color="auto" w:fill="FFFFFF"/>
          <w:lang w:val="es-ES"/>
        </w:rPr>
        <w:t xml:space="preserve">de </w:t>
      </w:r>
      <w:r w:rsidRPr="00AF629F">
        <w:rPr>
          <w:rFonts w:ascii="Times New Roman" w:hAnsi="Times New Roman" w:cs="Times New Roman"/>
          <w:sz w:val="28"/>
          <w:szCs w:val="28"/>
          <w:shd w:val="clear" w:color="auto" w:fill="FFFFFF"/>
          <w:lang w:val="es-ES"/>
        </w:rPr>
        <w:t>desarrollo</w:t>
      </w:r>
      <w:r w:rsidRPr="00AF629F">
        <w:rPr>
          <w:rFonts w:ascii="Times New Roman" w:hAnsi="Times New Roman" w:cs="Times New Roman"/>
          <w:sz w:val="28"/>
          <w:szCs w:val="28"/>
          <w:shd w:val="clear" w:color="auto" w:fill="FFFFFF"/>
          <w:lang w:val="es-ES"/>
        </w:rPr>
        <w:t xml:space="preserve"> se encuentra regulada directamente en la Constitución</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(artículo 339), </w:t>
      </w:r>
      <w:r w:rsidRPr="00AF629F">
        <w:rPr>
          <w:rFonts w:ascii="Times New Roman" w:hAnsi="Times New Roman" w:cs="Times New Roman"/>
          <w:sz w:val="28"/>
          <w:szCs w:val="28"/>
          <w:shd w:val="clear" w:color="auto" w:fill="FFFFFF"/>
          <w:lang w:val="es-ES"/>
        </w:rPr>
        <w:t xml:space="preserve">en la cual se </w:t>
      </w:r>
      <w:r w:rsidRPr="00AF629F">
        <w:rPr>
          <w:rFonts w:ascii="Times New Roman" w:hAnsi="Times New Roman" w:cs="Times New Roman"/>
          <w:sz w:val="28"/>
          <w:szCs w:val="28"/>
          <w:shd w:val="clear" w:color="auto" w:fill="FFFFFF"/>
          <w:lang w:val="es-ES"/>
        </w:rPr>
        <w:t>dispone</w:t>
      </w:r>
      <w:r w:rsidRPr="00AF629F">
        <w:rPr>
          <w:rFonts w:ascii="Times New Roman" w:hAnsi="Times New Roman" w:cs="Times New Roman"/>
          <w:sz w:val="28"/>
          <w:szCs w:val="28"/>
          <w:shd w:val="clear" w:color="auto" w:fill="FFFFFF"/>
          <w:lang w:val="es-ES"/>
        </w:rPr>
        <w:t>, a su vez,</w:t>
      </w:r>
      <w:r w:rsidRPr="00AF629F">
        <w:rPr>
          <w:rFonts w:ascii="Times New Roman" w:hAnsi="Times New Roman" w:cs="Times New Roman"/>
          <w:sz w:val="28"/>
          <w:szCs w:val="28"/>
          <w:shd w:val="clear" w:color="auto" w:fill="FFFFFF"/>
          <w:lang w:val="es-ES"/>
        </w:rPr>
        <w:t xml:space="preserve"> la creación e integración del Consejo Nacional de Planeación como foro para su discusión (artículo 340) y </w:t>
      </w:r>
      <w:r w:rsidRPr="00AF629F">
        <w:rPr>
          <w:rFonts w:ascii="Times New Roman" w:hAnsi="Times New Roman" w:cs="Times New Roman"/>
          <w:sz w:val="28"/>
          <w:szCs w:val="28"/>
          <w:shd w:val="clear" w:color="auto" w:fill="FFFFFF"/>
          <w:lang w:val="es-ES"/>
        </w:rPr>
        <w:t xml:space="preserve">se </w:t>
      </w:r>
      <w:r w:rsidRPr="00AF629F">
        <w:rPr>
          <w:rFonts w:ascii="Times New Roman" w:hAnsi="Times New Roman" w:cs="Times New Roman"/>
          <w:sz w:val="28"/>
          <w:szCs w:val="28"/>
          <w:shd w:val="clear" w:color="auto" w:fill="FFFFFF"/>
          <w:lang w:val="es-ES"/>
        </w:rPr>
        <w:t>señala</w:t>
      </w:r>
      <w:r w:rsidRPr="00AF629F">
        <w:rPr>
          <w:rFonts w:ascii="Times New Roman" w:hAnsi="Times New Roman" w:cs="Times New Roman"/>
          <w:sz w:val="28"/>
          <w:szCs w:val="28"/>
          <w:shd w:val="clear" w:color="auto" w:fill="FFFFFF"/>
          <w:lang w:val="es-ES"/>
        </w:rPr>
        <w:t xml:space="preserve"> el procedimiento </w:t>
      </w:r>
      <w:r w:rsidRPr="00AF629F">
        <w:rPr>
          <w:rFonts w:ascii="Times New Roman" w:hAnsi="Times New Roman" w:cs="Times New Roman"/>
          <w:sz w:val="28"/>
          <w:szCs w:val="28"/>
          <w:shd w:val="clear" w:color="auto" w:fill="FFFFFF"/>
          <w:lang w:val="es-ES"/>
        </w:rPr>
        <w:t>general d</w:t>
      </w:r>
      <w:r w:rsidRPr="00AF629F">
        <w:rPr>
          <w:rFonts w:ascii="Times New Roman" w:hAnsi="Times New Roman" w:cs="Times New Roman"/>
          <w:sz w:val="28"/>
          <w:szCs w:val="28"/>
          <w:shd w:val="clear" w:color="auto" w:fill="FFFFFF"/>
          <w:lang w:val="es-ES"/>
        </w:rPr>
        <w:t>e</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su elaboración y aprobación (artículo 341).</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Los aspectos</w:t>
      </w:r>
      <w:r w:rsidRPr="00AF629F">
        <w:rPr>
          <w:rFonts w:ascii="Times New Roman" w:hAnsi="Times New Roman" w:cs="Times New Roman"/>
          <w:sz w:val="28"/>
          <w:szCs w:val="28"/>
          <w:shd w:val="clear" w:color="auto" w:fill="FFFFFF"/>
          <w:lang w:val="es-ES"/>
        </w:rPr>
        <w:t xml:space="preserve"> no previstos en la Constitución</w:t>
      </w:r>
      <w:r w:rsidRPr="00AF629F">
        <w:rPr>
          <w:rFonts w:ascii="Times New Roman" w:hAnsi="Times New Roman" w:cs="Times New Roman"/>
          <w:sz w:val="28"/>
          <w:szCs w:val="28"/>
          <w:shd w:val="clear" w:color="auto" w:fill="FFFFFF"/>
          <w:lang w:val="es-ES"/>
        </w:rPr>
        <w:t xml:space="preserve"> en </w:t>
      </w:r>
      <w:r w:rsidRPr="00AF629F">
        <w:rPr>
          <w:rFonts w:ascii="Times New Roman" w:hAnsi="Times New Roman" w:cs="Times New Roman"/>
          <w:sz w:val="28"/>
          <w:szCs w:val="28"/>
          <w:shd w:val="clear" w:color="auto" w:fill="FFFFFF"/>
          <w:lang w:val="es-ES"/>
        </w:rPr>
        <w:t>relación con</w:t>
      </w:r>
      <w:r w:rsidRPr="00AF629F">
        <w:rPr>
          <w:rFonts w:ascii="Times New Roman" w:hAnsi="Times New Roman" w:cs="Times New Roman"/>
          <w:sz w:val="28"/>
          <w:szCs w:val="28"/>
          <w:shd w:val="clear" w:color="auto" w:fill="FFFFFF"/>
          <w:lang w:val="es-ES"/>
        </w:rPr>
        <w:t xml:space="preserve"> su elaboración, aprobación, ejecución y </w:t>
      </w:r>
      <w:r w:rsidRPr="00AF629F">
        <w:rPr>
          <w:rFonts w:ascii="Times New Roman" w:hAnsi="Times New Roman" w:cs="Times New Roman"/>
          <w:sz w:val="28"/>
          <w:szCs w:val="28"/>
          <w:shd w:val="clear" w:color="auto" w:fill="FFFFFF"/>
          <w:lang w:val="es-ES"/>
        </w:rPr>
        <w:t>evaluación,</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fueron </w:t>
      </w:r>
      <w:r w:rsidRPr="00AF629F">
        <w:rPr>
          <w:rFonts w:ascii="Times New Roman" w:hAnsi="Times New Roman" w:cs="Times New Roman"/>
          <w:sz w:val="28"/>
          <w:szCs w:val="28"/>
          <w:shd w:val="clear" w:color="auto" w:fill="FFFFFF"/>
          <w:lang w:val="es-ES"/>
        </w:rPr>
        <w:t xml:space="preserve">reservados </w:t>
      </w:r>
      <w:r w:rsidRPr="00AF629F">
        <w:rPr>
          <w:rFonts w:ascii="Times New Roman" w:hAnsi="Times New Roman" w:cs="Times New Roman"/>
          <w:sz w:val="28"/>
          <w:szCs w:val="28"/>
          <w:shd w:val="clear" w:color="auto" w:fill="FFFFFF"/>
          <w:lang w:val="es-ES"/>
        </w:rPr>
        <w:t xml:space="preserve">al legislador orgánico, al </w:t>
      </w:r>
      <w:r w:rsidRPr="00AF629F">
        <w:rPr>
          <w:rFonts w:ascii="Times New Roman" w:hAnsi="Times New Roman" w:cs="Times New Roman"/>
          <w:sz w:val="28"/>
          <w:szCs w:val="28"/>
          <w:shd w:val="clear" w:color="auto" w:fill="FFFFFF"/>
          <w:lang w:val="es-ES"/>
        </w:rPr>
        <w:t>que</w:t>
      </w:r>
      <w:r w:rsidRPr="00AF629F">
        <w:rPr>
          <w:rFonts w:ascii="Times New Roman" w:hAnsi="Times New Roman" w:cs="Times New Roman"/>
          <w:sz w:val="28"/>
          <w:szCs w:val="28"/>
          <w:shd w:val="clear" w:color="auto" w:fill="FFFFFF"/>
          <w:lang w:val="es-ES"/>
        </w:rPr>
        <w:t xml:space="preserve"> corresponde</w:t>
      </w:r>
      <w:r w:rsidRPr="00AF629F">
        <w:rPr>
          <w:rFonts w:ascii="Times New Roman" w:hAnsi="Times New Roman" w:cs="Times New Roman"/>
          <w:sz w:val="28"/>
          <w:szCs w:val="28"/>
          <w:shd w:val="clear" w:color="auto" w:fill="FFFFFF"/>
          <w:lang w:val="es-ES"/>
        </w:rPr>
        <w:t xml:space="preserve">, además, regular </w:t>
      </w:r>
      <w:r w:rsidRPr="00AF629F">
        <w:rPr>
          <w:rFonts w:ascii="Times New Roman" w:hAnsi="Times New Roman" w:cs="Times New Roman"/>
          <w:sz w:val="28"/>
          <w:szCs w:val="28"/>
          <w:shd w:val="clear" w:color="auto" w:fill="FFFFFF"/>
          <w:lang w:val="es-ES"/>
        </w:rPr>
        <w:t xml:space="preserve">los mecanismos apropiados para la sujeción </w:t>
      </w:r>
      <w:r w:rsidRPr="00AF629F">
        <w:rPr>
          <w:rFonts w:ascii="Times New Roman" w:hAnsi="Times New Roman" w:cs="Times New Roman"/>
          <w:sz w:val="28"/>
          <w:szCs w:val="28"/>
          <w:shd w:val="clear" w:color="auto" w:fill="FFFFFF"/>
          <w:lang w:val="es-ES"/>
        </w:rPr>
        <w:t>de “los presupuestos oficiales” a</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los planes de desarrollo </w:t>
      </w:r>
      <w:r w:rsidRPr="00AF629F">
        <w:rPr>
          <w:rFonts w:ascii="Times New Roman" w:hAnsi="Times New Roman" w:cs="Times New Roman"/>
          <w:sz w:val="28"/>
          <w:szCs w:val="28"/>
          <w:shd w:val="clear" w:color="auto" w:fill="FFFFFF"/>
          <w:lang w:val="es-ES"/>
        </w:rPr>
        <w:t>(artículo 342</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de la Constitución).</w:t>
      </w:r>
    </w:p>
    <w:p w:rsidR="003F3342" w:rsidRPr="00AF629F" w:rsidRDefault="00AF629F" w:rsidP="003F3342">
      <w:pPr>
        <w:pStyle w:val="Prrafodelista"/>
        <w:rPr>
          <w:rFonts w:ascii="Times New Roman" w:hAnsi="Times New Roman" w:cs="Times New Roman"/>
          <w:sz w:val="28"/>
          <w:szCs w:val="28"/>
          <w:shd w:val="clear" w:color="auto" w:fill="FFFFFF"/>
          <w:lang w:val="es-ES"/>
        </w:rPr>
      </w:pPr>
    </w:p>
    <w:p w:rsidR="00EB2433" w:rsidRPr="00AF629F" w:rsidRDefault="00AF629F" w:rsidP="00EB2433">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E</w:t>
      </w:r>
      <w:r w:rsidRPr="00AF629F">
        <w:rPr>
          <w:rFonts w:ascii="Times New Roman" w:hAnsi="Times New Roman" w:cs="Times New Roman"/>
          <w:sz w:val="28"/>
          <w:szCs w:val="28"/>
          <w:shd w:val="clear" w:color="auto" w:fill="FFFFFF"/>
          <w:lang w:val="es-ES"/>
        </w:rPr>
        <w:t>l plan, e</w:t>
      </w:r>
      <w:r w:rsidRPr="00AF629F">
        <w:rPr>
          <w:rFonts w:ascii="Times New Roman" w:hAnsi="Times New Roman" w:cs="Times New Roman"/>
          <w:sz w:val="28"/>
          <w:szCs w:val="28"/>
          <w:shd w:val="clear" w:color="auto" w:fill="FFFFFF"/>
          <w:lang w:val="es-ES"/>
        </w:rPr>
        <w:t>n cuanto principal instrumento de política gubernamental</w:t>
      </w:r>
      <w:r w:rsidRPr="00AF629F">
        <w:rPr>
          <w:rStyle w:val="Refdenotaalpie"/>
          <w:rFonts w:ascii="Times New Roman" w:hAnsi="Times New Roman" w:cs="Times New Roman"/>
          <w:sz w:val="28"/>
          <w:szCs w:val="28"/>
          <w:shd w:val="clear" w:color="auto" w:fill="FFFFFF"/>
          <w:lang w:val="es-ES"/>
        </w:rPr>
        <w:footnoteReference w:id="16"/>
      </w:r>
      <w:r w:rsidRPr="00AF629F">
        <w:rPr>
          <w:rFonts w:ascii="Times New Roman" w:hAnsi="Times New Roman" w:cs="Times New Roman"/>
          <w:sz w:val="28"/>
          <w:szCs w:val="28"/>
          <w:shd w:val="clear" w:color="auto" w:fill="FFFFFF"/>
          <w:lang w:val="es-ES"/>
        </w:rPr>
        <w:t xml:space="preserve">, es elaborado por el gobierno </w:t>
      </w:r>
      <w:r w:rsidRPr="00AF629F">
        <w:rPr>
          <w:rFonts w:ascii="Times New Roman" w:hAnsi="Times New Roman" w:cs="Times New Roman"/>
          <w:sz w:val="28"/>
          <w:szCs w:val="28"/>
          <w:shd w:val="clear" w:color="auto" w:fill="FFFFFF"/>
          <w:lang w:val="es-ES"/>
        </w:rPr>
        <w:t xml:space="preserve">nacional </w:t>
      </w:r>
      <w:r w:rsidRPr="00AF629F">
        <w:rPr>
          <w:rFonts w:ascii="Times New Roman" w:hAnsi="Times New Roman" w:cs="Times New Roman"/>
          <w:sz w:val="28"/>
          <w:szCs w:val="28"/>
          <w:shd w:val="clear" w:color="auto" w:fill="FFFFFF"/>
          <w:lang w:val="es-ES"/>
        </w:rPr>
        <w:t xml:space="preserve">dentro de </w:t>
      </w:r>
      <w:r w:rsidRPr="00AF629F">
        <w:rPr>
          <w:rFonts w:ascii="Times New Roman" w:hAnsi="Times New Roman" w:cs="Times New Roman"/>
          <w:sz w:val="28"/>
          <w:szCs w:val="28"/>
          <w:shd w:val="clear" w:color="auto" w:fill="FFFFFF"/>
          <w:lang w:val="es-ES"/>
        </w:rPr>
        <w:t>los seis meses siguientes a</w:t>
      </w:r>
      <w:r w:rsidRPr="00AF629F">
        <w:rPr>
          <w:rFonts w:ascii="Times New Roman" w:hAnsi="Times New Roman" w:cs="Times New Roman"/>
          <w:sz w:val="28"/>
          <w:szCs w:val="28"/>
          <w:shd w:val="clear" w:color="auto" w:fill="FFFFFF"/>
          <w:lang w:val="es-ES"/>
        </w:rPr>
        <w:t>l</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inicio </w:t>
      </w:r>
      <w:r w:rsidRPr="00AF629F">
        <w:rPr>
          <w:rFonts w:ascii="Times New Roman" w:hAnsi="Times New Roman" w:cs="Times New Roman"/>
          <w:sz w:val="28"/>
          <w:szCs w:val="28"/>
          <w:shd w:val="clear" w:color="auto" w:fill="FFFFFF"/>
          <w:lang w:val="es-ES"/>
        </w:rPr>
        <w:t>del respectivo período presidencial</w:t>
      </w:r>
      <w:r w:rsidRPr="00AF629F">
        <w:rPr>
          <w:rStyle w:val="Refdenotaalpie"/>
          <w:rFonts w:ascii="Times New Roman" w:hAnsi="Times New Roman" w:cs="Times New Roman"/>
          <w:sz w:val="28"/>
          <w:szCs w:val="28"/>
          <w:lang w:val="es-ES"/>
        </w:rPr>
        <w:footnoteReference w:id="17"/>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lang w:val="es-ES"/>
        </w:rPr>
        <w:t>El procedimiento de</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 xml:space="preserve">elaboración </w:t>
      </w:r>
      <w:r w:rsidRPr="00AF629F">
        <w:rPr>
          <w:rFonts w:ascii="Times New Roman" w:hAnsi="Times New Roman" w:cs="Times New Roman"/>
          <w:sz w:val="28"/>
          <w:szCs w:val="28"/>
          <w:lang w:val="es-ES"/>
        </w:rPr>
        <w:t>es</w:t>
      </w:r>
      <w:r w:rsidRPr="00AF629F">
        <w:rPr>
          <w:rFonts w:ascii="Times New Roman" w:hAnsi="Times New Roman" w:cs="Times New Roman"/>
          <w:sz w:val="28"/>
          <w:szCs w:val="28"/>
          <w:lang w:val="es-ES"/>
        </w:rPr>
        <w:t xml:space="preserve"> participativo </w:t>
      </w:r>
      <w:r w:rsidRPr="00AF629F">
        <w:rPr>
          <w:rFonts w:ascii="Times New Roman" w:hAnsi="Times New Roman" w:cs="Times New Roman"/>
          <w:sz w:val="28"/>
          <w:szCs w:val="28"/>
          <w:lang w:val="es-ES"/>
        </w:rPr>
        <w:t>e</w:t>
      </w:r>
      <w:r w:rsidRPr="00AF629F">
        <w:rPr>
          <w:rFonts w:ascii="Times New Roman" w:hAnsi="Times New Roman" w:cs="Times New Roman"/>
          <w:sz w:val="28"/>
          <w:szCs w:val="28"/>
          <w:lang w:val="es-ES"/>
        </w:rPr>
        <w:t xml:space="preserve"> involucra </w:t>
      </w:r>
      <w:r w:rsidRPr="00AF629F">
        <w:rPr>
          <w:rFonts w:ascii="Times New Roman" w:hAnsi="Times New Roman" w:cs="Times New Roman"/>
          <w:sz w:val="28"/>
          <w:szCs w:val="28"/>
          <w:lang w:val="es-ES"/>
        </w:rPr>
        <w:t xml:space="preserve">tanto </w:t>
      </w:r>
      <w:r w:rsidRPr="00AF629F">
        <w:rPr>
          <w:rFonts w:ascii="Times New Roman" w:hAnsi="Times New Roman" w:cs="Times New Roman"/>
          <w:sz w:val="28"/>
          <w:szCs w:val="28"/>
          <w:lang w:val="es-ES"/>
        </w:rPr>
        <w:t xml:space="preserve">a </w:t>
      </w:r>
      <w:r w:rsidRPr="00AF629F">
        <w:rPr>
          <w:rFonts w:ascii="Times New Roman" w:hAnsi="Times New Roman" w:cs="Times New Roman"/>
          <w:sz w:val="28"/>
          <w:szCs w:val="28"/>
          <w:lang w:val="es-ES"/>
        </w:rPr>
        <w:t xml:space="preserve">autoridades nacionales </w:t>
      </w:r>
      <w:r w:rsidRPr="00AF629F">
        <w:rPr>
          <w:rFonts w:ascii="Times New Roman" w:hAnsi="Times New Roman" w:cs="Times New Roman"/>
          <w:sz w:val="28"/>
          <w:szCs w:val="28"/>
          <w:lang w:val="es-ES"/>
        </w:rPr>
        <w:t xml:space="preserve">como </w:t>
      </w:r>
      <w:r w:rsidRPr="00AF629F">
        <w:rPr>
          <w:rFonts w:ascii="Times New Roman" w:hAnsi="Times New Roman" w:cs="Times New Roman"/>
          <w:sz w:val="28"/>
          <w:szCs w:val="28"/>
          <w:lang w:val="es-ES"/>
        </w:rPr>
        <w:t>territoriales y, en particular, a los ciudadanos organizados bajos diversas formas de</w:t>
      </w:r>
      <w:r w:rsidRPr="00AF629F">
        <w:rPr>
          <w:rFonts w:ascii="Times New Roman" w:hAnsi="Times New Roman" w:cs="Times New Roman"/>
          <w:sz w:val="28"/>
          <w:szCs w:val="28"/>
          <w:lang w:val="es-ES"/>
        </w:rPr>
        <w:t xml:space="preserve"> asociación</w:t>
      </w:r>
      <w:r w:rsidRPr="00AF629F">
        <w:rPr>
          <w:rStyle w:val="Refdenotaalpie"/>
          <w:rFonts w:ascii="Times New Roman" w:hAnsi="Times New Roman" w:cs="Times New Roman"/>
          <w:sz w:val="28"/>
          <w:szCs w:val="28"/>
          <w:lang w:val="es-ES"/>
        </w:rPr>
        <w:footnoteReference w:id="18"/>
      </w:r>
      <w:r w:rsidRPr="00AF629F">
        <w:rPr>
          <w:rFonts w:ascii="Times New Roman" w:hAnsi="Times New Roman" w:cs="Times New Roman"/>
          <w:sz w:val="28"/>
          <w:szCs w:val="28"/>
          <w:lang w:val="es-ES"/>
        </w:rPr>
        <w:t xml:space="preserve">. </w:t>
      </w:r>
    </w:p>
    <w:p w:rsidR="00EB2433" w:rsidRPr="00AF629F" w:rsidRDefault="00AF629F" w:rsidP="00EB2433">
      <w:pPr>
        <w:pStyle w:val="Prrafodelista"/>
        <w:ind w:left="0"/>
        <w:jc w:val="both"/>
        <w:rPr>
          <w:rFonts w:ascii="Times New Roman" w:hAnsi="Times New Roman" w:cs="Times New Roman"/>
          <w:sz w:val="28"/>
          <w:szCs w:val="28"/>
        </w:rPr>
      </w:pPr>
    </w:p>
    <w:p w:rsidR="005224A1" w:rsidRPr="00AF629F" w:rsidRDefault="00AF629F" w:rsidP="00061941">
      <w:pPr>
        <w:pStyle w:val="Prrafodelista"/>
        <w:numPr>
          <w:ilvl w:val="0"/>
          <w:numId w:val="2"/>
        </w:numPr>
        <w:ind w:left="0" w:right="51" w:firstLine="0"/>
        <w:jc w:val="both"/>
        <w:rPr>
          <w:rFonts w:ascii="Times New Roman" w:hAnsi="Times New Roman" w:cs="Times New Roman"/>
          <w:sz w:val="28"/>
          <w:szCs w:val="28"/>
          <w:shd w:val="clear" w:color="auto" w:fill="FFFFFF"/>
          <w:lang w:val="es-ES"/>
        </w:rPr>
      </w:pPr>
      <w:r w:rsidRPr="00AF629F">
        <w:rPr>
          <w:rFonts w:ascii="Times New Roman" w:hAnsi="Times New Roman" w:cs="Times New Roman"/>
          <w:sz w:val="28"/>
          <w:szCs w:val="28"/>
          <w:shd w:val="clear" w:color="auto" w:fill="FFFFFF"/>
          <w:lang w:val="es-ES"/>
        </w:rPr>
        <w:t xml:space="preserve">De conformidad con lo dispuesto </w:t>
      </w:r>
      <w:r w:rsidRPr="00AF629F">
        <w:rPr>
          <w:rFonts w:ascii="Times New Roman" w:hAnsi="Times New Roman" w:cs="Times New Roman"/>
          <w:sz w:val="28"/>
          <w:szCs w:val="28"/>
          <w:shd w:val="clear" w:color="auto" w:fill="FFFFFF"/>
          <w:lang w:val="es-ES"/>
        </w:rPr>
        <w:t>en</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el </w:t>
      </w:r>
      <w:r w:rsidRPr="00AF629F">
        <w:rPr>
          <w:rFonts w:ascii="Times New Roman" w:hAnsi="Times New Roman" w:cs="Times New Roman"/>
          <w:sz w:val="28"/>
          <w:szCs w:val="28"/>
          <w:shd w:val="clear" w:color="auto" w:fill="FFFFFF"/>
          <w:lang w:val="es-ES"/>
        </w:rPr>
        <w:t>artículo 339 de la Constitución, e</w:t>
      </w:r>
      <w:r w:rsidRPr="00AF629F">
        <w:rPr>
          <w:rFonts w:ascii="Times New Roman" w:hAnsi="Times New Roman" w:cs="Times New Roman"/>
          <w:sz w:val="28"/>
          <w:szCs w:val="28"/>
          <w:shd w:val="clear" w:color="auto" w:fill="FFFFFF"/>
          <w:lang w:val="es-ES"/>
        </w:rPr>
        <w:t xml:space="preserve">l </w:t>
      </w:r>
      <w:r w:rsidRPr="00AF629F">
        <w:rPr>
          <w:rFonts w:ascii="Times New Roman" w:hAnsi="Times New Roman" w:cs="Times New Roman"/>
          <w:sz w:val="28"/>
          <w:szCs w:val="28"/>
          <w:shd w:val="clear" w:color="auto" w:fill="FFFFFF"/>
          <w:lang w:val="es-ES"/>
        </w:rPr>
        <w:t>p</w:t>
      </w:r>
      <w:r w:rsidRPr="00AF629F">
        <w:rPr>
          <w:rFonts w:ascii="Times New Roman" w:hAnsi="Times New Roman" w:cs="Times New Roman"/>
          <w:sz w:val="28"/>
          <w:szCs w:val="28"/>
          <w:shd w:val="clear" w:color="auto" w:fill="FFFFFF"/>
          <w:lang w:val="es-ES"/>
        </w:rPr>
        <w:t xml:space="preserve">lan </w:t>
      </w:r>
      <w:r w:rsidRPr="00AF629F">
        <w:rPr>
          <w:rFonts w:ascii="Times New Roman" w:hAnsi="Times New Roman" w:cs="Times New Roman"/>
          <w:sz w:val="28"/>
          <w:szCs w:val="28"/>
          <w:shd w:val="clear" w:color="auto" w:fill="FFFFFF"/>
          <w:lang w:val="es-ES"/>
        </w:rPr>
        <w:t>n</w:t>
      </w:r>
      <w:r w:rsidRPr="00AF629F">
        <w:rPr>
          <w:rFonts w:ascii="Times New Roman" w:hAnsi="Times New Roman" w:cs="Times New Roman"/>
          <w:sz w:val="28"/>
          <w:szCs w:val="28"/>
          <w:shd w:val="clear" w:color="auto" w:fill="FFFFFF"/>
          <w:lang w:val="es-ES"/>
        </w:rPr>
        <w:t xml:space="preserve">acional de </w:t>
      </w:r>
      <w:r w:rsidRPr="00AF629F">
        <w:rPr>
          <w:rFonts w:ascii="Times New Roman" w:hAnsi="Times New Roman" w:cs="Times New Roman"/>
          <w:sz w:val="28"/>
          <w:szCs w:val="28"/>
          <w:shd w:val="clear" w:color="auto" w:fill="FFFFFF"/>
          <w:lang w:val="es-ES"/>
        </w:rPr>
        <w:t>d</w:t>
      </w:r>
      <w:r w:rsidRPr="00AF629F">
        <w:rPr>
          <w:rFonts w:ascii="Times New Roman" w:hAnsi="Times New Roman" w:cs="Times New Roman"/>
          <w:sz w:val="28"/>
          <w:szCs w:val="28"/>
          <w:shd w:val="clear" w:color="auto" w:fill="FFFFFF"/>
          <w:lang w:val="es-ES"/>
        </w:rPr>
        <w:t xml:space="preserve">esarrollo </w:t>
      </w:r>
      <w:r w:rsidRPr="00AF629F">
        <w:rPr>
          <w:rFonts w:ascii="Times New Roman" w:hAnsi="Times New Roman" w:cs="Times New Roman"/>
          <w:sz w:val="28"/>
          <w:szCs w:val="28"/>
          <w:shd w:val="clear" w:color="auto" w:fill="FFFFFF"/>
          <w:lang w:val="es-ES"/>
        </w:rPr>
        <w:t>está conformado por dos partes</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u</w:t>
      </w:r>
      <w:r w:rsidRPr="00AF629F">
        <w:rPr>
          <w:rFonts w:ascii="Times New Roman" w:hAnsi="Times New Roman" w:cs="Times New Roman"/>
          <w:sz w:val="28"/>
          <w:szCs w:val="28"/>
          <w:shd w:val="clear" w:color="auto" w:fill="FFFFFF"/>
          <w:lang w:val="es-ES"/>
        </w:rPr>
        <w:t>na general</w:t>
      </w:r>
      <w:r w:rsidRPr="00AF629F">
        <w:rPr>
          <w:rFonts w:ascii="Times New Roman" w:hAnsi="Times New Roman" w:cs="Times New Roman"/>
          <w:sz w:val="28"/>
          <w:szCs w:val="28"/>
          <w:shd w:val="clear" w:color="auto" w:fill="FFFFFF"/>
          <w:lang w:val="es-ES"/>
        </w:rPr>
        <w:t>, de carácter “estratégico” (artículo 3.n de la Ley 152 de 1994)</w:t>
      </w:r>
      <w:r w:rsidRPr="00AF629F">
        <w:rPr>
          <w:rFonts w:ascii="Times New Roman" w:hAnsi="Times New Roman" w:cs="Times New Roman"/>
          <w:sz w:val="28"/>
          <w:szCs w:val="28"/>
          <w:shd w:val="clear" w:color="auto" w:fill="FFFFFF"/>
          <w:lang w:val="es-ES"/>
        </w:rPr>
        <w:t>, en la que debe</w:t>
      </w:r>
      <w:r w:rsidRPr="00AF629F">
        <w:rPr>
          <w:rFonts w:ascii="Times New Roman" w:hAnsi="Times New Roman" w:cs="Times New Roman"/>
          <w:sz w:val="28"/>
          <w:szCs w:val="28"/>
          <w:shd w:val="clear" w:color="auto" w:fill="FFFFFF"/>
          <w:lang w:val="es-ES"/>
        </w:rPr>
        <w:t>n</w:t>
      </w:r>
      <w:r w:rsidRPr="00AF629F">
        <w:rPr>
          <w:rFonts w:ascii="Times New Roman" w:hAnsi="Times New Roman" w:cs="Times New Roman"/>
          <w:sz w:val="28"/>
          <w:szCs w:val="28"/>
          <w:shd w:val="clear" w:color="auto" w:fill="FFFFFF"/>
          <w:lang w:val="es-ES"/>
        </w:rPr>
        <w:t xml:space="preserve"> contemplarse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i)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los propósitos y objetivos nacionales de largo plazo</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ii)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las metas y prioridades de la acción estatal a mediano plazo</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y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iii)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las estrategias y orientaciones generales de la política económica, social y ambiental que serán adoptadas por el Gobie</w:t>
      </w:r>
      <w:r w:rsidRPr="00AF629F">
        <w:rPr>
          <w:rFonts w:ascii="Times New Roman" w:hAnsi="Times New Roman" w:cs="Times New Roman"/>
          <w:sz w:val="28"/>
          <w:szCs w:val="28"/>
          <w:shd w:val="clear" w:color="auto" w:fill="FFFFFF"/>
          <w:lang w:val="es-ES"/>
        </w:rPr>
        <w:t>rno”</w:t>
      </w:r>
      <w:r w:rsidRPr="00AF629F">
        <w:rPr>
          <w:rStyle w:val="Refdenotaalpie"/>
          <w:rFonts w:ascii="Times New Roman" w:hAnsi="Times New Roman" w:cs="Times New Roman"/>
          <w:sz w:val="28"/>
          <w:szCs w:val="28"/>
          <w:shd w:val="clear" w:color="auto" w:fill="FFFFFF"/>
          <w:lang w:val="es-ES"/>
        </w:rPr>
        <w:footnoteReference w:id="19"/>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La segunda parte, de carácter “operativo</w:t>
      </w:r>
      <w:r w:rsidRPr="00AF629F">
        <w:rPr>
          <w:rFonts w:ascii="Times New Roman" w:hAnsi="Times New Roman" w:cs="Times New Roman"/>
          <w:sz w:val="28"/>
          <w:szCs w:val="28"/>
          <w:shd w:val="clear" w:color="auto" w:fill="FFFFFF"/>
          <w:lang w:val="es-ES"/>
        </w:rPr>
        <w:t>”, corresponde</w:t>
      </w:r>
      <w:r w:rsidRPr="00AF629F">
        <w:rPr>
          <w:rFonts w:ascii="Times New Roman" w:hAnsi="Times New Roman" w:cs="Times New Roman"/>
          <w:sz w:val="28"/>
          <w:szCs w:val="28"/>
          <w:shd w:val="clear" w:color="auto" w:fill="FFFFFF"/>
          <w:lang w:val="es-ES"/>
        </w:rPr>
        <w:t xml:space="preserve"> al</w:t>
      </w:r>
      <w:r w:rsidRPr="00AF629F">
        <w:rPr>
          <w:rFonts w:ascii="Times New Roman" w:hAnsi="Times New Roman" w:cs="Times New Roman"/>
          <w:sz w:val="28"/>
          <w:szCs w:val="28"/>
          <w:shd w:val="clear" w:color="auto" w:fill="FFFFFF"/>
          <w:lang w:val="es-ES"/>
        </w:rPr>
        <w:t xml:space="preserve"> plan de inversiones públicas</w:t>
      </w:r>
      <w:r w:rsidRPr="00AF629F">
        <w:rPr>
          <w:rFonts w:ascii="Times New Roman" w:hAnsi="Times New Roman" w:cs="Times New Roman"/>
          <w:sz w:val="28"/>
          <w:szCs w:val="28"/>
          <w:shd w:val="clear" w:color="auto" w:fill="FFFFFF"/>
          <w:lang w:val="es-ES"/>
        </w:rPr>
        <w:t xml:space="preserve"> (artículo 3.n de la Ley 152 de 1994)</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el cual</w:t>
      </w:r>
      <w:r w:rsidRPr="00AF629F">
        <w:rPr>
          <w:rFonts w:ascii="Times New Roman" w:hAnsi="Times New Roman" w:cs="Times New Roman"/>
          <w:sz w:val="28"/>
          <w:szCs w:val="28"/>
          <w:shd w:val="clear" w:color="auto" w:fill="FFFFFF"/>
          <w:lang w:val="es-ES"/>
        </w:rPr>
        <w:t xml:space="preserve"> debe contener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i)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los presupuestos plurianuales de los principales programas y proyectos de inversión pública </w:t>
      </w:r>
      <w:r w:rsidRPr="00AF629F">
        <w:rPr>
          <w:rFonts w:ascii="Times New Roman" w:hAnsi="Times New Roman" w:cs="Times New Roman"/>
          <w:sz w:val="28"/>
          <w:szCs w:val="28"/>
          <w:shd w:val="clear" w:color="auto" w:fill="FFFFFF"/>
          <w:lang w:val="es-ES"/>
        </w:rPr>
        <w:t>nacional</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y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ii)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la especificación de los recursos financieros requeridos para su ejecución, dentro de un marco que garantice la sostenibilidad fiscal”</w:t>
      </w:r>
      <w:r w:rsidRPr="00AF629F">
        <w:rPr>
          <w:rStyle w:val="Refdenotaalpie"/>
          <w:rFonts w:ascii="Times New Roman" w:hAnsi="Times New Roman" w:cs="Times New Roman"/>
          <w:sz w:val="28"/>
          <w:szCs w:val="28"/>
          <w:shd w:val="clear" w:color="auto" w:fill="FFFFFF"/>
          <w:lang w:val="es-ES"/>
        </w:rPr>
        <w:footnoteReference w:id="20"/>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p>
    <w:p w:rsidR="005224A1" w:rsidRPr="00AF629F" w:rsidRDefault="00AF629F" w:rsidP="005224A1">
      <w:pPr>
        <w:rPr>
          <w:rFonts w:ascii="Times New Roman" w:hAnsi="Times New Roman" w:cs="Times New Roman"/>
          <w:sz w:val="28"/>
          <w:szCs w:val="28"/>
          <w:shd w:val="clear" w:color="auto" w:fill="FFFFFF"/>
          <w:lang w:val="es-ES"/>
        </w:rPr>
      </w:pPr>
    </w:p>
    <w:p w:rsidR="004F4CB4" w:rsidRPr="00AF629F" w:rsidRDefault="00AF629F" w:rsidP="00642D1A">
      <w:pPr>
        <w:pStyle w:val="Prrafodelista"/>
        <w:numPr>
          <w:ilvl w:val="0"/>
          <w:numId w:val="2"/>
        </w:numPr>
        <w:ind w:left="0" w:right="51" w:firstLine="0"/>
        <w:jc w:val="both"/>
        <w:rPr>
          <w:rFonts w:ascii="Times New Roman" w:hAnsi="Times New Roman" w:cs="Times New Roman"/>
          <w:sz w:val="28"/>
          <w:szCs w:val="28"/>
          <w:shd w:val="clear" w:color="auto" w:fill="FFFFFF"/>
          <w:lang w:val="es-ES"/>
        </w:rPr>
      </w:pPr>
      <w:r w:rsidRPr="00AF629F">
        <w:rPr>
          <w:rFonts w:ascii="Times New Roman" w:hAnsi="Times New Roman" w:cs="Times New Roman"/>
          <w:sz w:val="28"/>
          <w:szCs w:val="28"/>
          <w:shd w:val="clear" w:color="auto" w:fill="FFFFFF"/>
          <w:lang w:val="es-ES"/>
        </w:rPr>
        <w:t xml:space="preserve">En </w:t>
      </w:r>
      <w:r w:rsidRPr="00AF629F">
        <w:rPr>
          <w:rFonts w:ascii="Times New Roman" w:hAnsi="Times New Roman" w:cs="Times New Roman"/>
          <w:sz w:val="28"/>
          <w:szCs w:val="28"/>
          <w:lang w:val="es-ES"/>
        </w:rPr>
        <w:t xml:space="preserve">la parte general se </w:t>
      </w:r>
      <w:r w:rsidRPr="00AF629F">
        <w:rPr>
          <w:rFonts w:ascii="Times New Roman" w:hAnsi="Times New Roman" w:cs="Times New Roman"/>
          <w:sz w:val="28"/>
          <w:szCs w:val="28"/>
          <w:shd w:val="clear" w:color="auto" w:fill="FFFFFF"/>
          <w:lang w:val="es-ES"/>
        </w:rPr>
        <w:t>señalarán</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además</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lang w:val="es-ES"/>
        </w:rPr>
        <w:t xml:space="preserve">los </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procedimientos y mecanismos generales</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 xml:space="preserve">necesarios </w:t>
      </w:r>
      <w:r w:rsidRPr="00AF629F">
        <w:rPr>
          <w:rFonts w:ascii="Times New Roman" w:hAnsi="Times New Roman" w:cs="Times New Roman"/>
          <w:sz w:val="28"/>
          <w:szCs w:val="28"/>
          <w:lang w:val="es-ES"/>
        </w:rPr>
        <w:t>para</w:t>
      </w:r>
      <w:r w:rsidRPr="00AF629F">
        <w:rPr>
          <w:rFonts w:ascii="Times New Roman" w:hAnsi="Times New Roman" w:cs="Times New Roman"/>
          <w:sz w:val="28"/>
          <w:szCs w:val="28"/>
        </w:rPr>
        <w:t xml:space="preserve"> lograr los objetivos y metas nacionales y sectoriales propuest</w:t>
      </w:r>
      <w:r w:rsidRPr="00AF629F">
        <w:rPr>
          <w:rFonts w:ascii="Times New Roman" w:hAnsi="Times New Roman" w:cs="Times New Roman"/>
          <w:sz w:val="28"/>
          <w:szCs w:val="28"/>
        </w:rPr>
        <w:t>a</w:t>
      </w:r>
      <w:r w:rsidRPr="00AF629F">
        <w:rPr>
          <w:rFonts w:ascii="Times New Roman" w:hAnsi="Times New Roman" w:cs="Times New Roman"/>
          <w:sz w:val="28"/>
          <w:szCs w:val="28"/>
        </w:rPr>
        <w:t>s en el plan</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(artículo 5</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b</w:t>
      </w:r>
      <w:r w:rsidRPr="00AF629F">
        <w:rPr>
          <w:rFonts w:ascii="Times New Roman" w:hAnsi="Times New Roman" w:cs="Times New Roman"/>
          <w:sz w:val="28"/>
          <w:szCs w:val="28"/>
          <w:lang w:val="es-ES"/>
        </w:rPr>
        <w:t xml:space="preserve"> de la Ley 152 de 1994</w:t>
      </w:r>
      <w:r w:rsidRPr="00AF629F">
        <w:rPr>
          <w:rFonts w:ascii="Times New Roman" w:hAnsi="Times New Roman" w:cs="Times New Roman"/>
          <w:sz w:val="28"/>
          <w:szCs w:val="28"/>
          <w:lang w:val="es-ES"/>
        </w:rPr>
        <w:t xml:space="preserve">), y en el </w:t>
      </w:r>
      <w:r w:rsidRPr="00AF629F">
        <w:rPr>
          <w:rFonts w:ascii="Times New Roman" w:hAnsi="Times New Roman" w:cs="Times New Roman"/>
          <w:sz w:val="28"/>
          <w:szCs w:val="28"/>
          <w:lang w:val="es-ES"/>
        </w:rPr>
        <w:t>p</w:t>
      </w:r>
      <w:r w:rsidRPr="00AF629F">
        <w:rPr>
          <w:rFonts w:ascii="Times New Roman" w:hAnsi="Times New Roman" w:cs="Times New Roman"/>
          <w:sz w:val="28"/>
          <w:szCs w:val="28"/>
          <w:lang w:val="es-ES"/>
        </w:rPr>
        <w:t xml:space="preserve">lan de </w:t>
      </w:r>
      <w:r w:rsidRPr="00AF629F">
        <w:rPr>
          <w:rFonts w:ascii="Times New Roman" w:hAnsi="Times New Roman" w:cs="Times New Roman"/>
          <w:sz w:val="28"/>
          <w:szCs w:val="28"/>
          <w:lang w:val="es-ES"/>
        </w:rPr>
        <w:t>i</w:t>
      </w:r>
      <w:r w:rsidRPr="00AF629F">
        <w:rPr>
          <w:rFonts w:ascii="Times New Roman" w:hAnsi="Times New Roman" w:cs="Times New Roman"/>
          <w:sz w:val="28"/>
          <w:szCs w:val="28"/>
          <w:lang w:val="es-ES"/>
        </w:rPr>
        <w:t xml:space="preserve">nversiones se </w:t>
      </w:r>
      <w:r w:rsidRPr="00AF629F">
        <w:rPr>
          <w:rFonts w:ascii="Times New Roman" w:hAnsi="Times New Roman" w:cs="Times New Roman"/>
          <w:sz w:val="28"/>
          <w:szCs w:val="28"/>
          <w:lang w:val="es-ES"/>
        </w:rPr>
        <w:t xml:space="preserve">deben </w:t>
      </w:r>
      <w:r w:rsidRPr="00AF629F">
        <w:rPr>
          <w:rFonts w:ascii="Times New Roman" w:hAnsi="Times New Roman" w:cs="Times New Roman"/>
          <w:sz w:val="28"/>
          <w:szCs w:val="28"/>
          <w:lang w:val="es-ES"/>
        </w:rPr>
        <w:t xml:space="preserve">especificar los </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mecanismos idóneos</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 xml:space="preserve"> para la ejecución de los principales programas y proyectos de inversión (artículo 6</w:t>
      </w:r>
      <w:r w:rsidRPr="00AF629F">
        <w:rPr>
          <w:rFonts w:ascii="Times New Roman" w:hAnsi="Times New Roman" w:cs="Times New Roman"/>
          <w:sz w:val="28"/>
          <w:szCs w:val="28"/>
          <w:lang w:val="es-ES"/>
        </w:rPr>
        <w:t>.</w:t>
      </w:r>
      <w:r w:rsidRPr="00AF629F">
        <w:rPr>
          <w:rFonts w:ascii="Times New Roman" w:hAnsi="Times New Roman" w:cs="Times New Roman"/>
          <w:sz w:val="28"/>
          <w:szCs w:val="28"/>
          <w:lang w:val="es-ES"/>
        </w:rPr>
        <w:t>d</w:t>
      </w:r>
      <w:r w:rsidRPr="00AF629F">
        <w:rPr>
          <w:rFonts w:ascii="Times New Roman" w:hAnsi="Times New Roman" w:cs="Times New Roman"/>
          <w:sz w:val="28"/>
          <w:szCs w:val="28"/>
          <w:lang w:val="es-ES"/>
        </w:rPr>
        <w:t xml:space="preserve"> de la Ley 152 de 1994</w:t>
      </w:r>
      <w:r w:rsidRPr="00AF629F">
        <w:rPr>
          <w:rFonts w:ascii="Times New Roman" w:hAnsi="Times New Roman" w:cs="Times New Roman"/>
          <w:sz w:val="28"/>
          <w:szCs w:val="28"/>
          <w:lang w:val="es-ES"/>
        </w:rPr>
        <w:t>).</w:t>
      </w:r>
    </w:p>
    <w:p w:rsidR="004F4CB4" w:rsidRPr="00AF629F" w:rsidRDefault="00AF629F" w:rsidP="004F4CB4">
      <w:pPr>
        <w:rPr>
          <w:rFonts w:ascii="Times New Roman" w:hAnsi="Times New Roman" w:cs="Times New Roman"/>
          <w:sz w:val="28"/>
          <w:szCs w:val="28"/>
          <w:shd w:val="clear" w:color="auto" w:fill="FFFFFF"/>
          <w:lang w:val="es-ES"/>
        </w:rPr>
      </w:pPr>
    </w:p>
    <w:p w:rsidR="00C34E94" w:rsidRPr="00AF629F" w:rsidRDefault="00AF629F" w:rsidP="00884C2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La </w:t>
      </w:r>
      <w:r w:rsidRPr="00AF629F">
        <w:rPr>
          <w:rFonts w:ascii="Times New Roman" w:hAnsi="Times New Roman" w:cs="Times New Roman"/>
          <w:sz w:val="28"/>
          <w:szCs w:val="28"/>
          <w:shd w:val="clear" w:color="auto" w:fill="FFFFFF"/>
          <w:lang w:val="es-ES"/>
        </w:rPr>
        <w:t>fase de elaboración</w:t>
      </w:r>
      <w:r w:rsidRPr="00AF629F">
        <w:rPr>
          <w:rFonts w:ascii="Times New Roman" w:hAnsi="Times New Roman" w:cs="Times New Roman"/>
          <w:sz w:val="28"/>
          <w:szCs w:val="28"/>
          <w:shd w:val="clear" w:color="auto" w:fill="FFFFFF"/>
          <w:lang w:val="es-ES"/>
        </w:rPr>
        <w:t xml:space="preserve"> del </w:t>
      </w:r>
      <w:r w:rsidRPr="00AF629F">
        <w:rPr>
          <w:rFonts w:ascii="Times New Roman" w:hAnsi="Times New Roman" w:cs="Times New Roman"/>
          <w:sz w:val="28"/>
          <w:szCs w:val="28"/>
          <w:shd w:val="clear" w:color="auto" w:fill="FFFFFF"/>
          <w:lang w:val="es-ES"/>
        </w:rPr>
        <w:t>p</w:t>
      </w:r>
      <w:r w:rsidRPr="00AF629F">
        <w:rPr>
          <w:rFonts w:ascii="Times New Roman" w:hAnsi="Times New Roman" w:cs="Times New Roman"/>
          <w:sz w:val="28"/>
          <w:szCs w:val="28"/>
          <w:shd w:val="clear" w:color="auto" w:fill="FFFFFF"/>
          <w:lang w:val="es-ES"/>
        </w:rPr>
        <w:t xml:space="preserve">lan </w:t>
      </w:r>
      <w:r w:rsidRPr="00AF629F">
        <w:rPr>
          <w:rFonts w:ascii="Times New Roman" w:hAnsi="Times New Roman" w:cs="Times New Roman"/>
          <w:sz w:val="28"/>
          <w:szCs w:val="28"/>
          <w:shd w:val="clear" w:color="auto" w:fill="FFFFFF"/>
          <w:lang w:val="es-ES"/>
        </w:rPr>
        <w:t xml:space="preserve">nacional </w:t>
      </w:r>
      <w:r w:rsidRPr="00AF629F">
        <w:rPr>
          <w:rFonts w:ascii="Times New Roman" w:hAnsi="Times New Roman" w:cs="Times New Roman"/>
          <w:sz w:val="28"/>
          <w:szCs w:val="28"/>
          <w:shd w:val="clear" w:color="auto" w:fill="FFFFFF"/>
          <w:lang w:val="es-ES"/>
        </w:rPr>
        <w:t xml:space="preserve">de </w:t>
      </w:r>
      <w:r w:rsidRPr="00AF629F">
        <w:rPr>
          <w:rFonts w:ascii="Times New Roman" w:hAnsi="Times New Roman" w:cs="Times New Roman"/>
          <w:sz w:val="28"/>
          <w:szCs w:val="28"/>
          <w:shd w:val="clear" w:color="auto" w:fill="FFFFFF"/>
          <w:lang w:val="es-ES"/>
        </w:rPr>
        <w:t>d</w:t>
      </w:r>
      <w:r w:rsidRPr="00AF629F">
        <w:rPr>
          <w:rFonts w:ascii="Times New Roman" w:hAnsi="Times New Roman" w:cs="Times New Roman"/>
          <w:sz w:val="28"/>
          <w:szCs w:val="28"/>
          <w:shd w:val="clear" w:color="auto" w:fill="FFFFFF"/>
          <w:lang w:val="es-ES"/>
        </w:rPr>
        <w:t xml:space="preserve">esarrollo </w:t>
      </w:r>
      <w:r w:rsidRPr="00AF629F">
        <w:rPr>
          <w:rFonts w:ascii="Times New Roman" w:hAnsi="Times New Roman" w:cs="Times New Roman"/>
          <w:sz w:val="28"/>
          <w:szCs w:val="28"/>
          <w:shd w:val="clear" w:color="auto" w:fill="FFFFFF"/>
          <w:lang w:val="es-ES"/>
        </w:rPr>
        <w:t xml:space="preserve">supone el agotamiento de las siguientes </w:t>
      </w:r>
      <w:r w:rsidRPr="00AF629F">
        <w:rPr>
          <w:rFonts w:ascii="Times New Roman" w:hAnsi="Times New Roman" w:cs="Times New Roman"/>
          <w:sz w:val="28"/>
          <w:szCs w:val="28"/>
          <w:shd w:val="clear" w:color="auto" w:fill="FFFFFF"/>
          <w:lang w:val="es-ES"/>
        </w:rPr>
        <w:t xml:space="preserve">cuatro </w:t>
      </w:r>
      <w:r w:rsidRPr="00AF629F">
        <w:rPr>
          <w:rFonts w:ascii="Times New Roman" w:hAnsi="Times New Roman" w:cs="Times New Roman"/>
          <w:sz w:val="28"/>
          <w:szCs w:val="28"/>
          <w:shd w:val="clear" w:color="auto" w:fill="FFFFFF"/>
          <w:lang w:val="es-ES"/>
        </w:rPr>
        <w:t>etapas</w:t>
      </w:r>
      <w:r w:rsidRPr="00AF629F">
        <w:rPr>
          <w:rFonts w:ascii="Times New Roman" w:hAnsi="Times New Roman" w:cs="Times New Roman"/>
          <w:sz w:val="28"/>
          <w:szCs w:val="28"/>
          <w:shd w:val="clear" w:color="auto" w:fill="FFFFFF"/>
          <w:lang w:val="es-ES"/>
        </w:rPr>
        <w:t xml:space="preserve">, que se deben surtir en un periodo </w:t>
      </w:r>
      <w:r w:rsidRPr="00AF629F">
        <w:rPr>
          <w:rFonts w:ascii="Times New Roman" w:hAnsi="Times New Roman" w:cs="Times New Roman"/>
          <w:sz w:val="28"/>
          <w:szCs w:val="28"/>
          <w:shd w:val="clear" w:color="auto" w:fill="FFFFFF"/>
          <w:lang w:val="es-ES"/>
        </w:rPr>
        <w:t>de seis meses</w:t>
      </w:r>
      <w:r w:rsidRPr="00AF629F">
        <w:rPr>
          <w:rFonts w:ascii="Times New Roman" w:hAnsi="Times New Roman" w:cs="Times New Roman"/>
          <w:sz w:val="28"/>
          <w:szCs w:val="28"/>
          <w:shd w:val="clear" w:color="auto" w:fill="FFFFFF"/>
          <w:lang w:val="es-ES"/>
        </w:rPr>
        <w:t>:</w:t>
      </w:r>
    </w:p>
    <w:p w:rsidR="00C34E94" w:rsidRPr="00AF629F" w:rsidRDefault="00AF629F" w:rsidP="00C34E94">
      <w:pPr>
        <w:pStyle w:val="Prrafodelista"/>
        <w:rPr>
          <w:rFonts w:ascii="Times New Roman" w:hAnsi="Times New Roman" w:cs="Times New Roman"/>
          <w:sz w:val="28"/>
          <w:szCs w:val="28"/>
          <w:shd w:val="clear" w:color="auto" w:fill="FFFFFF"/>
          <w:lang w:val="es-ES"/>
        </w:rPr>
      </w:pPr>
    </w:p>
    <w:p w:rsidR="00C34E94" w:rsidRPr="00AF629F" w:rsidRDefault="00AF629F" w:rsidP="00884C2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 </w:t>
      </w:r>
      <w:r w:rsidRPr="00AF629F">
        <w:rPr>
          <w:rFonts w:ascii="Times New Roman" w:hAnsi="Times New Roman" w:cs="Times New Roman"/>
          <w:i/>
          <w:iCs/>
          <w:sz w:val="28"/>
          <w:szCs w:val="28"/>
          <w:shd w:val="clear" w:color="auto" w:fill="FFFFFF"/>
          <w:lang w:val="es-ES"/>
        </w:rPr>
        <w:t>F</w:t>
      </w:r>
      <w:r w:rsidRPr="00AF629F">
        <w:rPr>
          <w:rFonts w:ascii="Times New Roman" w:hAnsi="Times New Roman" w:cs="Times New Roman"/>
          <w:i/>
          <w:iCs/>
          <w:sz w:val="28"/>
          <w:szCs w:val="28"/>
          <w:shd w:val="clear" w:color="auto" w:fill="FFFFFF"/>
          <w:lang w:val="es-ES"/>
        </w:rPr>
        <w:t>ormulación inicial</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b/>
          <w:bCs/>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que </w:t>
      </w:r>
      <w:r w:rsidRPr="00AF629F">
        <w:rPr>
          <w:rFonts w:ascii="Times New Roman" w:hAnsi="Times New Roman" w:cs="Times New Roman"/>
          <w:sz w:val="28"/>
          <w:szCs w:val="28"/>
          <w:shd w:val="clear" w:color="auto" w:fill="FFFFFF"/>
          <w:lang w:val="es-ES"/>
        </w:rPr>
        <w:t>s</w:t>
      </w:r>
      <w:r w:rsidRPr="00AF629F">
        <w:rPr>
          <w:rFonts w:ascii="Times New Roman" w:hAnsi="Times New Roman" w:cs="Times New Roman"/>
          <w:sz w:val="28"/>
          <w:szCs w:val="28"/>
          <w:shd w:val="clear" w:color="auto" w:fill="FFFFFF"/>
          <w:lang w:val="es-ES"/>
        </w:rPr>
        <w:t>e adelanta bajo la coordinación del director del Departamento Nacional de Planeación</w:t>
      </w:r>
      <w:r w:rsidRPr="00AF629F">
        <w:rPr>
          <w:rFonts w:ascii="Times New Roman" w:hAnsi="Times New Roman" w:cs="Times New Roman"/>
          <w:sz w:val="28"/>
          <w:szCs w:val="28"/>
          <w:shd w:val="clear" w:color="auto" w:fill="FFFFFF"/>
          <w:lang w:val="es-ES"/>
        </w:rPr>
        <w:t xml:space="preserve"> (artículo 15 de la Ley 152 de 1994)</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p>
    <w:p w:rsidR="00C34E94" w:rsidRPr="00AF629F" w:rsidRDefault="00AF629F" w:rsidP="00C34E94">
      <w:pPr>
        <w:pStyle w:val="Prrafodelista"/>
        <w:rPr>
          <w:rFonts w:ascii="Times New Roman" w:hAnsi="Times New Roman" w:cs="Times New Roman"/>
          <w:sz w:val="28"/>
          <w:szCs w:val="28"/>
          <w:shd w:val="clear" w:color="auto" w:fill="FFFFFF"/>
          <w:lang w:val="es-ES"/>
        </w:rPr>
      </w:pPr>
    </w:p>
    <w:p w:rsidR="003A4C5A" w:rsidRPr="00AF629F" w:rsidRDefault="00AF629F" w:rsidP="00884C2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(ii) </w:t>
      </w:r>
      <w:r w:rsidRPr="00AF629F">
        <w:rPr>
          <w:rFonts w:ascii="Times New Roman" w:hAnsi="Times New Roman" w:cs="Times New Roman"/>
          <w:i/>
          <w:iCs/>
          <w:sz w:val="28"/>
          <w:szCs w:val="28"/>
          <w:shd w:val="clear" w:color="auto" w:fill="FFFFFF"/>
          <w:lang w:val="es-ES"/>
        </w:rPr>
        <w:t xml:space="preserve">Presentación al </w:t>
      </w:r>
      <w:r w:rsidRPr="00AF629F">
        <w:rPr>
          <w:rFonts w:ascii="Times New Roman" w:hAnsi="Times New Roman" w:cs="Times New Roman"/>
          <w:i/>
          <w:iCs/>
          <w:sz w:val="28"/>
          <w:szCs w:val="28"/>
          <w:shd w:val="clear" w:color="auto" w:fill="FFFFFF"/>
          <w:lang w:val="es-ES"/>
        </w:rPr>
        <w:t>Consejo Nacional de Política Económica y Social (</w:t>
      </w:r>
      <w:r w:rsidRPr="00AF629F">
        <w:rPr>
          <w:rFonts w:ascii="Times New Roman" w:hAnsi="Times New Roman" w:cs="Times New Roman"/>
          <w:i/>
          <w:iCs/>
          <w:sz w:val="28"/>
          <w:szCs w:val="28"/>
          <w:shd w:val="clear" w:color="auto" w:fill="FFFFFF"/>
          <w:lang w:val="es-ES"/>
        </w:rPr>
        <w:t>CONPES</w:t>
      </w:r>
      <w:r w:rsidRPr="00AF629F">
        <w:rPr>
          <w:rFonts w:ascii="Times New Roman" w:hAnsi="Times New Roman" w:cs="Times New Roman"/>
          <w:i/>
          <w:iCs/>
          <w:sz w:val="28"/>
          <w:szCs w:val="28"/>
          <w:shd w:val="clear" w:color="auto" w:fill="FFFFFF"/>
          <w:lang w:val="es-ES"/>
        </w:rPr>
        <w:t>)</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b/>
          <w:bCs/>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u</w:t>
      </w:r>
      <w:r w:rsidRPr="00AF629F">
        <w:rPr>
          <w:rFonts w:ascii="Times New Roman" w:hAnsi="Times New Roman" w:cs="Times New Roman"/>
          <w:sz w:val="28"/>
          <w:szCs w:val="28"/>
          <w:shd w:val="clear" w:color="auto" w:fill="FFFFFF"/>
          <w:lang w:val="es-ES"/>
        </w:rPr>
        <w:t xml:space="preserve">na vez formulada la propuesta inicial, </w:t>
      </w:r>
      <w:r w:rsidRPr="00AF629F">
        <w:rPr>
          <w:rFonts w:ascii="Times New Roman" w:hAnsi="Times New Roman" w:cs="Times New Roman"/>
          <w:sz w:val="28"/>
          <w:szCs w:val="28"/>
          <w:shd w:val="clear" w:color="auto" w:fill="FFFFFF"/>
          <w:lang w:val="es-ES"/>
        </w:rPr>
        <w:t xml:space="preserve">previo concepto del Consejo Superior de Política Fiscal (CONFIS) sobre las implicaciones fiscales del plan de inversiones, </w:t>
      </w:r>
      <w:r w:rsidRPr="00AF629F">
        <w:rPr>
          <w:rFonts w:ascii="Times New Roman" w:hAnsi="Times New Roman" w:cs="Times New Roman"/>
          <w:sz w:val="28"/>
          <w:szCs w:val="28"/>
          <w:shd w:val="clear" w:color="auto" w:fill="FFFFFF"/>
          <w:lang w:val="es-ES"/>
        </w:rPr>
        <w:t xml:space="preserve">el director del Departamento Nacional de Planeación lo </w:t>
      </w:r>
      <w:r w:rsidRPr="00AF629F">
        <w:rPr>
          <w:rFonts w:ascii="Times New Roman" w:hAnsi="Times New Roman" w:cs="Times New Roman"/>
          <w:sz w:val="28"/>
          <w:szCs w:val="28"/>
          <w:shd w:val="clear" w:color="auto" w:fill="FFFFFF"/>
          <w:lang w:val="es-ES"/>
        </w:rPr>
        <w:t xml:space="preserve">debe </w:t>
      </w:r>
      <w:r w:rsidRPr="00AF629F">
        <w:rPr>
          <w:rFonts w:ascii="Times New Roman" w:hAnsi="Times New Roman" w:cs="Times New Roman"/>
          <w:sz w:val="28"/>
          <w:szCs w:val="28"/>
          <w:shd w:val="clear" w:color="auto" w:fill="FFFFFF"/>
          <w:lang w:val="es-ES"/>
        </w:rPr>
        <w:t>presenta</w:t>
      </w:r>
      <w:r w:rsidRPr="00AF629F">
        <w:rPr>
          <w:rFonts w:ascii="Times New Roman" w:hAnsi="Times New Roman" w:cs="Times New Roman"/>
          <w:sz w:val="28"/>
          <w:szCs w:val="28"/>
          <w:shd w:val="clear" w:color="auto" w:fill="FFFFFF"/>
          <w:lang w:val="es-ES"/>
        </w:rPr>
        <w:t>r</w:t>
      </w:r>
      <w:r w:rsidRPr="00AF629F">
        <w:rPr>
          <w:rFonts w:ascii="Times New Roman" w:hAnsi="Times New Roman" w:cs="Times New Roman"/>
          <w:sz w:val="28"/>
          <w:szCs w:val="28"/>
          <w:shd w:val="clear" w:color="auto" w:fill="FFFFFF"/>
          <w:lang w:val="es-ES"/>
        </w:rPr>
        <w:t xml:space="preserve"> a consideración </w:t>
      </w:r>
      <w:r w:rsidRPr="00AF629F">
        <w:rPr>
          <w:rFonts w:ascii="Times New Roman" w:hAnsi="Times New Roman" w:cs="Times New Roman"/>
          <w:sz w:val="28"/>
          <w:szCs w:val="28"/>
          <w:shd w:val="clear" w:color="auto" w:fill="FFFFFF"/>
          <w:lang w:val="es-ES"/>
        </w:rPr>
        <w:t xml:space="preserve">del </w:t>
      </w:r>
      <w:r w:rsidRPr="00AF629F">
        <w:rPr>
          <w:rFonts w:ascii="Times New Roman" w:hAnsi="Times New Roman" w:cs="Times New Roman"/>
          <w:sz w:val="28"/>
          <w:szCs w:val="28"/>
          <w:shd w:val="clear" w:color="auto" w:fill="FFFFFF"/>
          <w:lang w:val="es-ES"/>
        </w:rPr>
        <w:t>CONP</w:t>
      </w:r>
      <w:r w:rsidRPr="00AF629F">
        <w:rPr>
          <w:rFonts w:ascii="Times New Roman" w:hAnsi="Times New Roman" w:cs="Times New Roman"/>
          <w:sz w:val="28"/>
          <w:szCs w:val="28"/>
          <w:shd w:val="clear" w:color="auto" w:fill="FFFFFF"/>
          <w:lang w:val="es-ES"/>
        </w:rPr>
        <w:t>ES ampliado</w:t>
      </w:r>
      <w:r w:rsidRPr="00AF629F">
        <w:rPr>
          <w:rFonts w:ascii="Times New Roman" w:hAnsi="Times New Roman" w:cs="Times New Roman"/>
          <w:sz w:val="28"/>
          <w:szCs w:val="28"/>
          <w:shd w:val="clear" w:color="auto" w:fill="FFFFFF"/>
          <w:lang w:val="es-ES"/>
        </w:rPr>
        <w:t xml:space="preserve"> (artículo 17 de la Ley 152 de 1994)</w:t>
      </w:r>
      <w:r w:rsidRPr="00AF629F">
        <w:rPr>
          <w:rStyle w:val="Refdenotaalpie"/>
          <w:rFonts w:ascii="Times New Roman" w:hAnsi="Times New Roman" w:cs="Times New Roman"/>
          <w:sz w:val="28"/>
          <w:szCs w:val="28"/>
          <w:shd w:val="clear" w:color="auto" w:fill="FFFFFF"/>
          <w:lang w:val="es-ES"/>
        </w:rPr>
        <w:footnoteReference w:id="21"/>
      </w:r>
      <w:r w:rsidRPr="00AF629F">
        <w:rPr>
          <w:rFonts w:ascii="Times New Roman" w:hAnsi="Times New Roman" w:cs="Times New Roman"/>
          <w:sz w:val="28"/>
          <w:szCs w:val="28"/>
          <w:shd w:val="clear" w:color="auto" w:fill="FFFFFF"/>
          <w:lang w:val="es-ES"/>
        </w:rPr>
        <w:t>.</w:t>
      </w:r>
    </w:p>
    <w:p w:rsidR="003A4C5A" w:rsidRPr="00AF629F" w:rsidRDefault="00AF629F" w:rsidP="003A4C5A">
      <w:pPr>
        <w:pStyle w:val="Prrafodelista"/>
        <w:rPr>
          <w:rFonts w:ascii="Times New Roman" w:hAnsi="Times New Roman" w:cs="Times New Roman"/>
          <w:sz w:val="28"/>
          <w:szCs w:val="28"/>
          <w:shd w:val="clear" w:color="auto" w:fill="FFFFFF"/>
          <w:lang w:val="es-ES"/>
        </w:rPr>
      </w:pPr>
    </w:p>
    <w:p w:rsidR="003A4C5A" w:rsidRPr="00AF629F" w:rsidRDefault="00AF629F" w:rsidP="00884C2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(iii) </w:t>
      </w:r>
      <w:r w:rsidRPr="00AF629F">
        <w:rPr>
          <w:rFonts w:ascii="Times New Roman" w:hAnsi="Times New Roman" w:cs="Times New Roman"/>
          <w:i/>
          <w:iCs/>
          <w:sz w:val="28"/>
          <w:szCs w:val="28"/>
          <w:shd w:val="clear" w:color="auto" w:fill="FFFFFF"/>
          <w:lang w:val="es-ES"/>
        </w:rPr>
        <w:t>Concepto del Consejo Nacional de Planeació</w:t>
      </w:r>
      <w:r w:rsidRPr="00AF629F">
        <w:rPr>
          <w:rFonts w:ascii="Times New Roman" w:hAnsi="Times New Roman" w:cs="Times New Roman"/>
          <w:i/>
          <w:iCs/>
          <w:sz w:val="28"/>
          <w:szCs w:val="28"/>
          <w:shd w:val="clear" w:color="auto" w:fill="FFFFFF"/>
          <w:lang w:val="es-ES"/>
        </w:rPr>
        <w:t>n</w:t>
      </w:r>
      <w:r w:rsidRPr="00AF629F">
        <w:rPr>
          <w:rFonts w:ascii="Times New Roman" w:hAnsi="Times New Roman" w:cs="Times New Roman"/>
          <w:i/>
          <w:iCs/>
          <w:sz w:val="28"/>
          <w:szCs w:val="28"/>
          <w:shd w:val="clear" w:color="auto" w:fill="FFFFFF"/>
          <w:lang w:val="es-ES"/>
        </w:rPr>
        <w:t xml:space="preserve"> (CNP)</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b/>
          <w:bCs/>
          <w:sz w:val="28"/>
          <w:szCs w:val="28"/>
          <w:shd w:val="clear" w:color="auto" w:fill="FFFFFF"/>
          <w:lang w:val="es-ES"/>
        </w:rPr>
        <w:t> </w:t>
      </w:r>
      <w:r w:rsidRPr="00AF629F">
        <w:rPr>
          <w:rFonts w:ascii="Times New Roman" w:hAnsi="Times New Roman" w:cs="Times New Roman"/>
          <w:sz w:val="28"/>
          <w:szCs w:val="28"/>
          <w:shd w:val="clear" w:color="auto" w:fill="FFFFFF"/>
          <w:lang w:val="es-ES"/>
        </w:rPr>
        <w:t>e</w:t>
      </w:r>
      <w:r w:rsidRPr="00AF629F">
        <w:rPr>
          <w:rFonts w:ascii="Times New Roman" w:hAnsi="Times New Roman" w:cs="Times New Roman"/>
          <w:sz w:val="28"/>
          <w:szCs w:val="28"/>
          <w:shd w:val="clear" w:color="auto" w:fill="FFFFFF"/>
          <w:lang w:val="es-ES"/>
        </w:rPr>
        <w:t xml:space="preserve">l proyecto del </w:t>
      </w:r>
      <w:r w:rsidRPr="00AF629F">
        <w:rPr>
          <w:rFonts w:ascii="Times New Roman" w:hAnsi="Times New Roman" w:cs="Times New Roman"/>
          <w:sz w:val="28"/>
          <w:szCs w:val="28"/>
          <w:shd w:val="clear" w:color="auto" w:fill="FFFFFF"/>
          <w:lang w:val="es-ES"/>
        </w:rPr>
        <w:t>p</w:t>
      </w:r>
      <w:r w:rsidRPr="00AF629F">
        <w:rPr>
          <w:rFonts w:ascii="Times New Roman" w:hAnsi="Times New Roman" w:cs="Times New Roman"/>
          <w:sz w:val="28"/>
          <w:szCs w:val="28"/>
          <w:shd w:val="clear" w:color="auto" w:fill="FFFFFF"/>
          <w:lang w:val="es-ES"/>
        </w:rPr>
        <w:t>lan</w:t>
      </w:r>
      <w:r w:rsidRPr="00AF629F">
        <w:rPr>
          <w:rFonts w:ascii="Times New Roman" w:hAnsi="Times New Roman" w:cs="Times New Roman"/>
          <w:sz w:val="28"/>
          <w:szCs w:val="28"/>
          <w:shd w:val="clear" w:color="auto" w:fill="FFFFFF"/>
          <w:lang w:val="es-ES"/>
        </w:rPr>
        <w:t xml:space="preserve"> nacional de desarrollo</w:t>
      </w:r>
      <w:r w:rsidRPr="00AF629F">
        <w:rPr>
          <w:rFonts w:ascii="Times New Roman" w:hAnsi="Times New Roman" w:cs="Times New Roman"/>
          <w:sz w:val="28"/>
          <w:szCs w:val="28"/>
          <w:shd w:val="clear" w:color="auto" w:fill="FFFFFF"/>
          <w:lang w:val="es-ES"/>
        </w:rPr>
        <w:t xml:space="preserve">, como documento consolidado en sus diferentes componentes, </w:t>
      </w:r>
      <w:r w:rsidRPr="00AF629F">
        <w:rPr>
          <w:rFonts w:ascii="Times New Roman" w:hAnsi="Times New Roman" w:cs="Times New Roman"/>
          <w:sz w:val="28"/>
          <w:szCs w:val="28"/>
          <w:shd w:val="clear" w:color="auto" w:fill="FFFFFF"/>
          <w:lang w:val="es-ES"/>
        </w:rPr>
        <w:t xml:space="preserve">debe ser </w:t>
      </w:r>
      <w:r w:rsidRPr="00AF629F">
        <w:rPr>
          <w:rFonts w:ascii="Times New Roman" w:hAnsi="Times New Roman" w:cs="Times New Roman"/>
          <w:sz w:val="28"/>
          <w:szCs w:val="28"/>
          <w:shd w:val="clear" w:color="auto" w:fill="FFFFFF"/>
          <w:lang w:val="es-ES"/>
        </w:rPr>
        <w:t xml:space="preserve">sometido por el presidente de la </w:t>
      </w:r>
      <w:r w:rsidRPr="00AF629F">
        <w:rPr>
          <w:rFonts w:ascii="Times New Roman" w:hAnsi="Times New Roman" w:cs="Times New Roman"/>
          <w:sz w:val="28"/>
          <w:szCs w:val="28"/>
          <w:shd w:val="clear" w:color="auto" w:fill="FFFFFF"/>
          <w:lang w:val="es-ES"/>
        </w:rPr>
        <w:t>República al concepto del CNP</w:t>
      </w:r>
      <w:r w:rsidRPr="00AF629F">
        <w:rPr>
          <w:rStyle w:val="Refdenotaalpie"/>
          <w:rFonts w:ascii="Times New Roman" w:hAnsi="Times New Roman" w:cs="Times New Roman"/>
          <w:sz w:val="28"/>
          <w:szCs w:val="28"/>
          <w:shd w:val="clear" w:color="auto" w:fill="FFFFFF"/>
          <w:lang w:val="es-ES"/>
        </w:rPr>
        <w:footnoteReference w:id="22"/>
      </w:r>
      <w:r w:rsidRPr="00AF629F">
        <w:rPr>
          <w:rFonts w:ascii="Times New Roman" w:hAnsi="Times New Roman" w:cs="Times New Roman"/>
          <w:sz w:val="28"/>
          <w:szCs w:val="28"/>
          <w:shd w:val="clear" w:color="auto" w:fill="FFFFFF"/>
          <w:lang w:val="es-ES"/>
        </w:rPr>
        <w:t>, a más tardar el 15 de noviembre</w:t>
      </w:r>
      <w:r w:rsidRPr="00AF629F">
        <w:rPr>
          <w:rFonts w:ascii="Times New Roman" w:hAnsi="Times New Roman" w:cs="Times New Roman"/>
          <w:sz w:val="28"/>
          <w:szCs w:val="28"/>
          <w:shd w:val="clear" w:color="auto" w:fill="FFFFFF"/>
          <w:lang w:val="es-ES"/>
        </w:rPr>
        <w:t xml:space="preserve"> siguiente al inicio del periodo presidencial</w:t>
      </w:r>
      <w:r w:rsidRPr="00AF629F">
        <w:rPr>
          <w:rFonts w:ascii="Times New Roman" w:hAnsi="Times New Roman" w:cs="Times New Roman"/>
          <w:sz w:val="28"/>
          <w:szCs w:val="28"/>
          <w:shd w:val="clear" w:color="auto" w:fill="FFFFFF"/>
          <w:lang w:val="es-ES"/>
        </w:rPr>
        <w:t xml:space="preserve"> (artículo 18 de la Ley 152 de 1994)</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p>
    <w:p w:rsidR="003A4C5A" w:rsidRPr="00AF629F" w:rsidRDefault="00AF629F" w:rsidP="003A4C5A">
      <w:pPr>
        <w:pStyle w:val="Prrafodelista"/>
        <w:rPr>
          <w:rFonts w:ascii="Times New Roman" w:hAnsi="Times New Roman" w:cs="Times New Roman"/>
          <w:sz w:val="28"/>
          <w:szCs w:val="28"/>
          <w:shd w:val="clear" w:color="auto" w:fill="FFFFFF"/>
          <w:lang w:val="es-ES"/>
        </w:rPr>
      </w:pPr>
    </w:p>
    <w:p w:rsidR="00884C2F" w:rsidRPr="00AF629F" w:rsidRDefault="00AF629F" w:rsidP="00884C2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(iv) </w:t>
      </w:r>
      <w:r w:rsidRPr="00AF629F">
        <w:rPr>
          <w:rFonts w:ascii="Times New Roman" w:hAnsi="Times New Roman" w:cs="Times New Roman"/>
          <w:i/>
          <w:iCs/>
          <w:sz w:val="28"/>
          <w:szCs w:val="28"/>
          <w:shd w:val="clear" w:color="auto" w:fill="FFFFFF"/>
          <w:lang w:val="es-ES"/>
        </w:rPr>
        <w:t>Proyecto definitivo</w:t>
      </w:r>
      <w:r w:rsidRPr="00AF629F">
        <w:rPr>
          <w:rStyle w:val="Refdenotaalpie"/>
          <w:rFonts w:ascii="Times New Roman" w:hAnsi="Times New Roman" w:cs="Times New Roman"/>
          <w:sz w:val="28"/>
          <w:szCs w:val="28"/>
          <w:shd w:val="clear" w:color="auto" w:fill="FFFFFF"/>
          <w:lang w:val="es-ES"/>
        </w:rPr>
        <w:footnoteReference w:id="23"/>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w:t>
      </w:r>
      <w:r w:rsidRPr="00AF629F">
        <w:rPr>
          <w:rFonts w:ascii="Times New Roman" w:hAnsi="Times New Roman" w:cs="Times New Roman"/>
          <w:sz w:val="28"/>
          <w:szCs w:val="28"/>
          <w:shd w:val="clear" w:color="auto" w:fill="FFFFFF"/>
          <w:lang w:val="es-ES"/>
        </w:rPr>
        <w:t>o</w:t>
      </w:r>
      <w:r w:rsidRPr="00AF629F">
        <w:rPr>
          <w:rFonts w:ascii="Times New Roman" w:hAnsi="Times New Roman" w:cs="Times New Roman"/>
          <w:sz w:val="28"/>
          <w:szCs w:val="28"/>
          <w:shd w:val="clear" w:color="auto" w:fill="FFFFFF"/>
          <w:lang w:val="es-ES"/>
        </w:rPr>
        <w:t xml:space="preserve">ída la opinión del </w:t>
      </w:r>
      <w:r w:rsidRPr="00AF629F">
        <w:rPr>
          <w:rFonts w:ascii="Times New Roman" w:hAnsi="Times New Roman" w:cs="Times New Roman"/>
          <w:sz w:val="28"/>
          <w:szCs w:val="28"/>
          <w:shd w:val="clear" w:color="auto" w:fill="FFFFFF"/>
          <w:lang w:val="es-ES"/>
        </w:rPr>
        <w:t>Consejo Nacional de Planeación</w:t>
      </w:r>
      <w:r w:rsidRPr="00AF629F">
        <w:rPr>
          <w:rFonts w:ascii="Times New Roman" w:hAnsi="Times New Roman" w:cs="Times New Roman"/>
          <w:sz w:val="28"/>
          <w:szCs w:val="28"/>
          <w:shd w:val="clear" w:color="auto" w:fill="FFFFFF"/>
          <w:lang w:val="es-ES"/>
        </w:rPr>
        <w:t xml:space="preserve">, el CONPES </w:t>
      </w:r>
      <w:r w:rsidRPr="00AF629F">
        <w:rPr>
          <w:rFonts w:ascii="Times New Roman" w:hAnsi="Times New Roman" w:cs="Times New Roman"/>
          <w:sz w:val="28"/>
          <w:szCs w:val="28"/>
          <w:shd w:val="clear" w:color="auto" w:fill="FFFFFF"/>
          <w:lang w:val="es-ES"/>
        </w:rPr>
        <w:t xml:space="preserve">debe realizar los ajustes </w:t>
      </w:r>
      <w:r w:rsidRPr="00AF629F">
        <w:rPr>
          <w:rFonts w:ascii="Times New Roman" w:hAnsi="Times New Roman" w:cs="Times New Roman"/>
          <w:sz w:val="28"/>
          <w:szCs w:val="28"/>
          <w:shd w:val="clear" w:color="auto" w:fill="FFFFFF"/>
          <w:lang w:val="es-ES"/>
        </w:rPr>
        <w:t xml:space="preserve">que considere pertinentes, luego de lo cual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el Gobierno a través del Ministerio de Hacienda y Crédito Público presentará el proyecto a consideración del Congreso antes del 7 de febrero</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para lo cual lo </w:t>
      </w:r>
      <w:r w:rsidRPr="00AF629F">
        <w:rPr>
          <w:rFonts w:ascii="Times New Roman" w:hAnsi="Times New Roman" w:cs="Times New Roman"/>
          <w:sz w:val="28"/>
          <w:szCs w:val="28"/>
          <w:shd w:val="clear" w:color="auto" w:fill="FFFFFF"/>
          <w:lang w:val="es-ES"/>
        </w:rPr>
        <w:t xml:space="preserve">debe </w:t>
      </w:r>
      <w:r w:rsidRPr="00AF629F">
        <w:rPr>
          <w:rFonts w:ascii="Times New Roman" w:hAnsi="Times New Roman" w:cs="Times New Roman"/>
          <w:sz w:val="28"/>
          <w:szCs w:val="28"/>
          <w:shd w:val="clear" w:color="auto" w:fill="FFFFFF"/>
          <w:lang w:val="es-ES"/>
        </w:rPr>
        <w:t xml:space="preserve">convocar a sesiones </w:t>
      </w:r>
      <w:r w:rsidRPr="00AF629F">
        <w:rPr>
          <w:rFonts w:ascii="Times New Roman" w:hAnsi="Times New Roman" w:cs="Times New Roman"/>
          <w:sz w:val="28"/>
          <w:szCs w:val="28"/>
          <w:shd w:val="clear" w:color="auto" w:fill="FFFFFF"/>
          <w:lang w:val="es-ES"/>
        </w:rPr>
        <w:t>extraordinarias</w:t>
      </w:r>
      <w:r w:rsidRPr="00AF629F">
        <w:rPr>
          <w:rFonts w:ascii="Times New Roman" w:hAnsi="Times New Roman" w:cs="Times New Roman"/>
          <w:sz w:val="28"/>
          <w:szCs w:val="28"/>
          <w:shd w:val="clear" w:color="auto" w:fill="FFFFFF"/>
          <w:lang w:val="es-ES"/>
        </w:rPr>
        <w:t>.</w:t>
      </w:r>
    </w:p>
    <w:p w:rsidR="00884C2F" w:rsidRPr="00AF629F" w:rsidRDefault="00AF629F" w:rsidP="00884C2F">
      <w:pPr>
        <w:pStyle w:val="Prrafodelista"/>
        <w:ind w:left="0"/>
        <w:jc w:val="both"/>
        <w:rPr>
          <w:rFonts w:ascii="Times New Roman" w:hAnsi="Times New Roman" w:cs="Times New Roman"/>
          <w:sz w:val="28"/>
          <w:szCs w:val="28"/>
        </w:rPr>
      </w:pPr>
    </w:p>
    <w:p w:rsidR="00EC5FCD" w:rsidRPr="00AF629F" w:rsidRDefault="00AF629F" w:rsidP="00884C2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Concluida la fase de elaboración,</w:t>
      </w:r>
      <w:r w:rsidRPr="00AF629F">
        <w:rPr>
          <w:rFonts w:ascii="Times New Roman" w:hAnsi="Times New Roman" w:cs="Times New Roman"/>
          <w:sz w:val="28"/>
          <w:szCs w:val="28"/>
          <w:shd w:val="clear" w:color="auto" w:fill="FFFFFF"/>
          <w:lang w:val="es-ES"/>
        </w:rPr>
        <w:t xml:space="preserve"> inicia la de </w:t>
      </w:r>
      <w:r w:rsidRPr="00AF629F">
        <w:rPr>
          <w:rFonts w:ascii="Times New Roman" w:hAnsi="Times New Roman" w:cs="Times New Roman"/>
          <w:i/>
          <w:iCs/>
          <w:sz w:val="28"/>
          <w:szCs w:val="28"/>
          <w:shd w:val="clear" w:color="auto" w:fill="FFFFFF"/>
          <w:lang w:val="es-ES"/>
        </w:rPr>
        <w:t>aprobación</w:t>
      </w:r>
      <w:r w:rsidRPr="00AF629F">
        <w:rPr>
          <w:rFonts w:ascii="Times New Roman" w:hAnsi="Times New Roman" w:cs="Times New Roman"/>
          <w:sz w:val="28"/>
          <w:szCs w:val="28"/>
          <w:shd w:val="clear" w:color="auto" w:fill="FFFFFF"/>
          <w:lang w:val="es-ES"/>
        </w:rPr>
        <w:t xml:space="preserve"> del plan nacional de desarrollo por parte del Congreso de la República</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mediante un procedimiento legislativo </w:t>
      </w:r>
      <w:r w:rsidRPr="00AF629F">
        <w:rPr>
          <w:rFonts w:ascii="Times New Roman" w:hAnsi="Times New Roman" w:cs="Times New Roman"/>
          <w:sz w:val="28"/>
          <w:szCs w:val="28"/>
          <w:shd w:val="clear" w:color="auto" w:fill="FFFFFF"/>
          <w:lang w:val="es-ES"/>
        </w:rPr>
        <w:t>que debe surtir</w:t>
      </w:r>
      <w:r w:rsidRPr="00AF629F">
        <w:rPr>
          <w:rFonts w:ascii="Times New Roman" w:hAnsi="Times New Roman" w:cs="Times New Roman"/>
          <w:sz w:val="28"/>
          <w:szCs w:val="28"/>
          <w:shd w:val="clear" w:color="auto" w:fill="FFFFFF"/>
          <w:lang w:val="es-ES"/>
        </w:rPr>
        <w:t>se</w:t>
      </w:r>
      <w:r w:rsidRPr="00AF629F">
        <w:rPr>
          <w:rFonts w:ascii="Times New Roman" w:hAnsi="Times New Roman" w:cs="Times New Roman"/>
          <w:sz w:val="28"/>
          <w:szCs w:val="28"/>
          <w:shd w:val="clear" w:color="auto" w:fill="FFFFFF"/>
          <w:lang w:val="es-ES"/>
        </w:rPr>
        <w:t xml:space="preserve"> en un </w:t>
      </w:r>
      <w:r w:rsidRPr="00AF629F">
        <w:rPr>
          <w:rFonts w:ascii="Times New Roman" w:hAnsi="Times New Roman" w:cs="Times New Roman"/>
          <w:sz w:val="28"/>
          <w:szCs w:val="28"/>
          <w:shd w:val="clear" w:color="auto" w:fill="FFFFFF"/>
          <w:lang w:val="es-ES"/>
        </w:rPr>
        <w:t>lapso</w:t>
      </w:r>
      <w:r w:rsidRPr="00AF629F">
        <w:rPr>
          <w:rFonts w:ascii="Times New Roman" w:hAnsi="Times New Roman" w:cs="Times New Roman"/>
          <w:sz w:val="28"/>
          <w:szCs w:val="28"/>
          <w:shd w:val="clear" w:color="auto" w:fill="FFFFFF"/>
          <w:lang w:val="es-ES"/>
        </w:rPr>
        <w:t xml:space="preserve"> de tres meses</w:t>
      </w:r>
      <w:r w:rsidRPr="00AF629F">
        <w:rPr>
          <w:rFonts w:ascii="Times New Roman" w:hAnsi="Times New Roman" w:cs="Times New Roman"/>
          <w:sz w:val="28"/>
          <w:szCs w:val="28"/>
          <w:shd w:val="clear" w:color="auto" w:fill="FFFFFF"/>
          <w:lang w:val="es-ES"/>
        </w:rPr>
        <w:t>.</w:t>
      </w:r>
    </w:p>
    <w:p w:rsidR="00EC5FCD" w:rsidRPr="00AF629F" w:rsidRDefault="00AF629F" w:rsidP="00EC5FCD">
      <w:pPr>
        <w:pStyle w:val="Prrafodelista"/>
        <w:rPr>
          <w:rFonts w:ascii="Times New Roman" w:hAnsi="Times New Roman" w:cs="Times New Roman"/>
          <w:sz w:val="28"/>
          <w:szCs w:val="28"/>
          <w:shd w:val="clear" w:color="auto" w:fill="FFFFFF"/>
          <w:lang w:val="es-ES"/>
        </w:rPr>
      </w:pPr>
    </w:p>
    <w:p w:rsidR="00900138" w:rsidRPr="00AF629F" w:rsidRDefault="00AF629F" w:rsidP="00C930C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El procedimiento </w:t>
      </w:r>
      <w:r w:rsidRPr="00AF629F">
        <w:rPr>
          <w:rFonts w:ascii="Times New Roman" w:hAnsi="Times New Roman" w:cs="Times New Roman"/>
          <w:sz w:val="28"/>
          <w:szCs w:val="28"/>
          <w:shd w:val="clear" w:color="auto" w:fill="FFFFFF"/>
          <w:lang w:val="es-ES"/>
        </w:rPr>
        <w:t>legislativo especial</w:t>
      </w:r>
      <w:r w:rsidRPr="00AF629F">
        <w:rPr>
          <w:rFonts w:ascii="Times New Roman" w:hAnsi="Times New Roman" w:cs="Times New Roman"/>
          <w:sz w:val="28"/>
          <w:szCs w:val="28"/>
          <w:shd w:val="clear" w:color="auto" w:fill="FFFFFF"/>
          <w:lang w:val="es-ES"/>
        </w:rPr>
        <w:t xml:space="preserve"> para la aprobación del plan nacional de desarrollo se </w:t>
      </w:r>
      <w:r w:rsidRPr="00AF629F">
        <w:rPr>
          <w:rFonts w:ascii="Times New Roman" w:hAnsi="Times New Roman" w:cs="Times New Roman"/>
          <w:sz w:val="28"/>
          <w:szCs w:val="28"/>
          <w:shd w:val="clear" w:color="auto" w:fill="FFFFFF"/>
          <w:lang w:val="es-ES"/>
        </w:rPr>
        <w:t xml:space="preserve">encuentra </w:t>
      </w:r>
      <w:r w:rsidRPr="00AF629F">
        <w:rPr>
          <w:rFonts w:ascii="Times New Roman" w:hAnsi="Times New Roman" w:cs="Times New Roman"/>
          <w:sz w:val="28"/>
          <w:szCs w:val="28"/>
          <w:shd w:val="clear" w:color="auto" w:fill="FFFFFF"/>
          <w:lang w:val="es-ES"/>
        </w:rPr>
        <w:t>regula</w:t>
      </w:r>
      <w:r w:rsidRPr="00AF629F">
        <w:rPr>
          <w:rFonts w:ascii="Times New Roman" w:hAnsi="Times New Roman" w:cs="Times New Roman"/>
          <w:sz w:val="28"/>
          <w:szCs w:val="28"/>
          <w:shd w:val="clear" w:color="auto" w:fill="FFFFFF"/>
          <w:lang w:val="es-ES"/>
        </w:rPr>
        <w:t>do</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en</w:t>
      </w:r>
      <w:r w:rsidRPr="00AF629F">
        <w:rPr>
          <w:rFonts w:ascii="Times New Roman" w:hAnsi="Times New Roman" w:cs="Times New Roman"/>
          <w:sz w:val="28"/>
          <w:szCs w:val="28"/>
          <w:shd w:val="clear" w:color="auto" w:fill="FFFFFF"/>
          <w:lang w:val="es-ES"/>
        </w:rPr>
        <w:t xml:space="preserve"> l</w:t>
      </w:r>
      <w:r w:rsidRPr="00AF629F">
        <w:rPr>
          <w:rFonts w:ascii="Times New Roman" w:hAnsi="Times New Roman" w:cs="Times New Roman"/>
          <w:sz w:val="28"/>
          <w:szCs w:val="28"/>
          <w:shd w:val="clear" w:color="auto" w:fill="FFFFFF"/>
          <w:lang w:val="es-ES"/>
        </w:rPr>
        <w:t xml:space="preserve">os </w:t>
      </w:r>
      <w:r w:rsidRPr="00AF629F">
        <w:rPr>
          <w:rFonts w:ascii="Times New Roman" w:hAnsi="Times New Roman" w:cs="Times New Roman"/>
          <w:sz w:val="28"/>
          <w:szCs w:val="28"/>
          <w:shd w:val="clear" w:color="auto" w:fill="FFFFFF"/>
          <w:lang w:val="es-ES"/>
        </w:rPr>
        <w:t>a</w:t>
      </w:r>
      <w:r w:rsidRPr="00AF629F">
        <w:rPr>
          <w:rFonts w:ascii="Times New Roman" w:hAnsi="Times New Roman" w:cs="Times New Roman"/>
          <w:sz w:val="28"/>
          <w:szCs w:val="28"/>
          <w:shd w:val="clear" w:color="auto" w:fill="FFFFFF"/>
          <w:lang w:val="es-ES"/>
        </w:rPr>
        <w:t xml:space="preserve">rtículos 341 de la Constitución y 20 a 25 de la Ley </w:t>
      </w:r>
      <w:r w:rsidRPr="00AF629F">
        <w:rPr>
          <w:rFonts w:ascii="Times New Roman" w:hAnsi="Times New Roman" w:cs="Times New Roman"/>
          <w:sz w:val="28"/>
          <w:szCs w:val="28"/>
          <w:shd w:val="clear" w:color="auto" w:fill="FFFFFF"/>
          <w:lang w:val="es-ES"/>
        </w:rPr>
        <w:t>152 de 1994</w:t>
      </w:r>
      <w:r w:rsidRPr="00AF629F">
        <w:rPr>
          <w:rFonts w:ascii="Times New Roman" w:hAnsi="Times New Roman" w:cs="Times New Roman"/>
          <w:sz w:val="28"/>
          <w:szCs w:val="28"/>
          <w:shd w:val="clear" w:color="auto" w:fill="FFFFFF"/>
          <w:vertAlign w:val="superscript"/>
          <w:lang w:val="es-ES"/>
        </w:rPr>
        <w:footnoteReference w:id="24"/>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A partir de estas disposiciones es posible diferenciar los siguientes momentos del trámite: </w:t>
      </w:r>
    </w:p>
    <w:p w:rsidR="00900138" w:rsidRPr="00AF629F" w:rsidRDefault="00AF629F" w:rsidP="00900138">
      <w:pPr>
        <w:pStyle w:val="Prrafodelista"/>
        <w:rPr>
          <w:rFonts w:ascii="Times New Roman" w:hAnsi="Times New Roman" w:cs="Times New Roman"/>
          <w:sz w:val="28"/>
          <w:szCs w:val="28"/>
          <w:shd w:val="clear" w:color="auto" w:fill="FFFFFF"/>
          <w:lang w:val="es-ES"/>
        </w:rPr>
      </w:pPr>
    </w:p>
    <w:p w:rsidR="00900138" w:rsidRPr="00AF629F" w:rsidRDefault="00AF629F" w:rsidP="00C930C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 </w:t>
      </w:r>
      <w:r w:rsidRPr="00AF629F">
        <w:rPr>
          <w:rFonts w:ascii="Times New Roman" w:hAnsi="Times New Roman" w:cs="Times New Roman"/>
          <w:i/>
          <w:iCs/>
          <w:sz w:val="28"/>
          <w:szCs w:val="28"/>
          <w:shd w:val="clear" w:color="auto" w:fill="FFFFFF"/>
          <w:lang w:val="es-ES"/>
        </w:rPr>
        <w:t>Presentación</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Es de iniciativa exclusiva </w:t>
      </w:r>
      <w:r w:rsidRPr="00AF629F">
        <w:rPr>
          <w:rFonts w:ascii="Times New Roman" w:hAnsi="Times New Roman" w:cs="Times New Roman"/>
          <w:sz w:val="28"/>
          <w:szCs w:val="28"/>
          <w:shd w:val="clear" w:color="auto" w:fill="FFFFFF"/>
          <w:lang w:val="es-ES"/>
        </w:rPr>
        <w:t xml:space="preserve">del </w:t>
      </w:r>
      <w:r w:rsidRPr="00AF629F">
        <w:rPr>
          <w:rFonts w:ascii="Times New Roman" w:hAnsi="Times New Roman" w:cs="Times New Roman"/>
          <w:sz w:val="28"/>
          <w:szCs w:val="28"/>
          <w:shd w:val="clear" w:color="auto" w:fill="FFFFFF"/>
          <w:lang w:val="es-ES"/>
        </w:rPr>
        <w:t>g</w:t>
      </w:r>
      <w:r w:rsidRPr="00AF629F">
        <w:rPr>
          <w:rFonts w:ascii="Times New Roman" w:hAnsi="Times New Roman" w:cs="Times New Roman"/>
          <w:sz w:val="28"/>
          <w:szCs w:val="28"/>
          <w:shd w:val="clear" w:color="auto" w:fill="FFFFFF"/>
          <w:lang w:val="es-ES"/>
        </w:rPr>
        <w:t>obierno</w:t>
      </w:r>
      <w:r w:rsidRPr="00AF629F">
        <w:rPr>
          <w:rFonts w:ascii="Times New Roman" w:hAnsi="Times New Roman" w:cs="Times New Roman"/>
          <w:sz w:val="28"/>
          <w:szCs w:val="28"/>
          <w:shd w:val="clear" w:color="auto" w:fill="FFFFFF"/>
          <w:lang w:val="es-ES"/>
        </w:rPr>
        <w:t xml:space="preserve"> nacional, por intermedio del </w:t>
      </w:r>
      <w:r w:rsidRPr="00AF629F">
        <w:rPr>
          <w:rFonts w:ascii="Times New Roman" w:hAnsi="Times New Roman" w:cs="Times New Roman"/>
          <w:sz w:val="28"/>
          <w:szCs w:val="28"/>
          <w:shd w:val="clear" w:color="auto" w:fill="FFFFFF"/>
          <w:lang w:val="es-ES"/>
        </w:rPr>
        <w:t>Ministerio de Hacienda y Crédito Público</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presentar el proyecto </w:t>
      </w:r>
      <w:r w:rsidRPr="00AF629F">
        <w:rPr>
          <w:rFonts w:ascii="Times New Roman" w:hAnsi="Times New Roman" w:cs="Times New Roman"/>
          <w:sz w:val="28"/>
          <w:szCs w:val="28"/>
          <w:shd w:val="clear" w:color="auto" w:fill="FFFFFF"/>
          <w:lang w:val="es-ES"/>
        </w:rPr>
        <w:t xml:space="preserve">de ley aprobatoria </w:t>
      </w:r>
      <w:r w:rsidRPr="00AF629F">
        <w:rPr>
          <w:rFonts w:ascii="Times New Roman" w:hAnsi="Times New Roman" w:cs="Times New Roman"/>
          <w:sz w:val="28"/>
          <w:szCs w:val="28"/>
          <w:shd w:val="clear" w:color="auto" w:fill="FFFFFF"/>
          <w:lang w:val="es-ES"/>
        </w:rPr>
        <w:t xml:space="preserve">del plan nacional de desarrollo </w:t>
      </w:r>
      <w:r w:rsidRPr="00AF629F">
        <w:rPr>
          <w:rFonts w:ascii="Times New Roman" w:hAnsi="Times New Roman" w:cs="Times New Roman"/>
          <w:sz w:val="28"/>
          <w:szCs w:val="28"/>
          <w:shd w:val="clear" w:color="auto" w:fill="FFFFFF"/>
          <w:lang w:val="es-ES"/>
        </w:rPr>
        <w:t>a</w:t>
      </w:r>
      <w:r w:rsidRPr="00AF629F">
        <w:rPr>
          <w:rFonts w:ascii="Times New Roman" w:hAnsi="Times New Roman" w:cs="Times New Roman"/>
          <w:sz w:val="28"/>
          <w:szCs w:val="28"/>
          <w:shd w:val="clear" w:color="auto" w:fill="FFFFFF"/>
          <w:lang w:val="es-ES"/>
        </w:rPr>
        <w:t xml:space="preserve"> consideración </w:t>
      </w:r>
      <w:r w:rsidRPr="00AF629F">
        <w:rPr>
          <w:rFonts w:ascii="Times New Roman" w:hAnsi="Times New Roman" w:cs="Times New Roman"/>
          <w:sz w:val="28"/>
          <w:szCs w:val="28"/>
          <w:shd w:val="clear" w:color="auto" w:fill="FFFFFF"/>
          <w:lang w:val="es-ES"/>
        </w:rPr>
        <w:t xml:space="preserve">del Congreso </w:t>
      </w:r>
      <w:r w:rsidRPr="00AF629F">
        <w:rPr>
          <w:rFonts w:ascii="Times New Roman" w:hAnsi="Times New Roman" w:cs="Times New Roman"/>
          <w:sz w:val="28"/>
          <w:szCs w:val="28"/>
          <w:shd w:val="clear" w:color="auto" w:fill="FFFFFF"/>
          <w:lang w:val="es-ES"/>
        </w:rPr>
        <w:t xml:space="preserve">de la República </w:t>
      </w:r>
      <w:r w:rsidRPr="00AF629F">
        <w:rPr>
          <w:rFonts w:ascii="Times New Roman" w:hAnsi="Times New Roman" w:cs="Times New Roman"/>
          <w:sz w:val="28"/>
          <w:szCs w:val="28"/>
          <w:shd w:val="clear" w:color="auto" w:fill="FFFFFF"/>
          <w:lang w:val="es-ES"/>
        </w:rPr>
        <w:t>antes del 7 de febrero</w:t>
      </w:r>
      <w:r w:rsidRPr="00AF629F">
        <w:rPr>
          <w:rFonts w:ascii="Times New Roman" w:hAnsi="Times New Roman" w:cs="Times New Roman"/>
          <w:sz w:val="28"/>
          <w:szCs w:val="28"/>
          <w:shd w:val="clear" w:color="auto" w:fill="FFFFFF"/>
          <w:lang w:val="es-ES"/>
        </w:rPr>
        <w:t xml:space="preserve"> siguiente </w:t>
      </w:r>
      <w:r w:rsidRPr="00AF629F">
        <w:rPr>
          <w:rFonts w:ascii="Times New Roman" w:hAnsi="Times New Roman" w:cs="Times New Roman"/>
          <w:sz w:val="28"/>
          <w:szCs w:val="28"/>
          <w:shd w:val="clear" w:color="auto" w:fill="FFFFFF"/>
          <w:lang w:val="es-ES"/>
        </w:rPr>
        <w:t>al inicio del respectivo periodo presidencial</w:t>
      </w:r>
      <w:r w:rsidRPr="00AF629F">
        <w:rPr>
          <w:rFonts w:ascii="Times New Roman" w:hAnsi="Times New Roman" w:cs="Times New Roman"/>
          <w:sz w:val="28"/>
          <w:szCs w:val="28"/>
          <w:shd w:val="clear" w:color="auto" w:fill="FFFFFF"/>
          <w:lang w:val="es-ES"/>
        </w:rPr>
        <w:t xml:space="preserve">, para lo cual </w:t>
      </w:r>
      <w:r w:rsidRPr="00AF629F">
        <w:rPr>
          <w:rFonts w:ascii="Times New Roman" w:hAnsi="Times New Roman" w:cs="Times New Roman"/>
          <w:sz w:val="28"/>
          <w:szCs w:val="28"/>
          <w:shd w:val="clear" w:color="auto" w:fill="FFFFFF"/>
          <w:lang w:val="es-ES"/>
        </w:rPr>
        <w:t xml:space="preserve">el presidente de la República </w:t>
      </w:r>
      <w:r w:rsidRPr="00AF629F">
        <w:rPr>
          <w:rFonts w:ascii="Times New Roman" w:hAnsi="Times New Roman" w:cs="Times New Roman"/>
          <w:sz w:val="28"/>
          <w:szCs w:val="28"/>
          <w:shd w:val="clear" w:color="auto" w:fill="FFFFFF"/>
          <w:lang w:val="es-ES"/>
        </w:rPr>
        <w:t xml:space="preserve">debe </w:t>
      </w:r>
      <w:r w:rsidRPr="00AF629F">
        <w:rPr>
          <w:rFonts w:ascii="Times New Roman" w:hAnsi="Times New Roman" w:cs="Times New Roman"/>
          <w:sz w:val="28"/>
          <w:szCs w:val="28"/>
          <w:shd w:val="clear" w:color="auto" w:fill="FFFFFF"/>
          <w:lang w:val="es-ES"/>
        </w:rPr>
        <w:t xml:space="preserve">convocar a sesiones </w:t>
      </w:r>
      <w:r w:rsidRPr="00AF629F">
        <w:rPr>
          <w:rFonts w:ascii="Times New Roman" w:hAnsi="Times New Roman" w:cs="Times New Roman"/>
          <w:sz w:val="28"/>
          <w:szCs w:val="28"/>
          <w:shd w:val="clear" w:color="auto" w:fill="FFFFFF"/>
          <w:lang w:val="es-ES"/>
        </w:rPr>
        <w:t>extraordinarias.</w:t>
      </w:r>
    </w:p>
    <w:p w:rsidR="00900138" w:rsidRPr="00AF629F" w:rsidRDefault="00AF629F" w:rsidP="00900138">
      <w:pPr>
        <w:pStyle w:val="Prrafodelista"/>
        <w:rPr>
          <w:rFonts w:ascii="Times New Roman" w:hAnsi="Times New Roman" w:cs="Times New Roman"/>
          <w:sz w:val="28"/>
          <w:szCs w:val="28"/>
          <w:shd w:val="clear" w:color="auto" w:fill="FFFFFF"/>
          <w:lang w:val="es-ES"/>
        </w:rPr>
      </w:pPr>
    </w:p>
    <w:p w:rsidR="00900138" w:rsidRPr="00AF629F" w:rsidRDefault="00AF629F" w:rsidP="00C930C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(ii) </w:t>
      </w:r>
      <w:r w:rsidRPr="00AF629F">
        <w:rPr>
          <w:rFonts w:ascii="Times New Roman" w:hAnsi="Times New Roman" w:cs="Times New Roman"/>
          <w:i/>
          <w:iCs/>
          <w:sz w:val="28"/>
          <w:szCs w:val="28"/>
          <w:shd w:val="clear" w:color="auto" w:fill="FFFFFF"/>
          <w:lang w:val="es-ES"/>
        </w:rPr>
        <w:t>Primer debate</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Se debe dar primer debate a</w:t>
      </w:r>
      <w:r w:rsidRPr="00AF629F">
        <w:rPr>
          <w:rFonts w:ascii="Times New Roman" w:hAnsi="Times New Roman" w:cs="Times New Roman"/>
          <w:sz w:val="28"/>
          <w:szCs w:val="28"/>
          <w:shd w:val="clear" w:color="auto" w:fill="FFFFFF"/>
          <w:lang w:val="es-ES"/>
        </w:rPr>
        <w:t xml:space="preserve">l proyecto </w:t>
      </w:r>
      <w:r w:rsidRPr="00AF629F">
        <w:rPr>
          <w:rFonts w:ascii="Times New Roman" w:hAnsi="Times New Roman" w:cs="Times New Roman"/>
          <w:sz w:val="28"/>
          <w:szCs w:val="28"/>
          <w:shd w:val="clear" w:color="auto" w:fill="FFFFFF"/>
          <w:lang w:val="es-ES"/>
        </w:rPr>
        <w:t>en las comisiones de asuntos económicos de ambas Cámaras</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en sesión conjunta, en un término improrrogable de cuarenta y cinco días.</w:t>
      </w:r>
      <w:r w:rsidRPr="00AF629F">
        <w:rPr>
          <w:rFonts w:ascii="Times New Roman" w:hAnsi="Times New Roman" w:cs="Times New Roman"/>
          <w:sz w:val="28"/>
          <w:szCs w:val="28"/>
          <w:shd w:val="clear" w:color="auto" w:fill="FFFFFF"/>
          <w:lang w:val="es-ES"/>
        </w:rPr>
        <w:t xml:space="preserve"> </w:t>
      </w:r>
    </w:p>
    <w:p w:rsidR="00900138" w:rsidRPr="00AF629F" w:rsidRDefault="00AF629F" w:rsidP="00900138">
      <w:pPr>
        <w:pStyle w:val="Prrafodelista"/>
        <w:rPr>
          <w:rFonts w:ascii="Times New Roman" w:hAnsi="Times New Roman" w:cs="Times New Roman"/>
          <w:sz w:val="28"/>
          <w:szCs w:val="28"/>
          <w:shd w:val="clear" w:color="auto" w:fill="FFFFFF"/>
          <w:lang w:val="es-ES"/>
        </w:rPr>
      </w:pPr>
    </w:p>
    <w:p w:rsidR="00900138" w:rsidRPr="00AF629F" w:rsidRDefault="00AF629F" w:rsidP="00C930C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(iii) </w:t>
      </w:r>
      <w:r w:rsidRPr="00AF629F">
        <w:rPr>
          <w:rFonts w:ascii="Times New Roman" w:hAnsi="Times New Roman" w:cs="Times New Roman"/>
          <w:i/>
          <w:iCs/>
          <w:sz w:val="28"/>
          <w:szCs w:val="28"/>
          <w:shd w:val="clear" w:color="auto" w:fill="FFFFFF"/>
          <w:lang w:val="es-ES"/>
        </w:rPr>
        <w:t>Segundo debate</w:t>
      </w:r>
      <w:r w:rsidRPr="00AF629F">
        <w:rPr>
          <w:rFonts w:ascii="Times New Roman" w:hAnsi="Times New Roman" w:cs="Times New Roman"/>
          <w:sz w:val="28"/>
          <w:szCs w:val="28"/>
          <w:shd w:val="clear" w:color="auto" w:fill="FFFFFF"/>
          <w:lang w:val="es-ES"/>
        </w:rPr>
        <w:t>. </w:t>
      </w:r>
      <w:r w:rsidRPr="00AF629F">
        <w:rPr>
          <w:rFonts w:ascii="Times New Roman" w:hAnsi="Times New Roman" w:cs="Times New Roman"/>
          <w:sz w:val="28"/>
          <w:szCs w:val="28"/>
          <w:shd w:val="clear" w:color="auto" w:fill="FFFFFF"/>
          <w:lang w:val="es-ES"/>
        </w:rPr>
        <w:t xml:space="preserve">A partir del informe que </w:t>
      </w:r>
      <w:r w:rsidRPr="00AF629F">
        <w:rPr>
          <w:rFonts w:ascii="Times New Roman" w:hAnsi="Times New Roman" w:cs="Times New Roman"/>
          <w:sz w:val="28"/>
          <w:szCs w:val="28"/>
          <w:shd w:val="clear" w:color="auto" w:fill="FFFFFF"/>
          <w:lang w:val="es-ES"/>
        </w:rPr>
        <w:t xml:space="preserve">elaboren las comisiones conjuntas de asuntos económicos, cada una de las Cámaras en sesión plenaria </w:t>
      </w:r>
      <w:r w:rsidRPr="00AF629F">
        <w:rPr>
          <w:rFonts w:ascii="Times New Roman" w:hAnsi="Times New Roman" w:cs="Times New Roman"/>
          <w:sz w:val="28"/>
          <w:szCs w:val="28"/>
          <w:shd w:val="clear" w:color="auto" w:fill="FFFFFF"/>
          <w:lang w:val="es-ES"/>
        </w:rPr>
        <w:t xml:space="preserve">debe </w:t>
      </w:r>
      <w:r w:rsidRPr="00AF629F">
        <w:rPr>
          <w:rFonts w:ascii="Times New Roman" w:hAnsi="Times New Roman" w:cs="Times New Roman"/>
          <w:sz w:val="28"/>
          <w:szCs w:val="28"/>
          <w:shd w:val="clear" w:color="auto" w:fill="FFFFFF"/>
          <w:lang w:val="es-ES"/>
        </w:rPr>
        <w:t>discutir y decidir sobre el proyecto en un término improrrogable de cuarenta y cinco días.</w:t>
      </w:r>
      <w:r w:rsidRPr="00AF629F">
        <w:rPr>
          <w:rFonts w:ascii="Times New Roman" w:hAnsi="Times New Roman" w:cs="Times New Roman"/>
          <w:sz w:val="28"/>
          <w:szCs w:val="28"/>
          <w:shd w:val="clear" w:color="auto" w:fill="FFFFFF"/>
          <w:lang w:val="es-ES"/>
        </w:rPr>
        <w:t xml:space="preserve"> </w:t>
      </w:r>
    </w:p>
    <w:p w:rsidR="00900138" w:rsidRPr="00AF629F" w:rsidRDefault="00AF629F" w:rsidP="00900138">
      <w:pPr>
        <w:pStyle w:val="Prrafodelista"/>
        <w:rPr>
          <w:rFonts w:ascii="Times New Roman" w:hAnsi="Times New Roman" w:cs="Times New Roman"/>
          <w:sz w:val="28"/>
          <w:szCs w:val="28"/>
          <w:shd w:val="clear" w:color="auto" w:fill="FFFFFF"/>
        </w:rPr>
      </w:pPr>
    </w:p>
    <w:p w:rsidR="00937DB3" w:rsidRPr="00AF629F" w:rsidRDefault="00AF629F" w:rsidP="00C945D2">
      <w:pPr>
        <w:pStyle w:val="Prrafodelista"/>
        <w:numPr>
          <w:ilvl w:val="0"/>
          <w:numId w:val="2"/>
        </w:numPr>
        <w:ind w:left="0" w:firstLine="0"/>
        <w:jc w:val="both"/>
        <w:rPr>
          <w:rFonts w:ascii="Times New Roman" w:hAnsi="Times New Roman" w:cs="Times New Roman"/>
          <w:sz w:val="28"/>
          <w:szCs w:val="28"/>
          <w:shd w:val="clear" w:color="auto" w:fill="FFFFFF"/>
        </w:rPr>
      </w:pPr>
      <w:r w:rsidRPr="00AF629F">
        <w:rPr>
          <w:rFonts w:ascii="Times New Roman" w:hAnsi="Times New Roman" w:cs="Times New Roman"/>
          <w:sz w:val="28"/>
          <w:szCs w:val="28"/>
          <w:shd w:val="clear" w:color="auto" w:fill="FFFFFF"/>
          <w:lang w:val="es-ES"/>
        </w:rPr>
        <w:t>En cuanto a las modificaciones qu</w:t>
      </w:r>
      <w:r w:rsidRPr="00AF629F">
        <w:rPr>
          <w:rFonts w:ascii="Times New Roman" w:hAnsi="Times New Roman" w:cs="Times New Roman"/>
          <w:sz w:val="28"/>
          <w:szCs w:val="28"/>
          <w:shd w:val="clear" w:color="auto" w:fill="FFFFFF"/>
          <w:lang w:val="es-ES"/>
        </w:rPr>
        <w:t xml:space="preserve">e se </w:t>
      </w:r>
      <w:r w:rsidRPr="00AF629F">
        <w:rPr>
          <w:rFonts w:ascii="Times New Roman" w:hAnsi="Times New Roman" w:cs="Times New Roman"/>
          <w:sz w:val="28"/>
          <w:szCs w:val="28"/>
          <w:shd w:val="clear" w:color="auto" w:fill="FFFFFF"/>
          <w:lang w:val="es-ES"/>
        </w:rPr>
        <w:t xml:space="preserve">le </w:t>
      </w:r>
      <w:r w:rsidRPr="00AF629F">
        <w:rPr>
          <w:rFonts w:ascii="Times New Roman" w:hAnsi="Times New Roman" w:cs="Times New Roman"/>
          <w:sz w:val="28"/>
          <w:szCs w:val="28"/>
          <w:shd w:val="clear" w:color="auto" w:fill="FFFFFF"/>
          <w:lang w:val="es-ES"/>
        </w:rPr>
        <w:t>pueden introducir al proyecto durante su trámite legislativo, la Constitución distingue entre las que puede hacer el Gobierno y las que puede realizar el Congreso. El gobierno nacional puede proponer modificaciones a cualquiera de las partes que in</w:t>
      </w:r>
      <w:r w:rsidRPr="00AF629F">
        <w:rPr>
          <w:rFonts w:ascii="Times New Roman" w:hAnsi="Times New Roman" w:cs="Times New Roman"/>
          <w:sz w:val="28"/>
          <w:szCs w:val="28"/>
          <w:shd w:val="clear" w:color="auto" w:fill="FFFFFF"/>
          <w:lang w:val="es-ES"/>
        </w:rPr>
        <w:t>tegran el plan nacional de desarrollo. El</w:t>
      </w:r>
      <w:r w:rsidRPr="00AF629F">
        <w:rPr>
          <w:rFonts w:ascii="Times New Roman" w:hAnsi="Times New Roman" w:cs="Times New Roman"/>
          <w:sz w:val="28"/>
          <w:szCs w:val="28"/>
          <w:shd w:val="clear" w:color="auto" w:fill="FFFFFF"/>
          <w:lang w:val="es-ES"/>
        </w:rPr>
        <w:t xml:space="preserve"> Congreso</w:t>
      </w:r>
      <w:r w:rsidRPr="00AF629F">
        <w:rPr>
          <w:rFonts w:ascii="Times New Roman" w:hAnsi="Times New Roman" w:cs="Times New Roman"/>
          <w:sz w:val="28"/>
          <w:szCs w:val="28"/>
          <w:shd w:val="clear" w:color="auto" w:fill="FFFFFF"/>
          <w:lang w:val="es-ES"/>
        </w:rPr>
        <w:t xml:space="preserve">, por su parte, puede introducir </w:t>
      </w:r>
      <w:r w:rsidRPr="00AF629F">
        <w:rPr>
          <w:rFonts w:ascii="Times New Roman" w:hAnsi="Times New Roman" w:cs="Times New Roman"/>
          <w:sz w:val="28"/>
          <w:szCs w:val="28"/>
          <w:shd w:val="clear" w:color="auto" w:fill="FFFFFF"/>
          <w:lang w:val="es-ES"/>
        </w:rPr>
        <w:t>m</w:t>
      </w:r>
      <w:r w:rsidRPr="00AF629F">
        <w:rPr>
          <w:rFonts w:ascii="Times New Roman" w:hAnsi="Times New Roman" w:cs="Times New Roman"/>
          <w:sz w:val="28"/>
          <w:szCs w:val="28"/>
          <w:shd w:val="clear" w:color="auto" w:fill="FFFFFF"/>
          <w:lang w:val="es-ES"/>
        </w:rPr>
        <w:t>odificaciones al componente del plan de inversiones públicas, “siempre y cuando se mantenga el equilibrio financiero” (</w:t>
      </w:r>
      <w:r w:rsidRPr="00AF629F">
        <w:rPr>
          <w:rFonts w:ascii="Times New Roman" w:hAnsi="Times New Roman" w:cs="Times New Roman"/>
          <w:sz w:val="28"/>
          <w:szCs w:val="28"/>
          <w:shd w:val="clear" w:color="auto" w:fill="FFFFFF"/>
          <w:lang w:val="es-ES"/>
        </w:rPr>
        <w:t>a</w:t>
      </w:r>
      <w:r w:rsidRPr="00AF629F">
        <w:rPr>
          <w:rFonts w:ascii="Times New Roman" w:hAnsi="Times New Roman" w:cs="Times New Roman"/>
          <w:sz w:val="28"/>
          <w:szCs w:val="28"/>
          <w:shd w:val="clear" w:color="auto" w:fill="FFFFFF"/>
          <w:lang w:val="es-ES"/>
        </w:rPr>
        <w:t>rtículo</w:t>
      </w:r>
      <w:r w:rsidRPr="00AF629F">
        <w:rPr>
          <w:rFonts w:ascii="Times New Roman" w:hAnsi="Times New Roman" w:cs="Times New Roman"/>
          <w:sz w:val="28"/>
          <w:szCs w:val="28"/>
          <w:shd w:val="clear" w:color="auto" w:fill="FFFFFF"/>
          <w:lang w:val="es-ES"/>
        </w:rPr>
        <w:t>s 341 de la Constitución y</w:t>
      </w:r>
      <w:r w:rsidRPr="00AF629F">
        <w:rPr>
          <w:rFonts w:ascii="Times New Roman" w:hAnsi="Times New Roman" w:cs="Times New Roman"/>
          <w:sz w:val="28"/>
          <w:szCs w:val="28"/>
          <w:shd w:val="clear" w:color="auto" w:fill="FFFFFF"/>
          <w:lang w:val="es-ES"/>
        </w:rPr>
        <w:t xml:space="preserve"> 22 de la Ley 152 de 1994)</w:t>
      </w:r>
      <w:r w:rsidRPr="00AF629F">
        <w:rPr>
          <w:rFonts w:ascii="Times New Roman" w:hAnsi="Times New Roman" w:cs="Times New Roman"/>
          <w:sz w:val="28"/>
          <w:szCs w:val="28"/>
          <w:shd w:val="clear" w:color="auto" w:fill="FFFFFF"/>
          <w:lang w:val="es-ES"/>
        </w:rPr>
        <w:t>, para lo cual requiere p</w:t>
      </w:r>
      <w:r w:rsidRPr="00AF629F">
        <w:rPr>
          <w:rFonts w:ascii="Times New Roman" w:hAnsi="Times New Roman" w:cs="Times New Roman"/>
          <w:sz w:val="28"/>
          <w:szCs w:val="28"/>
          <w:shd w:val="clear" w:color="auto" w:fill="FFFFFF"/>
          <w:lang w:val="es-ES"/>
        </w:rPr>
        <w:t xml:space="preserve">revia </w:t>
      </w:r>
      <w:r w:rsidRPr="00AF629F">
        <w:rPr>
          <w:rFonts w:ascii="Times New Roman" w:hAnsi="Times New Roman" w:cs="Times New Roman"/>
          <w:sz w:val="28"/>
          <w:szCs w:val="28"/>
          <w:shd w:val="clear" w:color="auto" w:fill="FFFFFF"/>
          <w:lang w:val="es-ES"/>
        </w:rPr>
        <w:t xml:space="preserve">“aprobación por escrito del Gobierno Nacional por conducto del </w:t>
      </w:r>
      <w:r w:rsidRPr="00AF629F">
        <w:rPr>
          <w:rFonts w:ascii="Times New Roman" w:hAnsi="Times New Roman" w:cs="Times New Roman"/>
          <w:sz w:val="28"/>
          <w:szCs w:val="28"/>
          <w:shd w:val="clear" w:color="auto" w:fill="FFFFFF"/>
          <w:lang w:val="es-ES"/>
        </w:rPr>
        <w:t>ministro</w:t>
      </w:r>
      <w:r w:rsidRPr="00AF629F">
        <w:rPr>
          <w:rFonts w:ascii="Times New Roman" w:hAnsi="Times New Roman" w:cs="Times New Roman"/>
          <w:sz w:val="28"/>
          <w:szCs w:val="28"/>
          <w:shd w:val="clear" w:color="auto" w:fill="FFFFFF"/>
          <w:lang w:val="es-ES"/>
        </w:rPr>
        <w:t xml:space="preserve"> de Hacienda y Crédito Público”</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18"/>
          <w:lang w:eastAsia="es-MX"/>
        </w:rPr>
        <w:t xml:space="preserve"> </w:t>
      </w:r>
      <w:r w:rsidRPr="00AF629F">
        <w:rPr>
          <w:rFonts w:ascii="Times New Roman" w:hAnsi="Times New Roman" w:cs="Times New Roman"/>
          <w:sz w:val="28"/>
          <w:szCs w:val="28"/>
          <w:shd w:val="clear" w:color="auto" w:fill="FFFFFF"/>
        </w:rPr>
        <w:t>Cualquier incremento en las autorizaciones de endeudamiento solicitadas o inclusión de proyecto</w:t>
      </w:r>
      <w:r w:rsidRPr="00AF629F">
        <w:rPr>
          <w:rFonts w:ascii="Times New Roman" w:hAnsi="Times New Roman" w:cs="Times New Roman"/>
          <w:sz w:val="28"/>
          <w:szCs w:val="28"/>
          <w:shd w:val="clear" w:color="auto" w:fill="FFFFFF"/>
        </w:rPr>
        <w:t xml:space="preserve">s de inversión no contemplados en </w:t>
      </w:r>
      <w:r w:rsidRPr="00AF629F">
        <w:rPr>
          <w:rFonts w:ascii="Times New Roman" w:hAnsi="Times New Roman" w:cs="Times New Roman"/>
          <w:sz w:val="28"/>
          <w:szCs w:val="28"/>
          <w:shd w:val="clear" w:color="auto" w:fill="FFFFFF"/>
        </w:rPr>
        <w:t>el</w:t>
      </w:r>
      <w:r w:rsidRPr="00AF629F">
        <w:rPr>
          <w:rFonts w:ascii="Times New Roman" w:hAnsi="Times New Roman" w:cs="Times New Roman"/>
          <w:sz w:val="28"/>
          <w:szCs w:val="28"/>
          <w:shd w:val="clear" w:color="auto" w:fill="FFFFFF"/>
        </w:rPr>
        <w:t xml:space="preserve"> proyecto gubernamental, requ</w:t>
      </w:r>
      <w:r w:rsidRPr="00AF629F">
        <w:rPr>
          <w:rFonts w:ascii="Times New Roman" w:hAnsi="Times New Roman" w:cs="Times New Roman"/>
          <w:sz w:val="28"/>
          <w:szCs w:val="28"/>
          <w:shd w:val="clear" w:color="auto" w:fill="FFFFFF"/>
        </w:rPr>
        <w:t>iere</w:t>
      </w:r>
      <w:r w:rsidRPr="00AF629F">
        <w:rPr>
          <w:rFonts w:ascii="Times New Roman" w:hAnsi="Times New Roman" w:cs="Times New Roman"/>
          <w:sz w:val="28"/>
          <w:szCs w:val="28"/>
          <w:shd w:val="clear" w:color="auto" w:fill="FFFFFF"/>
        </w:rPr>
        <w:t xml:space="preserve"> el visto bueno del Gobierno nacional.</w:t>
      </w:r>
    </w:p>
    <w:p w:rsidR="00937DB3" w:rsidRPr="00AF629F" w:rsidRDefault="00AF629F" w:rsidP="00937DB3">
      <w:pPr>
        <w:pStyle w:val="Prrafodelista"/>
        <w:rPr>
          <w:rFonts w:ascii="Times New Roman" w:hAnsi="Times New Roman" w:cs="Times New Roman"/>
          <w:sz w:val="28"/>
          <w:szCs w:val="28"/>
          <w:lang w:eastAsia="es-MX"/>
        </w:rPr>
      </w:pPr>
    </w:p>
    <w:p w:rsidR="008925A4" w:rsidRPr="00AF629F" w:rsidRDefault="00AF629F" w:rsidP="00037813">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lang w:eastAsia="es-MX"/>
        </w:rPr>
        <w:t xml:space="preserve">Los desacuerdos con el contenido de la parte general, si los hubiere, no </w:t>
      </w:r>
      <w:r w:rsidRPr="00AF629F">
        <w:rPr>
          <w:rFonts w:ascii="Times New Roman" w:hAnsi="Times New Roman" w:cs="Times New Roman"/>
          <w:sz w:val="28"/>
          <w:szCs w:val="28"/>
          <w:lang w:eastAsia="es-MX"/>
        </w:rPr>
        <w:t>son</w:t>
      </w:r>
      <w:r w:rsidRPr="00AF629F">
        <w:rPr>
          <w:rFonts w:ascii="Times New Roman" w:hAnsi="Times New Roman" w:cs="Times New Roman"/>
          <w:sz w:val="28"/>
          <w:szCs w:val="28"/>
          <w:lang w:eastAsia="es-MX"/>
        </w:rPr>
        <w:t xml:space="preserve"> obstáculo para que el gobierno ejecute las políticas propuestas en lo que sea de su competencia (</w:t>
      </w:r>
      <w:r w:rsidRPr="00AF629F">
        <w:rPr>
          <w:rFonts w:ascii="Times New Roman" w:hAnsi="Times New Roman" w:cs="Times New Roman"/>
          <w:sz w:val="28"/>
          <w:szCs w:val="28"/>
          <w:lang w:eastAsia="es-MX"/>
        </w:rPr>
        <w:t>artículo</w:t>
      </w:r>
      <w:r w:rsidRPr="00AF629F">
        <w:rPr>
          <w:rFonts w:ascii="Times New Roman" w:hAnsi="Times New Roman" w:cs="Times New Roman"/>
          <w:sz w:val="28"/>
          <w:szCs w:val="28"/>
          <w:lang w:eastAsia="es-MX"/>
        </w:rPr>
        <w:t xml:space="preserve"> </w:t>
      </w:r>
      <w:r w:rsidRPr="00AF629F">
        <w:rPr>
          <w:rFonts w:ascii="Times New Roman" w:hAnsi="Times New Roman" w:cs="Times New Roman"/>
          <w:sz w:val="28"/>
          <w:szCs w:val="28"/>
          <w:lang w:eastAsia="es-MX"/>
        </w:rPr>
        <w:t>341 de la Constitución)</w:t>
      </w:r>
      <w:r w:rsidRPr="00AF629F">
        <w:rPr>
          <w:rStyle w:val="Refdenotaalpie"/>
          <w:rFonts w:ascii="Times New Roman" w:hAnsi="Times New Roman" w:cs="Times New Roman"/>
          <w:sz w:val="28"/>
          <w:szCs w:val="28"/>
          <w:shd w:val="clear" w:color="auto" w:fill="FFFFFF"/>
          <w:lang w:val="es-ES"/>
        </w:rPr>
        <w:footnoteReference w:id="25"/>
      </w:r>
      <w:r w:rsidRPr="00AF629F">
        <w:rPr>
          <w:rFonts w:ascii="Times New Roman" w:hAnsi="Times New Roman" w:cs="Times New Roman"/>
          <w:sz w:val="28"/>
          <w:szCs w:val="28"/>
          <w:lang w:eastAsia="es-MX"/>
        </w:rPr>
        <w:t>.</w:t>
      </w:r>
      <w:r w:rsidRPr="00AF629F">
        <w:rPr>
          <w:rFonts w:ascii="Times New Roman" w:hAnsi="Times New Roman" w:cs="Times New Roman"/>
          <w:sz w:val="28"/>
          <w:szCs w:val="28"/>
          <w:lang w:eastAsia="es-MX"/>
        </w:rPr>
        <w:t xml:space="preserve"> </w:t>
      </w:r>
      <w:r w:rsidRPr="00AF629F">
        <w:rPr>
          <w:rFonts w:ascii="Times New Roman" w:hAnsi="Times New Roman" w:cs="Times New Roman"/>
          <w:sz w:val="28"/>
          <w:szCs w:val="28"/>
          <w:lang w:val="es-ES"/>
        </w:rPr>
        <w:t>El plan de inversiones</w:t>
      </w:r>
      <w:r w:rsidRPr="00AF629F">
        <w:rPr>
          <w:rFonts w:ascii="Times New Roman" w:hAnsi="Times New Roman" w:cs="Times New Roman"/>
          <w:sz w:val="28"/>
          <w:szCs w:val="28"/>
          <w:lang w:val="es-ES"/>
        </w:rPr>
        <w:t>, por el contrario,</w:t>
      </w:r>
      <w:r w:rsidRPr="00AF629F">
        <w:rPr>
          <w:rFonts w:ascii="Times New Roman" w:hAnsi="Times New Roman" w:cs="Times New Roman"/>
          <w:sz w:val="28"/>
          <w:szCs w:val="28"/>
          <w:lang w:val="es-ES"/>
        </w:rPr>
        <w:t xml:space="preserve"> </w:t>
      </w:r>
      <w:r w:rsidRPr="00AF629F">
        <w:rPr>
          <w:rFonts w:ascii="Times New Roman" w:hAnsi="Times New Roman" w:cs="Times New Roman"/>
          <w:sz w:val="28"/>
          <w:szCs w:val="28"/>
          <w:lang w:val="es-ES"/>
        </w:rPr>
        <w:t>requiere ser aprobado mediante ley que, en los términos del artículo 341 de la Co</w:t>
      </w:r>
      <w:r w:rsidRPr="00AF629F">
        <w:rPr>
          <w:rFonts w:ascii="Times New Roman" w:hAnsi="Times New Roman" w:cs="Times New Roman"/>
          <w:sz w:val="28"/>
          <w:szCs w:val="28"/>
          <w:lang w:val="es-ES"/>
        </w:rPr>
        <w:t xml:space="preserve">nstitución, </w:t>
      </w:r>
      <w:r w:rsidRPr="00AF629F">
        <w:rPr>
          <w:rFonts w:ascii="Times New Roman" w:hAnsi="Times New Roman" w:cs="Times New Roman"/>
          <w:sz w:val="28"/>
          <w:szCs w:val="28"/>
        </w:rPr>
        <w:t xml:space="preserve">tiene </w:t>
      </w:r>
      <w:r w:rsidRPr="00AF629F">
        <w:rPr>
          <w:rFonts w:ascii="Times New Roman" w:hAnsi="Times New Roman" w:cs="Times New Roman"/>
          <w:sz w:val="28"/>
          <w:szCs w:val="28"/>
        </w:rPr>
        <w:t>prelación sobre las demás leyes y sus mandatos constituyen mecanismos idóneos para su ejecución sin necesidad de la expedición de leyes posteriores, razón por la que s</w:t>
      </w:r>
      <w:r w:rsidRPr="00AF629F">
        <w:rPr>
          <w:rFonts w:ascii="Times New Roman" w:hAnsi="Times New Roman" w:cs="Times New Roman"/>
          <w:sz w:val="28"/>
          <w:szCs w:val="28"/>
          <w:shd w:val="clear" w:color="auto" w:fill="FFFFFF"/>
          <w:lang w:val="es-ES"/>
        </w:rPr>
        <w:t xml:space="preserve">i el Congreso </w:t>
      </w:r>
      <w:r w:rsidRPr="00AF629F">
        <w:rPr>
          <w:rFonts w:ascii="Times New Roman" w:hAnsi="Times New Roman" w:cs="Times New Roman"/>
          <w:sz w:val="28"/>
          <w:szCs w:val="28"/>
          <w:shd w:val="clear" w:color="auto" w:fill="FFFFFF"/>
          <w:lang w:val="es-ES"/>
        </w:rPr>
        <w:t xml:space="preserve">de la República </w:t>
      </w:r>
      <w:r w:rsidRPr="00AF629F">
        <w:rPr>
          <w:rFonts w:ascii="Times New Roman" w:hAnsi="Times New Roman" w:cs="Times New Roman"/>
          <w:sz w:val="28"/>
          <w:szCs w:val="28"/>
          <w:shd w:val="clear" w:color="auto" w:fill="FFFFFF"/>
          <w:lang w:val="es-ES"/>
        </w:rPr>
        <w:t xml:space="preserve">no aprueba </w:t>
      </w:r>
      <w:r w:rsidRPr="00AF629F">
        <w:rPr>
          <w:rFonts w:ascii="Times New Roman" w:hAnsi="Times New Roman" w:cs="Times New Roman"/>
          <w:sz w:val="28"/>
          <w:szCs w:val="28"/>
          <w:shd w:val="clear" w:color="auto" w:fill="FFFFFF"/>
          <w:lang w:val="es-ES"/>
        </w:rPr>
        <w:t>est</w:t>
      </w:r>
      <w:r w:rsidRPr="00AF629F">
        <w:rPr>
          <w:rFonts w:ascii="Times New Roman" w:hAnsi="Times New Roman" w:cs="Times New Roman"/>
          <w:sz w:val="28"/>
          <w:szCs w:val="28"/>
          <w:shd w:val="clear" w:color="auto" w:fill="FFFFFF"/>
          <w:lang w:val="es-ES"/>
        </w:rPr>
        <w:t>e</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componente del p</w:t>
      </w:r>
      <w:r w:rsidRPr="00AF629F">
        <w:rPr>
          <w:rFonts w:ascii="Times New Roman" w:hAnsi="Times New Roman" w:cs="Times New Roman"/>
          <w:sz w:val="28"/>
          <w:szCs w:val="28"/>
          <w:shd w:val="clear" w:color="auto" w:fill="FFFFFF"/>
          <w:lang w:val="es-ES"/>
        </w:rPr>
        <w:t xml:space="preserve">lan </w:t>
      </w:r>
      <w:r w:rsidRPr="00AF629F">
        <w:rPr>
          <w:rFonts w:ascii="Times New Roman" w:hAnsi="Times New Roman" w:cs="Times New Roman"/>
          <w:sz w:val="28"/>
          <w:szCs w:val="28"/>
          <w:shd w:val="clear" w:color="auto" w:fill="FFFFFF"/>
          <w:lang w:val="es-ES"/>
        </w:rPr>
        <w:t xml:space="preserve">nacional de desarrollo </w:t>
      </w:r>
      <w:r w:rsidRPr="00AF629F">
        <w:rPr>
          <w:rFonts w:ascii="Times New Roman" w:hAnsi="Times New Roman" w:cs="Times New Roman"/>
          <w:sz w:val="28"/>
          <w:szCs w:val="28"/>
          <w:shd w:val="clear" w:color="auto" w:fill="FFFFFF"/>
          <w:lang w:val="es-ES"/>
        </w:rPr>
        <w:t xml:space="preserve">en el término de tres meses, el </w:t>
      </w:r>
      <w:r w:rsidRPr="00AF629F">
        <w:rPr>
          <w:rFonts w:ascii="Times New Roman" w:hAnsi="Times New Roman" w:cs="Times New Roman"/>
          <w:sz w:val="28"/>
          <w:szCs w:val="28"/>
          <w:shd w:val="clear" w:color="auto" w:fill="FFFFFF"/>
          <w:lang w:val="es-ES"/>
        </w:rPr>
        <w:t>G</w:t>
      </w:r>
      <w:r w:rsidRPr="00AF629F">
        <w:rPr>
          <w:rFonts w:ascii="Times New Roman" w:hAnsi="Times New Roman" w:cs="Times New Roman"/>
          <w:sz w:val="28"/>
          <w:szCs w:val="28"/>
          <w:shd w:val="clear" w:color="auto" w:fill="FFFFFF"/>
          <w:lang w:val="es-ES"/>
        </w:rPr>
        <w:t xml:space="preserve">obierno </w:t>
      </w:r>
      <w:r w:rsidRPr="00AF629F">
        <w:rPr>
          <w:rFonts w:ascii="Times New Roman" w:hAnsi="Times New Roman" w:cs="Times New Roman"/>
          <w:sz w:val="28"/>
          <w:szCs w:val="28"/>
          <w:shd w:val="clear" w:color="auto" w:fill="FFFFFF"/>
          <w:lang w:val="es-ES"/>
        </w:rPr>
        <w:t xml:space="preserve">nacional </w:t>
      </w:r>
      <w:r w:rsidRPr="00AF629F">
        <w:rPr>
          <w:rFonts w:ascii="Times New Roman" w:hAnsi="Times New Roman" w:cs="Times New Roman"/>
          <w:sz w:val="28"/>
          <w:szCs w:val="28"/>
          <w:shd w:val="clear" w:color="auto" w:fill="FFFFFF"/>
          <w:lang w:val="es-ES"/>
        </w:rPr>
        <w:t xml:space="preserve">puede </w:t>
      </w:r>
      <w:r w:rsidRPr="00AF629F">
        <w:rPr>
          <w:rFonts w:ascii="Times New Roman" w:hAnsi="Times New Roman" w:cs="Times New Roman"/>
          <w:sz w:val="28"/>
          <w:szCs w:val="28"/>
          <w:shd w:val="clear" w:color="auto" w:fill="FFFFFF"/>
          <w:lang w:val="es-ES"/>
        </w:rPr>
        <w:t xml:space="preserve">poner en vigencia </w:t>
      </w:r>
      <w:r w:rsidRPr="00AF629F">
        <w:rPr>
          <w:rFonts w:ascii="Times New Roman" w:hAnsi="Times New Roman" w:cs="Times New Roman"/>
          <w:sz w:val="28"/>
          <w:szCs w:val="28"/>
          <w:shd w:val="clear" w:color="auto" w:fill="FFFFFF"/>
          <w:lang w:val="es-ES"/>
        </w:rPr>
        <w:t xml:space="preserve">el proyecto presentado </w:t>
      </w:r>
      <w:r w:rsidRPr="00AF629F">
        <w:rPr>
          <w:rFonts w:ascii="Times New Roman" w:hAnsi="Times New Roman" w:cs="Times New Roman"/>
          <w:sz w:val="28"/>
          <w:szCs w:val="28"/>
          <w:shd w:val="clear" w:color="auto" w:fill="FFFFFF"/>
          <w:lang w:val="es-ES"/>
        </w:rPr>
        <w:t xml:space="preserve">mediante decreto con fuerza de </w:t>
      </w:r>
      <w:r w:rsidRPr="00AF629F">
        <w:rPr>
          <w:rFonts w:ascii="Times New Roman" w:hAnsi="Times New Roman" w:cs="Times New Roman"/>
          <w:sz w:val="28"/>
          <w:szCs w:val="28"/>
          <w:shd w:val="clear" w:color="auto" w:fill="FFFFFF"/>
          <w:lang w:val="es-ES"/>
        </w:rPr>
        <w:t>l</w:t>
      </w:r>
      <w:r w:rsidRPr="00AF629F">
        <w:rPr>
          <w:rFonts w:ascii="Times New Roman" w:hAnsi="Times New Roman" w:cs="Times New Roman"/>
          <w:sz w:val="28"/>
          <w:szCs w:val="28"/>
          <w:shd w:val="clear" w:color="auto" w:fill="FFFFFF"/>
          <w:lang w:val="es-ES"/>
        </w:rPr>
        <w:t>ey</w:t>
      </w:r>
      <w:r w:rsidRPr="00AF629F">
        <w:rPr>
          <w:rStyle w:val="Refdenotaalpie"/>
          <w:rFonts w:ascii="Times New Roman" w:hAnsi="Times New Roman" w:cs="Times New Roman"/>
          <w:sz w:val="28"/>
          <w:szCs w:val="28"/>
          <w:shd w:val="clear" w:color="auto" w:fill="FFFFFF"/>
          <w:lang w:val="es-ES"/>
        </w:rPr>
        <w:footnoteReference w:id="26"/>
      </w:r>
      <w:r w:rsidRPr="00AF629F">
        <w:rPr>
          <w:rFonts w:ascii="Times New Roman" w:hAnsi="Times New Roman" w:cs="Times New Roman"/>
          <w:sz w:val="28"/>
          <w:szCs w:val="28"/>
          <w:shd w:val="clear" w:color="auto" w:fill="FFFFFF"/>
          <w:lang w:val="es-ES"/>
        </w:rPr>
        <w:t>.</w:t>
      </w:r>
    </w:p>
    <w:p w:rsidR="008925A4" w:rsidRPr="00AF629F" w:rsidRDefault="00AF629F" w:rsidP="008925A4">
      <w:pPr>
        <w:pStyle w:val="Prrafodelista"/>
        <w:rPr>
          <w:rFonts w:ascii="Times New Roman" w:hAnsi="Times New Roman" w:cs="Times New Roman"/>
          <w:sz w:val="28"/>
          <w:szCs w:val="28"/>
          <w:shd w:val="clear" w:color="auto" w:fill="FFFFFF"/>
          <w:lang w:val="es-ES"/>
        </w:rPr>
      </w:pPr>
    </w:p>
    <w:p w:rsidR="007F443D" w:rsidRPr="00AF629F" w:rsidRDefault="00AF629F" w:rsidP="007F443D">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En contraste con la regulación de la Constitución de 1886, l</w:t>
      </w:r>
      <w:r w:rsidRPr="00AF629F">
        <w:rPr>
          <w:rFonts w:ascii="Times New Roman" w:hAnsi="Times New Roman" w:cs="Times New Roman"/>
          <w:sz w:val="28"/>
          <w:szCs w:val="28"/>
          <w:shd w:val="clear" w:color="auto" w:fill="FFFFFF"/>
          <w:lang w:val="es-ES"/>
        </w:rPr>
        <w:t xml:space="preserve">a necesidad de dotar de fuerza vinculante </w:t>
      </w:r>
      <w:r w:rsidRPr="00AF629F">
        <w:rPr>
          <w:rFonts w:ascii="Times New Roman" w:hAnsi="Times New Roman" w:cs="Times New Roman"/>
          <w:sz w:val="28"/>
          <w:szCs w:val="28"/>
          <w:shd w:val="clear" w:color="auto" w:fill="FFFFFF"/>
          <w:lang w:val="es-ES"/>
        </w:rPr>
        <w:t xml:space="preserve">a </w:t>
      </w:r>
      <w:r w:rsidRPr="00AF629F">
        <w:rPr>
          <w:rFonts w:ascii="Times New Roman" w:hAnsi="Times New Roman" w:cs="Times New Roman"/>
          <w:sz w:val="28"/>
          <w:szCs w:val="28"/>
          <w:shd w:val="clear" w:color="auto" w:fill="FFFFFF"/>
          <w:lang w:val="es-ES"/>
        </w:rPr>
        <w:t xml:space="preserve">este componente </w:t>
      </w:r>
      <w:r w:rsidRPr="00AF629F">
        <w:rPr>
          <w:rFonts w:ascii="Times New Roman" w:hAnsi="Times New Roman" w:cs="Times New Roman"/>
          <w:sz w:val="28"/>
          <w:szCs w:val="28"/>
          <w:shd w:val="clear" w:color="auto" w:fill="FFFFFF"/>
          <w:lang w:val="es-ES"/>
        </w:rPr>
        <w:t xml:space="preserve">del </w:t>
      </w:r>
      <w:r w:rsidRPr="00AF629F">
        <w:rPr>
          <w:rFonts w:ascii="Times New Roman" w:hAnsi="Times New Roman" w:cs="Times New Roman"/>
          <w:sz w:val="28"/>
          <w:szCs w:val="28"/>
          <w:shd w:val="clear" w:color="auto" w:fill="FFFFFF"/>
          <w:lang w:val="es-ES"/>
        </w:rPr>
        <w:t xml:space="preserve">plan nacional de desarrollo condujo a </w:t>
      </w:r>
      <w:r w:rsidRPr="00AF629F">
        <w:rPr>
          <w:rFonts w:ascii="Times New Roman" w:hAnsi="Times New Roman" w:cs="Times New Roman"/>
          <w:sz w:val="28"/>
          <w:szCs w:val="28"/>
          <w:shd w:val="clear" w:color="auto" w:fill="FFFFFF"/>
          <w:lang w:val="es-ES"/>
        </w:rPr>
        <w:t xml:space="preserve">que se adoptara </w:t>
      </w:r>
      <w:r w:rsidRPr="00AF629F">
        <w:rPr>
          <w:rFonts w:ascii="Times New Roman" w:hAnsi="Times New Roman" w:cs="Times New Roman"/>
          <w:sz w:val="28"/>
          <w:szCs w:val="28"/>
          <w:shd w:val="clear" w:color="auto" w:fill="FFFFFF"/>
          <w:lang w:val="es-ES"/>
        </w:rPr>
        <w:t xml:space="preserve">la regulación contenida en el inciso tercero del artículo 341 de la Constitución </w:t>
      </w:r>
      <w:r w:rsidRPr="00AF629F">
        <w:rPr>
          <w:rFonts w:ascii="Times New Roman" w:hAnsi="Times New Roman" w:cs="Times New Roman"/>
          <w:sz w:val="28"/>
          <w:szCs w:val="28"/>
          <w:shd w:val="clear" w:color="auto" w:fill="FFFFFF"/>
          <w:lang w:val="es-ES"/>
        </w:rPr>
        <w:t xml:space="preserve">Política de 1991, </w:t>
      </w:r>
      <w:r w:rsidRPr="00AF629F">
        <w:rPr>
          <w:rFonts w:ascii="Times New Roman" w:hAnsi="Times New Roman" w:cs="Times New Roman"/>
          <w:sz w:val="28"/>
          <w:szCs w:val="28"/>
          <w:shd w:val="clear" w:color="auto" w:fill="FFFFFF"/>
          <w:lang w:val="es-ES"/>
        </w:rPr>
        <w:t xml:space="preserve">en el sentido de que la ley </w:t>
      </w:r>
      <w:r w:rsidRPr="00AF629F">
        <w:rPr>
          <w:rFonts w:ascii="Times New Roman" w:hAnsi="Times New Roman" w:cs="Times New Roman"/>
          <w:sz w:val="28"/>
          <w:szCs w:val="28"/>
          <w:shd w:val="clear" w:color="auto" w:fill="FFFFFF"/>
          <w:lang w:val="es-ES"/>
        </w:rPr>
        <w:t>o el decret</w:t>
      </w:r>
      <w:r w:rsidRPr="00AF629F">
        <w:rPr>
          <w:rFonts w:ascii="Times New Roman" w:hAnsi="Times New Roman" w:cs="Times New Roman"/>
          <w:sz w:val="28"/>
          <w:szCs w:val="28"/>
          <w:shd w:val="clear" w:color="auto" w:fill="FFFFFF"/>
          <w:lang w:val="es-ES"/>
        </w:rPr>
        <w:t xml:space="preserve">o ley </w:t>
      </w:r>
      <w:r w:rsidRPr="00AF629F">
        <w:rPr>
          <w:rFonts w:ascii="Times New Roman" w:hAnsi="Times New Roman" w:cs="Times New Roman"/>
          <w:sz w:val="28"/>
          <w:szCs w:val="28"/>
          <w:shd w:val="clear" w:color="auto" w:fill="FFFFFF"/>
          <w:lang w:val="es-ES"/>
        </w:rPr>
        <w:t>que apruebe el plan de inversiones (</w:t>
      </w:r>
      <w:r w:rsidRPr="00AF629F">
        <w:rPr>
          <w:rFonts w:ascii="Times New Roman" w:hAnsi="Times New Roman" w:cs="Times New Roman"/>
          <w:sz w:val="28"/>
          <w:szCs w:val="28"/>
          <w:shd w:val="clear" w:color="auto" w:fill="FFFFFF"/>
          <w:lang w:val="es-ES"/>
        </w:rPr>
        <w:t>a</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tendrá prelación sobre las demás leyes</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b</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sus mandatos constituirán mecanismos idóneos para su ejecución</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y (</w:t>
      </w:r>
      <w:r w:rsidRPr="00AF629F">
        <w:rPr>
          <w:rFonts w:ascii="Times New Roman" w:hAnsi="Times New Roman" w:cs="Times New Roman"/>
          <w:sz w:val="28"/>
          <w:szCs w:val="28"/>
          <w:shd w:val="clear" w:color="auto" w:fill="FFFFFF"/>
          <w:lang w:val="es-ES"/>
        </w:rPr>
        <w:t>c</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suplirán los existentes sin necesidad de la expedición de leyes posteriores</w:t>
      </w:r>
      <w:r w:rsidRPr="00AF629F">
        <w:rPr>
          <w:rFonts w:ascii="Times New Roman" w:hAnsi="Times New Roman" w:cs="Times New Roman"/>
          <w:sz w:val="28"/>
          <w:szCs w:val="28"/>
          <w:shd w:val="clear" w:color="auto" w:fill="FFFFFF"/>
          <w:lang w:val="es-ES"/>
        </w:rPr>
        <w:t>”</w:t>
      </w:r>
      <w:r w:rsidRPr="00AF629F">
        <w:rPr>
          <w:rStyle w:val="Refdenotaalpie"/>
          <w:rFonts w:ascii="Times New Roman" w:hAnsi="Times New Roman" w:cs="Times New Roman"/>
          <w:sz w:val="28"/>
          <w:szCs w:val="28"/>
          <w:shd w:val="clear" w:color="auto" w:fill="FFFFFF"/>
          <w:lang w:val="es-ES"/>
        </w:rPr>
        <w:footnoteReference w:id="27"/>
      </w:r>
      <w:r w:rsidRPr="00AF629F">
        <w:rPr>
          <w:rFonts w:ascii="Times New Roman" w:hAnsi="Times New Roman" w:cs="Times New Roman"/>
          <w:sz w:val="28"/>
          <w:szCs w:val="28"/>
          <w:shd w:val="clear" w:color="auto" w:fill="FFFFFF"/>
          <w:lang w:val="es-ES"/>
        </w:rPr>
        <w:t>.</w:t>
      </w:r>
    </w:p>
    <w:p w:rsidR="007F443D" w:rsidRPr="00AF629F" w:rsidRDefault="00AF629F" w:rsidP="00002BE7">
      <w:pPr>
        <w:rPr>
          <w:rFonts w:ascii="Times New Roman" w:hAnsi="Times New Roman" w:cs="Times New Roman"/>
          <w:sz w:val="28"/>
          <w:szCs w:val="28"/>
          <w:shd w:val="clear" w:color="auto" w:fill="FFFFFF"/>
          <w:lang w:val="es-ES"/>
        </w:rPr>
      </w:pPr>
    </w:p>
    <w:p w:rsidR="006C4BF9" w:rsidRPr="00AF629F" w:rsidRDefault="00AF629F" w:rsidP="006C4BF9">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En síntesis, cabría afirmar que el constituyente le dio mayor énfasis al proceso de </w:t>
      </w:r>
      <w:r w:rsidRPr="00AF629F">
        <w:rPr>
          <w:rFonts w:ascii="Times New Roman" w:hAnsi="Times New Roman" w:cs="Times New Roman"/>
          <w:i/>
          <w:iCs/>
          <w:sz w:val="28"/>
          <w:szCs w:val="28"/>
        </w:rPr>
        <w:t>elaboración</w:t>
      </w:r>
      <w:r w:rsidRPr="00AF629F">
        <w:rPr>
          <w:rFonts w:ascii="Times New Roman" w:hAnsi="Times New Roman" w:cs="Times New Roman"/>
          <w:sz w:val="28"/>
          <w:szCs w:val="28"/>
        </w:rPr>
        <w:t xml:space="preserve"> del plan que al de su </w:t>
      </w:r>
      <w:r w:rsidRPr="00AF629F">
        <w:rPr>
          <w:rFonts w:ascii="Times New Roman" w:hAnsi="Times New Roman" w:cs="Times New Roman"/>
          <w:i/>
          <w:iCs/>
          <w:sz w:val="28"/>
          <w:szCs w:val="28"/>
        </w:rPr>
        <w:t>aprobación</w:t>
      </w:r>
      <w:r w:rsidRPr="00AF629F">
        <w:rPr>
          <w:rFonts w:ascii="Times New Roman" w:hAnsi="Times New Roman" w:cs="Times New Roman"/>
          <w:sz w:val="28"/>
          <w:szCs w:val="28"/>
        </w:rPr>
        <w:t xml:space="preserve">. En la Constitución anterior el proceso de </w:t>
      </w:r>
      <w:r w:rsidRPr="00AF629F">
        <w:rPr>
          <w:rFonts w:ascii="Times New Roman" w:hAnsi="Times New Roman" w:cs="Times New Roman"/>
          <w:i/>
          <w:iCs/>
          <w:sz w:val="28"/>
          <w:szCs w:val="28"/>
        </w:rPr>
        <w:t>fijación</w:t>
      </w:r>
      <w:r w:rsidRPr="00AF629F">
        <w:rPr>
          <w:rFonts w:ascii="Times New Roman" w:hAnsi="Times New Roman" w:cs="Times New Roman"/>
          <w:sz w:val="28"/>
          <w:szCs w:val="28"/>
        </w:rPr>
        <w:t xml:space="preserve"> del plan por parte del Congreso consistía en un conjunto de mecanismos y pr</w:t>
      </w:r>
      <w:r w:rsidRPr="00AF629F">
        <w:rPr>
          <w:rFonts w:ascii="Times New Roman" w:hAnsi="Times New Roman" w:cs="Times New Roman"/>
          <w:sz w:val="28"/>
          <w:szCs w:val="28"/>
        </w:rPr>
        <w:t>ocedimientos complejos y dispendiosos sin que ello le garantizara fuerza vinculante al plan. La nueva regulación constitucional presenta las siguientes características:</w:t>
      </w:r>
    </w:p>
    <w:p w:rsidR="006C4BF9" w:rsidRPr="00AF629F" w:rsidRDefault="00AF629F" w:rsidP="006C4BF9">
      <w:pPr>
        <w:pStyle w:val="Prrafodelista"/>
        <w:rPr>
          <w:rFonts w:ascii="Times New Roman" w:hAnsi="Times New Roman" w:cs="Times New Roman"/>
          <w:i/>
          <w:iCs/>
          <w:sz w:val="28"/>
          <w:szCs w:val="28"/>
        </w:rPr>
      </w:pPr>
    </w:p>
    <w:p w:rsidR="00F050CA" w:rsidRPr="00AF629F" w:rsidRDefault="00AF629F" w:rsidP="00F050CA">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(i) </w:t>
      </w:r>
      <w:r w:rsidRPr="00AF629F">
        <w:rPr>
          <w:rFonts w:ascii="Times New Roman" w:hAnsi="Times New Roman" w:cs="Times New Roman"/>
          <w:i/>
          <w:iCs/>
          <w:sz w:val="28"/>
          <w:szCs w:val="28"/>
        </w:rPr>
        <w:t xml:space="preserve">Mayor énfasis </w:t>
      </w:r>
      <w:r w:rsidRPr="00AF629F">
        <w:rPr>
          <w:rFonts w:ascii="Times New Roman" w:hAnsi="Times New Roman" w:cs="Times New Roman"/>
          <w:i/>
          <w:iCs/>
          <w:sz w:val="28"/>
          <w:szCs w:val="28"/>
        </w:rPr>
        <w:t xml:space="preserve">en el </w:t>
      </w:r>
      <w:r w:rsidRPr="00AF629F">
        <w:rPr>
          <w:rFonts w:ascii="Times New Roman" w:hAnsi="Times New Roman" w:cs="Times New Roman"/>
          <w:i/>
          <w:iCs/>
          <w:sz w:val="28"/>
          <w:szCs w:val="28"/>
        </w:rPr>
        <w:t xml:space="preserve">proceso de elaboración que </w:t>
      </w:r>
      <w:r w:rsidRPr="00AF629F">
        <w:rPr>
          <w:rFonts w:ascii="Times New Roman" w:hAnsi="Times New Roman" w:cs="Times New Roman"/>
          <w:i/>
          <w:iCs/>
          <w:sz w:val="28"/>
          <w:szCs w:val="28"/>
        </w:rPr>
        <w:t>en e</w:t>
      </w:r>
      <w:r w:rsidRPr="00AF629F">
        <w:rPr>
          <w:rFonts w:ascii="Times New Roman" w:hAnsi="Times New Roman" w:cs="Times New Roman"/>
          <w:i/>
          <w:iCs/>
          <w:sz w:val="28"/>
          <w:szCs w:val="28"/>
        </w:rPr>
        <w:t>l de su aprobación</w:t>
      </w:r>
      <w:r w:rsidRPr="00AF629F">
        <w:rPr>
          <w:rFonts w:ascii="Times New Roman" w:hAnsi="Times New Roman" w:cs="Times New Roman"/>
          <w:sz w:val="28"/>
          <w:szCs w:val="28"/>
        </w:rPr>
        <w:t xml:space="preserve">. La elaboración se encuentra regulada al detalle como un procedimiento participativo que involucra </w:t>
      </w:r>
      <w:r w:rsidRPr="00AF629F">
        <w:rPr>
          <w:rFonts w:ascii="Times New Roman" w:hAnsi="Times New Roman" w:cs="Times New Roman"/>
          <w:sz w:val="28"/>
          <w:szCs w:val="28"/>
        </w:rPr>
        <w:t xml:space="preserve">a las </w:t>
      </w:r>
      <w:r w:rsidRPr="00AF629F">
        <w:rPr>
          <w:rFonts w:ascii="Times New Roman" w:hAnsi="Times New Roman" w:cs="Times New Roman"/>
          <w:sz w:val="28"/>
          <w:szCs w:val="28"/>
        </w:rPr>
        <w:t>autoridades nacionales y territoriales y, en particular, a los ciudadanos organizados bajos diversas formas de asociación, proceso que tiene una durac</w:t>
      </w:r>
      <w:r w:rsidRPr="00AF629F">
        <w:rPr>
          <w:rFonts w:ascii="Times New Roman" w:hAnsi="Times New Roman" w:cs="Times New Roman"/>
          <w:sz w:val="28"/>
          <w:szCs w:val="28"/>
        </w:rPr>
        <w:t>ión equivalente al doble de la prevista para su aprobación en el Congreso.</w:t>
      </w:r>
    </w:p>
    <w:p w:rsidR="00F050CA" w:rsidRPr="00AF629F" w:rsidRDefault="00AF629F" w:rsidP="00F050CA">
      <w:pPr>
        <w:pStyle w:val="Prrafodelista"/>
        <w:rPr>
          <w:rFonts w:ascii="Times New Roman" w:hAnsi="Times New Roman" w:cs="Times New Roman"/>
          <w:i/>
          <w:iCs/>
          <w:sz w:val="28"/>
          <w:szCs w:val="28"/>
        </w:rPr>
      </w:pPr>
    </w:p>
    <w:p w:rsidR="00D8480C" w:rsidRPr="00AF629F" w:rsidRDefault="00AF629F" w:rsidP="0059301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(ii) </w:t>
      </w:r>
      <w:r w:rsidRPr="00AF629F">
        <w:rPr>
          <w:rFonts w:ascii="Times New Roman" w:hAnsi="Times New Roman" w:cs="Times New Roman"/>
          <w:i/>
          <w:iCs/>
          <w:sz w:val="28"/>
          <w:szCs w:val="28"/>
        </w:rPr>
        <w:t>Mayor fuerza vinculante al plan de inversiones que a la parte general</w:t>
      </w:r>
      <w:r w:rsidRPr="00AF629F">
        <w:rPr>
          <w:rFonts w:ascii="Times New Roman" w:hAnsi="Times New Roman" w:cs="Times New Roman"/>
          <w:sz w:val="28"/>
          <w:szCs w:val="28"/>
        </w:rPr>
        <w:t xml:space="preserve">. El plan de inversiones se concibe como la concretización o </w:t>
      </w:r>
      <w:r w:rsidRPr="00AF629F">
        <w:rPr>
          <w:rFonts w:ascii="Times New Roman" w:hAnsi="Times New Roman" w:cs="Times New Roman"/>
          <w:i/>
          <w:iCs/>
          <w:sz w:val="28"/>
          <w:szCs w:val="28"/>
        </w:rPr>
        <w:t>materialización</w:t>
      </w:r>
      <w:r w:rsidRPr="00AF629F">
        <w:rPr>
          <w:rFonts w:ascii="Times New Roman" w:hAnsi="Times New Roman" w:cs="Times New Roman"/>
          <w:sz w:val="28"/>
          <w:szCs w:val="28"/>
        </w:rPr>
        <w:t xml:space="preserve"> de la parte general, razón po</w:t>
      </w:r>
      <w:r w:rsidRPr="00AF629F">
        <w:rPr>
          <w:rFonts w:ascii="Times New Roman" w:hAnsi="Times New Roman" w:cs="Times New Roman"/>
          <w:sz w:val="28"/>
          <w:szCs w:val="28"/>
        </w:rPr>
        <w:t>r la que se le confiere mayor fuerza vinculante y, por lo mismo, mayor rigor en su aprobación. La parte general traza la política que el gobierno ejecutará durante su período, lo cual explica que en su aprobación el Congreso carezca de competencia para mod</w:t>
      </w:r>
      <w:r w:rsidRPr="00AF629F">
        <w:rPr>
          <w:rFonts w:ascii="Times New Roman" w:hAnsi="Times New Roman" w:cs="Times New Roman"/>
          <w:sz w:val="28"/>
          <w:szCs w:val="28"/>
        </w:rPr>
        <w:t>ificarla y que las diferencias que el Congreso pueda tener con dicha parte no impide</w:t>
      </w:r>
      <w:r w:rsidRPr="00AF629F">
        <w:rPr>
          <w:rFonts w:ascii="Times New Roman" w:hAnsi="Times New Roman" w:cs="Times New Roman"/>
          <w:sz w:val="28"/>
          <w:szCs w:val="28"/>
        </w:rPr>
        <w:t>n</w:t>
      </w:r>
      <w:r w:rsidRPr="00AF629F">
        <w:rPr>
          <w:rFonts w:ascii="Times New Roman" w:hAnsi="Times New Roman" w:cs="Times New Roman"/>
          <w:sz w:val="28"/>
          <w:szCs w:val="28"/>
        </w:rPr>
        <w:t xml:space="preserve"> que el Gobierno la ejecute.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De allí que s</w:t>
      </w:r>
      <w:r w:rsidRPr="00AF629F">
        <w:rPr>
          <w:rFonts w:ascii="Times New Roman" w:hAnsi="Times New Roman" w:cs="Times New Roman"/>
          <w:sz w:val="28"/>
          <w:szCs w:val="28"/>
        </w:rPr>
        <w:t>u falta de aprobación por el Congreso no requie</w:t>
      </w:r>
      <w:r w:rsidRPr="00AF629F">
        <w:rPr>
          <w:rFonts w:ascii="Times New Roman" w:hAnsi="Times New Roman" w:cs="Times New Roman"/>
          <w:sz w:val="28"/>
          <w:szCs w:val="28"/>
        </w:rPr>
        <w:t>ra</w:t>
      </w:r>
      <w:r w:rsidRPr="00AF629F">
        <w:rPr>
          <w:rFonts w:ascii="Times New Roman" w:hAnsi="Times New Roman" w:cs="Times New Roman"/>
          <w:sz w:val="28"/>
          <w:szCs w:val="28"/>
        </w:rPr>
        <w:t xml:space="preserve"> su adopción mediante decreto con fuerza de ley </w:t>
      </w:r>
      <w:r w:rsidRPr="00AF629F">
        <w:rPr>
          <w:rFonts w:ascii="Times New Roman" w:hAnsi="Times New Roman" w:cs="Times New Roman"/>
          <w:sz w:val="28"/>
          <w:szCs w:val="28"/>
        </w:rPr>
        <w:t>que</w:t>
      </w:r>
      <w:r w:rsidRPr="00AF629F">
        <w:rPr>
          <w:rFonts w:ascii="Times New Roman" w:hAnsi="Times New Roman" w:cs="Times New Roman"/>
          <w:sz w:val="28"/>
          <w:szCs w:val="28"/>
        </w:rPr>
        <w:t>, en todo caso, no impide que</w:t>
      </w:r>
      <w:r w:rsidRPr="00AF629F">
        <w:rPr>
          <w:rFonts w:ascii="Times New Roman" w:hAnsi="Times New Roman" w:cs="Times New Roman"/>
          <w:sz w:val="28"/>
          <w:szCs w:val="28"/>
        </w:rPr>
        <w:t xml:space="preserve"> el gobierno la ejecute en lo de su competencia. El plan de inversiones, por el contrario, determina con carácter vinculante, por sí mismo, los programas y proyectos que se ejecutarán durante el cuatrienio, razón por la que en su aprobación se garantiza la</w:t>
      </w:r>
      <w:r w:rsidRPr="00AF629F">
        <w:rPr>
          <w:rFonts w:ascii="Times New Roman" w:hAnsi="Times New Roman" w:cs="Times New Roman"/>
          <w:sz w:val="28"/>
          <w:szCs w:val="28"/>
        </w:rPr>
        <w:t xml:space="preserve"> competencia del Congreso para introducirle modificaciones. </w:t>
      </w:r>
      <w:r w:rsidRPr="00AF629F">
        <w:rPr>
          <w:rFonts w:ascii="Times New Roman" w:hAnsi="Times New Roman" w:cs="Times New Roman"/>
          <w:sz w:val="28"/>
          <w:szCs w:val="28"/>
        </w:rPr>
        <w:t>Además, r</w:t>
      </w:r>
      <w:r w:rsidRPr="00AF629F">
        <w:rPr>
          <w:rFonts w:ascii="Times New Roman" w:hAnsi="Times New Roman" w:cs="Times New Roman"/>
          <w:sz w:val="28"/>
          <w:szCs w:val="28"/>
        </w:rPr>
        <w:t xml:space="preserve">equiere su aprobación mediante ley y, por lo mismo, si el Congreso no lo hace, el gobierno puede adoptar </w:t>
      </w:r>
      <w:r w:rsidRPr="00AF629F">
        <w:rPr>
          <w:rFonts w:ascii="Times New Roman" w:hAnsi="Times New Roman" w:cs="Times New Roman"/>
          <w:sz w:val="28"/>
          <w:szCs w:val="28"/>
        </w:rPr>
        <w:t xml:space="preserve">el proyecto presentado </w:t>
      </w:r>
      <w:r w:rsidRPr="00AF629F">
        <w:rPr>
          <w:rFonts w:ascii="Times New Roman" w:hAnsi="Times New Roman" w:cs="Times New Roman"/>
          <w:sz w:val="28"/>
          <w:szCs w:val="28"/>
        </w:rPr>
        <w:t>mediante decreto con fuerza de ley.</w:t>
      </w:r>
    </w:p>
    <w:p w:rsidR="00D8480C" w:rsidRPr="00AF629F" w:rsidRDefault="00AF629F" w:rsidP="00D8480C">
      <w:pPr>
        <w:pStyle w:val="Prrafodelista"/>
        <w:ind w:left="0"/>
        <w:jc w:val="both"/>
        <w:rPr>
          <w:rFonts w:ascii="Times New Roman" w:hAnsi="Times New Roman" w:cs="Times New Roman"/>
          <w:sz w:val="28"/>
          <w:szCs w:val="28"/>
        </w:rPr>
      </w:pPr>
    </w:p>
    <w:p w:rsidR="00593018" w:rsidRPr="00AF629F" w:rsidRDefault="00AF629F" w:rsidP="0059301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El mayor énfasis en la elaboración que en la aprobación del plan se expresa también en el alcance que en la Asamblea Constituyente se le dio a la competencia del Congreso. En efecto, como se puso de presente en la </w:t>
      </w:r>
      <w:r w:rsidRPr="00AF629F">
        <w:rPr>
          <w:rFonts w:ascii="Times New Roman" w:hAnsi="Times New Roman" w:cs="Times New Roman"/>
          <w:sz w:val="28"/>
          <w:szCs w:val="28"/>
          <w:shd w:val="clear" w:color="auto" w:fill="FFFFFF"/>
          <w:lang w:val="es-ES"/>
        </w:rPr>
        <w:t xml:space="preserve">Sentencia C-030 de 2021, </w:t>
      </w:r>
      <w:r w:rsidRPr="00AF629F">
        <w:rPr>
          <w:rFonts w:ascii="Times New Roman" w:hAnsi="Times New Roman" w:cs="Times New Roman"/>
          <w:sz w:val="28"/>
          <w:szCs w:val="28"/>
        </w:rPr>
        <w:t>en los debates de</w:t>
      </w:r>
      <w:r w:rsidRPr="00AF629F">
        <w:rPr>
          <w:rFonts w:ascii="Times New Roman" w:hAnsi="Times New Roman" w:cs="Times New Roman"/>
          <w:sz w:val="28"/>
          <w:szCs w:val="28"/>
        </w:rPr>
        <w:t xml:space="preserve"> sesión plenaria de </w:t>
      </w:r>
      <w:r w:rsidRPr="00AF629F">
        <w:rPr>
          <w:rFonts w:ascii="Times New Roman" w:hAnsi="Times New Roman" w:cs="Times New Roman"/>
          <w:sz w:val="28"/>
          <w:szCs w:val="28"/>
        </w:rPr>
        <w:t>esta</w:t>
      </w:r>
      <w:r w:rsidRPr="00AF629F">
        <w:rPr>
          <w:rFonts w:ascii="Times New Roman" w:hAnsi="Times New Roman" w:cs="Times New Roman"/>
          <w:sz w:val="28"/>
          <w:szCs w:val="28"/>
        </w:rPr>
        <w:t>, al decidir sobre la competencia del Congreso para “</w:t>
      </w:r>
      <w:r w:rsidRPr="00AF629F">
        <w:rPr>
          <w:rFonts w:ascii="Times New Roman" w:hAnsi="Times New Roman" w:cs="Times New Roman"/>
          <w:i/>
          <w:iCs/>
          <w:sz w:val="28"/>
          <w:szCs w:val="28"/>
        </w:rPr>
        <w:t>aprobar</w:t>
      </w:r>
      <w:r w:rsidRPr="00AF629F">
        <w:rPr>
          <w:rFonts w:ascii="Times New Roman" w:hAnsi="Times New Roman" w:cs="Times New Roman"/>
          <w:sz w:val="28"/>
          <w:szCs w:val="28"/>
        </w:rPr>
        <w:t>” los planes de desarrollo (</w:t>
      </w:r>
      <w:r w:rsidRPr="00AF629F">
        <w:rPr>
          <w:rFonts w:ascii="Times New Roman" w:hAnsi="Times New Roman" w:cs="Times New Roman"/>
          <w:sz w:val="28"/>
          <w:szCs w:val="28"/>
        </w:rPr>
        <w:t xml:space="preserve">cfr., al respecto, la </w:t>
      </w:r>
      <w:r w:rsidRPr="00AF629F">
        <w:rPr>
          <w:rFonts w:ascii="Times New Roman" w:hAnsi="Times New Roman" w:cs="Times New Roman"/>
          <w:sz w:val="28"/>
          <w:szCs w:val="28"/>
        </w:rPr>
        <w:t xml:space="preserve">transcripción </w:t>
      </w:r>
      <w:r w:rsidRPr="00AF629F">
        <w:rPr>
          <w:rFonts w:ascii="Times New Roman" w:hAnsi="Times New Roman" w:cs="Times New Roman"/>
          <w:sz w:val="28"/>
          <w:szCs w:val="28"/>
        </w:rPr>
        <w:t xml:space="preserve">de la </w:t>
      </w:r>
      <w:r w:rsidRPr="00AF629F">
        <w:rPr>
          <w:rFonts w:ascii="Times New Roman" w:hAnsi="Times New Roman" w:cs="Times New Roman"/>
          <w:sz w:val="28"/>
          <w:szCs w:val="28"/>
        </w:rPr>
        <w:t xml:space="preserve">sesión </w:t>
      </w:r>
      <w:r w:rsidRPr="00AF629F">
        <w:rPr>
          <w:rFonts w:ascii="Times New Roman" w:hAnsi="Times New Roman" w:cs="Times New Roman"/>
          <w:sz w:val="28"/>
          <w:szCs w:val="28"/>
        </w:rPr>
        <w:t xml:space="preserve">del </w:t>
      </w:r>
      <w:r w:rsidRPr="00AF629F">
        <w:rPr>
          <w:rFonts w:ascii="Times New Roman" w:hAnsi="Times New Roman" w:cs="Times New Roman"/>
          <w:sz w:val="28"/>
          <w:szCs w:val="28"/>
        </w:rPr>
        <w:t xml:space="preserve">11 de </w:t>
      </w:r>
      <w:r w:rsidRPr="00AF629F">
        <w:rPr>
          <w:rFonts w:ascii="Times New Roman" w:hAnsi="Times New Roman" w:cs="Times New Roman"/>
          <w:sz w:val="28"/>
          <w:szCs w:val="28"/>
        </w:rPr>
        <w:t xml:space="preserve">junio de </w:t>
      </w:r>
      <w:r w:rsidRPr="00AF629F">
        <w:rPr>
          <w:rFonts w:ascii="Times New Roman" w:hAnsi="Times New Roman" w:cs="Times New Roman"/>
          <w:sz w:val="28"/>
          <w:szCs w:val="28"/>
        </w:rPr>
        <w:t>1991)</w:t>
      </w:r>
      <w:r w:rsidRPr="00AF629F">
        <w:rPr>
          <w:rFonts w:ascii="Times New Roman" w:hAnsi="Times New Roman" w:cs="Times New Roman"/>
          <w:sz w:val="28"/>
          <w:szCs w:val="28"/>
        </w:rPr>
        <w:t>, y l</w:t>
      </w:r>
      <w:r w:rsidRPr="00AF629F">
        <w:rPr>
          <w:rFonts w:ascii="Times New Roman" w:hAnsi="Times New Roman" w:cs="Times New Roman"/>
          <w:sz w:val="28"/>
          <w:szCs w:val="28"/>
        </w:rPr>
        <w:t xml:space="preserve">uego en la </w:t>
      </w:r>
      <w:r w:rsidRPr="00AF629F">
        <w:rPr>
          <w:rFonts w:ascii="Times New Roman" w:hAnsi="Times New Roman" w:cs="Times New Roman"/>
          <w:sz w:val="28"/>
          <w:szCs w:val="28"/>
        </w:rPr>
        <w:t>c</w:t>
      </w:r>
      <w:r w:rsidRPr="00AF629F">
        <w:rPr>
          <w:rFonts w:ascii="Times New Roman" w:hAnsi="Times New Roman" w:cs="Times New Roman"/>
          <w:sz w:val="28"/>
          <w:szCs w:val="28"/>
        </w:rPr>
        <w:t>omisión codificadora (junio 14 de 1991), se dijo:</w:t>
      </w:r>
    </w:p>
    <w:p w:rsidR="00593018" w:rsidRPr="00AF629F" w:rsidRDefault="00AF629F" w:rsidP="00593018">
      <w:pPr>
        <w:pStyle w:val="NormalWeb"/>
        <w:jc w:val="both"/>
        <w:rPr>
          <w:rFonts w:ascii="Times New Roman" w:hAnsi="Times New Roman" w:cs="Times New Roman"/>
          <w:sz w:val="28"/>
          <w:szCs w:val="28"/>
        </w:rPr>
      </w:pPr>
    </w:p>
    <w:p w:rsidR="00593018" w:rsidRPr="00AF629F" w:rsidRDefault="00AF629F" w:rsidP="0080449C">
      <w:pPr>
        <w:pStyle w:val="NormalWeb"/>
        <w:ind w:left="567" w:right="616"/>
        <w:jc w:val="both"/>
        <w:rPr>
          <w:rFonts w:ascii="Times New Roman" w:hAnsi="Times New Roman" w:cs="Times New Roman"/>
          <w:sz w:val="28"/>
        </w:rPr>
      </w:pPr>
      <w:r w:rsidRPr="00AF629F">
        <w:rPr>
          <w:rFonts w:ascii="Times New Roman" w:hAnsi="Times New Roman" w:cs="Times New Roman"/>
          <w:sz w:val="28"/>
        </w:rPr>
        <w:t>“[</w:t>
      </w:r>
      <w:r w:rsidRPr="00AF629F">
        <w:rPr>
          <w:rFonts w:ascii="Times New Roman" w:hAnsi="Times New Roman" w:cs="Times New Roman"/>
          <w:sz w:val="28"/>
        </w:rPr>
        <w:t>.</w:t>
      </w:r>
      <w:r w:rsidRPr="00AF629F">
        <w:rPr>
          <w:rFonts w:ascii="Times New Roman" w:hAnsi="Times New Roman" w:cs="Times New Roman"/>
          <w:sz w:val="28"/>
        </w:rPr>
        <w:t>..</w:t>
      </w:r>
      <w:r w:rsidRPr="00AF629F">
        <w:rPr>
          <w:rFonts w:ascii="Times New Roman" w:hAnsi="Times New Roman" w:cs="Times New Roman"/>
          <w:sz w:val="28"/>
        </w:rPr>
        <w:t>]</w:t>
      </w:r>
      <w:r w:rsidRPr="00AF629F">
        <w:rPr>
          <w:rFonts w:ascii="Times New Roman" w:hAnsi="Times New Roman" w:cs="Times New Roman"/>
          <w:sz w:val="28"/>
        </w:rPr>
        <w:t xml:space="preserve"> la intención, al menos en las discusiones en la comisión, era la de circunscribir la función del Congreso, la función legislativa, a la </w:t>
      </w:r>
      <w:r w:rsidRPr="00AF629F">
        <w:rPr>
          <w:rFonts w:ascii="Times New Roman" w:hAnsi="Times New Roman" w:cs="Times New Roman"/>
          <w:sz w:val="28"/>
          <w:u w:val="single"/>
        </w:rPr>
        <w:t>aprobación</w:t>
      </w:r>
      <w:r w:rsidRPr="00AF629F">
        <w:rPr>
          <w:rFonts w:ascii="Times New Roman" w:hAnsi="Times New Roman" w:cs="Times New Roman"/>
          <w:sz w:val="28"/>
        </w:rPr>
        <w:t xml:space="preserve">, por considerar que el verbo </w:t>
      </w:r>
      <w:r w:rsidRPr="00AF629F">
        <w:rPr>
          <w:rFonts w:ascii="Times New Roman" w:hAnsi="Times New Roman" w:cs="Times New Roman"/>
          <w:sz w:val="28"/>
          <w:u w:val="single"/>
        </w:rPr>
        <w:t>fijar</w:t>
      </w:r>
      <w:r w:rsidRPr="00AF629F">
        <w:rPr>
          <w:rFonts w:ascii="Times New Roman" w:hAnsi="Times New Roman" w:cs="Times New Roman"/>
          <w:sz w:val="28"/>
        </w:rPr>
        <w:t xml:space="preserve"> tenía una connotación más amplia, ese fue un criterio que se tuvo en cuenta en las discusiones en la Comisión</w:t>
      </w:r>
      <w:r w:rsidRPr="00AF629F">
        <w:rPr>
          <w:rFonts w:ascii="Times New Roman" w:hAnsi="Times New Roman" w:cs="Times New Roman"/>
          <w:sz w:val="28"/>
        </w:rPr>
        <w:t>” (énfasis propio)</w:t>
      </w:r>
      <w:r w:rsidRPr="00AF629F">
        <w:rPr>
          <w:rFonts w:ascii="Times New Roman" w:hAnsi="Times New Roman" w:cs="Times New Roman"/>
          <w:sz w:val="28"/>
        </w:rPr>
        <w:t>.</w:t>
      </w:r>
    </w:p>
    <w:p w:rsidR="00593018" w:rsidRPr="00AF629F" w:rsidRDefault="00AF629F" w:rsidP="00593018">
      <w:pPr>
        <w:pStyle w:val="NormalWeb"/>
        <w:jc w:val="both"/>
        <w:rPr>
          <w:rFonts w:ascii="Times New Roman" w:hAnsi="Times New Roman" w:cs="Times New Roman"/>
          <w:sz w:val="28"/>
          <w:szCs w:val="28"/>
        </w:rPr>
      </w:pPr>
    </w:p>
    <w:p w:rsidR="00593018" w:rsidRPr="00AF629F" w:rsidRDefault="00AF629F" w:rsidP="0059301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En esa misma sesión de la comisión codificadora se hizo alusión a la redacción del numeral 4 del artículo 76 de la Constituci</w:t>
      </w:r>
      <w:r w:rsidRPr="00AF629F">
        <w:rPr>
          <w:rFonts w:ascii="Times New Roman" w:hAnsi="Times New Roman" w:cs="Times New Roman"/>
          <w:sz w:val="28"/>
          <w:szCs w:val="28"/>
        </w:rPr>
        <w:t>ón anterior, para explicar el cambio de la palabra “fijar” por el de “aprobar”:</w:t>
      </w:r>
    </w:p>
    <w:p w:rsidR="00593018" w:rsidRPr="00AF629F" w:rsidRDefault="00AF629F" w:rsidP="00593018">
      <w:pPr>
        <w:pStyle w:val="NormalWeb"/>
        <w:jc w:val="both"/>
        <w:rPr>
          <w:rFonts w:ascii="Times New Roman" w:hAnsi="Times New Roman" w:cs="Times New Roman"/>
          <w:sz w:val="28"/>
          <w:szCs w:val="28"/>
        </w:rPr>
      </w:pPr>
    </w:p>
    <w:p w:rsidR="00593018" w:rsidRPr="00AF629F" w:rsidRDefault="00AF629F" w:rsidP="0080449C">
      <w:pPr>
        <w:pStyle w:val="NormalWeb"/>
        <w:ind w:left="567" w:right="616"/>
        <w:jc w:val="both"/>
        <w:rPr>
          <w:rFonts w:ascii="Times New Roman" w:hAnsi="Times New Roman" w:cs="Times New Roman"/>
          <w:sz w:val="28"/>
        </w:rPr>
      </w:pPr>
      <w:r w:rsidRPr="00AF629F">
        <w:rPr>
          <w:rFonts w:ascii="Times New Roman" w:hAnsi="Times New Roman" w:cs="Times New Roman"/>
          <w:sz w:val="28"/>
        </w:rPr>
        <w:t>“[</w:t>
      </w:r>
      <w:r w:rsidRPr="00AF629F">
        <w:rPr>
          <w:rFonts w:ascii="Times New Roman" w:hAnsi="Times New Roman" w:cs="Times New Roman"/>
          <w:sz w:val="28"/>
        </w:rPr>
        <w:t>...</w:t>
      </w:r>
      <w:r w:rsidRPr="00AF629F">
        <w:rPr>
          <w:rFonts w:ascii="Times New Roman" w:hAnsi="Times New Roman" w:cs="Times New Roman"/>
          <w:sz w:val="28"/>
        </w:rPr>
        <w:t>]</w:t>
      </w:r>
      <w:r w:rsidRPr="00AF629F">
        <w:rPr>
          <w:rFonts w:ascii="Times New Roman" w:hAnsi="Times New Roman" w:cs="Times New Roman"/>
          <w:sz w:val="28"/>
        </w:rPr>
        <w:t xml:space="preserve"> está más preciso el numeral cuarto actual del artículo 76 que este proyecto que se hizo, que es un recorte del actual numeral 4, que no es especialmente afortunado, salvo en cuanto a lo que la Comisión Quinta en lugar de dejar la expresión </w:t>
      </w:r>
      <w:r w:rsidRPr="00AF629F">
        <w:rPr>
          <w:rFonts w:ascii="Times New Roman" w:hAnsi="Times New Roman" w:cs="Times New Roman"/>
          <w:sz w:val="28"/>
          <w:u w:val="single"/>
        </w:rPr>
        <w:t>fijar</w:t>
      </w:r>
      <w:r w:rsidRPr="00AF629F">
        <w:rPr>
          <w:rFonts w:ascii="Times New Roman" w:hAnsi="Times New Roman" w:cs="Times New Roman"/>
          <w:sz w:val="28"/>
        </w:rPr>
        <w:t xml:space="preserve"> los plane</w:t>
      </w:r>
      <w:r w:rsidRPr="00AF629F">
        <w:rPr>
          <w:rFonts w:ascii="Times New Roman" w:hAnsi="Times New Roman" w:cs="Times New Roman"/>
          <w:sz w:val="28"/>
        </w:rPr>
        <w:t xml:space="preserve">s que tiene el artículo actual, puso </w:t>
      </w:r>
      <w:r w:rsidRPr="00AF629F">
        <w:rPr>
          <w:rFonts w:ascii="Times New Roman" w:hAnsi="Times New Roman" w:cs="Times New Roman"/>
          <w:sz w:val="28"/>
          <w:u w:val="single"/>
        </w:rPr>
        <w:t>aprobar</w:t>
      </w:r>
      <w:r w:rsidRPr="00AF629F">
        <w:rPr>
          <w:rFonts w:ascii="Times New Roman" w:hAnsi="Times New Roman" w:cs="Times New Roman"/>
          <w:sz w:val="28"/>
        </w:rPr>
        <w:t>, para disminuir un poco esa facultad del Congreso</w:t>
      </w:r>
      <w:r w:rsidRPr="00AF629F">
        <w:rPr>
          <w:rFonts w:ascii="Times New Roman" w:hAnsi="Times New Roman" w:cs="Times New Roman"/>
          <w:sz w:val="28"/>
        </w:rPr>
        <w:t>”</w:t>
      </w:r>
      <w:r w:rsidRPr="00AF629F">
        <w:rPr>
          <w:rFonts w:ascii="Times New Roman" w:hAnsi="Times New Roman" w:cs="Times New Roman"/>
          <w:sz w:val="28"/>
        </w:rPr>
        <w:t>.</w:t>
      </w:r>
    </w:p>
    <w:p w:rsidR="00593018" w:rsidRPr="00AF629F" w:rsidRDefault="00AF629F" w:rsidP="00593018">
      <w:pPr>
        <w:jc w:val="both"/>
        <w:rPr>
          <w:rFonts w:ascii="Times New Roman" w:hAnsi="Times New Roman" w:cs="Times New Roman"/>
          <w:sz w:val="28"/>
          <w:szCs w:val="28"/>
        </w:rPr>
      </w:pPr>
    </w:p>
    <w:p w:rsidR="004D0A57" w:rsidRPr="00AF629F" w:rsidRDefault="00AF629F" w:rsidP="00A337F0">
      <w:pPr>
        <w:pStyle w:val="Prrafodelista"/>
        <w:numPr>
          <w:ilvl w:val="0"/>
          <w:numId w:val="2"/>
        </w:numPr>
        <w:ind w:left="0" w:firstLine="0"/>
        <w:jc w:val="both"/>
        <w:rPr>
          <w:rFonts w:ascii="Times New Roman" w:hAnsi="Times New Roman" w:cs="Times New Roman"/>
          <w:sz w:val="28"/>
          <w:szCs w:val="28"/>
          <w:shd w:val="clear" w:color="auto" w:fill="FFFFFF"/>
        </w:rPr>
      </w:pPr>
      <w:r w:rsidRPr="00AF629F">
        <w:rPr>
          <w:rFonts w:ascii="Times New Roman" w:hAnsi="Times New Roman" w:cs="Times New Roman"/>
          <w:sz w:val="28"/>
          <w:szCs w:val="28"/>
          <w:shd w:val="clear" w:color="auto" w:fill="FFFFFF"/>
        </w:rPr>
        <w:t xml:space="preserve">Tales consideraciones se </w:t>
      </w:r>
      <w:r w:rsidRPr="00AF629F">
        <w:rPr>
          <w:rFonts w:ascii="Times New Roman" w:hAnsi="Times New Roman" w:cs="Times New Roman"/>
          <w:sz w:val="28"/>
          <w:szCs w:val="28"/>
          <w:shd w:val="clear" w:color="auto" w:fill="FFFFFF"/>
        </w:rPr>
        <w:t>recogieron</w:t>
      </w:r>
      <w:r w:rsidRPr="00AF629F">
        <w:rPr>
          <w:rFonts w:ascii="Times New Roman" w:hAnsi="Times New Roman" w:cs="Times New Roman"/>
          <w:sz w:val="28"/>
          <w:szCs w:val="28"/>
          <w:shd w:val="clear" w:color="auto" w:fill="FFFFFF"/>
        </w:rPr>
        <w:t xml:space="preserve"> en la redacción del numeral 3 del artículo 150 de la Constitución, en cuanto establece como competencia del Congreso </w:t>
      </w:r>
      <w:r w:rsidRPr="00AF629F">
        <w:rPr>
          <w:rFonts w:ascii="Times New Roman" w:hAnsi="Times New Roman" w:cs="Times New Roman"/>
          <w:i/>
          <w:iCs/>
          <w:sz w:val="28"/>
          <w:szCs w:val="28"/>
          <w:shd w:val="clear" w:color="auto" w:fill="FFFFFF"/>
        </w:rPr>
        <w:t>aprob</w:t>
      </w:r>
      <w:r w:rsidRPr="00AF629F">
        <w:rPr>
          <w:rFonts w:ascii="Times New Roman" w:hAnsi="Times New Roman" w:cs="Times New Roman"/>
          <w:i/>
          <w:iCs/>
          <w:sz w:val="28"/>
          <w:szCs w:val="28"/>
          <w:shd w:val="clear" w:color="auto" w:fill="FFFFFF"/>
        </w:rPr>
        <w:t>ar</w:t>
      </w:r>
      <w:r w:rsidRPr="00AF629F">
        <w:rPr>
          <w:rFonts w:ascii="Times New Roman" w:hAnsi="Times New Roman" w:cs="Times New Roman"/>
          <w:sz w:val="28"/>
          <w:szCs w:val="28"/>
          <w:shd w:val="clear" w:color="auto" w:fill="FFFFFF"/>
        </w:rPr>
        <w:t xml:space="preserve"> el plan nacional de desarrollo y de inversiones públicas que hayan de emprenderse o continuarse, con la determinación</w:t>
      </w:r>
      <w:r w:rsidRPr="00AF629F">
        <w:rPr>
          <w:rFonts w:ascii="Times New Roman" w:hAnsi="Times New Roman" w:cs="Times New Roman"/>
          <w:sz w:val="28"/>
          <w:szCs w:val="28"/>
          <w:shd w:val="clear" w:color="auto" w:fill="FFFFFF"/>
        </w:rPr>
        <w:t xml:space="preserve"> de</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 xml:space="preserve">(i) </w:t>
      </w:r>
      <w:r w:rsidRPr="00AF629F">
        <w:rPr>
          <w:rFonts w:ascii="Times New Roman" w:hAnsi="Times New Roman" w:cs="Times New Roman"/>
          <w:sz w:val="28"/>
          <w:szCs w:val="28"/>
          <w:shd w:val="clear" w:color="auto" w:fill="FFFFFF"/>
        </w:rPr>
        <w:t xml:space="preserve">los </w:t>
      </w:r>
      <w:r w:rsidRPr="00AF629F">
        <w:rPr>
          <w:rFonts w:ascii="Times New Roman" w:hAnsi="Times New Roman" w:cs="Times New Roman"/>
          <w:i/>
          <w:iCs/>
          <w:sz w:val="28"/>
          <w:szCs w:val="28"/>
          <w:shd w:val="clear" w:color="auto" w:fill="FFFFFF"/>
        </w:rPr>
        <w:t>recursos y apropiaciones</w:t>
      </w:r>
      <w:r w:rsidRPr="00AF629F">
        <w:rPr>
          <w:rFonts w:ascii="Times New Roman" w:hAnsi="Times New Roman" w:cs="Times New Roman"/>
          <w:sz w:val="28"/>
          <w:szCs w:val="28"/>
          <w:shd w:val="clear" w:color="auto" w:fill="FFFFFF"/>
        </w:rPr>
        <w:t xml:space="preserve"> que se autoricen para su ejecución y </w:t>
      </w:r>
      <w:r w:rsidRPr="00AF629F">
        <w:rPr>
          <w:rFonts w:ascii="Times New Roman" w:hAnsi="Times New Roman" w:cs="Times New Roman"/>
          <w:sz w:val="28"/>
          <w:szCs w:val="28"/>
          <w:shd w:val="clear" w:color="auto" w:fill="FFFFFF"/>
        </w:rPr>
        <w:t xml:space="preserve">(ii) </w:t>
      </w:r>
      <w:r w:rsidRPr="00AF629F">
        <w:rPr>
          <w:rFonts w:ascii="Times New Roman" w:hAnsi="Times New Roman" w:cs="Times New Roman"/>
          <w:sz w:val="28"/>
          <w:szCs w:val="28"/>
          <w:shd w:val="clear" w:color="auto" w:fill="FFFFFF"/>
        </w:rPr>
        <w:t xml:space="preserve">las </w:t>
      </w:r>
      <w:r w:rsidRPr="00AF629F">
        <w:rPr>
          <w:rFonts w:ascii="Times New Roman" w:hAnsi="Times New Roman" w:cs="Times New Roman"/>
          <w:i/>
          <w:iCs/>
          <w:sz w:val="28"/>
          <w:szCs w:val="28"/>
          <w:shd w:val="clear" w:color="auto" w:fill="FFFFFF"/>
        </w:rPr>
        <w:t>medidas</w:t>
      </w:r>
      <w:r w:rsidRPr="00AF629F">
        <w:rPr>
          <w:rFonts w:ascii="Times New Roman" w:hAnsi="Times New Roman" w:cs="Times New Roman"/>
          <w:sz w:val="28"/>
          <w:szCs w:val="28"/>
          <w:shd w:val="clear" w:color="auto" w:fill="FFFFFF"/>
        </w:rPr>
        <w:t xml:space="preserve"> necesarias para impulsar su cumplimiento.</w:t>
      </w:r>
    </w:p>
    <w:p w:rsidR="00B31256" w:rsidRPr="00AF629F" w:rsidRDefault="00AF629F" w:rsidP="00B31256">
      <w:pPr>
        <w:pStyle w:val="Prrafodelista"/>
        <w:ind w:left="0"/>
        <w:jc w:val="both"/>
        <w:rPr>
          <w:rFonts w:ascii="Times New Roman" w:hAnsi="Times New Roman" w:cs="Times New Roman"/>
          <w:sz w:val="28"/>
          <w:szCs w:val="28"/>
          <w:shd w:val="clear" w:color="auto" w:fill="FFFFFF"/>
        </w:rPr>
      </w:pPr>
    </w:p>
    <w:p w:rsidR="00B31256" w:rsidRPr="00AF629F" w:rsidRDefault="00AF629F" w:rsidP="00455F70">
      <w:pPr>
        <w:pStyle w:val="Prrafodelista"/>
        <w:numPr>
          <w:ilvl w:val="0"/>
          <w:numId w:val="2"/>
        </w:numPr>
        <w:ind w:left="0" w:firstLine="0"/>
        <w:jc w:val="both"/>
        <w:rPr>
          <w:rFonts w:ascii="Times New Roman" w:hAnsi="Times New Roman" w:cs="Times New Roman"/>
          <w:sz w:val="28"/>
          <w:szCs w:val="28"/>
          <w:shd w:val="clear" w:color="auto" w:fill="FFFFFF"/>
        </w:rPr>
      </w:pPr>
      <w:r w:rsidRPr="00AF629F">
        <w:rPr>
          <w:rFonts w:ascii="Times New Roman" w:hAnsi="Times New Roman" w:cs="Times New Roman"/>
          <w:sz w:val="28"/>
          <w:szCs w:val="28"/>
          <w:shd w:val="clear" w:color="auto" w:fill="FFFFFF"/>
        </w:rPr>
        <w:t>E</w:t>
      </w:r>
      <w:r w:rsidRPr="00AF629F">
        <w:rPr>
          <w:rFonts w:ascii="Times New Roman" w:hAnsi="Times New Roman" w:cs="Times New Roman"/>
          <w:sz w:val="28"/>
          <w:szCs w:val="28"/>
          <w:shd w:val="clear" w:color="auto" w:fill="FFFFFF"/>
        </w:rPr>
        <w:t xml:space="preserve">l plan nacional de desarrollo, en consecuencia, </w:t>
      </w:r>
      <w:r w:rsidRPr="00AF629F">
        <w:rPr>
          <w:rFonts w:ascii="Times New Roman" w:hAnsi="Times New Roman" w:cs="Times New Roman"/>
          <w:sz w:val="28"/>
          <w:szCs w:val="28"/>
          <w:shd w:val="clear" w:color="auto" w:fill="FFFFFF"/>
        </w:rPr>
        <w:t>señalará</w:t>
      </w:r>
      <w:r w:rsidRPr="00AF629F">
        <w:rPr>
          <w:rFonts w:ascii="Times New Roman" w:hAnsi="Times New Roman" w:cs="Times New Roman"/>
          <w:sz w:val="28"/>
          <w:szCs w:val="28"/>
          <w:shd w:val="clear" w:color="auto" w:fill="FFFFFF"/>
        </w:rPr>
        <w:t xml:space="preserve"> en la parte general </w:t>
      </w:r>
      <w:r w:rsidRPr="00AF629F">
        <w:rPr>
          <w:rFonts w:ascii="Times New Roman" w:hAnsi="Times New Roman" w:cs="Times New Roman"/>
          <w:sz w:val="28"/>
          <w:szCs w:val="28"/>
          <w:lang w:val="es-ES"/>
        </w:rPr>
        <w:t>los “</w:t>
      </w:r>
      <w:r w:rsidRPr="00AF629F">
        <w:rPr>
          <w:rFonts w:ascii="Times New Roman" w:hAnsi="Times New Roman" w:cs="Times New Roman"/>
          <w:i/>
          <w:iCs/>
          <w:sz w:val="28"/>
          <w:szCs w:val="28"/>
          <w:u w:val="single"/>
          <w:lang w:val="es-ES"/>
        </w:rPr>
        <w:t>procedimientos</w:t>
      </w:r>
      <w:r w:rsidRPr="00AF629F">
        <w:rPr>
          <w:rFonts w:ascii="Times New Roman" w:hAnsi="Times New Roman" w:cs="Times New Roman"/>
          <w:sz w:val="28"/>
          <w:szCs w:val="28"/>
          <w:lang w:val="es-ES"/>
        </w:rPr>
        <w:t xml:space="preserve"> y </w:t>
      </w:r>
      <w:r w:rsidRPr="00AF629F">
        <w:rPr>
          <w:rFonts w:ascii="Times New Roman" w:hAnsi="Times New Roman" w:cs="Times New Roman"/>
          <w:i/>
          <w:iCs/>
          <w:sz w:val="28"/>
          <w:szCs w:val="28"/>
          <w:u w:val="single"/>
          <w:lang w:val="es-ES"/>
        </w:rPr>
        <w:t>mecanismos</w:t>
      </w:r>
      <w:r w:rsidRPr="00AF629F">
        <w:rPr>
          <w:rFonts w:ascii="Times New Roman" w:hAnsi="Times New Roman" w:cs="Times New Roman"/>
          <w:sz w:val="28"/>
          <w:szCs w:val="28"/>
          <w:lang w:val="es-ES"/>
        </w:rPr>
        <w:t xml:space="preserve"> generales” necesarios para</w:t>
      </w:r>
      <w:r w:rsidRPr="00AF629F">
        <w:rPr>
          <w:rFonts w:ascii="Times New Roman" w:hAnsi="Times New Roman" w:cs="Times New Roman"/>
          <w:sz w:val="28"/>
          <w:szCs w:val="28"/>
        </w:rPr>
        <w:t xml:space="preserve"> lograr </w:t>
      </w:r>
      <w:r w:rsidRPr="00AF629F">
        <w:rPr>
          <w:rFonts w:ascii="Times New Roman" w:hAnsi="Times New Roman" w:cs="Times New Roman"/>
          <w:sz w:val="28"/>
          <w:szCs w:val="28"/>
        </w:rPr>
        <w:t>los objetivos y metas nacionales y sectoriales propuestos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en </w:t>
      </w:r>
      <w:r w:rsidRPr="00AF629F">
        <w:rPr>
          <w:rFonts w:ascii="Times New Roman" w:hAnsi="Times New Roman" w:cs="Times New Roman"/>
          <w:sz w:val="28"/>
          <w:szCs w:val="28"/>
        </w:rPr>
        <w:t>el plan</w:t>
      </w:r>
      <w:r w:rsidRPr="00AF629F">
        <w:rPr>
          <w:rFonts w:ascii="Times New Roman" w:hAnsi="Times New Roman" w:cs="Times New Roman"/>
          <w:sz w:val="28"/>
          <w:szCs w:val="28"/>
          <w:lang w:val="es-ES"/>
        </w:rPr>
        <w:t xml:space="preserve"> (artículo 5.b de la Ley 152 de 1994), y en el plan de inversiones los “</w:t>
      </w:r>
      <w:r w:rsidRPr="00AF629F">
        <w:rPr>
          <w:rFonts w:ascii="Times New Roman" w:hAnsi="Times New Roman" w:cs="Times New Roman"/>
          <w:i/>
          <w:iCs/>
          <w:sz w:val="28"/>
          <w:szCs w:val="28"/>
          <w:u w:val="single"/>
          <w:lang w:val="es-ES"/>
        </w:rPr>
        <w:t>mecanismos</w:t>
      </w:r>
      <w:r w:rsidRPr="00AF629F">
        <w:rPr>
          <w:rFonts w:ascii="Times New Roman" w:hAnsi="Times New Roman" w:cs="Times New Roman"/>
          <w:sz w:val="28"/>
          <w:szCs w:val="28"/>
          <w:lang w:val="es-ES"/>
        </w:rPr>
        <w:t xml:space="preserve"> idóneos” para la ejecución de los principales programas y proyectos de inversión (artículo 6.d de la Ley 152 de 1994).</w:t>
      </w:r>
      <w:r w:rsidRPr="00AF629F">
        <w:rPr>
          <w:rFonts w:ascii="Times New Roman" w:hAnsi="Times New Roman" w:cs="Times New Roman"/>
          <w:sz w:val="28"/>
          <w:szCs w:val="28"/>
          <w:lang w:val="es-ES"/>
        </w:rPr>
        <w:t xml:space="preserve"> La Ley aprobatoria, por su parte, determinará</w:t>
      </w:r>
      <w:r w:rsidRPr="00AF629F">
        <w:rPr>
          <w:rFonts w:ascii="Times New Roman" w:hAnsi="Times New Roman" w:cs="Times New Roman"/>
          <w:sz w:val="28"/>
          <w:szCs w:val="28"/>
          <w:shd w:val="clear" w:color="auto" w:fill="FFFFFF"/>
        </w:rPr>
        <w:t xml:space="preserve"> los </w:t>
      </w:r>
      <w:r w:rsidRPr="00AF629F">
        <w:rPr>
          <w:rFonts w:ascii="Times New Roman" w:hAnsi="Times New Roman" w:cs="Times New Roman"/>
          <w:i/>
          <w:iCs/>
          <w:sz w:val="28"/>
          <w:szCs w:val="28"/>
          <w:u w:val="single"/>
          <w:shd w:val="clear" w:color="auto" w:fill="FFFFFF"/>
        </w:rPr>
        <w:t>recu</w:t>
      </w:r>
      <w:r w:rsidRPr="00AF629F">
        <w:rPr>
          <w:rFonts w:ascii="Times New Roman" w:hAnsi="Times New Roman" w:cs="Times New Roman"/>
          <w:i/>
          <w:iCs/>
          <w:sz w:val="28"/>
          <w:szCs w:val="28"/>
          <w:u w:val="single"/>
          <w:shd w:val="clear" w:color="auto" w:fill="FFFFFF"/>
        </w:rPr>
        <w:t>rsos</w:t>
      </w:r>
      <w:r w:rsidRPr="00AF629F">
        <w:rPr>
          <w:rFonts w:ascii="Times New Roman" w:hAnsi="Times New Roman" w:cs="Times New Roman"/>
          <w:i/>
          <w:iCs/>
          <w:sz w:val="28"/>
          <w:szCs w:val="28"/>
          <w:shd w:val="clear" w:color="auto" w:fill="FFFFFF"/>
        </w:rPr>
        <w:t xml:space="preserve"> y </w:t>
      </w:r>
      <w:r w:rsidRPr="00AF629F">
        <w:rPr>
          <w:rFonts w:ascii="Times New Roman" w:hAnsi="Times New Roman" w:cs="Times New Roman"/>
          <w:i/>
          <w:iCs/>
          <w:sz w:val="28"/>
          <w:szCs w:val="28"/>
          <w:u w:val="single"/>
          <w:shd w:val="clear" w:color="auto" w:fill="FFFFFF"/>
        </w:rPr>
        <w:t>apropiaciones</w:t>
      </w:r>
      <w:r w:rsidRPr="00AF629F">
        <w:rPr>
          <w:rFonts w:ascii="Times New Roman" w:hAnsi="Times New Roman" w:cs="Times New Roman"/>
          <w:sz w:val="28"/>
          <w:szCs w:val="28"/>
          <w:shd w:val="clear" w:color="auto" w:fill="FFFFFF"/>
        </w:rPr>
        <w:t xml:space="preserve"> que se autoricen para la ejecución del plan y las </w:t>
      </w:r>
      <w:r w:rsidRPr="00AF629F">
        <w:rPr>
          <w:rFonts w:ascii="Times New Roman" w:hAnsi="Times New Roman" w:cs="Times New Roman"/>
          <w:i/>
          <w:iCs/>
          <w:sz w:val="28"/>
          <w:szCs w:val="28"/>
          <w:u w:val="single"/>
          <w:shd w:val="clear" w:color="auto" w:fill="FFFFFF"/>
        </w:rPr>
        <w:t>medidas</w:t>
      </w:r>
      <w:r w:rsidRPr="00AF629F">
        <w:rPr>
          <w:rFonts w:ascii="Times New Roman" w:hAnsi="Times New Roman" w:cs="Times New Roman"/>
          <w:sz w:val="28"/>
          <w:szCs w:val="28"/>
          <w:shd w:val="clear" w:color="auto" w:fill="FFFFFF"/>
        </w:rPr>
        <w:t xml:space="preserve"> necesarias para impulsar su cumplimiento</w:t>
      </w:r>
      <w:r w:rsidRPr="00AF629F">
        <w:rPr>
          <w:rFonts w:ascii="Times New Roman" w:hAnsi="Times New Roman" w:cs="Times New Roman"/>
          <w:sz w:val="28"/>
          <w:szCs w:val="28"/>
          <w:shd w:val="clear" w:color="auto" w:fill="FFFFFF"/>
        </w:rPr>
        <w:t xml:space="preserve"> (artículo 150.3 de la Constitución)</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Estas características del tipo de disposiciones que pueden ser incorporadas al plan y a la ley apro</w:t>
      </w:r>
      <w:r w:rsidRPr="00AF629F">
        <w:rPr>
          <w:rFonts w:ascii="Times New Roman" w:hAnsi="Times New Roman" w:cs="Times New Roman"/>
          <w:sz w:val="28"/>
          <w:szCs w:val="28"/>
          <w:shd w:val="clear" w:color="auto" w:fill="FFFFFF"/>
        </w:rPr>
        <w:t>batoria del mismo</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i/>
          <w:iCs/>
          <w:sz w:val="28"/>
          <w:szCs w:val="28"/>
          <w:shd w:val="clear" w:color="auto" w:fill="FFFFFF"/>
        </w:rPr>
        <w:t>procedimientos</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i/>
          <w:iCs/>
          <w:sz w:val="28"/>
          <w:szCs w:val="28"/>
          <w:shd w:val="clear" w:color="auto" w:fill="FFFFFF"/>
        </w:rPr>
        <w:t>mecanismos</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i/>
          <w:iCs/>
          <w:sz w:val="28"/>
          <w:szCs w:val="28"/>
          <w:shd w:val="clear" w:color="auto" w:fill="FFFFFF"/>
        </w:rPr>
        <w:t>medidas</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han llevado a la jurisprudencia a precisar que se trata de </w:t>
      </w:r>
      <w:r w:rsidRPr="00AF629F">
        <w:rPr>
          <w:rFonts w:ascii="Times New Roman" w:hAnsi="Times New Roman" w:cs="Times New Roman"/>
          <w:i/>
          <w:iCs/>
          <w:sz w:val="28"/>
          <w:szCs w:val="28"/>
          <w:shd w:val="clear" w:color="auto" w:fill="FFFFFF"/>
        </w:rPr>
        <w:t>disposiciones instrumentales</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o de apropiación de recursos necesarios para la ejecución del plan.</w:t>
      </w:r>
    </w:p>
    <w:p w:rsidR="00593018" w:rsidRPr="00AF629F" w:rsidRDefault="00AF629F" w:rsidP="00593018">
      <w:pPr>
        <w:jc w:val="both"/>
        <w:rPr>
          <w:rFonts w:ascii="Times New Roman" w:hAnsi="Times New Roman" w:cs="Times New Roman"/>
          <w:sz w:val="28"/>
          <w:szCs w:val="28"/>
        </w:rPr>
      </w:pPr>
    </w:p>
    <w:bookmarkEnd w:id="5"/>
    <w:p w:rsidR="00591EB2" w:rsidRPr="00AF629F" w:rsidRDefault="00AF629F" w:rsidP="00591EB2">
      <w:pPr>
        <w:pStyle w:val="Estilo1"/>
        <w:numPr>
          <w:ilvl w:val="0"/>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 xml:space="preserve">El principio de unidad de materia en </w:t>
      </w:r>
      <w:r w:rsidRPr="00AF629F">
        <w:rPr>
          <w:rStyle w:val="Ttulo1Car"/>
          <w:rFonts w:ascii="Times New Roman" w:hAnsi="Times New Roman" w:cs="Times New Roman"/>
          <w:bCs/>
          <w:color w:val="auto"/>
          <w:sz w:val="28"/>
          <w:szCs w:val="28"/>
        </w:rPr>
        <w:t>relación con las disposiciones de la ley aprobatoria del Plan Nacional de Desarrollo</w:t>
      </w:r>
      <w:r w:rsidRPr="00AF629F">
        <w:rPr>
          <w:rStyle w:val="Refdenotaalpie"/>
          <w:rFonts w:ascii="Times New Roman" w:eastAsia="Cambria" w:hAnsi="Times New Roman" w:cs="Times New Roman"/>
          <w:b/>
          <w:bCs/>
        </w:rPr>
        <w:footnoteReference w:id="28"/>
      </w:r>
    </w:p>
    <w:p w:rsidR="00591EB2" w:rsidRPr="00AF629F" w:rsidRDefault="00AF629F" w:rsidP="00591EB2">
      <w:pPr>
        <w:jc w:val="both"/>
        <w:rPr>
          <w:rFonts w:ascii="Times New Roman" w:hAnsi="Times New Roman" w:cs="Times New Roman"/>
          <w:b/>
          <w:sz w:val="28"/>
          <w:szCs w:val="28"/>
        </w:rPr>
      </w:pPr>
    </w:p>
    <w:p w:rsidR="007573FF" w:rsidRPr="00AF629F" w:rsidRDefault="00AF629F" w:rsidP="00591EB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El principio de unidad de materia </w:t>
      </w:r>
      <w:r w:rsidRPr="00AF629F">
        <w:rPr>
          <w:rFonts w:ascii="Times New Roman" w:hAnsi="Times New Roman" w:cs="Times New Roman"/>
          <w:sz w:val="28"/>
          <w:szCs w:val="28"/>
          <w:shd w:val="clear" w:color="auto" w:fill="FFFFFF"/>
          <w:lang w:val="es-ES"/>
        </w:rPr>
        <w:t xml:space="preserve">lo ha </w:t>
      </w:r>
      <w:r w:rsidRPr="00AF629F">
        <w:rPr>
          <w:rFonts w:ascii="Times New Roman" w:hAnsi="Times New Roman" w:cs="Times New Roman"/>
          <w:sz w:val="28"/>
          <w:szCs w:val="28"/>
          <w:shd w:val="clear" w:color="auto" w:fill="FFFFFF"/>
          <w:lang w:val="es-ES"/>
        </w:rPr>
        <w:t xml:space="preserve">derivado </w:t>
      </w:r>
      <w:r w:rsidRPr="00AF629F">
        <w:rPr>
          <w:rFonts w:ascii="Times New Roman" w:hAnsi="Times New Roman" w:cs="Times New Roman"/>
          <w:sz w:val="28"/>
          <w:szCs w:val="28"/>
          <w:shd w:val="clear" w:color="auto" w:fill="FFFFFF"/>
          <w:lang w:val="es-ES"/>
        </w:rPr>
        <w:t xml:space="preserve">la jurisprudencia constitucional </w:t>
      </w:r>
      <w:r w:rsidRPr="00AF629F">
        <w:rPr>
          <w:rFonts w:ascii="Times New Roman" w:hAnsi="Times New Roman" w:cs="Times New Roman"/>
          <w:sz w:val="28"/>
          <w:szCs w:val="28"/>
          <w:shd w:val="clear" w:color="auto" w:fill="FFFFFF"/>
          <w:lang w:val="es-ES"/>
        </w:rPr>
        <w:t xml:space="preserve">de </w:t>
      </w:r>
      <w:r w:rsidRPr="00AF629F">
        <w:rPr>
          <w:rFonts w:ascii="Times New Roman" w:hAnsi="Times New Roman" w:cs="Times New Roman"/>
          <w:sz w:val="28"/>
          <w:szCs w:val="28"/>
          <w:shd w:val="clear" w:color="auto" w:fill="FFFFFF"/>
          <w:lang w:val="es-ES"/>
        </w:rPr>
        <w:t xml:space="preserve">los </w:t>
      </w:r>
      <w:r w:rsidRPr="00AF629F">
        <w:rPr>
          <w:rFonts w:ascii="Times New Roman" w:hAnsi="Times New Roman" w:cs="Times New Roman"/>
          <w:sz w:val="28"/>
          <w:szCs w:val="28"/>
          <w:shd w:val="clear" w:color="auto" w:fill="FFFFFF"/>
          <w:lang w:val="es-ES"/>
        </w:rPr>
        <w:t>artículos</w:t>
      </w:r>
      <w:r w:rsidRPr="00AF629F">
        <w:rPr>
          <w:rFonts w:ascii="Times New Roman" w:hAnsi="Times New Roman" w:cs="Times New Roman"/>
          <w:sz w:val="28"/>
          <w:szCs w:val="28"/>
          <w:shd w:val="clear" w:color="auto" w:fill="FFFFFF"/>
          <w:lang w:val="es-ES"/>
        </w:rPr>
        <w:t xml:space="preserve"> 158 y 169 de la Constitución</w:t>
      </w:r>
      <w:r w:rsidRPr="00AF629F">
        <w:rPr>
          <w:rFonts w:ascii="Times New Roman" w:hAnsi="Times New Roman" w:cs="Times New Roman"/>
          <w:sz w:val="28"/>
          <w:szCs w:val="28"/>
          <w:shd w:val="clear" w:color="auto" w:fill="FFFFFF"/>
          <w:lang w:val="es-ES"/>
        </w:rPr>
        <w:t>.</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Se l</w:t>
      </w:r>
      <w:r w:rsidRPr="00AF629F">
        <w:rPr>
          <w:rFonts w:ascii="Times New Roman" w:hAnsi="Times New Roman" w:cs="Times New Roman"/>
          <w:sz w:val="28"/>
          <w:szCs w:val="28"/>
          <w:shd w:val="clear" w:color="auto" w:fill="FFFFFF"/>
          <w:lang w:val="es-ES"/>
        </w:rPr>
        <w:t>e</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ha </w:t>
      </w:r>
      <w:r w:rsidRPr="00AF629F">
        <w:rPr>
          <w:rFonts w:ascii="Times New Roman" w:hAnsi="Times New Roman" w:cs="Times New Roman"/>
          <w:sz w:val="28"/>
          <w:szCs w:val="28"/>
          <w:shd w:val="clear" w:color="auto" w:fill="FFFFFF"/>
          <w:lang w:val="es-ES"/>
        </w:rPr>
        <w:t xml:space="preserve">adscrito la </w:t>
      </w:r>
      <w:r w:rsidRPr="00AF629F">
        <w:rPr>
          <w:rFonts w:ascii="Times New Roman" w:hAnsi="Times New Roman" w:cs="Times New Roman"/>
          <w:sz w:val="28"/>
          <w:szCs w:val="28"/>
          <w:shd w:val="clear" w:color="auto" w:fill="FFFFFF"/>
          <w:lang w:val="es-ES"/>
        </w:rPr>
        <w:t xml:space="preserve">función </w:t>
      </w:r>
      <w:r w:rsidRPr="00AF629F">
        <w:rPr>
          <w:rFonts w:ascii="Times New Roman" w:hAnsi="Times New Roman" w:cs="Times New Roman"/>
          <w:sz w:val="28"/>
          <w:szCs w:val="28"/>
          <w:shd w:val="clear" w:color="auto" w:fill="FFFFFF"/>
          <w:lang w:val="es-ES"/>
        </w:rPr>
        <w:t xml:space="preserve">de </w:t>
      </w:r>
      <w:r w:rsidRPr="00AF629F">
        <w:rPr>
          <w:rFonts w:ascii="Times New Roman" w:hAnsi="Times New Roman" w:cs="Times New Roman"/>
          <w:sz w:val="28"/>
          <w:szCs w:val="28"/>
          <w:shd w:val="clear" w:color="auto" w:fill="FFFFFF"/>
          <w:lang w:val="es-ES"/>
        </w:rPr>
        <w:t xml:space="preserve">racionalizar y tecnificar el ejercicio de la función legislativa, de tal forma que se impida la </w:t>
      </w:r>
      <w:r w:rsidRPr="00AF629F">
        <w:rPr>
          <w:rFonts w:ascii="Times New Roman" w:hAnsi="Times New Roman" w:cs="Times New Roman"/>
          <w:sz w:val="28"/>
          <w:szCs w:val="28"/>
          <w:shd w:val="clear" w:color="auto" w:fill="FFFFFF"/>
          <w:lang w:val="es-ES"/>
        </w:rPr>
        <w:t>inclusión</w:t>
      </w:r>
      <w:r w:rsidRPr="00AF629F">
        <w:rPr>
          <w:rFonts w:ascii="Times New Roman" w:hAnsi="Times New Roman" w:cs="Times New Roman"/>
          <w:sz w:val="28"/>
          <w:szCs w:val="28"/>
          <w:shd w:val="clear" w:color="auto" w:fill="FFFFFF"/>
          <w:lang w:val="es-ES"/>
        </w:rPr>
        <w:t xml:space="preserve"> subrepticia de disposiciones inconexas con la materia principal de cada ley y, por tanto, escapen al riguroso proceso de construcción legislativa</w:t>
      </w:r>
      <w:r w:rsidRPr="00AF629F">
        <w:rPr>
          <w:rFonts w:ascii="Times New Roman" w:hAnsi="Times New Roman" w:cs="Times New Roman"/>
          <w:sz w:val="28"/>
          <w:szCs w:val="28"/>
          <w:shd w:val="clear" w:color="auto" w:fill="FFFFFF"/>
          <w:vertAlign w:val="superscript"/>
          <w:lang w:val="es-ES"/>
        </w:rPr>
        <w:footnoteReference w:id="29"/>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 xml:space="preserve">Por tanto, </w:t>
      </w:r>
      <w:r w:rsidRPr="00AF629F">
        <w:rPr>
          <w:rFonts w:ascii="Times New Roman" w:hAnsi="Times New Roman" w:cs="Times New Roman"/>
          <w:sz w:val="28"/>
          <w:szCs w:val="28"/>
          <w:shd w:val="clear" w:color="auto" w:fill="FFFFFF"/>
          <w:lang w:val="es-ES"/>
        </w:rPr>
        <w:t>se</w:t>
      </w:r>
      <w:r w:rsidRPr="00AF629F">
        <w:rPr>
          <w:rFonts w:ascii="Times New Roman" w:hAnsi="Times New Roman" w:cs="Times New Roman"/>
          <w:sz w:val="28"/>
          <w:szCs w:val="28"/>
          <w:shd w:val="clear" w:color="auto" w:fill="FFFFFF"/>
          <w:lang w:val="es-ES"/>
        </w:rPr>
        <w:t xml:space="preserve"> le</w:t>
      </w:r>
      <w:r w:rsidRPr="00AF629F">
        <w:rPr>
          <w:rFonts w:ascii="Times New Roman" w:hAnsi="Times New Roman" w:cs="Times New Roman"/>
          <w:sz w:val="28"/>
          <w:szCs w:val="28"/>
          <w:shd w:val="clear" w:color="auto" w:fill="FFFFFF"/>
          <w:lang w:val="es-ES"/>
        </w:rPr>
        <w:t xml:space="preserve"> ha considerado </w:t>
      </w:r>
      <w:r w:rsidRPr="00AF629F">
        <w:rPr>
          <w:rFonts w:ascii="Times New Roman" w:hAnsi="Times New Roman" w:cs="Times New Roman"/>
          <w:sz w:val="28"/>
          <w:szCs w:val="28"/>
          <w:shd w:val="clear" w:color="auto" w:fill="FFFFFF"/>
          <w:lang w:val="es-ES"/>
        </w:rPr>
        <w:t xml:space="preserve">consustancial al </w:t>
      </w:r>
      <w:r w:rsidRPr="00AF629F">
        <w:rPr>
          <w:rFonts w:ascii="Times New Roman" w:hAnsi="Times New Roman" w:cs="Times New Roman"/>
          <w:sz w:val="28"/>
          <w:szCs w:val="28"/>
          <w:shd w:val="clear" w:color="auto" w:fill="FFFFFF"/>
          <w:lang w:val="es-ES"/>
        </w:rPr>
        <w:t>principio</w:t>
      </w:r>
      <w:r w:rsidRPr="00AF629F">
        <w:rPr>
          <w:rFonts w:ascii="Times New Roman" w:hAnsi="Times New Roman" w:cs="Times New Roman"/>
          <w:sz w:val="28"/>
          <w:szCs w:val="28"/>
          <w:shd w:val="clear" w:color="auto" w:fill="FFFFFF"/>
          <w:lang w:val="es-ES"/>
        </w:rPr>
        <w:t xml:space="preserve"> </w:t>
      </w:r>
      <w:r w:rsidRPr="00AF629F">
        <w:rPr>
          <w:rFonts w:ascii="Times New Roman" w:hAnsi="Times New Roman" w:cs="Times New Roman"/>
          <w:sz w:val="28"/>
          <w:szCs w:val="28"/>
          <w:shd w:val="clear" w:color="auto" w:fill="FFFFFF"/>
          <w:lang w:val="es-ES"/>
        </w:rPr>
        <w:t>democrático, al pretender la defensa del debate legislativo</w:t>
      </w:r>
      <w:r w:rsidRPr="00AF629F">
        <w:rPr>
          <w:rFonts w:ascii="Times New Roman" w:hAnsi="Times New Roman" w:cs="Times New Roman"/>
          <w:sz w:val="28"/>
          <w:szCs w:val="28"/>
          <w:shd w:val="clear" w:color="auto" w:fill="FFFFFF"/>
          <w:vertAlign w:val="superscript"/>
          <w:lang w:val="es-ES"/>
        </w:rPr>
        <w:footnoteReference w:id="30"/>
      </w:r>
      <w:r w:rsidRPr="00AF629F">
        <w:rPr>
          <w:rFonts w:ascii="Times New Roman" w:hAnsi="Times New Roman" w:cs="Times New Roman"/>
          <w:sz w:val="28"/>
          <w:szCs w:val="28"/>
          <w:shd w:val="clear" w:color="auto" w:fill="FFFFFF"/>
          <w:lang w:val="es-ES"/>
        </w:rPr>
        <w:t xml:space="preserve">. </w:t>
      </w:r>
    </w:p>
    <w:p w:rsidR="007573FF" w:rsidRPr="00AF629F" w:rsidRDefault="00AF629F" w:rsidP="007573FF">
      <w:pPr>
        <w:pStyle w:val="Prrafodelista"/>
        <w:ind w:left="0"/>
        <w:jc w:val="both"/>
        <w:rPr>
          <w:rFonts w:ascii="Times New Roman" w:hAnsi="Times New Roman" w:cs="Times New Roman"/>
          <w:sz w:val="28"/>
          <w:szCs w:val="28"/>
        </w:rPr>
      </w:pPr>
    </w:p>
    <w:p w:rsidR="00591EB2" w:rsidRPr="00AF629F" w:rsidRDefault="00AF629F" w:rsidP="00591EB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lang w:val="es-ES"/>
        </w:rPr>
        <w:t xml:space="preserve">El desconocimiento de este principio se ha considerado un vicio </w:t>
      </w:r>
      <w:r w:rsidRPr="00AF629F">
        <w:rPr>
          <w:rFonts w:ascii="Times New Roman" w:hAnsi="Times New Roman" w:cs="Times New Roman"/>
          <w:sz w:val="28"/>
          <w:szCs w:val="28"/>
          <w:shd w:val="clear" w:color="auto" w:fill="FFFFFF"/>
          <w:lang w:val="es-ES"/>
        </w:rPr>
        <w:t xml:space="preserve">sustantivo y no meramente formal, dado que la compatibilidad de las disposiciones acusadas con aquel exige una valoración acerca </w:t>
      </w:r>
      <w:r w:rsidRPr="00AF629F">
        <w:rPr>
          <w:rFonts w:ascii="Times New Roman" w:hAnsi="Times New Roman" w:cs="Times New Roman"/>
          <w:sz w:val="28"/>
          <w:szCs w:val="28"/>
          <w:shd w:val="clear" w:color="auto" w:fill="FFFFFF"/>
          <w:lang w:val="es-ES"/>
        </w:rPr>
        <w:t xml:space="preserve">de </w:t>
      </w:r>
      <w:r w:rsidRPr="00AF629F">
        <w:rPr>
          <w:rFonts w:ascii="Times New Roman" w:hAnsi="Times New Roman" w:cs="Times New Roman"/>
          <w:sz w:val="28"/>
          <w:szCs w:val="28"/>
          <w:shd w:val="clear" w:color="auto" w:fill="FFFFFF"/>
        </w:rPr>
        <w:t xml:space="preserve">la materia objeto de regulación y no propiamente </w:t>
      </w:r>
      <w:r w:rsidRPr="00AF629F">
        <w:rPr>
          <w:rFonts w:ascii="Times New Roman" w:hAnsi="Times New Roman" w:cs="Times New Roman"/>
          <w:sz w:val="28"/>
          <w:szCs w:val="28"/>
          <w:shd w:val="clear" w:color="auto" w:fill="FFFFFF"/>
        </w:rPr>
        <w:t xml:space="preserve">del </w:t>
      </w:r>
      <w:r w:rsidRPr="00AF629F">
        <w:rPr>
          <w:rFonts w:ascii="Times New Roman" w:hAnsi="Times New Roman" w:cs="Times New Roman"/>
          <w:sz w:val="28"/>
          <w:szCs w:val="28"/>
          <w:shd w:val="clear" w:color="auto" w:fill="FFFFFF"/>
        </w:rPr>
        <w:t>proceso de formación</w:t>
      </w:r>
      <w:r w:rsidRPr="00AF629F">
        <w:rPr>
          <w:rFonts w:ascii="Times New Roman" w:hAnsi="Times New Roman" w:cs="Times New Roman"/>
          <w:sz w:val="28"/>
          <w:szCs w:val="28"/>
          <w:shd w:val="clear" w:color="auto" w:fill="FFFFFF"/>
        </w:rPr>
        <w:t xml:space="preserve"> de la voluntad legislativa</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 xml:space="preserve">Es por esto </w:t>
      </w:r>
      <w:r w:rsidRPr="00AF629F">
        <w:rPr>
          <w:rFonts w:ascii="Times New Roman" w:hAnsi="Times New Roman" w:cs="Times New Roman"/>
          <w:sz w:val="28"/>
          <w:szCs w:val="28"/>
          <w:shd w:val="clear" w:color="auto" w:fill="FFFFFF"/>
        </w:rPr>
        <w:t xml:space="preserve">por lo </w:t>
      </w:r>
      <w:r w:rsidRPr="00AF629F">
        <w:rPr>
          <w:rFonts w:ascii="Times New Roman" w:hAnsi="Times New Roman" w:cs="Times New Roman"/>
          <w:sz w:val="28"/>
          <w:szCs w:val="28"/>
          <w:shd w:val="clear" w:color="auto" w:fill="FFFFFF"/>
        </w:rPr>
        <w:t>que</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 xml:space="preserve">las disposiciones enjuiciadas pueden </w:t>
      </w:r>
      <w:r w:rsidRPr="00AF629F">
        <w:rPr>
          <w:rFonts w:ascii="Times New Roman" w:hAnsi="Times New Roman" w:cs="Times New Roman"/>
          <w:sz w:val="28"/>
          <w:szCs w:val="28"/>
          <w:shd w:val="clear" w:color="auto" w:fill="FFFFFF"/>
        </w:rPr>
        <w:t>haber sido adoptadas mediante</w:t>
      </w:r>
      <w:r w:rsidRPr="00AF629F">
        <w:rPr>
          <w:rFonts w:ascii="Times New Roman" w:hAnsi="Times New Roman" w:cs="Times New Roman"/>
          <w:sz w:val="28"/>
          <w:szCs w:val="28"/>
          <w:shd w:val="clear" w:color="auto" w:fill="FFFFFF"/>
        </w:rPr>
        <w:t xml:space="preserve"> el procedimiento </w:t>
      </w:r>
      <w:r w:rsidRPr="00AF629F">
        <w:rPr>
          <w:rFonts w:ascii="Times New Roman" w:hAnsi="Times New Roman" w:cs="Times New Roman"/>
          <w:sz w:val="28"/>
          <w:szCs w:val="28"/>
          <w:shd w:val="clear" w:color="auto" w:fill="FFFFFF"/>
        </w:rPr>
        <w:t xml:space="preserve">previsto </w:t>
      </w:r>
      <w:r w:rsidRPr="00AF629F">
        <w:rPr>
          <w:rFonts w:ascii="Times New Roman" w:hAnsi="Times New Roman" w:cs="Times New Roman"/>
          <w:sz w:val="28"/>
          <w:szCs w:val="28"/>
          <w:shd w:val="clear" w:color="auto" w:fill="FFFFFF"/>
        </w:rPr>
        <w:t>para su aprobación, sanción y promulgación, y aun así ser inconstitucional</w:t>
      </w:r>
      <w:r w:rsidRPr="00AF629F">
        <w:rPr>
          <w:rFonts w:ascii="Times New Roman" w:hAnsi="Times New Roman" w:cs="Times New Roman"/>
          <w:sz w:val="28"/>
          <w:szCs w:val="28"/>
          <w:shd w:val="clear" w:color="auto" w:fill="FFFFFF"/>
        </w:rPr>
        <w:t>es</w:t>
      </w:r>
      <w:r w:rsidRPr="00AF629F">
        <w:rPr>
          <w:rFonts w:ascii="Times New Roman" w:hAnsi="Times New Roman" w:cs="Times New Roman"/>
          <w:sz w:val="28"/>
          <w:szCs w:val="28"/>
          <w:shd w:val="clear" w:color="auto" w:fill="FFFFFF"/>
        </w:rPr>
        <w:t xml:space="preserve">, al no satisfacer las exigencias </w:t>
      </w:r>
      <w:r w:rsidRPr="00AF629F">
        <w:rPr>
          <w:rFonts w:ascii="Times New Roman" w:hAnsi="Times New Roman" w:cs="Times New Roman"/>
          <w:sz w:val="28"/>
          <w:szCs w:val="28"/>
          <w:shd w:val="clear" w:color="auto" w:fill="FFFFFF"/>
        </w:rPr>
        <w:t>del principio de unidad de materia</w:t>
      </w:r>
      <w:r w:rsidRPr="00AF629F">
        <w:rPr>
          <w:rFonts w:ascii="Times New Roman" w:hAnsi="Times New Roman" w:cs="Times New Roman"/>
          <w:sz w:val="28"/>
          <w:szCs w:val="28"/>
          <w:shd w:val="clear" w:color="auto" w:fill="FFFFFF"/>
          <w:vertAlign w:val="superscript"/>
        </w:rPr>
        <w:footnoteReference w:id="31"/>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De allí que </w:t>
      </w:r>
      <w:r w:rsidRPr="00AF629F">
        <w:rPr>
          <w:rFonts w:ascii="Times New Roman" w:hAnsi="Times New Roman" w:cs="Times New Roman"/>
          <w:sz w:val="28"/>
          <w:szCs w:val="28"/>
          <w:shd w:val="clear" w:color="auto" w:fill="FFFFFF"/>
        </w:rPr>
        <w:t xml:space="preserve">este tipo de cuestionamientos </w:t>
      </w:r>
      <w:r w:rsidRPr="00AF629F">
        <w:rPr>
          <w:rFonts w:ascii="Times New Roman" w:hAnsi="Times New Roman" w:cs="Times New Roman"/>
          <w:sz w:val="28"/>
          <w:szCs w:val="28"/>
          <w:shd w:val="clear" w:color="auto" w:fill="FFFFFF"/>
        </w:rPr>
        <w:t xml:space="preserve">no </w:t>
      </w:r>
      <w:r w:rsidRPr="00AF629F">
        <w:rPr>
          <w:rFonts w:ascii="Times New Roman" w:hAnsi="Times New Roman" w:cs="Times New Roman"/>
          <w:sz w:val="28"/>
          <w:szCs w:val="28"/>
          <w:shd w:val="clear" w:color="auto" w:fill="FFFFFF"/>
        </w:rPr>
        <w:t>esté sujet</w:t>
      </w:r>
      <w:r w:rsidRPr="00AF629F">
        <w:rPr>
          <w:rFonts w:ascii="Times New Roman" w:hAnsi="Times New Roman" w:cs="Times New Roman"/>
          <w:sz w:val="28"/>
          <w:szCs w:val="28"/>
          <w:shd w:val="clear" w:color="auto" w:fill="FFFFFF"/>
        </w:rPr>
        <w:t>o</w:t>
      </w:r>
      <w:r w:rsidRPr="00AF629F">
        <w:rPr>
          <w:rFonts w:ascii="Times New Roman" w:hAnsi="Times New Roman" w:cs="Times New Roman"/>
          <w:sz w:val="28"/>
          <w:szCs w:val="28"/>
          <w:shd w:val="clear" w:color="auto" w:fill="FFFFFF"/>
        </w:rPr>
        <w:t xml:space="preserve"> al </w:t>
      </w:r>
      <w:r w:rsidRPr="00AF629F">
        <w:rPr>
          <w:rFonts w:ascii="Times New Roman" w:hAnsi="Times New Roman" w:cs="Times New Roman"/>
          <w:sz w:val="28"/>
          <w:szCs w:val="28"/>
          <w:shd w:val="clear" w:color="auto" w:fill="FFFFFF"/>
        </w:rPr>
        <w:t xml:space="preserve">término de caducidad de que trata el artículo </w:t>
      </w:r>
      <w:r w:rsidRPr="00AF629F">
        <w:rPr>
          <w:rFonts w:ascii="Times New Roman" w:hAnsi="Times New Roman" w:cs="Times New Roman"/>
          <w:sz w:val="28"/>
          <w:szCs w:val="28"/>
          <w:shd w:val="clear" w:color="auto" w:fill="FFFFFF"/>
        </w:rPr>
        <w:t>242.</w:t>
      </w:r>
      <w:r w:rsidRPr="00AF629F">
        <w:rPr>
          <w:rFonts w:ascii="Times New Roman" w:hAnsi="Times New Roman" w:cs="Times New Roman"/>
          <w:sz w:val="28"/>
          <w:szCs w:val="28"/>
          <w:shd w:val="clear" w:color="auto" w:fill="FFFFFF"/>
        </w:rPr>
        <w:t>3 de la Constitución.</w:t>
      </w:r>
      <w:r w:rsidRPr="00AF629F">
        <w:rPr>
          <w:rFonts w:ascii="Times New Roman" w:hAnsi="Times New Roman" w:cs="Times New Roman"/>
          <w:sz w:val="28"/>
          <w:szCs w:val="28"/>
          <w:shd w:val="clear" w:color="auto" w:fill="FFFFFF"/>
        </w:rPr>
        <w:t xml:space="preserve"> En este sentido, en la Sentencia C-</w:t>
      </w:r>
      <w:r w:rsidRPr="00AF629F">
        <w:rPr>
          <w:rFonts w:ascii="Times New Roman" w:hAnsi="Times New Roman" w:cs="Times New Roman"/>
          <w:sz w:val="28"/>
          <w:szCs w:val="28"/>
          <w:shd w:val="clear" w:color="auto" w:fill="FFFFFF"/>
        </w:rPr>
        <w:t>1177 de 2004, la Sala precisó</w:t>
      </w:r>
      <w:r w:rsidRPr="00AF629F">
        <w:rPr>
          <w:rFonts w:ascii="Times New Roman" w:hAnsi="Times New Roman" w:cs="Times New Roman"/>
          <w:sz w:val="28"/>
          <w:szCs w:val="28"/>
          <w:shd w:val="clear" w:color="auto" w:fill="FFFFFF"/>
        </w:rPr>
        <w:t xml:space="preserve"> que</w:t>
      </w:r>
      <w:r w:rsidRPr="00AF629F">
        <w:rPr>
          <w:rFonts w:ascii="Times New Roman" w:hAnsi="Times New Roman" w:cs="Times New Roman"/>
          <w:sz w:val="28"/>
          <w:szCs w:val="28"/>
          <w:shd w:val="clear" w:color="auto" w:fill="FFFFFF"/>
        </w:rPr>
        <w:t xml:space="preserve"> “cualquier desconocimiento de la regla de unidad de materia es por antonomasia un vicio de competencia con entidad sustantiva, ya que el vicio se predica directamente del propio contenido de la norma -al regular ésta un tema extraño al conjunto de la ley-</w:t>
      </w:r>
      <w:r w:rsidRPr="00AF629F">
        <w:rPr>
          <w:rFonts w:ascii="Times New Roman" w:hAnsi="Times New Roman" w:cs="Times New Roman"/>
          <w:sz w:val="28"/>
          <w:szCs w:val="28"/>
          <w:shd w:val="clear" w:color="auto" w:fill="FFFFFF"/>
        </w:rPr>
        <w:t xml:space="preserve">, y que por tal razón no se encuentra sometido al término de caducidad </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pudiendo ser declarado en cualquier momento por el órgano a quien se le asigna el control de constitucionalidad de las leyes, siempre que medie petición ciudadana o tenga lugar el </w:t>
      </w:r>
      <w:r w:rsidRPr="00AF629F">
        <w:rPr>
          <w:rFonts w:ascii="Times New Roman" w:hAnsi="Times New Roman" w:cs="Times New Roman"/>
          <w:sz w:val="28"/>
          <w:szCs w:val="28"/>
          <w:shd w:val="clear" w:color="auto" w:fill="FFFFFF"/>
        </w:rPr>
        <w:t>control automático o previo”.</w:t>
      </w:r>
    </w:p>
    <w:p w:rsidR="00E6459B" w:rsidRPr="00AF629F" w:rsidRDefault="00AF629F" w:rsidP="00E6459B">
      <w:pPr>
        <w:pStyle w:val="Prrafodelista"/>
        <w:rPr>
          <w:rFonts w:ascii="Times New Roman" w:hAnsi="Times New Roman" w:cs="Times New Roman"/>
          <w:sz w:val="28"/>
          <w:szCs w:val="28"/>
        </w:rPr>
      </w:pPr>
    </w:p>
    <w:p w:rsidR="00591EB2" w:rsidRPr="00AF629F" w:rsidRDefault="00AF629F" w:rsidP="00C228BF">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Como se precisa seguidamente, la jurisprudencia </w:t>
      </w:r>
      <w:r w:rsidRPr="00AF629F">
        <w:rPr>
          <w:rFonts w:ascii="Times New Roman" w:hAnsi="Times New Roman" w:cs="Times New Roman"/>
          <w:sz w:val="28"/>
          <w:szCs w:val="28"/>
        </w:rPr>
        <w:t xml:space="preserve">de la Sala </w:t>
      </w:r>
      <w:r w:rsidRPr="00AF629F">
        <w:rPr>
          <w:rFonts w:ascii="Times New Roman" w:hAnsi="Times New Roman" w:cs="Times New Roman"/>
          <w:sz w:val="28"/>
          <w:szCs w:val="28"/>
        </w:rPr>
        <w:t xml:space="preserve">ha diferenciado </w:t>
      </w:r>
      <w:r w:rsidRPr="00AF629F">
        <w:rPr>
          <w:rFonts w:ascii="Times New Roman" w:hAnsi="Times New Roman" w:cs="Times New Roman"/>
          <w:sz w:val="28"/>
          <w:szCs w:val="28"/>
        </w:rPr>
        <w:t xml:space="preserve">el estándar de control </w:t>
      </w:r>
      <w:r w:rsidRPr="00AF629F">
        <w:rPr>
          <w:rFonts w:ascii="Times New Roman" w:hAnsi="Times New Roman" w:cs="Times New Roman"/>
          <w:sz w:val="28"/>
          <w:szCs w:val="28"/>
        </w:rPr>
        <w:t>para valorar presuntas infracciones al principio de unidad de materia según el tipo de ley de que se trate</w:t>
      </w:r>
      <w:r w:rsidRPr="00AF629F">
        <w:rPr>
          <w:rFonts w:ascii="Times New Roman" w:hAnsi="Times New Roman" w:cs="Times New Roman"/>
          <w:sz w:val="28"/>
          <w:szCs w:val="28"/>
        </w:rPr>
        <w:t xml:space="preserve">. Por regla general, y para la mayoría de las leyes, el estándar de control es </w:t>
      </w:r>
      <w:r w:rsidRPr="00AF629F">
        <w:rPr>
          <w:rFonts w:ascii="Times New Roman" w:hAnsi="Times New Roman" w:cs="Times New Roman"/>
          <w:i/>
          <w:iCs/>
          <w:sz w:val="28"/>
          <w:szCs w:val="28"/>
        </w:rPr>
        <w:t>flexible</w:t>
      </w:r>
      <w:r w:rsidRPr="00AF629F">
        <w:rPr>
          <w:rFonts w:ascii="Times New Roman" w:hAnsi="Times New Roman" w:cs="Times New Roman"/>
          <w:sz w:val="28"/>
          <w:szCs w:val="28"/>
        </w:rPr>
        <w:t xml:space="preserve">, </w:t>
      </w:r>
      <w:r w:rsidRPr="00AF629F">
        <w:rPr>
          <w:rFonts w:ascii="Times New Roman" w:hAnsi="Times New Roman" w:cs="Times New Roman"/>
          <w:i/>
          <w:iCs/>
          <w:sz w:val="28"/>
          <w:szCs w:val="28"/>
        </w:rPr>
        <w:t>dúctil</w:t>
      </w:r>
      <w:r w:rsidRPr="00AF629F">
        <w:rPr>
          <w:rFonts w:ascii="Times New Roman" w:hAnsi="Times New Roman" w:cs="Times New Roman"/>
          <w:sz w:val="28"/>
          <w:szCs w:val="28"/>
        </w:rPr>
        <w:t xml:space="preserve"> o </w:t>
      </w:r>
      <w:r w:rsidRPr="00AF629F">
        <w:rPr>
          <w:rFonts w:ascii="Times New Roman" w:hAnsi="Times New Roman" w:cs="Times New Roman"/>
          <w:i/>
          <w:iCs/>
          <w:sz w:val="28"/>
          <w:szCs w:val="28"/>
        </w:rPr>
        <w:t>leve</w:t>
      </w:r>
      <w:r w:rsidRPr="00AF629F">
        <w:rPr>
          <w:rFonts w:ascii="Times New Roman" w:hAnsi="Times New Roman" w:cs="Times New Roman"/>
          <w:sz w:val="28"/>
          <w:szCs w:val="28"/>
        </w:rPr>
        <w:t xml:space="preserve">; para las disposiciones de la ley aprobatoria del plan nacional de desarrollo el estándar es </w:t>
      </w:r>
      <w:r w:rsidRPr="00AF629F">
        <w:rPr>
          <w:rFonts w:ascii="Times New Roman" w:hAnsi="Times New Roman" w:cs="Times New Roman"/>
          <w:i/>
          <w:iCs/>
          <w:sz w:val="28"/>
          <w:szCs w:val="28"/>
        </w:rPr>
        <w:t>estricto</w:t>
      </w:r>
      <w:r w:rsidRPr="00AF629F">
        <w:rPr>
          <w:rFonts w:ascii="Times New Roman" w:hAnsi="Times New Roman" w:cs="Times New Roman"/>
          <w:sz w:val="28"/>
          <w:szCs w:val="28"/>
        </w:rPr>
        <w:t>.</w:t>
      </w:r>
    </w:p>
    <w:p w:rsidR="00591EB2" w:rsidRPr="00AF629F" w:rsidRDefault="00AF629F" w:rsidP="00591EB2">
      <w:pPr>
        <w:pStyle w:val="Estilo1"/>
        <w:numPr>
          <w:ilvl w:val="1"/>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El estándar general de</w:t>
      </w:r>
      <w:r w:rsidRPr="00AF629F">
        <w:rPr>
          <w:rStyle w:val="Ttulo1Car"/>
          <w:rFonts w:ascii="Times New Roman" w:hAnsi="Times New Roman" w:cs="Times New Roman"/>
          <w:bCs/>
          <w:color w:val="auto"/>
          <w:sz w:val="28"/>
          <w:szCs w:val="28"/>
        </w:rPr>
        <w:t>l</w:t>
      </w:r>
      <w:r w:rsidRPr="00AF629F">
        <w:rPr>
          <w:rStyle w:val="Ttulo1Car"/>
          <w:rFonts w:ascii="Times New Roman" w:hAnsi="Times New Roman" w:cs="Times New Roman"/>
          <w:bCs/>
          <w:color w:val="auto"/>
          <w:sz w:val="28"/>
          <w:szCs w:val="28"/>
        </w:rPr>
        <w:t xml:space="preserve"> control constitucional </w:t>
      </w:r>
      <w:r w:rsidRPr="00AF629F">
        <w:rPr>
          <w:rStyle w:val="Ttulo1Car"/>
          <w:rFonts w:ascii="Times New Roman" w:hAnsi="Times New Roman" w:cs="Times New Roman"/>
          <w:bCs/>
          <w:color w:val="auto"/>
          <w:sz w:val="28"/>
          <w:szCs w:val="28"/>
        </w:rPr>
        <w:t xml:space="preserve">para evidenciar el desconocimiento del </w:t>
      </w:r>
      <w:r w:rsidRPr="00AF629F">
        <w:rPr>
          <w:rStyle w:val="Ttulo1Car"/>
          <w:rFonts w:ascii="Times New Roman" w:hAnsi="Times New Roman" w:cs="Times New Roman"/>
          <w:bCs/>
          <w:color w:val="auto"/>
          <w:sz w:val="28"/>
          <w:szCs w:val="28"/>
        </w:rPr>
        <w:t>principio de unidad de materia</w:t>
      </w:r>
      <w:r w:rsidRPr="00AF629F">
        <w:rPr>
          <w:rStyle w:val="Ttulo1Car"/>
          <w:rFonts w:ascii="Times New Roman" w:hAnsi="Times New Roman" w:cs="Times New Roman"/>
          <w:bCs/>
          <w:color w:val="auto"/>
          <w:sz w:val="28"/>
          <w:szCs w:val="28"/>
        </w:rPr>
        <w:t xml:space="preserve"> para la generalidad de las leyes es de carácter </w:t>
      </w:r>
      <w:r w:rsidRPr="00AF629F">
        <w:rPr>
          <w:rStyle w:val="Ttulo1Car"/>
          <w:rFonts w:ascii="Times New Roman" w:hAnsi="Times New Roman" w:cs="Times New Roman"/>
          <w:bCs/>
          <w:i/>
          <w:iCs/>
          <w:color w:val="auto"/>
          <w:sz w:val="28"/>
          <w:szCs w:val="28"/>
        </w:rPr>
        <w:t>flexible</w:t>
      </w:r>
      <w:r w:rsidRPr="00AF629F">
        <w:rPr>
          <w:rStyle w:val="Ttulo1Car"/>
          <w:rFonts w:ascii="Times New Roman" w:hAnsi="Times New Roman" w:cs="Times New Roman"/>
          <w:bCs/>
          <w:color w:val="auto"/>
          <w:sz w:val="28"/>
          <w:szCs w:val="28"/>
        </w:rPr>
        <w:t xml:space="preserve">, </w:t>
      </w:r>
      <w:r w:rsidRPr="00AF629F">
        <w:rPr>
          <w:rStyle w:val="Ttulo1Car"/>
          <w:rFonts w:ascii="Times New Roman" w:hAnsi="Times New Roman" w:cs="Times New Roman"/>
          <w:bCs/>
          <w:i/>
          <w:iCs/>
          <w:color w:val="auto"/>
          <w:sz w:val="28"/>
          <w:szCs w:val="28"/>
        </w:rPr>
        <w:t>dúctil</w:t>
      </w:r>
      <w:r w:rsidRPr="00AF629F">
        <w:rPr>
          <w:rStyle w:val="Ttulo1Car"/>
          <w:rFonts w:ascii="Times New Roman" w:hAnsi="Times New Roman" w:cs="Times New Roman"/>
          <w:bCs/>
          <w:color w:val="auto"/>
          <w:sz w:val="28"/>
          <w:szCs w:val="28"/>
        </w:rPr>
        <w:t xml:space="preserve"> o </w:t>
      </w:r>
      <w:r w:rsidRPr="00AF629F">
        <w:rPr>
          <w:rStyle w:val="Ttulo1Car"/>
          <w:rFonts w:ascii="Times New Roman" w:hAnsi="Times New Roman" w:cs="Times New Roman"/>
          <w:bCs/>
          <w:i/>
          <w:iCs/>
          <w:color w:val="auto"/>
          <w:sz w:val="28"/>
          <w:szCs w:val="28"/>
        </w:rPr>
        <w:t>leve</w:t>
      </w:r>
    </w:p>
    <w:p w:rsidR="00591EB2" w:rsidRPr="00AF629F" w:rsidRDefault="00AF629F" w:rsidP="00591EB2">
      <w:pPr>
        <w:pStyle w:val="Prrafodelista"/>
        <w:ind w:left="0"/>
        <w:jc w:val="both"/>
        <w:rPr>
          <w:rFonts w:ascii="Times New Roman" w:hAnsi="Times New Roman" w:cs="Times New Roman"/>
          <w:sz w:val="28"/>
          <w:szCs w:val="28"/>
        </w:rPr>
      </w:pPr>
    </w:p>
    <w:p w:rsidR="00591EB2" w:rsidRPr="00AF629F" w:rsidRDefault="00AF629F" w:rsidP="00270ED6">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 xml:space="preserve">Como regla general, la </w:t>
      </w:r>
      <w:r w:rsidRPr="00AF629F">
        <w:rPr>
          <w:rFonts w:ascii="Times New Roman" w:hAnsi="Times New Roman" w:cs="Times New Roman"/>
          <w:sz w:val="28"/>
          <w:szCs w:val="28"/>
          <w:shd w:val="clear" w:color="auto" w:fill="FFFFFF"/>
        </w:rPr>
        <w:t xml:space="preserve">Sala </w:t>
      </w:r>
      <w:r w:rsidRPr="00AF629F">
        <w:rPr>
          <w:rFonts w:ascii="Times New Roman" w:hAnsi="Times New Roman" w:cs="Times New Roman"/>
          <w:sz w:val="28"/>
          <w:szCs w:val="28"/>
          <w:shd w:val="clear" w:color="auto" w:fill="FFFFFF"/>
        </w:rPr>
        <w:t xml:space="preserve">ha advertido que la rigurosidad en el estudio del cumplimiento de los mandatos derivados del principio </w:t>
      </w:r>
      <w:r w:rsidRPr="00AF629F">
        <w:rPr>
          <w:rFonts w:ascii="Times New Roman" w:hAnsi="Times New Roman" w:cs="Times New Roman"/>
          <w:sz w:val="28"/>
          <w:szCs w:val="28"/>
          <w:shd w:val="clear" w:color="auto" w:fill="FFFFFF"/>
        </w:rPr>
        <w:t xml:space="preserve">de unidad de materia </w:t>
      </w:r>
      <w:r w:rsidRPr="00AF629F">
        <w:rPr>
          <w:rFonts w:ascii="Times New Roman" w:hAnsi="Times New Roman" w:cs="Times New Roman"/>
          <w:sz w:val="28"/>
          <w:szCs w:val="28"/>
          <w:shd w:val="clear" w:color="auto" w:fill="FFFFFF"/>
        </w:rPr>
        <w:t xml:space="preserve">no puede ser de tal magnitud que su aplicación </w:t>
      </w:r>
      <w:r w:rsidRPr="00AF629F">
        <w:rPr>
          <w:rFonts w:ascii="Times New Roman" w:hAnsi="Times New Roman" w:cs="Times New Roman"/>
          <w:sz w:val="28"/>
          <w:szCs w:val="28"/>
          <w:shd w:val="clear" w:color="auto" w:fill="FFFFFF"/>
        </w:rPr>
        <w:t>dé lugar</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 xml:space="preserve">a </w:t>
      </w:r>
      <w:r w:rsidRPr="00AF629F">
        <w:rPr>
          <w:rFonts w:ascii="Times New Roman" w:hAnsi="Times New Roman" w:cs="Times New Roman"/>
          <w:sz w:val="28"/>
          <w:szCs w:val="28"/>
          <w:shd w:val="clear" w:color="auto" w:fill="FFFFFF"/>
        </w:rPr>
        <w:t>la anulación del principio democrático</w:t>
      </w:r>
      <w:r w:rsidRPr="00AF629F">
        <w:rPr>
          <w:rFonts w:ascii="Times New Roman" w:hAnsi="Times New Roman" w:cs="Times New Roman"/>
          <w:sz w:val="28"/>
          <w:szCs w:val="28"/>
          <w:shd w:val="clear" w:color="auto" w:fill="FFFFFF"/>
          <w:vertAlign w:val="superscript"/>
        </w:rPr>
        <w:footnoteReference w:id="32"/>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de allí que</w:t>
      </w:r>
      <w:r w:rsidRPr="00AF629F">
        <w:rPr>
          <w:rFonts w:ascii="Times New Roman" w:hAnsi="Times New Roman" w:cs="Times New Roman"/>
          <w:sz w:val="28"/>
          <w:szCs w:val="28"/>
          <w:shd w:val="clear" w:color="auto" w:fill="FFFFFF"/>
        </w:rPr>
        <w:t>, “</w:t>
      </w:r>
      <w:r w:rsidRPr="00AF629F">
        <w:rPr>
          <w:rFonts w:ascii="Times New Roman" w:hAnsi="Times New Roman" w:cs="Times New Roman"/>
          <w:sz w:val="28"/>
          <w:szCs w:val="28"/>
          <w:shd w:val="clear" w:color="auto" w:fill="FFFFFF"/>
        </w:rPr>
        <w:t>[s]</w:t>
      </w:r>
      <w:r w:rsidRPr="00AF629F">
        <w:rPr>
          <w:rFonts w:ascii="Times New Roman" w:hAnsi="Times New Roman" w:cs="Times New Roman"/>
          <w:sz w:val="28"/>
          <w:szCs w:val="28"/>
          <w:shd w:val="clear" w:color="auto" w:fill="FFFFFF"/>
        </w:rPr>
        <w:t>olamente aquello</w:t>
      </w:r>
      <w:r w:rsidRPr="00AF629F">
        <w:rPr>
          <w:rFonts w:ascii="Times New Roman" w:hAnsi="Times New Roman" w:cs="Times New Roman"/>
          <w:sz w:val="28"/>
          <w:szCs w:val="28"/>
          <w:shd w:val="clear" w:color="auto" w:fill="FFFFFF"/>
        </w:rPr>
        <w:t>s apartes, segmentos o proposiciones de una ley respecto de los cuales, razonable y objetivamente, no sea posible establecer una relación de conexidad causal, teleológica, temática o sistémica con la materia dominante de la misma, deben rechazarse como ina</w:t>
      </w:r>
      <w:r w:rsidRPr="00AF629F">
        <w:rPr>
          <w:rFonts w:ascii="Times New Roman" w:hAnsi="Times New Roman" w:cs="Times New Roman"/>
          <w:sz w:val="28"/>
          <w:szCs w:val="28"/>
          <w:shd w:val="clear" w:color="auto" w:fill="FFFFFF"/>
        </w:rPr>
        <w:t>dmisibles si están incorporados en el proyecto o declararse inexequibles si integran el cuerpo de la ley”</w:t>
      </w:r>
      <w:r w:rsidRPr="00AF629F">
        <w:rPr>
          <w:rFonts w:ascii="Times New Roman" w:hAnsi="Times New Roman" w:cs="Times New Roman"/>
          <w:sz w:val="28"/>
          <w:szCs w:val="28"/>
          <w:shd w:val="clear" w:color="auto" w:fill="FFFFFF"/>
          <w:vertAlign w:val="superscript"/>
        </w:rPr>
        <w:footnoteReference w:id="33"/>
      </w:r>
      <w:r w:rsidRPr="00AF629F">
        <w:rPr>
          <w:rFonts w:ascii="Times New Roman" w:hAnsi="Times New Roman" w:cs="Times New Roman"/>
          <w:sz w:val="28"/>
          <w:szCs w:val="28"/>
          <w:shd w:val="clear" w:color="auto" w:fill="FFFFFF"/>
        </w:rPr>
        <w:t xml:space="preserve">. </w:t>
      </w:r>
    </w:p>
    <w:p w:rsidR="00591EB2" w:rsidRPr="00AF629F" w:rsidRDefault="00AF629F" w:rsidP="00591EB2">
      <w:pPr>
        <w:pStyle w:val="Prrafodelista"/>
        <w:ind w:left="567" w:right="618"/>
        <w:jc w:val="both"/>
        <w:rPr>
          <w:rFonts w:ascii="Times New Roman" w:hAnsi="Times New Roman" w:cs="Times New Roman"/>
          <w:sz w:val="28"/>
          <w:szCs w:val="28"/>
        </w:rPr>
      </w:pPr>
    </w:p>
    <w:p w:rsidR="00EE0429" w:rsidRPr="00AF629F" w:rsidRDefault="00AF629F" w:rsidP="00591EB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 xml:space="preserve">La metodología decantada por la jurisprudencia para </w:t>
      </w:r>
      <w:r w:rsidRPr="00AF629F">
        <w:rPr>
          <w:rFonts w:ascii="Times New Roman" w:hAnsi="Times New Roman" w:cs="Times New Roman"/>
          <w:sz w:val="28"/>
          <w:szCs w:val="28"/>
          <w:shd w:val="clear" w:color="auto" w:fill="FFFFFF"/>
        </w:rPr>
        <w:t>determinar</w:t>
      </w:r>
      <w:r w:rsidRPr="00AF629F">
        <w:rPr>
          <w:rFonts w:ascii="Times New Roman" w:hAnsi="Times New Roman" w:cs="Times New Roman"/>
          <w:sz w:val="28"/>
          <w:szCs w:val="28"/>
          <w:shd w:val="clear" w:color="auto" w:fill="FFFFFF"/>
        </w:rPr>
        <w:t xml:space="preserve"> la compatibilidad de </w:t>
      </w:r>
      <w:r w:rsidRPr="00AF629F">
        <w:rPr>
          <w:rFonts w:ascii="Times New Roman" w:hAnsi="Times New Roman" w:cs="Times New Roman"/>
          <w:sz w:val="28"/>
          <w:szCs w:val="28"/>
          <w:shd w:val="clear" w:color="auto" w:fill="FFFFFF"/>
        </w:rPr>
        <w:t xml:space="preserve">este tipo de disposiciones </w:t>
      </w:r>
      <w:r w:rsidRPr="00AF629F">
        <w:rPr>
          <w:rFonts w:ascii="Times New Roman" w:hAnsi="Times New Roman" w:cs="Times New Roman"/>
          <w:sz w:val="28"/>
          <w:szCs w:val="28"/>
          <w:shd w:val="clear" w:color="auto" w:fill="FFFFFF"/>
        </w:rPr>
        <w:t xml:space="preserve">con las normas constitucionales de las que se deriva el principio de unidad de materia consta de </w:t>
      </w:r>
      <w:r w:rsidRPr="00AF629F">
        <w:rPr>
          <w:rFonts w:ascii="Times New Roman" w:hAnsi="Times New Roman" w:cs="Times New Roman"/>
          <w:sz w:val="28"/>
          <w:szCs w:val="28"/>
          <w:shd w:val="clear" w:color="auto" w:fill="FFFFFF"/>
        </w:rPr>
        <w:t xml:space="preserve">dos </w:t>
      </w:r>
      <w:r w:rsidRPr="00AF629F">
        <w:rPr>
          <w:rFonts w:ascii="Times New Roman" w:hAnsi="Times New Roman" w:cs="Times New Roman"/>
          <w:sz w:val="28"/>
          <w:szCs w:val="28"/>
          <w:shd w:val="clear" w:color="auto" w:fill="FFFFFF"/>
        </w:rPr>
        <w:t xml:space="preserve">pasos. En primer lugar, </w:t>
      </w:r>
      <w:r w:rsidRPr="00AF629F">
        <w:rPr>
          <w:rFonts w:ascii="Times New Roman" w:hAnsi="Times New Roman" w:cs="Times New Roman"/>
          <w:sz w:val="28"/>
          <w:szCs w:val="28"/>
          <w:shd w:val="clear" w:color="auto" w:fill="FFFFFF"/>
        </w:rPr>
        <w:t>se debe identificar el núcleo temático de la ley de la cual forma parte la disposición cuestionada</w:t>
      </w:r>
      <w:r w:rsidRPr="00AF629F">
        <w:rPr>
          <w:rFonts w:ascii="Times New Roman" w:hAnsi="Times New Roman" w:cs="Times New Roman"/>
          <w:sz w:val="28"/>
          <w:szCs w:val="28"/>
          <w:shd w:val="clear" w:color="auto" w:fill="FFFFFF"/>
        </w:rPr>
        <w:t>. En segundo lugar, se debe valor</w:t>
      </w:r>
      <w:r w:rsidRPr="00AF629F">
        <w:rPr>
          <w:rFonts w:ascii="Times New Roman" w:hAnsi="Times New Roman" w:cs="Times New Roman"/>
          <w:sz w:val="28"/>
          <w:szCs w:val="28"/>
          <w:shd w:val="clear" w:color="auto" w:fill="FFFFFF"/>
        </w:rPr>
        <w:t xml:space="preserve">ar si entre esta y aquel existe una </w:t>
      </w:r>
      <w:r w:rsidRPr="00AF629F">
        <w:rPr>
          <w:rFonts w:ascii="Times New Roman" w:hAnsi="Times New Roman" w:cs="Times New Roman"/>
          <w:sz w:val="28"/>
          <w:szCs w:val="28"/>
          <w:shd w:val="clear" w:color="auto" w:fill="FFFFFF"/>
        </w:rPr>
        <w:t>relación de conexidad material</w:t>
      </w:r>
      <w:r w:rsidRPr="00AF629F">
        <w:rPr>
          <w:rFonts w:ascii="Times New Roman" w:hAnsi="Times New Roman" w:cs="Times New Roman"/>
          <w:sz w:val="28"/>
          <w:szCs w:val="28"/>
          <w:shd w:val="clear" w:color="auto" w:fill="FFFFFF"/>
        </w:rPr>
        <w:t>, que puede ser de carácter causal, teleológic</w:t>
      </w:r>
      <w:r w:rsidRPr="00AF629F">
        <w:rPr>
          <w:rFonts w:ascii="Times New Roman" w:hAnsi="Times New Roman" w:cs="Times New Roman"/>
          <w:sz w:val="28"/>
          <w:szCs w:val="28"/>
          <w:shd w:val="clear" w:color="auto" w:fill="FFFFFF"/>
        </w:rPr>
        <w:t>a</w:t>
      </w:r>
      <w:r w:rsidRPr="00AF629F">
        <w:rPr>
          <w:rFonts w:ascii="Times New Roman" w:hAnsi="Times New Roman" w:cs="Times New Roman"/>
          <w:sz w:val="28"/>
          <w:szCs w:val="28"/>
          <w:shd w:val="clear" w:color="auto" w:fill="FFFFFF"/>
        </w:rPr>
        <w:t>, temátic</w:t>
      </w:r>
      <w:r w:rsidRPr="00AF629F">
        <w:rPr>
          <w:rFonts w:ascii="Times New Roman" w:hAnsi="Times New Roman" w:cs="Times New Roman"/>
          <w:sz w:val="28"/>
          <w:szCs w:val="28"/>
          <w:shd w:val="clear" w:color="auto" w:fill="FFFFFF"/>
        </w:rPr>
        <w:t>a</w:t>
      </w:r>
      <w:r w:rsidRPr="00AF629F">
        <w:rPr>
          <w:rFonts w:ascii="Times New Roman" w:hAnsi="Times New Roman" w:cs="Times New Roman"/>
          <w:sz w:val="28"/>
          <w:szCs w:val="28"/>
          <w:shd w:val="clear" w:color="auto" w:fill="FFFFFF"/>
        </w:rPr>
        <w:t xml:space="preserve"> o sistémic</w:t>
      </w:r>
      <w:r w:rsidRPr="00AF629F">
        <w:rPr>
          <w:rFonts w:ascii="Times New Roman" w:hAnsi="Times New Roman" w:cs="Times New Roman"/>
          <w:sz w:val="28"/>
          <w:szCs w:val="28"/>
          <w:shd w:val="clear" w:color="auto" w:fill="FFFFFF"/>
        </w:rPr>
        <w:t>a</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E</w:t>
      </w:r>
      <w:r w:rsidRPr="00AF629F">
        <w:rPr>
          <w:rFonts w:ascii="Times New Roman" w:hAnsi="Times New Roman" w:cs="Times New Roman"/>
          <w:sz w:val="28"/>
          <w:szCs w:val="28"/>
          <w:shd w:val="clear" w:color="auto" w:fill="FFFFFF"/>
        </w:rPr>
        <w:t xml:space="preserve">n caso de que </w:t>
      </w:r>
      <w:r w:rsidRPr="00AF629F">
        <w:rPr>
          <w:rFonts w:ascii="Times New Roman" w:hAnsi="Times New Roman" w:cs="Times New Roman"/>
          <w:sz w:val="28"/>
          <w:szCs w:val="28"/>
          <w:shd w:val="clear" w:color="auto" w:fill="FFFFFF"/>
        </w:rPr>
        <w:t>esta relación de conexidad no se acredit</w:t>
      </w:r>
      <w:r w:rsidRPr="00AF629F">
        <w:rPr>
          <w:rFonts w:ascii="Times New Roman" w:hAnsi="Times New Roman" w:cs="Times New Roman"/>
          <w:sz w:val="28"/>
          <w:szCs w:val="28"/>
          <w:shd w:val="clear" w:color="auto" w:fill="FFFFFF"/>
        </w:rPr>
        <w:t>e</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 xml:space="preserve">la disposición </w:t>
      </w:r>
      <w:r w:rsidRPr="00AF629F">
        <w:rPr>
          <w:rFonts w:ascii="Times New Roman" w:hAnsi="Times New Roman" w:cs="Times New Roman"/>
          <w:sz w:val="28"/>
          <w:szCs w:val="28"/>
          <w:shd w:val="clear" w:color="auto" w:fill="FFFFFF"/>
        </w:rPr>
        <w:t xml:space="preserve">habría </w:t>
      </w:r>
      <w:r w:rsidRPr="00AF629F">
        <w:rPr>
          <w:rFonts w:ascii="Times New Roman" w:hAnsi="Times New Roman" w:cs="Times New Roman"/>
          <w:sz w:val="28"/>
          <w:szCs w:val="28"/>
          <w:shd w:val="clear" w:color="auto" w:fill="FFFFFF"/>
        </w:rPr>
        <w:t>desconoc</w:t>
      </w:r>
      <w:r w:rsidRPr="00AF629F">
        <w:rPr>
          <w:rFonts w:ascii="Times New Roman" w:hAnsi="Times New Roman" w:cs="Times New Roman"/>
          <w:sz w:val="28"/>
          <w:szCs w:val="28"/>
          <w:shd w:val="clear" w:color="auto" w:fill="FFFFFF"/>
        </w:rPr>
        <w:t>ido</w:t>
      </w:r>
      <w:r w:rsidRPr="00AF629F">
        <w:rPr>
          <w:rFonts w:ascii="Times New Roman" w:hAnsi="Times New Roman" w:cs="Times New Roman"/>
          <w:sz w:val="28"/>
          <w:szCs w:val="28"/>
          <w:shd w:val="clear" w:color="auto" w:fill="FFFFFF"/>
        </w:rPr>
        <w:t xml:space="preserve"> el contenido normativo del principio de unidad de materia, y, por tanto, </w:t>
      </w:r>
      <w:r w:rsidRPr="00AF629F">
        <w:rPr>
          <w:rFonts w:ascii="Times New Roman" w:hAnsi="Times New Roman" w:cs="Times New Roman"/>
          <w:sz w:val="28"/>
          <w:szCs w:val="28"/>
          <w:shd w:val="clear" w:color="auto" w:fill="FFFFFF"/>
        </w:rPr>
        <w:t xml:space="preserve">se debe declarar </w:t>
      </w:r>
      <w:r w:rsidRPr="00AF629F">
        <w:rPr>
          <w:rFonts w:ascii="Times New Roman" w:hAnsi="Times New Roman" w:cs="Times New Roman"/>
          <w:sz w:val="28"/>
          <w:szCs w:val="28"/>
          <w:shd w:val="clear" w:color="auto" w:fill="FFFFFF"/>
        </w:rPr>
        <w:t>inexequib</w:t>
      </w:r>
      <w:r w:rsidRPr="00AF629F">
        <w:rPr>
          <w:rFonts w:ascii="Times New Roman" w:hAnsi="Times New Roman" w:cs="Times New Roman"/>
          <w:sz w:val="28"/>
          <w:szCs w:val="28"/>
          <w:shd w:val="clear" w:color="auto" w:fill="FFFFFF"/>
        </w:rPr>
        <w:t>le</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w:t>
      </w:r>
    </w:p>
    <w:p w:rsidR="00EE0429" w:rsidRPr="00AF629F" w:rsidRDefault="00AF629F" w:rsidP="00EE0429">
      <w:pPr>
        <w:pStyle w:val="Prrafodelista"/>
        <w:rPr>
          <w:rFonts w:ascii="Times New Roman" w:hAnsi="Times New Roman" w:cs="Times New Roman"/>
          <w:sz w:val="28"/>
          <w:szCs w:val="28"/>
          <w:shd w:val="clear" w:color="auto" w:fill="FFFFFF"/>
        </w:rPr>
      </w:pPr>
    </w:p>
    <w:p w:rsidR="00591EB2" w:rsidRPr="00AF629F" w:rsidRDefault="00AF629F" w:rsidP="00591EB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A partir de este estándar, en la jurisprudencia constitucional se ha precisado que la unidad de materia “no significa simplicidad temática, de tal man</w:t>
      </w:r>
      <w:r w:rsidRPr="00AF629F">
        <w:rPr>
          <w:rFonts w:ascii="Times New Roman" w:hAnsi="Times New Roman" w:cs="Times New Roman"/>
          <w:sz w:val="28"/>
          <w:szCs w:val="28"/>
          <w:shd w:val="clear" w:color="auto" w:fill="FFFFFF"/>
        </w:rPr>
        <w:t>era que un proyecto solo pudiese referirse a un único tema”. Es por esta razón que es admisible la incorporación de varias disposiciones referidas a distintas temáticas en una misma ley, siempre que sea posible evidenciar una relación de conexidad entre sí</w:t>
      </w:r>
      <w:r w:rsidRPr="00AF629F">
        <w:rPr>
          <w:rFonts w:ascii="Times New Roman" w:hAnsi="Times New Roman" w:cs="Times New Roman"/>
          <w:sz w:val="28"/>
          <w:szCs w:val="28"/>
          <w:shd w:val="clear" w:color="auto" w:fill="FFFFFF"/>
        </w:rPr>
        <w:t xml:space="preserve">, incluso cuando tales temáticas no hayan sido tratadas desde el inicio del trámite legislativo (cfr., al respecto, la Sentencia C-992 de 2001), y, por tanto, se ha precisado que </w:t>
      </w:r>
      <w:r w:rsidRPr="00AF629F">
        <w:rPr>
          <w:rFonts w:ascii="Times New Roman" w:hAnsi="Times New Roman" w:cs="Times New Roman"/>
          <w:sz w:val="28"/>
          <w:szCs w:val="28"/>
          <w:lang w:val="es-419"/>
        </w:rPr>
        <w:t>“e</w:t>
      </w:r>
      <w:r w:rsidRPr="00AF629F">
        <w:rPr>
          <w:rFonts w:ascii="Times New Roman" w:hAnsi="Times New Roman" w:cs="Times New Roman"/>
          <w:sz w:val="28"/>
          <w:szCs w:val="28"/>
          <w:shd w:val="clear" w:color="auto" w:fill="FFFFFF"/>
        </w:rPr>
        <w:t>l término ‘materia’, para estos efectos, se toma en una acepción amplia, co</w:t>
      </w:r>
      <w:r w:rsidRPr="00AF629F">
        <w:rPr>
          <w:rFonts w:ascii="Times New Roman" w:hAnsi="Times New Roman" w:cs="Times New Roman"/>
          <w:sz w:val="28"/>
          <w:szCs w:val="28"/>
          <w:shd w:val="clear" w:color="auto" w:fill="FFFFFF"/>
        </w:rPr>
        <w:t>mprensiva de varios asuntos que tienen en ella su necesario referente”</w:t>
      </w:r>
      <w:r w:rsidRPr="00AF629F">
        <w:rPr>
          <w:rStyle w:val="Refdenotaalpie"/>
          <w:rFonts w:ascii="Times New Roman" w:hAnsi="Times New Roman" w:cs="Times New Roman"/>
          <w:sz w:val="28"/>
          <w:szCs w:val="28"/>
          <w:shd w:val="clear" w:color="auto" w:fill="FFFFFF"/>
        </w:rPr>
        <w:footnoteReference w:id="34"/>
      </w:r>
      <w:r w:rsidRPr="00AF629F">
        <w:rPr>
          <w:rFonts w:ascii="Times New Roman" w:hAnsi="Times New Roman" w:cs="Times New Roman"/>
          <w:sz w:val="28"/>
          <w:szCs w:val="28"/>
        </w:rPr>
        <w:t>.</w:t>
      </w:r>
    </w:p>
    <w:p w:rsidR="00591EB2" w:rsidRPr="00AF629F" w:rsidRDefault="00AF629F" w:rsidP="00591EB2">
      <w:pPr>
        <w:rPr>
          <w:rFonts w:ascii="Times New Roman" w:hAnsi="Times New Roman" w:cs="Times New Roman"/>
          <w:sz w:val="28"/>
          <w:szCs w:val="28"/>
          <w:shd w:val="clear" w:color="auto" w:fill="FFFFFF"/>
        </w:rPr>
      </w:pPr>
    </w:p>
    <w:p w:rsidR="00591EB2" w:rsidRPr="00AF629F" w:rsidRDefault="00AF629F" w:rsidP="00591EB2">
      <w:pPr>
        <w:pStyle w:val="Estilo1"/>
        <w:numPr>
          <w:ilvl w:val="1"/>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El estándar del control constitucional para evidenciar el desconocimiento del principio de unidad de materia</w:t>
      </w:r>
      <w:r w:rsidRPr="00AF629F">
        <w:rPr>
          <w:rStyle w:val="Ttulo1Car"/>
          <w:rFonts w:ascii="Times New Roman" w:hAnsi="Times New Roman" w:cs="Times New Roman"/>
          <w:bCs/>
          <w:color w:val="auto"/>
          <w:sz w:val="28"/>
          <w:szCs w:val="28"/>
        </w:rPr>
        <w:t xml:space="preserve"> respecto de las disposiciones </w:t>
      </w:r>
      <w:r w:rsidRPr="00AF629F">
        <w:rPr>
          <w:rStyle w:val="Ttulo1Car"/>
          <w:rFonts w:ascii="Times New Roman" w:hAnsi="Times New Roman" w:cs="Times New Roman"/>
          <w:bCs/>
          <w:color w:val="auto"/>
          <w:sz w:val="28"/>
          <w:szCs w:val="28"/>
        </w:rPr>
        <w:t xml:space="preserve">de la ley aprobatoria del </w:t>
      </w:r>
      <w:r w:rsidRPr="00AF629F">
        <w:rPr>
          <w:rStyle w:val="Ttulo1Car"/>
          <w:rFonts w:ascii="Times New Roman" w:hAnsi="Times New Roman" w:cs="Times New Roman"/>
          <w:bCs/>
          <w:color w:val="auto"/>
          <w:sz w:val="28"/>
          <w:szCs w:val="28"/>
        </w:rPr>
        <w:t>p</w:t>
      </w:r>
      <w:r w:rsidRPr="00AF629F">
        <w:rPr>
          <w:rStyle w:val="Ttulo1Car"/>
          <w:rFonts w:ascii="Times New Roman" w:hAnsi="Times New Roman" w:cs="Times New Roman"/>
          <w:bCs/>
          <w:color w:val="auto"/>
          <w:sz w:val="28"/>
          <w:szCs w:val="28"/>
        </w:rPr>
        <w:t xml:space="preserve">lan </w:t>
      </w:r>
      <w:r w:rsidRPr="00AF629F">
        <w:rPr>
          <w:rStyle w:val="Ttulo1Car"/>
          <w:rFonts w:ascii="Times New Roman" w:hAnsi="Times New Roman" w:cs="Times New Roman"/>
          <w:bCs/>
          <w:color w:val="auto"/>
          <w:sz w:val="28"/>
          <w:szCs w:val="28"/>
        </w:rPr>
        <w:t>n</w:t>
      </w:r>
      <w:r w:rsidRPr="00AF629F">
        <w:rPr>
          <w:rStyle w:val="Ttulo1Car"/>
          <w:rFonts w:ascii="Times New Roman" w:hAnsi="Times New Roman" w:cs="Times New Roman"/>
          <w:bCs/>
          <w:color w:val="auto"/>
          <w:sz w:val="28"/>
          <w:szCs w:val="28"/>
        </w:rPr>
        <w:t xml:space="preserve">acional de </w:t>
      </w:r>
      <w:r w:rsidRPr="00AF629F">
        <w:rPr>
          <w:rStyle w:val="Ttulo1Car"/>
          <w:rFonts w:ascii="Times New Roman" w:hAnsi="Times New Roman" w:cs="Times New Roman"/>
          <w:bCs/>
          <w:color w:val="auto"/>
          <w:sz w:val="28"/>
          <w:szCs w:val="28"/>
        </w:rPr>
        <w:t>d</w:t>
      </w:r>
      <w:r w:rsidRPr="00AF629F">
        <w:rPr>
          <w:rStyle w:val="Ttulo1Car"/>
          <w:rFonts w:ascii="Times New Roman" w:hAnsi="Times New Roman" w:cs="Times New Roman"/>
          <w:bCs/>
          <w:color w:val="auto"/>
          <w:sz w:val="28"/>
          <w:szCs w:val="28"/>
        </w:rPr>
        <w:t xml:space="preserve">esarrollo </w:t>
      </w:r>
      <w:r w:rsidRPr="00AF629F">
        <w:rPr>
          <w:rStyle w:val="Ttulo1Car"/>
          <w:rFonts w:ascii="Times New Roman" w:hAnsi="Times New Roman" w:cs="Times New Roman"/>
          <w:bCs/>
          <w:color w:val="auto"/>
          <w:sz w:val="28"/>
          <w:szCs w:val="28"/>
        </w:rPr>
        <w:t xml:space="preserve">es </w:t>
      </w:r>
      <w:r w:rsidRPr="00AF629F">
        <w:rPr>
          <w:rStyle w:val="Ttulo1Car"/>
          <w:rFonts w:ascii="Times New Roman" w:hAnsi="Times New Roman" w:cs="Times New Roman"/>
          <w:bCs/>
          <w:i/>
          <w:iCs/>
          <w:color w:val="auto"/>
          <w:sz w:val="28"/>
          <w:szCs w:val="28"/>
        </w:rPr>
        <w:t>estricto</w:t>
      </w:r>
    </w:p>
    <w:p w:rsidR="00591EB2" w:rsidRPr="00AF629F" w:rsidRDefault="00AF629F" w:rsidP="00591EB2">
      <w:pPr>
        <w:pStyle w:val="Prrafodelista"/>
        <w:ind w:left="0"/>
        <w:jc w:val="both"/>
        <w:rPr>
          <w:rFonts w:ascii="Times New Roman" w:hAnsi="Times New Roman" w:cs="Times New Roman"/>
          <w:sz w:val="28"/>
          <w:szCs w:val="28"/>
        </w:rPr>
      </w:pPr>
    </w:p>
    <w:p w:rsidR="0011157B" w:rsidRPr="00AF629F" w:rsidRDefault="00AF629F" w:rsidP="004252E3">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Como se precisó en el Título 3, t</w:t>
      </w:r>
      <w:r w:rsidRPr="00AF629F">
        <w:rPr>
          <w:rFonts w:ascii="Times New Roman" w:hAnsi="Times New Roman" w:cs="Times New Roman"/>
          <w:sz w:val="28"/>
          <w:szCs w:val="28"/>
          <w:shd w:val="clear" w:color="auto" w:fill="FFFFFF"/>
        </w:rPr>
        <w:t xml:space="preserve">anto la Constitución </w:t>
      </w:r>
      <w:r w:rsidRPr="00AF629F">
        <w:rPr>
          <w:rFonts w:ascii="Times New Roman" w:hAnsi="Times New Roman" w:cs="Times New Roman"/>
          <w:sz w:val="28"/>
          <w:szCs w:val="28"/>
          <w:shd w:val="clear" w:color="auto" w:fill="FFFFFF"/>
        </w:rPr>
        <w:t xml:space="preserve">Política de 1991 </w:t>
      </w:r>
      <w:r w:rsidRPr="00AF629F">
        <w:rPr>
          <w:rFonts w:ascii="Times New Roman" w:hAnsi="Times New Roman" w:cs="Times New Roman"/>
          <w:sz w:val="28"/>
          <w:szCs w:val="28"/>
          <w:shd w:val="clear" w:color="auto" w:fill="FFFFFF"/>
        </w:rPr>
        <w:t xml:space="preserve">como la Ley 152 de 1994, </w:t>
      </w:r>
      <w:r w:rsidRPr="00AF629F">
        <w:rPr>
          <w:rFonts w:ascii="Times New Roman" w:hAnsi="Times New Roman" w:cs="Times New Roman"/>
          <w:iCs/>
          <w:sz w:val="28"/>
          <w:szCs w:val="28"/>
          <w:shd w:val="clear" w:color="auto" w:fill="FFFFFF"/>
        </w:rPr>
        <w:t>“por la cual se establece la Ley Orgánica del Plan de Desarrollo”</w:t>
      </w:r>
      <w:r w:rsidRPr="00AF629F">
        <w:rPr>
          <w:rFonts w:ascii="Times New Roman" w:hAnsi="Times New Roman" w:cs="Times New Roman"/>
          <w:sz w:val="28"/>
          <w:szCs w:val="28"/>
          <w:shd w:val="clear" w:color="auto" w:fill="FFFFFF"/>
        </w:rPr>
        <w:t xml:space="preserve">, determinan los contenidos de esta ley especial. </w:t>
      </w:r>
      <w:r w:rsidRPr="00AF629F">
        <w:rPr>
          <w:rFonts w:ascii="Times New Roman" w:hAnsi="Times New Roman" w:cs="Times New Roman"/>
          <w:bCs/>
          <w:sz w:val="28"/>
          <w:szCs w:val="28"/>
          <w:shd w:val="clear" w:color="auto" w:fill="FFFFFF"/>
          <w:lang w:val="es-ES_tradnl"/>
        </w:rPr>
        <w:t xml:space="preserve">La jurisprudencia constitucional ha reconocido su </w:t>
      </w:r>
      <w:r w:rsidRPr="00AF629F">
        <w:rPr>
          <w:rFonts w:ascii="Times New Roman" w:hAnsi="Times New Roman" w:cs="Times New Roman"/>
          <w:sz w:val="28"/>
          <w:szCs w:val="28"/>
          <w:shd w:val="clear" w:color="auto" w:fill="FFFFFF"/>
        </w:rPr>
        <w:t>contenido multitemático y heterogéneo</w:t>
      </w:r>
      <w:r w:rsidRPr="00AF629F">
        <w:rPr>
          <w:rFonts w:ascii="Times New Roman" w:hAnsi="Times New Roman" w:cs="Times New Roman"/>
          <w:sz w:val="28"/>
          <w:szCs w:val="28"/>
          <w:shd w:val="clear" w:color="auto" w:fill="FFFFFF"/>
          <w:vertAlign w:val="superscript"/>
        </w:rPr>
        <w:footnoteReference w:id="35"/>
      </w:r>
      <w:r w:rsidRPr="00AF629F">
        <w:rPr>
          <w:rFonts w:ascii="Times New Roman" w:hAnsi="Times New Roman" w:cs="Times New Roman"/>
          <w:sz w:val="28"/>
          <w:szCs w:val="28"/>
          <w:shd w:val="clear" w:color="auto" w:fill="FFFFFF"/>
        </w:rPr>
        <w:t xml:space="preserve"> precisamente por contener las estrategias y orientaciones generales de la política económica, social y ambiental </w:t>
      </w:r>
      <w:r w:rsidRPr="00AF629F">
        <w:rPr>
          <w:rFonts w:ascii="Times New Roman" w:hAnsi="Times New Roman" w:cs="Times New Roman"/>
          <w:sz w:val="28"/>
          <w:szCs w:val="28"/>
          <w:shd w:val="clear" w:color="auto" w:fill="FFFFFF"/>
        </w:rPr>
        <w:t xml:space="preserve">que adoptará </w:t>
      </w:r>
      <w:r w:rsidRPr="00AF629F">
        <w:rPr>
          <w:rFonts w:ascii="Times New Roman" w:hAnsi="Times New Roman" w:cs="Times New Roman"/>
          <w:sz w:val="28"/>
          <w:szCs w:val="28"/>
          <w:shd w:val="clear" w:color="auto" w:fill="FFFFFF"/>
        </w:rPr>
        <w:t xml:space="preserve">el Gobierno </w:t>
      </w:r>
      <w:r w:rsidRPr="00AF629F">
        <w:rPr>
          <w:rFonts w:ascii="Times New Roman" w:hAnsi="Times New Roman" w:cs="Times New Roman"/>
          <w:sz w:val="28"/>
          <w:szCs w:val="28"/>
          <w:shd w:val="clear" w:color="auto" w:fill="FFFFFF"/>
        </w:rPr>
        <w:t xml:space="preserve">durante su período </w:t>
      </w:r>
      <w:r w:rsidRPr="00AF629F">
        <w:rPr>
          <w:rFonts w:ascii="Times New Roman" w:hAnsi="Times New Roman" w:cs="Times New Roman"/>
          <w:sz w:val="28"/>
          <w:szCs w:val="28"/>
          <w:shd w:val="clear" w:color="auto" w:fill="FFFFFF"/>
        </w:rPr>
        <w:t>para alcan</w:t>
      </w:r>
      <w:r w:rsidRPr="00AF629F">
        <w:rPr>
          <w:rFonts w:ascii="Times New Roman" w:hAnsi="Times New Roman" w:cs="Times New Roman"/>
          <w:sz w:val="28"/>
          <w:szCs w:val="28"/>
          <w:shd w:val="clear" w:color="auto" w:fill="FFFFFF"/>
        </w:rPr>
        <w:t>zar los objetivos y metas nacionales y sectoriales de la acción estatal señaladas en el plan</w:t>
      </w:r>
      <w:r w:rsidRPr="00AF629F">
        <w:rPr>
          <w:rFonts w:ascii="Times New Roman" w:hAnsi="Times New Roman" w:cs="Times New Roman"/>
          <w:sz w:val="28"/>
          <w:szCs w:val="28"/>
          <w:shd w:val="clear" w:color="auto" w:fill="FFFFFF"/>
        </w:rPr>
        <w:t>.</w:t>
      </w:r>
    </w:p>
    <w:p w:rsidR="003065E8" w:rsidRPr="00AF629F" w:rsidRDefault="00AF629F" w:rsidP="003065E8">
      <w:pPr>
        <w:pStyle w:val="Prrafodelista"/>
        <w:ind w:left="0"/>
        <w:jc w:val="both"/>
        <w:rPr>
          <w:rFonts w:ascii="Times New Roman" w:hAnsi="Times New Roman" w:cs="Times New Roman"/>
          <w:sz w:val="28"/>
          <w:szCs w:val="28"/>
        </w:rPr>
      </w:pPr>
    </w:p>
    <w:p w:rsidR="00591EB2" w:rsidRPr="00AF629F" w:rsidRDefault="00AF629F" w:rsidP="00591EB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Por tal razón,</w:t>
      </w:r>
      <w:r w:rsidRPr="00AF629F">
        <w:rPr>
          <w:rFonts w:ascii="Times New Roman" w:hAnsi="Times New Roman" w:cs="Times New Roman"/>
          <w:sz w:val="28"/>
          <w:szCs w:val="28"/>
        </w:rPr>
        <w:t xml:space="preserve"> un estándar leve de control, como </w:t>
      </w:r>
      <w:r w:rsidRPr="00AF629F">
        <w:rPr>
          <w:rFonts w:ascii="Times New Roman" w:hAnsi="Times New Roman" w:cs="Times New Roman"/>
          <w:sz w:val="28"/>
          <w:szCs w:val="28"/>
        </w:rPr>
        <w:t>el que se aplica a</w:t>
      </w:r>
      <w:r w:rsidRPr="00AF629F">
        <w:rPr>
          <w:rFonts w:ascii="Times New Roman" w:hAnsi="Times New Roman" w:cs="Times New Roman"/>
          <w:sz w:val="28"/>
          <w:szCs w:val="28"/>
        </w:rPr>
        <w:t xml:space="preserve"> la generalidad de las leyes, </w:t>
      </w:r>
      <w:r w:rsidRPr="00AF629F">
        <w:rPr>
          <w:rFonts w:ascii="Times New Roman" w:hAnsi="Times New Roman" w:cs="Times New Roman"/>
          <w:sz w:val="28"/>
          <w:szCs w:val="28"/>
        </w:rPr>
        <w:t xml:space="preserve">daría lugar a </w:t>
      </w:r>
      <w:r w:rsidRPr="00AF629F">
        <w:rPr>
          <w:rFonts w:ascii="Times New Roman" w:hAnsi="Times New Roman" w:cs="Times New Roman"/>
          <w:sz w:val="28"/>
          <w:szCs w:val="28"/>
          <w:shd w:val="clear" w:color="auto" w:fill="FFFFFF"/>
        </w:rPr>
        <w:t xml:space="preserve">la inclusión de cualquier tipo de </w:t>
      </w:r>
      <w:r w:rsidRPr="00AF629F">
        <w:rPr>
          <w:rFonts w:ascii="Times New Roman" w:hAnsi="Times New Roman" w:cs="Times New Roman"/>
          <w:sz w:val="28"/>
          <w:szCs w:val="28"/>
          <w:shd w:val="clear" w:color="auto" w:fill="FFFFFF"/>
        </w:rPr>
        <w:t>medida</w:t>
      </w:r>
      <w:r w:rsidRPr="00AF629F">
        <w:rPr>
          <w:rFonts w:ascii="Times New Roman" w:hAnsi="Times New Roman" w:cs="Times New Roman"/>
          <w:sz w:val="28"/>
          <w:szCs w:val="28"/>
          <w:shd w:val="clear" w:color="auto" w:fill="FFFFFF"/>
        </w:rPr>
        <w:t xml:space="preserve"> en </w:t>
      </w:r>
      <w:r w:rsidRPr="00AF629F">
        <w:rPr>
          <w:rFonts w:ascii="Times New Roman" w:hAnsi="Times New Roman" w:cs="Times New Roman"/>
          <w:sz w:val="28"/>
          <w:szCs w:val="28"/>
          <w:shd w:val="clear" w:color="auto" w:fill="FFFFFF"/>
        </w:rPr>
        <w:t>la ley</w:t>
      </w:r>
      <w:r w:rsidRPr="00AF629F">
        <w:rPr>
          <w:rFonts w:ascii="Times New Roman" w:hAnsi="Times New Roman" w:cs="Times New Roman"/>
          <w:sz w:val="28"/>
          <w:szCs w:val="28"/>
          <w:shd w:val="clear" w:color="auto" w:fill="FFFFFF"/>
        </w:rPr>
        <w:t xml:space="preserve"> aprobatoria del plan</w:t>
      </w:r>
      <w:r w:rsidRPr="00AF629F">
        <w:rPr>
          <w:rFonts w:ascii="Times New Roman" w:hAnsi="Times New Roman" w:cs="Times New Roman"/>
          <w:sz w:val="28"/>
          <w:szCs w:val="28"/>
          <w:shd w:val="clear" w:color="auto" w:fill="FFFFFF"/>
        </w:rPr>
        <w:t xml:space="preserve"> y, por tanto, vaciaría </w:t>
      </w:r>
      <w:r w:rsidRPr="00AF629F">
        <w:rPr>
          <w:rFonts w:ascii="Times New Roman" w:hAnsi="Times New Roman" w:cs="Times New Roman"/>
          <w:sz w:val="28"/>
          <w:szCs w:val="28"/>
          <w:shd w:val="clear" w:color="auto" w:fill="FFFFFF"/>
        </w:rPr>
        <w:t xml:space="preserve">de contenido </w:t>
      </w:r>
      <w:r w:rsidRPr="00AF629F">
        <w:rPr>
          <w:rFonts w:ascii="Times New Roman" w:hAnsi="Times New Roman" w:cs="Times New Roman"/>
          <w:sz w:val="28"/>
          <w:szCs w:val="28"/>
          <w:shd w:val="clear" w:color="auto" w:fill="FFFFFF"/>
        </w:rPr>
        <w:t xml:space="preserve">la </w:t>
      </w:r>
      <w:r w:rsidRPr="00AF629F">
        <w:rPr>
          <w:rFonts w:ascii="Times New Roman" w:hAnsi="Times New Roman" w:cs="Times New Roman"/>
          <w:sz w:val="28"/>
          <w:szCs w:val="28"/>
          <w:shd w:val="clear" w:color="auto" w:fill="FFFFFF"/>
        </w:rPr>
        <w:t>competencia</w:t>
      </w:r>
      <w:r w:rsidRPr="00AF629F">
        <w:rPr>
          <w:rFonts w:ascii="Times New Roman" w:hAnsi="Times New Roman" w:cs="Times New Roman"/>
          <w:sz w:val="28"/>
          <w:szCs w:val="28"/>
          <w:shd w:val="clear" w:color="auto" w:fill="FFFFFF"/>
        </w:rPr>
        <w:t xml:space="preserve"> legislativa </w:t>
      </w:r>
      <w:r w:rsidRPr="00AF629F">
        <w:rPr>
          <w:rFonts w:ascii="Times New Roman" w:hAnsi="Times New Roman" w:cs="Times New Roman"/>
          <w:sz w:val="28"/>
          <w:szCs w:val="28"/>
          <w:shd w:val="clear" w:color="auto" w:fill="FFFFFF"/>
        </w:rPr>
        <w:t>ordinaria del Congreso</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En consecuencia, </w:t>
      </w:r>
      <w:r w:rsidRPr="00AF629F">
        <w:rPr>
          <w:rFonts w:ascii="Times New Roman" w:hAnsi="Times New Roman" w:cs="Times New Roman"/>
          <w:sz w:val="28"/>
          <w:szCs w:val="28"/>
          <w:lang w:val="es-ES_tradnl"/>
        </w:rPr>
        <w:t xml:space="preserve">el principio de unidad de materia como parámetro de constitucionalidad de sus disposiciones </w:t>
      </w:r>
      <w:r w:rsidRPr="00AF629F">
        <w:rPr>
          <w:rFonts w:ascii="Times New Roman" w:hAnsi="Times New Roman" w:cs="Times New Roman"/>
          <w:sz w:val="28"/>
          <w:szCs w:val="28"/>
        </w:rPr>
        <w:t xml:space="preserve">es </w:t>
      </w:r>
      <w:r w:rsidRPr="00AF629F">
        <w:rPr>
          <w:rFonts w:ascii="Times New Roman" w:hAnsi="Times New Roman" w:cs="Times New Roman"/>
          <w:i/>
          <w:iCs/>
          <w:sz w:val="28"/>
          <w:szCs w:val="28"/>
        </w:rPr>
        <w:t>estricto</w:t>
      </w:r>
      <w:r w:rsidRPr="00AF629F">
        <w:rPr>
          <w:rFonts w:ascii="Times New Roman" w:hAnsi="Times New Roman" w:cs="Times New Roman"/>
          <w:sz w:val="28"/>
          <w:szCs w:val="28"/>
          <w:shd w:val="clear" w:color="auto" w:fill="FFFFFF"/>
          <w:vertAlign w:val="superscript"/>
        </w:rPr>
        <w:footnoteReference w:id="36"/>
      </w:r>
      <w:r w:rsidRPr="00AF629F">
        <w:rPr>
          <w:rFonts w:ascii="Times New Roman" w:hAnsi="Times New Roman" w:cs="Times New Roman"/>
          <w:sz w:val="28"/>
          <w:szCs w:val="28"/>
        </w:rPr>
        <w:t>.</w:t>
      </w:r>
    </w:p>
    <w:p w:rsidR="002D1CEE" w:rsidRPr="00AF629F" w:rsidRDefault="00AF629F" w:rsidP="002D1CEE">
      <w:pPr>
        <w:pStyle w:val="Prrafodelista"/>
        <w:ind w:left="0"/>
        <w:jc w:val="both"/>
        <w:rPr>
          <w:rFonts w:ascii="Times New Roman" w:hAnsi="Times New Roman" w:cs="Times New Roman"/>
          <w:sz w:val="28"/>
          <w:szCs w:val="28"/>
        </w:rPr>
      </w:pPr>
    </w:p>
    <w:p w:rsidR="00C03447" w:rsidRPr="00AF629F" w:rsidRDefault="00AF629F" w:rsidP="002D1CEE">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 xml:space="preserve">La metodología </w:t>
      </w:r>
      <w:r w:rsidRPr="00AF629F">
        <w:rPr>
          <w:rFonts w:ascii="Times New Roman" w:hAnsi="Times New Roman" w:cs="Times New Roman"/>
          <w:sz w:val="28"/>
          <w:szCs w:val="28"/>
          <w:shd w:val="clear" w:color="auto" w:fill="FFFFFF"/>
        </w:rPr>
        <w:t xml:space="preserve">general </w:t>
      </w:r>
      <w:r w:rsidRPr="00AF629F">
        <w:rPr>
          <w:rFonts w:ascii="Times New Roman" w:hAnsi="Times New Roman" w:cs="Times New Roman"/>
          <w:sz w:val="28"/>
          <w:szCs w:val="28"/>
          <w:shd w:val="clear" w:color="auto" w:fill="FFFFFF"/>
        </w:rPr>
        <w:t xml:space="preserve">para valorar la compatibilidad de </w:t>
      </w:r>
      <w:r w:rsidRPr="00AF629F">
        <w:rPr>
          <w:rFonts w:ascii="Times New Roman" w:hAnsi="Times New Roman" w:cs="Times New Roman"/>
          <w:sz w:val="28"/>
          <w:szCs w:val="28"/>
          <w:shd w:val="clear" w:color="auto" w:fill="FFFFFF"/>
        </w:rPr>
        <w:t xml:space="preserve">las </w:t>
      </w:r>
      <w:r w:rsidRPr="00AF629F">
        <w:rPr>
          <w:rFonts w:ascii="Times New Roman" w:hAnsi="Times New Roman" w:cs="Times New Roman"/>
          <w:sz w:val="28"/>
          <w:szCs w:val="28"/>
          <w:shd w:val="clear" w:color="auto" w:fill="FFFFFF"/>
        </w:rPr>
        <w:t>medidas contenidas en la ley aprobatoria</w:t>
      </w:r>
      <w:r w:rsidRPr="00AF629F">
        <w:rPr>
          <w:rFonts w:ascii="Times New Roman" w:hAnsi="Times New Roman" w:cs="Times New Roman"/>
          <w:sz w:val="28"/>
          <w:szCs w:val="28"/>
          <w:shd w:val="clear" w:color="auto" w:fill="FFFFFF"/>
        </w:rPr>
        <w:t xml:space="preserve"> del plan nacional de desarrollo </w:t>
      </w:r>
      <w:r w:rsidRPr="00AF629F">
        <w:rPr>
          <w:rFonts w:ascii="Times New Roman" w:hAnsi="Times New Roman" w:cs="Times New Roman"/>
          <w:sz w:val="28"/>
          <w:szCs w:val="28"/>
          <w:shd w:val="clear" w:color="auto" w:fill="FFFFFF"/>
        </w:rPr>
        <w:t xml:space="preserve">con el principio </w:t>
      </w:r>
      <w:r w:rsidRPr="00AF629F">
        <w:rPr>
          <w:rFonts w:ascii="Times New Roman" w:hAnsi="Times New Roman" w:cs="Times New Roman"/>
          <w:sz w:val="28"/>
          <w:szCs w:val="28"/>
          <w:shd w:val="clear" w:color="auto" w:fill="FFFFFF"/>
        </w:rPr>
        <w:t xml:space="preserve">constitucional </w:t>
      </w:r>
      <w:r w:rsidRPr="00AF629F">
        <w:rPr>
          <w:rFonts w:ascii="Times New Roman" w:hAnsi="Times New Roman" w:cs="Times New Roman"/>
          <w:sz w:val="28"/>
          <w:szCs w:val="28"/>
          <w:shd w:val="clear" w:color="auto" w:fill="FFFFFF"/>
        </w:rPr>
        <w:t xml:space="preserve">de unidad de materia </w:t>
      </w:r>
      <w:r w:rsidRPr="00AF629F">
        <w:rPr>
          <w:rFonts w:ascii="Times New Roman" w:hAnsi="Times New Roman" w:cs="Times New Roman"/>
          <w:sz w:val="28"/>
          <w:szCs w:val="28"/>
          <w:shd w:val="clear" w:color="auto" w:fill="FFFFFF"/>
        </w:rPr>
        <w:t xml:space="preserve">exige verificar </w:t>
      </w:r>
      <w:r w:rsidRPr="00AF629F">
        <w:rPr>
          <w:rFonts w:ascii="Times New Roman" w:hAnsi="Times New Roman" w:cs="Times New Roman"/>
          <w:sz w:val="28"/>
          <w:szCs w:val="28"/>
          <w:shd w:val="clear" w:color="auto" w:fill="FFFFFF"/>
        </w:rPr>
        <w:t xml:space="preserve">tres </w:t>
      </w:r>
      <w:r w:rsidRPr="00AF629F">
        <w:rPr>
          <w:rFonts w:ascii="Times New Roman" w:hAnsi="Times New Roman" w:cs="Times New Roman"/>
          <w:sz w:val="28"/>
          <w:szCs w:val="28"/>
          <w:shd w:val="clear" w:color="auto" w:fill="FFFFFF"/>
        </w:rPr>
        <w:t xml:space="preserve">condiciones sucesivas. En caso de que alguna de estas no se acredite, se debe declarar la inexequibilidad de la </w:t>
      </w:r>
      <w:r w:rsidRPr="00AF629F">
        <w:rPr>
          <w:rFonts w:ascii="Times New Roman" w:hAnsi="Times New Roman" w:cs="Times New Roman"/>
          <w:sz w:val="28"/>
          <w:szCs w:val="28"/>
          <w:shd w:val="clear" w:color="auto" w:fill="FFFFFF"/>
        </w:rPr>
        <w:t>medida de que se trate por</w:t>
      </w:r>
      <w:r w:rsidRPr="00AF629F">
        <w:rPr>
          <w:rFonts w:ascii="Times New Roman" w:hAnsi="Times New Roman" w:cs="Times New Roman"/>
          <w:sz w:val="28"/>
          <w:szCs w:val="28"/>
          <w:shd w:val="clear" w:color="auto" w:fill="FFFFFF"/>
        </w:rPr>
        <w:t xml:space="preserve"> desconocer </w:t>
      </w:r>
      <w:r w:rsidRPr="00AF629F">
        <w:rPr>
          <w:rFonts w:ascii="Times New Roman" w:hAnsi="Times New Roman" w:cs="Times New Roman"/>
          <w:sz w:val="28"/>
          <w:szCs w:val="28"/>
          <w:shd w:val="clear" w:color="auto" w:fill="FFFFFF"/>
        </w:rPr>
        <w:t>lo dispuesto en los artículos 158 y 169 de la Constitución</w:t>
      </w:r>
      <w:r w:rsidRPr="00AF629F">
        <w:rPr>
          <w:rStyle w:val="Refdenotaalpie"/>
          <w:rFonts w:ascii="Times New Roman" w:hAnsi="Times New Roman" w:cs="Times New Roman"/>
          <w:sz w:val="28"/>
          <w:szCs w:val="28"/>
          <w:shd w:val="clear" w:color="auto" w:fill="FFFFFF"/>
        </w:rPr>
        <w:footnoteReference w:id="37"/>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b/>
          <w:bCs/>
          <w:sz w:val="28"/>
          <w:szCs w:val="28"/>
          <w:shd w:val="clear" w:color="auto" w:fill="FFFFFF"/>
        </w:rPr>
        <w:t>En primer lugar</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w:t>
      </w:r>
      <w:r w:rsidRPr="00AF629F">
        <w:rPr>
          <w:rFonts w:ascii="Times New Roman" w:hAnsi="Times New Roman" w:cs="Times New Roman"/>
          <w:iCs/>
          <w:sz w:val="28"/>
          <w:szCs w:val="28"/>
          <w:lang w:val="es-ES_tradnl"/>
        </w:rPr>
        <w:t>se debe determinar la ubica</w:t>
      </w:r>
      <w:r w:rsidRPr="00AF629F">
        <w:rPr>
          <w:rFonts w:ascii="Times New Roman" w:hAnsi="Times New Roman" w:cs="Times New Roman"/>
          <w:iCs/>
          <w:sz w:val="28"/>
          <w:szCs w:val="28"/>
          <w:lang w:val="es-ES_tradnl"/>
        </w:rPr>
        <w:t>ción y alcance de las normas demandadas</w:t>
      </w:r>
      <w:r w:rsidRPr="00AF629F">
        <w:rPr>
          <w:rFonts w:ascii="Times New Roman" w:hAnsi="Times New Roman" w:cs="Times New Roman"/>
          <w:iCs/>
          <w:sz w:val="28"/>
          <w:szCs w:val="28"/>
          <w:lang w:val="es-ES_tradnl"/>
        </w:rPr>
        <w:t>”</w:t>
      </w:r>
      <w:r w:rsidRPr="00AF629F">
        <w:rPr>
          <w:rFonts w:ascii="Times New Roman" w:hAnsi="Times New Roman" w:cs="Times New Roman"/>
          <w:iCs/>
          <w:sz w:val="28"/>
          <w:szCs w:val="28"/>
          <w:lang w:val="es-ES_tradnl"/>
        </w:rPr>
        <w:t>, con la finalidad de establecer</w:t>
      </w:r>
      <w:r w:rsidRPr="00AF629F">
        <w:rPr>
          <w:rFonts w:ascii="Times New Roman" w:hAnsi="Times New Roman" w:cs="Times New Roman"/>
          <w:iCs/>
          <w:sz w:val="28"/>
          <w:szCs w:val="28"/>
          <w:lang w:val="es-ES_tradnl"/>
        </w:rPr>
        <w:t xml:space="preserve">, </w:t>
      </w:r>
      <w:r w:rsidRPr="00AF629F">
        <w:rPr>
          <w:rFonts w:ascii="Times New Roman" w:hAnsi="Times New Roman" w:cs="Times New Roman"/>
          <w:i/>
          <w:sz w:val="28"/>
          <w:szCs w:val="28"/>
          <w:lang w:val="es-ES_tradnl"/>
        </w:rPr>
        <w:t>prima facie</w:t>
      </w:r>
      <w:r w:rsidRPr="00AF629F">
        <w:rPr>
          <w:rFonts w:ascii="Times New Roman" w:hAnsi="Times New Roman" w:cs="Times New Roman"/>
          <w:iCs/>
          <w:sz w:val="28"/>
          <w:szCs w:val="28"/>
          <w:lang w:val="es-ES_tradnl"/>
        </w:rPr>
        <w:t xml:space="preserve">, </w:t>
      </w:r>
      <w:r w:rsidRPr="00AF629F">
        <w:rPr>
          <w:rFonts w:ascii="Times New Roman" w:hAnsi="Times New Roman" w:cs="Times New Roman"/>
          <w:iCs/>
          <w:sz w:val="28"/>
          <w:szCs w:val="28"/>
          <w:lang w:val="es-ES_tradnl"/>
        </w:rPr>
        <w:t>si es una disposición instrumental</w:t>
      </w:r>
      <w:r w:rsidRPr="00AF629F">
        <w:rPr>
          <w:rFonts w:ascii="Times New Roman" w:hAnsi="Times New Roman" w:cs="Times New Roman"/>
          <w:iCs/>
          <w:sz w:val="28"/>
          <w:szCs w:val="28"/>
          <w:lang w:val="es-ES_tradnl"/>
        </w:rPr>
        <w:t xml:space="preserve">; </w:t>
      </w:r>
      <w:r w:rsidRPr="00AF629F">
        <w:rPr>
          <w:rFonts w:ascii="Times New Roman" w:hAnsi="Times New Roman" w:cs="Times New Roman"/>
          <w:b/>
          <w:bCs/>
          <w:iCs/>
          <w:sz w:val="28"/>
          <w:szCs w:val="28"/>
          <w:lang w:val="es-ES_tradnl"/>
        </w:rPr>
        <w:t>e</w:t>
      </w:r>
      <w:r w:rsidRPr="00AF629F">
        <w:rPr>
          <w:rFonts w:ascii="Times New Roman" w:hAnsi="Times New Roman" w:cs="Times New Roman"/>
          <w:b/>
          <w:bCs/>
          <w:iCs/>
          <w:sz w:val="28"/>
          <w:szCs w:val="28"/>
          <w:lang w:val="es-ES_tradnl"/>
        </w:rPr>
        <w:t>n segundo lugar</w:t>
      </w:r>
      <w:r w:rsidRPr="00AF629F">
        <w:rPr>
          <w:rFonts w:ascii="Times New Roman" w:hAnsi="Times New Roman" w:cs="Times New Roman"/>
          <w:iCs/>
          <w:sz w:val="28"/>
          <w:szCs w:val="28"/>
          <w:lang w:val="es-ES_tradnl"/>
        </w:rPr>
        <w:t xml:space="preserve">, se debe definir si </w:t>
      </w:r>
      <w:r w:rsidRPr="00AF629F">
        <w:rPr>
          <w:rFonts w:ascii="Times New Roman" w:hAnsi="Times New Roman" w:cs="Times New Roman"/>
          <w:iCs/>
          <w:sz w:val="28"/>
          <w:szCs w:val="28"/>
          <w:lang w:val="es-ES_tradnl"/>
        </w:rPr>
        <w:t>las disposiciones acusadas pued</w:t>
      </w:r>
      <w:r w:rsidRPr="00AF629F">
        <w:rPr>
          <w:rFonts w:ascii="Times New Roman" w:hAnsi="Times New Roman" w:cs="Times New Roman"/>
          <w:iCs/>
          <w:sz w:val="28"/>
          <w:szCs w:val="28"/>
          <w:lang w:val="es-ES_tradnl"/>
        </w:rPr>
        <w:t>e</w:t>
      </w:r>
      <w:r w:rsidRPr="00AF629F">
        <w:rPr>
          <w:rFonts w:ascii="Times New Roman" w:hAnsi="Times New Roman" w:cs="Times New Roman"/>
          <w:iCs/>
          <w:sz w:val="28"/>
          <w:szCs w:val="28"/>
          <w:lang w:val="es-ES_tradnl"/>
        </w:rPr>
        <w:t>n relacionarse con</w:t>
      </w:r>
      <w:r w:rsidRPr="00AF629F">
        <w:rPr>
          <w:rFonts w:ascii="Times New Roman" w:hAnsi="Times New Roman" w:cs="Times New Roman"/>
          <w:iCs/>
          <w:sz w:val="28"/>
          <w:szCs w:val="28"/>
          <w:lang w:val="es-ES_tradnl"/>
        </w:rPr>
        <w:t xml:space="preserve"> la parte general del plan</w:t>
      </w:r>
      <w:r w:rsidRPr="00AF629F">
        <w:rPr>
          <w:rStyle w:val="Refdenotaalpie"/>
          <w:rFonts w:ascii="Times New Roman" w:hAnsi="Times New Roman" w:cs="Times New Roman"/>
          <w:iCs/>
          <w:sz w:val="28"/>
          <w:szCs w:val="28"/>
          <w:lang w:val="es-ES_tradnl"/>
        </w:rPr>
        <w:footnoteReference w:id="38"/>
      </w:r>
      <w:r w:rsidRPr="00AF629F">
        <w:rPr>
          <w:rFonts w:ascii="Times New Roman" w:hAnsi="Times New Roman" w:cs="Times New Roman"/>
          <w:iCs/>
          <w:sz w:val="28"/>
          <w:szCs w:val="28"/>
          <w:lang w:val="es-ES_tradnl"/>
        </w:rPr>
        <w:t xml:space="preserve"> y, </w:t>
      </w:r>
      <w:r w:rsidRPr="00AF629F">
        <w:rPr>
          <w:rFonts w:ascii="Times New Roman" w:hAnsi="Times New Roman" w:cs="Times New Roman"/>
          <w:b/>
          <w:bCs/>
          <w:iCs/>
          <w:sz w:val="28"/>
          <w:szCs w:val="28"/>
          <w:lang w:val="es-ES_tradnl"/>
        </w:rPr>
        <w:t>e</w:t>
      </w:r>
      <w:r w:rsidRPr="00AF629F">
        <w:rPr>
          <w:rFonts w:ascii="Times New Roman" w:hAnsi="Times New Roman" w:cs="Times New Roman"/>
          <w:b/>
          <w:bCs/>
          <w:iCs/>
          <w:sz w:val="28"/>
          <w:szCs w:val="28"/>
          <w:lang w:val="es-ES_tradnl"/>
        </w:rPr>
        <w:t>n tercer lugar</w:t>
      </w:r>
      <w:r w:rsidRPr="00AF629F">
        <w:rPr>
          <w:rFonts w:ascii="Times New Roman" w:hAnsi="Times New Roman" w:cs="Times New Roman"/>
          <w:iCs/>
          <w:sz w:val="28"/>
          <w:szCs w:val="28"/>
          <w:lang w:val="es-ES_tradnl"/>
        </w:rPr>
        <w:t xml:space="preserve">, se ha de constatar que exista conexidad estrecha, directa e inmediata entre las normas cuestionadas y </w:t>
      </w:r>
      <w:r w:rsidRPr="00AF629F">
        <w:rPr>
          <w:rFonts w:ascii="Times New Roman" w:hAnsi="Times New Roman" w:cs="Times New Roman"/>
          <w:iCs/>
          <w:sz w:val="28"/>
          <w:szCs w:val="28"/>
          <w:lang w:val="es-ES_tradnl"/>
        </w:rPr>
        <w:t>los contenidos</w:t>
      </w:r>
      <w:r w:rsidRPr="00AF629F">
        <w:rPr>
          <w:rFonts w:ascii="Times New Roman" w:hAnsi="Times New Roman" w:cs="Times New Roman"/>
          <w:iCs/>
          <w:sz w:val="28"/>
          <w:szCs w:val="28"/>
          <w:lang w:val="es-ES_tradnl"/>
        </w:rPr>
        <w:t xml:space="preserve"> de la parte general del plan</w:t>
      </w:r>
      <w:r w:rsidRPr="00AF629F">
        <w:rPr>
          <w:rStyle w:val="Refdenotaalpie"/>
          <w:rFonts w:ascii="Times New Roman" w:hAnsi="Times New Roman" w:cs="Times New Roman"/>
          <w:sz w:val="28"/>
          <w:szCs w:val="28"/>
          <w:shd w:val="clear" w:color="auto" w:fill="FFFFFF"/>
        </w:rPr>
        <w:footnoteReference w:id="39"/>
      </w:r>
      <w:r w:rsidRPr="00AF629F">
        <w:rPr>
          <w:rFonts w:ascii="Times New Roman" w:hAnsi="Times New Roman" w:cs="Times New Roman"/>
          <w:iCs/>
          <w:sz w:val="28"/>
          <w:szCs w:val="28"/>
          <w:lang w:val="es-ES_tradnl"/>
        </w:rPr>
        <w:t>.</w:t>
      </w:r>
      <w:r w:rsidRPr="00AF629F">
        <w:rPr>
          <w:rFonts w:ascii="Times New Roman" w:hAnsi="Times New Roman" w:cs="Times New Roman"/>
          <w:iCs/>
          <w:sz w:val="28"/>
          <w:szCs w:val="28"/>
          <w:lang w:val="es-ES_tradnl"/>
        </w:rPr>
        <w:t xml:space="preserve"> </w:t>
      </w:r>
    </w:p>
    <w:p w:rsidR="00C03447" w:rsidRPr="00AF629F" w:rsidRDefault="00AF629F" w:rsidP="00C03447">
      <w:pPr>
        <w:pStyle w:val="Prrafodelista"/>
        <w:rPr>
          <w:rFonts w:ascii="Times New Roman" w:hAnsi="Times New Roman" w:cs="Times New Roman"/>
          <w:sz w:val="28"/>
          <w:szCs w:val="28"/>
        </w:rPr>
      </w:pPr>
    </w:p>
    <w:p w:rsidR="000B7AB8" w:rsidRPr="00AF629F" w:rsidRDefault="00AF629F" w:rsidP="002D1CEE">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En cuanto a esta tercera condición, en la sentencia en cita </w:t>
      </w:r>
      <w:r w:rsidRPr="00AF629F">
        <w:rPr>
          <w:rFonts w:ascii="Times New Roman" w:hAnsi="Times New Roman" w:cs="Times New Roman"/>
          <w:sz w:val="28"/>
          <w:szCs w:val="28"/>
        </w:rPr>
        <w:t xml:space="preserve">(C-415 de 2020) </w:t>
      </w:r>
      <w:r w:rsidRPr="00AF629F">
        <w:rPr>
          <w:rFonts w:ascii="Times New Roman" w:hAnsi="Times New Roman" w:cs="Times New Roman"/>
          <w:sz w:val="28"/>
          <w:szCs w:val="28"/>
        </w:rPr>
        <w:t>se señala</w:t>
      </w:r>
      <w:r w:rsidRPr="00AF629F">
        <w:rPr>
          <w:rFonts w:ascii="Times New Roman" w:hAnsi="Times New Roman" w:cs="Times New Roman"/>
          <w:sz w:val="28"/>
          <w:szCs w:val="28"/>
        </w:rPr>
        <w:t xml:space="preserve"> que “</w:t>
      </w:r>
      <w:r w:rsidRPr="00AF629F">
        <w:rPr>
          <w:rFonts w:ascii="Times New Roman" w:hAnsi="Times New Roman" w:cs="Times New Roman"/>
          <w:sz w:val="28"/>
          <w:szCs w:val="28"/>
          <w:shd w:val="clear" w:color="auto" w:fill="FFFFFF"/>
        </w:rPr>
        <w:t>[e]</w:t>
      </w:r>
      <w:r w:rsidRPr="00AF629F">
        <w:rPr>
          <w:rFonts w:ascii="Times New Roman" w:hAnsi="Times New Roman" w:cs="Times New Roman"/>
          <w:sz w:val="28"/>
          <w:szCs w:val="28"/>
          <w:shd w:val="clear" w:color="auto" w:fill="FFFFFF"/>
        </w:rPr>
        <w:t xml:space="preserve">n el </w:t>
      </w:r>
      <w:r w:rsidRPr="00AF629F">
        <w:rPr>
          <w:rFonts w:ascii="Times New Roman" w:hAnsi="Times New Roman" w:cs="Times New Roman"/>
          <w:sz w:val="28"/>
          <w:szCs w:val="28"/>
          <w:shd w:val="clear" w:color="auto" w:fill="FFFFFF"/>
        </w:rPr>
        <w:t>desarrollo de dicho control, debe establecerse la existencia de una</w:t>
      </w:r>
      <w:r w:rsidRPr="00AF629F">
        <w:rPr>
          <w:rStyle w:val="apple-converted-space"/>
          <w:rFonts w:ascii="Times New Roman" w:hAnsi="Times New Roman" w:cs="Times New Roman"/>
          <w:sz w:val="28"/>
          <w:szCs w:val="28"/>
          <w:shd w:val="clear" w:color="auto" w:fill="FFFFFF"/>
        </w:rPr>
        <w:t> </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rPr>
        <w:t>conexión directa e inmediata (estrecha y verificable)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entre la parte general del Plan y las disposiciones destinadas a su implementación; por tanto, las normas instrumentales objeto de </w:t>
      </w:r>
      <w:r w:rsidRPr="00AF629F">
        <w:rPr>
          <w:rFonts w:ascii="Times New Roman" w:hAnsi="Times New Roman" w:cs="Times New Roman"/>
          <w:sz w:val="28"/>
          <w:szCs w:val="28"/>
        </w:rPr>
        <w:t>análisis deberán llevar inequívocamente al logro de lo planteado en los componentes de la parte general”</w:t>
      </w:r>
      <w:r w:rsidRPr="00AF629F">
        <w:rPr>
          <w:rFonts w:ascii="Times New Roman" w:hAnsi="Times New Roman" w:cs="Times New Roman"/>
          <w:sz w:val="28"/>
          <w:szCs w:val="28"/>
        </w:rPr>
        <w:t>.</w:t>
      </w:r>
      <w:r w:rsidRPr="00AF629F">
        <w:rPr>
          <w:rFonts w:ascii="Times New Roman" w:hAnsi="Times New Roman" w:cs="Times New Roman"/>
          <w:iCs/>
          <w:sz w:val="28"/>
          <w:szCs w:val="28"/>
        </w:rPr>
        <w:t xml:space="preserve"> Esta última condición ha sido considerada especialmente relevante por la jurisprudencia, en atención al carácter multitemático y heterogéneo de la ley</w:t>
      </w:r>
      <w:r w:rsidRPr="00AF629F">
        <w:rPr>
          <w:rFonts w:ascii="Times New Roman" w:hAnsi="Times New Roman" w:cs="Times New Roman"/>
          <w:iCs/>
          <w:sz w:val="28"/>
          <w:szCs w:val="28"/>
        </w:rPr>
        <w:t xml:space="preserve"> aprobatoria del plan nacional de desarrollo, que “no puede dar lugar a que se introduzcan normas que no tengan una conexión estrecha directa e inmediata, dado que el principio democrático se encuentra restringido en tanto, como se ha explicado, la iniciat</w:t>
      </w:r>
      <w:r w:rsidRPr="00AF629F">
        <w:rPr>
          <w:rFonts w:ascii="Times New Roman" w:hAnsi="Times New Roman" w:cs="Times New Roman"/>
          <w:iCs/>
          <w:sz w:val="28"/>
          <w:szCs w:val="28"/>
        </w:rPr>
        <w:t>iva es gubernamental, las posibilidades de modificación del proyecto por el Congreso se encuentran limitadas, el término para la aprobación del plan es reducido y la especial prevalencia del plan nacional de inversiones” (</w:t>
      </w:r>
      <w:r w:rsidRPr="00AF629F">
        <w:rPr>
          <w:rFonts w:ascii="Times New Roman" w:hAnsi="Times New Roman" w:cs="Times New Roman"/>
          <w:iCs/>
          <w:sz w:val="28"/>
          <w:szCs w:val="28"/>
        </w:rPr>
        <w:t>I</w:t>
      </w:r>
      <w:r w:rsidRPr="00AF629F">
        <w:rPr>
          <w:rFonts w:ascii="Times New Roman" w:hAnsi="Times New Roman" w:cs="Times New Roman"/>
          <w:iCs/>
          <w:sz w:val="28"/>
          <w:szCs w:val="28"/>
        </w:rPr>
        <w:t>bid.).</w:t>
      </w:r>
    </w:p>
    <w:p w:rsidR="00727FE2" w:rsidRPr="00AF629F" w:rsidRDefault="00AF629F" w:rsidP="00727FE2">
      <w:pPr>
        <w:rPr>
          <w:rFonts w:ascii="Times New Roman" w:hAnsi="Times New Roman" w:cs="Times New Roman"/>
          <w:sz w:val="28"/>
          <w:szCs w:val="28"/>
        </w:rPr>
      </w:pPr>
    </w:p>
    <w:p w:rsidR="00EE305D" w:rsidRPr="00AF629F" w:rsidRDefault="00AF629F" w:rsidP="002B1252">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La Sentencia C-415 de 202</w:t>
      </w:r>
      <w:r w:rsidRPr="00AF629F">
        <w:rPr>
          <w:rFonts w:ascii="Times New Roman" w:hAnsi="Times New Roman" w:cs="Times New Roman"/>
          <w:sz w:val="28"/>
          <w:szCs w:val="28"/>
        </w:rPr>
        <w:t xml:space="preserve">0, además </w:t>
      </w:r>
      <w:r w:rsidRPr="00AF629F">
        <w:rPr>
          <w:rFonts w:ascii="Times New Roman" w:hAnsi="Times New Roman" w:cs="Times New Roman"/>
          <w:sz w:val="28"/>
          <w:szCs w:val="28"/>
        </w:rPr>
        <w:t>de su pretensión de unificación en cuanto al control de constitucionalidad cuando se alega el desconocimiento del principio de unidad de materia por parte de una disposición del plan nacional de desarrollo, explicitó un problema de relevancia con</w:t>
      </w:r>
      <w:r w:rsidRPr="00AF629F">
        <w:rPr>
          <w:rFonts w:ascii="Times New Roman" w:hAnsi="Times New Roman" w:cs="Times New Roman"/>
          <w:sz w:val="28"/>
          <w:szCs w:val="28"/>
        </w:rPr>
        <w:t xml:space="preserve">stitucional recurrente en </w:t>
      </w:r>
      <w:r w:rsidRPr="00AF629F">
        <w:rPr>
          <w:rFonts w:ascii="Times New Roman" w:hAnsi="Times New Roman" w:cs="Times New Roman"/>
          <w:sz w:val="28"/>
          <w:szCs w:val="28"/>
        </w:rPr>
        <w:t xml:space="preserve">este ámbito, y que se relaciona </w:t>
      </w:r>
      <w:r w:rsidRPr="00AF629F">
        <w:rPr>
          <w:rFonts w:ascii="Times New Roman" w:hAnsi="Times New Roman" w:cs="Times New Roman"/>
          <w:sz w:val="28"/>
          <w:szCs w:val="28"/>
        </w:rPr>
        <w:t xml:space="preserve">con aquellas disposiciones que introducen modificaciones permanentes en el ordenamiento jurídico o </w:t>
      </w:r>
      <w:r w:rsidRPr="00AF629F">
        <w:rPr>
          <w:rFonts w:ascii="Times New Roman" w:hAnsi="Times New Roman" w:cs="Times New Roman"/>
          <w:sz w:val="28"/>
          <w:szCs w:val="28"/>
        </w:rPr>
        <w:t xml:space="preserve">que </w:t>
      </w:r>
      <w:r w:rsidRPr="00AF629F">
        <w:rPr>
          <w:rFonts w:ascii="Times New Roman" w:hAnsi="Times New Roman" w:cs="Times New Roman"/>
          <w:sz w:val="28"/>
          <w:szCs w:val="28"/>
        </w:rPr>
        <w:t xml:space="preserve">su vigencia supera </w:t>
      </w:r>
      <w:r w:rsidRPr="00AF629F">
        <w:rPr>
          <w:rFonts w:ascii="Times New Roman" w:hAnsi="Times New Roman" w:cs="Times New Roman"/>
          <w:sz w:val="28"/>
          <w:szCs w:val="28"/>
        </w:rPr>
        <w:t>el respectivo periodo cuatrienal de gobierno.</w:t>
      </w:r>
    </w:p>
    <w:p w:rsidR="00EE305D" w:rsidRPr="00AF629F" w:rsidRDefault="00AF629F" w:rsidP="00B05B8E">
      <w:pPr>
        <w:pStyle w:val="Prrafodelista"/>
        <w:rPr>
          <w:rFonts w:ascii="Times New Roman" w:hAnsi="Times New Roman" w:cs="Times New Roman"/>
          <w:sz w:val="28"/>
          <w:szCs w:val="28"/>
        </w:rPr>
      </w:pPr>
    </w:p>
    <w:p w:rsidR="00D025DD" w:rsidRPr="00AF629F" w:rsidRDefault="00AF629F" w:rsidP="00D025DD">
      <w:pPr>
        <w:pStyle w:val="Estilo1"/>
        <w:numPr>
          <w:ilvl w:val="1"/>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 xml:space="preserve">El control de </w:t>
      </w:r>
      <w:r w:rsidRPr="00AF629F">
        <w:rPr>
          <w:rStyle w:val="Ttulo1Car"/>
          <w:rFonts w:ascii="Times New Roman" w:hAnsi="Times New Roman" w:cs="Times New Roman"/>
          <w:bCs/>
          <w:color w:val="auto"/>
          <w:sz w:val="28"/>
          <w:szCs w:val="28"/>
        </w:rPr>
        <w:t>constitucionalidad de las disposiciones del plan nacional de desarrollo que introducen modificaciones perm</w:t>
      </w:r>
      <w:r w:rsidRPr="00AF629F">
        <w:rPr>
          <w:rStyle w:val="Ttulo1Car"/>
          <w:rFonts w:ascii="Times New Roman" w:hAnsi="Times New Roman" w:cs="Times New Roman"/>
          <w:bCs/>
          <w:color w:val="auto"/>
          <w:sz w:val="28"/>
          <w:szCs w:val="28"/>
        </w:rPr>
        <w:t>an</w:t>
      </w:r>
      <w:r w:rsidRPr="00AF629F">
        <w:rPr>
          <w:rStyle w:val="Ttulo1Car"/>
          <w:rFonts w:ascii="Times New Roman" w:hAnsi="Times New Roman" w:cs="Times New Roman"/>
          <w:bCs/>
          <w:color w:val="auto"/>
          <w:sz w:val="28"/>
          <w:szCs w:val="28"/>
        </w:rPr>
        <w:t xml:space="preserve">entes </w:t>
      </w:r>
      <w:r w:rsidRPr="00AF629F">
        <w:rPr>
          <w:rStyle w:val="Ttulo1Car"/>
          <w:rFonts w:ascii="Times New Roman" w:hAnsi="Times New Roman" w:cs="Times New Roman"/>
          <w:bCs/>
          <w:color w:val="auto"/>
          <w:sz w:val="28"/>
          <w:szCs w:val="28"/>
        </w:rPr>
        <w:t>a</w:t>
      </w:r>
      <w:r w:rsidRPr="00AF629F">
        <w:rPr>
          <w:rStyle w:val="Ttulo1Car"/>
          <w:rFonts w:ascii="Times New Roman" w:hAnsi="Times New Roman" w:cs="Times New Roman"/>
          <w:bCs/>
          <w:color w:val="auto"/>
          <w:sz w:val="28"/>
          <w:szCs w:val="28"/>
        </w:rPr>
        <w:t xml:space="preserve">l ordenamiento jurídico </w:t>
      </w:r>
      <w:r w:rsidRPr="00AF629F">
        <w:rPr>
          <w:rStyle w:val="Ttulo1Car"/>
          <w:rFonts w:ascii="Times New Roman" w:hAnsi="Times New Roman" w:cs="Times New Roman"/>
          <w:bCs/>
          <w:color w:val="auto"/>
          <w:sz w:val="28"/>
          <w:szCs w:val="28"/>
        </w:rPr>
        <w:t>o cuya vigencia supera el respectivo periodo cuatrienal de gobierno</w:t>
      </w:r>
    </w:p>
    <w:p w:rsidR="00D025DD" w:rsidRPr="00AF629F" w:rsidRDefault="00AF629F" w:rsidP="00D025DD">
      <w:pPr>
        <w:pStyle w:val="Prrafodelista"/>
        <w:ind w:left="0"/>
        <w:jc w:val="both"/>
        <w:rPr>
          <w:rFonts w:ascii="Times New Roman" w:hAnsi="Times New Roman" w:cs="Times New Roman"/>
          <w:sz w:val="28"/>
          <w:szCs w:val="28"/>
        </w:rPr>
      </w:pPr>
    </w:p>
    <w:p w:rsidR="003D3DC8" w:rsidRPr="00AF629F" w:rsidRDefault="00AF629F" w:rsidP="003D3DC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 xml:space="preserve">Si bien, </w:t>
      </w:r>
      <w:r w:rsidRPr="00AF629F">
        <w:rPr>
          <w:rFonts w:ascii="Times New Roman" w:hAnsi="Times New Roman" w:cs="Times New Roman"/>
          <w:sz w:val="28"/>
          <w:szCs w:val="28"/>
          <w:shd w:val="clear" w:color="auto" w:fill="FFFFFF"/>
        </w:rPr>
        <w:t xml:space="preserve">antes de la expedición de la Sentencia </w:t>
      </w:r>
      <w:r w:rsidRPr="00AF629F">
        <w:rPr>
          <w:rFonts w:ascii="Times New Roman" w:hAnsi="Times New Roman" w:cs="Times New Roman"/>
          <w:sz w:val="28"/>
          <w:szCs w:val="28"/>
          <w:shd w:val="clear" w:color="auto" w:fill="FFFFFF"/>
        </w:rPr>
        <w:t>C-415 de 2020, la Sala había advertido este fenómeno y había efectuado el control de constitucionalidad de tales disposiciones</w:t>
      </w:r>
      <w:r w:rsidRPr="00AF629F">
        <w:rPr>
          <w:rStyle w:val="Refdenotaalpie"/>
          <w:rFonts w:ascii="Times New Roman" w:hAnsi="Times New Roman" w:cs="Times New Roman"/>
          <w:sz w:val="28"/>
          <w:szCs w:val="28"/>
          <w:shd w:val="clear" w:color="auto" w:fill="FFFFFF"/>
        </w:rPr>
        <w:footnoteReference w:id="40"/>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en</w:t>
      </w:r>
      <w:r w:rsidRPr="00AF629F">
        <w:rPr>
          <w:rFonts w:ascii="Times New Roman" w:hAnsi="Times New Roman" w:cs="Times New Roman"/>
          <w:sz w:val="28"/>
          <w:szCs w:val="28"/>
          <w:shd w:val="clear" w:color="auto" w:fill="FFFFFF"/>
        </w:rPr>
        <w:t xml:space="preserve"> esta sentencia </w:t>
      </w:r>
      <w:r w:rsidRPr="00AF629F">
        <w:rPr>
          <w:rFonts w:ascii="Times New Roman" w:hAnsi="Times New Roman" w:cs="Times New Roman"/>
          <w:sz w:val="28"/>
          <w:szCs w:val="28"/>
          <w:shd w:val="clear" w:color="auto" w:fill="FFFFFF"/>
        </w:rPr>
        <w:t>precisó que</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[e]</w:t>
      </w:r>
      <w:r w:rsidRPr="00AF629F">
        <w:rPr>
          <w:rFonts w:ascii="Times New Roman" w:hAnsi="Times New Roman" w:cs="Times New Roman"/>
          <w:sz w:val="28"/>
          <w:szCs w:val="28"/>
          <w:shd w:val="clear" w:color="auto" w:fill="FFFFFF"/>
        </w:rPr>
        <w:t>l principio de unidad de materia en la ley del plan proscribe de manera general la aprobación</w:t>
      </w:r>
      <w:r w:rsidRPr="00AF629F">
        <w:rPr>
          <w:rFonts w:ascii="Times New Roman" w:hAnsi="Times New Roman" w:cs="Times New Roman"/>
          <w:sz w:val="28"/>
          <w:szCs w:val="28"/>
          <w:shd w:val="clear" w:color="auto" w:fill="FFFFFF"/>
        </w:rPr>
        <w:t xml:space="preserve"> de reglas que modifiquen normas de carácter permanente o impliquen reformas estructurales</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b/>
          <w:bCs/>
          <w:sz w:val="28"/>
          <w:szCs w:val="28"/>
        </w:rPr>
        <w:t>aunque no impide la modificación de leyes ordinarias de carácter permanente, siempre que la modificación tenga un fin planificador y de impulso a la ejecución del p</w:t>
      </w:r>
      <w:r w:rsidRPr="00AF629F">
        <w:rPr>
          <w:rFonts w:ascii="Times New Roman" w:hAnsi="Times New Roman" w:cs="Times New Roman"/>
          <w:b/>
          <w:bCs/>
          <w:sz w:val="28"/>
          <w:szCs w:val="28"/>
        </w:rPr>
        <w:t>lan cuatrienal</w:t>
      </w:r>
      <w:r w:rsidRPr="00AF629F">
        <w:rPr>
          <w:rFonts w:ascii="Times New Roman" w:hAnsi="Times New Roman" w:cs="Times New Roman"/>
          <w:sz w:val="28"/>
          <w:szCs w:val="28"/>
          <w:shd w:val="clear" w:color="auto" w:fill="FFFFFF"/>
        </w:rPr>
        <w:t>,</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shd w:val="clear" w:color="auto" w:fill="FFFFFF"/>
        </w:rPr>
        <w:t>entre otros presupuestos” (énfasis del original)</w:t>
      </w:r>
      <w:r w:rsidRPr="00AF629F">
        <w:rPr>
          <w:rFonts w:ascii="Times New Roman" w:hAnsi="Times New Roman" w:cs="Times New Roman"/>
          <w:sz w:val="28"/>
          <w:szCs w:val="28"/>
          <w:shd w:val="clear" w:color="auto" w:fill="FFFFFF"/>
          <w:vertAlign w:val="superscript"/>
        </w:rPr>
        <w:footnoteReference w:id="41"/>
      </w:r>
      <w:r w:rsidRPr="00AF629F">
        <w:rPr>
          <w:rFonts w:ascii="Times New Roman" w:hAnsi="Times New Roman" w:cs="Times New Roman"/>
          <w:sz w:val="28"/>
          <w:szCs w:val="28"/>
          <w:shd w:val="clear" w:color="auto" w:fill="FFFFFF"/>
        </w:rPr>
        <w:t>, entre los cuales cabe señalar el de la temporalidad que, “</w:t>
      </w:r>
      <w:r w:rsidRPr="00AF629F">
        <w:rPr>
          <w:rFonts w:ascii="Times New Roman" w:hAnsi="Times New Roman" w:cs="Times New Roman"/>
          <w:sz w:val="28"/>
          <w:szCs w:val="28"/>
          <w:lang w:eastAsia="es-MX"/>
        </w:rPr>
        <w:t>en principio, corresponderá a la del plan cuyo cumplimiento pretende impulsar</w:t>
      </w:r>
      <w:r w:rsidRPr="00AF629F">
        <w:rPr>
          <w:rFonts w:ascii="Times New Roman" w:hAnsi="Times New Roman" w:cs="Times New Roman"/>
          <w:sz w:val="28"/>
          <w:szCs w:val="28"/>
          <w:lang w:eastAsia="es-MX"/>
        </w:rPr>
        <w:t>”</w:t>
      </w:r>
      <w:r w:rsidRPr="00AF629F">
        <w:rPr>
          <w:rStyle w:val="Refdenotaalpie"/>
          <w:rFonts w:ascii="Times New Roman" w:hAnsi="Times New Roman" w:cs="Times New Roman"/>
          <w:sz w:val="28"/>
          <w:szCs w:val="28"/>
          <w:lang w:eastAsia="es-MX"/>
        </w:rPr>
        <w:footnoteReference w:id="42"/>
      </w:r>
      <w:r w:rsidRPr="00AF629F">
        <w:rPr>
          <w:rFonts w:ascii="Times New Roman" w:hAnsi="Times New Roman" w:cs="Times New Roman"/>
          <w:sz w:val="28"/>
          <w:szCs w:val="28"/>
          <w:lang w:eastAsia="es-MX"/>
        </w:rPr>
        <w:t>, pues la pretensión de instaurar políticas de largo</w:t>
      </w:r>
      <w:r w:rsidRPr="00AF629F">
        <w:rPr>
          <w:rFonts w:ascii="Times New Roman" w:hAnsi="Times New Roman" w:cs="Times New Roman"/>
          <w:sz w:val="28"/>
          <w:szCs w:val="28"/>
          <w:lang w:eastAsia="es-MX"/>
        </w:rPr>
        <w:t xml:space="preserve"> aliento (ordinarias) exige acudir a la agenda legislativa del Gobierno y su consiguiente propuesta e impulso ante el Congreso de la República, en garantía del principio democrático.</w:t>
      </w:r>
    </w:p>
    <w:p w:rsidR="00E5216C" w:rsidRPr="00AF629F" w:rsidRDefault="00AF629F" w:rsidP="00E5216C">
      <w:pPr>
        <w:pStyle w:val="Prrafodelista"/>
        <w:ind w:left="0"/>
        <w:jc w:val="both"/>
        <w:rPr>
          <w:rFonts w:ascii="Times New Roman" w:hAnsi="Times New Roman" w:cs="Times New Roman"/>
          <w:sz w:val="28"/>
          <w:szCs w:val="28"/>
        </w:rPr>
      </w:pPr>
    </w:p>
    <w:p w:rsidR="0004016D" w:rsidRPr="00AF629F" w:rsidRDefault="00AF629F" w:rsidP="009D0DB7">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shd w:val="clear" w:color="auto" w:fill="FFFFFF"/>
        </w:rPr>
        <w:t>L</w:t>
      </w:r>
      <w:r w:rsidRPr="00AF629F">
        <w:rPr>
          <w:rFonts w:ascii="Times New Roman" w:hAnsi="Times New Roman" w:cs="Times New Roman"/>
          <w:sz w:val="28"/>
          <w:szCs w:val="28"/>
          <w:shd w:val="clear" w:color="auto" w:fill="FFFFFF"/>
        </w:rPr>
        <w:t xml:space="preserve">a Corte </w:t>
      </w:r>
      <w:r w:rsidRPr="00AF629F">
        <w:rPr>
          <w:rFonts w:ascii="Times New Roman" w:hAnsi="Times New Roman" w:cs="Times New Roman"/>
          <w:sz w:val="28"/>
          <w:szCs w:val="28"/>
          <w:shd w:val="clear" w:color="auto" w:fill="FFFFFF"/>
        </w:rPr>
        <w:t>precisó</w:t>
      </w:r>
      <w:r w:rsidRPr="00AF629F">
        <w:rPr>
          <w:rFonts w:ascii="Times New Roman" w:hAnsi="Times New Roman" w:cs="Times New Roman"/>
          <w:sz w:val="28"/>
          <w:szCs w:val="28"/>
          <w:shd w:val="clear" w:color="auto" w:fill="FFFFFF"/>
        </w:rPr>
        <w:t xml:space="preserve"> </w:t>
      </w:r>
      <w:r w:rsidRPr="00AF629F">
        <w:rPr>
          <w:rFonts w:ascii="Times New Roman" w:hAnsi="Times New Roman" w:cs="Times New Roman"/>
          <w:sz w:val="28"/>
          <w:szCs w:val="28"/>
        </w:rPr>
        <w:t>que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el control de constitucionalidad debe cuidar que la ley </w:t>
      </w:r>
      <w:r w:rsidRPr="00AF629F">
        <w:rPr>
          <w:rFonts w:ascii="Times New Roman" w:hAnsi="Times New Roman" w:cs="Times New Roman"/>
          <w:sz w:val="28"/>
          <w:szCs w:val="28"/>
        </w:rPr>
        <w:t xml:space="preserve">aprobatoria </w:t>
      </w:r>
      <w:r w:rsidRPr="00AF629F">
        <w:rPr>
          <w:rFonts w:ascii="Times New Roman" w:hAnsi="Times New Roman" w:cs="Times New Roman"/>
          <w:sz w:val="28"/>
          <w:szCs w:val="28"/>
        </w:rPr>
        <w:t xml:space="preserve">del plan no constituya un vaciamiento de las competencias ordinarias del legislador, convirtiéndola en una herramienta para la solución de todas las urgencias legales que precise el </w:t>
      </w:r>
      <w:r w:rsidRPr="00AF629F">
        <w:rPr>
          <w:rFonts w:ascii="Times New Roman" w:hAnsi="Times New Roman" w:cs="Times New Roman"/>
          <w:sz w:val="28"/>
          <w:szCs w:val="28"/>
        </w:rPr>
        <w:t>g</w:t>
      </w:r>
      <w:r w:rsidRPr="00AF629F">
        <w:rPr>
          <w:rFonts w:ascii="Times New Roman" w:hAnsi="Times New Roman" w:cs="Times New Roman"/>
          <w:sz w:val="28"/>
          <w:szCs w:val="28"/>
        </w:rPr>
        <w:t>obier</w:t>
      </w:r>
      <w:r w:rsidRPr="00AF629F">
        <w:rPr>
          <w:rFonts w:ascii="Times New Roman" w:hAnsi="Times New Roman" w:cs="Times New Roman"/>
          <w:sz w:val="28"/>
          <w:szCs w:val="28"/>
        </w:rPr>
        <w:t>no de turno; en fin, trasformando una ley con claros alcances y límites constitucionales, en una especie de cajón de sastre que despla</w:t>
      </w:r>
      <w:r w:rsidRPr="00AF629F">
        <w:rPr>
          <w:rFonts w:ascii="Times New Roman" w:hAnsi="Times New Roman" w:cs="Times New Roman"/>
          <w:sz w:val="28"/>
          <w:szCs w:val="28"/>
        </w:rPr>
        <w:t>ce</w:t>
      </w:r>
      <w:r w:rsidRPr="00AF629F">
        <w:rPr>
          <w:rFonts w:ascii="Times New Roman" w:hAnsi="Times New Roman" w:cs="Times New Roman"/>
          <w:sz w:val="28"/>
          <w:szCs w:val="28"/>
        </w:rPr>
        <w:t xml:space="preserve"> por completo la competencia ordinaria y permanente del Congreso de la República</w:t>
      </w:r>
      <w:r w:rsidRPr="00AF629F">
        <w:rPr>
          <w:rFonts w:ascii="Times New Roman" w:hAnsi="Times New Roman" w:cs="Times New Roman"/>
          <w:sz w:val="28"/>
          <w:szCs w:val="28"/>
        </w:rPr>
        <w:t>.</w:t>
      </w:r>
    </w:p>
    <w:p w:rsidR="00D30DD2" w:rsidRPr="00AF629F" w:rsidRDefault="00AF629F" w:rsidP="00D30DD2">
      <w:pPr>
        <w:pStyle w:val="Prrafodelista"/>
        <w:ind w:left="0"/>
        <w:jc w:val="both"/>
        <w:rPr>
          <w:rFonts w:ascii="Times New Roman" w:hAnsi="Times New Roman" w:cs="Times New Roman"/>
          <w:sz w:val="28"/>
          <w:szCs w:val="28"/>
        </w:rPr>
      </w:pPr>
    </w:p>
    <w:p w:rsidR="0004016D" w:rsidRPr="00AF629F" w:rsidRDefault="00AF629F" w:rsidP="00016EC5">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Señaló, </w:t>
      </w:r>
      <w:r w:rsidRPr="00AF629F">
        <w:rPr>
          <w:rFonts w:ascii="Times New Roman" w:hAnsi="Times New Roman" w:cs="Times New Roman"/>
          <w:sz w:val="28"/>
          <w:szCs w:val="28"/>
        </w:rPr>
        <w:t>en el mismo sentido</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que</w:t>
      </w:r>
      <w:r w:rsidRPr="00AF629F">
        <w:rPr>
          <w:rFonts w:ascii="Times New Roman" w:hAnsi="Times New Roman" w:cs="Times New Roman"/>
          <w:sz w:val="28"/>
          <w:szCs w:val="28"/>
        </w:rPr>
        <w:t xml:space="preserve"> la v</w:t>
      </w:r>
      <w:r w:rsidRPr="00AF629F">
        <w:rPr>
          <w:rFonts w:ascii="Times New Roman" w:hAnsi="Times New Roman" w:cs="Times New Roman"/>
          <w:sz w:val="28"/>
          <w:szCs w:val="28"/>
        </w:rPr>
        <w:t>igencia de las modificaciones a</w:t>
      </w:r>
      <w:r w:rsidRPr="00AF629F">
        <w:rPr>
          <w:rFonts w:ascii="Times New Roman" w:hAnsi="Times New Roman" w:cs="Times New Roman"/>
          <w:b/>
          <w:bCs/>
          <w:sz w:val="28"/>
          <w:szCs w:val="28"/>
        </w:rPr>
        <w:t xml:space="preserve"> </w:t>
      </w:r>
      <w:r w:rsidRPr="00AF629F">
        <w:rPr>
          <w:rFonts w:ascii="Times New Roman" w:hAnsi="Times New Roman" w:cs="Times New Roman"/>
          <w:sz w:val="28"/>
          <w:szCs w:val="28"/>
        </w:rPr>
        <w:t xml:space="preserve">leyes ordinarias de carácter permanente, </w:t>
      </w:r>
      <w:r w:rsidRPr="00AF629F">
        <w:rPr>
          <w:rFonts w:ascii="Times New Roman" w:hAnsi="Times New Roman" w:cs="Times New Roman"/>
          <w:sz w:val="28"/>
          <w:szCs w:val="28"/>
        </w:rPr>
        <w:t>“</w:t>
      </w:r>
      <w:r w:rsidRPr="00AF629F">
        <w:rPr>
          <w:rFonts w:ascii="Times New Roman" w:hAnsi="Times New Roman" w:cs="Times New Roman"/>
          <w:sz w:val="28"/>
          <w:szCs w:val="28"/>
        </w:rPr>
        <w:t>en principio, corresponderá a la del plan cuyo cumplimiento pretende impulsar”</w:t>
      </w:r>
      <w:r w:rsidRPr="00AF629F">
        <w:rPr>
          <w:rFonts w:ascii="Times New Roman" w:hAnsi="Times New Roman" w:cs="Times New Roman"/>
          <w:sz w:val="28"/>
          <w:szCs w:val="28"/>
        </w:rPr>
        <w:t>, conclusión a la que llegó con fundamento en las siguientes consideraciones:</w:t>
      </w:r>
    </w:p>
    <w:p w:rsidR="009D487C" w:rsidRPr="00AF629F" w:rsidRDefault="00AF629F" w:rsidP="0004016D">
      <w:pPr>
        <w:pStyle w:val="Prrafodelista"/>
        <w:ind w:left="0"/>
        <w:jc w:val="both"/>
        <w:rPr>
          <w:rFonts w:ascii="Times New Roman" w:hAnsi="Times New Roman" w:cs="Times New Roman"/>
          <w:sz w:val="28"/>
          <w:szCs w:val="28"/>
        </w:rPr>
      </w:pPr>
    </w:p>
    <w:p w:rsidR="0004016D" w:rsidRPr="00AF629F" w:rsidRDefault="00AF629F" w:rsidP="00EB45D2">
      <w:pPr>
        <w:pStyle w:val="Prrafodelista"/>
        <w:ind w:left="567" w:right="616"/>
        <w:jc w:val="both"/>
        <w:textAlignment w:val="baseline"/>
        <w:rPr>
          <w:rFonts w:ascii="Times New Roman" w:hAnsi="Times New Roman" w:cs="Times New Roman"/>
          <w:sz w:val="28"/>
          <w:szCs w:val="24"/>
          <w:lang w:eastAsia="es-MX"/>
        </w:rPr>
      </w:pPr>
      <w:r w:rsidRPr="00AF629F">
        <w:rPr>
          <w:rFonts w:ascii="Times New Roman" w:hAnsi="Times New Roman" w:cs="Times New Roman"/>
          <w:sz w:val="28"/>
          <w:szCs w:val="24"/>
        </w:rPr>
        <w:t>“</w:t>
      </w:r>
      <w:r w:rsidRPr="00AF629F">
        <w:rPr>
          <w:rFonts w:ascii="Times New Roman" w:hAnsi="Times New Roman" w:cs="Times New Roman"/>
          <w:sz w:val="28"/>
          <w:szCs w:val="24"/>
        </w:rPr>
        <w:t>108.</w:t>
      </w:r>
      <w:r w:rsidRPr="00AF629F">
        <w:rPr>
          <w:rFonts w:ascii="Times New Roman" w:hAnsi="Times New Roman" w:cs="Times New Roman"/>
          <w:sz w:val="28"/>
          <w:szCs w:val="24"/>
        </w:rPr>
        <w:t xml:space="preserve"> </w:t>
      </w:r>
      <w:r w:rsidRPr="00AF629F">
        <w:rPr>
          <w:rFonts w:ascii="Times New Roman" w:hAnsi="Times New Roman" w:cs="Times New Roman"/>
          <w:sz w:val="28"/>
          <w:szCs w:val="24"/>
        </w:rPr>
        <w:t>Este Tribunal en su</w:t>
      </w:r>
      <w:r w:rsidRPr="00AF629F">
        <w:rPr>
          <w:rFonts w:ascii="Times New Roman" w:hAnsi="Times New Roman" w:cs="Times New Roman"/>
          <w:sz w:val="28"/>
          <w:szCs w:val="24"/>
        </w:rPr>
        <w:t xml:space="preserve"> jurisprudencia más reciente ha hecho énfasis en el carácter temporal de las disposiciones que integran el Plan Nacional de Desarrollo</w:t>
      </w:r>
      <w:r w:rsidRPr="00AF629F">
        <w:rPr>
          <w:rStyle w:val="Refdenotaalpie"/>
          <w:rFonts w:ascii="Times New Roman" w:hAnsi="Times New Roman" w:cs="Times New Roman"/>
          <w:sz w:val="28"/>
          <w:szCs w:val="24"/>
        </w:rPr>
        <w:footnoteReference w:id="43"/>
      </w:r>
      <w:r w:rsidRPr="00AF629F">
        <w:rPr>
          <w:rFonts w:ascii="Times New Roman" w:hAnsi="Times New Roman" w:cs="Times New Roman"/>
          <w:sz w:val="28"/>
          <w:szCs w:val="24"/>
        </w:rPr>
        <w:t>. En la sentencia C-126 de 2020 se sostuvo que las medidas que se adopten para impulsar el cumplimiento del plan,</w:t>
      </w:r>
      <w:r w:rsidRPr="00AF629F">
        <w:rPr>
          <w:rStyle w:val="apple-converted-space"/>
          <w:rFonts w:ascii="Times New Roman" w:hAnsi="Times New Roman" w:cs="Times New Roman"/>
          <w:sz w:val="28"/>
          <w:szCs w:val="24"/>
        </w:rPr>
        <w:t> </w:t>
      </w:r>
      <w:r w:rsidRPr="00AF629F">
        <w:rPr>
          <w:rStyle w:val="apple-converted-space"/>
          <w:rFonts w:ascii="Times New Roman" w:hAnsi="Times New Roman" w:cs="Times New Roman"/>
          <w:sz w:val="28"/>
          <w:szCs w:val="24"/>
        </w:rPr>
        <w:t>‘</w:t>
      </w:r>
      <w:r w:rsidRPr="00AF629F">
        <w:rPr>
          <w:rFonts w:ascii="Times New Roman" w:hAnsi="Times New Roman" w:cs="Times New Roman"/>
          <w:b/>
          <w:bCs/>
          <w:i/>
          <w:iCs/>
          <w:sz w:val="28"/>
          <w:szCs w:val="24"/>
        </w:rPr>
        <w:t>por su</w:t>
      </w:r>
      <w:r w:rsidRPr="00AF629F">
        <w:rPr>
          <w:rFonts w:ascii="Times New Roman" w:hAnsi="Times New Roman" w:cs="Times New Roman"/>
          <w:b/>
          <w:bCs/>
          <w:i/>
          <w:iCs/>
          <w:sz w:val="28"/>
          <w:szCs w:val="24"/>
        </w:rPr>
        <w:t xml:space="preserve"> naturaleza, deben tener vocación de temporalidad y, por consiguiente, resultan violatorias del principio de unidad de materia ´aquellas normas que no tengan como fin planificar y priorizar las acciones públicas y la ejecución del presupuesto público duran</w:t>
      </w:r>
      <w:r w:rsidRPr="00AF629F">
        <w:rPr>
          <w:rFonts w:ascii="Times New Roman" w:hAnsi="Times New Roman" w:cs="Times New Roman"/>
          <w:b/>
          <w:bCs/>
          <w:i/>
          <w:iCs/>
          <w:sz w:val="28"/>
          <w:szCs w:val="24"/>
        </w:rPr>
        <w:t>te un cuatrienio</w:t>
      </w:r>
      <w:r w:rsidRPr="00AF629F">
        <w:rPr>
          <w:rFonts w:ascii="Times New Roman" w:hAnsi="Times New Roman" w:cs="Times New Roman"/>
          <w:i/>
          <w:iCs/>
          <w:sz w:val="28"/>
          <w:szCs w:val="24"/>
        </w:rPr>
        <w:t>´</w:t>
      </w:r>
      <w:r w:rsidRPr="00AF629F">
        <w:rPr>
          <w:rStyle w:val="Refdenotaalpie"/>
          <w:rFonts w:ascii="Times New Roman" w:hAnsi="Times New Roman" w:cs="Times New Roman"/>
          <w:i/>
          <w:iCs/>
          <w:sz w:val="28"/>
          <w:szCs w:val="24"/>
        </w:rPr>
        <w:footnoteReference w:id="44"/>
      </w:r>
      <w:r w:rsidRPr="00AF629F">
        <w:rPr>
          <w:rFonts w:ascii="Times New Roman" w:hAnsi="Times New Roman" w:cs="Times New Roman"/>
          <w:i/>
          <w:iCs/>
          <w:sz w:val="28"/>
          <w:szCs w:val="24"/>
        </w:rPr>
        <w:t>’</w:t>
      </w:r>
      <w:r w:rsidRPr="00AF629F">
        <w:rPr>
          <w:rStyle w:val="apple-converted-space"/>
          <w:rFonts w:ascii="Times New Roman" w:hAnsi="Times New Roman" w:cs="Times New Roman"/>
          <w:i/>
          <w:iCs/>
          <w:sz w:val="28"/>
          <w:szCs w:val="24"/>
        </w:rPr>
        <w:t> </w:t>
      </w:r>
      <w:r w:rsidRPr="00AF629F">
        <w:rPr>
          <w:rFonts w:ascii="Times New Roman" w:hAnsi="Times New Roman" w:cs="Times New Roman"/>
          <w:sz w:val="28"/>
          <w:szCs w:val="24"/>
        </w:rPr>
        <w:t>Ya en la sentencia C-068 de 2020 la Corte había manifestado que la regla de la temporalidad</w:t>
      </w:r>
      <w:r w:rsidRPr="00AF629F">
        <w:rPr>
          <w:rStyle w:val="apple-converted-space"/>
          <w:rFonts w:ascii="Times New Roman" w:hAnsi="Times New Roman" w:cs="Times New Roman"/>
          <w:sz w:val="28"/>
          <w:szCs w:val="24"/>
        </w:rPr>
        <w:t> </w:t>
      </w:r>
      <w:r w:rsidRPr="00AF629F">
        <w:rPr>
          <w:rStyle w:val="apple-converted-space"/>
          <w:rFonts w:ascii="Times New Roman" w:hAnsi="Times New Roman" w:cs="Times New Roman"/>
          <w:sz w:val="28"/>
          <w:szCs w:val="24"/>
        </w:rPr>
        <w:t>‘</w:t>
      </w:r>
      <w:r w:rsidRPr="00AF629F">
        <w:rPr>
          <w:rFonts w:ascii="Times New Roman" w:hAnsi="Times New Roman" w:cs="Times New Roman"/>
          <w:b/>
          <w:bCs/>
          <w:i/>
          <w:iCs/>
          <w:sz w:val="28"/>
          <w:szCs w:val="24"/>
        </w:rPr>
        <w:t>es un elemento adicional que refuerza o desvirtúa la eventual conexidad de una norma demandada con la ley que la contiene</w:t>
      </w:r>
      <w:r w:rsidRPr="00AF629F">
        <w:rPr>
          <w:rFonts w:ascii="Times New Roman" w:hAnsi="Times New Roman" w:cs="Times New Roman"/>
          <w:i/>
          <w:iCs/>
          <w:sz w:val="28"/>
          <w:szCs w:val="24"/>
        </w:rPr>
        <w:t>’</w:t>
      </w:r>
      <w:r w:rsidRPr="00AF629F">
        <w:rPr>
          <w:rFonts w:ascii="Times New Roman" w:hAnsi="Times New Roman" w:cs="Times New Roman"/>
          <w:sz w:val="28"/>
          <w:szCs w:val="24"/>
        </w:rPr>
        <w:t>, postura que vendría</w:t>
      </w:r>
      <w:r w:rsidRPr="00AF629F">
        <w:rPr>
          <w:rFonts w:ascii="Times New Roman" w:hAnsi="Times New Roman" w:cs="Times New Roman"/>
          <w:sz w:val="28"/>
          <w:szCs w:val="24"/>
        </w:rPr>
        <w:t xml:space="preserve"> a ser reforzada en la C-126 de 2020 al afirmarse que</w:t>
      </w:r>
      <w:r w:rsidRPr="00AF629F">
        <w:rPr>
          <w:rStyle w:val="apple-converted-space"/>
          <w:rFonts w:ascii="Times New Roman" w:hAnsi="Times New Roman" w:cs="Times New Roman"/>
          <w:sz w:val="28"/>
          <w:szCs w:val="24"/>
        </w:rPr>
        <w:t> </w:t>
      </w:r>
      <w:r w:rsidRPr="00AF629F">
        <w:rPr>
          <w:rStyle w:val="apple-converted-space"/>
          <w:rFonts w:ascii="Times New Roman" w:hAnsi="Times New Roman" w:cs="Times New Roman"/>
          <w:sz w:val="28"/>
          <w:szCs w:val="24"/>
        </w:rPr>
        <w:t>‘</w:t>
      </w:r>
      <w:r w:rsidRPr="00AF629F">
        <w:rPr>
          <w:rFonts w:ascii="Times New Roman" w:hAnsi="Times New Roman" w:cs="Times New Roman"/>
          <w:i/>
          <w:iCs/>
          <w:sz w:val="28"/>
          <w:szCs w:val="24"/>
        </w:rPr>
        <w:t>la temporalidad y el carácter instrumental de la medida, como</w:t>
      </w:r>
      <w:r w:rsidRPr="00AF629F">
        <w:rPr>
          <w:rStyle w:val="apple-converted-space"/>
          <w:rFonts w:ascii="Times New Roman" w:hAnsi="Times New Roman" w:cs="Times New Roman"/>
          <w:i/>
          <w:iCs/>
          <w:sz w:val="28"/>
          <w:szCs w:val="24"/>
        </w:rPr>
        <w:t> </w:t>
      </w:r>
      <w:r w:rsidRPr="00AF629F">
        <w:rPr>
          <w:rFonts w:ascii="Times New Roman" w:hAnsi="Times New Roman" w:cs="Times New Roman"/>
          <w:b/>
          <w:bCs/>
          <w:i/>
          <w:iCs/>
          <w:sz w:val="28"/>
          <w:szCs w:val="24"/>
        </w:rPr>
        <w:t>criterios que permiten evaluar el cumplimiento del requisito de conexidad</w:t>
      </w:r>
      <w:r w:rsidRPr="00AF629F">
        <w:rPr>
          <w:rStyle w:val="apple-converted-space"/>
          <w:rFonts w:ascii="Times New Roman" w:hAnsi="Times New Roman" w:cs="Times New Roman"/>
          <w:i/>
          <w:iCs/>
          <w:sz w:val="28"/>
          <w:szCs w:val="24"/>
        </w:rPr>
        <w:t> </w:t>
      </w:r>
      <w:r w:rsidRPr="00AF629F">
        <w:rPr>
          <w:rFonts w:ascii="Times New Roman" w:hAnsi="Times New Roman" w:cs="Times New Roman"/>
          <w:i/>
          <w:iCs/>
          <w:sz w:val="28"/>
          <w:szCs w:val="24"/>
        </w:rPr>
        <w:t>que acrediten el respeto del principio de unidad de materia, perm</w:t>
      </w:r>
      <w:r w:rsidRPr="00AF629F">
        <w:rPr>
          <w:rFonts w:ascii="Times New Roman" w:hAnsi="Times New Roman" w:cs="Times New Roman"/>
          <w:i/>
          <w:iCs/>
          <w:sz w:val="28"/>
          <w:szCs w:val="24"/>
        </w:rPr>
        <w:t>iten maximizar el principio democrático</w:t>
      </w:r>
      <w:r w:rsidRPr="00AF629F">
        <w:rPr>
          <w:rFonts w:ascii="Times New Roman" w:hAnsi="Times New Roman" w:cs="Times New Roman"/>
          <w:sz w:val="28"/>
          <w:szCs w:val="24"/>
        </w:rPr>
        <w:t>’</w:t>
      </w:r>
      <w:r w:rsidRPr="00AF629F">
        <w:rPr>
          <w:rFonts w:ascii="Times New Roman" w:hAnsi="Times New Roman" w:cs="Times New Roman"/>
          <w:sz w:val="28"/>
          <w:szCs w:val="24"/>
        </w:rPr>
        <w:t>.</w:t>
      </w:r>
    </w:p>
    <w:p w:rsidR="0004016D" w:rsidRPr="00AF629F" w:rsidRDefault="00AF629F" w:rsidP="00EB45D2">
      <w:pPr>
        <w:pStyle w:val="Prrafodelista"/>
        <w:ind w:left="567" w:right="616"/>
        <w:jc w:val="both"/>
        <w:textAlignment w:val="baseline"/>
        <w:rPr>
          <w:rFonts w:ascii="Times New Roman" w:hAnsi="Times New Roman" w:cs="Times New Roman"/>
          <w:sz w:val="28"/>
          <w:szCs w:val="24"/>
        </w:rPr>
      </w:pPr>
    </w:p>
    <w:p w:rsidR="0004016D" w:rsidRPr="00AF629F" w:rsidRDefault="00AF629F" w:rsidP="00EB45D2">
      <w:pPr>
        <w:pStyle w:val="Prrafodelista"/>
        <w:ind w:left="567" w:right="616"/>
        <w:jc w:val="both"/>
        <w:textAlignment w:val="baseline"/>
        <w:rPr>
          <w:rFonts w:ascii="Times New Roman" w:hAnsi="Times New Roman" w:cs="Times New Roman"/>
          <w:sz w:val="28"/>
          <w:szCs w:val="24"/>
        </w:rPr>
      </w:pPr>
      <w:r w:rsidRPr="00AF629F">
        <w:rPr>
          <w:rFonts w:ascii="Times New Roman" w:hAnsi="Times New Roman" w:cs="Times New Roman"/>
          <w:sz w:val="28"/>
          <w:szCs w:val="24"/>
        </w:rPr>
        <w:t>109.     </w:t>
      </w:r>
      <w:r w:rsidRPr="00AF629F">
        <w:rPr>
          <w:rStyle w:val="apple-converted-space"/>
          <w:rFonts w:ascii="Times New Roman" w:hAnsi="Times New Roman" w:cs="Times New Roman"/>
          <w:sz w:val="28"/>
          <w:szCs w:val="24"/>
        </w:rPr>
        <w:t> </w:t>
      </w:r>
      <w:r w:rsidRPr="00AF629F">
        <w:rPr>
          <w:rFonts w:ascii="Times New Roman" w:hAnsi="Times New Roman" w:cs="Times New Roman"/>
          <w:sz w:val="28"/>
          <w:szCs w:val="24"/>
        </w:rPr>
        <w:t>Conforme a lo explicado,</w:t>
      </w:r>
      <w:r w:rsidRPr="00AF629F">
        <w:rPr>
          <w:rStyle w:val="apple-converted-space"/>
          <w:rFonts w:ascii="Times New Roman" w:hAnsi="Times New Roman" w:cs="Times New Roman"/>
          <w:sz w:val="28"/>
          <w:szCs w:val="24"/>
        </w:rPr>
        <w:t> </w:t>
      </w:r>
      <w:r w:rsidRPr="00AF629F">
        <w:rPr>
          <w:rFonts w:ascii="Times New Roman" w:hAnsi="Times New Roman" w:cs="Times New Roman"/>
          <w:b/>
          <w:bCs/>
          <w:sz w:val="28"/>
          <w:szCs w:val="24"/>
        </w:rPr>
        <w:t xml:space="preserve">en principio se trata de una vigencia de las disposiciones allí adoptadas por 4 años (ley del PND), no obstante, la regla general de la exigencia de temporalidad no impide la </w:t>
      </w:r>
      <w:r w:rsidRPr="00AF629F">
        <w:rPr>
          <w:rFonts w:ascii="Times New Roman" w:hAnsi="Times New Roman" w:cs="Times New Roman"/>
          <w:b/>
          <w:bCs/>
          <w:sz w:val="28"/>
          <w:szCs w:val="24"/>
        </w:rPr>
        <w:t>modificación de leyes ordinarias de carácter permanente, siempre que la modificación tenga un fin planificador y de impulso a la ejecución del plan cuatrienal, pero su vigencia, en principio, corresponderá a la del plan cuyo cumplimiento pretende impulsar</w:t>
      </w:r>
      <w:r w:rsidRPr="00AF629F">
        <w:rPr>
          <w:rFonts w:ascii="Times New Roman" w:hAnsi="Times New Roman" w:cs="Times New Roman"/>
          <w:bCs/>
          <w:sz w:val="28"/>
          <w:szCs w:val="24"/>
        </w:rPr>
        <w:t>”</w:t>
      </w:r>
      <w:r w:rsidRPr="00AF629F">
        <w:rPr>
          <w:rFonts w:ascii="Times New Roman" w:hAnsi="Times New Roman" w:cs="Times New Roman"/>
          <w:sz w:val="28"/>
          <w:szCs w:val="24"/>
        </w:rPr>
        <w:t xml:space="preserve"> (énfasis del texto original)</w:t>
      </w:r>
      <w:r w:rsidRPr="00AF629F">
        <w:rPr>
          <w:rFonts w:ascii="Times New Roman" w:hAnsi="Times New Roman" w:cs="Times New Roman"/>
          <w:sz w:val="28"/>
          <w:szCs w:val="24"/>
        </w:rPr>
        <w:t>.</w:t>
      </w:r>
    </w:p>
    <w:p w:rsidR="005635DE" w:rsidRPr="00AF629F" w:rsidRDefault="00AF629F" w:rsidP="004613B4">
      <w:pPr>
        <w:rPr>
          <w:rFonts w:ascii="Times New Roman" w:hAnsi="Times New Roman" w:cs="Times New Roman"/>
          <w:sz w:val="28"/>
          <w:szCs w:val="28"/>
        </w:rPr>
      </w:pPr>
    </w:p>
    <w:p w:rsidR="00D717C7" w:rsidRPr="00AF629F" w:rsidRDefault="00AF629F" w:rsidP="00CF0B3E">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Más adelante, </w:t>
      </w:r>
      <w:r w:rsidRPr="00AF629F">
        <w:rPr>
          <w:rFonts w:ascii="Times New Roman" w:hAnsi="Times New Roman" w:cs="Times New Roman"/>
          <w:sz w:val="28"/>
          <w:szCs w:val="28"/>
        </w:rPr>
        <w:t xml:space="preserve">al resolver el caso concreto, </w:t>
      </w:r>
      <w:r w:rsidRPr="00AF629F">
        <w:rPr>
          <w:rFonts w:ascii="Times New Roman" w:hAnsi="Times New Roman" w:cs="Times New Roman"/>
          <w:sz w:val="28"/>
          <w:szCs w:val="28"/>
        </w:rPr>
        <w:t xml:space="preserve">la Sala </w:t>
      </w:r>
      <w:r w:rsidRPr="00AF629F">
        <w:rPr>
          <w:rFonts w:ascii="Times New Roman" w:hAnsi="Times New Roman" w:cs="Times New Roman"/>
          <w:sz w:val="28"/>
          <w:szCs w:val="28"/>
        </w:rPr>
        <w:t xml:space="preserve">también </w:t>
      </w:r>
      <w:r w:rsidRPr="00AF629F">
        <w:rPr>
          <w:rFonts w:ascii="Times New Roman" w:hAnsi="Times New Roman" w:cs="Times New Roman"/>
          <w:sz w:val="28"/>
          <w:szCs w:val="28"/>
        </w:rPr>
        <w:t xml:space="preserve">indicó </w:t>
      </w:r>
      <w:r w:rsidRPr="00AF629F">
        <w:rPr>
          <w:rFonts w:ascii="Times New Roman" w:hAnsi="Times New Roman" w:cs="Times New Roman"/>
          <w:sz w:val="28"/>
          <w:szCs w:val="28"/>
        </w:rPr>
        <w:t>lo siguiente</w:t>
      </w:r>
      <w:r w:rsidRPr="00AF629F">
        <w:rPr>
          <w:rFonts w:ascii="Times New Roman" w:hAnsi="Times New Roman" w:cs="Times New Roman"/>
          <w:sz w:val="28"/>
          <w:szCs w:val="28"/>
        </w:rPr>
        <w:t xml:space="preserve">: </w:t>
      </w:r>
    </w:p>
    <w:p w:rsidR="00D717C7" w:rsidRPr="00AF629F" w:rsidRDefault="00AF629F" w:rsidP="00D717C7">
      <w:pPr>
        <w:pStyle w:val="Prrafodelista"/>
        <w:ind w:left="0"/>
        <w:jc w:val="both"/>
        <w:rPr>
          <w:rFonts w:ascii="Times New Roman" w:hAnsi="Times New Roman" w:cs="Times New Roman"/>
          <w:sz w:val="28"/>
          <w:szCs w:val="28"/>
        </w:rPr>
      </w:pPr>
    </w:p>
    <w:p w:rsidR="00680E35" w:rsidRPr="00AF629F" w:rsidRDefault="00AF629F" w:rsidP="00D717C7">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w:t>
      </w:r>
      <w:r w:rsidRPr="00AF629F">
        <w:rPr>
          <w:rFonts w:ascii="Times New Roman" w:hAnsi="Times New Roman" w:cs="Times New Roman"/>
          <w:sz w:val="28"/>
          <w:szCs w:val="24"/>
        </w:rPr>
        <w:t xml:space="preserve">210. </w:t>
      </w:r>
      <w:r w:rsidRPr="00AF629F">
        <w:rPr>
          <w:rFonts w:ascii="Times New Roman" w:hAnsi="Times New Roman" w:cs="Times New Roman"/>
          <w:sz w:val="28"/>
          <w:szCs w:val="24"/>
          <w:shd w:val="clear" w:color="auto" w:fill="FFFFFF"/>
        </w:rPr>
        <w:t>Ahora bien, el artículo 336 de la Ley 1955 de 2019, deroga el artículo 110 de la Ley 1943 de 2018</w:t>
      </w:r>
      <w:r w:rsidRPr="00AF629F">
        <w:rPr>
          <w:rFonts w:ascii="Times New Roman" w:hAnsi="Times New Roman" w:cs="Times New Roman"/>
          <w:sz w:val="28"/>
          <w:szCs w:val="24"/>
          <w:shd w:val="clear" w:color="auto" w:fill="FFFFFF"/>
          <w:vertAlign w:val="superscript"/>
        </w:rPr>
        <w:t>336</w:t>
      </w:r>
      <w:r w:rsidRPr="00AF629F">
        <w:rPr>
          <w:rFonts w:ascii="Times New Roman" w:hAnsi="Times New Roman" w:cs="Times New Roman"/>
          <w:sz w:val="28"/>
          <w:szCs w:val="24"/>
          <w:shd w:val="clear" w:color="auto" w:fill="FFFFFF"/>
        </w:rPr>
        <w:t>, por lo tanto, </w:t>
      </w:r>
      <w:r w:rsidRPr="00AF629F">
        <w:rPr>
          <w:rFonts w:ascii="Times New Roman" w:hAnsi="Times New Roman" w:cs="Times New Roman"/>
          <w:b/>
          <w:bCs/>
          <w:sz w:val="28"/>
          <w:szCs w:val="24"/>
          <w:shd w:val="clear" w:color="auto" w:fill="FFFFFF"/>
        </w:rPr>
        <w:t xml:space="preserve">modifica una </w:t>
      </w:r>
      <w:r w:rsidRPr="00AF629F">
        <w:rPr>
          <w:rFonts w:ascii="Times New Roman" w:hAnsi="Times New Roman" w:cs="Times New Roman"/>
          <w:b/>
          <w:bCs/>
          <w:sz w:val="28"/>
          <w:szCs w:val="24"/>
          <w:shd w:val="clear" w:color="auto" w:fill="FFFFFF"/>
        </w:rPr>
        <w:t>legislación ordinaria</w:t>
      </w:r>
      <w:r w:rsidRPr="00AF629F">
        <w:rPr>
          <w:rFonts w:ascii="Times New Roman" w:hAnsi="Times New Roman" w:cs="Times New Roman"/>
          <w:b/>
          <w:bCs/>
          <w:sz w:val="28"/>
          <w:szCs w:val="24"/>
          <w:shd w:val="clear" w:color="auto" w:fill="FFFFFF"/>
          <w:vertAlign w:val="superscript"/>
        </w:rPr>
        <w:t>337</w:t>
      </w:r>
      <w:r w:rsidRPr="00AF629F">
        <w:rPr>
          <w:rFonts w:ascii="Times New Roman" w:hAnsi="Times New Roman" w:cs="Times New Roman"/>
          <w:b/>
          <w:bCs/>
          <w:sz w:val="28"/>
          <w:szCs w:val="24"/>
          <w:shd w:val="clear" w:color="auto" w:fill="FFFFFF"/>
        </w:rPr>
        <w:t> comprometiendo la vocación de transitoriedad de la ley del plan</w:t>
      </w:r>
      <w:r w:rsidRPr="00AF629F">
        <w:rPr>
          <w:rFonts w:ascii="Times New Roman" w:hAnsi="Times New Roman" w:cs="Times New Roman"/>
          <w:sz w:val="28"/>
          <w:szCs w:val="24"/>
          <w:shd w:val="clear" w:color="auto" w:fill="FFFFFF"/>
        </w:rPr>
        <w:t>. Por lo tanto, se ha desplazado la competencia ordinaria del Congreso de la República, sin que se pueda identificar que con ello se busca materializar de manera inexor</w:t>
      </w:r>
      <w:r w:rsidRPr="00AF629F">
        <w:rPr>
          <w:rFonts w:ascii="Times New Roman" w:hAnsi="Times New Roman" w:cs="Times New Roman"/>
          <w:sz w:val="28"/>
          <w:szCs w:val="24"/>
          <w:shd w:val="clear" w:color="auto" w:fill="FFFFFF"/>
        </w:rPr>
        <w:t>able una política de largo plazo conexa (de forma directa e inmediata) con la ley o las Bases del plan, si no</w:t>
      </w:r>
      <w:r w:rsidRPr="00AF629F">
        <w:rPr>
          <w:rFonts w:ascii="Times New Roman" w:hAnsi="Times New Roman" w:cs="Times New Roman"/>
          <w:sz w:val="28"/>
          <w:szCs w:val="24"/>
          <w:shd w:val="clear" w:color="auto" w:fill="FFFFFF"/>
        </w:rPr>
        <w:t xml:space="preserve"> [sic]</w:t>
      </w:r>
      <w:r w:rsidRPr="00AF629F">
        <w:rPr>
          <w:rFonts w:ascii="Times New Roman" w:hAnsi="Times New Roman" w:cs="Times New Roman"/>
          <w:sz w:val="28"/>
          <w:szCs w:val="24"/>
          <w:shd w:val="clear" w:color="auto" w:fill="FFFFFF"/>
        </w:rPr>
        <w:t>, por el contrario, corregir un problema normativo de legislación permanente preexistente.</w:t>
      </w:r>
    </w:p>
    <w:p w:rsidR="00680E35" w:rsidRPr="00AF629F" w:rsidRDefault="00AF629F" w:rsidP="00D717C7">
      <w:pPr>
        <w:pStyle w:val="Prrafodelista"/>
        <w:ind w:left="567" w:right="616"/>
        <w:jc w:val="both"/>
        <w:rPr>
          <w:rFonts w:ascii="Times New Roman" w:hAnsi="Times New Roman" w:cs="Times New Roman"/>
          <w:sz w:val="28"/>
          <w:szCs w:val="24"/>
        </w:rPr>
      </w:pPr>
    </w:p>
    <w:p w:rsidR="00B9027A" w:rsidRPr="00AF629F" w:rsidRDefault="00AF629F" w:rsidP="00D717C7">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shd w:val="clear" w:color="auto" w:fill="FFFFFF"/>
        </w:rPr>
        <w:t xml:space="preserve">211. Al resultar comprometida una competencia </w:t>
      </w:r>
      <w:r w:rsidRPr="00AF629F">
        <w:rPr>
          <w:rFonts w:ascii="Times New Roman" w:hAnsi="Times New Roman" w:cs="Times New Roman"/>
          <w:sz w:val="28"/>
          <w:szCs w:val="24"/>
          <w:shd w:val="clear" w:color="auto" w:fill="FFFFFF"/>
        </w:rPr>
        <w:t>legislativa ordinaria permanente, </w:t>
      </w:r>
      <w:r w:rsidRPr="00AF629F">
        <w:rPr>
          <w:rFonts w:ascii="Times New Roman" w:hAnsi="Times New Roman" w:cs="Times New Roman"/>
          <w:b/>
          <w:bCs/>
          <w:sz w:val="28"/>
          <w:szCs w:val="24"/>
          <w:shd w:val="clear" w:color="auto" w:fill="FFFFFF"/>
        </w:rPr>
        <w:t>era menester que la iniciativa gubernamental en materia del PND hubiere estado precedida de la </w:t>
      </w:r>
      <w:r w:rsidRPr="00AF629F">
        <w:rPr>
          <w:rFonts w:ascii="Times New Roman" w:hAnsi="Times New Roman" w:cs="Times New Roman"/>
          <w:b/>
          <w:bCs/>
          <w:i/>
          <w:iCs/>
          <w:sz w:val="28"/>
          <w:szCs w:val="24"/>
          <w:shd w:val="clear" w:color="auto" w:fill="FFFFFF"/>
        </w:rPr>
        <w:t>justificación suficiente</w:t>
      </w:r>
      <w:r w:rsidRPr="00AF629F">
        <w:rPr>
          <w:rFonts w:ascii="Times New Roman" w:hAnsi="Times New Roman" w:cs="Times New Roman"/>
          <w:b/>
          <w:bCs/>
          <w:sz w:val="28"/>
          <w:szCs w:val="24"/>
          <w:shd w:val="clear" w:color="auto" w:fill="FFFFFF"/>
        </w:rPr>
        <w:t> que evidenciara con claridad que la disposición pretendida</w:t>
      </w:r>
      <w:r w:rsidRPr="00AF629F">
        <w:rPr>
          <w:rFonts w:ascii="Times New Roman" w:hAnsi="Times New Roman" w:cs="Times New Roman"/>
          <w:sz w:val="28"/>
          <w:szCs w:val="24"/>
          <w:shd w:val="clear" w:color="auto" w:fill="FFFFFF"/>
        </w:rPr>
        <w:t xml:space="preserve">: i) constituye una expresión de la función </w:t>
      </w:r>
      <w:r w:rsidRPr="00AF629F">
        <w:rPr>
          <w:rFonts w:ascii="Times New Roman" w:hAnsi="Times New Roman" w:cs="Times New Roman"/>
          <w:sz w:val="28"/>
          <w:szCs w:val="24"/>
          <w:shd w:val="clear" w:color="auto" w:fill="FFFFFF"/>
        </w:rPr>
        <w:t>de planeación, ii) es una norma instrumental destinada a permitir la ejecución del plan favoreciendo la consecución  de los objetivos generales, iii) es un mecanismo idóneo para la puesta en marcha del plan de inversiones o una medida indispensable para im</w:t>
      </w:r>
      <w:r w:rsidRPr="00AF629F">
        <w:rPr>
          <w:rFonts w:ascii="Times New Roman" w:hAnsi="Times New Roman" w:cs="Times New Roman"/>
          <w:sz w:val="28"/>
          <w:szCs w:val="24"/>
          <w:shd w:val="clear" w:color="auto" w:fill="FFFFFF"/>
        </w:rPr>
        <w:t>pulsar el cumplimiento del PND y iv) no busca llenar vacíos e inconsistencias de otro tipo de leyes</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(énfasis del original).</w:t>
      </w:r>
    </w:p>
    <w:p w:rsidR="00B9027A" w:rsidRPr="00AF629F" w:rsidRDefault="00AF629F" w:rsidP="004613B4">
      <w:pPr>
        <w:rPr>
          <w:rFonts w:ascii="Times New Roman" w:hAnsi="Times New Roman" w:cs="Times New Roman"/>
          <w:sz w:val="28"/>
          <w:szCs w:val="28"/>
        </w:rPr>
      </w:pPr>
    </w:p>
    <w:p w:rsidR="00E15D58" w:rsidRPr="00AF629F" w:rsidRDefault="00AF629F" w:rsidP="00C24BAB">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Luego de la Sentencia C-415 de 2020 </w:t>
      </w:r>
      <w:r w:rsidRPr="00AF629F">
        <w:rPr>
          <w:rFonts w:ascii="Times New Roman" w:hAnsi="Times New Roman" w:cs="Times New Roman"/>
          <w:sz w:val="28"/>
          <w:szCs w:val="28"/>
        </w:rPr>
        <w:t xml:space="preserve">y hasta la fecha de expedición de esta providencia, </w:t>
      </w:r>
      <w:r w:rsidRPr="00AF629F">
        <w:rPr>
          <w:rFonts w:ascii="Times New Roman" w:hAnsi="Times New Roman" w:cs="Times New Roman"/>
          <w:sz w:val="28"/>
          <w:szCs w:val="28"/>
        </w:rPr>
        <w:t xml:space="preserve">la Sala ha valorado </w:t>
      </w:r>
      <w:r w:rsidRPr="00AF629F">
        <w:rPr>
          <w:rFonts w:ascii="Times New Roman" w:hAnsi="Times New Roman" w:cs="Times New Roman"/>
          <w:sz w:val="28"/>
          <w:szCs w:val="28"/>
        </w:rPr>
        <w:t xml:space="preserve">la compatibilidad de </w:t>
      </w:r>
      <w:r w:rsidRPr="00AF629F">
        <w:rPr>
          <w:rFonts w:ascii="Times New Roman" w:hAnsi="Times New Roman" w:cs="Times New Roman"/>
          <w:sz w:val="28"/>
          <w:szCs w:val="28"/>
        </w:rPr>
        <w:t>d</w:t>
      </w:r>
      <w:r w:rsidRPr="00AF629F">
        <w:rPr>
          <w:rFonts w:ascii="Times New Roman" w:hAnsi="Times New Roman" w:cs="Times New Roman"/>
          <w:sz w:val="28"/>
          <w:szCs w:val="28"/>
        </w:rPr>
        <w:t xml:space="preserve">isposiciones del plan nacional de desarrollo </w:t>
      </w:r>
      <w:r w:rsidRPr="00AF629F">
        <w:rPr>
          <w:rFonts w:ascii="Times New Roman" w:hAnsi="Times New Roman" w:cs="Times New Roman"/>
          <w:sz w:val="28"/>
          <w:szCs w:val="28"/>
        </w:rPr>
        <w:t>que introducen modificaciones permanentes al ordenamiento jurídico o cuya vigencia supera el respectivo periodo cuatrienal de gobierno</w:t>
      </w:r>
      <w:r w:rsidRPr="00AF629F">
        <w:rPr>
          <w:rFonts w:ascii="Times New Roman" w:hAnsi="Times New Roman" w:cs="Times New Roman"/>
          <w:sz w:val="28"/>
          <w:szCs w:val="28"/>
        </w:rPr>
        <w:t xml:space="preserve">, como </w:t>
      </w:r>
      <w:r w:rsidRPr="00AF629F">
        <w:rPr>
          <w:rFonts w:ascii="Times New Roman" w:hAnsi="Times New Roman" w:cs="Times New Roman"/>
          <w:sz w:val="28"/>
          <w:szCs w:val="28"/>
        </w:rPr>
        <w:t xml:space="preserve">se </w:t>
      </w:r>
      <w:r w:rsidRPr="00AF629F">
        <w:rPr>
          <w:rFonts w:ascii="Times New Roman" w:hAnsi="Times New Roman" w:cs="Times New Roman"/>
          <w:sz w:val="28"/>
          <w:szCs w:val="28"/>
        </w:rPr>
        <w:t xml:space="preserve">puede apreciar en las </w:t>
      </w:r>
      <w:r w:rsidRPr="00AF629F">
        <w:rPr>
          <w:rFonts w:ascii="Times New Roman" w:hAnsi="Times New Roman" w:cs="Times New Roman"/>
          <w:sz w:val="28"/>
          <w:szCs w:val="28"/>
        </w:rPr>
        <w:t>s</w:t>
      </w:r>
      <w:r w:rsidRPr="00AF629F">
        <w:rPr>
          <w:rFonts w:ascii="Times New Roman" w:hAnsi="Times New Roman" w:cs="Times New Roman"/>
          <w:sz w:val="28"/>
          <w:szCs w:val="28"/>
        </w:rPr>
        <w:t>entencias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C-440 de 2020, C-464 de 2020, </w:t>
      </w:r>
      <w:r w:rsidRPr="00AF629F">
        <w:rPr>
          <w:rFonts w:ascii="Times New Roman" w:hAnsi="Times New Roman" w:cs="Times New Roman"/>
          <w:sz w:val="28"/>
          <w:szCs w:val="28"/>
        </w:rPr>
        <w:t>C-493 de 2020, C-030 de 2021, C-047 de 2021, C-063 de 2021, C-095 de 2021, C-105 de 2021, C-276 de 2021, C-049 de 2022, C-084 de 2022, C-161 de 2022 y C-537 de 2023.</w:t>
      </w:r>
      <w:r w:rsidRPr="00AF629F">
        <w:rPr>
          <w:rFonts w:ascii="Times New Roman" w:hAnsi="Times New Roman" w:cs="Times New Roman"/>
          <w:sz w:val="28"/>
          <w:szCs w:val="28"/>
        </w:rPr>
        <w:t xml:space="preserve"> </w:t>
      </w:r>
    </w:p>
    <w:p w:rsidR="00E15D58" w:rsidRPr="00AF629F" w:rsidRDefault="00AF629F" w:rsidP="00E15D58">
      <w:pPr>
        <w:pStyle w:val="Prrafodelista"/>
        <w:ind w:left="0"/>
        <w:jc w:val="both"/>
        <w:rPr>
          <w:rFonts w:ascii="Times New Roman" w:hAnsi="Times New Roman" w:cs="Times New Roman"/>
          <w:sz w:val="28"/>
          <w:szCs w:val="28"/>
        </w:rPr>
      </w:pPr>
    </w:p>
    <w:p w:rsidR="000643CE" w:rsidRPr="00AF629F" w:rsidRDefault="00AF629F" w:rsidP="00473F63">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De este conjunto de providencias, solo en las sentencias C-063 de 2021 y C-105 de 2021 s</w:t>
      </w:r>
      <w:r w:rsidRPr="00AF629F">
        <w:rPr>
          <w:rFonts w:ascii="Times New Roman" w:hAnsi="Times New Roman" w:cs="Times New Roman"/>
          <w:sz w:val="28"/>
          <w:szCs w:val="28"/>
        </w:rPr>
        <w:t>e declararon exequibles las disposiciones del plan nacional de desarrollo objeto de control</w:t>
      </w:r>
      <w:r w:rsidRPr="00AF629F">
        <w:rPr>
          <w:rStyle w:val="Refdenotaalpie"/>
          <w:rFonts w:ascii="Times New Roman" w:hAnsi="Times New Roman" w:cs="Times New Roman"/>
          <w:sz w:val="28"/>
          <w:szCs w:val="28"/>
        </w:rPr>
        <w:footnoteReference w:id="45"/>
      </w:r>
      <w:r w:rsidRPr="00AF629F">
        <w:rPr>
          <w:rFonts w:ascii="Times New Roman" w:hAnsi="Times New Roman" w:cs="Times New Roman"/>
          <w:sz w:val="28"/>
          <w:szCs w:val="28"/>
        </w:rPr>
        <w:t>. En las restantes 11 las disposiciones se declararon inexequibles</w:t>
      </w:r>
      <w:r w:rsidRPr="00AF629F">
        <w:rPr>
          <w:rStyle w:val="Refdenotaalpie"/>
          <w:rFonts w:ascii="Times New Roman" w:hAnsi="Times New Roman" w:cs="Times New Roman"/>
          <w:sz w:val="28"/>
          <w:szCs w:val="28"/>
        </w:rPr>
        <w:footnoteReference w:id="46"/>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En </w:t>
      </w:r>
      <w:r w:rsidRPr="00AF629F">
        <w:rPr>
          <w:rFonts w:ascii="Times New Roman" w:hAnsi="Times New Roman" w:cs="Times New Roman"/>
          <w:sz w:val="28"/>
          <w:szCs w:val="28"/>
        </w:rPr>
        <w:t>todas ellas</w:t>
      </w:r>
      <w:r w:rsidRPr="00AF629F">
        <w:rPr>
          <w:rFonts w:ascii="Times New Roman" w:hAnsi="Times New Roman" w:cs="Times New Roman"/>
          <w:sz w:val="28"/>
          <w:szCs w:val="28"/>
        </w:rPr>
        <w:t>, con algunas variaciones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matices</w:t>
      </w:r>
      <w:r w:rsidRPr="00AF629F">
        <w:rPr>
          <w:rFonts w:ascii="Times New Roman" w:hAnsi="Times New Roman" w:cs="Times New Roman"/>
          <w:sz w:val="28"/>
          <w:szCs w:val="28"/>
        </w:rPr>
        <w:t xml:space="preserve"> y precisiones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se </w:t>
      </w:r>
      <w:r w:rsidRPr="00AF629F">
        <w:rPr>
          <w:rFonts w:ascii="Times New Roman" w:hAnsi="Times New Roman" w:cs="Times New Roman"/>
          <w:sz w:val="28"/>
          <w:szCs w:val="28"/>
        </w:rPr>
        <w:t xml:space="preserve">aplicaron </w:t>
      </w:r>
      <w:r w:rsidRPr="00AF629F">
        <w:rPr>
          <w:rFonts w:ascii="Times New Roman" w:hAnsi="Times New Roman" w:cs="Times New Roman"/>
          <w:sz w:val="28"/>
          <w:szCs w:val="28"/>
        </w:rPr>
        <w:t xml:space="preserve">las reglas de </w:t>
      </w:r>
      <w:r w:rsidRPr="00AF629F">
        <w:rPr>
          <w:rFonts w:ascii="Times New Roman" w:hAnsi="Times New Roman" w:cs="Times New Roman"/>
          <w:sz w:val="28"/>
          <w:szCs w:val="28"/>
        </w:rPr>
        <w:t>decisión fijadas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en </w:t>
      </w:r>
      <w:r w:rsidRPr="00AF629F">
        <w:rPr>
          <w:rFonts w:ascii="Times New Roman" w:hAnsi="Times New Roman" w:cs="Times New Roman"/>
          <w:sz w:val="28"/>
          <w:szCs w:val="28"/>
        </w:rPr>
        <w:t>la Sentencia C-415 de 2020.</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E</w:t>
      </w:r>
      <w:r w:rsidRPr="00AF629F">
        <w:rPr>
          <w:rFonts w:ascii="Times New Roman" w:hAnsi="Times New Roman" w:cs="Times New Roman"/>
          <w:sz w:val="28"/>
          <w:szCs w:val="28"/>
        </w:rPr>
        <w:t>n la generalidad</w:t>
      </w:r>
      <w:r w:rsidRPr="00AF629F">
        <w:rPr>
          <w:rFonts w:ascii="Times New Roman" w:hAnsi="Times New Roman" w:cs="Times New Roman"/>
          <w:sz w:val="28"/>
          <w:szCs w:val="28"/>
        </w:rPr>
        <w:t xml:space="preserve"> de estas, además,</w:t>
      </w:r>
      <w:r w:rsidRPr="00AF629F">
        <w:rPr>
          <w:rFonts w:ascii="Times New Roman" w:hAnsi="Times New Roman" w:cs="Times New Roman"/>
          <w:sz w:val="28"/>
          <w:szCs w:val="28"/>
        </w:rPr>
        <w:t xml:space="preserve"> la Sala </w:t>
      </w:r>
      <w:r w:rsidRPr="00AF629F">
        <w:rPr>
          <w:rFonts w:ascii="Times New Roman" w:hAnsi="Times New Roman" w:cs="Times New Roman"/>
          <w:sz w:val="28"/>
          <w:szCs w:val="28"/>
        </w:rPr>
        <w:t xml:space="preserve">aplicó </w:t>
      </w:r>
      <w:r w:rsidRPr="00AF629F">
        <w:rPr>
          <w:rFonts w:ascii="Times New Roman" w:hAnsi="Times New Roman" w:cs="Times New Roman"/>
          <w:sz w:val="28"/>
          <w:szCs w:val="28"/>
        </w:rPr>
        <w:t xml:space="preserve">la metodología descrita </w:t>
      </w:r>
      <w:r w:rsidRPr="00AF629F">
        <w:rPr>
          <w:rFonts w:ascii="Times New Roman" w:hAnsi="Times New Roman" w:cs="Times New Roman"/>
          <w:sz w:val="28"/>
          <w:szCs w:val="28"/>
        </w:rPr>
        <w:t xml:space="preserve">en el Título </w:t>
      </w:r>
      <w:r w:rsidRPr="00AF629F">
        <w:rPr>
          <w:rFonts w:ascii="Times New Roman" w:hAnsi="Times New Roman" w:cs="Times New Roman"/>
          <w:sz w:val="28"/>
          <w:szCs w:val="28"/>
        </w:rPr>
        <w:t>4</w:t>
      </w:r>
      <w:r w:rsidRPr="00AF629F">
        <w:rPr>
          <w:rFonts w:ascii="Times New Roman" w:hAnsi="Times New Roman" w:cs="Times New Roman"/>
          <w:sz w:val="28"/>
          <w:szCs w:val="28"/>
        </w:rPr>
        <w:t xml:space="preserve">.2 </w:t>
      </w:r>
      <w:r w:rsidRPr="00AF629F">
        <w:rPr>
          <w:rFonts w:ascii="Times New Roman" w:hAnsi="Times New Roman" w:cs="Times New Roman"/>
          <w:i/>
          <w:sz w:val="28"/>
          <w:szCs w:val="28"/>
        </w:rPr>
        <w:t>supra</w:t>
      </w:r>
      <w:r w:rsidRPr="00AF629F">
        <w:rPr>
          <w:rFonts w:ascii="Times New Roman" w:hAnsi="Times New Roman" w:cs="Times New Roman"/>
          <w:sz w:val="28"/>
          <w:szCs w:val="28"/>
        </w:rPr>
        <w:t xml:space="preserve"> con sus tres </w:t>
      </w:r>
      <w:r w:rsidRPr="00AF629F">
        <w:rPr>
          <w:rFonts w:ascii="Times New Roman" w:hAnsi="Times New Roman" w:cs="Times New Roman"/>
          <w:sz w:val="28"/>
          <w:szCs w:val="28"/>
        </w:rPr>
        <w:t xml:space="preserve">condiciones, </w:t>
      </w:r>
      <w:r w:rsidRPr="00AF629F">
        <w:rPr>
          <w:rFonts w:ascii="Times New Roman" w:hAnsi="Times New Roman" w:cs="Times New Roman"/>
          <w:sz w:val="28"/>
          <w:szCs w:val="28"/>
        </w:rPr>
        <w:t>para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además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valorar </w:t>
      </w:r>
      <w:r w:rsidRPr="00AF629F">
        <w:rPr>
          <w:rFonts w:ascii="Times New Roman" w:hAnsi="Times New Roman" w:cs="Times New Roman"/>
          <w:sz w:val="28"/>
          <w:szCs w:val="28"/>
        </w:rPr>
        <w:t xml:space="preserve">una exigencia adicional, si </w:t>
      </w:r>
      <w:r w:rsidRPr="00AF629F">
        <w:rPr>
          <w:rFonts w:ascii="Times New Roman" w:hAnsi="Times New Roman" w:cs="Times New Roman"/>
          <w:sz w:val="28"/>
          <w:szCs w:val="28"/>
        </w:rPr>
        <w:t xml:space="preserve">se </w:t>
      </w:r>
      <w:r w:rsidRPr="00AF629F">
        <w:rPr>
          <w:rFonts w:ascii="Times New Roman" w:hAnsi="Times New Roman" w:cs="Times New Roman"/>
          <w:sz w:val="28"/>
          <w:szCs w:val="28"/>
        </w:rPr>
        <w:t xml:space="preserve">evidenciaba que </w:t>
      </w:r>
      <w:r w:rsidRPr="00AF629F">
        <w:rPr>
          <w:rFonts w:ascii="Times New Roman" w:hAnsi="Times New Roman" w:cs="Times New Roman"/>
          <w:sz w:val="28"/>
          <w:szCs w:val="28"/>
        </w:rPr>
        <w:t xml:space="preserve">las disposiciones </w:t>
      </w:r>
      <w:r w:rsidRPr="00AF629F">
        <w:rPr>
          <w:rFonts w:ascii="Times New Roman" w:hAnsi="Times New Roman" w:cs="Times New Roman"/>
          <w:sz w:val="28"/>
          <w:szCs w:val="28"/>
        </w:rPr>
        <w:t xml:space="preserve">demandadas </w:t>
      </w:r>
      <w:r w:rsidRPr="00AF629F">
        <w:rPr>
          <w:rFonts w:ascii="Times New Roman" w:hAnsi="Times New Roman" w:cs="Times New Roman"/>
          <w:sz w:val="28"/>
          <w:szCs w:val="28"/>
        </w:rPr>
        <w:t>introduc</w:t>
      </w:r>
      <w:r w:rsidRPr="00AF629F">
        <w:rPr>
          <w:rFonts w:ascii="Times New Roman" w:hAnsi="Times New Roman" w:cs="Times New Roman"/>
          <w:sz w:val="28"/>
          <w:szCs w:val="28"/>
        </w:rPr>
        <w:t>ían</w:t>
      </w:r>
      <w:r w:rsidRPr="00AF629F">
        <w:rPr>
          <w:rFonts w:ascii="Times New Roman" w:hAnsi="Times New Roman" w:cs="Times New Roman"/>
          <w:sz w:val="28"/>
          <w:szCs w:val="28"/>
        </w:rPr>
        <w:t xml:space="preserve"> modificaci</w:t>
      </w:r>
      <w:r w:rsidRPr="00AF629F">
        <w:rPr>
          <w:rFonts w:ascii="Times New Roman" w:hAnsi="Times New Roman" w:cs="Times New Roman"/>
          <w:sz w:val="28"/>
          <w:szCs w:val="28"/>
        </w:rPr>
        <w:t>ones</w:t>
      </w:r>
      <w:r w:rsidRPr="00AF629F">
        <w:rPr>
          <w:rFonts w:ascii="Times New Roman" w:hAnsi="Times New Roman" w:cs="Times New Roman"/>
          <w:sz w:val="28"/>
          <w:szCs w:val="28"/>
        </w:rPr>
        <w:t xml:space="preserve"> permanente</w:t>
      </w:r>
      <w:r w:rsidRPr="00AF629F">
        <w:rPr>
          <w:rFonts w:ascii="Times New Roman" w:hAnsi="Times New Roman" w:cs="Times New Roman"/>
          <w:sz w:val="28"/>
          <w:szCs w:val="28"/>
        </w:rPr>
        <w:t>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al ordenamiento </w:t>
      </w:r>
      <w:r w:rsidRPr="00AF629F">
        <w:rPr>
          <w:rFonts w:ascii="Times New Roman" w:hAnsi="Times New Roman" w:cs="Times New Roman"/>
          <w:sz w:val="28"/>
          <w:szCs w:val="28"/>
        </w:rPr>
        <w:t xml:space="preserve">o </w:t>
      </w:r>
      <w:r w:rsidRPr="00AF629F">
        <w:rPr>
          <w:rFonts w:ascii="Times New Roman" w:hAnsi="Times New Roman" w:cs="Times New Roman"/>
          <w:sz w:val="28"/>
          <w:szCs w:val="28"/>
        </w:rPr>
        <w:t xml:space="preserve">si </w:t>
      </w:r>
      <w:r w:rsidRPr="00AF629F">
        <w:rPr>
          <w:rFonts w:ascii="Times New Roman" w:hAnsi="Times New Roman" w:cs="Times New Roman"/>
          <w:sz w:val="28"/>
          <w:szCs w:val="28"/>
        </w:rPr>
        <w:t xml:space="preserve">su vigencia </w:t>
      </w:r>
      <w:r w:rsidRPr="00AF629F">
        <w:rPr>
          <w:rFonts w:ascii="Times New Roman" w:hAnsi="Times New Roman" w:cs="Times New Roman"/>
          <w:sz w:val="28"/>
          <w:szCs w:val="28"/>
        </w:rPr>
        <w:t xml:space="preserve">era </w:t>
      </w:r>
      <w:r w:rsidRPr="00AF629F">
        <w:rPr>
          <w:rFonts w:ascii="Times New Roman" w:hAnsi="Times New Roman" w:cs="Times New Roman"/>
          <w:sz w:val="28"/>
          <w:szCs w:val="28"/>
        </w:rPr>
        <w:t>superior al respectivo periodo presidencial</w:t>
      </w:r>
      <w:r w:rsidRPr="00AF629F">
        <w:rPr>
          <w:rFonts w:ascii="Times New Roman" w:hAnsi="Times New Roman" w:cs="Times New Roman"/>
          <w:sz w:val="28"/>
          <w:szCs w:val="28"/>
        </w:rPr>
        <w:t xml:space="preserve">, a saber: </w:t>
      </w:r>
      <w:r w:rsidRPr="00AF629F">
        <w:rPr>
          <w:rFonts w:ascii="Times New Roman" w:hAnsi="Times New Roman" w:cs="Times New Roman"/>
          <w:sz w:val="28"/>
          <w:szCs w:val="28"/>
        </w:rPr>
        <w:t xml:space="preserve">verificar </w:t>
      </w:r>
      <w:r w:rsidRPr="00AF629F">
        <w:rPr>
          <w:rFonts w:ascii="Times New Roman" w:hAnsi="Times New Roman" w:cs="Times New Roman"/>
          <w:sz w:val="28"/>
          <w:szCs w:val="28"/>
        </w:rPr>
        <w:t xml:space="preserve">si </w:t>
      </w:r>
      <w:r w:rsidRPr="00AF629F">
        <w:rPr>
          <w:rFonts w:ascii="Times New Roman" w:hAnsi="Times New Roman" w:cs="Times New Roman"/>
          <w:sz w:val="28"/>
          <w:szCs w:val="28"/>
        </w:rPr>
        <w:t>tales</w:t>
      </w:r>
      <w:r w:rsidRPr="00AF629F">
        <w:rPr>
          <w:rFonts w:ascii="Times New Roman" w:hAnsi="Times New Roman" w:cs="Times New Roman"/>
          <w:sz w:val="28"/>
          <w:szCs w:val="28"/>
        </w:rPr>
        <w:t xml:space="preserve"> modificaciones </w:t>
      </w:r>
      <w:r w:rsidRPr="00AF629F">
        <w:rPr>
          <w:rFonts w:ascii="Times New Roman" w:hAnsi="Times New Roman" w:cs="Times New Roman"/>
          <w:sz w:val="28"/>
          <w:szCs w:val="28"/>
        </w:rPr>
        <w:t xml:space="preserve">tenían </w:t>
      </w:r>
      <w:r w:rsidRPr="00AF629F">
        <w:rPr>
          <w:rFonts w:ascii="Times New Roman" w:hAnsi="Times New Roman" w:cs="Times New Roman"/>
          <w:bCs/>
          <w:sz w:val="28"/>
          <w:szCs w:val="28"/>
        </w:rPr>
        <w:t>un fin planificador y de impulso a la ejecución del plan</w:t>
      </w:r>
      <w:r w:rsidRPr="00AF629F">
        <w:rPr>
          <w:rFonts w:ascii="Times New Roman" w:hAnsi="Times New Roman" w:cs="Times New Roman"/>
          <w:bCs/>
          <w:sz w:val="28"/>
          <w:szCs w:val="28"/>
        </w:rPr>
        <w:t xml:space="preserve"> cuatrienal</w:t>
      </w:r>
      <w:r w:rsidRPr="00AF629F">
        <w:rPr>
          <w:rFonts w:ascii="Times New Roman" w:hAnsi="Times New Roman" w:cs="Times New Roman"/>
          <w:bCs/>
          <w:sz w:val="28"/>
          <w:szCs w:val="28"/>
        </w:rPr>
        <w:t>, pues de lo contrario serían incompatibles con el principio constitucional de unidad de materi</w:t>
      </w:r>
      <w:r w:rsidRPr="00AF629F">
        <w:rPr>
          <w:rFonts w:ascii="Times New Roman" w:hAnsi="Times New Roman" w:cs="Times New Roman"/>
          <w:bCs/>
          <w:sz w:val="28"/>
          <w:szCs w:val="28"/>
        </w:rPr>
        <w:t>a</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E</w:t>
      </w:r>
      <w:r w:rsidRPr="00AF629F">
        <w:rPr>
          <w:rFonts w:ascii="Times New Roman" w:hAnsi="Times New Roman" w:cs="Times New Roman"/>
          <w:bCs/>
          <w:sz w:val="28"/>
          <w:szCs w:val="28"/>
        </w:rPr>
        <w:t>sta</w:t>
      </w:r>
      <w:r w:rsidRPr="00AF629F">
        <w:rPr>
          <w:rFonts w:ascii="Times New Roman" w:hAnsi="Times New Roman" w:cs="Times New Roman"/>
          <w:bCs/>
          <w:sz w:val="28"/>
          <w:szCs w:val="28"/>
        </w:rPr>
        <w:t xml:space="preserve"> valoración adicional </w:t>
      </w:r>
      <w:r w:rsidRPr="00AF629F">
        <w:rPr>
          <w:rFonts w:ascii="Times New Roman" w:hAnsi="Times New Roman" w:cs="Times New Roman"/>
          <w:bCs/>
          <w:sz w:val="28"/>
          <w:szCs w:val="28"/>
        </w:rPr>
        <w:t xml:space="preserve">tiene como causa </w:t>
      </w:r>
      <w:r w:rsidRPr="00AF629F">
        <w:rPr>
          <w:rFonts w:ascii="Times New Roman" w:hAnsi="Times New Roman" w:cs="Times New Roman"/>
          <w:bCs/>
          <w:sz w:val="28"/>
          <w:szCs w:val="28"/>
        </w:rPr>
        <w:t xml:space="preserve">la necesidad de realizar un control estricto a la exigencia de unidad de materia </w:t>
      </w:r>
      <w:r w:rsidRPr="00AF629F">
        <w:rPr>
          <w:rFonts w:ascii="Times New Roman" w:hAnsi="Times New Roman" w:cs="Times New Roman"/>
          <w:bCs/>
          <w:sz w:val="28"/>
          <w:szCs w:val="28"/>
        </w:rPr>
        <w:t xml:space="preserve">en las disposiciones </w:t>
      </w:r>
      <w:r w:rsidRPr="00AF629F">
        <w:rPr>
          <w:rFonts w:ascii="Times New Roman" w:hAnsi="Times New Roman" w:cs="Times New Roman"/>
          <w:bCs/>
          <w:sz w:val="28"/>
          <w:szCs w:val="28"/>
        </w:rPr>
        <w:t>que se introducen a la ley aprobatoria del plan nacional de desarrollo</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p>
    <w:p w:rsidR="00636AB9" w:rsidRPr="00AF629F" w:rsidRDefault="00AF629F" w:rsidP="008F2AC8">
      <w:pPr>
        <w:rPr>
          <w:rFonts w:ascii="Times New Roman" w:hAnsi="Times New Roman" w:cs="Times New Roman"/>
          <w:sz w:val="28"/>
          <w:szCs w:val="28"/>
        </w:rPr>
      </w:pPr>
    </w:p>
    <w:p w:rsidR="006B235A" w:rsidRPr="00AF629F" w:rsidRDefault="00AF629F" w:rsidP="0066524A">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De </w:t>
      </w:r>
      <w:r w:rsidRPr="00AF629F">
        <w:rPr>
          <w:rFonts w:ascii="Times New Roman" w:hAnsi="Times New Roman" w:cs="Times New Roman"/>
          <w:sz w:val="28"/>
          <w:szCs w:val="28"/>
        </w:rPr>
        <w:t xml:space="preserve">este </w:t>
      </w:r>
      <w:r w:rsidRPr="00AF629F">
        <w:rPr>
          <w:rFonts w:ascii="Times New Roman" w:hAnsi="Times New Roman" w:cs="Times New Roman"/>
          <w:sz w:val="28"/>
          <w:szCs w:val="28"/>
        </w:rPr>
        <w:t xml:space="preserve">conjunto de providencias son especialmente relevantes </w:t>
      </w:r>
      <w:r w:rsidRPr="00AF629F">
        <w:rPr>
          <w:rFonts w:ascii="Times New Roman" w:hAnsi="Times New Roman" w:cs="Times New Roman"/>
          <w:sz w:val="28"/>
          <w:szCs w:val="28"/>
        </w:rPr>
        <w:t>para la solución del caso concreto, en cuanto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precisan</w:t>
      </w:r>
      <w:r w:rsidRPr="00AF629F">
        <w:rPr>
          <w:rFonts w:ascii="Times New Roman" w:hAnsi="Times New Roman" w:cs="Times New Roman"/>
          <w:sz w:val="28"/>
          <w:szCs w:val="28"/>
        </w:rPr>
        <w:t xml:space="preserve"> estas dos exigencias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las sentencias C-415 de 2020, C-440 de 2020</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C-047 de 2021</w:t>
      </w:r>
      <w:r w:rsidRPr="00AF629F">
        <w:rPr>
          <w:rFonts w:ascii="Times New Roman" w:hAnsi="Times New Roman" w:cs="Times New Roman"/>
          <w:sz w:val="28"/>
          <w:szCs w:val="28"/>
        </w:rPr>
        <w:t>, C-</w:t>
      </w:r>
      <w:r w:rsidRPr="00AF629F">
        <w:rPr>
          <w:rFonts w:ascii="Times New Roman" w:hAnsi="Times New Roman" w:cs="Times New Roman"/>
          <w:sz w:val="28"/>
          <w:szCs w:val="28"/>
        </w:rPr>
        <w:t>049 de 2022 y C-537 de 2023</w:t>
      </w:r>
      <w:r w:rsidRPr="00AF629F">
        <w:rPr>
          <w:rFonts w:ascii="Times New Roman" w:hAnsi="Times New Roman" w:cs="Times New Roman"/>
          <w:sz w:val="28"/>
          <w:szCs w:val="28"/>
        </w:rPr>
        <w:t>.</w:t>
      </w:r>
    </w:p>
    <w:p w:rsidR="005916C3" w:rsidRPr="00AF629F" w:rsidRDefault="00AF629F" w:rsidP="005916C3">
      <w:pPr>
        <w:pStyle w:val="Prrafodelista"/>
        <w:rPr>
          <w:rFonts w:ascii="Times New Roman" w:hAnsi="Times New Roman" w:cs="Times New Roman"/>
          <w:sz w:val="28"/>
          <w:szCs w:val="28"/>
        </w:rPr>
      </w:pPr>
    </w:p>
    <w:p w:rsidR="005D41EA" w:rsidRPr="00AF629F" w:rsidRDefault="00AF629F" w:rsidP="00F80F86">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En la Sentencia C-415 de 2020, la Sala justificó la declaratoria de inexequibilidad de la expresión “el artículo 110 de la Ley 1943 de 2018”, prevista en el artículo 336 de la Ley 1955</w:t>
      </w:r>
      <w:r w:rsidRPr="00AF629F">
        <w:rPr>
          <w:rFonts w:ascii="Times New Roman" w:hAnsi="Times New Roman" w:cs="Times New Roman"/>
          <w:iCs/>
          <w:sz w:val="28"/>
          <w:szCs w:val="28"/>
        </w:rPr>
        <w:t xml:space="preserve"> de 2019</w:t>
      </w:r>
      <w:r w:rsidRPr="00AF629F">
        <w:rPr>
          <w:rFonts w:ascii="Times New Roman" w:hAnsi="Times New Roman" w:cs="Times New Roman"/>
          <w:iCs/>
          <w:sz w:val="28"/>
          <w:szCs w:val="28"/>
        </w:rPr>
        <w:t xml:space="preserve"> –sobre </w:t>
      </w:r>
      <w:r w:rsidRPr="00AF629F">
        <w:rPr>
          <w:rFonts w:ascii="Times New Roman" w:hAnsi="Times New Roman" w:cs="Times New Roman"/>
          <w:iCs/>
          <w:sz w:val="28"/>
          <w:szCs w:val="28"/>
        </w:rPr>
        <w:t>“vigenc</w:t>
      </w:r>
      <w:r w:rsidRPr="00AF629F">
        <w:rPr>
          <w:rFonts w:ascii="Times New Roman" w:hAnsi="Times New Roman" w:cs="Times New Roman"/>
          <w:iCs/>
          <w:sz w:val="28"/>
          <w:szCs w:val="28"/>
        </w:rPr>
        <w:t xml:space="preserve">ias y </w:t>
      </w:r>
      <w:r w:rsidRPr="00AF629F">
        <w:rPr>
          <w:rFonts w:ascii="Times New Roman" w:hAnsi="Times New Roman" w:cs="Times New Roman"/>
          <w:iCs/>
          <w:sz w:val="28"/>
          <w:szCs w:val="28"/>
        </w:rPr>
        <w:t>derogatorias</w:t>
      </w:r>
      <w:r w:rsidRPr="00AF629F">
        <w:rPr>
          <w:rFonts w:ascii="Times New Roman" w:hAnsi="Times New Roman" w:cs="Times New Roman"/>
          <w:iCs/>
          <w:sz w:val="28"/>
          <w:szCs w:val="28"/>
        </w:rPr>
        <w:t>”</w:t>
      </w:r>
      <w:r w:rsidRPr="00AF629F">
        <w:rPr>
          <w:rFonts w:ascii="Times New Roman" w:hAnsi="Times New Roman" w:cs="Times New Roman"/>
          <w:iCs/>
          <w:sz w:val="28"/>
          <w:szCs w:val="28"/>
        </w:rPr>
        <w:t>–</w:t>
      </w:r>
      <w:r w:rsidRPr="00AF629F">
        <w:rPr>
          <w:rFonts w:ascii="Times New Roman" w:hAnsi="Times New Roman" w:cs="Times New Roman"/>
          <w:iCs/>
          <w:sz w:val="28"/>
          <w:szCs w:val="28"/>
        </w:rPr>
        <w:t xml:space="preserve">, </w:t>
      </w:r>
      <w:r w:rsidRPr="00AF629F">
        <w:rPr>
          <w:rFonts w:ascii="Times New Roman" w:hAnsi="Times New Roman" w:cs="Times New Roman"/>
          <w:iCs/>
          <w:sz w:val="28"/>
          <w:szCs w:val="28"/>
        </w:rPr>
        <w:t xml:space="preserve">entre otras, </w:t>
      </w:r>
      <w:r w:rsidRPr="00AF629F">
        <w:rPr>
          <w:rFonts w:ascii="Times New Roman" w:hAnsi="Times New Roman" w:cs="Times New Roman"/>
          <w:iCs/>
          <w:sz w:val="28"/>
          <w:szCs w:val="28"/>
        </w:rPr>
        <w:t>por</w:t>
      </w:r>
      <w:r w:rsidRPr="00AF629F">
        <w:rPr>
          <w:rFonts w:ascii="Times New Roman" w:hAnsi="Times New Roman" w:cs="Times New Roman"/>
          <w:iCs/>
          <w:sz w:val="28"/>
          <w:szCs w:val="28"/>
        </w:rPr>
        <w:t xml:space="preserve"> introducir una modificación permanente al ordenamiento jurídico.</w:t>
      </w:r>
    </w:p>
    <w:p w:rsidR="003353D0" w:rsidRPr="00AF629F" w:rsidRDefault="00AF629F" w:rsidP="003353D0">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bCs/>
          <w:sz w:val="28"/>
          <w:szCs w:val="28"/>
          <w:shd w:val="clear" w:color="auto" w:fill="FFFFFF"/>
        </w:rPr>
        <w:t xml:space="preserve">En la Sentencia C-440 de 2020 </w:t>
      </w:r>
      <w:r w:rsidRPr="00AF629F">
        <w:rPr>
          <w:rFonts w:ascii="Times New Roman" w:hAnsi="Times New Roman" w:cs="Times New Roman"/>
          <w:sz w:val="28"/>
          <w:szCs w:val="28"/>
          <w:bdr w:val="none" w:sz="0" w:space="0" w:color="auto" w:frame="1"/>
          <w:lang w:val="es-ES_tradnl"/>
        </w:rPr>
        <w:t xml:space="preserve">la Sala justificó la inexequibilidad de la expresión </w:t>
      </w:r>
      <w:r w:rsidRPr="00AF629F">
        <w:rPr>
          <w:rFonts w:ascii="Times New Roman" w:hAnsi="Times New Roman" w:cs="Times New Roman"/>
          <w:iCs/>
          <w:sz w:val="28"/>
          <w:szCs w:val="28"/>
          <w:bdr w:val="none" w:sz="0" w:space="0" w:color="auto" w:frame="1"/>
          <w:lang w:val="es-ES_tradnl"/>
        </w:rPr>
        <w:t>“el artículo 167 de la Ley 769 de 2002”</w:t>
      </w:r>
      <w:r w:rsidRPr="00AF629F">
        <w:rPr>
          <w:rStyle w:val="Refdenotaalpie"/>
          <w:rFonts w:ascii="Times New Roman" w:hAnsi="Times New Roman" w:cs="Times New Roman"/>
          <w:iCs/>
          <w:sz w:val="28"/>
          <w:szCs w:val="28"/>
          <w:bdr w:val="none" w:sz="0" w:space="0" w:color="auto" w:frame="1"/>
          <w:lang w:val="es-ES_tradnl"/>
        </w:rPr>
        <w:footnoteReference w:id="47"/>
      </w:r>
      <w:r w:rsidRPr="00AF629F">
        <w:rPr>
          <w:rFonts w:ascii="Times New Roman" w:hAnsi="Times New Roman" w:cs="Times New Roman"/>
          <w:iCs/>
          <w:sz w:val="28"/>
          <w:szCs w:val="28"/>
          <w:bdr w:val="none" w:sz="0" w:space="0" w:color="auto" w:frame="1"/>
          <w:lang w:val="es-ES_tradnl"/>
        </w:rPr>
        <w:t>,</w:t>
      </w:r>
      <w:r w:rsidRPr="00AF629F">
        <w:rPr>
          <w:rFonts w:ascii="Times New Roman" w:hAnsi="Times New Roman" w:cs="Times New Roman"/>
          <w:sz w:val="28"/>
          <w:szCs w:val="28"/>
          <w:bdr w:val="none" w:sz="0" w:space="0" w:color="auto" w:frame="1"/>
          <w:lang w:val="es-ES_tradnl"/>
        </w:rPr>
        <w:t xml:space="preserve"> contenida en el artículo 336 de la Ley 1955 de 2019</w:t>
      </w:r>
      <w:r w:rsidRPr="00AF629F">
        <w:rPr>
          <w:rFonts w:ascii="Times New Roman" w:hAnsi="Times New Roman" w:cs="Times New Roman"/>
          <w:sz w:val="28"/>
          <w:szCs w:val="28"/>
          <w:bdr w:val="none" w:sz="0" w:space="0" w:color="auto" w:frame="1"/>
          <w:lang w:val="es-ES_tradnl"/>
        </w:rPr>
        <w:t xml:space="preserve"> </w:t>
      </w:r>
      <w:r w:rsidRPr="00AF629F">
        <w:rPr>
          <w:rFonts w:ascii="Times New Roman" w:hAnsi="Times New Roman" w:cs="Times New Roman"/>
          <w:iCs/>
          <w:sz w:val="28"/>
          <w:szCs w:val="28"/>
        </w:rPr>
        <w:t>–sobre “vigencias y derogatorias”–, entre otras,</w:t>
      </w:r>
      <w:r w:rsidRPr="00AF629F">
        <w:rPr>
          <w:rFonts w:ascii="Times New Roman" w:hAnsi="Times New Roman" w:cs="Times New Roman"/>
          <w:sz w:val="28"/>
          <w:szCs w:val="28"/>
          <w:bdr w:val="none" w:sz="0" w:space="0" w:color="auto" w:frame="1"/>
          <w:lang w:val="es-ES_tradnl"/>
        </w:rPr>
        <w:t xml:space="preserve"> en el siguiente razonamiento: “</w:t>
      </w:r>
      <w:r w:rsidRPr="00AF629F">
        <w:rPr>
          <w:rFonts w:ascii="Times New Roman" w:hAnsi="Times New Roman" w:cs="Times New Roman"/>
          <w:sz w:val="28"/>
          <w:szCs w:val="28"/>
          <w:bdr w:val="none" w:sz="0" w:space="0" w:color="auto" w:frame="1"/>
          <w:lang w:val="es-ES_tradnl"/>
        </w:rPr>
        <w:t>[a]</w:t>
      </w:r>
      <w:r w:rsidRPr="00AF629F">
        <w:rPr>
          <w:rFonts w:ascii="Times New Roman" w:hAnsi="Times New Roman" w:cs="Times New Roman"/>
          <w:sz w:val="28"/>
          <w:szCs w:val="28"/>
          <w:lang w:val="es-ES_tradnl"/>
        </w:rPr>
        <w:t>demás, la Corte advierte que, dada la materia que regula la disposición acusada, esta tiene por objeto llenar las incons</w:t>
      </w:r>
      <w:r w:rsidRPr="00AF629F">
        <w:rPr>
          <w:rFonts w:ascii="Times New Roman" w:hAnsi="Times New Roman" w:cs="Times New Roman"/>
          <w:sz w:val="28"/>
          <w:szCs w:val="28"/>
          <w:lang w:val="es-ES_tradnl"/>
        </w:rPr>
        <w:t>istencias que presentan leyes anteriores, en este caso la Ley 769 de 2002 y, además, tiene vocación de permanencia, lo cual desconoce la potestad legislativa general reconocida al Congreso de la República. En efecto, la derogatoria del artículo 167 de la L</w:t>
      </w:r>
      <w:r w:rsidRPr="00AF629F">
        <w:rPr>
          <w:rFonts w:ascii="Times New Roman" w:hAnsi="Times New Roman" w:cs="Times New Roman"/>
          <w:sz w:val="28"/>
          <w:szCs w:val="28"/>
          <w:lang w:val="es-ES_tradnl"/>
        </w:rPr>
        <w:t xml:space="preserve">ey 769 de 2002, que otorga responsabilidades de administración a la Dirección Ejecutiva de la Rama Judicial sobre los parqueaderos destinados a vehículos inmovilizados por orden judicial, genera un cambio de responsable, lo cual implica que otra autoridad </w:t>
      </w:r>
      <w:r w:rsidRPr="00AF629F">
        <w:rPr>
          <w:rFonts w:ascii="Times New Roman" w:hAnsi="Times New Roman" w:cs="Times New Roman"/>
          <w:sz w:val="28"/>
          <w:szCs w:val="28"/>
          <w:lang w:val="es-ES_tradnl"/>
        </w:rPr>
        <w:t>deba asumir el costo y compromiso de dicha guarda de vehículos. De ahí que, para la Corte, la derogatoria mencionada no tenga por efecto únicamente articular el nuevo orden jurídico que impone la regulación introducida por la Ley 1955 de 2019, sino regular</w:t>
      </w:r>
      <w:r w:rsidRPr="00AF629F">
        <w:rPr>
          <w:rFonts w:ascii="Times New Roman" w:hAnsi="Times New Roman" w:cs="Times New Roman"/>
          <w:sz w:val="28"/>
          <w:szCs w:val="28"/>
          <w:lang w:val="es-ES_tradnl"/>
        </w:rPr>
        <w:t xml:space="preserve"> un asunto particular, que es inconexo al Plan Nacional de Desarrollo y </w:t>
      </w:r>
      <w:r w:rsidRPr="00AF629F">
        <w:rPr>
          <w:rFonts w:ascii="Times New Roman" w:hAnsi="Times New Roman" w:cs="Times New Roman"/>
          <w:b/>
          <w:bCs/>
          <w:sz w:val="28"/>
          <w:szCs w:val="28"/>
          <w:lang w:val="es-ES_tradnl"/>
        </w:rPr>
        <w:t>excede la regulación propia del cuatrienio</w:t>
      </w:r>
      <w:r w:rsidRPr="00AF629F">
        <w:rPr>
          <w:rFonts w:ascii="Times New Roman" w:hAnsi="Times New Roman" w:cs="Times New Roman"/>
          <w:sz w:val="28"/>
          <w:szCs w:val="28"/>
          <w:lang w:val="es-ES_tradnl"/>
        </w:rPr>
        <w:t>”</w:t>
      </w:r>
      <w:r w:rsidRPr="00AF629F">
        <w:rPr>
          <w:rFonts w:ascii="Times New Roman" w:hAnsi="Times New Roman" w:cs="Times New Roman"/>
          <w:sz w:val="28"/>
          <w:szCs w:val="28"/>
          <w:lang w:val="es-ES_tradnl"/>
        </w:rPr>
        <w:t xml:space="preserve"> (énfasis </w:t>
      </w:r>
      <w:r w:rsidRPr="00AF629F">
        <w:rPr>
          <w:rFonts w:ascii="Times New Roman" w:hAnsi="Times New Roman" w:cs="Times New Roman"/>
          <w:sz w:val="28"/>
          <w:szCs w:val="28"/>
          <w:lang w:val="es-ES_tradnl"/>
        </w:rPr>
        <w:t>de la Sala)</w:t>
      </w:r>
      <w:r w:rsidRPr="00AF629F">
        <w:rPr>
          <w:rFonts w:ascii="Times New Roman" w:hAnsi="Times New Roman" w:cs="Times New Roman"/>
          <w:sz w:val="28"/>
          <w:szCs w:val="28"/>
          <w:bdr w:val="none" w:sz="0" w:space="0" w:color="auto" w:frame="1"/>
          <w:lang w:val="es-ES_tradnl"/>
        </w:rPr>
        <w:t>.</w:t>
      </w:r>
    </w:p>
    <w:p w:rsidR="005D41EA" w:rsidRPr="00AF629F" w:rsidRDefault="00AF629F" w:rsidP="003353D0">
      <w:pPr>
        <w:pStyle w:val="Prrafodelista"/>
        <w:ind w:left="0"/>
        <w:jc w:val="both"/>
        <w:rPr>
          <w:rFonts w:ascii="Times New Roman" w:hAnsi="Times New Roman" w:cs="Times New Roman"/>
          <w:sz w:val="28"/>
          <w:szCs w:val="28"/>
        </w:rPr>
      </w:pPr>
    </w:p>
    <w:p w:rsidR="005916C3" w:rsidRPr="00AF629F" w:rsidRDefault="00AF629F" w:rsidP="008E78DC">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E</w:t>
      </w:r>
      <w:r w:rsidRPr="00AF629F">
        <w:rPr>
          <w:rFonts w:ascii="Times New Roman" w:hAnsi="Times New Roman" w:cs="Times New Roman"/>
          <w:sz w:val="28"/>
          <w:szCs w:val="28"/>
        </w:rPr>
        <w:t>n la Sentencia C-047 de 20</w:t>
      </w:r>
      <w:r w:rsidRPr="00AF629F">
        <w:rPr>
          <w:rFonts w:ascii="Times New Roman" w:hAnsi="Times New Roman" w:cs="Times New Roman"/>
          <w:sz w:val="28"/>
          <w:szCs w:val="28"/>
        </w:rPr>
        <w:t>21</w:t>
      </w:r>
      <w:r w:rsidRPr="00AF629F">
        <w:rPr>
          <w:rFonts w:ascii="Times New Roman" w:hAnsi="Times New Roman" w:cs="Times New Roman"/>
          <w:sz w:val="28"/>
          <w:szCs w:val="28"/>
        </w:rPr>
        <w:t xml:space="preserve">, la Corte declaró </w:t>
      </w:r>
      <w:r w:rsidRPr="00AF629F">
        <w:rPr>
          <w:rFonts w:ascii="Times New Roman" w:hAnsi="Times New Roman" w:cs="Times New Roman"/>
          <w:sz w:val="28"/>
          <w:szCs w:val="28"/>
        </w:rPr>
        <w:t xml:space="preserve">la inexequibilidad, entre otras, de los artículos </w:t>
      </w:r>
      <w:r w:rsidRPr="00AF629F">
        <w:rPr>
          <w:rFonts w:ascii="Times New Roman" w:hAnsi="Times New Roman" w:cs="Times New Roman"/>
          <w:sz w:val="28"/>
          <w:szCs w:val="28"/>
          <w:lang w:val="es-MX"/>
        </w:rPr>
        <w:t>125 y 126 de la Ley</w:t>
      </w:r>
      <w:r w:rsidRPr="00AF629F">
        <w:rPr>
          <w:rFonts w:ascii="Times New Roman" w:hAnsi="Times New Roman" w:cs="Times New Roman"/>
          <w:sz w:val="28"/>
          <w:szCs w:val="28"/>
          <w:lang w:val="es-MX"/>
        </w:rPr>
        <w:t xml:space="preserve"> 1955 de 2019</w:t>
      </w:r>
      <w:r w:rsidRPr="00AF629F">
        <w:rPr>
          <w:rFonts w:ascii="Times New Roman" w:hAnsi="Times New Roman" w:cs="Times New Roman"/>
          <w:sz w:val="28"/>
          <w:szCs w:val="28"/>
          <w:lang w:val="es-MX"/>
        </w:rPr>
        <w:t xml:space="preserve"> –relacionados con la </w:t>
      </w:r>
      <w:r w:rsidRPr="00AF629F">
        <w:rPr>
          <w:rFonts w:ascii="Times New Roman" w:hAnsi="Times New Roman" w:cs="Times New Roman"/>
          <w:sz w:val="28"/>
          <w:szCs w:val="28"/>
          <w:lang w:val="es-ES_tradnl"/>
        </w:rPr>
        <w:t xml:space="preserve">estructura orgánica y las funciones del Ministerio </w:t>
      </w:r>
      <w:r w:rsidRPr="00AF629F">
        <w:rPr>
          <w:rFonts w:ascii="Times New Roman" w:hAnsi="Times New Roman" w:cs="Times New Roman"/>
          <w:sz w:val="28"/>
          <w:szCs w:val="28"/>
        </w:rPr>
        <w:t>de Ciencia, Tecnología e Innovación</w:t>
      </w:r>
      <w:r w:rsidRPr="00AF629F">
        <w:rPr>
          <w:rFonts w:ascii="Times New Roman" w:hAnsi="Times New Roman" w:cs="Times New Roman"/>
          <w:sz w:val="28"/>
          <w:szCs w:val="28"/>
          <w:lang w:val="es-MX"/>
        </w:rPr>
        <w:t xml:space="preserve">– </w:t>
      </w:r>
      <w:r w:rsidRPr="00AF629F">
        <w:rPr>
          <w:rFonts w:ascii="Times New Roman" w:hAnsi="Times New Roman" w:cs="Times New Roman"/>
          <w:sz w:val="28"/>
          <w:szCs w:val="28"/>
          <w:lang w:val="es-MX"/>
        </w:rPr>
        <w:t>al evidenciar que contemplaban “</w:t>
      </w:r>
      <w:r w:rsidRPr="00AF629F">
        <w:rPr>
          <w:rFonts w:ascii="Times New Roman" w:hAnsi="Times New Roman" w:cs="Times New Roman"/>
          <w:sz w:val="28"/>
          <w:szCs w:val="28"/>
        </w:rPr>
        <w:t>medidas que tienen una vocación de permanencia superior a aquella que corresponde a la vigencia del P</w:t>
      </w:r>
      <w:r w:rsidRPr="00AF629F">
        <w:rPr>
          <w:rFonts w:ascii="Times New Roman" w:hAnsi="Times New Roman" w:cs="Times New Roman"/>
          <w:sz w:val="28"/>
          <w:szCs w:val="28"/>
        </w:rPr>
        <w:t xml:space="preserve">lan […] Por tanto, no es dable inferir que se adscriban </w:t>
      </w:r>
      <w:r w:rsidRPr="00AF629F">
        <w:rPr>
          <w:rFonts w:ascii="Times New Roman" w:hAnsi="Times New Roman" w:cs="Times New Roman"/>
          <w:i/>
          <w:iCs/>
          <w:sz w:val="28"/>
          <w:szCs w:val="28"/>
        </w:rPr>
        <w:t xml:space="preserve">prima facie </w:t>
      </w:r>
      <w:r w:rsidRPr="00AF629F">
        <w:rPr>
          <w:rFonts w:ascii="Times New Roman" w:hAnsi="Times New Roman" w:cs="Times New Roman"/>
          <w:sz w:val="28"/>
          <w:szCs w:val="28"/>
        </w:rPr>
        <w:t xml:space="preserve">al </w:t>
      </w:r>
      <w:r w:rsidRPr="00AF629F">
        <w:rPr>
          <w:rFonts w:ascii="Times New Roman" w:hAnsi="Times New Roman" w:cs="Times New Roman"/>
          <w:bCs/>
          <w:sz w:val="28"/>
          <w:szCs w:val="28"/>
          <w:shd w:val="clear" w:color="auto" w:fill="FFFFFF"/>
        </w:rPr>
        <w:t>fin planificador y de impulso a la ejecución del plan cuatrienal que debe caracterizar las disposiciones que lo integran”</w:t>
      </w:r>
      <w:r w:rsidRPr="00AF629F">
        <w:rPr>
          <w:rFonts w:ascii="Times New Roman" w:hAnsi="Times New Roman" w:cs="Times New Roman"/>
          <w:bCs/>
          <w:sz w:val="28"/>
          <w:szCs w:val="28"/>
          <w:shd w:val="clear" w:color="auto" w:fill="FFFFFF"/>
        </w:rPr>
        <w:t xml:space="preserve">, lo anterior, pese a haber evidenciado que tales disposiciones </w:t>
      </w:r>
      <w:r w:rsidRPr="00AF629F">
        <w:rPr>
          <w:rFonts w:ascii="Times New Roman" w:hAnsi="Times New Roman" w:cs="Times New Roman"/>
          <w:bCs/>
          <w:sz w:val="28"/>
          <w:szCs w:val="28"/>
          <w:shd w:val="clear" w:color="auto" w:fill="FFFFFF"/>
        </w:rPr>
        <w:t>tenían una relación de conexidad temática con la ley aprobatoria del plan nacional de desarrollo de aquel entonces</w:t>
      </w:r>
      <w:r w:rsidRPr="00AF629F">
        <w:rPr>
          <w:rFonts w:ascii="Times New Roman" w:hAnsi="Times New Roman" w:cs="Times New Roman"/>
          <w:bCs/>
          <w:sz w:val="28"/>
          <w:szCs w:val="28"/>
          <w:shd w:val="clear" w:color="auto" w:fill="FFFFFF"/>
        </w:rPr>
        <w:t>.</w:t>
      </w:r>
      <w:r w:rsidRPr="00AF629F">
        <w:rPr>
          <w:rFonts w:ascii="Times New Roman" w:hAnsi="Times New Roman" w:cs="Times New Roman"/>
          <w:bCs/>
          <w:sz w:val="28"/>
          <w:szCs w:val="28"/>
          <w:shd w:val="clear" w:color="auto" w:fill="FFFFFF"/>
        </w:rPr>
        <w:t xml:space="preserve"> </w:t>
      </w:r>
      <w:r w:rsidRPr="00AF629F">
        <w:rPr>
          <w:rFonts w:ascii="Times New Roman" w:hAnsi="Times New Roman" w:cs="Times New Roman"/>
          <w:sz w:val="28"/>
          <w:szCs w:val="28"/>
          <w:lang w:val="es-MX"/>
        </w:rPr>
        <w:t>Además, resaltó: “[a]quella inferencia es más evidente si se tiene en cuenta que los artículos bajo estudio se han sustraído de un asunto so</w:t>
      </w:r>
      <w:r w:rsidRPr="00AF629F">
        <w:rPr>
          <w:rFonts w:ascii="Times New Roman" w:hAnsi="Times New Roman" w:cs="Times New Roman"/>
          <w:sz w:val="28"/>
          <w:szCs w:val="28"/>
          <w:lang w:val="es-MX"/>
        </w:rPr>
        <w:t xml:space="preserve">metido a la competencia del legislador ordinario, ya que adicionan y modifican disposiciones que pertenecen a un cuerpo normativo que entró en vigencia antes de la expedición de la Ley 1955 de 2019. Esto es así, si se tiene en cuenta que </w:t>
      </w:r>
      <w:r w:rsidRPr="00AF629F">
        <w:rPr>
          <w:rFonts w:ascii="Times New Roman" w:hAnsi="Times New Roman" w:cs="Times New Roman"/>
          <w:b/>
          <w:bCs/>
          <w:sz w:val="28"/>
          <w:szCs w:val="28"/>
          <w:lang w:val="es-MX"/>
        </w:rPr>
        <w:t>estas normas prolo</w:t>
      </w:r>
      <w:r w:rsidRPr="00AF629F">
        <w:rPr>
          <w:rFonts w:ascii="Times New Roman" w:hAnsi="Times New Roman" w:cs="Times New Roman"/>
          <w:b/>
          <w:bCs/>
          <w:sz w:val="28"/>
          <w:szCs w:val="28"/>
          <w:lang w:val="es-MX"/>
        </w:rPr>
        <w:t>ngarán sus efectos indefinidamente en el tiempo y sin limitarse al cuatrienio en el cual debe ejecutarse la estrategia que justifica su adopción en la parte general del Plan</w:t>
      </w:r>
      <w:r w:rsidRPr="00AF629F">
        <w:rPr>
          <w:rFonts w:ascii="Times New Roman" w:hAnsi="Times New Roman" w:cs="Times New Roman"/>
          <w:sz w:val="28"/>
          <w:szCs w:val="28"/>
          <w:lang w:val="es-MX"/>
        </w:rPr>
        <w:t>, lo cual deja en evidencia, como seguidamente se señala, que no se trata de dispos</w:t>
      </w:r>
      <w:r w:rsidRPr="00AF629F">
        <w:rPr>
          <w:rFonts w:ascii="Times New Roman" w:hAnsi="Times New Roman" w:cs="Times New Roman"/>
          <w:sz w:val="28"/>
          <w:szCs w:val="28"/>
          <w:lang w:val="es-MX"/>
        </w:rPr>
        <w:t>iciones que pretenden impulsar su cumplimiento, ni constituyen, por lo tanto, expresión de la función de planeación que le es consustancial”</w:t>
      </w:r>
      <w:r w:rsidRPr="00AF629F">
        <w:rPr>
          <w:rFonts w:ascii="Times New Roman" w:hAnsi="Times New Roman" w:cs="Times New Roman"/>
          <w:sz w:val="28"/>
          <w:szCs w:val="28"/>
          <w:lang w:val="es-MX"/>
        </w:rPr>
        <w:t xml:space="preserve"> </w:t>
      </w:r>
      <w:r w:rsidRPr="00AF629F">
        <w:rPr>
          <w:rFonts w:ascii="Times New Roman" w:hAnsi="Times New Roman" w:cs="Times New Roman"/>
          <w:sz w:val="28"/>
          <w:szCs w:val="28"/>
          <w:lang w:val="es-ES_tradnl"/>
        </w:rPr>
        <w:t>(énfasis de la Sala)</w:t>
      </w:r>
      <w:r w:rsidRPr="00AF629F">
        <w:rPr>
          <w:rFonts w:ascii="Times New Roman" w:hAnsi="Times New Roman" w:cs="Times New Roman"/>
          <w:sz w:val="28"/>
          <w:szCs w:val="28"/>
          <w:lang w:val="es-MX"/>
        </w:rPr>
        <w:t>.</w:t>
      </w:r>
    </w:p>
    <w:p w:rsidR="00C70293" w:rsidRPr="00AF629F" w:rsidRDefault="00AF629F" w:rsidP="00C70293">
      <w:pPr>
        <w:pStyle w:val="Prrafodelista"/>
        <w:ind w:left="0"/>
        <w:jc w:val="both"/>
        <w:rPr>
          <w:rFonts w:ascii="Times New Roman" w:hAnsi="Times New Roman" w:cs="Times New Roman"/>
          <w:sz w:val="28"/>
          <w:szCs w:val="28"/>
        </w:rPr>
      </w:pPr>
    </w:p>
    <w:p w:rsidR="00C70293" w:rsidRPr="00AF629F" w:rsidRDefault="00AF629F" w:rsidP="00066268">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En las sentencias </w:t>
      </w:r>
      <w:r w:rsidRPr="00AF629F">
        <w:rPr>
          <w:rFonts w:ascii="Times New Roman" w:hAnsi="Times New Roman" w:cs="Times New Roman"/>
          <w:sz w:val="28"/>
          <w:szCs w:val="28"/>
        </w:rPr>
        <w:t xml:space="preserve">C-049 de 2022 y C-537 de 2023, la </w:t>
      </w:r>
      <w:r w:rsidRPr="00AF629F">
        <w:rPr>
          <w:rFonts w:ascii="Times New Roman" w:hAnsi="Times New Roman" w:cs="Times New Roman"/>
          <w:sz w:val="28"/>
          <w:szCs w:val="28"/>
        </w:rPr>
        <w:t xml:space="preserve">Corte declaró la inexequibilidad de dos </w:t>
      </w:r>
      <w:r w:rsidRPr="00AF629F">
        <w:rPr>
          <w:rFonts w:ascii="Times New Roman" w:hAnsi="Times New Roman" w:cs="Times New Roman"/>
          <w:sz w:val="28"/>
          <w:szCs w:val="28"/>
        </w:rPr>
        <w:t xml:space="preserve">disposiciones </w:t>
      </w:r>
      <w:r w:rsidRPr="00AF629F">
        <w:rPr>
          <w:rFonts w:ascii="Times New Roman" w:hAnsi="Times New Roman" w:cs="Times New Roman"/>
          <w:sz w:val="28"/>
          <w:szCs w:val="28"/>
        </w:rPr>
        <w:t xml:space="preserve">que introdujeron </w:t>
      </w:r>
      <w:r w:rsidRPr="00AF629F">
        <w:rPr>
          <w:rFonts w:ascii="Times New Roman" w:hAnsi="Times New Roman" w:cs="Times New Roman"/>
          <w:sz w:val="28"/>
          <w:szCs w:val="28"/>
        </w:rPr>
        <w:t>modificaciones permanentes</w:t>
      </w:r>
      <w:r w:rsidRPr="00AF629F">
        <w:rPr>
          <w:rFonts w:ascii="Times New Roman" w:hAnsi="Times New Roman" w:cs="Times New Roman"/>
          <w:sz w:val="28"/>
          <w:szCs w:val="28"/>
        </w:rPr>
        <w:t xml:space="preserve"> al régimen jurídico del s</w:t>
      </w:r>
      <w:r w:rsidRPr="00AF629F">
        <w:rPr>
          <w:rFonts w:ascii="Times New Roman" w:hAnsi="Times New Roman" w:cs="Times New Roman"/>
          <w:sz w:val="28"/>
          <w:szCs w:val="28"/>
        </w:rPr>
        <w:t xml:space="preserve">istema </w:t>
      </w:r>
      <w:r w:rsidRPr="00AF629F">
        <w:rPr>
          <w:rFonts w:ascii="Times New Roman" w:hAnsi="Times New Roman" w:cs="Times New Roman"/>
          <w:sz w:val="28"/>
          <w:szCs w:val="28"/>
        </w:rPr>
        <w:t>g</w:t>
      </w:r>
      <w:r w:rsidRPr="00AF629F">
        <w:rPr>
          <w:rFonts w:ascii="Times New Roman" w:hAnsi="Times New Roman" w:cs="Times New Roman"/>
          <w:sz w:val="28"/>
          <w:szCs w:val="28"/>
        </w:rPr>
        <w:t xml:space="preserve">eneral </w:t>
      </w:r>
      <w:r w:rsidRPr="00AF629F">
        <w:rPr>
          <w:rFonts w:ascii="Times New Roman" w:hAnsi="Times New Roman" w:cs="Times New Roman"/>
          <w:sz w:val="28"/>
          <w:szCs w:val="28"/>
        </w:rPr>
        <w:t>d</w:t>
      </w:r>
      <w:r w:rsidRPr="00AF629F">
        <w:rPr>
          <w:rFonts w:ascii="Times New Roman" w:hAnsi="Times New Roman" w:cs="Times New Roman"/>
          <w:sz w:val="28"/>
          <w:szCs w:val="28"/>
        </w:rPr>
        <w:t xml:space="preserve">e </w:t>
      </w:r>
      <w:r w:rsidRPr="00AF629F">
        <w:rPr>
          <w:rFonts w:ascii="Times New Roman" w:hAnsi="Times New Roman" w:cs="Times New Roman"/>
          <w:sz w:val="28"/>
          <w:szCs w:val="28"/>
        </w:rPr>
        <w:t>r</w:t>
      </w:r>
      <w:r w:rsidRPr="00AF629F">
        <w:rPr>
          <w:rFonts w:ascii="Times New Roman" w:hAnsi="Times New Roman" w:cs="Times New Roman"/>
          <w:sz w:val="28"/>
          <w:szCs w:val="28"/>
        </w:rPr>
        <w:t>iesgos</w:t>
      </w:r>
      <w:r w:rsidRPr="00AF629F">
        <w:rPr>
          <w:rFonts w:ascii="Times New Roman" w:hAnsi="Times New Roman" w:cs="Times New Roman"/>
          <w:sz w:val="28"/>
          <w:szCs w:val="28"/>
        </w:rPr>
        <w:t xml:space="preserve"> l</w:t>
      </w:r>
      <w:r w:rsidRPr="00AF629F">
        <w:rPr>
          <w:rFonts w:ascii="Times New Roman" w:hAnsi="Times New Roman" w:cs="Times New Roman"/>
          <w:sz w:val="28"/>
          <w:szCs w:val="28"/>
        </w:rPr>
        <w:t>aborales</w:t>
      </w:r>
      <w:r w:rsidRPr="00AF629F">
        <w:rPr>
          <w:rFonts w:ascii="Times New Roman" w:hAnsi="Times New Roman" w:cs="Times New Roman"/>
          <w:sz w:val="28"/>
          <w:szCs w:val="28"/>
        </w:rPr>
        <w:t xml:space="preserve">, sin que tuviesen un </w:t>
      </w:r>
      <w:r w:rsidRPr="00AF629F">
        <w:rPr>
          <w:rFonts w:ascii="Times New Roman" w:hAnsi="Times New Roman" w:cs="Times New Roman"/>
          <w:bCs/>
          <w:sz w:val="28"/>
          <w:szCs w:val="28"/>
        </w:rPr>
        <w:t>fin planificador y de impulso a la ejecución del plan cuatrienal</w:t>
      </w:r>
      <w:r w:rsidRPr="00AF629F">
        <w:rPr>
          <w:rFonts w:ascii="Times New Roman" w:hAnsi="Times New Roman" w:cs="Times New Roman"/>
          <w:bCs/>
          <w:sz w:val="28"/>
          <w:szCs w:val="28"/>
        </w:rPr>
        <w:t xml:space="preserve">: el artículo </w:t>
      </w:r>
      <w:r w:rsidRPr="00AF629F">
        <w:rPr>
          <w:rFonts w:ascii="Times New Roman" w:hAnsi="Times New Roman" w:cs="Times New Roman"/>
          <w:bCs/>
          <w:sz w:val="28"/>
          <w:szCs w:val="28"/>
        </w:rPr>
        <w:t>203 de la Ley 1955 de 2019 –</w:t>
      </w:r>
      <w:r w:rsidRPr="00AF629F">
        <w:rPr>
          <w:rFonts w:ascii="Times New Roman" w:hAnsi="Times New Roman" w:cs="Times New Roman"/>
          <w:bCs/>
          <w:sz w:val="28"/>
          <w:szCs w:val="28"/>
        </w:rPr>
        <w:t xml:space="preserve">potestad de las </w:t>
      </w:r>
      <w:r w:rsidRPr="00AF629F">
        <w:rPr>
          <w:rFonts w:ascii="Times New Roman" w:hAnsi="Times New Roman" w:cs="Times New Roman"/>
          <w:bCs/>
          <w:sz w:val="28"/>
          <w:szCs w:val="28"/>
        </w:rPr>
        <w:t>administradoras de riesgos laborales</w:t>
      </w:r>
      <w:r w:rsidRPr="00AF629F">
        <w:rPr>
          <w:rFonts w:ascii="Times New Roman" w:hAnsi="Times New Roman" w:cs="Times New Roman"/>
          <w:bCs/>
          <w:sz w:val="28"/>
          <w:szCs w:val="28"/>
        </w:rPr>
        <w:t xml:space="preserve"> de pagar </w:t>
      </w:r>
      <w:r w:rsidRPr="00AF629F">
        <w:rPr>
          <w:rFonts w:ascii="Times New Roman" w:hAnsi="Times New Roman" w:cs="Times New Roman"/>
          <w:bCs/>
          <w:sz w:val="28"/>
          <w:szCs w:val="28"/>
        </w:rPr>
        <w:t xml:space="preserve">las comisiones </w:t>
      </w:r>
      <w:r w:rsidRPr="00AF629F">
        <w:rPr>
          <w:rFonts w:ascii="Times New Roman" w:hAnsi="Times New Roman" w:cs="Times New Roman"/>
          <w:bCs/>
          <w:sz w:val="28"/>
          <w:szCs w:val="28"/>
        </w:rPr>
        <w:t xml:space="preserve">de </w:t>
      </w:r>
      <w:r w:rsidRPr="00AF629F">
        <w:rPr>
          <w:rFonts w:ascii="Times New Roman" w:hAnsi="Times New Roman" w:cs="Times New Roman"/>
          <w:bCs/>
          <w:sz w:val="28"/>
          <w:szCs w:val="28"/>
        </w:rPr>
        <w:t xml:space="preserve">sus </w:t>
      </w:r>
      <w:r w:rsidRPr="00AF629F">
        <w:rPr>
          <w:rFonts w:ascii="Times New Roman" w:hAnsi="Times New Roman" w:cs="Times New Roman"/>
          <w:bCs/>
          <w:sz w:val="28"/>
          <w:szCs w:val="28"/>
        </w:rPr>
        <w:t xml:space="preserve">intermediarios </w:t>
      </w:r>
      <w:r w:rsidRPr="00AF629F">
        <w:rPr>
          <w:rFonts w:ascii="Times New Roman" w:hAnsi="Times New Roman" w:cs="Times New Roman"/>
          <w:bCs/>
          <w:sz w:val="28"/>
          <w:szCs w:val="28"/>
        </w:rPr>
        <w:t>con cargo a las cotizaciones</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primas</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o</w:t>
      </w:r>
      <w:r w:rsidRPr="00AF629F">
        <w:rPr>
          <w:rFonts w:ascii="Times New Roman" w:hAnsi="Times New Roman" w:cs="Times New Roman"/>
          <w:bCs/>
          <w:sz w:val="28"/>
          <w:szCs w:val="28"/>
        </w:rPr>
        <w:t xml:space="preserve"> rendimientos financieros de las inversiones de las reservas técnicas</w:t>
      </w:r>
      <w:r w:rsidRPr="00AF629F">
        <w:rPr>
          <w:rFonts w:ascii="Times New Roman" w:hAnsi="Times New Roman" w:cs="Times New Roman"/>
          <w:bCs/>
          <w:sz w:val="28"/>
          <w:szCs w:val="28"/>
        </w:rPr>
        <w:t xml:space="preserve">– y el artículo </w:t>
      </w:r>
      <w:r w:rsidRPr="00AF629F">
        <w:rPr>
          <w:rFonts w:ascii="Times New Roman" w:hAnsi="Times New Roman" w:cs="Times New Roman"/>
          <w:bCs/>
          <w:sz w:val="28"/>
          <w:szCs w:val="28"/>
        </w:rPr>
        <w:t>97 de la Ley 2294 de 2023 –</w:t>
      </w:r>
      <w:r w:rsidRPr="00AF629F">
        <w:rPr>
          <w:rFonts w:ascii="Times New Roman" w:hAnsi="Times New Roman" w:cs="Times New Roman"/>
          <w:sz w:val="28"/>
          <w:szCs w:val="28"/>
        </w:rPr>
        <w:t xml:space="preserve">deber de </w:t>
      </w:r>
      <w:r w:rsidRPr="00AF629F">
        <w:rPr>
          <w:rFonts w:ascii="Times New Roman" w:hAnsi="Times New Roman" w:cs="Times New Roman"/>
          <w:bCs/>
          <w:sz w:val="28"/>
          <w:szCs w:val="28"/>
        </w:rPr>
        <w:t xml:space="preserve">las entidades y corporaciones públicas de </w:t>
      </w:r>
      <w:r w:rsidRPr="00AF629F">
        <w:rPr>
          <w:rFonts w:ascii="Times New Roman" w:hAnsi="Times New Roman" w:cs="Times New Roman"/>
          <w:bCs/>
          <w:sz w:val="28"/>
          <w:szCs w:val="28"/>
        </w:rPr>
        <w:t xml:space="preserve">contratar </w:t>
      </w:r>
      <w:r w:rsidRPr="00AF629F">
        <w:rPr>
          <w:rFonts w:ascii="Times New Roman" w:hAnsi="Times New Roman" w:cs="Times New Roman"/>
          <w:bCs/>
          <w:sz w:val="28"/>
          <w:szCs w:val="28"/>
        </w:rPr>
        <w:t>la administra</w:t>
      </w:r>
      <w:r w:rsidRPr="00AF629F">
        <w:rPr>
          <w:rFonts w:ascii="Times New Roman" w:hAnsi="Times New Roman" w:cs="Times New Roman"/>
          <w:bCs/>
          <w:sz w:val="28"/>
          <w:szCs w:val="28"/>
        </w:rPr>
        <w:t>ción</w:t>
      </w:r>
      <w:r w:rsidRPr="00AF629F">
        <w:rPr>
          <w:rFonts w:ascii="Times New Roman" w:hAnsi="Times New Roman" w:cs="Times New Roman"/>
          <w:bCs/>
          <w:sz w:val="28"/>
          <w:szCs w:val="28"/>
        </w:rPr>
        <w:t xml:space="preserve"> de riesgos laborales </w:t>
      </w:r>
      <w:r w:rsidRPr="00AF629F">
        <w:rPr>
          <w:rFonts w:ascii="Times New Roman" w:hAnsi="Times New Roman" w:cs="Times New Roman"/>
          <w:bCs/>
          <w:sz w:val="28"/>
          <w:szCs w:val="28"/>
        </w:rPr>
        <w:t xml:space="preserve">con la </w:t>
      </w:r>
      <w:r w:rsidRPr="00AF629F">
        <w:rPr>
          <w:rFonts w:ascii="Times New Roman" w:hAnsi="Times New Roman" w:cs="Times New Roman"/>
          <w:bCs/>
          <w:sz w:val="28"/>
          <w:szCs w:val="28"/>
        </w:rPr>
        <w:t xml:space="preserve">ARL Positiva S.A., </w:t>
      </w:r>
      <w:r w:rsidRPr="00AF629F">
        <w:rPr>
          <w:rFonts w:ascii="Times New Roman" w:hAnsi="Times New Roman" w:cs="Times New Roman"/>
          <w:bCs/>
          <w:sz w:val="28"/>
          <w:szCs w:val="28"/>
        </w:rPr>
        <w:t xml:space="preserve">de propiedad estatal, </w:t>
      </w:r>
      <w:r w:rsidRPr="00AF629F">
        <w:rPr>
          <w:rFonts w:ascii="Times New Roman" w:hAnsi="Times New Roman" w:cs="Times New Roman"/>
          <w:bCs/>
          <w:sz w:val="28"/>
          <w:szCs w:val="28"/>
        </w:rPr>
        <w:t>con exclusión de las ARL de carácter privado</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En la primera de </w:t>
      </w:r>
      <w:r w:rsidRPr="00AF629F">
        <w:rPr>
          <w:rFonts w:ascii="Times New Roman" w:hAnsi="Times New Roman" w:cs="Times New Roman"/>
          <w:bCs/>
          <w:sz w:val="28"/>
          <w:szCs w:val="28"/>
        </w:rPr>
        <w:t>las providencias se indicó</w:t>
      </w:r>
      <w:r w:rsidRPr="00AF629F">
        <w:rPr>
          <w:rFonts w:ascii="Times New Roman" w:hAnsi="Times New Roman" w:cs="Times New Roman"/>
          <w:bCs/>
          <w:sz w:val="28"/>
          <w:szCs w:val="28"/>
        </w:rPr>
        <w:t xml:space="preserve"> que la disposición demandada </w:t>
      </w:r>
      <w:r w:rsidRPr="00AF629F">
        <w:rPr>
          <w:rFonts w:ascii="Times New Roman" w:hAnsi="Times New Roman" w:cs="Times New Roman"/>
          <w:bCs/>
          <w:sz w:val="28"/>
          <w:szCs w:val="28"/>
        </w:rPr>
        <w:t>“modificó una ley ordinaria sobre el Sistema General de Riesgos Laborales, a través de una especialísima ley en donde, además, no es claro que dicha modificación tenga un fin planificador o de impulso a la ejecución cuatrienal</w:t>
      </w:r>
      <w:r w:rsidRPr="00AF629F">
        <w:rPr>
          <w:rFonts w:ascii="Times New Roman" w:hAnsi="Times New Roman" w:cs="Times New Roman"/>
          <w:bCs/>
          <w:sz w:val="28"/>
          <w:szCs w:val="28"/>
        </w:rPr>
        <w:t xml:space="preserve"> del plan. En efecto, la claridad que tenía la disposición de la Ley 1562 de 2012, en el sentido de que, en caso de que se utilice un intermediario, su remuneración deberá pagarse con cargo a los recursos propios de la Administradora de Riesgos Laborales f</w:t>
      </w:r>
      <w:r w:rsidRPr="00AF629F">
        <w:rPr>
          <w:rFonts w:ascii="Times New Roman" w:hAnsi="Times New Roman" w:cs="Times New Roman"/>
          <w:bCs/>
          <w:sz w:val="28"/>
          <w:szCs w:val="28"/>
        </w:rPr>
        <w:t>ue desdibujada”</w:t>
      </w:r>
      <w:r w:rsidRPr="00AF629F">
        <w:rPr>
          <w:rStyle w:val="Refdenotaalpie"/>
          <w:rFonts w:ascii="Times New Roman" w:hAnsi="Times New Roman" w:cs="Times New Roman"/>
          <w:bCs/>
          <w:sz w:val="28"/>
          <w:szCs w:val="28"/>
        </w:rPr>
        <w:footnoteReference w:id="48"/>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En </w:t>
      </w:r>
      <w:r w:rsidRPr="00AF629F">
        <w:rPr>
          <w:rFonts w:ascii="Times New Roman" w:hAnsi="Times New Roman" w:cs="Times New Roman"/>
          <w:bCs/>
          <w:sz w:val="28"/>
          <w:szCs w:val="28"/>
        </w:rPr>
        <w:t>la segunda de las providencias</w:t>
      </w:r>
      <w:r w:rsidRPr="00AF629F">
        <w:rPr>
          <w:rFonts w:ascii="Times New Roman" w:hAnsi="Times New Roman" w:cs="Times New Roman"/>
          <w:bCs/>
          <w:sz w:val="28"/>
          <w:szCs w:val="28"/>
        </w:rPr>
        <w:t xml:space="preserve">, en atención a que la disposición </w:t>
      </w:r>
      <w:r w:rsidRPr="00AF629F">
        <w:rPr>
          <w:rFonts w:ascii="Times New Roman" w:hAnsi="Times New Roman" w:cs="Times New Roman"/>
          <w:bCs/>
          <w:sz w:val="28"/>
          <w:szCs w:val="28"/>
        </w:rPr>
        <w:t>modificó de manera permanente el artículo 4 del Decreto Ley 1295 de 1994, al valorar el “</w:t>
      </w:r>
      <w:r w:rsidRPr="00AF629F">
        <w:rPr>
          <w:rFonts w:ascii="Times New Roman" w:hAnsi="Times New Roman" w:cs="Times New Roman"/>
          <w:bCs/>
          <w:sz w:val="28"/>
          <w:szCs w:val="28"/>
        </w:rPr>
        <w:t>carácter planificador de la norma, de modo que no supla inconsistencias presentes</w:t>
      </w:r>
      <w:r w:rsidRPr="00AF629F">
        <w:rPr>
          <w:rFonts w:ascii="Times New Roman" w:hAnsi="Times New Roman" w:cs="Times New Roman"/>
          <w:bCs/>
          <w:sz w:val="28"/>
          <w:szCs w:val="28"/>
        </w:rPr>
        <w:t xml:space="preserve"> en leyes anteriores o desconozca la potestad legislativa reconocida al Congreso de la República</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la Sala </w:t>
      </w:r>
      <w:r w:rsidRPr="00AF629F">
        <w:rPr>
          <w:rFonts w:ascii="Times New Roman" w:hAnsi="Times New Roman" w:cs="Times New Roman"/>
          <w:bCs/>
          <w:sz w:val="28"/>
          <w:szCs w:val="28"/>
        </w:rPr>
        <w:t>indicó: “</w:t>
      </w:r>
      <w:r w:rsidRPr="00AF629F">
        <w:rPr>
          <w:rFonts w:ascii="Times New Roman" w:hAnsi="Times New Roman" w:cs="Times New Roman"/>
          <w:bCs/>
          <w:sz w:val="28"/>
          <w:szCs w:val="28"/>
        </w:rPr>
        <w:t xml:space="preserve">el artículo 97 del PND 2022-2026 modifica una norma transversal del Sistema General de Riesgos Laborales, evadiendo con ello la posibilidad </w:t>
      </w:r>
      <w:r w:rsidRPr="00AF629F">
        <w:rPr>
          <w:rFonts w:ascii="Times New Roman" w:hAnsi="Times New Roman" w:cs="Times New Roman"/>
          <w:bCs/>
          <w:sz w:val="28"/>
          <w:szCs w:val="28"/>
        </w:rPr>
        <w:t>de que ese tipo de reformas sea discutida y debatida en el Congreso de la República a través de una ley ordinaria”</w:t>
      </w:r>
      <w:r w:rsidRPr="00AF629F">
        <w:rPr>
          <w:rFonts w:ascii="Times New Roman" w:hAnsi="Times New Roman" w:cs="Times New Roman"/>
          <w:bCs/>
          <w:sz w:val="28"/>
          <w:szCs w:val="28"/>
        </w:rPr>
        <w:t>.</w:t>
      </w:r>
    </w:p>
    <w:p w:rsidR="00436FC5" w:rsidRPr="00AF629F" w:rsidRDefault="00AF629F" w:rsidP="00436FC5">
      <w:pPr>
        <w:pStyle w:val="Prrafodelista"/>
        <w:ind w:left="0"/>
        <w:jc w:val="both"/>
        <w:rPr>
          <w:rFonts w:ascii="Times New Roman" w:hAnsi="Times New Roman" w:cs="Times New Roman"/>
          <w:sz w:val="28"/>
          <w:szCs w:val="28"/>
        </w:rPr>
      </w:pPr>
    </w:p>
    <w:p w:rsidR="00436FC5" w:rsidRPr="00AF629F" w:rsidRDefault="00AF629F" w:rsidP="009821A0">
      <w:pPr>
        <w:pStyle w:val="Prrafodelista"/>
        <w:numPr>
          <w:ilvl w:val="0"/>
          <w:numId w:val="2"/>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A partir de este recuento jurisprudencial es posible concluir que </w:t>
      </w:r>
      <w:r w:rsidRPr="00AF629F">
        <w:rPr>
          <w:rFonts w:ascii="Times New Roman" w:hAnsi="Times New Roman" w:cs="Times New Roman"/>
          <w:sz w:val="28"/>
          <w:szCs w:val="28"/>
        </w:rPr>
        <w:t>las medidas que se incorpor</w:t>
      </w:r>
      <w:r w:rsidRPr="00AF629F">
        <w:rPr>
          <w:rFonts w:ascii="Times New Roman" w:hAnsi="Times New Roman" w:cs="Times New Roman"/>
          <w:sz w:val="28"/>
          <w:szCs w:val="28"/>
        </w:rPr>
        <w:t>a</w:t>
      </w:r>
      <w:r w:rsidRPr="00AF629F">
        <w:rPr>
          <w:rFonts w:ascii="Times New Roman" w:hAnsi="Times New Roman" w:cs="Times New Roman"/>
          <w:sz w:val="28"/>
          <w:szCs w:val="28"/>
        </w:rPr>
        <w:t xml:space="preserve">n a las leyes aprobatorias de los planes </w:t>
      </w:r>
      <w:r w:rsidRPr="00AF629F">
        <w:rPr>
          <w:rFonts w:ascii="Times New Roman" w:hAnsi="Times New Roman" w:cs="Times New Roman"/>
          <w:sz w:val="28"/>
          <w:szCs w:val="28"/>
        </w:rPr>
        <w:t>nacionales de desarrollo</w:t>
      </w:r>
      <w:r w:rsidRPr="00AF629F">
        <w:rPr>
          <w:rFonts w:ascii="Times New Roman" w:hAnsi="Times New Roman" w:cs="Times New Roman"/>
          <w:sz w:val="28"/>
          <w:szCs w:val="28"/>
        </w:rPr>
        <w:t xml:space="preserve"> y</w:t>
      </w:r>
      <w:r w:rsidRPr="00AF629F">
        <w:rPr>
          <w:rFonts w:ascii="Times New Roman" w:hAnsi="Times New Roman" w:cs="Times New Roman"/>
          <w:sz w:val="28"/>
          <w:szCs w:val="28"/>
        </w:rPr>
        <w:t xml:space="preserve"> </w:t>
      </w:r>
      <w:r w:rsidRPr="00AF629F">
        <w:rPr>
          <w:rStyle w:val="Ttulo1Car"/>
          <w:rFonts w:ascii="Times New Roman" w:hAnsi="Times New Roman" w:cs="Times New Roman"/>
          <w:b w:val="0"/>
          <w:bCs/>
          <w:color w:val="auto"/>
          <w:sz w:val="28"/>
          <w:szCs w:val="28"/>
        </w:rPr>
        <w:t>que introducen modificaciones permanentes al ordenamiento jurídico o cuya vigencia supera el respectivo periodo cuatrienal de gobierno,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son </w:t>
      </w:r>
      <w:r w:rsidRPr="00AF629F">
        <w:rPr>
          <w:rFonts w:ascii="Times New Roman" w:hAnsi="Times New Roman" w:cs="Times New Roman"/>
          <w:sz w:val="28"/>
          <w:szCs w:val="28"/>
        </w:rPr>
        <w:t xml:space="preserve">compatibles con el principio constitucional de unidad de materia </w:t>
      </w:r>
      <w:r w:rsidRPr="00AF629F">
        <w:rPr>
          <w:rFonts w:ascii="Times New Roman" w:hAnsi="Times New Roman" w:cs="Times New Roman"/>
          <w:sz w:val="28"/>
          <w:szCs w:val="28"/>
        </w:rPr>
        <w:t xml:space="preserve">solo </w:t>
      </w:r>
      <w:r w:rsidRPr="00AF629F">
        <w:rPr>
          <w:rFonts w:ascii="Times New Roman" w:hAnsi="Times New Roman" w:cs="Times New Roman"/>
          <w:sz w:val="28"/>
          <w:szCs w:val="28"/>
        </w:rPr>
        <w:t xml:space="preserve">si </w:t>
      </w:r>
      <w:r w:rsidRPr="00AF629F">
        <w:rPr>
          <w:rFonts w:ascii="Times New Roman" w:hAnsi="Times New Roman" w:cs="Times New Roman"/>
          <w:sz w:val="28"/>
          <w:szCs w:val="28"/>
        </w:rPr>
        <w:t>cumplen las sigu</w:t>
      </w:r>
      <w:r w:rsidRPr="00AF629F">
        <w:rPr>
          <w:rFonts w:ascii="Times New Roman" w:hAnsi="Times New Roman" w:cs="Times New Roman"/>
          <w:sz w:val="28"/>
          <w:szCs w:val="28"/>
        </w:rPr>
        <w:t xml:space="preserve">ientes exigencias: </w:t>
      </w:r>
      <w:r w:rsidRPr="00AF629F">
        <w:rPr>
          <w:rFonts w:ascii="Times New Roman" w:hAnsi="Times New Roman" w:cs="Times New Roman"/>
          <w:sz w:val="28"/>
          <w:szCs w:val="28"/>
        </w:rPr>
        <w:t xml:space="preserve">(i) </w:t>
      </w:r>
      <w:r w:rsidRPr="00AF629F">
        <w:rPr>
          <w:rFonts w:ascii="Times New Roman" w:hAnsi="Times New Roman" w:cs="Times New Roman"/>
          <w:sz w:val="28"/>
          <w:szCs w:val="28"/>
        </w:rPr>
        <w:t>tienen</w:t>
      </w:r>
      <w:r w:rsidRPr="00AF629F">
        <w:rPr>
          <w:rFonts w:ascii="Times New Roman" w:hAnsi="Times New Roman" w:cs="Times New Roman"/>
          <w:sz w:val="28"/>
          <w:szCs w:val="28"/>
        </w:rPr>
        <w:t xml:space="preserve"> un </w:t>
      </w:r>
      <w:r w:rsidRPr="00AF629F">
        <w:rPr>
          <w:rFonts w:ascii="Times New Roman" w:hAnsi="Times New Roman" w:cs="Times New Roman"/>
          <w:sz w:val="28"/>
          <w:szCs w:val="28"/>
        </w:rPr>
        <w:t>carácter instrumental</w:t>
      </w:r>
      <w:r w:rsidRPr="00AF629F">
        <w:rPr>
          <w:rFonts w:ascii="Times New Roman" w:hAnsi="Times New Roman" w:cs="Times New Roman"/>
          <w:sz w:val="28"/>
          <w:szCs w:val="28"/>
        </w:rPr>
        <w:t xml:space="preserve">, en el sentido de que se trata de </w:t>
      </w:r>
      <w:r w:rsidRPr="00AF629F">
        <w:rPr>
          <w:rFonts w:ascii="Times New Roman" w:hAnsi="Times New Roman" w:cs="Times New Roman"/>
          <w:i/>
          <w:iCs/>
          <w:sz w:val="28"/>
          <w:szCs w:val="28"/>
        </w:rPr>
        <w:t>procedimientos</w:t>
      </w:r>
      <w:r w:rsidRPr="00AF629F">
        <w:rPr>
          <w:rFonts w:ascii="Times New Roman" w:hAnsi="Times New Roman" w:cs="Times New Roman"/>
          <w:sz w:val="28"/>
          <w:szCs w:val="28"/>
        </w:rPr>
        <w:t xml:space="preserve">, </w:t>
      </w:r>
      <w:r w:rsidRPr="00AF629F">
        <w:rPr>
          <w:rFonts w:ascii="Times New Roman" w:hAnsi="Times New Roman" w:cs="Times New Roman"/>
          <w:i/>
          <w:iCs/>
          <w:sz w:val="28"/>
          <w:szCs w:val="28"/>
        </w:rPr>
        <w:t>mecanismos</w:t>
      </w:r>
      <w:r w:rsidRPr="00AF629F">
        <w:rPr>
          <w:rFonts w:ascii="Times New Roman" w:hAnsi="Times New Roman" w:cs="Times New Roman"/>
          <w:sz w:val="28"/>
          <w:szCs w:val="28"/>
        </w:rPr>
        <w:t xml:space="preserve"> o </w:t>
      </w:r>
      <w:r w:rsidRPr="00AF629F">
        <w:rPr>
          <w:rFonts w:ascii="Times New Roman" w:hAnsi="Times New Roman" w:cs="Times New Roman"/>
          <w:i/>
          <w:iCs/>
          <w:sz w:val="28"/>
          <w:szCs w:val="28"/>
        </w:rPr>
        <w:t>medidas</w:t>
      </w:r>
      <w:r w:rsidRPr="00AF629F">
        <w:rPr>
          <w:rFonts w:ascii="Times New Roman" w:hAnsi="Times New Roman" w:cs="Times New Roman"/>
          <w:sz w:val="28"/>
          <w:szCs w:val="28"/>
        </w:rPr>
        <w:t xml:space="preserve"> destinadas a impulsar el cumplimiento del plan, </w:t>
      </w:r>
      <w:r w:rsidRPr="00AF629F">
        <w:rPr>
          <w:rFonts w:ascii="Times New Roman" w:hAnsi="Times New Roman" w:cs="Times New Roman"/>
          <w:sz w:val="28"/>
          <w:szCs w:val="28"/>
          <w:shd w:val="clear" w:color="auto" w:fill="FFFFFF"/>
        </w:rPr>
        <w:t>o de apropiación de los recursos necesarios para su ejecución</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(ii) </w:t>
      </w:r>
      <w:r w:rsidRPr="00AF629F">
        <w:rPr>
          <w:rFonts w:ascii="Times New Roman" w:hAnsi="Times New Roman" w:cs="Times New Roman"/>
          <w:sz w:val="28"/>
          <w:szCs w:val="28"/>
        </w:rPr>
        <w:t>persiguen</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un </w:t>
      </w:r>
      <w:r w:rsidRPr="00AF629F">
        <w:rPr>
          <w:rFonts w:ascii="Times New Roman" w:hAnsi="Times New Roman" w:cs="Times New Roman"/>
          <w:sz w:val="28"/>
          <w:szCs w:val="28"/>
        </w:rPr>
        <w:t>fin planificador</w:t>
      </w:r>
      <w:r w:rsidRPr="00AF629F">
        <w:rPr>
          <w:rFonts w:ascii="Times New Roman" w:hAnsi="Times New Roman" w:cs="Times New Roman"/>
          <w:sz w:val="28"/>
          <w:szCs w:val="28"/>
        </w:rPr>
        <w:t xml:space="preserve"> y de impulso </w:t>
      </w:r>
      <w:r w:rsidRPr="00AF629F">
        <w:rPr>
          <w:rFonts w:ascii="Times New Roman" w:hAnsi="Times New Roman" w:cs="Times New Roman"/>
          <w:sz w:val="28"/>
          <w:szCs w:val="28"/>
        </w:rPr>
        <w:t>a la ejecución del plan cuatrienal,</w:t>
      </w:r>
      <w:r w:rsidRPr="00AF629F">
        <w:rPr>
          <w:rFonts w:ascii="Times New Roman" w:hAnsi="Times New Roman" w:cs="Times New Roman"/>
          <w:sz w:val="28"/>
          <w:szCs w:val="28"/>
        </w:rPr>
        <w:t xml:space="preserve"> y</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(i</w:t>
      </w:r>
      <w:r w:rsidRPr="00AF629F">
        <w:rPr>
          <w:rFonts w:ascii="Times New Roman" w:hAnsi="Times New Roman" w:cs="Times New Roman"/>
          <w:sz w:val="28"/>
          <w:szCs w:val="28"/>
        </w:rPr>
        <w:t>iii</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deben </w:t>
      </w:r>
      <w:r w:rsidRPr="00AF629F">
        <w:rPr>
          <w:rFonts w:ascii="Times New Roman" w:hAnsi="Times New Roman" w:cs="Times New Roman"/>
          <w:sz w:val="28"/>
          <w:szCs w:val="28"/>
        </w:rPr>
        <w:t>guarda</w:t>
      </w:r>
      <w:r w:rsidRPr="00AF629F">
        <w:rPr>
          <w:rFonts w:ascii="Times New Roman" w:hAnsi="Times New Roman" w:cs="Times New Roman"/>
          <w:sz w:val="28"/>
          <w:szCs w:val="28"/>
        </w:rPr>
        <w:t>r</w:t>
      </w:r>
      <w:r w:rsidRPr="00AF629F">
        <w:rPr>
          <w:rFonts w:ascii="Times New Roman" w:hAnsi="Times New Roman" w:cs="Times New Roman"/>
          <w:sz w:val="28"/>
          <w:szCs w:val="28"/>
        </w:rPr>
        <w:t xml:space="preserve"> conexidad estrecha, directa e inmediata con las políticas y estrategias que guiarán la acción del Gobierno para alcanzar los objetivos y metas fijad</w:t>
      </w:r>
      <w:r w:rsidRPr="00AF629F">
        <w:rPr>
          <w:rFonts w:ascii="Times New Roman" w:hAnsi="Times New Roman" w:cs="Times New Roman"/>
          <w:sz w:val="28"/>
          <w:szCs w:val="28"/>
        </w:rPr>
        <w:t>o</w:t>
      </w:r>
      <w:r w:rsidRPr="00AF629F">
        <w:rPr>
          <w:rFonts w:ascii="Times New Roman" w:hAnsi="Times New Roman" w:cs="Times New Roman"/>
          <w:sz w:val="28"/>
          <w:szCs w:val="28"/>
        </w:rPr>
        <w:t>s en la parte gene</w:t>
      </w:r>
      <w:r w:rsidRPr="00AF629F">
        <w:rPr>
          <w:rFonts w:ascii="Times New Roman" w:hAnsi="Times New Roman" w:cs="Times New Roman"/>
          <w:sz w:val="28"/>
          <w:szCs w:val="28"/>
        </w:rPr>
        <w:t>ral del plan, o con los programas y proyectos del plan de inversiones</w:t>
      </w:r>
      <w:r w:rsidRPr="00AF629F">
        <w:rPr>
          <w:rFonts w:ascii="Times New Roman" w:hAnsi="Times New Roman" w:cs="Times New Roman"/>
          <w:sz w:val="28"/>
          <w:szCs w:val="28"/>
        </w:rPr>
        <w:t>.</w:t>
      </w:r>
    </w:p>
    <w:p w:rsidR="00591EB2" w:rsidRPr="00AF629F" w:rsidRDefault="00AF629F" w:rsidP="00591EB2">
      <w:pPr>
        <w:pStyle w:val="Prrafodelista"/>
        <w:ind w:left="0"/>
        <w:jc w:val="both"/>
        <w:rPr>
          <w:rFonts w:ascii="Times New Roman" w:hAnsi="Times New Roman" w:cs="Times New Roman"/>
          <w:sz w:val="28"/>
          <w:szCs w:val="28"/>
          <w:shd w:val="clear" w:color="auto" w:fill="FFFFFF"/>
        </w:rPr>
      </w:pPr>
    </w:p>
    <w:p w:rsidR="00591EB2" w:rsidRPr="00AF629F" w:rsidRDefault="00AF629F" w:rsidP="00591EB2">
      <w:pPr>
        <w:pStyle w:val="Estilo1"/>
        <w:numPr>
          <w:ilvl w:val="0"/>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El artículo 322 de la Ley 2294 de 2023</w:t>
      </w:r>
      <w:r w:rsidRPr="00AF629F">
        <w:rPr>
          <w:rStyle w:val="Ttulo1Car"/>
          <w:rFonts w:ascii="Times New Roman" w:hAnsi="Times New Roman" w:cs="Times New Roman"/>
          <w:bCs/>
          <w:color w:val="auto"/>
          <w:sz w:val="28"/>
          <w:szCs w:val="28"/>
        </w:rPr>
        <w:t xml:space="preserve"> </w:t>
      </w:r>
      <w:r w:rsidRPr="00AF629F">
        <w:rPr>
          <w:rStyle w:val="Ttulo1Car"/>
          <w:rFonts w:ascii="Times New Roman" w:hAnsi="Times New Roman" w:cs="Times New Roman"/>
          <w:bCs/>
          <w:color w:val="auto"/>
          <w:sz w:val="28"/>
          <w:szCs w:val="28"/>
        </w:rPr>
        <w:t xml:space="preserve">no satisface las exigencias </w:t>
      </w:r>
      <w:r w:rsidRPr="00AF629F">
        <w:rPr>
          <w:rStyle w:val="Ttulo1Car"/>
          <w:rFonts w:ascii="Times New Roman" w:hAnsi="Times New Roman" w:cs="Times New Roman"/>
          <w:bCs/>
          <w:color w:val="auto"/>
          <w:sz w:val="28"/>
          <w:szCs w:val="28"/>
        </w:rPr>
        <w:t xml:space="preserve">normativas </w:t>
      </w:r>
      <w:r w:rsidRPr="00AF629F">
        <w:rPr>
          <w:rStyle w:val="Ttulo1Car"/>
          <w:rFonts w:ascii="Times New Roman" w:hAnsi="Times New Roman" w:cs="Times New Roman"/>
          <w:bCs/>
          <w:color w:val="auto"/>
          <w:sz w:val="28"/>
          <w:szCs w:val="28"/>
        </w:rPr>
        <w:t>del principio de unidad de materia</w:t>
      </w:r>
      <w:r w:rsidRPr="00AF629F">
        <w:rPr>
          <w:rStyle w:val="Ttulo1Car"/>
          <w:rFonts w:ascii="Times New Roman" w:hAnsi="Times New Roman" w:cs="Times New Roman"/>
          <w:bCs/>
          <w:color w:val="auto"/>
          <w:sz w:val="28"/>
          <w:szCs w:val="28"/>
        </w:rPr>
        <w:t>, y, por tanto, se debe declarar inexequible</w:t>
      </w:r>
    </w:p>
    <w:p w:rsidR="00591EB2" w:rsidRPr="00AF629F" w:rsidRDefault="00AF629F" w:rsidP="00591EB2">
      <w:pPr>
        <w:shd w:val="clear" w:color="auto" w:fill="FFFFFF"/>
        <w:ind w:right="51"/>
        <w:jc w:val="both"/>
        <w:rPr>
          <w:rFonts w:ascii="Times New Roman" w:hAnsi="Times New Roman" w:cs="Times New Roman"/>
          <w:sz w:val="28"/>
          <w:szCs w:val="28"/>
        </w:rPr>
      </w:pPr>
    </w:p>
    <w:p w:rsidR="00A9640E" w:rsidRPr="00AF629F" w:rsidRDefault="00AF629F" w:rsidP="00332E57">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 xml:space="preserve">A partir de la metodología descrita, la Sala </w:t>
      </w:r>
      <w:r w:rsidRPr="00AF629F">
        <w:rPr>
          <w:rFonts w:ascii="Times New Roman" w:eastAsia="Cambria" w:hAnsi="Times New Roman" w:cs="Times New Roman"/>
          <w:bCs/>
          <w:sz w:val="28"/>
          <w:szCs w:val="28"/>
        </w:rPr>
        <w:t>valorará la compatibilidad del artículo 322 de la Ley 2294 de 2023 con los artículos 158 y 169 de la Constitución, que fundamentan el principio constitucional de unidad de materia.</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La tesis que </w:t>
      </w:r>
      <w:r w:rsidRPr="00AF629F">
        <w:rPr>
          <w:rFonts w:ascii="Times New Roman" w:eastAsia="Cambria" w:hAnsi="Times New Roman" w:cs="Times New Roman"/>
          <w:bCs/>
          <w:sz w:val="28"/>
          <w:szCs w:val="28"/>
        </w:rPr>
        <w:t xml:space="preserve">justificará </w:t>
      </w:r>
      <w:r w:rsidRPr="00AF629F">
        <w:rPr>
          <w:rFonts w:ascii="Times New Roman" w:eastAsia="Cambria" w:hAnsi="Times New Roman" w:cs="Times New Roman"/>
          <w:bCs/>
          <w:sz w:val="28"/>
          <w:szCs w:val="28"/>
        </w:rPr>
        <w:t xml:space="preserve">la Sala es que, </w:t>
      </w:r>
      <w:r w:rsidRPr="00AF629F">
        <w:rPr>
          <w:rFonts w:ascii="Times New Roman" w:eastAsia="Cambria" w:hAnsi="Times New Roman" w:cs="Times New Roman"/>
          <w:bCs/>
          <w:sz w:val="28"/>
          <w:szCs w:val="28"/>
        </w:rPr>
        <w:t xml:space="preserve">a pesar de que </w:t>
      </w:r>
      <w:r w:rsidRPr="00AF629F">
        <w:rPr>
          <w:rFonts w:ascii="Times New Roman" w:eastAsia="Cambria" w:hAnsi="Times New Roman" w:cs="Times New Roman"/>
          <w:bCs/>
          <w:sz w:val="28"/>
          <w:szCs w:val="28"/>
        </w:rPr>
        <w:t xml:space="preserve">se trata de </w:t>
      </w:r>
      <w:r w:rsidRPr="00AF629F">
        <w:rPr>
          <w:rFonts w:ascii="Times New Roman" w:hAnsi="Times New Roman" w:cs="Times New Roman"/>
          <w:iCs/>
          <w:sz w:val="28"/>
          <w:szCs w:val="28"/>
          <w:lang w:val="es-ES_tradnl"/>
        </w:rPr>
        <w:t xml:space="preserve">una </w:t>
      </w:r>
      <w:r w:rsidRPr="00AF629F">
        <w:rPr>
          <w:rFonts w:ascii="Times New Roman" w:hAnsi="Times New Roman" w:cs="Times New Roman"/>
          <w:iCs/>
          <w:sz w:val="28"/>
          <w:szCs w:val="28"/>
          <w:lang w:val="es-ES_tradnl"/>
        </w:rPr>
        <w:t xml:space="preserve">medida </w:t>
      </w:r>
      <w:r w:rsidRPr="00AF629F">
        <w:rPr>
          <w:rFonts w:ascii="Times New Roman" w:eastAsia="Cambria" w:hAnsi="Times New Roman" w:cs="Times New Roman"/>
          <w:bCs/>
          <w:sz w:val="28"/>
          <w:szCs w:val="28"/>
        </w:rPr>
        <w:t>instrumental</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no </w:t>
      </w:r>
      <w:r w:rsidRPr="00AF629F">
        <w:rPr>
          <w:rFonts w:ascii="Times New Roman" w:hAnsi="Times New Roman" w:cs="Times New Roman"/>
          <w:sz w:val="28"/>
          <w:szCs w:val="28"/>
        </w:rPr>
        <w:t xml:space="preserve">persigue un fin planificador </w:t>
      </w:r>
      <w:r w:rsidRPr="00AF629F">
        <w:rPr>
          <w:rFonts w:ascii="Times New Roman" w:hAnsi="Times New Roman" w:cs="Times New Roman"/>
          <w:sz w:val="28"/>
          <w:szCs w:val="28"/>
        </w:rPr>
        <w:t>ni</w:t>
      </w:r>
      <w:r w:rsidRPr="00AF629F">
        <w:rPr>
          <w:rFonts w:ascii="Times New Roman" w:hAnsi="Times New Roman" w:cs="Times New Roman"/>
          <w:sz w:val="28"/>
          <w:szCs w:val="28"/>
        </w:rPr>
        <w:t xml:space="preserve"> de impulso a la ejecución del plan cuatrienal,</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como tampoco es claro</w:t>
      </w:r>
      <w:r w:rsidRPr="00AF629F">
        <w:rPr>
          <w:rFonts w:ascii="Times New Roman" w:hAnsi="Times New Roman" w:cs="Times New Roman"/>
          <w:sz w:val="28"/>
          <w:szCs w:val="28"/>
        </w:rPr>
        <w:t>, en</w:t>
      </w:r>
      <w:r w:rsidRPr="00AF629F">
        <w:rPr>
          <w:rFonts w:ascii="Times New Roman" w:hAnsi="Times New Roman" w:cs="Times New Roman"/>
          <w:iCs/>
          <w:sz w:val="28"/>
          <w:szCs w:val="28"/>
          <w:lang w:val="es-ES_tradnl"/>
        </w:rPr>
        <w:t xml:space="preserve"> los términos de la jurisprudencia constitucional </w:t>
      </w:r>
      <w:r w:rsidRPr="00AF629F">
        <w:rPr>
          <w:rFonts w:ascii="Times New Roman" w:hAnsi="Times New Roman" w:cs="Times New Roman"/>
          <w:iCs/>
          <w:sz w:val="28"/>
          <w:szCs w:val="28"/>
          <w:lang w:val="es-ES_tradnl"/>
        </w:rPr>
        <w:t>–</w:t>
      </w:r>
      <w:r w:rsidRPr="00AF629F">
        <w:rPr>
          <w:rFonts w:ascii="Times New Roman" w:hAnsi="Times New Roman" w:cs="Times New Roman"/>
          <w:iCs/>
          <w:sz w:val="28"/>
          <w:szCs w:val="28"/>
          <w:lang w:val="es-ES_tradnl"/>
        </w:rPr>
        <w:t xml:space="preserve">a que se hizo </w:t>
      </w:r>
      <w:r w:rsidRPr="00AF629F">
        <w:rPr>
          <w:rFonts w:ascii="Times New Roman" w:hAnsi="Times New Roman" w:cs="Times New Roman"/>
          <w:iCs/>
          <w:sz w:val="28"/>
          <w:szCs w:val="28"/>
          <w:lang w:val="es-ES_tradnl"/>
        </w:rPr>
        <w:t xml:space="preserve">referencia </w:t>
      </w:r>
      <w:r w:rsidRPr="00AF629F">
        <w:rPr>
          <w:rFonts w:ascii="Times New Roman" w:hAnsi="Times New Roman" w:cs="Times New Roman"/>
          <w:i/>
          <w:sz w:val="28"/>
          <w:szCs w:val="28"/>
          <w:lang w:val="es-ES_tradnl"/>
        </w:rPr>
        <w:t>supra</w:t>
      </w:r>
      <w:r w:rsidRPr="00AF629F">
        <w:rPr>
          <w:rFonts w:ascii="Times New Roman" w:hAnsi="Times New Roman" w:cs="Times New Roman"/>
          <w:iCs/>
          <w:sz w:val="28"/>
          <w:szCs w:val="28"/>
          <w:lang w:val="es-ES_tradnl"/>
        </w:rPr>
        <w:t>–</w:t>
      </w:r>
      <w:r w:rsidRPr="00AF629F">
        <w:rPr>
          <w:rFonts w:ascii="Times New Roman" w:hAnsi="Times New Roman" w:cs="Times New Roman"/>
          <w:iCs/>
          <w:sz w:val="28"/>
          <w:szCs w:val="28"/>
          <w:lang w:val="es-ES_tradnl"/>
        </w:rPr>
        <w:t xml:space="preserve">, </w:t>
      </w:r>
      <w:r w:rsidRPr="00AF629F">
        <w:rPr>
          <w:rFonts w:ascii="Times New Roman" w:hAnsi="Times New Roman" w:cs="Times New Roman"/>
          <w:iCs/>
          <w:sz w:val="28"/>
          <w:szCs w:val="28"/>
          <w:lang w:val="es-ES_tradnl"/>
        </w:rPr>
        <w:t xml:space="preserve">que guarde </w:t>
      </w:r>
      <w:r w:rsidRPr="00AF629F">
        <w:rPr>
          <w:rFonts w:ascii="Times New Roman" w:eastAsia="Cambria" w:hAnsi="Times New Roman" w:cs="Times New Roman"/>
          <w:bCs/>
          <w:sz w:val="28"/>
          <w:szCs w:val="28"/>
        </w:rPr>
        <w:t xml:space="preserve">una relación de conexidad </w:t>
      </w:r>
      <w:r w:rsidRPr="00AF629F">
        <w:rPr>
          <w:rFonts w:ascii="Times New Roman" w:hAnsi="Times New Roman" w:cs="Times New Roman"/>
          <w:iCs/>
          <w:sz w:val="28"/>
          <w:szCs w:val="28"/>
          <w:lang w:val="es-ES_tradnl"/>
        </w:rPr>
        <w:t xml:space="preserve">estrecha, directa e inmediata con </w:t>
      </w:r>
      <w:r w:rsidRPr="00AF629F">
        <w:rPr>
          <w:rFonts w:ascii="Times New Roman" w:hAnsi="Times New Roman" w:cs="Times New Roman"/>
          <w:iCs/>
          <w:sz w:val="28"/>
          <w:szCs w:val="28"/>
          <w:lang w:val="es-ES_tradnl"/>
        </w:rPr>
        <w:t xml:space="preserve">las políticas y </w:t>
      </w:r>
      <w:r w:rsidRPr="00AF629F">
        <w:rPr>
          <w:rFonts w:ascii="Times New Roman" w:hAnsi="Times New Roman" w:cs="Times New Roman"/>
          <w:iCs/>
          <w:sz w:val="28"/>
          <w:szCs w:val="28"/>
          <w:lang w:val="es-ES_tradnl"/>
        </w:rPr>
        <w:t xml:space="preserve">estrategias </w:t>
      </w:r>
      <w:r w:rsidRPr="00AF629F">
        <w:rPr>
          <w:rFonts w:ascii="Times New Roman" w:hAnsi="Times New Roman" w:cs="Times New Roman"/>
          <w:sz w:val="28"/>
          <w:szCs w:val="28"/>
        </w:rPr>
        <w:t xml:space="preserve">que guiarán la acción del Gobierno </w:t>
      </w:r>
      <w:r w:rsidRPr="00AF629F">
        <w:rPr>
          <w:rFonts w:ascii="Times New Roman" w:hAnsi="Times New Roman" w:cs="Times New Roman"/>
          <w:sz w:val="28"/>
          <w:szCs w:val="28"/>
        </w:rPr>
        <w:t>en función de</w:t>
      </w:r>
      <w:r w:rsidRPr="00AF629F">
        <w:rPr>
          <w:rFonts w:ascii="Times New Roman" w:hAnsi="Times New Roman" w:cs="Times New Roman"/>
          <w:sz w:val="28"/>
          <w:szCs w:val="28"/>
        </w:rPr>
        <w:t xml:space="preserve"> alcanzar los objetivos y metas fijados en la parte general del plan</w:t>
      </w:r>
      <w:r w:rsidRPr="00AF629F">
        <w:rPr>
          <w:rFonts w:ascii="Times New Roman" w:hAnsi="Times New Roman" w:cs="Times New Roman"/>
          <w:sz w:val="28"/>
          <w:szCs w:val="28"/>
        </w:rPr>
        <w:t xml:space="preserve"> ni</w:t>
      </w:r>
      <w:r w:rsidRPr="00AF629F">
        <w:rPr>
          <w:rFonts w:ascii="Times New Roman" w:hAnsi="Times New Roman" w:cs="Times New Roman"/>
          <w:sz w:val="28"/>
          <w:szCs w:val="28"/>
        </w:rPr>
        <w:t xml:space="preserve"> con los programas y proyectos del plan de inversiones</w:t>
      </w:r>
      <w:r w:rsidRPr="00AF629F">
        <w:rPr>
          <w:rFonts w:ascii="Times New Roman" w:hAnsi="Times New Roman" w:cs="Times New Roman"/>
          <w:bCs/>
          <w:sz w:val="28"/>
          <w:szCs w:val="28"/>
        </w:rPr>
        <w:t>.</w:t>
      </w:r>
    </w:p>
    <w:p w:rsidR="00661079" w:rsidRPr="00AF629F" w:rsidRDefault="00AF629F" w:rsidP="00884CA9">
      <w:pPr>
        <w:rPr>
          <w:rFonts w:ascii="Times New Roman" w:eastAsia="Cambria" w:hAnsi="Times New Roman" w:cs="Times New Roman"/>
          <w:bCs/>
          <w:sz w:val="28"/>
          <w:szCs w:val="28"/>
        </w:rPr>
      </w:pPr>
    </w:p>
    <w:p w:rsidR="00884CA9" w:rsidRPr="00AF629F" w:rsidRDefault="00AF629F" w:rsidP="00884CA9">
      <w:pPr>
        <w:pStyle w:val="Estilo1"/>
        <w:numPr>
          <w:ilvl w:val="1"/>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 xml:space="preserve">La disposición demandada </w:t>
      </w:r>
      <w:r w:rsidRPr="00AF629F">
        <w:rPr>
          <w:rFonts w:ascii="Times New Roman" w:eastAsia="Cambria" w:hAnsi="Times New Roman" w:cs="Times New Roman"/>
          <w:b/>
        </w:rPr>
        <w:t xml:space="preserve">modifica de manera permanente el </w:t>
      </w:r>
      <w:r w:rsidRPr="00AF629F">
        <w:rPr>
          <w:rFonts w:ascii="Times New Roman" w:eastAsia="Cambria" w:hAnsi="Times New Roman" w:cs="Times New Roman"/>
          <w:b/>
        </w:rPr>
        <w:t>régimen</w:t>
      </w:r>
      <w:r w:rsidRPr="00AF629F">
        <w:rPr>
          <w:rFonts w:ascii="Times New Roman" w:eastAsia="Cambria" w:hAnsi="Times New Roman" w:cs="Times New Roman"/>
          <w:b/>
        </w:rPr>
        <w:t xml:space="preserve"> jurídico</w:t>
      </w:r>
      <w:r w:rsidRPr="00AF629F">
        <w:rPr>
          <w:rFonts w:ascii="Times New Roman" w:eastAsia="Cambria" w:hAnsi="Times New Roman" w:cs="Times New Roman"/>
          <w:b/>
        </w:rPr>
        <w:t xml:space="preserve"> aplicable a la contratación de la administración de los recursos del FONPET</w:t>
      </w:r>
    </w:p>
    <w:p w:rsidR="00884CA9" w:rsidRPr="00AF629F" w:rsidRDefault="00AF629F" w:rsidP="00884CA9">
      <w:pPr>
        <w:rPr>
          <w:rFonts w:ascii="Times New Roman" w:eastAsia="Cambria" w:hAnsi="Times New Roman" w:cs="Times New Roman"/>
          <w:bCs/>
          <w:sz w:val="28"/>
          <w:szCs w:val="28"/>
        </w:rPr>
      </w:pPr>
    </w:p>
    <w:p w:rsidR="0047092E" w:rsidRPr="00AF629F" w:rsidRDefault="00AF629F" w:rsidP="0047092E">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hAnsi="Times New Roman" w:cs="Times New Roman"/>
          <w:sz w:val="28"/>
          <w:szCs w:val="28"/>
        </w:rPr>
        <w:t xml:space="preserve">El artículo 322 de la Ley 2294 de 2023 autoriza al Ministerio de Hacienda y Crédito Público para contratar la administración de los recursos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 xml:space="preserve">por medio del procedimiento de selección de contratación directa, mediante la celebración de “contratos </w:t>
      </w:r>
      <w:r w:rsidRPr="00AF629F">
        <w:rPr>
          <w:rFonts w:ascii="Times New Roman" w:hAnsi="Times New Roman" w:cs="Times New Roman"/>
          <w:sz w:val="28"/>
          <w:szCs w:val="28"/>
        </w:rPr>
        <w:t xml:space="preserve">interadministrativos” con sociedades fiduciarias de carácter público, siempre que se acrediten “razones de favorabilidad de mercado” y las citadas sociedades acrediten “experiencia en administración de portafolios pensionales”. Además, dispone que en caso </w:t>
      </w:r>
      <w:r w:rsidRPr="00AF629F">
        <w:rPr>
          <w:rFonts w:ascii="Times New Roman" w:hAnsi="Times New Roman" w:cs="Times New Roman"/>
          <w:sz w:val="28"/>
          <w:szCs w:val="28"/>
        </w:rPr>
        <w:t>de que esta competencia discrecional se ejerza, los contratos se deben celebrar por un plazo no inferior a cinco años, en los que se debe “cumplir con los márgenes de solvencia y la disposición de la rentabilidad mínima establecida en el numeral 5 del artí</w:t>
      </w:r>
      <w:r w:rsidRPr="00AF629F">
        <w:rPr>
          <w:rFonts w:ascii="Times New Roman" w:hAnsi="Times New Roman" w:cs="Times New Roman"/>
          <w:sz w:val="28"/>
          <w:szCs w:val="28"/>
        </w:rPr>
        <w:t>culo 7 de la Ley 549 de 1999”.</w:t>
      </w:r>
    </w:p>
    <w:p w:rsidR="0047092E" w:rsidRPr="00AF629F" w:rsidRDefault="00AF629F" w:rsidP="0047092E">
      <w:pPr>
        <w:pStyle w:val="Prrafodelista"/>
        <w:ind w:left="0"/>
        <w:jc w:val="both"/>
        <w:rPr>
          <w:rFonts w:ascii="Times New Roman" w:eastAsia="Cambria" w:hAnsi="Times New Roman" w:cs="Times New Roman"/>
          <w:bCs/>
          <w:sz w:val="28"/>
          <w:szCs w:val="28"/>
        </w:rPr>
      </w:pPr>
    </w:p>
    <w:p w:rsidR="00A76D78" w:rsidRPr="00AF629F" w:rsidRDefault="00AF629F" w:rsidP="0037409C">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 xml:space="preserve">Este artículo </w:t>
      </w:r>
      <w:r w:rsidRPr="00AF629F">
        <w:rPr>
          <w:rFonts w:ascii="Times New Roman" w:eastAsia="Cambria" w:hAnsi="Times New Roman" w:cs="Times New Roman"/>
          <w:bCs/>
          <w:sz w:val="28"/>
          <w:szCs w:val="28"/>
        </w:rPr>
        <w:t xml:space="preserve">modifica de manera permanente </w:t>
      </w:r>
      <w:r w:rsidRPr="00AF629F">
        <w:rPr>
          <w:rFonts w:ascii="Times New Roman" w:eastAsia="Cambria" w:hAnsi="Times New Roman" w:cs="Times New Roman"/>
          <w:bCs/>
          <w:sz w:val="28"/>
          <w:szCs w:val="28"/>
        </w:rPr>
        <w:t xml:space="preserve">dos </w:t>
      </w:r>
      <w:r w:rsidRPr="00AF629F">
        <w:rPr>
          <w:rFonts w:ascii="Times New Roman" w:eastAsia="Cambria" w:hAnsi="Times New Roman" w:cs="Times New Roman"/>
          <w:bCs/>
          <w:sz w:val="28"/>
          <w:szCs w:val="28"/>
        </w:rPr>
        <w:t>elemento</w:t>
      </w:r>
      <w:r w:rsidRPr="00AF629F">
        <w:rPr>
          <w:rFonts w:ascii="Times New Roman" w:eastAsia="Cambria" w:hAnsi="Times New Roman" w:cs="Times New Roman"/>
          <w:bCs/>
          <w:sz w:val="28"/>
          <w:szCs w:val="28"/>
        </w:rPr>
        <w:t>s</w:t>
      </w:r>
      <w:r w:rsidRPr="00AF629F">
        <w:rPr>
          <w:rFonts w:ascii="Times New Roman" w:eastAsia="Cambria" w:hAnsi="Times New Roman" w:cs="Times New Roman"/>
          <w:bCs/>
          <w:sz w:val="28"/>
          <w:szCs w:val="28"/>
        </w:rPr>
        <w:t xml:space="preserve"> estructural</w:t>
      </w:r>
      <w:r w:rsidRPr="00AF629F">
        <w:rPr>
          <w:rFonts w:ascii="Times New Roman" w:eastAsia="Cambria" w:hAnsi="Times New Roman" w:cs="Times New Roman"/>
          <w:bCs/>
          <w:sz w:val="28"/>
          <w:szCs w:val="28"/>
        </w:rPr>
        <w:t>es</w:t>
      </w:r>
      <w:r w:rsidRPr="00AF629F">
        <w:rPr>
          <w:rFonts w:ascii="Times New Roman" w:eastAsia="Cambria" w:hAnsi="Times New Roman" w:cs="Times New Roman"/>
          <w:bCs/>
          <w:sz w:val="28"/>
          <w:szCs w:val="28"/>
        </w:rPr>
        <w:t xml:space="preserve"> de</w:t>
      </w:r>
      <w:r w:rsidRPr="00AF629F">
        <w:rPr>
          <w:rFonts w:ascii="Times New Roman" w:eastAsia="Cambria" w:hAnsi="Times New Roman" w:cs="Times New Roman"/>
          <w:bCs/>
          <w:sz w:val="28"/>
          <w:szCs w:val="28"/>
        </w:rPr>
        <w:t xml:space="preserve">l régimen de </w:t>
      </w:r>
      <w:r w:rsidRPr="00AF629F">
        <w:rPr>
          <w:rFonts w:ascii="Times New Roman" w:eastAsia="Cambria" w:hAnsi="Times New Roman" w:cs="Times New Roman"/>
          <w:bCs/>
          <w:sz w:val="28"/>
          <w:szCs w:val="28"/>
        </w:rPr>
        <w:t xml:space="preserve">administración de los recursos del </w:t>
      </w:r>
      <w:r w:rsidRPr="00AF629F">
        <w:rPr>
          <w:rFonts w:ascii="Times New Roman" w:eastAsia="Cambria" w:hAnsi="Times New Roman" w:cs="Times New Roman"/>
          <w:bCs/>
          <w:sz w:val="28"/>
          <w:szCs w:val="28"/>
        </w:rPr>
        <w:t xml:space="preserve">FONPET, contenido </w:t>
      </w:r>
      <w:r w:rsidRPr="00AF629F">
        <w:rPr>
          <w:rFonts w:ascii="Times New Roman" w:eastAsia="Cambria" w:hAnsi="Times New Roman" w:cs="Times New Roman"/>
          <w:bCs/>
          <w:sz w:val="28"/>
          <w:szCs w:val="28"/>
        </w:rPr>
        <w:t xml:space="preserve">en </w:t>
      </w:r>
      <w:r w:rsidRPr="00AF629F">
        <w:rPr>
          <w:rFonts w:ascii="Times New Roman" w:eastAsia="Cambria" w:hAnsi="Times New Roman" w:cs="Times New Roman"/>
          <w:bCs/>
          <w:sz w:val="28"/>
          <w:szCs w:val="28"/>
        </w:rPr>
        <w:t>la Ley 549 de 1999</w:t>
      </w:r>
      <w:r w:rsidRPr="00AF629F">
        <w:rPr>
          <w:rFonts w:ascii="Times New Roman" w:hAnsi="Times New Roman" w:cs="Times New Roman"/>
          <w:sz w:val="28"/>
          <w:szCs w:val="28"/>
        </w:rPr>
        <w:t xml:space="preserve"> “</w:t>
      </w:r>
      <w:r w:rsidRPr="00AF629F">
        <w:rPr>
          <w:rFonts w:ascii="Times New Roman" w:eastAsia="Cambria" w:hAnsi="Times New Roman" w:cs="Times New Roman"/>
          <w:bCs/>
          <w:sz w:val="28"/>
          <w:szCs w:val="28"/>
        </w:rPr>
        <w:t>por la cual se dictan normas tendientes a financiar el pasivo</w:t>
      </w:r>
      <w:r w:rsidRPr="00AF629F">
        <w:rPr>
          <w:rFonts w:ascii="Times New Roman" w:eastAsia="Cambria" w:hAnsi="Times New Roman" w:cs="Times New Roman"/>
          <w:bCs/>
          <w:sz w:val="28"/>
          <w:szCs w:val="28"/>
        </w:rPr>
        <w:t xml:space="preserve"> pensional de las entidades territoriales, se crea el Fondo Nacional de Pensiones de las entidades territoriales y se dictan otras disposiciones en materia prestacional</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De un lado,</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modifica de manera parcial </w:t>
      </w:r>
      <w:r w:rsidRPr="00AF629F">
        <w:rPr>
          <w:rFonts w:ascii="Times New Roman" w:eastAsia="Cambria" w:hAnsi="Times New Roman" w:cs="Times New Roman"/>
          <w:bCs/>
          <w:sz w:val="28"/>
          <w:szCs w:val="28"/>
        </w:rPr>
        <w:t>el</w:t>
      </w:r>
      <w:r w:rsidRPr="00AF629F">
        <w:rPr>
          <w:rFonts w:ascii="Times New Roman" w:eastAsia="Cambria" w:hAnsi="Times New Roman" w:cs="Times New Roman"/>
          <w:bCs/>
          <w:sz w:val="28"/>
          <w:szCs w:val="28"/>
        </w:rPr>
        <w:t xml:space="preserve"> artículo 7.4</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al no </w:t>
      </w:r>
      <w:r w:rsidRPr="00AF629F">
        <w:rPr>
          <w:rFonts w:ascii="Times New Roman" w:eastAsia="Cambria" w:hAnsi="Times New Roman" w:cs="Times New Roman"/>
          <w:bCs/>
          <w:sz w:val="28"/>
          <w:szCs w:val="28"/>
        </w:rPr>
        <w:t>exigir</w:t>
      </w:r>
      <w:r w:rsidRPr="00AF629F">
        <w:rPr>
          <w:rFonts w:ascii="Times New Roman" w:eastAsia="Cambria" w:hAnsi="Times New Roman" w:cs="Times New Roman"/>
          <w:bCs/>
          <w:sz w:val="28"/>
          <w:szCs w:val="28"/>
        </w:rPr>
        <w:t xml:space="preserve"> “licitación pública”</w:t>
      </w:r>
      <w:r w:rsidRPr="00AF629F">
        <w:rPr>
          <w:rFonts w:ascii="Times New Roman" w:eastAsia="Cambria" w:hAnsi="Times New Roman" w:cs="Times New Roman"/>
          <w:bCs/>
          <w:sz w:val="28"/>
          <w:szCs w:val="28"/>
        </w:rPr>
        <w:t xml:space="preserve">, conforme </w:t>
      </w:r>
      <w:r w:rsidRPr="00AF629F">
        <w:rPr>
          <w:rFonts w:ascii="Times New Roman" w:eastAsia="Cambria" w:hAnsi="Times New Roman" w:cs="Times New Roman"/>
          <w:bCs/>
          <w:sz w:val="28"/>
          <w:szCs w:val="28"/>
        </w:rPr>
        <w:t>a las disposic</w:t>
      </w:r>
      <w:r w:rsidRPr="00AF629F">
        <w:rPr>
          <w:rFonts w:ascii="Times New Roman" w:eastAsia="Cambria" w:hAnsi="Times New Roman" w:cs="Times New Roman"/>
          <w:bCs/>
          <w:sz w:val="28"/>
          <w:szCs w:val="28"/>
        </w:rPr>
        <w:t>iones</w:t>
      </w:r>
      <w:r w:rsidRPr="00AF629F">
        <w:rPr>
          <w:rFonts w:ascii="Times New Roman" w:eastAsia="Cambria" w:hAnsi="Times New Roman" w:cs="Times New Roman"/>
          <w:bCs/>
          <w:sz w:val="28"/>
          <w:szCs w:val="28"/>
        </w:rPr>
        <w:t xml:space="preserve"> de “la Ley 80 de 1993”, </w:t>
      </w:r>
      <w:r w:rsidRPr="00AF629F">
        <w:rPr>
          <w:rFonts w:ascii="Times New Roman" w:eastAsia="Cambria" w:hAnsi="Times New Roman" w:cs="Times New Roman"/>
          <w:bCs/>
          <w:sz w:val="28"/>
          <w:szCs w:val="28"/>
        </w:rPr>
        <w:t xml:space="preserve">para </w:t>
      </w:r>
      <w:r w:rsidRPr="00AF629F">
        <w:rPr>
          <w:rFonts w:ascii="Times New Roman" w:eastAsia="Cambria" w:hAnsi="Times New Roman" w:cs="Times New Roman"/>
          <w:bCs/>
          <w:sz w:val="28"/>
          <w:szCs w:val="28"/>
        </w:rPr>
        <w:t>seleccionar a la</w:t>
      </w:r>
      <w:r w:rsidRPr="00AF629F">
        <w:rPr>
          <w:rFonts w:ascii="Times New Roman" w:eastAsia="Cambria" w:hAnsi="Times New Roman" w:cs="Times New Roman"/>
          <w:bCs/>
          <w:sz w:val="28"/>
          <w:szCs w:val="28"/>
        </w:rPr>
        <w:t>s</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entidad</w:t>
      </w:r>
      <w:r w:rsidRPr="00AF629F">
        <w:rPr>
          <w:rFonts w:ascii="Times New Roman" w:eastAsia="Cambria" w:hAnsi="Times New Roman" w:cs="Times New Roman"/>
          <w:bCs/>
          <w:sz w:val="28"/>
          <w:szCs w:val="28"/>
        </w:rPr>
        <w:t>es</w:t>
      </w:r>
      <w:r w:rsidRPr="00AF629F">
        <w:rPr>
          <w:rFonts w:ascii="Times New Roman" w:eastAsia="Cambria" w:hAnsi="Times New Roman" w:cs="Times New Roman"/>
          <w:bCs/>
          <w:sz w:val="28"/>
          <w:szCs w:val="28"/>
        </w:rPr>
        <w:t xml:space="preserve"> que administrará</w:t>
      </w:r>
      <w:r w:rsidRPr="00AF629F">
        <w:rPr>
          <w:rFonts w:ascii="Times New Roman" w:eastAsia="Cambria" w:hAnsi="Times New Roman" w:cs="Times New Roman"/>
          <w:bCs/>
          <w:sz w:val="28"/>
          <w:szCs w:val="28"/>
        </w:rPr>
        <w:t>n</w:t>
      </w:r>
      <w:r w:rsidRPr="00AF629F">
        <w:rPr>
          <w:rFonts w:ascii="Times New Roman" w:eastAsia="Cambria" w:hAnsi="Times New Roman" w:cs="Times New Roman"/>
          <w:bCs/>
          <w:sz w:val="28"/>
          <w:szCs w:val="28"/>
        </w:rPr>
        <w:t xml:space="preserve"> los recursos del </w:t>
      </w:r>
      <w:r w:rsidRPr="00AF629F">
        <w:rPr>
          <w:rFonts w:ascii="Times New Roman" w:eastAsia="Cambria" w:hAnsi="Times New Roman" w:cs="Times New Roman"/>
          <w:bCs/>
          <w:sz w:val="28"/>
          <w:szCs w:val="28"/>
        </w:rPr>
        <w:t>FONPET y, en su lugar, autoriza</w:t>
      </w:r>
      <w:r w:rsidRPr="00AF629F">
        <w:rPr>
          <w:rFonts w:ascii="Times New Roman" w:eastAsia="Cambria" w:hAnsi="Times New Roman" w:cs="Times New Roman"/>
          <w:bCs/>
          <w:sz w:val="28"/>
          <w:szCs w:val="28"/>
        </w:rPr>
        <w:t xml:space="preserve"> al </w:t>
      </w:r>
      <w:r w:rsidRPr="00AF629F">
        <w:rPr>
          <w:rFonts w:ascii="Times New Roman" w:hAnsi="Times New Roman" w:cs="Times New Roman"/>
          <w:sz w:val="28"/>
          <w:szCs w:val="28"/>
        </w:rPr>
        <w:t>Ministerio de Hacienda y Crédito Público para que utilice el procedimiento de</w:t>
      </w:r>
      <w:r w:rsidRPr="00AF629F">
        <w:rPr>
          <w:rFonts w:ascii="Times New Roman" w:hAnsi="Times New Roman" w:cs="Times New Roman"/>
          <w:sz w:val="28"/>
          <w:szCs w:val="28"/>
        </w:rPr>
        <w:t xml:space="preserve"> “contratación directa”</w:t>
      </w:r>
      <w:r w:rsidRPr="00AF629F">
        <w:rPr>
          <w:rStyle w:val="Refdenotaalpie"/>
          <w:rFonts w:ascii="Times New Roman" w:hAnsi="Times New Roman" w:cs="Times New Roman"/>
          <w:sz w:val="28"/>
          <w:szCs w:val="28"/>
        </w:rPr>
        <w:footnoteReference w:id="49"/>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p>
    <w:p w:rsidR="00A76D78" w:rsidRPr="00AF629F" w:rsidRDefault="00AF629F" w:rsidP="00A76D78">
      <w:pPr>
        <w:pStyle w:val="Prrafodelista"/>
        <w:rPr>
          <w:rFonts w:ascii="Times New Roman" w:eastAsia="Cambria" w:hAnsi="Times New Roman" w:cs="Times New Roman"/>
          <w:bCs/>
          <w:sz w:val="28"/>
          <w:szCs w:val="28"/>
        </w:rPr>
      </w:pPr>
    </w:p>
    <w:p w:rsidR="00F65E0B" w:rsidRPr="00AF629F" w:rsidRDefault="00AF629F" w:rsidP="0037409C">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 xml:space="preserve">De otro lado, </w:t>
      </w:r>
      <w:r w:rsidRPr="00AF629F">
        <w:rPr>
          <w:rFonts w:ascii="Times New Roman" w:eastAsia="Cambria" w:hAnsi="Times New Roman" w:cs="Times New Roman"/>
          <w:bCs/>
          <w:sz w:val="28"/>
          <w:szCs w:val="28"/>
        </w:rPr>
        <w:t xml:space="preserve">modifica de manera parcial el inciso primero del artículo 3 de la Ley 549 de 1999, </w:t>
      </w:r>
      <w:r w:rsidRPr="00AF629F">
        <w:rPr>
          <w:rFonts w:ascii="Times New Roman" w:eastAsia="Cambria" w:hAnsi="Times New Roman" w:cs="Times New Roman"/>
          <w:bCs/>
          <w:sz w:val="28"/>
          <w:szCs w:val="28"/>
        </w:rPr>
        <w:t xml:space="preserve">al restringir </w:t>
      </w:r>
      <w:r w:rsidRPr="00AF629F">
        <w:rPr>
          <w:rFonts w:ascii="Times New Roman" w:eastAsia="Cambria" w:hAnsi="Times New Roman" w:cs="Times New Roman"/>
          <w:bCs/>
          <w:sz w:val="28"/>
          <w:szCs w:val="28"/>
        </w:rPr>
        <w:t xml:space="preserve">el mercado potencial de oferentes para esta contratación, ya que </w:t>
      </w:r>
      <w:r w:rsidRPr="00AF629F">
        <w:rPr>
          <w:rFonts w:ascii="Times New Roman" w:eastAsia="Cambria" w:hAnsi="Times New Roman" w:cs="Times New Roman"/>
          <w:bCs/>
          <w:sz w:val="28"/>
          <w:szCs w:val="28"/>
        </w:rPr>
        <w:t xml:space="preserve">la disposición demandada </w:t>
      </w:r>
      <w:r w:rsidRPr="00AF629F">
        <w:rPr>
          <w:rFonts w:ascii="Times New Roman" w:eastAsia="Cambria" w:hAnsi="Times New Roman" w:cs="Times New Roman"/>
          <w:bCs/>
          <w:sz w:val="28"/>
          <w:szCs w:val="28"/>
        </w:rPr>
        <w:t xml:space="preserve">lo </w:t>
      </w:r>
      <w:r w:rsidRPr="00AF629F">
        <w:rPr>
          <w:rFonts w:ascii="Times New Roman" w:eastAsia="Cambria" w:hAnsi="Times New Roman" w:cs="Times New Roman"/>
          <w:bCs/>
          <w:sz w:val="28"/>
          <w:szCs w:val="28"/>
        </w:rPr>
        <w:t>limita</w:t>
      </w:r>
      <w:r w:rsidRPr="00AF629F">
        <w:rPr>
          <w:rFonts w:ascii="Times New Roman" w:eastAsia="Cambria" w:hAnsi="Times New Roman" w:cs="Times New Roman"/>
          <w:bCs/>
          <w:sz w:val="28"/>
          <w:szCs w:val="28"/>
        </w:rPr>
        <w:t xml:space="preserve"> a </w:t>
      </w:r>
      <w:r w:rsidRPr="00AF629F">
        <w:rPr>
          <w:rFonts w:ascii="Times New Roman" w:eastAsia="Cambria" w:hAnsi="Times New Roman" w:cs="Times New Roman"/>
          <w:bCs/>
          <w:sz w:val="28"/>
          <w:szCs w:val="28"/>
        </w:rPr>
        <w:t>“</w:t>
      </w:r>
      <w:r w:rsidRPr="00AF629F">
        <w:rPr>
          <w:rFonts w:ascii="Times New Roman" w:hAnsi="Times New Roman" w:cs="Times New Roman"/>
          <w:sz w:val="28"/>
          <w:szCs w:val="28"/>
        </w:rPr>
        <w:t xml:space="preserve">sociedades </w:t>
      </w:r>
      <w:r w:rsidRPr="00AF629F">
        <w:rPr>
          <w:rFonts w:ascii="Times New Roman" w:hAnsi="Times New Roman" w:cs="Times New Roman"/>
          <w:sz w:val="28"/>
          <w:szCs w:val="28"/>
        </w:rPr>
        <w:t>fiduciarias de carácter público”</w:t>
      </w:r>
      <w:r w:rsidRPr="00AF629F">
        <w:rPr>
          <w:rFonts w:ascii="Times New Roman" w:hAnsi="Times New Roman" w:cs="Times New Roman"/>
          <w:sz w:val="28"/>
          <w:szCs w:val="28"/>
        </w:rPr>
        <w:t xml:space="preserve">, a pesar </w:t>
      </w:r>
      <w:r w:rsidRPr="00AF629F">
        <w:rPr>
          <w:rFonts w:ascii="Times New Roman" w:hAnsi="Times New Roman" w:cs="Times New Roman"/>
          <w:sz w:val="28"/>
          <w:szCs w:val="28"/>
        </w:rPr>
        <w:t xml:space="preserve">de que la </w:t>
      </w:r>
      <w:r w:rsidRPr="00AF629F">
        <w:rPr>
          <w:rFonts w:ascii="Times New Roman" w:hAnsi="Times New Roman" w:cs="Times New Roman"/>
          <w:sz w:val="28"/>
          <w:szCs w:val="28"/>
        </w:rPr>
        <w:t xml:space="preserve">Ley 549 </w:t>
      </w:r>
      <w:r w:rsidRPr="00AF629F">
        <w:rPr>
          <w:rFonts w:ascii="Times New Roman" w:hAnsi="Times New Roman" w:cs="Times New Roman"/>
          <w:sz w:val="28"/>
          <w:szCs w:val="28"/>
        </w:rPr>
        <w:t xml:space="preserve">permite que se contraten </w:t>
      </w:r>
      <w:r w:rsidRPr="00AF629F">
        <w:rPr>
          <w:rFonts w:ascii="Times New Roman" w:hAnsi="Times New Roman" w:cs="Times New Roman"/>
          <w:sz w:val="28"/>
          <w:szCs w:val="28"/>
        </w:rPr>
        <w:t xml:space="preserve">administradoras de fondos de pensiones y cesantías privadas, sociedades fiduciarias privadas </w:t>
      </w:r>
      <w:r w:rsidRPr="00AF629F">
        <w:rPr>
          <w:rFonts w:ascii="Times New Roman" w:hAnsi="Times New Roman" w:cs="Times New Roman"/>
          <w:sz w:val="28"/>
          <w:szCs w:val="28"/>
        </w:rPr>
        <w:t xml:space="preserve">y </w:t>
      </w:r>
      <w:r w:rsidRPr="00AF629F">
        <w:rPr>
          <w:rFonts w:ascii="Times New Roman" w:hAnsi="Times New Roman" w:cs="Times New Roman"/>
          <w:sz w:val="28"/>
          <w:szCs w:val="28"/>
        </w:rPr>
        <w:t xml:space="preserve">compañías de seguros de vida privadas o públicas </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facultadas para </w:t>
      </w:r>
      <w:r w:rsidRPr="00AF629F">
        <w:rPr>
          <w:rFonts w:ascii="Times New Roman" w:hAnsi="Times New Roman" w:cs="Times New Roman"/>
          <w:sz w:val="28"/>
          <w:szCs w:val="28"/>
        </w:rPr>
        <w:t>administrar los recursos del Sistema General de Pensiones y de los regímenes pensionales excepcionados del Sistema por ley</w:t>
      </w:r>
      <w:r w:rsidRPr="00AF629F">
        <w:rPr>
          <w:rFonts w:ascii="Times New Roman" w:hAnsi="Times New Roman" w:cs="Times New Roman"/>
          <w:sz w:val="28"/>
          <w:szCs w:val="28"/>
        </w:rPr>
        <w:t>”</w:t>
      </w:r>
      <w:r w:rsidRPr="00AF629F">
        <w:rPr>
          <w:rStyle w:val="Refdenotaalpie"/>
          <w:rFonts w:ascii="Times New Roman" w:hAnsi="Times New Roman" w:cs="Times New Roman"/>
          <w:sz w:val="28"/>
          <w:szCs w:val="28"/>
        </w:rPr>
        <w:footnoteReference w:id="50"/>
      </w:r>
      <w:r w:rsidRPr="00AF629F">
        <w:rPr>
          <w:rFonts w:ascii="Times New Roman" w:hAnsi="Times New Roman" w:cs="Times New Roman"/>
          <w:sz w:val="28"/>
          <w:szCs w:val="28"/>
        </w:rPr>
        <w:t>.</w:t>
      </w:r>
    </w:p>
    <w:p w:rsidR="003A681D" w:rsidRPr="00AF629F" w:rsidRDefault="00AF629F" w:rsidP="003A681D">
      <w:pPr>
        <w:pStyle w:val="Prrafodelista"/>
        <w:ind w:left="0"/>
        <w:jc w:val="both"/>
        <w:rPr>
          <w:rFonts w:ascii="Times New Roman" w:eastAsia="Cambria" w:hAnsi="Times New Roman" w:cs="Times New Roman"/>
          <w:bCs/>
          <w:sz w:val="28"/>
          <w:szCs w:val="28"/>
        </w:rPr>
      </w:pPr>
    </w:p>
    <w:p w:rsidR="00476858" w:rsidRPr="00AF629F" w:rsidRDefault="00AF629F" w:rsidP="00D5119F">
      <w:pPr>
        <w:pStyle w:val="Estilo1"/>
        <w:numPr>
          <w:ilvl w:val="1"/>
          <w:numId w:val="4"/>
        </w:numPr>
        <w:ind w:left="0" w:firstLine="0"/>
        <w:outlineLvl w:val="0"/>
        <w:rPr>
          <w:rFonts w:ascii="Times New Roman" w:eastAsia="Cambria" w:hAnsi="Times New Roman" w:cs="Times New Roman"/>
          <w:b/>
          <w:bCs/>
        </w:rPr>
      </w:pPr>
      <w:r w:rsidRPr="00AF629F">
        <w:rPr>
          <w:rFonts w:ascii="Times New Roman" w:hAnsi="Times New Roman" w:cs="Times New Roman"/>
          <w:b/>
          <w:bCs/>
        </w:rPr>
        <w:t xml:space="preserve">En atención a su </w:t>
      </w:r>
      <w:r w:rsidRPr="00AF629F">
        <w:rPr>
          <w:rFonts w:ascii="Times New Roman" w:eastAsia="Cambria" w:hAnsi="Times New Roman" w:cs="Times New Roman"/>
          <w:b/>
          <w:bCs/>
        </w:rPr>
        <w:t xml:space="preserve">ubicación, </w:t>
      </w:r>
      <w:r w:rsidRPr="00AF629F">
        <w:rPr>
          <w:rFonts w:ascii="Times New Roman" w:eastAsia="Cambria" w:hAnsi="Times New Roman" w:cs="Times New Roman"/>
          <w:b/>
          <w:bCs/>
        </w:rPr>
        <w:t>naturaleza</w:t>
      </w:r>
      <w:r w:rsidRPr="00AF629F">
        <w:rPr>
          <w:rFonts w:ascii="Times New Roman" w:eastAsia="Cambria" w:hAnsi="Times New Roman" w:cs="Times New Roman"/>
          <w:b/>
          <w:bCs/>
        </w:rPr>
        <w:t xml:space="preserve"> y teleología</w:t>
      </w:r>
      <w:r w:rsidRPr="00AF629F">
        <w:rPr>
          <w:rFonts w:ascii="Times New Roman" w:hAnsi="Times New Roman" w:cs="Times New Roman"/>
          <w:b/>
          <w:bCs/>
        </w:rPr>
        <w:t xml:space="preserve">, la disposición demandada </w:t>
      </w:r>
      <w:r w:rsidRPr="00AF629F">
        <w:rPr>
          <w:rFonts w:ascii="Times New Roman" w:eastAsia="Cambria" w:hAnsi="Times New Roman" w:cs="Times New Roman"/>
          <w:b/>
          <w:bCs/>
        </w:rPr>
        <w:t>es de carácter instrumental</w:t>
      </w:r>
    </w:p>
    <w:p w:rsidR="00476858" w:rsidRPr="00AF629F" w:rsidRDefault="00AF629F" w:rsidP="003A681D">
      <w:pPr>
        <w:pStyle w:val="Prrafodelista"/>
        <w:ind w:left="0"/>
        <w:jc w:val="both"/>
        <w:rPr>
          <w:rFonts w:ascii="Times New Roman" w:eastAsia="Cambria" w:hAnsi="Times New Roman" w:cs="Times New Roman"/>
          <w:bCs/>
          <w:sz w:val="28"/>
          <w:szCs w:val="28"/>
        </w:rPr>
      </w:pPr>
    </w:p>
    <w:p w:rsidR="00200E57" w:rsidRPr="00AF629F" w:rsidRDefault="00AF629F" w:rsidP="000C7384">
      <w:pPr>
        <w:pStyle w:val="Prrafodelista"/>
        <w:numPr>
          <w:ilvl w:val="0"/>
          <w:numId w:val="2"/>
        </w:numPr>
        <w:ind w:left="0" w:firstLine="0"/>
        <w:jc w:val="both"/>
        <w:rPr>
          <w:rStyle w:val="Ttulo1Car"/>
          <w:rFonts w:ascii="Times New Roman" w:hAnsi="Times New Roman" w:cs="Times New Roman"/>
          <w:b w:val="0"/>
          <w:bCs/>
          <w:color w:val="auto"/>
          <w:sz w:val="28"/>
          <w:szCs w:val="28"/>
        </w:rPr>
      </w:pPr>
      <w:r w:rsidRPr="00AF629F">
        <w:rPr>
          <w:rFonts w:ascii="Times New Roman" w:eastAsia="Cambria" w:hAnsi="Times New Roman" w:cs="Times New Roman"/>
          <w:bCs/>
          <w:sz w:val="28"/>
          <w:szCs w:val="28"/>
        </w:rPr>
        <w:t xml:space="preserve">La disposición que se </w:t>
      </w:r>
      <w:r w:rsidRPr="00AF629F">
        <w:rPr>
          <w:rFonts w:ascii="Times New Roman" w:eastAsia="Cambria" w:hAnsi="Times New Roman" w:cs="Times New Roman"/>
          <w:bCs/>
          <w:sz w:val="28"/>
          <w:szCs w:val="28"/>
        </w:rPr>
        <w:t xml:space="preserve">demanda </w:t>
      </w:r>
      <w:r w:rsidRPr="00AF629F">
        <w:rPr>
          <w:rFonts w:ascii="Times New Roman" w:eastAsia="Cambria" w:hAnsi="Times New Roman" w:cs="Times New Roman"/>
          <w:bCs/>
          <w:sz w:val="28"/>
          <w:szCs w:val="28"/>
        </w:rPr>
        <w:t xml:space="preserve">hace parte del </w:t>
      </w:r>
      <w:r w:rsidRPr="00AF629F">
        <w:rPr>
          <w:rFonts w:ascii="Times New Roman" w:eastAsia="Cambria" w:hAnsi="Times New Roman" w:cs="Times New Roman"/>
          <w:bCs/>
          <w:sz w:val="28"/>
          <w:szCs w:val="28"/>
        </w:rPr>
        <w:t>C</w:t>
      </w:r>
      <w:r w:rsidRPr="00AF629F">
        <w:rPr>
          <w:rFonts w:ascii="Times New Roman" w:eastAsia="Cambria" w:hAnsi="Times New Roman" w:cs="Times New Roman"/>
          <w:bCs/>
          <w:sz w:val="28"/>
          <w:szCs w:val="28"/>
        </w:rPr>
        <w:t xml:space="preserve">apítulo VII “Estabilidad Macroeconómica”, del </w:t>
      </w:r>
      <w:r w:rsidRPr="00AF629F">
        <w:rPr>
          <w:rFonts w:ascii="Times New Roman" w:eastAsia="Cambria" w:hAnsi="Times New Roman" w:cs="Times New Roman"/>
          <w:bCs/>
          <w:sz w:val="28"/>
          <w:szCs w:val="28"/>
        </w:rPr>
        <w:t>T</w:t>
      </w:r>
      <w:r w:rsidRPr="00AF629F">
        <w:rPr>
          <w:rFonts w:ascii="Times New Roman" w:eastAsia="Cambria" w:hAnsi="Times New Roman" w:cs="Times New Roman"/>
          <w:bCs/>
          <w:sz w:val="28"/>
          <w:szCs w:val="28"/>
        </w:rPr>
        <w:t xml:space="preserve">ítulo III “Mecanismos </w:t>
      </w:r>
      <w:r w:rsidRPr="00AF629F">
        <w:rPr>
          <w:rStyle w:val="Ttulo1Car"/>
          <w:rFonts w:ascii="Times New Roman" w:hAnsi="Times New Roman" w:cs="Times New Roman"/>
          <w:b w:val="0"/>
          <w:bCs/>
          <w:color w:val="auto"/>
          <w:sz w:val="28"/>
          <w:szCs w:val="28"/>
          <w:lang w:val="es-ES"/>
        </w:rPr>
        <w:t>de Ejecución del Plan” de la Ley 2294 de 202</w:t>
      </w:r>
      <w:r w:rsidRPr="00AF629F">
        <w:rPr>
          <w:rStyle w:val="Ttulo1Car"/>
          <w:rFonts w:ascii="Times New Roman" w:hAnsi="Times New Roman" w:cs="Times New Roman"/>
          <w:b w:val="0"/>
          <w:bCs/>
          <w:color w:val="auto"/>
          <w:sz w:val="28"/>
          <w:szCs w:val="28"/>
          <w:lang w:val="es-ES"/>
        </w:rPr>
        <w:t>3</w:t>
      </w:r>
      <w:r w:rsidRPr="00AF629F">
        <w:rPr>
          <w:rStyle w:val="Ttulo1Car"/>
          <w:rFonts w:ascii="Times New Roman" w:hAnsi="Times New Roman" w:cs="Times New Roman"/>
          <w:b w:val="0"/>
          <w:bCs/>
          <w:color w:val="auto"/>
          <w:sz w:val="28"/>
          <w:szCs w:val="28"/>
          <w:lang w:val="es-ES"/>
        </w:rPr>
        <w:t>,</w:t>
      </w:r>
      <w:r w:rsidRPr="00AF629F">
        <w:rPr>
          <w:rStyle w:val="Ttulo1Car"/>
          <w:rFonts w:ascii="Times New Roman" w:hAnsi="Times New Roman" w:cs="Times New Roman"/>
          <w:b w:val="0"/>
          <w:bCs/>
          <w:color w:val="auto"/>
          <w:sz w:val="28"/>
          <w:szCs w:val="28"/>
          <w:lang w:val="es-ES"/>
        </w:rPr>
        <w:t xml:space="preserve"> “</w:t>
      </w:r>
      <w:r w:rsidRPr="00AF629F">
        <w:rPr>
          <w:rStyle w:val="Ttulo1Car"/>
          <w:rFonts w:ascii="Times New Roman" w:hAnsi="Times New Roman" w:cs="Times New Roman"/>
          <w:b w:val="0"/>
          <w:bCs/>
          <w:color w:val="auto"/>
          <w:sz w:val="28"/>
          <w:szCs w:val="28"/>
          <w:lang w:val="es-ES"/>
        </w:rPr>
        <w:t>[p]</w:t>
      </w:r>
      <w:r w:rsidRPr="00AF629F">
        <w:rPr>
          <w:rStyle w:val="Ttulo1Car"/>
          <w:rFonts w:ascii="Times New Roman" w:hAnsi="Times New Roman" w:cs="Times New Roman"/>
          <w:b w:val="0"/>
          <w:bCs/>
          <w:color w:val="auto"/>
          <w:sz w:val="28"/>
          <w:szCs w:val="28"/>
          <w:lang w:val="es-ES"/>
        </w:rPr>
        <w:t>or la cual se expide el Plan Nacional de Desarrollo 2022-2026. Colombia Potencia Mundial de la Vida”</w:t>
      </w:r>
      <w:r w:rsidRPr="00AF629F">
        <w:rPr>
          <w:rStyle w:val="Refdenotaalpie"/>
          <w:rFonts w:ascii="Times New Roman" w:eastAsia="Cambria" w:hAnsi="Times New Roman" w:cs="Times New Roman"/>
          <w:bCs/>
          <w:sz w:val="28"/>
          <w:szCs w:val="28"/>
          <w:lang w:val="es-ES"/>
        </w:rPr>
        <w:footnoteReference w:id="51"/>
      </w:r>
      <w:r w:rsidRPr="00AF629F">
        <w:rPr>
          <w:rStyle w:val="Ttulo1Car"/>
          <w:rFonts w:ascii="Times New Roman" w:hAnsi="Times New Roman" w:cs="Times New Roman"/>
          <w:b w:val="0"/>
          <w:bCs/>
          <w:color w:val="auto"/>
          <w:sz w:val="28"/>
          <w:szCs w:val="28"/>
          <w:lang w:val="es-ES"/>
        </w:rPr>
        <w:t xml:space="preserve">, y, en este contexto normativo, tiene una específica relación con los artículos </w:t>
      </w:r>
      <w:r w:rsidRPr="00AF629F">
        <w:rPr>
          <w:rStyle w:val="Ttulo1Car"/>
          <w:rFonts w:ascii="Times New Roman" w:hAnsi="Times New Roman" w:cs="Times New Roman"/>
          <w:b w:val="0"/>
          <w:bCs/>
          <w:color w:val="auto"/>
          <w:sz w:val="28"/>
          <w:szCs w:val="28"/>
          <w:lang w:val="es-ES"/>
        </w:rPr>
        <w:t>321</w:t>
      </w:r>
      <w:r w:rsidRPr="00AF629F">
        <w:rPr>
          <w:rStyle w:val="Ttulo1Car"/>
          <w:rFonts w:ascii="Times New Roman" w:hAnsi="Times New Roman" w:cs="Times New Roman"/>
          <w:b w:val="0"/>
          <w:bCs/>
          <w:color w:val="auto"/>
          <w:sz w:val="28"/>
          <w:szCs w:val="28"/>
          <w:lang w:val="es-ES"/>
        </w:rPr>
        <w:t xml:space="preserve"> y</w:t>
      </w:r>
      <w:r w:rsidRPr="00AF629F">
        <w:rPr>
          <w:rStyle w:val="Ttulo1Car"/>
          <w:rFonts w:ascii="Times New Roman" w:hAnsi="Times New Roman" w:cs="Times New Roman"/>
          <w:b w:val="0"/>
          <w:bCs/>
          <w:color w:val="auto"/>
          <w:sz w:val="28"/>
          <w:szCs w:val="28"/>
          <w:lang w:val="es-ES"/>
        </w:rPr>
        <w:t xml:space="preserve"> </w:t>
      </w:r>
      <w:r w:rsidRPr="00AF629F">
        <w:rPr>
          <w:rStyle w:val="Ttulo1Car"/>
          <w:rFonts w:ascii="Times New Roman" w:hAnsi="Times New Roman" w:cs="Times New Roman"/>
          <w:b w:val="0"/>
          <w:bCs/>
          <w:color w:val="auto"/>
          <w:sz w:val="28"/>
          <w:szCs w:val="28"/>
          <w:lang w:val="es-ES"/>
        </w:rPr>
        <w:t>323</w:t>
      </w:r>
      <w:r w:rsidRPr="00AF629F">
        <w:rPr>
          <w:rStyle w:val="Ttulo1Car"/>
          <w:rFonts w:ascii="Times New Roman" w:hAnsi="Times New Roman" w:cs="Times New Roman"/>
          <w:b w:val="0"/>
          <w:bCs/>
          <w:color w:val="auto"/>
          <w:sz w:val="28"/>
          <w:szCs w:val="28"/>
          <w:lang w:val="es-ES"/>
        </w:rPr>
        <w:t>, contenidos en el mismo capítul</w:t>
      </w:r>
      <w:r w:rsidRPr="00AF629F">
        <w:rPr>
          <w:rStyle w:val="Ttulo1Car"/>
          <w:rFonts w:ascii="Times New Roman" w:hAnsi="Times New Roman" w:cs="Times New Roman"/>
          <w:b w:val="0"/>
          <w:bCs/>
          <w:color w:val="auto"/>
          <w:sz w:val="28"/>
          <w:szCs w:val="28"/>
          <w:lang w:val="es-ES"/>
        </w:rPr>
        <w:t>o</w:t>
      </w:r>
      <w:r w:rsidRPr="00AF629F">
        <w:rPr>
          <w:rStyle w:val="Ttulo1Car"/>
          <w:rFonts w:ascii="Times New Roman" w:hAnsi="Times New Roman" w:cs="Times New Roman"/>
          <w:b w:val="0"/>
          <w:bCs/>
          <w:color w:val="auto"/>
          <w:sz w:val="28"/>
          <w:szCs w:val="28"/>
          <w:lang w:val="es-ES"/>
        </w:rPr>
        <w:t xml:space="preserve">, también relacionados con los recursos del </w:t>
      </w:r>
      <w:r w:rsidRPr="00AF629F">
        <w:rPr>
          <w:rStyle w:val="Ttulo1Car"/>
          <w:rFonts w:ascii="Times New Roman" w:hAnsi="Times New Roman" w:cs="Times New Roman"/>
          <w:b w:val="0"/>
          <w:bCs/>
          <w:color w:val="auto"/>
          <w:sz w:val="28"/>
          <w:szCs w:val="28"/>
          <w:lang w:val="es-ES"/>
        </w:rPr>
        <w:t>FONPET</w:t>
      </w:r>
      <w:r w:rsidRPr="00AF629F">
        <w:rPr>
          <w:rStyle w:val="Refdenotaalpie"/>
          <w:rFonts w:ascii="Times New Roman" w:eastAsia="Cambria" w:hAnsi="Times New Roman" w:cs="Times New Roman"/>
          <w:bCs/>
          <w:sz w:val="28"/>
          <w:szCs w:val="28"/>
          <w:lang w:val="es-ES"/>
        </w:rPr>
        <w:footnoteReference w:id="52"/>
      </w:r>
      <w:r w:rsidRPr="00AF629F">
        <w:rPr>
          <w:rStyle w:val="Ttulo1Car"/>
          <w:rFonts w:ascii="Times New Roman" w:hAnsi="Times New Roman" w:cs="Times New Roman"/>
          <w:b w:val="0"/>
          <w:bCs/>
          <w:color w:val="auto"/>
          <w:sz w:val="28"/>
          <w:szCs w:val="28"/>
          <w:lang w:val="es-ES"/>
        </w:rPr>
        <w:t xml:space="preserve">. </w:t>
      </w:r>
    </w:p>
    <w:p w:rsidR="00200E57" w:rsidRPr="00AF629F" w:rsidRDefault="00AF629F" w:rsidP="00200E57">
      <w:pPr>
        <w:pStyle w:val="Prrafodelista"/>
        <w:ind w:left="0"/>
        <w:jc w:val="both"/>
        <w:rPr>
          <w:rStyle w:val="Ttulo1Car"/>
          <w:rFonts w:ascii="Times New Roman" w:hAnsi="Times New Roman" w:cs="Times New Roman"/>
          <w:b w:val="0"/>
          <w:bCs/>
          <w:color w:val="auto"/>
          <w:sz w:val="28"/>
          <w:szCs w:val="28"/>
        </w:rPr>
      </w:pPr>
    </w:p>
    <w:p w:rsidR="00B0027C" w:rsidRPr="00AF629F" w:rsidRDefault="00AF629F" w:rsidP="000C7384">
      <w:pPr>
        <w:pStyle w:val="Prrafodelista"/>
        <w:numPr>
          <w:ilvl w:val="0"/>
          <w:numId w:val="2"/>
        </w:numPr>
        <w:ind w:left="0" w:firstLine="0"/>
        <w:jc w:val="both"/>
        <w:rPr>
          <w:rFonts w:ascii="Times New Roman" w:eastAsia="Cambria" w:hAnsi="Times New Roman" w:cs="Times New Roman"/>
          <w:bCs/>
          <w:sz w:val="28"/>
          <w:szCs w:val="28"/>
        </w:rPr>
      </w:pPr>
      <w:r w:rsidRPr="00AF629F">
        <w:rPr>
          <w:rStyle w:val="Ttulo1Car"/>
          <w:rFonts w:ascii="Times New Roman" w:hAnsi="Times New Roman" w:cs="Times New Roman"/>
          <w:b w:val="0"/>
          <w:bCs/>
          <w:color w:val="auto"/>
          <w:sz w:val="28"/>
          <w:szCs w:val="28"/>
        </w:rPr>
        <w:t xml:space="preserve">Según se advierte del estudio </w:t>
      </w:r>
      <w:r w:rsidRPr="00AF629F">
        <w:rPr>
          <w:rStyle w:val="Ttulo1Car"/>
          <w:rFonts w:ascii="Times New Roman" w:hAnsi="Times New Roman" w:cs="Times New Roman"/>
          <w:b w:val="0"/>
          <w:bCs/>
          <w:color w:val="auto"/>
          <w:sz w:val="28"/>
          <w:szCs w:val="28"/>
        </w:rPr>
        <w:t xml:space="preserve">de las bases del citado plan nacional de </w:t>
      </w:r>
      <w:r w:rsidRPr="00AF629F">
        <w:rPr>
          <w:rStyle w:val="Ttulo1Car"/>
          <w:rFonts w:ascii="Times New Roman" w:hAnsi="Times New Roman" w:cs="Times New Roman"/>
          <w:b w:val="0"/>
          <w:bCs/>
          <w:color w:val="auto"/>
          <w:sz w:val="28"/>
          <w:szCs w:val="28"/>
        </w:rPr>
        <w:t>desarrollo</w:t>
      </w:r>
      <w:r w:rsidRPr="00AF629F">
        <w:rPr>
          <w:rStyle w:val="Ttulo1Car"/>
          <w:rFonts w:ascii="Times New Roman" w:hAnsi="Times New Roman" w:cs="Times New Roman"/>
          <w:b w:val="0"/>
          <w:bCs/>
          <w:color w:val="auto"/>
          <w:sz w:val="28"/>
          <w:szCs w:val="28"/>
        </w:rPr>
        <w:t xml:space="preserve"> –que integran </w:t>
      </w:r>
      <w:r w:rsidRPr="00AF629F">
        <w:rPr>
          <w:rStyle w:val="Ttulo1Car"/>
          <w:rFonts w:ascii="Times New Roman" w:hAnsi="Times New Roman" w:cs="Times New Roman"/>
          <w:b w:val="0"/>
          <w:bCs/>
          <w:color w:val="auto"/>
          <w:sz w:val="28"/>
          <w:szCs w:val="28"/>
        </w:rPr>
        <w:t xml:space="preserve">el contenido normativo de la Ley 2294 de 2023, en los términos de su </w:t>
      </w:r>
      <w:r w:rsidRPr="00AF629F">
        <w:rPr>
          <w:rStyle w:val="Ttulo1Car"/>
          <w:rFonts w:ascii="Times New Roman" w:hAnsi="Times New Roman" w:cs="Times New Roman"/>
          <w:b w:val="0"/>
          <w:bCs/>
          <w:color w:val="auto"/>
          <w:sz w:val="28"/>
          <w:szCs w:val="28"/>
        </w:rPr>
        <w:t xml:space="preserve">artículo </w:t>
      </w:r>
      <w:r w:rsidRPr="00AF629F">
        <w:rPr>
          <w:rStyle w:val="Ttulo1Car"/>
          <w:rFonts w:ascii="Times New Roman" w:hAnsi="Times New Roman" w:cs="Times New Roman"/>
          <w:b w:val="0"/>
          <w:bCs/>
          <w:color w:val="auto"/>
          <w:sz w:val="28"/>
          <w:szCs w:val="28"/>
        </w:rPr>
        <w:t>2</w:t>
      </w:r>
      <w:r w:rsidRPr="00AF629F">
        <w:rPr>
          <w:rStyle w:val="Ttulo1Car"/>
          <w:rFonts w:ascii="Times New Roman" w:hAnsi="Times New Roman" w:cs="Times New Roman"/>
          <w:b w:val="0"/>
          <w:bCs/>
          <w:color w:val="auto"/>
          <w:sz w:val="28"/>
          <w:szCs w:val="28"/>
        </w:rPr>
        <w:t>–</w:t>
      </w:r>
      <w:r w:rsidRPr="00AF629F">
        <w:rPr>
          <w:rStyle w:val="Ttulo1Car"/>
          <w:rFonts w:ascii="Times New Roman" w:hAnsi="Times New Roman" w:cs="Times New Roman"/>
          <w:b w:val="0"/>
          <w:bCs/>
          <w:color w:val="auto"/>
          <w:sz w:val="28"/>
          <w:szCs w:val="28"/>
        </w:rPr>
        <w:t xml:space="preserve">, </w:t>
      </w:r>
      <w:r w:rsidRPr="00AF629F">
        <w:rPr>
          <w:rStyle w:val="Ttulo1Car"/>
          <w:rFonts w:ascii="Times New Roman" w:hAnsi="Times New Roman" w:cs="Times New Roman"/>
          <w:b w:val="0"/>
          <w:bCs/>
          <w:color w:val="auto"/>
          <w:sz w:val="28"/>
          <w:szCs w:val="28"/>
        </w:rPr>
        <w:t xml:space="preserve">y </w:t>
      </w:r>
      <w:r w:rsidRPr="00AF629F">
        <w:rPr>
          <w:rStyle w:val="Ttulo1Car"/>
          <w:rFonts w:ascii="Times New Roman" w:hAnsi="Times New Roman" w:cs="Times New Roman"/>
          <w:b w:val="0"/>
          <w:bCs/>
          <w:color w:val="auto"/>
          <w:sz w:val="28"/>
          <w:szCs w:val="28"/>
        </w:rPr>
        <w:t>tal y como lo pusieron de presente los intervinientes en el trámite de constitucionalidad</w:t>
      </w:r>
      <w:r w:rsidRPr="00AF629F">
        <w:rPr>
          <w:rStyle w:val="Ttulo1Car"/>
          <w:rFonts w:ascii="Times New Roman" w:hAnsi="Times New Roman" w:cs="Times New Roman"/>
          <w:b w:val="0"/>
          <w:bCs/>
          <w:color w:val="auto"/>
          <w:sz w:val="28"/>
          <w:szCs w:val="28"/>
        </w:rPr>
        <w:t xml:space="preserve"> –en especial </w:t>
      </w:r>
      <w:r w:rsidRPr="00AF629F">
        <w:rPr>
          <w:rFonts w:ascii="Times New Roman" w:hAnsi="Times New Roman" w:cs="Times New Roman"/>
          <w:sz w:val="28"/>
          <w:szCs w:val="28"/>
        </w:rPr>
        <w:t xml:space="preserve">el Departamento Administrativo de la </w:t>
      </w:r>
      <w:r w:rsidRPr="00AF629F">
        <w:rPr>
          <w:rFonts w:ascii="Times New Roman" w:hAnsi="Times New Roman" w:cs="Times New Roman"/>
          <w:sz w:val="28"/>
          <w:szCs w:val="28"/>
        </w:rPr>
        <w:t>Presidencia de la República</w:t>
      </w:r>
      <w:r w:rsidRPr="00AF629F">
        <w:rPr>
          <w:rStyle w:val="Ttulo1Car"/>
          <w:rFonts w:ascii="Times New Roman" w:hAnsi="Times New Roman" w:cs="Times New Roman"/>
          <w:b w:val="0"/>
          <w:bCs/>
          <w:color w:val="auto"/>
          <w:sz w:val="28"/>
          <w:szCs w:val="28"/>
        </w:rPr>
        <w:t xml:space="preserve"> y </w:t>
      </w:r>
      <w:r w:rsidRPr="00AF629F">
        <w:rPr>
          <w:rFonts w:ascii="Times New Roman" w:hAnsi="Times New Roman" w:cs="Times New Roman"/>
          <w:sz w:val="28"/>
          <w:szCs w:val="28"/>
        </w:rPr>
        <w:t>ASOFIDUCIARIAS</w:t>
      </w:r>
      <w:r w:rsidRPr="00AF629F">
        <w:rPr>
          <w:rStyle w:val="Ttulo1Car"/>
          <w:rFonts w:ascii="Times New Roman" w:hAnsi="Times New Roman" w:cs="Times New Roman"/>
          <w:b w:val="0"/>
          <w:bCs/>
          <w:color w:val="auto"/>
          <w:sz w:val="28"/>
          <w:szCs w:val="28"/>
        </w:rPr>
        <w:t>–</w:t>
      </w:r>
      <w:r w:rsidRPr="00AF629F">
        <w:rPr>
          <w:rStyle w:val="Ttulo1Car"/>
          <w:rFonts w:ascii="Times New Roman" w:hAnsi="Times New Roman" w:cs="Times New Roman"/>
          <w:b w:val="0"/>
          <w:bCs/>
          <w:color w:val="auto"/>
          <w:sz w:val="28"/>
          <w:szCs w:val="28"/>
        </w:rPr>
        <w:t>,</w:t>
      </w:r>
      <w:r w:rsidRPr="00AF629F">
        <w:rPr>
          <w:rStyle w:val="Ttulo1Car"/>
          <w:rFonts w:ascii="Times New Roman" w:hAnsi="Times New Roman" w:cs="Times New Roman"/>
          <w:b w:val="0"/>
          <w:bCs/>
          <w:color w:val="auto"/>
          <w:sz w:val="28"/>
          <w:szCs w:val="28"/>
        </w:rPr>
        <w:t xml:space="preserve"> la disposición se relaciona </w:t>
      </w:r>
      <w:r w:rsidRPr="00AF629F">
        <w:rPr>
          <w:rStyle w:val="Ttulo1Car"/>
          <w:rFonts w:ascii="Times New Roman" w:hAnsi="Times New Roman" w:cs="Times New Roman"/>
          <w:b w:val="0"/>
          <w:bCs/>
          <w:color w:val="auto"/>
          <w:sz w:val="28"/>
          <w:szCs w:val="28"/>
        </w:rPr>
        <w:t xml:space="preserve">con lo indicado </w:t>
      </w:r>
      <w:r w:rsidRPr="00AF629F">
        <w:rPr>
          <w:rFonts w:ascii="Times New Roman" w:hAnsi="Times New Roman" w:cs="Times New Roman"/>
          <w:sz w:val="28"/>
          <w:szCs w:val="28"/>
        </w:rPr>
        <w:t xml:space="preserve">en los literales A y B </w:t>
      </w:r>
      <w:r w:rsidRPr="00AF629F">
        <w:rPr>
          <w:rFonts w:ascii="Times New Roman" w:hAnsi="Times New Roman" w:cs="Times New Roman"/>
          <w:sz w:val="28"/>
          <w:szCs w:val="28"/>
        </w:rPr>
        <w:t>(“</w:t>
      </w:r>
      <w:r w:rsidRPr="00AF629F">
        <w:rPr>
          <w:rFonts w:ascii="Times New Roman" w:hAnsi="Times New Roman" w:cs="Times New Roman"/>
          <w:sz w:val="28"/>
          <w:szCs w:val="28"/>
        </w:rPr>
        <w:t>E</w:t>
      </w:r>
      <w:r w:rsidRPr="00AF629F">
        <w:rPr>
          <w:rFonts w:ascii="Times New Roman" w:hAnsi="Times New Roman" w:cs="Times New Roman"/>
          <w:sz w:val="28"/>
          <w:szCs w:val="28"/>
        </w:rPr>
        <w:t>xpectativas de crecimiento para el periodo 2022</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2026”</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y “</w:t>
      </w:r>
      <w:r w:rsidRPr="00AF629F">
        <w:rPr>
          <w:rFonts w:ascii="Times New Roman" w:hAnsi="Times New Roman" w:cs="Times New Roman"/>
          <w:sz w:val="28"/>
          <w:szCs w:val="28"/>
        </w:rPr>
        <w:t>P</w:t>
      </w:r>
      <w:r w:rsidRPr="00AF629F">
        <w:rPr>
          <w:rFonts w:ascii="Times New Roman" w:hAnsi="Times New Roman" w:cs="Times New Roman"/>
          <w:sz w:val="28"/>
          <w:szCs w:val="28"/>
        </w:rPr>
        <w:t>rogresividad y sostenibilidad fiscal”)</w:t>
      </w:r>
      <w:r w:rsidRPr="00AF629F">
        <w:rPr>
          <w:rFonts w:ascii="Times New Roman" w:hAnsi="Times New Roman" w:cs="Times New Roman"/>
          <w:sz w:val="28"/>
          <w:szCs w:val="28"/>
        </w:rPr>
        <w:t xml:space="preserve"> d</w:t>
      </w:r>
      <w:r w:rsidRPr="00AF629F">
        <w:rPr>
          <w:rFonts w:ascii="Times New Roman" w:hAnsi="Times New Roman" w:cs="Times New Roman"/>
          <w:sz w:val="28"/>
          <w:szCs w:val="28"/>
        </w:rPr>
        <w:t xml:space="preserve">el </w:t>
      </w:r>
      <w:r w:rsidRPr="00AF629F">
        <w:rPr>
          <w:rFonts w:ascii="Times New Roman" w:hAnsi="Times New Roman" w:cs="Times New Roman"/>
          <w:sz w:val="28"/>
          <w:szCs w:val="28"/>
        </w:rPr>
        <w:t xml:space="preserve">eje transversal “Estabilidad </w:t>
      </w:r>
      <w:r w:rsidRPr="00AF629F">
        <w:rPr>
          <w:rFonts w:ascii="Times New Roman" w:hAnsi="Times New Roman" w:cs="Times New Roman"/>
          <w:sz w:val="28"/>
          <w:szCs w:val="28"/>
        </w:rPr>
        <w:t>Macroeconómica”</w:t>
      </w:r>
      <w:r w:rsidRPr="00AF629F">
        <w:rPr>
          <w:rFonts w:ascii="Times New Roman" w:hAnsi="Times New Roman" w:cs="Times New Roman"/>
          <w:sz w:val="28"/>
          <w:szCs w:val="28"/>
        </w:rPr>
        <w:t>, así:</w:t>
      </w:r>
    </w:p>
    <w:p w:rsidR="00B0027C" w:rsidRPr="00AF629F" w:rsidRDefault="00AF629F" w:rsidP="006C13BF">
      <w:pPr>
        <w:rPr>
          <w:rFonts w:ascii="Times New Roman" w:hAnsi="Times New Roman" w:cs="Times New Roman"/>
          <w:sz w:val="28"/>
          <w:szCs w:val="28"/>
        </w:rPr>
      </w:pPr>
    </w:p>
    <w:p w:rsidR="00A74E36"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“Estabilidad Macroeconómica</w:t>
      </w:r>
    </w:p>
    <w:p w:rsidR="006111F1"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w:t>
      </w:r>
    </w:p>
    <w:p w:rsidR="006111F1"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 xml:space="preserve">A. Expectativas de crecimiento para el periodo 2022 </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2026</w:t>
      </w:r>
    </w:p>
    <w:p w:rsidR="00D73C28"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w:t>
      </w:r>
    </w:p>
    <w:p w:rsidR="006111F1"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 xml:space="preserve">2. Colombia: crecimiento 2022 </w:t>
      </w:r>
      <w:r w:rsidRPr="00AF629F">
        <w:rPr>
          <w:rFonts w:ascii="Times New Roman" w:hAnsi="Times New Roman" w:cs="Times New Roman"/>
          <w:sz w:val="28"/>
          <w:szCs w:val="24"/>
        </w:rPr>
        <w:t>-</w:t>
      </w:r>
      <w:r w:rsidRPr="00AF629F">
        <w:rPr>
          <w:rFonts w:ascii="Times New Roman" w:hAnsi="Times New Roman" w:cs="Times New Roman"/>
          <w:sz w:val="28"/>
          <w:szCs w:val="24"/>
        </w:rPr>
        <w:t xml:space="preserve"> 2026</w:t>
      </w:r>
    </w:p>
    <w:p w:rsidR="00B726BF"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w:t>
      </w:r>
    </w:p>
    <w:p w:rsidR="00B726BF"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 xml:space="preserve">[…] dada la política de reindustrialización y transformación energética, la economía requerirá de mayores importaciones de bienes de capital más complejos y de mayor costo. || </w:t>
      </w:r>
      <w:r w:rsidRPr="00AF629F">
        <w:rPr>
          <w:rFonts w:ascii="Times New Roman" w:hAnsi="Times New Roman" w:cs="Times New Roman"/>
          <w:sz w:val="28"/>
          <w:szCs w:val="24"/>
        </w:rPr>
        <w:t>La inversión pública proyectada será mayor que los promedios históricos y tendrá</w:t>
      </w:r>
      <w:r w:rsidRPr="00AF629F">
        <w:rPr>
          <w:rFonts w:ascii="Times New Roman" w:hAnsi="Times New Roman" w:cs="Times New Roman"/>
          <w:sz w:val="28"/>
          <w:szCs w:val="24"/>
        </w:rPr>
        <w:t xml:space="preserve"> un incremento importante, derivado de las inversiones financiadas con el presupuesto público (general de la nación, regalías, recursos de las entidades, entre ellos, los recursos excedentes del Fondo Nacional de Pensiones de las Entidades Territoriales -F</w:t>
      </w:r>
      <w:r w:rsidRPr="00AF629F">
        <w:rPr>
          <w:rFonts w:ascii="Times New Roman" w:hAnsi="Times New Roman" w:cs="Times New Roman"/>
          <w:sz w:val="28"/>
          <w:szCs w:val="24"/>
        </w:rPr>
        <w:t>ONPET-, inversiones de las grandes empresas) y las apuestas de la transformación productiva.</w:t>
      </w:r>
    </w:p>
    <w:p w:rsidR="00455F5A"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w:t>
      </w:r>
    </w:p>
    <w:p w:rsidR="00A42C50"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B. Progresividad y sostenibilidad fiscal</w:t>
      </w:r>
    </w:p>
    <w:p w:rsidR="00A42C50"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w:t>
      </w:r>
    </w:p>
    <w:p w:rsidR="00E173B2" w:rsidRPr="00AF629F" w:rsidRDefault="00AF629F" w:rsidP="00987ECB">
      <w:pPr>
        <w:pStyle w:val="Prrafodelista"/>
        <w:ind w:left="567" w:right="616"/>
        <w:jc w:val="both"/>
        <w:rPr>
          <w:rFonts w:ascii="Times New Roman" w:hAnsi="Times New Roman" w:cs="Times New Roman"/>
          <w:sz w:val="28"/>
          <w:szCs w:val="24"/>
        </w:rPr>
      </w:pPr>
      <w:r w:rsidRPr="00AF629F">
        <w:rPr>
          <w:rFonts w:ascii="Times New Roman" w:hAnsi="Times New Roman" w:cs="Times New Roman"/>
          <w:sz w:val="28"/>
          <w:szCs w:val="24"/>
        </w:rPr>
        <w:t xml:space="preserve">“La reforma tributaria que se aprobó recientemente tuvo tres grandes </w:t>
      </w:r>
      <w:r w:rsidRPr="00AF629F">
        <w:rPr>
          <w:rFonts w:ascii="Times New Roman" w:hAnsi="Times New Roman" w:cs="Times New Roman"/>
          <w:sz w:val="28"/>
          <w:szCs w:val="24"/>
        </w:rPr>
        <w:t>p</w:t>
      </w:r>
      <w:r w:rsidRPr="00AF629F">
        <w:rPr>
          <w:rFonts w:ascii="Times New Roman" w:hAnsi="Times New Roman" w:cs="Times New Roman"/>
          <w:sz w:val="28"/>
          <w:szCs w:val="24"/>
        </w:rPr>
        <w:t xml:space="preserve">ropósitos: i) incidir de manera efectiva en </w:t>
      </w:r>
      <w:r w:rsidRPr="00AF629F">
        <w:rPr>
          <w:rFonts w:ascii="Times New Roman" w:hAnsi="Times New Roman" w:cs="Times New Roman"/>
          <w:sz w:val="28"/>
          <w:szCs w:val="24"/>
        </w:rPr>
        <w:t>la distribución del ingreso, poniendo a pagar más a quienes tiene más; ii) acelerar el proceso de transición energética; e</w:t>
      </w:r>
      <w:r w:rsidRPr="00AF629F">
        <w:rPr>
          <w:rFonts w:ascii="Times New Roman" w:hAnsi="Times New Roman" w:cs="Times New Roman"/>
          <w:sz w:val="28"/>
          <w:szCs w:val="24"/>
        </w:rPr>
        <w:t xml:space="preserve"> [sic]</w:t>
      </w:r>
      <w:r w:rsidRPr="00AF629F">
        <w:rPr>
          <w:rFonts w:ascii="Times New Roman" w:hAnsi="Times New Roman" w:cs="Times New Roman"/>
          <w:sz w:val="28"/>
          <w:szCs w:val="24"/>
        </w:rPr>
        <w:t xml:space="preserve"> iii) mejorar las inversiones sociales. </w:t>
      </w:r>
      <w:r w:rsidRPr="00AF629F">
        <w:rPr>
          <w:rFonts w:ascii="Times New Roman" w:hAnsi="Times New Roman" w:cs="Times New Roman"/>
          <w:sz w:val="28"/>
          <w:szCs w:val="24"/>
        </w:rPr>
        <w:t xml:space="preserve">|| </w:t>
      </w:r>
      <w:r w:rsidRPr="00AF629F">
        <w:rPr>
          <w:rFonts w:ascii="Times New Roman" w:hAnsi="Times New Roman" w:cs="Times New Roman"/>
          <w:sz w:val="28"/>
          <w:szCs w:val="24"/>
        </w:rPr>
        <w:t xml:space="preserve">Se requiere que </w:t>
      </w:r>
      <w:r w:rsidRPr="00AF629F">
        <w:rPr>
          <w:rFonts w:ascii="Times New Roman" w:hAnsi="Times New Roman" w:cs="Times New Roman"/>
          <w:bCs/>
          <w:sz w:val="28"/>
          <w:szCs w:val="24"/>
        </w:rPr>
        <w:t>el Estado cuente con una mejor financiación en todos sus niveles</w:t>
      </w:r>
      <w:r w:rsidRPr="00AF629F">
        <w:rPr>
          <w:rFonts w:ascii="Times New Roman" w:hAnsi="Times New Roman" w:cs="Times New Roman"/>
          <w:sz w:val="28"/>
          <w:szCs w:val="24"/>
        </w:rPr>
        <w:t>. El</w:t>
      </w:r>
      <w:r w:rsidRPr="00AF629F">
        <w:rPr>
          <w:rFonts w:ascii="Times New Roman" w:hAnsi="Times New Roman" w:cs="Times New Roman"/>
          <w:sz w:val="28"/>
          <w:szCs w:val="24"/>
        </w:rPr>
        <w:t xml:space="preserve"> </w:t>
      </w:r>
      <w:r w:rsidRPr="00AF629F">
        <w:rPr>
          <w:rFonts w:ascii="Times New Roman" w:hAnsi="Times New Roman" w:cs="Times New Roman"/>
          <w:sz w:val="28"/>
          <w:szCs w:val="24"/>
        </w:rPr>
        <w:t>Gobierno nacional ya ha dado un primer esfuerzo con la reforma tributaria, también se espera un mayor fortalecimiento de los recursos locales por la implementación del catastro multipropósito y la reforma agraria, y una mejor integración productiva entre l</w:t>
      </w:r>
      <w:r w:rsidRPr="00AF629F">
        <w:rPr>
          <w:rFonts w:ascii="Times New Roman" w:hAnsi="Times New Roman" w:cs="Times New Roman"/>
          <w:sz w:val="28"/>
          <w:szCs w:val="24"/>
        </w:rPr>
        <w:t xml:space="preserve">os territorios, así como </w:t>
      </w:r>
      <w:r w:rsidRPr="00AF629F">
        <w:rPr>
          <w:rFonts w:ascii="Times New Roman" w:hAnsi="Times New Roman" w:cs="Times New Roman"/>
          <w:bCs/>
          <w:sz w:val="28"/>
          <w:szCs w:val="24"/>
        </w:rPr>
        <w:t xml:space="preserve">un mejor uso de los recursos del Fondo Nacional de Pensiones de las Entidades Territoriales -FONPET- para el pago de obligaciones pensionales, y como recursos excedentes del Fondo para inversión. || </w:t>
      </w:r>
      <w:r w:rsidRPr="00AF629F">
        <w:rPr>
          <w:rFonts w:ascii="Times New Roman" w:hAnsi="Times New Roman" w:cs="Times New Roman"/>
          <w:sz w:val="28"/>
          <w:szCs w:val="24"/>
        </w:rPr>
        <w:t xml:space="preserve">De esta forma, además de contemplar una estructura progresiva y más equitativa, se requiere la concurrencia de todas las fuentes de recursos </w:t>
      </w:r>
      <w:r w:rsidRPr="00AF629F">
        <w:rPr>
          <w:rFonts w:ascii="Times New Roman" w:hAnsi="Times New Roman" w:cs="Times New Roman"/>
          <w:bCs/>
          <w:sz w:val="28"/>
          <w:szCs w:val="24"/>
        </w:rPr>
        <w:t>para financiar proyectos catalizadores de gran impacto regional, que promuevan sostenidamente el bienestar económic</w:t>
      </w:r>
      <w:r w:rsidRPr="00AF629F">
        <w:rPr>
          <w:rFonts w:ascii="Times New Roman" w:hAnsi="Times New Roman" w:cs="Times New Roman"/>
          <w:bCs/>
          <w:sz w:val="28"/>
          <w:szCs w:val="24"/>
        </w:rPr>
        <w:t>o, social y ambiental, de forma inclusiva</w:t>
      </w:r>
      <w:r w:rsidRPr="00AF629F">
        <w:rPr>
          <w:rFonts w:ascii="Times New Roman" w:hAnsi="Times New Roman" w:cs="Times New Roman"/>
          <w:sz w:val="28"/>
          <w:szCs w:val="24"/>
        </w:rPr>
        <w:t>”</w:t>
      </w:r>
      <w:r w:rsidRPr="00AF629F">
        <w:rPr>
          <w:rFonts w:ascii="Times New Roman" w:hAnsi="Times New Roman" w:cs="Times New Roman"/>
          <w:sz w:val="28"/>
          <w:szCs w:val="24"/>
        </w:rPr>
        <w:t>.</w:t>
      </w:r>
    </w:p>
    <w:p w:rsidR="00105F33" w:rsidRPr="00AF629F" w:rsidRDefault="00AF629F" w:rsidP="00550A06">
      <w:pPr>
        <w:shd w:val="clear" w:color="auto" w:fill="FFFFFF"/>
        <w:ind w:right="616"/>
        <w:jc w:val="both"/>
        <w:rPr>
          <w:rFonts w:ascii="Times New Roman" w:hAnsi="Times New Roman" w:cs="Times New Roman"/>
          <w:bCs/>
          <w:sz w:val="28"/>
          <w:szCs w:val="28"/>
        </w:rPr>
      </w:pPr>
    </w:p>
    <w:p w:rsidR="003E4AAE" w:rsidRPr="00AF629F" w:rsidRDefault="00AF629F" w:rsidP="005726EB">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hAnsi="Times New Roman" w:cs="Times New Roman"/>
          <w:sz w:val="28"/>
          <w:szCs w:val="28"/>
        </w:rPr>
        <w:t xml:space="preserve">En atención a su </w:t>
      </w:r>
      <w:r w:rsidRPr="00AF629F">
        <w:rPr>
          <w:rFonts w:ascii="Times New Roman" w:eastAsia="Cambria" w:hAnsi="Times New Roman" w:cs="Times New Roman"/>
          <w:bCs/>
          <w:sz w:val="28"/>
          <w:szCs w:val="28"/>
        </w:rPr>
        <w:t xml:space="preserve">ubicación, </w:t>
      </w:r>
      <w:r w:rsidRPr="00AF629F">
        <w:rPr>
          <w:rFonts w:ascii="Times New Roman" w:eastAsia="Cambria" w:hAnsi="Times New Roman" w:cs="Times New Roman"/>
          <w:bCs/>
          <w:sz w:val="28"/>
          <w:szCs w:val="28"/>
        </w:rPr>
        <w:t>naturaleza</w:t>
      </w:r>
      <w:r w:rsidRPr="00AF629F">
        <w:rPr>
          <w:rFonts w:ascii="Times New Roman" w:eastAsia="Cambria" w:hAnsi="Times New Roman" w:cs="Times New Roman"/>
          <w:bCs/>
          <w:sz w:val="28"/>
          <w:szCs w:val="28"/>
        </w:rPr>
        <w:t xml:space="preserve"> y teleología</w:t>
      </w:r>
      <w:r w:rsidRPr="00AF629F">
        <w:rPr>
          <w:rFonts w:ascii="Times New Roman" w:hAnsi="Times New Roman" w:cs="Times New Roman"/>
          <w:sz w:val="28"/>
          <w:szCs w:val="28"/>
        </w:rPr>
        <w:t xml:space="preserve">, </w:t>
      </w:r>
      <w:r w:rsidRPr="00AF629F">
        <w:rPr>
          <w:rFonts w:ascii="Times New Roman" w:eastAsia="Cambria" w:hAnsi="Times New Roman" w:cs="Times New Roman"/>
          <w:bCs/>
          <w:sz w:val="28"/>
          <w:szCs w:val="28"/>
        </w:rPr>
        <w:t xml:space="preserve">el artículo 322 de la Ley 2294 de 2023 </w:t>
      </w:r>
      <w:r w:rsidRPr="00AF629F">
        <w:rPr>
          <w:rFonts w:ascii="Times New Roman" w:eastAsia="Cambria" w:hAnsi="Times New Roman" w:cs="Times New Roman"/>
          <w:bCs/>
          <w:sz w:val="28"/>
          <w:szCs w:val="28"/>
        </w:rPr>
        <w:t xml:space="preserve">tiene un carácter instrumental. </w:t>
      </w:r>
      <w:r w:rsidRPr="00AF629F">
        <w:rPr>
          <w:rFonts w:ascii="Times New Roman" w:eastAsia="Cambria" w:hAnsi="Times New Roman" w:cs="Times New Roman"/>
          <w:bCs/>
          <w:sz w:val="28"/>
          <w:szCs w:val="28"/>
        </w:rPr>
        <w:t xml:space="preserve">En cuanto a lo primero, </w:t>
      </w:r>
      <w:r w:rsidRPr="00AF629F">
        <w:rPr>
          <w:rFonts w:ascii="Times New Roman" w:eastAsia="Cambria" w:hAnsi="Times New Roman" w:cs="Times New Roman"/>
          <w:bCs/>
          <w:sz w:val="28"/>
          <w:szCs w:val="28"/>
        </w:rPr>
        <w:t xml:space="preserve">la disposición es </w:t>
      </w:r>
      <w:r w:rsidRPr="00AF629F">
        <w:rPr>
          <w:rFonts w:ascii="Times New Roman" w:eastAsia="Cambria" w:hAnsi="Times New Roman" w:cs="Times New Roman"/>
          <w:bCs/>
          <w:sz w:val="28"/>
          <w:szCs w:val="28"/>
        </w:rPr>
        <w:t>formalmente instrumental</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al estar ubicad</w:t>
      </w:r>
      <w:r w:rsidRPr="00AF629F">
        <w:rPr>
          <w:rFonts w:ascii="Times New Roman" w:eastAsia="Cambria" w:hAnsi="Times New Roman" w:cs="Times New Roman"/>
          <w:bCs/>
          <w:sz w:val="28"/>
          <w:szCs w:val="28"/>
        </w:rPr>
        <w:t>a</w:t>
      </w:r>
      <w:r w:rsidRPr="00AF629F">
        <w:rPr>
          <w:rFonts w:ascii="Times New Roman" w:eastAsia="Cambria" w:hAnsi="Times New Roman" w:cs="Times New Roman"/>
          <w:bCs/>
          <w:sz w:val="28"/>
          <w:szCs w:val="28"/>
        </w:rPr>
        <w:t xml:space="preserve"> en los mecanismos de ejecución del plan.</w:t>
      </w:r>
      <w:r w:rsidRPr="00AF629F">
        <w:rPr>
          <w:rFonts w:ascii="Times New Roman" w:eastAsia="Cambria" w:hAnsi="Times New Roman" w:cs="Times New Roman"/>
          <w:bCs/>
          <w:sz w:val="28"/>
          <w:szCs w:val="28"/>
        </w:rPr>
        <w:t xml:space="preserve"> En cuanto a lo segundo</w:t>
      </w:r>
      <w:r w:rsidRPr="00AF629F">
        <w:rPr>
          <w:rFonts w:ascii="Times New Roman" w:eastAsia="Cambria" w:hAnsi="Times New Roman" w:cs="Times New Roman"/>
          <w:bCs/>
          <w:sz w:val="28"/>
          <w:szCs w:val="28"/>
        </w:rPr>
        <w:t xml:space="preserve"> y tercero, </w:t>
      </w:r>
      <w:r w:rsidRPr="00AF629F">
        <w:rPr>
          <w:rFonts w:ascii="Times New Roman" w:eastAsia="Cambria" w:hAnsi="Times New Roman" w:cs="Times New Roman"/>
          <w:bCs/>
          <w:sz w:val="28"/>
          <w:szCs w:val="28"/>
        </w:rPr>
        <w:t xml:space="preserve">al permitir </w:t>
      </w:r>
      <w:r w:rsidRPr="00AF629F">
        <w:rPr>
          <w:rFonts w:ascii="Times New Roman" w:eastAsia="Cambria" w:hAnsi="Times New Roman" w:cs="Times New Roman"/>
          <w:bCs/>
          <w:sz w:val="28"/>
          <w:szCs w:val="28"/>
        </w:rPr>
        <w:t xml:space="preserve">que el </w:t>
      </w:r>
      <w:r w:rsidRPr="00AF629F">
        <w:rPr>
          <w:rFonts w:ascii="Times New Roman" w:eastAsia="Cambria" w:hAnsi="Times New Roman" w:cs="Times New Roman"/>
          <w:bCs/>
          <w:sz w:val="28"/>
          <w:szCs w:val="28"/>
        </w:rPr>
        <w:t xml:space="preserve">Ministerio de Hacienda y Crédito </w:t>
      </w:r>
      <w:r w:rsidRPr="00AF629F">
        <w:rPr>
          <w:rFonts w:ascii="Times New Roman" w:eastAsia="Cambria" w:hAnsi="Times New Roman" w:cs="Times New Roman"/>
          <w:bCs/>
          <w:sz w:val="28"/>
          <w:szCs w:val="28"/>
        </w:rPr>
        <w:t xml:space="preserve">contrate </w:t>
      </w:r>
      <w:r w:rsidRPr="00AF629F">
        <w:rPr>
          <w:rFonts w:ascii="Times New Roman" w:eastAsia="Cambria" w:hAnsi="Times New Roman" w:cs="Times New Roman"/>
          <w:bCs/>
          <w:sz w:val="28"/>
          <w:szCs w:val="28"/>
        </w:rPr>
        <w:t xml:space="preserve">de manera directa </w:t>
      </w:r>
      <w:r w:rsidRPr="00AF629F">
        <w:rPr>
          <w:rFonts w:ascii="Times New Roman" w:hAnsi="Times New Roman" w:cs="Times New Roman"/>
          <w:sz w:val="28"/>
          <w:szCs w:val="28"/>
        </w:rPr>
        <w:t>con sociedades fiduciarias de carácter público</w:t>
      </w:r>
      <w:r w:rsidRPr="00AF629F">
        <w:rPr>
          <w:rFonts w:ascii="Times New Roman" w:hAnsi="Times New Roman" w:cs="Times New Roman"/>
          <w:sz w:val="28"/>
          <w:szCs w:val="28"/>
        </w:rPr>
        <w:t xml:space="preserve"> la administración de los recursos del </w:t>
      </w:r>
      <w:r w:rsidRPr="00AF629F">
        <w:rPr>
          <w:rFonts w:ascii="Times New Roman" w:hAnsi="Times New Roman" w:cs="Times New Roman"/>
          <w:sz w:val="28"/>
          <w:szCs w:val="28"/>
        </w:rPr>
        <w:t>FONPET</w:t>
      </w:r>
      <w:r w:rsidRPr="00AF629F">
        <w:rPr>
          <w:rFonts w:ascii="Times New Roman" w:hAnsi="Times New Roman" w:cs="Times New Roman"/>
          <w:sz w:val="28"/>
          <w:szCs w:val="28"/>
        </w:rPr>
        <w:t>, la dispo</w:t>
      </w:r>
      <w:r w:rsidRPr="00AF629F">
        <w:rPr>
          <w:rFonts w:ascii="Times New Roman" w:hAnsi="Times New Roman" w:cs="Times New Roman"/>
          <w:sz w:val="28"/>
          <w:szCs w:val="28"/>
        </w:rPr>
        <w:t xml:space="preserve">sición permite </w:t>
      </w:r>
      <w:r w:rsidRPr="00AF629F">
        <w:rPr>
          <w:rFonts w:ascii="Times New Roman" w:hAnsi="Times New Roman" w:cs="Times New Roman"/>
          <w:sz w:val="28"/>
          <w:szCs w:val="28"/>
        </w:rPr>
        <w:t>que 52</w:t>
      </w:r>
      <w:r w:rsidRPr="00AF629F">
        <w:rPr>
          <w:rFonts w:ascii="Times New Roman" w:hAnsi="Times New Roman" w:cs="Times New Roman"/>
          <w:sz w:val="28"/>
          <w:szCs w:val="28"/>
        </w:rPr>
        <w:t>,6</w:t>
      </w:r>
      <w:r w:rsidRPr="00AF629F">
        <w:rPr>
          <w:rFonts w:ascii="Times New Roman" w:hAnsi="Times New Roman" w:cs="Times New Roman"/>
          <w:sz w:val="28"/>
          <w:szCs w:val="28"/>
        </w:rPr>
        <w:t xml:space="preserve"> billones de pesos </w:t>
      </w:r>
      <w:r w:rsidRPr="00AF629F">
        <w:rPr>
          <w:rFonts w:ascii="Times New Roman" w:hAnsi="Times New Roman" w:cs="Times New Roman"/>
          <w:sz w:val="28"/>
          <w:szCs w:val="28"/>
        </w:rPr>
        <w:t xml:space="preserve">pasen de </w:t>
      </w:r>
      <w:r w:rsidRPr="00AF629F">
        <w:rPr>
          <w:rFonts w:ascii="Times New Roman" w:hAnsi="Times New Roman" w:cs="Times New Roman"/>
          <w:sz w:val="28"/>
          <w:szCs w:val="28"/>
        </w:rPr>
        <w:t xml:space="preserve">ser administrados por sociedades fiduciarias privadas a </w:t>
      </w:r>
      <w:r w:rsidRPr="00AF629F">
        <w:rPr>
          <w:rFonts w:ascii="Times New Roman" w:hAnsi="Times New Roman" w:cs="Times New Roman"/>
          <w:sz w:val="28"/>
          <w:szCs w:val="28"/>
        </w:rPr>
        <w:t>incrementar el patrimonio estatal objeto de administración</w:t>
      </w:r>
      <w:r w:rsidRPr="00AF629F">
        <w:rPr>
          <w:rStyle w:val="Refdenotaalpie"/>
          <w:rFonts w:ascii="Times New Roman" w:hAnsi="Times New Roman" w:cs="Times New Roman"/>
          <w:sz w:val="28"/>
          <w:szCs w:val="28"/>
        </w:rPr>
        <w:footnoteReference w:id="53"/>
      </w:r>
      <w:r w:rsidRPr="00AF629F">
        <w:rPr>
          <w:rFonts w:ascii="Times New Roman" w:hAnsi="Times New Roman" w:cs="Times New Roman"/>
          <w:sz w:val="28"/>
          <w:szCs w:val="28"/>
        </w:rPr>
        <w:t>, de tal forma que “los recursos excedentes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del </w:t>
      </w:r>
      <w:r w:rsidRPr="00AF629F">
        <w:rPr>
          <w:rFonts w:ascii="Times New Roman" w:hAnsi="Times New Roman" w:cs="Times New Roman"/>
          <w:sz w:val="28"/>
          <w:szCs w:val="28"/>
        </w:rPr>
        <w:t>fondo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se puedan utilizar para “inversión”</w:t>
      </w:r>
      <w:r w:rsidRPr="00AF629F">
        <w:rPr>
          <w:rFonts w:ascii="Times New Roman" w:hAnsi="Times New Roman" w:cs="Times New Roman"/>
          <w:sz w:val="28"/>
          <w:szCs w:val="28"/>
        </w:rPr>
        <w:t>. Tal como se indica en las bases del plan</w:t>
      </w:r>
      <w:r w:rsidRPr="00AF629F">
        <w:rPr>
          <w:rFonts w:ascii="Times New Roman" w:hAnsi="Times New Roman" w:cs="Times New Roman"/>
          <w:sz w:val="28"/>
          <w:szCs w:val="28"/>
        </w:rPr>
        <w:t xml:space="preserve"> previamente citadas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se “requiere la concurrencia de todas las fuentes de recursos </w:t>
      </w:r>
      <w:r w:rsidRPr="00AF629F">
        <w:rPr>
          <w:rFonts w:ascii="Times New Roman" w:hAnsi="Times New Roman" w:cs="Times New Roman"/>
          <w:bCs/>
          <w:sz w:val="28"/>
          <w:szCs w:val="28"/>
        </w:rPr>
        <w:t>para financiar proyectos catalizadores de gran impacto regional, que promuevan sostenidamente el bienestar económico, social y amb</w:t>
      </w:r>
      <w:r w:rsidRPr="00AF629F">
        <w:rPr>
          <w:rFonts w:ascii="Times New Roman" w:hAnsi="Times New Roman" w:cs="Times New Roman"/>
          <w:bCs/>
          <w:sz w:val="28"/>
          <w:szCs w:val="28"/>
        </w:rPr>
        <w:t>iental, de forma inclusiva”</w:t>
      </w:r>
      <w:r w:rsidRPr="00AF629F">
        <w:rPr>
          <w:rFonts w:ascii="Times New Roman" w:hAnsi="Times New Roman" w:cs="Times New Roman"/>
          <w:bCs/>
          <w:sz w:val="28"/>
          <w:szCs w:val="28"/>
        </w:rPr>
        <w:t>, en la medida en que, “[l]</w:t>
      </w:r>
      <w:r w:rsidRPr="00AF629F">
        <w:rPr>
          <w:rFonts w:ascii="Times New Roman" w:hAnsi="Times New Roman" w:cs="Times New Roman"/>
          <w:sz w:val="28"/>
          <w:szCs w:val="28"/>
        </w:rPr>
        <w:t>a inversión pública proyectada será mayor que los promedios históricos y tendrá un incremento importante, derivado de las inversiones financiadas con el presupuesto público</w:t>
      </w:r>
      <w:r w:rsidRPr="00AF629F">
        <w:rPr>
          <w:rFonts w:ascii="Times New Roman" w:hAnsi="Times New Roman" w:cs="Times New Roman"/>
          <w:sz w:val="28"/>
          <w:szCs w:val="28"/>
        </w:rPr>
        <w:t>”.</w:t>
      </w:r>
      <w:r w:rsidRPr="00AF629F">
        <w:rPr>
          <w:rFonts w:ascii="Times New Roman" w:eastAsia="Cambria" w:hAnsi="Times New Roman" w:cs="Times New Roman"/>
          <w:bCs/>
          <w:sz w:val="28"/>
          <w:szCs w:val="28"/>
        </w:rPr>
        <w:t xml:space="preserve"> </w:t>
      </w:r>
    </w:p>
    <w:p w:rsidR="003E4AAE" w:rsidRPr="00AF629F" w:rsidRDefault="00AF629F" w:rsidP="003E4AAE">
      <w:pPr>
        <w:pStyle w:val="Prrafodelista"/>
        <w:ind w:left="0"/>
        <w:jc w:val="both"/>
        <w:rPr>
          <w:rFonts w:ascii="Times New Roman" w:eastAsia="Cambria" w:hAnsi="Times New Roman" w:cs="Times New Roman"/>
          <w:bCs/>
          <w:sz w:val="28"/>
          <w:szCs w:val="28"/>
        </w:rPr>
      </w:pPr>
    </w:p>
    <w:p w:rsidR="003E4AAE" w:rsidRPr="00AF629F" w:rsidRDefault="00AF629F" w:rsidP="005726EB">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hAnsi="Times New Roman" w:cs="Times New Roman"/>
          <w:bCs/>
          <w:sz w:val="28"/>
          <w:szCs w:val="28"/>
        </w:rPr>
        <w:t xml:space="preserve">En relación con lo </w:t>
      </w:r>
      <w:r w:rsidRPr="00AF629F">
        <w:rPr>
          <w:rFonts w:ascii="Times New Roman" w:hAnsi="Times New Roman" w:cs="Times New Roman"/>
          <w:bCs/>
          <w:sz w:val="28"/>
          <w:szCs w:val="28"/>
        </w:rPr>
        <w:t>anterior, s</w:t>
      </w:r>
      <w:r w:rsidRPr="00AF629F">
        <w:rPr>
          <w:rFonts w:ascii="Times New Roman" w:hAnsi="Times New Roman" w:cs="Times New Roman"/>
          <w:bCs/>
          <w:sz w:val="28"/>
          <w:szCs w:val="28"/>
        </w:rPr>
        <w:t xml:space="preserve">egún indicó </w:t>
      </w:r>
      <w:r w:rsidRPr="00AF629F">
        <w:rPr>
          <w:rFonts w:ascii="Times New Roman" w:hAnsi="Times New Roman" w:cs="Times New Roman"/>
          <w:sz w:val="28"/>
          <w:szCs w:val="28"/>
        </w:rPr>
        <w:t>el Departamento Administrativo de la Presidencia de la República en su concepto,</w:t>
      </w:r>
      <w:r w:rsidRPr="00AF629F">
        <w:rPr>
          <w:rFonts w:ascii="Times New Roman" w:eastAsia="Cambria" w:hAnsi="Times New Roman" w:cs="Times New Roman"/>
          <w:bCs/>
          <w:sz w:val="28"/>
          <w:szCs w:val="28"/>
        </w:rPr>
        <w:t xml:space="preserve"> la disposición </w:t>
      </w:r>
      <w:r w:rsidRPr="00AF629F">
        <w:rPr>
          <w:rFonts w:ascii="Times New Roman" w:eastAsia="Cambria" w:hAnsi="Times New Roman" w:cs="Times New Roman"/>
          <w:bCs/>
          <w:sz w:val="28"/>
          <w:szCs w:val="28"/>
        </w:rPr>
        <w:t xml:space="preserve">es </w:t>
      </w:r>
      <w:r w:rsidRPr="00AF629F">
        <w:rPr>
          <w:rFonts w:ascii="Times New Roman" w:hAnsi="Times New Roman" w:cs="Times New Roman"/>
          <w:sz w:val="28"/>
          <w:szCs w:val="28"/>
        </w:rPr>
        <w:t>“un mecanismo para garantizar la disponibilidad de los recursos públicos que permitan financiar las transformaciones, las cuales están</w:t>
      </w:r>
      <w:r w:rsidRPr="00AF629F">
        <w:rPr>
          <w:rFonts w:ascii="Times New Roman" w:hAnsi="Times New Roman" w:cs="Times New Roman"/>
          <w:sz w:val="28"/>
          <w:szCs w:val="28"/>
        </w:rPr>
        <w:t xml:space="preserve"> enmarcadas en la actual coyuntura económica global, regional y nacional”</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p>
    <w:p w:rsidR="003E4AAE" w:rsidRPr="00AF629F" w:rsidRDefault="00AF629F" w:rsidP="003E4AAE">
      <w:pPr>
        <w:pStyle w:val="Prrafodelista"/>
        <w:rPr>
          <w:rFonts w:ascii="Times New Roman" w:hAnsi="Times New Roman" w:cs="Times New Roman"/>
          <w:sz w:val="28"/>
          <w:szCs w:val="28"/>
        </w:rPr>
      </w:pPr>
    </w:p>
    <w:p w:rsidR="003E195A" w:rsidRPr="00AF629F" w:rsidRDefault="00AF629F" w:rsidP="005726EB">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hAnsi="Times New Roman" w:cs="Times New Roman"/>
          <w:sz w:val="28"/>
          <w:szCs w:val="28"/>
        </w:rPr>
        <w:t>Lo anterior</w:t>
      </w:r>
      <w:r w:rsidRPr="00AF629F">
        <w:rPr>
          <w:rFonts w:ascii="Times New Roman" w:hAnsi="Times New Roman" w:cs="Times New Roman"/>
          <w:sz w:val="28"/>
          <w:szCs w:val="28"/>
        </w:rPr>
        <w:t>, además,</w:t>
      </w:r>
      <w:r w:rsidRPr="00AF629F">
        <w:rPr>
          <w:rFonts w:ascii="Times New Roman" w:hAnsi="Times New Roman" w:cs="Times New Roman"/>
          <w:sz w:val="28"/>
          <w:szCs w:val="28"/>
        </w:rPr>
        <w:t xml:space="preserve"> es coherente con la tabla II “Distribución fuentes públicas por transformación” del artículo 5 de la </w:t>
      </w:r>
      <w:r w:rsidRPr="00AF629F">
        <w:rPr>
          <w:rFonts w:ascii="Times New Roman" w:hAnsi="Times New Roman" w:cs="Times New Roman"/>
          <w:sz w:val="28"/>
          <w:szCs w:val="28"/>
        </w:rPr>
        <w:t xml:space="preserve">Ley </w:t>
      </w:r>
      <w:r w:rsidRPr="00AF629F">
        <w:rPr>
          <w:rFonts w:ascii="Times New Roman" w:eastAsia="Cambria" w:hAnsi="Times New Roman" w:cs="Times New Roman"/>
          <w:bCs/>
          <w:sz w:val="28"/>
          <w:szCs w:val="28"/>
        </w:rPr>
        <w:t>2294 de 2023</w:t>
      </w:r>
      <w:r w:rsidRPr="00AF629F">
        <w:rPr>
          <w:rFonts w:ascii="Times New Roman" w:hAnsi="Times New Roman" w:cs="Times New Roman"/>
          <w:sz w:val="28"/>
          <w:szCs w:val="28"/>
        </w:rPr>
        <w:t xml:space="preserve">, que contempla el “Plan Nacional de Inversiones Públicas 2023-2026”, en </w:t>
      </w:r>
      <w:r w:rsidRPr="00AF629F">
        <w:rPr>
          <w:rFonts w:ascii="Times New Roman" w:hAnsi="Times New Roman" w:cs="Times New Roman"/>
          <w:sz w:val="28"/>
          <w:szCs w:val="28"/>
        </w:rPr>
        <w:t xml:space="preserve">la </w:t>
      </w:r>
      <w:r w:rsidRPr="00AF629F">
        <w:rPr>
          <w:rFonts w:ascii="Times New Roman" w:hAnsi="Times New Roman" w:cs="Times New Roman"/>
          <w:sz w:val="28"/>
          <w:szCs w:val="28"/>
        </w:rPr>
        <w:t>que se indica que el monto de fuentes públicas de</w:t>
      </w:r>
      <w:r w:rsidRPr="00AF629F">
        <w:rPr>
          <w:rFonts w:ascii="Times New Roman" w:hAnsi="Times New Roman" w:cs="Times New Roman"/>
          <w:sz w:val="28"/>
          <w:szCs w:val="28"/>
        </w:rPr>
        <w:t xml:space="preserve">l </w:t>
      </w:r>
      <w:r w:rsidRPr="00AF629F">
        <w:rPr>
          <w:rFonts w:ascii="Times New Roman" w:hAnsi="Times New Roman" w:cs="Times New Roman"/>
          <w:sz w:val="28"/>
          <w:szCs w:val="28"/>
        </w:rPr>
        <w:t xml:space="preserve">eje transversal </w:t>
      </w:r>
      <w:r w:rsidRPr="00AF629F">
        <w:rPr>
          <w:rFonts w:ascii="Times New Roman" w:hAnsi="Times New Roman" w:cs="Times New Roman"/>
          <w:sz w:val="28"/>
          <w:szCs w:val="28"/>
        </w:rPr>
        <w:t xml:space="preserve">“estabilidad macroeconómica” </w:t>
      </w:r>
      <w:r w:rsidRPr="00AF629F">
        <w:rPr>
          <w:rFonts w:ascii="Times New Roman" w:hAnsi="Times New Roman" w:cs="Times New Roman"/>
          <w:sz w:val="28"/>
          <w:szCs w:val="28"/>
        </w:rPr>
        <w:t>asciende a 83,4 billones de pesos de 2022.</w:t>
      </w:r>
      <w:r w:rsidRPr="00AF629F">
        <w:rPr>
          <w:rFonts w:ascii="Times New Roman" w:hAnsi="Times New Roman" w:cs="Times New Roman"/>
          <w:sz w:val="28"/>
          <w:szCs w:val="28"/>
        </w:rPr>
        <w:t xml:space="preserve"> Así pues, es plausible inferir que “los r</w:t>
      </w:r>
      <w:r w:rsidRPr="00AF629F">
        <w:rPr>
          <w:rFonts w:ascii="Times New Roman" w:hAnsi="Times New Roman" w:cs="Times New Roman"/>
          <w:sz w:val="28"/>
          <w:szCs w:val="28"/>
        </w:rPr>
        <w:t>ecursos excedentes”</w:t>
      </w:r>
      <w:r w:rsidRPr="00AF629F">
        <w:rPr>
          <w:rFonts w:ascii="Times New Roman" w:hAnsi="Times New Roman" w:cs="Times New Roman"/>
          <w:sz w:val="28"/>
          <w:szCs w:val="28"/>
        </w:rPr>
        <w:t xml:space="preserve">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serán utilizados por el Gobierno nacional para financiar “inversión”</w:t>
      </w:r>
      <w:r w:rsidRPr="00AF629F">
        <w:rPr>
          <w:rFonts w:ascii="Times New Roman" w:hAnsi="Times New Roman" w:cs="Times New Roman"/>
          <w:sz w:val="28"/>
          <w:szCs w:val="28"/>
        </w:rPr>
        <w:t xml:space="preserve">, esto es, </w:t>
      </w:r>
      <w:r w:rsidRPr="00AF629F">
        <w:rPr>
          <w:rFonts w:ascii="Times New Roman" w:hAnsi="Times New Roman" w:cs="Times New Roman"/>
          <w:sz w:val="28"/>
          <w:szCs w:val="28"/>
        </w:rPr>
        <w:t>“</w:t>
      </w:r>
      <w:r w:rsidRPr="00AF629F">
        <w:rPr>
          <w:rFonts w:ascii="Times New Roman" w:hAnsi="Times New Roman" w:cs="Times New Roman"/>
          <w:bCs/>
          <w:sz w:val="28"/>
          <w:szCs w:val="28"/>
        </w:rPr>
        <w:t>proyectos catalizadores de gran impacto regional, que promuevan sostenidamente el bienestar económico, social y ambiental, de forma inclusiva”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Si bien, no es claro a qué monto ascenderían “los recursos excedentes”</w:t>
      </w:r>
      <w:r w:rsidRPr="00AF629F">
        <w:rPr>
          <w:rFonts w:ascii="Times New Roman" w:hAnsi="Times New Roman" w:cs="Times New Roman"/>
          <w:sz w:val="28"/>
          <w:szCs w:val="28"/>
        </w:rPr>
        <w:t xml:space="preserve"> del </w:t>
      </w:r>
      <w:r w:rsidRPr="00AF629F">
        <w:rPr>
          <w:rFonts w:ascii="Times New Roman" w:hAnsi="Times New Roman" w:cs="Times New Roman"/>
          <w:sz w:val="28"/>
          <w:szCs w:val="28"/>
        </w:rPr>
        <w:t>FONPET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es claro que </w:t>
      </w:r>
      <w:r w:rsidRPr="00AF629F">
        <w:rPr>
          <w:rFonts w:ascii="Times New Roman" w:hAnsi="Times New Roman" w:cs="Times New Roman"/>
          <w:sz w:val="28"/>
          <w:szCs w:val="28"/>
        </w:rPr>
        <w:t>se trata de</w:t>
      </w:r>
      <w:r w:rsidRPr="00AF629F">
        <w:rPr>
          <w:rFonts w:ascii="Times New Roman" w:hAnsi="Times New Roman" w:cs="Times New Roman"/>
          <w:sz w:val="28"/>
          <w:szCs w:val="28"/>
        </w:rPr>
        <w:t xml:space="preserve"> una cifra considerable, </w:t>
      </w:r>
      <w:r w:rsidRPr="00AF629F">
        <w:rPr>
          <w:rFonts w:ascii="Times New Roman" w:hAnsi="Times New Roman" w:cs="Times New Roman"/>
          <w:i/>
          <w:iCs/>
          <w:sz w:val="28"/>
          <w:szCs w:val="28"/>
        </w:rPr>
        <w:t>ceteris paribus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si </w:t>
      </w:r>
      <w:r w:rsidRPr="00AF629F">
        <w:rPr>
          <w:rFonts w:ascii="Times New Roman" w:hAnsi="Times New Roman" w:cs="Times New Roman"/>
          <w:sz w:val="28"/>
          <w:szCs w:val="28"/>
        </w:rPr>
        <w:t xml:space="preserve">se </w:t>
      </w:r>
      <w:r w:rsidRPr="00AF629F">
        <w:rPr>
          <w:rFonts w:ascii="Times New Roman" w:hAnsi="Times New Roman" w:cs="Times New Roman"/>
          <w:sz w:val="28"/>
          <w:szCs w:val="28"/>
        </w:rPr>
        <w:t>llegara</w:t>
      </w:r>
      <w:r w:rsidRPr="00AF629F">
        <w:rPr>
          <w:rFonts w:ascii="Times New Roman" w:hAnsi="Times New Roman" w:cs="Times New Roman"/>
          <w:sz w:val="28"/>
          <w:szCs w:val="28"/>
        </w:rPr>
        <w:t>n</w:t>
      </w:r>
      <w:r w:rsidRPr="00AF629F">
        <w:rPr>
          <w:rFonts w:ascii="Times New Roman" w:hAnsi="Times New Roman" w:cs="Times New Roman"/>
          <w:sz w:val="28"/>
          <w:szCs w:val="28"/>
        </w:rPr>
        <w:t xml:space="preserve"> a </w:t>
      </w:r>
      <w:r w:rsidRPr="00AF629F">
        <w:rPr>
          <w:rFonts w:ascii="Times New Roman" w:hAnsi="Times New Roman" w:cs="Times New Roman"/>
          <w:sz w:val="28"/>
          <w:szCs w:val="28"/>
        </w:rPr>
        <w:t xml:space="preserve">generar unos rendimientos financieros semejantes </w:t>
      </w:r>
      <w:r w:rsidRPr="00AF629F">
        <w:rPr>
          <w:rFonts w:ascii="Times New Roman" w:hAnsi="Times New Roman" w:cs="Times New Roman"/>
          <w:sz w:val="28"/>
          <w:szCs w:val="28"/>
        </w:rPr>
        <w:t xml:space="preserve">a </w:t>
      </w:r>
      <w:r w:rsidRPr="00AF629F">
        <w:rPr>
          <w:rFonts w:ascii="Times New Roman" w:hAnsi="Times New Roman" w:cs="Times New Roman"/>
          <w:sz w:val="28"/>
          <w:szCs w:val="28"/>
        </w:rPr>
        <w:t xml:space="preserve">los </w:t>
      </w:r>
      <w:r w:rsidRPr="00AF629F">
        <w:rPr>
          <w:rFonts w:ascii="Times New Roman" w:hAnsi="Times New Roman" w:cs="Times New Roman"/>
          <w:sz w:val="28"/>
          <w:szCs w:val="28"/>
        </w:rPr>
        <w:t>del periodo 2012 a 2022</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que, según</w:t>
      </w:r>
      <w:r w:rsidRPr="00AF629F">
        <w:rPr>
          <w:rFonts w:ascii="Times New Roman" w:hAnsi="Times New Roman" w:cs="Times New Roman"/>
          <w:sz w:val="28"/>
          <w:szCs w:val="28"/>
        </w:rPr>
        <w:t xml:space="preserve"> indicó </w:t>
      </w:r>
      <w:r w:rsidRPr="00AF629F">
        <w:rPr>
          <w:rFonts w:ascii="Times New Roman" w:hAnsi="Times New Roman" w:cs="Times New Roman"/>
          <w:sz w:val="28"/>
          <w:szCs w:val="28"/>
        </w:rPr>
        <w:t xml:space="preserve">ASOFIDUCIARIAS </w:t>
      </w:r>
      <w:r w:rsidRPr="00AF629F">
        <w:rPr>
          <w:rFonts w:ascii="Times New Roman" w:hAnsi="Times New Roman" w:cs="Times New Roman"/>
          <w:sz w:val="28"/>
          <w:szCs w:val="28"/>
        </w:rPr>
        <w:t xml:space="preserve">en su </w:t>
      </w:r>
      <w:r w:rsidRPr="00AF629F">
        <w:rPr>
          <w:rFonts w:ascii="Times New Roman" w:hAnsi="Times New Roman" w:cs="Times New Roman"/>
          <w:sz w:val="28"/>
          <w:szCs w:val="28"/>
        </w:rPr>
        <w:t>concepto</w:t>
      </w:r>
      <w:r w:rsidRPr="00AF629F">
        <w:rPr>
          <w:rFonts w:ascii="Times New Roman" w:hAnsi="Times New Roman" w:cs="Times New Roman"/>
          <w:sz w:val="28"/>
          <w:szCs w:val="28"/>
        </w:rPr>
        <w:t>, fue</w:t>
      </w:r>
      <w:r w:rsidRPr="00AF629F">
        <w:rPr>
          <w:rFonts w:ascii="Times New Roman" w:hAnsi="Times New Roman" w:cs="Times New Roman"/>
          <w:sz w:val="28"/>
          <w:szCs w:val="28"/>
        </w:rPr>
        <w:t>ron</w:t>
      </w:r>
      <w:r w:rsidRPr="00AF629F">
        <w:rPr>
          <w:rFonts w:ascii="Times New Roman" w:hAnsi="Times New Roman" w:cs="Times New Roman"/>
          <w:sz w:val="28"/>
          <w:szCs w:val="28"/>
        </w:rPr>
        <w:t xml:space="preserve"> de 28 billones de pesos.</w:t>
      </w:r>
    </w:p>
    <w:p w:rsidR="00B72654" w:rsidRPr="00AF629F" w:rsidRDefault="00AF629F" w:rsidP="00B72654">
      <w:pPr>
        <w:pStyle w:val="Prrafodelista"/>
        <w:ind w:left="0"/>
        <w:jc w:val="both"/>
        <w:rPr>
          <w:rFonts w:ascii="Times New Roman" w:eastAsia="Cambria" w:hAnsi="Times New Roman" w:cs="Times New Roman"/>
          <w:bCs/>
          <w:sz w:val="28"/>
          <w:szCs w:val="28"/>
        </w:rPr>
      </w:pPr>
    </w:p>
    <w:p w:rsidR="005A0EAD" w:rsidRPr="00AF629F" w:rsidRDefault="00AF629F" w:rsidP="005A0EAD">
      <w:pPr>
        <w:pStyle w:val="Estilo1"/>
        <w:numPr>
          <w:ilvl w:val="1"/>
          <w:numId w:val="4"/>
        </w:numPr>
        <w:ind w:left="0" w:firstLine="0"/>
        <w:outlineLvl w:val="0"/>
        <w:rPr>
          <w:rFonts w:ascii="Times New Roman" w:eastAsia="Cambria" w:hAnsi="Times New Roman" w:cs="Times New Roman"/>
          <w:b/>
          <w:bCs/>
        </w:rPr>
      </w:pPr>
      <w:r w:rsidRPr="00AF629F">
        <w:rPr>
          <w:rFonts w:ascii="Times New Roman" w:hAnsi="Times New Roman" w:cs="Times New Roman"/>
          <w:b/>
          <w:bCs/>
        </w:rPr>
        <w:t xml:space="preserve">No obstante, </w:t>
      </w:r>
      <w:r w:rsidRPr="00AF629F">
        <w:rPr>
          <w:rFonts w:ascii="Times New Roman" w:hAnsi="Times New Roman" w:cs="Times New Roman"/>
          <w:b/>
          <w:bCs/>
        </w:rPr>
        <w:t xml:space="preserve">la disposición </w:t>
      </w:r>
      <w:r w:rsidRPr="00AF629F">
        <w:rPr>
          <w:rFonts w:ascii="Times New Roman" w:hAnsi="Times New Roman" w:cs="Times New Roman"/>
          <w:b/>
          <w:bCs/>
        </w:rPr>
        <w:t xml:space="preserve">demandada </w:t>
      </w:r>
      <w:r w:rsidRPr="00AF629F">
        <w:rPr>
          <w:rFonts w:ascii="Times New Roman" w:hAnsi="Times New Roman" w:cs="Times New Roman"/>
          <w:b/>
          <w:bCs/>
        </w:rPr>
        <w:t xml:space="preserve">no </w:t>
      </w:r>
      <w:r w:rsidRPr="00AF629F">
        <w:rPr>
          <w:rFonts w:ascii="Times New Roman" w:hAnsi="Times New Roman" w:cs="Times New Roman"/>
          <w:b/>
          <w:bCs/>
        </w:rPr>
        <w:t>tiene</w:t>
      </w:r>
      <w:r w:rsidRPr="00AF629F">
        <w:rPr>
          <w:rFonts w:ascii="Times New Roman" w:hAnsi="Times New Roman" w:cs="Times New Roman"/>
          <w:b/>
          <w:bCs/>
        </w:rPr>
        <w:t xml:space="preserve"> un fin planificador</w:t>
      </w:r>
      <w:r w:rsidRPr="00AF629F">
        <w:rPr>
          <w:rFonts w:ascii="Times New Roman" w:hAnsi="Times New Roman" w:cs="Times New Roman"/>
          <w:b/>
          <w:bCs/>
        </w:rPr>
        <w:t xml:space="preserve"> </w:t>
      </w:r>
      <w:r w:rsidRPr="00AF629F">
        <w:rPr>
          <w:rFonts w:ascii="Times New Roman" w:hAnsi="Times New Roman" w:cs="Times New Roman"/>
          <w:b/>
          <w:bCs/>
        </w:rPr>
        <w:t>ni</w:t>
      </w:r>
      <w:r w:rsidRPr="00AF629F">
        <w:rPr>
          <w:rFonts w:ascii="Times New Roman" w:hAnsi="Times New Roman" w:cs="Times New Roman"/>
          <w:b/>
          <w:bCs/>
        </w:rPr>
        <w:t xml:space="preserve"> de impulso a la ejecución del plan cuatrienal</w:t>
      </w:r>
      <w:r w:rsidRPr="00AF629F">
        <w:rPr>
          <w:rFonts w:ascii="Times New Roman" w:hAnsi="Times New Roman" w:cs="Times New Roman"/>
          <w:b/>
          <w:bCs/>
        </w:rPr>
        <w:t xml:space="preserve">; por </w:t>
      </w:r>
      <w:r w:rsidRPr="00AF629F">
        <w:rPr>
          <w:rFonts w:ascii="Times New Roman" w:hAnsi="Times New Roman" w:cs="Times New Roman"/>
          <w:b/>
          <w:bCs/>
        </w:rPr>
        <w:t>el contrario, introduce una</w:t>
      </w:r>
      <w:r w:rsidRPr="00AF629F">
        <w:rPr>
          <w:rFonts w:ascii="Times New Roman" w:hAnsi="Times New Roman" w:cs="Times New Roman"/>
          <w:b/>
          <w:bCs/>
        </w:rPr>
        <w:t xml:space="preserve"> </w:t>
      </w:r>
      <w:r w:rsidRPr="00AF629F">
        <w:rPr>
          <w:rFonts w:ascii="Times New Roman" w:hAnsi="Times New Roman" w:cs="Times New Roman"/>
          <w:b/>
          <w:bCs/>
        </w:rPr>
        <w:t>modificaci</w:t>
      </w:r>
      <w:r w:rsidRPr="00AF629F">
        <w:rPr>
          <w:rFonts w:ascii="Times New Roman" w:hAnsi="Times New Roman" w:cs="Times New Roman"/>
          <w:b/>
          <w:bCs/>
        </w:rPr>
        <w:t>ó</w:t>
      </w:r>
      <w:r w:rsidRPr="00AF629F">
        <w:rPr>
          <w:rFonts w:ascii="Times New Roman" w:hAnsi="Times New Roman" w:cs="Times New Roman"/>
          <w:b/>
          <w:bCs/>
        </w:rPr>
        <w:t>n</w:t>
      </w:r>
      <w:r w:rsidRPr="00AF629F">
        <w:rPr>
          <w:rFonts w:ascii="Times New Roman" w:hAnsi="Times New Roman" w:cs="Times New Roman"/>
          <w:b/>
          <w:bCs/>
        </w:rPr>
        <w:t xml:space="preserve"> permanente</w:t>
      </w:r>
      <w:r w:rsidRPr="00AF629F">
        <w:rPr>
          <w:rFonts w:ascii="Times New Roman" w:hAnsi="Times New Roman" w:cs="Times New Roman"/>
          <w:b/>
          <w:bCs/>
        </w:rPr>
        <w:t>,</w:t>
      </w:r>
      <w:r w:rsidRPr="00AF629F">
        <w:rPr>
          <w:rFonts w:ascii="Times New Roman" w:hAnsi="Times New Roman" w:cs="Times New Roman"/>
          <w:b/>
          <w:bCs/>
        </w:rPr>
        <w:t xml:space="preserve"> estructural </w:t>
      </w:r>
      <w:r w:rsidRPr="00AF629F">
        <w:rPr>
          <w:rFonts w:ascii="Times New Roman" w:hAnsi="Times New Roman" w:cs="Times New Roman"/>
          <w:b/>
          <w:bCs/>
        </w:rPr>
        <w:t>o compleja</w:t>
      </w:r>
      <w:r w:rsidRPr="00AF629F">
        <w:rPr>
          <w:rFonts w:ascii="Times New Roman" w:hAnsi="Times New Roman" w:cs="Times New Roman"/>
          <w:b/>
          <w:bCs/>
        </w:rPr>
        <w:t>,</w:t>
      </w:r>
      <w:r w:rsidRPr="00AF629F">
        <w:rPr>
          <w:rFonts w:ascii="Times New Roman" w:hAnsi="Times New Roman" w:cs="Times New Roman"/>
          <w:b/>
          <w:bCs/>
        </w:rPr>
        <w:t xml:space="preserve"> </w:t>
      </w:r>
      <w:r w:rsidRPr="00AF629F">
        <w:rPr>
          <w:rFonts w:ascii="Times New Roman" w:hAnsi="Times New Roman" w:cs="Times New Roman"/>
          <w:b/>
          <w:bCs/>
        </w:rPr>
        <w:t>que desplaza las competencias ordinarias del legislador y afecta</w:t>
      </w:r>
      <w:r w:rsidRPr="00AF629F">
        <w:rPr>
          <w:rFonts w:ascii="Times New Roman" w:hAnsi="Times New Roman" w:cs="Times New Roman"/>
          <w:b/>
          <w:bCs/>
        </w:rPr>
        <w:t>n</w:t>
      </w:r>
      <w:r w:rsidRPr="00AF629F">
        <w:rPr>
          <w:rFonts w:ascii="Times New Roman" w:hAnsi="Times New Roman" w:cs="Times New Roman"/>
          <w:b/>
          <w:bCs/>
        </w:rPr>
        <w:t xml:space="preserve"> el principio democrático</w:t>
      </w:r>
      <w:r w:rsidRPr="00AF629F">
        <w:rPr>
          <w:rFonts w:ascii="Times New Roman" w:hAnsi="Times New Roman" w:cs="Times New Roman"/>
          <w:b/>
          <w:bCs/>
        </w:rPr>
        <w:t>.</w:t>
      </w:r>
    </w:p>
    <w:p w:rsidR="005A0EAD" w:rsidRPr="00AF629F" w:rsidRDefault="00AF629F" w:rsidP="005A0EAD">
      <w:pPr>
        <w:pStyle w:val="Prrafodelista"/>
        <w:ind w:left="0"/>
        <w:jc w:val="both"/>
        <w:rPr>
          <w:rFonts w:ascii="Times New Roman" w:eastAsia="Cambria" w:hAnsi="Times New Roman" w:cs="Times New Roman"/>
          <w:bCs/>
          <w:sz w:val="28"/>
          <w:szCs w:val="28"/>
        </w:rPr>
      </w:pPr>
    </w:p>
    <w:p w:rsidR="00D26E87" w:rsidRPr="00AF629F" w:rsidRDefault="00AF629F" w:rsidP="00362983">
      <w:pPr>
        <w:pStyle w:val="Prrafodelista"/>
        <w:numPr>
          <w:ilvl w:val="0"/>
          <w:numId w:val="2"/>
        </w:numPr>
        <w:shd w:val="clear" w:color="auto" w:fill="FFFFFF"/>
        <w:ind w:left="0" w:right="51" w:firstLine="0"/>
        <w:jc w:val="both"/>
        <w:rPr>
          <w:rFonts w:ascii="Times New Roman" w:eastAsia="Cambria" w:hAnsi="Times New Roman" w:cs="Times New Roman"/>
          <w:bCs/>
          <w:sz w:val="28"/>
          <w:szCs w:val="28"/>
        </w:rPr>
      </w:pPr>
      <w:r w:rsidRPr="00AF629F">
        <w:rPr>
          <w:rFonts w:ascii="Times New Roman" w:hAnsi="Times New Roman" w:cs="Times New Roman"/>
          <w:sz w:val="28"/>
          <w:szCs w:val="28"/>
        </w:rPr>
        <w:t xml:space="preserve">Como se </w:t>
      </w:r>
      <w:r w:rsidRPr="00AF629F">
        <w:rPr>
          <w:rFonts w:ascii="Times New Roman" w:hAnsi="Times New Roman" w:cs="Times New Roman"/>
          <w:sz w:val="28"/>
          <w:szCs w:val="28"/>
        </w:rPr>
        <w:t>indicó</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el artículo 322 de la Ley 2294 de 2023</w:t>
      </w:r>
      <w:r w:rsidRPr="00AF629F">
        <w:rPr>
          <w:rFonts w:ascii="Times New Roman" w:eastAsia="Cambria" w:hAnsi="Times New Roman" w:cs="Times New Roman"/>
          <w:bCs/>
          <w:sz w:val="28"/>
          <w:szCs w:val="28"/>
        </w:rPr>
        <w:t xml:space="preserve"> modifica </w:t>
      </w:r>
      <w:r w:rsidRPr="00AF629F">
        <w:rPr>
          <w:rFonts w:ascii="Times New Roman" w:eastAsia="Cambria" w:hAnsi="Times New Roman" w:cs="Times New Roman"/>
          <w:bCs/>
          <w:sz w:val="28"/>
          <w:szCs w:val="28"/>
        </w:rPr>
        <w:t xml:space="preserve">de manera permanente </w:t>
      </w:r>
      <w:r w:rsidRPr="00AF629F">
        <w:rPr>
          <w:rFonts w:ascii="Times New Roman" w:eastAsia="Cambria" w:hAnsi="Times New Roman" w:cs="Times New Roman"/>
          <w:bCs/>
          <w:sz w:val="28"/>
          <w:szCs w:val="28"/>
        </w:rPr>
        <w:t>el régimen</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de </w:t>
      </w:r>
      <w:r w:rsidRPr="00AF629F">
        <w:rPr>
          <w:rFonts w:ascii="Times New Roman" w:eastAsia="Cambria" w:hAnsi="Times New Roman" w:cs="Times New Roman"/>
          <w:bCs/>
          <w:sz w:val="28"/>
          <w:szCs w:val="28"/>
        </w:rPr>
        <w:t xml:space="preserve">administración de los recursos del </w:t>
      </w:r>
      <w:r w:rsidRPr="00AF629F">
        <w:rPr>
          <w:rFonts w:ascii="Times New Roman" w:eastAsia="Cambria" w:hAnsi="Times New Roman" w:cs="Times New Roman"/>
          <w:bCs/>
          <w:sz w:val="28"/>
          <w:szCs w:val="28"/>
        </w:rPr>
        <w:t>FONPET</w:t>
      </w:r>
      <w:r w:rsidRPr="00AF629F">
        <w:rPr>
          <w:rFonts w:ascii="Times New Roman" w:eastAsia="Cambria" w:hAnsi="Times New Roman" w:cs="Times New Roman"/>
          <w:bCs/>
          <w:sz w:val="28"/>
          <w:szCs w:val="28"/>
        </w:rPr>
        <w:t xml:space="preserve"> previst</w:t>
      </w:r>
      <w:r w:rsidRPr="00AF629F">
        <w:rPr>
          <w:rFonts w:ascii="Times New Roman" w:eastAsia="Cambria" w:hAnsi="Times New Roman" w:cs="Times New Roman"/>
          <w:bCs/>
          <w:sz w:val="28"/>
          <w:szCs w:val="28"/>
        </w:rPr>
        <w:t xml:space="preserve">o </w:t>
      </w:r>
      <w:r w:rsidRPr="00AF629F">
        <w:rPr>
          <w:rFonts w:ascii="Times New Roman" w:eastAsia="Cambria" w:hAnsi="Times New Roman" w:cs="Times New Roman"/>
          <w:bCs/>
          <w:sz w:val="28"/>
          <w:szCs w:val="28"/>
        </w:rPr>
        <w:t>en la Ley 549 de 1999,</w:t>
      </w:r>
      <w:r w:rsidRPr="00AF629F">
        <w:rPr>
          <w:rFonts w:ascii="Times New Roman" w:eastAsia="Cambria" w:hAnsi="Times New Roman" w:cs="Times New Roman"/>
          <w:bCs/>
          <w:sz w:val="28"/>
          <w:szCs w:val="28"/>
        </w:rPr>
        <w:t xml:space="preserve"> en dos sentidos: </w:t>
      </w:r>
      <w:r w:rsidRPr="00AF629F">
        <w:rPr>
          <w:rFonts w:ascii="Times New Roman" w:eastAsia="Cambria" w:hAnsi="Times New Roman" w:cs="Times New Roman"/>
          <w:bCs/>
          <w:sz w:val="28"/>
          <w:szCs w:val="28"/>
        </w:rPr>
        <w:t xml:space="preserve">(i) </w:t>
      </w:r>
      <w:r w:rsidRPr="00AF629F">
        <w:rPr>
          <w:rFonts w:ascii="Times New Roman" w:eastAsia="Cambria" w:hAnsi="Times New Roman" w:cs="Times New Roman"/>
          <w:bCs/>
          <w:sz w:val="28"/>
          <w:szCs w:val="28"/>
        </w:rPr>
        <w:t xml:space="preserve">al </w:t>
      </w:r>
      <w:r w:rsidRPr="00AF629F">
        <w:rPr>
          <w:rFonts w:ascii="Times New Roman" w:eastAsia="Cambria" w:hAnsi="Times New Roman" w:cs="Times New Roman"/>
          <w:bCs/>
          <w:sz w:val="28"/>
          <w:szCs w:val="28"/>
        </w:rPr>
        <w:t xml:space="preserve">eliminar la exigencia de que </w:t>
      </w:r>
      <w:r w:rsidRPr="00AF629F">
        <w:rPr>
          <w:rFonts w:ascii="Times New Roman" w:eastAsia="Cambria" w:hAnsi="Times New Roman" w:cs="Times New Roman"/>
          <w:bCs/>
          <w:sz w:val="28"/>
          <w:szCs w:val="28"/>
        </w:rPr>
        <w:t>la administración de estos recursos se contrate mediante</w:t>
      </w:r>
      <w:r w:rsidRPr="00AF629F">
        <w:rPr>
          <w:rFonts w:ascii="Times New Roman" w:eastAsia="Cambria" w:hAnsi="Times New Roman" w:cs="Times New Roman"/>
          <w:bCs/>
          <w:sz w:val="28"/>
          <w:szCs w:val="28"/>
        </w:rPr>
        <w:t xml:space="preserve"> un procedimiento de licitación pública</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ya que </w:t>
      </w:r>
      <w:r w:rsidRPr="00AF629F">
        <w:rPr>
          <w:rFonts w:ascii="Times New Roman" w:eastAsia="Cambria" w:hAnsi="Times New Roman" w:cs="Times New Roman"/>
          <w:bCs/>
          <w:sz w:val="28"/>
          <w:szCs w:val="28"/>
        </w:rPr>
        <w:t xml:space="preserve">autoriza que </w:t>
      </w:r>
      <w:r w:rsidRPr="00AF629F">
        <w:rPr>
          <w:rFonts w:ascii="Times New Roman" w:eastAsia="Cambria" w:hAnsi="Times New Roman" w:cs="Times New Roman"/>
          <w:bCs/>
          <w:sz w:val="28"/>
          <w:szCs w:val="28"/>
        </w:rPr>
        <w:t xml:space="preserve">se </w:t>
      </w:r>
      <w:r w:rsidRPr="00AF629F">
        <w:rPr>
          <w:rFonts w:ascii="Times New Roman" w:eastAsia="Cambria" w:hAnsi="Times New Roman" w:cs="Times New Roman"/>
          <w:bCs/>
          <w:sz w:val="28"/>
          <w:szCs w:val="28"/>
        </w:rPr>
        <w:t xml:space="preserve">acuda </w:t>
      </w:r>
      <w:r w:rsidRPr="00AF629F">
        <w:rPr>
          <w:rFonts w:ascii="Times New Roman" w:eastAsia="Cambria" w:hAnsi="Times New Roman" w:cs="Times New Roman"/>
          <w:bCs/>
          <w:sz w:val="28"/>
          <w:szCs w:val="28"/>
        </w:rPr>
        <w:t xml:space="preserve">a la celebración de contratos interadministrativos mediante </w:t>
      </w:r>
      <w:r w:rsidRPr="00AF629F">
        <w:rPr>
          <w:rFonts w:ascii="Times New Roman" w:eastAsia="Cambria" w:hAnsi="Times New Roman" w:cs="Times New Roman"/>
          <w:bCs/>
          <w:sz w:val="28"/>
          <w:szCs w:val="28"/>
        </w:rPr>
        <w:t>contratación directa</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y </w:t>
      </w:r>
      <w:r w:rsidRPr="00AF629F">
        <w:rPr>
          <w:rFonts w:ascii="Times New Roman" w:eastAsia="Cambria" w:hAnsi="Times New Roman" w:cs="Times New Roman"/>
          <w:bCs/>
          <w:sz w:val="28"/>
          <w:szCs w:val="28"/>
        </w:rPr>
        <w:t xml:space="preserve">(ii) </w:t>
      </w:r>
      <w:r w:rsidRPr="00AF629F">
        <w:rPr>
          <w:rFonts w:ascii="Times New Roman" w:eastAsia="Cambria" w:hAnsi="Times New Roman" w:cs="Times New Roman"/>
          <w:bCs/>
          <w:sz w:val="28"/>
          <w:szCs w:val="28"/>
        </w:rPr>
        <w:t xml:space="preserve">al </w:t>
      </w:r>
      <w:r w:rsidRPr="00AF629F">
        <w:rPr>
          <w:rFonts w:ascii="Times New Roman" w:eastAsia="Cambria" w:hAnsi="Times New Roman" w:cs="Times New Roman"/>
          <w:bCs/>
          <w:sz w:val="28"/>
          <w:szCs w:val="28"/>
        </w:rPr>
        <w:t xml:space="preserve">restringir el mercado </w:t>
      </w:r>
      <w:r w:rsidRPr="00AF629F">
        <w:rPr>
          <w:rFonts w:ascii="Times New Roman" w:eastAsia="Cambria" w:hAnsi="Times New Roman" w:cs="Times New Roman"/>
          <w:bCs/>
          <w:sz w:val="28"/>
          <w:szCs w:val="28"/>
        </w:rPr>
        <w:t xml:space="preserve">de oferentes </w:t>
      </w:r>
      <w:r w:rsidRPr="00AF629F">
        <w:rPr>
          <w:rFonts w:ascii="Times New Roman" w:eastAsia="Cambria" w:hAnsi="Times New Roman" w:cs="Times New Roman"/>
          <w:bCs/>
          <w:sz w:val="28"/>
          <w:szCs w:val="28"/>
        </w:rPr>
        <w:t xml:space="preserve">exclusivamente </w:t>
      </w:r>
      <w:r w:rsidRPr="00AF629F">
        <w:rPr>
          <w:rFonts w:ascii="Times New Roman" w:eastAsia="Cambria" w:hAnsi="Times New Roman" w:cs="Times New Roman"/>
          <w:bCs/>
          <w:sz w:val="28"/>
          <w:szCs w:val="28"/>
        </w:rPr>
        <w:t>a “sociedades fiduciarias de carácter público”</w:t>
      </w:r>
      <w:r w:rsidRPr="00AF629F">
        <w:rPr>
          <w:rFonts w:ascii="Times New Roman" w:eastAsia="Cambria" w:hAnsi="Times New Roman" w:cs="Times New Roman"/>
          <w:bCs/>
          <w:sz w:val="28"/>
          <w:szCs w:val="28"/>
        </w:rPr>
        <w:t>, a pesar de que la normativa ordinaria permit</w:t>
      </w:r>
      <w:r w:rsidRPr="00AF629F">
        <w:rPr>
          <w:rFonts w:ascii="Times New Roman" w:eastAsia="Cambria" w:hAnsi="Times New Roman" w:cs="Times New Roman"/>
          <w:bCs/>
          <w:sz w:val="28"/>
          <w:szCs w:val="28"/>
        </w:rPr>
        <w:t>e</w:t>
      </w:r>
      <w:r w:rsidRPr="00AF629F">
        <w:rPr>
          <w:rFonts w:ascii="Times New Roman" w:eastAsia="Cambria" w:hAnsi="Times New Roman" w:cs="Times New Roman"/>
          <w:bCs/>
          <w:sz w:val="28"/>
          <w:szCs w:val="28"/>
        </w:rPr>
        <w:t xml:space="preserve"> la participación de </w:t>
      </w:r>
      <w:r w:rsidRPr="00AF629F">
        <w:rPr>
          <w:rFonts w:ascii="Times New Roman" w:eastAsia="Cambria" w:hAnsi="Times New Roman" w:cs="Times New Roman"/>
          <w:bCs/>
          <w:sz w:val="28"/>
          <w:szCs w:val="28"/>
        </w:rPr>
        <w:t>proponentes de naturaleza pública y privada</w:t>
      </w:r>
      <w:r w:rsidRPr="00AF629F">
        <w:rPr>
          <w:rFonts w:ascii="Times New Roman" w:eastAsia="Cambria" w:hAnsi="Times New Roman" w:cs="Times New Roman"/>
          <w:bCs/>
          <w:sz w:val="28"/>
          <w:szCs w:val="28"/>
        </w:rPr>
        <w:t xml:space="preserve"> conformados bajo la forma de </w:t>
      </w:r>
      <w:r w:rsidRPr="00AF629F">
        <w:rPr>
          <w:rFonts w:ascii="Times New Roman" w:hAnsi="Times New Roman" w:cs="Times New Roman"/>
          <w:bCs/>
          <w:sz w:val="28"/>
          <w:szCs w:val="28"/>
          <w:lang w:val="es-MX"/>
        </w:rPr>
        <w:t xml:space="preserve">sociedades administradoras de fondos de pensiones y cesantías, sociedades fiduciarias </w:t>
      </w:r>
      <w:r w:rsidRPr="00AF629F">
        <w:rPr>
          <w:rFonts w:ascii="Times New Roman" w:hAnsi="Times New Roman" w:cs="Times New Roman"/>
          <w:bCs/>
          <w:sz w:val="28"/>
          <w:szCs w:val="28"/>
          <w:lang w:val="es-MX"/>
        </w:rPr>
        <w:t xml:space="preserve">y </w:t>
      </w:r>
      <w:r w:rsidRPr="00AF629F">
        <w:rPr>
          <w:rFonts w:ascii="Times New Roman" w:hAnsi="Times New Roman" w:cs="Times New Roman"/>
          <w:bCs/>
          <w:sz w:val="28"/>
          <w:szCs w:val="28"/>
          <w:lang w:val="es-MX"/>
        </w:rPr>
        <w:t>compañías de seguros de vida</w:t>
      </w:r>
      <w:r w:rsidRPr="00AF629F">
        <w:rPr>
          <w:rFonts w:ascii="Times New Roman" w:hAnsi="Times New Roman" w:cs="Times New Roman"/>
          <w:bCs/>
          <w:sz w:val="28"/>
          <w:szCs w:val="28"/>
          <w:lang w:val="es-MX"/>
        </w:rPr>
        <w:t xml:space="preserve">, </w:t>
      </w:r>
      <w:r w:rsidRPr="00AF629F">
        <w:rPr>
          <w:rFonts w:ascii="Times New Roman" w:hAnsi="Times New Roman" w:cs="Times New Roman"/>
          <w:bCs/>
          <w:sz w:val="28"/>
          <w:szCs w:val="28"/>
          <w:lang w:val="es-MX"/>
        </w:rPr>
        <w:t xml:space="preserve">siempre </w:t>
      </w:r>
      <w:r w:rsidRPr="00AF629F">
        <w:rPr>
          <w:rFonts w:ascii="Times New Roman" w:hAnsi="Times New Roman" w:cs="Times New Roman"/>
          <w:bCs/>
          <w:sz w:val="28"/>
          <w:szCs w:val="28"/>
          <w:lang w:val="es-MX"/>
        </w:rPr>
        <w:t>que</w:t>
      </w:r>
      <w:r w:rsidRPr="00AF629F">
        <w:rPr>
          <w:rFonts w:ascii="Times New Roman" w:hAnsi="Times New Roman" w:cs="Times New Roman"/>
          <w:bCs/>
          <w:sz w:val="28"/>
          <w:szCs w:val="28"/>
          <w:lang w:val="es-MX"/>
        </w:rPr>
        <w:t xml:space="preserve"> </w:t>
      </w:r>
      <w:r w:rsidRPr="00AF629F">
        <w:rPr>
          <w:rFonts w:ascii="Times New Roman" w:hAnsi="Times New Roman" w:cs="Times New Roman"/>
          <w:bCs/>
          <w:sz w:val="28"/>
          <w:szCs w:val="28"/>
          <w:lang w:val="es-MX"/>
        </w:rPr>
        <w:t xml:space="preserve">estén </w:t>
      </w:r>
      <w:r w:rsidRPr="00AF629F">
        <w:rPr>
          <w:rFonts w:ascii="Times New Roman" w:hAnsi="Times New Roman" w:cs="Times New Roman"/>
          <w:sz w:val="28"/>
          <w:szCs w:val="28"/>
        </w:rPr>
        <w:t>facultad</w:t>
      </w:r>
      <w:r w:rsidRPr="00AF629F">
        <w:rPr>
          <w:rFonts w:ascii="Times New Roman" w:hAnsi="Times New Roman" w:cs="Times New Roman"/>
          <w:sz w:val="28"/>
          <w:szCs w:val="28"/>
        </w:rPr>
        <w:t>o</w:t>
      </w:r>
      <w:r w:rsidRPr="00AF629F">
        <w:rPr>
          <w:rFonts w:ascii="Times New Roman" w:hAnsi="Times New Roman" w:cs="Times New Roman"/>
          <w:sz w:val="28"/>
          <w:szCs w:val="28"/>
        </w:rPr>
        <w:t xml:space="preserve">s para administrar los recursos del </w:t>
      </w:r>
      <w:r w:rsidRPr="00AF629F">
        <w:rPr>
          <w:rFonts w:ascii="Times New Roman" w:hAnsi="Times New Roman" w:cs="Times New Roman"/>
          <w:sz w:val="28"/>
          <w:szCs w:val="28"/>
        </w:rPr>
        <w:t>s</w:t>
      </w:r>
      <w:r w:rsidRPr="00AF629F">
        <w:rPr>
          <w:rFonts w:ascii="Times New Roman" w:hAnsi="Times New Roman" w:cs="Times New Roman"/>
          <w:sz w:val="28"/>
          <w:szCs w:val="28"/>
        </w:rPr>
        <w:t xml:space="preserve">istema </w:t>
      </w:r>
      <w:r w:rsidRPr="00AF629F">
        <w:rPr>
          <w:rFonts w:ascii="Times New Roman" w:hAnsi="Times New Roman" w:cs="Times New Roman"/>
          <w:sz w:val="28"/>
          <w:szCs w:val="28"/>
        </w:rPr>
        <w:t>g</w:t>
      </w:r>
      <w:r w:rsidRPr="00AF629F">
        <w:rPr>
          <w:rFonts w:ascii="Times New Roman" w:hAnsi="Times New Roman" w:cs="Times New Roman"/>
          <w:sz w:val="28"/>
          <w:szCs w:val="28"/>
        </w:rPr>
        <w:t xml:space="preserve">eneral de </w:t>
      </w:r>
      <w:r w:rsidRPr="00AF629F">
        <w:rPr>
          <w:rFonts w:ascii="Times New Roman" w:hAnsi="Times New Roman" w:cs="Times New Roman"/>
          <w:sz w:val="28"/>
          <w:szCs w:val="28"/>
        </w:rPr>
        <w:t>p</w:t>
      </w:r>
      <w:r w:rsidRPr="00AF629F">
        <w:rPr>
          <w:rFonts w:ascii="Times New Roman" w:hAnsi="Times New Roman" w:cs="Times New Roman"/>
          <w:sz w:val="28"/>
          <w:szCs w:val="28"/>
        </w:rPr>
        <w:t xml:space="preserve">ensiones y de los regímenes pensionales </w:t>
      </w:r>
      <w:r w:rsidRPr="00AF629F">
        <w:rPr>
          <w:rFonts w:ascii="Times New Roman" w:hAnsi="Times New Roman" w:cs="Times New Roman"/>
          <w:sz w:val="28"/>
          <w:szCs w:val="28"/>
        </w:rPr>
        <w:t>exceptuados</w:t>
      </w:r>
      <w:r w:rsidRPr="00AF629F">
        <w:rPr>
          <w:rFonts w:ascii="Times New Roman" w:hAnsi="Times New Roman" w:cs="Times New Roman"/>
          <w:bCs/>
          <w:sz w:val="28"/>
          <w:szCs w:val="28"/>
          <w:lang w:val="es-MX"/>
        </w:rPr>
        <w:t>.</w:t>
      </w:r>
    </w:p>
    <w:p w:rsidR="00D40F20" w:rsidRPr="00AF629F" w:rsidRDefault="00AF629F" w:rsidP="00D40F20">
      <w:pPr>
        <w:pStyle w:val="Prrafodelista"/>
        <w:shd w:val="clear" w:color="auto" w:fill="FFFFFF"/>
        <w:ind w:left="0" w:right="51"/>
        <w:jc w:val="both"/>
        <w:rPr>
          <w:rFonts w:ascii="Times New Roman" w:hAnsi="Times New Roman" w:cs="Times New Roman"/>
          <w:sz w:val="28"/>
          <w:szCs w:val="28"/>
        </w:rPr>
      </w:pPr>
    </w:p>
    <w:p w:rsidR="007A442C" w:rsidRPr="00AF629F" w:rsidRDefault="00AF629F" w:rsidP="007A442C">
      <w:pPr>
        <w:pStyle w:val="Prrafodelista"/>
        <w:numPr>
          <w:ilvl w:val="0"/>
          <w:numId w:val="2"/>
        </w:numPr>
        <w:shd w:val="clear" w:color="auto" w:fill="FFFFFF"/>
        <w:ind w:left="0" w:right="51" w:firstLine="0"/>
        <w:jc w:val="both"/>
        <w:rPr>
          <w:rFonts w:ascii="Times New Roman" w:hAnsi="Times New Roman" w:cs="Times New Roman"/>
          <w:sz w:val="28"/>
          <w:szCs w:val="28"/>
        </w:rPr>
      </w:pPr>
      <w:r w:rsidRPr="00AF629F">
        <w:rPr>
          <w:rFonts w:ascii="Times New Roman" w:hAnsi="Times New Roman" w:cs="Times New Roman"/>
          <w:sz w:val="28"/>
          <w:szCs w:val="28"/>
        </w:rPr>
        <w:t>En los términos de la Sentencia C-415 de 2020</w:t>
      </w:r>
      <w:r w:rsidRPr="00AF629F">
        <w:rPr>
          <w:rFonts w:ascii="Times New Roman" w:hAnsi="Times New Roman" w:cs="Times New Roman"/>
          <w:sz w:val="28"/>
          <w:szCs w:val="28"/>
        </w:rPr>
        <w:t xml:space="preserve">, jurisprudencia ampliamente reiterada por la Sala tal como se indicó </w:t>
      </w:r>
      <w:r w:rsidRPr="00AF629F">
        <w:rPr>
          <w:rFonts w:ascii="Times New Roman" w:hAnsi="Times New Roman" w:cs="Times New Roman"/>
          <w:i/>
          <w:iCs/>
          <w:sz w:val="28"/>
          <w:szCs w:val="28"/>
        </w:rPr>
        <w:t xml:space="preserve">supra </w:t>
      </w:r>
      <w:r w:rsidRPr="00AF629F">
        <w:rPr>
          <w:rFonts w:ascii="Times New Roman" w:hAnsi="Times New Roman" w:cs="Times New Roman"/>
          <w:sz w:val="28"/>
          <w:szCs w:val="28"/>
        </w:rPr>
        <w:t>(Título 4.3)</w:t>
      </w:r>
      <w:r w:rsidRPr="00AF629F">
        <w:rPr>
          <w:rFonts w:ascii="Times New Roman" w:hAnsi="Times New Roman" w:cs="Times New Roman"/>
          <w:sz w:val="28"/>
          <w:szCs w:val="28"/>
        </w:rPr>
        <w:t>, si una política enfrenta una falencia estructura</w:t>
      </w:r>
      <w:r w:rsidRPr="00AF629F">
        <w:rPr>
          <w:rFonts w:ascii="Times New Roman" w:hAnsi="Times New Roman" w:cs="Times New Roman"/>
          <w:sz w:val="28"/>
          <w:szCs w:val="28"/>
        </w:rPr>
        <w:t xml:space="preserve">l, cuya naturaleza excede la órbita de acción del gobierno, la medida legislativa adoptada para solucionar dicha falencia debe ser, por su naturaleza, de carácter permanente. De lo contrario, se desconocería la vocación de temporalidad del </w:t>
      </w:r>
      <w:r w:rsidRPr="00AF629F">
        <w:rPr>
          <w:rFonts w:ascii="Times New Roman" w:hAnsi="Times New Roman" w:cs="Times New Roman"/>
          <w:sz w:val="28"/>
          <w:szCs w:val="28"/>
        </w:rPr>
        <w:t>plan nacional de</w:t>
      </w:r>
      <w:r w:rsidRPr="00AF629F">
        <w:rPr>
          <w:rFonts w:ascii="Times New Roman" w:hAnsi="Times New Roman" w:cs="Times New Roman"/>
          <w:sz w:val="28"/>
          <w:szCs w:val="28"/>
        </w:rPr>
        <w:t xml:space="preserve"> desarrollo</w:t>
      </w:r>
      <w:r w:rsidRPr="00AF629F">
        <w:rPr>
          <w:rFonts w:ascii="Times New Roman" w:hAnsi="Times New Roman" w:cs="Times New Roman"/>
          <w:sz w:val="28"/>
          <w:szCs w:val="28"/>
        </w:rPr>
        <w:t xml:space="preserve">, las medidas normativas </w:t>
      </w:r>
      <w:r w:rsidRPr="00AF629F">
        <w:rPr>
          <w:rFonts w:ascii="Times New Roman" w:hAnsi="Times New Roman" w:cs="Times New Roman"/>
          <w:sz w:val="28"/>
          <w:szCs w:val="28"/>
        </w:rPr>
        <w:t>que</w:t>
      </w:r>
      <w:r w:rsidRPr="00AF629F">
        <w:rPr>
          <w:rFonts w:ascii="Times New Roman" w:hAnsi="Times New Roman" w:cs="Times New Roman"/>
          <w:sz w:val="28"/>
          <w:szCs w:val="28"/>
        </w:rPr>
        <w:t xml:space="preserve"> se</w:t>
      </w:r>
      <w:r w:rsidRPr="00AF629F">
        <w:rPr>
          <w:rFonts w:ascii="Times New Roman" w:hAnsi="Times New Roman" w:cs="Times New Roman"/>
          <w:sz w:val="28"/>
          <w:szCs w:val="28"/>
        </w:rPr>
        <w:t xml:space="preserve"> a</w:t>
      </w:r>
      <w:r w:rsidRPr="00AF629F">
        <w:rPr>
          <w:rFonts w:ascii="Times New Roman" w:hAnsi="Times New Roman" w:cs="Times New Roman"/>
          <w:sz w:val="28"/>
          <w:szCs w:val="28"/>
        </w:rPr>
        <w:t>doptara</w:t>
      </w:r>
      <w:r w:rsidRPr="00AF629F">
        <w:rPr>
          <w:rFonts w:ascii="Times New Roman" w:hAnsi="Times New Roman" w:cs="Times New Roman"/>
          <w:sz w:val="28"/>
          <w:szCs w:val="28"/>
        </w:rPr>
        <w:t>n</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excederían la función constitucional de impulsar su cumplimiento y el plan se convertiría en un mecanismo para llenar vacíos legales que indudablemente </w:t>
      </w:r>
      <w:r w:rsidRPr="00AF629F">
        <w:rPr>
          <w:rFonts w:ascii="Times New Roman" w:hAnsi="Times New Roman" w:cs="Times New Roman"/>
          <w:sz w:val="28"/>
          <w:szCs w:val="28"/>
        </w:rPr>
        <w:t xml:space="preserve">le </w:t>
      </w:r>
      <w:r w:rsidRPr="00AF629F">
        <w:rPr>
          <w:rFonts w:ascii="Times New Roman" w:hAnsi="Times New Roman" w:cs="Times New Roman"/>
          <w:sz w:val="28"/>
          <w:szCs w:val="28"/>
        </w:rPr>
        <w:t xml:space="preserve">corresponde tramitar al legislador </w:t>
      </w:r>
      <w:r w:rsidRPr="00AF629F">
        <w:rPr>
          <w:rFonts w:ascii="Times New Roman" w:hAnsi="Times New Roman" w:cs="Times New Roman"/>
          <w:sz w:val="28"/>
          <w:szCs w:val="28"/>
        </w:rPr>
        <w:t xml:space="preserve"> en ejercicio de su competencia reguladora ordinaria</w:t>
      </w:r>
      <w:r w:rsidRPr="00AF629F">
        <w:rPr>
          <w:rFonts w:ascii="Times New Roman" w:hAnsi="Times New Roman" w:cs="Times New Roman"/>
          <w:sz w:val="28"/>
          <w:szCs w:val="28"/>
        </w:rPr>
        <w:t xml:space="preserve">, razón por la </w:t>
      </w:r>
      <w:r w:rsidRPr="00AF629F">
        <w:rPr>
          <w:rFonts w:ascii="Times New Roman" w:hAnsi="Times New Roman" w:cs="Times New Roman"/>
          <w:sz w:val="28"/>
          <w:szCs w:val="28"/>
        </w:rPr>
        <w:t xml:space="preserve">cual, </w:t>
      </w:r>
      <w:r w:rsidRPr="00AF629F">
        <w:rPr>
          <w:rFonts w:ascii="Times New Roman" w:hAnsi="Times New Roman" w:cs="Times New Roman"/>
          <w:sz w:val="28"/>
          <w:szCs w:val="28"/>
        </w:rPr>
        <w:t>la pretensión de instaurar políticas de largo aliento, más allá del periodo del gobierno</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exige su propuesta e impulso ante el Congreso de la República en garantía del principio democ</w:t>
      </w:r>
      <w:r w:rsidRPr="00AF629F">
        <w:rPr>
          <w:rFonts w:ascii="Times New Roman" w:hAnsi="Times New Roman" w:cs="Times New Roman"/>
          <w:sz w:val="28"/>
          <w:szCs w:val="28"/>
        </w:rPr>
        <w:t>rático.</w:t>
      </w:r>
    </w:p>
    <w:p w:rsidR="007A442C" w:rsidRPr="00AF629F" w:rsidRDefault="00AF629F" w:rsidP="007A442C">
      <w:pPr>
        <w:pStyle w:val="Prrafodelista"/>
        <w:rPr>
          <w:rFonts w:ascii="Times New Roman" w:hAnsi="Times New Roman" w:cs="Times New Roman"/>
          <w:sz w:val="28"/>
          <w:szCs w:val="28"/>
        </w:rPr>
      </w:pPr>
    </w:p>
    <w:p w:rsidR="007A442C" w:rsidRPr="00AF629F" w:rsidRDefault="00AF629F" w:rsidP="007A442C">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sz w:val="28"/>
          <w:szCs w:val="28"/>
        </w:rPr>
        <w:t>S</w:t>
      </w:r>
      <w:r w:rsidRPr="00AF629F">
        <w:rPr>
          <w:rFonts w:ascii="Times New Roman" w:hAnsi="Times New Roman" w:cs="Times New Roman"/>
          <w:sz w:val="28"/>
          <w:szCs w:val="28"/>
        </w:rPr>
        <w:t>obre el particular</w:t>
      </w:r>
      <w:r w:rsidRPr="00AF629F">
        <w:rPr>
          <w:rFonts w:ascii="Times New Roman" w:hAnsi="Times New Roman" w:cs="Times New Roman"/>
          <w:sz w:val="28"/>
          <w:szCs w:val="28"/>
        </w:rPr>
        <w:t xml:space="preserve">, como se indica en la </w:t>
      </w:r>
      <w:r w:rsidRPr="00AF629F">
        <w:rPr>
          <w:rFonts w:ascii="Times New Roman" w:hAnsi="Times New Roman" w:cs="Times New Roman"/>
          <w:sz w:val="28"/>
          <w:szCs w:val="28"/>
        </w:rPr>
        <w:t>C-415 de 2020</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“el principio de unidad de materia en la ley del plan proscribe de manera general la aprobación de reglas que modifiquen normas de carácter permanente o impliquen reformas estructurales, aun</w:t>
      </w:r>
      <w:r w:rsidRPr="00AF629F">
        <w:rPr>
          <w:rFonts w:ascii="Times New Roman" w:hAnsi="Times New Roman" w:cs="Times New Roman"/>
          <w:sz w:val="28"/>
          <w:szCs w:val="28"/>
        </w:rPr>
        <w:t xml:space="preserve">que no impide la modificación de leyes ordinarias de carácter permanente, siempre que la modificación tenga un fin planificador y de impulso a la ejecución del plan cuatrienal”, pero su vigencia, en principio, corresponderá a la del plan cuyo cumplimiento </w:t>
      </w:r>
      <w:r w:rsidRPr="00AF629F">
        <w:rPr>
          <w:rFonts w:ascii="Times New Roman" w:hAnsi="Times New Roman" w:cs="Times New Roman"/>
          <w:sz w:val="28"/>
          <w:szCs w:val="28"/>
        </w:rPr>
        <w:t>pretende impulsar</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109)</w:t>
      </w:r>
      <w:r w:rsidRPr="00AF629F">
        <w:rPr>
          <w:rFonts w:ascii="Times New Roman" w:hAnsi="Times New Roman" w:cs="Times New Roman"/>
          <w:sz w:val="28"/>
          <w:szCs w:val="28"/>
        </w:rPr>
        <w:t>. P</w:t>
      </w:r>
      <w:r w:rsidRPr="00AF629F">
        <w:rPr>
          <w:rFonts w:ascii="Times New Roman" w:hAnsi="Times New Roman" w:cs="Times New Roman"/>
          <w:sz w:val="28"/>
          <w:szCs w:val="28"/>
        </w:rPr>
        <w:t xml:space="preserve">ara </w:t>
      </w:r>
      <w:r w:rsidRPr="00AF629F">
        <w:rPr>
          <w:rFonts w:ascii="Times New Roman" w:hAnsi="Times New Roman" w:cs="Times New Roman"/>
          <w:sz w:val="28"/>
          <w:szCs w:val="28"/>
        </w:rPr>
        <w:t xml:space="preserve">estos efectos, </w:t>
      </w:r>
      <w:r w:rsidRPr="00AF629F">
        <w:rPr>
          <w:rFonts w:ascii="Times New Roman" w:hAnsi="Times New Roman" w:cs="Times New Roman"/>
          <w:sz w:val="28"/>
          <w:szCs w:val="28"/>
        </w:rPr>
        <w:t>es “</w:t>
      </w:r>
      <w:r w:rsidRPr="00AF629F">
        <w:rPr>
          <w:rFonts w:ascii="Times New Roman" w:hAnsi="Times New Roman" w:cs="Times New Roman"/>
          <w:b/>
          <w:bCs/>
          <w:sz w:val="28"/>
          <w:szCs w:val="28"/>
          <w:shd w:val="clear" w:color="auto" w:fill="FFFFFF"/>
        </w:rPr>
        <w:t>menester que la iniciativa gubernamental en materia del PND hubiere estado precedida de la </w:t>
      </w:r>
      <w:r w:rsidRPr="00AF629F">
        <w:rPr>
          <w:rFonts w:ascii="Times New Roman" w:hAnsi="Times New Roman" w:cs="Times New Roman"/>
          <w:b/>
          <w:bCs/>
          <w:i/>
          <w:iCs/>
          <w:sz w:val="28"/>
          <w:szCs w:val="28"/>
          <w:shd w:val="clear" w:color="auto" w:fill="FFFFFF"/>
        </w:rPr>
        <w:t>justificación suficiente</w:t>
      </w:r>
      <w:r w:rsidRPr="00AF629F">
        <w:rPr>
          <w:rFonts w:ascii="Times New Roman" w:hAnsi="Times New Roman" w:cs="Times New Roman"/>
          <w:b/>
          <w:bCs/>
          <w:sz w:val="28"/>
          <w:szCs w:val="28"/>
          <w:shd w:val="clear" w:color="auto" w:fill="FFFFFF"/>
        </w:rPr>
        <w:t> que evidenciara con claridad que la disposición pretendida</w:t>
      </w:r>
      <w:r w:rsidRPr="00AF629F">
        <w:rPr>
          <w:rFonts w:ascii="Times New Roman" w:hAnsi="Times New Roman" w:cs="Times New Roman"/>
          <w:sz w:val="28"/>
          <w:szCs w:val="28"/>
          <w:shd w:val="clear" w:color="auto" w:fill="FFFFFF"/>
        </w:rPr>
        <w:t xml:space="preserve">: i) constituye una expresión </w:t>
      </w:r>
      <w:r w:rsidRPr="00AF629F">
        <w:rPr>
          <w:rFonts w:ascii="Times New Roman" w:hAnsi="Times New Roman" w:cs="Times New Roman"/>
          <w:sz w:val="28"/>
          <w:szCs w:val="28"/>
          <w:shd w:val="clear" w:color="auto" w:fill="FFFFFF"/>
        </w:rPr>
        <w:t>de la función de planeación, ii) es una norma instrumental destinada a permitir la ejecución del plan favoreciendo la consecución  de los objetivos generales, iii) es un mecanismo idóneo para la puesta en marcha del plan de inversiones o una medida indispe</w:t>
      </w:r>
      <w:r w:rsidRPr="00AF629F">
        <w:rPr>
          <w:rFonts w:ascii="Times New Roman" w:hAnsi="Times New Roman" w:cs="Times New Roman"/>
          <w:sz w:val="28"/>
          <w:szCs w:val="28"/>
          <w:shd w:val="clear" w:color="auto" w:fill="FFFFFF"/>
        </w:rPr>
        <w:t>nsable para impulsar el cumplimiento del PND y iv) no busca llenar vacíos e inconsistencias de otro tipo de leyes</w:t>
      </w:r>
      <w:r w:rsidRPr="00AF629F">
        <w:rPr>
          <w:rFonts w:ascii="Times New Roman" w:hAnsi="Times New Roman" w:cs="Times New Roman"/>
          <w:sz w:val="28"/>
          <w:szCs w:val="28"/>
        </w:rPr>
        <w:t>” (</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211, </w:t>
      </w:r>
      <w:r w:rsidRPr="00AF629F">
        <w:rPr>
          <w:rFonts w:ascii="Times New Roman" w:hAnsi="Times New Roman" w:cs="Times New Roman"/>
          <w:sz w:val="28"/>
          <w:szCs w:val="28"/>
        </w:rPr>
        <w:t>énfasis del original).</w:t>
      </w:r>
    </w:p>
    <w:p w:rsidR="007A442C" w:rsidRPr="00AF629F" w:rsidRDefault="00AF629F" w:rsidP="007A442C">
      <w:pPr>
        <w:pStyle w:val="Prrafodelista"/>
        <w:ind w:left="0"/>
        <w:jc w:val="both"/>
        <w:rPr>
          <w:rFonts w:ascii="Times New Roman" w:hAnsi="Times New Roman" w:cs="Times New Roman"/>
          <w:bCs/>
          <w:sz w:val="28"/>
          <w:szCs w:val="28"/>
        </w:rPr>
      </w:pPr>
    </w:p>
    <w:p w:rsidR="002270A3" w:rsidRPr="00AF629F" w:rsidRDefault="00AF629F" w:rsidP="00DE6863">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sz w:val="28"/>
          <w:szCs w:val="28"/>
        </w:rPr>
        <w:t xml:space="preserve">En </w:t>
      </w:r>
      <w:r w:rsidRPr="00AF629F">
        <w:rPr>
          <w:rFonts w:ascii="Times New Roman" w:hAnsi="Times New Roman" w:cs="Times New Roman"/>
          <w:sz w:val="28"/>
          <w:szCs w:val="28"/>
        </w:rPr>
        <w:t>el presente caso</w:t>
      </w:r>
      <w:r w:rsidRPr="00AF629F">
        <w:rPr>
          <w:rFonts w:ascii="Times New Roman" w:hAnsi="Times New Roman" w:cs="Times New Roman"/>
          <w:sz w:val="28"/>
          <w:szCs w:val="28"/>
        </w:rPr>
        <w:t>, n</w:t>
      </w:r>
      <w:r w:rsidRPr="00AF629F">
        <w:rPr>
          <w:rFonts w:ascii="Times New Roman" w:hAnsi="Times New Roman" w:cs="Times New Roman"/>
          <w:sz w:val="28"/>
          <w:szCs w:val="28"/>
        </w:rPr>
        <w:t>o es posible adscribir a la disposición demandada, que modifica de manera permanente el</w:t>
      </w:r>
      <w:r w:rsidRPr="00AF629F">
        <w:rPr>
          <w:rFonts w:ascii="Times New Roman" w:hAnsi="Times New Roman" w:cs="Times New Roman"/>
          <w:sz w:val="28"/>
          <w:szCs w:val="28"/>
        </w:rPr>
        <w:t xml:space="preserve"> ordenamiento jurídico, </w:t>
      </w:r>
      <w:r w:rsidRPr="00AF629F">
        <w:rPr>
          <w:rFonts w:ascii="Times New Roman" w:hAnsi="Times New Roman" w:cs="Times New Roman"/>
          <w:bCs/>
          <w:sz w:val="28"/>
          <w:szCs w:val="28"/>
        </w:rPr>
        <w:t xml:space="preserve">un fin planificador </w:t>
      </w:r>
      <w:r w:rsidRPr="00AF629F">
        <w:rPr>
          <w:rFonts w:ascii="Times New Roman" w:hAnsi="Times New Roman" w:cs="Times New Roman"/>
          <w:bCs/>
          <w:sz w:val="28"/>
          <w:szCs w:val="28"/>
        </w:rPr>
        <w:t>o</w:t>
      </w:r>
      <w:r w:rsidRPr="00AF629F">
        <w:rPr>
          <w:rFonts w:ascii="Times New Roman" w:hAnsi="Times New Roman" w:cs="Times New Roman"/>
          <w:bCs/>
          <w:sz w:val="28"/>
          <w:szCs w:val="28"/>
        </w:rPr>
        <w:t xml:space="preserve"> de impulso a la ejecución del plan cuatrienal</w:t>
      </w:r>
      <w:r w:rsidRPr="00AF629F">
        <w:rPr>
          <w:rFonts w:ascii="Times New Roman" w:hAnsi="Times New Roman" w:cs="Times New Roman"/>
          <w:bCs/>
          <w:sz w:val="28"/>
          <w:szCs w:val="28"/>
        </w:rPr>
        <w:t xml:space="preserve">, ya que </w:t>
      </w:r>
      <w:r w:rsidRPr="00AF629F">
        <w:rPr>
          <w:rFonts w:ascii="Times New Roman" w:hAnsi="Times New Roman" w:cs="Times New Roman"/>
          <w:bCs/>
          <w:sz w:val="28"/>
          <w:szCs w:val="28"/>
        </w:rPr>
        <w:t xml:space="preserve">introduce </w:t>
      </w:r>
      <w:r w:rsidRPr="00AF629F">
        <w:rPr>
          <w:rFonts w:ascii="Times New Roman" w:hAnsi="Times New Roman" w:cs="Times New Roman"/>
          <w:bCs/>
          <w:sz w:val="28"/>
          <w:szCs w:val="28"/>
        </w:rPr>
        <w:t xml:space="preserve">una modificación </w:t>
      </w:r>
      <w:r w:rsidRPr="00AF629F">
        <w:rPr>
          <w:rFonts w:ascii="Times New Roman" w:hAnsi="Times New Roman" w:cs="Times New Roman"/>
          <w:bCs/>
          <w:sz w:val="28"/>
          <w:szCs w:val="28"/>
        </w:rPr>
        <w:t xml:space="preserve">estructural </w:t>
      </w:r>
      <w:r w:rsidRPr="00AF629F">
        <w:rPr>
          <w:rFonts w:ascii="Times New Roman" w:hAnsi="Times New Roman" w:cs="Times New Roman"/>
          <w:bCs/>
          <w:sz w:val="28"/>
          <w:szCs w:val="28"/>
        </w:rPr>
        <w:t xml:space="preserve">al régimen de </w:t>
      </w:r>
      <w:r w:rsidRPr="00AF629F">
        <w:rPr>
          <w:rFonts w:ascii="Times New Roman" w:hAnsi="Times New Roman" w:cs="Times New Roman"/>
          <w:bCs/>
          <w:sz w:val="28"/>
          <w:szCs w:val="28"/>
        </w:rPr>
        <w:t xml:space="preserve">administración de los </w:t>
      </w:r>
      <w:r w:rsidRPr="00AF629F">
        <w:rPr>
          <w:rFonts w:ascii="Times New Roman" w:hAnsi="Times New Roman" w:cs="Times New Roman"/>
          <w:bCs/>
          <w:sz w:val="28"/>
          <w:szCs w:val="28"/>
        </w:rPr>
        <w:t xml:space="preserve">recursos del </w:t>
      </w:r>
      <w:r w:rsidRPr="00AF629F">
        <w:rPr>
          <w:rFonts w:ascii="Times New Roman" w:hAnsi="Times New Roman" w:cs="Times New Roman"/>
          <w:bCs/>
          <w:sz w:val="28"/>
          <w:szCs w:val="28"/>
        </w:rPr>
        <w:t>FONPET</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Esta </w:t>
      </w:r>
      <w:r w:rsidRPr="00AF629F">
        <w:rPr>
          <w:rFonts w:ascii="Times New Roman" w:hAnsi="Times New Roman" w:cs="Times New Roman"/>
          <w:bCs/>
          <w:sz w:val="28"/>
          <w:szCs w:val="28"/>
        </w:rPr>
        <w:t>modificación</w:t>
      </w:r>
      <w:r w:rsidRPr="00AF629F">
        <w:rPr>
          <w:rFonts w:ascii="Times New Roman" w:hAnsi="Times New Roman" w:cs="Times New Roman"/>
          <w:bCs/>
          <w:sz w:val="28"/>
          <w:szCs w:val="28"/>
        </w:rPr>
        <w:t xml:space="preserve">, más que </w:t>
      </w:r>
      <w:r w:rsidRPr="00AF629F">
        <w:rPr>
          <w:rFonts w:ascii="Times New Roman" w:hAnsi="Times New Roman" w:cs="Times New Roman"/>
          <w:bCs/>
          <w:sz w:val="28"/>
          <w:szCs w:val="28"/>
        </w:rPr>
        <w:t>cumplir un fin</w:t>
      </w:r>
      <w:r w:rsidRPr="00AF629F">
        <w:rPr>
          <w:rFonts w:ascii="Times New Roman" w:hAnsi="Times New Roman" w:cs="Times New Roman"/>
          <w:bCs/>
          <w:sz w:val="28"/>
          <w:szCs w:val="28"/>
        </w:rPr>
        <w:t xml:space="preserve"> planificador o de impulso</w:t>
      </w:r>
      <w:r w:rsidRPr="00AF629F">
        <w:rPr>
          <w:rFonts w:ascii="Times New Roman" w:hAnsi="Times New Roman" w:cs="Times New Roman"/>
          <w:bCs/>
          <w:sz w:val="28"/>
          <w:szCs w:val="28"/>
        </w:rPr>
        <w:t xml:space="preserve"> al cumplimiento del plan</w:t>
      </w:r>
      <w:r w:rsidRPr="00AF629F">
        <w:rPr>
          <w:rFonts w:ascii="Times New Roman" w:hAnsi="Times New Roman" w:cs="Times New Roman"/>
          <w:bCs/>
          <w:sz w:val="28"/>
          <w:szCs w:val="28"/>
        </w:rPr>
        <w:t>, corresponde al ejercicio de la potestad legislativa ordinaria</w:t>
      </w:r>
      <w:r w:rsidRPr="00AF629F">
        <w:rPr>
          <w:rFonts w:ascii="Times New Roman" w:hAnsi="Times New Roman" w:cs="Times New Roman"/>
          <w:bCs/>
          <w:sz w:val="28"/>
          <w:szCs w:val="28"/>
        </w:rPr>
        <w:t xml:space="preserve"> en una materia altamente sensible para la autonomía territoria</w:t>
      </w:r>
      <w:r w:rsidRPr="00AF629F">
        <w:rPr>
          <w:rFonts w:ascii="Times New Roman" w:hAnsi="Times New Roman" w:cs="Times New Roman"/>
          <w:bCs/>
          <w:sz w:val="28"/>
          <w:szCs w:val="28"/>
        </w:rPr>
        <w:t xml:space="preserve">l por cuanto, como se </w:t>
      </w:r>
      <w:r w:rsidRPr="00AF629F">
        <w:rPr>
          <w:rFonts w:ascii="Times New Roman" w:hAnsi="Times New Roman" w:cs="Times New Roman"/>
          <w:bCs/>
          <w:sz w:val="28"/>
          <w:szCs w:val="28"/>
        </w:rPr>
        <w:t xml:space="preserve">precisa </w:t>
      </w:r>
      <w:r w:rsidRPr="00AF629F">
        <w:rPr>
          <w:rFonts w:ascii="Times New Roman" w:hAnsi="Times New Roman" w:cs="Times New Roman"/>
          <w:bCs/>
          <w:i/>
          <w:iCs/>
          <w:sz w:val="28"/>
          <w:szCs w:val="28"/>
        </w:rPr>
        <w:t xml:space="preserve">in extenso </w:t>
      </w:r>
      <w:r w:rsidRPr="00AF629F">
        <w:rPr>
          <w:rFonts w:ascii="Times New Roman" w:hAnsi="Times New Roman" w:cs="Times New Roman"/>
          <w:bCs/>
          <w:sz w:val="28"/>
          <w:szCs w:val="28"/>
        </w:rPr>
        <w:t xml:space="preserve">en el título siguiente, </w:t>
      </w:r>
      <w:r w:rsidRPr="00AF629F">
        <w:rPr>
          <w:rFonts w:ascii="Times New Roman" w:eastAsia="Cambria" w:hAnsi="Times New Roman" w:cs="Times New Roman"/>
          <w:bCs/>
          <w:sz w:val="28"/>
          <w:szCs w:val="28"/>
        </w:rPr>
        <w:t>los recursos d</w:t>
      </w:r>
      <w:r w:rsidRPr="00AF629F">
        <w:rPr>
          <w:rFonts w:ascii="Times New Roman" w:eastAsia="Cambria" w:hAnsi="Times New Roman" w:cs="Times New Roman"/>
          <w:bCs/>
          <w:sz w:val="28"/>
          <w:szCs w:val="28"/>
        </w:rPr>
        <w:t xml:space="preserve">el </w:t>
      </w:r>
      <w:r w:rsidRPr="00AF629F">
        <w:rPr>
          <w:rFonts w:ascii="Times New Roman" w:eastAsia="Cambria" w:hAnsi="Times New Roman" w:cs="Times New Roman"/>
          <w:bCs/>
          <w:sz w:val="28"/>
          <w:szCs w:val="28"/>
        </w:rPr>
        <w:t xml:space="preserve">FONPET </w:t>
      </w:r>
      <w:r w:rsidRPr="00AF629F">
        <w:rPr>
          <w:rFonts w:ascii="Times New Roman" w:eastAsia="Cambria" w:hAnsi="Times New Roman" w:cs="Times New Roman"/>
          <w:bCs/>
          <w:sz w:val="28"/>
          <w:szCs w:val="28"/>
        </w:rPr>
        <w:t>son de propiedad de las entidades territoriales</w:t>
      </w:r>
      <w:r w:rsidRPr="00AF629F">
        <w:rPr>
          <w:rFonts w:ascii="Times New Roman" w:eastAsia="Cambria" w:hAnsi="Times New Roman" w:cs="Times New Roman"/>
          <w:bCs/>
          <w:sz w:val="28"/>
          <w:szCs w:val="28"/>
        </w:rPr>
        <w:t xml:space="preserve"> y </w:t>
      </w:r>
      <w:r w:rsidRPr="00AF629F">
        <w:rPr>
          <w:rFonts w:ascii="Times New Roman" w:eastAsia="Cambria" w:hAnsi="Times New Roman" w:cs="Times New Roman"/>
          <w:bCs/>
          <w:sz w:val="28"/>
          <w:szCs w:val="28"/>
        </w:rPr>
        <w:t xml:space="preserve">tienen </w:t>
      </w:r>
      <w:r w:rsidRPr="00AF629F">
        <w:rPr>
          <w:rFonts w:ascii="Times New Roman" w:eastAsia="Cambria" w:hAnsi="Times New Roman" w:cs="Times New Roman"/>
          <w:bCs/>
          <w:sz w:val="28"/>
          <w:szCs w:val="28"/>
        </w:rPr>
        <w:t xml:space="preserve">como </w:t>
      </w:r>
      <w:r w:rsidRPr="00AF629F">
        <w:rPr>
          <w:rFonts w:ascii="Times New Roman" w:eastAsia="Cambria" w:hAnsi="Times New Roman" w:cs="Times New Roman"/>
          <w:bCs/>
          <w:sz w:val="28"/>
          <w:szCs w:val="28"/>
        </w:rPr>
        <w:t>destinación específica</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cubrir el valor de los pasivos pensionales</w:t>
      </w:r>
      <w:r w:rsidRPr="00AF629F">
        <w:rPr>
          <w:rFonts w:ascii="Times New Roman" w:eastAsia="Cambria" w:hAnsi="Times New Roman" w:cs="Times New Roman"/>
          <w:bCs/>
          <w:sz w:val="28"/>
          <w:szCs w:val="28"/>
        </w:rPr>
        <w:t xml:space="preserve"> a su cargo.</w:t>
      </w:r>
    </w:p>
    <w:p w:rsidR="00F5607F" w:rsidRPr="00AF629F" w:rsidRDefault="00AF629F" w:rsidP="00F5607F">
      <w:pPr>
        <w:pStyle w:val="Prrafodelista"/>
        <w:rPr>
          <w:rFonts w:ascii="Times New Roman" w:hAnsi="Times New Roman" w:cs="Times New Roman"/>
          <w:bCs/>
          <w:sz w:val="28"/>
          <w:szCs w:val="28"/>
        </w:rPr>
      </w:pPr>
    </w:p>
    <w:p w:rsidR="00F5607F" w:rsidRPr="00AF629F" w:rsidRDefault="00AF629F" w:rsidP="00D92964">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sz w:val="28"/>
          <w:szCs w:val="28"/>
        </w:rPr>
        <w:t>A pesar de estas tensiones de la disposición con el principio democrático, la iniciativa gubernamental en</w:t>
      </w:r>
      <w:r w:rsidRPr="00AF629F">
        <w:rPr>
          <w:rFonts w:ascii="Times New Roman" w:hAnsi="Times New Roman" w:cs="Times New Roman"/>
          <w:sz w:val="28"/>
          <w:szCs w:val="28"/>
        </w:rPr>
        <w:t xml:space="preserve"> esta materia no estuvo precedida de una “j</w:t>
      </w:r>
      <w:r w:rsidRPr="00AF629F">
        <w:rPr>
          <w:rFonts w:ascii="Times New Roman" w:hAnsi="Times New Roman" w:cs="Times New Roman"/>
          <w:sz w:val="28"/>
          <w:szCs w:val="28"/>
          <w:shd w:val="clear" w:color="auto" w:fill="FFFFFF"/>
        </w:rPr>
        <w:t xml:space="preserve">ustificación suficiente” en los términos de la </w:t>
      </w:r>
      <w:r w:rsidRPr="00AF629F">
        <w:rPr>
          <w:rFonts w:ascii="Times New Roman" w:hAnsi="Times New Roman" w:cs="Times New Roman"/>
          <w:sz w:val="28"/>
          <w:szCs w:val="28"/>
          <w:shd w:val="clear" w:color="auto" w:fill="FFFFFF"/>
        </w:rPr>
        <w:t xml:space="preserve">Sentencia </w:t>
      </w:r>
      <w:r w:rsidRPr="00AF629F">
        <w:rPr>
          <w:rFonts w:ascii="Times New Roman" w:hAnsi="Times New Roman" w:cs="Times New Roman"/>
          <w:sz w:val="28"/>
          <w:szCs w:val="28"/>
          <w:shd w:val="clear" w:color="auto" w:fill="FFFFFF"/>
        </w:rPr>
        <w:t>C-415 de 2020</w:t>
      </w:r>
      <w:r w:rsidRPr="00AF629F">
        <w:rPr>
          <w:rFonts w:ascii="Times New Roman" w:hAnsi="Times New Roman" w:cs="Times New Roman"/>
          <w:sz w:val="28"/>
          <w:szCs w:val="28"/>
          <w:shd w:val="clear" w:color="auto" w:fill="FFFFFF"/>
        </w:rPr>
        <w:t xml:space="preserve">, que evidenciara el cumplimiento de </w:t>
      </w:r>
      <w:r w:rsidRPr="00AF629F">
        <w:rPr>
          <w:rFonts w:ascii="Times New Roman" w:hAnsi="Times New Roman" w:cs="Times New Roman"/>
          <w:sz w:val="28"/>
          <w:szCs w:val="28"/>
          <w:shd w:val="clear" w:color="auto" w:fill="FFFFFF"/>
        </w:rPr>
        <w:t xml:space="preserve">las </w:t>
      </w:r>
      <w:r w:rsidRPr="00AF629F">
        <w:rPr>
          <w:rFonts w:ascii="Times New Roman" w:hAnsi="Times New Roman" w:cs="Times New Roman"/>
          <w:sz w:val="28"/>
          <w:szCs w:val="28"/>
          <w:shd w:val="clear" w:color="auto" w:fill="FFFFFF"/>
        </w:rPr>
        <w:t>exigencias</w:t>
      </w:r>
      <w:r w:rsidRPr="00AF629F">
        <w:rPr>
          <w:rFonts w:ascii="Times New Roman" w:hAnsi="Times New Roman" w:cs="Times New Roman"/>
          <w:sz w:val="28"/>
          <w:szCs w:val="28"/>
          <w:shd w:val="clear" w:color="auto" w:fill="FFFFFF"/>
        </w:rPr>
        <w:t xml:space="preserve"> allí señaladas</w:t>
      </w:r>
      <w:r w:rsidRPr="00AF629F">
        <w:rPr>
          <w:rFonts w:ascii="Times New Roman" w:hAnsi="Times New Roman" w:cs="Times New Roman"/>
          <w:sz w:val="28"/>
          <w:szCs w:val="28"/>
          <w:shd w:val="clear" w:color="auto" w:fill="FFFFFF"/>
        </w:rPr>
        <w:t xml:space="preserve">, a pesar de tratarse de una modificación </w:t>
      </w:r>
      <w:r w:rsidRPr="00AF629F">
        <w:rPr>
          <w:rFonts w:ascii="Times New Roman" w:eastAsia="Cambria" w:hAnsi="Times New Roman" w:cs="Times New Roman"/>
          <w:bCs/>
          <w:sz w:val="28"/>
          <w:szCs w:val="28"/>
        </w:rPr>
        <w:t xml:space="preserve">permanente a la forma de </w:t>
      </w:r>
      <w:r w:rsidRPr="00AF629F">
        <w:rPr>
          <w:rFonts w:ascii="Times New Roman" w:eastAsia="Cambria" w:hAnsi="Times New Roman" w:cs="Times New Roman"/>
          <w:bCs/>
          <w:sz w:val="28"/>
          <w:szCs w:val="28"/>
        </w:rPr>
        <w:t>administra</w:t>
      </w:r>
      <w:r w:rsidRPr="00AF629F">
        <w:rPr>
          <w:rFonts w:ascii="Times New Roman" w:eastAsia="Cambria" w:hAnsi="Times New Roman" w:cs="Times New Roman"/>
          <w:bCs/>
          <w:sz w:val="28"/>
          <w:szCs w:val="28"/>
        </w:rPr>
        <w:t xml:space="preserve">ción de los recursos del </w:t>
      </w:r>
      <w:r w:rsidRPr="00AF629F">
        <w:rPr>
          <w:rFonts w:ascii="Times New Roman" w:eastAsia="Cambria" w:hAnsi="Times New Roman" w:cs="Times New Roman"/>
          <w:bCs/>
          <w:sz w:val="28"/>
          <w:szCs w:val="28"/>
        </w:rPr>
        <w:t xml:space="preserve">FONPET </w:t>
      </w:r>
      <w:r w:rsidRPr="00AF629F">
        <w:rPr>
          <w:rFonts w:ascii="Times New Roman" w:eastAsia="Cambria" w:hAnsi="Times New Roman" w:cs="Times New Roman"/>
          <w:bCs/>
          <w:sz w:val="28"/>
          <w:szCs w:val="28"/>
        </w:rPr>
        <w:t xml:space="preserve">y </w:t>
      </w:r>
      <w:r w:rsidRPr="00AF629F">
        <w:rPr>
          <w:rFonts w:ascii="Times New Roman" w:eastAsia="Cambria" w:hAnsi="Times New Roman" w:cs="Times New Roman"/>
          <w:bCs/>
          <w:sz w:val="28"/>
          <w:szCs w:val="28"/>
        </w:rPr>
        <w:t xml:space="preserve">corresponder a </w:t>
      </w:r>
      <w:r w:rsidRPr="00AF629F">
        <w:rPr>
          <w:rFonts w:ascii="Times New Roman" w:eastAsia="Cambria" w:hAnsi="Times New Roman" w:cs="Times New Roman"/>
          <w:bCs/>
          <w:sz w:val="28"/>
          <w:szCs w:val="28"/>
        </w:rPr>
        <w:t xml:space="preserve">un tema </w:t>
      </w:r>
      <w:r w:rsidRPr="00AF629F">
        <w:rPr>
          <w:rFonts w:ascii="Times New Roman" w:eastAsia="Cambria" w:hAnsi="Times New Roman" w:cs="Times New Roman"/>
          <w:bCs/>
          <w:sz w:val="28"/>
          <w:szCs w:val="28"/>
        </w:rPr>
        <w:t xml:space="preserve">altamente </w:t>
      </w:r>
      <w:r w:rsidRPr="00AF629F">
        <w:rPr>
          <w:rFonts w:ascii="Times New Roman" w:eastAsia="Cambria" w:hAnsi="Times New Roman" w:cs="Times New Roman"/>
          <w:bCs/>
          <w:sz w:val="28"/>
          <w:szCs w:val="28"/>
        </w:rPr>
        <w:t xml:space="preserve">sensible para </w:t>
      </w:r>
      <w:r w:rsidRPr="00AF629F">
        <w:rPr>
          <w:rFonts w:ascii="Times New Roman" w:eastAsia="Cambria" w:hAnsi="Times New Roman" w:cs="Times New Roman"/>
          <w:bCs/>
          <w:sz w:val="28"/>
          <w:szCs w:val="28"/>
        </w:rPr>
        <w:t xml:space="preserve">la </w:t>
      </w:r>
      <w:r w:rsidRPr="00AF629F">
        <w:rPr>
          <w:rFonts w:ascii="Times New Roman" w:eastAsia="Cambria" w:hAnsi="Times New Roman" w:cs="Times New Roman"/>
          <w:bCs/>
          <w:sz w:val="28"/>
          <w:szCs w:val="28"/>
        </w:rPr>
        <w:t>autonomía de las entidades territoriales</w:t>
      </w:r>
      <w:r w:rsidRPr="00AF629F">
        <w:rPr>
          <w:rFonts w:ascii="Times New Roman" w:hAnsi="Times New Roman" w:cs="Times New Roman"/>
          <w:sz w:val="28"/>
          <w:szCs w:val="28"/>
        </w:rPr>
        <w:t>.</w:t>
      </w:r>
    </w:p>
    <w:p w:rsidR="002270A3" w:rsidRPr="00AF629F" w:rsidRDefault="00AF629F" w:rsidP="00F5607F">
      <w:pPr>
        <w:rPr>
          <w:rFonts w:ascii="Times New Roman" w:hAnsi="Times New Roman" w:cs="Times New Roman"/>
          <w:bCs/>
          <w:sz w:val="28"/>
          <w:szCs w:val="28"/>
        </w:rPr>
      </w:pPr>
    </w:p>
    <w:p w:rsidR="006D636E" w:rsidRPr="00AF629F" w:rsidRDefault="00AF629F" w:rsidP="00DE6863">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 xml:space="preserve">En atención a la materia que regula, </w:t>
      </w:r>
      <w:r w:rsidRPr="00AF629F">
        <w:rPr>
          <w:rFonts w:ascii="Times New Roman" w:hAnsi="Times New Roman" w:cs="Times New Roman"/>
          <w:sz w:val="28"/>
          <w:szCs w:val="28"/>
          <w:lang w:val="es-ES_tradnl"/>
        </w:rPr>
        <w:t xml:space="preserve">es el </w:t>
      </w:r>
      <w:r w:rsidRPr="00AF629F">
        <w:rPr>
          <w:rFonts w:ascii="Times New Roman" w:hAnsi="Times New Roman" w:cs="Times New Roman"/>
          <w:sz w:val="28"/>
          <w:szCs w:val="28"/>
          <w:lang w:val="es-ES_tradnl"/>
        </w:rPr>
        <w:t>proc</w:t>
      </w:r>
      <w:r w:rsidRPr="00AF629F">
        <w:rPr>
          <w:rFonts w:ascii="Times New Roman" w:hAnsi="Times New Roman" w:cs="Times New Roman"/>
          <w:sz w:val="28"/>
          <w:szCs w:val="28"/>
          <w:lang w:val="es-ES_tradnl"/>
        </w:rPr>
        <w:t>edimiento</w:t>
      </w:r>
      <w:r w:rsidRPr="00AF629F">
        <w:rPr>
          <w:rFonts w:ascii="Times New Roman" w:hAnsi="Times New Roman" w:cs="Times New Roman"/>
          <w:sz w:val="28"/>
          <w:szCs w:val="28"/>
          <w:lang w:val="es-ES_tradnl"/>
        </w:rPr>
        <w:t xml:space="preserve"> legislativo ordinario </w:t>
      </w:r>
      <w:r w:rsidRPr="00AF629F">
        <w:rPr>
          <w:rFonts w:ascii="Times New Roman" w:hAnsi="Times New Roman" w:cs="Times New Roman"/>
          <w:sz w:val="28"/>
          <w:szCs w:val="28"/>
          <w:lang w:val="es-ES_tradnl"/>
        </w:rPr>
        <w:t xml:space="preserve">el </w:t>
      </w:r>
      <w:r w:rsidRPr="00AF629F">
        <w:rPr>
          <w:rFonts w:ascii="Times New Roman" w:hAnsi="Times New Roman" w:cs="Times New Roman"/>
          <w:sz w:val="28"/>
          <w:szCs w:val="28"/>
          <w:lang w:val="es-ES_tradnl"/>
        </w:rPr>
        <w:t>mecanismo</w:t>
      </w:r>
      <w:r w:rsidRPr="00AF629F">
        <w:rPr>
          <w:rFonts w:ascii="Times New Roman" w:hAnsi="Times New Roman" w:cs="Times New Roman"/>
          <w:sz w:val="28"/>
          <w:szCs w:val="28"/>
          <w:lang w:val="es-ES_tradnl"/>
        </w:rPr>
        <w:t xml:space="preserve"> idóneo para garantizar el debate y la deliberación</w:t>
      </w:r>
      <w:r w:rsidRPr="00AF629F">
        <w:rPr>
          <w:rFonts w:ascii="Times New Roman" w:hAnsi="Times New Roman" w:cs="Times New Roman"/>
          <w:sz w:val="28"/>
          <w:szCs w:val="28"/>
          <w:lang w:val="es-ES_tradnl"/>
        </w:rPr>
        <w:t xml:space="preserve"> democrática</w:t>
      </w:r>
      <w:r w:rsidRPr="00AF629F">
        <w:rPr>
          <w:rFonts w:ascii="Times New Roman" w:hAnsi="Times New Roman" w:cs="Times New Roman"/>
          <w:sz w:val="28"/>
          <w:szCs w:val="28"/>
          <w:lang w:val="es-ES_tradnl"/>
        </w:rPr>
        <w:t>, no así el trámite especial dispuesto para la aprobación de la ley del plan nacional de desarrollo, “</w:t>
      </w:r>
      <w:r w:rsidRPr="00AF629F">
        <w:rPr>
          <w:rFonts w:ascii="Times New Roman" w:hAnsi="Times New Roman" w:cs="Times New Roman"/>
          <w:iCs/>
          <w:sz w:val="28"/>
          <w:szCs w:val="28"/>
        </w:rPr>
        <w:t xml:space="preserve">dado que el principio democrático se encuentra restringido en tanto, como se ha explicado, </w:t>
      </w:r>
      <w:r w:rsidRPr="00AF629F">
        <w:rPr>
          <w:rFonts w:ascii="Times New Roman" w:hAnsi="Times New Roman" w:cs="Times New Roman"/>
          <w:iCs/>
          <w:sz w:val="28"/>
          <w:szCs w:val="28"/>
        </w:rPr>
        <w:t>la iniciativa es gubernamental, las posibilidades de modificación del proyecto por el Congreso se encuentran limitadas, el término para la aprobación del plan es reducido”</w:t>
      </w:r>
      <w:r w:rsidRPr="00AF629F">
        <w:rPr>
          <w:rStyle w:val="Refdenotaalpie"/>
          <w:rFonts w:ascii="Times New Roman" w:hAnsi="Times New Roman" w:cs="Times New Roman"/>
          <w:iCs/>
          <w:sz w:val="28"/>
          <w:szCs w:val="28"/>
        </w:rPr>
        <w:footnoteReference w:id="54"/>
      </w:r>
      <w:r w:rsidRPr="00AF629F">
        <w:rPr>
          <w:rFonts w:ascii="Times New Roman" w:hAnsi="Times New Roman" w:cs="Times New Roman"/>
          <w:iCs/>
          <w:sz w:val="28"/>
          <w:szCs w:val="28"/>
        </w:rPr>
        <w:t>.</w:t>
      </w:r>
      <w:r w:rsidRPr="00AF629F">
        <w:rPr>
          <w:rFonts w:ascii="Times New Roman" w:hAnsi="Times New Roman" w:cs="Times New Roman"/>
          <w:bCs/>
          <w:sz w:val="28"/>
          <w:szCs w:val="28"/>
        </w:rPr>
        <w:t xml:space="preserve"> Así las cosas, </w:t>
      </w:r>
      <w:r w:rsidRPr="00AF629F">
        <w:rPr>
          <w:rFonts w:ascii="Times New Roman" w:hAnsi="Times New Roman" w:cs="Times New Roman"/>
          <w:sz w:val="28"/>
          <w:szCs w:val="28"/>
          <w:lang w:val="es-ES_tradnl"/>
        </w:rPr>
        <w:t xml:space="preserve">no es posible subsumir </w:t>
      </w:r>
      <w:r w:rsidRPr="00AF629F">
        <w:rPr>
          <w:rFonts w:ascii="Times New Roman" w:hAnsi="Times New Roman" w:cs="Times New Roman"/>
          <w:sz w:val="28"/>
          <w:szCs w:val="28"/>
          <w:lang w:val="es-ES_tradnl"/>
        </w:rPr>
        <w:t xml:space="preserve">este tipo de materias </w:t>
      </w:r>
      <w:r w:rsidRPr="00AF629F">
        <w:rPr>
          <w:rFonts w:ascii="Times New Roman" w:hAnsi="Times New Roman" w:cs="Times New Roman"/>
          <w:sz w:val="28"/>
          <w:szCs w:val="28"/>
          <w:lang w:val="es-ES_tradnl"/>
        </w:rPr>
        <w:t>de manera general en l</w:t>
      </w:r>
      <w:r w:rsidRPr="00AF629F">
        <w:rPr>
          <w:rFonts w:ascii="Times New Roman" w:hAnsi="Times New Roman" w:cs="Times New Roman"/>
          <w:sz w:val="28"/>
          <w:szCs w:val="28"/>
          <w:lang w:val="es-ES_tradnl"/>
        </w:rPr>
        <w:t xml:space="preserve">a competencia que regula el artículo 150.3 de la Carta, pues supondría una renuncia implícita al debate democrático, dada la particular regulación constitucional y orgánica </w:t>
      </w:r>
      <w:r w:rsidRPr="00AF629F">
        <w:rPr>
          <w:rFonts w:ascii="Times New Roman" w:hAnsi="Times New Roman" w:cs="Times New Roman"/>
          <w:sz w:val="28"/>
          <w:szCs w:val="28"/>
          <w:shd w:val="clear" w:color="auto" w:fill="FFFFFF"/>
        </w:rPr>
        <w:t>de la ley aprobatoria del plan nacional de desarrollo.</w:t>
      </w:r>
    </w:p>
    <w:p w:rsidR="006D636E" w:rsidRPr="00AF629F" w:rsidRDefault="00AF629F" w:rsidP="006D636E">
      <w:pPr>
        <w:pStyle w:val="Prrafodelista"/>
        <w:ind w:left="0"/>
        <w:jc w:val="both"/>
        <w:rPr>
          <w:rFonts w:ascii="Times New Roman" w:hAnsi="Times New Roman" w:cs="Times New Roman"/>
          <w:bCs/>
          <w:sz w:val="28"/>
          <w:szCs w:val="28"/>
        </w:rPr>
      </w:pPr>
    </w:p>
    <w:p w:rsidR="00543EFA" w:rsidRPr="00AF629F" w:rsidRDefault="00AF629F" w:rsidP="002C4289">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Este último razonamiento ha</w:t>
      </w:r>
      <w:r w:rsidRPr="00AF629F">
        <w:rPr>
          <w:rFonts w:ascii="Times New Roman" w:hAnsi="Times New Roman" w:cs="Times New Roman"/>
          <w:bCs/>
          <w:sz w:val="28"/>
          <w:szCs w:val="28"/>
        </w:rPr>
        <w:t xml:space="preserve"> sido constantemente reiterado en la jurisprudencia constitucional descrita en el Título 4.3 </w:t>
      </w:r>
      <w:r w:rsidRPr="00AF629F">
        <w:rPr>
          <w:rFonts w:ascii="Times New Roman" w:hAnsi="Times New Roman" w:cs="Times New Roman"/>
          <w:bCs/>
          <w:i/>
          <w:iCs/>
          <w:sz w:val="28"/>
          <w:szCs w:val="28"/>
        </w:rPr>
        <w:t>supra</w:t>
      </w:r>
      <w:r w:rsidRPr="00AF629F">
        <w:rPr>
          <w:rFonts w:ascii="Times New Roman" w:hAnsi="Times New Roman" w:cs="Times New Roman"/>
          <w:bCs/>
          <w:sz w:val="28"/>
          <w:szCs w:val="28"/>
        </w:rPr>
        <w:t xml:space="preserve">, al igual que fue puesto de presente por la Procuradora General de la Nación en su concepto. En las sentencias C-440 y C-464 de 2020 se indicó, por ejemplo, </w:t>
      </w:r>
      <w:r w:rsidRPr="00AF629F">
        <w:rPr>
          <w:rFonts w:ascii="Times New Roman" w:hAnsi="Times New Roman" w:cs="Times New Roman"/>
          <w:bCs/>
          <w:sz w:val="28"/>
          <w:szCs w:val="28"/>
        </w:rPr>
        <w:t>que el principio constitucional de unidad de materia impide que se ejerza la competencia de que trata el artículo 150.3 de la Constitución para llenar los vacíos e inconsistencias que presenta</w:t>
      </w:r>
      <w:r w:rsidRPr="00AF629F">
        <w:rPr>
          <w:rFonts w:ascii="Times New Roman" w:hAnsi="Times New Roman" w:cs="Times New Roman"/>
          <w:bCs/>
          <w:sz w:val="28"/>
          <w:szCs w:val="28"/>
        </w:rPr>
        <w:t xml:space="preserve"> la legislación </w:t>
      </w:r>
      <w:r w:rsidRPr="00AF629F">
        <w:rPr>
          <w:rFonts w:ascii="Times New Roman" w:hAnsi="Times New Roman" w:cs="Times New Roman"/>
          <w:bCs/>
          <w:sz w:val="28"/>
          <w:szCs w:val="28"/>
        </w:rPr>
        <w:t>o para ejercer la potestad legislativa general r</w:t>
      </w:r>
      <w:r w:rsidRPr="00AF629F">
        <w:rPr>
          <w:rFonts w:ascii="Times New Roman" w:hAnsi="Times New Roman" w:cs="Times New Roman"/>
          <w:bCs/>
          <w:sz w:val="28"/>
          <w:szCs w:val="28"/>
        </w:rPr>
        <w:t>econocida al Congreso de la República. En la Sentencia C-030 de 2021 se precisó que esta competencia no se puede utilizar para invadir o suplantar la competencia legislativa ordinaria encomendada al Congreso, para cuyo ejercicio se disponen de unas condici</w:t>
      </w:r>
      <w:r w:rsidRPr="00AF629F">
        <w:rPr>
          <w:rFonts w:ascii="Times New Roman" w:hAnsi="Times New Roman" w:cs="Times New Roman"/>
          <w:bCs/>
          <w:sz w:val="28"/>
          <w:szCs w:val="28"/>
        </w:rPr>
        <w:t xml:space="preserve">ones y procedimientos que garantizan en mayor medida el principio democrático y la participación de las diversas fuerzas políticas representadas en el legislativo. En la Sentencia C-049 de 2022 se indicó que un debate sobre una disposición que modifica el </w:t>
      </w:r>
      <w:r w:rsidRPr="00AF629F">
        <w:rPr>
          <w:rFonts w:ascii="Times New Roman" w:hAnsi="Times New Roman" w:cs="Times New Roman"/>
          <w:bCs/>
          <w:sz w:val="28"/>
          <w:szCs w:val="28"/>
        </w:rPr>
        <w:t>Sistema de Riesgos Laborales</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materia cercana al ámbito de regulación de la disposición </w:t>
      </w:r>
      <w:r w:rsidRPr="00AF629F">
        <w:rPr>
          <w:rFonts w:ascii="Times New Roman" w:hAnsi="Times New Roman" w:cs="Times New Roman"/>
          <w:bCs/>
          <w:sz w:val="28"/>
          <w:szCs w:val="28"/>
        </w:rPr>
        <w:t xml:space="preserve">demandada, </w:t>
      </w:r>
      <w:r w:rsidRPr="00AF629F">
        <w:rPr>
          <w:rFonts w:ascii="Times New Roman" w:hAnsi="Times New Roman" w:cs="Times New Roman"/>
          <w:bCs/>
          <w:sz w:val="28"/>
          <w:szCs w:val="28"/>
        </w:rPr>
        <w:t xml:space="preserve">que se relaciona con la administración de los recursos destinados </w:t>
      </w:r>
      <w:r w:rsidRPr="00AF629F">
        <w:rPr>
          <w:rFonts w:ascii="Times New Roman" w:hAnsi="Times New Roman" w:cs="Times New Roman"/>
          <w:bCs/>
          <w:sz w:val="28"/>
          <w:szCs w:val="28"/>
        </w:rPr>
        <w:t xml:space="preserve">a </w:t>
      </w:r>
      <w:r w:rsidRPr="00AF629F">
        <w:rPr>
          <w:rFonts w:ascii="Times New Roman" w:hAnsi="Times New Roman" w:cs="Times New Roman"/>
          <w:bCs/>
          <w:sz w:val="28"/>
          <w:szCs w:val="28"/>
        </w:rPr>
        <w:t xml:space="preserve">cubrir </w:t>
      </w:r>
      <w:r w:rsidRPr="00AF629F">
        <w:rPr>
          <w:rFonts w:ascii="Times New Roman" w:eastAsia="Cambria" w:hAnsi="Times New Roman" w:cs="Times New Roman"/>
          <w:bCs/>
          <w:sz w:val="28"/>
          <w:szCs w:val="28"/>
        </w:rPr>
        <w:t>el valor de los pasivos pensionales de las entidades territoriales</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debe surtirse </w:t>
      </w:r>
      <w:r w:rsidRPr="00AF629F">
        <w:rPr>
          <w:rFonts w:ascii="Times New Roman" w:hAnsi="Times New Roman" w:cs="Times New Roman"/>
          <w:bCs/>
          <w:sz w:val="28"/>
          <w:szCs w:val="28"/>
        </w:rPr>
        <w:t>por medio de una ley ordinaria, para permitir una amplia discusión sobre un tema tan sensible y que impacta, de manera permanente, en las fuentes de financiación del Sistema General de Seguridad Social.</w:t>
      </w:r>
      <w:r w:rsidRPr="00AF629F">
        <w:rPr>
          <w:rFonts w:ascii="Times New Roman" w:hAnsi="Times New Roman" w:cs="Times New Roman"/>
          <w:bCs/>
          <w:sz w:val="28"/>
          <w:szCs w:val="28"/>
        </w:rPr>
        <w:t xml:space="preserve"> </w:t>
      </w:r>
    </w:p>
    <w:p w:rsidR="00543EFA" w:rsidRPr="00AF629F" w:rsidRDefault="00AF629F" w:rsidP="00543EFA">
      <w:pPr>
        <w:pStyle w:val="Prrafodelista"/>
        <w:ind w:left="0"/>
        <w:jc w:val="both"/>
        <w:rPr>
          <w:rFonts w:ascii="Times New Roman" w:hAnsi="Times New Roman" w:cs="Times New Roman"/>
          <w:bCs/>
          <w:sz w:val="28"/>
          <w:szCs w:val="28"/>
        </w:rPr>
      </w:pPr>
    </w:p>
    <w:p w:rsidR="006D636E" w:rsidRPr="00AF629F" w:rsidRDefault="00AF629F" w:rsidP="002C4289">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Esta comprensión del principio constitucional de un</w:t>
      </w:r>
      <w:r w:rsidRPr="00AF629F">
        <w:rPr>
          <w:rFonts w:ascii="Times New Roman" w:hAnsi="Times New Roman" w:cs="Times New Roman"/>
          <w:bCs/>
          <w:sz w:val="28"/>
          <w:szCs w:val="28"/>
        </w:rPr>
        <w:t xml:space="preserve">idad de materia respecto de las disposiciones del plan nacional de desarrollo pretende evitar que por intermedio del ejercicio de la competencia que le otorga la Constitución al Congreso </w:t>
      </w:r>
      <w:r w:rsidRPr="00AF629F">
        <w:rPr>
          <w:rFonts w:ascii="Times New Roman" w:hAnsi="Times New Roman" w:cs="Times New Roman"/>
          <w:bCs/>
          <w:sz w:val="28"/>
          <w:szCs w:val="28"/>
        </w:rPr>
        <w:t xml:space="preserve">de la República </w:t>
      </w:r>
      <w:r w:rsidRPr="00AF629F">
        <w:rPr>
          <w:rFonts w:ascii="Times New Roman" w:hAnsi="Times New Roman" w:cs="Times New Roman"/>
          <w:bCs/>
          <w:sz w:val="28"/>
          <w:szCs w:val="28"/>
        </w:rPr>
        <w:t>en el artículo 150.3 se vac</w:t>
      </w:r>
      <w:r w:rsidRPr="00AF629F">
        <w:rPr>
          <w:rFonts w:ascii="Times New Roman" w:hAnsi="Times New Roman" w:cs="Times New Roman"/>
          <w:bCs/>
          <w:sz w:val="28"/>
          <w:szCs w:val="28"/>
        </w:rPr>
        <w:t>íe</w:t>
      </w:r>
      <w:r w:rsidRPr="00AF629F">
        <w:rPr>
          <w:rFonts w:ascii="Times New Roman" w:hAnsi="Times New Roman" w:cs="Times New Roman"/>
          <w:bCs/>
          <w:sz w:val="28"/>
          <w:szCs w:val="28"/>
        </w:rPr>
        <w:t xml:space="preserve"> de contenido su compete</w:t>
      </w:r>
      <w:r w:rsidRPr="00AF629F">
        <w:rPr>
          <w:rFonts w:ascii="Times New Roman" w:hAnsi="Times New Roman" w:cs="Times New Roman"/>
          <w:bCs/>
          <w:sz w:val="28"/>
          <w:szCs w:val="28"/>
        </w:rPr>
        <w:t>ncia general para “hacer las leyes” (artículo 150, inciso primero, primera oración).</w:t>
      </w:r>
    </w:p>
    <w:p w:rsidR="0069798E" w:rsidRPr="00AF629F" w:rsidRDefault="00AF629F" w:rsidP="0069798E">
      <w:pPr>
        <w:pStyle w:val="Prrafodelista"/>
        <w:ind w:left="0"/>
        <w:jc w:val="both"/>
        <w:rPr>
          <w:rFonts w:ascii="Times New Roman" w:hAnsi="Times New Roman" w:cs="Times New Roman"/>
          <w:bCs/>
          <w:sz w:val="28"/>
          <w:szCs w:val="28"/>
        </w:rPr>
      </w:pPr>
    </w:p>
    <w:p w:rsidR="00C71DE5" w:rsidRPr="00AF629F" w:rsidRDefault="00AF629F" w:rsidP="00C71DE5">
      <w:pPr>
        <w:pStyle w:val="Estilo1"/>
        <w:numPr>
          <w:ilvl w:val="1"/>
          <w:numId w:val="4"/>
        </w:numPr>
        <w:ind w:left="0" w:firstLine="0"/>
        <w:outlineLvl w:val="0"/>
        <w:rPr>
          <w:rFonts w:ascii="Times New Roman" w:eastAsia="Cambria" w:hAnsi="Times New Roman" w:cs="Times New Roman"/>
          <w:b/>
        </w:rPr>
      </w:pPr>
      <w:r w:rsidRPr="00AF629F">
        <w:rPr>
          <w:rFonts w:ascii="Times New Roman" w:eastAsia="Cambria" w:hAnsi="Times New Roman" w:cs="Times New Roman"/>
          <w:b/>
        </w:rPr>
        <w:t xml:space="preserve">La disposición demandada no </w:t>
      </w:r>
      <w:r w:rsidRPr="00AF629F">
        <w:rPr>
          <w:rFonts w:ascii="Times New Roman" w:eastAsia="Cambria" w:hAnsi="Times New Roman" w:cs="Times New Roman"/>
          <w:b/>
        </w:rPr>
        <w:t>guarda</w:t>
      </w:r>
      <w:r w:rsidRPr="00AF629F">
        <w:rPr>
          <w:rFonts w:ascii="Times New Roman" w:eastAsia="Cambria" w:hAnsi="Times New Roman" w:cs="Times New Roman"/>
          <w:b/>
        </w:rPr>
        <w:t xml:space="preserve"> </w:t>
      </w:r>
      <w:r w:rsidRPr="00AF629F">
        <w:rPr>
          <w:rFonts w:ascii="Times New Roman" w:hAnsi="Times New Roman" w:cs="Times New Roman"/>
          <w:b/>
        </w:rPr>
        <w:t xml:space="preserve">conexidad estrecha, directa </w:t>
      </w:r>
      <w:r w:rsidRPr="00AF629F">
        <w:rPr>
          <w:rFonts w:ascii="Times New Roman" w:hAnsi="Times New Roman" w:cs="Times New Roman"/>
          <w:b/>
        </w:rPr>
        <w:t>ni</w:t>
      </w:r>
      <w:r w:rsidRPr="00AF629F">
        <w:rPr>
          <w:rFonts w:ascii="Times New Roman" w:hAnsi="Times New Roman" w:cs="Times New Roman"/>
          <w:b/>
        </w:rPr>
        <w:t xml:space="preserve"> inmediata con las políticas y estrategias que guiarán la acción del Gobierno </w:t>
      </w:r>
      <w:r w:rsidRPr="00AF629F">
        <w:rPr>
          <w:rFonts w:ascii="Times New Roman" w:hAnsi="Times New Roman" w:cs="Times New Roman"/>
          <w:b/>
        </w:rPr>
        <w:t>en función de</w:t>
      </w:r>
      <w:r w:rsidRPr="00AF629F">
        <w:rPr>
          <w:rFonts w:ascii="Times New Roman" w:hAnsi="Times New Roman" w:cs="Times New Roman"/>
          <w:b/>
        </w:rPr>
        <w:t xml:space="preserve"> alcanzar los objetivos y metas fijados en la parte general del plan</w:t>
      </w:r>
      <w:r w:rsidRPr="00AF629F">
        <w:rPr>
          <w:rFonts w:ascii="Times New Roman" w:hAnsi="Times New Roman" w:cs="Times New Roman"/>
          <w:b/>
        </w:rPr>
        <w:t>,</w:t>
      </w:r>
      <w:r w:rsidRPr="00AF629F">
        <w:rPr>
          <w:rFonts w:ascii="Times New Roman" w:hAnsi="Times New Roman" w:cs="Times New Roman"/>
          <w:b/>
        </w:rPr>
        <w:t xml:space="preserve"> </w:t>
      </w:r>
      <w:r w:rsidRPr="00AF629F">
        <w:rPr>
          <w:rFonts w:ascii="Times New Roman" w:hAnsi="Times New Roman" w:cs="Times New Roman"/>
          <w:b/>
        </w:rPr>
        <w:t>ni</w:t>
      </w:r>
      <w:r w:rsidRPr="00AF629F">
        <w:rPr>
          <w:rFonts w:ascii="Times New Roman" w:hAnsi="Times New Roman" w:cs="Times New Roman"/>
          <w:b/>
        </w:rPr>
        <w:t xml:space="preserve"> con los programas y proyectos del plan de inversiones.</w:t>
      </w:r>
    </w:p>
    <w:p w:rsidR="00C71DE5" w:rsidRPr="00AF629F" w:rsidRDefault="00AF629F" w:rsidP="00C71DE5">
      <w:pPr>
        <w:pStyle w:val="Prrafodelista"/>
        <w:ind w:left="0"/>
        <w:jc w:val="both"/>
        <w:rPr>
          <w:rFonts w:ascii="Times New Roman" w:eastAsia="Cambria" w:hAnsi="Times New Roman" w:cs="Times New Roman"/>
          <w:bCs/>
          <w:sz w:val="28"/>
          <w:szCs w:val="28"/>
        </w:rPr>
      </w:pPr>
    </w:p>
    <w:p w:rsidR="004F7899" w:rsidRPr="00AF629F" w:rsidRDefault="00AF629F" w:rsidP="0023057A">
      <w:pPr>
        <w:pStyle w:val="Prrafodelista"/>
        <w:numPr>
          <w:ilvl w:val="0"/>
          <w:numId w:val="2"/>
        </w:numPr>
        <w:ind w:left="0" w:firstLine="0"/>
        <w:jc w:val="both"/>
        <w:rPr>
          <w:rFonts w:ascii="Times New Roman" w:hAnsi="Times New Roman" w:cs="Times New Roman"/>
          <w:iCs/>
          <w:sz w:val="28"/>
          <w:szCs w:val="28"/>
          <w:lang w:val="es-ES_tradnl"/>
        </w:rPr>
      </w:pPr>
      <w:r w:rsidRPr="00AF629F">
        <w:rPr>
          <w:rFonts w:ascii="Times New Roman" w:eastAsia="Cambria" w:hAnsi="Times New Roman" w:cs="Times New Roman"/>
          <w:bCs/>
          <w:sz w:val="28"/>
          <w:szCs w:val="28"/>
        </w:rPr>
        <w:t xml:space="preserve">A pesar del </w:t>
      </w:r>
      <w:r w:rsidRPr="00AF629F">
        <w:rPr>
          <w:rFonts w:ascii="Times New Roman" w:eastAsia="Cambria" w:hAnsi="Times New Roman" w:cs="Times New Roman"/>
          <w:bCs/>
          <w:sz w:val="28"/>
          <w:szCs w:val="28"/>
        </w:rPr>
        <w:t>carácter instrumental</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de la disposición demanda</w:t>
      </w:r>
      <w:r w:rsidRPr="00AF629F">
        <w:rPr>
          <w:rFonts w:ascii="Times New Roman" w:eastAsia="Cambria" w:hAnsi="Times New Roman" w:cs="Times New Roman"/>
          <w:bCs/>
          <w:sz w:val="28"/>
          <w:szCs w:val="28"/>
        </w:rPr>
        <w:t>da</w:t>
      </w:r>
      <w:r w:rsidRPr="00AF629F">
        <w:rPr>
          <w:rFonts w:ascii="Times New Roman" w:eastAsia="Cambria" w:hAnsi="Times New Roman" w:cs="Times New Roman"/>
          <w:bCs/>
          <w:sz w:val="28"/>
          <w:szCs w:val="28"/>
        </w:rPr>
        <w:t xml:space="preserve"> –como se indicó en el Título 5.2–</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no se trata de una medida </w:t>
      </w:r>
      <w:r w:rsidRPr="00AF629F">
        <w:rPr>
          <w:rFonts w:ascii="Times New Roman" w:eastAsia="Cambria" w:hAnsi="Times New Roman" w:cs="Times New Roman"/>
          <w:bCs/>
          <w:sz w:val="28"/>
          <w:szCs w:val="28"/>
        </w:rPr>
        <w:t xml:space="preserve">que </w:t>
      </w:r>
      <w:r w:rsidRPr="00AF629F">
        <w:rPr>
          <w:rFonts w:ascii="Times New Roman" w:eastAsia="Cambria" w:hAnsi="Times New Roman" w:cs="Times New Roman"/>
          <w:bCs/>
          <w:sz w:val="28"/>
          <w:szCs w:val="28"/>
        </w:rPr>
        <w:t>tenga</w:t>
      </w:r>
      <w:r w:rsidRPr="00AF629F">
        <w:rPr>
          <w:rFonts w:ascii="Times New Roman" w:hAnsi="Times New Roman" w:cs="Times New Roman"/>
          <w:iCs/>
          <w:sz w:val="28"/>
          <w:szCs w:val="28"/>
          <w:lang w:val="es-ES_tradnl"/>
        </w:rPr>
        <w:t xml:space="preserve"> </w:t>
      </w:r>
      <w:r w:rsidRPr="00AF629F">
        <w:rPr>
          <w:rFonts w:ascii="Times New Roman" w:eastAsia="Cambria" w:hAnsi="Times New Roman" w:cs="Times New Roman"/>
          <w:bCs/>
          <w:sz w:val="28"/>
          <w:szCs w:val="28"/>
        </w:rPr>
        <w:t xml:space="preserve">una relación de conexidad </w:t>
      </w:r>
      <w:r w:rsidRPr="00AF629F">
        <w:rPr>
          <w:rFonts w:ascii="Times New Roman" w:hAnsi="Times New Roman" w:cs="Times New Roman"/>
          <w:iCs/>
          <w:sz w:val="28"/>
          <w:szCs w:val="28"/>
          <w:lang w:val="es-ES_tradnl"/>
        </w:rPr>
        <w:t xml:space="preserve">estrecha, directa e inmediata con los </w:t>
      </w:r>
      <w:r w:rsidRPr="00AF629F">
        <w:rPr>
          <w:rFonts w:ascii="Times New Roman" w:hAnsi="Times New Roman" w:cs="Times New Roman"/>
          <w:bCs/>
          <w:sz w:val="28"/>
          <w:szCs w:val="28"/>
        </w:rPr>
        <w:t xml:space="preserve">objetivos y metas fijados en la parte general del plan, </w:t>
      </w:r>
      <w:r w:rsidRPr="00AF629F">
        <w:rPr>
          <w:rFonts w:ascii="Times New Roman" w:hAnsi="Times New Roman" w:cs="Times New Roman"/>
          <w:bCs/>
          <w:sz w:val="28"/>
          <w:szCs w:val="28"/>
        </w:rPr>
        <w:t>ni</w:t>
      </w:r>
      <w:r w:rsidRPr="00AF629F">
        <w:rPr>
          <w:rFonts w:ascii="Times New Roman" w:hAnsi="Times New Roman" w:cs="Times New Roman"/>
          <w:bCs/>
          <w:sz w:val="28"/>
          <w:szCs w:val="28"/>
        </w:rPr>
        <w:t xml:space="preserve"> con los programas y proyectos del plan de inversiones</w:t>
      </w:r>
      <w:r w:rsidRPr="00AF629F">
        <w:rPr>
          <w:rFonts w:ascii="Times New Roman" w:hAnsi="Times New Roman" w:cs="Times New Roman"/>
          <w:iCs/>
          <w:sz w:val="28"/>
          <w:szCs w:val="28"/>
          <w:lang w:val="es-ES_tradnl"/>
        </w:rPr>
        <w:t>.</w:t>
      </w:r>
    </w:p>
    <w:p w:rsidR="00384715" w:rsidRPr="00AF629F" w:rsidRDefault="00AF629F" w:rsidP="004F7899">
      <w:pPr>
        <w:rPr>
          <w:rFonts w:ascii="Times New Roman" w:hAnsi="Times New Roman" w:cs="Times New Roman"/>
          <w:iCs/>
          <w:sz w:val="28"/>
          <w:szCs w:val="28"/>
          <w:lang w:val="es-ES_tradnl"/>
        </w:rPr>
      </w:pPr>
    </w:p>
    <w:p w:rsidR="00941AD2" w:rsidRPr="00AF629F" w:rsidRDefault="00AF629F" w:rsidP="00C53E8D">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En efecto,</w:t>
      </w:r>
      <w:r w:rsidRPr="00AF629F">
        <w:rPr>
          <w:rFonts w:ascii="Times New Roman" w:eastAsia="Cambria" w:hAnsi="Times New Roman" w:cs="Times New Roman"/>
          <w:bCs/>
          <w:sz w:val="28"/>
          <w:szCs w:val="28"/>
        </w:rPr>
        <w:t xml:space="preserve"> pesar de que </w:t>
      </w:r>
      <w:r w:rsidRPr="00AF629F">
        <w:rPr>
          <w:rFonts w:ascii="Times New Roman" w:eastAsia="Cambria" w:hAnsi="Times New Roman" w:cs="Times New Roman"/>
          <w:bCs/>
          <w:sz w:val="28"/>
          <w:szCs w:val="28"/>
        </w:rPr>
        <w:t xml:space="preserve">el </w:t>
      </w:r>
      <w:r w:rsidRPr="00AF629F">
        <w:rPr>
          <w:rFonts w:ascii="Times New Roman" w:hAnsi="Times New Roman" w:cs="Times New Roman"/>
          <w:sz w:val="28"/>
          <w:szCs w:val="28"/>
        </w:rPr>
        <w:t xml:space="preserve">Ministerio de Hacienda y Crédito Público </w:t>
      </w:r>
      <w:r w:rsidRPr="00AF629F">
        <w:rPr>
          <w:rFonts w:ascii="Times New Roman" w:hAnsi="Times New Roman" w:cs="Times New Roman"/>
          <w:sz w:val="28"/>
          <w:szCs w:val="28"/>
        </w:rPr>
        <w:t>ejerciera</w:t>
      </w:r>
      <w:r w:rsidRPr="00AF629F">
        <w:rPr>
          <w:rFonts w:ascii="Times New Roman" w:hAnsi="Times New Roman" w:cs="Times New Roman"/>
          <w:sz w:val="28"/>
          <w:szCs w:val="28"/>
        </w:rPr>
        <w:t xml:space="preserve"> la </w:t>
      </w:r>
      <w:r w:rsidRPr="00AF629F">
        <w:rPr>
          <w:rFonts w:ascii="Times New Roman" w:hAnsi="Times New Roman" w:cs="Times New Roman"/>
          <w:sz w:val="28"/>
          <w:szCs w:val="28"/>
        </w:rPr>
        <w:t>autorización que le otorga</w:t>
      </w:r>
      <w:r w:rsidRPr="00AF629F">
        <w:rPr>
          <w:rFonts w:ascii="Times New Roman" w:hAnsi="Times New Roman" w:cs="Times New Roman"/>
          <w:sz w:val="28"/>
          <w:szCs w:val="28"/>
        </w:rPr>
        <w:t xml:space="preserve"> la disposición, esto es, contrate de manera directa </w:t>
      </w:r>
      <w:r w:rsidRPr="00AF629F">
        <w:rPr>
          <w:rFonts w:ascii="Times New Roman" w:hAnsi="Times New Roman" w:cs="Times New Roman"/>
          <w:sz w:val="28"/>
          <w:szCs w:val="28"/>
        </w:rPr>
        <w:t>la administración d</w:t>
      </w:r>
      <w:r w:rsidRPr="00AF629F">
        <w:rPr>
          <w:rFonts w:ascii="Times New Roman" w:hAnsi="Times New Roman" w:cs="Times New Roman"/>
          <w:sz w:val="28"/>
          <w:szCs w:val="28"/>
        </w:rPr>
        <w:t>e</w:t>
      </w:r>
      <w:r w:rsidRPr="00AF629F">
        <w:rPr>
          <w:rFonts w:ascii="Times New Roman" w:hAnsi="Times New Roman" w:cs="Times New Roman"/>
          <w:sz w:val="28"/>
          <w:szCs w:val="28"/>
        </w:rPr>
        <w:t xml:space="preserve"> los recursos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con sociedades fiduciarias de carácter público,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sin una modificación legislativa </w:t>
      </w:r>
      <w:r w:rsidRPr="00AF629F">
        <w:rPr>
          <w:rFonts w:ascii="Times New Roman" w:hAnsi="Times New Roman" w:cs="Times New Roman"/>
          <w:sz w:val="28"/>
          <w:szCs w:val="28"/>
        </w:rPr>
        <w:t xml:space="preserve">previa </w:t>
      </w:r>
      <w:r w:rsidRPr="00AF629F">
        <w:rPr>
          <w:rFonts w:ascii="Times New Roman" w:hAnsi="Times New Roman" w:cs="Times New Roman"/>
          <w:sz w:val="28"/>
          <w:szCs w:val="28"/>
        </w:rPr>
        <w:t>de la Ley 549 de 1999</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el Gobierno nacional no </w:t>
      </w:r>
      <w:r w:rsidRPr="00AF629F">
        <w:rPr>
          <w:rFonts w:ascii="Times New Roman" w:hAnsi="Times New Roman" w:cs="Times New Roman"/>
          <w:sz w:val="28"/>
          <w:szCs w:val="28"/>
        </w:rPr>
        <w:t xml:space="preserve">podría </w:t>
      </w:r>
      <w:r w:rsidRPr="00AF629F">
        <w:rPr>
          <w:rFonts w:ascii="Times New Roman" w:hAnsi="Times New Roman" w:cs="Times New Roman"/>
          <w:sz w:val="28"/>
          <w:szCs w:val="28"/>
        </w:rPr>
        <w:t xml:space="preserve">disponer de “los recursos excedentes”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 xml:space="preserve">para </w:t>
      </w:r>
      <w:r w:rsidRPr="00AF629F">
        <w:rPr>
          <w:rFonts w:ascii="Times New Roman" w:hAnsi="Times New Roman" w:cs="Times New Roman"/>
          <w:sz w:val="28"/>
          <w:szCs w:val="28"/>
        </w:rPr>
        <w:t>“</w:t>
      </w:r>
      <w:r w:rsidRPr="00AF629F">
        <w:rPr>
          <w:rFonts w:ascii="Times New Roman" w:hAnsi="Times New Roman" w:cs="Times New Roman"/>
          <w:sz w:val="28"/>
          <w:szCs w:val="28"/>
        </w:rPr>
        <w:t>inversión</w:t>
      </w:r>
      <w:r w:rsidRPr="00AF629F">
        <w:rPr>
          <w:rFonts w:ascii="Times New Roman" w:hAnsi="Times New Roman" w:cs="Times New Roman"/>
          <w:sz w:val="28"/>
          <w:szCs w:val="28"/>
        </w:rPr>
        <w:t xml:space="preserve">”, esto es, </w:t>
      </w:r>
      <w:r w:rsidRPr="00AF629F">
        <w:rPr>
          <w:rFonts w:ascii="Times New Roman" w:hAnsi="Times New Roman" w:cs="Times New Roman"/>
          <w:sz w:val="28"/>
          <w:szCs w:val="28"/>
        </w:rPr>
        <w:t>“</w:t>
      </w:r>
      <w:r w:rsidRPr="00AF629F">
        <w:rPr>
          <w:rFonts w:ascii="Times New Roman" w:hAnsi="Times New Roman" w:cs="Times New Roman"/>
          <w:sz w:val="28"/>
          <w:szCs w:val="28"/>
        </w:rPr>
        <w:t>para financiar proyectos catalizadores de gran impacto regional, que promuevan sostenidamente el bienestar económico, social y ambiental, de forma i</w:t>
      </w:r>
      <w:r w:rsidRPr="00AF629F">
        <w:rPr>
          <w:rFonts w:ascii="Times New Roman" w:hAnsi="Times New Roman" w:cs="Times New Roman"/>
          <w:sz w:val="28"/>
          <w:szCs w:val="28"/>
        </w:rPr>
        <w:t>nclusiva”</w:t>
      </w:r>
      <w:r w:rsidRPr="00AF629F">
        <w:rPr>
          <w:rFonts w:ascii="Times New Roman" w:hAnsi="Times New Roman" w:cs="Times New Roman"/>
          <w:sz w:val="28"/>
          <w:szCs w:val="28"/>
        </w:rPr>
        <w:t xml:space="preserve">, como se </w:t>
      </w:r>
      <w:r w:rsidRPr="00AF629F">
        <w:rPr>
          <w:rFonts w:ascii="Times New Roman" w:hAnsi="Times New Roman" w:cs="Times New Roman"/>
          <w:sz w:val="28"/>
          <w:szCs w:val="28"/>
        </w:rPr>
        <w:t xml:space="preserve">propone </w:t>
      </w:r>
      <w:r w:rsidRPr="00AF629F">
        <w:rPr>
          <w:rFonts w:ascii="Times New Roman" w:hAnsi="Times New Roman" w:cs="Times New Roman"/>
          <w:sz w:val="28"/>
          <w:szCs w:val="28"/>
        </w:rPr>
        <w:t>en las bases del plan nacional de desarrollo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Por tal razón</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la disposición demanda</w:t>
      </w:r>
      <w:r w:rsidRPr="00AF629F">
        <w:rPr>
          <w:rFonts w:ascii="Times New Roman" w:hAnsi="Times New Roman" w:cs="Times New Roman"/>
          <w:sz w:val="28"/>
          <w:szCs w:val="28"/>
        </w:rPr>
        <w:t>da</w:t>
      </w:r>
      <w:r w:rsidRPr="00AF629F">
        <w:rPr>
          <w:rFonts w:ascii="Times New Roman" w:hAnsi="Times New Roman" w:cs="Times New Roman"/>
          <w:sz w:val="28"/>
          <w:szCs w:val="28"/>
        </w:rPr>
        <w:t xml:space="preserve">, por sí misma, </w:t>
      </w:r>
      <w:r w:rsidRPr="00AF629F">
        <w:rPr>
          <w:rFonts w:ascii="Times New Roman" w:hAnsi="Times New Roman" w:cs="Times New Roman"/>
          <w:sz w:val="28"/>
          <w:szCs w:val="28"/>
        </w:rPr>
        <w:t xml:space="preserve">no </w:t>
      </w:r>
      <w:r w:rsidRPr="00AF629F">
        <w:rPr>
          <w:rFonts w:ascii="Times New Roman" w:hAnsi="Times New Roman" w:cs="Times New Roman"/>
          <w:sz w:val="28"/>
          <w:szCs w:val="28"/>
        </w:rPr>
        <w:t xml:space="preserve">permite </w:t>
      </w:r>
      <w:r w:rsidRPr="00AF629F">
        <w:rPr>
          <w:rFonts w:ascii="Times New Roman" w:hAnsi="Times New Roman" w:cs="Times New Roman"/>
          <w:sz w:val="28"/>
          <w:szCs w:val="28"/>
        </w:rPr>
        <w:t xml:space="preserve">lograr los fines que le fueron adscritos y, por tanto, </w:t>
      </w:r>
      <w:r w:rsidRPr="00AF629F">
        <w:rPr>
          <w:rFonts w:ascii="Times New Roman" w:hAnsi="Times New Roman" w:cs="Times New Roman"/>
          <w:sz w:val="28"/>
          <w:szCs w:val="28"/>
        </w:rPr>
        <w:t>no cumpl</w:t>
      </w:r>
      <w:r w:rsidRPr="00AF629F">
        <w:rPr>
          <w:rFonts w:ascii="Times New Roman" w:hAnsi="Times New Roman" w:cs="Times New Roman"/>
          <w:sz w:val="28"/>
          <w:szCs w:val="28"/>
        </w:rPr>
        <w:t>e</w:t>
      </w:r>
      <w:r w:rsidRPr="00AF629F">
        <w:rPr>
          <w:rFonts w:ascii="Times New Roman" w:hAnsi="Times New Roman" w:cs="Times New Roman"/>
          <w:sz w:val="28"/>
          <w:szCs w:val="28"/>
        </w:rPr>
        <w:t xml:space="preserve"> el estándar jurisprudencial, según el cual, </w:t>
      </w:r>
      <w:r w:rsidRPr="00AF629F">
        <w:rPr>
          <w:rFonts w:ascii="Times New Roman" w:hAnsi="Times New Roman" w:cs="Times New Roman"/>
          <w:sz w:val="28"/>
          <w:szCs w:val="28"/>
        </w:rPr>
        <w:t xml:space="preserve">la medida legislativa </w:t>
      </w:r>
      <w:r w:rsidRPr="00AF629F">
        <w:rPr>
          <w:rFonts w:ascii="Times New Roman" w:eastAsia="Cambria" w:hAnsi="Times New Roman" w:cs="Times New Roman"/>
          <w:bCs/>
          <w:sz w:val="28"/>
          <w:szCs w:val="28"/>
        </w:rPr>
        <w:t xml:space="preserve">debe permitir </w:t>
      </w:r>
      <w:r w:rsidRPr="00AF629F">
        <w:rPr>
          <w:rFonts w:ascii="Times New Roman" w:hAnsi="Times New Roman" w:cs="Times New Roman"/>
          <w:sz w:val="28"/>
          <w:szCs w:val="28"/>
        </w:rPr>
        <w:t xml:space="preserve">de manera inequívoca </w:t>
      </w:r>
      <w:r w:rsidRPr="00AF629F">
        <w:rPr>
          <w:rFonts w:ascii="Times New Roman" w:hAnsi="Times New Roman" w:cs="Times New Roman"/>
          <w:iCs/>
          <w:sz w:val="28"/>
          <w:szCs w:val="28"/>
          <w:lang w:val="es-ES_tradnl"/>
        </w:rPr>
        <w:t>impulsar el cumplimiento del plan dentro del respectivo período cuatrienal</w:t>
      </w:r>
      <w:r w:rsidRPr="00AF629F">
        <w:rPr>
          <w:rFonts w:ascii="Times New Roman" w:hAnsi="Times New Roman" w:cs="Times New Roman"/>
          <w:iCs/>
          <w:sz w:val="28"/>
          <w:szCs w:val="28"/>
          <w:lang w:val="es-ES_tradnl"/>
        </w:rPr>
        <w:t>.</w:t>
      </w:r>
    </w:p>
    <w:p w:rsidR="0033265C" w:rsidRPr="00AF629F" w:rsidRDefault="00AF629F" w:rsidP="0033265C">
      <w:pPr>
        <w:pStyle w:val="Prrafodelista"/>
        <w:ind w:left="0"/>
        <w:jc w:val="both"/>
        <w:rPr>
          <w:rFonts w:ascii="Times New Roman" w:eastAsia="Cambria" w:hAnsi="Times New Roman" w:cs="Times New Roman"/>
          <w:bCs/>
          <w:sz w:val="28"/>
          <w:szCs w:val="28"/>
        </w:rPr>
      </w:pPr>
    </w:p>
    <w:p w:rsidR="00373128" w:rsidRPr="00AF629F" w:rsidRDefault="00AF629F" w:rsidP="005C6106">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En efecto</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d</w:t>
      </w:r>
      <w:r w:rsidRPr="00AF629F">
        <w:rPr>
          <w:rFonts w:ascii="Times New Roman" w:eastAsia="Cambria" w:hAnsi="Times New Roman" w:cs="Times New Roman"/>
          <w:bCs/>
          <w:sz w:val="28"/>
          <w:szCs w:val="28"/>
        </w:rPr>
        <w:t xml:space="preserve">e lo dispuesto </w:t>
      </w:r>
      <w:r w:rsidRPr="00AF629F">
        <w:rPr>
          <w:rFonts w:ascii="Times New Roman" w:eastAsia="Cambria" w:hAnsi="Times New Roman" w:cs="Times New Roman"/>
          <w:bCs/>
          <w:sz w:val="28"/>
          <w:szCs w:val="28"/>
        </w:rPr>
        <w:t>en</w:t>
      </w:r>
      <w:r w:rsidRPr="00AF629F">
        <w:rPr>
          <w:rFonts w:ascii="Times New Roman" w:eastAsia="Cambria" w:hAnsi="Times New Roman" w:cs="Times New Roman"/>
          <w:bCs/>
          <w:sz w:val="28"/>
          <w:szCs w:val="28"/>
        </w:rPr>
        <w:t xml:space="preserve"> los artículos 1 (inciso primero)</w:t>
      </w:r>
      <w:r w:rsidRPr="00AF629F">
        <w:rPr>
          <w:rStyle w:val="Refdenotaalpie"/>
          <w:rFonts w:ascii="Times New Roman" w:eastAsia="Cambria" w:hAnsi="Times New Roman" w:cs="Times New Roman"/>
          <w:bCs/>
          <w:sz w:val="28"/>
          <w:szCs w:val="28"/>
        </w:rPr>
        <w:footnoteReference w:id="55"/>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3</w:t>
      </w:r>
      <w:r w:rsidRPr="00AF629F">
        <w:rPr>
          <w:rStyle w:val="Refdenotaalpie"/>
          <w:rFonts w:ascii="Times New Roman" w:eastAsia="Cambria" w:hAnsi="Times New Roman" w:cs="Times New Roman"/>
          <w:bCs/>
          <w:sz w:val="28"/>
          <w:szCs w:val="28"/>
        </w:rPr>
        <w:footnoteReference w:id="56"/>
      </w:r>
      <w:r w:rsidRPr="00AF629F">
        <w:rPr>
          <w:rFonts w:ascii="Times New Roman" w:eastAsia="Cambria" w:hAnsi="Times New Roman" w:cs="Times New Roman"/>
          <w:bCs/>
          <w:sz w:val="28"/>
          <w:szCs w:val="28"/>
        </w:rPr>
        <w:t>, 6 (incisos primero, quinto y sexto)</w:t>
      </w:r>
      <w:r w:rsidRPr="00AF629F">
        <w:rPr>
          <w:rStyle w:val="Refdenotaalpie"/>
          <w:rFonts w:ascii="Times New Roman" w:eastAsia="Cambria" w:hAnsi="Times New Roman" w:cs="Times New Roman"/>
          <w:bCs/>
          <w:sz w:val="28"/>
          <w:szCs w:val="28"/>
        </w:rPr>
        <w:footnoteReference w:id="57"/>
      </w:r>
      <w:r w:rsidRPr="00AF629F">
        <w:rPr>
          <w:rFonts w:ascii="Times New Roman" w:eastAsia="Cambria" w:hAnsi="Times New Roman" w:cs="Times New Roman"/>
          <w:bCs/>
          <w:sz w:val="28"/>
          <w:szCs w:val="28"/>
        </w:rPr>
        <w:t xml:space="preserve"> y 7 (numerales 1 y 2, </w:t>
      </w:r>
      <w:r w:rsidRPr="00AF629F">
        <w:rPr>
          <w:rFonts w:ascii="Times New Roman" w:eastAsia="Cambria" w:hAnsi="Times New Roman" w:cs="Times New Roman"/>
          <w:bCs/>
          <w:sz w:val="28"/>
          <w:szCs w:val="28"/>
        </w:rPr>
        <w:t xml:space="preserve">y </w:t>
      </w:r>
      <w:r w:rsidRPr="00AF629F">
        <w:rPr>
          <w:rFonts w:ascii="Times New Roman" w:eastAsia="Cambria" w:hAnsi="Times New Roman" w:cs="Times New Roman"/>
          <w:bCs/>
          <w:sz w:val="28"/>
          <w:szCs w:val="28"/>
        </w:rPr>
        <w:t>oración final del numeral 5)</w:t>
      </w:r>
      <w:r w:rsidRPr="00AF629F">
        <w:rPr>
          <w:rStyle w:val="Refdenotaalpie"/>
          <w:rFonts w:ascii="Times New Roman" w:eastAsia="Cambria" w:hAnsi="Times New Roman" w:cs="Times New Roman"/>
          <w:bCs/>
          <w:sz w:val="28"/>
          <w:szCs w:val="28"/>
        </w:rPr>
        <w:footnoteReference w:id="58"/>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de la Ley </w:t>
      </w:r>
      <w:r w:rsidRPr="00AF629F">
        <w:rPr>
          <w:rFonts w:ascii="Times New Roman" w:eastAsia="Cambria" w:hAnsi="Times New Roman" w:cs="Times New Roman"/>
          <w:bCs/>
          <w:sz w:val="28"/>
          <w:szCs w:val="28"/>
        </w:rPr>
        <w:t xml:space="preserve">549 de 1999, así como de lo </w:t>
      </w:r>
      <w:r w:rsidRPr="00AF629F">
        <w:rPr>
          <w:rFonts w:ascii="Times New Roman" w:eastAsia="Cambria" w:hAnsi="Times New Roman" w:cs="Times New Roman"/>
          <w:bCs/>
          <w:sz w:val="28"/>
          <w:szCs w:val="28"/>
        </w:rPr>
        <w:t>previsto</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en</w:t>
      </w:r>
      <w:r w:rsidRPr="00AF629F">
        <w:rPr>
          <w:rFonts w:ascii="Times New Roman" w:eastAsia="Cambria" w:hAnsi="Times New Roman" w:cs="Times New Roman"/>
          <w:bCs/>
          <w:sz w:val="28"/>
          <w:szCs w:val="28"/>
        </w:rPr>
        <w:t xml:space="preserve"> el artículo </w:t>
      </w:r>
      <w:r w:rsidRPr="00AF629F">
        <w:rPr>
          <w:rFonts w:ascii="Times New Roman" w:eastAsia="Cambria" w:hAnsi="Times New Roman" w:cs="Times New Roman"/>
          <w:bCs/>
          <w:sz w:val="28"/>
          <w:szCs w:val="28"/>
        </w:rPr>
        <w:t xml:space="preserve">321 de la </w:t>
      </w:r>
      <w:r w:rsidRPr="00AF629F">
        <w:rPr>
          <w:rStyle w:val="Ttulo1Car"/>
          <w:rFonts w:ascii="Times New Roman" w:hAnsi="Times New Roman" w:cs="Times New Roman"/>
          <w:b w:val="0"/>
          <w:bCs/>
          <w:color w:val="auto"/>
          <w:sz w:val="28"/>
          <w:szCs w:val="28"/>
          <w:lang w:val="es-ES"/>
        </w:rPr>
        <w:t>Ley 2294 de 2023</w:t>
      </w:r>
      <w:r w:rsidRPr="00AF629F">
        <w:rPr>
          <w:rStyle w:val="Refdenotaalpie"/>
          <w:rFonts w:ascii="Times New Roman" w:eastAsia="Cambria" w:hAnsi="Times New Roman" w:cs="Times New Roman"/>
          <w:bCs/>
          <w:sz w:val="28"/>
          <w:szCs w:val="28"/>
          <w:lang w:val="es-ES"/>
        </w:rPr>
        <w:footnoteReference w:id="59"/>
      </w:r>
      <w:r w:rsidRPr="00AF629F">
        <w:rPr>
          <w:rStyle w:val="Ttulo1Car"/>
          <w:rFonts w:ascii="Times New Roman" w:hAnsi="Times New Roman" w:cs="Times New Roman"/>
          <w:b w:val="0"/>
          <w:bCs/>
          <w:color w:val="auto"/>
          <w:sz w:val="28"/>
          <w:szCs w:val="28"/>
          <w:lang w:val="es-ES"/>
        </w:rPr>
        <w:t xml:space="preserve"> –disposición no acusada en la presente demanda– </w:t>
      </w:r>
      <w:r w:rsidRPr="00AF629F">
        <w:rPr>
          <w:rFonts w:ascii="Times New Roman" w:eastAsia="Cambria" w:hAnsi="Times New Roman" w:cs="Times New Roman"/>
          <w:bCs/>
          <w:sz w:val="28"/>
          <w:szCs w:val="28"/>
        </w:rPr>
        <w:t xml:space="preserve">se derivan </w:t>
      </w:r>
      <w:r w:rsidRPr="00AF629F">
        <w:rPr>
          <w:rFonts w:ascii="Times New Roman" w:eastAsia="Cambria" w:hAnsi="Times New Roman" w:cs="Times New Roman"/>
          <w:bCs/>
          <w:sz w:val="28"/>
          <w:szCs w:val="28"/>
        </w:rPr>
        <w:t xml:space="preserve">las </w:t>
      </w:r>
      <w:r w:rsidRPr="00AF629F">
        <w:rPr>
          <w:rFonts w:ascii="Times New Roman" w:eastAsia="Cambria" w:hAnsi="Times New Roman" w:cs="Times New Roman"/>
          <w:bCs/>
          <w:sz w:val="28"/>
          <w:szCs w:val="28"/>
        </w:rPr>
        <w:t xml:space="preserve">siguientes </w:t>
      </w:r>
      <w:r w:rsidRPr="00AF629F">
        <w:rPr>
          <w:rFonts w:ascii="Times New Roman" w:eastAsia="Cambria" w:hAnsi="Times New Roman" w:cs="Times New Roman"/>
          <w:bCs/>
          <w:sz w:val="28"/>
          <w:szCs w:val="28"/>
        </w:rPr>
        <w:t xml:space="preserve">cinco </w:t>
      </w:r>
      <w:r w:rsidRPr="00AF629F">
        <w:rPr>
          <w:rFonts w:ascii="Times New Roman" w:eastAsia="Cambria" w:hAnsi="Times New Roman" w:cs="Times New Roman"/>
          <w:bCs/>
          <w:sz w:val="28"/>
          <w:szCs w:val="28"/>
        </w:rPr>
        <w:t xml:space="preserve">proposiciones: </w:t>
      </w:r>
      <w:r w:rsidRPr="00AF629F">
        <w:rPr>
          <w:rFonts w:ascii="Times New Roman" w:eastAsia="Cambria" w:hAnsi="Times New Roman" w:cs="Times New Roman"/>
          <w:bCs/>
          <w:sz w:val="28"/>
          <w:szCs w:val="28"/>
        </w:rPr>
        <w:t xml:space="preserve">(i) </w:t>
      </w:r>
      <w:r w:rsidRPr="00AF629F">
        <w:rPr>
          <w:rFonts w:ascii="Times New Roman" w:eastAsia="Cambria" w:hAnsi="Times New Roman" w:cs="Times New Roman"/>
          <w:bCs/>
          <w:sz w:val="28"/>
          <w:szCs w:val="28"/>
        </w:rPr>
        <w:t xml:space="preserve">los recursos del </w:t>
      </w:r>
      <w:r w:rsidRPr="00AF629F">
        <w:rPr>
          <w:rFonts w:ascii="Times New Roman" w:eastAsia="Cambria" w:hAnsi="Times New Roman" w:cs="Times New Roman"/>
          <w:bCs/>
          <w:sz w:val="28"/>
          <w:szCs w:val="28"/>
        </w:rPr>
        <w:t xml:space="preserve">FONPET </w:t>
      </w:r>
      <w:r w:rsidRPr="00AF629F">
        <w:rPr>
          <w:rFonts w:ascii="Times New Roman" w:eastAsia="Cambria" w:hAnsi="Times New Roman" w:cs="Times New Roman"/>
          <w:bCs/>
          <w:sz w:val="28"/>
          <w:szCs w:val="28"/>
        </w:rPr>
        <w:t xml:space="preserve">son </w:t>
      </w:r>
      <w:r w:rsidRPr="00AF629F">
        <w:rPr>
          <w:rFonts w:ascii="Times New Roman" w:eastAsia="Cambria" w:hAnsi="Times New Roman" w:cs="Times New Roman"/>
          <w:bCs/>
          <w:sz w:val="28"/>
          <w:szCs w:val="28"/>
        </w:rPr>
        <w:t xml:space="preserve">de </w:t>
      </w:r>
      <w:r w:rsidRPr="00AF629F">
        <w:rPr>
          <w:rFonts w:ascii="Times New Roman" w:eastAsia="Cambria" w:hAnsi="Times New Roman" w:cs="Times New Roman"/>
          <w:bCs/>
          <w:sz w:val="28"/>
          <w:szCs w:val="28"/>
        </w:rPr>
        <w:t>propiedad de las entidades territoriales</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(ii) tienen una destinación específica</w:t>
      </w:r>
      <w:r w:rsidRPr="00AF629F">
        <w:rPr>
          <w:rFonts w:ascii="Times New Roman" w:eastAsia="Cambria" w:hAnsi="Times New Roman" w:cs="Times New Roman"/>
          <w:bCs/>
          <w:sz w:val="28"/>
          <w:szCs w:val="28"/>
        </w:rPr>
        <w:t>: “cubrir en la forma prevista en esta ley, el valor de los pasivos pensionales</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a cargo</w:t>
      </w:r>
      <w:r w:rsidRPr="00AF629F">
        <w:rPr>
          <w:rFonts w:ascii="Times New Roman" w:eastAsia="Cambria" w:hAnsi="Times New Roman" w:cs="Times New Roman"/>
          <w:bCs/>
          <w:sz w:val="28"/>
          <w:szCs w:val="28"/>
        </w:rPr>
        <w:t xml:space="preserve"> de las entidades territoriales</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(iii) </w:t>
      </w:r>
      <w:r w:rsidRPr="00AF629F">
        <w:rPr>
          <w:rFonts w:ascii="Times New Roman" w:eastAsia="Cambria" w:hAnsi="Times New Roman" w:cs="Times New Roman"/>
          <w:bCs/>
          <w:sz w:val="28"/>
          <w:szCs w:val="28"/>
        </w:rPr>
        <w:t xml:space="preserve">los </w:t>
      </w:r>
      <w:r w:rsidRPr="00AF629F">
        <w:rPr>
          <w:rFonts w:ascii="Times New Roman" w:eastAsia="Cambria" w:hAnsi="Times New Roman" w:cs="Times New Roman"/>
          <w:bCs/>
          <w:sz w:val="28"/>
          <w:szCs w:val="28"/>
        </w:rPr>
        <w:t xml:space="preserve">rendimientos financieros que </w:t>
      </w:r>
      <w:r w:rsidRPr="00AF629F">
        <w:rPr>
          <w:rFonts w:ascii="Times New Roman" w:eastAsia="Cambria" w:hAnsi="Times New Roman" w:cs="Times New Roman"/>
          <w:bCs/>
          <w:sz w:val="28"/>
          <w:szCs w:val="28"/>
        </w:rPr>
        <w:t>genera</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la </w:t>
      </w:r>
      <w:r w:rsidRPr="00AF629F">
        <w:rPr>
          <w:rFonts w:ascii="Times New Roman" w:eastAsia="Cambria" w:hAnsi="Times New Roman" w:cs="Times New Roman"/>
          <w:bCs/>
          <w:sz w:val="28"/>
          <w:szCs w:val="28"/>
        </w:rPr>
        <w:t xml:space="preserve">administración </w:t>
      </w:r>
      <w:r w:rsidRPr="00AF629F">
        <w:rPr>
          <w:rFonts w:ascii="Times New Roman" w:eastAsia="Cambria" w:hAnsi="Times New Roman" w:cs="Times New Roman"/>
          <w:bCs/>
          <w:sz w:val="28"/>
          <w:szCs w:val="28"/>
        </w:rPr>
        <w:t xml:space="preserve">de los recursos del </w:t>
      </w:r>
      <w:r w:rsidRPr="00AF629F">
        <w:rPr>
          <w:rFonts w:ascii="Times New Roman" w:eastAsia="Cambria" w:hAnsi="Times New Roman" w:cs="Times New Roman"/>
          <w:bCs/>
          <w:sz w:val="28"/>
          <w:szCs w:val="28"/>
        </w:rPr>
        <w:t xml:space="preserve">FONPET </w:t>
      </w:r>
      <w:r w:rsidRPr="00AF629F">
        <w:rPr>
          <w:rFonts w:ascii="Times New Roman" w:eastAsia="Cambria" w:hAnsi="Times New Roman" w:cs="Times New Roman"/>
          <w:bCs/>
          <w:sz w:val="28"/>
          <w:szCs w:val="28"/>
        </w:rPr>
        <w:t xml:space="preserve">integran los recursos </w:t>
      </w:r>
      <w:r w:rsidRPr="00AF629F">
        <w:rPr>
          <w:rFonts w:ascii="Times New Roman" w:eastAsia="Cambria" w:hAnsi="Times New Roman" w:cs="Times New Roman"/>
          <w:bCs/>
          <w:sz w:val="28"/>
          <w:szCs w:val="28"/>
        </w:rPr>
        <w:t>del fondo</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ergo, </w:t>
      </w:r>
      <w:r w:rsidRPr="00AF629F">
        <w:rPr>
          <w:rFonts w:ascii="Times New Roman" w:eastAsia="Cambria" w:hAnsi="Times New Roman" w:cs="Times New Roman"/>
          <w:bCs/>
          <w:sz w:val="28"/>
          <w:szCs w:val="28"/>
        </w:rPr>
        <w:t xml:space="preserve">se trata de </w:t>
      </w:r>
      <w:r w:rsidRPr="00AF629F">
        <w:rPr>
          <w:rFonts w:ascii="Times New Roman" w:eastAsia="Cambria" w:hAnsi="Times New Roman" w:cs="Times New Roman"/>
          <w:bCs/>
          <w:sz w:val="28"/>
          <w:szCs w:val="28"/>
        </w:rPr>
        <w:t>recursos de las entidades territoriales, (iv)</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y, por tanto, tienen</w:t>
      </w:r>
      <w:r w:rsidRPr="00AF629F">
        <w:rPr>
          <w:rFonts w:ascii="Times New Roman" w:eastAsia="Cambria" w:hAnsi="Times New Roman" w:cs="Times New Roman"/>
          <w:bCs/>
          <w:sz w:val="28"/>
          <w:szCs w:val="28"/>
        </w:rPr>
        <w:t xml:space="preserve"> igual destinación específica</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y,</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(v) </w:t>
      </w:r>
      <w:r w:rsidRPr="00AF629F">
        <w:rPr>
          <w:rFonts w:ascii="Times New Roman" w:eastAsia="Cambria" w:hAnsi="Times New Roman" w:cs="Times New Roman"/>
          <w:bCs/>
          <w:sz w:val="28"/>
          <w:szCs w:val="28"/>
        </w:rPr>
        <w:t xml:space="preserve">finalmente, </w:t>
      </w:r>
      <w:r w:rsidRPr="00AF629F">
        <w:rPr>
          <w:rFonts w:ascii="Times New Roman" w:eastAsia="Cambria" w:hAnsi="Times New Roman" w:cs="Times New Roman"/>
          <w:bCs/>
          <w:sz w:val="28"/>
          <w:szCs w:val="28"/>
        </w:rPr>
        <w:t xml:space="preserve">siempre que se </w:t>
      </w:r>
      <w:r w:rsidRPr="00AF629F">
        <w:rPr>
          <w:rFonts w:ascii="Times New Roman" w:eastAsia="Cambria" w:hAnsi="Times New Roman" w:cs="Times New Roman"/>
          <w:bCs/>
          <w:sz w:val="28"/>
          <w:szCs w:val="28"/>
        </w:rPr>
        <w:t>reconozcan estas condiciones</w:t>
      </w:r>
      <w:r w:rsidRPr="00AF629F">
        <w:rPr>
          <w:rFonts w:ascii="Times New Roman" w:eastAsia="Cambria" w:hAnsi="Times New Roman" w:cs="Times New Roman"/>
          <w:bCs/>
          <w:sz w:val="28"/>
          <w:szCs w:val="28"/>
        </w:rPr>
        <w:t xml:space="preserve"> especiales</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es </w:t>
      </w:r>
      <w:r w:rsidRPr="00AF629F">
        <w:rPr>
          <w:rFonts w:ascii="Times New Roman" w:eastAsia="Cambria" w:hAnsi="Times New Roman" w:cs="Times New Roman"/>
          <w:bCs/>
          <w:sz w:val="28"/>
          <w:szCs w:val="28"/>
        </w:rPr>
        <w:t xml:space="preserve">posible </w:t>
      </w:r>
      <w:r w:rsidRPr="00AF629F">
        <w:rPr>
          <w:rFonts w:ascii="Times New Roman" w:eastAsia="Cambria" w:hAnsi="Times New Roman" w:cs="Times New Roman"/>
          <w:bCs/>
          <w:sz w:val="28"/>
          <w:szCs w:val="28"/>
        </w:rPr>
        <w:t>adscribir</w:t>
      </w:r>
      <w:r w:rsidRPr="00AF629F">
        <w:rPr>
          <w:rFonts w:ascii="Times New Roman" w:eastAsia="Cambria" w:hAnsi="Times New Roman" w:cs="Times New Roman"/>
          <w:bCs/>
          <w:sz w:val="28"/>
          <w:szCs w:val="28"/>
        </w:rPr>
        <w:t>les</w:t>
      </w:r>
      <w:r w:rsidRPr="00AF629F">
        <w:rPr>
          <w:rFonts w:ascii="Times New Roman" w:eastAsia="Cambria" w:hAnsi="Times New Roman" w:cs="Times New Roman"/>
          <w:bCs/>
          <w:sz w:val="28"/>
          <w:szCs w:val="28"/>
        </w:rPr>
        <w:t xml:space="preserve"> una determinada finalidad atribuida por el legislador</w:t>
      </w:r>
      <w:r w:rsidRPr="00AF629F">
        <w:rPr>
          <w:rFonts w:ascii="Times New Roman" w:eastAsia="Cambria" w:hAnsi="Times New Roman" w:cs="Times New Roman"/>
          <w:bCs/>
          <w:sz w:val="28"/>
          <w:szCs w:val="28"/>
        </w:rPr>
        <w:t>, al igual que a las fuentes de financiación excedentarias</w:t>
      </w:r>
      <w:r w:rsidRPr="00AF629F">
        <w:rPr>
          <w:rFonts w:ascii="Times New Roman" w:eastAsia="Cambria" w:hAnsi="Times New Roman" w:cs="Times New Roman"/>
          <w:bCs/>
          <w:sz w:val="28"/>
          <w:szCs w:val="28"/>
        </w:rPr>
        <w:t>.</w:t>
      </w:r>
    </w:p>
    <w:p w:rsidR="00373128" w:rsidRPr="00AF629F" w:rsidRDefault="00AF629F" w:rsidP="004B6F21">
      <w:pPr>
        <w:rPr>
          <w:rFonts w:ascii="Times New Roman" w:eastAsia="Cambria" w:hAnsi="Times New Roman" w:cs="Times New Roman"/>
          <w:bCs/>
          <w:sz w:val="28"/>
          <w:szCs w:val="28"/>
        </w:rPr>
      </w:pPr>
    </w:p>
    <w:p w:rsidR="00373128" w:rsidRPr="00AF629F" w:rsidRDefault="00AF629F" w:rsidP="005C6106">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L</w:t>
      </w:r>
      <w:r w:rsidRPr="00AF629F">
        <w:rPr>
          <w:rFonts w:ascii="Times New Roman" w:eastAsia="Cambria" w:hAnsi="Times New Roman" w:cs="Times New Roman"/>
          <w:bCs/>
          <w:sz w:val="28"/>
          <w:szCs w:val="28"/>
        </w:rPr>
        <w:t>o primero</w:t>
      </w:r>
      <w:r w:rsidRPr="00AF629F">
        <w:rPr>
          <w:rFonts w:ascii="Times New Roman" w:eastAsia="Cambria" w:hAnsi="Times New Roman" w:cs="Times New Roman"/>
          <w:bCs/>
          <w:sz w:val="28"/>
          <w:szCs w:val="28"/>
        </w:rPr>
        <w:t xml:space="preserve"> se deriva </w:t>
      </w:r>
      <w:r w:rsidRPr="00AF629F">
        <w:rPr>
          <w:rFonts w:ascii="Times New Roman" w:eastAsia="Cambria" w:hAnsi="Times New Roman" w:cs="Times New Roman"/>
          <w:bCs/>
          <w:sz w:val="28"/>
          <w:szCs w:val="28"/>
        </w:rPr>
        <w:t xml:space="preserve">del deber que el legislador </w:t>
      </w:r>
      <w:r w:rsidRPr="00AF629F">
        <w:rPr>
          <w:rFonts w:ascii="Times New Roman" w:eastAsia="Cambria" w:hAnsi="Times New Roman" w:cs="Times New Roman"/>
          <w:bCs/>
          <w:sz w:val="28"/>
          <w:szCs w:val="28"/>
        </w:rPr>
        <w:t>les</w:t>
      </w:r>
      <w:r w:rsidRPr="00AF629F">
        <w:rPr>
          <w:rFonts w:ascii="Times New Roman" w:eastAsia="Cambria" w:hAnsi="Times New Roman" w:cs="Times New Roman"/>
          <w:bCs/>
          <w:sz w:val="28"/>
          <w:szCs w:val="28"/>
        </w:rPr>
        <w:t xml:space="preserve"> atribuye a las entidades territoriales de </w:t>
      </w:r>
      <w:r w:rsidRPr="00AF629F">
        <w:rPr>
          <w:rFonts w:ascii="Times New Roman" w:eastAsia="Cambria" w:hAnsi="Times New Roman" w:cs="Times New Roman"/>
          <w:bCs/>
          <w:sz w:val="28"/>
          <w:szCs w:val="28"/>
        </w:rPr>
        <w:t xml:space="preserve">cubrir </w:t>
      </w:r>
      <w:r w:rsidRPr="00AF629F">
        <w:rPr>
          <w:rFonts w:ascii="Times New Roman" w:eastAsia="Cambria" w:hAnsi="Times New Roman" w:cs="Times New Roman"/>
          <w:bCs/>
          <w:sz w:val="28"/>
          <w:szCs w:val="28"/>
        </w:rPr>
        <w:t xml:space="preserve">sus </w:t>
      </w:r>
      <w:r w:rsidRPr="00AF629F">
        <w:rPr>
          <w:rFonts w:ascii="Times New Roman" w:eastAsia="Cambria" w:hAnsi="Times New Roman" w:cs="Times New Roman"/>
          <w:bCs/>
          <w:sz w:val="28"/>
          <w:szCs w:val="28"/>
        </w:rPr>
        <w:t>pasi</w:t>
      </w:r>
      <w:r w:rsidRPr="00AF629F">
        <w:rPr>
          <w:rFonts w:ascii="Times New Roman" w:eastAsia="Cambria" w:hAnsi="Times New Roman" w:cs="Times New Roman"/>
          <w:bCs/>
          <w:sz w:val="28"/>
          <w:szCs w:val="28"/>
        </w:rPr>
        <w:t>vos pensionales (artículo 1, inciso primero</w:t>
      </w:r>
      <w:r w:rsidRPr="00AF629F">
        <w:rPr>
          <w:rFonts w:ascii="Times New Roman" w:eastAsia="Cambria" w:hAnsi="Times New Roman" w:cs="Times New Roman"/>
          <w:bCs/>
          <w:sz w:val="28"/>
          <w:szCs w:val="28"/>
        </w:rPr>
        <w:t xml:space="preserve"> y artículo 3, inciso segundo</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para lo cual dispone </w:t>
      </w:r>
      <w:r w:rsidRPr="00AF629F">
        <w:rPr>
          <w:rFonts w:ascii="Times New Roman" w:eastAsia="Cambria" w:hAnsi="Times New Roman" w:cs="Times New Roman"/>
          <w:bCs/>
          <w:sz w:val="28"/>
          <w:szCs w:val="28"/>
        </w:rPr>
        <w:t xml:space="preserve">que </w:t>
      </w:r>
      <w:r w:rsidRPr="00AF629F">
        <w:rPr>
          <w:rFonts w:ascii="Times New Roman" w:eastAsia="Cambria" w:hAnsi="Times New Roman" w:cs="Times New Roman"/>
          <w:bCs/>
          <w:sz w:val="28"/>
          <w:szCs w:val="28"/>
        </w:rPr>
        <w:t xml:space="preserve">“cada una de las entidades territoriales poseerá una cuenta destinada al pago de sus pasivos </w:t>
      </w:r>
      <w:r w:rsidRPr="00AF629F">
        <w:rPr>
          <w:rFonts w:ascii="Times New Roman" w:eastAsia="Cambria" w:hAnsi="Times New Roman" w:cs="Times New Roman"/>
          <w:bCs/>
          <w:sz w:val="28"/>
          <w:szCs w:val="28"/>
        </w:rPr>
        <w:t>pensionales”</w:t>
      </w:r>
      <w:r w:rsidRPr="00AF629F">
        <w:rPr>
          <w:rFonts w:ascii="Times New Roman" w:eastAsia="Cambria" w:hAnsi="Times New Roman" w:cs="Times New Roman"/>
          <w:bCs/>
          <w:sz w:val="28"/>
          <w:szCs w:val="28"/>
        </w:rPr>
        <w:t xml:space="preserve"> en el </w:t>
      </w:r>
      <w:r w:rsidRPr="00AF629F">
        <w:rPr>
          <w:rFonts w:ascii="Times New Roman" w:eastAsia="Cambria" w:hAnsi="Times New Roman" w:cs="Times New Roman"/>
          <w:bCs/>
          <w:sz w:val="28"/>
          <w:szCs w:val="28"/>
        </w:rPr>
        <w:t>FONPET</w:t>
      </w:r>
      <w:r w:rsidRPr="00AF629F">
        <w:rPr>
          <w:rStyle w:val="Refdenotaalpie"/>
          <w:rFonts w:ascii="Times New Roman" w:eastAsia="Cambria" w:hAnsi="Times New Roman" w:cs="Times New Roman"/>
          <w:bCs/>
          <w:sz w:val="28"/>
          <w:szCs w:val="28"/>
        </w:rPr>
        <w:footnoteReference w:id="60"/>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y que “[l]</w:t>
      </w:r>
      <w:r w:rsidRPr="00AF629F">
        <w:rPr>
          <w:rFonts w:ascii="Times New Roman" w:hAnsi="Times New Roman" w:cs="Times New Roman"/>
          <w:bCs/>
          <w:sz w:val="28"/>
          <w:szCs w:val="28"/>
        </w:rPr>
        <w:t>l</w:t>
      </w:r>
      <w:r w:rsidRPr="00AF629F">
        <w:rPr>
          <w:rFonts w:ascii="Times New Roman" w:hAnsi="Times New Roman" w:cs="Times New Roman"/>
          <w:bCs/>
          <w:sz w:val="28"/>
          <w:szCs w:val="28"/>
        </w:rPr>
        <w:t>os valores registrados en las cuentas pertenecerán a las entidades territoriales</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eastAsia="Cambria" w:hAnsi="Times New Roman" w:cs="Times New Roman"/>
          <w:bCs/>
          <w:sz w:val="28"/>
          <w:szCs w:val="28"/>
        </w:rPr>
        <w:t xml:space="preserve">(artículo 3, inciso tercero). </w:t>
      </w:r>
      <w:r w:rsidRPr="00AF629F">
        <w:rPr>
          <w:rFonts w:ascii="Times New Roman" w:eastAsia="Cambria" w:hAnsi="Times New Roman" w:cs="Times New Roman"/>
          <w:bCs/>
          <w:sz w:val="28"/>
          <w:szCs w:val="28"/>
        </w:rPr>
        <w:t xml:space="preserve">Por tanto, las competencias que se </w:t>
      </w:r>
      <w:r w:rsidRPr="00AF629F">
        <w:rPr>
          <w:rFonts w:ascii="Times New Roman" w:eastAsia="Cambria" w:hAnsi="Times New Roman" w:cs="Times New Roman"/>
          <w:bCs/>
          <w:sz w:val="28"/>
          <w:szCs w:val="28"/>
        </w:rPr>
        <w:t>atribuye</w:t>
      </w:r>
      <w:r w:rsidRPr="00AF629F">
        <w:rPr>
          <w:rFonts w:ascii="Times New Roman" w:eastAsia="Cambria" w:hAnsi="Times New Roman" w:cs="Times New Roman"/>
          <w:bCs/>
          <w:sz w:val="28"/>
          <w:szCs w:val="28"/>
        </w:rPr>
        <w:t xml:space="preserve">n al Ministerio de Hacienda y Crédito Público </w:t>
      </w:r>
      <w:r w:rsidRPr="00AF629F">
        <w:rPr>
          <w:rFonts w:ascii="Times New Roman" w:eastAsia="Cambria" w:hAnsi="Times New Roman" w:cs="Times New Roman"/>
          <w:bCs/>
          <w:sz w:val="28"/>
          <w:szCs w:val="28"/>
        </w:rPr>
        <w:t xml:space="preserve">en relación con los recursos del fondo </w:t>
      </w:r>
      <w:r w:rsidRPr="00AF629F">
        <w:rPr>
          <w:rFonts w:ascii="Times New Roman" w:eastAsia="Cambria" w:hAnsi="Times New Roman" w:cs="Times New Roman"/>
          <w:bCs/>
          <w:sz w:val="28"/>
          <w:szCs w:val="28"/>
        </w:rPr>
        <w:t>son exclusivamente de “</w:t>
      </w:r>
      <w:r w:rsidRPr="00AF629F">
        <w:rPr>
          <w:rFonts w:ascii="Times New Roman" w:eastAsia="Cambria" w:hAnsi="Times New Roman" w:cs="Times New Roman"/>
          <w:bCs/>
          <w:sz w:val="28"/>
          <w:szCs w:val="28"/>
        </w:rPr>
        <w:t>administración</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que no de disposición, </w:t>
      </w:r>
      <w:r w:rsidRPr="00AF629F">
        <w:rPr>
          <w:rFonts w:ascii="Times New Roman" w:eastAsia="Cambria" w:hAnsi="Times New Roman" w:cs="Times New Roman"/>
          <w:bCs/>
          <w:sz w:val="28"/>
          <w:szCs w:val="28"/>
        </w:rPr>
        <w:t>(artículo 3</w:t>
      </w:r>
      <w:r w:rsidRPr="00AF629F">
        <w:rPr>
          <w:rFonts w:ascii="Times New Roman" w:eastAsia="Cambria" w:hAnsi="Times New Roman" w:cs="Times New Roman"/>
          <w:bCs/>
          <w:sz w:val="28"/>
          <w:szCs w:val="28"/>
        </w:rPr>
        <w:t>, inciso primero</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de allí que</w:t>
      </w:r>
      <w:r w:rsidRPr="00AF629F">
        <w:rPr>
          <w:rFonts w:ascii="Times New Roman" w:eastAsia="Cambria" w:hAnsi="Times New Roman" w:cs="Times New Roman"/>
          <w:bCs/>
          <w:sz w:val="28"/>
          <w:szCs w:val="28"/>
        </w:rPr>
        <w:t>, entre otras,</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le corresponda </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recaudar y </w:t>
      </w:r>
      <w:r w:rsidRPr="00AF629F">
        <w:rPr>
          <w:rFonts w:ascii="Times New Roman" w:eastAsia="Cambria" w:hAnsi="Times New Roman" w:cs="Times New Roman"/>
          <w:bCs/>
          <w:sz w:val="28"/>
          <w:szCs w:val="28"/>
        </w:rPr>
        <w:t xml:space="preserve">asignar los recursos a las cuentas de los entes territoriales” </w:t>
      </w:r>
      <w:r w:rsidRPr="00AF629F">
        <w:rPr>
          <w:rFonts w:ascii="Times New Roman" w:eastAsia="Cambria" w:hAnsi="Times New Roman" w:cs="Times New Roman"/>
          <w:bCs/>
          <w:sz w:val="28"/>
          <w:szCs w:val="28"/>
        </w:rPr>
        <w:t>(artículo 3, inciso primero)</w:t>
      </w:r>
      <w:r w:rsidRPr="00AF629F">
        <w:rPr>
          <w:rFonts w:ascii="Times New Roman" w:eastAsia="Cambria" w:hAnsi="Times New Roman" w:cs="Times New Roman"/>
          <w:bCs/>
          <w:sz w:val="28"/>
          <w:szCs w:val="28"/>
        </w:rPr>
        <w:t>, pero no determinar su uso o destinación</w:t>
      </w:r>
      <w:r w:rsidRPr="00AF629F">
        <w:rPr>
          <w:rFonts w:ascii="Times New Roman" w:eastAsia="Cambria" w:hAnsi="Times New Roman" w:cs="Times New Roman"/>
          <w:bCs/>
          <w:sz w:val="28"/>
          <w:szCs w:val="28"/>
        </w:rPr>
        <w:t>.</w:t>
      </w:r>
    </w:p>
    <w:p w:rsidR="00373128" w:rsidRPr="00AF629F" w:rsidRDefault="00AF629F" w:rsidP="00373128">
      <w:pPr>
        <w:pStyle w:val="Prrafodelista"/>
        <w:rPr>
          <w:rFonts w:ascii="Times New Roman" w:eastAsia="Cambria" w:hAnsi="Times New Roman" w:cs="Times New Roman"/>
          <w:bCs/>
          <w:sz w:val="28"/>
          <w:szCs w:val="28"/>
        </w:rPr>
      </w:pPr>
    </w:p>
    <w:p w:rsidR="00C065A5" w:rsidRPr="00AF629F" w:rsidRDefault="00AF629F" w:rsidP="005C6106">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 xml:space="preserve">En cuanto a lo segundo, </w:t>
      </w:r>
      <w:r w:rsidRPr="00AF629F">
        <w:rPr>
          <w:rFonts w:ascii="Times New Roman" w:eastAsia="Cambria" w:hAnsi="Times New Roman" w:cs="Times New Roman"/>
          <w:bCs/>
          <w:sz w:val="28"/>
          <w:szCs w:val="28"/>
        </w:rPr>
        <w:t xml:space="preserve">los recursos del fondo deben destinarse exclusivamente </w:t>
      </w:r>
      <w:r w:rsidRPr="00AF629F">
        <w:rPr>
          <w:rFonts w:ascii="Times New Roman" w:eastAsia="Cambria" w:hAnsi="Times New Roman" w:cs="Times New Roman"/>
          <w:bCs/>
          <w:sz w:val="28"/>
          <w:szCs w:val="28"/>
        </w:rPr>
        <w:t xml:space="preserve">a </w:t>
      </w:r>
      <w:r w:rsidRPr="00AF629F">
        <w:rPr>
          <w:rFonts w:ascii="Times New Roman" w:eastAsia="Cambria" w:hAnsi="Times New Roman" w:cs="Times New Roman"/>
          <w:bCs/>
          <w:sz w:val="28"/>
          <w:szCs w:val="28"/>
        </w:rPr>
        <w:t xml:space="preserve">cubrir </w:t>
      </w:r>
      <w:r w:rsidRPr="00AF629F">
        <w:rPr>
          <w:rFonts w:ascii="Times New Roman" w:eastAsia="Cambria" w:hAnsi="Times New Roman" w:cs="Times New Roman"/>
          <w:bCs/>
          <w:sz w:val="28"/>
          <w:szCs w:val="28"/>
        </w:rPr>
        <w:t xml:space="preserve">o garantizar </w:t>
      </w:r>
      <w:r w:rsidRPr="00AF629F">
        <w:rPr>
          <w:rFonts w:ascii="Times New Roman" w:eastAsia="Cambria" w:hAnsi="Times New Roman" w:cs="Times New Roman"/>
          <w:bCs/>
          <w:sz w:val="28"/>
          <w:szCs w:val="28"/>
        </w:rPr>
        <w:t xml:space="preserve">el valor de los pasivos pensionales a cargo de las entidades territoriales (artículo 1, </w:t>
      </w:r>
      <w:r w:rsidRPr="00AF629F">
        <w:rPr>
          <w:rFonts w:ascii="Times New Roman" w:eastAsia="Cambria" w:hAnsi="Times New Roman" w:cs="Times New Roman"/>
          <w:bCs/>
          <w:sz w:val="28"/>
          <w:szCs w:val="28"/>
        </w:rPr>
        <w:t>inciso primero</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y artículo 3, inciso</w:t>
      </w:r>
      <w:r w:rsidRPr="00AF629F">
        <w:rPr>
          <w:rFonts w:ascii="Times New Roman" w:eastAsia="Cambria" w:hAnsi="Times New Roman" w:cs="Times New Roman"/>
          <w:bCs/>
          <w:sz w:val="28"/>
          <w:szCs w:val="28"/>
        </w:rPr>
        <w:t>s</w:t>
      </w:r>
      <w:r w:rsidRPr="00AF629F">
        <w:rPr>
          <w:rFonts w:ascii="Times New Roman" w:eastAsia="Cambria" w:hAnsi="Times New Roman" w:cs="Times New Roman"/>
          <w:bCs/>
          <w:sz w:val="28"/>
          <w:szCs w:val="28"/>
        </w:rPr>
        <w:t xml:space="preserve"> primero</w:t>
      </w:r>
      <w:r w:rsidRPr="00AF629F">
        <w:rPr>
          <w:rFonts w:ascii="Times New Roman" w:eastAsia="Cambria" w:hAnsi="Times New Roman" w:cs="Times New Roman"/>
          <w:bCs/>
          <w:sz w:val="28"/>
          <w:szCs w:val="28"/>
        </w:rPr>
        <w:t xml:space="preserve"> y </w:t>
      </w:r>
      <w:r w:rsidRPr="00AF629F">
        <w:rPr>
          <w:rFonts w:ascii="Times New Roman" w:eastAsia="Cambria" w:hAnsi="Times New Roman" w:cs="Times New Roman"/>
          <w:bCs/>
          <w:sz w:val="28"/>
          <w:szCs w:val="28"/>
        </w:rPr>
        <w:t>tercero</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de allí que</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su artículo 6 (inciso primero), </w:t>
      </w:r>
      <w:r w:rsidRPr="00AF629F">
        <w:rPr>
          <w:rFonts w:ascii="Times New Roman" w:eastAsia="Cambria" w:hAnsi="Times New Roman" w:cs="Times New Roman"/>
          <w:bCs/>
          <w:sz w:val="28"/>
          <w:szCs w:val="28"/>
        </w:rPr>
        <w:t>disponga que “</w:t>
      </w:r>
      <w:r w:rsidRPr="00AF629F">
        <w:rPr>
          <w:rFonts w:ascii="Times New Roman" w:hAnsi="Times New Roman" w:cs="Times New Roman"/>
          <w:bCs/>
          <w:sz w:val="28"/>
          <w:szCs w:val="28"/>
        </w:rPr>
        <w:t>no se podrán retirar recursos de la cuenta de cada en</w:t>
      </w:r>
      <w:r w:rsidRPr="00AF629F">
        <w:rPr>
          <w:rFonts w:ascii="Times New Roman" w:hAnsi="Times New Roman" w:cs="Times New Roman"/>
          <w:bCs/>
          <w:sz w:val="28"/>
          <w:szCs w:val="28"/>
        </w:rPr>
        <w:t>tidad territorial en el Fondo Nacional de Pensiones de las Entidades Territoriales hasta tanto […] se haya cubierto el cien por ciento (100%) del pasivo pensional, de conformidad con el respectivo cálculo actuarial”.</w:t>
      </w:r>
      <w:r w:rsidRPr="00AF629F">
        <w:rPr>
          <w:rFonts w:ascii="Times New Roman" w:hAnsi="Times New Roman" w:cs="Times New Roman"/>
          <w:bCs/>
          <w:sz w:val="28"/>
          <w:szCs w:val="28"/>
        </w:rPr>
        <w:t xml:space="preserve"> Solo en caso de que esta condición se c</w:t>
      </w:r>
      <w:r w:rsidRPr="00AF629F">
        <w:rPr>
          <w:rFonts w:ascii="Times New Roman" w:hAnsi="Times New Roman" w:cs="Times New Roman"/>
          <w:bCs/>
          <w:sz w:val="28"/>
          <w:szCs w:val="28"/>
        </w:rPr>
        <w:t>umpla</w:t>
      </w:r>
      <w:r w:rsidRPr="00AF629F">
        <w:rPr>
          <w:rFonts w:ascii="Times New Roman" w:hAnsi="Times New Roman" w:cs="Times New Roman"/>
          <w:bCs/>
          <w:sz w:val="28"/>
          <w:szCs w:val="28"/>
        </w:rPr>
        <w:t xml:space="preserve">, esto es, </w:t>
      </w:r>
      <w:r w:rsidRPr="00AF629F">
        <w:rPr>
          <w:rFonts w:ascii="Times New Roman" w:hAnsi="Times New Roman" w:cs="Times New Roman"/>
          <w:bCs/>
          <w:sz w:val="28"/>
          <w:szCs w:val="28"/>
        </w:rPr>
        <w:t xml:space="preserve">cuando el pasivo pensional de la entidad </w:t>
      </w:r>
      <w:r w:rsidRPr="00AF629F">
        <w:rPr>
          <w:rFonts w:ascii="Times New Roman" w:hAnsi="Times New Roman" w:cs="Times New Roman"/>
          <w:bCs/>
          <w:sz w:val="28"/>
          <w:szCs w:val="28"/>
        </w:rPr>
        <w:t xml:space="preserve">territorial de que se trate </w:t>
      </w:r>
      <w:r w:rsidRPr="00AF629F">
        <w:rPr>
          <w:rFonts w:ascii="Times New Roman" w:hAnsi="Times New Roman" w:cs="Times New Roman"/>
          <w:bCs/>
          <w:sz w:val="28"/>
          <w:szCs w:val="28"/>
        </w:rPr>
        <w:t xml:space="preserve">esté cubierto, </w:t>
      </w:r>
      <w:r w:rsidRPr="00AF629F">
        <w:rPr>
          <w:rFonts w:ascii="Times New Roman" w:hAnsi="Times New Roman" w:cs="Times New Roman"/>
          <w:bCs/>
          <w:sz w:val="28"/>
          <w:szCs w:val="28"/>
        </w:rPr>
        <w:t xml:space="preserve">de conformidad con lo </w:t>
      </w:r>
      <w:r w:rsidRPr="00AF629F">
        <w:rPr>
          <w:rFonts w:ascii="Times New Roman" w:hAnsi="Times New Roman" w:cs="Times New Roman"/>
          <w:bCs/>
          <w:sz w:val="28"/>
          <w:szCs w:val="28"/>
        </w:rPr>
        <w:t xml:space="preserve">dispuesto en el inciso en cita, </w:t>
      </w:r>
      <w:r w:rsidRPr="00AF629F">
        <w:rPr>
          <w:rFonts w:ascii="Times New Roman" w:hAnsi="Times New Roman" w:cs="Times New Roman"/>
          <w:bCs/>
          <w:sz w:val="28"/>
          <w:szCs w:val="28"/>
        </w:rPr>
        <w:t>“los recursos a que se refiere el artículo 2° de esta ley que se causen a partir de dicha fecha podrán</w:t>
      </w:r>
      <w:r w:rsidRPr="00AF629F">
        <w:rPr>
          <w:rFonts w:ascii="Times New Roman" w:hAnsi="Times New Roman" w:cs="Times New Roman"/>
          <w:bCs/>
          <w:sz w:val="28"/>
          <w:szCs w:val="28"/>
        </w:rPr>
        <w:t xml:space="preserve"> ser destinados por la entidad titular de los mismos a los fines que correspondan de acuerdo con las leyes que regulan la destinación de cada uno de estos recursos”</w:t>
      </w:r>
      <w:r w:rsidRPr="00AF629F">
        <w:rPr>
          <w:rStyle w:val="Refdenotaalpie"/>
          <w:rFonts w:ascii="Times New Roman" w:hAnsi="Times New Roman" w:cs="Times New Roman"/>
          <w:bCs/>
          <w:sz w:val="28"/>
          <w:szCs w:val="28"/>
        </w:rPr>
        <w:footnoteReference w:id="61"/>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hAnsi="Times New Roman" w:cs="Times New Roman"/>
          <w:bCs/>
          <w:i/>
          <w:iCs/>
          <w:sz w:val="28"/>
          <w:szCs w:val="28"/>
        </w:rPr>
        <w:t>Contrario sensu</w:t>
      </w:r>
      <w:r w:rsidRPr="00AF629F">
        <w:rPr>
          <w:rFonts w:ascii="Times New Roman" w:hAnsi="Times New Roman" w:cs="Times New Roman"/>
          <w:bCs/>
          <w:sz w:val="28"/>
          <w:szCs w:val="28"/>
        </w:rPr>
        <w:t>, si el pasivo deja de estar cubierto</w:t>
      </w:r>
      <w:r w:rsidRPr="00AF629F">
        <w:rPr>
          <w:rFonts w:ascii="Times New Roman" w:hAnsi="Times New Roman" w:cs="Times New Roman"/>
          <w:bCs/>
          <w:sz w:val="28"/>
          <w:szCs w:val="28"/>
        </w:rPr>
        <w:t>, el mismo inciso dispone que “</w:t>
      </w:r>
      <w:r w:rsidRPr="00AF629F">
        <w:rPr>
          <w:rFonts w:ascii="Times New Roman" w:hAnsi="Times New Roman" w:cs="Times New Roman"/>
          <w:bCs/>
          <w:sz w:val="28"/>
          <w:szCs w:val="28"/>
        </w:rPr>
        <w:t>deberá</w:t>
      </w:r>
      <w:r w:rsidRPr="00AF629F">
        <w:rPr>
          <w:rFonts w:ascii="Times New Roman" w:hAnsi="Times New Roman" w:cs="Times New Roman"/>
          <w:bCs/>
          <w:sz w:val="28"/>
          <w:szCs w:val="28"/>
        </w:rPr>
        <w:t>n destinarse los recursos nuevamente a la financiación de la cuenta de la entidad en el Fondo</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Finalmente, de manera enfática</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el artículo 7 (numeral quinto, oración final) de esta ley, al regular </w:t>
      </w:r>
      <w:r w:rsidRPr="00AF629F">
        <w:rPr>
          <w:rFonts w:ascii="Times New Roman" w:hAnsi="Times New Roman" w:cs="Times New Roman"/>
          <w:bCs/>
          <w:sz w:val="28"/>
          <w:szCs w:val="28"/>
        </w:rPr>
        <w:t xml:space="preserve">una de las reglas para el funcionamiento del </w:t>
      </w:r>
      <w:r w:rsidRPr="00AF629F">
        <w:rPr>
          <w:rFonts w:ascii="Times New Roman" w:hAnsi="Times New Roman" w:cs="Times New Roman"/>
          <w:bCs/>
          <w:sz w:val="28"/>
          <w:szCs w:val="28"/>
        </w:rPr>
        <w:t xml:space="preserve">FONPET </w:t>
      </w:r>
      <w:r w:rsidRPr="00AF629F">
        <w:rPr>
          <w:rFonts w:ascii="Times New Roman" w:hAnsi="Times New Roman" w:cs="Times New Roman"/>
          <w:bCs/>
          <w:sz w:val="28"/>
          <w:szCs w:val="28"/>
        </w:rPr>
        <w:t>prescribe: “5. […] En ningún caso los recursos del Fondo podrán destinarse a fines distintos a financiar los pasivos pensionales de las entidades territoriales en los términos y condiciones previstos en esta ley”.</w:t>
      </w:r>
    </w:p>
    <w:p w:rsidR="004B6F21" w:rsidRPr="00AF629F" w:rsidRDefault="00AF629F" w:rsidP="004B6F21">
      <w:pPr>
        <w:pStyle w:val="Prrafodelista"/>
        <w:ind w:left="0"/>
        <w:jc w:val="both"/>
        <w:rPr>
          <w:rFonts w:ascii="Times New Roman" w:eastAsia="Cambria" w:hAnsi="Times New Roman" w:cs="Times New Roman"/>
          <w:bCs/>
          <w:sz w:val="28"/>
          <w:szCs w:val="28"/>
        </w:rPr>
      </w:pPr>
    </w:p>
    <w:p w:rsidR="004B6F21" w:rsidRPr="00AF629F" w:rsidRDefault="00AF629F" w:rsidP="005C6106">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En cuanto a lo tercero</w:t>
      </w:r>
      <w:r w:rsidRPr="00AF629F">
        <w:rPr>
          <w:rFonts w:ascii="Times New Roman" w:eastAsia="Cambria" w:hAnsi="Times New Roman" w:cs="Times New Roman"/>
          <w:bCs/>
          <w:sz w:val="28"/>
          <w:szCs w:val="28"/>
        </w:rPr>
        <w:t xml:space="preserve"> y cuarto</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de maner</w:t>
      </w:r>
      <w:r w:rsidRPr="00AF629F">
        <w:rPr>
          <w:rFonts w:ascii="Times New Roman" w:eastAsia="Cambria" w:hAnsi="Times New Roman" w:cs="Times New Roman"/>
          <w:bCs/>
          <w:sz w:val="28"/>
          <w:szCs w:val="28"/>
        </w:rPr>
        <w:t>a explícita</w:t>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el artículo 6 (inciso sexto) de la ley en cita dispone: “[l]os rendimientos financieros que generen los recursos del Fonpet se distribuirán entre las cuentas de las entidades territoriales aportantes, a prorrata del valor de las mismas y en co</w:t>
      </w:r>
      <w:r w:rsidRPr="00AF629F">
        <w:rPr>
          <w:rFonts w:ascii="Times New Roman" w:eastAsia="Cambria" w:hAnsi="Times New Roman" w:cs="Times New Roman"/>
          <w:bCs/>
          <w:sz w:val="28"/>
          <w:szCs w:val="28"/>
        </w:rPr>
        <w:t>nsecuencia se sujetarán a lo previsto en la presente ley”</w:t>
      </w:r>
      <w:r w:rsidRPr="00AF629F">
        <w:rPr>
          <w:rFonts w:ascii="Times New Roman" w:eastAsia="Cambria" w:hAnsi="Times New Roman" w:cs="Times New Roman"/>
          <w:bCs/>
          <w:sz w:val="28"/>
          <w:szCs w:val="28"/>
        </w:rPr>
        <w:t>.</w:t>
      </w:r>
    </w:p>
    <w:p w:rsidR="00816584" w:rsidRPr="00AF629F" w:rsidRDefault="00AF629F" w:rsidP="00816584">
      <w:pPr>
        <w:pStyle w:val="Prrafodelista"/>
        <w:rPr>
          <w:rFonts w:ascii="Times New Roman" w:eastAsia="Cambria" w:hAnsi="Times New Roman" w:cs="Times New Roman"/>
          <w:bCs/>
          <w:sz w:val="28"/>
          <w:szCs w:val="28"/>
        </w:rPr>
      </w:pPr>
    </w:p>
    <w:p w:rsidR="006D625C" w:rsidRPr="00AF629F" w:rsidRDefault="00AF629F" w:rsidP="00F43ADA">
      <w:pPr>
        <w:pStyle w:val="Prrafodelista"/>
        <w:numPr>
          <w:ilvl w:val="0"/>
          <w:numId w:val="2"/>
        </w:numPr>
        <w:ind w:left="0" w:firstLine="0"/>
        <w:jc w:val="both"/>
        <w:rPr>
          <w:rFonts w:ascii="Times New Roman" w:eastAsia="Cambria" w:hAnsi="Times New Roman" w:cs="Times New Roman"/>
          <w:b/>
          <w:bCs/>
          <w:sz w:val="28"/>
          <w:szCs w:val="28"/>
        </w:rPr>
      </w:pPr>
      <w:r w:rsidRPr="00AF629F">
        <w:rPr>
          <w:rFonts w:ascii="Times New Roman" w:eastAsia="Cambria" w:hAnsi="Times New Roman" w:cs="Times New Roman"/>
          <w:bCs/>
          <w:sz w:val="28"/>
          <w:szCs w:val="28"/>
        </w:rPr>
        <w:t>Finalmente, en cuanto a la quinta proposició</w:t>
      </w:r>
      <w:r w:rsidRPr="00AF629F">
        <w:rPr>
          <w:rFonts w:ascii="Times New Roman" w:eastAsia="Cambria" w:hAnsi="Times New Roman" w:cs="Times New Roman"/>
          <w:bCs/>
          <w:sz w:val="28"/>
          <w:szCs w:val="28"/>
        </w:rPr>
        <w:t xml:space="preserve">n, </w:t>
      </w:r>
      <w:r w:rsidRPr="00AF629F">
        <w:rPr>
          <w:rFonts w:ascii="Times New Roman" w:eastAsia="Cambria" w:hAnsi="Times New Roman" w:cs="Times New Roman"/>
          <w:bCs/>
          <w:sz w:val="28"/>
          <w:szCs w:val="28"/>
        </w:rPr>
        <w:t>los incisos primero y quinto del artículo 6 de la Ley 549 de 1999</w:t>
      </w:r>
      <w:r w:rsidRPr="00AF629F">
        <w:rPr>
          <w:rFonts w:ascii="Times New Roman" w:eastAsia="Cambria" w:hAnsi="Times New Roman" w:cs="Times New Roman"/>
          <w:bCs/>
          <w:sz w:val="28"/>
          <w:szCs w:val="28"/>
        </w:rPr>
        <w:t xml:space="preserve"> y </w:t>
      </w:r>
      <w:r w:rsidRPr="00AF629F">
        <w:rPr>
          <w:rFonts w:ascii="Times New Roman" w:eastAsia="Cambria" w:hAnsi="Times New Roman" w:cs="Times New Roman"/>
          <w:bCs/>
          <w:sz w:val="28"/>
          <w:szCs w:val="28"/>
        </w:rPr>
        <w:t xml:space="preserve">el artículo 321 de la </w:t>
      </w:r>
      <w:r w:rsidRPr="00AF629F">
        <w:rPr>
          <w:rStyle w:val="Ttulo1Car"/>
          <w:rFonts w:ascii="Times New Roman" w:hAnsi="Times New Roman" w:cs="Times New Roman"/>
          <w:b w:val="0"/>
          <w:color w:val="auto"/>
          <w:sz w:val="28"/>
          <w:szCs w:val="28"/>
          <w:lang w:val="es-ES"/>
        </w:rPr>
        <w:t xml:space="preserve">Ley 2294 de 2023 </w:t>
      </w:r>
      <w:r w:rsidRPr="00AF629F">
        <w:rPr>
          <w:rStyle w:val="Ttulo1Car"/>
          <w:rFonts w:ascii="Times New Roman" w:hAnsi="Times New Roman" w:cs="Times New Roman"/>
          <w:b w:val="0"/>
          <w:color w:val="auto"/>
          <w:sz w:val="28"/>
          <w:szCs w:val="28"/>
          <w:lang w:val="es-ES"/>
        </w:rPr>
        <w:t>permiten</w:t>
      </w:r>
      <w:r w:rsidRPr="00AF629F">
        <w:rPr>
          <w:rStyle w:val="Ttulo1Car"/>
          <w:rFonts w:ascii="Times New Roman" w:hAnsi="Times New Roman" w:cs="Times New Roman"/>
          <w:b w:val="0"/>
          <w:color w:val="auto"/>
          <w:sz w:val="28"/>
          <w:szCs w:val="28"/>
          <w:lang w:val="es-ES"/>
        </w:rPr>
        <w:t>, en condiciones muy específicas</w:t>
      </w:r>
      <w:r w:rsidRPr="00AF629F">
        <w:rPr>
          <w:rStyle w:val="Ttulo1Car"/>
          <w:rFonts w:ascii="Times New Roman" w:hAnsi="Times New Roman" w:cs="Times New Roman"/>
          <w:b w:val="0"/>
          <w:color w:val="auto"/>
          <w:sz w:val="28"/>
          <w:szCs w:val="28"/>
          <w:lang w:val="es-ES"/>
        </w:rPr>
        <w:t xml:space="preserve">, </w:t>
      </w:r>
      <w:r w:rsidRPr="00AF629F">
        <w:rPr>
          <w:rStyle w:val="Ttulo1Car"/>
          <w:rFonts w:ascii="Times New Roman" w:hAnsi="Times New Roman" w:cs="Times New Roman"/>
          <w:b w:val="0"/>
          <w:color w:val="auto"/>
          <w:sz w:val="28"/>
          <w:szCs w:val="28"/>
          <w:lang w:val="es-ES"/>
        </w:rPr>
        <w:t xml:space="preserve">que las entidades </w:t>
      </w:r>
      <w:r w:rsidRPr="00AF629F">
        <w:rPr>
          <w:rStyle w:val="Ttulo1Car"/>
          <w:rFonts w:ascii="Times New Roman" w:hAnsi="Times New Roman" w:cs="Times New Roman"/>
          <w:b w:val="0"/>
          <w:color w:val="auto"/>
          <w:sz w:val="28"/>
          <w:szCs w:val="28"/>
          <w:lang w:val="es-ES"/>
        </w:rPr>
        <w:t xml:space="preserve">territoriales </w:t>
      </w:r>
      <w:r w:rsidRPr="00AF629F">
        <w:rPr>
          <w:rStyle w:val="Ttulo1Car"/>
          <w:rFonts w:ascii="Times New Roman" w:hAnsi="Times New Roman" w:cs="Times New Roman"/>
          <w:b w:val="0"/>
          <w:color w:val="auto"/>
          <w:sz w:val="28"/>
          <w:szCs w:val="28"/>
          <w:lang w:val="es-ES"/>
        </w:rPr>
        <w:t xml:space="preserve">retiren recursos de sus cuentas en el </w:t>
      </w:r>
      <w:r w:rsidRPr="00AF629F">
        <w:rPr>
          <w:rStyle w:val="Ttulo1Car"/>
          <w:rFonts w:ascii="Times New Roman" w:hAnsi="Times New Roman" w:cs="Times New Roman"/>
          <w:b w:val="0"/>
          <w:color w:val="auto"/>
          <w:sz w:val="28"/>
          <w:szCs w:val="28"/>
          <w:lang w:val="es-ES"/>
        </w:rPr>
        <w:t>FONPET</w:t>
      </w:r>
      <w:r w:rsidRPr="00AF629F">
        <w:rPr>
          <w:rStyle w:val="Ttulo1Car"/>
          <w:rFonts w:ascii="Times New Roman" w:hAnsi="Times New Roman" w:cs="Times New Roman"/>
          <w:b w:val="0"/>
          <w:color w:val="auto"/>
          <w:sz w:val="28"/>
          <w:szCs w:val="28"/>
          <w:lang w:val="es-ES"/>
        </w:rPr>
        <w:t xml:space="preserve"> </w:t>
      </w:r>
      <w:r w:rsidRPr="00AF629F">
        <w:rPr>
          <w:rStyle w:val="Ttulo1Car"/>
          <w:rFonts w:ascii="Times New Roman" w:hAnsi="Times New Roman" w:cs="Times New Roman"/>
          <w:b w:val="0"/>
          <w:color w:val="auto"/>
          <w:sz w:val="28"/>
          <w:szCs w:val="28"/>
          <w:lang w:val="es-ES"/>
        </w:rPr>
        <w:t>si</w:t>
      </w:r>
      <w:r w:rsidRPr="00AF629F">
        <w:rPr>
          <w:rStyle w:val="Ttulo1Car"/>
          <w:rFonts w:ascii="Times New Roman" w:hAnsi="Times New Roman" w:cs="Times New Roman"/>
          <w:b w:val="0"/>
          <w:color w:val="auto"/>
          <w:sz w:val="28"/>
          <w:szCs w:val="28"/>
          <w:lang w:val="es-ES"/>
        </w:rPr>
        <w:t>empre que</w:t>
      </w:r>
      <w:r w:rsidRPr="00AF629F">
        <w:rPr>
          <w:rStyle w:val="Ttulo1Car"/>
          <w:rFonts w:ascii="Times New Roman" w:hAnsi="Times New Roman" w:cs="Times New Roman"/>
          <w:b w:val="0"/>
          <w:color w:val="auto"/>
          <w:sz w:val="28"/>
          <w:szCs w:val="28"/>
          <w:lang w:val="es-ES"/>
        </w:rPr>
        <w:t xml:space="preserve"> se ha</w:t>
      </w:r>
      <w:r w:rsidRPr="00AF629F">
        <w:rPr>
          <w:rStyle w:val="Ttulo1Car"/>
          <w:rFonts w:ascii="Times New Roman" w:hAnsi="Times New Roman" w:cs="Times New Roman"/>
          <w:b w:val="0"/>
          <w:color w:val="auto"/>
          <w:sz w:val="28"/>
          <w:szCs w:val="28"/>
          <w:lang w:val="es-ES"/>
        </w:rPr>
        <w:t>ya</w:t>
      </w:r>
      <w:r w:rsidRPr="00AF629F">
        <w:rPr>
          <w:rStyle w:val="Ttulo1Car"/>
          <w:rFonts w:ascii="Times New Roman" w:hAnsi="Times New Roman" w:cs="Times New Roman"/>
          <w:b w:val="0"/>
          <w:color w:val="auto"/>
          <w:sz w:val="28"/>
          <w:szCs w:val="28"/>
          <w:lang w:val="es-ES"/>
        </w:rPr>
        <w:t xml:space="preserve"> “</w:t>
      </w:r>
      <w:r w:rsidRPr="00AF629F">
        <w:rPr>
          <w:rFonts w:ascii="Times New Roman" w:hAnsi="Times New Roman" w:cs="Times New Roman"/>
          <w:bCs/>
          <w:sz w:val="28"/>
          <w:szCs w:val="28"/>
        </w:rPr>
        <w:t>cubierto el cien por ciento (100%) del pasivo pensional</w:t>
      </w:r>
      <w:r w:rsidRPr="00AF629F">
        <w:rPr>
          <w:rFonts w:ascii="Times New Roman" w:hAnsi="Times New Roman" w:cs="Times New Roman"/>
          <w:bCs/>
          <w:sz w:val="28"/>
          <w:szCs w:val="28"/>
        </w:rPr>
        <w:t>, de conformidad con el respectivo cálculo actuarial</w:t>
      </w:r>
      <w:r w:rsidRPr="00AF629F">
        <w:rPr>
          <w:rFonts w:ascii="Times New Roman" w:hAnsi="Times New Roman" w:cs="Times New Roman"/>
          <w:bCs/>
          <w:sz w:val="28"/>
          <w:szCs w:val="28"/>
        </w:rPr>
        <w:t>” (inciso primer</w:t>
      </w:r>
      <w:r w:rsidRPr="00AF629F">
        <w:rPr>
          <w:rFonts w:ascii="Times New Roman" w:hAnsi="Times New Roman" w:cs="Times New Roman"/>
          <w:bCs/>
          <w:sz w:val="28"/>
          <w:szCs w:val="28"/>
        </w:rPr>
        <w:t>o</w:t>
      </w:r>
      <w:r w:rsidRPr="00AF629F">
        <w:rPr>
          <w:rFonts w:ascii="Times New Roman" w:hAnsi="Times New Roman" w:cs="Times New Roman"/>
          <w:bCs/>
          <w:sz w:val="28"/>
          <w:szCs w:val="28"/>
        </w:rPr>
        <w:t xml:space="preserve"> del artículo 6)</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B</w:t>
      </w:r>
      <w:r w:rsidRPr="00AF629F">
        <w:rPr>
          <w:rFonts w:ascii="Times New Roman" w:hAnsi="Times New Roman" w:cs="Times New Roman"/>
          <w:bCs/>
          <w:sz w:val="28"/>
          <w:szCs w:val="28"/>
        </w:rPr>
        <w:t xml:space="preserve">ajo esta misma </w:t>
      </w:r>
      <w:r w:rsidRPr="00AF629F">
        <w:rPr>
          <w:rFonts w:ascii="Times New Roman" w:hAnsi="Times New Roman" w:cs="Times New Roman"/>
          <w:bCs/>
          <w:sz w:val="28"/>
          <w:szCs w:val="28"/>
        </w:rPr>
        <w:t>condición</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que el pasivo pensional de la respectiva entidad territorial esté cubierto, </w:t>
      </w:r>
      <w:r w:rsidRPr="00AF629F">
        <w:rPr>
          <w:rFonts w:ascii="Times New Roman" w:hAnsi="Times New Roman" w:cs="Times New Roman"/>
          <w:bCs/>
          <w:sz w:val="28"/>
          <w:szCs w:val="28"/>
        </w:rPr>
        <w:t xml:space="preserve">se </w:t>
      </w:r>
      <w:r w:rsidRPr="00AF629F">
        <w:rPr>
          <w:rFonts w:ascii="Times New Roman" w:hAnsi="Times New Roman" w:cs="Times New Roman"/>
          <w:bCs/>
          <w:sz w:val="28"/>
          <w:szCs w:val="28"/>
        </w:rPr>
        <w:t xml:space="preserve">les </w:t>
      </w:r>
      <w:r w:rsidRPr="00AF629F">
        <w:rPr>
          <w:rFonts w:ascii="Times New Roman" w:hAnsi="Times New Roman" w:cs="Times New Roman"/>
          <w:bCs/>
          <w:sz w:val="28"/>
          <w:szCs w:val="28"/>
        </w:rPr>
        <w:t xml:space="preserve">permite </w:t>
      </w:r>
      <w:r w:rsidRPr="00AF629F">
        <w:rPr>
          <w:rFonts w:ascii="Times New Roman" w:hAnsi="Times New Roman" w:cs="Times New Roman"/>
          <w:bCs/>
          <w:sz w:val="28"/>
          <w:szCs w:val="28"/>
        </w:rPr>
        <w:t xml:space="preserve">utilizar las fuentes de financiación </w:t>
      </w:r>
      <w:r w:rsidRPr="00AF629F">
        <w:rPr>
          <w:rFonts w:ascii="Times New Roman" w:hAnsi="Times New Roman" w:cs="Times New Roman"/>
          <w:bCs/>
          <w:sz w:val="28"/>
          <w:szCs w:val="28"/>
        </w:rPr>
        <w:t xml:space="preserve">de sus cuentas, de que trata el artículo 2 de la Ley 549 de 1999, </w:t>
      </w:r>
      <w:r w:rsidRPr="00AF629F">
        <w:rPr>
          <w:rFonts w:ascii="Times New Roman" w:hAnsi="Times New Roman" w:cs="Times New Roman"/>
          <w:bCs/>
          <w:sz w:val="28"/>
          <w:szCs w:val="28"/>
        </w:rPr>
        <w:t xml:space="preserve">a sus finalidades primigenias </w:t>
      </w:r>
      <w:r w:rsidRPr="00AF629F">
        <w:rPr>
          <w:rFonts w:ascii="Times New Roman" w:hAnsi="Times New Roman" w:cs="Times New Roman"/>
          <w:bCs/>
          <w:sz w:val="28"/>
          <w:szCs w:val="28"/>
        </w:rPr>
        <w:t>“</w:t>
      </w:r>
      <w:r w:rsidRPr="00AF629F">
        <w:rPr>
          <w:rFonts w:ascii="Times New Roman" w:hAnsi="Times New Roman" w:cs="Times New Roman"/>
          <w:bCs/>
          <w:sz w:val="28"/>
          <w:szCs w:val="28"/>
          <w:lang w:val="es-MX" w:eastAsia="es-ES"/>
        </w:rPr>
        <w:t xml:space="preserve">de acuerdo con las leyes que regulan la destinación de cada uno de estos recursos” </w:t>
      </w:r>
      <w:r w:rsidRPr="00AF629F">
        <w:rPr>
          <w:rFonts w:ascii="Times New Roman" w:hAnsi="Times New Roman" w:cs="Times New Roman"/>
          <w:bCs/>
          <w:sz w:val="28"/>
          <w:szCs w:val="28"/>
        </w:rPr>
        <w:t>(inciso quinto del artículo 6)</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pero, “</w:t>
      </w:r>
      <w:r w:rsidRPr="00AF629F">
        <w:rPr>
          <w:rFonts w:ascii="Times New Roman" w:hAnsi="Times New Roman" w:cs="Times New Roman"/>
          <w:bCs/>
          <w:sz w:val="28"/>
          <w:szCs w:val="28"/>
          <w:lang w:val="es-MX" w:eastAsia="es-ES"/>
        </w:rPr>
        <w:t>si el pasivo deja de estar adecuadamente cubierto deberán destinarse los recursos nuevamente a la financiación de la cuenta de la enti</w:t>
      </w:r>
      <w:r w:rsidRPr="00AF629F">
        <w:rPr>
          <w:rFonts w:ascii="Times New Roman" w:hAnsi="Times New Roman" w:cs="Times New Roman"/>
          <w:bCs/>
          <w:sz w:val="28"/>
          <w:szCs w:val="28"/>
          <w:lang w:val="es-MX" w:eastAsia="es-ES"/>
        </w:rPr>
        <w:t>dad en el Fondo Nacional de Pensiones de las Entidades Públicas Territoriales” (ibidem).</w:t>
      </w:r>
      <w:r w:rsidRPr="00AF629F">
        <w:rPr>
          <w:rFonts w:ascii="Times New Roman" w:hAnsi="Times New Roman" w:cs="Times New Roman"/>
          <w:bCs/>
          <w:sz w:val="28"/>
          <w:szCs w:val="28"/>
          <w:lang w:val="es-MX" w:eastAsia="es-ES"/>
        </w:rPr>
        <w:t xml:space="preserve"> </w:t>
      </w:r>
      <w:r w:rsidRPr="00AF629F">
        <w:rPr>
          <w:rFonts w:ascii="Times New Roman" w:hAnsi="Times New Roman" w:cs="Times New Roman"/>
          <w:bCs/>
          <w:sz w:val="28"/>
          <w:szCs w:val="28"/>
          <w:lang w:val="es-MX" w:eastAsia="es-ES"/>
        </w:rPr>
        <w:t xml:space="preserve">Finalmente, también bajo esta misma condición, pero únicamente en lo que tiene que ver con </w:t>
      </w:r>
      <w:r w:rsidRPr="00AF629F">
        <w:rPr>
          <w:rFonts w:ascii="Times New Roman" w:hAnsi="Times New Roman" w:cs="Times New Roman"/>
          <w:bCs/>
          <w:sz w:val="28"/>
          <w:szCs w:val="28"/>
          <w:lang w:val="es-MX" w:eastAsia="es-ES"/>
        </w:rPr>
        <w:t>“</w:t>
      </w:r>
      <w:r w:rsidRPr="00AF629F">
        <w:rPr>
          <w:rFonts w:ascii="Times New Roman" w:hAnsi="Times New Roman" w:cs="Times New Roman"/>
          <w:bCs/>
          <w:sz w:val="28"/>
          <w:szCs w:val="28"/>
          <w:lang w:val="es-ES"/>
        </w:rPr>
        <w:t xml:space="preserve">el sector propósito general”, y siempre y cuando </w:t>
      </w:r>
      <w:r w:rsidRPr="00AF629F">
        <w:rPr>
          <w:rFonts w:ascii="Times New Roman" w:hAnsi="Times New Roman" w:cs="Times New Roman"/>
          <w:bCs/>
          <w:sz w:val="28"/>
          <w:szCs w:val="28"/>
          <w:lang w:val="es-ES"/>
        </w:rPr>
        <w:t xml:space="preserve">las entidades territoriales </w:t>
      </w:r>
      <w:r w:rsidRPr="00AF629F">
        <w:rPr>
          <w:rFonts w:ascii="Times New Roman" w:hAnsi="Times New Roman" w:cs="Times New Roman"/>
          <w:bCs/>
          <w:sz w:val="28"/>
          <w:szCs w:val="28"/>
          <w:lang w:val="es-ES"/>
        </w:rPr>
        <w:t>“no tengan obligaciones pensionales con los sectores Salud y Educación del Fonpet”</w:t>
      </w:r>
      <w:r w:rsidRPr="00AF629F">
        <w:rPr>
          <w:rFonts w:ascii="Times New Roman" w:hAnsi="Times New Roman" w:cs="Times New Roman"/>
          <w:bCs/>
          <w:sz w:val="28"/>
          <w:szCs w:val="28"/>
          <w:lang w:val="es-ES"/>
        </w:rPr>
        <w:t xml:space="preserve"> o las tengan debidamente financiadas, </w:t>
      </w:r>
      <w:r w:rsidRPr="00AF629F">
        <w:rPr>
          <w:rFonts w:ascii="Times New Roman" w:hAnsi="Times New Roman" w:cs="Times New Roman"/>
          <w:bCs/>
          <w:sz w:val="28"/>
          <w:szCs w:val="28"/>
          <w:lang w:val="es-ES"/>
        </w:rPr>
        <w:t xml:space="preserve">se </w:t>
      </w:r>
      <w:r w:rsidRPr="00AF629F">
        <w:rPr>
          <w:rFonts w:ascii="Times New Roman" w:hAnsi="Times New Roman" w:cs="Times New Roman"/>
          <w:bCs/>
          <w:sz w:val="28"/>
          <w:szCs w:val="28"/>
          <w:lang w:val="es-ES"/>
        </w:rPr>
        <w:t xml:space="preserve">les </w:t>
      </w:r>
      <w:r w:rsidRPr="00AF629F">
        <w:rPr>
          <w:rFonts w:ascii="Times New Roman" w:hAnsi="Times New Roman" w:cs="Times New Roman"/>
          <w:bCs/>
          <w:sz w:val="28"/>
          <w:szCs w:val="28"/>
          <w:lang w:val="es-ES"/>
        </w:rPr>
        <w:t xml:space="preserve">permite </w:t>
      </w:r>
      <w:r w:rsidRPr="00AF629F">
        <w:rPr>
          <w:rFonts w:ascii="Times New Roman" w:hAnsi="Times New Roman" w:cs="Times New Roman"/>
          <w:bCs/>
          <w:sz w:val="28"/>
          <w:szCs w:val="28"/>
          <w:lang w:val="es-ES"/>
        </w:rPr>
        <w:t xml:space="preserve">utilizar los recursos excedentes </w:t>
      </w:r>
      <w:r w:rsidRPr="00AF629F">
        <w:rPr>
          <w:rFonts w:ascii="Times New Roman" w:hAnsi="Times New Roman" w:cs="Times New Roman"/>
          <w:bCs/>
          <w:sz w:val="28"/>
          <w:szCs w:val="28"/>
          <w:lang w:val="es-ES"/>
        </w:rPr>
        <w:t xml:space="preserve">de </w:t>
      </w:r>
      <w:r w:rsidRPr="00AF629F">
        <w:rPr>
          <w:rFonts w:ascii="Times New Roman" w:hAnsi="Times New Roman" w:cs="Times New Roman"/>
          <w:bCs/>
          <w:sz w:val="28"/>
          <w:szCs w:val="28"/>
          <w:lang w:val="es-ES"/>
        </w:rPr>
        <w:t>algunas de las fuentes de financiación de las cuentas de</w:t>
      </w:r>
      <w:r w:rsidRPr="00AF629F">
        <w:rPr>
          <w:rFonts w:ascii="Times New Roman" w:hAnsi="Times New Roman" w:cs="Times New Roman"/>
          <w:bCs/>
          <w:sz w:val="28"/>
          <w:szCs w:val="28"/>
          <w:lang w:val="es-ES"/>
        </w:rPr>
        <w:t>l</w:t>
      </w:r>
      <w:r w:rsidRPr="00AF629F">
        <w:rPr>
          <w:rFonts w:ascii="Times New Roman" w:hAnsi="Times New Roman" w:cs="Times New Roman"/>
          <w:bCs/>
          <w:sz w:val="28"/>
          <w:szCs w:val="28"/>
          <w:lang w:val="es-ES"/>
        </w:rPr>
        <w:t xml:space="preserve"> </w:t>
      </w:r>
      <w:r w:rsidRPr="00AF629F">
        <w:rPr>
          <w:rFonts w:ascii="Times New Roman" w:hAnsi="Times New Roman" w:cs="Times New Roman"/>
          <w:bCs/>
          <w:sz w:val="28"/>
          <w:szCs w:val="28"/>
          <w:lang w:val="es-ES"/>
        </w:rPr>
        <w:t>FONPET</w:t>
      </w:r>
      <w:r w:rsidRPr="00AF629F">
        <w:rPr>
          <w:rFonts w:ascii="Times New Roman" w:hAnsi="Times New Roman" w:cs="Times New Roman"/>
          <w:bCs/>
          <w:sz w:val="28"/>
          <w:szCs w:val="28"/>
          <w:lang w:val="es-ES"/>
        </w:rPr>
        <w:t>, de que trata el artículo 2 de la Ley 549 de 1999</w:t>
      </w:r>
      <w:r w:rsidRPr="00AF629F">
        <w:rPr>
          <w:rFonts w:ascii="Times New Roman" w:hAnsi="Times New Roman" w:cs="Times New Roman"/>
          <w:bCs/>
          <w:sz w:val="28"/>
          <w:szCs w:val="28"/>
          <w:lang w:val="es-ES"/>
        </w:rPr>
        <w:t>, en particular “</w:t>
      </w:r>
      <w:r w:rsidRPr="00AF629F">
        <w:rPr>
          <w:rFonts w:ascii="Times New Roman" w:hAnsi="Times New Roman" w:cs="Times New Roman"/>
          <w:bCs/>
          <w:sz w:val="28"/>
          <w:szCs w:val="28"/>
          <w:lang w:val="es-ES"/>
        </w:rPr>
        <w:t>de las fuentes Privatizaciones Nacionales, Capitalizaciones Privadas en Entidades Nacionales, Extinción de Dominio e Impuesto de Timbre Nacional, del sector Propósito General del Fo</w:t>
      </w:r>
      <w:r w:rsidRPr="00AF629F">
        <w:rPr>
          <w:rFonts w:ascii="Times New Roman" w:hAnsi="Times New Roman" w:cs="Times New Roman"/>
          <w:bCs/>
          <w:sz w:val="28"/>
          <w:szCs w:val="28"/>
          <w:lang w:val="es-ES"/>
        </w:rPr>
        <w:t>npet</w:t>
      </w:r>
      <w:r w:rsidRPr="00AF629F">
        <w:rPr>
          <w:rFonts w:ascii="Times New Roman" w:hAnsi="Times New Roman" w:cs="Times New Roman"/>
          <w:bCs/>
          <w:sz w:val="28"/>
          <w:szCs w:val="28"/>
          <w:lang w:val="es-ES"/>
        </w:rPr>
        <w:t>”</w:t>
      </w:r>
      <w:r w:rsidRPr="00AF629F">
        <w:rPr>
          <w:rFonts w:ascii="Times New Roman" w:hAnsi="Times New Roman" w:cs="Times New Roman"/>
          <w:bCs/>
          <w:sz w:val="28"/>
          <w:szCs w:val="28"/>
          <w:lang w:val="es-ES"/>
        </w:rPr>
        <w:t xml:space="preserve"> para </w:t>
      </w:r>
      <w:r w:rsidRPr="00AF629F">
        <w:rPr>
          <w:rFonts w:ascii="Times New Roman" w:hAnsi="Times New Roman" w:cs="Times New Roman"/>
          <w:bCs/>
          <w:sz w:val="28"/>
          <w:szCs w:val="28"/>
          <w:lang w:val="es-ES"/>
        </w:rPr>
        <w:t xml:space="preserve">financiar </w:t>
      </w:r>
      <w:r w:rsidRPr="00AF629F">
        <w:rPr>
          <w:rFonts w:ascii="Times New Roman" w:hAnsi="Times New Roman" w:cs="Times New Roman"/>
          <w:bCs/>
          <w:sz w:val="28"/>
          <w:szCs w:val="28"/>
          <w:lang w:val="es-ES"/>
        </w:rPr>
        <w:t xml:space="preserve">proyectos de inversión social incluidos en </w:t>
      </w:r>
      <w:r w:rsidRPr="00AF629F">
        <w:rPr>
          <w:rFonts w:ascii="Times New Roman" w:hAnsi="Times New Roman" w:cs="Times New Roman"/>
          <w:bCs/>
          <w:sz w:val="28"/>
          <w:szCs w:val="28"/>
          <w:lang w:val="es-ES"/>
        </w:rPr>
        <w:t>el p</w:t>
      </w:r>
      <w:r w:rsidRPr="00AF629F">
        <w:rPr>
          <w:rFonts w:ascii="Times New Roman" w:hAnsi="Times New Roman" w:cs="Times New Roman"/>
          <w:bCs/>
          <w:sz w:val="28"/>
          <w:szCs w:val="28"/>
          <w:lang w:val="es-ES"/>
        </w:rPr>
        <w:t xml:space="preserve">lan de </w:t>
      </w:r>
      <w:r w:rsidRPr="00AF629F">
        <w:rPr>
          <w:rFonts w:ascii="Times New Roman" w:hAnsi="Times New Roman" w:cs="Times New Roman"/>
          <w:bCs/>
          <w:sz w:val="28"/>
          <w:szCs w:val="28"/>
          <w:lang w:val="es-ES"/>
        </w:rPr>
        <w:t>d</w:t>
      </w:r>
      <w:r w:rsidRPr="00AF629F">
        <w:rPr>
          <w:rFonts w:ascii="Times New Roman" w:hAnsi="Times New Roman" w:cs="Times New Roman"/>
          <w:bCs/>
          <w:sz w:val="28"/>
          <w:szCs w:val="28"/>
          <w:lang w:val="es-ES"/>
        </w:rPr>
        <w:t>esarrollo</w:t>
      </w:r>
      <w:r w:rsidRPr="00AF629F">
        <w:rPr>
          <w:rFonts w:ascii="Times New Roman" w:hAnsi="Times New Roman" w:cs="Times New Roman"/>
          <w:bCs/>
          <w:sz w:val="28"/>
          <w:szCs w:val="28"/>
          <w:lang w:val="es-ES"/>
        </w:rPr>
        <w:t xml:space="preserve"> del respectivo ente territorial</w:t>
      </w:r>
      <w:r w:rsidRPr="00AF629F">
        <w:rPr>
          <w:rFonts w:ascii="Times New Roman" w:hAnsi="Times New Roman" w:cs="Times New Roman"/>
          <w:bCs/>
          <w:sz w:val="28"/>
          <w:szCs w:val="28"/>
          <w:lang w:val="es-ES"/>
        </w:rPr>
        <w:t xml:space="preserve"> (artículo 231 </w:t>
      </w:r>
      <w:r w:rsidRPr="00AF629F">
        <w:rPr>
          <w:rFonts w:ascii="Times New Roman" w:eastAsia="Cambria" w:hAnsi="Times New Roman" w:cs="Times New Roman"/>
          <w:bCs/>
          <w:sz w:val="28"/>
          <w:szCs w:val="28"/>
        </w:rPr>
        <w:t xml:space="preserve">de la </w:t>
      </w:r>
      <w:r w:rsidRPr="00AF629F">
        <w:rPr>
          <w:rStyle w:val="Ttulo1Car"/>
          <w:rFonts w:ascii="Times New Roman" w:hAnsi="Times New Roman" w:cs="Times New Roman"/>
          <w:b w:val="0"/>
          <w:color w:val="auto"/>
          <w:sz w:val="28"/>
          <w:szCs w:val="28"/>
          <w:lang w:val="es-ES"/>
        </w:rPr>
        <w:t>Ley 2294 de 2023)</w:t>
      </w:r>
      <w:r w:rsidRPr="00AF629F">
        <w:rPr>
          <w:rFonts w:ascii="Times New Roman" w:hAnsi="Times New Roman" w:cs="Times New Roman"/>
          <w:bCs/>
          <w:sz w:val="28"/>
          <w:szCs w:val="28"/>
          <w:lang w:val="es-ES"/>
        </w:rPr>
        <w:t>.</w:t>
      </w:r>
    </w:p>
    <w:p w:rsidR="00C065A5" w:rsidRPr="00AF629F" w:rsidRDefault="00AF629F" w:rsidP="004D51C2">
      <w:pPr>
        <w:rPr>
          <w:rFonts w:ascii="Times New Roman" w:eastAsia="Cambria" w:hAnsi="Times New Roman" w:cs="Times New Roman"/>
          <w:bCs/>
          <w:sz w:val="28"/>
          <w:szCs w:val="28"/>
        </w:rPr>
      </w:pPr>
    </w:p>
    <w:p w:rsidR="00D54DF1" w:rsidRPr="00AF629F" w:rsidRDefault="00AF629F" w:rsidP="00B72654">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 xml:space="preserve">Estas </w:t>
      </w:r>
      <w:r w:rsidRPr="00AF629F">
        <w:rPr>
          <w:rFonts w:ascii="Times New Roman" w:eastAsia="Cambria" w:hAnsi="Times New Roman" w:cs="Times New Roman"/>
          <w:bCs/>
          <w:sz w:val="28"/>
          <w:szCs w:val="28"/>
        </w:rPr>
        <w:t xml:space="preserve">cinco </w:t>
      </w:r>
      <w:r w:rsidRPr="00AF629F">
        <w:rPr>
          <w:rFonts w:ascii="Times New Roman" w:eastAsia="Cambria" w:hAnsi="Times New Roman" w:cs="Times New Roman"/>
          <w:bCs/>
          <w:sz w:val="28"/>
          <w:szCs w:val="28"/>
        </w:rPr>
        <w:t xml:space="preserve">proposiciones </w:t>
      </w:r>
      <w:r w:rsidRPr="00AF629F">
        <w:rPr>
          <w:rFonts w:ascii="Times New Roman" w:eastAsia="Cambria" w:hAnsi="Times New Roman" w:cs="Times New Roman"/>
          <w:bCs/>
          <w:sz w:val="28"/>
          <w:szCs w:val="28"/>
        </w:rPr>
        <w:t xml:space="preserve">pretenden </w:t>
      </w:r>
      <w:r w:rsidRPr="00AF629F">
        <w:rPr>
          <w:rFonts w:ascii="Times New Roman" w:eastAsia="Cambria" w:hAnsi="Times New Roman" w:cs="Times New Roman"/>
          <w:bCs/>
          <w:sz w:val="28"/>
          <w:szCs w:val="28"/>
        </w:rPr>
        <w:t xml:space="preserve">alcanzar </w:t>
      </w:r>
      <w:r w:rsidRPr="00AF629F">
        <w:rPr>
          <w:rFonts w:ascii="Times New Roman" w:eastAsia="Cambria" w:hAnsi="Times New Roman" w:cs="Times New Roman"/>
          <w:bCs/>
          <w:sz w:val="28"/>
          <w:szCs w:val="28"/>
        </w:rPr>
        <w:t xml:space="preserve">los fines constitucionales del artículo 48 de la </w:t>
      </w:r>
      <w:r w:rsidRPr="00AF629F">
        <w:rPr>
          <w:rFonts w:ascii="Times New Roman" w:eastAsia="Cambria" w:hAnsi="Times New Roman" w:cs="Times New Roman"/>
          <w:bCs/>
          <w:sz w:val="28"/>
          <w:szCs w:val="28"/>
        </w:rPr>
        <w:t>Carta</w:t>
      </w:r>
      <w:r w:rsidRPr="00AF629F">
        <w:rPr>
          <w:rStyle w:val="Refdenotaalpie"/>
          <w:rFonts w:ascii="Times New Roman" w:eastAsia="Cambria" w:hAnsi="Times New Roman" w:cs="Times New Roman"/>
          <w:bCs/>
          <w:sz w:val="28"/>
          <w:szCs w:val="28"/>
        </w:rPr>
        <w:footnoteReference w:id="62"/>
      </w:r>
      <w:r w:rsidRPr="00AF629F">
        <w:rPr>
          <w:rFonts w:ascii="Times New Roman" w:eastAsia="Cambria" w:hAnsi="Times New Roman" w:cs="Times New Roman"/>
          <w:bCs/>
          <w:sz w:val="28"/>
          <w:szCs w:val="28"/>
        </w:rPr>
        <w:t>,</w:t>
      </w:r>
      <w:r w:rsidRPr="00AF629F">
        <w:rPr>
          <w:rFonts w:ascii="Times New Roman" w:eastAsia="Cambria" w:hAnsi="Times New Roman" w:cs="Times New Roman"/>
          <w:bCs/>
          <w:sz w:val="28"/>
          <w:szCs w:val="28"/>
        </w:rPr>
        <w:t xml:space="preserve"> ya que buscan que los recursos del </w:t>
      </w:r>
      <w:r w:rsidRPr="00AF629F">
        <w:rPr>
          <w:rFonts w:ascii="Times New Roman" w:eastAsia="Cambria" w:hAnsi="Times New Roman" w:cs="Times New Roman"/>
          <w:bCs/>
          <w:sz w:val="28"/>
          <w:szCs w:val="28"/>
        </w:rPr>
        <w:t xml:space="preserve">FONPET </w:t>
      </w:r>
      <w:r w:rsidRPr="00AF629F">
        <w:rPr>
          <w:rFonts w:ascii="Times New Roman" w:eastAsia="Cambria" w:hAnsi="Times New Roman" w:cs="Times New Roman"/>
          <w:bCs/>
          <w:sz w:val="28"/>
          <w:szCs w:val="28"/>
        </w:rPr>
        <w:t xml:space="preserve">se destinen </w:t>
      </w:r>
      <w:r w:rsidRPr="00AF629F">
        <w:rPr>
          <w:rFonts w:ascii="Times New Roman" w:eastAsia="Cambria" w:hAnsi="Times New Roman" w:cs="Times New Roman"/>
          <w:bCs/>
          <w:sz w:val="28"/>
          <w:szCs w:val="28"/>
        </w:rPr>
        <w:t xml:space="preserve">exclusivamente </w:t>
      </w:r>
      <w:r w:rsidRPr="00AF629F">
        <w:rPr>
          <w:rFonts w:ascii="Times New Roman" w:eastAsia="Cambria" w:hAnsi="Times New Roman" w:cs="Times New Roman"/>
          <w:bCs/>
          <w:sz w:val="28"/>
          <w:szCs w:val="28"/>
        </w:rPr>
        <w:t>a</w:t>
      </w:r>
      <w:r w:rsidRPr="00AF629F">
        <w:rPr>
          <w:rFonts w:ascii="Times New Roman" w:eastAsia="Cambria" w:hAnsi="Times New Roman" w:cs="Times New Roman"/>
          <w:bCs/>
          <w:sz w:val="28"/>
          <w:szCs w:val="28"/>
        </w:rPr>
        <w:t xml:space="preserve"> fines propios de “las instituciones de la seguridad social”, como es el reconocimiento </w:t>
      </w:r>
      <w:r w:rsidRPr="00AF629F">
        <w:rPr>
          <w:rFonts w:ascii="Times New Roman" w:eastAsia="Cambria" w:hAnsi="Times New Roman" w:cs="Times New Roman"/>
          <w:bCs/>
          <w:sz w:val="28"/>
          <w:szCs w:val="28"/>
        </w:rPr>
        <w:t xml:space="preserve">y pago </w:t>
      </w:r>
      <w:r w:rsidRPr="00AF629F">
        <w:rPr>
          <w:rFonts w:ascii="Times New Roman" w:eastAsia="Cambria" w:hAnsi="Times New Roman" w:cs="Times New Roman"/>
          <w:bCs/>
          <w:sz w:val="28"/>
          <w:szCs w:val="28"/>
        </w:rPr>
        <w:t xml:space="preserve">de las pensiones </w:t>
      </w:r>
      <w:r w:rsidRPr="00AF629F">
        <w:rPr>
          <w:rFonts w:ascii="Times New Roman" w:eastAsia="Cambria" w:hAnsi="Times New Roman" w:cs="Times New Roman"/>
          <w:bCs/>
          <w:sz w:val="28"/>
          <w:szCs w:val="28"/>
        </w:rPr>
        <w:t xml:space="preserve">a </w:t>
      </w:r>
      <w:r w:rsidRPr="00AF629F">
        <w:rPr>
          <w:rFonts w:ascii="Times New Roman" w:eastAsia="Cambria" w:hAnsi="Times New Roman" w:cs="Times New Roman"/>
          <w:bCs/>
          <w:sz w:val="28"/>
          <w:szCs w:val="28"/>
        </w:rPr>
        <w:t xml:space="preserve">cargo de las entidades territoriales, </w:t>
      </w:r>
      <w:r w:rsidRPr="00AF629F">
        <w:rPr>
          <w:rFonts w:ascii="Times New Roman" w:eastAsia="Cambria" w:hAnsi="Times New Roman" w:cs="Times New Roman"/>
          <w:bCs/>
          <w:sz w:val="28"/>
          <w:szCs w:val="28"/>
        </w:rPr>
        <w:t>de tal forma que se garant</w:t>
      </w:r>
      <w:r w:rsidRPr="00AF629F">
        <w:rPr>
          <w:rFonts w:ascii="Times New Roman" w:eastAsia="Cambria" w:hAnsi="Times New Roman" w:cs="Times New Roman"/>
          <w:bCs/>
          <w:sz w:val="28"/>
          <w:szCs w:val="28"/>
        </w:rPr>
        <w:t xml:space="preserve">ice </w:t>
      </w:r>
      <w:r w:rsidRPr="00AF629F">
        <w:rPr>
          <w:rFonts w:ascii="Times New Roman" w:eastAsia="Cambria" w:hAnsi="Times New Roman" w:cs="Times New Roman"/>
          <w:bCs/>
          <w:sz w:val="28"/>
          <w:szCs w:val="28"/>
        </w:rPr>
        <w:t>la “sostenibilidad financiera del sistema pensional”</w:t>
      </w:r>
      <w:r w:rsidRPr="00AF629F">
        <w:rPr>
          <w:rFonts w:ascii="Times New Roman" w:eastAsia="Cambria" w:hAnsi="Times New Roman" w:cs="Times New Roman"/>
          <w:bCs/>
          <w:sz w:val="28"/>
          <w:szCs w:val="28"/>
        </w:rPr>
        <w:t xml:space="preserve">. </w:t>
      </w:r>
      <w:r w:rsidRPr="00AF629F">
        <w:rPr>
          <w:rFonts w:ascii="Times New Roman" w:eastAsia="Cambria" w:hAnsi="Times New Roman" w:cs="Times New Roman"/>
          <w:bCs/>
          <w:sz w:val="28"/>
          <w:szCs w:val="28"/>
        </w:rPr>
        <w:t xml:space="preserve">Este último fin, de hecho, es explícitamente perseguido por la Ley 549 de 1999 al disponer </w:t>
      </w:r>
      <w:r w:rsidRPr="00AF629F">
        <w:rPr>
          <w:rFonts w:ascii="Times New Roman" w:eastAsia="Cambria" w:hAnsi="Times New Roman" w:cs="Times New Roman"/>
          <w:bCs/>
          <w:sz w:val="28"/>
          <w:szCs w:val="28"/>
        </w:rPr>
        <w:t xml:space="preserve">que el deber que se atribuye a las entidades territoriales de cubrir </w:t>
      </w:r>
      <w:r w:rsidRPr="00AF629F">
        <w:rPr>
          <w:rFonts w:ascii="Times New Roman" w:eastAsia="Cambria" w:hAnsi="Times New Roman" w:cs="Times New Roman"/>
          <w:bCs/>
          <w:sz w:val="28"/>
          <w:szCs w:val="28"/>
        </w:rPr>
        <w:t xml:space="preserve">el valor de los pasivos pensionales a </w:t>
      </w:r>
      <w:r w:rsidRPr="00AF629F">
        <w:rPr>
          <w:rFonts w:ascii="Times New Roman" w:eastAsia="Cambria" w:hAnsi="Times New Roman" w:cs="Times New Roman"/>
          <w:bCs/>
          <w:sz w:val="28"/>
          <w:szCs w:val="28"/>
        </w:rPr>
        <w:t>su cargo pretende “</w:t>
      </w:r>
      <w:r w:rsidRPr="00AF629F">
        <w:rPr>
          <w:rFonts w:ascii="Times New Roman" w:hAnsi="Times New Roman" w:cs="Times New Roman"/>
          <w:sz w:val="28"/>
          <w:szCs w:val="28"/>
        </w:rPr>
        <w:t>asegurar la estabilidad económica del Estado”</w:t>
      </w:r>
      <w:r w:rsidRPr="00AF629F">
        <w:rPr>
          <w:rFonts w:ascii="Times New Roman" w:hAnsi="Times New Roman" w:cs="Times New Roman"/>
          <w:sz w:val="28"/>
          <w:szCs w:val="28"/>
        </w:rPr>
        <w:t xml:space="preserve"> (artículo 1)</w:t>
      </w:r>
      <w:r w:rsidRPr="00AF629F">
        <w:rPr>
          <w:rFonts w:ascii="Times New Roman" w:hAnsi="Times New Roman" w:cs="Times New Roman"/>
          <w:sz w:val="28"/>
          <w:szCs w:val="28"/>
        </w:rPr>
        <w:t>.</w:t>
      </w:r>
    </w:p>
    <w:p w:rsidR="00D54DF1" w:rsidRPr="00AF629F" w:rsidRDefault="00AF629F" w:rsidP="00D54DF1">
      <w:pPr>
        <w:pStyle w:val="Prrafodelista"/>
        <w:rPr>
          <w:rFonts w:ascii="Times New Roman" w:eastAsia="Cambria" w:hAnsi="Times New Roman" w:cs="Times New Roman"/>
          <w:bCs/>
          <w:sz w:val="28"/>
          <w:szCs w:val="28"/>
        </w:rPr>
      </w:pPr>
    </w:p>
    <w:p w:rsidR="00E47444" w:rsidRPr="00AF629F" w:rsidRDefault="00AF629F" w:rsidP="00B72654">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eastAsia="Cambria" w:hAnsi="Times New Roman" w:cs="Times New Roman"/>
          <w:bCs/>
          <w:sz w:val="28"/>
          <w:szCs w:val="28"/>
        </w:rPr>
        <w:t>E</w:t>
      </w:r>
      <w:r w:rsidRPr="00AF629F">
        <w:rPr>
          <w:rFonts w:ascii="Times New Roman" w:eastAsia="Cambria" w:hAnsi="Times New Roman" w:cs="Times New Roman"/>
          <w:bCs/>
          <w:sz w:val="28"/>
          <w:szCs w:val="28"/>
        </w:rPr>
        <w:t xml:space="preserve">s claro </w:t>
      </w:r>
      <w:r w:rsidRPr="00AF629F">
        <w:rPr>
          <w:rFonts w:ascii="Times New Roman" w:eastAsia="Cambria" w:hAnsi="Times New Roman" w:cs="Times New Roman"/>
          <w:bCs/>
          <w:sz w:val="28"/>
          <w:szCs w:val="28"/>
        </w:rPr>
        <w:t xml:space="preserve">entonces </w:t>
      </w:r>
      <w:r w:rsidRPr="00AF629F">
        <w:rPr>
          <w:rFonts w:ascii="Times New Roman" w:eastAsia="Cambria" w:hAnsi="Times New Roman" w:cs="Times New Roman"/>
          <w:bCs/>
          <w:sz w:val="28"/>
          <w:szCs w:val="28"/>
        </w:rPr>
        <w:t xml:space="preserve">que </w:t>
      </w:r>
      <w:r w:rsidRPr="00AF629F">
        <w:rPr>
          <w:rFonts w:ascii="Times New Roman" w:hAnsi="Times New Roman" w:cs="Times New Roman"/>
          <w:sz w:val="28"/>
          <w:szCs w:val="28"/>
        </w:rPr>
        <w:t xml:space="preserve">la administración de los recursos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 xml:space="preserve">por parte de sociedades fiduciarias de carácter público no habilita </w:t>
      </w:r>
      <w:r w:rsidRPr="00AF629F">
        <w:rPr>
          <w:rFonts w:ascii="Times New Roman" w:hAnsi="Times New Roman" w:cs="Times New Roman"/>
          <w:sz w:val="28"/>
          <w:szCs w:val="28"/>
        </w:rPr>
        <w:t>a</w:t>
      </w:r>
      <w:r w:rsidRPr="00AF629F">
        <w:rPr>
          <w:rFonts w:ascii="Times New Roman" w:hAnsi="Times New Roman" w:cs="Times New Roman"/>
          <w:sz w:val="28"/>
          <w:szCs w:val="28"/>
        </w:rPr>
        <w:t xml:space="preserve">l Gobierno nacional </w:t>
      </w:r>
      <w:r w:rsidRPr="00AF629F">
        <w:rPr>
          <w:rFonts w:ascii="Times New Roman" w:hAnsi="Times New Roman" w:cs="Times New Roman"/>
          <w:sz w:val="28"/>
          <w:szCs w:val="28"/>
        </w:rPr>
        <w:t xml:space="preserve">para </w:t>
      </w:r>
      <w:r w:rsidRPr="00AF629F">
        <w:rPr>
          <w:rFonts w:ascii="Times New Roman" w:hAnsi="Times New Roman" w:cs="Times New Roman"/>
          <w:sz w:val="28"/>
          <w:szCs w:val="28"/>
        </w:rPr>
        <w:t>utili</w:t>
      </w:r>
      <w:r w:rsidRPr="00AF629F">
        <w:rPr>
          <w:rFonts w:ascii="Times New Roman" w:hAnsi="Times New Roman" w:cs="Times New Roman"/>
          <w:sz w:val="28"/>
          <w:szCs w:val="28"/>
        </w:rPr>
        <w:t xml:space="preserve">zar o </w:t>
      </w:r>
      <w:r w:rsidRPr="00AF629F">
        <w:rPr>
          <w:rFonts w:ascii="Times New Roman" w:hAnsi="Times New Roman" w:cs="Times New Roman"/>
          <w:sz w:val="28"/>
          <w:szCs w:val="28"/>
        </w:rPr>
        <w:t>disponer de</w:t>
      </w:r>
      <w:r w:rsidRPr="00AF629F">
        <w:rPr>
          <w:rFonts w:ascii="Times New Roman" w:hAnsi="Times New Roman" w:cs="Times New Roman"/>
          <w:sz w:val="28"/>
          <w:szCs w:val="28"/>
        </w:rPr>
        <w:t xml:space="preserve"> “los recursos excedentes”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para “financiar proyectos catalizadores de gran impacto regional”</w:t>
      </w:r>
      <w:r w:rsidRPr="00AF629F">
        <w:rPr>
          <w:rFonts w:ascii="Times New Roman" w:hAnsi="Times New Roman" w:cs="Times New Roman"/>
          <w:sz w:val="28"/>
          <w:szCs w:val="28"/>
        </w:rPr>
        <w:t xml:space="preserve"> –que </w:t>
      </w:r>
      <w:r w:rsidRPr="00AF629F">
        <w:rPr>
          <w:rFonts w:ascii="Times New Roman" w:hAnsi="Times New Roman" w:cs="Times New Roman"/>
          <w:sz w:val="28"/>
          <w:szCs w:val="28"/>
        </w:rPr>
        <w:t>pretende</w:t>
      </w:r>
      <w:r w:rsidRPr="00AF629F">
        <w:rPr>
          <w:rFonts w:ascii="Times New Roman" w:hAnsi="Times New Roman" w:cs="Times New Roman"/>
          <w:sz w:val="28"/>
          <w:szCs w:val="28"/>
        </w:rPr>
        <w:t xml:space="preserve"> la disposición demandada–</w:t>
      </w:r>
      <w:r w:rsidRPr="00AF629F">
        <w:rPr>
          <w:rFonts w:ascii="Times New Roman" w:hAnsi="Times New Roman" w:cs="Times New Roman"/>
          <w:sz w:val="28"/>
          <w:szCs w:val="28"/>
        </w:rPr>
        <w:t xml:space="preserve">, no solo porque los recursos del </w:t>
      </w:r>
      <w:r w:rsidRPr="00AF629F">
        <w:rPr>
          <w:rFonts w:ascii="Times New Roman" w:hAnsi="Times New Roman" w:cs="Times New Roman"/>
          <w:sz w:val="28"/>
          <w:szCs w:val="28"/>
        </w:rPr>
        <w:t>FONPET</w:t>
      </w:r>
      <w:r w:rsidRPr="00AF629F">
        <w:rPr>
          <w:rFonts w:ascii="Times New Roman" w:hAnsi="Times New Roman" w:cs="Times New Roman"/>
          <w:sz w:val="28"/>
          <w:szCs w:val="28"/>
        </w:rPr>
        <w:t xml:space="preserve">, incluidos sus rendimientos financieros, son recursos de las </w:t>
      </w:r>
      <w:r w:rsidRPr="00AF629F">
        <w:rPr>
          <w:rFonts w:ascii="Times New Roman" w:hAnsi="Times New Roman" w:cs="Times New Roman"/>
          <w:sz w:val="28"/>
          <w:szCs w:val="28"/>
        </w:rPr>
        <w:t>entidades territoriales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sino porque, además, tienen una destinación específica</w:t>
      </w:r>
      <w:r w:rsidRPr="00AF629F">
        <w:rPr>
          <w:rFonts w:ascii="Times New Roman" w:hAnsi="Times New Roman" w:cs="Times New Roman"/>
          <w:sz w:val="28"/>
          <w:szCs w:val="28"/>
        </w:rPr>
        <w:t xml:space="preserve">: </w:t>
      </w:r>
      <w:r w:rsidRPr="00AF629F">
        <w:rPr>
          <w:rFonts w:ascii="Times New Roman" w:hAnsi="Times New Roman" w:cs="Times New Roman"/>
          <w:bCs/>
          <w:sz w:val="28"/>
          <w:szCs w:val="28"/>
        </w:rPr>
        <w:t>financiar los pasivos pensionales de las entidades territoriales</w:t>
      </w:r>
      <w:r w:rsidRPr="00AF629F">
        <w:rPr>
          <w:rStyle w:val="Refdenotaalpie"/>
          <w:rFonts w:ascii="Times New Roman" w:hAnsi="Times New Roman" w:cs="Times New Roman"/>
          <w:bCs/>
          <w:sz w:val="28"/>
          <w:szCs w:val="28"/>
        </w:rPr>
        <w:footnoteReference w:id="63"/>
      </w:r>
      <w:r w:rsidRPr="00AF629F">
        <w:rPr>
          <w:rFonts w:ascii="Times New Roman" w:hAnsi="Times New Roman" w:cs="Times New Roman"/>
          <w:bCs/>
          <w:sz w:val="28"/>
          <w:szCs w:val="28"/>
        </w:rPr>
        <w:t>.</w:t>
      </w:r>
    </w:p>
    <w:p w:rsidR="00E47444" w:rsidRPr="00AF629F" w:rsidRDefault="00AF629F" w:rsidP="00AB6309">
      <w:pPr>
        <w:rPr>
          <w:rFonts w:ascii="Times New Roman" w:hAnsi="Times New Roman" w:cs="Times New Roman"/>
          <w:sz w:val="28"/>
          <w:szCs w:val="28"/>
        </w:rPr>
      </w:pPr>
    </w:p>
    <w:p w:rsidR="00EB3629" w:rsidRPr="00AF629F" w:rsidRDefault="00AF629F" w:rsidP="00F347B7">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hAnsi="Times New Roman" w:cs="Times New Roman"/>
          <w:sz w:val="28"/>
          <w:szCs w:val="28"/>
        </w:rPr>
        <w:t xml:space="preserve">Así las cosas, la </w:t>
      </w:r>
      <w:r w:rsidRPr="00AF629F">
        <w:rPr>
          <w:rFonts w:ascii="Times New Roman" w:eastAsia="Cambria" w:hAnsi="Times New Roman" w:cs="Times New Roman"/>
          <w:bCs/>
          <w:sz w:val="28"/>
          <w:szCs w:val="28"/>
        </w:rPr>
        <w:t xml:space="preserve">modificación permanente de la forma de administración de los recursos del </w:t>
      </w:r>
      <w:r w:rsidRPr="00AF629F">
        <w:rPr>
          <w:rFonts w:ascii="Times New Roman" w:eastAsia="Cambria" w:hAnsi="Times New Roman" w:cs="Times New Roman"/>
          <w:bCs/>
          <w:sz w:val="28"/>
          <w:szCs w:val="28"/>
        </w:rPr>
        <w:t>FONPET</w:t>
      </w:r>
      <w:r w:rsidRPr="00AF629F">
        <w:rPr>
          <w:rFonts w:ascii="Times New Roman" w:hAnsi="Times New Roman" w:cs="Times New Roman"/>
          <w:sz w:val="28"/>
          <w:szCs w:val="28"/>
        </w:rPr>
        <w:t xml:space="preserve">, especialmente de </w:t>
      </w:r>
      <w:r w:rsidRPr="00AF629F">
        <w:rPr>
          <w:rFonts w:ascii="Times New Roman" w:hAnsi="Times New Roman" w:cs="Times New Roman"/>
          <w:sz w:val="28"/>
          <w:szCs w:val="28"/>
        </w:rPr>
        <w:t>los</w:t>
      </w:r>
      <w:r w:rsidRPr="00AF629F">
        <w:rPr>
          <w:rFonts w:ascii="Times New Roman" w:hAnsi="Times New Roman" w:cs="Times New Roman"/>
          <w:sz w:val="28"/>
          <w:szCs w:val="28"/>
        </w:rPr>
        <w:t xml:space="preserve"> artículos 3 (inciso primero) y 7.4, </w:t>
      </w:r>
      <w:r w:rsidRPr="00AF629F">
        <w:rPr>
          <w:rFonts w:ascii="Times New Roman" w:eastAsia="Cambria" w:hAnsi="Times New Roman" w:cs="Times New Roman"/>
          <w:bCs/>
          <w:sz w:val="28"/>
          <w:szCs w:val="28"/>
        </w:rPr>
        <w:t xml:space="preserve">de la Ley 549 de 1999, </w:t>
      </w:r>
      <w:r w:rsidRPr="00AF629F">
        <w:rPr>
          <w:rFonts w:ascii="Times New Roman" w:hAnsi="Times New Roman" w:cs="Times New Roman"/>
          <w:sz w:val="28"/>
          <w:szCs w:val="28"/>
        </w:rPr>
        <w:t xml:space="preserve">no </w:t>
      </w:r>
      <w:r w:rsidRPr="00AF629F">
        <w:rPr>
          <w:rFonts w:ascii="Times New Roman" w:hAnsi="Times New Roman" w:cs="Times New Roman"/>
          <w:sz w:val="28"/>
          <w:szCs w:val="28"/>
        </w:rPr>
        <w:t>permite</w:t>
      </w:r>
      <w:r w:rsidRPr="00AF629F">
        <w:rPr>
          <w:rFonts w:ascii="Times New Roman" w:hAnsi="Times New Roman" w:cs="Times New Roman"/>
          <w:sz w:val="28"/>
          <w:szCs w:val="28"/>
        </w:rPr>
        <w:t xml:space="preserve"> que el Gobierno nacional utilice los “los recursos excedentes” del </w:t>
      </w:r>
      <w:r w:rsidRPr="00AF629F">
        <w:rPr>
          <w:rFonts w:ascii="Times New Roman" w:hAnsi="Times New Roman" w:cs="Times New Roman"/>
          <w:sz w:val="28"/>
          <w:szCs w:val="28"/>
        </w:rPr>
        <w:t xml:space="preserve">FONPET </w:t>
      </w:r>
      <w:r w:rsidRPr="00AF629F">
        <w:rPr>
          <w:rFonts w:ascii="Times New Roman" w:hAnsi="Times New Roman" w:cs="Times New Roman"/>
          <w:sz w:val="28"/>
          <w:szCs w:val="28"/>
        </w:rPr>
        <w:t xml:space="preserve">para “financiar proyectos catalizadores de gran impacto regional”. </w:t>
      </w:r>
      <w:r w:rsidRPr="00AF629F">
        <w:rPr>
          <w:rFonts w:ascii="Times New Roman" w:hAnsi="Times New Roman" w:cs="Times New Roman"/>
          <w:sz w:val="28"/>
          <w:szCs w:val="28"/>
        </w:rPr>
        <w:t xml:space="preserve">Por tanto, </w:t>
      </w:r>
      <w:r w:rsidRPr="00AF629F">
        <w:rPr>
          <w:rFonts w:ascii="Times New Roman" w:hAnsi="Times New Roman" w:cs="Times New Roman"/>
          <w:sz w:val="28"/>
          <w:szCs w:val="28"/>
        </w:rPr>
        <w:t>no se evide</w:t>
      </w:r>
      <w:r w:rsidRPr="00AF629F">
        <w:rPr>
          <w:rFonts w:ascii="Times New Roman" w:hAnsi="Times New Roman" w:cs="Times New Roman"/>
          <w:sz w:val="28"/>
          <w:szCs w:val="28"/>
        </w:rPr>
        <w:t xml:space="preserve">ncia </w:t>
      </w:r>
      <w:r w:rsidRPr="00AF629F">
        <w:rPr>
          <w:rFonts w:ascii="Times New Roman" w:eastAsia="Cambria" w:hAnsi="Times New Roman" w:cs="Times New Roman"/>
          <w:bCs/>
          <w:sz w:val="28"/>
          <w:szCs w:val="28"/>
        </w:rPr>
        <w:t xml:space="preserve">una relación de conexidad </w:t>
      </w:r>
      <w:r w:rsidRPr="00AF629F">
        <w:rPr>
          <w:rFonts w:ascii="Times New Roman" w:hAnsi="Times New Roman" w:cs="Times New Roman"/>
          <w:iCs/>
          <w:sz w:val="28"/>
          <w:szCs w:val="28"/>
          <w:lang w:val="es-ES_tradnl"/>
        </w:rPr>
        <w:t xml:space="preserve">estrecha, directa </w:t>
      </w:r>
      <w:r w:rsidRPr="00AF629F">
        <w:rPr>
          <w:rFonts w:ascii="Times New Roman" w:hAnsi="Times New Roman" w:cs="Times New Roman"/>
          <w:iCs/>
          <w:sz w:val="28"/>
          <w:szCs w:val="28"/>
          <w:lang w:val="es-ES_tradnl"/>
        </w:rPr>
        <w:t>ni</w:t>
      </w:r>
      <w:r w:rsidRPr="00AF629F">
        <w:rPr>
          <w:rFonts w:ascii="Times New Roman" w:hAnsi="Times New Roman" w:cs="Times New Roman"/>
          <w:iCs/>
          <w:sz w:val="28"/>
          <w:szCs w:val="28"/>
          <w:lang w:val="es-ES_tradnl"/>
        </w:rPr>
        <w:t xml:space="preserve"> inmediata con la parte general del plan cuatrienal</w:t>
      </w:r>
      <w:r w:rsidRPr="00AF629F">
        <w:rPr>
          <w:rFonts w:ascii="Times New Roman" w:hAnsi="Times New Roman" w:cs="Times New Roman"/>
          <w:iCs/>
          <w:sz w:val="28"/>
          <w:szCs w:val="28"/>
          <w:lang w:val="es-ES_tradnl"/>
        </w:rPr>
        <w:t xml:space="preserve"> que pretende realizar.</w:t>
      </w:r>
    </w:p>
    <w:p w:rsidR="00EB3629" w:rsidRPr="00AF629F" w:rsidRDefault="00AF629F" w:rsidP="00A44BDE">
      <w:pPr>
        <w:rPr>
          <w:rFonts w:ascii="Times New Roman" w:hAnsi="Times New Roman" w:cs="Times New Roman"/>
          <w:sz w:val="28"/>
          <w:szCs w:val="28"/>
        </w:rPr>
      </w:pPr>
    </w:p>
    <w:p w:rsidR="002D7D2D" w:rsidRPr="00AF629F" w:rsidRDefault="00AF629F" w:rsidP="00F347B7">
      <w:pPr>
        <w:pStyle w:val="Prrafodelista"/>
        <w:numPr>
          <w:ilvl w:val="0"/>
          <w:numId w:val="2"/>
        </w:numPr>
        <w:ind w:left="0" w:firstLine="0"/>
        <w:jc w:val="both"/>
        <w:rPr>
          <w:rFonts w:ascii="Times New Roman" w:eastAsia="Cambria" w:hAnsi="Times New Roman" w:cs="Times New Roman"/>
          <w:bCs/>
          <w:sz w:val="28"/>
          <w:szCs w:val="28"/>
        </w:rPr>
      </w:pPr>
      <w:r w:rsidRPr="00AF629F">
        <w:rPr>
          <w:rFonts w:ascii="Times New Roman" w:hAnsi="Times New Roman" w:cs="Times New Roman"/>
          <w:sz w:val="28"/>
          <w:szCs w:val="28"/>
        </w:rPr>
        <w:t xml:space="preserve">Un razonamiento análogo </w:t>
      </w:r>
      <w:r w:rsidRPr="00AF629F">
        <w:rPr>
          <w:rFonts w:ascii="Times New Roman" w:hAnsi="Times New Roman" w:cs="Times New Roman"/>
          <w:sz w:val="28"/>
          <w:szCs w:val="28"/>
        </w:rPr>
        <w:t xml:space="preserve">fue utilizado por la Corte de manera reciente en la </w:t>
      </w:r>
      <w:r w:rsidRPr="00AF629F">
        <w:rPr>
          <w:rFonts w:ascii="Times New Roman" w:hAnsi="Times New Roman" w:cs="Times New Roman"/>
          <w:sz w:val="28"/>
          <w:szCs w:val="28"/>
        </w:rPr>
        <w:t>C-537 de 2023</w:t>
      </w:r>
      <w:r w:rsidRPr="00AF629F">
        <w:rPr>
          <w:rFonts w:ascii="Times New Roman" w:hAnsi="Times New Roman" w:cs="Times New Roman"/>
          <w:sz w:val="28"/>
          <w:szCs w:val="28"/>
        </w:rPr>
        <w:t xml:space="preserve"> para justificar la declaratoria de inexequibilidad del </w:t>
      </w:r>
      <w:r w:rsidRPr="00AF629F">
        <w:rPr>
          <w:rFonts w:ascii="Times New Roman" w:hAnsi="Times New Roman" w:cs="Times New Roman"/>
          <w:bCs/>
          <w:sz w:val="28"/>
          <w:szCs w:val="28"/>
        </w:rPr>
        <w:t>artículo 97 de la Ley 2294 de 2023</w:t>
      </w:r>
      <w:r w:rsidRPr="00AF629F">
        <w:rPr>
          <w:rFonts w:ascii="Times New Roman" w:hAnsi="Times New Roman" w:cs="Times New Roman"/>
          <w:bCs/>
          <w:sz w:val="28"/>
          <w:szCs w:val="28"/>
        </w:rPr>
        <w:t>,</w:t>
      </w:r>
      <w:r w:rsidRPr="00AF629F">
        <w:rPr>
          <w:rFonts w:ascii="Times New Roman" w:hAnsi="Times New Roman" w:cs="Times New Roman"/>
          <w:bCs/>
          <w:sz w:val="28"/>
          <w:szCs w:val="28"/>
        </w:rPr>
        <w:t xml:space="preserve"> que imponía a las entidades y corporaciones públicas el deber de contratar la administración de riesgos laborales con la ARL Positiva S.A., de propiedad estatal, co</w:t>
      </w:r>
      <w:r w:rsidRPr="00AF629F">
        <w:rPr>
          <w:rFonts w:ascii="Times New Roman" w:hAnsi="Times New Roman" w:cs="Times New Roman"/>
          <w:bCs/>
          <w:sz w:val="28"/>
          <w:szCs w:val="28"/>
        </w:rPr>
        <w:t>n exclusión de las ARL de carácter privado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S</w:t>
      </w:r>
      <w:r w:rsidRPr="00AF629F">
        <w:rPr>
          <w:rFonts w:ascii="Times New Roman" w:hAnsi="Times New Roman" w:cs="Times New Roman"/>
          <w:sz w:val="28"/>
          <w:szCs w:val="28"/>
        </w:rPr>
        <w:t xml:space="preserve">e precisó que la disposición demandada no era idónea </w:t>
      </w:r>
      <w:r w:rsidRPr="00AF629F">
        <w:rPr>
          <w:rFonts w:ascii="Times New Roman" w:hAnsi="Times New Roman" w:cs="Times New Roman"/>
          <w:bCs/>
          <w:sz w:val="28"/>
          <w:szCs w:val="28"/>
        </w:rPr>
        <w:t xml:space="preserve">para </w:t>
      </w:r>
      <w:r w:rsidRPr="00AF629F">
        <w:rPr>
          <w:rFonts w:ascii="Times New Roman" w:hAnsi="Times New Roman" w:cs="Times New Roman"/>
          <w:bCs/>
          <w:sz w:val="28"/>
          <w:szCs w:val="28"/>
        </w:rPr>
        <w:t>“</w:t>
      </w:r>
      <w:r w:rsidRPr="00AF629F">
        <w:rPr>
          <w:rFonts w:ascii="Times New Roman" w:hAnsi="Times New Roman" w:cs="Times New Roman"/>
          <w:bCs/>
          <w:sz w:val="28"/>
          <w:szCs w:val="28"/>
        </w:rPr>
        <w:t>garantizar que los trabajadores de la economía popular tengan acceso al sistema de seguridad social, incluyendo el aseguramiento en riesgos laborales”</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Al respecto, se </w:t>
      </w:r>
      <w:r w:rsidRPr="00AF629F">
        <w:rPr>
          <w:rFonts w:ascii="Times New Roman" w:hAnsi="Times New Roman" w:cs="Times New Roman"/>
          <w:bCs/>
          <w:sz w:val="28"/>
          <w:szCs w:val="28"/>
        </w:rPr>
        <w:t xml:space="preserve">indicó: </w:t>
      </w:r>
      <w:r w:rsidRPr="00AF629F">
        <w:rPr>
          <w:rFonts w:ascii="Times New Roman" w:hAnsi="Times New Roman" w:cs="Times New Roman"/>
          <w:bCs/>
          <w:sz w:val="28"/>
          <w:szCs w:val="28"/>
        </w:rPr>
        <w:t>“el traslado obligatorio de los trabajadores de las entidades públicas a la ARL pública no comporta una medida que promueva de manera directa la política pública destinada a lograr el acceso de los trabajadores de la economía popula</w:t>
      </w:r>
      <w:r w:rsidRPr="00AF629F">
        <w:rPr>
          <w:rFonts w:ascii="Times New Roman" w:hAnsi="Times New Roman" w:cs="Times New Roman"/>
          <w:bCs/>
          <w:sz w:val="28"/>
          <w:szCs w:val="28"/>
        </w:rPr>
        <w:t>r a la protección de los riesgos laborales. Esto por cuanto la norma acusada está dirigida a los empleados públicos y no a otro sector de la población laboral perteneciente a la llamada economía popular”.</w:t>
      </w:r>
    </w:p>
    <w:p w:rsidR="0014040F" w:rsidRPr="00AF629F" w:rsidRDefault="00AF629F" w:rsidP="0014040F">
      <w:pPr>
        <w:pStyle w:val="Prrafodelista"/>
        <w:ind w:left="0"/>
        <w:jc w:val="both"/>
        <w:rPr>
          <w:rFonts w:ascii="Times New Roman" w:hAnsi="Times New Roman" w:cs="Times New Roman"/>
          <w:bCs/>
          <w:sz w:val="28"/>
          <w:szCs w:val="28"/>
        </w:rPr>
      </w:pPr>
    </w:p>
    <w:p w:rsidR="00986132" w:rsidRPr="00AF629F" w:rsidRDefault="00AF629F" w:rsidP="004C1A3D">
      <w:pPr>
        <w:pStyle w:val="Estilo1"/>
        <w:numPr>
          <w:ilvl w:val="0"/>
          <w:numId w:val="4"/>
        </w:numPr>
        <w:outlineLvl w:val="0"/>
        <w:rPr>
          <w:rFonts w:ascii="Times New Roman" w:eastAsia="Cambria" w:hAnsi="Times New Roman" w:cs="Times New Roman"/>
          <w:b/>
        </w:rPr>
      </w:pPr>
      <w:r w:rsidRPr="00AF629F">
        <w:rPr>
          <w:rFonts w:ascii="Times New Roman" w:eastAsia="Cambria" w:hAnsi="Times New Roman" w:cs="Times New Roman"/>
          <w:b/>
        </w:rPr>
        <w:t>Decisión a adoptar</w:t>
      </w:r>
    </w:p>
    <w:p w:rsidR="00E36FA9" w:rsidRPr="00AF629F" w:rsidRDefault="00AF629F" w:rsidP="0014040F">
      <w:pPr>
        <w:pStyle w:val="Prrafodelista"/>
        <w:ind w:left="0"/>
        <w:jc w:val="both"/>
        <w:rPr>
          <w:rFonts w:ascii="Times New Roman" w:hAnsi="Times New Roman" w:cs="Times New Roman"/>
          <w:bCs/>
          <w:sz w:val="28"/>
          <w:szCs w:val="28"/>
        </w:rPr>
      </w:pPr>
    </w:p>
    <w:p w:rsidR="001F62A3" w:rsidRPr="00AF629F" w:rsidRDefault="00AF629F" w:rsidP="002F20EF">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La</w:t>
      </w:r>
      <w:r w:rsidRPr="00AF629F">
        <w:rPr>
          <w:rFonts w:ascii="Times New Roman" w:hAnsi="Times New Roman" w:cs="Times New Roman"/>
          <w:bCs/>
          <w:sz w:val="28"/>
          <w:szCs w:val="28"/>
        </w:rPr>
        <w:t xml:space="preserve"> disposición del plan nacional </w:t>
      </w:r>
      <w:r w:rsidRPr="00AF629F">
        <w:rPr>
          <w:rFonts w:ascii="Times New Roman" w:hAnsi="Times New Roman" w:cs="Times New Roman"/>
          <w:bCs/>
          <w:sz w:val="28"/>
          <w:szCs w:val="28"/>
        </w:rPr>
        <w:t xml:space="preserve">de desarrollo que se </w:t>
      </w:r>
      <w:r w:rsidRPr="00AF629F">
        <w:rPr>
          <w:rFonts w:ascii="Times New Roman" w:hAnsi="Times New Roman" w:cs="Times New Roman"/>
          <w:bCs/>
          <w:sz w:val="28"/>
          <w:szCs w:val="28"/>
        </w:rPr>
        <w:t xml:space="preserve">demanda </w:t>
      </w:r>
      <w:r w:rsidRPr="00AF629F">
        <w:rPr>
          <w:rFonts w:ascii="Times New Roman" w:hAnsi="Times New Roman" w:cs="Times New Roman"/>
          <w:iCs/>
          <w:sz w:val="28"/>
          <w:szCs w:val="28"/>
          <w:lang w:val="es-ES_tradnl"/>
        </w:rPr>
        <w:t xml:space="preserve">introduce una modificación permanente </w:t>
      </w:r>
      <w:r w:rsidRPr="00AF629F">
        <w:rPr>
          <w:rFonts w:ascii="Times New Roman" w:hAnsi="Times New Roman" w:cs="Times New Roman"/>
          <w:sz w:val="28"/>
          <w:szCs w:val="28"/>
        </w:rPr>
        <w:t>al ordenamiento jurídico</w:t>
      </w:r>
      <w:r w:rsidRPr="00AF629F">
        <w:rPr>
          <w:rFonts w:ascii="Times New Roman" w:hAnsi="Times New Roman" w:cs="Times New Roman"/>
          <w:sz w:val="28"/>
          <w:szCs w:val="28"/>
        </w:rPr>
        <w:t>. A</w:t>
      </w:r>
      <w:r w:rsidRPr="00AF629F">
        <w:rPr>
          <w:rFonts w:ascii="Times New Roman" w:hAnsi="Times New Roman" w:cs="Times New Roman"/>
          <w:sz w:val="28"/>
          <w:szCs w:val="28"/>
        </w:rPr>
        <w:t xml:space="preserve"> pesar de su </w:t>
      </w:r>
      <w:r w:rsidRPr="00AF629F">
        <w:rPr>
          <w:rFonts w:ascii="Times New Roman" w:hAnsi="Times New Roman" w:cs="Times New Roman"/>
          <w:sz w:val="28"/>
          <w:szCs w:val="28"/>
        </w:rPr>
        <w:t xml:space="preserve">alcance </w:t>
      </w:r>
      <w:r w:rsidRPr="00AF629F">
        <w:rPr>
          <w:rFonts w:ascii="Times New Roman" w:eastAsia="Cambria" w:hAnsi="Times New Roman" w:cs="Times New Roman"/>
          <w:bCs/>
          <w:sz w:val="28"/>
          <w:szCs w:val="28"/>
        </w:rPr>
        <w:t xml:space="preserve">instrumental, </w:t>
      </w:r>
      <w:r w:rsidRPr="00AF629F">
        <w:rPr>
          <w:rFonts w:ascii="Times New Roman" w:eastAsia="Cambria" w:hAnsi="Times New Roman" w:cs="Times New Roman"/>
          <w:bCs/>
          <w:sz w:val="28"/>
          <w:szCs w:val="28"/>
        </w:rPr>
        <w:t xml:space="preserve">no </w:t>
      </w:r>
      <w:r w:rsidRPr="00AF629F">
        <w:rPr>
          <w:rFonts w:ascii="Times New Roman" w:hAnsi="Times New Roman" w:cs="Times New Roman"/>
          <w:sz w:val="28"/>
          <w:szCs w:val="28"/>
        </w:rPr>
        <w:t xml:space="preserve">persigue un fin planificador </w:t>
      </w:r>
      <w:r w:rsidRPr="00AF629F">
        <w:rPr>
          <w:rFonts w:ascii="Times New Roman" w:hAnsi="Times New Roman" w:cs="Times New Roman"/>
          <w:sz w:val="28"/>
          <w:szCs w:val="28"/>
        </w:rPr>
        <w:t>ni</w:t>
      </w:r>
      <w:r w:rsidRPr="00AF629F">
        <w:rPr>
          <w:rFonts w:ascii="Times New Roman" w:hAnsi="Times New Roman" w:cs="Times New Roman"/>
          <w:sz w:val="28"/>
          <w:szCs w:val="28"/>
        </w:rPr>
        <w:t xml:space="preserve"> de impulso a la ejecución del plan cuatrienal</w:t>
      </w:r>
      <w:r w:rsidRPr="00AF629F">
        <w:rPr>
          <w:rFonts w:ascii="Times New Roman" w:hAnsi="Times New Roman" w:cs="Times New Roman"/>
          <w:sz w:val="28"/>
          <w:szCs w:val="28"/>
        </w:rPr>
        <w:t xml:space="preserve">, y no es </w:t>
      </w:r>
      <w:r w:rsidRPr="00AF629F">
        <w:rPr>
          <w:rFonts w:ascii="Times New Roman" w:hAnsi="Times New Roman" w:cs="Times New Roman"/>
          <w:sz w:val="28"/>
          <w:szCs w:val="28"/>
        </w:rPr>
        <w:t xml:space="preserve">claro que la medida que incorpora </w:t>
      </w:r>
      <w:r w:rsidRPr="00AF629F">
        <w:rPr>
          <w:rFonts w:ascii="Times New Roman" w:hAnsi="Times New Roman" w:cs="Times New Roman"/>
          <w:sz w:val="28"/>
          <w:szCs w:val="28"/>
        </w:rPr>
        <w:t>tenga</w:t>
      </w:r>
      <w:r w:rsidRPr="00AF629F">
        <w:rPr>
          <w:rFonts w:ascii="Times New Roman" w:eastAsia="Cambria" w:hAnsi="Times New Roman" w:cs="Times New Roman"/>
          <w:bCs/>
          <w:sz w:val="28"/>
          <w:szCs w:val="28"/>
        </w:rPr>
        <w:t xml:space="preserve"> relación de conexidad </w:t>
      </w:r>
      <w:r w:rsidRPr="00AF629F">
        <w:rPr>
          <w:rFonts w:ascii="Times New Roman" w:hAnsi="Times New Roman" w:cs="Times New Roman"/>
          <w:iCs/>
          <w:sz w:val="28"/>
          <w:szCs w:val="28"/>
          <w:lang w:val="es-ES_tradnl"/>
        </w:rPr>
        <w:t xml:space="preserve">estrecha, directa e inmediata con las políticas y estrategias </w:t>
      </w:r>
      <w:r w:rsidRPr="00AF629F">
        <w:rPr>
          <w:rFonts w:ascii="Times New Roman" w:hAnsi="Times New Roman" w:cs="Times New Roman"/>
          <w:sz w:val="28"/>
          <w:szCs w:val="28"/>
        </w:rPr>
        <w:t xml:space="preserve">que guiarán la acción del Gobierno </w:t>
      </w:r>
      <w:r w:rsidRPr="00AF629F">
        <w:rPr>
          <w:rFonts w:ascii="Times New Roman" w:hAnsi="Times New Roman" w:cs="Times New Roman"/>
          <w:sz w:val="28"/>
          <w:szCs w:val="28"/>
        </w:rPr>
        <w:t>en función de</w:t>
      </w:r>
      <w:r w:rsidRPr="00AF629F">
        <w:rPr>
          <w:rFonts w:ascii="Times New Roman" w:hAnsi="Times New Roman" w:cs="Times New Roman"/>
          <w:sz w:val="28"/>
          <w:szCs w:val="28"/>
        </w:rPr>
        <w:t xml:space="preserve"> alcanzar los objetivos y metas fijados en la parte general del plan, o con los prog</w:t>
      </w:r>
      <w:r w:rsidRPr="00AF629F">
        <w:rPr>
          <w:rFonts w:ascii="Times New Roman" w:hAnsi="Times New Roman" w:cs="Times New Roman"/>
          <w:sz w:val="28"/>
          <w:szCs w:val="28"/>
        </w:rPr>
        <w:t>ramas y proyectos del plan de inversiones</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Por tanto, el artículo </w:t>
      </w:r>
      <w:r w:rsidRPr="00AF629F">
        <w:rPr>
          <w:rFonts w:ascii="Times New Roman" w:hAnsi="Times New Roman" w:cs="Times New Roman"/>
          <w:sz w:val="28"/>
          <w:szCs w:val="28"/>
        </w:rPr>
        <w:t xml:space="preserve">322 de la Ley 2294 de 2023 desconoce </w:t>
      </w:r>
      <w:r w:rsidRPr="00AF629F">
        <w:rPr>
          <w:rFonts w:ascii="Times New Roman" w:hAnsi="Times New Roman" w:cs="Times New Roman"/>
          <w:sz w:val="28"/>
          <w:szCs w:val="28"/>
        </w:rPr>
        <w:t xml:space="preserve">lo dispuesto en los artículos 158 y 169 de la Constitución, </w:t>
      </w:r>
      <w:r w:rsidRPr="00AF629F">
        <w:rPr>
          <w:rFonts w:ascii="Times New Roman" w:hAnsi="Times New Roman" w:cs="Times New Roman"/>
          <w:sz w:val="28"/>
          <w:szCs w:val="28"/>
        </w:rPr>
        <w:t>de los que se ha derivado el principio constitucional de unidad de materia para el trámite de</w:t>
      </w:r>
      <w:r w:rsidRPr="00AF629F">
        <w:rPr>
          <w:rFonts w:ascii="Times New Roman" w:hAnsi="Times New Roman" w:cs="Times New Roman"/>
          <w:sz w:val="28"/>
          <w:szCs w:val="28"/>
        </w:rPr>
        <w:t xml:space="preserve"> las leyes</w:t>
      </w:r>
      <w:r w:rsidRPr="00AF629F">
        <w:rPr>
          <w:rFonts w:ascii="Times New Roman" w:hAnsi="Times New Roman" w:cs="Times New Roman"/>
          <w:sz w:val="28"/>
          <w:szCs w:val="28"/>
        </w:rPr>
        <w:t xml:space="preserve"> y, en consecuencia, se debe declarar su inexequibilidad</w:t>
      </w:r>
      <w:r w:rsidRPr="00AF629F">
        <w:rPr>
          <w:rFonts w:ascii="Times New Roman" w:hAnsi="Times New Roman" w:cs="Times New Roman"/>
          <w:sz w:val="28"/>
          <w:szCs w:val="28"/>
        </w:rPr>
        <w:t xml:space="preserve"> con efectos inmediatos</w:t>
      </w:r>
      <w:r w:rsidRPr="00AF629F">
        <w:rPr>
          <w:rFonts w:ascii="Times New Roman" w:hAnsi="Times New Roman" w:cs="Times New Roman"/>
          <w:sz w:val="28"/>
          <w:szCs w:val="28"/>
        </w:rPr>
        <w:t>.</w:t>
      </w:r>
    </w:p>
    <w:p w:rsidR="00C06A1A" w:rsidRPr="00AF629F" w:rsidRDefault="00AF629F" w:rsidP="00C06A1A">
      <w:pPr>
        <w:pStyle w:val="Prrafodelista"/>
        <w:rPr>
          <w:rFonts w:ascii="Times New Roman" w:hAnsi="Times New Roman" w:cs="Times New Roman"/>
          <w:bCs/>
          <w:sz w:val="28"/>
          <w:szCs w:val="28"/>
        </w:rPr>
      </w:pPr>
    </w:p>
    <w:p w:rsidR="00C06A1A" w:rsidRPr="00AF629F" w:rsidRDefault="00AF629F" w:rsidP="00116FED">
      <w:pPr>
        <w:pStyle w:val="Prrafodelista"/>
        <w:numPr>
          <w:ilvl w:val="0"/>
          <w:numId w:val="2"/>
        </w:numPr>
        <w:ind w:left="0" w:firstLine="0"/>
        <w:jc w:val="both"/>
        <w:rPr>
          <w:rFonts w:ascii="Times New Roman" w:hAnsi="Times New Roman" w:cs="Times New Roman"/>
          <w:bCs/>
          <w:sz w:val="28"/>
          <w:szCs w:val="28"/>
        </w:rPr>
      </w:pPr>
      <w:r w:rsidRPr="00AF629F">
        <w:rPr>
          <w:rFonts w:ascii="Times New Roman" w:hAnsi="Times New Roman" w:cs="Times New Roman"/>
          <w:bCs/>
          <w:sz w:val="28"/>
          <w:szCs w:val="28"/>
        </w:rPr>
        <w:t xml:space="preserve">En atención a esta declaratoria, </w:t>
      </w:r>
      <w:r w:rsidRPr="00AF629F">
        <w:rPr>
          <w:rFonts w:ascii="Times New Roman" w:hAnsi="Times New Roman" w:cs="Times New Roman"/>
          <w:bCs/>
          <w:sz w:val="28"/>
          <w:szCs w:val="28"/>
        </w:rPr>
        <w:t xml:space="preserve">de conformidad con lo dispuesto </w:t>
      </w:r>
      <w:r w:rsidRPr="00AF629F">
        <w:rPr>
          <w:rFonts w:ascii="Times New Roman" w:hAnsi="Times New Roman" w:cs="Times New Roman"/>
          <w:bCs/>
          <w:sz w:val="28"/>
          <w:szCs w:val="28"/>
        </w:rPr>
        <w:t>en</w:t>
      </w:r>
      <w:r w:rsidRPr="00AF629F">
        <w:rPr>
          <w:rFonts w:ascii="Times New Roman" w:hAnsi="Times New Roman" w:cs="Times New Roman"/>
          <w:bCs/>
          <w:sz w:val="28"/>
          <w:szCs w:val="28"/>
        </w:rPr>
        <w:t xml:space="preserve"> los artículos 44.2 y 45 de la Ley 80 de 1993, en caso de que el Ministerio de Hacienda y Crédito Público hubiese hecho uso de la competencia que le otorgó la disposición que se declara inexequible, los contratos estatales que se hubiesen celebrado con las</w:t>
      </w:r>
      <w:r w:rsidRPr="00AF629F">
        <w:rPr>
          <w:rFonts w:ascii="Times New Roman" w:hAnsi="Times New Roman" w:cs="Times New Roman"/>
          <w:bCs/>
          <w:sz w:val="28"/>
          <w:szCs w:val="28"/>
        </w:rPr>
        <w:t xml:space="preserve"> sociedades fiduciarias de carácter público se deberán terminar de manera unilateral y proceder a su liquidación. Lo anterior en la medida en que</w:t>
      </w:r>
      <w:r w:rsidRPr="00AF629F">
        <w:rPr>
          <w:rFonts w:ascii="Times New Roman" w:hAnsi="Times New Roman" w:cs="Times New Roman"/>
          <w:bCs/>
          <w:sz w:val="28"/>
          <w:szCs w:val="28"/>
        </w:rPr>
        <w:t xml:space="preserve"> </w:t>
      </w:r>
      <w:r w:rsidRPr="00AF629F">
        <w:rPr>
          <w:rFonts w:ascii="Times New Roman" w:hAnsi="Times New Roman" w:cs="Times New Roman"/>
          <w:bCs/>
          <w:sz w:val="28"/>
          <w:szCs w:val="28"/>
        </w:rPr>
        <w:t xml:space="preserve">desaparece </w:t>
      </w:r>
      <w:r w:rsidRPr="00AF629F">
        <w:rPr>
          <w:rFonts w:ascii="Times New Roman" w:hAnsi="Times New Roman" w:cs="Times New Roman"/>
          <w:bCs/>
          <w:sz w:val="28"/>
          <w:szCs w:val="28"/>
        </w:rPr>
        <w:t xml:space="preserve">el fundamento normativo </w:t>
      </w:r>
      <w:r w:rsidRPr="00AF629F">
        <w:rPr>
          <w:rFonts w:ascii="Times New Roman" w:hAnsi="Times New Roman" w:cs="Times New Roman"/>
          <w:bCs/>
          <w:sz w:val="28"/>
          <w:szCs w:val="28"/>
        </w:rPr>
        <w:t>de</w:t>
      </w:r>
      <w:r w:rsidRPr="00AF629F">
        <w:rPr>
          <w:rFonts w:ascii="Times New Roman" w:hAnsi="Times New Roman" w:cs="Times New Roman"/>
          <w:bCs/>
          <w:sz w:val="28"/>
          <w:szCs w:val="28"/>
        </w:rPr>
        <w:t xml:space="preserve"> su </w:t>
      </w:r>
      <w:r w:rsidRPr="00AF629F">
        <w:rPr>
          <w:rFonts w:ascii="Times New Roman" w:hAnsi="Times New Roman" w:cs="Times New Roman"/>
          <w:bCs/>
          <w:sz w:val="28"/>
          <w:szCs w:val="28"/>
        </w:rPr>
        <w:t xml:space="preserve">eventual </w:t>
      </w:r>
      <w:r w:rsidRPr="00AF629F">
        <w:rPr>
          <w:rFonts w:ascii="Times New Roman" w:hAnsi="Times New Roman" w:cs="Times New Roman"/>
          <w:bCs/>
          <w:sz w:val="28"/>
          <w:szCs w:val="28"/>
        </w:rPr>
        <w:t>celebración</w:t>
      </w:r>
      <w:r w:rsidRPr="00AF629F">
        <w:rPr>
          <w:rFonts w:ascii="Times New Roman" w:hAnsi="Times New Roman" w:cs="Times New Roman"/>
          <w:bCs/>
          <w:sz w:val="28"/>
          <w:szCs w:val="28"/>
        </w:rPr>
        <w:t xml:space="preserve">. En </w:t>
      </w:r>
      <w:r w:rsidRPr="00AF629F">
        <w:rPr>
          <w:rFonts w:ascii="Times New Roman" w:hAnsi="Times New Roman" w:cs="Times New Roman"/>
          <w:bCs/>
          <w:sz w:val="28"/>
          <w:szCs w:val="28"/>
        </w:rPr>
        <w:t xml:space="preserve">tal caso, la citada autoridad </w:t>
      </w:r>
      <w:r w:rsidRPr="00AF629F">
        <w:rPr>
          <w:rFonts w:ascii="Times New Roman" w:hAnsi="Times New Roman" w:cs="Times New Roman"/>
          <w:bCs/>
          <w:sz w:val="28"/>
          <w:szCs w:val="28"/>
        </w:rPr>
        <w:t>deberá adoptar</w:t>
      </w:r>
      <w:r w:rsidRPr="00AF629F">
        <w:rPr>
          <w:rFonts w:ascii="Times New Roman" w:hAnsi="Times New Roman" w:cs="Times New Roman"/>
          <w:bCs/>
          <w:sz w:val="28"/>
          <w:szCs w:val="28"/>
        </w:rPr>
        <w:t xml:space="preserve"> las medidas necesarias y transitorias para garantizar la adecuada administración de los recursos </w:t>
      </w:r>
      <w:r w:rsidRPr="00AF629F">
        <w:rPr>
          <w:rFonts w:ascii="Times New Roman" w:hAnsi="Times New Roman" w:cs="Times New Roman"/>
          <w:bCs/>
          <w:sz w:val="28"/>
          <w:szCs w:val="28"/>
        </w:rPr>
        <w:t xml:space="preserve">del FONPET </w:t>
      </w:r>
      <w:r w:rsidRPr="00AF629F">
        <w:rPr>
          <w:rFonts w:ascii="Times New Roman" w:hAnsi="Times New Roman" w:cs="Times New Roman"/>
          <w:bCs/>
          <w:sz w:val="28"/>
          <w:szCs w:val="28"/>
        </w:rPr>
        <w:t xml:space="preserve">por parte de las </w:t>
      </w:r>
      <w:r w:rsidRPr="00AF629F">
        <w:rPr>
          <w:rFonts w:ascii="Times New Roman" w:hAnsi="Times New Roman" w:cs="Times New Roman"/>
          <w:bCs/>
          <w:sz w:val="28"/>
          <w:szCs w:val="28"/>
        </w:rPr>
        <w:t>sociedades fiduciarias de carácter público, hasta tanto se cumpla con el procedimiento de que tratan los artículos 3 y 7 de la Ley</w:t>
      </w:r>
      <w:r w:rsidRPr="00AF629F">
        <w:rPr>
          <w:rFonts w:ascii="Times New Roman" w:hAnsi="Times New Roman" w:cs="Times New Roman"/>
          <w:bCs/>
          <w:sz w:val="28"/>
          <w:szCs w:val="28"/>
        </w:rPr>
        <w:t xml:space="preserve"> 5</w:t>
      </w:r>
      <w:r w:rsidRPr="00AF629F">
        <w:rPr>
          <w:rFonts w:ascii="Times New Roman" w:hAnsi="Times New Roman" w:cs="Times New Roman"/>
          <w:bCs/>
          <w:sz w:val="28"/>
          <w:szCs w:val="28"/>
        </w:rPr>
        <w:t>4</w:t>
      </w:r>
      <w:r w:rsidRPr="00AF629F">
        <w:rPr>
          <w:rFonts w:ascii="Times New Roman" w:hAnsi="Times New Roman" w:cs="Times New Roman"/>
          <w:bCs/>
          <w:sz w:val="28"/>
          <w:szCs w:val="28"/>
        </w:rPr>
        <w:t xml:space="preserve">9 de 1999 para seleccionar </w:t>
      </w:r>
      <w:r w:rsidRPr="00AF629F">
        <w:rPr>
          <w:rFonts w:ascii="Times New Roman" w:hAnsi="Times New Roman" w:cs="Times New Roman"/>
          <w:bCs/>
          <w:sz w:val="28"/>
          <w:szCs w:val="28"/>
        </w:rPr>
        <w:t xml:space="preserve">mediante licitación pública </w:t>
      </w:r>
      <w:r w:rsidRPr="00AF629F">
        <w:rPr>
          <w:rFonts w:ascii="Times New Roman" w:hAnsi="Times New Roman" w:cs="Times New Roman"/>
          <w:bCs/>
          <w:sz w:val="28"/>
          <w:szCs w:val="28"/>
        </w:rPr>
        <w:t xml:space="preserve">las entidades que </w:t>
      </w:r>
      <w:r w:rsidRPr="00AF629F">
        <w:rPr>
          <w:rFonts w:ascii="Times New Roman" w:hAnsi="Times New Roman" w:cs="Times New Roman"/>
          <w:bCs/>
          <w:sz w:val="28"/>
          <w:szCs w:val="28"/>
        </w:rPr>
        <w:t>deben administrar estos recursos de las entidades territoriales</w:t>
      </w:r>
      <w:r w:rsidRPr="00AF629F">
        <w:rPr>
          <w:rFonts w:ascii="Times New Roman" w:hAnsi="Times New Roman" w:cs="Times New Roman"/>
          <w:bCs/>
          <w:sz w:val="28"/>
          <w:szCs w:val="28"/>
        </w:rPr>
        <w:t>.</w:t>
      </w:r>
    </w:p>
    <w:p w:rsidR="00DE45DB" w:rsidRPr="00AF629F" w:rsidRDefault="00AF629F" w:rsidP="004F6108">
      <w:pPr>
        <w:pStyle w:val="Prrafodelista"/>
        <w:ind w:left="0"/>
        <w:jc w:val="both"/>
        <w:rPr>
          <w:rFonts w:ascii="Times New Roman" w:hAnsi="Times New Roman" w:cs="Times New Roman"/>
          <w:sz w:val="28"/>
          <w:szCs w:val="28"/>
        </w:rPr>
      </w:pPr>
    </w:p>
    <w:p w:rsidR="00FC19BE" w:rsidRPr="00AF629F" w:rsidRDefault="00AF629F" w:rsidP="00FC19BE">
      <w:pPr>
        <w:pStyle w:val="Estilo1"/>
        <w:numPr>
          <w:ilvl w:val="0"/>
          <w:numId w:val="4"/>
        </w:numPr>
        <w:ind w:left="0" w:firstLine="0"/>
        <w:outlineLvl w:val="0"/>
        <w:rPr>
          <w:rStyle w:val="Ttulo1Car"/>
          <w:rFonts w:ascii="Times New Roman" w:hAnsi="Times New Roman" w:cs="Times New Roman"/>
          <w:bCs/>
          <w:color w:val="auto"/>
          <w:sz w:val="28"/>
          <w:szCs w:val="28"/>
        </w:rPr>
      </w:pPr>
      <w:r w:rsidRPr="00AF629F">
        <w:rPr>
          <w:rStyle w:val="Ttulo1Car"/>
          <w:rFonts w:ascii="Times New Roman" w:hAnsi="Times New Roman" w:cs="Times New Roman"/>
          <w:bCs/>
          <w:color w:val="auto"/>
          <w:sz w:val="28"/>
          <w:szCs w:val="28"/>
        </w:rPr>
        <w:t>Síntesis de la decisión</w:t>
      </w:r>
    </w:p>
    <w:p w:rsidR="00FC19BE" w:rsidRPr="00AF629F" w:rsidRDefault="00AF629F" w:rsidP="00FC19BE">
      <w:pPr>
        <w:shd w:val="clear" w:color="auto" w:fill="FFFFFF"/>
        <w:ind w:right="51"/>
        <w:jc w:val="both"/>
        <w:rPr>
          <w:rFonts w:ascii="Times New Roman" w:hAnsi="Times New Roman" w:cs="Times New Roman"/>
          <w:sz w:val="28"/>
          <w:szCs w:val="28"/>
        </w:rPr>
      </w:pPr>
    </w:p>
    <w:p w:rsidR="00434A64" w:rsidRPr="00AF629F" w:rsidRDefault="00AF629F" w:rsidP="008917A5">
      <w:pPr>
        <w:pStyle w:val="Prrafodelista"/>
        <w:numPr>
          <w:ilvl w:val="0"/>
          <w:numId w:val="2"/>
        </w:numPr>
        <w:shd w:val="clear" w:color="auto" w:fill="FFFFFF"/>
        <w:ind w:left="0" w:right="51" w:firstLine="0"/>
        <w:jc w:val="both"/>
        <w:rPr>
          <w:rFonts w:ascii="Times New Roman" w:hAnsi="Times New Roman" w:cs="Times New Roman"/>
          <w:bCs/>
          <w:sz w:val="28"/>
          <w:szCs w:val="28"/>
        </w:rPr>
      </w:pPr>
      <w:r w:rsidRPr="00AF629F">
        <w:rPr>
          <w:rFonts w:ascii="Times New Roman" w:hAnsi="Times New Roman" w:cs="Times New Roman"/>
          <w:bCs/>
          <w:sz w:val="28"/>
          <w:szCs w:val="28"/>
        </w:rPr>
        <w:t xml:space="preserve">La Corte declaró inexequible con efectos inmediatos el artículo </w:t>
      </w:r>
      <w:r w:rsidRPr="00AF629F">
        <w:rPr>
          <w:rFonts w:ascii="Times New Roman" w:hAnsi="Times New Roman" w:cs="Times New Roman"/>
          <w:sz w:val="28"/>
          <w:szCs w:val="28"/>
        </w:rPr>
        <w:t xml:space="preserve">322 de la Ley 2294 de </w:t>
      </w:r>
      <w:r w:rsidRPr="00AF629F">
        <w:rPr>
          <w:rFonts w:ascii="Times New Roman" w:hAnsi="Times New Roman" w:cs="Times New Roman"/>
          <w:sz w:val="28"/>
          <w:szCs w:val="28"/>
        </w:rPr>
        <w:t>2023 aprobatoria del Plan Nacional de Desarrollo 2022-2026, por desconocer los artículos 158 y 169 de la Constitución, de los que se ha derivado el principio constitucional de unidad de materia en el trámite de las leyes.</w:t>
      </w:r>
    </w:p>
    <w:p w:rsidR="00434A64" w:rsidRPr="00AF629F" w:rsidRDefault="00AF629F" w:rsidP="00434A64">
      <w:pPr>
        <w:pStyle w:val="Prrafodelista"/>
        <w:shd w:val="clear" w:color="auto" w:fill="FFFFFF"/>
        <w:ind w:left="0" w:right="51"/>
        <w:jc w:val="both"/>
        <w:rPr>
          <w:rFonts w:ascii="Times New Roman" w:hAnsi="Times New Roman" w:cs="Times New Roman"/>
          <w:sz w:val="28"/>
          <w:szCs w:val="28"/>
        </w:rPr>
      </w:pPr>
    </w:p>
    <w:p w:rsidR="00FE3C11" w:rsidRPr="00AF629F" w:rsidRDefault="00AF629F" w:rsidP="003C2059">
      <w:pPr>
        <w:pStyle w:val="Prrafodelista"/>
        <w:numPr>
          <w:ilvl w:val="0"/>
          <w:numId w:val="2"/>
        </w:numPr>
        <w:shd w:val="clear" w:color="auto" w:fill="FFFFFF"/>
        <w:ind w:left="0" w:right="51"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La demandante alegó que </w:t>
      </w:r>
      <w:r w:rsidRPr="00AF629F">
        <w:rPr>
          <w:rFonts w:ascii="Times New Roman" w:hAnsi="Times New Roman" w:cs="Times New Roman"/>
          <w:sz w:val="28"/>
          <w:szCs w:val="28"/>
        </w:rPr>
        <w:t>dicha dis</w:t>
      </w:r>
      <w:r w:rsidRPr="00AF629F">
        <w:rPr>
          <w:rFonts w:ascii="Times New Roman" w:hAnsi="Times New Roman" w:cs="Times New Roman"/>
          <w:sz w:val="28"/>
          <w:szCs w:val="28"/>
        </w:rPr>
        <w:t xml:space="preserve">posición </w:t>
      </w:r>
      <w:r w:rsidRPr="00AF629F">
        <w:rPr>
          <w:rFonts w:ascii="Times New Roman" w:hAnsi="Times New Roman" w:cs="Times New Roman"/>
          <w:sz w:val="28"/>
          <w:szCs w:val="28"/>
        </w:rPr>
        <w:t xml:space="preserve">desconocía el </w:t>
      </w:r>
      <w:r w:rsidRPr="00AF629F">
        <w:rPr>
          <w:rFonts w:ascii="Times New Roman" w:hAnsi="Times New Roman" w:cs="Times New Roman"/>
          <w:sz w:val="28"/>
          <w:szCs w:val="28"/>
        </w:rPr>
        <w:t xml:space="preserve">precitado </w:t>
      </w:r>
      <w:r w:rsidRPr="00AF629F">
        <w:rPr>
          <w:rFonts w:ascii="Times New Roman" w:hAnsi="Times New Roman" w:cs="Times New Roman"/>
          <w:sz w:val="28"/>
          <w:szCs w:val="28"/>
        </w:rPr>
        <w:t>principio constitucional de unidad de materia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al introducir una modificación permanente a la Ley 549 de 1999, en </w:t>
      </w:r>
      <w:r w:rsidRPr="00AF629F">
        <w:rPr>
          <w:rFonts w:ascii="Times New Roman" w:hAnsi="Times New Roman" w:cs="Times New Roman"/>
          <w:sz w:val="28"/>
          <w:szCs w:val="28"/>
        </w:rPr>
        <w:t xml:space="preserve">el sentido de </w:t>
      </w:r>
      <w:r w:rsidRPr="00AF629F">
        <w:rPr>
          <w:rFonts w:ascii="Times New Roman" w:hAnsi="Times New Roman" w:cs="Times New Roman"/>
          <w:sz w:val="28"/>
          <w:szCs w:val="28"/>
        </w:rPr>
        <w:t>autoriza</w:t>
      </w:r>
      <w:r w:rsidRPr="00AF629F">
        <w:rPr>
          <w:rFonts w:ascii="Times New Roman" w:hAnsi="Times New Roman" w:cs="Times New Roman"/>
          <w:sz w:val="28"/>
          <w:szCs w:val="28"/>
        </w:rPr>
        <w:t>r</w:t>
      </w:r>
      <w:r w:rsidRPr="00AF629F">
        <w:rPr>
          <w:rFonts w:ascii="Times New Roman" w:hAnsi="Times New Roman" w:cs="Times New Roman"/>
          <w:sz w:val="28"/>
          <w:szCs w:val="28"/>
        </w:rPr>
        <w:t xml:space="preserve"> “al Ministerio de Hacienda para contratar en forma directa la administración de los r</w:t>
      </w:r>
      <w:r w:rsidRPr="00AF629F">
        <w:rPr>
          <w:rFonts w:ascii="Times New Roman" w:hAnsi="Times New Roman" w:cs="Times New Roman"/>
          <w:sz w:val="28"/>
          <w:szCs w:val="28"/>
        </w:rPr>
        <w:t>ecursos del Fonpet con sociedades fiduciarias de carácter público”. Para la demandante, dicha modificación no guarda</w:t>
      </w:r>
      <w:r w:rsidRPr="00AF629F">
        <w:rPr>
          <w:rFonts w:ascii="Times New Roman" w:hAnsi="Times New Roman" w:cs="Times New Roman"/>
          <w:sz w:val="28"/>
          <w:szCs w:val="28"/>
        </w:rPr>
        <w:t>ba</w:t>
      </w:r>
      <w:r w:rsidRPr="00AF629F">
        <w:rPr>
          <w:rFonts w:ascii="Times New Roman" w:hAnsi="Times New Roman" w:cs="Times New Roman"/>
          <w:sz w:val="28"/>
          <w:szCs w:val="28"/>
        </w:rPr>
        <w:t xml:space="preserve"> conexidad directa con la parte general</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ni correspond</w:t>
      </w:r>
      <w:r w:rsidRPr="00AF629F">
        <w:rPr>
          <w:rFonts w:ascii="Times New Roman" w:hAnsi="Times New Roman" w:cs="Times New Roman"/>
          <w:sz w:val="28"/>
          <w:szCs w:val="28"/>
        </w:rPr>
        <w:t>e</w:t>
      </w:r>
      <w:r w:rsidRPr="00AF629F">
        <w:rPr>
          <w:rFonts w:ascii="Times New Roman" w:hAnsi="Times New Roman" w:cs="Times New Roman"/>
          <w:sz w:val="28"/>
          <w:szCs w:val="28"/>
        </w:rPr>
        <w:t xml:space="preserve"> al contenido propio de un plan nacional de desarrollo en los términos del artículo</w:t>
      </w:r>
      <w:r w:rsidRPr="00AF629F">
        <w:rPr>
          <w:rFonts w:ascii="Times New Roman" w:hAnsi="Times New Roman" w:cs="Times New Roman"/>
          <w:sz w:val="28"/>
          <w:szCs w:val="28"/>
        </w:rPr>
        <w:t xml:space="preserve"> 339 de la Constitución.</w:t>
      </w:r>
    </w:p>
    <w:p w:rsidR="00434A64" w:rsidRPr="00AF629F" w:rsidRDefault="00AF629F" w:rsidP="00FE3C11">
      <w:pPr>
        <w:pStyle w:val="Prrafodelista"/>
        <w:shd w:val="clear" w:color="auto" w:fill="FFFFFF"/>
        <w:ind w:left="0" w:right="51"/>
        <w:jc w:val="both"/>
        <w:rPr>
          <w:rFonts w:ascii="Times New Roman" w:hAnsi="Times New Roman" w:cs="Times New Roman"/>
          <w:sz w:val="28"/>
          <w:szCs w:val="28"/>
        </w:rPr>
      </w:pPr>
    </w:p>
    <w:p w:rsidR="00FE3C11" w:rsidRPr="00AF629F" w:rsidRDefault="00AF629F" w:rsidP="00692D86">
      <w:pPr>
        <w:pStyle w:val="Prrafodelista"/>
        <w:numPr>
          <w:ilvl w:val="0"/>
          <w:numId w:val="2"/>
        </w:numPr>
        <w:shd w:val="clear" w:color="auto" w:fill="FFFFFF"/>
        <w:ind w:left="0" w:right="51" w:firstLine="0"/>
        <w:jc w:val="both"/>
        <w:rPr>
          <w:rFonts w:ascii="Times New Roman" w:hAnsi="Times New Roman" w:cs="Times New Roman"/>
          <w:sz w:val="28"/>
          <w:szCs w:val="28"/>
        </w:rPr>
      </w:pPr>
      <w:r w:rsidRPr="00AF629F">
        <w:rPr>
          <w:rFonts w:ascii="Times New Roman" w:hAnsi="Times New Roman" w:cs="Times New Roman"/>
          <w:sz w:val="28"/>
          <w:szCs w:val="28"/>
        </w:rPr>
        <w:t>Para resolver el problema jurídico planteado en la demanda, la Corte examinó el alcance de la medida en relación con la regulación de la administración de los recursos del fondo de pensiones de las entidades territoriales contenid</w:t>
      </w:r>
      <w:r w:rsidRPr="00AF629F">
        <w:rPr>
          <w:rFonts w:ascii="Times New Roman" w:hAnsi="Times New Roman" w:cs="Times New Roman"/>
          <w:sz w:val="28"/>
          <w:szCs w:val="28"/>
        </w:rPr>
        <w:t>a en la Ley 549 de 1999,</w:t>
      </w:r>
      <w:r w:rsidRPr="00AF629F">
        <w:rPr>
          <w:rFonts w:ascii="Times New Roman" w:hAnsi="Times New Roman" w:cs="Times New Roman"/>
          <w:sz w:val="28"/>
          <w:szCs w:val="28"/>
        </w:rPr>
        <w:t xml:space="preserve"> y encontró que, a pesar de su alcance </w:t>
      </w:r>
      <w:r w:rsidRPr="00AF629F">
        <w:rPr>
          <w:rFonts w:ascii="Times New Roman" w:eastAsia="Cambria" w:hAnsi="Times New Roman" w:cs="Times New Roman"/>
          <w:bCs/>
          <w:sz w:val="28"/>
          <w:szCs w:val="28"/>
        </w:rPr>
        <w:t>instrumental,</w:t>
      </w:r>
      <w:r w:rsidRPr="00AF629F">
        <w:rPr>
          <w:rFonts w:ascii="Times New Roman" w:hAnsi="Times New Roman" w:cs="Times New Roman"/>
          <w:sz w:val="28"/>
          <w:szCs w:val="28"/>
        </w:rPr>
        <w:t xml:space="preserve"> efectivamente </w:t>
      </w:r>
      <w:r w:rsidRPr="00AF629F">
        <w:rPr>
          <w:rFonts w:ascii="Times New Roman" w:hAnsi="Times New Roman" w:cs="Times New Roman"/>
          <w:iCs/>
          <w:sz w:val="28"/>
          <w:szCs w:val="28"/>
          <w:lang w:val="es-ES_tradnl"/>
        </w:rPr>
        <w:t xml:space="preserve">introduce una modificación permanente </w:t>
      </w:r>
      <w:r w:rsidRPr="00AF629F">
        <w:rPr>
          <w:rFonts w:ascii="Times New Roman" w:hAnsi="Times New Roman" w:cs="Times New Roman"/>
          <w:sz w:val="28"/>
          <w:szCs w:val="28"/>
        </w:rPr>
        <w:t xml:space="preserve">al ordenamiento jurídico, </w:t>
      </w:r>
      <w:r w:rsidRPr="00AF629F">
        <w:rPr>
          <w:rFonts w:ascii="Times New Roman" w:eastAsia="Cambria" w:hAnsi="Times New Roman" w:cs="Times New Roman"/>
          <w:bCs/>
          <w:sz w:val="28"/>
          <w:szCs w:val="28"/>
        </w:rPr>
        <w:t xml:space="preserve">no </w:t>
      </w:r>
      <w:r w:rsidRPr="00AF629F">
        <w:rPr>
          <w:rFonts w:ascii="Times New Roman" w:hAnsi="Times New Roman" w:cs="Times New Roman"/>
          <w:sz w:val="28"/>
          <w:szCs w:val="28"/>
        </w:rPr>
        <w:t>persigue un fin planificador ni de impulso a la ejecución del plan cuatrienal, ni tiene</w:t>
      </w:r>
      <w:r w:rsidRPr="00AF629F">
        <w:rPr>
          <w:rFonts w:ascii="Times New Roman" w:eastAsia="Cambria" w:hAnsi="Times New Roman" w:cs="Times New Roman"/>
          <w:bCs/>
          <w:sz w:val="28"/>
          <w:szCs w:val="28"/>
        </w:rPr>
        <w:t xml:space="preserve"> relación de conexidad </w:t>
      </w:r>
      <w:r w:rsidRPr="00AF629F">
        <w:rPr>
          <w:rFonts w:ascii="Times New Roman" w:hAnsi="Times New Roman" w:cs="Times New Roman"/>
          <w:iCs/>
          <w:sz w:val="28"/>
          <w:szCs w:val="28"/>
          <w:lang w:val="es-ES_tradnl"/>
        </w:rPr>
        <w:t xml:space="preserve">estrecha, directa e inmediata con las políticas y estrategias </w:t>
      </w:r>
      <w:r w:rsidRPr="00AF629F">
        <w:rPr>
          <w:rFonts w:ascii="Times New Roman" w:hAnsi="Times New Roman" w:cs="Times New Roman"/>
          <w:sz w:val="28"/>
          <w:szCs w:val="28"/>
        </w:rPr>
        <w:t>que guiarán la acción del Gobierno en función de alcanzar los objetivos y metas fijados en la parte general del plan, o con los programas y proyectos del plan de inversion</w:t>
      </w:r>
      <w:r w:rsidRPr="00AF629F">
        <w:rPr>
          <w:rFonts w:ascii="Times New Roman" w:hAnsi="Times New Roman" w:cs="Times New Roman"/>
          <w:sz w:val="28"/>
          <w:szCs w:val="28"/>
        </w:rPr>
        <w:t>es</w:t>
      </w:r>
      <w:r w:rsidRPr="00AF629F">
        <w:rPr>
          <w:rFonts w:ascii="Times New Roman" w:hAnsi="Times New Roman" w:cs="Times New Roman"/>
          <w:bCs/>
          <w:sz w:val="28"/>
          <w:szCs w:val="28"/>
        </w:rPr>
        <w:t>.</w:t>
      </w:r>
    </w:p>
    <w:p w:rsidR="009D628B" w:rsidRPr="00AF629F" w:rsidRDefault="00AF629F" w:rsidP="00692D86">
      <w:pPr>
        <w:rPr>
          <w:rFonts w:ascii="Times New Roman" w:hAnsi="Times New Roman" w:cs="Times New Roman"/>
          <w:sz w:val="28"/>
          <w:szCs w:val="28"/>
        </w:rPr>
      </w:pPr>
    </w:p>
    <w:p w:rsidR="00692D86" w:rsidRPr="00AF629F" w:rsidRDefault="00AF629F" w:rsidP="00692D86">
      <w:pPr>
        <w:pStyle w:val="Prrafodelista"/>
        <w:numPr>
          <w:ilvl w:val="0"/>
          <w:numId w:val="2"/>
        </w:numPr>
        <w:shd w:val="clear" w:color="auto" w:fill="FFFFFF"/>
        <w:ind w:left="0" w:right="51" w:firstLine="0"/>
        <w:jc w:val="both"/>
        <w:rPr>
          <w:rFonts w:ascii="Times New Roman" w:hAnsi="Times New Roman" w:cs="Times New Roman"/>
          <w:sz w:val="28"/>
          <w:szCs w:val="28"/>
        </w:rPr>
      </w:pPr>
      <w:r w:rsidRPr="00AF629F">
        <w:rPr>
          <w:rFonts w:ascii="Times New Roman" w:hAnsi="Times New Roman" w:cs="Times New Roman"/>
          <w:sz w:val="28"/>
          <w:szCs w:val="28"/>
        </w:rPr>
        <w:t>La Corte r</w:t>
      </w:r>
      <w:r w:rsidRPr="00AF629F">
        <w:rPr>
          <w:rFonts w:ascii="Times New Roman" w:hAnsi="Times New Roman" w:cs="Times New Roman"/>
          <w:sz w:val="28"/>
          <w:szCs w:val="28"/>
        </w:rPr>
        <w:t>ecordó, así mismo, en los términos de la Sentencia C-415 de 2020, que</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si</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una política enfrenta una falencia estructural, cuya naturaleza excede la órbita de acción del gobierno, la medida legislativa </w:t>
      </w:r>
      <w:r w:rsidRPr="00AF629F">
        <w:rPr>
          <w:rFonts w:ascii="Times New Roman" w:hAnsi="Times New Roman" w:cs="Times New Roman"/>
          <w:sz w:val="28"/>
          <w:szCs w:val="28"/>
        </w:rPr>
        <w:t xml:space="preserve">requerida </w:t>
      </w:r>
      <w:r w:rsidRPr="00AF629F">
        <w:rPr>
          <w:rFonts w:ascii="Times New Roman" w:hAnsi="Times New Roman" w:cs="Times New Roman"/>
          <w:sz w:val="28"/>
          <w:szCs w:val="28"/>
        </w:rPr>
        <w:t>para solucionar dicha falencia</w:t>
      </w:r>
      <w:r w:rsidRPr="00AF629F">
        <w:rPr>
          <w:rFonts w:ascii="Times New Roman" w:hAnsi="Times New Roman" w:cs="Times New Roman"/>
          <w:sz w:val="28"/>
          <w:szCs w:val="28"/>
        </w:rPr>
        <w:t xml:space="preserve"> debe ser, por su naturaleza, de carácter permanente.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Reiteró</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sobre el particular</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que “el principio de unidad de materia en la ley del plan proscribe de manera general la aprobación de reglas que modifiquen normas de carácter permanente o impliquen refor</w:t>
      </w:r>
      <w:r w:rsidRPr="00AF629F">
        <w:rPr>
          <w:rFonts w:ascii="Times New Roman" w:hAnsi="Times New Roman" w:cs="Times New Roman"/>
          <w:sz w:val="28"/>
          <w:szCs w:val="28"/>
        </w:rPr>
        <w:t>mas estructurales, aunque no impide la modificación de leyes ordinarias de carácter permanente, siempre que la modificación tenga un fin planificador y de impulso a la ejecución del plan cuatrienal”, pero su vigencia, en</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principio, corresponderá a</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la del p</w:t>
      </w:r>
      <w:r w:rsidRPr="00AF629F">
        <w:rPr>
          <w:rFonts w:ascii="Times New Roman" w:hAnsi="Times New Roman" w:cs="Times New Roman"/>
          <w:sz w:val="28"/>
          <w:szCs w:val="28"/>
        </w:rPr>
        <w:t>lan cuyo cumplimiento pretende impulsar</w:t>
      </w:r>
      <w:r w:rsidRPr="00AF629F">
        <w:rPr>
          <w:rStyle w:val="Refdenotaalpie"/>
          <w:rFonts w:ascii="Times New Roman" w:hAnsi="Times New Roman" w:cs="Times New Roman"/>
          <w:sz w:val="28"/>
          <w:szCs w:val="28"/>
        </w:rPr>
        <w:footnoteReference w:id="64"/>
      </w:r>
      <w:r w:rsidRPr="00AF629F">
        <w:rPr>
          <w:rFonts w:ascii="Times New Roman" w:hAnsi="Times New Roman" w:cs="Times New Roman"/>
          <w:sz w:val="28"/>
          <w:szCs w:val="28"/>
        </w:rPr>
        <w:t xml:space="preserve">, pues la pretensión de instaurar políticas de largo aliento, más allá del periodo del gobierno, exige su propuesta e impulso ante el Congreso de la República dentro </w:t>
      </w:r>
      <w:r w:rsidRPr="00AF629F">
        <w:rPr>
          <w:rFonts w:ascii="Times New Roman" w:hAnsi="Times New Roman" w:cs="Times New Roman"/>
          <w:sz w:val="28"/>
          <w:szCs w:val="28"/>
        </w:rPr>
        <w:t>de</w:t>
      </w:r>
      <w:r w:rsidRPr="00AF629F">
        <w:rPr>
          <w:rFonts w:ascii="Times New Roman" w:hAnsi="Times New Roman" w:cs="Times New Roman"/>
          <w:sz w:val="28"/>
          <w:szCs w:val="28"/>
        </w:rPr>
        <w:t xml:space="preserve">l amplio catálogo de sus competencias y en </w:t>
      </w:r>
      <w:r w:rsidRPr="00AF629F">
        <w:rPr>
          <w:rFonts w:ascii="Times New Roman" w:hAnsi="Times New Roman" w:cs="Times New Roman"/>
          <w:sz w:val="28"/>
          <w:szCs w:val="28"/>
        </w:rPr>
        <w:t>garantía del principio democrático.</w:t>
      </w:r>
    </w:p>
    <w:p w:rsidR="00D80A62" w:rsidRPr="00AF629F" w:rsidRDefault="00AF629F" w:rsidP="00D80A62">
      <w:pPr>
        <w:pStyle w:val="Prrafodelista"/>
        <w:shd w:val="clear" w:color="auto" w:fill="FFFFFF"/>
        <w:ind w:left="0" w:right="51"/>
        <w:jc w:val="both"/>
        <w:rPr>
          <w:rFonts w:ascii="Times New Roman" w:hAnsi="Times New Roman" w:cs="Times New Roman"/>
          <w:sz w:val="28"/>
          <w:szCs w:val="28"/>
        </w:rPr>
      </w:pPr>
    </w:p>
    <w:p w:rsidR="007053F3" w:rsidRPr="00AF629F" w:rsidRDefault="00AF629F" w:rsidP="00BD5FD6">
      <w:pPr>
        <w:pStyle w:val="Prrafodelista"/>
        <w:numPr>
          <w:ilvl w:val="0"/>
          <w:numId w:val="2"/>
        </w:numPr>
        <w:shd w:val="clear" w:color="auto" w:fill="FFFFFF"/>
        <w:ind w:left="0" w:right="51" w:firstLine="0"/>
        <w:jc w:val="both"/>
        <w:rPr>
          <w:rFonts w:ascii="Times New Roman" w:hAnsi="Times New Roman" w:cs="Times New Roman"/>
          <w:sz w:val="28"/>
          <w:szCs w:val="28"/>
        </w:rPr>
      </w:pPr>
      <w:r w:rsidRPr="00AF629F">
        <w:rPr>
          <w:rFonts w:ascii="Times New Roman" w:hAnsi="Times New Roman" w:cs="Times New Roman"/>
          <w:sz w:val="28"/>
          <w:szCs w:val="28"/>
        </w:rPr>
        <w:t>La disposición demandada</w:t>
      </w:r>
      <w:r w:rsidRPr="00AF629F">
        <w:rPr>
          <w:rFonts w:ascii="Times New Roman" w:hAnsi="Times New Roman" w:cs="Times New Roman"/>
          <w:sz w:val="28"/>
          <w:szCs w:val="28"/>
        </w:rPr>
        <w:t xml:space="preserve"> modificó de manera parcial </w:t>
      </w:r>
      <w:r w:rsidRPr="00AF629F">
        <w:rPr>
          <w:rFonts w:ascii="Times New Roman" w:hAnsi="Times New Roman" w:cs="Times New Roman"/>
          <w:sz w:val="28"/>
          <w:szCs w:val="28"/>
        </w:rPr>
        <w:t>el</w:t>
      </w:r>
      <w:r w:rsidRPr="00AF629F">
        <w:rPr>
          <w:rFonts w:ascii="Times New Roman" w:hAnsi="Times New Roman" w:cs="Times New Roman"/>
          <w:sz w:val="28"/>
          <w:szCs w:val="28"/>
        </w:rPr>
        <w:t xml:space="preserve"> artículo 7.4</w:t>
      </w:r>
      <w:r w:rsidRPr="00AF629F">
        <w:rPr>
          <w:rFonts w:ascii="Times New Roman" w:hAnsi="Times New Roman" w:cs="Times New Roman"/>
          <w:sz w:val="28"/>
          <w:szCs w:val="28"/>
        </w:rPr>
        <w:t>. de la Ley 549 de 1999,</w:t>
      </w:r>
      <w:r w:rsidRPr="00AF629F">
        <w:rPr>
          <w:rFonts w:ascii="Times New Roman" w:hAnsi="Times New Roman" w:cs="Times New Roman"/>
          <w:sz w:val="28"/>
          <w:szCs w:val="28"/>
        </w:rPr>
        <w:t xml:space="preserve"> al suprimir el procedimiento de “licitación pública” para seleccionar a las entidades que deben administrar los recursos del fo</w:t>
      </w:r>
      <w:r w:rsidRPr="00AF629F">
        <w:rPr>
          <w:rFonts w:ascii="Times New Roman" w:hAnsi="Times New Roman" w:cs="Times New Roman"/>
          <w:sz w:val="28"/>
          <w:szCs w:val="28"/>
        </w:rPr>
        <w:t>ndo, ya que autoriza al Ministerio de Hacienda y Crédito Público para que utilice el procedimiento de</w:t>
      </w:r>
      <w:r w:rsidRPr="00AF629F">
        <w:rPr>
          <w:rFonts w:ascii="Times New Roman" w:hAnsi="Times New Roman" w:cs="Times New Roman"/>
          <w:sz w:val="28"/>
          <w:szCs w:val="28"/>
        </w:rPr>
        <w:t xml:space="preserve"> “contratación directa”. De otro lado, modificó de manera parcial el inciso primero de su artículo 3, al restringir el mercado potencial de oferentes para </w:t>
      </w:r>
      <w:r w:rsidRPr="00AF629F">
        <w:rPr>
          <w:rFonts w:ascii="Times New Roman" w:hAnsi="Times New Roman" w:cs="Times New Roman"/>
          <w:sz w:val="28"/>
          <w:szCs w:val="28"/>
        </w:rPr>
        <w:t>esta contratación, ya que la disposición demandada lo circunscribió a “sociedades fiduciarias de carácter público”, a pesar de que la Ley 549 permite que se contraten administradoras de fondos de pensiones y cesantías, sociedades fiduciarias y compañías de</w:t>
      </w:r>
      <w:r w:rsidRPr="00AF629F">
        <w:rPr>
          <w:rFonts w:ascii="Times New Roman" w:hAnsi="Times New Roman" w:cs="Times New Roman"/>
          <w:sz w:val="28"/>
          <w:szCs w:val="28"/>
        </w:rPr>
        <w:t xml:space="preserve"> seguros de vida, no solo públicas sino también de naturaleza privada.</w:t>
      </w:r>
    </w:p>
    <w:p w:rsidR="00DD71A3" w:rsidRPr="00AF629F" w:rsidRDefault="00AF629F" w:rsidP="00F26AD7">
      <w:pPr>
        <w:rPr>
          <w:rFonts w:ascii="Times New Roman" w:hAnsi="Times New Roman" w:cs="Times New Roman"/>
          <w:sz w:val="28"/>
          <w:szCs w:val="28"/>
        </w:rPr>
      </w:pPr>
    </w:p>
    <w:p w:rsidR="004F7B2B" w:rsidRPr="00AF629F" w:rsidRDefault="00AF629F" w:rsidP="00E1024D">
      <w:pPr>
        <w:pStyle w:val="Prrafodelista"/>
        <w:numPr>
          <w:ilvl w:val="0"/>
          <w:numId w:val="2"/>
        </w:numPr>
        <w:shd w:val="clear" w:color="auto" w:fill="FFFFFF"/>
        <w:ind w:left="0" w:right="51" w:firstLine="0"/>
        <w:jc w:val="both"/>
        <w:rPr>
          <w:rFonts w:ascii="Times New Roman" w:hAnsi="Times New Roman" w:cs="Times New Roman"/>
          <w:sz w:val="28"/>
          <w:szCs w:val="28"/>
        </w:rPr>
      </w:pPr>
      <w:r w:rsidRPr="00AF629F">
        <w:rPr>
          <w:rFonts w:ascii="Times New Roman" w:hAnsi="Times New Roman" w:cs="Times New Roman"/>
          <w:sz w:val="28"/>
          <w:szCs w:val="28"/>
        </w:rPr>
        <w:t>En atención a esta declaratoria, la Sala precisó que, en caso de que el</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Ministerio de Hacienda y Crédito Público hubiese hecho uso de tal autorización, los contratos estatales que se h</w:t>
      </w:r>
      <w:r w:rsidRPr="00AF629F">
        <w:rPr>
          <w:rFonts w:ascii="Times New Roman" w:hAnsi="Times New Roman" w:cs="Times New Roman"/>
          <w:sz w:val="28"/>
          <w:szCs w:val="28"/>
        </w:rPr>
        <w:t>ubiesen celebrado con las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sociedades fiduciarias de carácter público se deberán terminar de manera unilateral y proceder a su liquidación</w:t>
      </w:r>
      <w:r w:rsidRPr="00AF629F">
        <w:rPr>
          <w:rStyle w:val="Refdenotaalpie"/>
          <w:rFonts w:ascii="Times New Roman" w:hAnsi="Times New Roman" w:cs="Times New Roman"/>
          <w:sz w:val="28"/>
          <w:szCs w:val="28"/>
        </w:rPr>
        <w:footnoteReference w:id="65"/>
      </w:r>
      <w:r w:rsidRPr="00AF629F">
        <w:rPr>
          <w:rFonts w:ascii="Times New Roman" w:hAnsi="Times New Roman" w:cs="Times New Roman"/>
          <w:sz w:val="28"/>
          <w:szCs w:val="28"/>
        </w:rPr>
        <w:t>, en la medida en que el fundamento normativo que justificó su celebración habría decaído, como consecuencia de la dec</w:t>
      </w:r>
      <w:r w:rsidRPr="00AF629F">
        <w:rPr>
          <w:rFonts w:ascii="Times New Roman" w:hAnsi="Times New Roman" w:cs="Times New Roman"/>
          <w:sz w:val="28"/>
          <w:szCs w:val="28"/>
        </w:rPr>
        <w:t>laratoria de inexequibilidad de la disposición demandada. En tal caso, el Ministerio de Hacienda y Crédito Público deberá adoptar las medidas necesarias y transitorias para garantizar la adecuada administración de los recursos del FONPET por parte de las s</w:t>
      </w:r>
      <w:r w:rsidRPr="00AF629F">
        <w:rPr>
          <w:rFonts w:ascii="Times New Roman" w:hAnsi="Times New Roman" w:cs="Times New Roman"/>
          <w:sz w:val="28"/>
          <w:szCs w:val="28"/>
        </w:rPr>
        <w:t>ociedades fiduciarias de carácter público, hasta tanto se cumpla con el procedimiento de que tratan los artículos 3 y 7 de la Ley 5</w:t>
      </w:r>
      <w:r w:rsidRPr="00AF629F">
        <w:rPr>
          <w:rFonts w:ascii="Times New Roman" w:hAnsi="Times New Roman" w:cs="Times New Roman"/>
          <w:sz w:val="28"/>
          <w:szCs w:val="28"/>
        </w:rPr>
        <w:t>4</w:t>
      </w:r>
      <w:r w:rsidRPr="00AF629F">
        <w:rPr>
          <w:rFonts w:ascii="Times New Roman" w:hAnsi="Times New Roman" w:cs="Times New Roman"/>
          <w:sz w:val="28"/>
          <w:szCs w:val="28"/>
        </w:rPr>
        <w:t>9 de 1999 para seleccionar mediante licitación pública a las entidades que deben administrar estos recursos de las entidades</w:t>
      </w:r>
      <w:r w:rsidRPr="00AF629F">
        <w:rPr>
          <w:rFonts w:ascii="Times New Roman" w:hAnsi="Times New Roman" w:cs="Times New Roman"/>
          <w:sz w:val="28"/>
          <w:szCs w:val="28"/>
        </w:rPr>
        <w:t xml:space="preserve"> territoriales.</w:t>
      </w:r>
    </w:p>
    <w:p w:rsidR="003C2059" w:rsidRPr="00AF629F" w:rsidRDefault="00AF629F" w:rsidP="00FC19BE">
      <w:pPr>
        <w:shd w:val="clear" w:color="auto" w:fill="FFFFFF"/>
        <w:ind w:right="51"/>
        <w:jc w:val="both"/>
        <w:rPr>
          <w:rFonts w:ascii="Times New Roman" w:hAnsi="Times New Roman" w:cs="Times New Roman"/>
          <w:sz w:val="28"/>
          <w:szCs w:val="28"/>
        </w:rPr>
      </w:pPr>
    </w:p>
    <w:p w:rsidR="00E95AEC" w:rsidRPr="00AF629F" w:rsidRDefault="00AF629F" w:rsidP="004F6108">
      <w:pPr>
        <w:pStyle w:val="Prrafodelista"/>
        <w:ind w:left="0"/>
        <w:jc w:val="both"/>
        <w:rPr>
          <w:rFonts w:ascii="Times New Roman" w:hAnsi="Times New Roman" w:cs="Times New Roman"/>
          <w:sz w:val="28"/>
          <w:szCs w:val="28"/>
        </w:rPr>
      </w:pPr>
    </w:p>
    <w:p w:rsidR="0080756E" w:rsidRPr="00AF629F" w:rsidRDefault="00AF629F" w:rsidP="00020271">
      <w:pPr>
        <w:pStyle w:val="Estilo1"/>
        <w:numPr>
          <w:ilvl w:val="0"/>
          <w:numId w:val="1"/>
        </w:numPr>
        <w:ind w:left="0" w:firstLine="0"/>
        <w:outlineLvl w:val="0"/>
        <w:rPr>
          <w:rStyle w:val="Ttulo1Car"/>
          <w:rFonts w:ascii="Times New Roman" w:hAnsi="Times New Roman" w:cs="Times New Roman"/>
          <w:color w:val="auto"/>
          <w:sz w:val="28"/>
          <w:szCs w:val="28"/>
        </w:rPr>
      </w:pPr>
      <w:r w:rsidRPr="00AF629F">
        <w:rPr>
          <w:rStyle w:val="Ttulo1Car"/>
          <w:rFonts w:ascii="Times New Roman" w:hAnsi="Times New Roman" w:cs="Times New Roman"/>
          <w:color w:val="auto"/>
          <w:sz w:val="28"/>
          <w:szCs w:val="28"/>
        </w:rPr>
        <w:t>DECISIÓN</w:t>
      </w:r>
    </w:p>
    <w:p w:rsidR="0080756E" w:rsidRPr="00AF629F" w:rsidRDefault="00AF629F" w:rsidP="00020271">
      <w:pPr>
        <w:jc w:val="both"/>
        <w:rPr>
          <w:rFonts w:ascii="Times New Roman" w:hAnsi="Times New Roman" w:cs="Times New Roman"/>
          <w:sz w:val="28"/>
          <w:szCs w:val="28"/>
        </w:rPr>
      </w:pPr>
    </w:p>
    <w:p w:rsidR="0080756E" w:rsidRPr="00AF629F" w:rsidRDefault="00AF629F" w:rsidP="00020271">
      <w:pPr>
        <w:jc w:val="both"/>
        <w:rPr>
          <w:rFonts w:ascii="Times New Roman" w:hAnsi="Times New Roman" w:cs="Times New Roman"/>
          <w:sz w:val="28"/>
          <w:szCs w:val="28"/>
        </w:rPr>
      </w:pPr>
      <w:r w:rsidRPr="00AF629F">
        <w:rPr>
          <w:rFonts w:ascii="Times New Roman" w:hAnsi="Times New Roman" w:cs="Times New Roman"/>
          <w:sz w:val="28"/>
          <w:szCs w:val="28"/>
        </w:rPr>
        <w:t>En mérito de lo expuesto, la Sala Plena de la Corte Constitucional, administrando justicia en nombre del pueblo y por mandato de la Constitución,</w:t>
      </w:r>
    </w:p>
    <w:p w:rsidR="00F7651A" w:rsidRPr="00AF629F" w:rsidRDefault="00AF629F" w:rsidP="00020271">
      <w:pPr>
        <w:rPr>
          <w:rFonts w:ascii="Times New Roman" w:hAnsi="Times New Roman" w:cs="Times New Roman"/>
          <w:b/>
          <w:sz w:val="28"/>
          <w:szCs w:val="28"/>
        </w:rPr>
      </w:pPr>
    </w:p>
    <w:p w:rsidR="00925CF4" w:rsidRPr="00AF629F" w:rsidRDefault="00AF629F" w:rsidP="00020271">
      <w:pPr>
        <w:rPr>
          <w:rFonts w:ascii="Times New Roman" w:hAnsi="Times New Roman" w:cs="Times New Roman"/>
          <w:b/>
          <w:sz w:val="28"/>
          <w:szCs w:val="28"/>
        </w:rPr>
      </w:pPr>
    </w:p>
    <w:p w:rsidR="0080756E" w:rsidRPr="00AF629F" w:rsidRDefault="00AF629F" w:rsidP="00020271">
      <w:pPr>
        <w:jc w:val="center"/>
        <w:rPr>
          <w:rFonts w:ascii="Times New Roman" w:hAnsi="Times New Roman" w:cs="Times New Roman"/>
          <w:b/>
          <w:sz w:val="28"/>
          <w:szCs w:val="28"/>
        </w:rPr>
      </w:pPr>
      <w:r w:rsidRPr="00AF629F">
        <w:rPr>
          <w:rFonts w:ascii="Times New Roman" w:hAnsi="Times New Roman" w:cs="Times New Roman"/>
          <w:b/>
          <w:sz w:val="28"/>
          <w:szCs w:val="28"/>
        </w:rPr>
        <w:t>RESUELVE</w:t>
      </w:r>
    </w:p>
    <w:p w:rsidR="0080756E" w:rsidRPr="00AF629F" w:rsidRDefault="00AF629F" w:rsidP="00020271">
      <w:pPr>
        <w:jc w:val="both"/>
        <w:rPr>
          <w:rFonts w:ascii="Times New Roman" w:hAnsi="Times New Roman" w:cs="Times New Roman"/>
          <w:sz w:val="28"/>
          <w:szCs w:val="28"/>
        </w:rPr>
      </w:pPr>
    </w:p>
    <w:p w:rsidR="0080756E" w:rsidRPr="00AF629F" w:rsidRDefault="00AF629F" w:rsidP="00020271">
      <w:pPr>
        <w:jc w:val="both"/>
        <w:rPr>
          <w:rFonts w:ascii="Times New Roman" w:hAnsi="Times New Roman" w:cs="Times New Roman"/>
          <w:sz w:val="28"/>
          <w:szCs w:val="28"/>
        </w:rPr>
      </w:pPr>
      <w:bookmarkStart w:id="9" w:name="_Hlk113003102"/>
      <w:bookmarkStart w:id="10" w:name="_Hlk9514800"/>
      <w:r w:rsidRPr="00AF629F">
        <w:rPr>
          <w:rFonts w:ascii="Times New Roman" w:hAnsi="Times New Roman" w:cs="Times New Roman"/>
          <w:sz w:val="28"/>
          <w:szCs w:val="28"/>
        </w:rPr>
        <w:t xml:space="preserve">Declarar </w:t>
      </w:r>
      <w:r w:rsidRPr="00AF629F">
        <w:rPr>
          <w:rFonts w:ascii="Times New Roman" w:hAnsi="Times New Roman" w:cs="Times New Roman"/>
          <w:b/>
          <w:bCs/>
          <w:sz w:val="28"/>
          <w:szCs w:val="28"/>
        </w:rPr>
        <w:t>IN</w:t>
      </w:r>
      <w:r w:rsidRPr="00AF629F">
        <w:rPr>
          <w:rFonts w:ascii="Times New Roman" w:hAnsi="Times New Roman" w:cs="Times New Roman"/>
          <w:b/>
          <w:bCs/>
          <w:sz w:val="28"/>
          <w:szCs w:val="28"/>
        </w:rPr>
        <w:t xml:space="preserve">EXEQUIBLE </w:t>
      </w:r>
      <w:r w:rsidRPr="00AF629F">
        <w:rPr>
          <w:rFonts w:ascii="Times New Roman" w:hAnsi="Times New Roman" w:cs="Times New Roman"/>
          <w:sz w:val="28"/>
          <w:szCs w:val="28"/>
        </w:rPr>
        <w:t>el artículo 322 de la Ley 2294 de 2023</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w:t>
      </w:r>
      <w:r w:rsidRPr="00AF629F">
        <w:rPr>
          <w:rFonts w:ascii="Times New Roman" w:hAnsi="Times New Roman" w:cs="Times New Roman"/>
          <w:sz w:val="28"/>
          <w:szCs w:val="28"/>
        </w:rPr>
        <w:t>[p]</w:t>
      </w:r>
      <w:r w:rsidRPr="00AF629F">
        <w:rPr>
          <w:rStyle w:val="Ttulo1Car"/>
          <w:rFonts w:ascii="Times New Roman" w:hAnsi="Times New Roman" w:cs="Times New Roman"/>
          <w:b w:val="0"/>
          <w:bCs/>
          <w:color w:val="auto"/>
          <w:sz w:val="28"/>
          <w:szCs w:val="28"/>
          <w:lang w:val="es-ES"/>
        </w:rPr>
        <w:t>or la</w:t>
      </w:r>
      <w:r w:rsidRPr="00AF629F">
        <w:rPr>
          <w:rStyle w:val="Ttulo1Car"/>
          <w:rFonts w:ascii="Times New Roman" w:hAnsi="Times New Roman" w:cs="Times New Roman"/>
          <w:b w:val="0"/>
          <w:bCs/>
          <w:color w:val="auto"/>
          <w:sz w:val="28"/>
          <w:szCs w:val="28"/>
          <w:lang w:val="es-ES"/>
        </w:rPr>
        <w:t xml:space="preserve"> cual se expide el Plan Nacional de Desarrollo 2022-2026. Colombia Potencia Mundial de la Vida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por las razones expuestas en la parte motiva.</w:t>
      </w:r>
      <w:bookmarkEnd w:id="9"/>
    </w:p>
    <w:p w:rsidR="00FF16C4" w:rsidRPr="00AF629F" w:rsidRDefault="00AF629F" w:rsidP="00020271">
      <w:pPr>
        <w:jc w:val="both"/>
        <w:rPr>
          <w:rFonts w:ascii="Times New Roman" w:hAnsi="Times New Roman" w:cs="Times New Roman"/>
          <w:sz w:val="28"/>
          <w:szCs w:val="28"/>
        </w:rPr>
      </w:pPr>
    </w:p>
    <w:bookmarkEnd w:id="10"/>
    <w:p w:rsidR="006D3851" w:rsidRPr="00AF629F" w:rsidRDefault="00AF629F" w:rsidP="00020271">
      <w:pPr>
        <w:pStyle w:val="MediumShading1-Accent11"/>
        <w:jc w:val="both"/>
        <w:rPr>
          <w:rFonts w:ascii="Times New Roman" w:hAnsi="Times New Roman" w:cs="Times New Roman"/>
          <w:color w:val="auto"/>
          <w:sz w:val="28"/>
          <w:szCs w:val="28"/>
          <w:shd w:val="clear" w:color="auto" w:fill="FFFFFF"/>
        </w:rPr>
      </w:pPr>
    </w:p>
    <w:p w:rsidR="00927A63" w:rsidRPr="00AF629F" w:rsidRDefault="00AF629F" w:rsidP="00020271">
      <w:pPr>
        <w:pStyle w:val="MediumShading1-Accent11"/>
        <w:jc w:val="both"/>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Notifíquese, comuníquese, publíquese y cúmplase,</w:t>
      </w:r>
    </w:p>
    <w:p w:rsidR="00FF2AC0" w:rsidRPr="00AF629F" w:rsidRDefault="00AF629F" w:rsidP="00020271">
      <w:pPr>
        <w:pStyle w:val="MediumShading1-Accent11"/>
        <w:jc w:val="both"/>
        <w:rPr>
          <w:rFonts w:ascii="Times New Roman" w:hAnsi="Times New Roman" w:cs="Times New Roman"/>
          <w:color w:val="auto"/>
          <w:sz w:val="28"/>
          <w:szCs w:val="28"/>
          <w:shd w:val="clear" w:color="auto" w:fill="FFFFFF"/>
        </w:rPr>
      </w:pPr>
    </w:p>
    <w:p w:rsidR="00FF2AC0" w:rsidRPr="00AF629F" w:rsidRDefault="00AF629F" w:rsidP="00020271">
      <w:pPr>
        <w:pStyle w:val="MediumShading1-Accent11"/>
        <w:jc w:val="both"/>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JOSE FERNANDO REYES CUARTAS</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Presidente</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NATALIA ÁNGEL CABO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Ausente con excusa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JUAN CARLOS CORTÉS GONZÁLEZ</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 xml:space="preserve">Magistrado </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 xml:space="preserve">Con Aclaración de voto </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DIANA FAJARDO RIVERA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VLADIMIR FERNÁNDEZ ANDRADE</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Con impedimento aceptado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 xml:space="preserve">JORGE ENRIQUE IBÁÑEZ NAJAR </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 xml:space="preserve">Con aclaración </w:t>
      </w:r>
      <w:r w:rsidRPr="00AF629F">
        <w:rPr>
          <w:rFonts w:ascii="Times New Roman" w:hAnsi="Times New Roman" w:cs="Times New Roman"/>
          <w:color w:val="auto"/>
          <w:sz w:val="28"/>
          <w:szCs w:val="28"/>
          <w:shd w:val="clear" w:color="auto" w:fill="FFFFFF"/>
        </w:rPr>
        <w:t>de voto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ANTONIO JOSÉ LIZARAZO OCAMPO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Magistrado</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PAOLA ANDREA MENESES MOSQUERA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CRISTINA PARDO SCHLESINGER</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Magistrada</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ANDREA LILIANA ROMERO LOPEZ</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r w:rsidRPr="00AF629F">
        <w:rPr>
          <w:rFonts w:ascii="Times New Roman" w:hAnsi="Times New Roman" w:cs="Times New Roman"/>
          <w:color w:val="auto"/>
          <w:sz w:val="28"/>
          <w:szCs w:val="28"/>
          <w:shd w:val="clear" w:color="auto" w:fill="FFFFFF"/>
        </w:rPr>
        <w:t>Secretaria General</w:t>
      </w: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FF2AC0" w:rsidRPr="00AF629F" w:rsidRDefault="00AF629F" w:rsidP="00FF2AC0">
      <w:pPr>
        <w:pStyle w:val="MediumShading1-Accent11"/>
        <w:jc w:val="center"/>
        <w:rPr>
          <w:rFonts w:ascii="Times New Roman" w:hAnsi="Times New Roman" w:cs="Times New Roman"/>
          <w:color w:val="auto"/>
          <w:sz w:val="28"/>
          <w:szCs w:val="28"/>
          <w:shd w:val="clear" w:color="auto" w:fill="FFFFFF"/>
        </w:rPr>
      </w:pPr>
    </w:p>
    <w:p w:rsidR="004E73F7" w:rsidRPr="00AF629F" w:rsidRDefault="00AF629F" w:rsidP="003E303F">
      <w:pPr>
        <w:ind w:right="-70"/>
        <w:jc w:val="center"/>
        <w:rPr>
          <w:rFonts w:ascii="Times New Roman" w:hAnsi="Times New Roman" w:cs="Times New Roman"/>
          <w:b/>
          <w:sz w:val="28"/>
        </w:rPr>
      </w:pPr>
    </w:p>
    <w:p w:rsidR="004E73F7" w:rsidRPr="00AF629F" w:rsidRDefault="00AF629F" w:rsidP="003E303F">
      <w:pPr>
        <w:ind w:right="-70"/>
        <w:jc w:val="center"/>
        <w:rPr>
          <w:rFonts w:ascii="Times New Roman" w:hAnsi="Times New Roman" w:cs="Times New Roman"/>
          <w:b/>
          <w:sz w:val="28"/>
        </w:rPr>
      </w:pPr>
    </w:p>
    <w:p w:rsidR="00887CB2" w:rsidRPr="00AF629F" w:rsidRDefault="00AF629F" w:rsidP="003E303F">
      <w:pPr>
        <w:ind w:right="-70"/>
        <w:jc w:val="center"/>
        <w:rPr>
          <w:rFonts w:ascii="Times New Roman" w:hAnsi="Times New Roman" w:cs="Times New Roman"/>
          <w:b/>
          <w:sz w:val="28"/>
        </w:rPr>
      </w:pPr>
      <w:r w:rsidRPr="00AF629F">
        <w:rPr>
          <w:rFonts w:ascii="Times New Roman" w:hAnsi="Times New Roman" w:cs="Times New Roman"/>
          <w:b/>
          <w:sz w:val="28"/>
        </w:rPr>
        <w:t>ACLARACIÓN</w:t>
      </w:r>
      <w:r w:rsidRPr="00AF629F">
        <w:rPr>
          <w:rFonts w:ascii="Times New Roman" w:hAnsi="Times New Roman" w:cs="Times New Roman"/>
          <w:b/>
          <w:sz w:val="28"/>
        </w:rPr>
        <w:t xml:space="preserve"> DE VOTO DEL MAGISTRADO </w:t>
      </w:r>
    </w:p>
    <w:p w:rsidR="00887CB2" w:rsidRPr="00AF629F" w:rsidRDefault="00AF629F" w:rsidP="003E303F">
      <w:pPr>
        <w:ind w:right="-70"/>
        <w:jc w:val="center"/>
        <w:rPr>
          <w:rFonts w:ascii="Times New Roman" w:hAnsi="Times New Roman" w:cs="Times New Roman"/>
          <w:b/>
          <w:sz w:val="28"/>
        </w:rPr>
      </w:pPr>
      <w:r w:rsidRPr="00AF629F">
        <w:rPr>
          <w:rFonts w:ascii="Times New Roman" w:hAnsi="Times New Roman" w:cs="Times New Roman"/>
          <w:b/>
          <w:sz w:val="28"/>
        </w:rPr>
        <w:t>JUAN CARLOS CORTÉS GONZÁLEZ</w:t>
      </w:r>
    </w:p>
    <w:p w:rsidR="0076428E" w:rsidRPr="00AF629F" w:rsidRDefault="00AF629F" w:rsidP="003E303F">
      <w:pPr>
        <w:ind w:right="-70"/>
        <w:jc w:val="center"/>
        <w:rPr>
          <w:rFonts w:ascii="Times New Roman" w:hAnsi="Times New Roman" w:cs="Times New Roman"/>
          <w:b/>
          <w:sz w:val="28"/>
        </w:rPr>
      </w:pPr>
      <w:r w:rsidRPr="00AF629F">
        <w:rPr>
          <w:rFonts w:ascii="Times New Roman" w:hAnsi="Times New Roman" w:cs="Times New Roman"/>
          <w:b/>
          <w:sz w:val="28"/>
        </w:rPr>
        <w:t xml:space="preserve"> A LA SENTENCIA </w:t>
      </w:r>
      <w:r w:rsidRPr="00AF629F">
        <w:rPr>
          <w:rFonts w:ascii="Times New Roman" w:hAnsi="Times New Roman" w:cs="Times New Roman"/>
          <w:b/>
          <w:sz w:val="28"/>
        </w:rPr>
        <w:t>C-</w:t>
      </w:r>
      <w:r w:rsidRPr="00AF629F">
        <w:rPr>
          <w:rFonts w:ascii="Times New Roman" w:hAnsi="Times New Roman" w:cs="Times New Roman"/>
          <w:b/>
          <w:sz w:val="28"/>
        </w:rPr>
        <w:t>037</w:t>
      </w:r>
      <w:r w:rsidRPr="00AF629F">
        <w:rPr>
          <w:rFonts w:ascii="Times New Roman" w:hAnsi="Times New Roman" w:cs="Times New Roman"/>
          <w:b/>
          <w:sz w:val="28"/>
        </w:rPr>
        <w:t>/</w:t>
      </w:r>
      <w:r w:rsidRPr="00AF629F">
        <w:rPr>
          <w:rFonts w:ascii="Times New Roman" w:hAnsi="Times New Roman" w:cs="Times New Roman"/>
          <w:b/>
          <w:sz w:val="28"/>
        </w:rPr>
        <w:t>2</w:t>
      </w:r>
      <w:r w:rsidRPr="00AF629F">
        <w:rPr>
          <w:rFonts w:ascii="Times New Roman" w:hAnsi="Times New Roman" w:cs="Times New Roman"/>
          <w:b/>
          <w:sz w:val="28"/>
        </w:rPr>
        <w:t>4</w:t>
      </w:r>
    </w:p>
    <w:p w:rsidR="0076428E" w:rsidRPr="00AF629F" w:rsidRDefault="00AF629F">
      <w:pPr>
        <w:ind w:right="-70"/>
        <w:jc w:val="center"/>
        <w:rPr>
          <w:rFonts w:ascii="Times New Roman" w:hAnsi="Times New Roman" w:cs="Times New Roman"/>
          <w:b/>
          <w:sz w:val="28"/>
        </w:rPr>
      </w:pPr>
    </w:p>
    <w:p w:rsidR="00887CB2" w:rsidRPr="00AF629F" w:rsidRDefault="00AF629F">
      <w:pPr>
        <w:ind w:right="-70"/>
        <w:jc w:val="center"/>
        <w:rPr>
          <w:rFonts w:ascii="Times New Roman" w:hAnsi="Times New Roman" w:cs="Times New Roman"/>
          <w:b/>
          <w:sz w:val="28"/>
        </w:rPr>
      </w:pPr>
    </w:p>
    <w:p w:rsidR="0076428E" w:rsidRPr="00AF629F" w:rsidRDefault="00AF629F" w:rsidP="00887CB2">
      <w:pPr>
        <w:ind w:left="3969" w:right="-68"/>
        <w:rPr>
          <w:rFonts w:ascii="Times New Roman" w:hAnsi="Times New Roman" w:cs="Times New Roman"/>
          <w:bCs/>
          <w:sz w:val="28"/>
          <w:highlight w:val="white"/>
        </w:rPr>
      </w:pPr>
      <w:r w:rsidRPr="00AF629F">
        <w:rPr>
          <w:rFonts w:ascii="Times New Roman" w:hAnsi="Times New Roman" w:cs="Times New Roman"/>
          <w:bCs/>
          <w:sz w:val="28"/>
        </w:rPr>
        <w:t xml:space="preserve">Referencia: </w:t>
      </w:r>
      <w:r w:rsidRPr="00AF629F">
        <w:rPr>
          <w:rFonts w:ascii="Times New Roman" w:hAnsi="Times New Roman" w:cs="Times New Roman"/>
          <w:bCs/>
          <w:sz w:val="28"/>
        </w:rPr>
        <w:t xml:space="preserve">expediente </w:t>
      </w:r>
      <w:r w:rsidRPr="00AF629F">
        <w:rPr>
          <w:rFonts w:ascii="Times New Roman" w:hAnsi="Times New Roman" w:cs="Times New Roman"/>
          <w:bCs/>
          <w:sz w:val="28"/>
        </w:rPr>
        <w:t>D-</w:t>
      </w:r>
      <w:r w:rsidRPr="00AF629F">
        <w:rPr>
          <w:rFonts w:ascii="Times New Roman" w:hAnsi="Times New Roman" w:cs="Times New Roman"/>
          <w:bCs/>
          <w:sz w:val="28"/>
        </w:rPr>
        <w:t>15350</w:t>
      </w:r>
    </w:p>
    <w:p w:rsidR="0076428E" w:rsidRPr="00AF629F" w:rsidRDefault="00AF629F" w:rsidP="00887CB2">
      <w:pPr>
        <w:ind w:left="3969" w:right="-68"/>
        <w:rPr>
          <w:rFonts w:ascii="Times New Roman" w:hAnsi="Times New Roman" w:cs="Times New Roman"/>
          <w:bCs/>
          <w:sz w:val="28"/>
        </w:rPr>
      </w:pPr>
    </w:p>
    <w:p w:rsidR="0076428E" w:rsidRPr="00AF629F" w:rsidRDefault="00AF629F" w:rsidP="00887CB2">
      <w:pPr>
        <w:ind w:left="3969" w:right="-68"/>
        <w:rPr>
          <w:rFonts w:ascii="Times New Roman" w:hAnsi="Times New Roman" w:cs="Times New Roman"/>
          <w:bCs/>
          <w:sz w:val="28"/>
        </w:rPr>
      </w:pPr>
      <w:r w:rsidRPr="00AF629F">
        <w:rPr>
          <w:rFonts w:ascii="Times New Roman" w:hAnsi="Times New Roman" w:cs="Times New Roman"/>
          <w:bCs/>
          <w:sz w:val="28"/>
        </w:rPr>
        <w:t>Demanda de inconstitucionalidad en contra del artículo 322 de la Ley 2294 de 2023 “</w:t>
      </w:r>
      <w:r w:rsidRPr="00AF629F">
        <w:rPr>
          <w:rFonts w:ascii="Times New Roman" w:hAnsi="Times New Roman" w:cs="Times New Roman"/>
          <w:bCs/>
          <w:i/>
          <w:iCs/>
          <w:sz w:val="28"/>
        </w:rPr>
        <w:t>Por la cual se expide el Plan Nacional de Desarrollo 2022-2026. Colombia Potencia Mundial de la Vida</w:t>
      </w:r>
      <w:r w:rsidRPr="00AF629F">
        <w:rPr>
          <w:rFonts w:ascii="Times New Roman" w:hAnsi="Times New Roman" w:cs="Times New Roman"/>
          <w:bCs/>
          <w:sz w:val="28"/>
        </w:rPr>
        <w:t>”</w:t>
      </w:r>
      <w:r w:rsidRPr="00AF629F">
        <w:rPr>
          <w:rFonts w:ascii="Times New Roman" w:hAnsi="Times New Roman" w:cs="Times New Roman"/>
          <w:bCs/>
          <w:sz w:val="28"/>
        </w:rPr>
        <w:t>.</w:t>
      </w:r>
    </w:p>
    <w:p w:rsidR="00F91114" w:rsidRPr="00AF629F" w:rsidRDefault="00AF629F" w:rsidP="00887CB2">
      <w:pPr>
        <w:ind w:left="3969" w:right="-68"/>
        <w:rPr>
          <w:rFonts w:ascii="Times New Roman" w:hAnsi="Times New Roman" w:cs="Times New Roman"/>
          <w:bCs/>
          <w:sz w:val="28"/>
        </w:rPr>
      </w:pPr>
    </w:p>
    <w:p w:rsidR="0076428E" w:rsidRPr="00AF629F" w:rsidRDefault="00AF629F" w:rsidP="00887CB2">
      <w:pPr>
        <w:ind w:left="3969" w:right="-68"/>
        <w:rPr>
          <w:rFonts w:ascii="Times New Roman" w:hAnsi="Times New Roman" w:cs="Times New Roman"/>
          <w:bCs/>
          <w:sz w:val="28"/>
        </w:rPr>
      </w:pPr>
      <w:r w:rsidRPr="00AF629F">
        <w:rPr>
          <w:rFonts w:ascii="Times New Roman" w:hAnsi="Times New Roman" w:cs="Times New Roman"/>
          <w:bCs/>
          <w:sz w:val="28"/>
        </w:rPr>
        <w:t>Magistrad</w:t>
      </w:r>
      <w:r w:rsidRPr="00AF629F">
        <w:rPr>
          <w:rFonts w:ascii="Times New Roman" w:hAnsi="Times New Roman" w:cs="Times New Roman"/>
          <w:bCs/>
          <w:sz w:val="28"/>
        </w:rPr>
        <w:t>o</w:t>
      </w:r>
      <w:r w:rsidRPr="00AF629F">
        <w:rPr>
          <w:rFonts w:ascii="Times New Roman" w:hAnsi="Times New Roman" w:cs="Times New Roman"/>
          <w:bCs/>
          <w:sz w:val="28"/>
        </w:rPr>
        <w:t xml:space="preserve"> Ponente:</w:t>
      </w:r>
    </w:p>
    <w:p w:rsidR="0076428E" w:rsidRPr="00AF629F" w:rsidRDefault="00AF629F" w:rsidP="00887CB2">
      <w:pPr>
        <w:ind w:left="3969" w:right="-68"/>
        <w:rPr>
          <w:rFonts w:ascii="Times New Roman" w:hAnsi="Times New Roman" w:cs="Times New Roman"/>
          <w:bCs/>
          <w:sz w:val="28"/>
        </w:rPr>
      </w:pPr>
      <w:r w:rsidRPr="00AF629F">
        <w:rPr>
          <w:rFonts w:ascii="Times New Roman" w:hAnsi="Times New Roman" w:cs="Times New Roman"/>
          <w:bCs/>
          <w:sz w:val="28"/>
        </w:rPr>
        <w:t>ANTONIO JOSÉ LIZARAZO OCAMPO</w:t>
      </w:r>
    </w:p>
    <w:p w:rsidR="002D61AA" w:rsidRPr="00AF629F" w:rsidRDefault="00AF629F" w:rsidP="002D61AA">
      <w:pPr>
        <w:ind w:left="4111" w:right="-68"/>
        <w:rPr>
          <w:rFonts w:ascii="Times New Roman" w:hAnsi="Times New Roman" w:cs="Times New Roman"/>
          <w:sz w:val="28"/>
        </w:rPr>
      </w:pPr>
    </w:p>
    <w:p w:rsidR="00887CB2" w:rsidRPr="00AF629F" w:rsidRDefault="00AF629F" w:rsidP="002D61AA">
      <w:pPr>
        <w:ind w:left="4111" w:right="-68"/>
        <w:rPr>
          <w:rFonts w:ascii="Times New Roman" w:hAnsi="Times New Roman" w:cs="Times New Roman"/>
          <w:sz w:val="28"/>
        </w:rPr>
      </w:pPr>
    </w:p>
    <w:p w:rsidR="000F566C" w:rsidRPr="00AF629F" w:rsidRDefault="00AF629F" w:rsidP="005B2EEB">
      <w:pPr>
        <w:pStyle w:val="Prrafodelista"/>
        <w:numPr>
          <w:ilvl w:val="0"/>
          <w:numId w:val="5"/>
        </w:numPr>
        <w:tabs>
          <w:tab w:val="left" w:pos="284"/>
        </w:tabs>
        <w:ind w:left="0" w:right="51" w:firstLine="0"/>
        <w:rPr>
          <w:rFonts w:ascii="Times New Roman" w:hAnsi="Times New Roman" w:cs="Times New Roman"/>
          <w:sz w:val="28"/>
        </w:rPr>
      </w:pPr>
      <w:r w:rsidRPr="00AF629F">
        <w:rPr>
          <w:rFonts w:ascii="Times New Roman" w:hAnsi="Times New Roman" w:cs="Times New Roman"/>
          <w:color w:val="000000"/>
          <w:sz w:val="28"/>
        </w:rPr>
        <w:t xml:space="preserve">Con el acostumbrado respeto por las decisiones de la Corte Constitucional, a </w:t>
      </w:r>
      <w:r w:rsidRPr="00AF629F">
        <w:rPr>
          <w:rFonts w:ascii="Times New Roman" w:hAnsi="Times New Roman" w:cs="Times New Roman"/>
          <w:color w:val="000000"/>
          <w:sz w:val="28"/>
        </w:rPr>
        <w:t>continuación,</w:t>
      </w:r>
      <w:r w:rsidRPr="00AF629F">
        <w:rPr>
          <w:rFonts w:ascii="Times New Roman" w:hAnsi="Times New Roman" w:cs="Times New Roman"/>
          <w:color w:val="000000"/>
          <w:sz w:val="28"/>
        </w:rPr>
        <w:t xml:space="preserve"> expongo las razones que me motivaron a aclarar el voto respecto de la Sentencia C-037 de 2024.</w:t>
      </w:r>
      <w:r w:rsidRPr="00AF629F">
        <w:rPr>
          <w:rStyle w:val="apple-converted-space"/>
          <w:rFonts w:ascii="Times New Roman" w:hAnsi="Times New Roman" w:cs="Times New Roman"/>
          <w:color w:val="000000"/>
          <w:sz w:val="28"/>
          <w:lang w:val="es-MX"/>
        </w:rPr>
        <w:t> </w:t>
      </w:r>
    </w:p>
    <w:p w:rsidR="000F566C" w:rsidRPr="00AF629F" w:rsidRDefault="00AF629F" w:rsidP="00763B61">
      <w:pPr>
        <w:pStyle w:val="Prrafodelista"/>
        <w:tabs>
          <w:tab w:val="left" w:pos="284"/>
        </w:tabs>
        <w:ind w:left="0" w:right="51"/>
        <w:rPr>
          <w:rFonts w:ascii="Times New Roman" w:hAnsi="Times New Roman" w:cs="Times New Roman"/>
          <w:sz w:val="28"/>
        </w:rPr>
      </w:pPr>
    </w:p>
    <w:p w:rsidR="00790F7D" w:rsidRPr="00AF629F" w:rsidRDefault="00AF629F" w:rsidP="000F566C">
      <w:pPr>
        <w:pStyle w:val="Prrafodelista"/>
        <w:numPr>
          <w:ilvl w:val="0"/>
          <w:numId w:val="5"/>
        </w:numPr>
        <w:tabs>
          <w:tab w:val="left" w:pos="284"/>
        </w:tabs>
        <w:ind w:left="0" w:right="51" w:firstLine="0"/>
        <w:rPr>
          <w:rFonts w:ascii="Times New Roman" w:hAnsi="Times New Roman" w:cs="Times New Roman"/>
          <w:sz w:val="28"/>
        </w:rPr>
      </w:pPr>
      <w:r w:rsidRPr="00AF629F">
        <w:rPr>
          <w:rFonts w:ascii="Times New Roman" w:hAnsi="Times New Roman" w:cs="Times New Roman"/>
          <w:sz w:val="28"/>
        </w:rPr>
        <w:t>Si bien comparto</w:t>
      </w:r>
      <w:r w:rsidRPr="00AF629F">
        <w:rPr>
          <w:rFonts w:ascii="Times New Roman" w:hAnsi="Times New Roman" w:cs="Times New Roman"/>
          <w:sz w:val="28"/>
        </w:rPr>
        <w:t xml:space="preserve"> </w:t>
      </w:r>
      <w:r w:rsidRPr="00AF629F">
        <w:rPr>
          <w:rFonts w:ascii="Times New Roman" w:hAnsi="Times New Roman" w:cs="Times New Roman"/>
          <w:sz w:val="28"/>
        </w:rPr>
        <w:t xml:space="preserve">la decisión </w:t>
      </w:r>
      <w:r w:rsidRPr="00AF629F">
        <w:rPr>
          <w:rFonts w:ascii="Times New Roman" w:hAnsi="Times New Roman" w:cs="Times New Roman"/>
          <w:color w:val="000000" w:themeColor="text1"/>
          <w:sz w:val="28"/>
          <w:lang w:val="es-ES_tradnl"/>
        </w:rPr>
        <w:t>a</w:t>
      </w:r>
      <w:r w:rsidRPr="00AF629F">
        <w:rPr>
          <w:rFonts w:ascii="Times New Roman" w:hAnsi="Times New Roman" w:cs="Times New Roman"/>
          <w:sz w:val="28"/>
        </w:rPr>
        <w:t xml:space="preserve">doptada de declarar inexequible la norma </w:t>
      </w:r>
      <w:r w:rsidRPr="00AF629F">
        <w:rPr>
          <w:rFonts w:ascii="Times New Roman" w:hAnsi="Times New Roman" w:cs="Times New Roman"/>
          <w:color w:val="000000" w:themeColor="text1"/>
          <w:sz w:val="28"/>
          <w:lang w:val="es-ES_tradnl"/>
        </w:rPr>
        <w:t xml:space="preserve">acusada por violación </w:t>
      </w:r>
      <w:r w:rsidRPr="00AF629F">
        <w:rPr>
          <w:rFonts w:ascii="Times New Roman" w:hAnsi="Times New Roman" w:cs="Times New Roman"/>
          <w:color w:val="000000" w:themeColor="text1"/>
          <w:sz w:val="28"/>
          <w:lang w:val="es-ES_tradnl"/>
        </w:rPr>
        <w:t>del principio de unidad de materia</w:t>
      </w:r>
      <w:r w:rsidRPr="00AF629F">
        <w:rPr>
          <w:rFonts w:ascii="Times New Roman" w:hAnsi="Times New Roman" w:cs="Times New Roman"/>
          <w:sz w:val="28"/>
        </w:rPr>
        <w:t xml:space="preserve">, considero que </w:t>
      </w:r>
      <w:r w:rsidRPr="00AF629F">
        <w:rPr>
          <w:rFonts w:ascii="Times New Roman" w:hAnsi="Times New Roman" w:cs="Times New Roman"/>
          <w:sz w:val="28"/>
          <w:lang w:val="es-ES_tradnl"/>
        </w:rPr>
        <w:t>la medida sí era idónea y que su inconstitucionalidad se funda en la ausencia del carácter transitorio de la regulación y el vacia</w:t>
      </w:r>
      <w:r w:rsidRPr="00AF629F">
        <w:rPr>
          <w:rFonts w:ascii="Times New Roman" w:hAnsi="Times New Roman" w:cs="Times New Roman"/>
          <w:sz w:val="28"/>
          <w:lang w:val="es-ES_tradnl"/>
        </w:rPr>
        <w:t>miento de las competencias ordinarias del legislador</w:t>
      </w:r>
      <w:r w:rsidRPr="00AF629F">
        <w:rPr>
          <w:rFonts w:ascii="Times New Roman" w:hAnsi="Times New Roman" w:cs="Times New Roman"/>
          <w:sz w:val="28"/>
        </w:rPr>
        <w:t>.</w:t>
      </w:r>
      <w:r w:rsidRPr="00AF629F">
        <w:rPr>
          <w:rFonts w:ascii="Times New Roman" w:hAnsi="Times New Roman" w:cs="Times New Roman"/>
          <w:sz w:val="28"/>
        </w:rPr>
        <w:t xml:space="preserve"> </w:t>
      </w:r>
      <w:r w:rsidRPr="00AF629F">
        <w:rPr>
          <w:rFonts w:ascii="Times New Roman" w:hAnsi="Times New Roman" w:cs="Times New Roman"/>
          <w:color w:val="000000" w:themeColor="text1"/>
          <w:sz w:val="28"/>
          <w:lang w:val="es-ES_tradnl"/>
        </w:rPr>
        <w:t xml:space="preserve">En efecto, </w:t>
      </w:r>
      <w:r w:rsidRPr="00AF629F">
        <w:rPr>
          <w:rFonts w:ascii="Times New Roman" w:hAnsi="Times New Roman" w:cs="Times New Roman"/>
          <w:bCs/>
          <w:sz w:val="28"/>
        </w:rPr>
        <w:t xml:space="preserve">tal y como lo advierte la mayoría, </w:t>
      </w:r>
      <w:r w:rsidRPr="00AF629F">
        <w:rPr>
          <w:rFonts w:ascii="Times New Roman" w:hAnsi="Times New Roman" w:cs="Times New Roman"/>
          <w:bCs/>
          <w:sz w:val="28"/>
        </w:rPr>
        <w:t>existe una relación entre las bases del plan y la norma analizada,</w:t>
      </w:r>
      <w:r w:rsidRPr="00AF629F">
        <w:rPr>
          <w:rFonts w:ascii="Times New Roman" w:hAnsi="Times New Roman" w:cs="Times New Roman"/>
          <w:bCs/>
          <w:sz w:val="28"/>
        </w:rPr>
        <w:t xml:space="preserve"> de carácter instrumental.</w:t>
      </w:r>
      <w:r w:rsidRPr="00AF629F">
        <w:rPr>
          <w:rFonts w:ascii="Times New Roman" w:hAnsi="Times New Roman" w:cs="Times New Roman"/>
          <w:bCs/>
          <w:sz w:val="28"/>
        </w:rPr>
        <w:t xml:space="preserve"> </w:t>
      </w:r>
    </w:p>
    <w:p w:rsidR="00790F7D" w:rsidRPr="00AF629F" w:rsidRDefault="00AF629F" w:rsidP="00763B61">
      <w:pPr>
        <w:rPr>
          <w:rFonts w:ascii="Times New Roman" w:hAnsi="Times New Roman" w:cs="Times New Roman"/>
          <w:bCs/>
          <w:sz w:val="28"/>
        </w:rPr>
      </w:pPr>
    </w:p>
    <w:p w:rsidR="006A0B9D" w:rsidRPr="00AF629F" w:rsidRDefault="00AF629F" w:rsidP="006A0B9D">
      <w:pPr>
        <w:pStyle w:val="Prrafodelista"/>
        <w:numPr>
          <w:ilvl w:val="0"/>
          <w:numId w:val="5"/>
        </w:numPr>
        <w:tabs>
          <w:tab w:val="left" w:pos="284"/>
        </w:tabs>
        <w:ind w:left="0" w:right="51" w:firstLine="0"/>
        <w:rPr>
          <w:rFonts w:ascii="Times New Roman" w:hAnsi="Times New Roman" w:cs="Times New Roman"/>
          <w:sz w:val="28"/>
        </w:rPr>
      </w:pPr>
      <w:r w:rsidRPr="00AF629F">
        <w:rPr>
          <w:rFonts w:ascii="Times New Roman" w:hAnsi="Times New Roman" w:cs="Times New Roman"/>
          <w:bCs/>
          <w:sz w:val="28"/>
        </w:rPr>
        <w:t>Al hacer un análisis integral de las políticas que orientan l</w:t>
      </w:r>
      <w:r w:rsidRPr="00AF629F">
        <w:rPr>
          <w:rFonts w:ascii="Times New Roman" w:hAnsi="Times New Roman" w:cs="Times New Roman"/>
          <w:bCs/>
          <w:sz w:val="28"/>
        </w:rPr>
        <w:t>as bases del plan</w:t>
      </w:r>
      <w:r w:rsidRPr="00AF629F">
        <w:rPr>
          <w:rFonts w:ascii="Times New Roman" w:hAnsi="Times New Roman" w:cs="Times New Roman"/>
          <w:bCs/>
          <w:sz w:val="28"/>
        </w:rPr>
        <w:t>, es evidente que</w:t>
      </w:r>
      <w:r w:rsidRPr="00AF629F">
        <w:rPr>
          <w:rFonts w:ascii="Times New Roman" w:hAnsi="Times New Roman" w:cs="Times New Roman"/>
          <w:bCs/>
          <w:sz w:val="28"/>
        </w:rPr>
        <w:t xml:space="preserve"> existe una particular visión </w:t>
      </w:r>
      <w:r w:rsidRPr="00AF629F">
        <w:rPr>
          <w:rFonts w:ascii="Times New Roman" w:hAnsi="Times New Roman" w:cs="Times New Roman"/>
          <w:bCs/>
          <w:sz w:val="28"/>
        </w:rPr>
        <w:t>del rol</w:t>
      </w:r>
      <w:r w:rsidRPr="00AF629F">
        <w:rPr>
          <w:rFonts w:ascii="Times New Roman" w:hAnsi="Times New Roman" w:cs="Times New Roman"/>
          <w:bCs/>
          <w:sz w:val="28"/>
        </w:rPr>
        <w:t xml:space="preserve"> de lo público en el mercado económico</w:t>
      </w:r>
      <w:r w:rsidRPr="00AF629F">
        <w:rPr>
          <w:rFonts w:ascii="Times New Roman" w:hAnsi="Times New Roman" w:cs="Times New Roman"/>
          <w:bCs/>
          <w:sz w:val="28"/>
        </w:rPr>
        <w:t>. Estas visiones se materializan</w:t>
      </w:r>
      <w:r w:rsidRPr="00AF629F">
        <w:rPr>
          <w:rFonts w:ascii="Times New Roman" w:hAnsi="Times New Roman" w:cs="Times New Roman"/>
          <w:bCs/>
          <w:sz w:val="28"/>
        </w:rPr>
        <w:t xml:space="preserve"> además</w:t>
      </w:r>
      <w:r w:rsidRPr="00AF629F">
        <w:rPr>
          <w:rFonts w:ascii="Times New Roman" w:hAnsi="Times New Roman" w:cs="Times New Roman"/>
          <w:bCs/>
          <w:sz w:val="28"/>
        </w:rPr>
        <w:t xml:space="preserve"> en la regulación del FONPET</w:t>
      </w:r>
      <w:r w:rsidRPr="00AF629F">
        <w:rPr>
          <w:rFonts w:ascii="Times New Roman" w:hAnsi="Times New Roman" w:cs="Times New Roman"/>
          <w:bCs/>
          <w:sz w:val="28"/>
        </w:rPr>
        <w:t>, como bien lo resalta la sentencia. De esta manera, una norma como la estudiada</w:t>
      </w:r>
      <w:r w:rsidRPr="00AF629F">
        <w:rPr>
          <w:rFonts w:ascii="Times New Roman" w:hAnsi="Times New Roman" w:cs="Times New Roman"/>
          <w:bCs/>
          <w:sz w:val="28"/>
        </w:rPr>
        <w:t>,</w:t>
      </w:r>
      <w:r w:rsidRPr="00AF629F">
        <w:rPr>
          <w:rFonts w:ascii="Times New Roman" w:hAnsi="Times New Roman" w:cs="Times New Roman"/>
          <w:bCs/>
          <w:sz w:val="28"/>
        </w:rPr>
        <w:t xml:space="preserve"> que modifica la forma de administración de los recursos de dicho fondo</w:t>
      </w:r>
      <w:r w:rsidRPr="00AF629F">
        <w:rPr>
          <w:rFonts w:ascii="Times New Roman" w:hAnsi="Times New Roman" w:cs="Times New Roman"/>
          <w:bCs/>
          <w:sz w:val="28"/>
        </w:rPr>
        <w:t>,</w:t>
      </w:r>
      <w:r w:rsidRPr="00AF629F">
        <w:rPr>
          <w:rFonts w:ascii="Times New Roman" w:hAnsi="Times New Roman" w:cs="Times New Roman"/>
          <w:bCs/>
          <w:sz w:val="28"/>
        </w:rPr>
        <w:t xml:space="preserve"> y que crea un escenario favorable para las fiduciarias públicas</w:t>
      </w:r>
      <w:r w:rsidRPr="00AF629F">
        <w:rPr>
          <w:rFonts w:ascii="Times New Roman" w:hAnsi="Times New Roman" w:cs="Times New Roman"/>
          <w:bCs/>
          <w:sz w:val="28"/>
        </w:rPr>
        <w:t xml:space="preserve"> en determinadas condiciones de mercado</w:t>
      </w:r>
      <w:r w:rsidRPr="00AF629F">
        <w:rPr>
          <w:rFonts w:ascii="Times New Roman" w:hAnsi="Times New Roman" w:cs="Times New Roman"/>
          <w:bCs/>
          <w:sz w:val="28"/>
        </w:rPr>
        <w:t>, tiene la idoneidad suficiente para cumplir el objetivo de mayor presencia esta</w:t>
      </w:r>
      <w:r w:rsidRPr="00AF629F">
        <w:rPr>
          <w:rFonts w:ascii="Times New Roman" w:hAnsi="Times New Roman" w:cs="Times New Roman"/>
          <w:bCs/>
          <w:sz w:val="28"/>
        </w:rPr>
        <w:t>tal en dicho sector y, por ende, aportar a la estabilidad macroeconómica</w:t>
      </w:r>
      <w:r w:rsidRPr="00AF629F">
        <w:rPr>
          <w:rFonts w:ascii="Times New Roman" w:hAnsi="Times New Roman" w:cs="Times New Roman"/>
          <w:bCs/>
          <w:sz w:val="28"/>
        </w:rPr>
        <w:t>, como uno de los ejes del PND. Lo anterior, de acuerdo con</w:t>
      </w:r>
      <w:r w:rsidRPr="00AF629F">
        <w:rPr>
          <w:rFonts w:ascii="Times New Roman" w:hAnsi="Times New Roman" w:cs="Times New Roman"/>
          <w:bCs/>
          <w:sz w:val="28"/>
        </w:rPr>
        <w:t xml:space="preserve"> el modelo económico propuesto por el </w:t>
      </w:r>
      <w:r w:rsidRPr="00AF629F">
        <w:rPr>
          <w:rFonts w:ascii="Times New Roman" w:hAnsi="Times New Roman" w:cs="Times New Roman"/>
          <w:bCs/>
          <w:sz w:val="28"/>
        </w:rPr>
        <w:t>g</w:t>
      </w:r>
      <w:r w:rsidRPr="00AF629F">
        <w:rPr>
          <w:rFonts w:ascii="Times New Roman" w:hAnsi="Times New Roman" w:cs="Times New Roman"/>
          <w:bCs/>
          <w:sz w:val="28"/>
        </w:rPr>
        <w:t xml:space="preserve">obierno </w:t>
      </w:r>
      <w:r w:rsidRPr="00AF629F">
        <w:rPr>
          <w:rFonts w:ascii="Times New Roman" w:hAnsi="Times New Roman" w:cs="Times New Roman"/>
          <w:bCs/>
          <w:sz w:val="28"/>
        </w:rPr>
        <w:t xml:space="preserve">y aprobado por el Congreso </w:t>
      </w:r>
      <w:r w:rsidRPr="00AF629F">
        <w:rPr>
          <w:rFonts w:ascii="Times New Roman" w:hAnsi="Times New Roman" w:cs="Times New Roman"/>
          <w:bCs/>
          <w:sz w:val="28"/>
        </w:rPr>
        <w:t xml:space="preserve">en las bases del plan. </w:t>
      </w:r>
      <w:r w:rsidRPr="00AF629F">
        <w:rPr>
          <w:rFonts w:ascii="Times New Roman" w:hAnsi="Times New Roman" w:cs="Times New Roman"/>
          <w:bCs/>
          <w:sz w:val="28"/>
        </w:rPr>
        <w:t>Sin embargo, la mayoría acud</w:t>
      </w:r>
      <w:r w:rsidRPr="00AF629F">
        <w:rPr>
          <w:rFonts w:ascii="Times New Roman" w:hAnsi="Times New Roman" w:cs="Times New Roman"/>
          <w:bCs/>
          <w:sz w:val="28"/>
        </w:rPr>
        <w:t xml:space="preserve">ió a </w:t>
      </w:r>
      <w:r w:rsidRPr="00AF629F">
        <w:rPr>
          <w:rFonts w:ascii="Times New Roman" w:hAnsi="Times New Roman" w:cs="Times New Roman"/>
          <w:color w:val="000000" w:themeColor="text1"/>
          <w:sz w:val="28"/>
          <w:lang w:val="es-ES_tradnl"/>
        </w:rPr>
        <w:t xml:space="preserve">nociones de idoneidad </w:t>
      </w:r>
      <w:r w:rsidRPr="00AF629F">
        <w:rPr>
          <w:rFonts w:ascii="Times New Roman" w:hAnsi="Times New Roman" w:cs="Times New Roman"/>
          <w:color w:val="000000" w:themeColor="text1"/>
          <w:sz w:val="28"/>
          <w:lang w:val="es-ES_tradnl"/>
        </w:rPr>
        <w:t>sustentadas</w:t>
      </w:r>
      <w:r w:rsidRPr="00AF629F">
        <w:rPr>
          <w:rFonts w:ascii="Times New Roman" w:hAnsi="Times New Roman" w:cs="Times New Roman"/>
          <w:color w:val="000000" w:themeColor="text1"/>
          <w:sz w:val="28"/>
          <w:lang w:val="es-ES_tradnl"/>
        </w:rPr>
        <w:t xml:space="preserve"> en la efectividad y en la generación de efectos respecto del uso de remanentes del </w:t>
      </w:r>
      <w:r w:rsidRPr="00AF629F">
        <w:rPr>
          <w:rFonts w:ascii="Times New Roman" w:hAnsi="Times New Roman" w:cs="Times New Roman"/>
          <w:color w:val="000000" w:themeColor="text1"/>
          <w:sz w:val="28"/>
          <w:lang w:val="es-ES_tradnl"/>
        </w:rPr>
        <w:t>FONPET</w:t>
      </w:r>
      <w:r w:rsidRPr="00AF629F">
        <w:rPr>
          <w:rFonts w:ascii="Times New Roman" w:hAnsi="Times New Roman" w:cs="Times New Roman"/>
          <w:color w:val="000000" w:themeColor="text1"/>
          <w:sz w:val="28"/>
          <w:lang w:val="es-ES_tradnl"/>
        </w:rPr>
        <w:t xml:space="preserve">, que no estaban contemplados en la norma censurada. </w:t>
      </w:r>
    </w:p>
    <w:p w:rsidR="006A0B9D" w:rsidRPr="00AF629F" w:rsidRDefault="00AF629F" w:rsidP="006A0B9D">
      <w:pPr>
        <w:pStyle w:val="Prrafodelista"/>
        <w:rPr>
          <w:rFonts w:ascii="Times New Roman" w:hAnsi="Times New Roman" w:cs="Times New Roman"/>
          <w:color w:val="000000" w:themeColor="text1"/>
          <w:sz w:val="28"/>
          <w:lang w:val="es-ES_tradnl"/>
        </w:rPr>
      </w:pPr>
    </w:p>
    <w:p w:rsidR="00607700" w:rsidRPr="00AF629F" w:rsidRDefault="00AF629F" w:rsidP="00790F7D">
      <w:pPr>
        <w:pStyle w:val="Prrafodelista"/>
        <w:numPr>
          <w:ilvl w:val="0"/>
          <w:numId w:val="5"/>
        </w:numPr>
        <w:tabs>
          <w:tab w:val="left" w:pos="284"/>
        </w:tabs>
        <w:ind w:left="0" w:right="51" w:firstLine="0"/>
        <w:rPr>
          <w:rFonts w:ascii="Times New Roman" w:hAnsi="Times New Roman" w:cs="Times New Roman"/>
          <w:sz w:val="28"/>
        </w:rPr>
      </w:pPr>
      <w:r w:rsidRPr="00AF629F">
        <w:rPr>
          <w:rFonts w:ascii="Times New Roman" w:hAnsi="Times New Roman" w:cs="Times New Roman"/>
          <w:color w:val="000000" w:themeColor="text1"/>
          <w:sz w:val="28"/>
          <w:lang w:val="es-ES_tradnl"/>
        </w:rPr>
        <w:t xml:space="preserve">Tales aspectos, propios de metodologías cercanas al juicio integrado de </w:t>
      </w:r>
      <w:r w:rsidRPr="00AF629F">
        <w:rPr>
          <w:rFonts w:ascii="Times New Roman" w:hAnsi="Times New Roman" w:cs="Times New Roman"/>
          <w:color w:val="000000" w:themeColor="text1"/>
          <w:sz w:val="28"/>
          <w:lang w:val="es-ES_tradnl"/>
        </w:rPr>
        <w:t>proporcionalidad, no han sido desarrollad</w:t>
      </w:r>
      <w:r w:rsidRPr="00AF629F">
        <w:rPr>
          <w:rFonts w:ascii="Times New Roman" w:hAnsi="Times New Roman" w:cs="Times New Roman"/>
          <w:color w:val="000000" w:themeColor="text1"/>
          <w:sz w:val="28"/>
          <w:lang w:val="es-ES_tradnl"/>
        </w:rPr>
        <w:t>o</w:t>
      </w:r>
      <w:r w:rsidRPr="00AF629F">
        <w:rPr>
          <w:rFonts w:ascii="Times New Roman" w:hAnsi="Times New Roman" w:cs="Times New Roman"/>
          <w:color w:val="000000" w:themeColor="text1"/>
          <w:sz w:val="28"/>
          <w:lang w:val="es-ES_tradnl"/>
        </w:rPr>
        <w:t>s con ese alcance por la jurisprudencia de la Corte Constitucional e implican escenarios altamente restrictivos que imponen cargas argumentativas que podrían resultar irrazonables para el legislador y el gobierno y</w:t>
      </w:r>
      <w:r w:rsidRPr="00AF629F">
        <w:rPr>
          <w:rFonts w:ascii="Times New Roman" w:hAnsi="Times New Roman" w:cs="Times New Roman"/>
          <w:color w:val="000000" w:themeColor="text1"/>
          <w:sz w:val="28"/>
          <w:lang w:val="es-ES_tradnl"/>
        </w:rPr>
        <w:t>, en todo caso</w:t>
      </w:r>
      <w:r w:rsidRPr="00AF629F">
        <w:rPr>
          <w:rFonts w:ascii="Times New Roman" w:hAnsi="Times New Roman" w:cs="Times New Roman"/>
          <w:bCs/>
          <w:sz w:val="28"/>
        </w:rPr>
        <w:t xml:space="preserve">, sitúan al juez constitucional como el encargado de establecer si una política pública o un instrumento que materializa </w:t>
      </w:r>
      <w:r w:rsidRPr="00AF629F">
        <w:rPr>
          <w:rFonts w:ascii="Times New Roman" w:hAnsi="Times New Roman" w:cs="Times New Roman"/>
          <w:bCs/>
          <w:sz w:val="28"/>
        </w:rPr>
        <w:t>la</w:t>
      </w:r>
      <w:r w:rsidRPr="00AF629F">
        <w:rPr>
          <w:rFonts w:ascii="Times New Roman" w:hAnsi="Times New Roman" w:cs="Times New Roman"/>
          <w:bCs/>
          <w:sz w:val="28"/>
        </w:rPr>
        <w:t xml:space="preserve"> base de</w:t>
      </w:r>
      <w:r w:rsidRPr="00AF629F">
        <w:rPr>
          <w:rFonts w:ascii="Times New Roman" w:hAnsi="Times New Roman" w:cs="Times New Roman"/>
          <w:bCs/>
          <w:sz w:val="28"/>
        </w:rPr>
        <w:t xml:space="preserve">l </w:t>
      </w:r>
      <w:r w:rsidRPr="00AF629F">
        <w:rPr>
          <w:rFonts w:ascii="Times New Roman" w:hAnsi="Times New Roman" w:cs="Times New Roman"/>
          <w:bCs/>
          <w:sz w:val="28"/>
        </w:rPr>
        <w:t>plan de gobierno es eficaz materialmente en términos del PND correspondiente.</w:t>
      </w:r>
      <w:r w:rsidRPr="00AF629F">
        <w:rPr>
          <w:rFonts w:ascii="Times New Roman" w:hAnsi="Times New Roman" w:cs="Times New Roman"/>
          <w:color w:val="000000" w:themeColor="text1"/>
          <w:sz w:val="28"/>
        </w:rPr>
        <w:t xml:space="preserve"> </w:t>
      </w:r>
      <w:r w:rsidRPr="00AF629F">
        <w:rPr>
          <w:rFonts w:ascii="Times New Roman" w:hAnsi="Times New Roman" w:cs="Times New Roman"/>
          <w:color w:val="000000" w:themeColor="text1"/>
          <w:sz w:val="28"/>
          <w:lang w:val="es-ES_tradnl"/>
        </w:rPr>
        <w:t xml:space="preserve">Con base en lo expuesto, </w:t>
      </w:r>
      <w:r w:rsidRPr="00AF629F">
        <w:rPr>
          <w:rFonts w:ascii="Times New Roman" w:hAnsi="Times New Roman" w:cs="Times New Roman"/>
          <w:color w:val="000000" w:themeColor="text1"/>
          <w:sz w:val="28"/>
          <w:lang w:val="es-ES_tradnl"/>
        </w:rPr>
        <w:t>result</w:t>
      </w:r>
      <w:r w:rsidRPr="00AF629F">
        <w:rPr>
          <w:rFonts w:ascii="Times New Roman" w:hAnsi="Times New Roman" w:cs="Times New Roman"/>
          <w:color w:val="000000" w:themeColor="text1"/>
          <w:sz w:val="28"/>
          <w:lang w:val="es-ES_tradnl"/>
        </w:rPr>
        <w:t xml:space="preserve">aba a penas lógico </w:t>
      </w:r>
      <w:r w:rsidRPr="00AF629F">
        <w:rPr>
          <w:rFonts w:ascii="Times New Roman" w:hAnsi="Times New Roman" w:cs="Times New Roman"/>
          <w:color w:val="000000" w:themeColor="text1"/>
          <w:sz w:val="28"/>
          <w:lang w:val="es-ES_tradnl"/>
        </w:rPr>
        <w:t xml:space="preserve">identificar </w:t>
      </w:r>
      <w:r w:rsidRPr="00AF629F">
        <w:rPr>
          <w:rFonts w:ascii="Times New Roman" w:hAnsi="Times New Roman" w:cs="Times New Roman"/>
          <w:color w:val="000000" w:themeColor="text1"/>
          <w:sz w:val="28"/>
        </w:rPr>
        <w:t>una relación directa e inmediata, de medio a fin, entre la norma acusada y el objetivo descrito, pues llevaba en forma inequívoca a su realización y consecución</w:t>
      </w:r>
      <w:r w:rsidRPr="00AF629F">
        <w:rPr>
          <w:rFonts w:ascii="Times New Roman" w:hAnsi="Times New Roman" w:cs="Times New Roman"/>
          <w:color w:val="000000" w:themeColor="text1"/>
          <w:sz w:val="28"/>
        </w:rPr>
        <w:t>.</w:t>
      </w:r>
    </w:p>
    <w:p w:rsidR="00790F7D" w:rsidRPr="00AF629F" w:rsidRDefault="00AF629F" w:rsidP="00790F7D">
      <w:pPr>
        <w:pStyle w:val="Prrafodelista"/>
        <w:ind w:left="0"/>
        <w:rPr>
          <w:rFonts w:ascii="Times New Roman" w:hAnsi="Times New Roman" w:cs="Times New Roman"/>
          <w:color w:val="000000" w:themeColor="text1"/>
          <w:sz w:val="28"/>
          <w:lang w:val="es-ES_tradnl"/>
        </w:rPr>
      </w:pPr>
    </w:p>
    <w:p w:rsidR="006A0B9D" w:rsidRPr="00AF629F" w:rsidRDefault="00AF629F" w:rsidP="006A0B9D">
      <w:pPr>
        <w:pStyle w:val="Prrafodelista"/>
        <w:numPr>
          <w:ilvl w:val="0"/>
          <w:numId w:val="5"/>
        </w:numPr>
        <w:tabs>
          <w:tab w:val="left" w:pos="284"/>
        </w:tabs>
        <w:ind w:left="0" w:right="51" w:firstLine="0"/>
        <w:rPr>
          <w:rFonts w:ascii="Times New Roman" w:hAnsi="Times New Roman" w:cs="Times New Roman"/>
          <w:sz w:val="28"/>
        </w:rPr>
      </w:pPr>
      <w:r w:rsidRPr="00AF629F">
        <w:rPr>
          <w:rFonts w:ascii="Times New Roman" w:hAnsi="Times New Roman" w:cs="Times New Roman"/>
          <w:sz w:val="28"/>
        </w:rPr>
        <w:t xml:space="preserve">No </w:t>
      </w:r>
      <w:r w:rsidRPr="00AF629F">
        <w:rPr>
          <w:rFonts w:ascii="Times New Roman" w:hAnsi="Times New Roman" w:cs="Times New Roman"/>
          <w:sz w:val="28"/>
        </w:rPr>
        <w:t>obstante,</w:t>
      </w:r>
      <w:r w:rsidRPr="00AF629F">
        <w:rPr>
          <w:rFonts w:ascii="Times New Roman" w:hAnsi="Times New Roman" w:cs="Times New Roman"/>
          <w:sz w:val="28"/>
        </w:rPr>
        <w:t xml:space="preserve"> no compartir ese razonamiento que sustentó la dec</w:t>
      </w:r>
      <w:r w:rsidRPr="00AF629F">
        <w:rPr>
          <w:rFonts w:ascii="Times New Roman" w:hAnsi="Times New Roman" w:cs="Times New Roman"/>
          <w:sz w:val="28"/>
        </w:rPr>
        <w:t xml:space="preserve">laratoria de inexequibilidad, considero que </w:t>
      </w:r>
      <w:r w:rsidRPr="00AF629F">
        <w:rPr>
          <w:rFonts w:ascii="Times New Roman" w:hAnsi="Times New Roman" w:cs="Times New Roman"/>
          <w:sz w:val="28"/>
        </w:rPr>
        <w:t>la medida no cumplía con el requisito de temporalidad y en consecuencia, implicaba un vaciamiento de las competencias ordinarias del legislador. En concreto, como lo ha advertido la Corte en otras oportunidad</w:t>
      </w:r>
      <w:r w:rsidRPr="00AF629F">
        <w:rPr>
          <w:rFonts w:ascii="Times New Roman" w:hAnsi="Times New Roman" w:cs="Times New Roman"/>
          <w:sz w:val="28"/>
        </w:rPr>
        <w:t>es</w:t>
      </w:r>
      <w:r w:rsidRPr="00AF629F">
        <w:rPr>
          <w:rFonts w:ascii="Times New Roman" w:hAnsi="Times New Roman" w:cs="Times New Roman"/>
          <w:sz w:val="28"/>
        </w:rPr>
        <w:t xml:space="preserve"> (</w:t>
      </w:r>
      <w:r w:rsidRPr="00AF629F">
        <w:rPr>
          <w:rFonts w:ascii="Times New Roman" w:hAnsi="Times New Roman" w:cs="Times New Roman"/>
          <w:sz w:val="28"/>
        </w:rPr>
        <w:t xml:space="preserve">entre ellas en la </w:t>
      </w:r>
      <w:r w:rsidRPr="00AF629F">
        <w:rPr>
          <w:rFonts w:ascii="Times New Roman" w:hAnsi="Times New Roman" w:cs="Times New Roman"/>
          <w:sz w:val="28"/>
        </w:rPr>
        <w:t>Sentencia C-276 de 2021)</w:t>
      </w:r>
      <w:r w:rsidRPr="00AF629F">
        <w:rPr>
          <w:rFonts w:ascii="Times New Roman" w:hAnsi="Times New Roman" w:cs="Times New Roman"/>
          <w:sz w:val="28"/>
        </w:rPr>
        <w:t>,</w:t>
      </w:r>
      <w:r w:rsidRPr="00AF629F">
        <w:rPr>
          <w:rFonts w:ascii="Times New Roman" w:hAnsi="Times New Roman" w:cs="Times New Roman"/>
          <w:sz w:val="28"/>
        </w:rPr>
        <w:t xml:space="preserve"> la disposición configuraba </w:t>
      </w:r>
      <w:r w:rsidRPr="00AF629F">
        <w:rPr>
          <w:rFonts w:ascii="Times New Roman" w:hAnsi="Times New Roman" w:cs="Times New Roman"/>
          <w:sz w:val="28"/>
        </w:rPr>
        <w:t>una regulación permanente y estructural o compleja que desplazó las competencias ordinarias del legislador y afectó el principio democrático.</w:t>
      </w:r>
    </w:p>
    <w:p w:rsidR="006A0B9D" w:rsidRPr="00AF629F" w:rsidRDefault="00AF629F" w:rsidP="006A0B9D">
      <w:pPr>
        <w:pStyle w:val="Prrafodelista"/>
        <w:rPr>
          <w:rFonts w:ascii="Times New Roman" w:hAnsi="Times New Roman" w:cs="Times New Roman"/>
          <w:color w:val="2D2D2D"/>
          <w:sz w:val="28"/>
          <w:lang w:eastAsia="es-MX"/>
        </w:rPr>
      </w:pPr>
    </w:p>
    <w:p w:rsidR="006A0B9D" w:rsidRPr="00AF629F" w:rsidRDefault="00AF629F" w:rsidP="006A0B9D">
      <w:pPr>
        <w:pStyle w:val="Prrafodelista"/>
        <w:numPr>
          <w:ilvl w:val="0"/>
          <w:numId w:val="5"/>
        </w:numPr>
        <w:tabs>
          <w:tab w:val="left" w:pos="284"/>
        </w:tabs>
        <w:ind w:left="0" w:right="51" w:firstLine="0"/>
        <w:rPr>
          <w:rFonts w:ascii="Times New Roman" w:hAnsi="Times New Roman" w:cs="Times New Roman"/>
          <w:color w:val="000000" w:themeColor="text1"/>
          <w:sz w:val="28"/>
        </w:rPr>
      </w:pPr>
      <w:r w:rsidRPr="00AF629F">
        <w:rPr>
          <w:rFonts w:ascii="Times New Roman" w:hAnsi="Times New Roman" w:cs="Times New Roman"/>
          <w:color w:val="000000" w:themeColor="text1"/>
          <w:sz w:val="28"/>
          <w:lang w:eastAsia="es-MX"/>
        </w:rPr>
        <w:t xml:space="preserve">En el presente asunto, la regulación </w:t>
      </w:r>
      <w:r w:rsidRPr="00AF629F">
        <w:rPr>
          <w:rFonts w:ascii="Times New Roman" w:hAnsi="Times New Roman" w:cs="Times New Roman"/>
          <w:color w:val="000000" w:themeColor="text1"/>
          <w:sz w:val="28"/>
          <w:lang w:eastAsia="es-MX"/>
        </w:rPr>
        <w:t>estudiada implica una reforma estructural o compleja en la manera en que se administran los recursos del F</w:t>
      </w:r>
      <w:r w:rsidRPr="00AF629F">
        <w:rPr>
          <w:rFonts w:ascii="Times New Roman" w:hAnsi="Times New Roman" w:cs="Times New Roman"/>
          <w:color w:val="000000" w:themeColor="text1"/>
          <w:sz w:val="28"/>
          <w:lang w:eastAsia="es-MX"/>
        </w:rPr>
        <w:t>ONPET</w:t>
      </w:r>
      <w:r w:rsidRPr="00AF629F">
        <w:rPr>
          <w:rFonts w:ascii="Times New Roman" w:hAnsi="Times New Roman" w:cs="Times New Roman"/>
          <w:color w:val="000000" w:themeColor="text1"/>
          <w:sz w:val="28"/>
          <w:lang w:eastAsia="es-MX"/>
        </w:rPr>
        <w:t xml:space="preserve"> y el régimen de contratación pública. Lo anterior porque: i) </w:t>
      </w:r>
      <w:r w:rsidRPr="00AF629F">
        <w:rPr>
          <w:rFonts w:ascii="Times New Roman" w:hAnsi="Times New Roman" w:cs="Times New Roman"/>
          <w:color w:val="000000" w:themeColor="text1"/>
          <w:sz w:val="28"/>
          <w:lang w:eastAsia="es-MX"/>
        </w:rPr>
        <w:t>modifica</w:t>
      </w:r>
      <w:r w:rsidRPr="00AF629F">
        <w:rPr>
          <w:rFonts w:ascii="Times New Roman" w:hAnsi="Times New Roman" w:cs="Times New Roman"/>
          <w:color w:val="000000" w:themeColor="text1"/>
          <w:sz w:val="28"/>
          <w:lang w:eastAsia="es-MX"/>
        </w:rPr>
        <w:t xml:space="preserve"> la forma de contratación al establecer una habilitación al Ministerio de H</w:t>
      </w:r>
      <w:r w:rsidRPr="00AF629F">
        <w:rPr>
          <w:rFonts w:ascii="Times New Roman" w:hAnsi="Times New Roman" w:cs="Times New Roman"/>
          <w:color w:val="000000" w:themeColor="text1"/>
          <w:sz w:val="28"/>
          <w:lang w:eastAsia="es-MX"/>
        </w:rPr>
        <w:t>acienda y Crédito Público y excepciona de forma condicionada la aplicación del régimen general de la licitación pública; ii) modifica los actores del mercado que concurren al mismo, porque crea un escenario más favorable para las fiduciarias públicas; y ii</w:t>
      </w:r>
      <w:r w:rsidRPr="00AF629F">
        <w:rPr>
          <w:rFonts w:ascii="Times New Roman" w:hAnsi="Times New Roman" w:cs="Times New Roman"/>
          <w:color w:val="000000" w:themeColor="text1"/>
          <w:sz w:val="28"/>
          <w:lang w:eastAsia="es-MX"/>
        </w:rPr>
        <w:t xml:space="preserve">i) versa sobre la administración de recursos de entidades territoriales destinados para el pago de la seguridad social. Todo lo anterior, </w:t>
      </w:r>
      <w:r w:rsidRPr="00AF629F">
        <w:rPr>
          <w:rFonts w:ascii="Times New Roman" w:hAnsi="Times New Roman" w:cs="Times New Roman"/>
          <w:color w:val="000000" w:themeColor="text1"/>
          <w:sz w:val="28"/>
          <w:lang w:eastAsia="es-MX"/>
        </w:rPr>
        <w:t>a través de</w:t>
      </w:r>
      <w:r w:rsidRPr="00AF629F">
        <w:rPr>
          <w:rFonts w:ascii="Times New Roman" w:hAnsi="Times New Roman" w:cs="Times New Roman"/>
          <w:color w:val="000000" w:themeColor="text1"/>
          <w:sz w:val="28"/>
          <w:lang w:eastAsia="es-MX"/>
        </w:rPr>
        <w:t xml:space="preserve"> una medida que se observa permanente, puesto que sus efectos se proyectarán en contratos cuya duración mín</w:t>
      </w:r>
      <w:r w:rsidRPr="00AF629F">
        <w:rPr>
          <w:rFonts w:ascii="Times New Roman" w:hAnsi="Times New Roman" w:cs="Times New Roman"/>
          <w:color w:val="000000" w:themeColor="text1"/>
          <w:sz w:val="28"/>
          <w:lang w:eastAsia="es-MX"/>
        </w:rPr>
        <w:t>ima será de 5 años</w:t>
      </w:r>
      <w:r w:rsidRPr="00AF629F">
        <w:rPr>
          <w:rFonts w:ascii="Times New Roman" w:hAnsi="Times New Roman" w:cs="Times New Roman"/>
          <w:color w:val="000000" w:themeColor="text1"/>
          <w:sz w:val="28"/>
          <w:lang w:eastAsia="es-MX"/>
        </w:rPr>
        <w:t>, lo que superar el marco temporal del PND fijado en la Constitución</w:t>
      </w:r>
      <w:r w:rsidRPr="00AF629F">
        <w:rPr>
          <w:rFonts w:ascii="Times New Roman" w:hAnsi="Times New Roman" w:cs="Times New Roman"/>
          <w:color w:val="000000" w:themeColor="text1"/>
          <w:sz w:val="28"/>
          <w:lang w:eastAsia="es-MX"/>
        </w:rPr>
        <w:t xml:space="preserve">. </w:t>
      </w:r>
      <w:r w:rsidRPr="00AF629F">
        <w:rPr>
          <w:rFonts w:ascii="Times New Roman" w:hAnsi="Times New Roman" w:cs="Times New Roman"/>
          <w:color w:val="000000" w:themeColor="text1"/>
          <w:sz w:val="28"/>
          <w:lang w:eastAsia="es-MX"/>
        </w:rPr>
        <w:t>Una medida de tal naturaleza</w:t>
      </w:r>
      <w:r w:rsidRPr="00AF629F">
        <w:rPr>
          <w:rFonts w:ascii="Times New Roman" w:hAnsi="Times New Roman" w:cs="Times New Roman"/>
          <w:color w:val="000000" w:themeColor="text1"/>
          <w:sz w:val="28"/>
          <w:lang w:eastAsia="es-MX"/>
        </w:rPr>
        <w:t xml:space="preserve"> </w:t>
      </w:r>
      <w:r w:rsidRPr="00AF629F">
        <w:rPr>
          <w:rFonts w:ascii="Times New Roman" w:hAnsi="Times New Roman" w:cs="Times New Roman"/>
          <w:color w:val="000000" w:themeColor="text1"/>
          <w:sz w:val="28"/>
          <w:lang w:eastAsia="es-MX"/>
        </w:rPr>
        <w:t>exige</w:t>
      </w:r>
      <w:r w:rsidRPr="00AF629F">
        <w:rPr>
          <w:rFonts w:ascii="Times New Roman" w:hAnsi="Times New Roman" w:cs="Times New Roman"/>
          <w:color w:val="000000" w:themeColor="text1"/>
          <w:sz w:val="28"/>
          <w:lang w:eastAsia="es-MX"/>
        </w:rPr>
        <w:t xml:space="preserve"> un amplio debate democrático</w:t>
      </w:r>
      <w:r w:rsidRPr="00AF629F">
        <w:rPr>
          <w:rFonts w:ascii="Times New Roman" w:hAnsi="Times New Roman" w:cs="Times New Roman"/>
          <w:color w:val="000000" w:themeColor="text1"/>
          <w:sz w:val="28"/>
          <w:lang w:eastAsia="es-MX"/>
        </w:rPr>
        <w:t>,</w:t>
      </w:r>
      <w:r w:rsidRPr="00AF629F">
        <w:rPr>
          <w:rFonts w:ascii="Times New Roman" w:hAnsi="Times New Roman" w:cs="Times New Roman"/>
          <w:color w:val="000000" w:themeColor="text1"/>
          <w:sz w:val="28"/>
          <w:lang w:eastAsia="es-MX"/>
        </w:rPr>
        <w:t xml:space="preserve"> que no se </w:t>
      </w:r>
      <w:r w:rsidRPr="00AF629F">
        <w:rPr>
          <w:rFonts w:ascii="Times New Roman" w:hAnsi="Times New Roman" w:cs="Times New Roman"/>
          <w:color w:val="000000" w:themeColor="text1"/>
          <w:sz w:val="28"/>
          <w:lang w:eastAsia="es-MX"/>
        </w:rPr>
        <w:t>garanti</w:t>
      </w:r>
      <w:r w:rsidRPr="00AF629F">
        <w:rPr>
          <w:rFonts w:ascii="Times New Roman" w:hAnsi="Times New Roman" w:cs="Times New Roman"/>
          <w:color w:val="000000" w:themeColor="text1"/>
          <w:sz w:val="28"/>
          <w:lang w:eastAsia="es-MX"/>
        </w:rPr>
        <w:t xml:space="preserve">zó </w:t>
      </w:r>
      <w:r w:rsidRPr="00AF629F">
        <w:rPr>
          <w:rFonts w:ascii="Times New Roman" w:hAnsi="Times New Roman" w:cs="Times New Roman"/>
          <w:color w:val="000000" w:themeColor="text1"/>
          <w:sz w:val="28"/>
          <w:lang w:eastAsia="es-MX"/>
        </w:rPr>
        <w:t>mediante</w:t>
      </w:r>
      <w:r w:rsidRPr="00AF629F">
        <w:rPr>
          <w:rFonts w:ascii="Times New Roman" w:hAnsi="Times New Roman" w:cs="Times New Roman"/>
          <w:color w:val="000000" w:themeColor="text1"/>
          <w:sz w:val="28"/>
          <w:lang w:eastAsia="es-MX"/>
        </w:rPr>
        <w:t xml:space="preserve"> </w:t>
      </w:r>
      <w:r w:rsidRPr="00AF629F">
        <w:rPr>
          <w:rFonts w:ascii="Times New Roman" w:hAnsi="Times New Roman" w:cs="Times New Roman"/>
          <w:color w:val="000000" w:themeColor="text1"/>
          <w:sz w:val="28"/>
          <w:lang w:eastAsia="es-MX"/>
        </w:rPr>
        <w:t>el trámite legislativo que corresponde</w:t>
      </w:r>
      <w:r w:rsidRPr="00AF629F">
        <w:rPr>
          <w:rFonts w:ascii="Times New Roman" w:hAnsi="Times New Roman" w:cs="Times New Roman"/>
          <w:color w:val="000000" w:themeColor="text1"/>
          <w:sz w:val="28"/>
          <w:lang w:eastAsia="es-MX"/>
        </w:rPr>
        <w:t xml:space="preserve"> </w:t>
      </w:r>
      <w:r w:rsidRPr="00AF629F">
        <w:rPr>
          <w:rFonts w:ascii="Times New Roman" w:hAnsi="Times New Roman" w:cs="Times New Roman"/>
          <w:color w:val="000000" w:themeColor="text1"/>
          <w:sz w:val="28"/>
          <w:lang w:eastAsia="es-MX"/>
        </w:rPr>
        <w:t>a</w:t>
      </w:r>
      <w:r w:rsidRPr="00AF629F">
        <w:rPr>
          <w:rFonts w:ascii="Times New Roman" w:hAnsi="Times New Roman" w:cs="Times New Roman"/>
          <w:color w:val="000000" w:themeColor="text1"/>
          <w:sz w:val="28"/>
          <w:lang w:eastAsia="es-MX"/>
        </w:rPr>
        <w:t xml:space="preserve"> la ley del plan nacional de desar</w:t>
      </w:r>
      <w:r w:rsidRPr="00AF629F">
        <w:rPr>
          <w:rFonts w:ascii="Times New Roman" w:hAnsi="Times New Roman" w:cs="Times New Roman"/>
          <w:color w:val="000000" w:themeColor="text1"/>
          <w:sz w:val="28"/>
          <w:lang w:eastAsia="es-MX"/>
        </w:rPr>
        <w:t xml:space="preserve">rollo. Por esta razón, la norma resultaba inconstitucional y se imponía su declaratoria de inexequibilidad. </w:t>
      </w:r>
    </w:p>
    <w:p w:rsidR="00F15870" w:rsidRPr="00AF629F" w:rsidRDefault="00AF629F" w:rsidP="00040A41">
      <w:pPr>
        <w:rPr>
          <w:rFonts w:ascii="Times New Roman" w:hAnsi="Times New Roman" w:cs="Times New Roman"/>
          <w:sz w:val="28"/>
        </w:rPr>
      </w:pPr>
    </w:p>
    <w:p w:rsidR="0076428E" w:rsidRPr="00AF629F" w:rsidRDefault="00AF629F" w:rsidP="00040A41">
      <w:pPr>
        <w:pStyle w:val="Prrafodelista"/>
        <w:numPr>
          <w:ilvl w:val="0"/>
          <w:numId w:val="5"/>
        </w:numPr>
        <w:tabs>
          <w:tab w:val="left" w:pos="284"/>
        </w:tabs>
        <w:ind w:left="0" w:right="51" w:firstLine="0"/>
        <w:rPr>
          <w:rFonts w:ascii="Times New Roman" w:hAnsi="Times New Roman" w:cs="Times New Roman"/>
          <w:sz w:val="28"/>
        </w:rPr>
      </w:pPr>
      <w:r w:rsidRPr="00AF629F">
        <w:rPr>
          <w:rFonts w:ascii="Times New Roman" w:hAnsi="Times New Roman" w:cs="Times New Roman"/>
          <w:sz w:val="28"/>
        </w:rPr>
        <w:t xml:space="preserve">En estos términos quedan expuestas las razones </w:t>
      </w:r>
      <w:r w:rsidRPr="00AF629F">
        <w:rPr>
          <w:rFonts w:ascii="Times New Roman" w:hAnsi="Times New Roman" w:cs="Times New Roman"/>
          <w:sz w:val="28"/>
        </w:rPr>
        <w:t xml:space="preserve">por las cuales </w:t>
      </w:r>
      <w:r w:rsidRPr="00AF629F">
        <w:rPr>
          <w:rFonts w:ascii="Times New Roman" w:hAnsi="Times New Roman" w:cs="Times New Roman"/>
          <w:sz w:val="28"/>
        </w:rPr>
        <w:t xml:space="preserve">aclaro </w:t>
      </w:r>
      <w:r w:rsidRPr="00AF629F">
        <w:rPr>
          <w:rFonts w:ascii="Times New Roman" w:hAnsi="Times New Roman" w:cs="Times New Roman"/>
          <w:sz w:val="28"/>
        </w:rPr>
        <w:t xml:space="preserve">el voto respecto de la Sentencia </w:t>
      </w:r>
      <w:r w:rsidRPr="00AF629F">
        <w:rPr>
          <w:rFonts w:ascii="Times New Roman" w:hAnsi="Times New Roman" w:cs="Times New Roman"/>
          <w:sz w:val="28"/>
        </w:rPr>
        <w:t>C-</w:t>
      </w:r>
      <w:r w:rsidRPr="00AF629F">
        <w:rPr>
          <w:rFonts w:ascii="Times New Roman" w:hAnsi="Times New Roman" w:cs="Times New Roman"/>
          <w:sz w:val="28"/>
        </w:rPr>
        <w:t>037</w:t>
      </w:r>
      <w:r w:rsidRPr="00AF629F">
        <w:rPr>
          <w:rFonts w:ascii="Times New Roman" w:hAnsi="Times New Roman" w:cs="Times New Roman"/>
          <w:sz w:val="28"/>
        </w:rPr>
        <w:t xml:space="preserve"> de 202</w:t>
      </w:r>
      <w:r w:rsidRPr="00AF629F">
        <w:rPr>
          <w:rFonts w:ascii="Times New Roman" w:hAnsi="Times New Roman" w:cs="Times New Roman"/>
          <w:sz w:val="28"/>
        </w:rPr>
        <w:t>4</w:t>
      </w:r>
      <w:r w:rsidRPr="00AF629F">
        <w:rPr>
          <w:rFonts w:ascii="Times New Roman" w:hAnsi="Times New Roman" w:cs="Times New Roman"/>
          <w:sz w:val="28"/>
        </w:rPr>
        <w:t>.</w:t>
      </w:r>
    </w:p>
    <w:p w:rsidR="0076428E" w:rsidRPr="00AF629F" w:rsidRDefault="00AF629F">
      <w:pPr>
        <w:ind w:right="-70"/>
        <w:rPr>
          <w:rFonts w:ascii="Times New Roman" w:hAnsi="Times New Roman" w:cs="Times New Roman"/>
          <w:sz w:val="28"/>
        </w:rPr>
      </w:pPr>
    </w:p>
    <w:p w:rsidR="00D571A9" w:rsidRPr="00AF629F" w:rsidRDefault="00AF629F" w:rsidP="000C3397">
      <w:pPr>
        <w:ind w:right="-70"/>
        <w:rPr>
          <w:rFonts w:ascii="Times New Roman" w:hAnsi="Times New Roman" w:cs="Times New Roman"/>
          <w:i/>
          <w:sz w:val="28"/>
        </w:rPr>
      </w:pPr>
      <w:r w:rsidRPr="00AF629F">
        <w:rPr>
          <w:rFonts w:ascii="Times New Roman" w:hAnsi="Times New Roman" w:cs="Times New Roman"/>
          <w:sz w:val="28"/>
        </w:rPr>
        <w:t>Fecha</w:t>
      </w:r>
      <w:r w:rsidRPr="00AF629F">
        <w:rPr>
          <w:rFonts w:ascii="Times New Roman" w:hAnsi="Times New Roman" w:cs="Times New Roman"/>
          <w:i/>
          <w:sz w:val="28"/>
        </w:rPr>
        <w:t xml:space="preserve"> ut supra</w:t>
      </w:r>
    </w:p>
    <w:p w:rsidR="008D7E5C" w:rsidRPr="00AF629F" w:rsidRDefault="00AF629F" w:rsidP="000C3397">
      <w:pPr>
        <w:ind w:right="-70"/>
        <w:rPr>
          <w:rFonts w:ascii="Times New Roman" w:hAnsi="Times New Roman" w:cs="Times New Roman"/>
          <w:bCs/>
          <w:sz w:val="28"/>
        </w:rPr>
      </w:pPr>
    </w:p>
    <w:p w:rsidR="008D7E5C" w:rsidRPr="00AF629F" w:rsidRDefault="00AF629F" w:rsidP="000C3397">
      <w:pPr>
        <w:ind w:right="-70"/>
        <w:rPr>
          <w:rFonts w:ascii="Times New Roman" w:hAnsi="Times New Roman" w:cs="Times New Roman"/>
          <w:bCs/>
          <w:sz w:val="28"/>
        </w:rPr>
      </w:pPr>
    </w:p>
    <w:p w:rsidR="00887CB2" w:rsidRPr="00AF629F" w:rsidRDefault="00AF629F" w:rsidP="000C3397">
      <w:pPr>
        <w:ind w:right="-70"/>
        <w:rPr>
          <w:rFonts w:ascii="Times New Roman" w:hAnsi="Times New Roman" w:cs="Times New Roman"/>
          <w:bCs/>
          <w:sz w:val="28"/>
        </w:rPr>
      </w:pPr>
    </w:p>
    <w:p w:rsidR="008D7E5C" w:rsidRPr="00AF629F" w:rsidRDefault="00AF629F" w:rsidP="008D7E5C">
      <w:pPr>
        <w:ind w:right="-70"/>
        <w:jc w:val="center"/>
        <w:rPr>
          <w:rFonts w:ascii="Times New Roman" w:hAnsi="Times New Roman" w:cs="Times New Roman"/>
          <w:b/>
          <w:sz w:val="28"/>
        </w:rPr>
      </w:pPr>
      <w:r w:rsidRPr="00AF629F">
        <w:rPr>
          <w:rFonts w:ascii="Times New Roman" w:hAnsi="Times New Roman" w:cs="Times New Roman"/>
          <w:b/>
          <w:sz w:val="28"/>
        </w:rPr>
        <w:t xml:space="preserve">JUAN </w:t>
      </w:r>
      <w:r w:rsidRPr="00AF629F">
        <w:rPr>
          <w:rFonts w:ascii="Times New Roman" w:hAnsi="Times New Roman" w:cs="Times New Roman"/>
          <w:b/>
          <w:sz w:val="28"/>
        </w:rPr>
        <w:t>CARLOS CORTÉS GONZÁLEZ</w:t>
      </w:r>
    </w:p>
    <w:p w:rsidR="008D7E5C" w:rsidRPr="00AF629F" w:rsidRDefault="00AF629F" w:rsidP="008D7E5C">
      <w:pPr>
        <w:ind w:right="-70"/>
        <w:jc w:val="center"/>
        <w:rPr>
          <w:rFonts w:ascii="Times New Roman" w:hAnsi="Times New Roman" w:cs="Times New Roman"/>
          <w:b/>
          <w:sz w:val="28"/>
        </w:rPr>
      </w:pPr>
      <w:r w:rsidRPr="00AF629F">
        <w:rPr>
          <w:rFonts w:ascii="Times New Roman" w:hAnsi="Times New Roman" w:cs="Times New Roman"/>
          <w:b/>
          <w:sz w:val="28"/>
        </w:rPr>
        <w:t>Magistrado</w:t>
      </w:r>
    </w:p>
    <w:p w:rsidR="00405980" w:rsidRPr="00AF629F" w:rsidRDefault="00AF629F" w:rsidP="006C0588">
      <w:pPr>
        <w:jc w:val="center"/>
        <w:rPr>
          <w:rFonts w:ascii="Times New Roman" w:hAnsi="Times New Roman" w:cs="Times New Roman"/>
          <w:b/>
          <w:bCs/>
          <w:sz w:val="28"/>
          <w:szCs w:val="28"/>
        </w:rPr>
      </w:pPr>
    </w:p>
    <w:p w:rsidR="00405980" w:rsidRPr="00AF629F" w:rsidRDefault="00AF629F" w:rsidP="006C0588">
      <w:pPr>
        <w:jc w:val="center"/>
        <w:rPr>
          <w:rFonts w:ascii="Times New Roman" w:hAnsi="Times New Roman" w:cs="Times New Roman"/>
          <w:b/>
          <w:bCs/>
          <w:sz w:val="28"/>
          <w:szCs w:val="28"/>
        </w:rPr>
      </w:pPr>
    </w:p>
    <w:p w:rsidR="006C0588" w:rsidRPr="00AF629F" w:rsidRDefault="00AF629F" w:rsidP="006C0588">
      <w:pPr>
        <w:jc w:val="center"/>
        <w:rPr>
          <w:rFonts w:ascii="Times New Roman" w:hAnsi="Times New Roman" w:cs="Times New Roman"/>
          <w:b/>
          <w:bCs/>
          <w:sz w:val="28"/>
          <w:szCs w:val="28"/>
        </w:rPr>
      </w:pPr>
      <w:r w:rsidRPr="00AF629F">
        <w:rPr>
          <w:rFonts w:ascii="Times New Roman" w:hAnsi="Times New Roman" w:cs="Times New Roman"/>
          <w:b/>
          <w:bCs/>
          <w:sz w:val="28"/>
          <w:szCs w:val="28"/>
        </w:rPr>
        <w:t>ACLARACIÓN DE VOTO DEL MAGISTRADO</w:t>
      </w:r>
    </w:p>
    <w:p w:rsidR="006C0588" w:rsidRPr="00AF629F" w:rsidRDefault="00AF629F" w:rsidP="006C0588">
      <w:pPr>
        <w:jc w:val="center"/>
        <w:rPr>
          <w:rFonts w:ascii="Times New Roman" w:hAnsi="Times New Roman" w:cs="Times New Roman"/>
          <w:b/>
          <w:bCs/>
          <w:sz w:val="28"/>
          <w:szCs w:val="28"/>
        </w:rPr>
      </w:pPr>
      <w:r w:rsidRPr="00AF629F">
        <w:rPr>
          <w:rFonts w:ascii="Times New Roman" w:hAnsi="Times New Roman" w:cs="Times New Roman"/>
          <w:b/>
          <w:bCs/>
          <w:sz w:val="28"/>
          <w:szCs w:val="28"/>
        </w:rPr>
        <w:t>JORGE ENRIQUE IBÁÑEZ NAJAR</w:t>
      </w:r>
    </w:p>
    <w:p w:rsidR="007B5E7C" w:rsidRPr="00AF629F" w:rsidRDefault="00AF629F" w:rsidP="006C0588">
      <w:pPr>
        <w:jc w:val="center"/>
        <w:rPr>
          <w:rFonts w:ascii="Times New Roman" w:hAnsi="Times New Roman" w:cs="Times New Roman"/>
          <w:b/>
          <w:bCs/>
          <w:sz w:val="28"/>
          <w:szCs w:val="28"/>
        </w:rPr>
      </w:pPr>
      <w:r w:rsidRPr="00AF629F">
        <w:rPr>
          <w:rFonts w:ascii="Times New Roman" w:hAnsi="Times New Roman" w:cs="Times New Roman"/>
          <w:b/>
          <w:bCs/>
          <w:sz w:val="28"/>
          <w:szCs w:val="28"/>
        </w:rPr>
        <w:t xml:space="preserve">A LA SENTENCIA </w:t>
      </w:r>
      <w:r w:rsidRPr="00AF629F">
        <w:rPr>
          <w:rFonts w:ascii="Times New Roman" w:hAnsi="Times New Roman" w:cs="Times New Roman"/>
          <w:b/>
          <w:bCs/>
          <w:sz w:val="28"/>
          <w:szCs w:val="28"/>
        </w:rPr>
        <w:t>C-037</w:t>
      </w:r>
      <w:r w:rsidRPr="00AF629F">
        <w:rPr>
          <w:rFonts w:ascii="Times New Roman" w:hAnsi="Times New Roman" w:cs="Times New Roman"/>
          <w:b/>
          <w:bCs/>
          <w:sz w:val="28"/>
          <w:szCs w:val="28"/>
        </w:rPr>
        <w:t>/</w:t>
      </w:r>
      <w:r w:rsidRPr="00AF629F">
        <w:rPr>
          <w:rFonts w:ascii="Times New Roman" w:hAnsi="Times New Roman" w:cs="Times New Roman"/>
          <w:b/>
          <w:bCs/>
          <w:sz w:val="28"/>
          <w:szCs w:val="28"/>
        </w:rPr>
        <w:t>24</w:t>
      </w:r>
      <w:r w:rsidRPr="00AF629F">
        <w:rPr>
          <w:rFonts w:ascii="Times New Roman" w:hAnsi="Times New Roman" w:cs="Times New Roman"/>
          <w:b/>
          <w:bCs/>
          <w:sz w:val="28"/>
          <w:szCs w:val="28"/>
        </w:rPr>
        <w:t xml:space="preserve"> (</w:t>
      </w:r>
      <w:r w:rsidRPr="00AF629F">
        <w:rPr>
          <w:rFonts w:ascii="Times New Roman" w:hAnsi="Times New Roman" w:cs="Times New Roman"/>
          <w:b/>
          <w:bCs/>
          <w:sz w:val="28"/>
          <w:szCs w:val="28"/>
        </w:rPr>
        <w:t>D-15350</w:t>
      </w:r>
      <w:r w:rsidRPr="00AF629F">
        <w:rPr>
          <w:rFonts w:ascii="Times New Roman" w:hAnsi="Times New Roman" w:cs="Times New Roman"/>
          <w:b/>
          <w:bCs/>
          <w:sz w:val="28"/>
          <w:szCs w:val="28"/>
        </w:rPr>
        <w:t>)</w:t>
      </w:r>
    </w:p>
    <w:p w:rsidR="007B5E7C" w:rsidRPr="00AF629F" w:rsidRDefault="00AF629F" w:rsidP="007B5E7C">
      <w:pPr>
        <w:jc w:val="both"/>
        <w:rPr>
          <w:rFonts w:ascii="Times New Roman" w:hAnsi="Times New Roman" w:cs="Times New Roman"/>
          <w:b/>
          <w:bCs/>
          <w:sz w:val="28"/>
          <w:szCs w:val="28"/>
        </w:rPr>
      </w:pPr>
    </w:p>
    <w:p w:rsidR="006C0588" w:rsidRPr="00AF629F" w:rsidRDefault="00AF629F" w:rsidP="007B5E7C">
      <w:pPr>
        <w:jc w:val="both"/>
        <w:rPr>
          <w:rFonts w:ascii="Times New Roman" w:hAnsi="Times New Roman" w:cs="Times New Roman"/>
          <w:b/>
          <w:bCs/>
          <w:sz w:val="28"/>
          <w:szCs w:val="28"/>
        </w:rPr>
      </w:pPr>
    </w:p>
    <w:p w:rsidR="000835CD" w:rsidRPr="00AF629F" w:rsidRDefault="00AF629F" w:rsidP="000835CD">
      <w:pPr>
        <w:pStyle w:val="Prrafodelista"/>
        <w:numPr>
          <w:ilvl w:val="0"/>
          <w:numId w:val="6"/>
        </w:numPr>
        <w:ind w:left="0" w:firstLine="0"/>
        <w:jc w:val="both"/>
        <w:rPr>
          <w:rFonts w:ascii="Times New Roman" w:hAnsi="Times New Roman" w:cs="Times New Roman"/>
          <w:i/>
          <w:iCs/>
          <w:sz w:val="28"/>
          <w:szCs w:val="28"/>
        </w:rPr>
      </w:pPr>
      <w:r w:rsidRPr="00AF629F">
        <w:rPr>
          <w:rFonts w:ascii="Times New Roman" w:hAnsi="Times New Roman" w:cs="Times New Roman"/>
          <w:sz w:val="28"/>
          <w:szCs w:val="28"/>
        </w:rPr>
        <w:t xml:space="preserve">Con mi acostumbrado respeto por las decisiones de la Sala Plena, debo aclarar mi voto a la Sentencia C-037 de 2024. </w:t>
      </w:r>
      <w:r w:rsidRPr="00AF629F">
        <w:rPr>
          <w:rFonts w:ascii="Times New Roman" w:hAnsi="Times New Roman" w:cs="Times New Roman"/>
          <w:sz w:val="28"/>
          <w:szCs w:val="28"/>
        </w:rPr>
        <w:t>Aunque</w:t>
      </w:r>
      <w:r w:rsidRPr="00AF629F">
        <w:rPr>
          <w:rFonts w:ascii="Times New Roman" w:hAnsi="Times New Roman" w:cs="Times New Roman"/>
          <w:sz w:val="28"/>
          <w:szCs w:val="28"/>
        </w:rPr>
        <w:t xml:space="preserve"> comparto la decisión</w:t>
      </w:r>
      <w:r w:rsidRPr="00AF629F">
        <w:rPr>
          <w:rFonts w:ascii="Times New Roman" w:hAnsi="Times New Roman" w:cs="Times New Roman"/>
          <w:sz w:val="28"/>
          <w:szCs w:val="28"/>
        </w:rPr>
        <w:t xml:space="preserve"> de inexequibilidad</w:t>
      </w:r>
      <w:r w:rsidRPr="00AF629F">
        <w:rPr>
          <w:rFonts w:ascii="Times New Roman" w:hAnsi="Times New Roman" w:cs="Times New Roman"/>
          <w:sz w:val="28"/>
          <w:szCs w:val="28"/>
        </w:rPr>
        <w:t xml:space="preserve"> que se adoptó, discrepo del análisis </w:t>
      </w:r>
      <w:r w:rsidRPr="00AF629F">
        <w:rPr>
          <w:rFonts w:ascii="Times New Roman" w:hAnsi="Times New Roman" w:cs="Times New Roman"/>
          <w:sz w:val="28"/>
          <w:szCs w:val="28"/>
        </w:rPr>
        <w:t>que se efectuó</w:t>
      </w:r>
      <w:r w:rsidRPr="00AF629F">
        <w:rPr>
          <w:rFonts w:ascii="Times New Roman" w:hAnsi="Times New Roman" w:cs="Times New Roman"/>
          <w:sz w:val="28"/>
          <w:szCs w:val="28"/>
        </w:rPr>
        <w:t xml:space="preserve"> en la providencia</w:t>
      </w:r>
      <w:r w:rsidRPr="00AF629F">
        <w:rPr>
          <w:rFonts w:ascii="Times New Roman" w:hAnsi="Times New Roman" w:cs="Times New Roman"/>
          <w:sz w:val="28"/>
          <w:szCs w:val="28"/>
        </w:rPr>
        <w:t xml:space="preserve"> para llegar a esa conclusión. En particular, porque se obvió que la razón principal para establecer que el artículo 322 de la Ley 2294 de 2023 es</w:t>
      </w:r>
      <w:r w:rsidRPr="00AF629F">
        <w:rPr>
          <w:rFonts w:ascii="Times New Roman" w:hAnsi="Times New Roman" w:cs="Times New Roman"/>
          <w:sz w:val="28"/>
          <w:szCs w:val="28"/>
        </w:rPr>
        <w:t xml:space="preserve"> inexequible se debe a que no guarda relación con los proyectos y programas incorporados </w:t>
      </w:r>
      <w:r w:rsidRPr="00AF629F">
        <w:rPr>
          <w:rFonts w:ascii="Times New Roman" w:hAnsi="Times New Roman" w:cs="Times New Roman"/>
          <w:sz w:val="28"/>
          <w:szCs w:val="28"/>
        </w:rPr>
        <w:t>en el</w:t>
      </w:r>
      <w:r w:rsidRPr="00AF629F">
        <w:rPr>
          <w:rFonts w:ascii="Times New Roman" w:hAnsi="Times New Roman" w:cs="Times New Roman"/>
          <w:sz w:val="28"/>
          <w:szCs w:val="28"/>
        </w:rPr>
        <w:t xml:space="preserve"> Plan Nacional de Inversiones. </w:t>
      </w:r>
      <w:r w:rsidRPr="00AF629F">
        <w:rPr>
          <w:rFonts w:ascii="Times New Roman" w:hAnsi="Times New Roman" w:cs="Times New Roman"/>
          <w:sz w:val="28"/>
          <w:szCs w:val="28"/>
        </w:rPr>
        <w:t xml:space="preserve">Aquel razonamiento deriva de la regla que contiene la Sentencia C-063 de 2021, </w:t>
      </w:r>
      <w:r w:rsidRPr="00AF629F">
        <w:rPr>
          <w:rFonts w:ascii="Times New Roman" w:hAnsi="Times New Roman" w:cs="Times New Roman"/>
          <w:sz w:val="28"/>
          <w:szCs w:val="28"/>
        </w:rPr>
        <w:t>que</w:t>
      </w:r>
      <w:r w:rsidRPr="00AF629F">
        <w:rPr>
          <w:rFonts w:ascii="Times New Roman" w:hAnsi="Times New Roman" w:cs="Times New Roman"/>
          <w:sz w:val="28"/>
          <w:szCs w:val="28"/>
        </w:rPr>
        <w:t xml:space="preserve"> debió ser el parámetro principal para efectos to</w:t>
      </w:r>
      <w:r w:rsidRPr="00AF629F">
        <w:rPr>
          <w:rFonts w:ascii="Times New Roman" w:hAnsi="Times New Roman" w:cs="Times New Roman"/>
          <w:sz w:val="28"/>
          <w:szCs w:val="28"/>
        </w:rPr>
        <w:t xml:space="preserve">mar de la presente decisión. </w:t>
      </w:r>
    </w:p>
    <w:p w:rsidR="008340B1" w:rsidRPr="00AF629F" w:rsidRDefault="00AF629F" w:rsidP="008340B1">
      <w:pPr>
        <w:pStyle w:val="Prrafodelista"/>
        <w:ind w:left="0"/>
        <w:jc w:val="both"/>
        <w:rPr>
          <w:rFonts w:ascii="Times New Roman" w:hAnsi="Times New Roman" w:cs="Times New Roman"/>
          <w:i/>
          <w:iCs/>
          <w:sz w:val="28"/>
          <w:szCs w:val="28"/>
        </w:rPr>
      </w:pPr>
    </w:p>
    <w:p w:rsidR="0096066E" w:rsidRPr="00AF629F" w:rsidRDefault="00AF629F" w:rsidP="00791704">
      <w:pPr>
        <w:pStyle w:val="Prrafodelista"/>
        <w:numPr>
          <w:ilvl w:val="0"/>
          <w:numId w:val="6"/>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La</w:t>
      </w:r>
      <w:r w:rsidRPr="00AF629F">
        <w:rPr>
          <w:rFonts w:ascii="Times New Roman" w:hAnsi="Times New Roman" w:cs="Times New Roman"/>
          <w:sz w:val="28"/>
          <w:szCs w:val="28"/>
        </w:rPr>
        <w:t xml:space="preserve"> sentencia </w:t>
      </w:r>
      <w:r w:rsidRPr="00AF629F">
        <w:rPr>
          <w:rFonts w:ascii="Times New Roman" w:hAnsi="Times New Roman" w:cs="Times New Roman"/>
          <w:sz w:val="28"/>
          <w:szCs w:val="28"/>
        </w:rPr>
        <w:t>frente a la cual aclaro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mi voto</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establece, a partir de la Sentencia C-415 de 2020, que la revisión del principio de unidad de materia en estos casos implica: </w:t>
      </w:r>
      <w:r w:rsidRPr="00AF629F">
        <w:rPr>
          <w:rFonts w:ascii="Times New Roman" w:hAnsi="Times New Roman" w:cs="Times New Roman"/>
          <w:i/>
          <w:iCs/>
          <w:sz w:val="28"/>
          <w:szCs w:val="28"/>
        </w:rPr>
        <w:t>(i)</w:t>
      </w:r>
      <w:r w:rsidRPr="00AF629F">
        <w:rPr>
          <w:rFonts w:ascii="Times New Roman" w:hAnsi="Times New Roman" w:cs="Times New Roman"/>
          <w:sz w:val="28"/>
          <w:szCs w:val="28"/>
        </w:rPr>
        <w:t xml:space="preserve"> determinar la ubicación y alcance de las normas demandadas, con la finalidad de establecer, prima facie, si es una disposición instrumental; </w:t>
      </w:r>
      <w:r w:rsidRPr="00AF629F">
        <w:rPr>
          <w:rFonts w:ascii="Times New Roman" w:hAnsi="Times New Roman" w:cs="Times New Roman"/>
          <w:i/>
          <w:iCs/>
          <w:sz w:val="28"/>
          <w:szCs w:val="28"/>
        </w:rPr>
        <w:t>(ii)</w:t>
      </w:r>
      <w:r w:rsidRPr="00AF629F">
        <w:rPr>
          <w:rFonts w:ascii="Times New Roman" w:hAnsi="Times New Roman" w:cs="Times New Roman"/>
          <w:sz w:val="28"/>
          <w:szCs w:val="28"/>
        </w:rPr>
        <w:t xml:space="preserve"> definir si las disposiciones acusadas pueden relacionarse con la parte general del plan; y </w:t>
      </w:r>
      <w:r w:rsidRPr="00AF629F">
        <w:rPr>
          <w:rFonts w:ascii="Times New Roman" w:hAnsi="Times New Roman" w:cs="Times New Roman"/>
          <w:i/>
          <w:iCs/>
          <w:sz w:val="28"/>
          <w:szCs w:val="28"/>
        </w:rPr>
        <w:t>(iii)</w:t>
      </w:r>
      <w:r w:rsidRPr="00AF629F">
        <w:rPr>
          <w:rFonts w:ascii="Times New Roman" w:hAnsi="Times New Roman" w:cs="Times New Roman"/>
          <w:sz w:val="28"/>
          <w:szCs w:val="28"/>
        </w:rPr>
        <w:t xml:space="preserve"> constatar qu</w:t>
      </w:r>
      <w:r w:rsidRPr="00AF629F">
        <w:rPr>
          <w:rFonts w:ascii="Times New Roman" w:hAnsi="Times New Roman" w:cs="Times New Roman"/>
          <w:sz w:val="28"/>
          <w:szCs w:val="28"/>
        </w:rPr>
        <w:t>e exista conexidad estrecha, directa e inmediata entre las normas cuestionadas y los contenidos de la parte general del plan.</w:t>
      </w:r>
      <w:r w:rsidRPr="00AF629F">
        <w:rPr>
          <w:rStyle w:val="Refdenotaalpie"/>
          <w:rFonts w:ascii="Times New Roman" w:hAnsi="Times New Roman" w:cs="Times New Roman"/>
          <w:sz w:val="28"/>
          <w:szCs w:val="28"/>
        </w:rPr>
        <w:footnoteReference w:id="66"/>
      </w:r>
      <w:r w:rsidRPr="00AF629F">
        <w:rPr>
          <w:rFonts w:ascii="Times New Roman" w:hAnsi="Times New Roman" w:cs="Times New Roman"/>
          <w:sz w:val="28"/>
          <w:szCs w:val="28"/>
        </w:rPr>
        <w:t xml:space="preserve"> Ante este último criterio de valoración, la providencia indica, en alusión a la Sentencia </w:t>
      </w:r>
      <w:r w:rsidRPr="00AF629F">
        <w:rPr>
          <w:rFonts w:ascii="Times New Roman" w:hAnsi="Times New Roman" w:cs="Times New Roman"/>
          <w:sz w:val="28"/>
          <w:szCs w:val="28"/>
        </w:rPr>
        <w:t>C-</w:t>
      </w:r>
      <w:r w:rsidRPr="00AF629F">
        <w:rPr>
          <w:rFonts w:ascii="Times New Roman" w:hAnsi="Times New Roman" w:cs="Times New Roman"/>
          <w:sz w:val="28"/>
          <w:szCs w:val="28"/>
        </w:rPr>
        <w:t xml:space="preserve">415 de 2020, que </w:t>
      </w:r>
      <w:r w:rsidRPr="00AF629F">
        <w:rPr>
          <w:rFonts w:ascii="Times New Roman" w:hAnsi="Times New Roman" w:cs="Times New Roman"/>
          <w:sz w:val="28"/>
          <w:szCs w:val="28"/>
        </w:rPr>
        <w:t xml:space="preserve">debe establecerse </w:t>
      </w:r>
      <w:r w:rsidRPr="00AF629F">
        <w:rPr>
          <w:rFonts w:ascii="Times New Roman" w:hAnsi="Times New Roman" w:cs="Times New Roman"/>
          <w:i/>
          <w:iCs/>
          <w:sz w:val="28"/>
          <w:szCs w:val="28"/>
        </w:rPr>
        <w:t>“l</w:t>
      </w:r>
      <w:r w:rsidRPr="00AF629F">
        <w:rPr>
          <w:rFonts w:ascii="Times New Roman" w:hAnsi="Times New Roman" w:cs="Times New Roman"/>
          <w:i/>
          <w:iCs/>
          <w:sz w:val="28"/>
          <w:szCs w:val="28"/>
        </w:rPr>
        <w:t xml:space="preserve">a existencia de una ‘conexión directa e inmediata (estrecha y verificable)’ entre la parte general del Plan y las disposiciones destinadas a su implementación; por tanto, las normas instrumentales objeto de análisis deberán llevar inequívocamente al logro </w:t>
      </w:r>
      <w:r w:rsidRPr="00AF629F">
        <w:rPr>
          <w:rFonts w:ascii="Times New Roman" w:hAnsi="Times New Roman" w:cs="Times New Roman"/>
          <w:i/>
          <w:iCs/>
          <w:sz w:val="28"/>
          <w:szCs w:val="28"/>
        </w:rPr>
        <w:t>de lo planteado en los componentes de la parte general”</w:t>
      </w:r>
      <w:r w:rsidRPr="00AF629F">
        <w:rPr>
          <w:rFonts w:ascii="Times New Roman" w:hAnsi="Times New Roman" w:cs="Times New Roman"/>
          <w:sz w:val="28"/>
          <w:szCs w:val="28"/>
        </w:rPr>
        <w:t>.</w:t>
      </w:r>
      <w:r w:rsidRPr="00AF629F">
        <w:rPr>
          <w:rStyle w:val="Refdenotaalpie"/>
          <w:rFonts w:ascii="Times New Roman" w:hAnsi="Times New Roman" w:cs="Times New Roman"/>
          <w:sz w:val="28"/>
          <w:szCs w:val="28"/>
        </w:rPr>
        <w:footnoteReference w:id="67"/>
      </w:r>
    </w:p>
    <w:p w:rsidR="00CA369A" w:rsidRPr="00AF629F" w:rsidRDefault="00AF629F" w:rsidP="00791704">
      <w:pPr>
        <w:rPr>
          <w:rFonts w:ascii="Times New Roman" w:hAnsi="Times New Roman" w:cs="Times New Roman"/>
          <w:sz w:val="28"/>
          <w:szCs w:val="28"/>
        </w:rPr>
      </w:pPr>
    </w:p>
    <w:p w:rsidR="001A57B1" w:rsidRPr="00AF629F" w:rsidRDefault="00AF629F" w:rsidP="001A57B1">
      <w:pPr>
        <w:pStyle w:val="Prrafodelista"/>
        <w:numPr>
          <w:ilvl w:val="0"/>
          <w:numId w:val="6"/>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En la sentencia</w:t>
      </w:r>
      <w:r w:rsidRPr="00AF629F">
        <w:rPr>
          <w:rFonts w:ascii="Times New Roman" w:hAnsi="Times New Roman" w:cs="Times New Roman"/>
          <w:sz w:val="28"/>
          <w:szCs w:val="28"/>
        </w:rPr>
        <w:t xml:space="preserve"> también</w:t>
      </w:r>
      <w:r w:rsidRPr="00AF629F">
        <w:rPr>
          <w:rFonts w:ascii="Times New Roman" w:hAnsi="Times New Roman" w:cs="Times New Roman"/>
          <w:sz w:val="28"/>
          <w:szCs w:val="28"/>
        </w:rPr>
        <w:t xml:space="preserve"> se señala que la </w:t>
      </w:r>
      <w:r w:rsidRPr="00AF629F">
        <w:rPr>
          <w:rFonts w:ascii="Times New Roman" w:hAnsi="Times New Roman" w:cs="Times New Roman"/>
          <w:sz w:val="28"/>
          <w:szCs w:val="28"/>
        </w:rPr>
        <w:t>Corte Constitucional</w:t>
      </w:r>
      <w:r w:rsidRPr="00AF629F">
        <w:rPr>
          <w:rFonts w:ascii="Times New Roman" w:hAnsi="Times New Roman" w:cs="Times New Roman"/>
          <w:sz w:val="28"/>
          <w:szCs w:val="28"/>
        </w:rPr>
        <w:t xml:space="preserve"> ha replicado este método de valoración en 13 providencias, dentro de las cuales se identifica a la Sentencia C-063 de 2021. </w:t>
      </w:r>
      <w:r w:rsidRPr="00AF629F">
        <w:rPr>
          <w:rFonts w:ascii="Times New Roman" w:hAnsi="Times New Roman" w:cs="Times New Roman"/>
          <w:sz w:val="28"/>
          <w:szCs w:val="28"/>
        </w:rPr>
        <w:t>Frente al p</w:t>
      </w:r>
      <w:r w:rsidRPr="00AF629F">
        <w:rPr>
          <w:rFonts w:ascii="Times New Roman" w:hAnsi="Times New Roman" w:cs="Times New Roman"/>
          <w:sz w:val="28"/>
          <w:szCs w:val="28"/>
        </w:rPr>
        <w:t>articular</w:t>
      </w:r>
      <w:r w:rsidRPr="00AF629F">
        <w:rPr>
          <w:rFonts w:ascii="Times New Roman" w:hAnsi="Times New Roman" w:cs="Times New Roman"/>
          <w:sz w:val="28"/>
          <w:szCs w:val="28"/>
        </w:rPr>
        <w:t xml:space="preserve">, se acota </w:t>
      </w:r>
      <w:r w:rsidRPr="00AF629F">
        <w:rPr>
          <w:rFonts w:ascii="Times New Roman" w:hAnsi="Times New Roman" w:cs="Times New Roman"/>
          <w:sz w:val="28"/>
          <w:szCs w:val="28"/>
        </w:rPr>
        <w:t xml:space="preserve">que </w:t>
      </w:r>
      <w:r w:rsidRPr="00AF629F">
        <w:rPr>
          <w:rFonts w:ascii="Times New Roman" w:hAnsi="Times New Roman" w:cs="Times New Roman"/>
          <w:sz w:val="28"/>
          <w:szCs w:val="28"/>
        </w:rPr>
        <w:t>en todas</w:t>
      </w:r>
      <w:r w:rsidRPr="00AF629F">
        <w:rPr>
          <w:rFonts w:ascii="Times New Roman" w:hAnsi="Times New Roman" w:cs="Times New Roman"/>
          <w:sz w:val="28"/>
          <w:szCs w:val="28"/>
        </w:rPr>
        <w:t xml:space="preserve"> esas</w:t>
      </w:r>
      <w:r w:rsidRPr="00AF629F">
        <w:rPr>
          <w:rFonts w:ascii="Times New Roman" w:hAnsi="Times New Roman" w:cs="Times New Roman"/>
          <w:sz w:val="28"/>
          <w:szCs w:val="28"/>
        </w:rPr>
        <w:t xml:space="preserve"> decisiones </w:t>
      </w:r>
      <w:r w:rsidRPr="00AF629F">
        <w:rPr>
          <w:rFonts w:ascii="Times New Roman" w:hAnsi="Times New Roman" w:cs="Times New Roman"/>
          <w:sz w:val="28"/>
          <w:szCs w:val="28"/>
        </w:rPr>
        <w:t>se aplicaron las reglas definidas en la Sentencia C-415 de 2020,</w:t>
      </w:r>
      <w:r w:rsidRPr="00AF629F">
        <w:rPr>
          <w:rFonts w:ascii="Times New Roman" w:hAnsi="Times New Roman" w:cs="Times New Roman"/>
          <w:i/>
          <w:iCs/>
          <w:sz w:val="28"/>
          <w:szCs w:val="28"/>
        </w:rPr>
        <w:t xml:space="preserve"> </w:t>
      </w:r>
      <w:r w:rsidRPr="00AF629F">
        <w:rPr>
          <w:rFonts w:ascii="Times New Roman" w:hAnsi="Times New Roman" w:cs="Times New Roman"/>
          <w:i/>
          <w:iCs/>
          <w:sz w:val="28"/>
          <w:szCs w:val="28"/>
        </w:rPr>
        <w:t>“con algunas variaciones, matices y precisiones</w:t>
      </w:r>
      <w:r w:rsidRPr="00AF629F">
        <w:rPr>
          <w:rFonts w:ascii="Times New Roman" w:hAnsi="Times New Roman" w:cs="Times New Roman"/>
          <w:i/>
          <w:iCs/>
          <w:sz w:val="28"/>
          <w:szCs w:val="28"/>
        </w:rPr>
        <w:t>”</w:t>
      </w:r>
      <w:r w:rsidRPr="00AF629F">
        <w:rPr>
          <w:rFonts w:ascii="Times New Roman" w:hAnsi="Times New Roman" w:cs="Times New Roman"/>
          <w:sz w:val="28"/>
          <w:szCs w:val="28"/>
        </w:rPr>
        <w:t>.</w:t>
      </w:r>
      <w:r w:rsidRPr="00AF629F">
        <w:rPr>
          <w:rStyle w:val="Refdenotaalpie"/>
          <w:rFonts w:ascii="Times New Roman" w:hAnsi="Times New Roman" w:cs="Times New Roman"/>
          <w:sz w:val="28"/>
          <w:szCs w:val="28"/>
        </w:rPr>
        <w:footnoteReference w:id="68"/>
      </w:r>
      <w:r w:rsidRPr="00AF629F">
        <w:rPr>
          <w:rFonts w:ascii="Times New Roman" w:hAnsi="Times New Roman" w:cs="Times New Roman"/>
          <w:sz w:val="28"/>
          <w:szCs w:val="28"/>
        </w:rPr>
        <w:t xml:space="preserve"> En dichos términos se </w:t>
      </w:r>
      <w:r w:rsidRPr="00AF629F">
        <w:rPr>
          <w:rFonts w:ascii="Times New Roman" w:hAnsi="Times New Roman" w:cs="Times New Roman"/>
          <w:sz w:val="28"/>
          <w:szCs w:val="28"/>
        </w:rPr>
        <w:t>sustentó</w:t>
      </w:r>
      <w:r w:rsidRPr="00AF629F">
        <w:rPr>
          <w:rFonts w:ascii="Times New Roman" w:hAnsi="Times New Roman" w:cs="Times New Roman"/>
          <w:sz w:val="28"/>
          <w:szCs w:val="28"/>
        </w:rPr>
        <w:t xml:space="preserve">, por parte de la sentencia objeto de mi aclaración, </w:t>
      </w:r>
      <w:r w:rsidRPr="00AF629F">
        <w:rPr>
          <w:rFonts w:ascii="Times New Roman" w:hAnsi="Times New Roman" w:cs="Times New Roman"/>
          <w:sz w:val="28"/>
          <w:szCs w:val="28"/>
        </w:rPr>
        <w:t xml:space="preserve">la </w:t>
      </w:r>
      <w:r w:rsidRPr="00AF629F">
        <w:rPr>
          <w:rFonts w:ascii="Times New Roman" w:hAnsi="Times New Roman" w:cs="Times New Roman"/>
          <w:sz w:val="28"/>
          <w:szCs w:val="28"/>
        </w:rPr>
        <w:t>metodología</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de valoración </w:t>
      </w:r>
      <w:r w:rsidRPr="00AF629F">
        <w:rPr>
          <w:rFonts w:ascii="Times New Roman" w:hAnsi="Times New Roman" w:cs="Times New Roman"/>
          <w:sz w:val="28"/>
          <w:szCs w:val="28"/>
        </w:rPr>
        <w:t>aplicable</w:t>
      </w:r>
      <w:r w:rsidRPr="00AF629F">
        <w:rPr>
          <w:rFonts w:ascii="Times New Roman" w:hAnsi="Times New Roman" w:cs="Times New Roman"/>
          <w:sz w:val="28"/>
          <w:szCs w:val="28"/>
        </w:rPr>
        <w:t xml:space="preserve"> para </w:t>
      </w:r>
      <w:r w:rsidRPr="00AF629F">
        <w:rPr>
          <w:rFonts w:ascii="Times New Roman" w:hAnsi="Times New Roman" w:cs="Times New Roman"/>
          <w:sz w:val="28"/>
          <w:szCs w:val="28"/>
        </w:rPr>
        <w:t>analizar</w:t>
      </w:r>
      <w:r w:rsidRPr="00AF629F">
        <w:rPr>
          <w:rFonts w:ascii="Times New Roman" w:hAnsi="Times New Roman" w:cs="Times New Roman"/>
          <w:sz w:val="28"/>
          <w:szCs w:val="28"/>
        </w:rPr>
        <w:t xml:space="preserve"> el principio de unidad de materia</w:t>
      </w:r>
      <w:r w:rsidRPr="00AF629F">
        <w:rPr>
          <w:rFonts w:ascii="Times New Roman" w:hAnsi="Times New Roman" w:cs="Times New Roman"/>
          <w:sz w:val="28"/>
          <w:szCs w:val="28"/>
        </w:rPr>
        <w:t>.</w:t>
      </w:r>
    </w:p>
    <w:p w:rsidR="006C0588" w:rsidRPr="00AF629F" w:rsidRDefault="00AF629F" w:rsidP="006C0588">
      <w:pPr>
        <w:pStyle w:val="Prrafodelista"/>
        <w:rPr>
          <w:rFonts w:ascii="Times New Roman" w:hAnsi="Times New Roman" w:cs="Times New Roman"/>
          <w:sz w:val="28"/>
          <w:szCs w:val="28"/>
        </w:rPr>
      </w:pPr>
    </w:p>
    <w:p w:rsidR="001A57B1" w:rsidRPr="00AF629F" w:rsidRDefault="00AF629F" w:rsidP="001A57B1">
      <w:pPr>
        <w:pStyle w:val="Prrafodelista"/>
        <w:numPr>
          <w:ilvl w:val="0"/>
          <w:numId w:val="6"/>
        </w:numPr>
        <w:ind w:left="0" w:firstLine="0"/>
        <w:jc w:val="both"/>
        <w:rPr>
          <w:rFonts w:ascii="Times New Roman" w:hAnsi="Times New Roman" w:cs="Times New Roman"/>
          <w:i/>
          <w:iCs/>
          <w:sz w:val="28"/>
          <w:szCs w:val="28"/>
        </w:rPr>
      </w:pPr>
      <w:r w:rsidRPr="00AF629F">
        <w:rPr>
          <w:rFonts w:ascii="Times New Roman" w:hAnsi="Times New Roman" w:cs="Times New Roman"/>
          <w:sz w:val="28"/>
          <w:szCs w:val="28"/>
        </w:rPr>
        <w:t xml:space="preserve">Aquello omite </w:t>
      </w:r>
      <w:r w:rsidRPr="00AF629F">
        <w:rPr>
          <w:rFonts w:ascii="Times New Roman" w:hAnsi="Times New Roman" w:cs="Times New Roman"/>
          <w:sz w:val="28"/>
          <w:szCs w:val="28"/>
        </w:rPr>
        <w:t xml:space="preserve">que </w:t>
      </w:r>
      <w:r w:rsidRPr="00AF629F">
        <w:rPr>
          <w:rFonts w:ascii="Times New Roman" w:hAnsi="Times New Roman" w:cs="Times New Roman"/>
          <w:sz w:val="28"/>
          <w:szCs w:val="28"/>
        </w:rPr>
        <w:t>la regla prevista en la Sentencia C-415 de 2020</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para valorar el cumplimiento del principio de unidad de materia</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se precisó</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en</w:t>
      </w:r>
      <w:r w:rsidRPr="00AF629F">
        <w:rPr>
          <w:rFonts w:ascii="Times New Roman" w:hAnsi="Times New Roman" w:cs="Times New Roman"/>
          <w:sz w:val="28"/>
          <w:szCs w:val="28"/>
        </w:rPr>
        <w:t xml:space="preserve"> Sentencia C-063 de 2021</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En efecto, con esta última decisión se acotó que la verificación del referido principio supone: </w:t>
      </w:r>
      <w:r w:rsidRPr="00AF629F">
        <w:rPr>
          <w:rFonts w:ascii="Times New Roman" w:hAnsi="Times New Roman" w:cs="Times New Roman"/>
          <w:i/>
          <w:iCs/>
          <w:sz w:val="28"/>
          <w:szCs w:val="28"/>
        </w:rPr>
        <w:t>(i)</w:t>
      </w:r>
      <w:r w:rsidRPr="00AF629F">
        <w:rPr>
          <w:rFonts w:ascii="Times New Roman" w:hAnsi="Times New Roman" w:cs="Times New Roman"/>
          <w:sz w:val="28"/>
          <w:szCs w:val="28"/>
        </w:rPr>
        <w:t xml:space="preserve"> determinar la ubicación y alcance de la norma impugnada y, a partir de ello, establecer si esta tiene o no naturaleza instrumental; </w:t>
      </w:r>
      <w:r w:rsidRPr="00AF629F">
        <w:rPr>
          <w:rFonts w:ascii="Times New Roman" w:hAnsi="Times New Roman" w:cs="Times New Roman"/>
          <w:i/>
          <w:iCs/>
          <w:sz w:val="28"/>
          <w:szCs w:val="28"/>
        </w:rPr>
        <w:t>“</w:t>
      </w:r>
      <w:r w:rsidRPr="00AF629F">
        <w:rPr>
          <w:rFonts w:ascii="Times New Roman" w:hAnsi="Times New Roman" w:cs="Times New Roman"/>
          <w:b/>
          <w:bCs/>
          <w:i/>
          <w:iCs/>
          <w:sz w:val="28"/>
          <w:szCs w:val="28"/>
        </w:rPr>
        <w:t>(ii)</w:t>
      </w:r>
      <w:r w:rsidRPr="00AF629F">
        <w:rPr>
          <w:rFonts w:ascii="Times New Roman" w:hAnsi="Times New Roman" w:cs="Times New Roman"/>
          <w:i/>
          <w:iCs/>
          <w:sz w:val="28"/>
          <w:szCs w:val="28"/>
        </w:rPr>
        <w:t xml:space="preserve"> </w:t>
      </w:r>
      <w:r w:rsidRPr="00AF629F">
        <w:rPr>
          <w:rFonts w:ascii="Times New Roman" w:hAnsi="Times New Roman" w:cs="Times New Roman"/>
          <w:b/>
          <w:bCs/>
          <w:i/>
          <w:iCs/>
          <w:sz w:val="28"/>
          <w:szCs w:val="28"/>
        </w:rPr>
        <w:t>establecer si ex</w:t>
      </w:r>
      <w:r w:rsidRPr="00AF629F">
        <w:rPr>
          <w:rFonts w:ascii="Times New Roman" w:hAnsi="Times New Roman" w:cs="Times New Roman"/>
          <w:b/>
          <w:bCs/>
          <w:i/>
          <w:iCs/>
          <w:sz w:val="28"/>
          <w:szCs w:val="28"/>
        </w:rPr>
        <w:t>isten programas o proyectos descritos de manera concreta, específica y detallada incorporados en el Plan Nacional de Inversiones que puedan relacionarse con la disposición juzgada y, de ser el caso, proceder a su caracterización</w:t>
      </w:r>
      <w:r w:rsidRPr="00AF629F">
        <w:rPr>
          <w:rFonts w:ascii="Times New Roman" w:hAnsi="Times New Roman" w:cs="Times New Roman"/>
          <w:i/>
          <w:iCs/>
          <w:sz w:val="28"/>
          <w:szCs w:val="28"/>
        </w:rPr>
        <w:t xml:space="preserve"> [; y, finalmente] </w:t>
      </w:r>
      <w:r w:rsidRPr="00AF629F">
        <w:rPr>
          <w:rFonts w:ascii="Times New Roman" w:hAnsi="Times New Roman" w:cs="Times New Roman"/>
          <w:b/>
          <w:bCs/>
          <w:i/>
          <w:iCs/>
          <w:sz w:val="28"/>
          <w:szCs w:val="28"/>
        </w:rPr>
        <w:t>(iii) det</w:t>
      </w:r>
      <w:r w:rsidRPr="00AF629F">
        <w:rPr>
          <w:rFonts w:ascii="Times New Roman" w:hAnsi="Times New Roman" w:cs="Times New Roman"/>
          <w:b/>
          <w:bCs/>
          <w:i/>
          <w:iCs/>
          <w:sz w:val="28"/>
          <w:szCs w:val="28"/>
        </w:rPr>
        <w:t>erminar si entre la disposición instrumental acusada y los programas o proyectos identificados en el paso anterior existe una conexidad directa e inmediata, de forma que la medida instrumental sea necesaria para impulsar su cumplimiento</w:t>
      </w:r>
      <w:r w:rsidRPr="00AF629F">
        <w:rPr>
          <w:rFonts w:ascii="Times New Roman" w:hAnsi="Times New Roman" w:cs="Times New Roman"/>
          <w:i/>
          <w:iCs/>
          <w:sz w:val="28"/>
          <w:szCs w:val="28"/>
        </w:rPr>
        <w:t>”</w:t>
      </w:r>
      <w:r w:rsidRPr="00AF629F">
        <w:rPr>
          <w:rFonts w:ascii="Times New Roman" w:hAnsi="Times New Roman" w:cs="Times New Roman"/>
          <w:sz w:val="28"/>
          <w:szCs w:val="28"/>
        </w:rPr>
        <w:t>.</w:t>
      </w:r>
      <w:r w:rsidRPr="00AF629F">
        <w:rPr>
          <w:rStyle w:val="Refdenotaalpie"/>
          <w:rFonts w:ascii="Times New Roman" w:hAnsi="Times New Roman" w:cs="Times New Roman"/>
          <w:sz w:val="28"/>
          <w:szCs w:val="28"/>
        </w:rPr>
        <w:footnoteReference w:id="69"/>
      </w:r>
    </w:p>
    <w:p w:rsidR="001A57B1" w:rsidRPr="00AF629F" w:rsidRDefault="00AF629F" w:rsidP="001A57B1">
      <w:pPr>
        <w:pStyle w:val="Prrafodelista"/>
        <w:rPr>
          <w:rFonts w:ascii="Times New Roman" w:hAnsi="Times New Roman" w:cs="Times New Roman"/>
          <w:sz w:val="28"/>
          <w:szCs w:val="28"/>
        </w:rPr>
      </w:pPr>
    </w:p>
    <w:p w:rsidR="001A57B1" w:rsidRPr="00AF629F" w:rsidRDefault="00AF629F" w:rsidP="001A57B1">
      <w:pPr>
        <w:pStyle w:val="Prrafodelista"/>
        <w:numPr>
          <w:ilvl w:val="0"/>
          <w:numId w:val="6"/>
        </w:numPr>
        <w:ind w:left="0" w:firstLine="0"/>
        <w:jc w:val="both"/>
        <w:rPr>
          <w:rFonts w:ascii="Times New Roman" w:hAnsi="Times New Roman" w:cs="Times New Roman"/>
          <w:i/>
          <w:iCs/>
          <w:sz w:val="28"/>
          <w:szCs w:val="28"/>
        </w:rPr>
      </w:pPr>
      <w:r w:rsidRPr="00AF629F">
        <w:rPr>
          <w:rFonts w:ascii="Times New Roman" w:hAnsi="Times New Roman" w:cs="Times New Roman"/>
          <w:sz w:val="28"/>
          <w:szCs w:val="28"/>
        </w:rPr>
        <w:t xml:space="preserve"> </w:t>
      </w:r>
      <w:r w:rsidRPr="00AF629F">
        <w:rPr>
          <w:rFonts w:ascii="Times New Roman" w:hAnsi="Times New Roman" w:cs="Times New Roman"/>
          <w:i/>
          <w:iCs/>
          <w:sz w:val="28"/>
          <w:szCs w:val="28"/>
        </w:rPr>
        <w:t xml:space="preserve"> </w:t>
      </w:r>
      <w:r w:rsidRPr="00AF629F">
        <w:rPr>
          <w:rFonts w:ascii="Times New Roman" w:hAnsi="Times New Roman" w:cs="Times New Roman"/>
          <w:sz w:val="28"/>
          <w:szCs w:val="28"/>
        </w:rPr>
        <w:t>Por consiguie</w:t>
      </w:r>
      <w:r w:rsidRPr="00AF629F">
        <w:rPr>
          <w:rFonts w:ascii="Times New Roman" w:hAnsi="Times New Roman" w:cs="Times New Roman"/>
          <w:sz w:val="28"/>
          <w:szCs w:val="28"/>
        </w:rPr>
        <w:t xml:space="preserve">nte, </w:t>
      </w:r>
      <w:r w:rsidRPr="00AF629F">
        <w:rPr>
          <w:rFonts w:ascii="Times New Roman" w:hAnsi="Times New Roman" w:cs="Times New Roman"/>
          <w:sz w:val="28"/>
          <w:szCs w:val="28"/>
        </w:rPr>
        <w:t>es</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in</w:t>
      </w:r>
      <w:r w:rsidRPr="00AF629F">
        <w:rPr>
          <w:rFonts w:ascii="Times New Roman" w:hAnsi="Times New Roman" w:cs="Times New Roman"/>
          <w:sz w:val="28"/>
          <w:szCs w:val="28"/>
        </w:rPr>
        <w:t>correcto señalar</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que la Sentencia C-063 de 2021 aplicó, </w:t>
      </w:r>
      <w:r w:rsidRPr="00AF629F">
        <w:rPr>
          <w:rFonts w:ascii="Times New Roman" w:hAnsi="Times New Roman" w:cs="Times New Roman"/>
          <w:i/>
          <w:iCs/>
          <w:sz w:val="28"/>
          <w:szCs w:val="28"/>
        </w:rPr>
        <w:t>con algunas variaciones</w:t>
      </w:r>
      <w:r w:rsidRPr="00AF629F">
        <w:rPr>
          <w:rFonts w:ascii="Times New Roman" w:hAnsi="Times New Roman" w:cs="Times New Roman"/>
          <w:sz w:val="28"/>
          <w:szCs w:val="28"/>
        </w:rPr>
        <w:t xml:space="preserve">, </w:t>
      </w:r>
      <w:r w:rsidRPr="00AF629F">
        <w:rPr>
          <w:rFonts w:ascii="Times New Roman" w:hAnsi="Times New Roman" w:cs="Times New Roman"/>
          <w:i/>
          <w:iCs/>
          <w:sz w:val="28"/>
          <w:szCs w:val="28"/>
        </w:rPr>
        <w:t>matices y precisiones</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las reglas de decisión fijadas en la Sentencia C-415 de 2020.</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Los ajustes de la Sentencia C-063 de 2021 representan una variación importante </w:t>
      </w:r>
      <w:r w:rsidRPr="00AF629F">
        <w:rPr>
          <w:rFonts w:ascii="Times New Roman" w:hAnsi="Times New Roman" w:cs="Times New Roman"/>
          <w:sz w:val="28"/>
          <w:szCs w:val="28"/>
        </w:rPr>
        <w:t>en el método de análisis, porque con</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aquella </w:t>
      </w:r>
      <w:r w:rsidRPr="00AF629F">
        <w:rPr>
          <w:rFonts w:ascii="Times New Roman" w:hAnsi="Times New Roman" w:cs="Times New Roman"/>
          <w:sz w:val="28"/>
          <w:szCs w:val="28"/>
        </w:rPr>
        <w:t xml:space="preserve">providencia se </w:t>
      </w:r>
      <w:r w:rsidRPr="00AF629F">
        <w:rPr>
          <w:rFonts w:ascii="Times New Roman" w:hAnsi="Times New Roman" w:cs="Times New Roman"/>
          <w:sz w:val="28"/>
          <w:szCs w:val="28"/>
        </w:rPr>
        <w:t>ajustan</w:t>
      </w:r>
      <w:r w:rsidRPr="00AF629F">
        <w:rPr>
          <w:rFonts w:ascii="Times New Roman" w:hAnsi="Times New Roman" w:cs="Times New Roman"/>
          <w:sz w:val="28"/>
          <w:szCs w:val="28"/>
        </w:rPr>
        <w:t xml:space="preserve"> 2 de los 3 pasos de valoración</w:t>
      </w:r>
      <w:r w:rsidRPr="00AF629F">
        <w:rPr>
          <w:rFonts w:ascii="Times New Roman" w:hAnsi="Times New Roman" w:cs="Times New Roman"/>
          <w:sz w:val="28"/>
          <w:szCs w:val="28"/>
        </w:rPr>
        <w:t xml:space="preserve"> del principio de unidad de materia</w:t>
      </w:r>
      <w:r w:rsidRPr="00AF629F">
        <w:rPr>
          <w:rFonts w:ascii="Times New Roman" w:hAnsi="Times New Roman" w:cs="Times New Roman"/>
          <w:sz w:val="28"/>
          <w:szCs w:val="28"/>
        </w:rPr>
        <w:t>. Ese ajuste</w:t>
      </w:r>
      <w:r w:rsidRPr="00AF629F">
        <w:rPr>
          <w:rFonts w:ascii="Times New Roman" w:hAnsi="Times New Roman" w:cs="Times New Roman"/>
          <w:sz w:val="28"/>
          <w:szCs w:val="28"/>
        </w:rPr>
        <w:t>, evidentemente,</w:t>
      </w:r>
      <w:r w:rsidRPr="00AF629F">
        <w:rPr>
          <w:rFonts w:ascii="Times New Roman" w:hAnsi="Times New Roman" w:cs="Times New Roman"/>
          <w:sz w:val="28"/>
          <w:szCs w:val="28"/>
        </w:rPr>
        <w:t xml:space="preserve"> tiene incidencia en la regla de valoración. Tan es así que en la Sentencia C-063 de 2021 se an</w:t>
      </w:r>
      <w:r w:rsidRPr="00AF629F">
        <w:rPr>
          <w:rFonts w:ascii="Times New Roman" w:hAnsi="Times New Roman" w:cs="Times New Roman"/>
          <w:sz w:val="28"/>
          <w:szCs w:val="28"/>
        </w:rPr>
        <w:t xml:space="preserve">otó que </w:t>
      </w:r>
      <w:r w:rsidRPr="00AF629F">
        <w:rPr>
          <w:rFonts w:ascii="Times New Roman" w:hAnsi="Times New Roman" w:cs="Times New Roman"/>
          <w:i/>
          <w:iCs/>
          <w:sz w:val="28"/>
          <w:szCs w:val="28"/>
        </w:rPr>
        <w:t>“[s]e cambia el método de análisis antes empleado”</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w:t>
      </w:r>
    </w:p>
    <w:p w:rsidR="001A57B1" w:rsidRPr="00AF629F" w:rsidRDefault="00AF629F" w:rsidP="001A57B1">
      <w:pPr>
        <w:rPr>
          <w:rFonts w:ascii="Times New Roman" w:hAnsi="Times New Roman" w:cs="Times New Roman"/>
          <w:sz w:val="28"/>
          <w:szCs w:val="28"/>
        </w:rPr>
      </w:pPr>
    </w:p>
    <w:p w:rsidR="00CA369A" w:rsidRPr="00AF629F" w:rsidRDefault="00AF629F" w:rsidP="00B040B4">
      <w:pPr>
        <w:pStyle w:val="Prrafodelista"/>
        <w:numPr>
          <w:ilvl w:val="0"/>
          <w:numId w:val="6"/>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En efecto, en la Sentencia C-063 de 2021 </w:t>
      </w:r>
      <w:r w:rsidRPr="00AF629F">
        <w:rPr>
          <w:rFonts w:ascii="Times New Roman" w:hAnsi="Times New Roman" w:cs="Times New Roman"/>
          <w:sz w:val="28"/>
          <w:szCs w:val="28"/>
        </w:rPr>
        <w:t xml:space="preserve">se acotó </w:t>
      </w:r>
      <w:r w:rsidRPr="00AF629F">
        <w:rPr>
          <w:rFonts w:ascii="Times New Roman" w:hAnsi="Times New Roman" w:cs="Times New Roman"/>
          <w:sz w:val="28"/>
          <w:szCs w:val="28"/>
        </w:rPr>
        <w:t xml:space="preserve">que </w:t>
      </w:r>
      <w:r w:rsidRPr="00AF629F">
        <w:rPr>
          <w:rFonts w:ascii="Times New Roman" w:hAnsi="Times New Roman" w:cs="Times New Roman"/>
          <w:sz w:val="28"/>
          <w:szCs w:val="28"/>
        </w:rPr>
        <w:t>el juicio de unidad de materia</w:t>
      </w:r>
      <w:r w:rsidRPr="00AF629F">
        <w:rPr>
          <w:rFonts w:ascii="Times New Roman" w:hAnsi="Times New Roman" w:cs="Times New Roman"/>
          <w:sz w:val="28"/>
          <w:szCs w:val="28"/>
        </w:rPr>
        <w:t xml:space="preserve"> supone valorar que las disposiciones instrumentales incorporadas en la ley mediante la cual se expide el Plan Nacional de Inversiones PN</w:t>
      </w:r>
      <w:r w:rsidRPr="00AF629F">
        <w:rPr>
          <w:rFonts w:ascii="Times New Roman" w:hAnsi="Times New Roman" w:cs="Times New Roman"/>
          <w:sz w:val="28"/>
          <w:szCs w:val="28"/>
        </w:rPr>
        <w:t>I</w:t>
      </w:r>
      <w:r w:rsidRPr="00AF629F">
        <w:rPr>
          <w:rFonts w:ascii="Times New Roman" w:hAnsi="Times New Roman" w:cs="Times New Roman"/>
          <w:sz w:val="28"/>
          <w:szCs w:val="28"/>
        </w:rPr>
        <w:t xml:space="preserve"> guarden conexidad directa e inmediata con los programas y proyectos de inversión pública nacional, descritos de maner</w:t>
      </w:r>
      <w:r w:rsidRPr="00AF629F">
        <w:rPr>
          <w:rFonts w:ascii="Times New Roman" w:hAnsi="Times New Roman" w:cs="Times New Roman"/>
          <w:sz w:val="28"/>
          <w:szCs w:val="28"/>
        </w:rPr>
        <w:t>a específica y detallada, y los presupuestos plurianuales de los mismos, junto con la determinación o especificación concreta de los recursos financieros y apropiaciones requeridos que se autoricen para su ejecución, definidos en la Ley del Plan Nacional d</w:t>
      </w:r>
      <w:r w:rsidRPr="00AF629F">
        <w:rPr>
          <w:rFonts w:ascii="Times New Roman" w:hAnsi="Times New Roman" w:cs="Times New Roman"/>
          <w:sz w:val="28"/>
          <w:szCs w:val="28"/>
        </w:rPr>
        <w:t xml:space="preserve">e Inversiones. </w:t>
      </w:r>
      <w:r w:rsidRPr="00AF629F">
        <w:rPr>
          <w:rFonts w:ascii="Times New Roman" w:hAnsi="Times New Roman" w:cs="Times New Roman"/>
          <w:sz w:val="28"/>
          <w:szCs w:val="28"/>
        </w:rPr>
        <w:t>Aquello</w:t>
      </w:r>
      <w:r w:rsidRPr="00AF629F">
        <w:rPr>
          <w:rFonts w:ascii="Times New Roman" w:hAnsi="Times New Roman" w:cs="Times New Roman"/>
          <w:sz w:val="28"/>
          <w:szCs w:val="28"/>
        </w:rPr>
        <w:t xml:space="preserve"> implica que</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 xml:space="preserve">citado </w:t>
      </w:r>
      <w:r w:rsidRPr="00AF629F">
        <w:rPr>
          <w:rFonts w:ascii="Times New Roman" w:hAnsi="Times New Roman" w:cs="Times New Roman"/>
          <w:sz w:val="28"/>
          <w:szCs w:val="28"/>
        </w:rPr>
        <w:t xml:space="preserve">el juicio no se </w:t>
      </w:r>
      <w:r w:rsidRPr="00AF629F">
        <w:rPr>
          <w:rFonts w:ascii="Times New Roman" w:hAnsi="Times New Roman" w:cs="Times New Roman"/>
          <w:sz w:val="28"/>
          <w:szCs w:val="28"/>
        </w:rPr>
        <w:t>surte</w:t>
      </w:r>
      <w:r w:rsidRPr="00AF629F">
        <w:rPr>
          <w:rFonts w:ascii="Times New Roman" w:hAnsi="Times New Roman" w:cs="Times New Roman"/>
          <w:sz w:val="28"/>
          <w:szCs w:val="28"/>
        </w:rPr>
        <w:t xml:space="preserve"> en función de la conexidad de la disposición acusada únicamente con las bases del Plan Nacional de Desarrollo que nunca son aprobadas. </w:t>
      </w:r>
      <w:r w:rsidRPr="00AF629F">
        <w:rPr>
          <w:rFonts w:ascii="Times New Roman" w:hAnsi="Times New Roman" w:cs="Times New Roman"/>
          <w:sz w:val="28"/>
          <w:szCs w:val="28"/>
        </w:rPr>
        <w:t xml:space="preserve">Esto, </w:t>
      </w:r>
      <w:r w:rsidRPr="00AF629F">
        <w:rPr>
          <w:rFonts w:ascii="Times New Roman" w:hAnsi="Times New Roman" w:cs="Times New Roman"/>
          <w:sz w:val="28"/>
          <w:szCs w:val="28"/>
        </w:rPr>
        <w:t>porque</w:t>
      </w:r>
      <w:r w:rsidRPr="00AF629F">
        <w:rPr>
          <w:rFonts w:ascii="Times New Roman" w:hAnsi="Times New Roman" w:cs="Times New Roman"/>
          <w:sz w:val="28"/>
          <w:szCs w:val="28"/>
        </w:rPr>
        <w:t xml:space="preserve"> no son </w:t>
      </w:r>
      <w:r w:rsidRPr="00AF629F">
        <w:rPr>
          <w:rFonts w:ascii="Times New Roman" w:hAnsi="Times New Roman" w:cs="Times New Roman"/>
          <w:sz w:val="28"/>
          <w:szCs w:val="28"/>
        </w:rPr>
        <w:t>los propósitos y objetivos nacionales</w:t>
      </w:r>
      <w:r w:rsidRPr="00AF629F">
        <w:rPr>
          <w:rFonts w:ascii="Times New Roman" w:hAnsi="Times New Roman" w:cs="Times New Roman"/>
          <w:sz w:val="28"/>
          <w:szCs w:val="28"/>
        </w:rPr>
        <w:t xml:space="preserve">, las metas y prioridades, las estrategias y las orientaciones generales los que deben instrumentalizarse mediante la parte dispositiva de la ley </w:t>
      </w:r>
      <w:r w:rsidRPr="00AF629F">
        <w:rPr>
          <w:rFonts w:ascii="Times New Roman" w:hAnsi="Times New Roman" w:cs="Times New Roman"/>
          <w:sz w:val="28"/>
          <w:szCs w:val="28"/>
        </w:rPr>
        <w:t>con</w:t>
      </w:r>
      <w:r w:rsidRPr="00AF629F">
        <w:rPr>
          <w:rFonts w:ascii="Times New Roman" w:hAnsi="Times New Roman" w:cs="Times New Roman"/>
          <w:sz w:val="28"/>
          <w:szCs w:val="28"/>
        </w:rPr>
        <w:t xml:space="preserve"> la cual se expide el Plan Nacional de Inversiones PND.</w:t>
      </w:r>
    </w:p>
    <w:p w:rsidR="00CA369A" w:rsidRPr="00AF629F" w:rsidRDefault="00AF629F" w:rsidP="00CA369A">
      <w:pPr>
        <w:pStyle w:val="Prrafodelista"/>
        <w:rPr>
          <w:rFonts w:ascii="Times New Roman" w:hAnsi="Times New Roman" w:cs="Times New Roman"/>
          <w:sz w:val="28"/>
          <w:szCs w:val="28"/>
        </w:rPr>
      </w:pPr>
    </w:p>
    <w:p w:rsidR="006F79E1" w:rsidRPr="00AF629F" w:rsidRDefault="00AF629F" w:rsidP="006F79E1">
      <w:pPr>
        <w:pStyle w:val="Prrafodelista"/>
        <w:numPr>
          <w:ilvl w:val="0"/>
          <w:numId w:val="6"/>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La sentencia frente a la cual aclaro mi voto no re</w:t>
      </w:r>
      <w:r w:rsidRPr="00AF629F">
        <w:rPr>
          <w:rFonts w:ascii="Times New Roman" w:hAnsi="Times New Roman" w:cs="Times New Roman"/>
          <w:sz w:val="28"/>
          <w:szCs w:val="28"/>
        </w:rPr>
        <w:t xml:space="preserve">caba en lo anterior. La declaratoria de inexequibilidad </w:t>
      </w:r>
      <w:r w:rsidRPr="00AF629F">
        <w:rPr>
          <w:rFonts w:ascii="Times New Roman" w:hAnsi="Times New Roman" w:cs="Times New Roman"/>
          <w:sz w:val="28"/>
          <w:szCs w:val="28"/>
        </w:rPr>
        <w:t>d</w:t>
      </w:r>
      <w:r w:rsidRPr="00AF629F">
        <w:rPr>
          <w:rFonts w:ascii="Times New Roman" w:hAnsi="Times New Roman" w:cs="Times New Roman"/>
          <w:sz w:val="28"/>
          <w:szCs w:val="28"/>
        </w:rPr>
        <w:t>el artículo 322 de la Ley 2294 de 2023 se hace consistir en que dicha disposición</w:t>
      </w:r>
      <w:r w:rsidRPr="00AF629F">
        <w:rPr>
          <w:rFonts w:ascii="Times New Roman" w:hAnsi="Times New Roman" w:cs="Times New Roman"/>
          <w:sz w:val="28"/>
          <w:szCs w:val="28"/>
        </w:rPr>
        <w:t xml:space="preserve"> </w:t>
      </w:r>
      <w:r w:rsidRPr="00AF629F">
        <w:rPr>
          <w:rFonts w:ascii="Times New Roman" w:hAnsi="Times New Roman" w:cs="Times New Roman"/>
          <w:i/>
          <w:iCs/>
          <w:sz w:val="28"/>
          <w:szCs w:val="28"/>
        </w:rPr>
        <w:t xml:space="preserve">“no persigue un fin planificador ni de impulso a la ejecución del plan cuatrienal, y no es claro que la medida que </w:t>
      </w:r>
      <w:r w:rsidRPr="00AF629F">
        <w:rPr>
          <w:rFonts w:ascii="Times New Roman" w:hAnsi="Times New Roman" w:cs="Times New Roman"/>
          <w:i/>
          <w:iCs/>
          <w:sz w:val="28"/>
          <w:szCs w:val="28"/>
        </w:rPr>
        <w:t>incorpora tenga relación de conexidad estrecha, directa e inmediata con las políticas y estrategias que guiarán la acción del Gobierno en función de alcanzar los objetivos y metas fijados en la parte general del plan, o con los programas y proyectos del pl</w:t>
      </w:r>
      <w:r w:rsidRPr="00AF629F">
        <w:rPr>
          <w:rFonts w:ascii="Times New Roman" w:hAnsi="Times New Roman" w:cs="Times New Roman"/>
          <w:i/>
          <w:iCs/>
          <w:sz w:val="28"/>
          <w:szCs w:val="28"/>
        </w:rPr>
        <w:t>an de inversiones”</w:t>
      </w:r>
      <w:r w:rsidRPr="00AF629F">
        <w:rPr>
          <w:rFonts w:ascii="Times New Roman" w:hAnsi="Times New Roman" w:cs="Times New Roman"/>
          <w:sz w:val="28"/>
          <w:szCs w:val="28"/>
        </w:rPr>
        <w:t>.</w:t>
      </w:r>
      <w:r w:rsidRPr="00AF629F">
        <w:rPr>
          <w:rStyle w:val="Refdenotaalpie"/>
          <w:rFonts w:ascii="Times New Roman" w:hAnsi="Times New Roman" w:cs="Times New Roman"/>
          <w:sz w:val="28"/>
          <w:szCs w:val="28"/>
        </w:rPr>
        <w:footnoteReference w:id="70"/>
      </w:r>
      <w:r w:rsidRPr="00AF629F">
        <w:rPr>
          <w:rFonts w:ascii="Times New Roman" w:hAnsi="Times New Roman" w:cs="Times New Roman"/>
          <w:sz w:val="28"/>
          <w:szCs w:val="28"/>
        </w:rPr>
        <w:t xml:space="preserve"> </w:t>
      </w:r>
    </w:p>
    <w:p w:rsidR="006F79E1" w:rsidRPr="00AF629F" w:rsidRDefault="00AF629F" w:rsidP="006F79E1">
      <w:pPr>
        <w:pStyle w:val="Prrafodelista"/>
        <w:rPr>
          <w:rFonts w:ascii="Times New Roman" w:hAnsi="Times New Roman" w:cs="Times New Roman"/>
          <w:sz w:val="28"/>
          <w:szCs w:val="28"/>
        </w:rPr>
      </w:pPr>
    </w:p>
    <w:p w:rsidR="00F55332" w:rsidRPr="00AF629F" w:rsidRDefault="00AF629F" w:rsidP="006F79E1">
      <w:pPr>
        <w:pStyle w:val="Prrafodelista"/>
        <w:numPr>
          <w:ilvl w:val="0"/>
          <w:numId w:val="6"/>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 xml:space="preserve">Nótese, en consecuencia, que el razonamiento propuesto en la Sentencia C-037 de 2024: </w:t>
      </w:r>
      <w:r w:rsidRPr="00AF629F">
        <w:rPr>
          <w:rFonts w:ascii="Times New Roman" w:hAnsi="Times New Roman" w:cs="Times New Roman"/>
          <w:i/>
          <w:iCs/>
          <w:sz w:val="28"/>
          <w:szCs w:val="28"/>
        </w:rPr>
        <w:t>(i)</w:t>
      </w:r>
      <w:r w:rsidRPr="00AF629F">
        <w:rPr>
          <w:rFonts w:ascii="Times New Roman" w:hAnsi="Times New Roman" w:cs="Times New Roman"/>
          <w:sz w:val="28"/>
          <w:szCs w:val="28"/>
        </w:rPr>
        <w:t xml:space="preserve"> </w:t>
      </w:r>
      <w:r w:rsidRPr="00AF629F">
        <w:rPr>
          <w:rFonts w:ascii="Times New Roman" w:hAnsi="Times New Roman" w:cs="Times New Roman"/>
          <w:sz w:val="28"/>
          <w:szCs w:val="28"/>
        </w:rPr>
        <w:t>no se ciñe al precedente constitucional vigente en relación con el juicio de unidad de materia, pues no evalúa el cumplimiento de este principi</w:t>
      </w:r>
      <w:r w:rsidRPr="00AF629F">
        <w:rPr>
          <w:rFonts w:ascii="Times New Roman" w:hAnsi="Times New Roman" w:cs="Times New Roman"/>
          <w:sz w:val="28"/>
          <w:szCs w:val="28"/>
        </w:rPr>
        <w:t xml:space="preserve">o a partir de la relación entre la disposición con los programas o proyectos descritos de manera concreta, específica y detallada incorporados en el Plan Nacional de Inversiones; y, por lo mismo, </w:t>
      </w:r>
      <w:r w:rsidRPr="00AF629F">
        <w:rPr>
          <w:rFonts w:ascii="Times New Roman" w:hAnsi="Times New Roman" w:cs="Times New Roman"/>
          <w:i/>
          <w:iCs/>
          <w:sz w:val="28"/>
          <w:szCs w:val="28"/>
        </w:rPr>
        <w:t>(ii)</w:t>
      </w:r>
      <w:r w:rsidRPr="00AF629F">
        <w:rPr>
          <w:rFonts w:ascii="Times New Roman" w:hAnsi="Times New Roman" w:cs="Times New Roman"/>
          <w:sz w:val="28"/>
          <w:szCs w:val="28"/>
        </w:rPr>
        <w:t xml:space="preserve"> retrocede en el avance que trajo consigo la Sentencia C</w:t>
      </w:r>
      <w:r w:rsidRPr="00AF629F">
        <w:rPr>
          <w:rFonts w:ascii="Times New Roman" w:hAnsi="Times New Roman" w:cs="Times New Roman"/>
          <w:sz w:val="28"/>
          <w:szCs w:val="28"/>
        </w:rPr>
        <w:t>-063 de 2021</w:t>
      </w:r>
      <w:r w:rsidRPr="00AF629F">
        <w:rPr>
          <w:rFonts w:ascii="Times New Roman" w:hAnsi="Times New Roman" w:cs="Times New Roman"/>
          <w:sz w:val="28"/>
          <w:szCs w:val="28"/>
        </w:rPr>
        <w:t>,</w:t>
      </w:r>
      <w:r w:rsidRPr="00AF629F">
        <w:rPr>
          <w:rFonts w:ascii="Times New Roman" w:hAnsi="Times New Roman" w:cs="Times New Roman"/>
          <w:sz w:val="28"/>
          <w:szCs w:val="28"/>
        </w:rPr>
        <w:t xml:space="preserve"> pues regresa a un parámetro de verificación del juicio de unidad materia con fundamento únicamente en las bases del Plan Nacional de Desarrollo</w:t>
      </w:r>
      <w:r w:rsidRPr="00AF629F">
        <w:rPr>
          <w:rFonts w:ascii="Times New Roman" w:hAnsi="Times New Roman" w:cs="Times New Roman"/>
          <w:sz w:val="28"/>
          <w:szCs w:val="28"/>
        </w:rPr>
        <w:t>, que</w:t>
      </w:r>
      <w:r w:rsidRPr="00AF629F">
        <w:rPr>
          <w:rFonts w:ascii="Times New Roman" w:hAnsi="Times New Roman" w:cs="Times New Roman"/>
          <w:sz w:val="28"/>
          <w:szCs w:val="28"/>
        </w:rPr>
        <w:t xml:space="preserve"> es meramente indicativo, orientador y no contiene reglas de imperativo cumplimiento para nadi</w:t>
      </w:r>
      <w:r w:rsidRPr="00AF629F">
        <w:rPr>
          <w:rFonts w:ascii="Times New Roman" w:hAnsi="Times New Roman" w:cs="Times New Roman"/>
          <w:sz w:val="28"/>
          <w:szCs w:val="28"/>
        </w:rPr>
        <w:t>e.</w:t>
      </w:r>
    </w:p>
    <w:p w:rsidR="008C5520" w:rsidRPr="00AF629F" w:rsidRDefault="00AF629F" w:rsidP="008C5520">
      <w:pPr>
        <w:rPr>
          <w:rFonts w:ascii="Times New Roman" w:hAnsi="Times New Roman" w:cs="Times New Roman"/>
          <w:sz w:val="28"/>
          <w:szCs w:val="28"/>
        </w:rPr>
      </w:pPr>
    </w:p>
    <w:p w:rsidR="008C5520" w:rsidRPr="00AF629F" w:rsidRDefault="00AF629F" w:rsidP="00B510F6">
      <w:pPr>
        <w:pStyle w:val="Prrafodelista"/>
        <w:numPr>
          <w:ilvl w:val="0"/>
          <w:numId w:val="6"/>
        </w:numPr>
        <w:ind w:left="0" w:firstLine="0"/>
        <w:jc w:val="both"/>
        <w:rPr>
          <w:rFonts w:ascii="Times New Roman" w:hAnsi="Times New Roman" w:cs="Times New Roman"/>
          <w:sz w:val="28"/>
          <w:szCs w:val="28"/>
        </w:rPr>
      </w:pPr>
      <w:r w:rsidRPr="00AF629F">
        <w:rPr>
          <w:rFonts w:ascii="Times New Roman" w:hAnsi="Times New Roman" w:cs="Times New Roman"/>
          <w:sz w:val="28"/>
          <w:szCs w:val="28"/>
        </w:rPr>
        <w:t>L</w:t>
      </w:r>
      <w:r w:rsidRPr="00AF629F">
        <w:rPr>
          <w:rFonts w:ascii="Times New Roman" w:hAnsi="Times New Roman" w:cs="Times New Roman"/>
          <w:sz w:val="28"/>
          <w:szCs w:val="28"/>
        </w:rPr>
        <w:t xml:space="preserve">a Sala Plena </w:t>
      </w:r>
      <w:r w:rsidRPr="00AF629F">
        <w:rPr>
          <w:rFonts w:ascii="Times New Roman" w:hAnsi="Times New Roman" w:cs="Times New Roman"/>
          <w:sz w:val="28"/>
          <w:szCs w:val="28"/>
        </w:rPr>
        <w:t xml:space="preserve">debió aplicar </w:t>
      </w:r>
      <w:r w:rsidRPr="00AF629F">
        <w:rPr>
          <w:rFonts w:ascii="Times New Roman" w:hAnsi="Times New Roman" w:cs="Times New Roman"/>
          <w:sz w:val="28"/>
          <w:szCs w:val="28"/>
        </w:rPr>
        <w:t>el estándar vigente para analizar el juicio de unidad de materia frente al artículo 3</w:t>
      </w:r>
      <w:r w:rsidRPr="00AF629F">
        <w:rPr>
          <w:rFonts w:ascii="Times New Roman" w:hAnsi="Times New Roman" w:cs="Times New Roman"/>
          <w:sz w:val="28"/>
          <w:szCs w:val="28"/>
        </w:rPr>
        <w:t>2</w:t>
      </w:r>
      <w:r w:rsidRPr="00AF629F">
        <w:rPr>
          <w:rFonts w:ascii="Times New Roman" w:hAnsi="Times New Roman" w:cs="Times New Roman"/>
          <w:sz w:val="28"/>
          <w:szCs w:val="28"/>
        </w:rPr>
        <w:t>2 de la Ley 2294 de 2023</w:t>
      </w:r>
      <w:r w:rsidRPr="00AF629F">
        <w:rPr>
          <w:rFonts w:ascii="Times New Roman" w:hAnsi="Times New Roman" w:cs="Times New Roman"/>
          <w:sz w:val="28"/>
          <w:szCs w:val="28"/>
        </w:rPr>
        <w:t>. De haberlo hecho, h</w:t>
      </w:r>
      <w:r w:rsidRPr="00AF629F">
        <w:rPr>
          <w:rFonts w:ascii="Times New Roman" w:hAnsi="Times New Roman" w:cs="Times New Roman"/>
          <w:sz w:val="28"/>
          <w:szCs w:val="28"/>
        </w:rPr>
        <w:t xml:space="preserve">abría </w:t>
      </w:r>
      <w:r w:rsidRPr="00AF629F">
        <w:rPr>
          <w:rFonts w:ascii="Times New Roman" w:hAnsi="Times New Roman" w:cs="Times New Roman"/>
          <w:sz w:val="28"/>
          <w:szCs w:val="28"/>
        </w:rPr>
        <w:t>llegado</w:t>
      </w:r>
      <w:r w:rsidRPr="00AF629F">
        <w:rPr>
          <w:rFonts w:ascii="Times New Roman" w:hAnsi="Times New Roman" w:cs="Times New Roman"/>
          <w:sz w:val="28"/>
          <w:szCs w:val="28"/>
        </w:rPr>
        <w:t xml:space="preserve"> a la misma conclusión</w:t>
      </w:r>
      <w:r w:rsidRPr="00AF629F">
        <w:rPr>
          <w:rFonts w:ascii="Times New Roman" w:hAnsi="Times New Roman" w:cs="Times New Roman"/>
          <w:sz w:val="28"/>
          <w:szCs w:val="28"/>
        </w:rPr>
        <w:t xml:space="preserve"> sobre la </w:t>
      </w:r>
      <w:r w:rsidRPr="00AF629F">
        <w:rPr>
          <w:rFonts w:ascii="Times New Roman" w:hAnsi="Times New Roman" w:cs="Times New Roman"/>
          <w:sz w:val="28"/>
          <w:szCs w:val="28"/>
        </w:rPr>
        <w:t>inexequibilidad</w:t>
      </w:r>
      <w:r w:rsidRPr="00AF629F">
        <w:rPr>
          <w:rFonts w:ascii="Times New Roman" w:hAnsi="Times New Roman" w:cs="Times New Roman"/>
          <w:sz w:val="28"/>
          <w:szCs w:val="28"/>
        </w:rPr>
        <w:t xml:space="preserve"> de la norma</w:t>
      </w:r>
      <w:r w:rsidRPr="00AF629F">
        <w:rPr>
          <w:rFonts w:ascii="Times New Roman" w:hAnsi="Times New Roman" w:cs="Times New Roman"/>
          <w:sz w:val="28"/>
          <w:szCs w:val="28"/>
        </w:rPr>
        <w:t xml:space="preserve">. En efecto, </w:t>
      </w:r>
      <w:r w:rsidRPr="00AF629F">
        <w:rPr>
          <w:rFonts w:ascii="Times New Roman" w:hAnsi="Times New Roman" w:cs="Times New Roman"/>
          <w:sz w:val="28"/>
          <w:szCs w:val="28"/>
        </w:rPr>
        <w:t xml:space="preserve">si hubiera revisado </w:t>
      </w:r>
      <w:r w:rsidRPr="00AF629F">
        <w:rPr>
          <w:rFonts w:ascii="Times New Roman" w:hAnsi="Times New Roman" w:cs="Times New Roman"/>
          <w:sz w:val="28"/>
          <w:szCs w:val="28"/>
        </w:rPr>
        <w:t xml:space="preserve">el cumplimiento del citado juicio en función de la conexidad del artículo </w:t>
      </w:r>
      <w:r w:rsidRPr="00AF629F">
        <w:rPr>
          <w:rFonts w:ascii="Times New Roman" w:hAnsi="Times New Roman" w:cs="Times New Roman"/>
          <w:sz w:val="28"/>
          <w:szCs w:val="28"/>
        </w:rPr>
        <w:t>demandado</w:t>
      </w:r>
      <w:r w:rsidRPr="00AF629F">
        <w:rPr>
          <w:rFonts w:ascii="Times New Roman" w:hAnsi="Times New Roman" w:cs="Times New Roman"/>
          <w:sz w:val="28"/>
          <w:szCs w:val="28"/>
        </w:rPr>
        <w:t xml:space="preserve"> a partir de los proyectos y programas específicos y los instrumentos financieros previstos en el Plan Nacional de Inversiones, podría haber determinado </w:t>
      </w:r>
      <w:r w:rsidRPr="00AF629F">
        <w:rPr>
          <w:rFonts w:ascii="Times New Roman" w:hAnsi="Times New Roman" w:cs="Times New Roman"/>
          <w:sz w:val="28"/>
          <w:szCs w:val="28"/>
        </w:rPr>
        <w:t xml:space="preserve">que aquella disposición instrumental no se relaciona con los referidos proyectos y programas. </w:t>
      </w:r>
      <w:r w:rsidRPr="00AF629F">
        <w:rPr>
          <w:rFonts w:ascii="Times New Roman" w:hAnsi="Times New Roman" w:cs="Times New Roman"/>
          <w:sz w:val="28"/>
          <w:szCs w:val="28"/>
        </w:rPr>
        <w:t xml:space="preserve">Le correspondía a la Sala entonces haber sustentado la decisión que adoptó con fundamento en ese método de análisis. </w:t>
      </w:r>
    </w:p>
    <w:p w:rsidR="008C5520" w:rsidRPr="00AF629F" w:rsidRDefault="00AF629F" w:rsidP="00C06C30">
      <w:pPr>
        <w:rPr>
          <w:rFonts w:ascii="Times New Roman" w:hAnsi="Times New Roman" w:cs="Times New Roman"/>
          <w:sz w:val="28"/>
          <w:szCs w:val="28"/>
        </w:rPr>
      </w:pPr>
    </w:p>
    <w:p w:rsidR="00E721B6" w:rsidRPr="00AF629F" w:rsidRDefault="00AF629F" w:rsidP="00F51134">
      <w:pPr>
        <w:pStyle w:val="Prrafodelista"/>
        <w:ind w:left="0"/>
        <w:jc w:val="both"/>
        <w:rPr>
          <w:rFonts w:ascii="Times New Roman" w:hAnsi="Times New Roman" w:cs="Times New Roman"/>
          <w:sz w:val="28"/>
          <w:szCs w:val="28"/>
        </w:rPr>
      </w:pPr>
      <w:r w:rsidRPr="00AF629F">
        <w:rPr>
          <w:rFonts w:ascii="Times New Roman" w:hAnsi="Times New Roman" w:cs="Times New Roman"/>
          <w:sz w:val="28"/>
          <w:szCs w:val="28"/>
        </w:rPr>
        <w:t>En los términos expuestos, y con el acostum</w:t>
      </w:r>
      <w:r w:rsidRPr="00AF629F">
        <w:rPr>
          <w:rFonts w:ascii="Times New Roman" w:hAnsi="Times New Roman" w:cs="Times New Roman"/>
          <w:sz w:val="28"/>
          <w:szCs w:val="28"/>
        </w:rPr>
        <w:t>brado respeto por las decisiones de la Sala Plena, dejo constancia de las razones que condujeron a aclarar mi voto en esta oportunidad.</w:t>
      </w:r>
    </w:p>
    <w:p w:rsidR="00881D45" w:rsidRPr="00AF629F" w:rsidRDefault="00AF629F" w:rsidP="00F51134">
      <w:pPr>
        <w:pStyle w:val="Prrafodelista"/>
        <w:ind w:left="0"/>
        <w:jc w:val="both"/>
        <w:rPr>
          <w:rFonts w:ascii="Times New Roman" w:hAnsi="Times New Roman" w:cs="Times New Roman"/>
          <w:sz w:val="28"/>
          <w:szCs w:val="28"/>
        </w:rPr>
      </w:pPr>
    </w:p>
    <w:p w:rsidR="00881D45" w:rsidRPr="00AF629F" w:rsidRDefault="00AF629F" w:rsidP="00F51134">
      <w:pPr>
        <w:pStyle w:val="Prrafodelista"/>
        <w:ind w:left="0"/>
        <w:jc w:val="both"/>
        <w:rPr>
          <w:rFonts w:ascii="Times New Roman" w:hAnsi="Times New Roman" w:cs="Times New Roman"/>
          <w:sz w:val="28"/>
          <w:szCs w:val="28"/>
        </w:rPr>
      </w:pPr>
    </w:p>
    <w:p w:rsidR="00881D45" w:rsidRPr="00AF629F" w:rsidRDefault="00AF629F" w:rsidP="00881D45">
      <w:pPr>
        <w:pStyle w:val="Prrafodelista"/>
        <w:ind w:left="0"/>
        <w:jc w:val="center"/>
        <w:rPr>
          <w:rFonts w:ascii="Times New Roman" w:hAnsi="Times New Roman" w:cs="Times New Roman"/>
          <w:b/>
          <w:bCs/>
          <w:sz w:val="28"/>
          <w:szCs w:val="28"/>
        </w:rPr>
      </w:pPr>
      <w:r w:rsidRPr="00AF629F">
        <w:rPr>
          <w:rFonts w:ascii="Times New Roman" w:hAnsi="Times New Roman" w:cs="Times New Roman"/>
          <w:b/>
          <w:bCs/>
          <w:sz w:val="28"/>
          <w:szCs w:val="28"/>
        </w:rPr>
        <w:t xml:space="preserve">JORGE ENRIQUE IBÁÑEZ NAJAR </w:t>
      </w:r>
    </w:p>
    <w:p w:rsidR="00881D45" w:rsidRPr="00AF629F" w:rsidRDefault="00AF629F" w:rsidP="00881D45">
      <w:pPr>
        <w:pStyle w:val="Prrafodelista"/>
        <w:ind w:left="0"/>
        <w:jc w:val="center"/>
        <w:rPr>
          <w:rFonts w:ascii="Times New Roman" w:hAnsi="Times New Roman" w:cs="Times New Roman"/>
          <w:b/>
          <w:bCs/>
          <w:sz w:val="28"/>
          <w:szCs w:val="28"/>
        </w:rPr>
      </w:pPr>
      <w:r w:rsidRPr="00AF629F">
        <w:rPr>
          <w:rFonts w:ascii="Times New Roman" w:hAnsi="Times New Roman" w:cs="Times New Roman"/>
          <w:b/>
          <w:bCs/>
          <w:sz w:val="28"/>
          <w:szCs w:val="28"/>
        </w:rPr>
        <w:t>Magistrado</w:t>
      </w:r>
    </w:p>
    <w:sectPr w:rsidR="00881D45" w:rsidRPr="00AF629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F629F">
      <w:pPr>
        <w:spacing w:after="0" w:line="240" w:lineRule="auto"/>
      </w:pPr>
      <w:r>
        <w:separator/>
      </w:r>
    </w:p>
  </w:endnote>
  <w:endnote w:type="continuationSeparator" w:id="0">
    <w:p w:rsidR="00000000" w:rsidRDefault="00AF6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altName w:val="????????ds"/>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F629F">
      <w:pPr>
        <w:spacing w:after="0" w:line="240" w:lineRule="auto"/>
      </w:pPr>
      <w:r>
        <w:separator/>
      </w:r>
    </w:p>
  </w:footnote>
  <w:footnote w:type="continuationSeparator" w:id="0">
    <w:p w:rsidR="00000000" w:rsidRDefault="00AF629F">
      <w:pPr>
        <w:spacing w:after="0" w:line="240" w:lineRule="auto"/>
      </w:pPr>
      <w:r>
        <w:continuationSeparator/>
      </w:r>
    </w:p>
  </w:footnote>
  <w:footnote w:id="1">
    <w:p w:rsidR="00456375" w:rsidRPr="00852727" w:rsidRDefault="00AF629F" w:rsidP="00857817">
      <w:pPr>
        <w:pStyle w:val="Textonotapie"/>
        <w:jc w:val="both"/>
        <w:rPr>
          <w:sz w:val="18"/>
          <w:szCs w:val="18"/>
          <w:lang w:val="es-ES"/>
        </w:rPr>
      </w:pPr>
      <w:r w:rsidRPr="00852727">
        <w:rPr>
          <w:rStyle w:val="Refdenotaalpie"/>
          <w:sz w:val="18"/>
          <w:szCs w:val="18"/>
          <w:lang w:val="es-ES"/>
        </w:rPr>
        <w:footnoteRef/>
      </w:r>
      <w:r w:rsidRPr="00852727">
        <w:rPr>
          <w:sz w:val="18"/>
          <w:szCs w:val="18"/>
          <w:lang w:val="es-ES"/>
        </w:rPr>
        <w:t xml:space="preserve"> </w:t>
      </w:r>
      <w:r w:rsidRPr="00852727">
        <w:rPr>
          <w:sz w:val="18"/>
          <w:szCs w:val="18"/>
          <w:lang w:val="es-ES"/>
        </w:rPr>
        <w:t xml:space="preserve">La demanda fue admitida únicamente respecto del cargo formulado por la presunta vulneración del principio de </w:t>
      </w:r>
      <w:r w:rsidRPr="00852727">
        <w:rPr>
          <w:sz w:val="18"/>
          <w:szCs w:val="18"/>
          <w:lang w:val="es-ES"/>
        </w:rPr>
        <w:t xml:space="preserve">unidad de materia </w:t>
      </w:r>
      <w:r w:rsidRPr="00852727">
        <w:rPr>
          <w:sz w:val="18"/>
          <w:szCs w:val="18"/>
          <w:lang w:val="es-ES"/>
        </w:rPr>
        <w:t xml:space="preserve">(artículo </w:t>
      </w:r>
      <w:r w:rsidRPr="00852727">
        <w:rPr>
          <w:sz w:val="18"/>
          <w:szCs w:val="18"/>
          <w:lang w:val="es-ES"/>
        </w:rPr>
        <w:t xml:space="preserve">158 </w:t>
      </w:r>
      <w:r w:rsidRPr="00852727">
        <w:rPr>
          <w:sz w:val="18"/>
          <w:szCs w:val="18"/>
          <w:lang w:val="es-ES"/>
        </w:rPr>
        <w:t>de la Constitución)</w:t>
      </w:r>
      <w:r w:rsidRPr="00852727">
        <w:rPr>
          <w:sz w:val="18"/>
          <w:szCs w:val="18"/>
          <w:lang w:val="es-ES"/>
        </w:rPr>
        <w:t xml:space="preserve">, tal como consta en los autos de </w:t>
      </w:r>
      <w:r w:rsidRPr="00852727">
        <w:rPr>
          <w:sz w:val="18"/>
          <w:szCs w:val="18"/>
          <w:lang w:val="es-ES"/>
        </w:rPr>
        <w:t xml:space="preserve">23 de junio </w:t>
      </w:r>
      <w:r w:rsidRPr="00852727">
        <w:rPr>
          <w:sz w:val="18"/>
          <w:szCs w:val="18"/>
          <w:lang w:val="es-ES"/>
        </w:rPr>
        <w:t xml:space="preserve">y </w:t>
      </w:r>
      <w:r w:rsidRPr="00852727">
        <w:rPr>
          <w:sz w:val="18"/>
          <w:szCs w:val="18"/>
          <w:lang w:val="es-ES"/>
        </w:rPr>
        <w:t xml:space="preserve">31 de julio </w:t>
      </w:r>
      <w:r w:rsidRPr="00852727">
        <w:rPr>
          <w:sz w:val="18"/>
          <w:szCs w:val="18"/>
          <w:lang w:val="es-ES"/>
        </w:rPr>
        <w:t>de 202</w:t>
      </w:r>
      <w:r w:rsidRPr="00852727">
        <w:rPr>
          <w:sz w:val="18"/>
          <w:szCs w:val="18"/>
          <w:lang w:val="es-ES"/>
        </w:rPr>
        <w:t>3</w:t>
      </w:r>
      <w:r w:rsidRPr="00852727">
        <w:rPr>
          <w:sz w:val="18"/>
          <w:szCs w:val="18"/>
          <w:lang w:val="es-ES"/>
        </w:rPr>
        <w:t xml:space="preserve">. Mediante el </w:t>
      </w:r>
      <w:r w:rsidRPr="00852727">
        <w:rPr>
          <w:sz w:val="18"/>
          <w:szCs w:val="18"/>
          <w:lang w:val="es-ES"/>
        </w:rPr>
        <w:t xml:space="preserve">segundo </w:t>
      </w:r>
      <w:r w:rsidRPr="00852727">
        <w:rPr>
          <w:sz w:val="18"/>
          <w:szCs w:val="18"/>
          <w:lang w:val="es-ES"/>
        </w:rPr>
        <w:t>auto, e</w:t>
      </w:r>
      <w:r w:rsidRPr="00852727">
        <w:rPr>
          <w:sz w:val="18"/>
          <w:szCs w:val="18"/>
          <w:lang w:val="es-ES"/>
        </w:rPr>
        <w:t xml:space="preserve">l magistrado sustanciador ordenó: (i) comunicar el inicio del proceso </w:t>
      </w:r>
      <w:r w:rsidRPr="00852727">
        <w:rPr>
          <w:sz w:val="18"/>
          <w:szCs w:val="18"/>
          <w:lang w:val="es-ES"/>
        </w:rPr>
        <w:t>al presidente del Congreso de la República, a la Secretaría Jurídica de la Presidencia de la República, al Departamento Nacional de Planeación y al Ministerio de Hacienda y Crédito Públi</w:t>
      </w:r>
      <w:r w:rsidRPr="00852727">
        <w:rPr>
          <w:sz w:val="18"/>
          <w:szCs w:val="18"/>
          <w:lang w:val="es-ES"/>
        </w:rPr>
        <w:t>co</w:t>
      </w:r>
      <w:r w:rsidRPr="00852727">
        <w:rPr>
          <w:sz w:val="18"/>
          <w:szCs w:val="18"/>
          <w:lang w:val="es-ES"/>
        </w:rPr>
        <w:t>, (ii) correr traslado para que la Procuradora General de la Nación rindiera el concepto de rigor y (iii) fijar en lista el proceso. Así mismo, invitó a participar en el proceso a varias entidades, organizaciones y universidades.</w:t>
      </w:r>
    </w:p>
  </w:footnote>
  <w:footnote w:id="2">
    <w:p w:rsidR="00E125AC" w:rsidRPr="00852727" w:rsidRDefault="00AF629F" w:rsidP="00857817">
      <w:pPr>
        <w:ind w:right="618"/>
        <w:jc w:val="both"/>
        <w:rPr>
          <w:sz w:val="18"/>
          <w:szCs w:val="18"/>
          <w:lang w:val="es-ES"/>
        </w:rPr>
      </w:pPr>
      <w:r w:rsidRPr="00852727">
        <w:rPr>
          <w:rStyle w:val="Refdenotaalpie"/>
          <w:sz w:val="18"/>
          <w:szCs w:val="18"/>
          <w:lang w:val="es-ES"/>
        </w:rPr>
        <w:footnoteRef/>
      </w:r>
      <w:r w:rsidRPr="00852727">
        <w:rPr>
          <w:sz w:val="18"/>
          <w:szCs w:val="18"/>
          <w:lang w:val="es-ES"/>
        </w:rPr>
        <w:t xml:space="preserve"> Diario Oficial No. 52.</w:t>
      </w:r>
      <w:r w:rsidRPr="00852727">
        <w:rPr>
          <w:sz w:val="18"/>
          <w:szCs w:val="18"/>
          <w:lang w:val="es-ES"/>
        </w:rPr>
        <w:t>400 de 19 de mayo de 2023.</w:t>
      </w:r>
    </w:p>
  </w:footnote>
  <w:footnote w:id="3">
    <w:p w:rsidR="00DD303B" w:rsidRPr="00852727" w:rsidRDefault="00AF629F" w:rsidP="00857817">
      <w:pPr>
        <w:pStyle w:val="Textonotapie"/>
        <w:jc w:val="both"/>
        <w:rPr>
          <w:b/>
          <w:sz w:val="18"/>
          <w:szCs w:val="18"/>
          <w:lang w:val="es-ES"/>
        </w:rPr>
      </w:pPr>
      <w:r w:rsidRPr="00852727">
        <w:rPr>
          <w:rStyle w:val="Refdenotaalpie"/>
          <w:sz w:val="18"/>
          <w:szCs w:val="18"/>
          <w:lang w:val="es-ES"/>
        </w:rPr>
        <w:footnoteRef/>
      </w:r>
      <w:r w:rsidRPr="00852727">
        <w:rPr>
          <w:sz w:val="18"/>
          <w:szCs w:val="18"/>
          <w:lang w:val="es-ES"/>
        </w:rPr>
        <w:t xml:space="preserve"> En relación con los objetivos de la Ley 2294 de 2023, precisa que estos se contienen en su artículo 1. En relación con el eje transversal a que hace referencia</w:t>
      </w:r>
      <w:r w:rsidRPr="00852727">
        <w:rPr>
          <w:sz w:val="18"/>
          <w:szCs w:val="18"/>
          <w:lang w:val="es-ES"/>
        </w:rPr>
        <w:t xml:space="preserve"> la demandante</w:t>
      </w:r>
      <w:r w:rsidRPr="00852727">
        <w:rPr>
          <w:sz w:val="18"/>
          <w:szCs w:val="18"/>
          <w:lang w:val="es-ES"/>
        </w:rPr>
        <w:t xml:space="preserve">, señala que el único con el cual la disposición que </w:t>
      </w:r>
      <w:r w:rsidRPr="00852727">
        <w:rPr>
          <w:sz w:val="18"/>
          <w:szCs w:val="18"/>
          <w:lang w:val="es-ES"/>
        </w:rPr>
        <w:t>se demanda tendría algún tipo de “relación” es el de “[e]stabilidad macroeconómica” (demanda, p. 8). Según precisa, este eje “[t]iene como objetivo definir un conjunto de apuestas en materia económica para garantizar la disponibilidad de los recursos públi</w:t>
      </w:r>
      <w:r w:rsidRPr="00852727">
        <w:rPr>
          <w:sz w:val="18"/>
          <w:szCs w:val="18"/>
          <w:lang w:val="es-ES"/>
        </w:rPr>
        <w:t>cos que permitirán financiar las transformaciones, las cuales están enmarcadas en la actual coyuntura económica global, regional y nacional” (ibid.)</w:t>
      </w:r>
      <w:r w:rsidRPr="00852727">
        <w:rPr>
          <w:sz w:val="18"/>
          <w:szCs w:val="18"/>
          <w:lang w:val="es-ES"/>
        </w:rPr>
        <w:t xml:space="preserve">. </w:t>
      </w:r>
      <w:r w:rsidRPr="00852727">
        <w:rPr>
          <w:sz w:val="18"/>
          <w:szCs w:val="18"/>
          <w:lang w:val="es-ES"/>
        </w:rPr>
        <w:t>Luego, hace referencia al contenido específico de este eje en las Bases del Plan Nacional de Desarrollo (d</w:t>
      </w:r>
      <w:r w:rsidRPr="00852727">
        <w:rPr>
          <w:sz w:val="18"/>
          <w:szCs w:val="18"/>
          <w:lang w:val="es-ES"/>
        </w:rPr>
        <w:t xml:space="preserve">emanda, pp. 8-9), a partir de lo cual afirma lo siguiente: “el único ítem que puede tener relación con la norma demandada es la ‘Administración eficiente de los recursos públicos’ que hace parte del componente c) Principales acciones institucionales de la </w:t>
      </w:r>
      <w:r w:rsidRPr="00852727">
        <w:rPr>
          <w:sz w:val="18"/>
          <w:szCs w:val="18"/>
          <w:lang w:val="es-ES"/>
        </w:rPr>
        <w:t>estrategia macroeconómica en el cual se expresa: ‘Los saldos de recursos públicos en fiducias pasaron de $1,2 billones en 2016 a $10,7 billones en 2020</w:t>
      </w:r>
      <w:r w:rsidRPr="00852727">
        <w:rPr>
          <w:sz w:val="18"/>
          <w:szCs w:val="18"/>
          <w:lang w:val="es-ES"/>
        </w:rPr>
        <w:t xml:space="preserve"> […]”</w:t>
      </w:r>
      <w:r w:rsidRPr="00852727">
        <w:rPr>
          <w:sz w:val="18"/>
          <w:szCs w:val="18"/>
          <w:lang w:val="es-ES"/>
        </w:rPr>
        <w:t xml:space="preserve"> (demanda, p. 10).</w:t>
      </w:r>
    </w:p>
  </w:footnote>
  <w:footnote w:id="4">
    <w:p w:rsidR="00DD303B" w:rsidRPr="00852727" w:rsidRDefault="00AF629F" w:rsidP="00857817">
      <w:pPr>
        <w:pStyle w:val="Textonotapie"/>
        <w:jc w:val="both"/>
        <w:rPr>
          <w:b/>
          <w:sz w:val="18"/>
          <w:szCs w:val="18"/>
        </w:rPr>
      </w:pPr>
      <w:r w:rsidRPr="00852727">
        <w:rPr>
          <w:rStyle w:val="Refdenotaalpie"/>
          <w:sz w:val="18"/>
          <w:szCs w:val="18"/>
        </w:rPr>
        <w:footnoteRef/>
      </w:r>
      <w:r w:rsidRPr="00852727">
        <w:rPr>
          <w:sz w:val="18"/>
          <w:szCs w:val="18"/>
          <w:lang w:val="es-ES"/>
        </w:rPr>
        <w:t xml:space="preserve"> </w:t>
      </w:r>
      <w:r w:rsidRPr="00852727">
        <w:rPr>
          <w:sz w:val="18"/>
          <w:szCs w:val="18"/>
        </w:rPr>
        <w:t>En cuanto a las citadas bases, se refiere al punto 5, que se denomina “Converge</w:t>
      </w:r>
      <w:r w:rsidRPr="00852727">
        <w:rPr>
          <w:sz w:val="18"/>
          <w:szCs w:val="18"/>
        </w:rPr>
        <w:t>ncia regional”, del cual precisa que es relevante el numeral 5, que hace referencia al “[f]ortalecimiento institucional como motor de cambio para recuperar la confianza de la ciudadanía y para el fortalecimiento del vínculo Estado- Ciudadanía” y, en partic</w:t>
      </w:r>
      <w:r w:rsidRPr="00852727">
        <w:rPr>
          <w:sz w:val="18"/>
          <w:szCs w:val="18"/>
        </w:rPr>
        <w:t>ular, a su literal a), que se denomina “[l]ucha contra la corrupción en las entidades públicas nacionales y territoriales” (demanda, p. 15).</w:t>
      </w:r>
    </w:p>
  </w:footnote>
  <w:footnote w:id="5">
    <w:p w:rsidR="00E43974"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artículo 242.1 de la Constitución y el artículo 7 del Decreto 2067 de 1991 reconocen a los ciudadanos el derec</w:t>
      </w:r>
      <w:r w:rsidRPr="00852727">
        <w:rPr>
          <w:sz w:val="18"/>
          <w:szCs w:val="18"/>
        </w:rPr>
        <w:t xml:space="preserve">ho procesal de intervenir en los trámites de constitucionalidad que se surten ante la Corte, con la finalidad de impugnar o defender las normas objeto de revisión. </w:t>
      </w:r>
      <w:r w:rsidRPr="00852727">
        <w:rPr>
          <w:sz w:val="18"/>
          <w:szCs w:val="18"/>
        </w:rPr>
        <w:t>En el presente asunto, e</w:t>
      </w:r>
      <w:r w:rsidRPr="00852727">
        <w:rPr>
          <w:sz w:val="18"/>
          <w:szCs w:val="18"/>
          <w:lang w:val="es-ES_tradnl"/>
        </w:rPr>
        <w:t>l término de fijación en lista transcurrió entre los días 14 a 28 de</w:t>
      </w:r>
      <w:r w:rsidRPr="00852727">
        <w:rPr>
          <w:sz w:val="18"/>
          <w:szCs w:val="18"/>
          <w:lang w:val="es-ES_tradnl"/>
        </w:rPr>
        <w:t xml:space="preserve"> agosto de 2023.</w:t>
      </w:r>
    </w:p>
  </w:footnote>
  <w:footnote w:id="6">
    <w:p w:rsidR="003B15E3"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Los artículos 244 de la Constitución y 11 del Decreto 2067 de 1991 disponen que es deber de la Corte Constitucional comunicar “al Presidente de la República o al Presidente del Congreso, según el caso, la iniciación de cualquier proceso que tenga por obje</w:t>
      </w:r>
      <w:r w:rsidRPr="00852727">
        <w:rPr>
          <w:sz w:val="18"/>
          <w:szCs w:val="18"/>
        </w:rPr>
        <w:t>to el examen de constitucionalidad de normas dictadas por ellos”. Esta comunicación, que se debe extender en el auto admisorio de la demanda, pretende que las respectivas autoridades rindan su concepto para justificar “la constitucionalidad de las normas s</w:t>
      </w:r>
      <w:r w:rsidRPr="00852727">
        <w:rPr>
          <w:sz w:val="18"/>
          <w:szCs w:val="18"/>
        </w:rPr>
        <w:t>ometidas a control” (apartado final del inciso segundo del artículo 11 del Decreto 2067 de 1991), la cual también puede hacerse extensiva “a los organismos o entidades del Estado que hubieren participado en la elaboración o expedición de la norma” (apartad</w:t>
      </w:r>
      <w:r w:rsidRPr="00852727">
        <w:rPr>
          <w:sz w:val="18"/>
          <w:szCs w:val="18"/>
        </w:rPr>
        <w:t>o inicial de la norma en cita).</w:t>
      </w:r>
    </w:p>
  </w:footnote>
  <w:footnote w:id="7">
    <w:p w:rsidR="00545D61"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artículo 13 del Decreto 2067 de 1991 faculta al magistrado sustanciador para invitar “a entidades públicas, a organizaciones privadas y a expertos en las materias relacionadas con el tema del proceso” a conceptuar sobre</w:t>
      </w:r>
      <w:r w:rsidRPr="00852727">
        <w:rPr>
          <w:sz w:val="18"/>
          <w:szCs w:val="18"/>
        </w:rPr>
        <w:t xml:space="preserve"> aspectos relevantes para la elaboración del proyecto de fallo.</w:t>
      </w:r>
    </w:p>
  </w:footnote>
  <w:footnote w:id="8">
    <w:p w:rsidR="00180C8E" w:rsidRPr="00852727" w:rsidRDefault="00AF629F" w:rsidP="00857817">
      <w:pPr>
        <w:pStyle w:val="Ttulo11"/>
        <w:jc w:val="both"/>
        <w:rPr>
          <w:sz w:val="18"/>
          <w:szCs w:val="18"/>
        </w:rPr>
      </w:pPr>
      <w:r w:rsidRPr="00852727">
        <w:rPr>
          <w:rStyle w:val="Refdenotaalpie"/>
          <w:sz w:val="18"/>
          <w:szCs w:val="18"/>
        </w:rPr>
        <w:footnoteRef/>
      </w:r>
      <w:r w:rsidRPr="00852727">
        <w:rPr>
          <w:sz w:val="18"/>
          <w:szCs w:val="18"/>
        </w:rPr>
        <w:t xml:space="preserve"> En relación con este aspecto, en </w:t>
      </w:r>
      <w:r w:rsidRPr="00852727">
        <w:rPr>
          <w:sz w:val="18"/>
          <w:szCs w:val="18"/>
        </w:rPr>
        <w:t xml:space="preserve">el concepto </w:t>
      </w:r>
      <w:r w:rsidRPr="00852727">
        <w:rPr>
          <w:sz w:val="18"/>
          <w:szCs w:val="18"/>
        </w:rPr>
        <w:t xml:space="preserve">se señala: </w:t>
      </w:r>
      <w:r w:rsidRPr="00852727">
        <w:rPr>
          <w:sz w:val="18"/>
          <w:szCs w:val="18"/>
        </w:rPr>
        <w:t xml:space="preserve">“Ahora bien, se reitera lo indicado en párrafos precedentes en cuanto a que el literal A </w:t>
      </w:r>
      <w:r w:rsidRPr="00852727">
        <w:rPr>
          <w:sz w:val="18"/>
          <w:szCs w:val="18"/>
        </w:rPr>
        <w:t>‘</w:t>
      </w:r>
      <w:r w:rsidRPr="00852727">
        <w:rPr>
          <w:sz w:val="18"/>
          <w:szCs w:val="18"/>
        </w:rPr>
        <w:t xml:space="preserve">Expectativas de crecimiento para el periodo </w:t>
      </w:r>
      <w:r w:rsidRPr="00852727">
        <w:rPr>
          <w:sz w:val="18"/>
          <w:szCs w:val="18"/>
        </w:rPr>
        <w:t>2022-2026</w:t>
      </w:r>
      <w:r w:rsidRPr="00852727">
        <w:rPr>
          <w:sz w:val="18"/>
          <w:szCs w:val="18"/>
        </w:rPr>
        <w:t>’</w:t>
      </w:r>
      <w:r w:rsidRPr="00852727">
        <w:rPr>
          <w:sz w:val="18"/>
          <w:szCs w:val="18"/>
        </w:rPr>
        <w:t xml:space="preserve"> del Eje Transversal </w:t>
      </w:r>
      <w:r w:rsidRPr="00852727">
        <w:rPr>
          <w:sz w:val="18"/>
          <w:szCs w:val="18"/>
        </w:rPr>
        <w:t>‘</w:t>
      </w:r>
      <w:r w:rsidRPr="00852727">
        <w:rPr>
          <w:sz w:val="18"/>
          <w:szCs w:val="18"/>
        </w:rPr>
        <w:t>Estabilidad Macroeconómica</w:t>
      </w:r>
      <w:r w:rsidRPr="00852727">
        <w:rPr>
          <w:sz w:val="18"/>
          <w:szCs w:val="18"/>
        </w:rPr>
        <w:t>’</w:t>
      </w:r>
      <w:r w:rsidRPr="00852727">
        <w:rPr>
          <w:sz w:val="18"/>
          <w:szCs w:val="18"/>
        </w:rPr>
        <w:t xml:space="preserve">, se indica que como meta de crecimiento económico para el período del Plan Nacional de Desarrollo </w:t>
      </w:r>
      <w:r w:rsidRPr="00852727">
        <w:rPr>
          <w:sz w:val="18"/>
          <w:szCs w:val="18"/>
        </w:rPr>
        <w:t>‘</w:t>
      </w:r>
      <w:r w:rsidRPr="00852727">
        <w:rPr>
          <w:sz w:val="18"/>
          <w:szCs w:val="18"/>
        </w:rPr>
        <w:t xml:space="preserve">[L]a inversión pública proyectada será mayor que los promedios históricos y tendrá un incremento </w:t>
      </w:r>
      <w:r w:rsidRPr="00852727">
        <w:rPr>
          <w:sz w:val="18"/>
          <w:szCs w:val="18"/>
        </w:rPr>
        <w:t>importante, derivado de las inversiones financiadas con el presupuesto público (general de la nación, regalías, recursos de las entidades, entre ellos, los recursos excedentes del Fondo Nacional de Pensiones de las Entidades Territoriales -FONPET-, inversi</w:t>
      </w:r>
      <w:r w:rsidRPr="00852727">
        <w:rPr>
          <w:sz w:val="18"/>
          <w:szCs w:val="18"/>
        </w:rPr>
        <w:t>ones de las grandes empresas) y las apuestas de la transformación productiva.</w:t>
      </w:r>
      <w:r w:rsidRPr="00852727">
        <w:rPr>
          <w:sz w:val="18"/>
          <w:szCs w:val="18"/>
        </w:rPr>
        <w:t>’</w:t>
      </w:r>
      <w:r w:rsidRPr="00852727">
        <w:rPr>
          <w:sz w:val="18"/>
          <w:szCs w:val="18"/>
        </w:rPr>
        <w:t>[…]</w:t>
      </w:r>
      <w:r w:rsidRPr="00852727">
        <w:rPr>
          <w:sz w:val="18"/>
          <w:szCs w:val="18"/>
        </w:rPr>
        <w:t xml:space="preserve">. || </w:t>
      </w:r>
      <w:r w:rsidRPr="00852727">
        <w:rPr>
          <w:sz w:val="18"/>
          <w:szCs w:val="18"/>
        </w:rPr>
        <w:t xml:space="preserve">Por su parte, el literal B </w:t>
      </w:r>
      <w:r w:rsidRPr="00852727">
        <w:rPr>
          <w:sz w:val="18"/>
          <w:szCs w:val="18"/>
        </w:rPr>
        <w:t>‘</w:t>
      </w:r>
      <w:r w:rsidRPr="00852727">
        <w:rPr>
          <w:sz w:val="18"/>
          <w:szCs w:val="18"/>
        </w:rPr>
        <w:t>Progresividad y sostenibilidad fiscal</w:t>
      </w:r>
      <w:r w:rsidRPr="00852727">
        <w:rPr>
          <w:sz w:val="18"/>
          <w:szCs w:val="18"/>
        </w:rPr>
        <w:t>’</w:t>
      </w:r>
      <w:r w:rsidRPr="00852727">
        <w:rPr>
          <w:sz w:val="18"/>
          <w:szCs w:val="18"/>
        </w:rPr>
        <w:t xml:space="preserve"> del mismo Eje Transversal </w:t>
      </w:r>
      <w:r w:rsidRPr="00852727">
        <w:rPr>
          <w:sz w:val="18"/>
          <w:szCs w:val="18"/>
        </w:rPr>
        <w:t>‘</w:t>
      </w:r>
      <w:r w:rsidRPr="00852727">
        <w:rPr>
          <w:sz w:val="18"/>
          <w:szCs w:val="18"/>
        </w:rPr>
        <w:t>Estabilidad Macroeconómica</w:t>
      </w:r>
      <w:r w:rsidRPr="00852727">
        <w:rPr>
          <w:sz w:val="18"/>
          <w:szCs w:val="18"/>
        </w:rPr>
        <w:t>’</w:t>
      </w:r>
      <w:r w:rsidRPr="00852727">
        <w:rPr>
          <w:sz w:val="18"/>
          <w:szCs w:val="18"/>
        </w:rPr>
        <w:t>, prevé como meta del Plan Nacional de Desarrollo</w:t>
      </w:r>
      <w:r w:rsidRPr="00852727">
        <w:rPr>
          <w:sz w:val="18"/>
          <w:szCs w:val="18"/>
        </w:rPr>
        <w:t xml:space="preserve"> que </w:t>
      </w:r>
      <w:r w:rsidRPr="00852727">
        <w:rPr>
          <w:sz w:val="18"/>
          <w:szCs w:val="18"/>
        </w:rPr>
        <w:t>‘</w:t>
      </w:r>
      <w:r w:rsidRPr="00852727">
        <w:rPr>
          <w:sz w:val="18"/>
          <w:szCs w:val="18"/>
        </w:rPr>
        <w:t xml:space="preserve">(…) el Estado cuente con una mejor financiación en todos sus niveles (…)” y para ello contempla como estrategia, entre otras acciones, </w:t>
      </w:r>
      <w:r w:rsidRPr="00852727">
        <w:rPr>
          <w:sz w:val="18"/>
          <w:szCs w:val="18"/>
        </w:rPr>
        <w:t>‘</w:t>
      </w:r>
      <w:r w:rsidRPr="00852727">
        <w:rPr>
          <w:sz w:val="18"/>
          <w:szCs w:val="18"/>
        </w:rPr>
        <w:t>(…) un mejor uso de los recursos del Fondo Nacional de Pensiones de las Entidades Territoriales -FONPET- para el p</w:t>
      </w:r>
      <w:r w:rsidRPr="00852727">
        <w:rPr>
          <w:sz w:val="18"/>
          <w:szCs w:val="18"/>
        </w:rPr>
        <w:t>ago de obligaciones pensionales, y como recursos excedentes del Fondo para inversión.</w:t>
      </w:r>
      <w:r w:rsidRPr="00852727">
        <w:rPr>
          <w:sz w:val="18"/>
          <w:szCs w:val="18"/>
        </w:rPr>
        <w:t>’</w:t>
      </w:r>
      <w:r w:rsidRPr="00852727">
        <w:rPr>
          <w:sz w:val="18"/>
          <w:szCs w:val="18"/>
        </w:rPr>
        <w:t xml:space="preserve"> || </w:t>
      </w:r>
      <w:r w:rsidRPr="00852727">
        <w:rPr>
          <w:sz w:val="18"/>
          <w:szCs w:val="18"/>
        </w:rPr>
        <w:t xml:space="preserve">En este mismo apartado del mencionado Eje Transversal se indica que la optimización en el uso de los recursos públicos, incluyendo los administrados a través del FONPET </w:t>
      </w:r>
      <w:r w:rsidRPr="00852727">
        <w:rPr>
          <w:sz w:val="18"/>
          <w:szCs w:val="18"/>
        </w:rPr>
        <w:t>‘</w:t>
      </w:r>
      <w:r w:rsidRPr="00852727">
        <w:rPr>
          <w:sz w:val="18"/>
          <w:szCs w:val="18"/>
        </w:rPr>
        <w:t>(…) se requiere (…) para financiar proyectos catalizadores de gran impacto regional, q</w:t>
      </w:r>
      <w:r w:rsidRPr="00852727">
        <w:rPr>
          <w:sz w:val="18"/>
          <w:szCs w:val="18"/>
        </w:rPr>
        <w:t>ue promuevan sostenidamente el bienestar económico, social y ambiental, de forma inclusiva.</w:t>
      </w:r>
      <w:r w:rsidRPr="00852727">
        <w:rPr>
          <w:sz w:val="18"/>
          <w:szCs w:val="18"/>
        </w:rPr>
        <w:t>’</w:t>
      </w:r>
      <w:r w:rsidRPr="00852727">
        <w:rPr>
          <w:sz w:val="18"/>
          <w:szCs w:val="18"/>
        </w:rPr>
        <w:t>”.</w:t>
      </w:r>
    </w:p>
  </w:footnote>
  <w:footnote w:id="9">
    <w:p w:rsidR="00CE73BA"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A partir de lo indicado por la Corte en la Sentencia C-030 de 2021 señala que “la norma demandada […] tiene vocación de permanencia y no da cumplimiento al car</w:t>
      </w:r>
      <w:r w:rsidRPr="00852727">
        <w:rPr>
          <w:sz w:val="18"/>
          <w:szCs w:val="18"/>
        </w:rPr>
        <w:t>ácter temporal que deben tener las disposiciones contenidas en los planes nacionales de desarrollo”.</w:t>
      </w:r>
    </w:p>
  </w:footnote>
  <w:footnote w:id="10">
    <w:p w:rsidR="00CE73BA"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rPr>
        <w:t xml:space="preserve">En relación con este aspecto </w:t>
      </w:r>
      <w:r w:rsidRPr="00852727">
        <w:rPr>
          <w:sz w:val="18"/>
          <w:szCs w:val="18"/>
        </w:rPr>
        <w:t>indica</w:t>
      </w:r>
      <w:r w:rsidRPr="00852727">
        <w:rPr>
          <w:sz w:val="18"/>
          <w:szCs w:val="18"/>
        </w:rPr>
        <w:t>:</w:t>
      </w:r>
      <w:r w:rsidRPr="00852727">
        <w:rPr>
          <w:sz w:val="18"/>
          <w:szCs w:val="18"/>
        </w:rPr>
        <w:t xml:space="preserve"> “no se logra inferir de forma fehaciente o clara como [sic] la administración de los recursos provenientes del FONPE</w:t>
      </w:r>
      <w:r w:rsidRPr="00852727">
        <w:rPr>
          <w:sz w:val="18"/>
          <w:szCs w:val="18"/>
        </w:rPr>
        <w:t>T por parte de una sociedad fiduciaria pública a través de la contratación directa permita mejorar la financiación del Estado, garantizarle la disponibilidad de recursos para financiar dichas transformaciones, o hacer un mejor uso de los recursos del FONPE</w:t>
      </w:r>
      <w:r w:rsidRPr="00852727">
        <w:rPr>
          <w:sz w:val="18"/>
          <w:szCs w:val="18"/>
        </w:rPr>
        <w:t xml:space="preserve">T, tal como lo predican los apartes de los ejes de la Ley 2249 de 2023 y de las Bases del PND”. </w:t>
      </w:r>
      <w:r w:rsidRPr="00852727">
        <w:rPr>
          <w:sz w:val="18"/>
          <w:szCs w:val="18"/>
        </w:rPr>
        <w:t xml:space="preserve">Según </w:t>
      </w:r>
      <w:r w:rsidRPr="00852727">
        <w:rPr>
          <w:sz w:val="18"/>
          <w:szCs w:val="18"/>
        </w:rPr>
        <w:t>señala</w:t>
      </w:r>
      <w:r w:rsidRPr="00852727">
        <w:rPr>
          <w:sz w:val="18"/>
          <w:szCs w:val="18"/>
        </w:rPr>
        <w:t xml:space="preserve">, </w:t>
      </w:r>
      <w:r w:rsidRPr="00852727">
        <w:rPr>
          <w:sz w:val="18"/>
          <w:szCs w:val="18"/>
        </w:rPr>
        <w:t>l</w:t>
      </w:r>
      <w:r w:rsidRPr="00852727">
        <w:rPr>
          <w:sz w:val="18"/>
          <w:szCs w:val="18"/>
        </w:rPr>
        <w:t>a competencia por la administración de los recursos del Fonpet entre los años 2012 a 2022 le generó ingresos por rendimientos financieros al Esta</w:t>
      </w:r>
      <w:r w:rsidRPr="00852727">
        <w:rPr>
          <w:sz w:val="18"/>
          <w:szCs w:val="18"/>
        </w:rPr>
        <w:t xml:space="preserve">do de aproximadamente 28 billones de pesos, “de manera que el rubro de rendimientos se ha convertido en una de las principales fuentes de pago del pasivo pensional asociado a dicho fondo. Vale la pena recordar que, durante el periodo de cálculo, el FONPET </w:t>
      </w:r>
      <w:r w:rsidRPr="00852727">
        <w:rPr>
          <w:sz w:val="18"/>
          <w:szCs w:val="18"/>
        </w:rPr>
        <w:t>fue administrado por 11 entidades de las cuales 9 son de capital privado. Por ende, no se puede desconocer el significativo aporte y el destacado desempeño que las fiduciarias privadas históricamente han tenido en la administración de este fondo, al tiempo</w:t>
      </w:r>
      <w:r w:rsidRPr="00852727">
        <w:rPr>
          <w:sz w:val="18"/>
          <w:szCs w:val="18"/>
        </w:rPr>
        <w:t xml:space="preserve"> que se presume se va a tener una mejor administración del FONPET, si restringe la administración a fiduciarias públicas únicamente”.</w:t>
      </w:r>
    </w:p>
  </w:footnote>
  <w:footnote w:id="11">
    <w:p w:rsidR="008F3267"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Según </w:t>
      </w:r>
      <w:r w:rsidRPr="00852727">
        <w:rPr>
          <w:sz w:val="18"/>
          <w:szCs w:val="18"/>
        </w:rPr>
        <w:t>expresa</w:t>
      </w:r>
      <w:r w:rsidRPr="00852727">
        <w:rPr>
          <w:sz w:val="18"/>
          <w:szCs w:val="18"/>
        </w:rPr>
        <w:t xml:space="preserve">, </w:t>
      </w:r>
      <w:r w:rsidRPr="00852727">
        <w:rPr>
          <w:sz w:val="18"/>
          <w:szCs w:val="18"/>
        </w:rPr>
        <w:t xml:space="preserve">las cuatro </w:t>
      </w:r>
      <w:r w:rsidRPr="00852727">
        <w:rPr>
          <w:sz w:val="18"/>
          <w:szCs w:val="18"/>
        </w:rPr>
        <w:t>sociedades fiduciarias públicas</w:t>
      </w:r>
      <w:r w:rsidRPr="00852727">
        <w:rPr>
          <w:sz w:val="18"/>
          <w:szCs w:val="18"/>
        </w:rPr>
        <w:t xml:space="preserve">, sin una capitalización </w:t>
      </w:r>
      <w:r w:rsidRPr="00852727">
        <w:rPr>
          <w:sz w:val="18"/>
          <w:szCs w:val="18"/>
        </w:rPr>
        <w:t xml:space="preserve">del orden de $300.000 millones de </w:t>
      </w:r>
      <w:r w:rsidRPr="00852727">
        <w:rPr>
          <w:sz w:val="18"/>
          <w:szCs w:val="18"/>
        </w:rPr>
        <w:t>pesos</w:t>
      </w:r>
      <w:r w:rsidRPr="00852727">
        <w:rPr>
          <w:sz w:val="18"/>
          <w:szCs w:val="18"/>
        </w:rPr>
        <w:t>,</w:t>
      </w:r>
      <w:r w:rsidRPr="00852727">
        <w:rPr>
          <w:sz w:val="18"/>
          <w:szCs w:val="18"/>
        </w:rPr>
        <w:t xml:space="preserve"> no </w:t>
      </w:r>
      <w:r w:rsidRPr="00852727">
        <w:rPr>
          <w:sz w:val="18"/>
          <w:szCs w:val="18"/>
        </w:rPr>
        <w:t xml:space="preserve">tendrían </w:t>
      </w:r>
      <w:r w:rsidRPr="00852727">
        <w:rPr>
          <w:sz w:val="18"/>
          <w:szCs w:val="18"/>
        </w:rPr>
        <w:t>la capacidad para administrar la totalidad de los recursos del Fonpet</w:t>
      </w:r>
      <w:r w:rsidRPr="00852727">
        <w:rPr>
          <w:sz w:val="18"/>
          <w:szCs w:val="18"/>
        </w:rPr>
        <w:t xml:space="preserve">. </w:t>
      </w:r>
      <w:r w:rsidRPr="00852727">
        <w:rPr>
          <w:sz w:val="18"/>
          <w:szCs w:val="18"/>
        </w:rPr>
        <w:t>A partir de la normativa vigente en la materia, y de los estados financieros de las fiduciarias públicas, el interviniente estimó “que las 4 fiduciarias públicas tien</w:t>
      </w:r>
      <w:r w:rsidRPr="00852727">
        <w:rPr>
          <w:sz w:val="18"/>
          <w:szCs w:val="18"/>
        </w:rPr>
        <w:t>en capacidad patrimonial para administrar aproximadamente $27 billones de pesos (53% de los $52,6 billones proyectados por el MHCP), de manera que se puedan constituir las reservas de estabilización deducibles del patrimonio y cumplir con la mínima relació</w:t>
      </w:r>
      <w:r w:rsidRPr="00852727">
        <w:rPr>
          <w:sz w:val="18"/>
          <w:szCs w:val="18"/>
        </w:rPr>
        <w:t>n de solvencia permitida (9%). || Esta estimación tiene el supuesto de que las fiduciarias públicas no podrían suscribir nuevos negocios fiduciarios al consumirse su capacidad patrimonial en la administración del FONPET, debiendo ceder inclusive otros nego</w:t>
      </w:r>
      <w:r w:rsidRPr="00852727">
        <w:rPr>
          <w:sz w:val="18"/>
          <w:szCs w:val="18"/>
        </w:rPr>
        <w:t xml:space="preserve">cios actualmente administrados con el objetivo de no dejar su margen de solvencia en el mínimo regulatorio y permitir un rango de holgura en este indicador. En este escenario, las fiduciarias públicas no tienen la capacidad patrimonial para administrar el </w:t>
      </w:r>
      <w:r w:rsidRPr="00852727">
        <w:rPr>
          <w:sz w:val="18"/>
          <w:szCs w:val="18"/>
        </w:rPr>
        <w:t>100% de los recursos del FONPET, necesitándose la participación de fiduciarias privadas en la administración de este fondo. || En otro escenario en el que se insiste la administración total del FONPET por parte de las fiduciarias públicas, se realizó un ej</w:t>
      </w:r>
      <w:r w:rsidRPr="00852727">
        <w:rPr>
          <w:sz w:val="18"/>
          <w:szCs w:val="18"/>
        </w:rPr>
        <w:t xml:space="preserve">ercicio para estimar las  necesidades de capitalización de estas  entidades […] || En términos agregados de las 3 fiduciarias públicas, se requeriría una capitalización del orden de los $300,000 mil </w:t>
      </w:r>
      <w:r w:rsidRPr="00852727">
        <w:rPr>
          <w:sz w:val="18"/>
          <w:szCs w:val="18"/>
        </w:rPr>
        <w:t xml:space="preserve">[sic] </w:t>
      </w:r>
      <w:r w:rsidRPr="00852727">
        <w:rPr>
          <w:sz w:val="18"/>
          <w:szCs w:val="18"/>
        </w:rPr>
        <w:t>millones de pesos, en un contexto en el que las cap</w:t>
      </w:r>
      <w:r w:rsidRPr="00852727">
        <w:rPr>
          <w:sz w:val="18"/>
          <w:szCs w:val="18"/>
        </w:rPr>
        <w:t>italizaciones no están contempladas dentro del Presupuesto General de la Nación para el 2023</w:t>
      </w:r>
      <w:r w:rsidRPr="00852727">
        <w:rPr>
          <w:sz w:val="18"/>
          <w:szCs w:val="18"/>
        </w:rPr>
        <w:t xml:space="preserve"> […] </w:t>
      </w:r>
      <w:r w:rsidRPr="00852727">
        <w:rPr>
          <w:sz w:val="18"/>
          <w:szCs w:val="18"/>
        </w:rPr>
        <w:t>|| No obstante, en cualquier de los dos escenarios planteados anteriormente, se concentrarían significativamente los riesgos de administrar el FONPET en un núm</w:t>
      </w:r>
      <w:r w:rsidRPr="00852727">
        <w:rPr>
          <w:sz w:val="18"/>
          <w:szCs w:val="18"/>
        </w:rPr>
        <w:t>ero muy reducido de entidades. || En esta línea, al no haber presupuestado los recursos que se mencionan para cumplir con la solvencia, se evidencia que no hay idoneidad entre las medidas adoptadas en el plan y los objetivos que se pretenden cumplir”.</w:t>
      </w:r>
    </w:p>
  </w:footnote>
  <w:footnote w:id="12">
    <w:p w:rsidR="0005212E"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Pa</w:t>
      </w:r>
      <w:r w:rsidRPr="00852727">
        <w:rPr>
          <w:sz w:val="18"/>
          <w:szCs w:val="18"/>
        </w:rPr>
        <w:t xml:space="preserve">ra justificar esta tesis, entre otras razones, </w:t>
      </w:r>
      <w:r w:rsidRPr="00852727">
        <w:rPr>
          <w:sz w:val="18"/>
          <w:szCs w:val="18"/>
        </w:rPr>
        <w:t xml:space="preserve">en el concepto se </w:t>
      </w:r>
      <w:r w:rsidRPr="00852727">
        <w:rPr>
          <w:sz w:val="18"/>
          <w:szCs w:val="18"/>
        </w:rPr>
        <w:t xml:space="preserve">resalta lo siguiente: “existe relación, pero remota y conjetural, entre la parte general del PND” y la disposición demandada, dado que “[e]l manejo del FONPET sólo es mencionado dos veces en </w:t>
      </w:r>
      <w:r w:rsidRPr="00852727">
        <w:rPr>
          <w:sz w:val="18"/>
          <w:szCs w:val="18"/>
        </w:rPr>
        <w:t xml:space="preserve">el documento de las bases del PND, en el apartado que habla de la estabilidad macroeconómica. Esto para decir, primero, que la inversión pública proyectada será mayor a los promedios históricos, mediante inversiones financiadas con presupuestos como aquel </w:t>
      </w:r>
      <w:r w:rsidRPr="00852727">
        <w:rPr>
          <w:sz w:val="18"/>
          <w:szCs w:val="18"/>
        </w:rPr>
        <w:t xml:space="preserve">y segundo, que se requiere un mejor uso de estos recursos, para seguir con los propósitos que inició la reforma tributaria”. Según indica, “dicha conexión dista de ser inmediata y directa” ya que “[n]o existe apartado que explique el por qué los medios de </w:t>
      </w:r>
      <w:r w:rsidRPr="00852727">
        <w:rPr>
          <w:sz w:val="18"/>
          <w:szCs w:val="18"/>
        </w:rPr>
        <w:t>contratación establecidos por la Ley 80 de 1993 no son idóneos para garantizar un mejor uso de dichos fondos o para aumentar la inversión pública. Tampoco se establece por qué la contratación directa es necesaria para garantizar la disponibilidad de los re</w:t>
      </w:r>
      <w:r w:rsidRPr="00852727">
        <w:rPr>
          <w:sz w:val="18"/>
          <w:szCs w:val="18"/>
        </w:rPr>
        <w:t>cursos del FONPET y por qué los medios tradicionales de contratación estatal no permiten lograr este cometido, establecido en el artículo 4.3 de la Ley 2294 de 2023”</w:t>
      </w:r>
      <w:r w:rsidRPr="00852727">
        <w:rPr>
          <w:sz w:val="18"/>
          <w:szCs w:val="18"/>
        </w:rPr>
        <w:t xml:space="preserve">; además, </w:t>
      </w:r>
      <w:r w:rsidRPr="00852727">
        <w:rPr>
          <w:sz w:val="18"/>
          <w:szCs w:val="18"/>
        </w:rPr>
        <w:t>“el artículo 322 de la Ley 2294 de 2023 no da cuenta de una disposición instrumen</w:t>
      </w:r>
      <w:r w:rsidRPr="00852727">
        <w:rPr>
          <w:sz w:val="18"/>
          <w:szCs w:val="18"/>
        </w:rPr>
        <w:t xml:space="preserve">tal que brinde una solución, directa e inmediata, a problemas de estabilidad macroeconómica derivados de la administración del FONPET”, entre otras, porque “se desconocen con precisión cuáles son estos problemas, que el PND en su parte general no analiza, </w:t>
      </w:r>
      <w:r w:rsidRPr="00852727">
        <w:rPr>
          <w:sz w:val="18"/>
          <w:szCs w:val="18"/>
        </w:rPr>
        <w:t>ni se diagnostican en el documento de Bases”</w:t>
      </w:r>
      <w:r w:rsidRPr="00852727">
        <w:rPr>
          <w:sz w:val="18"/>
          <w:szCs w:val="18"/>
        </w:rPr>
        <w:t>.</w:t>
      </w:r>
    </w:p>
  </w:footnote>
  <w:footnote w:id="13">
    <w:p w:rsidR="00D93491"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presente </w:t>
      </w:r>
      <w:r w:rsidRPr="00852727">
        <w:rPr>
          <w:sz w:val="18"/>
          <w:szCs w:val="18"/>
        </w:rPr>
        <w:t xml:space="preserve">acápite </w:t>
      </w:r>
      <w:r w:rsidRPr="00852727">
        <w:rPr>
          <w:sz w:val="18"/>
          <w:szCs w:val="18"/>
        </w:rPr>
        <w:t xml:space="preserve">toma como referente algunos apartados de la </w:t>
      </w:r>
      <w:r w:rsidRPr="00852727">
        <w:rPr>
          <w:sz w:val="18"/>
          <w:szCs w:val="18"/>
        </w:rPr>
        <w:t>S</w:t>
      </w:r>
      <w:r w:rsidRPr="00852727">
        <w:rPr>
          <w:sz w:val="18"/>
          <w:szCs w:val="18"/>
        </w:rPr>
        <w:t xml:space="preserve">entencia </w:t>
      </w:r>
      <w:r w:rsidRPr="00852727">
        <w:rPr>
          <w:sz w:val="18"/>
          <w:szCs w:val="18"/>
        </w:rPr>
        <w:t>C-</w:t>
      </w:r>
      <w:r w:rsidRPr="00852727">
        <w:rPr>
          <w:sz w:val="18"/>
          <w:szCs w:val="18"/>
        </w:rPr>
        <w:t>030 de 2021.</w:t>
      </w:r>
    </w:p>
  </w:footnote>
  <w:footnote w:id="14">
    <w:p w:rsidR="0052166F"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w:t>
      </w:r>
      <w:r w:rsidRPr="00852727">
        <w:rPr>
          <w:sz w:val="18"/>
          <w:szCs w:val="18"/>
          <w:lang w:val="es-ES"/>
        </w:rPr>
        <w:t>El Título XII de la Constitución agrupa la regulación del régimen económico y de la hacienda pública, y en su Capítul</w:t>
      </w:r>
      <w:r w:rsidRPr="00852727">
        <w:rPr>
          <w:sz w:val="18"/>
          <w:szCs w:val="18"/>
          <w:lang w:val="es-ES"/>
        </w:rPr>
        <w:t>o II dispone lo pertinente acerca de los planes de desarrollo nacional y de las entidades territoriales. Por fuera de este capítulo, también se refieren a la materia los artículos 150.3, 200.3, 330.2, 346, 352, 355, 361 y el artículo transitorio adicionado</w:t>
      </w:r>
      <w:r w:rsidRPr="00852727">
        <w:rPr>
          <w:sz w:val="18"/>
          <w:szCs w:val="18"/>
          <w:lang w:val="es-ES"/>
        </w:rPr>
        <w:t xml:space="preserve"> por el artículo 3 del Acto Legislativo 1 d 2016, según el cual, “[e]l Gobierno nacional durante los próximos veinte años incluirá en el Plan Plurianual de Inversiones del Plan Nacional de Desarrollo, un componente específico para la paz…”.</w:t>
      </w:r>
    </w:p>
  </w:footnote>
  <w:footnote w:id="15">
    <w:p w:rsidR="007B7B7E"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rPr>
        <w:t xml:space="preserve">Cfr., entre otras, </w:t>
      </w:r>
      <w:r w:rsidRPr="00852727">
        <w:rPr>
          <w:sz w:val="18"/>
          <w:szCs w:val="18"/>
        </w:rPr>
        <w:t xml:space="preserve">las sentencias </w:t>
      </w:r>
      <w:r w:rsidRPr="00852727">
        <w:rPr>
          <w:sz w:val="18"/>
          <w:szCs w:val="18"/>
          <w:lang w:val="es-ES"/>
        </w:rPr>
        <w:t xml:space="preserve">C-440 de 2020, C-415 de 2020, C-016 de 2016 y </w:t>
      </w:r>
      <w:r w:rsidRPr="00852727">
        <w:rPr>
          <w:sz w:val="18"/>
          <w:szCs w:val="18"/>
          <w:lang w:val="es-ES"/>
        </w:rPr>
        <w:t>C-557 de 2000</w:t>
      </w:r>
      <w:r w:rsidRPr="00852727">
        <w:rPr>
          <w:sz w:val="18"/>
          <w:szCs w:val="18"/>
          <w:lang w:val="es-ES"/>
        </w:rPr>
        <w:t>.</w:t>
      </w:r>
      <w:r w:rsidRPr="00852727">
        <w:rPr>
          <w:sz w:val="18"/>
          <w:szCs w:val="18"/>
          <w:lang w:val="es-ES"/>
        </w:rPr>
        <w:t xml:space="preserve"> </w:t>
      </w:r>
      <w:r w:rsidRPr="00852727">
        <w:rPr>
          <w:sz w:val="18"/>
          <w:szCs w:val="18"/>
        </w:rPr>
        <w:t xml:space="preserve">Al respecto, la jurisprudencia constitucional ha reiterado que el plan nacional de desarrollo </w:t>
      </w:r>
      <w:r w:rsidRPr="00852727">
        <w:rPr>
          <w:sz w:val="18"/>
          <w:szCs w:val="18"/>
        </w:rPr>
        <w:t>“</w:t>
      </w:r>
      <w:r w:rsidRPr="00852727">
        <w:rPr>
          <w:sz w:val="18"/>
          <w:szCs w:val="18"/>
          <w:shd w:val="clear" w:color="auto" w:fill="FFFFFF"/>
          <w:lang w:val="es-ES"/>
        </w:rPr>
        <w:t>sirve de base y provee los lineamientos estratégicos de las políti</w:t>
      </w:r>
      <w:r w:rsidRPr="00852727">
        <w:rPr>
          <w:sz w:val="18"/>
          <w:szCs w:val="18"/>
          <w:shd w:val="clear" w:color="auto" w:fill="FFFFFF"/>
          <w:lang w:val="es-ES"/>
        </w:rPr>
        <w:t>cas públicas formuladas por el presidente de la República, por medio de su equipo de gobierno”</w:t>
      </w:r>
      <w:r w:rsidRPr="00852727">
        <w:rPr>
          <w:sz w:val="18"/>
          <w:szCs w:val="18"/>
          <w:shd w:val="clear" w:color="auto" w:fill="FFFFFF"/>
          <w:lang w:val="es-ES"/>
        </w:rPr>
        <w:t xml:space="preserve"> (Sentencia C-415 de 2020, </w:t>
      </w:r>
      <w:r w:rsidRPr="00852727">
        <w:rPr>
          <w:sz w:val="18"/>
          <w:szCs w:val="18"/>
          <w:shd w:val="clear" w:color="auto" w:fill="FFFFFF"/>
          <w:lang w:val="es-ES"/>
        </w:rPr>
        <w:t>§</w:t>
      </w:r>
      <w:r w:rsidRPr="00852727">
        <w:rPr>
          <w:sz w:val="18"/>
          <w:szCs w:val="18"/>
          <w:shd w:val="clear" w:color="auto" w:fill="FFFFFF"/>
          <w:lang w:val="es-ES"/>
        </w:rPr>
        <w:t xml:space="preserve"> 50)</w:t>
      </w:r>
      <w:r w:rsidRPr="00852727">
        <w:rPr>
          <w:sz w:val="18"/>
          <w:szCs w:val="18"/>
          <w:shd w:val="clear" w:color="auto" w:fill="FFFFFF"/>
          <w:lang w:val="es-ES"/>
        </w:rPr>
        <w:t xml:space="preserve">. </w:t>
      </w:r>
      <w:r w:rsidRPr="00852727">
        <w:rPr>
          <w:sz w:val="18"/>
          <w:szCs w:val="18"/>
          <w:shd w:val="clear" w:color="auto" w:fill="FFFFFF"/>
          <w:lang w:val="es-ES"/>
        </w:rPr>
        <w:t xml:space="preserve">El </w:t>
      </w:r>
      <w:r w:rsidRPr="00852727">
        <w:rPr>
          <w:sz w:val="18"/>
          <w:szCs w:val="18"/>
          <w:shd w:val="clear" w:color="auto" w:fill="FFFFFF"/>
          <w:lang w:val="es-ES"/>
        </w:rPr>
        <w:t xml:space="preserve">signo </w:t>
      </w:r>
      <w:r w:rsidRPr="00852727">
        <w:rPr>
          <w:sz w:val="18"/>
          <w:szCs w:val="18"/>
          <w:shd w:val="clear" w:color="auto" w:fill="FFFFFF"/>
          <w:lang w:val="es-ES"/>
        </w:rPr>
        <w:t xml:space="preserve">(§) </w:t>
      </w:r>
      <w:r w:rsidRPr="00852727">
        <w:rPr>
          <w:sz w:val="18"/>
          <w:szCs w:val="18"/>
          <w:shd w:val="clear" w:color="auto" w:fill="FFFFFF"/>
          <w:lang w:val="es-ES"/>
        </w:rPr>
        <w:t xml:space="preserve">corresponde a la simbología de la expresión párrafo, de allí que, para </w:t>
      </w:r>
      <w:r w:rsidRPr="00852727">
        <w:rPr>
          <w:sz w:val="18"/>
          <w:szCs w:val="18"/>
          <w:shd w:val="clear" w:color="auto" w:fill="FFFFFF"/>
          <w:lang w:val="es-ES"/>
        </w:rPr>
        <w:t xml:space="preserve">simplicidad de la providencia se </w:t>
      </w:r>
      <w:r w:rsidRPr="00852727">
        <w:rPr>
          <w:sz w:val="18"/>
          <w:szCs w:val="18"/>
          <w:shd w:val="clear" w:color="auto" w:fill="FFFFFF"/>
          <w:lang w:val="es-ES"/>
        </w:rPr>
        <w:t>utilice e</w:t>
      </w:r>
      <w:r w:rsidRPr="00852727">
        <w:rPr>
          <w:sz w:val="18"/>
          <w:szCs w:val="18"/>
          <w:shd w:val="clear" w:color="auto" w:fill="FFFFFF"/>
          <w:lang w:val="es-ES"/>
        </w:rPr>
        <w:t xml:space="preserve">l </w:t>
      </w:r>
      <w:r w:rsidRPr="00852727">
        <w:rPr>
          <w:sz w:val="18"/>
          <w:szCs w:val="18"/>
          <w:shd w:val="clear" w:color="auto" w:fill="FFFFFF"/>
          <w:lang w:val="es-ES"/>
        </w:rPr>
        <w:t>primero.</w:t>
      </w:r>
    </w:p>
  </w:footnote>
  <w:footnote w:id="16">
    <w:p w:rsidR="00BD6BD0"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Cfr., al respecto, lo dispuesto por el </w:t>
      </w:r>
      <w:r w:rsidRPr="00852727">
        <w:rPr>
          <w:sz w:val="18"/>
          <w:szCs w:val="18"/>
          <w:lang w:val="es-ES"/>
        </w:rPr>
        <w:t>artículo 341, inciso primero, de la Constitución y el artículo 14 de la Ley 152 de 1994.</w:t>
      </w:r>
    </w:p>
  </w:footnote>
  <w:footnote w:id="17">
    <w:p w:rsidR="009A66AD"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Cfr., al respecto, lo dispuesto por el </w:t>
      </w:r>
      <w:r w:rsidRPr="00852727">
        <w:rPr>
          <w:sz w:val="18"/>
          <w:szCs w:val="18"/>
          <w:lang w:val="es-ES"/>
        </w:rPr>
        <w:t>artículo 341, inciso</w:t>
      </w:r>
      <w:r w:rsidRPr="00852727">
        <w:rPr>
          <w:sz w:val="18"/>
          <w:szCs w:val="18"/>
          <w:lang w:val="es-ES"/>
        </w:rPr>
        <w:t>s</w:t>
      </w:r>
      <w:r w:rsidRPr="00852727">
        <w:rPr>
          <w:sz w:val="18"/>
          <w:szCs w:val="18"/>
          <w:lang w:val="es-ES"/>
        </w:rPr>
        <w:t xml:space="preserve"> primero</w:t>
      </w:r>
      <w:r w:rsidRPr="00852727">
        <w:rPr>
          <w:sz w:val="18"/>
          <w:szCs w:val="18"/>
          <w:lang w:val="es-ES"/>
        </w:rPr>
        <w:t xml:space="preserve"> y tercero</w:t>
      </w:r>
      <w:r w:rsidRPr="00852727">
        <w:rPr>
          <w:sz w:val="18"/>
          <w:szCs w:val="18"/>
          <w:lang w:val="es-ES"/>
        </w:rPr>
        <w:t xml:space="preserve">, de la Constitución y </w:t>
      </w:r>
      <w:r w:rsidRPr="00852727">
        <w:rPr>
          <w:sz w:val="18"/>
          <w:szCs w:val="18"/>
          <w:lang w:val="es-ES"/>
        </w:rPr>
        <w:t xml:space="preserve">los </w:t>
      </w:r>
      <w:r w:rsidRPr="00852727">
        <w:rPr>
          <w:sz w:val="18"/>
          <w:szCs w:val="18"/>
          <w:lang w:val="es-ES"/>
        </w:rPr>
        <w:t>artículo</w:t>
      </w:r>
      <w:r w:rsidRPr="00852727">
        <w:rPr>
          <w:sz w:val="18"/>
          <w:szCs w:val="18"/>
          <w:lang w:val="es-ES"/>
        </w:rPr>
        <w:t>s</w:t>
      </w:r>
      <w:r w:rsidRPr="00852727">
        <w:rPr>
          <w:sz w:val="18"/>
          <w:szCs w:val="18"/>
          <w:lang w:val="es-ES"/>
        </w:rPr>
        <w:t xml:space="preserve"> </w:t>
      </w:r>
      <w:r w:rsidRPr="00852727">
        <w:rPr>
          <w:sz w:val="18"/>
          <w:szCs w:val="18"/>
          <w:lang w:val="es-ES"/>
        </w:rPr>
        <w:t>13</w:t>
      </w:r>
      <w:r w:rsidRPr="00852727">
        <w:rPr>
          <w:sz w:val="18"/>
          <w:szCs w:val="18"/>
          <w:lang w:val="es-ES"/>
        </w:rPr>
        <w:t>, 20, 21</w:t>
      </w:r>
      <w:r w:rsidRPr="00852727">
        <w:rPr>
          <w:sz w:val="18"/>
          <w:szCs w:val="18"/>
          <w:lang w:val="es-ES"/>
        </w:rPr>
        <w:t xml:space="preserve"> </w:t>
      </w:r>
      <w:r w:rsidRPr="00852727">
        <w:rPr>
          <w:sz w:val="18"/>
          <w:szCs w:val="18"/>
          <w:lang w:val="es-ES"/>
        </w:rPr>
        <w:t xml:space="preserve">y 25 </w:t>
      </w:r>
      <w:r w:rsidRPr="00852727">
        <w:rPr>
          <w:sz w:val="18"/>
          <w:szCs w:val="18"/>
          <w:lang w:val="es-ES"/>
        </w:rPr>
        <w:t>de la Ley 152 de 1994.</w:t>
      </w:r>
    </w:p>
  </w:footnote>
  <w:footnote w:id="18">
    <w:p w:rsidR="00E5655E"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lang w:val="es-ES"/>
        </w:rPr>
        <w:t>En este sentido, d</w:t>
      </w:r>
      <w:r w:rsidRPr="00852727">
        <w:rPr>
          <w:sz w:val="18"/>
          <w:szCs w:val="18"/>
          <w:shd w:val="clear" w:color="auto" w:fill="FFFFFF"/>
          <w:lang w:val="es-ES"/>
        </w:rPr>
        <w:t>e un lado, el artículo 340 de la Constitución dispone que habrá un Consejo Nacional de Planeación, “integrado por representantes de las entidades territoriales y de los sectores económicos, sociale</w:t>
      </w:r>
      <w:r w:rsidRPr="00852727">
        <w:rPr>
          <w:sz w:val="18"/>
          <w:szCs w:val="18"/>
          <w:shd w:val="clear" w:color="auto" w:fill="FFFFFF"/>
          <w:lang w:val="es-ES"/>
        </w:rPr>
        <w:t>s, ecológicos, comunitarios y culturales”, el cual tendrá carácter “consultivo” y servirá de “foro para la discusión del Plan”.</w:t>
      </w:r>
      <w:bookmarkStart w:id="6" w:name="341"/>
      <w:bookmarkEnd w:id="6"/>
      <w:r w:rsidRPr="00852727">
        <w:rPr>
          <w:sz w:val="18"/>
          <w:szCs w:val="18"/>
          <w:shd w:val="clear" w:color="auto" w:fill="FFFFFF"/>
          <w:lang w:val="es-ES"/>
        </w:rPr>
        <w:t xml:space="preserve"> De otro lado, su artículo 341 prescribe que el gobierno elaborará el plan nacional de desarrollo con “participación” de las auto</w:t>
      </w:r>
      <w:r w:rsidRPr="00852727">
        <w:rPr>
          <w:sz w:val="18"/>
          <w:szCs w:val="18"/>
          <w:shd w:val="clear" w:color="auto" w:fill="FFFFFF"/>
          <w:lang w:val="es-ES"/>
        </w:rPr>
        <w:t>ridades de planeación, de las entidades territoriales y del Consejo Superior de la Judicatura</w:t>
      </w:r>
      <w:r w:rsidRPr="00852727">
        <w:rPr>
          <w:sz w:val="18"/>
          <w:szCs w:val="18"/>
          <w:shd w:val="clear" w:color="auto" w:fill="FFFFFF"/>
          <w:lang w:val="es-ES"/>
        </w:rPr>
        <w:t xml:space="preserve">, </w:t>
      </w:r>
      <w:r w:rsidRPr="00852727">
        <w:rPr>
          <w:sz w:val="18"/>
          <w:szCs w:val="18"/>
          <w:shd w:val="clear" w:color="auto" w:fill="FFFFFF"/>
          <w:lang w:val="es-ES"/>
        </w:rPr>
        <w:t xml:space="preserve">someterá el proyecto correspondiente al “concepto” del Consejo Nacional de Planeación y efectuará las enmiendas que considere pertinentes luego de oída la </w:t>
      </w:r>
      <w:r w:rsidRPr="00852727">
        <w:rPr>
          <w:sz w:val="18"/>
          <w:szCs w:val="18"/>
          <w:shd w:val="clear" w:color="auto" w:fill="FFFFFF"/>
          <w:lang w:val="es-ES"/>
        </w:rPr>
        <w:t>“opinión” del Consejo Nacional de Planeación. Finalmente, su artículo 342 dispone que la ley orgánica de planeación determinará los “procedimientos conforme a los cuales se hará efectiva la participación ciudadana” en la discusión de los planes de desarrol</w:t>
      </w:r>
      <w:r w:rsidRPr="00852727">
        <w:rPr>
          <w:sz w:val="18"/>
          <w:szCs w:val="18"/>
          <w:shd w:val="clear" w:color="auto" w:fill="FFFFFF"/>
          <w:lang w:val="es-ES"/>
        </w:rPr>
        <w:t>lo y en las modificaciones correspondientes.</w:t>
      </w:r>
    </w:p>
  </w:footnote>
  <w:footnote w:id="19">
    <w:p w:rsidR="00343C60"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artículo 5 de la Ley 152 de 1994 especifica </w:t>
      </w:r>
      <w:r w:rsidRPr="00852727">
        <w:rPr>
          <w:sz w:val="18"/>
          <w:szCs w:val="18"/>
        </w:rPr>
        <w:t xml:space="preserve">el alcance de estos componentes al indicar que la parte general </w:t>
      </w:r>
      <w:r w:rsidRPr="00852727">
        <w:rPr>
          <w:sz w:val="18"/>
          <w:szCs w:val="18"/>
        </w:rPr>
        <w:t>debe contener lo siguiente: “a) Los objetivos nacionales y sectoriales de la acción estatal a medi</w:t>
      </w:r>
      <w:r w:rsidRPr="00852727">
        <w:rPr>
          <w:sz w:val="18"/>
          <w:szCs w:val="18"/>
        </w:rPr>
        <w:t>ano y largo plazo según resulte del diagnóstico general de la economía y de sus principales sectores y grupos sociales; || b) Las metas nacionales y sectoriales de la acción estatal a mediano y largo plazo y los procedimientos y mecanismos generales para l</w:t>
      </w:r>
      <w:r w:rsidRPr="00852727">
        <w:rPr>
          <w:sz w:val="18"/>
          <w:szCs w:val="18"/>
        </w:rPr>
        <w:t>ograrlos;</w:t>
      </w:r>
      <w:r w:rsidRPr="00852727">
        <w:rPr>
          <w:sz w:val="18"/>
          <w:szCs w:val="18"/>
        </w:rPr>
        <w:t xml:space="preserve"> || </w:t>
      </w:r>
      <w:r w:rsidRPr="00852727">
        <w:rPr>
          <w:sz w:val="18"/>
          <w:szCs w:val="18"/>
        </w:rPr>
        <w:t>c) Las estrategias y política en materia económica, social y ambiental que guiarán la acción del Gobierno para alcanzar los objetivos y metas que se hayan definido;</w:t>
      </w:r>
      <w:r w:rsidRPr="00852727">
        <w:rPr>
          <w:sz w:val="18"/>
          <w:szCs w:val="18"/>
        </w:rPr>
        <w:t xml:space="preserve"> || </w:t>
      </w:r>
      <w:r w:rsidRPr="00852727">
        <w:rPr>
          <w:sz w:val="18"/>
          <w:szCs w:val="18"/>
        </w:rPr>
        <w:t>d) El señalamiento de las formas, medios e instrumentos de vinculación y ar</w:t>
      </w:r>
      <w:r w:rsidRPr="00852727">
        <w:rPr>
          <w:sz w:val="18"/>
          <w:szCs w:val="18"/>
        </w:rPr>
        <w:t>monización de la planeación nacional con la planeación sectorial, regional, departamental, municipal, distrital y de las entidades territoriales indígenas; y de aquellas otras entidades territoriales que se constituyan en aplicación de las normas constituc</w:t>
      </w:r>
      <w:r w:rsidRPr="00852727">
        <w:rPr>
          <w:sz w:val="18"/>
          <w:szCs w:val="18"/>
        </w:rPr>
        <w:t>ionales vigentes”.</w:t>
      </w:r>
    </w:p>
  </w:footnote>
  <w:footnote w:id="20">
    <w:p w:rsidR="00402EEA"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artículo 6 de la Ley 152 de 1994 </w:t>
      </w:r>
      <w:r w:rsidRPr="00852727">
        <w:rPr>
          <w:sz w:val="18"/>
          <w:szCs w:val="18"/>
        </w:rPr>
        <w:t xml:space="preserve">precisa </w:t>
      </w:r>
      <w:r w:rsidRPr="00852727">
        <w:rPr>
          <w:sz w:val="18"/>
          <w:szCs w:val="18"/>
        </w:rPr>
        <w:t xml:space="preserve">que </w:t>
      </w:r>
      <w:r w:rsidRPr="00852727">
        <w:rPr>
          <w:sz w:val="18"/>
          <w:szCs w:val="18"/>
        </w:rPr>
        <w:t>el plan de inversiones de las entidades públicas del orden nacional</w:t>
      </w:r>
      <w:r w:rsidRPr="00852727">
        <w:rPr>
          <w:sz w:val="18"/>
          <w:szCs w:val="18"/>
        </w:rPr>
        <w:t xml:space="preserve"> debe </w:t>
      </w:r>
      <w:r w:rsidRPr="00852727">
        <w:rPr>
          <w:sz w:val="18"/>
          <w:szCs w:val="18"/>
        </w:rPr>
        <w:t>incluir</w:t>
      </w:r>
      <w:r w:rsidRPr="00852727">
        <w:rPr>
          <w:sz w:val="18"/>
          <w:szCs w:val="18"/>
        </w:rPr>
        <w:t xml:space="preserve">, de manera principal, </w:t>
      </w:r>
      <w:r w:rsidRPr="00852727">
        <w:rPr>
          <w:sz w:val="18"/>
          <w:szCs w:val="18"/>
        </w:rPr>
        <w:t>los siguientes componentes:</w:t>
      </w:r>
      <w:r w:rsidRPr="00852727">
        <w:rPr>
          <w:sz w:val="18"/>
          <w:szCs w:val="18"/>
        </w:rPr>
        <w:t xml:space="preserve"> “a) La proyección de los recursos financieros disponibles para su ejecución y su armonización con los planes de gasto público;</w:t>
      </w:r>
      <w:r w:rsidRPr="00852727">
        <w:rPr>
          <w:sz w:val="18"/>
          <w:szCs w:val="18"/>
        </w:rPr>
        <w:t xml:space="preserve"> || </w:t>
      </w:r>
      <w:r w:rsidRPr="00852727">
        <w:rPr>
          <w:sz w:val="18"/>
          <w:szCs w:val="18"/>
        </w:rPr>
        <w:t>b) La descripción de los principales programas y subprogramas, con indicación de sus objetivos y metas nacionales, regionales</w:t>
      </w:r>
      <w:r w:rsidRPr="00852727">
        <w:rPr>
          <w:sz w:val="18"/>
          <w:szCs w:val="18"/>
        </w:rPr>
        <w:t xml:space="preserve"> y sectoriales y los proyectos prioritarios de inversión;</w:t>
      </w:r>
      <w:r w:rsidRPr="00852727">
        <w:rPr>
          <w:sz w:val="18"/>
          <w:szCs w:val="18"/>
        </w:rPr>
        <w:t xml:space="preserve"> || </w:t>
      </w:r>
      <w:r w:rsidRPr="00852727">
        <w:rPr>
          <w:sz w:val="18"/>
          <w:szCs w:val="18"/>
        </w:rPr>
        <w:t>c) Los presupuestos plurianuales mediante los cuales se proyectarán en los costos de los programas más importantes de inversión pública contemplados en la parte general;</w:t>
      </w:r>
      <w:r w:rsidRPr="00852727">
        <w:rPr>
          <w:sz w:val="18"/>
          <w:szCs w:val="18"/>
        </w:rPr>
        <w:t xml:space="preserve"> || </w:t>
      </w:r>
      <w:r w:rsidRPr="00852727">
        <w:rPr>
          <w:sz w:val="18"/>
          <w:szCs w:val="18"/>
        </w:rPr>
        <w:t>d) La especificación d</w:t>
      </w:r>
      <w:r w:rsidRPr="00852727">
        <w:rPr>
          <w:sz w:val="18"/>
          <w:szCs w:val="18"/>
        </w:rPr>
        <w:t xml:space="preserve">e los mecanismos idóneos para su ejecución”. Además, de conformidad con lo dispuesto por su parágrafo, </w:t>
      </w:r>
      <w:r w:rsidRPr="00852727">
        <w:rPr>
          <w:sz w:val="18"/>
          <w:szCs w:val="18"/>
        </w:rPr>
        <w:t>adicionado por el artículo 10 de la Ley 1473 de 2011, “[e]l Plan de Inversiones del Proyecto de la Ley del Plan Nacional de Desarrollo deberá guardar con</w:t>
      </w:r>
      <w:r w:rsidRPr="00852727">
        <w:rPr>
          <w:sz w:val="18"/>
          <w:szCs w:val="18"/>
        </w:rPr>
        <w:t>sistencia con la regla fiscal contenida en el Marco Fiscal de Mediano Plazo”.</w:t>
      </w:r>
    </w:p>
  </w:footnote>
  <w:footnote w:id="21">
    <w:p w:rsidR="00511234" w:rsidRPr="00852727" w:rsidRDefault="00AF629F" w:rsidP="00857817">
      <w:pPr>
        <w:pStyle w:val="Textonotapie"/>
        <w:jc w:val="both"/>
        <w:rPr>
          <w:sz w:val="18"/>
          <w:szCs w:val="18"/>
          <w:lang w:val="es-ES"/>
        </w:rPr>
      </w:pPr>
      <w:r w:rsidRPr="00852727">
        <w:rPr>
          <w:rStyle w:val="Refdenotaalpie"/>
          <w:sz w:val="18"/>
          <w:szCs w:val="18"/>
        </w:rPr>
        <w:footnoteRef/>
      </w:r>
      <w:r w:rsidRPr="00852727">
        <w:rPr>
          <w:sz w:val="18"/>
          <w:szCs w:val="18"/>
        </w:rPr>
        <w:t xml:space="preserve"> P</w:t>
      </w:r>
      <w:r w:rsidRPr="00852727">
        <w:rPr>
          <w:sz w:val="18"/>
          <w:szCs w:val="18"/>
          <w:shd w:val="clear" w:color="auto" w:fill="FFFFFF"/>
          <w:lang w:val="es-ES"/>
        </w:rPr>
        <w:t>ara efectos de la aprobación del plan</w:t>
      </w:r>
      <w:r w:rsidRPr="00852727">
        <w:rPr>
          <w:sz w:val="18"/>
          <w:szCs w:val="18"/>
          <w:shd w:val="clear" w:color="auto" w:fill="FFFFFF"/>
          <w:lang w:val="es-ES"/>
        </w:rPr>
        <w:t xml:space="preserve"> nacional de desarrollo</w:t>
      </w:r>
      <w:r w:rsidRPr="00852727">
        <w:rPr>
          <w:sz w:val="18"/>
          <w:szCs w:val="18"/>
          <w:shd w:val="clear" w:color="auto" w:fill="FFFFFF"/>
          <w:lang w:val="es-ES"/>
        </w:rPr>
        <w:t>, el CONPES se amplía con el CONPES SOCIAL</w:t>
      </w:r>
      <w:r w:rsidRPr="00852727">
        <w:rPr>
          <w:sz w:val="18"/>
          <w:szCs w:val="18"/>
          <w:shd w:val="clear" w:color="auto" w:fill="FFFFFF"/>
          <w:lang w:val="es-ES"/>
        </w:rPr>
        <w:t xml:space="preserve"> y </w:t>
      </w:r>
      <w:r w:rsidRPr="00852727">
        <w:rPr>
          <w:sz w:val="18"/>
          <w:szCs w:val="18"/>
          <w:shd w:val="clear" w:color="auto" w:fill="FFFFFF"/>
          <w:lang w:val="es-ES"/>
        </w:rPr>
        <w:t>se invita a parti</w:t>
      </w:r>
      <w:r w:rsidRPr="00852727">
        <w:rPr>
          <w:sz w:val="18"/>
          <w:szCs w:val="18"/>
          <w:shd w:val="clear" w:color="auto" w:fill="FFFFFF"/>
          <w:lang w:val="es-ES"/>
        </w:rPr>
        <w:t>cipar</w:t>
      </w:r>
      <w:r w:rsidRPr="00852727">
        <w:rPr>
          <w:sz w:val="18"/>
          <w:szCs w:val="18"/>
          <w:shd w:val="clear" w:color="auto" w:fill="FFFFFF"/>
          <w:lang w:val="es-ES"/>
        </w:rPr>
        <w:t xml:space="preserve"> a </w:t>
      </w:r>
      <w:r w:rsidRPr="00852727">
        <w:rPr>
          <w:sz w:val="18"/>
          <w:szCs w:val="18"/>
          <w:shd w:val="clear" w:color="auto" w:fill="FFFFFF"/>
          <w:lang w:val="es-ES"/>
        </w:rPr>
        <w:t>cinco gobernadores</w:t>
      </w:r>
      <w:r w:rsidRPr="00852727">
        <w:rPr>
          <w:sz w:val="18"/>
          <w:szCs w:val="18"/>
          <w:shd w:val="clear" w:color="auto" w:fill="FFFFFF"/>
          <w:lang w:val="es-ES"/>
        </w:rPr>
        <w:t xml:space="preserve"> y </w:t>
      </w:r>
      <w:r w:rsidRPr="00852727">
        <w:rPr>
          <w:sz w:val="18"/>
          <w:szCs w:val="18"/>
          <w:shd w:val="clear" w:color="auto" w:fill="FFFFFF"/>
          <w:lang w:val="es-ES"/>
        </w:rPr>
        <w:t>cinco alcaldes</w:t>
      </w:r>
      <w:r w:rsidRPr="00852727">
        <w:rPr>
          <w:sz w:val="18"/>
          <w:szCs w:val="18"/>
          <w:shd w:val="clear" w:color="auto" w:fill="FFFFFF"/>
          <w:lang w:val="es-ES"/>
        </w:rPr>
        <w:t>,</w:t>
      </w:r>
      <w:r w:rsidRPr="00852727">
        <w:rPr>
          <w:sz w:val="18"/>
          <w:szCs w:val="18"/>
          <w:shd w:val="clear" w:color="auto" w:fill="FFFFFF"/>
          <w:lang w:val="es-ES"/>
        </w:rPr>
        <w:t xml:space="preserve"> </w:t>
      </w:r>
      <w:r w:rsidRPr="00852727">
        <w:rPr>
          <w:sz w:val="18"/>
          <w:szCs w:val="18"/>
          <w:shd w:val="clear" w:color="auto" w:fill="FFFFFF"/>
          <w:lang w:val="es-ES"/>
        </w:rPr>
        <w:t xml:space="preserve">“en </w:t>
      </w:r>
      <w:r w:rsidRPr="00852727">
        <w:rPr>
          <w:sz w:val="18"/>
          <w:szCs w:val="18"/>
          <w:shd w:val="clear" w:color="auto" w:fill="FFFFFF"/>
          <w:lang w:val="es-ES"/>
        </w:rPr>
        <w:t>representación de las entidades territoriales”</w:t>
      </w:r>
      <w:r w:rsidRPr="00852727">
        <w:rPr>
          <w:sz w:val="18"/>
          <w:szCs w:val="18"/>
          <w:shd w:val="clear" w:color="auto" w:fill="FFFFFF"/>
          <w:lang w:val="es-ES"/>
        </w:rPr>
        <w:t xml:space="preserve">, </w:t>
      </w:r>
      <w:r w:rsidRPr="00852727">
        <w:rPr>
          <w:sz w:val="18"/>
          <w:szCs w:val="18"/>
          <w:shd w:val="clear" w:color="auto" w:fill="FFFFFF"/>
          <w:lang w:val="es-ES"/>
        </w:rPr>
        <w:t xml:space="preserve">a </w:t>
      </w:r>
      <w:r w:rsidRPr="00852727">
        <w:rPr>
          <w:sz w:val="18"/>
          <w:szCs w:val="18"/>
          <w:shd w:val="clear" w:color="auto" w:fill="FFFFFF"/>
          <w:lang w:val="es-ES"/>
        </w:rPr>
        <w:t xml:space="preserve">los representantes legales de las regiones a que se refiere el artículo 307 de la Constitución y </w:t>
      </w:r>
      <w:r w:rsidRPr="00852727">
        <w:rPr>
          <w:sz w:val="18"/>
          <w:szCs w:val="18"/>
          <w:shd w:val="clear" w:color="auto" w:fill="FFFFFF"/>
          <w:lang w:val="es-ES"/>
        </w:rPr>
        <w:t>a</w:t>
      </w:r>
      <w:r w:rsidRPr="00852727">
        <w:rPr>
          <w:sz w:val="18"/>
          <w:szCs w:val="18"/>
          <w:shd w:val="clear" w:color="auto" w:fill="FFFFFF"/>
          <w:lang w:val="es-ES"/>
        </w:rPr>
        <w:t>l presidente del Consejo Superior de la Judicatura (</w:t>
      </w:r>
      <w:r w:rsidRPr="00852727">
        <w:rPr>
          <w:sz w:val="18"/>
          <w:szCs w:val="18"/>
          <w:shd w:val="clear" w:color="auto" w:fill="FFFFFF"/>
          <w:lang w:val="es-ES"/>
        </w:rPr>
        <w:t>artículo 17 de la Ley 152 de 1994</w:t>
      </w:r>
      <w:r w:rsidRPr="00852727">
        <w:rPr>
          <w:sz w:val="18"/>
          <w:szCs w:val="18"/>
          <w:shd w:val="clear" w:color="auto" w:fill="FFFFFF"/>
          <w:lang w:val="es-ES"/>
        </w:rPr>
        <w:t>)</w:t>
      </w:r>
      <w:r w:rsidRPr="00852727">
        <w:rPr>
          <w:sz w:val="18"/>
          <w:szCs w:val="18"/>
          <w:shd w:val="clear" w:color="auto" w:fill="FFFFFF"/>
          <w:lang w:val="es-ES"/>
        </w:rPr>
        <w:t>.</w:t>
      </w:r>
    </w:p>
  </w:footnote>
  <w:footnote w:id="22">
    <w:p w:rsidR="007A48F6" w:rsidRPr="00852727" w:rsidRDefault="00AF629F" w:rsidP="00857817">
      <w:pPr>
        <w:pStyle w:val="Textonotapie"/>
        <w:jc w:val="both"/>
        <w:rPr>
          <w:sz w:val="18"/>
          <w:szCs w:val="18"/>
          <w:lang w:val="es-ES"/>
        </w:rPr>
      </w:pPr>
      <w:r w:rsidRPr="00852727">
        <w:rPr>
          <w:rStyle w:val="Refdenotaalpie"/>
          <w:sz w:val="18"/>
          <w:szCs w:val="18"/>
        </w:rPr>
        <w:footnoteRef/>
      </w:r>
      <w:r w:rsidRPr="00852727">
        <w:rPr>
          <w:sz w:val="18"/>
          <w:szCs w:val="18"/>
        </w:rPr>
        <w:t xml:space="preserve"> El artículo 340 de la Constitución regula la integración del CNP.</w:t>
      </w:r>
    </w:p>
  </w:footnote>
  <w:footnote w:id="23">
    <w:p w:rsidR="0089441E" w:rsidRPr="00852727" w:rsidRDefault="00AF629F" w:rsidP="00857817">
      <w:pPr>
        <w:pStyle w:val="Textonotapie"/>
        <w:jc w:val="both"/>
        <w:rPr>
          <w:sz w:val="18"/>
          <w:szCs w:val="18"/>
          <w:lang w:val="es-ES"/>
        </w:rPr>
      </w:pPr>
      <w:r w:rsidRPr="00852727">
        <w:rPr>
          <w:rStyle w:val="Refdenotaalpie"/>
          <w:sz w:val="18"/>
          <w:szCs w:val="18"/>
          <w:lang w:val="es-ES"/>
        </w:rPr>
        <w:footnoteRef/>
      </w:r>
      <w:r w:rsidRPr="00852727">
        <w:rPr>
          <w:sz w:val="18"/>
          <w:szCs w:val="18"/>
          <w:lang w:val="es-ES"/>
        </w:rPr>
        <w:t xml:space="preserve"> Ley 152 de 1994, artículo 19</w:t>
      </w:r>
    </w:p>
  </w:footnote>
  <w:footnote w:id="24">
    <w:p w:rsidR="00775872" w:rsidRPr="00852727" w:rsidRDefault="00AF629F" w:rsidP="00857817">
      <w:pPr>
        <w:shd w:val="clear" w:color="auto" w:fill="FFFFFF"/>
        <w:jc w:val="both"/>
        <w:rPr>
          <w:sz w:val="18"/>
          <w:szCs w:val="18"/>
          <w:lang w:val="es-ES"/>
        </w:rPr>
      </w:pPr>
      <w:r w:rsidRPr="00852727">
        <w:rPr>
          <w:rStyle w:val="Refdenotaalpie"/>
          <w:sz w:val="18"/>
          <w:szCs w:val="18"/>
          <w:lang w:val="es-ES"/>
        </w:rPr>
        <w:footnoteRef/>
      </w:r>
      <w:r w:rsidRPr="00852727">
        <w:rPr>
          <w:sz w:val="18"/>
          <w:szCs w:val="18"/>
          <w:lang w:val="es-ES"/>
        </w:rPr>
        <w:t xml:space="preserve"> </w:t>
      </w:r>
      <w:r w:rsidRPr="00852727">
        <w:rPr>
          <w:sz w:val="18"/>
          <w:szCs w:val="18"/>
          <w:lang w:val="es-ES" w:eastAsia="es-419"/>
        </w:rPr>
        <w:t>Es importante reiterar, c</w:t>
      </w:r>
      <w:r w:rsidRPr="00852727">
        <w:rPr>
          <w:sz w:val="18"/>
          <w:szCs w:val="18"/>
          <w:lang w:val="es-ES" w:eastAsia="es-419"/>
        </w:rPr>
        <w:t>omo se indicó en la Sentencia C-</w:t>
      </w:r>
      <w:r w:rsidRPr="00852727">
        <w:rPr>
          <w:sz w:val="18"/>
          <w:szCs w:val="18"/>
          <w:lang w:val="es-ES" w:eastAsia="es-419"/>
        </w:rPr>
        <w:t>030 de 2021</w:t>
      </w:r>
      <w:r w:rsidRPr="00852727">
        <w:rPr>
          <w:sz w:val="18"/>
          <w:szCs w:val="18"/>
          <w:lang w:val="es-ES" w:eastAsia="es-419"/>
        </w:rPr>
        <w:t xml:space="preserve"> que</w:t>
      </w:r>
      <w:r w:rsidRPr="00852727">
        <w:rPr>
          <w:sz w:val="18"/>
          <w:szCs w:val="18"/>
          <w:lang w:val="es-ES" w:eastAsia="es-419"/>
        </w:rPr>
        <w:t xml:space="preserve"> </w:t>
      </w:r>
      <w:r w:rsidRPr="00852727">
        <w:rPr>
          <w:sz w:val="18"/>
          <w:szCs w:val="18"/>
          <w:lang w:val="es-ES" w:eastAsia="es-419"/>
        </w:rPr>
        <w:t>“</w:t>
      </w:r>
      <w:r w:rsidRPr="00852727">
        <w:rPr>
          <w:sz w:val="18"/>
          <w:szCs w:val="18"/>
        </w:rPr>
        <w:t>en la Constitución anterior</w:t>
      </w:r>
      <w:r w:rsidRPr="00852727">
        <w:rPr>
          <w:sz w:val="18"/>
          <w:szCs w:val="18"/>
        </w:rPr>
        <w:t xml:space="preserve"> [Constitución Nacional de 1886]</w:t>
      </w:r>
      <w:r w:rsidRPr="00852727">
        <w:rPr>
          <w:sz w:val="18"/>
          <w:szCs w:val="18"/>
        </w:rPr>
        <w:t xml:space="preserve">, el proceso de </w:t>
      </w:r>
      <w:r w:rsidRPr="00852727">
        <w:rPr>
          <w:i/>
          <w:iCs/>
          <w:sz w:val="18"/>
          <w:szCs w:val="18"/>
        </w:rPr>
        <w:t>fijación</w:t>
      </w:r>
      <w:r w:rsidRPr="00852727">
        <w:rPr>
          <w:sz w:val="18"/>
          <w:szCs w:val="18"/>
        </w:rPr>
        <w:t xml:space="preserve"> del plan por parte del Congreso consistía en un conjunto de mecanismos y procedimientos complejos y dispendiosos que</w:t>
      </w:r>
      <w:r w:rsidRPr="00852727">
        <w:rPr>
          <w:sz w:val="18"/>
          <w:szCs w:val="18"/>
          <w:shd w:val="clear" w:color="auto" w:fill="FFFFFF"/>
        </w:rPr>
        <w:t xml:space="preserve"> tenía lugar mediante un procedimiento legislativo de 3 debates consecutivos que debían adelantarse en un plazo de 11 meses (5 mese</w:t>
      </w:r>
      <w:r w:rsidRPr="00852727">
        <w:rPr>
          <w:sz w:val="18"/>
          <w:szCs w:val="18"/>
          <w:shd w:val="clear" w:color="auto" w:fill="FFFFFF"/>
        </w:rPr>
        <w:t xml:space="preserve">s para el primer debate en la Comisión Especial, 3 meses para el segundo debate en la Cámara de Representantes y 3 meses para su aprobación en el Senado de la República), </w:t>
      </w:r>
      <w:r w:rsidRPr="00852727">
        <w:rPr>
          <w:i/>
          <w:iCs/>
          <w:sz w:val="18"/>
          <w:szCs w:val="18"/>
          <w:shd w:val="clear" w:color="auto" w:fill="FFFFFF"/>
        </w:rPr>
        <w:t xml:space="preserve">a cuyo vencimiento, si no hubiere decisión, </w:t>
      </w:r>
      <w:r w:rsidRPr="00852727">
        <w:rPr>
          <w:sz w:val="18"/>
          <w:szCs w:val="18"/>
          <w:shd w:val="clear" w:color="auto" w:fill="FFFFFF"/>
        </w:rPr>
        <w:t xml:space="preserve">el gobierno podía </w:t>
      </w:r>
      <w:r w:rsidRPr="00852727">
        <w:rPr>
          <w:i/>
          <w:iCs/>
          <w:sz w:val="18"/>
          <w:szCs w:val="18"/>
          <w:shd w:val="clear" w:color="auto" w:fill="FFFFFF"/>
        </w:rPr>
        <w:t>poner en vigencia media</w:t>
      </w:r>
      <w:r w:rsidRPr="00852727">
        <w:rPr>
          <w:i/>
          <w:iCs/>
          <w:sz w:val="18"/>
          <w:szCs w:val="18"/>
          <w:shd w:val="clear" w:color="auto" w:fill="FFFFFF"/>
        </w:rPr>
        <w:t>nte decreto con fuerza de ley el proyecto</w:t>
      </w:r>
      <w:r w:rsidRPr="00852727">
        <w:rPr>
          <w:sz w:val="18"/>
          <w:szCs w:val="18"/>
          <w:shd w:val="clear" w:color="auto" w:fill="FFFFFF"/>
        </w:rPr>
        <w:t xml:space="preserve"> presentado por el gobierno. Para efectos del primer debate la Constitución contemplaba una </w:t>
      </w:r>
      <w:r w:rsidRPr="00852727">
        <w:rPr>
          <w:i/>
          <w:iCs/>
          <w:sz w:val="18"/>
          <w:szCs w:val="18"/>
          <w:shd w:val="clear" w:color="auto" w:fill="FFFFFF"/>
        </w:rPr>
        <w:t>Comisión Especial Permanente</w:t>
      </w:r>
      <w:r w:rsidRPr="00852727">
        <w:rPr>
          <w:sz w:val="18"/>
          <w:szCs w:val="18"/>
          <w:shd w:val="clear" w:color="auto" w:fill="FFFFFF"/>
        </w:rPr>
        <w:t xml:space="preserve"> integrada por senadores y representantes por departamento, elegidos por las cámaras en proporc</w:t>
      </w:r>
      <w:r w:rsidRPr="00852727">
        <w:rPr>
          <w:sz w:val="18"/>
          <w:szCs w:val="18"/>
          <w:shd w:val="clear" w:color="auto" w:fill="FFFFFF"/>
        </w:rPr>
        <w:t xml:space="preserve">ión a la representación de los partidos. Así mismo, se señalaba que correspondía al legislador, al adoptar la ley del plan, determinar </w:t>
      </w:r>
      <w:r w:rsidRPr="00852727">
        <w:rPr>
          <w:sz w:val="18"/>
          <w:szCs w:val="18"/>
          <w:shd w:val="clear" w:color="auto" w:fill="FFFFFF"/>
        </w:rPr>
        <w:t>‘</w:t>
      </w:r>
      <w:r w:rsidRPr="00852727">
        <w:rPr>
          <w:i/>
          <w:iCs/>
          <w:sz w:val="18"/>
          <w:szCs w:val="18"/>
          <w:shd w:val="clear" w:color="auto" w:fill="FFFFFF"/>
        </w:rPr>
        <w:t>los recursos e inversiones que se autoricen para su ejecución</w:t>
      </w:r>
      <w:r w:rsidRPr="00852727">
        <w:rPr>
          <w:sz w:val="18"/>
          <w:szCs w:val="18"/>
          <w:shd w:val="clear" w:color="auto" w:fill="FFFFFF"/>
        </w:rPr>
        <w:t>’</w:t>
      </w:r>
      <w:r w:rsidRPr="00852727">
        <w:rPr>
          <w:i/>
          <w:iCs/>
          <w:sz w:val="18"/>
          <w:szCs w:val="18"/>
          <w:shd w:val="clear" w:color="auto" w:fill="FFFFFF"/>
        </w:rPr>
        <w:t xml:space="preserve"> </w:t>
      </w:r>
      <w:r w:rsidRPr="00852727">
        <w:rPr>
          <w:sz w:val="18"/>
          <w:szCs w:val="18"/>
          <w:shd w:val="clear" w:color="auto" w:fill="FFFFFF"/>
        </w:rPr>
        <w:t xml:space="preserve">y </w:t>
      </w:r>
      <w:r w:rsidRPr="00852727">
        <w:rPr>
          <w:sz w:val="18"/>
          <w:szCs w:val="18"/>
          <w:shd w:val="clear" w:color="auto" w:fill="FFFFFF"/>
        </w:rPr>
        <w:t>‘</w:t>
      </w:r>
      <w:r w:rsidRPr="00852727">
        <w:rPr>
          <w:i/>
          <w:iCs/>
          <w:sz w:val="18"/>
          <w:szCs w:val="18"/>
          <w:shd w:val="clear" w:color="auto" w:fill="FFFFFF"/>
        </w:rPr>
        <w:t>las medidas necesarias para impulsar el cumplimiento d</w:t>
      </w:r>
      <w:r w:rsidRPr="00852727">
        <w:rPr>
          <w:i/>
          <w:iCs/>
          <w:sz w:val="18"/>
          <w:szCs w:val="18"/>
          <w:shd w:val="clear" w:color="auto" w:fill="FFFFFF"/>
        </w:rPr>
        <w:t>e los mismos</w:t>
      </w:r>
      <w:r w:rsidRPr="00852727">
        <w:rPr>
          <w:sz w:val="18"/>
          <w:szCs w:val="18"/>
          <w:shd w:val="clear" w:color="auto" w:fill="FFFFFF"/>
        </w:rPr>
        <w:t>”.</w:t>
      </w:r>
    </w:p>
  </w:footnote>
  <w:footnote w:id="25">
    <w:p w:rsidR="00593018" w:rsidRPr="00852727" w:rsidRDefault="00AF629F" w:rsidP="00857817">
      <w:pPr>
        <w:autoSpaceDE w:val="0"/>
        <w:autoSpaceDN w:val="0"/>
        <w:adjustRightInd w:val="0"/>
        <w:jc w:val="both"/>
        <w:rPr>
          <w:sz w:val="18"/>
          <w:szCs w:val="18"/>
          <w:lang w:val="es-ES"/>
        </w:rPr>
      </w:pPr>
      <w:r w:rsidRPr="00852727">
        <w:rPr>
          <w:rStyle w:val="Refdenotaalpie"/>
          <w:sz w:val="18"/>
          <w:szCs w:val="18"/>
        </w:rPr>
        <w:footnoteRef/>
      </w:r>
      <w:r w:rsidRPr="00852727">
        <w:rPr>
          <w:sz w:val="18"/>
          <w:szCs w:val="18"/>
        </w:rPr>
        <w:t xml:space="preserve"> </w:t>
      </w:r>
      <w:r w:rsidRPr="00852727">
        <w:rPr>
          <w:sz w:val="18"/>
          <w:szCs w:val="18"/>
          <w:lang w:val="es-ES"/>
        </w:rPr>
        <w:t xml:space="preserve">En relación con este aspecto, </w:t>
      </w:r>
      <w:r w:rsidRPr="00852727">
        <w:rPr>
          <w:sz w:val="18"/>
          <w:szCs w:val="18"/>
        </w:rPr>
        <w:t>en el proyecto de articulado presentado por el Gobierno para consideración de la Asamblea Nacional Constituyente se dijo: “</w:t>
      </w:r>
      <w:r w:rsidRPr="00852727">
        <w:rPr>
          <w:sz w:val="18"/>
          <w:szCs w:val="18"/>
          <w:lang w:eastAsia="en-US"/>
        </w:rPr>
        <w:t xml:space="preserve">Se prevé un plan con dos partes: Una parte programática y otra compuesta por planes </w:t>
      </w:r>
      <w:r w:rsidRPr="00852727">
        <w:rPr>
          <w:sz w:val="18"/>
          <w:szCs w:val="18"/>
          <w:lang w:eastAsia="en-US"/>
        </w:rPr>
        <w:t>sectoriales de Inversión. || La primera no requiere aprobación del Parlamento porque ya lo apoyaron los electores en la campaña. || Una Ley orgánica de planeación permitirá tener los procedimientos para que dichos planes se incorporen con flexibilidad en l</w:t>
      </w:r>
      <w:r w:rsidRPr="00852727">
        <w:rPr>
          <w:sz w:val="18"/>
          <w:szCs w:val="18"/>
          <w:lang w:eastAsia="en-US"/>
        </w:rPr>
        <w:t>os presupuestos anuales de la Nación, igualmente, se crearán normas para la Planeación Departamental y Municipal”. A este proyecto se hace referencia en la Gaceta Constitucional n.º 55, de abril 19 de 1991, en el informe-ponencia sobre “Planeación”, presen</w:t>
      </w:r>
      <w:r w:rsidRPr="00852727">
        <w:rPr>
          <w:sz w:val="18"/>
          <w:szCs w:val="18"/>
          <w:lang w:eastAsia="en-US"/>
        </w:rPr>
        <w:t>tado por los constituyentes Mariano Ospina Hernández, Germán Rojas Niño y Álvaro Cala Hederich (p. 9).</w:t>
      </w:r>
    </w:p>
  </w:footnote>
  <w:footnote w:id="26">
    <w:p w:rsidR="00A255BC" w:rsidRPr="00852727" w:rsidRDefault="00AF629F" w:rsidP="00857817">
      <w:pPr>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rPr>
        <w:t xml:space="preserve">A este respecto, en el informe de ponencia de la Subcomisión 2.ª de la Comisión V de la Asamblea Nacional Constituyente, se indicó: “Debe observarse </w:t>
      </w:r>
      <w:r w:rsidRPr="00852727">
        <w:rPr>
          <w:sz w:val="18"/>
          <w:szCs w:val="18"/>
        </w:rPr>
        <w:t>que en varios de los proyectos de la reforma constitucional se hace referencia a la concordancia que ha de existir entre los Planes y los Presupuestos de la nación</w:t>
      </w:r>
      <w:r w:rsidRPr="00852727">
        <w:rPr>
          <w:sz w:val="18"/>
          <w:szCs w:val="18"/>
        </w:rPr>
        <w:t xml:space="preserve"> […] </w:t>
      </w:r>
      <w:r w:rsidRPr="00852727">
        <w:rPr>
          <w:sz w:val="18"/>
          <w:szCs w:val="18"/>
        </w:rPr>
        <w:t xml:space="preserve">La clave jurídica para asegurar esta concordancia parece encontrarse en la </w:t>
      </w:r>
      <w:r w:rsidRPr="00852727">
        <w:rPr>
          <w:i/>
          <w:iCs/>
          <w:sz w:val="18"/>
          <w:szCs w:val="18"/>
        </w:rPr>
        <w:t>fuerza de Ley</w:t>
      </w:r>
      <w:r w:rsidRPr="00852727">
        <w:rPr>
          <w:sz w:val="18"/>
          <w:szCs w:val="18"/>
        </w:rPr>
        <w:t xml:space="preserve"> que proponen numerosos proyectos de reforma para el Plan Nacional de Desarrollo. Para este fin se prevé, en muchos de ellos, que si el Congreso no llegare a dar aprobación para convertir en Ley a dicho Plan, éste podrá ser adoptado como </w:t>
      </w:r>
      <w:r w:rsidRPr="00852727">
        <w:rPr>
          <w:sz w:val="18"/>
          <w:szCs w:val="18"/>
        </w:rPr>
        <w:t>d</w:t>
      </w:r>
      <w:r w:rsidRPr="00852727">
        <w:rPr>
          <w:sz w:val="18"/>
          <w:szCs w:val="18"/>
        </w:rPr>
        <w:t>ecreto-</w:t>
      </w:r>
      <w:r w:rsidRPr="00852727">
        <w:rPr>
          <w:sz w:val="18"/>
          <w:szCs w:val="18"/>
        </w:rPr>
        <w:t>l</w:t>
      </w:r>
      <w:r w:rsidRPr="00852727">
        <w:rPr>
          <w:sz w:val="18"/>
          <w:szCs w:val="18"/>
        </w:rPr>
        <w:t>ey por el</w:t>
      </w:r>
      <w:r w:rsidRPr="00852727">
        <w:rPr>
          <w:sz w:val="18"/>
          <w:szCs w:val="18"/>
        </w:rPr>
        <w:t xml:space="preserve"> Ejecutivo. Se añade en los proyectos mencionados la advertencia de que la Ley del Plan tendrá supremacía sobre las demás con lo cual se quiere decir, según lo entiendo, que a ella deberán ajustarse las demás que se expidan para el desarrollo del Plan y en</w:t>
      </w:r>
      <w:r w:rsidRPr="00852727">
        <w:rPr>
          <w:sz w:val="18"/>
          <w:szCs w:val="18"/>
        </w:rPr>
        <w:t xml:space="preserve"> especial para formar el Presupuesto anual de la Nación, tanto para inversión como para funcionamiento”.</w:t>
      </w:r>
      <w:r w:rsidRPr="00852727">
        <w:rPr>
          <w:sz w:val="18"/>
          <w:szCs w:val="18"/>
        </w:rPr>
        <w:t xml:space="preserve"> </w:t>
      </w:r>
      <w:r w:rsidRPr="00852727">
        <w:rPr>
          <w:sz w:val="18"/>
          <w:szCs w:val="18"/>
          <w:lang w:eastAsia="en-US"/>
        </w:rPr>
        <w:t>Gaceta Constitucional n.º 55, de abril 19 de 1991, informe-ponencia sobre “Planeación”, presentado por los constituyentes Mariano Ospina Hernández, Ger</w:t>
      </w:r>
      <w:r w:rsidRPr="00852727">
        <w:rPr>
          <w:sz w:val="18"/>
          <w:szCs w:val="18"/>
          <w:lang w:eastAsia="en-US"/>
        </w:rPr>
        <w:t xml:space="preserve">mán Rojas Niño y Álvaro Cala Hederich (p. </w:t>
      </w:r>
      <w:r w:rsidRPr="00852727">
        <w:rPr>
          <w:sz w:val="18"/>
          <w:szCs w:val="18"/>
          <w:lang w:eastAsia="en-US"/>
        </w:rPr>
        <w:t>6</w:t>
      </w:r>
      <w:r w:rsidRPr="00852727">
        <w:rPr>
          <w:sz w:val="18"/>
          <w:szCs w:val="18"/>
          <w:lang w:eastAsia="en-US"/>
        </w:rPr>
        <w:t>).</w:t>
      </w:r>
    </w:p>
  </w:footnote>
  <w:footnote w:id="27">
    <w:p w:rsidR="00C006F8"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En cuanto a la necesidad de dotar de fuerza vinculante a la ley aprobatoria del plan</w:t>
      </w:r>
      <w:r w:rsidRPr="00852727">
        <w:rPr>
          <w:sz w:val="18"/>
          <w:szCs w:val="18"/>
        </w:rPr>
        <w:t xml:space="preserve"> nacional de desarrollo</w:t>
      </w:r>
      <w:r w:rsidRPr="00852727">
        <w:rPr>
          <w:sz w:val="18"/>
          <w:szCs w:val="18"/>
        </w:rPr>
        <w:t>, en la Asamblea Nacional Constituyente se señaló</w:t>
      </w:r>
      <w:r w:rsidRPr="00852727">
        <w:rPr>
          <w:sz w:val="18"/>
          <w:szCs w:val="18"/>
        </w:rPr>
        <w:t xml:space="preserve">: </w:t>
      </w:r>
      <w:r w:rsidRPr="00852727">
        <w:rPr>
          <w:sz w:val="18"/>
          <w:szCs w:val="18"/>
          <w:lang w:val="es-ES"/>
        </w:rPr>
        <w:t xml:space="preserve">“El Plan aprobado debe otorgar al Gobierno los </w:t>
      </w:r>
      <w:r w:rsidRPr="00852727">
        <w:rPr>
          <w:sz w:val="18"/>
          <w:szCs w:val="18"/>
          <w:lang w:val="es-ES"/>
        </w:rPr>
        <w:t>instrumentos necesarios para su ejecución, por eso, resulta fundamental que contenga no solamente las orientaciones generales de la política económica y social ‘artículo 2 literal a)’ y las metas de cobertura y calidad de los servicios públicos ‘literal b)</w:t>
      </w:r>
      <w:r w:rsidRPr="00852727">
        <w:rPr>
          <w:sz w:val="18"/>
          <w:szCs w:val="18"/>
          <w:lang w:val="es-ES"/>
        </w:rPr>
        <w:t>’, sino también las normas de carácter legal necesarias para su ejecución ‘literal e)</w:t>
      </w:r>
      <w:r w:rsidRPr="00852727">
        <w:rPr>
          <w:sz w:val="18"/>
          <w:szCs w:val="18"/>
          <w:lang w:val="es-ES"/>
        </w:rPr>
        <w:t xml:space="preserve">’. || </w:t>
      </w:r>
      <w:r w:rsidRPr="00852727">
        <w:rPr>
          <w:sz w:val="18"/>
          <w:szCs w:val="18"/>
          <w:lang w:val="es-ES"/>
        </w:rPr>
        <w:t>A</w:t>
      </w:r>
      <w:r w:rsidRPr="00852727">
        <w:rPr>
          <w:sz w:val="18"/>
          <w:szCs w:val="18"/>
          <w:lang w:val="es-ES"/>
        </w:rPr>
        <w:t>simismo, en el proyecto propuesto</w:t>
      </w:r>
      <w:r w:rsidRPr="00852727">
        <w:rPr>
          <w:sz w:val="18"/>
          <w:szCs w:val="18"/>
          <w:lang w:val="es-ES"/>
        </w:rPr>
        <w:t>,</w:t>
      </w:r>
      <w:r w:rsidRPr="00852727">
        <w:rPr>
          <w:sz w:val="18"/>
          <w:szCs w:val="18"/>
          <w:lang w:val="es-ES"/>
        </w:rPr>
        <w:t xml:space="preserve"> al aprobar el </w:t>
      </w:r>
      <w:r w:rsidRPr="00852727">
        <w:rPr>
          <w:sz w:val="18"/>
          <w:szCs w:val="18"/>
          <w:lang w:val="es-ES"/>
        </w:rPr>
        <w:t>P</w:t>
      </w:r>
      <w:r w:rsidRPr="00852727">
        <w:rPr>
          <w:sz w:val="18"/>
          <w:szCs w:val="18"/>
          <w:lang w:val="es-ES"/>
        </w:rPr>
        <w:t xml:space="preserve">lan de </w:t>
      </w:r>
      <w:r w:rsidRPr="00852727">
        <w:rPr>
          <w:sz w:val="18"/>
          <w:szCs w:val="18"/>
          <w:lang w:val="es-ES"/>
        </w:rPr>
        <w:t>I</w:t>
      </w:r>
      <w:r w:rsidRPr="00852727">
        <w:rPr>
          <w:sz w:val="18"/>
          <w:szCs w:val="18"/>
          <w:lang w:val="es-ES"/>
        </w:rPr>
        <w:t xml:space="preserve">nversiones </w:t>
      </w:r>
      <w:r w:rsidRPr="00852727">
        <w:rPr>
          <w:sz w:val="18"/>
          <w:szCs w:val="18"/>
          <w:lang w:val="es-ES"/>
        </w:rPr>
        <w:t>P</w:t>
      </w:r>
      <w:r w:rsidRPr="00852727">
        <w:rPr>
          <w:sz w:val="18"/>
          <w:szCs w:val="18"/>
          <w:lang w:val="es-ES"/>
        </w:rPr>
        <w:t xml:space="preserve">úblicas se estará aprobando un presupuesto plurianual </w:t>
      </w:r>
      <w:r w:rsidRPr="00852727">
        <w:rPr>
          <w:i/>
          <w:iCs/>
          <w:sz w:val="18"/>
          <w:szCs w:val="18"/>
          <w:lang w:val="es-ES"/>
        </w:rPr>
        <w:t xml:space="preserve">que no necesita ser refrendado mediante </w:t>
      </w:r>
      <w:r w:rsidRPr="00852727">
        <w:rPr>
          <w:i/>
          <w:iCs/>
          <w:sz w:val="18"/>
          <w:szCs w:val="18"/>
          <w:lang w:val="es-ES"/>
        </w:rPr>
        <w:t>aprobaciones anuales de la ley de presupuesto para su ejecución</w:t>
      </w:r>
      <w:r w:rsidRPr="00852727">
        <w:rPr>
          <w:sz w:val="18"/>
          <w:szCs w:val="18"/>
          <w:lang w:val="es-ES"/>
        </w:rPr>
        <w:t>.</w:t>
      </w:r>
      <w:r w:rsidRPr="00852727">
        <w:rPr>
          <w:sz w:val="18"/>
          <w:szCs w:val="18"/>
          <w:lang w:val="es-ES"/>
        </w:rPr>
        <w:t xml:space="preserve"> Además, este </w:t>
      </w:r>
      <w:r w:rsidRPr="00852727">
        <w:rPr>
          <w:sz w:val="18"/>
          <w:szCs w:val="18"/>
          <w:lang w:val="es-ES"/>
        </w:rPr>
        <w:t>P</w:t>
      </w:r>
      <w:r w:rsidRPr="00852727">
        <w:rPr>
          <w:sz w:val="18"/>
          <w:szCs w:val="18"/>
          <w:lang w:val="es-ES"/>
        </w:rPr>
        <w:t xml:space="preserve">lan de </w:t>
      </w:r>
      <w:r w:rsidRPr="00852727">
        <w:rPr>
          <w:sz w:val="18"/>
          <w:szCs w:val="18"/>
          <w:lang w:val="es-ES"/>
        </w:rPr>
        <w:t>I</w:t>
      </w:r>
      <w:r w:rsidRPr="00852727">
        <w:rPr>
          <w:sz w:val="18"/>
          <w:szCs w:val="18"/>
          <w:lang w:val="es-ES"/>
        </w:rPr>
        <w:t xml:space="preserve">nversiones </w:t>
      </w:r>
      <w:r w:rsidRPr="00852727">
        <w:rPr>
          <w:sz w:val="18"/>
          <w:szCs w:val="18"/>
          <w:lang w:val="es-ES"/>
        </w:rPr>
        <w:t>P</w:t>
      </w:r>
      <w:r w:rsidRPr="00852727">
        <w:rPr>
          <w:sz w:val="18"/>
          <w:szCs w:val="18"/>
          <w:lang w:val="es-ES"/>
        </w:rPr>
        <w:t xml:space="preserve">úblicas se aprobará conjuntamente con los recursos necesarios para su ejecución, </w:t>
      </w:r>
      <w:r w:rsidRPr="00852727">
        <w:rPr>
          <w:i/>
          <w:iCs/>
          <w:sz w:val="18"/>
          <w:szCs w:val="18"/>
          <w:lang w:val="es-ES"/>
        </w:rPr>
        <w:t xml:space="preserve">lo que conlleva, entre otras cosas, las autorizaciones respectivas de </w:t>
      </w:r>
      <w:r w:rsidRPr="00852727">
        <w:rPr>
          <w:i/>
          <w:iCs/>
          <w:sz w:val="18"/>
          <w:szCs w:val="18"/>
          <w:lang w:val="es-ES"/>
        </w:rPr>
        <w:t>endeudamiento externo e interno para el período de su vigencia</w:t>
      </w:r>
      <w:r w:rsidRPr="00852727">
        <w:rPr>
          <w:sz w:val="18"/>
          <w:szCs w:val="18"/>
          <w:lang w:val="es-ES"/>
        </w:rPr>
        <w:t xml:space="preserve"> (artículo 2º)”</w:t>
      </w:r>
      <w:r w:rsidRPr="00852727">
        <w:rPr>
          <w:sz w:val="18"/>
          <w:szCs w:val="18"/>
          <w:lang w:val="es-ES"/>
        </w:rPr>
        <w:t>.</w:t>
      </w:r>
      <w:r w:rsidRPr="00852727">
        <w:rPr>
          <w:sz w:val="18"/>
          <w:szCs w:val="18"/>
          <w:lang w:val="es-ES"/>
        </w:rPr>
        <w:t xml:space="preserve"> Proyecto de Acto Reformatorio de la Constitución Política n.º 60. Gaceta Constitucional </w:t>
      </w:r>
      <w:r w:rsidRPr="00852727">
        <w:rPr>
          <w:sz w:val="18"/>
          <w:szCs w:val="18"/>
          <w:lang w:val="es-ES"/>
        </w:rPr>
        <w:t>n.º 22</w:t>
      </w:r>
      <w:r w:rsidRPr="00852727">
        <w:rPr>
          <w:sz w:val="18"/>
          <w:szCs w:val="18"/>
          <w:lang w:val="es-ES"/>
        </w:rPr>
        <w:t>,</w:t>
      </w:r>
      <w:r w:rsidRPr="00852727">
        <w:rPr>
          <w:sz w:val="18"/>
          <w:szCs w:val="18"/>
          <w:lang w:val="es-ES"/>
        </w:rPr>
        <w:t xml:space="preserve"> </w:t>
      </w:r>
      <w:r w:rsidRPr="00852727">
        <w:rPr>
          <w:sz w:val="18"/>
          <w:szCs w:val="18"/>
          <w:lang w:val="es-ES"/>
        </w:rPr>
        <w:t xml:space="preserve">de marzo </w:t>
      </w:r>
      <w:r w:rsidRPr="00852727">
        <w:rPr>
          <w:sz w:val="18"/>
          <w:szCs w:val="18"/>
          <w:lang w:val="es-ES"/>
        </w:rPr>
        <w:t xml:space="preserve">18 </w:t>
      </w:r>
      <w:r w:rsidRPr="00852727">
        <w:rPr>
          <w:sz w:val="18"/>
          <w:szCs w:val="18"/>
          <w:lang w:val="es-ES"/>
        </w:rPr>
        <w:t>de 1991. Título: planeación económica y social y presupuesto. Autores</w:t>
      </w:r>
      <w:r w:rsidRPr="00852727">
        <w:rPr>
          <w:sz w:val="18"/>
          <w:szCs w:val="18"/>
          <w:lang w:val="es-ES"/>
        </w:rPr>
        <w:t xml:space="preserve">: Guillermo Perry </w:t>
      </w:r>
      <w:r w:rsidRPr="00852727">
        <w:rPr>
          <w:sz w:val="18"/>
          <w:szCs w:val="18"/>
          <w:lang w:val="es-ES"/>
        </w:rPr>
        <w:t xml:space="preserve">Rubio, Horacio Serpa </w:t>
      </w:r>
      <w:r w:rsidRPr="00852727">
        <w:rPr>
          <w:sz w:val="18"/>
          <w:szCs w:val="18"/>
          <w:lang w:val="es-ES"/>
        </w:rPr>
        <w:t xml:space="preserve">Uribe </w:t>
      </w:r>
      <w:r w:rsidRPr="00852727">
        <w:rPr>
          <w:sz w:val="18"/>
          <w:szCs w:val="18"/>
          <w:lang w:val="es-ES"/>
        </w:rPr>
        <w:t>y Eduardo Verano</w:t>
      </w:r>
      <w:r w:rsidRPr="00852727">
        <w:rPr>
          <w:sz w:val="18"/>
          <w:szCs w:val="18"/>
          <w:lang w:val="es-ES"/>
        </w:rPr>
        <w:t xml:space="preserve"> </w:t>
      </w:r>
      <w:r w:rsidRPr="00852727">
        <w:rPr>
          <w:sz w:val="18"/>
          <w:szCs w:val="18"/>
          <w:lang w:val="es-ES"/>
        </w:rPr>
        <w:t xml:space="preserve">De la Rosa </w:t>
      </w:r>
      <w:r w:rsidRPr="00852727">
        <w:rPr>
          <w:sz w:val="18"/>
          <w:szCs w:val="18"/>
          <w:lang w:val="es-ES"/>
        </w:rPr>
        <w:t>(p. 58)</w:t>
      </w:r>
      <w:r w:rsidRPr="00852727">
        <w:rPr>
          <w:sz w:val="18"/>
          <w:szCs w:val="18"/>
          <w:lang w:val="es-ES"/>
        </w:rPr>
        <w:t>.</w:t>
      </w:r>
      <w:r w:rsidRPr="00852727">
        <w:rPr>
          <w:sz w:val="18"/>
          <w:szCs w:val="18"/>
          <w:lang w:val="es-ES"/>
        </w:rPr>
        <w:t xml:space="preserve"> </w:t>
      </w:r>
      <w:r w:rsidRPr="00852727">
        <w:rPr>
          <w:sz w:val="18"/>
          <w:szCs w:val="18"/>
          <w:lang w:val="es-ES"/>
        </w:rPr>
        <w:t xml:space="preserve">En cuanto a la incorporación de esta modificación respecto de la naturaleza y el contenido del plan, se indicó que con ella se pretendía </w:t>
      </w:r>
      <w:r w:rsidRPr="00852727">
        <w:rPr>
          <w:sz w:val="18"/>
          <w:szCs w:val="18"/>
          <w:lang w:val="es-ES"/>
        </w:rPr>
        <w:t>“la máxima eficiencia legislativa, de</w:t>
      </w:r>
      <w:r w:rsidRPr="00852727">
        <w:rPr>
          <w:sz w:val="18"/>
          <w:szCs w:val="18"/>
          <w:lang w:val="es-ES"/>
        </w:rPr>
        <w:t xml:space="preserve"> tal manera que la discusión del Plan conduzca no solamente a la aprobación de unas orientaciones de tipo general, sino que, además, dote al Gobierno de todos los instrumentos legales necesarios para ponerlos en ejecución. Constituiría una enorme pérdida d</w:t>
      </w:r>
      <w:r w:rsidRPr="00852727">
        <w:rPr>
          <w:sz w:val="18"/>
          <w:szCs w:val="18"/>
          <w:lang w:val="es-ES"/>
        </w:rPr>
        <w:t>e tiempo y energías el que, después de varios meses de discusión, el Plan no tenga poder vinculante, ni tampoco otorgue instrumento legal alguno al gobierno para su ejecución y se deba recurrir a leyes separadas para este fin”</w:t>
      </w:r>
      <w:r w:rsidRPr="00852727">
        <w:rPr>
          <w:sz w:val="18"/>
          <w:szCs w:val="18"/>
          <w:lang w:val="es-ES"/>
        </w:rPr>
        <w:t xml:space="preserve"> (</w:t>
      </w:r>
      <w:r w:rsidRPr="00852727">
        <w:rPr>
          <w:sz w:val="18"/>
          <w:szCs w:val="18"/>
          <w:lang w:val="es-ES"/>
        </w:rPr>
        <w:t>I</w:t>
      </w:r>
      <w:r w:rsidRPr="00852727">
        <w:rPr>
          <w:sz w:val="18"/>
          <w:szCs w:val="18"/>
          <w:lang w:val="es-ES"/>
        </w:rPr>
        <w:t>b</w:t>
      </w:r>
      <w:r w:rsidRPr="00852727">
        <w:rPr>
          <w:sz w:val="18"/>
          <w:szCs w:val="18"/>
          <w:lang w:val="es-ES"/>
        </w:rPr>
        <w:t>í</w:t>
      </w:r>
      <w:r w:rsidRPr="00852727">
        <w:rPr>
          <w:sz w:val="18"/>
          <w:szCs w:val="18"/>
          <w:lang w:val="es-ES"/>
        </w:rPr>
        <w:t>dem)</w:t>
      </w:r>
      <w:r w:rsidRPr="00852727">
        <w:rPr>
          <w:sz w:val="18"/>
          <w:szCs w:val="18"/>
          <w:lang w:val="es-ES"/>
        </w:rPr>
        <w:t>.</w:t>
      </w:r>
    </w:p>
  </w:footnote>
  <w:footnote w:id="28">
    <w:p w:rsidR="007B4C44"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presente apara</w:t>
      </w:r>
      <w:r w:rsidRPr="00852727">
        <w:rPr>
          <w:sz w:val="18"/>
          <w:szCs w:val="18"/>
        </w:rPr>
        <w:t>tado tom</w:t>
      </w:r>
      <w:r w:rsidRPr="00852727">
        <w:rPr>
          <w:sz w:val="18"/>
          <w:szCs w:val="18"/>
        </w:rPr>
        <w:t>a</w:t>
      </w:r>
      <w:r w:rsidRPr="00852727">
        <w:rPr>
          <w:sz w:val="18"/>
          <w:szCs w:val="18"/>
        </w:rPr>
        <w:t xml:space="preserve"> como referente</w:t>
      </w:r>
      <w:r w:rsidRPr="00852727">
        <w:rPr>
          <w:sz w:val="18"/>
          <w:szCs w:val="18"/>
        </w:rPr>
        <w:t>s</w:t>
      </w:r>
      <w:r w:rsidRPr="00852727">
        <w:rPr>
          <w:sz w:val="18"/>
          <w:szCs w:val="18"/>
        </w:rPr>
        <w:t xml:space="preserve"> </w:t>
      </w:r>
      <w:r w:rsidRPr="00852727">
        <w:rPr>
          <w:sz w:val="18"/>
          <w:szCs w:val="18"/>
        </w:rPr>
        <w:t xml:space="preserve">algunos apartados explícitos de </w:t>
      </w:r>
      <w:r w:rsidRPr="00852727">
        <w:rPr>
          <w:sz w:val="18"/>
          <w:szCs w:val="18"/>
        </w:rPr>
        <w:t>la</w:t>
      </w:r>
      <w:r w:rsidRPr="00852727">
        <w:rPr>
          <w:sz w:val="18"/>
          <w:szCs w:val="18"/>
        </w:rPr>
        <w:t>s</w:t>
      </w:r>
      <w:r w:rsidRPr="00852727">
        <w:rPr>
          <w:sz w:val="18"/>
          <w:szCs w:val="18"/>
        </w:rPr>
        <w:t xml:space="preserve"> </w:t>
      </w:r>
      <w:r w:rsidRPr="00852727">
        <w:rPr>
          <w:sz w:val="18"/>
          <w:szCs w:val="18"/>
        </w:rPr>
        <w:t>s</w:t>
      </w:r>
      <w:r w:rsidRPr="00852727">
        <w:rPr>
          <w:sz w:val="18"/>
          <w:szCs w:val="18"/>
        </w:rPr>
        <w:t>entencia</w:t>
      </w:r>
      <w:r w:rsidRPr="00852727">
        <w:rPr>
          <w:sz w:val="18"/>
          <w:szCs w:val="18"/>
        </w:rPr>
        <w:t>s</w:t>
      </w:r>
      <w:r w:rsidRPr="00852727">
        <w:rPr>
          <w:sz w:val="18"/>
          <w:szCs w:val="18"/>
        </w:rPr>
        <w:t xml:space="preserve"> C-047 </w:t>
      </w:r>
      <w:r w:rsidRPr="00852727">
        <w:rPr>
          <w:sz w:val="18"/>
          <w:szCs w:val="18"/>
        </w:rPr>
        <w:t xml:space="preserve">y 030 </w:t>
      </w:r>
      <w:r w:rsidRPr="00852727">
        <w:rPr>
          <w:sz w:val="18"/>
          <w:szCs w:val="18"/>
        </w:rPr>
        <w:t>de 2021 (M.S. Antonio José Lizarazo Ocampo).</w:t>
      </w:r>
    </w:p>
  </w:footnote>
  <w:footnote w:id="29">
    <w:p w:rsidR="0027531C"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w:t>
      </w:r>
      <w:r w:rsidRPr="00852727">
        <w:rPr>
          <w:sz w:val="18"/>
          <w:szCs w:val="18"/>
          <w:shd w:val="clear" w:color="auto" w:fill="FFFFFF"/>
        </w:rPr>
        <w:t>E</w:t>
      </w:r>
      <w:r w:rsidRPr="00852727">
        <w:rPr>
          <w:sz w:val="18"/>
          <w:szCs w:val="18"/>
          <w:shd w:val="clear" w:color="auto" w:fill="FFFFFF"/>
        </w:rPr>
        <w:t xml:space="preserve">sta Corte </w:t>
      </w:r>
      <w:r w:rsidRPr="00852727">
        <w:rPr>
          <w:sz w:val="18"/>
          <w:szCs w:val="18"/>
          <w:shd w:val="clear" w:color="auto" w:fill="FFFFFF"/>
        </w:rPr>
        <w:t xml:space="preserve">también </w:t>
      </w:r>
      <w:r w:rsidRPr="00852727">
        <w:rPr>
          <w:sz w:val="18"/>
          <w:szCs w:val="18"/>
          <w:shd w:val="clear" w:color="auto" w:fill="FFFFFF"/>
        </w:rPr>
        <w:t xml:space="preserve">ha advertido que el artículo 148 de la Ley 5 de 1992 constituye un desarrollo orgánico de </w:t>
      </w:r>
      <w:r w:rsidRPr="00852727">
        <w:rPr>
          <w:sz w:val="18"/>
          <w:szCs w:val="18"/>
          <w:shd w:val="clear" w:color="auto" w:fill="FFFFFF"/>
        </w:rPr>
        <w:t xml:space="preserve">este </w:t>
      </w:r>
      <w:r w:rsidRPr="00852727">
        <w:rPr>
          <w:sz w:val="18"/>
          <w:szCs w:val="18"/>
          <w:shd w:val="clear" w:color="auto" w:fill="FFFFFF"/>
        </w:rPr>
        <w:t xml:space="preserve">principio </w:t>
      </w:r>
      <w:r w:rsidRPr="00852727">
        <w:rPr>
          <w:sz w:val="18"/>
          <w:szCs w:val="18"/>
          <w:shd w:val="clear" w:color="auto" w:fill="FFFFFF"/>
        </w:rPr>
        <w:t>(c</w:t>
      </w:r>
      <w:r w:rsidRPr="00852727">
        <w:rPr>
          <w:sz w:val="18"/>
          <w:szCs w:val="18"/>
          <w:lang w:val="es-419"/>
        </w:rPr>
        <w:t>fr., las sentencias C-415 de 2020</w:t>
      </w:r>
      <w:r w:rsidRPr="00852727">
        <w:rPr>
          <w:sz w:val="18"/>
          <w:szCs w:val="18"/>
          <w:lang w:val="es-419"/>
        </w:rPr>
        <w:t xml:space="preserve"> y C-100 de 2013</w:t>
      </w:r>
      <w:r w:rsidRPr="00852727">
        <w:rPr>
          <w:sz w:val="18"/>
          <w:szCs w:val="18"/>
          <w:shd w:val="clear" w:color="auto" w:fill="FFFFFF"/>
        </w:rPr>
        <w:t xml:space="preserve">). </w:t>
      </w:r>
      <w:r w:rsidRPr="00852727">
        <w:rPr>
          <w:sz w:val="18"/>
          <w:szCs w:val="18"/>
        </w:rPr>
        <w:t xml:space="preserve">El citado artículo dispone: </w:t>
      </w:r>
      <w:r w:rsidRPr="00852727">
        <w:rPr>
          <w:iCs/>
          <w:sz w:val="18"/>
          <w:szCs w:val="18"/>
        </w:rPr>
        <w:t>“[r]echazo de disposiciones. Cuando un proyecto haya pasado al estudio de una Comisión Permanente, el Presidente de la misma deberá rechazar las disposiciones o modificacione</w:t>
      </w:r>
      <w:r w:rsidRPr="00852727">
        <w:rPr>
          <w:iCs/>
          <w:sz w:val="18"/>
          <w:szCs w:val="18"/>
        </w:rPr>
        <w:t>s que no se relacionen con una misma materia. Sus decisiones serán apelables ante la Comisión”</w:t>
      </w:r>
      <w:r w:rsidRPr="00852727">
        <w:rPr>
          <w:sz w:val="18"/>
          <w:szCs w:val="18"/>
        </w:rPr>
        <w:t>.</w:t>
      </w:r>
    </w:p>
  </w:footnote>
  <w:footnote w:id="30">
    <w:p w:rsidR="00591EB2"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Cfr., al respecto, las sentencias </w:t>
      </w:r>
      <w:r w:rsidRPr="00852727">
        <w:rPr>
          <w:sz w:val="18"/>
          <w:szCs w:val="18"/>
        </w:rPr>
        <w:t xml:space="preserve">C-415 de 2020 y </w:t>
      </w:r>
      <w:r w:rsidRPr="00852727">
        <w:rPr>
          <w:sz w:val="18"/>
          <w:szCs w:val="18"/>
        </w:rPr>
        <w:t>C-473 de 2004.</w:t>
      </w:r>
    </w:p>
  </w:footnote>
  <w:footnote w:id="31">
    <w:p w:rsidR="00591EB2"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Cfr., al respecto, entre otras, las sentencias </w:t>
      </w:r>
      <w:r w:rsidRPr="00852727">
        <w:rPr>
          <w:sz w:val="18"/>
          <w:szCs w:val="18"/>
        </w:rPr>
        <w:t xml:space="preserve">C-215 de 2021, </w:t>
      </w:r>
      <w:r w:rsidRPr="00852727">
        <w:rPr>
          <w:sz w:val="18"/>
          <w:szCs w:val="18"/>
        </w:rPr>
        <w:t xml:space="preserve">C-047 de 2021, </w:t>
      </w:r>
      <w:r w:rsidRPr="00852727">
        <w:rPr>
          <w:sz w:val="18"/>
          <w:szCs w:val="18"/>
          <w:lang w:val="es-419"/>
        </w:rPr>
        <w:t xml:space="preserve">C-030 de 2021, C-440 de 2020, C-068 de 2020, C-518 de 2016, C-721 de 2015, C-133 de 2012, </w:t>
      </w:r>
      <w:r w:rsidRPr="00852727">
        <w:rPr>
          <w:sz w:val="18"/>
          <w:szCs w:val="18"/>
          <w:lang w:val="es-419"/>
        </w:rPr>
        <w:t xml:space="preserve">C-1177 de 2004, </w:t>
      </w:r>
      <w:r w:rsidRPr="00852727">
        <w:rPr>
          <w:sz w:val="18"/>
          <w:szCs w:val="18"/>
          <w:lang w:val="es-419"/>
        </w:rPr>
        <w:t>C-460 de 2004, C-570 de 2003,</w:t>
      </w:r>
      <w:r w:rsidRPr="00852727">
        <w:rPr>
          <w:sz w:val="18"/>
          <w:szCs w:val="18"/>
        </w:rPr>
        <w:t xml:space="preserve"> </w:t>
      </w:r>
      <w:r w:rsidRPr="00852727">
        <w:rPr>
          <w:sz w:val="18"/>
          <w:szCs w:val="18"/>
          <w:lang w:val="es-419"/>
        </w:rPr>
        <w:t xml:space="preserve">C-501 de 2001 y </w:t>
      </w:r>
      <w:r w:rsidRPr="00852727">
        <w:rPr>
          <w:sz w:val="18"/>
          <w:szCs w:val="18"/>
        </w:rPr>
        <w:t>C-531 de 1995</w:t>
      </w:r>
      <w:r w:rsidRPr="00852727">
        <w:rPr>
          <w:sz w:val="18"/>
          <w:szCs w:val="18"/>
        </w:rPr>
        <w:t>.</w:t>
      </w:r>
    </w:p>
  </w:footnote>
  <w:footnote w:id="32">
    <w:p w:rsidR="00591EB2"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w:t>
      </w:r>
      <w:r w:rsidRPr="00852727">
        <w:rPr>
          <w:sz w:val="18"/>
          <w:szCs w:val="18"/>
        </w:rPr>
        <w:t xml:space="preserve">Entre otras, </w:t>
      </w:r>
      <w:r w:rsidRPr="00852727">
        <w:rPr>
          <w:sz w:val="18"/>
          <w:szCs w:val="18"/>
          <w:lang w:val="es-419"/>
        </w:rPr>
        <w:t>en la Sentencia C-896 de 2012 se afirmó que</w:t>
      </w:r>
      <w:r w:rsidRPr="00852727">
        <w:rPr>
          <w:sz w:val="18"/>
          <w:szCs w:val="18"/>
          <w:lang w:val="es-419"/>
        </w:rPr>
        <w:t>,</w:t>
      </w:r>
      <w:r w:rsidRPr="00852727">
        <w:rPr>
          <w:sz w:val="18"/>
          <w:szCs w:val="18"/>
          <w:lang w:val="es-419"/>
        </w:rPr>
        <w:t xml:space="preserve"> al momento de evaluar el </w:t>
      </w:r>
      <w:r w:rsidRPr="00852727">
        <w:rPr>
          <w:sz w:val="18"/>
          <w:szCs w:val="18"/>
          <w:lang w:val="es-419"/>
        </w:rPr>
        <w:t>desc</w:t>
      </w:r>
      <w:r w:rsidRPr="00852727">
        <w:rPr>
          <w:sz w:val="18"/>
          <w:szCs w:val="18"/>
          <w:lang w:val="es-419"/>
        </w:rPr>
        <w:t xml:space="preserve">onocimiento del principio </w:t>
      </w:r>
      <w:r w:rsidRPr="00852727">
        <w:rPr>
          <w:sz w:val="18"/>
          <w:szCs w:val="18"/>
          <w:lang w:val="es-419"/>
        </w:rPr>
        <w:t>de unidad de materia</w:t>
      </w:r>
      <w:r w:rsidRPr="00852727">
        <w:rPr>
          <w:sz w:val="18"/>
          <w:szCs w:val="18"/>
          <w:lang w:val="es-419"/>
        </w:rPr>
        <w:t>, en la generalidad de las leyes,</w:t>
      </w:r>
      <w:r w:rsidRPr="00852727">
        <w:rPr>
          <w:sz w:val="18"/>
          <w:szCs w:val="18"/>
          <w:lang w:val="es-419"/>
        </w:rPr>
        <w:t xml:space="preserve"> “</w:t>
      </w:r>
      <w:r w:rsidRPr="00852727">
        <w:rPr>
          <w:sz w:val="18"/>
          <w:szCs w:val="18"/>
          <w:lang w:val="es-419"/>
        </w:rPr>
        <w:t>[e]</w:t>
      </w:r>
      <w:r w:rsidRPr="00852727">
        <w:rPr>
          <w:sz w:val="18"/>
          <w:szCs w:val="18"/>
          <w:lang w:val="es-419"/>
        </w:rPr>
        <w:t xml:space="preserve">xiste </w:t>
      </w:r>
      <w:r w:rsidRPr="00852727">
        <w:rPr>
          <w:sz w:val="18"/>
          <w:szCs w:val="18"/>
          <w:shd w:val="clear" w:color="auto" w:fill="FFFFFF"/>
        </w:rPr>
        <w:t xml:space="preserve">una preferencia </w:t>
      </w:r>
      <w:r w:rsidRPr="00852727">
        <w:rPr>
          <w:i/>
          <w:sz w:val="18"/>
          <w:szCs w:val="18"/>
          <w:shd w:val="clear" w:color="auto" w:fill="FFFFFF"/>
        </w:rPr>
        <w:t>prima facie</w:t>
      </w:r>
      <w:r w:rsidRPr="00852727">
        <w:rPr>
          <w:sz w:val="18"/>
          <w:szCs w:val="18"/>
          <w:shd w:val="clear" w:color="auto" w:fill="FFFFFF"/>
        </w:rPr>
        <w:t xml:space="preserve"> por el respeto de la determinación legislativa. Ello implica que es exigible, para afirmar la violación del artículo 158 de la Constitución, un esfuerzo argumentativo especial por parte del demandante y por parte de la Corte Constitucional, para una decis</w:t>
      </w:r>
      <w:r w:rsidRPr="00852727">
        <w:rPr>
          <w:sz w:val="18"/>
          <w:szCs w:val="18"/>
          <w:shd w:val="clear" w:color="auto" w:fill="FFFFFF"/>
        </w:rPr>
        <w:t>ión de inexequibilidad</w:t>
      </w:r>
      <w:r w:rsidRPr="00852727">
        <w:rPr>
          <w:sz w:val="18"/>
          <w:szCs w:val="18"/>
          <w:lang w:val="es-419"/>
        </w:rPr>
        <w:t>”.</w:t>
      </w:r>
    </w:p>
  </w:footnote>
  <w:footnote w:id="33">
    <w:p w:rsidR="00591EB2"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lang w:val="es-419"/>
        </w:rPr>
        <w:t xml:space="preserve"> Estas consideraciones </w:t>
      </w:r>
      <w:r w:rsidRPr="00852727">
        <w:rPr>
          <w:sz w:val="18"/>
          <w:szCs w:val="18"/>
          <w:lang w:val="es-419"/>
        </w:rPr>
        <w:t>se han reiterado</w:t>
      </w:r>
      <w:r w:rsidRPr="00852727">
        <w:rPr>
          <w:sz w:val="18"/>
          <w:szCs w:val="18"/>
          <w:lang w:val="es-419"/>
        </w:rPr>
        <w:t xml:space="preserve"> entre otras, en las sentencias </w:t>
      </w:r>
      <w:r w:rsidRPr="00852727">
        <w:rPr>
          <w:sz w:val="18"/>
          <w:szCs w:val="18"/>
          <w:lang w:val="es-419"/>
        </w:rPr>
        <w:t xml:space="preserve">C-215 de 2021, C-047 de 2021, C-030 de 2021, C-440 de 2020, C-415 de 2020, C-147 de 2015, C-896 de 2012, C-277 de 2011, C-501 de 2001, C-567 de 2000 y </w:t>
      </w:r>
      <w:r w:rsidRPr="00852727">
        <w:rPr>
          <w:sz w:val="18"/>
          <w:szCs w:val="18"/>
          <w:lang w:val="es-419"/>
        </w:rPr>
        <w:t>C-095 de</w:t>
      </w:r>
      <w:r w:rsidRPr="00852727">
        <w:rPr>
          <w:sz w:val="18"/>
          <w:szCs w:val="18"/>
          <w:lang w:val="es-419"/>
        </w:rPr>
        <w:t xml:space="preserve"> 1993. </w:t>
      </w:r>
      <w:r w:rsidRPr="00852727">
        <w:rPr>
          <w:sz w:val="18"/>
          <w:szCs w:val="18"/>
          <w:lang w:val="es-419"/>
        </w:rPr>
        <w:t>En estos casos, e</w:t>
      </w:r>
      <w:r w:rsidRPr="00852727">
        <w:rPr>
          <w:sz w:val="18"/>
          <w:szCs w:val="18"/>
        </w:rPr>
        <w:t xml:space="preserve">l examen de constitucionalidad por vulneración del principio de unidad de materia </w:t>
      </w:r>
      <w:r w:rsidRPr="00852727">
        <w:rPr>
          <w:sz w:val="18"/>
          <w:szCs w:val="18"/>
        </w:rPr>
        <w:t xml:space="preserve">admite </w:t>
      </w:r>
      <w:r w:rsidRPr="00852727">
        <w:rPr>
          <w:sz w:val="18"/>
          <w:szCs w:val="18"/>
        </w:rPr>
        <w:t>la existencia de vínculos sustanciales que, en atención a “</w:t>
      </w:r>
      <w:r w:rsidRPr="00852727">
        <w:rPr>
          <w:sz w:val="18"/>
          <w:szCs w:val="18"/>
          <w:shd w:val="clear" w:color="auto" w:fill="FFFFFF"/>
        </w:rPr>
        <w:t xml:space="preserve">las finalidades perseguidas, </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 xml:space="preserve"> las repercusiones de unas decisiones </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 xml:space="preserve">, o, </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 xml:space="preserve"> por razones de orden fáctico” permiten al legislador incluir disposiciones que, aparentemente, podrían responder a temáticas diferentes en un mismo cuerpo normativo (c</w:t>
      </w:r>
      <w:r w:rsidRPr="00852727">
        <w:rPr>
          <w:sz w:val="18"/>
          <w:szCs w:val="18"/>
        </w:rPr>
        <w:t xml:space="preserve">fr., la Sentencia C-390 de 1996, </w:t>
      </w:r>
      <w:r w:rsidRPr="00852727">
        <w:rPr>
          <w:sz w:val="18"/>
          <w:szCs w:val="18"/>
          <w:lang w:val="es-419"/>
        </w:rPr>
        <w:t>reiterada en la Sentencia C-054 de 1998</w:t>
      </w:r>
      <w:r w:rsidRPr="00852727">
        <w:rPr>
          <w:sz w:val="18"/>
          <w:szCs w:val="18"/>
          <w:shd w:val="clear" w:color="auto" w:fill="FFFFFF"/>
        </w:rPr>
        <w:t>).</w:t>
      </w:r>
    </w:p>
  </w:footnote>
  <w:footnote w:id="34">
    <w:p w:rsidR="0008485B"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En el mismo</w:t>
      </w:r>
      <w:r w:rsidRPr="00852727">
        <w:rPr>
          <w:sz w:val="18"/>
          <w:szCs w:val="18"/>
        </w:rPr>
        <w:t xml:space="preserve"> sentido, entre otras, las sentencias </w:t>
      </w:r>
      <w:r w:rsidRPr="00852727">
        <w:rPr>
          <w:sz w:val="18"/>
          <w:szCs w:val="18"/>
          <w:shd w:val="clear" w:color="auto" w:fill="FFFFFF"/>
        </w:rPr>
        <w:t>C-440 de 2020,</w:t>
      </w:r>
      <w:r w:rsidRPr="00852727">
        <w:rPr>
          <w:sz w:val="18"/>
          <w:szCs w:val="18"/>
          <w:lang w:val="es-419"/>
        </w:rPr>
        <w:t xml:space="preserve"> C-121 de 2020, C-044 de 2017, C-204 de 2016, C-896 de 2012, C-077 de 2012</w:t>
      </w:r>
      <w:r w:rsidRPr="00852727">
        <w:rPr>
          <w:sz w:val="18"/>
          <w:szCs w:val="18"/>
        </w:rPr>
        <w:t xml:space="preserve">, </w:t>
      </w:r>
      <w:r w:rsidRPr="00852727">
        <w:rPr>
          <w:sz w:val="18"/>
          <w:szCs w:val="18"/>
          <w:lang w:val="es-419"/>
        </w:rPr>
        <w:t xml:space="preserve">C-211 de 2007 y </w:t>
      </w:r>
      <w:r w:rsidRPr="00852727">
        <w:rPr>
          <w:sz w:val="18"/>
          <w:szCs w:val="18"/>
        </w:rPr>
        <w:t>C-025 de 1993.</w:t>
      </w:r>
    </w:p>
  </w:footnote>
  <w:footnote w:id="35">
    <w:p w:rsidR="00C26EEC"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Acerca de estas especiales características de la ley aprobatoria del plan nacional de desarrollo, cfr., </w:t>
      </w:r>
      <w:r w:rsidRPr="00852727">
        <w:rPr>
          <w:sz w:val="18"/>
          <w:szCs w:val="18"/>
          <w:lang w:val="es-419"/>
        </w:rPr>
        <w:t>entre otras, las sentencias C-537 de 2023, C-047 de 2021, C-030 de 2021, C-440 de 2020</w:t>
      </w:r>
      <w:r w:rsidRPr="00852727">
        <w:rPr>
          <w:sz w:val="18"/>
          <w:szCs w:val="18"/>
        </w:rPr>
        <w:t xml:space="preserve">, </w:t>
      </w:r>
      <w:r w:rsidRPr="00852727">
        <w:rPr>
          <w:sz w:val="18"/>
          <w:szCs w:val="18"/>
          <w:lang w:val="es-419"/>
        </w:rPr>
        <w:t>C-415 de 2020, C-068 de 2020, C-008 de 2018, C-453 de 2016, C-0</w:t>
      </w:r>
      <w:r w:rsidRPr="00852727">
        <w:rPr>
          <w:sz w:val="18"/>
          <w:szCs w:val="18"/>
          <w:lang w:val="es-419"/>
        </w:rPr>
        <w:t>16 de 2016</w:t>
      </w:r>
      <w:r w:rsidRPr="00852727">
        <w:rPr>
          <w:sz w:val="18"/>
          <w:szCs w:val="18"/>
        </w:rPr>
        <w:t xml:space="preserve">, </w:t>
      </w:r>
      <w:r w:rsidRPr="00852727">
        <w:rPr>
          <w:sz w:val="18"/>
          <w:szCs w:val="18"/>
          <w:lang w:val="es-419"/>
        </w:rPr>
        <w:t>C-747 de 2012</w:t>
      </w:r>
      <w:r w:rsidRPr="00852727">
        <w:rPr>
          <w:sz w:val="18"/>
          <w:szCs w:val="18"/>
        </w:rPr>
        <w:t>, C-1062 de 2008,</w:t>
      </w:r>
      <w:r w:rsidRPr="00852727">
        <w:rPr>
          <w:sz w:val="18"/>
          <w:szCs w:val="18"/>
          <w:lang w:val="es-419"/>
        </w:rPr>
        <w:t xml:space="preserve"> </w:t>
      </w:r>
      <w:r w:rsidRPr="00852727">
        <w:rPr>
          <w:sz w:val="18"/>
          <w:szCs w:val="18"/>
        </w:rPr>
        <w:t>C-714 de 2008</w:t>
      </w:r>
      <w:r w:rsidRPr="00852727">
        <w:rPr>
          <w:sz w:val="18"/>
          <w:szCs w:val="18"/>
          <w:lang w:val="es-419"/>
        </w:rPr>
        <w:t>, C-377 de 2008, C-795 de 2004 y C-305 de 2004.</w:t>
      </w:r>
    </w:p>
  </w:footnote>
  <w:footnote w:id="36">
    <w:p w:rsidR="00EA6B8C" w:rsidRPr="00852727" w:rsidRDefault="00AF629F" w:rsidP="00857817">
      <w:pPr>
        <w:pStyle w:val="Prrafodelista"/>
        <w:ind w:left="0"/>
        <w:jc w:val="both"/>
        <w:rPr>
          <w:sz w:val="18"/>
          <w:szCs w:val="18"/>
        </w:rPr>
      </w:pPr>
      <w:r w:rsidRPr="00852727">
        <w:rPr>
          <w:sz w:val="18"/>
          <w:szCs w:val="18"/>
          <w:vertAlign w:val="superscript"/>
        </w:rPr>
        <w:footnoteRef/>
      </w:r>
      <w:r w:rsidRPr="00852727">
        <w:rPr>
          <w:sz w:val="18"/>
          <w:szCs w:val="18"/>
        </w:rPr>
        <w:t xml:space="preserve"> En cuanto a este </w:t>
      </w:r>
      <w:r w:rsidRPr="00852727">
        <w:rPr>
          <w:sz w:val="18"/>
          <w:szCs w:val="18"/>
        </w:rPr>
        <w:t>estándar</w:t>
      </w:r>
      <w:r w:rsidRPr="00852727">
        <w:rPr>
          <w:sz w:val="18"/>
          <w:szCs w:val="18"/>
        </w:rPr>
        <w:t>,</w:t>
      </w:r>
      <w:r w:rsidRPr="00852727">
        <w:rPr>
          <w:sz w:val="18"/>
          <w:szCs w:val="18"/>
        </w:rPr>
        <w:t xml:space="preserve"> </w:t>
      </w:r>
      <w:r w:rsidRPr="00852727">
        <w:rPr>
          <w:sz w:val="18"/>
          <w:szCs w:val="18"/>
        </w:rPr>
        <w:t xml:space="preserve">en relación con este </w:t>
      </w:r>
      <w:r w:rsidRPr="00852727">
        <w:rPr>
          <w:sz w:val="18"/>
          <w:szCs w:val="18"/>
        </w:rPr>
        <w:t xml:space="preserve">parámetro de control constitucional, la jurisprudencia de la Sala ha indicado que respecto de </w:t>
      </w:r>
      <w:r w:rsidRPr="00852727">
        <w:rPr>
          <w:sz w:val="18"/>
          <w:szCs w:val="18"/>
        </w:rPr>
        <w:t>las disp</w:t>
      </w:r>
      <w:r w:rsidRPr="00852727">
        <w:rPr>
          <w:sz w:val="18"/>
          <w:szCs w:val="18"/>
        </w:rPr>
        <w:t xml:space="preserve">osiciones del plan nacional de desarrollo </w:t>
      </w:r>
      <w:r w:rsidRPr="00852727">
        <w:rPr>
          <w:sz w:val="18"/>
          <w:szCs w:val="18"/>
          <w:shd w:val="clear" w:color="auto" w:fill="FFFFFF"/>
        </w:rPr>
        <w:t>se debe aplicar un estándar “riguroso” (S</w:t>
      </w:r>
      <w:r w:rsidRPr="00852727">
        <w:rPr>
          <w:sz w:val="18"/>
          <w:szCs w:val="18"/>
        </w:rPr>
        <w:t>entencia C-440 de 2020</w:t>
      </w:r>
      <w:r w:rsidRPr="00852727">
        <w:rPr>
          <w:sz w:val="18"/>
          <w:szCs w:val="18"/>
          <w:shd w:val="clear" w:color="auto" w:fill="FFFFFF"/>
        </w:rPr>
        <w:t>)</w:t>
      </w:r>
      <w:r w:rsidRPr="00852727">
        <w:rPr>
          <w:sz w:val="18"/>
          <w:szCs w:val="18"/>
          <w:shd w:val="clear" w:color="auto" w:fill="FFFFFF"/>
        </w:rPr>
        <w:t>,</w:t>
      </w:r>
      <w:r w:rsidRPr="00852727">
        <w:rPr>
          <w:sz w:val="18"/>
          <w:szCs w:val="18"/>
          <w:shd w:val="clear" w:color="auto" w:fill="FFFFFF"/>
        </w:rPr>
        <w:t xml:space="preserve"> “exigente” (Sentencia C-415 de 2020)</w:t>
      </w:r>
      <w:r w:rsidRPr="00852727">
        <w:rPr>
          <w:sz w:val="18"/>
          <w:szCs w:val="18"/>
          <w:shd w:val="clear" w:color="auto" w:fill="FFFFFF"/>
        </w:rPr>
        <w:t xml:space="preserve"> o “estricto” (</w:t>
      </w:r>
      <w:r w:rsidRPr="00852727">
        <w:rPr>
          <w:sz w:val="18"/>
          <w:szCs w:val="18"/>
          <w:shd w:val="clear" w:color="auto" w:fill="FFFFFF"/>
        </w:rPr>
        <w:t xml:space="preserve">entre otras, las </w:t>
      </w:r>
      <w:r w:rsidRPr="00852727">
        <w:rPr>
          <w:sz w:val="18"/>
          <w:szCs w:val="18"/>
          <w:shd w:val="clear" w:color="auto" w:fill="FFFFFF"/>
        </w:rPr>
        <w:t>s</w:t>
      </w:r>
      <w:r w:rsidRPr="00852727">
        <w:rPr>
          <w:sz w:val="18"/>
          <w:szCs w:val="18"/>
          <w:shd w:val="clear" w:color="auto" w:fill="FFFFFF"/>
        </w:rPr>
        <w:t>entencia</w:t>
      </w:r>
      <w:r w:rsidRPr="00852727">
        <w:rPr>
          <w:sz w:val="18"/>
          <w:szCs w:val="18"/>
          <w:shd w:val="clear" w:color="auto" w:fill="FFFFFF"/>
        </w:rPr>
        <w:t>s</w:t>
      </w:r>
      <w:r w:rsidRPr="00852727">
        <w:rPr>
          <w:sz w:val="18"/>
          <w:szCs w:val="18"/>
          <w:shd w:val="clear" w:color="auto" w:fill="FFFFFF"/>
        </w:rPr>
        <w:t xml:space="preserve"> C-068 de 2020</w:t>
      </w:r>
      <w:r w:rsidRPr="00852727">
        <w:rPr>
          <w:sz w:val="18"/>
          <w:szCs w:val="18"/>
          <w:shd w:val="clear" w:color="auto" w:fill="FFFFFF"/>
        </w:rPr>
        <w:t>,</w:t>
      </w:r>
      <w:r w:rsidRPr="00852727">
        <w:rPr>
          <w:sz w:val="18"/>
          <w:szCs w:val="18"/>
          <w:shd w:val="clear" w:color="auto" w:fill="FFFFFF"/>
        </w:rPr>
        <w:t xml:space="preserve"> </w:t>
      </w:r>
      <w:r w:rsidRPr="00852727">
        <w:rPr>
          <w:sz w:val="18"/>
          <w:szCs w:val="18"/>
          <w:shd w:val="clear" w:color="auto" w:fill="FFFFFF"/>
        </w:rPr>
        <w:t xml:space="preserve">C-415 de 2020, </w:t>
      </w:r>
      <w:r w:rsidRPr="00852727">
        <w:rPr>
          <w:sz w:val="18"/>
          <w:szCs w:val="18"/>
          <w:shd w:val="clear" w:color="auto" w:fill="FFFFFF"/>
        </w:rPr>
        <w:t>C-030 de 2021</w:t>
      </w:r>
      <w:r w:rsidRPr="00852727">
        <w:rPr>
          <w:sz w:val="18"/>
          <w:szCs w:val="18"/>
          <w:shd w:val="clear" w:color="auto" w:fill="FFFFFF"/>
        </w:rPr>
        <w:t>,</w:t>
      </w:r>
      <w:r w:rsidRPr="00852727">
        <w:rPr>
          <w:sz w:val="18"/>
          <w:szCs w:val="18"/>
          <w:shd w:val="clear" w:color="auto" w:fill="FFFFFF"/>
        </w:rPr>
        <w:t xml:space="preserve"> C-049 de 2022</w:t>
      </w:r>
      <w:r w:rsidRPr="00852727">
        <w:rPr>
          <w:sz w:val="18"/>
          <w:szCs w:val="18"/>
          <w:shd w:val="clear" w:color="auto" w:fill="FFFFFF"/>
        </w:rPr>
        <w:t xml:space="preserve"> y C-161 de 2022</w:t>
      </w:r>
      <w:r w:rsidRPr="00852727">
        <w:rPr>
          <w:sz w:val="18"/>
          <w:szCs w:val="18"/>
          <w:shd w:val="clear" w:color="auto" w:fill="FFFFFF"/>
        </w:rPr>
        <w:t>)</w:t>
      </w:r>
      <w:r w:rsidRPr="00852727">
        <w:rPr>
          <w:sz w:val="18"/>
          <w:szCs w:val="18"/>
          <w:shd w:val="clear" w:color="auto" w:fill="FFFFFF"/>
        </w:rPr>
        <w:t>. De vieja data, ha admitido este criterio en los siguientes términos: “[la jurisprudencia constitucional] ha interpretado de manera amplia la noción de materia, por lo cual ha sostenido que el principio de unidad temática ‘no puede rebasa</w:t>
      </w:r>
      <w:r w:rsidRPr="00852727">
        <w:rPr>
          <w:sz w:val="18"/>
          <w:szCs w:val="18"/>
          <w:shd w:val="clear" w:color="auto" w:fill="FFFFFF"/>
        </w:rPr>
        <w:t xml:space="preserve">r su finalidad y terminar por anular el principio democrático, significativamente de mayor entidad como valor fundante del Estado Colombiano’, por lo cual únicamente ‘aquellos apartes, segmentos o proposiciones de una ley respecto de los cuales, razonable </w:t>
      </w:r>
      <w:r w:rsidRPr="00852727">
        <w:rPr>
          <w:sz w:val="18"/>
          <w:szCs w:val="18"/>
          <w:shd w:val="clear" w:color="auto" w:fill="FFFFFF"/>
        </w:rPr>
        <w:t>y objetivamente, no sea posible establecer una relación de conexidad causal, teleológica, temática o sistémica con la materia dominante de la misma, deben rechazarse como inadmisibles si están incorporados en el proyecto o declararse inexequibles si integr</w:t>
      </w:r>
      <w:r w:rsidRPr="00852727">
        <w:rPr>
          <w:sz w:val="18"/>
          <w:szCs w:val="18"/>
          <w:shd w:val="clear" w:color="auto" w:fill="FFFFFF"/>
        </w:rPr>
        <w:t>an el cuerpo de la ley’. No obstante, en lo referente al principio de unidad de materia en la Ley del Plan de Desarrollo la Corporación estima que la conexidad debe ser directa e inmediata. Es decir, si bien el Plan Nacional de Desarrollo es una ley hetero</w:t>
      </w:r>
      <w:r w:rsidRPr="00852727">
        <w:rPr>
          <w:sz w:val="18"/>
          <w:szCs w:val="18"/>
          <w:shd w:val="clear" w:color="auto" w:fill="FFFFFF"/>
        </w:rPr>
        <w:t>génea, en la medida en que se ocupa de diversas materias (políticas macroeconómicas, sociales, culturales, ambientales, etc.) lo mismo que de diversidad de medidas instrumentales (presupuestales o normativas) destinadas a garantizar la efectiva y eficiente</w:t>
      </w:r>
      <w:r w:rsidRPr="00852727">
        <w:rPr>
          <w:sz w:val="18"/>
          <w:szCs w:val="18"/>
          <w:shd w:val="clear" w:color="auto" w:fill="FFFFFF"/>
        </w:rPr>
        <w:t xml:space="preserve"> realización del Plan de Desarrollo, el criterio para examinar la unidad de materia de las disposiciones instrumentales contenidas en la Ley del Plan es el relativo a su conexidad directa, no eventual o mediata, con las normas que establecen los programas </w:t>
      </w:r>
      <w:r w:rsidRPr="00852727">
        <w:rPr>
          <w:sz w:val="18"/>
          <w:szCs w:val="18"/>
          <w:shd w:val="clear" w:color="auto" w:fill="FFFFFF"/>
        </w:rPr>
        <w:t xml:space="preserve">y proyectos contemplados en la parte general del Plan y con aquellas otras que especifican los recursos para su ejecución”. Sentencia C-305 de 2004. Este criterio </w:t>
      </w:r>
      <w:r w:rsidRPr="00852727">
        <w:rPr>
          <w:sz w:val="18"/>
          <w:szCs w:val="18"/>
          <w:lang w:val="es-419"/>
        </w:rPr>
        <w:t>de decisión ha sido reiterado, entre otras, en las sentencias C-795 de 2004, C-377 de 2008, C</w:t>
      </w:r>
      <w:r w:rsidRPr="00852727">
        <w:rPr>
          <w:sz w:val="18"/>
          <w:szCs w:val="18"/>
          <w:lang w:val="es-419"/>
        </w:rPr>
        <w:t>-801 de 2008, C-016 de 2016, C-453 de 2016 y C-008 de 2018</w:t>
      </w:r>
      <w:r w:rsidRPr="00852727">
        <w:rPr>
          <w:sz w:val="18"/>
          <w:szCs w:val="18"/>
        </w:rPr>
        <w:t>.</w:t>
      </w:r>
      <w:r w:rsidRPr="00852727">
        <w:rPr>
          <w:sz w:val="18"/>
          <w:szCs w:val="18"/>
        </w:rPr>
        <w:t xml:space="preserve"> </w:t>
      </w:r>
      <w:r w:rsidRPr="00852727">
        <w:rPr>
          <w:sz w:val="18"/>
          <w:szCs w:val="18"/>
          <w:shd w:val="clear" w:color="auto" w:fill="FFFFFF"/>
        </w:rPr>
        <w:t xml:space="preserve">En </w:t>
      </w:r>
      <w:r w:rsidRPr="00852727">
        <w:rPr>
          <w:sz w:val="18"/>
          <w:szCs w:val="18"/>
          <w:shd w:val="clear" w:color="auto" w:fill="FFFFFF"/>
        </w:rPr>
        <w:t xml:space="preserve">esta </w:t>
      </w:r>
      <w:r w:rsidRPr="00852727">
        <w:rPr>
          <w:sz w:val="18"/>
          <w:szCs w:val="18"/>
          <w:shd w:val="clear" w:color="auto" w:fill="FFFFFF"/>
        </w:rPr>
        <w:t xml:space="preserve">misma línea, y de manera más reciente, en la Sentencia C-068 de 2020, la Corte señaló: “[e]l control judicial estricto del principio de unidad de materia se concreta en establecer un </w:t>
      </w:r>
      <w:r w:rsidRPr="00852727">
        <w:rPr>
          <w:sz w:val="18"/>
          <w:szCs w:val="18"/>
          <w:shd w:val="clear" w:color="auto" w:fill="FFFFFF"/>
        </w:rPr>
        <w:t>vínculo directo entre la parte general del Plan y las disposiciones instrumentales que lo componen, y no una conexión que sea solo eventual o mediata. Ello con el fin de evitar que en virtud del carácter heterogéneo y multitemático de la ley, se incorporen</w:t>
      </w:r>
      <w:r w:rsidRPr="00852727">
        <w:rPr>
          <w:sz w:val="18"/>
          <w:szCs w:val="18"/>
          <w:shd w:val="clear" w:color="auto" w:fill="FFFFFF"/>
        </w:rPr>
        <w:t xml:space="preserve"> disposiciones ajenas al propósito de planeación”.</w:t>
      </w:r>
    </w:p>
  </w:footnote>
  <w:footnote w:id="37">
    <w:p w:rsidR="00B72029"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En esta materia es especialmente relevante la Sentencia C-415 de 2020</w:t>
      </w:r>
      <w:r w:rsidRPr="00852727">
        <w:rPr>
          <w:sz w:val="18"/>
          <w:szCs w:val="18"/>
        </w:rPr>
        <w:t>,</w:t>
      </w:r>
      <w:r w:rsidRPr="00852727">
        <w:rPr>
          <w:sz w:val="18"/>
          <w:szCs w:val="18"/>
        </w:rPr>
        <w:t xml:space="preserve"> que unificó la jurisprudencia de la Sala </w:t>
      </w:r>
      <w:r w:rsidRPr="00852727">
        <w:rPr>
          <w:sz w:val="18"/>
          <w:szCs w:val="18"/>
          <w:shd w:val="clear" w:color="auto" w:fill="FFFFFF"/>
        </w:rPr>
        <w:t>con pretensiones de estabilidad</w:t>
      </w:r>
      <w:r w:rsidRPr="00852727">
        <w:rPr>
          <w:sz w:val="18"/>
          <w:szCs w:val="18"/>
          <w:shd w:val="clear" w:color="auto" w:fill="FFFFFF"/>
        </w:rPr>
        <w:t>. E</w:t>
      </w:r>
      <w:r w:rsidRPr="00852727">
        <w:rPr>
          <w:sz w:val="18"/>
          <w:szCs w:val="18"/>
          <w:shd w:val="clear" w:color="auto" w:fill="FFFFFF"/>
        </w:rPr>
        <w:t xml:space="preserve">n cuanto a esta pretensión, </w:t>
      </w:r>
      <w:r w:rsidRPr="00852727">
        <w:rPr>
          <w:sz w:val="18"/>
          <w:szCs w:val="18"/>
        </w:rPr>
        <w:t xml:space="preserve">allí se indica: “29. </w:t>
      </w:r>
      <w:r w:rsidRPr="00852727">
        <w:rPr>
          <w:bCs/>
          <w:sz w:val="18"/>
          <w:szCs w:val="18"/>
          <w:lang w:val="es-ES"/>
        </w:rPr>
        <w:t>A contin</w:t>
      </w:r>
      <w:r w:rsidRPr="00852727">
        <w:rPr>
          <w:bCs/>
          <w:sz w:val="18"/>
          <w:szCs w:val="18"/>
          <w:lang w:val="es-ES"/>
        </w:rPr>
        <w:t>uación la Corte procederá, previa referencia histórica y de derecho comparado, a exponer brevemente el estado actual de la jurisprudencia constitucional sobre los planes nacionales de desarrollo, así como a realizar algunas consideraciones adicionales en o</w:t>
      </w:r>
      <w:r w:rsidRPr="00852727">
        <w:rPr>
          <w:bCs/>
          <w:sz w:val="18"/>
          <w:szCs w:val="18"/>
          <w:lang w:val="es-ES"/>
        </w:rPr>
        <w:t>rden a continuar la construcción de la línea jurisprudencial, que estará dada esencialmente en i) asegurar la importancia del principio democrático, ii) puntualizar que en estas leyes no pueden estar plasmadas todo de tipo de normativas legales, iii) demar</w:t>
      </w:r>
      <w:r w:rsidRPr="00852727">
        <w:rPr>
          <w:bCs/>
          <w:sz w:val="18"/>
          <w:szCs w:val="18"/>
          <w:lang w:val="es-ES"/>
        </w:rPr>
        <w:t>car la regla general de temporalidad de la ley del plan, iv) delimitar el concepto de prelación del Plan Nacional de Inversiones y v) afianzar el control estricto en torno al principio de unidad de materia</w:t>
      </w:r>
      <w:r w:rsidRPr="00852727">
        <w:rPr>
          <w:sz w:val="18"/>
          <w:szCs w:val="18"/>
        </w:rPr>
        <w:t>”.</w:t>
      </w:r>
    </w:p>
  </w:footnote>
  <w:footnote w:id="38">
    <w:p w:rsidR="000D2155"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La jurisprudencia se ha referido específicamente a los </w:t>
      </w:r>
      <w:r w:rsidRPr="00852727">
        <w:rPr>
          <w:i/>
          <w:sz w:val="18"/>
          <w:szCs w:val="18"/>
          <w:lang w:val="es-ES_tradnl"/>
        </w:rPr>
        <w:t>objetivos</w:t>
      </w:r>
      <w:r w:rsidRPr="00852727">
        <w:rPr>
          <w:iCs/>
          <w:sz w:val="18"/>
          <w:szCs w:val="18"/>
          <w:lang w:val="es-ES_tradnl"/>
        </w:rPr>
        <w:t xml:space="preserve">, </w:t>
      </w:r>
      <w:r w:rsidRPr="00852727">
        <w:rPr>
          <w:i/>
          <w:sz w:val="18"/>
          <w:szCs w:val="18"/>
          <w:lang w:val="es-ES_tradnl"/>
        </w:rPr>
        <w:t>metas</w:t>
      </w:r>
      <w:r w:rsidRPr="00852727">
        <w:rPr>
          <w:iCs/>
          <w:sz w:val="18"/>
          <w:szCs w:val="18"/>
          <w:lang w:val="es-ES_tradnl"/>
        </w:rPr>
        <w:t xml:space="preserve"> o estrategias de la parte general del plan, </w:t>
      </w:r>
      <w:r w:rsidRPr="00852727">
        <w:rPr>
          <w:iCs/>
          <w:sz w:val="18"/>
          <w:szCs w:val="18"/>
          <w:lang w:val="es-ES_tradnl"/>
        </w:rPr>
        <w:t>refe</w:t>
      </w:r>
      <w:r w:rsidRPr="00852727">
        <w:rPr>
          <w:iCs/>
          <w:sz w:val="18"/>
          <w:szCs w:val="18"/>
          <w:lang w:val="es-ES_tradnl"/>
        </w:rPr>
        <w:t xml:space="preserve">rencia que cabe relacionar con </w:t>
      </w:r>
      <w:r w:rsidRPr="00852727">
        <w:rPr>
          <w:sz w:val="18"/>
          <w:szCs w:val="18"/>
        </w:rPr>
        <w:t>las </w:t>
      </w:r>
      <w:bookmarkStart w:id="7" w:name="_Hlk60875271"/>
      <w:r w:rsidRPr="00852727">
        <w:rPr>
          <w:i/>
          <w:iCs/>
          <w:sz w:val="18"/>
          <w:szCs w:val="18"/>
          <w:u w:val="single"/>
        </w:rPr>
        <w:t>estrategias</w:t>
      </w:r>
      <w:r w:rsidRPr="00852727">
        <w:rPr>
          <w:sz w:val="18"/>
          <w:szCs w:val="18"/>
        </w:rPr>
        <w:t xml:space="preserve"> y </w:t>
      </w:r>
      <w:r w:rsidRPr="00852727">
        <w:rPr>
          <w:i/>
          <w:iCs/>
          <w:sz w:val="18"/>
          <w:szCs w:val="18"/>
          <w:u w:val="single"/>
        </w:rPr>
        <w:t>políticas</w:t>
      </w:r>
      <w:r w:rsidRPr="00852727">
        <w:rPr>
          <w:sz w:val="18"/>
          <w:szCs w:val="18"/>
        </w:rPr>
        <w:t> </w:t>
      </w:r>
      <w:r w:rsidRPr="00852727">
        <w:rPr>
          <w:i/>
          <w:iCs/>
          <w:sz w:val="18"/>
          <w:szCs w:val="18"/>
          <w:u w:val="single"/>
        </w:rPr>
        <w:t>que en materia económica, social y ambiental guiarán la acción del Gobierno</w:t>
      </w:r>
      <w:bookmarkEnd w:id="7"/>
      <w:r w:rsidRPr="00852727">
        <w:rPr>
          <w:sz w:val="18"/>
          <w:szCs w:val="18"/>
        </w:rPr>
        <w:t>,</w:t>
      </w:r>
      <w:r w:rsidRPr="00852727">
        <w:rPr>
          <w:sz w:val="18"/>
          <w:szCs w:val="18"/>
        </w:rPr>
        <w:t xml:space="preserve"> puesto</w:t>
      </w:r>
      <w:r w:rsidRPr="00852727">
        <w:rPr>
          <w:sz w:val="18"/>
          <w:szCs w:val="18"/>
        </w:rPr>
        <w:t xml:space="preserve"> que</w:t>
      </w:r>
      <w:r w:rsidRPr="00852727">
        <w:rPr>
          <w:sz w:val="18"/>
          <w:szCs w:val="18"/>
        </w:rPr>
        <w:t xml:space="preserve"> tales estrategias y políticas </w:t>
      </w:r>
      <w:r w:rsidRPr="00852727">
        <w:rPr>
          <w:sz w:val="18"/>
          <w:szCs w:val="18"/>
        </w:rPr>
        <w:t xml:space="preserve">concretan </w:t>
      </w:r>
      <w:r w:rsidRPr="00852727">
        <w:rPr>
          <w:sz w:val="18"/>
          <w:szCs w:val="18"/>
        </w:rPr>
        <w:t>los objetivos y metas </w:t>
      </w:r>
      <w:r w:rsidRPr="00852727">
        <w:rPr>
          <w:sz w:val="18"/>
          <w:szCs w:val="18"/>
        </w:rPr>
        <w:t>del plan que el gobierno pretende alcanzar durante el cuatrienio</w:t>
      </w:r>
      <w:r w:rsidRPr="00852727">
        <w:rPr>
          <w:sz w:val="18"/>
          <w:szCs w:val="18"/>
        </w:rPr>
        <w:t>.</w:t>
      </w:r>
    </w:p>
  </w:footnote>
  <w:footnote w:id="39">
    <w:p w:rsidR="007F1B41" w:rsidRPr="00852727" w:rsidRDefault="00AF629F" w:rsidP="00857817">
      <w:pPr>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rPr>
        <w:t xml:space="preserve">Sentencia C-030 de 2021, </w:t>
      </w:r>
      <w:r w:rsidRPr="00852727">
        <w:rPr>
          <w:sz w:val="18"/>
          <w:szCs w:val="18"/>
        </w:rPr>
        <w:t xml:space="preserve">§ </w:t>
      </w:r>
      <w:r w:rsidRPr="00852727">
        <w:rPr>
          <w:sz w:val="18"/>
          <w:szCs w:val="18"/>
        </w:rPr>
        <w:t xml:space="preserve">57, que cita </w:t>
      </w:r>
      <w:r w:rsidRPr="00852727">
        <w:rPr>
          <w:sz w:val="18"/>
          <w:szCs w:val="18"/>
        </w:rPr>
        <w:t>la Sentencia C-415 de 2020</w:t>
      </w:r>
      <w:r w:rsidRPr="00852727">
        <w:rPr>
          <w:sz w:val="18"/>
          <w:szCs w:val="18"/>
        </w:rPr>
        <w:t xml:space="preserve"> y, esta, a su vez, </w:t>
      </w:r>
      <w:r w:rsidRPr="00852727">
        <w:rPr>
          <w:sz w:val="18"/>
          <w:szCs w:val="18"/>
        </w:rPr>
        <w:t xml:space="preserve">las sentencias C-095 de </w:t>
      </w:r>
      <w:r w:rsidRPr="00852727">
        <w:rPr>
          <w:sz w:val="18"/>
          <w:szCs w:val="18"/>
        </w:rPr>
        <w:t>2020, C-008 de 2018 y C-016 de 2016.</w:t>
      </w:r>
    </w:p>
  </w:footnote>
  <w:footnote w:id="40">
    <w:p w:rsidR="00376722"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Cfr., al respecto, las sentencias </w:t>
      </w:r>
      <w:r w:rsidRPr="00852727">
        <w:rPr>
          <w:sz w:val="18"/>
          <w:szCs w:val="18"/>
        </w:rPr>
        <w:t>C-068 de 2020, C-219 de 2019 y C-305 de 2004.</w:t>
      </w:r>
    </w:p>
  </w:footnote>
  <w:footnote w:id="41">
    <w:p w:rsidR="008970B8" w:rsidRPr="00852727" w:rsidRDefault="00AF629F" w:rsidP="00857817">
      <w:pPr>
        <w:pStyle w:val="Textonotapie"/>
        <w:tabs>
          <w:tab w:val="left" w:pos="3822"/>
        </w:tabs>
        <w:jc w:val="both"/>
        <w:rPr>
          <w:sz w:val="18"/>
          <w:szCs w:val="18"/>
        </w:rPr>
      </w:pPr>
      <w:r w:rsidRPr="00852727">
        <w:rPr>
          <w:sz w:val="18"/>
          <w:szCs w:val="18"/>
          <w:vertAlign w:val="superscript"/>
        </w:rPr>
        <w:footnoteRef/>
      </w:r>
      <w:r w:rsidRPr="00852727">
        <w:rPr>
          <w:sz w:val="18"/>
          <w:szCs w:val="18"/>
        </w:rPr>
        <w:t xml:space="preserve"> Sentencia C-415 de 2020. </w:t>
      </w:r>
      <w:r w:rsidRPr="00852727">
        <w:rPr>
          <w:sz w:val="18"/>
          <w:szCs w:val="18"/>
          <w:lang w:val="es-MX"/>
        </w:rPr>
        <w:t>Según se precisa en esta sentencia, “</w:t>
      </w:r>
      <w:r w:rsidRPr="00852727">
        <w:rPr>
          <w:sz w:val="18"/>
          <w:szCs w:val="18"/>
        </w:rPr>
        <w:t xml:space="preserve">[l]a ley que aprueba el PND para un cuatrienio presidencial </w:t>
      </w:r>
      <w:r w:rsidRPr="00852727">
        <w:rPr>
          <w:b/>
          <w:sz w:val="18"/>
          <w:szCs w:val="18"/>
        </w:rPr>
        <w:t>no puede cont</w:t>
      </w:r>
      <w:r w:rsidRPr="00852727">
        <w:rPr>
          <w:b/>
          <w:sz w:val="18"/>
          <w:szCs w:val="18"/>
        </w:rPr>
        <w:t>ener una regulación sobre todas las materias que al Congreso de la República corresponden</w:t>
      </w:r>
      <w:r w:rsidRPr="00852727">
        <w:rPr>
          <w:sz w:val="18"/>
          <w:szCs w:val="18"/>
        </w:rPr>
        <w:t xml:space="preserve"> en el ejercicio de sus atribuciones. No podría incluir cualquier normativa legal, ya que ello implicaría que la atribución asignada al Congreso de la República por el numeral 3</w:t>
      </w:r>
      <w:r w:rsidRPr="00852727">
        <w:rPr>
          <w:sz w:val="18"/>
          <w:szCs w:val="18"/>
          <w:vertAlign w:val="superscript"/>
        </w:rPr>
        <w:t xml:space="preserve"> </w:t>
      </w:r>
      <w:r w:rsidRPr="00852727">
        <w:rPr>
          <w:sz w:val="18"/>
          <w:szCs w:val="18"/>
        </w:rPr>
        <w:t>del art. 150 de la Carta, termine por subsumir, suprimir o reducir las demás f</w:t>
      </w:r>
      <w:r w:rsidRPr="00852727">
        <w:rPr>
          <w:sz w:val="18"/>
          <w:szCs w:val="18"/>
        </w:rPr>
        <w:t>unciones constitucionales del legislador (24 restantes)</w:t>
      </w:r>
      <w:r w:rsidRPr="00852727">
        <w:rPr>
          <w:sz w:val="18"/>
          <w:szCs w:val="18"/>
          <w:lang w:val="es-MX"/>
        </w:rPr>
        <w:t xml:space="preserve">. || […] 105. </w:t>
      </w:r>
      <w:r w:rsidRPr="00852727">
        <w:rPr>
          <w:sz w:val="18"/>
          <w:szCs w:val="18"/>
        </w:rPr>
        <w:t xml:space="preserve">Así, el control de constitucionalidad debe cuidar que la expedición de la </w:t>
      </w:r>
      <w:r w:rsidRPr="00852727">
        <w:rPr>
          <w:b/>
          <w:sz w:val="18"/>
          <w:szCs w:val="18"/>
        </w:rPr>
        <w:t>ley del plan no se constituya en un vaciamiento de las competencias ordinarias del legislador</w:t>
      </w:r>
      <w:r w:rsidRPr="00852727">
        <w:rPr>
          <w:sz w:val="18"/>
          <w:szCs w:val="18"/>
        </w:rPr>
        <w:t xml:space="preserve">, convirtiéndola en </w:t>
      </w:r>
      <w:r w:rsidRPr="00852727">
        <w:rPr>
          <w:sz w:val="18"/>
          <w:szCs w:val="18"/>
        </w:rPr>
        <w:t xml:space="preserve">una herramienta para la solución de todas las urgencias legales que precise el Gobierno de turno […] || […] </w:t>
      </w:r>
      <w:r w:rsidRPr="00852727">
        <w:rPr>
          <w:b/>
          <w:sz w:val="18"/>
          <w:szCs w:val="18"/>
        </w:rPr>
        <w:t>La pretensión de instaurar políticas de largo aliento (ordinarias) exige acudir a la agenda legislativa del Gobierno</w:t>
      </w:r>
      <w:r w:rsidRPr="00852727">
        <w:rPr>
          <w:sz w:val="18"/>
          <w:szCs w:val="18"/>
        </w:rPr>
        <w:t xml:space="preserve"> y su consiguiente propuesta e i</w:t>
      </w:r>
      <w:r w:rsidRPr="00852727">
        <w:rPr>
          <w:sz w:val="18"/>
          <w:szCs w:val="18"/>
        </w:rPr>
        <w:t>mpulso ante el Congreso de la República, en garantía del principio democrático</w:t>
      </w:r>
      <w:r w:rsidRPr="00852727">
        <w:rPr>
          <w:sz w:val="18"/>
          <w:szCs w:val="18"/>
          <w:lang w:val="es-MX"/>
        </w:rPr>
        <w:t>” (énfasis del original).</w:t>
      </w:r>
    </w:p>
  </w:footnote>
  <w:footnote w:id="42">
    <w:p w:rsidR="009E3261"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Fundamento jurídico 109.</w:t>
      </w:r>
    </w:p>
  </w:footnote>
  <w:footnote w:id="43">
    <w:p w:rsidR="009D487C"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Sentencias C-026, C-068 y C-126 de 2020.</w:t>
      </w:r>
    </w:p>
  </w:footnote>
  <w:footnote w:id="44">
    <w:p w:rsidR="009D487C" w:rsidRPr="00852727" w:rsidRDefault="00AF629F" w:rsidP="00857817">
      <w:pPr>
        <w:jc w:val="both"/>
        <w:rPr>
          <w:sz w:val="18"/>
          <w:szCs w:val="18"/>
        </w:rPr>
      </w:pPr>
      <w:r w:rsidRPr="00852727">
        <w:rPr>
          <w:rStyle w:val="Refdenotaalpie"/>
          <w:sz w:val="18"/>
          <w:szCs w:val="18"/>
        </w:rPr>
        <w:footnoteRef/>
      </w:r>
      <w:r w:rsidRPr="00852727">
        <w:rPr>
          <w:sz w:val="18"/>
          <w:szCs w:val="18"/>
        </w:rPr>
        <w:t xml:space="preserve"> Sentencia C-394 de 2012. Se apoyó la Corte, en esa oportunidad, en las sentencia</w:t>
      </w:r>
      <w:r w:rsidRPr="00852727">
        <w:rPr>
          <w:sz w:val="18"/>
          <w:szCs w:val="18"/>
        </w:rPr>
        <w:t>s C-573 de 2004, C-795 de 2004, C-376 de 2008 y C-377 de 2008.</w:t>
      </w:r>
    </w:p>
  </w:footnote>
  <w:footnote w:id="45">
    <w:p w:rsidR="00543142" w:rsidRPr="00852727" w:rsidRDefault="00AF629F" w:rsidP="00857817">
      <w:pPr>
        <w:pStyle w:val="Textonotapie"/>
        <w:jc w:val="both"/>
        <w:rPr>
          <w:sz w:val="18"/>
          <w:szCs w:val="18"/>
          <w:lang w:val="es-ES"/>
        </w:rPr>
      </w:pPr>
      <w:r w:rsidRPr="00852727">
        <w:rPr>
          <w:rStyle w:val="Refdenotaalpie"/>
          <w:sz w:val="18"/>
          <w:szCs w:val="18"/>
        </w:rPr>
        <w:footnoteRef/>
      </w:r>
      <w:r w:rsidRPr="00852727">
        <w:rPr>
          <w:sz w:val="18"/>
          <w:szCs w:val="18"/>
        </w:rPr>
        <w:t xml:space="preserve"> </w:t>
      </w:r>
      <w:r w:rsidRPr="00852727">
        <w:rPr>
          <w:sz w:val="18"/>
          <w:szCs w:val="18"/>
          <w:lang w:val="es-ES"/>
        </w:rPr>
        <w:t xml:space="preserve">En la primera de </w:t>
      </w:r>
      <w:r w:rsidRPr="00852727">
        <w:rPr>
          <w:sz w:val="18"/>
          <w:szCs w:val="18"/>
          <w:lang w:val="es-ES"/>
        </w:rPr>
        <w:t xml:space="preserve">las sentencias en cita, </w:t>
      </w:r>
      <w:r w:rsidRPr="00852727">
        <w:rPr>
          <w:sz w:val="18"/>
          <w:szCs w:val="18"/>
          <w:lang w:val="es-ES"/>
        </w:rPr>
        <w:t xml:space="preserve">en relación con el cargo por unidad de materia, la declaratoria de exequibilidad </w:t>
      </w:r>
      <w:r w:rsidRPr="00852727">
        <w:rPr>
          <w:sz w:val="18"/>
          <w:szCs w:val="18"/>
          <w:lang w:val="es-ES"/>
        </w:rPr>
        <w:t xml:space="preserve">de la disposición demandada (el artículo </w:t>
      </w:r>
      <w:r w:rsidRPr="00852727">
        <w:rPr>
          <w:sz w:val="18"/>
          <w:szCs w:val="18"/>
          <w:lang w:val="es-ES"/>
        </w:rPr>
        <w:t>298 de la Ley 1955 de 2019</w:t>
      </w:r>
      <w:r w:rsidRPr="00852727">
        <w:rPr>
          <w:sz w:val="18"/>
          <w:szCs w:val="18"/>
          <w:lang w:val="es-ES"/>
        </w:rPr>
        <w:t xml:space="preserve">) </w:t>
      </w:r>
      <w:r w:rsidRPr="00852727">
        <w:rPr>
          <w:sz w:val="18"/>
          <w:szCs w:val="18"/>
          <w:lang w:val="es-ES"/>
        </w:rPr>
        <w:t xml:space="preserve">se fundamentó en </w:t>
      </w:r>
      <w:r w:rsidRPr="00852727">
        <w:rPr>
          <w:sz w:val="18"/>
          <w:szCs w:val="18"/>
          <w:lang w:val="es-ES"/>
        </w:rPr>
        <w:t xml:space="preserve">que </w:t>
      </w:r>
      <w:r w:rsidRPr="00852727">
        <w:rPr>
          <w:sz w:val="18"/>
          <w:szCs w:val="18"/>
        </w:rPr>
        <w:t>guarda</w:t>
      </w:r>
      <w:r w:rsidRPr="00852727">
        <w:rPr>
          <w:sz w:val="18"/>
          <w:szCs w:val="18"/>
        </w:rPr>
        <w:t>ba</w:t>
      </w:r>
      <w:r w:rsidRPr="00852727">
        <w:rPr>
          <w:sz w:val="18"/>
          <w:szCs w:val="18"/>
        </w:rPr>
        <w:t xml:space="preserve"> </w:t>
      </w:r>
      <w:r w:rsidRPr="00852727">
        <w:rPr>
          <w:sz w:val="18"/>
          <w:szCs w:val="18"/>
        </w:rPr>
        <w:t>“</w:t>
      </w:r>
      <w:r w:rsidRPr="00852727">
        <w:rPr>
          <w:sz w:val="18"/>
          <w:szCs w:val="18"/>
        </w:rPr>
        <w:t>conexidad directa e inmediata con los proyectos y programas incorporados al Plan Nacional de Desarrollo y su respectivo Plan Nacional de Inversiones</w:t>
      </w:r>
      <w:r w:rsidRPr="00852727">
        <w:rPr>
          <w:sz w:val="18"/>
          <w:szCs w:val="18"/>
        </w:rPr>
        <w:t>. En efecto, la Corte encontró que esta es una norma instrumental que, con fi</w:t>
      </w:r>
      <w:r w:rsidRPr="00852727">
        <w:rPr>
          <w:sz w:val="18"/>
          <w:szCs w:val="18"/>
        </w:rPr>
        <w:t>nes de planificación, se relaciona de forma directa e inmediata con una </w:t>
      </w:r>
      <w:r w:rsidRPr="00852727">
        <w:rPr>
          <w:i/>
          <w:iCs/>
          <w:sz w:val="18"/>
          <w:szCs w:val="18"/>
        </w:rPr>
        <w:t>gran apuesta sectorial </w:t>
      </w:r>
      <w:r w:rsidRPr="00852727">
        <w:rPr>
          <w:sz w:val="18"/>
          <w:szCs w:val="18"/>
        </w:rPr>
        <w:t>incorporada a un proyecto o programa concreto previsto en dicho Plan Nacional de Inversiones para el mejoramiento de la competitividad en materia de servicios pú</w:t>
      </w:r>
      <w:r w:rsidRPr="00852727">
        <w:rPr>
          <w:sz w:val="18"/>
          <w:szCs w:val="18"/>
        </w:rPr>
        <w:t>blicos, la inclusión de nuevos actores en la cadena de prestación del servicio, y el aumento de la eficiencia del mercado energético”</w:t>
      </w:r>
      <w:r w:rsidRPr="00852727">
        <w:rPr>
          <w:sz w:val="18"/>
          <w:szCs w:val="18"/>
        </w:rPr>
        <w:t xml:space="preserve"> (§ 232)</w:t>
      </w:r>
      <w:r w:rsidRPr="00852727">
        <w:rPr>
          <w:sz w:val="18"/>
          <w:szCs w:val="18"/>
        </w:rPr>
        <w:t>.</w:t>
      </w:r>
    </w:p>
  </w:footnote>
  <w:footnote w:id="46">
    <w:p w:rsidR="00C21B01"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Además, en las siguientes tres sentencias la Corte se estuvo a lo resuelto en aquellas que declararon la inexeq</w:t>
      </w:r>
      <w:r w:rsidRPr="00852727">
        <w:rPr>
          <w:sz w:val="18"/>
          <w:szCs w:val="18"/>
        </w:rPr>
        <w:t>uibilidad: en la Sentencia C-484 de 2020, de manera parcial, se estuvo a lo resuelto en la Sentencia C-464 de 2020; en la Sentencia C-147 de 2021 también se estuvo a lo resuelto, de manera parcial, en la Sentencia C-464 de 2020, y, finalmente, en la Senten</w:t>
      </w:r>
      <w:r w:rsidRPr="00852727">
        <w:rPr>
          <w:sz w:val="18"/>
          <w:szCs w:val="18"/>
        </w:rPr>
        <w:t>cia C-158 de 2022 se estuvo a lo resuelto en la Sentencia C-049 de 2022.</w:t>
      </w:r>
    </w:p>
  </w:footnote>
  <w:footnote w:id="47">
    <w:p w:rsidR="00525BC2" w:rsidRPr="00852727" w:rsidRDefault="00AF629F" w:rsidP="00857817">
      <w:pPr>
        <w:pStyle w:val="Textonotapie"/>
        <w:jc w:val="both"/>
        <w:rPr>
          <w:sz w:val="18"/>
          <w:szCs w:val="18"/>
          <w:lang w:val="es-MX"/>
        </w:rPr>
      </w:pPr>
      <w:r w:rsidRPr="00852727">
        <w:rPr>
          <w:rStyle w:val="Refdenotaalpie"/>
          <w:sz w:val="18"/>
          <w:szCs w:val="18"/>
        </w:rPr>
        <w:footnoteRef/>
      </w:r>
      <w:r w:rsidRPr="00852727">
        <w:rPr>
          <w:sz w:val="18"/>
          <w:szCs w:val="18"/>
        </w:rPr>
        <w:t xml:space="preserve"> </w:t>
      </w:r>
      <w:r w:rsidRPr="00852727">
        <w:rPr>
          <w:sz w:val="18"/>
          <w:szCs w:val="18"/>
        </w:rPr>
        <w:t xml:space="preserve">La disposición derogada </w:t>
      </w:r>
      <w:r w:rsidRPr="00852727">
        <w:rPr>
          <w:sz w:val="18"/>
          <w:szCs w:val="18"/>
        </w:rPr>
        <w:t xml:space="preserve">atribuía competencias de </w:t>
      </w:r>
      <w:r w:rsidRPr="00852727">
        <w:rPr>
          <w:sz w:val="18"/>
          <w:szCs w:val="18"/>
        </w:rPr>
        <w:t xml:space="preserve">administración a la </w:t>
      </w:r>
      <w:r w:rsidRPr="00852727">
        <w:rPr>
          <w:sz w:val="18"/>
          <w:szCs w:val="18"/>
        </w:rPr>
        <w:t>d</w:t>
      </w:r>
      <w:r w:rsidRPr="00852727">
        <w:rPr>
          <w:sz w:val="18"/>
          <w:szCs w:val="18"/>
        </w:rPr>
        <w:t xml:space="preserve">irección Ejecutiva de la Rama Judicial sobre los parqueaderos destinados a vehículos inmovilizados por orden </w:t>
      </w:r>
      <w:r w:rsidRPr="00852727">
        <w:rPr>
          <w:sz w:val="18"/>
          <w:szCs w:val="18"/>
        </w:rPr>
        <w:t>judicial</w:t>
      </w:r>
      <w:r w:rsidRPr="00852727">
        <w:rPr>
          <w:sz w:val="18"/>
          <w:szCs w:val="18"/>
        </w:rPr>
        <w:t>.</w:t>
      </w:r>
    </w:p>
  </w:footnote>
  <w:footnote w:id="48">
    <w:p w:rsidR="00691F1C"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La Sala, además, resaltó lo siguiente: “</w:t>
      </w:r>
      <w:r w:rsidRPr="00852727">
        <w:rPr>
          <w:sz w:val="18"/>
          <w:szCs w:val="18"/>
        </w:rPr>
        <w:t>el carácter prestacional del derecho a la seguridad social exige un debate profundo sobre las modificaciones en su regulación, en el marco de un debate democrático, que no pueden ser suplidas con el trámi</w:t>
      </w:r>
      <w:r w:rsidRPr="00852727">
        <w:rPr>
          <w:sz w:val="18"/>
          <w:szCs w:val="18"/>
        </w:rPr>
        <w:t>te que surtió la Ley del Plan Nacional de Desarrollo, al no ser el escenario ideal para discutir, con el rigor que es requerido, disposiciones que no son instrumentos para el cumplimiento de las metas del plan y que, además, exceden la temporalidad que, en</w:t>
      </w:r>
      <w:r w:rsidRPr="00852727">
        <w:rPr>
          <w:sz w:val="18"/>
          <w:szCs w:val="18"/>
        </w:rPr>
        <w:t xml:space="preserve"> un principio, deben atender tales normas</w:t>
      </w:r>
      <w:r w:rsidRPr="00852727">
        <w:rPr>
          <w:sz w:val="18"/>
          <w:szCs w:val="18"/>
        </w:rPr>
        <w:t>”</w:t>
      </w:r>
      <w:r w:rsidRPr="00852727">
        <w:rPr>
          <w:sz w:val="18"/>
          <w:szCs w:val="18"/>
        </w:rPr>
        <w:t>.</w:t>
      </w:r>
    </w:p>
  </w:footnote>
  <w:footnote w:id="49">
    <w:p w:rsidR="00F6554E"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rPr>
        <w:t xml:space="preserve">El </w:t>
      </w:r>
      <w:r w:rsidRPr="00852727">
        <w:rPr>
          <w:sz w:val="18"/>
          <w:szCs w:val="18"/>
        </w:rPr>
        <w:t xml:space="preserve">artículo </w:t>
      </w:r>
      <w:r w:rsidRPr="00852727">
        <w:rPr>
          <w:sz w:val="18"/>
          <w:szCs w:val="18"/>
        </w:rPr>
        <w:t>7</w:t>
      </w:r>
      <w:r w:rsidRPr="00852727">
        <w:rPr>
          <w:sz w:val="18"/>
          <w:szCs w:val="18"/>
        </w:rPr>
        <w:t>.4</w:t>
      </w:r>
      <w:r w:rsidRPr="00852727">
        <w:rPr>
          <w:sz w:val="18"/>
          <w:szCs w:val="18"/>
        </w:rPr>
        <w:t xml:space="preserve"> de la Ley 549</w:t>
      </w:r>
      <w:r w:rsidRPr="00852727">
        <w:rPr>
          <w:sz w:val="18"/>
          <w:szCs w:val="18"/>
        </w:rPr>
        <w:t xml:space="preserve"> dispone: “</w:t>
      </w:r>
      <w:r w:rsidRPr="00852727">
        <w:rPr>
          <w:sz w:val="18"/>
          <w:szCs w:val="18"/>
        </w:rPr>
        <w:t xml:space="preserve">Reglas para el funcionamiento del Fondo Nacional de Pensiones de las Entidades Territoriales. Para el funcionamiento del Fondo Nacional de Pensiones de las Entidades Territoriales se tendrán en cuenta las siguientes reglas: […] || </w:t>
      </w:r>
      <w:r w:rsidRPr="00852727">
        <w:rPr>
          <w:sz w:val="18"/>
          <w:szCs w:val="18"/>
          <w:lang w:val="es-MX"/>
        </w:rPr>
        <w:t xml:space="preserve">4. </w:t>
      </w:r>
      <w:r w:rsidRPr="00852727">
        <w:rPr>
          <w:b/>
          <w:bCs/>
          <w:sz w:val="18"/>
          <w:szCs w:val="18"/>
          <w:lang w:val="es-MX"/>
        </w:rPr>
        <w:t>Los recursos se admini</w:t>
      </w:r>
      <w:r w:rsidRPr="00852727">
        <w:rPr>
          <w:b/>
          <w:bCs/>
          <w:sz w:val="18"/>
          <w:szCs w:val="18"/>
          <w:lang w:val="es-MX"/>
        </w:rPr>
        <w:t>strarán</w:t>
      </w:r>
      <w:r w:rsidRPr="00852727">
        <w:rPr>
          <w:sz w:val="18"/>
          <w:szCs w:val="18"/>
          <w:lang w:val="es-MX"/>
        </w:rPr>
        <w:t xml:space="preserve"> a través de Patrimonios Autónomos que constituirá el Fondo Nacional de Pensiones de las Entidades Públicas Territoriales </w:t>
      </w:r>
      <w:r w:rsidRPr="00852727">
        <w:rPr>
          <w:b/>
          <w:bCs/>
          <w:sz w:val="18"/>
          <w:szCs w:val="18"/>
          <w:lang w:val="es-MX"/>
        </w:rPr>
        <w:t>en las sociedades administradoras</w:t>
      </w:r>
      <w:r w:rsidRPr="00852727">
        <w:rPr>
          <w:sz w:val="18"/>
          <w:szCs w:val="18"/>
          <w:lang w:val="es-MX"/>
        </w:rPr>
        <w:t xml:space="preserve"> de fondos de pensiones y cesantías, en sociedades fiduciarias o en compañías de seguros de vi</w:t>
      </w:r>
      <w:r w:rsidRPr="00852727">
        <w:rPr>
          <w:sz w:val="18"/>
          <w:szCs w:val="18"/>
          <w:lang w:val="es-MX"/>
        </w:rPr>
        <w:t xml:space="preserve">da </w:t>
      </w:r>
      <w:r w:rsidRPr="00852727">
        <w:rPr>
          <w:b/>
          <w:bCs/>
          <w:sz w:val="18"/>
          <w:szCs w:val="18"/>
          <w:lang w:val="es-MX"/>
        </w:rPr>
        <w:t>que sean seleccionadas a través de un proceso de licitación pública, la cual se adelantará conforme a lo previsto por la Ley 80 de 1993</w:t>
      </w:r>
      <w:r w:rsidRPr="00852727">
        <w:rPr>
          <w:sz w:val="18"/>
          <w:szCs w:val="18"/>
          <w:lang w:val="es-MX"/>
        </w:rPr>
        <w:t xml:space="preserve">. </w:t>
      </w:r>
      <w:r w:rsidRPr="00852727">
        <w:rPr>
          <w:b/>
          <w:bCs/>
          <w:sz w:val="18"/>
          <w:szCs w:val="18"/>
          <w:lang w:val="es-MX"/>
        </w:rPr>
        <w:t>Para efectos de dicha licitación</w:t>
      </w:r>
      <w:r w:rsidRPr="00852727">
        <w:rPr>
          <w:sz w:val="18"/>
          <w:szCs w:val="18"/>
          <w:lang w:val="es-MX"/>
        </w:rPr>
        <w:t xml:space="preserve"> las cuentas de las entidades territoriales en el Fondo podrán agruparse en la forma</w:t>
      </w:r>
      <w:r w:rsidRPr="00852727">
        <w:rPr>
          <w:sz w:val="18"/>
          <w:szCs w:val="18"/>
          <w:lang w:val="es-MX"/>
        </w:rPr>
        <w:t xml:space="preserve"> que determine el Gobierno con el fin de que se pueda contar con varias entidades administradoras. En todo caso, las entidades deberán cumplir los índices de solvencia que determine el Gobierno Nacional”</w:t>
      </w:r>
      <w:r w:rsidRPr="00852727">
        <w:rPr>
          <w:sz w:val="18"/>
          <w:szCs w:val="18"/>
          <w:lang w:val="es-MX"/>
        </w:rPr>
        <w:t xml:space="preserve"> (énfasis de la Sala)</w:t>
      </w:r>
      <w:r w:rsidRPr="00852727">
        <w:rPr>
          <w:sz w:val="18"/>
          <w:szCs w:val="18"/>
          <w:lang w:val="es-MX"/>
        </w:rPr>
        <w:t>.</w:t>
      </w:r>
    </w:p>
  </w:footnote>
  <w:footnote w:id="50">
    <w:p w:rsidR="00EE76EF"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inciso primero del artícu</w:t>
      </w:r>
      <w:r w:rsidRPr="00852727">
        <w:rPr>
          <w:sz w:val="18"/>
          <w:szCs w:val="18"/>
        </w:rPr>
        <w:t>lo 3 de la Ley 549 de 1999 dispone: “</w:t>
      </w:r>
      <w:r w:rsidRPr="00852727">
        <w:rPr>
          <w:sz w:val="18"/>
          <w:szCs w:val="18"/>
        </w:rPr>
        <w:t>Fondo Nacional de Pensiones de las Entidades Territoriales, </w:t>
      </w:r>
      <w:r w:rsidRPr="00852727">
        <w:rPr>
          <w:rStyle w:val="spelle"/>
          <w:sz w:val="18"/>
          <w:szCs w:val="18"/>
        </w:rPr>
        <w:t>Fonpet</w:t>
      </w:r>
      <w:r w:rsidRPr="00852727">
        <w:rPr>
          <w:sz w:val="18"/>
          <w:szCs w:val="18"/>
        </w:rPr>
        <w:t>. Para efectos de administrar los recursos que se destinan a garantizar el pago de los pasivos pensionales en los términos de esta ley, créase el Fondo N</w:t>
      </w:r>
      <w:r w:rsidRPr="00852727">
        <w:rPr>
          <w:sz w:val="18"/>
          <w:szCs w:val="18"/>
        </w:rPr>
        <w:t>acional de Pensiones de las Entidades Territoriales, </w:t>
      </w:r>
      <w:r w:rsidRPr="00852727">
        <w:rPr>
          <w:rStyle w:val="spelle"/>
          <w:sz w:val="18"/>
          <w:szCs w:val="18"/>
        </w:rPr>
        <w:t>Fonpet</w:t>
      </w:r>
      <w:r w:rsidRPr="00852727">
        <w:rPr>
          <w:sz w:val="18"/>
          <w:szCs w:val="18"/>
        </w:rPr>
        <w:t>, como un fondo sin personería jurídica administrado por el Ministerio de Hacienda y Crédito Público, el cual tiene como objeto recaudar y asignar los recursos a las cuentas de los entes territoria</w:t>
      </w:r>
      <w:r w:rsidRPr="00852727">
        <w:rPr>
          <w:sz w:val="18"/>
          <w:szCs w:val="18"/>
        </w:rPr>
        <w:t xml:space="preserve">les y administrar los recursos a través de los patrimonios autónomos que se constituyan exclusivamente en las administradoras de fondos de pensiones y cesantías </w:t>
      </w:r>
      <w:r w:rsidRPr="00852727">
        <w:rPr>
          <w:b/>
          <w:bCs/>
          <w:sz w:val="18"/>
          <w:szCs w:val="18"/>
        </w:rPr>
        <w:t>privadas o públicas</w:t>
      </w:r>
      <w:r w:rsidRPr="00852727">
        <w:rPr>
          <w:sz w:val="18"/>
          <w:szCs w:val="18"/>
        </w:rPr>
        <w:t xml:space="preserve">, en sociedades fiduciarias </w:t>
      </w:r>
      <w:r w:rsidRPr="00852727">
        <w:rPr>
          <w:b/>
          <w:bCs/>
          <w:sz w:val="18"/>
          <w:szCs w:val="18"/>
        </w:rPr>
        <w:t>privadas o públicas</w:t>
      </w:r>
      <w:r w:rsidRPr="00852727">
        <w:rPr>
          <w:sz w:val="18"/>
          <w:szCs w:val="18"/>
        </w:rPr>
        <w:t xml:space="preserve"> o en compañías de seguros de vida </w:t>
      </w:r>
      <w:r w:rsidRPr="00852727">
        <w:rPr>
          <w:b/>
          <w:bCs/>
          <w:sz w:val="18"/>
          <w:szCs w:val="18"/>
        </w:rPr>
        <w:t>privadas o públicas</w:t>
      </w:r>
      <w:r w:rsidRPr="00852727">
        <w:rPr>
          <w:sz w:val="18"/>
          <w:szCs w:val="18"/>
        </w:rPr>
        <w:t xml:space="preserve"> que estén facultadas para administrar los recursos del Sistema General de Pensiones y de los regímenes pensionales excepcionados del Sistema por ley” (énfasis de la Sala).</w:t>
      </w:r>
    </w:p>
  </w:footnote>
  <w:footnote w:id="51">
    <w:p w:rsidR="00610AFC"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De conformidad con </w:t>
      </w:r>
      <w:r w:rsidRPr="00852727">
        <w:rPr>
          <w:sz w:val="18"/>
          <w:szCs w:val="18"/>
        </w:rPr>
        <w:t xml:space="preserve">lo dispuesto por el artículo 4.3 de la Ley 2294 de 2023, el eje transversal “estabilidad macroeconómica” del plan </w:t>
      </w:r>
      <w:r w:rsidRPr="00852727">
        <w:rPr>
          <w:sz w:val="18"/>
          <w:szCs w:val="18"/>
        </w:rPr>
        <w:t>nacional de desarrollo “[t]iene como objetivo definir un conjunto de apuestas en materia económica para garantizar la disponibilidad de los re</w:t>
      </w:r>
      <w:r w:rsidRPr="00852727">
        <w:rPr>
          <w:sz w:val="18"/>
          <w:szCs w:val="18"/>
        </w:rPr>
        <w:t>cursos públicos que permitirán financiar las transformaciones, las cuales están enmarcadas en la actual coyuntura económica global, regional y nacional”.</w:t>
      </w:r>
      <w:r w:rsidRPr="00852727">
        <w:rPr>
          <w:sz w:val="18"/>
          <w:szCs w:val="18"/>
        </w:rPr>
        <w:t xml:space="preserve"> </w:t>
      </w:r>
      <w:r w:rsidRPr="00852727">
        <w:rPr>
          <w:sz w:val="18"/>
          <w:szCs w:val="18"/>
        </w:rPr>
        <w:t xml:space="preserve">De conformidad con la tabla II “Distribución fuentes públicas por transformación” </w:t>
      </w:r>
      <w:r w:rsidRPr="00852727">
        <w:rPr>
          <w:sz w:val="18"/>
          <w:szCs w:val="18"/>
        </w:rPr>
        <w:t>d</w:t>
      </w:r>
      <w:r w:rsidRPr="00852727">
        <w:rPr>
          <w:sz w:val="18"/>
          <w:szCs w:val="18"/>
        </w:rPr>
        <w:t>e</w:t>
      </w:r>
      <w:r w:rsidRPr="00852727">
        <w:rPr>
          <w:sz w:val="18"/>
          <w:szCs w:val="18"/>
        </w:rPr>
        <w:t>l artículo 5 de la</w:t>
      </w:r>
      <w:r w:rsidRPr="00852727">
        <w:rPr>
          <w:sz w:val="18"/>
          <w:szCs w:val="18"/>
        </w:rPr>
        <w:t xml:space="preserve"> ley en cita</w:t>
      </w:r>
      <w:r w:rsidRPr="00852727">
        <w:rPr>
          <w:sz w:val="18"/>
          <w:szCs w:val="18"/>
        </w:rPr>
        <w:t xml:space="preserve">, que contempla el </w:t>
      </w:r>
      <w:r w:rsidRPr="00852727">
        <w:rPr>
          <w:sz w:val="18"/>
          <w:szCs w:val="18"/>
        </w:rPr>
        <w:t xml:space="preserve">“Plan Nacional de Inversiones Públicas 2023-2026”, </w:t>
      </w:r>
      <w:r w:rsidRPr="00852727">
        <w:rPr>
          <w:sz w:val="18"/>
          <w:szCs w:val="18"/>
        </w:rPr>
        <w:t xml:space="preserve">el monto de fuentes públicas de </w:t>
      </w:r>
      <w:r w:rsidRPr="00852727">
        <w:rPr>
          <w:sz w:val="18"/>
          <w:szCs w:val="18"/>
        </w:rPr>
        <w:t xml:space="preserve">este eje transversal </w:t>
      </w:r>
      <w:r w:rsidRPr="00852727">
        <w:rPr>
          <w:sz w:val="18"/>
          <w:szCs w:val="18"/>
        </w:rPr>
        <w:t xml:space="preserve">asciende a 83,4 </w:t>
      </w:r>
      <w:r w:rsidRPr="00852727">
        <w:rPr>
          <w:sz w:val="18"/>
          <w:szCs w:val="18"/>
        </w:rPr>
        <w:t>billones de pesos de 2022.</w:t>
      </w:r>
      <w:r w:rsidRPr="00852727">
        <w:rPr>
          <w:sz w:val="18"/>
          <w:szCs w:val="18"/>
        </w:rPr>
        <w:t xml:space="preserve"> </w:t>
      </w:r>
    </w:p>
  </w:footnote>
  <w:footnote w:id="52">
    <w:p w:rsidR="004E05C8"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El artículo 321 dispone: </w:t>
      </w:r>
      <w:r w:rsidRPr="00852727">
        <w:rPr>
          <w:sz w:val="18"/>
          <w:szCs w:val="18"/>
        </w:rPr>
        <w:t>“</w:t>
      </w:r>
      <w:r w:rsidRPr="00852727">
        <w:rPr>
          <w:sz w:val="18"/>
          <w:szCs w:val="18"/>
        </w:rPr>
        <w:t>[u]</w:t>
      </w:r>
      <w:r w:rsidRPr="00852727">
        <w:rPr>
          <w:rStyle w:val="a0"/>
          <w:sz w:val="18"/>
          <w:szCs w:val="18"/>
        </w:rPr>
        <w:t>tilización de Excedentes de Fuentes Nacionales</w:t>
      </w:r>
      <w:r w:rsidRPr="00852727">
        <w:rPr>
          <w:rStyle w:val="a0"/>
          <w:sz w:val="18"/>
          <w:szCs w:val="18"/>
        </w:rPr>
        <w:t xml:space="preserve"> del (Fonpet). Las entidades territoriales que hayan cubierto su pasivo pensional en el sector propósito general del Fondo Nacional de Pensiones de las Entidades Territoriales (Fonpet) y que no tengan obligaciones </w:t>
      </w:r>
      <w:r w:rsidRPr="00852727">
        <w:rPr>
          <w:sz w:val="18"/>
          <w:szCs w:val="18"/>
        </w:rPr>
        <w:t>pensionales con los sectores Salud y Educa</w:t>
      </w:r>
      <w:r w:rsidRPr="00852727">
        <w:rPr>
          <w:sz w:val="18"/>
          <w:szCs w:val="18"/>
        </w:rPr>
        <w:t>ción del Fonpet, o que las tengan financiadas de acuerdo con la normativa vigente, podrán utilizar los recursos excedentes de las fuentes Privatizaciones Nacionales, Capitalizaciones Privadas en Entidades Nacionales, Extinción de Dominio e Impuesto de Timb</w:t>
      </w:r>
      <w:r w:rsidRPr="00852727">
        <w:rPr>
          <w:sz w:val="18"/>
          <w:szCs w:val="18"/>
        </w:rPr>
        <w:t>re Nacional, del sector Propósito General del Fonpet, para la financiación de proyectos de inversión social incluidos en su Plan de Desarrollo”.</w:t>
      </w:r>
      <w:r w:rsidRPr="00852727">
        <w:rPr>
          <w:sz w:val="18"/>
          <w:szCs w:val="18"/>
        </w:rPr>
        <w:t xml:space="preserve"> El artículo 322 señala: “</w:t>
      </w:r>
      <w:r w:rsidRPr="00852727">
        <w:rPr>
          <w:sz w:val="18"/>
          <w:szCs w:val="18"/>
        </w:rPr>
        <w:t>[r]</w:t>
      </w:r>
      <w:r w:rsidRPr="00852727">
        <w:rPr>
          <w:sz w:val="18"/>
          <w:szCs w:val="18"/>
        </w:rPr>
        <w:t>acionalización de Recursos para la Compensación y/o Pago de Cuotas Partes Pensional</w:t>
      </w:r>
      <w:r w:rsidRPr="00852727">
        <w:rPr>
          <w:sz w:val="18"/>
          <w:szCs w:val="18"/>
        </w:rPr>
        <w:t>es. Las entidades territoriales podrán utilizar los recursos disponibles, por sector, del Fondo Nacional de Pensiones de las Entidades Territoriales (Fonpet) para la compensación y/o pago de cuotas partes pensionales exigibles a su cargo, ya sean causadas,</w:t>
      </w:r>
      <w:r w:rsidRPr="00852727">
        <w:rPr>
          <w:sz w:val="18"/>
          <w:szCs w:val="18"/>
        </w:rPr>
        <w:t xml:space="preserve"> corrientes y/o valor del cálculo actuarial entre entidades territoriales, o entre entidades territoriales y otras entidades públicas. La fuente inicial para la compensación y/o pago de cuotas partes pensionales exigibles a cargo de las entidades territori</w:t>
      </w:r>
      <w:r w:rsidRPr="00852727">
        <w:rPr>
          <w:sz w:val="18"/>
          <w:szCs w:val="18"/>
        </w:rPr>
        <w:t>ales deberán ser sus recursos disponibles, por sector, en el Fonpet.</w:t>
      </w:r>
      <w:r w:rsidRPr="00852727">
        <w:rPr>
          <w:sz w:val="18"/>
          <w:szCs w:val="18"/>
        </w:rPr>
        <w:t xml:space="preserve"> || </w:t>
      </w:r>
      <w:r w:rsidRPr="00852727">
        <w:rPr>
          <w:sz w:val="18"/>
          <w:szCs w:val="18"/>
        </w:rPr>
        <w:t>Entiéndase por entidad acreedora de cuotas partes pensionales a todas las entidades territoriales, a las del orden nacional, a las entidades descentralizadas del orden territorial y na</w:t>
      </w:r>
      <w:r w:rsidRPr="00852727">
        <w:rPr>
          <w:sz w:val="18"/>
          <w:szCs w:val="18"/>
        </w:rPr>
        <w:t>cional o cualquier otra entidad que administre cuotas partes pensionales en nombre de entidades del orden territorial o nacional.</w:t>
      </w:r>
      <w:r w:rsidRPr="00852727">
        <w:rPr>
          <w:sz w:val="18"/>
          <w:szCs w:val="18"/>
        </w:rPr>
        <w:t xml:space="preserve"> || </w:t>
      </w:r>
      <w:r w:rsidRPr="00852727">
        <w:rPr>
          <w:sz w:val="18"/>
          <w:szCs w:val="18"/>
        </w:rPr>
        <w:t>En ningún caso se podrán compensar y/o pagar con cargo a los recursos del Fonpet cuotas partes prescritas, honorarios de ab</w:t>
      </w:r>
      <w:r w:rsidRPr="00852727">
        <w:rPr>
          <w:sz w:val="18"/>
          <w:szCs w:val="18"/>
        </w:rPr>
        <w:t>ogados, cuotas litis o gastos de cobranza de cualquier naturaleza o definición, o intereses moratorios liquidados”.</w:t>
      </w:r>
    </w:p>
  </w:footnote>
  <w:footnote w:id="53">
    <w:p w:rsidR="003037B2"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Según indicó </w:t>
      </w:r>
      <w:r w:rsidRPr="00852727">
        <w:rPr>
          <w:sz w:val="18"/>
          <w:szCs w:val="18"/>
        </w:rPr>
        <w:t xml:space="preserve">ASOFIDUCIARIAS </w:t>
      </w:r>
      <w:r w:rsidRPr="00852727">
        <w:rPr>
          <w:sz w:val="18"/>
          <w:szCs w:val="18"/>
        </w:rPr>
        <w:t xml:space="preserve">en su </w:t>
      </w:r>
      <w:r w:rsidRPr="00852727">
        <w:rPr>
          <w:sz w:val="18"/>
          <w:szCs w:val="18"/>
        </w:rPr>
        <w:t>concepto</w:t>
      </w:r>
      <w:r w:rsidRPr="00852727">
        <w:rPr>
          <w:sz w:val="18"/>
          <w:szCs w:val="18"/>
        </w:rPr>
        <w:t xml:space="preserve">, </w:t>
      </w:r>
      <w:r w:rsidRPr="00852727">
        <w:rPr>
          <w:sz w:val="18"/>
          <w:szCs w:val="18"/>
        </w:rPr>
        <w:t>a partir de l</w:t>
      </w:r>
      <w:r w:rsidRPr="00852727">
        <w:rPr>
          <w:sz w:val="18"/>
          <w:szCs w:val="18"/>
        </w:rPr>
        <w:t xml:space="preserve">a información </w:t>
      </w:r>
      <w:r w:rsidRPr="00852727">
        <w:rPr>
          <w:sz w:val="18"/>
          <w:szCs w:val="18"/>
        </w:rPr>
        <w:t xml:space="preserve">contenida </w:t>
      </w:r>
      <w:r w:rsidRPr="00852727">
        <w:rPr>
          <w:sz w:val="18"/>
          <w:szCs w:val="18"/>
        </w:rPr>
        <w:t xml:space="preserve">en el pliego de condiciones definitivo del proceso de selección abreviada de menor cuantía MHCP-SAMC-02-2023, </w:t>
      </w:r>
      <w:r w:rsidRPr="00852727">
        <w:rPr>
          <w:sz w:val="18"/>
          <w:szCs w:val="18"/>
        </w:rPr>
        <w:t>que tiene por objeto, “</w:t>
      </w:r>
      <w:r w:rsidRPr="00852727">
        <w:rPr>
          <w:sz w:val="18"/>
          <w:szCs w:val="18"/>
        </w:rPr>
        <w:t>[a]</w:t>
      </w:r>
      <w:r w:rsidRPr="00852727">
        <w:rPr>
          <w:sz w:val="18"/>
          <w:szCs w:val="18"/>
        </w:rPr>
        <w:t>dministrar los recursos que conforman los patrimonios autónomos que integran el Fondo Nacional de Pensiones de las Entid</w:t>
      </w:r>
      <w:r w:rsidRPr="00852727">
        <w:rPr>
          <w:sz w:val="18"/>
          <w:szCs w:val="18"/>
        </w:rPr>
        <w:t>ades Territoriales – FONPET – y las actividades conexas y complementarias que implica dicha administración”</w:t>
      </w:r>
      <w:r w:rsidRPr="00852727">
        <w:rPr>
          <w:sz w:val="18"/>
          <w:szCs w:val="18"/>
        </w:rPr>
        <w:t>.</w:t>
      </w:r>
      <w:r w:rsidRPr="00852727">
        <w:rPr>
          <w:sz w:val="18"/>
          <w:szCs w:val="18"/>
        </w:rPr>
        <w:t xml:space="preserve"> Una cifra semejante fue puesta de presente por la demandante, tal como se indica en el acápite de “Antecedentes”.</w:t>
      </w:r>
    </w:p>
  </w:footnote>
  <w:footnote w:id="54">
    <w:p w:rsidR="006D636E"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Párrafo final del fundamento ju</w:t>
      </w:r>
      <w:r w:rsidRPr="00852727">
        <w:rPr>
          <w:sz w:val="18"/>
          <w:szCs w:val="18"/>
        </w:rPr>
        <w:t>rídico 87 de la Sentencia C-415 de 2020, que cita las sentencias C-095 de 2020, C-008 de 2018 y C-016 de 2016.</w:t>
      </w:r>
    </w:p>
  </w:footnote>
  <w:footnote w:id="55">
    <w:p w:rsidR="00F025E2" w:rsidRPr="00852727" w:rsidRDefault="00AF629F" w:rsidP="00857817">
      <w:pPr>
        <w:pStyle w:val="NormalWeb"/>
        <w:jc w:val="both"/>
        <w:rPr>
          <w:sz w:val="18"/>
          <w:szCs w:val="18"/>
          <w:lang w:val="es-ES" w:eastAsia="es-ES"/>
        </w:rPr>
      </w:pPr>
      <w:r w:rsidRPr="00852727">
        <w:rPr>
          <w:rStyle w:val="Refdenotaalpie"/>
          <w:sz w:val="18"/>
          <w:szCs w:val="18"/>
        </w:rPr>
        <w:footnoteRef/>
      </w:r>
      <w:r w:rsidRPr="00852727">
        <w:rPr>
          <w:sz w:val="18"/>
          <w:szCs w:val="18"/>
        </w:rPr>
        <w:t xml:space="preserve"> </w:t>
      </w:r>
      <w:r w:rsidRPr="00852727">
        <w:rPr>
          <w:sz w:val="18"/>
          <w:szCs w:val="18"/>
        </w:rPr>
        <w:t xml:space="preserve">El inciso en cita dispone: </w:t>
      </w:r>
      <w:r w:rsidRPr="00852727">
        <w:rPr>
          <w:sz w:val="18"/>
          <w:szCs w:val="18"/>
        </w:rPr>
        <w:t>“</w:t>
      </w:r>
      <w:r w:rsidRPr="00852727">
        <w:rPr>
          <w:sz w:val="18"/>
          <w:szCs w:val="18"/>
        </w:rPr>
        <w:t xml:space="preserve">Artículo 1. Cobertura de los pasivos pensionales. </w:t>
      </w:r>
      <w:r w:rsidRPr="00852727">
        <w:rPr>
          <w:sz w:val="18"/>
          <w:szCs w:val="18"/>
          <w:lang w:val="es-MX" w:eastAsia="es-ES"/>
        </w:rPr>
        <w:t xml:space="preserve">Con el fin de asegurar la estabilidad económica del Estado, </w:t>
      </w:r>
      <w:r w:rsidRPr="00852727">
        <w:rPr>
          <w:b/>
          <w:bCs/>
          <w:sz w:val="18"/>
          <w:szCs w:val="18"/>
          <w:lang w:val="es-MX" w:eastAsia="es-ES"/>
        </w:rPr>
        <w:t xml:space="preserve">las entidades territoriales deberán </w:t>
      </w:r>
      <w:bookmarkStart w:id="8" w:name="_Hlk157677218"/>
      <w:r w:rsidRPr="00852727">
        <w:rPr>
          <w:b/>
          <w:bCs/>
          <w:sz w:val="18"/>
          <w:szCs w:val="18"/>
          <w:lang w:val="es-MX" w:eastAsia="es-ES"/>
        </w:rPr>
        <w:t>cubrir</w:t>
      </w:r>
      <w:r w:rsidRPr="00852727">
        <w:rPr>
          <w:sz w:val="18"/>
          <w:szCs w:val="18"/>
          <w:lang w:val="es-MX" w:eastAsia="es-ES"/>
        </w:rPr>
        <w:t xml:space="preserve"> en la forma prevista en esta ley, </w:t>
      </w:r>
      <w:r w:rsidRPr="00852727">
        <w:rPr>
          <w:b/>
          <w:bCs/>
          <w:sz w:val="18"/>
          <w:szCs w:val="18"/>
          <w:lang w:val="es-MX" w:eastAsia="es-ES"/>
        </w:rPr>
        <w:t>el valor de los pasivos pensionales a su cargo</w:t>
      </w:r>
      <w:bookmarkEnd w:id="8"/>
      <w:r w:rsidRPr="00852727">
        <w:rPr>
          <w:sz w:val="18"/>
          <w:szCs w:val="18"/>
          <w:lang w:val="es-MX" w:eastAsia="es-ES"/>
        </w:rPr>
        <w:t xml:space="preserve">, en los plazos y en los porcentajes que señale el Gobierno Nacional. </w:t>
      </w:r>
      <w:r w:rsidRPr="00852727">
        <w:rPr>
          <w:b/>
          <w:bCs/>
          <w:sz w:val="18"/>
          <w:szCs w:val="18"/>
          <w:lang w:val="es-MX" w:eastAsia="es-ES"/>
        </w:rPr>
        <w:t>Dicha obligación</w:t>
      </w:r>
      <w:r w:rsidRPr="00852727">
        <w:rPr>
          <w:sz w:val="18"/>
          <w:szCs w:val="18"/>
          <w:lang w:val="es-MX" w:eastAsia="es-ES"/>
        </w:rPr>
        <w:t xml:space="preserve"> deberá cumplirse a partir de la entrada en vig</w:t>
      </w:r>
      <w:r w:rsidRPr="00852727">
        <w:rPr>
          <w:sz w:val="18"/>
          <w:szCs w:val="18"/>
          <w:lang w:val="es-MX" w:eastAsia="es-ES"/>
        </w:rPr>
        <w:t>encia de la presente ley. En todo caso, los pasivos pensionales deberán estar cubiertos en un cien por ciento (100%) en un término no mayor de treinta (30) años”</w:t>
      </w:r>
      <w:r w:rsidRPr="00852727">
        <w:rPr>
          <w:sz w:val="18"/>
          <w:szCs w:val="18"/>
          <w:lang w:val="es-MX" w:eastAsia="es-ES"/>
        </w:rPr>
        <w:t xml:space="preserve"> (énfasis de la Sala)</w:t>
      </w:r>
      <w:r w:rsidRPr="00852727">
        <w:rPr>
          <w:sz w:val="18"/>
          <w:szCs w:val="18"/>
          <w:lang w:val="es-MX" w:eastAsia="es-ES"/>
        </w:rPr>
        <w:t>.</w:t>
      </w:r>
    </w:p>
  </w:footnote>
  <w:footnote w:id="56">
    <w:p w:rsidR="00DE6510" w:rsidRPr="00852727" w:rsidRDefault="00AF629F" w:rsidP="00857817">
      <w:pPr>
        <w:pStyle w:val="NormalWeb"/>
        <w:jc w:val="both"/>
        <w:rPr>
          <w:sz w:val="18"/>
          <w:szCs w:val="18"/>
          <w:lang w:val="es-ES" w:eastAsia="es-ES"/>
        </w:rPr>
      </w:pPr>
      <w:r w:rsidRPr="00852727">
        <w:rPr>
          <w:rStyle w:val="Refdenotaalpie"/>
          <w:sz w:val="18"/>
          <w:szCs w:val="18"/>
        </w:rPr>
        <w:footnoteRef/>
      </w:r>
      <w:r w:rsidRPr="00852727">
        <w:rPr>
          <w:sz w:val="18"/>
          <w:szCs w:val="18"/>
        </w:rPr>
        <w:t xml:space="preserve"> El artículo en cita dispone: “</w:t>
      </w:r>
      <w:r w:rsidRPr="00852727">
        <w:rPr>
          <w:sz w:val="18"/>
          <w:szCs w:val="18"/>
        </w:rPr>
        <w:t xml:space="preserve">Artículo 3. </w:t>
      </w:r>
      <w:r w:rsidRPr="00852727">
        <w:rPr>
          <w:sz w:val="18"/>
          <w:szCs w:val="18"/>
        </w:rPr>
        <w:t xml:space="preserve">Fondo Nacional de Pensiones </w:t>
      </w:r>
      <w:r w:rsidRPr="00852727">
        <w:rPr>
          <w:sz w:val="18"/>
          <w:szCs w:val="18"/>
        </w:rPr>
        <w:t>de las Entidades Territoriales, </w:t>
      </w:r>
      <w:r w:rsidRPr="00852727">
        <w:rPr>
          <w:rStyle w:val="spelle"/>
          <w:sz w:val="18"/>
          <w:szCs w:val="18"/>
        </w:rPr>
        <w:t>Fonpet</w:t>
      </w:r>
      <w:r w:rsidRPr="00852727">
        <w:rPr>
          <w:sz w:val="18"/>
          <w:szCs w:val="18"/>
        </w:rPr>
        <w:t xml:space="preserve">. </w:t>
      </w:r>
      <w:r w:rsidRPr="00852727">
        <w:rPr>
          <w:b/>
          <w:bCs/>
          <w:sz w:val="18"/>
          <w:szCs w:val="18"/>
        </w:rPr>
        <w:t>Para efectos de administrar los recursos que se destinan a garantizar el pago de los pasivos pensionales</w:t>
      </w:r>
      <w:r w:rsidRPr="00852727">
        <w:rPr>
          <w:sz w:val="18"/>
          <w:szCs w:val="18"/>
        </w:rPr>
        <w:t xml:space="preserve"> en los términos de esta ley, créase el Fondo Nacional de Pensiones de las Entidades Territoriales, </w:t>
      </w:r>
      <w:r w:rsidRPr="00852727">
        <w:rPr>
          <w:rStyle w:val="spelle"/>
          <w:sz w:val="18"/>
          <w:szCs w:val="18"/>
        </w:rPr>
        <w:t>Fonpet</w:t>
      </w:r>
      <w:r w:rsidRPr="00852727">
        <w:rPr>
          <w:sz w:val="18"/>
          <w:szCs w:val="18"/>
        </w:rPr>
        <w:t xml:space="preserve">, como un fondo sin personería jurídica </w:t>
      </w:r>
      <w:r w:rsidRPr="00852727">
        <w:rPr>
          <w:b/>
          <w:bCs/>
          <w:sz w:val="18"/>
          <w:szCs w:val="18"/>
        </w:rPr>
        <w:t>administrado por el Ministerio de Hacienda y Crédito Público</w:t>
      </w:r>
      <w:r w:rsidRPr="00852727">
        <w:rPr>
          <w:sz w:val="18"/>
          <w:szCs w:val="18"/>
        </w:rPr>
        <w:t xml:space="preserve">, el cual tiene como objeto </w:t>
      </w:r>
      <w:r w:rsidRPr="00852727">
        <w:rPr>
          <w:b/>
          <w:bCs/>
          <w:sz w:val="18"/>
          <w:szCs w:val="18"/>
        </w:rPr>
        <w:t>recaudar y asignar los recursos a las cuentas de los entes territoriales</w:t>
      </w:r>
      <w:r w:rsidRPr="00852727">
        <w:rPr>
          <w:sz w:val="18"/>
          <w:szCs w:val="18"/>
        </w:rPr>
        <w:t xml:space="preserve"> y administrar los recursos a través de los patrimonios </w:t>
      </w:r>
      <w:r w:rsidRPr="00852727">
        <w:rPr>
          <w:sz w:val="18"/>
          <w:szCs w:val="18"/>
        </w:rPr>
        <w:t>autónomos que se constituyan exclusivamente en las administradoras de fondos de pensiones y cesantías privadas o públicas, en sociedades fiduciarias privadas o públicas o en compañías de seguros de vida privadas o públicas que estén facultadas para adminis</w:t>
      </w:r>
      <w:r w:rsidRPr="00852727">
        <w:rPr>
          <w:sz w:val="18"/>
          <w:szCs w:val="18"/>
        </w:rPr>
        <w:t xml:space="preserve">trar los recursos del Sistema General de Pensiones y de los regímenes pensionales excepcionados del Sistema por ley. || </w:t>
      </w:r>
      <w:r w:rsidRPr="00852727">
        <w:rPr>
          <w:sz w:val="18"/>
          <w:szCs w:val="18"/>
          <w:lang w:val="es-MX" w:eastAsia="es-ES"/>
        </w:rPr>
        <w:t xml:space="preserve">En todo caso </w:t>
      </w:r>
      <w:r w:rsidRPr="00852727">
        <w:rPr>
          <w:b/>
          <w:bCs/>
          <w:sz w:val="18"/>
          <w:szCs w:val="18"/>
          <w:lang w:val="es-MX" w:eastAsia="es-ES"/>
        </w:rPr>
        <w:t>la responsabilidad por los pasivos pensionales territoriales corresponderá a la respectiva entidad territorial</w:t>
      </w:r>
      <w:r w:rsidRPr="00852727">
        <w:rPr>
          <w:sz w:val="18"/>
          <w:szCs w:val="18"/>
          <w:lang w:val="es-MX" w:eastAsia="es-ES"/>
        </w:rPr>
        <w:t>. Por consigu</w:t>
      </w:r>
      <w:r w:rsidRPr="00852727">
        <w:rPr>
          <w:sz w:val="18"/>
          <w:szCs w:val="18"/>
          <w:lang w:val="es-MX" w:eastAsia="es-ES"/>
        </w:rPr>
        <w:t>iente, el hecho de la creación del Fondo Nacional de Pensiones de las Entidades Territoriales, de la destinación de recursos nacionales para coadyuvar a la financiación de tales pasivos o de que por disposición legal la Nación deba realizar aportes para co</w:t>
      </w:r>
      <w:r w:rsidRPr="00852727">
        <w:rPr>
          <w:sz w:val="18"/>
          <w:szCs w:val="18"/>
          <w:lang w:val="es-MX" w:eastAsia="es-ES"/>
        </w:rPr>
        <w:t xml:space="preserve">ntribuir al pago de los pasivos pensionales de las entidades del nivel territorial, </w:t>
      </w:r>
      <w:r w:rsidRPr="00852727">
        <w:rPr>
          <w:b/>
          <w:bCs/>
          <w:sz w:val="18"/>
          <w:szCs w:val="18"/>
          <w:lang w:val="es-MX" w:eastAsia="es-ES"/>
        </w:rPr>
        <w:t>no implica que esta asuma la responsabilidad por los mismos</w:t>
      </w:r>
      <w:r w:rsidRPr="00852727">
        <w:rPr>
          <w:sz w:val="18"/>
          <w:szCs w:val="18"/>
        </w:rPr>
        <w:t xml:space="preserve">. || En dicho Fondo </w:t>
      </w:r>
      <w:r w:rsidRPr="00852727">
        <w:rPr>
          <w:b/>
          <w:bCs/>
          <w:sz w:val="18"/>
          <w:szCs w:val="18"/>
        </w:rPr>
        <w:t>cada una de las entidades territoriales poseerá una cuenta destinada al pago de sus pasivos p</w:t>
      </w:r>
      <w:r w:rsidRPr="00852727">
        <w:rPr>
          <w:b/>
          <w:bCs/>
          <w:sz w:val="18"/>
          <w:szCs w:val="18"/>
        </w:rPr>
        <w:t>ensionales</w:t>
      </w:r>
      <w:r w:rsidRPr="00852727">
        <w:rPr>
          <w:sz w:val="18"/>
          <w:szCs w:val="18"/>
        </w:rPr>
        <w:t xml:space="preserve">. </w:t>
      </w:r>
      <w:r w:rsidRPr="00852727">
        <w:rPr>
          <w:b/>
          <w:bCs/>
          <w:sz w:val="18"/>
          <w:szCs w:val="18"/>
        </w:rPr>
        <w:t>Los valores registrados en las cuentas pertenecerán a las entidades territoriales</w:t>
      </w:r>
      <w:r w:rsidRPr="00852727">
        <w:rPr>
          <w:sz w:val="18"/>
          <w:szCs w:val="18"/>
        </w:rPr>
        <w:t xml:space="preserve"> y serán complementarios de los recursos que destinen las entidades territoriales a la creación de Fondos de Pensiones Territoriales y Patrimonios Autónomos destin</w:t>
      </w:r>
      <w:r w:rsidRPr="00852727">
        <w:rPr>
          <w:sz w:val="18"/>
          <w:szCs w:val="18"/>
        </w:rPr>
        <w:t>ados a garantizar pasivos pensionales de conformidad con las normas vigentes”</w:t>
      </w:r>
      <w:r w:rsidRPr="00852727">
        <w:rPr>
          <w:sz w:val="18"/>
          <w:szCs w:val="18"/>
        </w:rPr>
        <w:t xml:space="preserve"> </w:t>
      </w:r>
      <w:r w:rsidRPr="00852727">
        <w:rPr>
          <w:sz w:val="18"/>
          <w:szCs w:val="18"/>
          <w:lang w:val="es-MX" w:eastAsia="es-ES"/>
        </w:rPr>
        <w:t>(énfasis de la Sala)</w:t>
      </w:r>
      <w:r w:rsidRPr="00852727">
        <w:rPr>
          <w:sz w:val="18"/>
          <w:szCs w:val="18"/>
        </w:rPr>
        <w:t>.</w:t>
      </w:r>
    </w:p>
  </w:footnote>
  <w:footnote w:id="57">
    <w:p w:rsidR="00F92816" w:rsidRPr="00852727" w:rsidRDefault="00AF629F" w:rsidP="00857817">
      <w:pPr>
        <w:pStyle w:val="NormalWeb"/>
        <w:jc w:val="both"/>
        <w:rPr>
          <w:sz w:val="18"/>
          <w:szCs w:val="18"/>
          <w:lang w:val="es-ES" w:eastAsia="es-ES"/>
        </w:rPr>
      </w:pPr>
      <w:r w:rsidRPr="00852727">
        <w:rPr>
          <w:rStyle w:val="Refdenotaalpie"/>
          <w:sz w:val="18"/>
          <w:szCs w:val="18"/>
        </w:rPr>
        <w:footnoteRef/>
      </w:r>
      <w:r w:rsidRPr="00852727">
        <w:rPr>
          <w:sz w:val="18"/>
          <w:szCs w:val="18"/>
        </w:rPr>
        <w:t xml:space="preserve"> En los incisos en cita se indica: “Artículo 6. Retiro de recursos del Fondo Nacional de Pensiones de las Entidades Territoriales. Sin perjuicio de lo esta</w:t>
      </w:r>
      <w:r w:rsidRPr="00852727">
        <w:rPr>
          <w:sz w:val="18"/>
          <w:szCs w:val="18"/>
        </w:rPr>
        <w:t xml:space="preserve">blecido en el artículo anterior, </w:t>
      </w:r>
      <w:r w:rsidRPr="00852727">
        <w:rPr>
          <w:b/>
          <w:bCs/>
          <w:sz w:val="18"/>
          <w:szCs w:val="18"/>
        </w:rPr>
        <w:t>no se podrán retirar recursos de la cuenta de cada entidad territorial en el Fondo</w:t>
      </w:r>
      <w:r w:rsidRPr="00852727">
        <w:rPr>
          <w:sz w:val="18"/>
          <w:szCs w:val="18"/>
        </w:rPr>
        <w:t xml:space="preserve"> Nacional de Pensiones de las Entidades Territoriales </w:t>
      </w:r>
      <w:r w:rsidRPr="00852727">
        <w:rPr>
          <w:b/>
          <w:bCs/>
          <w:sz w:val="18"/>
          <w:szCs w:val="18"/>
        </w:rPr>
        <w:t>hasta tanto</w:t>
      </w:r>
      <w:r w:rsidRPr="00852727">
        <w:rPr>
          <w:sz w:val="18"/>
          <w:szCs w:val="18"/>
        </w:rPr>
        <w:t xml:space="preserve"> sumado el monto acumulado en la cuenta territorial en el Fondo Nacional de Pasivos de las Entidades Territoriales con los recursos que tengan en sus Fondos Territoriales de Pensiones o en sus Patrimonios Autónomos o en las reservas legalmente constituidas</w:t>
      </w:r>
      <w:r w:rsidRPr="00852727">
        <w:rPr>
          <w:sz w:val="18"/>
          <w:szCs w:val="18"/>
        </w:rPr>
        <w:t xml:space="preserve"> por las entidades descentralizadas o demás entidades del nivel territorial, </w:t>
      </w:r>
      <w:r w:rsidRPr="00852727">
        <w:rPr>
          <w:b/>
          <w:bCs/>
          <w:sz w:val="18"/>
          <w:szCs w:val="18"/>
        </w:rPr>
        <w:t>se haya cubierto el cien por ciento (100%) del pasivo pensional</w:t>
      </w:r>
      <w:r w:rsidRPr="00852727">
        <w:rPr>
          <w:sz w:val="18"/>
          <w:szCs w:val="18"/>
        </w:rPr>
        <w:t xml:space="preserve">, de conformidad con el respectivo cálculo actuarial. […] || </w:t>
      </w:r>
      <w:r w:rsidRPr="00852727">
        <w:rPr>
          <w:sz w:val="18"/>
          <w:szCs w:val="18"/>
          <w:lang w:val="es-MX" w:eastAsia="es-ES"/>
        </w:rPr>
        <w:t xml:space="preserve">Así mismo, </w:t>
      </w:r>
      <w:r w:rsidRPr="00852727">
        <w:rPr>
          <w:b/>
          <w:bCs/>
          <w:sz w:val="18"/>
          <w:szCs w:val="18"/>
          <w:lang w:val="es-MX" w:eastAsia="es-ES"/>
        </w:rPr>
        <w:t>cuando los pasivos pensionales, de una entid</w:t>
      </w:r>
      <w:r w:rsidRPr="00852727">
        <w:rPr>
          <w:b/>
          <w:bCs/>
          <w:sz w:val="18"/>
          <w:szCs w:val="18"/>
          <w:lang w:val="es-MX" w:eastAsia="es-ES"/>
        </w:rPr>
        <w:t>ad estén cubiertos,</w:t>
      </w:r>
      <w:r w:rsidRPr="00852727">
        <w:rPr>
          <w:sz w:val="18"/>
          <w:szCs w:val="18"/>
          <w:lang w:val="es-MX" w:eastAsia="es-ES"/>
        </w:rPr>
        <w:t xml:space="preserve"> </w:t>
      </w:r>
      <w:r w:rsidRPr="00852727">
        <w:rPr>
          <w:b/>
          <w:bCs/>
          <w:sz w:val="18"/>
          <w:szCs w:val="18"/>
          <w:lang w:val="es-MX" w:eastAsia="es-ES"/>
        </w:rPr>
        <w:t>los recursos</w:t>
      </w:r>
      <w:r w:rsidRPr="00852727">
        <w:rPr>
          <w:sz w:val="18"/>
          <w:szCs w:val="18"/>
          <w:lang w:val="es-MX" w:eastAsia="es-ES"/>
        </w:rPr>
        <w:t xml:space="preserve"> a que se refiere el artículo 2° de esta ley que se causen a partir de dicha fecha</w:t>
      </w:r>
      <w:r w:rsidRPr="00852727">
        <w:rPr>
          <w:b/>
          <w:bCs/>
          <w:sz w:val="18"/>
          <w:szCs w:val="18"/>
          <w:lang w:val="es-MX" w:eastAsia="es-ES"/>
        </w:rPr>
        <w:t xml:space="preserve"> podrán ser destinados por la entidad titular de los mismos a los fines que correspondan de acuerdo con las leyes que regulan la destinación d</w:t>
      </w:r>
      <w:r w:rsidRPr="00852727">
        <w:rPr>
          <w:b/>
          <w:bCs/>
          <w:sz w:val="18"/>
          <w:szCs w:val="18"/>
          <w:lang w:val="es-MX" w:eastAsia="es-ES"/>
        </w:rPr>
        <w:t>e cada uno de estos recursos</w:t>
      </w:r>
      <w:r w:rsidRPr="00852727">
        <w:rPr>
          <w:sz w:val="18"/>
          <w:szCs w:val="18"/>
          <w:lang w:val="es-MX" w:eastAsia="es-ES"/>
        </w:rPr>
        <w:t>. En todo caso, si el pasivo deja de estar adecuadamente cubierto deberán destinarse los recursos nuevamente a la financiación de la cuenta de la entidad en el Fondo Nacional de Pensiones de las Entidades Públicas Territoriales.</w:t>
      </w:r>
      <w:r w:rsidRPr="00852727">
        <w:rPr>
          <w:sz w:val="18"/>
          <w:szCs w:val="18"/>
          <w:lang w:val="es-MX" w:eastAsia="es-ES"/>
        </w:rPr>
        <w:t xml:space="preserve"> Los recursos nacionales a que se refiere la ley, se distribuirán entre las cuentas de las entidades que no tengan cubierto todo su pasivo. || </w:t>
      </w:r>
      <w:r w:rsidRPr="00852727">
        <w:rPr>
          <w:b/>
          <w:bCs/>
          <w:sz w:val="18"/>
          <w:szCs w:val="18"/>
          <w:lang w:val="es-MX" w:eastAsia="es-ES"/>
        </w:rPr>
        <w:t>Los rendimientos financieros</w:t>
      </w:r>
      <w:r w:rsidRPr="00852727">
        <w:rPr>
          <w:sz w:val="18"/>
          <w:szCs w:val="18"/>
          <w:lang w:val="es-MX" w:eastAsia="es-ES"/>
        </w:rPr>
        <w:t xml:space="preserve"> que generen los recursos del Fonpet </w:t>
      </w:r>
      <w:r w:rsidRPr="00852727">
        <w:rPr>
          <w:b/>
          <w:bCs/>
          <w:sz w:val="18"/>
          <w:szCs w:val="18"/>
          <w:lang w:val="es-MX" w:eastAsia="es-ES"/>
        </w:rPr>
        <w:t>se distribuirán entre las cuentas de las entidad</w:t>
      </w:r>
      <w:r w:rsidRPr="00852727">
        <w:rPr>
          <w:b/>
          <w:bCs/>
          <w:sz w:val="18"/>
          <w:szCs w:val="18"/>
          <w:lang w:val="es-MX" w:eastAsia="es-ES"/>
        </w:rPr>
        <w:t>es territoriales aportantes</w:t>
      </w:r>
      <w:r w:rsidRPr="00852727">
        <w:rPr>
          <w:sz w:val="18"/>
          <w:szCs w:val="18"/>
          <w:lang w:val="es-MX" w:eastAsia="es-ES"/>
        </w:rPr>
        <w:t xml:space="preserve">, a prorrata del valor de las mismas y en consecuencia </w:t>
      </w:r>
      <w:r w:rsidRPr="00852727">
        <w:rPr>
          <w:b/>
          <w:bCs/>
          <w:sz w:val="18"/>
          <w:szCs w:val="18"/>
          <w:lang w:val="es-MX" w:eastAsia="es-ES"/>
        </w:rPr>
        <w:t>se sujetarán a lo previsto en la presente ley</w:t>
      </w:r>
      <w:r w:rsidRPr="00852727">
        <w:rPr>
          <w:sz w:val="18"/>
          <w:szCs w:val="18"/>
        </w:rPr>
        <w:t>”</w:t>
      </w:r>
      <w:r w:rsidRPr="00852727">
        <w:rPr>
          <w:sz w:val="18"/>
          <w:szCs w:val="18"/>
        </w:rPr>
        <w:t xml:space="preserve"> </w:t>
      </w:r>
      <w:r w:rsidRPr="00852727">
        <w:rPr>
          <w:sz w:val="18"/>
          <w:szCs w:val="18"/>
          <w:lang w:val="es-MX" w:eastAsia="es-ES"/>
        </w:rPr>
        <w:t>(énfasis de la Sala)</w:t>
      </w:r>
      <w:r w:rsidRPr="00852727">
        <w:rPr>
          <w:sz w:val="18"/>
          <w:szCs w:val="18"/>
        </w:rPr>
        <w:t>.</w:t>
      </w:r>
    </w:p>
  </w:footnote>
  <w:footnote w:id="58">
    <w:p w:rsidR="00A5519D" w:rsidRPr="00852727" w:rsidRDefault="00AF629F" w:rsidP="00857817">
      <w:pPr>
        <w:pStyle w:val="NormalWeb"/>
        <w:jc w:val="both"/>
        <w:rPr>
          <w:sz w:val="18"/>
          <w:szCs w:val="18"/>
          <w:lang w:val="es-ES"/>
        </w:rPr>
      </w:pPr>
      <w:r w:rsidRPr="00852727">
        <w:rPr>
          <w:rStyle w:val="Refdenotaalpie"/>
          <w:sz w:val="18"/>
          <w:szCs w:val="18"/>
        </w:rPr>
        <w:footnoteRef/>
      </w:r>
      <w:r w:rsidRPr="00852727">
        <w:rPr>
          <w:sz w:val="18"/>
          <w:szCs w:val="18"/>
        </w:rPr>
        <w:t xml:space="preserve"> En los citados numerales se </w:t>
      </w:r>
      <w:r w:rsidRPr="00852727">
        <w:rPr>
          <w:sz w:val="18"/>
          <w:szCs w:val="18"/>
        </w:rPr>
        <w:t xml:space="preserve">señala: </w:t>
      </w:r>
      <w:r w:rsidRPr="00852727">
        <w:rPr>
          <w:sz w:val="18"/>
          <w:szCs w:val="18"/>
        </w:rPr>
        <w:t>“</w:t>
      </w:r>
      <w:r w:rsidRPr="00852727">
        <w:rPr>
          <w:sz w:val="18"/>
          <w:szCs w:val="18"/>
          <w:lang w:val="es-MX" w:eastAsia="es-ES"/>
        </w:rPr>
        <w:t>Artículo 7. Reglas para el funcionamiento del Fondo Nacional de Pe</w:t>
      </w:r>
      <w:r w:rsidRPr="00852727">
        <w:rPr>
          <w:sz w:val="18"/>
          <w:szCs w:val="18"/>
          <w:lang w:val="es-MX" w:eastAsia="es-ES"/>
        </w:rPr>
        <w:t>nsiones de las Entidades Territoriales. Para el funcionamiento del Fondo Nacional de Pensiones de las Entidades Territoriales se tendrán en cuenta las siguientes reglas: || 1. El Fondo registrará los recursos en cuentas separadas correspondientes a cada en</w:t>
      </w:r>
      <w:r w:rsidRPr="00852727">
        <w:rPr>
          <w:sz w:val="18"/>
          <w:szCs w:val="18"/>
          <w:lang w:val="es-MX" w:eastAsia="es-ES"/>
        </w:rPr>
        <w:t>tidad territorial. ||</w:t>
      </w:r>
      <w:r w:rsidRPr="00852727">
        <w:rPr>
          <w:sz w:val="18"/>
          <w:szCs w:val="18"/>
          <w:lang w:val="es-MX" w:eastAsia="es-ES"/>
        </w:rPr>
        <w:t xml:space="preserve"> </w:t>
      </w:r>
      <w:r w:rsidRPr="00852727">
        <w:rPr>
          <w:sz w:val="18"/>
          <w:szCs w:val="18"/>
          <w:lang w:val="es-MX" w:eastAsia="es-ES"/>
        </w:rPr>
        <w:t>2. Los recursos que correspondan a cada entidad se registrarán en su respectiva cuenta. || 5. […] E</w:t>
      </w:r>
      <w:r w:rsidRPr="00852727">
        <w:rPr>
          <w:sz w:val="18"/>
          <w:szCs w:val="18"/>
        </w:rPr>
        <w:t xml:space="preserve">n ningún caso los recursos del Fondo podrán destinarse a fines distintos a financiar los pasivos pensionales de las entidades </w:t>
      </w:r>
      <w:r w:rsidRPr="00852727">
        <w:rPr>
          <w:sz w:val="18"/>
          <w:szCs w:val="18"/>
        </w:rPr>
        <w:t>territoriales en los términos y condiciones previstos en esta ley</w:t>
      </w:r>
      <w:r w:rsidRPr="00852727">
        <w:rPr>
          <w:sz w:val="18"/>
          <w:szCs w:val="18"/>
          <w:lang w:val="es-MX" w:eastAsia="es-ES"/>
        </w:rPr>
        <w:t>”</w:t>
      </w:r>
      <w:r w:rsidRPr="00852727">
        <w:rPr>
          <w:sz w:val="18"/>
          <w:szCs w:val="18"/>
          <w:lang w:val="es-MX" w:eastAsia="es-ES"/>
        </w:rPr>
        <w:t>.</w:t>
      </w:r>
    </w:p>
  </w:footnote>
  <w:footnote w:id="59">
    <w:p w:rsidR="0011781C"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w:t>
      </w:r>
      <w:r w:rsidRPr="00852727">
        <w:rPr>
          <w:sz w:val="18"/>
          <w:szCs w:val="18"/>
        </w:rPr>
        <w:t xml:space="preserve">El citado artículo dispone: </w:t>
      </w:r>
      <w:r w:rsidRPr="00852727">
        <w:rPr>
          <w:bCs/>
          <w:sz w:val="18"/>
          <w:szCs w:val="18"/>
          <w:lang w:val="es-ES"/>
        </w:rPr>
        <w:t xml:space="preserve">“Utilización de Excedentes de Fuentes Nacionales del (FONPET). </w:t>
      </w:r>
      <w:r w:rsidRPr="00852727">
        <w:rPr>
          <w:b/>
          <w:sz w:val="18"/>
          <w:szCs w:val="18"/>
          <w:lang w:val="es-ES"/>
        </w:rPr>
        <w:t>Las entidades territoriales que hayan cubierto su pasivo pensional</w:t>
      </w:r>
      <w:r w:rsidRPr="00852727">
        <w:rPr>
          <w:bCs/>
          <w:sz w:val="18"/>
          <w:szCs w:val="18"/>
          <w:lang w:val="es-ES"/>
        </w:rPr>
        <w:t xml:space="preserve"> </w:t>
      </w:r>
      <w:r w:rsidRPr="00852727">
        <w:rPr>
          <w:b/>
          <w:sz w:val="18"/>
          <w:szCs w:val="18"/>
          <w:lang w:val="es-ES"/>
        </w:rPr>
        <w:t>en el sector propósito gener</w:t>
      </w:r>
      <w:r w:rsidRPr="00852727">
        <w:rPr>
          <w:b/>
          <w:sz w:val="18"/>
          <w:szCs w:val="18"/>
          <w:lang w:val="es-ES"/>
        </w:rPr>
        <w:t xml:space="preserve">al </w:t>
      </w:r>
      <w:r w:rsidRPr="00852727">
        <w:rPr>
          <w:bCs/>
          <w:sz w:val="18"/>
          <w:szCs w:val="18"/>
          <w:lang w:val="es-ES"/>
        </w:rPr>
        <w:t xml:space="preserve">del Fondo Nacional de Pensiones de las Entidades Territoriales (FONPET) </w:t>
      </w:r>
      <w:r w:rsidRPr="00852727">
        <w:rPr>
          <w:b/>
          <w:sz w:val="18"/>
          <w:szCs w:val="18"/>
          <w:lang w:val="es-ES"/>
        </w:rPr>
        <w:t>y que no tengan obligaciones pensionales con los sectores Salud y Educación del Fonpet, o que las tengan financiadas</w:t>
      </w:r>
      <w:r w:rsidRPr="00852727">
        <w:rPr>
          <w:bCs/>
          <w:sz w:val="18"/>
          <w:szCs w:val="18"/>
          <w:lang w:val="es-ES"/>
        </w:rPr>
        <w:t xml:space="preserve"> de acuerdo con la normativa vigente, </w:t>
      </w:r>
      <w:r w:rsidRPr="00852727">
        <w:rPr>
          <w:b/>
          <w:sz w:val="18"/>
          <w:szCs w:val="18"/>
          <w:lang w:val="es-ES"/>
        </w:rPr>
        <w:t>podrán utilizar los recurso</w:t>
      </w:r>
      <w:r w:rsidRPr="00852727">
        <w:rPr>
          <w:b/>
          <w:sz w:val="18"/>
          <w:szCs w:val="18"/>
          <w:lang w:val="es-ES"/>
        </w:rPr>
        <w:t>s excedentes de las fuentes</w:t>
      </w:r>
      <w:r w:rsidRPr="00852727">
        <w:rPr>
          <w:bCs/>
          <w:sz w:val="18"/>
          <w:szCs w:val="18"/>
          <w:lang w:val="es-ES"/>
        </w:rPr>
        <w:t xml:space="preserve"> Privatizaciones Nacionales, Capitalizaciones Privadas en Entidades Nacionales, Extinción de Dominio e Impuesto de Timbre Nacional, del sector Propósito General del Fonpet, </w:t>
      </w:r>
      <w:r w:rsidRPr="00852727">
        <w:rPr>
          <w:b/>
          <w:sz w:val="18"/>
          <w:szCs w:val="18"/>
          <w:lang w:val="es-ES"/>
        </w:rPr>
        <w:t>para la financiación de proyectos de inversión social in</w:t>
      </w:r>
      <w:r w:rsidRPr="00852727">
        <w:rPr>
          <w:b/>
          <w:sz w:val="18"/>
          <w:szCs w:val="18"/>
          <w:lang w:val="es-ES"/>
        </w:rPr>
        <w:t>cluidos en su Plan de Desarrollo</w:t>
      </w:r>
      <w:r w:rsidRPr="00852727">
        <w:rPr>
          <w:bCs/>
          <w:sz w:val="18"/>
          <w:szCs w:val="18"/>
          <w:lang w:val="es-ES"/>
        </w:rPr>
        <w:t xml:space="preserve">” (énfasis </w:t>
      </w:r>
      <w:r w:rsidRPr="00852727">
        <w:rPr>
          <w:bCs/>
          <w:sz w:val="18"/>
          <w:szCs w:val="18"/>
          <w:lang w:val="es-ES"/>
        </w:rPr>
        <w:t>de la Sala</w:t>
      </w:r>
      <w:r w:rsidRPr="00852727">
        <w:rPr>
          <w:bCs/>
          <w:sz w:val="18"/>
          <w:szCs w:val="18"/>
          <w:lang w:val="es-ES"/>
        </w:rPr>
        <w:t>).</w:t>
      </w:r>
    </w:p>
  </w:footnote>
  <w:footnote w:id="60">
    <w:p w:rsidR="00820527"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En idéntico sentido, la</w:t>
      </w:r>
      <w:r w:rsidRPr="00852727">
        <w:rPr>
          <w:sz w:val="18"/>
          <w:szCs w:val="18"/>
        </w:rPr>
        <w:t>s</w:t>
      </w:r>
      <w:r w:rsidRPr="00852727">
        <w:rPr>
          <w:sz w:val="18"/>
          <w:szCs w:val="18"/>
        </w:rPr>
        <w:t xml:space="preserve"> </w:t>
      </w:r>
      <w:r w:rsidRPr="00852727">
        <w:rPr>
          <w:sz w:val="18"/>
          <w:szCs w:val="18"/>
        </w:rPr>
        <w:t xml:space="preserve">dos </w:t>
      </w:r>
      <w:r w:rsidRPr="00852727">
        <w:rPr>
          <w:sz w:val="18"/>
          <w:szCs w:val="18"/>
        </w:rPr>
        <w:t>primera</w:t>
      </w:r>
      <w:r w:rsidRPr="00852727">
        <w:rPr>
          <w:sz w:val="18"/>
          <w:szCs w:val="18"/>
        </w:rPr>
        <w:t>s</w:t>
      </w:r>
      <w:r w:rsidRPr="00852727">
        <w:rPr>
          <w:sz w:val="18"/>
          <w:szCs w:val="18"/>
        </w:rPr>
        <w:t xml:space="preserve"> regla</w:t>
      </w:r>
      <w:r w:rsidRPr="00852727">
        <w:rPr>
          <w:sz w:val="18"/>
          <w:szCs w:val="18"/>
        </w:rPr>
        <w:t>s</w:t>
      </w:r>
      <w:r w:rsidRPr="00852727">
        <w:rPr>
          <w:sz w:val="18"/>
          <w:szCs w:val="18"/>
        </w:rPr>
        <w:t xml:space="preserve"> </w:t>
      </w:r>
      <w:r w:rsidRPr="00852727">
        <w:rPr>
          <w:sz w:val="18"/>
          <w:szCs w:val="18"/>
        </w:rPr>
        <w:t xml:space="preserve">para el funcionalmente </w:t>
      </w:r>
      <w:r w:rsidRPr="00852727">
        <w:rPr>
          <w:sz w:val="18"/>
          <w:szCs w:val="18"/>
        </w:rPr>
        <w:t>del Fonpet</w:t>
      </w:r>
      <w:r w:rsidRPr="00852727">
        <w:rPr>
          <w:sz w:val="18"/>
          <w:szCs w:val="18"/>
        </w:rPr>
        <w:t xml:space="preserve"> de que trata el artículo 7 de la Ley 549 de 1999 son </w:t>
      </w:r>
      <w:r w:rsidRPr="00852727">
        <w:rPr>
          <w:sz w:val="18"/>
          <w:szCs w:val="18"/>
        </w:rPr>
        <w:t>la</w:t>
      </w:r>
      <w:r w:rsidRPr="00852727">
        <w:rPr>
          <w:sz w:val="18"/>
          <w:szCs w:val="18"/>
        </w:rPr>
        <w:t>s</w:t>
      </w:r>
      <w:r w:rsidRPr="00852727">
        <w:rPr>
          <w:sz w:val="18"/>
          <w:szCs w:val="18"/>
        </w:rPr>
        <w:t xml:space="preserve"> siguiente</w:t>
      </w:r>
      <w:r w:rsidRPr="00852727">
        <w:rPr>
          <w:sz w:val="18"/>
          <w:szCs w:val="18"/>
        </w:rPr>
        <w:t>s</w:t>
      </w:r>
      <w:r w:rsidRPr="00852727">
        <w:rPr>
          <w:sz w:val="18"/>
          <w:szCs w:val="18"/>
        </w:rPr>
        <w:t>: “</w:t>
      </w:r>
      <w:r w:rsidRPr="00852727">
        <w:rPr>
          <w:sz w:val="18"/>
          <w:szCs w:val="18"/>
          <w:lang w:val="es-MX" w:eastAsia="es-ES"/>
        </w:rPr>
        <w:t xml:space="preserve">1. El Fondo registrará los recursos en cuentas </w:t>
      </w:r>
      <w:r w:rsidRPr="00852727">
        <w:rPr>
          <w:sz w:val="18"/>
          <w:szCs w:val="18"/>
          <w:lang w:val="es-MX" w:eastAsia="es-ES"/>
        </w:rPr>
        <w:t>separadas correspondientes a cada entidad territorial</w:t>
      </w:r>
      <w:r w:rsidRPr="00852727">
        <w:rPr>
          <w:sz w:val="18"/>
          <w:szCs w:val="18"/>
          <w:lang w:val="es-MX" w:eastAsia="es-ES"/>
        </w:rPr>
        <w:t>. || 2. Los recursos que correspondan a cada entidad se registrarán en su respectiva cuenta</w:t>
      </w:r>
      <w:r w:rsidRPr="00852727">
        <w:rPr>
          <w:sz w:val="18"/>
          <w:szCs w:val="18"/>
          <w:lang w:val="es-MX" w:eastAsia="es-ES"/>
        </w:rPr>
        <w:t>”.</w:t>
      </w:r>
    </w:p>
  </w:footnote>
  <w:footnote w:id="61">
    <w:p w:rsidR="004521F8"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L</w:t>
      </w:r>
      <w:r w:rsidRPr="00852727">
        <w:rPr>
          <w:bCs/>
          <w:sz w:val="18"/>
          <w:szCs w:val="18"/>
        </w:rPr>
        <w:t>os recursos a los que hace referencia el artículo 2 de la Ley 549 de 1999 corresponden a las distintas fue</w:t>
      </w:r>
      <w:r w:rsidRPr="00852727">
        <w:rPr>
          <w:bCs/>
          <w:sz w:val="18"/>
          <w:szCs w:val="18"/>
        </w:rPr>
        <w:t>ntes de financiación del Fonpet.</w:t>
      </w:r>
    </w:p>
  </w:footnote>
  <w:footnote w:id="62">
    <w:p w:rsidR="000C7991"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Los incisos en cita, respectivamente, disponen: “</w:t>
      </w:r>
      <w:r w:rsidRPr="00852727">
        <w:rPr>
          <w:sz w:val="18"/>
          <w:szCs w:val="18"/>
        </w:rPr>
        <w:t>[n]</w:t>
      </w:r>
      <w:r w:rsidRPr="00852727">
        <w:rPr>
          <w:sz w:val="18"/>
          <w:szCs w:val="18"/>
        </w:rPr>
        <w:t xml:space="preserve">o se podrán destinar ni utilizar los recursos de las instituciones de la Seguridad Social para fines diferentes a ella. || </w:t>
      </w:r>
      <w:r w:rsidRPr="00852727">
        <w:rPr>
          <w:sz w:val="18"/>
          <w:szCs w:val="18"/>
        </w:rPr>
        <w:t xml:space="preserve">El Estado garantizará los derechos, la </w:t>
      </w:r>
      <w:r w:rsidRPr="00852727">
        <w:rPr>
          <w:sz w:val="18"/>
          <w:szCs w:val="18"/>
        </w:rPr>
        <w:t xml:space="preserve">sostenibilidad financiera del Sistema Pensional, respetará los derechos adquiridos con arreglo a la ley y asumirá el pago de la deuda pensional que de acuerdo con la ley esté a su cargo. Las leyes en materia pensional que se expidan con posterioridad a la </w:t>
      </w:r>
      <w:r w:rsidRPr="00852727">
        <w:rPr>
          <w:sz w:val="18"/>
          <w:szCs w:val="18"/>
        </w:rPr>
        <w:t>entrada en vigencia de este acto legislativo, deberán asegurar la sostenibilidad financiera de lo establecido en ellas</w:t>
      </w:r>
      <w:r w:rsidRPr="00852727">
        <w:rPr>
          <w:sz w:val="18"/>
          <w:szCs w:val="18"/>
        </w:rPr>
        <w:t>”</w:t>
      </w:r>
      <w:r w:rsidRPr="00852727">
        <w:rPr>
          <w:sz w:val="18"/>
          <w:szCs w:val="18"/>
        </w:rPr>
        <w:t>.</w:t>
      </w:r>
    </w:p>
  </w:footnote>
  <w:footnote w:id="63">
    <w:p w:rsidR="006013DE" w:rsidRPr="00852727" w:rsidRDefault="00AF629F" w:rsidP="00857817">
      <w:pPr>
        <w:pStyle w:val="Textonotapie"/>
        <w:jc w:val="both"/>
        <w:rPr>
          <w:sz w:val="18"/>
          <w:szCs w:val="18"/>
        </w:rPr>
      </w:pPr>
      <w:r w:rsidRPr="00852727">
        <w:rPr>
          <w:rStyle w:val="Refdenotaalpie"/>
          <w:sz w:val="18"/>
          <w:szCs w:val="18"/>
        </w:rPr>
        <w:footnoteRef/>
      </w:r>
      <w:r w:rsidRPr="00852727">
        <w:rPr>
          <w:sz w:val="18"/>
          <w:szCs w:val="18"/>
        </w:rPr>
        <w:t xml:space="preserve"> </w:t>
      </w:r>
      <w:r w:rsidRPr="00852727">
        <w:rPr>
          <w:bCs/>
          <w:sz w:val="18"/>
          <w:szCs w:val="18"/>
        </w:rPr>
        <w:t xml:space="preserve">En este sentido se pronunciaron la demandante, </w:t>
      </w:r>
      <w:r w:rsidRPr="00852727">
        <w:rPr>
          <w:sz w:val="18"/>
          <w:szCs w:val="18"/>
        </w:rPr>
        <w:t xml:space="preserve">la Federación Colombiana de Municipios y la Federación Nacional de Departamentos, tal </w:t>
      </w:r>
      <w:r w:rsidRPr="00852727">
        <w:rPr>
          <w:sz w:val="18"/>
          <w:szCs w:val="18"/>
        </w:rPr>
        <w:t>como se indica en el apartado de “Antecedentes”.</w:t>
      </w:r>
    </w:p>
  </w:footnote>
  <w:footnote w:id="64">
    <w:p w:rsidR="00CC0CB5" w:rsidRPr="00852727" w:rsidRDefault="00AF629F" w:rsidP="00857817">
      <w:pPr>
        <w:pStyle w:val="Textonotapie"/>
        <w:jc w:val="both"/>
        <w:rPr>
          <w:sz w:val="18"/>
          <w:szCs w:val="18"/>
          <w:lang w:val="es-MX"/>
        </w:rPr>
      </w:pPr>
      <w:r w:rsidRPr="00852727">
        <w:rPr>
          <w:rStyle w:val="Refdenotaalpie"/>
          <w:sz w:val="18"/>
          <w:szCs w:val="18"/>
        </w:rPr>
        <w:footnoteRef/>
      </w:r>
      <w:r w:rsidRPr="00852727">
        <w:rPr>
          <w:sz w:val="18"/>
          <w:szCs w:val="18"/>
        </w:rPr>
        <w:t xml:space="preserve"> Sentencia C-415 de 2020, </w:t>
      </w:r>
      <w:r w:rsidRPr="00852727">
        <w:rPr>
          <w:sz w:val="18"/>
          <w:szCs w:val="18"/>
        </w:rPr>
        <w:t>§</w:t>
      </w:r>
      <w:r w:rsidRPr="00852727">
        <w:rPr>
          <w:sz w:val="18"/>
          <w:szCs w:val="18"/>
        </w:rPr>
        <w:t xml:space="preserve"> 109.</w:t>
      </w:r>
    </w:p>
  </w:footnote>
  <w:footnote w:id="65">
    <w:p w:rsidR="005016AD" w:rsidRPr="00857817" w:rsidRDefault="00AF629F" w:rsidP="00857817">
      <w:pPr>
        <w:pStyle w:val="Textonotapie"/>
        <w:jc w:val="both"/>
        <w:rPr>
          <w:sz w:val="18"/>
          <w:szCs w:val="18"/>
          <w:lang w:val="es-MX"/>
        </w:rPr>
      </w:pPr>
      <w:r w:rsidRPr="00852727">
        <w:rPr>
          <w:rStyle w:val="Refdenotaalpie"/>
          <w:sz w:val="18"/>
          <w:szCs w:val="18"/>
        </w:rPr>
        <w:footnoteRef/>
      </w:r>
      <w:r w:rsidRPr="00852727">
        <w:rPr>
          <w:sz w:val="18"/>
          <w:szCs w:val="18"/>
        </w:rPr>
        <w:t xml:space="preserve"> De conformidad con lo dispuesto en los artículos 44.2 y 45 de la Ley 80 de 1993.</w:t>
      </w:r>
    </w:p>
  </w:footnote>
  <w:footnote w:id="66">
    <w:p w:rsidR="0096066E" w:rsidRPr="001A57B1" w:rsidRDefault="00AF629F" w:rsidP="001A57B1">
      <w:pPr>
        <w:pStyle w:val="Textonotapie"/>
        <w:jc w:val="both"/>
        <w:rPr>
          <w:rFonts w:ascii="Times New Roman" w:hAnsi="Times New Roman" w:cs="Times New Roman"/>
        </w:rPr>
      </w:pPr>
      <w:r w:rsidRPr="001A57B1">
        <w:rPr>
          <w:rStyle w:val="Refdenotaalpie"/>
          <w:rFonts w:ascii="Times New Roman" w:hAnsi="Times New Roman" w:cs="Times New Roman"/>
        </w:rPr>
        <w:footnoteRef/>
      </w:r>
      <w:r w:rsidRPr="001A57B1">
        <w:rPr>
          <w:rFonts w:ascii="Times New Roman" w:hAnsi="Times New Roman" w:cs="Times New Roman"/>
        </w:rPr>
        <w:t xml:space="preserve"> </w:t>
      </w:r>
      <w:r w:rsidRPr="001A57B1">
        <w:rPr>
          <w:rFonts w:ascii="Times New Roman" w:hAnsi="Times New Roman" w:cs="Times New Roman"/>
          <w:i/>
          <w:iCs/>
        </w:rPr>
        <w:t>Cfr.</w:t>
      </w:r>
      <w:r w:rsidRPr="001A57B1">
        <w:rPr>
          <w:rFonts w:ascii="Times New Roman" w:hAnsi="Times New Roman" w:cs="Times New Roman"/>
        </w:rPr>
        <w:t xml:space="preserve"> Sentencia C-037 de 2024</w:t>
      </w:r>
      <w:r w:rsidRPr="001A57B1">
        <w:rPr>
          <w:rFonts w:ascii="Times New Roman" w:hAnsi="Times New Roman" w:cs="Times New Roman"/>
        </w:rPr>
        <w:t>, fundamento Jurídico 52.</w:t>
      </w:r>
    </w:p>
  </w:footnote>
  <w:footnote w:id="67">
    <w:p w:rsidR="00791704" w:rsidRPr="001A57B1" w:rsidRDefault="00AF629F" w:rsidP="001A57B1">
      <w:pPr>
        <w:pStyle w:val="Textonotapie"/>
        <w:jc w:val="both"/>
        <w:rPr>
          <w:rFonts w:ascii="Times New Roman" w:hAnsi="Times New Roman" w:cs="Times New Roman"/>
        </w:rPr>
      </w:pPr>
      <w:r w:rsidRPr="001A57B1">
        <w:rPr>
          <w:rStyle w:val="Refdenotaalpie"/>
          <w:rFonts w:ascii="Times New Roman" w:hAnsi="Times New Roman" w:cs="Times New Roman"/>
        </w:rPr>
        <w:footnoteRef/>
      </w:r>
      <w:r w:rsidRPr="001A57B1">
        <w:rPr>
          <w:rFonts w:ascii="Times New Roman" w:hAnsi="Times New Roman" w:cs="Times New Roman"/>
        </w:rPr>
        <w:t xml:space="preserve"> Corte Constitucional, Sentencia C-415 de 2020, citada en: Sentencia C-037 de 2024, fundamento jurídico 53.</w:t>
      </w:r>
    </w:p>
  </w:footnote>
  <w:footnote w:id="68">
    <w:p w:rsidR="001A57B1" w:rsidRPr="001A57B1" w:rsidRDefault="00AF629F" w:rsidP="001A57B1">
      <w:pPr>
        <w:pStyle w:val="Textonotapie"/>
        <w:jc w:val="both"/>
        <w:rPr>
          <w:rFonts w:ascii="Times New Roman" w:hAnsi="Times New Roman" w:cs="Times New Roman"/>
        </w:rPr>
      </w:pPr>
      <w:r w:rsidRPr="001A57B1">
        <w:rPr>
          <w:rStyle w:val="Refdenotaalpie"/>
          <w:rFonts w:ascii="Times New Roman" w:hAnsi="Times New Roman" w:cs="Times New Roman"/>
        </w:rPr>
        <w:footnoteRef/>
      </w:r>
      <w:r w:rsidRPr="001A57B1">
        <w:rPr>
          <w:rFonts w:ascii="Times New Roman" w:hAnsi="Times New Roman" w:cs="Times New Roman"/>
        </w:rPr>
        <w:t xml:space="preserve"> </w:t>
      </w:r>
      <w:r w:rsidRPr="001A57B1">
        <w:rPr>
          <w:rFonts w:ascii="Times New Roman" w:hAnsi="Times New Roman" w:cs="Times New Roman"/>
          <w:i/>
          <w:iCs/>
        </w:rPr>
        <w:t>Ibidem,</w:t>
      </w:r>
      <w:r w:rsidRPr="001A57B1">
        <w:rPr>
          <w:rFonts w:ascii="Times New Roman" w:hAnsi="Times New Roman" w:cs="Times New Roman"/>
        </w:rPr>
        <w:t xml:space="preserve"> fundamento jurídico 60.</w:t>
      </w:r>
    </w:p>
  </w:footnote>
  <w:footnote w:id="69">
    <w:p w:rsidR="001A57B1" w:rsidRPr="001A57B1" w:rsidRDefault="00AF629F" w:rsidP="001A57B1">
      <w:pPr>
        <w:pStyle w:val="Textonotapie"/>
        <w:jc w:val="both"/>
        <w:rPr>
          <w:rFonts w:ascii="Times New Roman" w:hAnsi="Times New Roman" w:cs="Times New Roman"/>
        </w:rPr>
      </w:pPr>
      <w:r w:rsidRPr="001A57B1">
        <w:rPr>
          <w:rStyle w:val="Refdenotaalpie"/>
          <w:rFonts w:ascii="Times New Roman" w:hAnsi="Times New Roman" w:cs="Times New Roman"/>
        </w:rPr>
        <w:footnoteRef/>
      </w:r>
      <w:r w:rsidRPr="001A57B1">
        <w:rPr>
          <w:rFonts w:ascii="Times New Roman" w:hAnsi="Times New Roman" w:cs="Times New Roman"/>
        </w:rPr>
        <w:t xml:space="preserve"> Corte Constitucional, Sentencia C-063 de 2021. Énfasis </w:t>
      </w:r>
      <w:r>
        <w:rPr>
          <w:rFonts w:ascii="Times New Roman" w:hAnsi="Times New Roman" w:cs="Times New Roman"/>
        </w:rPr>
        <w:t>añadido</w:t>
      </w:r>
      <w:r w:rsidRPr="001A57B1">
        <w:rPr>
          <w:rFonts w:ascii="Times New Roman" w:hAnsi="Times New Roman" w:cs="Times New Roman"/>
        </w:rPr>
        <w:t>.</w:t>
      </w:r>
    </w:p>
  </w:footnote>
  <w:footnote w:id="70">
    <w:p w:rsidR="00CA369A" w:rsidRPr="001A57B1" w:rsidRDefault="00AF629F" w:rsidP="001A57B1">
      <w:pPr>
        <w:pStyle w:val="Textonotapie"/>
        <w:jc w:val="both"/>
        <w:rPr>
          <w:rFonts w:ascii="Times New Roman" w:hAnsi="Times New Roman" w:cs="Times New Roman"/>
        </w:rPr>
      </w:pPr>
      <w:r w:rsidRPr="001A57B1">
        <w:rPr>
          <w:rStyle w:val="Refdenotaalpie"/>
          <w:rFonts w:ascii="Times New Roman" w:hAnsi="Times New Roman" w:cs="Times New Roman"/>
        </w:rPr>
        <w:footnoteRef/>
      </w:r>
      <w:r w:rsidRPr="001A57B1">
        <w:rPr>
          <w:rFonts w:ascii="Times New Roman" w:hAnsi="Times New Roman" w:cs="Times New Roman"/>
        </w:rPr>
        <w:t xml:space="preserve"> Corte Constitucional, Sentencia C-037 de 2024, fundamento jurídico 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44A0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A27DCB"/>
    <w:multiLevelType w:val="hybridMultilevel"/>
    <w:tmpl w:val="738E6B9C"/>
    <w:lvl w:ilvl="0" w:tplc="FDA4112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D6A05A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B65755"/>
    <w:multiLevelType w:val="hybridMultilevel"/>
    <w:tmpl w:val="608691EE"/>
    <w:lvl w:ilvl="0" w:tplc="B9AA48F0">
      <w:start w:val="1"/>
      <w:numFmt w:val="decimal"/>
      <w:lvlText w:val="%1."/>
      <w:lvlJc w:val="left"/>
      <w:pPr>
        <w:ind w:left="720" w:hanging="360"/>
      </w:pPr>
      <w:rPr>
        <w:b w:val="0"/>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62F73AE"/>
    <w:multiLevelType w:val="multilevel"/>
    <w:tmpl w:val="FA149C1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112" w:hanging="360"/>
      </w:pPr>
      <w:rPr>
        <w:rFonts w:cs="Times New Roman"/>
      </w:rPr>
    </w:lvl>
    <w:lvl w:ilvl="2">
      <w:start w:val="1"/>
      <w:numFmt w:val="lowerRoman"/>
      <w:lvlText w:val="%3."/>
      <w:lvlJc w:val="right"/>
      <w:pPr>
        <w:ind w:left="-392" w:hanging="180"/>
      </w:pPr>
      <w:rPr>
        <w:rFonts w:cs="Times New Roman"/>
      </w:rPr>
    </w:lvl>
    <w:lvl w:ilvl="3">
      <w:start w:val="1"/>
      <w:numFmt w:val="decimal"/>
      <w:lvlText w:val="%4."/>
      <w:lvlJc w:val="left"/>
      <w:pPr>
        <w:ind w:left="328" w:hanging="360"/>
      </w:pPr>
      <w:rPr>
        <w:rFonts w:cs="Times New Roman"/>
      </w:rPr>
    </w:lvl>
    <w:lvl w:ilvl="4">
      <w:start w:val="1"/>
      <w:numFmt w:val="lowerLetter"/>
      <w:lvlText w:val="%5."/>
      <w:lvlJc w:val="left"/>
      <w:pPr>
        <w:ind w:left="1048" w:hanging="360"/>
      </w:pPr>
      <w:rPr>
        <w:rFonts w:cs="Times New Roman"/>
      </w:rPr>
    </w:lvl>
    <w:lvl w:ilvl="5">
      <w:start w:val="1"/>
      <w:numFmt w:val="lowerRoman"/>
      <w:lvlText w:val="%6."/>
      <w:lvlJc w:val="right"/>
      <w:pPr>
        <w:ind w:left="1768" w:hanging="180"/>
      </w:pPr>
      <w:rPr>
        <w:rFonts w:cs="Times New Roman"/>
      </w:rPr>
    </w:lvl>
    <w:lvl w:ilvl="6">
      <w:start w:val="1"/>
      <w:numFmt w:val="decimal"/>
      <w:lvlText w:val="%7."/>
      <w:lvlJc w:val="left"/>
      <w:pPr>
        <w:ind w:left="2488" w:hanging="360"/>
      </w:pPr>
      <w:rPr>
        <w:rFonts w:cs="Times New Roman"/>
      </w:rPr>
    </w:lvl>
    <w:lvl w:ilvl="7">
      <w:start w:val="1"/>
      <w:numFmt w:val="lowerLetter"/>
      <w:lvlText w:val="%8."/>
      <w:lvlJc w:val="left"/>
      <w:pPr>
        <w:ind w:left="3208" w:hanging="360"/>
      </w:pPr>
      <w:rPr>
        <w:rFonts w:cs="Times New Roman"/>
      </w:rPr>
    </w:lvl>
    <w:lvl w:ilvl="8">
      <w:start w:val="1"/>
      <w:numFmt w:val="lowerRoman"/>
      <w:lvlText w:val="%9."/>
      <w:lvlJc w:val="right"/>
      <w:pPr>
        <w:ind w:left="3928" w:hanging="180"/>
      </w:pPr>
      <w:rPr>
        <w:rFonts w:cs="Times New Roman"/>
      </w:rPr>
    </w:lvl>
  </w:abstractNum>
  <w:abstractNum w:abstractNumId="5" w15:restartNumberingAfterBreak="0">
    <w:nsid w:val="60AE513E"/>
    <w:multiLevelType w:val="hybridMultilevel"/>
    <w:tmpl w:val="1D3602E8"/>
    <w:lvl w:ilvl="0" w:tplc="D568AAB8">
      <w:start w:val="1"/>
      <w:numFmt w:val="decimal"/>
      <w:lvlText w:val="%1."/>
      <w:lvlJc w:val="left"/>
      <w:pPr>
        <w:ind w:left="720" w:hanging="360"/>
      </w:pPr>
      <w:rPr>
        <w:rFonts w:hint="default"/>
        <w:b/>
        <w:bCs/>
        <w:i w:val="0"/>
        <w:i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2DE"/>
    <w:rsid w:val="005F565D"/>
    <w:rsid w:val="009942DE"/>
    <w:rsid w:val="00AF62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0E1D3DC7-0E95-40B5-8A51-2DC7DE45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80756E"/>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ar"/>
    <w:uiPriority w:val="9"/>
    <w:unhideWhenUsed/>
    <w:qFormat/>
    <w:rsid w:val="00EA6F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A6FB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94CF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A6FB3"/>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A6FB3"/>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756E"/>
    <w:rPr>
      <w:rFonts w:ascii="Cambria" w:eastAsia="Cambria" w:hAnsi="Cambria" w:cs="Cambria"/>
      <w:b/>
      <w:color w:val="000000"/>
      <w:sz w:val="32"/>
      <w:szCs w:val="32"/>
      <w:lang w:val="es-CO" w:eastAsia="es-CO"/>
    </w:rPr>
  </w:style>
  <w:style w:type="paragraph" w:styleId="Piedepgina">
    <w:name w:val="footer"/>
    <w:basedOn w:val="Normal"/>
    <w:link w:val="PiedepginaCar"/>
    <w:uiPriority w:val="99"/>
    <w:unhideWhenUsed/>
    <w:rsid w:val="0080756E"/>
    <w:pPr>
      <w:tabs>
        <w:tab w:val="center" w:pos="4419"/>
        <w:tab w:val="right" w:pos="8838"/>
      </w:tabs>
    </w:pPr>
  </w:style>
  <w:style w:type="character" w:customStyle="1" w:styleId="PiedepginaCar">
    <w:name w:val="Pie de página Car"/>
    <w:basedOn w:val="Fuentedeprrafopredeter"/>
    <w:link w:val="Piedepgina"/>
    <w:uiPriority w:val="99"/>
    <w:rsid w:val="0080756E"/>
    <w:rPr>
      <w:rFonts w:ascii="Times New Roman" w:eastAsia="Times New Roman" w:hAnsi="Times New Roman" w:cs="Times New Roman"/>
      <w:color w:val="000000"/>
      <w:sz w:val="20"/>
      <w:szCs w:val="20"/>
      <w:lang w:val="es-CO" w:eastAsia="es-CO"/>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80756E"/>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Texto nota pie Ca"/>
    <w:basedOn w:val="Normal"/>
    <w:link w:val="TextonotapieCar"/>
    <w:uiPriority w:val="99"/>
    <w:unhideWhenUsed/>
    <w:qFormat/>
    <w:rsid w:val="0080756E"/>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80756E"/>
    <w:rPr>
      <w:rFonts w:ascii="Times New Roman" w:eastAsia="Times New Roman" w:hAnsi="Times New Roman" w:cs="Times New Roman"/>
      <w:color w:val="000000"/>
      <w:sz w:val="20"/>
      <w:szCs w:val="20"/>
      <w:lang w:val="es-CO" w:eastAsia="es-CO"/>
    </w:rPr>
  </w:style>
  <w:style w:type="character" w:styleId="Refdenotaalpie">
    <w:name w:val="footnote reference"/>
    <w:aliases w:val="Texto de nota al pie,Footnotes refss,Appel note de bas de page,Footnote number,referencia nota al pie,BVI fnr,f,4_G,16 Point,Superscript 6 Point,Ref. de nota al pie 2,Texto nota al pie,Footnote Reference Char3,Texto nota pie Car2,FC"/>
    <w:basedOn w:val="Fuentedeprrafopredeter"/>
    <w:link w:val="4GChar"/>
    <w:uiPriority w:val="99"/>
    <w:unhideWhenUsed/>
    <w:qFormat/>
    <w:rsid w:val="0080756E"/>
    <w:rPr>
      <w:vertAlign w:val="superscript"/>
    </w:rPr>
  </w:style>
  <w:style w:type="character" w:styleId="Refdecomentario">
    <w:name w:val="annotation reference"/>
    <w:basedOn w:val="Fuentedeprrafopredeter"/>
    <w:uiPriority w:val="99"/>
    <w:unhideWhenUsed/>
    <w:qFormat/>
    <w:rsid w:val="0080756E"/>
    <w:rPr>
      <w:sz w:val="16"/>
      <w:szCs w:val="16"/>
    </w:rPr>
  </w:style>
  <w:style w:type="paragraph" w:styleId="Textocomentario">
    <w:name w:val="annotation text"/>
    <w:basedOn w:val="Normal"/>
    <w:link w:val="TextocomentarioCar"/>
    <w:uiPriority w:val="99"/>
    <w:unhideWhenUsed/>
    <w:rsid w:val="0080756E"/>
  </w:style>
  <w:style w:type="character" w:customStyle="1" w:styleId="TextocomentarioCar">
    <w:name w:val="Texto comentario Car"/>
    <w:basedOn w:val="Fuentedeprrafopredeter"/>
    <w:link w:val="Textocomentario"/>
    <w:uiPriority w:val="99"/>
    <w:rsid w:val="0080756E"/>
    <w:rPr>
      <w:rFonts w:ascii="Times New Roman" w:eastAsia="Times New Roman" w:hAnsi="Times New Roman" w:cs="Times New Roman"/>
      <w:color w:val="000000"/>
      <w:sz w:val="20"/>
      <w:szCs w:val="20"/>
      <w:lang w:val="es-CO" w:eastAsia="es-CO"/>
    </w:rPr>
  </w:style>
  <w:style w:type="table" w:styleId="Tablaconcuadrcula">
    <w:name w:val="Table Grid"/>
    <w:basedOn w:val="Tablanormal"/>
    <w:uiPriority w:val="39"/>
    <w:rsid w:val="0080756E"/>
    <w:pPr>
      <w:widowControl w:val="0"/>
      <w:spacing w:after="0" w:line="240" w:lineRule="auto"/>
    </w:pPr>
    <w:rPr>
      <w:rFonts w:ascii="Times New Roman" w:eastAsia="Times New Roman" w:hAnsi="Times New Roman"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80756E"/>
    <w:pPr>
      <w:spacing w:after="200" w:line="276" w:lineRule="auto"/>
      <w:ind w:left="283" w:hanging="283"/>
      <w:contextualSpacing/>
    </w:pPr>
    <w:rPr>
      <w:rFonts w:eastAsia="Calibri"/>
      <w:sz w:val="28"/>
      <w:lang w:eastAsia="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0756E"/>
    <w:pPr>
      <w:pBdr>
        <w:top w:val="nil"/>
        <w:left w:val="nil"/>
        <w:bottom w:val="nil"/>
        <w:right w:val="nil"/>
        <w:between w:val="nil"/>
      </w:pBdr>
      <w:contextualSpacing/>
      <w:jc w:val="both"/>
    </w:pPr>
    <w:rPr>
      <w:rFonts w:eastAsiaTheme="minorHAnsi"/>
      <w:vertAlign w:val="superscript"/>
      <w:lang w:val="es-ES" w:eastAsia="en-US"/>
    </w:rPr>
  </w:style>
  <w:style w:type="paragraph" w:customStyle="1" w:styleId="MediumShading1-Accent11">
    <w:name w:val="Medium Shading 1 - Accent 11"/>
    <w:uiPriority w:val="1"/>
    <w:qFormat/>
    <w:rsid w:val="0080756E"/>
    <w:pPr>
      <w:widowControl w:val="0"/>
      <w:pBdr>
        <w:top w:val="nil"/>
        <w:left w:val="nil"/>
        <w:bottom w:val="nil"/>
        <w:right w:val="nil"/>
        <w:between w:val="nil"/>
      </w:pBdr>
      <w:spacing w:after="0" w:line="240" w:lineRule="auto"/>
    </w:pPr>
    <w:rPr>
      <w:rFonts w:ascii="Calibri" w:eastAsia="Calibri" w:hAnsi="Calibri" w:cs="Calibri"/>
      <w:color w:val="000000"/>
      <w:lang w:eastAsia="es-ES"/>
    </w:rPr>
  </w:style>
  <w:style w:type="paragraph" w:customStyle="1" w:styleId="section1">
    <w:name w:val="section1"/>
    <w:basedOn w:val="Normal"/>
    <w:rsid w:val="0080756E"/>
    <w:pPr>
      <w:spacing w:before="100" w:beforeAutospacing="1" w:after="100" w:afterAutospacing="1"/>
    </w:pPr>
    <w:rPr>
      <w:sz w:val="24"/>
      <w:szCs w:val="24"/>
      <w:lang w:val="es-ES" w:eastAsia="es-ES"/>
    </w:rPr>
  </w:style>
  <w:style w:type="character" w:customStyle="1" w:styleId="baj">
    <w:name w:val="b_aj"/>
    <w:basedOn w:val="Fuentedeprrafopredeter"/>
    <w:rsid w:val="0080756E"/>
  </w:style>
  <w:style w:type="paragraph" w:styleId="Textoindependiente">
    <w:name w:val="Body Text"/>
    <w:basedOn w:val="Normal"/>
    <w:link w:val="TextoindependienteCar"/>
    <w:uiPriority w:val="99"/>
    <w:rsid w:val="0080756E"/>
    <w:pPr>
      <w:autoSpaceDE w:val="0"/>
      <w:autoSpaceDN w:val="0"/>
      <w:jc w:val="both"/>
    </w:pPr>
    <w:rPr>
      <w:sz w:val="28"/>
      <w:szCs w:val="28"/>
      <w:lang w:val="es-ES" w:eastAsia="es-ES"/>
    </w:rPr>
  </w:style>
  <w:style w:type="character" w:customStyle="1" w:styleId="TextoindependienteCar">
    <w:name w:val="Texto independiente Car"/>
    <w:basedOn w:val="Fuentedeprrafopredeter"/>
    <w:link w:val="Textoindependiente"/>
    <w:uiPriority w:val="99"/>
    <w:rsid w:val="0080756E"/>
    <w:rPr>
      <w:rFonts w:ascii="Times New Roman" w:eastAsia="Times New Roman" w:hAnsi="Times New Roman" w:cs="Times New Roman"/>
      <w:sz w:val="28"/>
      <w:szCs w:val="28"/>
      <w:lang w:eastAsia="es-ES"/>
    </w:rPr>
  </w:style>
  <w:style w:type="paragraph" w:styleId="Asuntodelcomentario">
    <w:name w:val="annotation subject"/>
    <w:basedOn w:val="Textocomentario"/>
    <w:next w:val="Textocomentario"/>
    <w:link w:val="AsuntodelcomentarioCar"/>
    <w:uiPriority w:val="99"/>
    <w:semiHidden/>
    <w:unhideWhenUsed/>
    <w:rsid w:val="00D001F5"/>
    <w:rPr>
      <w:b/>
      <w:bCs/>
    </w:rPr>
  </w:style>
  <w:style w:type="character" w:customStyle="1" w:styleId="AsuntodelcomentarioCar">
    <w:name w:val="Asunto del comentario Car"/>
    <w:basedOn w:val="TextocomentarioCar"/>
    <w:link w:val="Asuntodelcomentario"/>
    <w:uiPriority w:val="99"/>
    <w:semiHidden/>
    <w:rsid w:val="00D001F5"/>
    <w:rPr>
      <w:rFonts w:ascii="Times New Roman" w:eastAsia="Times New Roman" w:hAnsi="Times New Roman" w:cs="Times New Roman"/>
      <w:b/>
      <w:bCs/>
      <w:color w:val="000000"/>
      <w:sz w:val="20"/>
      <w:szCs w:val="20"/>
      <w:lang w:val="es-CO" w:eastAsia="es-CO"/>
    </w:rPr>
  </w:style>
  <w:style w:type="paragraph" w:styleId="Encabezado">
    <w:name w:val="header"/>
    <w:basedOn w:val="Normal"/>
    <w:link w:val="EncabezadoCar"/>
    <w:uiPriority w:val="99"/>
    <w:unhideWhenUsed/>
    <w:rsid w:val="00B12037"/>
    <w:pPr>
      <w:tabs>
        <w:tab w:val="center" w:pos="4252"/>
        <w:tab w:val="right" w:pos="8504"/>
      </w:tabs>
    </w:pPr>
  </w:style>
  <w:style w:type="character" w:customStyle="1" w:styleId="EncabezadoCar">
    <w:name w:val="Encabezado Car"/>
    <w:basedOn w:val="Fuentedeprrafopredeter"/>
    <w:link w:val="Encabezado"/>
    <w:uiPriority w:val="99"/>
    <w:rsid w:val="00B12037"/>
    <w:rPr>
      <w:rFonts w:ascii="Times New Roman" w:eastAsia="Times New Roman" w:hAnsi="Times New Roman" w:cs="Times New Roman"/>
      <w:color w:val="000000"/>
      <w:sz w:val="20"/>
      <w:szCs w:val="20"/>
      <w:lang w:val="es-CO" w:eastAsia="es-CO"/>
    </w:rPr>
  </w:style>
  <w:style w:type="paragraph" w:customStyle="1" w:styleId="Estilo1">
    <w:name w:val="Estilo1"/>
    <w:basedOn w:val="Normal"/>
    <w:link w:val="Estilo1Car"/>
    <w:qFormat/>
    <w:rsid w:val="00B12037"/>
    <w:pPr>
      <w:ind w:left="360" w:hanging="360"/>
      <w:jc w:val="both"/>
    </w:pPr>
    <w:rPr>
      <w:sz w:val="28"/>
      <w:szCs w:val="28"/>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B12037"/>
    <w:rPr>
      <w:rFonts w:ascii="Times New Roman" w:eastAsia="Times New Roman" w:hAnsi="Times New Roman" w:cs="Times New Roman"/>
      <w:color w:val="000000"/>
      <w:sz w:val="20"/>
      <w:szCs w:val="20"/>
      <w:lang w:val="es-CO" w:eastAsia="es-CO"/>
    </w:rPr>
  </w:style>
  <w:style w:type="character" w:customStyle="1" w:styleId="Estilo1Car">
    <w:name w:val="Estilo1 Car"/>
    <w:basedOn w:val="Fuentedeprrafopredeter"/>
    <w:link w:val="Estilo1"/>
    <w:rsid w:val="00B12037"/>
    <w:rPr>
      <w:rFonts w:ascii="Times New Roman" w:eastAsia="Times New Roman" w:hAnsi="Times New Roman" w:cs="Times New Roman"/>
      <w:sz w:val="28"/>
      <w:szCs w:val="28"/>
      <w:lang w:val="es-CO" w:eastAsia="es-CO"/>
    </w:rPr>
  </w:style>
  <w:style w:type="paragraph" w:styleId="Sinespaciado">
    <w:name w:val="No Spacing"/>
    <w:aliases w:val="CAPITULO I"/>
    <w:link w:val="SinespaciadoCar"/>
    <w:uiPriority w:val="1"/>
    <w:qFormat/>
    <w:rsid w:val="00B042CF"/>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3E1F19"/>
    <w:rPr>
      <w:color w:val="0563C1" w:themeColor="hyperlink"/>
      <w:u w:val="single"/>
    </w:rPr>
  </w:style>
  <w:style w:type="character" w:customStyle="1" w:styleId="UnresolvedMention">
    <w:name w:val="Unresolved Mention"/>
    <w:basedOn w:val="Fuentedeprrafopredeter"/>
    <w:uiPriority w:val="99"/>
    <w:semiHidden/>
    <w:unhideWhenUsed/>
    <w:rsid w:val="003E1F19"/>
    <w:rPr>
      <w:color w:val="605E5C"/>
      <w:shd w:val="clear" w:color="auto" w:fill="E1DFDD"/>
    </w:rPr>
  </w:style>
  <w:style w:type="paragraph" w:customStyle="1" w:styleId="Piedepagina">
    <w:name w:val="Pie de pagina"/>
    <w:aliases w:val="Ref. de nota al pie2"/>
    <w:basedOn w:val="Normal"/>
    <w:uiPriority w:val="99"/>
    <w:rsid w:val="00B15466"/>
    <w:pPr>
      <w:spacing w:line="240" w:lineRule="exact"/>
    </w:pPr>
    <w:rPr>
      <w:rFonts w:eastAsiaTheme="minorHAnsi"/>
      <w:vertAlign w:val="superscript"/>
      <w:lang w:val="es-MX" w:eastAsia="en-US"/>
    </w:rPr>
  </w:style>
  <w:style w:type="paragraph" w:styleId="NormalWeb">
    <w:name w:val="Normal (Web)"/>
    <w:basedOn w:val="Normal"/>
    <w:uiPriority w:val="99"/>
    <w:unhideWhenUsed/>
    <w:rsid w:val="00E701BB"/>
    <w:rPr>
      <w:sz w:val="24"/>
      <w:szCs w:val="24"/>
    </w:rPr>
  </w:style>
  <w:style w:type="character" w:customStyle="1" w:styleId="cf01">
    <w:name w:val="cf01"/>
    <w:basedOn w:val="Fuentedeprrafopredeter"/>
    <w:rsid w:val="002A76F2"/>
    <w:rPr>
      <w:rFonts w:ascii="Segoe UI" w:hAnsi="Segoe UI" w:cs="Segoe UI" w:hint="default"/>
      <w:sz w:val="18"/>
      <w:szCs w:val="18"/>
    </w:rPr>
  </w:style>
  <w:style w:type="paragraph" w:styleId="Textodeglobo">
    <w:name w:val="Balloon Text"/>
    <w:basedOn w:val="Normal"/>
    <w:link w:val="TextodegloboCar"/>
    <w:uiPriority w:val="99"/>
    <w:semiHidden/>
    <w:unhideWhenUsed/>
    <w:rsid w:val="001D7E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E70"/>
    <w:rPr>
      <w:rFonts w:ascii="Segoe UI" w:eastAsia="Times New Roman" w:hAnsi="Segoe UI" w:cs="Segoe UI"/>
      <w:color w:val="000000"/>
      <w:sz w:val="18"/>
      <w:szCs w:val="18"/>
      <w:lang w:val="es-CO" w:eastAsia="es-CO"/>
    </w:rPr>
  </w:style>
  <w:style w:type="character" w:customStyle="1" w:styleId="Ttulo4Car">
    <w:name w:val="Título 4 Car"/>
    <w:basedOn w:val="Fuentedeprrafopredeter"/>
    <w:link w:val="Ttulo4"/>
    <w:uiPriority w:val="9"/>
    <w:rsid w:val="00494CFE"/>
    <w:rPr>
      <w:rFonts w:asciiTheme="majorHAnsi" w:eastAsiaTheme="majorEastAsia" w:hAnsiTheme="majorHAnsi" w:cstheme="majorBidi"/>
      <w:i/>
      <w:iCs/>
      <w:color w:val="2E74B5" w:themeColor="accent1" w:themeShade="BF"/>
      <w:sz w:val="20"/>
      <w:szCs w:val="20"/>
      <w:lang w:val="es-CO" w:eastAsia="es-CO"/>
    </w:rPr>
  </w:style>
  <w:style w:type="character" w:customStyle="1" w:styleId="Ttulo2Car">
    <w:name w:val="Título 2 Car"/>
    <w:basedOn w:val="Fuentedeprrafopredeter"/>
    <w:link w:val="Ttulo2"/>
    <w:uiPriority w:val="9"/>
    <w:rsid w:val="00EA6FB3"/>
    <w:rPr>
      <w:rFonts w:asciiTheme="majorHAnsi" w:eastAsiaTheme="majorEastAsia" w:hAnsiTheme="majorHAnsi" w:cstheme="majorBidi"/>
      <w:color w:val="2E74B5" w:themeColor="accent1" w:themeShade="BF"/>
      <w:sz w:val="26"/>
      <w:szCs w:val="26"/>
      <w:lang w:val="es-CO" w:eastAsia="es-CO"/>
    </w:rPr>
  </w:style>
  <w:style w:type="character" w:customStyle="1" w:styleId="Ttulo3Car">
    <w:name w:val="Título 3 Car"/>
    <w:basedOn w:val="Fuentedeprrafopredeter"/>
    <w:link w:val="Ttulo3"/>
    <w:uiPriority w:val="9"/>
    <w:rsid w:val="00EA6FB3"/>
    <w:rPr>
      <w:rFonts w:asciiTheme="majorHAnsi" w:eastAsiaTheme="majorEastAsia" w:hAnsiTheme="majorHAnsi" w:cstheme="majorBidi"/>
      <w:color w:val="1F4D78" w:themeColor="accent1" w:themeShade="7F"/>
      <w:sz w:val="24"/>
      <w:szCs w:val="24"/>
      <w:lang w:val="es-CO" w:eastAsia="es-CO"/>
    </w:rPr>
  </w:style>
  <w:style w:type="character" w:customStyle="1" w:styleId="Ttulo5Car">
    <w:name w:val="Título 5 Car"/>
    <w:basedOn w:val="Fuentedeprrafopredeter"/>
    <w:link w:val="Ttulo5"/>
    <w:uiPriority w:val="9"/>
    <w:rsid w:val="00EA6FB3"/>
    <w:rPr>
      <w:rFonts w:asciiTheme="majorHAnsi" w:eastAsiaTheme="majorEastAsia" w:hAnsiTheme="majorHAnsi" w:cstheme="majorBidi"/>
      <w:color w:val="2E74B5" w:themeColor="accent1" w:themeShade="BF"/>
      <w:sz w:val="20"/>
      <w:szCs w:val="20"/>
      <w:lang w:val="es-CO" w:eastAsia="es-CO"/>
    </w:rPr>
  </w:style>
  <w:style w:type="character" w:customStyle="1" w:styleId="Ttulo6Car">
    <w:name w:val="Título 6 Car"/>
    <w:basedOn w:val="Fuentedeprrafopredeter"/>
    <w:link w:val="Ttulo6"/>
    <w:uiPriority w:val="9"/>
    <w:rsid w:val="00EA6FB3"/>
    <w:rPr>
      <w:rFonts w:asciiTheme="majorHAnsi" w:eastAsiaTheme="majorEastAsia" w:hAnsiTheme="majorHAnsi" w:cstheme="majorBidi"/>
      <w:color w:val="1F4D78" w:themeColor="accent1" w:themeShade="7F"/>
      <w:sz w:val="20"/>
      <w:szCs w:val="20"/>
      <w:lang w:val="es-CO" w:eastAsia="es-CO"/>
    </w:rPr>
  </w:style>
  <w:style w:type="paragraph" w:styleId="Lista2">
    <w:name w:val="List 2"/>
    <w:basedOn w:val="Normal"/>
    <w:uiPriority w:val="99"/>
    <w:unhideWhenUsed/>
    <w:rsid w:val="00EA6FB3"/>
    <w:pPr>
      <w:ind w:left="566" w:hanging="283"/>
      <w:contextualSpacing/>
    </w:pPr>
  </w:style>
  <w:style w:type="paragraph" w:styleId="Lista3">
    <w:name w:val="List 3"/>
    <w:basedOn w:val="Normal"/>
    <w:uiPriority w:val="99"/>
    <w:unhideWhenUsed/>
    <w:rsid w:val="00EA6FB3"/>
    <w:pPr>
      <w:ind w:left="849" w:hanging="283"/>
      <w:contextualSpacing/>
    </w:pPr>
  </w:style>
  <w:style w:type="paragraph" w:styleId="Encabezadodemensaje">
    <w:name w:val="Message Header"/>
    <w:basedOn w:val="Normal"/>
    <w:link w:val="EncabezadodemensajeCar"/>
    <w:uiPriority w:val="99"/>
    <w:unhideWhenUsed/>
    <w:rsid w:val="00EA6F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A6FB3"/>
    <w:rPr>
      <w:rFonts w:asciiTheme="majorHAnsi" w:eastAsiaTheme="majorEastAsia" w:hAnsiTheme="majorHAnsi" w:cstheme="majorBidi"/>
      <w:color w:val="000000"/>
      <w:sz w:val="24"/>
      <w:szCs w:val="24"/>
      <w:shd w:val="pct20" w:color="auto" w:fill="auto"/>
      <w:lang w:val="es-CO" w:eastAsia="es-CO"/>
    </w:rPr>
  </w:style>
  <w:style w:type="paragraph" w:styleId="Sangradetextonormal">
    <w:name w:val="Body Text Indent"/>
    <w:basedOn w:val="Normal"/>
    <w:link w:val="SangradetextonormalCar"/>
    <w:uiPriority w:val="99"/>
    <w:semiHidden/>
    <w:unhideWhenUsed/>
    <w:rsid w:val="00EA6FB3"/>
    <w:pPr>
      <w:spacing w:after="120"/>
      <w:ind w:left="283"/>
    </w:pPr>
  </w:style>
  <w:style w:type="character" w:customStyle="1" w:styleId="SangradetextonormalCar">
    <w:name w:val="Sangría de texto normal Car"/>
    <w:basedOn w:val="Fuentedeprrafopredeter"/>
    <w:link w:val="Sangradetextonormal"/>
    <w:uiPriority w:val="99"/>
    <w:semiHidden/>
    <w:rsid w:val="00EA6FB3"/>
    <w:rPr>
      <w:rFonts w:ascii="Times New Roman" w:eastAsia="Times New Roman" w:hAnsi="Times New Roman" w:cs="Times New Roman"/>
      <w:color w:val="000000"/>
      <w:sz w:val="20"/>
      <w:szCs w:val="20"/>
      <w:lang w:val="es-CO" w:eastAsia="es-CO"/>
    </w:rPr>
  </w:style>
  <w:style w:type="paragraph" w:styleId="Textoindependienteprimerasangra2">
    <w:name w:val="Body Text First Indent 2"/>
    <w:basedOn w:val="Sangradetextonormal"/>
    <w:link w:val="Textoindependienteprimerasangra2Car"/>
    <w:uiPriority w:val="99"/>
    <w:unhideWhenUsed/>
    <w:rsid w:val="00EA6FB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A6FB3"/>
    <w:rPr>
      <w:rFonts w:ascii="Times New Roman" w:eastAsia="Times New Roman" w:hAnsi="Times New Roman" w:cs="Times New Roman"/>
      <w:color w:val="000000"/>
      <w:sz w:val="20"/>
      <w:szCs w:val="20"/>
      <w:lang w:val="es-CO" w:eastAsia="es-CO"/>
    </w:rPr>
  </w:style>
  <w:style w:type="paragraph" w:customStyle="1" w:styleId="pf0">
    <w:name w:val="pf0"/>
    <w:basedOn w:val="Normal"/>
    <w:rsid w:val="00C3556A"/>
    <w:pPr>
      <w:spacing w:before="100" w:beforeAutospacing="1" w:after="100" w:afterAutospacing="1"/>
    </w:pPr>
    <w:rPr>
      <w:sz w:val="24"/>
      <w:szCs w:val="24"/>
      <w:lang w:val="es-ES" w:eastAsia="es-ES"/>
    </w:rPr>
  </w:style>
  <w:style w:type="character" w:customStyle="1" w:styleId="cf11">
    <w:name w:val="cf11"/>
    <w:basedOn w:val="Fuentedeprrafopredeter"/>
    <w:rsid w:val="00C3556A"/>
    <w:rPr>
      <w:rFonts w:ascii="Segoe UI" w:hAnsi="Segoe UI" w:cs="Segoe UI" w:hint="default"/>
      <w:b/>
      <w:bCs/>
      <w:sz w:val="18"/>
      <w:szCs w:val="18"/>
    </w:rPr>
  </w:style>
  <w:style w:type="paragraph" w:styleId="Revisin">
    <w:name w:val="Revision"/>
    <w:hidden/>
    <w:uiPriority w:val="99"/>
    <w:semiHidden/>
    <w:rsid w:val="00E43D92"/>
    <w:pPr>
      <w:spacing w:after="0" w:line="240" w:lineRule="auto"/>
    </w:pPr>
    <w:rPr>
      <w:rFonts w:ascii="Times New Roman" w:eastAsia="Times New Roman" w:hAnsi="Times New Roman" w:cs="Times New Roman"/>
      <w:color w:val="000000"/>
      <w:sz w:val="20"/>
      <w:szCs w:val="20"/>
    </w:rPr>
  </w:style>
  <w:style w:type="paragraph" w:customStyle="1" w:styleId="pa7">
    <w:name w:val="pa7"/>
    <w:basedOn w:val="Normal"/>
    <w:rsid w:val="003F4237"/>
    <w:pPr>
      <w:spacing w:before="100" w:beforeAutospacing="1" w:after="100" w:afterAutospacing="1"/>
    </w:pPr>
    <w:rPr>
      <w:sz w:val="24"/>
      <w:szCs w:val="24"/>
      <w:lang w:val="es-ES" w:eastAsia="es-ES"/>
    </w:rPr>
  </w:style>
  <w:style w:type="character" w:customStyle="1" w:styleId="a0">
    <w:name w:val="a0"/>
    <w:basedOn w:val="Fuentedeprrafopredeter"/>
    <w:rsid w:val="003F4237"/>
  </w:style>
  <w:style w:type="character" w:customStyle="1" w:styleId="spelle">
    <w:name w:val="spelle"/>
    <w:basedOn w:val="Fuentedeprrafopredeter"/>
    <w:rsid w:val="003F4237"/>
  </w:style>
  <w:style w:type="character" w:customStyle="1" w:styleId="SinespaciadoCar">
    <w:name w:val="Sin espaciado Car"/>
    <w:aliases w:val="CAPITULO I Car"/>
    <w:link w:val="Sinespaciado"/>
    <w:uiPriority w:val="1"/>
    <w:locked/>
    <w:rsid w:val="00AD0CAD"/>
    <w:rPr>
      <w:rFonts w:ascii="Calibri" w:eastAsia="Calibri" w:hAnsi="Calibri" w:cs="Times New Roman"/>
      <w:lang w:val="es-CO"/>
    </w:rPr>
  </w:style>
  <w:style w:type="character" w:styleId="Textoennegrita">
    <w:name w:val="Strong"/>
    <w:basedOn w:val="Fuentedeprrafopredeter"/>
    <w:uiPriority w:val="22"/>
    <w:qFormat/>
    <w:rsid w:val="00AD0CAD"/>
    <w:rPr>
      <w:b/>
      <w:bCs/>
    </w:rPr>
  </w:style>
  <w:style w:type="character" w:customStyle="1" w:styleId="cf21">
    <w:name w:val="cf21"/>
    <w:basedOn w:val="Fuentedeprrafopredeter"/>
    <w:rsid w:val="00A93E2E"/>
    <w:rPr>
      <w:rFonts w:ascii="Segoe UI" w:hAnsi="Segoe UI" w:cs="Segoe UI" w:hint="default"/>
      <w:b/>
      <w:bCs/>
      <w:sz w:val="18"/>
      <w:szCs w:val="18"/>
    </w:rPr>
  </w:style>
  <w:style w:type="paragraph" w:styleId="Textoindependiente3">
    <w:name w:val="Body Text 3"/>
    <w:basedOn w:val="Normal"/>
    <w:link w:val="Textoindependiente3Car"/>
    <w:uiPriority w:val="99"/>
    <w:semiHidden/>
    <w:unhideWhenUsed/>
    <w:rsid w:val="003C7F8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C7F86"/>
    <w:rPr>
      <w:rFonts w:ascii="Times New Roman" w:eastAsia="Times New Roman" w:hAnsi="Times New Roman" w:cs="Times New Roman"/>
      <w:color w:val="000000"/>
      <w:sz w:val="16"/>
      <w:szCs w:val="16"/>
      <w:lang w:val="es-CO" w:eastAsia="es-CO"/>
    </w:rPr>
  </w:style>
  <w:style w:type="paragraph" w:customStyle="1" w:styleId="Car4">
    <w:name w:val="Car4"/>
    <w:basedOn w:val="Normal"/>
    <w:rsid w:val="00CC6CC1"/>
    <w:pPr>
      <w:spacing w:line="240" w:lineRule="exact"/>
      <w:jc w:val="both"/>
    </w:pPr>
    <w:rPr>
      <w:rFonts w:ascii="Tahoma" w:hAnsi="Tahoma" w:cs="Tahoma"/>
      <w:lang w:val="en-US" w:eastAsia="en-US"/>
    </w:rPr>
  </w:style>
  <w:style w:type="character" w:customStyle="1" w:styleId="Ancladenotaalpie">
    <w:name w:val="Ancla de nota al pie"/>
    <w:rsid w:val="00591EB2"/>
    <w:rPr>
      <w:vertAlign w:val="superscript"/>
    </w:rPr>
  </w:style>
  <w:style w:type="character" w:customStyle="1" w:styleId="FootnoteCharacters">
    <w:name w:val="Footnote Characters"/>
    <w:uiPriority w:val="99"/>
    <w:unhideWhenUsed/>
    <w:qFormat/>
    <w:rsid w:val="00591EB2"/>
    <w:rPr>
      <w:vertAlign w:val="superscript"/>
    </w:rPr>
  </w:style>
  <w:style w:type="character" w:customStyle="1" w:styleId="Caracteresdenotaalpie">
    <w:name w:val="Caracteres de nota al pie"/>
    <w:qFormat/>
    <w:rsid w:val="00591EB2"/>
  </w:style>
  <w:style w:type="paragraph" w:customStyle="1" w:styleId="Ttulo11">
    <w:name w:val="Título 11"/>
    <w:basedOn w:val="Normal"/>
    <w:uiPriority w:val="99"/>
    <w:rsid w:val="00AF382A"/>
    <w:rPr>
      <w:sz w:val="24"/>
      <w:szCs w:val="24"/>
      <w:lang w:val="es-ES" w:eastAsia="es-ES"/>
    </w:rPr>
  </w:style>
  <w:style w:type="table" w:customStyle="1" w:styleId="3">
    <w:name w:val="3"/>
    <w:basedOn w:val="Tablanormal"/>
    <w:rsid w:val="00B55B73"/>
    <w:pPr>
      <w:pBdr>
        <w:top w:val="nil"/>
        <w:left w:val="nil"/>
        <w:bottom w:val="nil"/>
        <w:right w:val="nil"/>
        <w:between w:val="nil"/>
      </w:pBdr>
      <w:spacing w:after="0" w:line="240" w:lineRule="auto"/>
      <w:contextualSpacing/>
    </w:pPr>
    <w:rPr>
      <w:rFonts w:ascii="Calibri" w:eastAsia="Calibri" w:hAnsi="Calibri" w:cs="Calibri"/>
      <w:color w:val="000000"/>
    </w:rPr>
    <w:tblPr>
      <w:tblStyleRowBandSize w:val="1"/>
      <w:tblStyleColBandSize w:val="1"/>
      <w:tblInd w:w="0" w:type="nil"/>
      <w:tblCellMar>
        <w:left w:w="115" w:type="dxa"/>
        <w:right w:w="115" w:type="dxa"/>
      </w:tblCellMar>
    </w:tblPr>
  </w:style>
  <w:style w:type="character" w:customStyle="1" w:styleId="apple-converted-space">
    <w:name w:val="apple-converted-space"/>
    <w:basedOn w:val="Fuentedeprrafopredeter"/>
    <w:rsid w:val="0004016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Car">
    <w:name w:val="Título Car"/>
    <w:basedOn w:val="Fuentedeprrafopredeter"/>
    <w:link w:val="Ttulo"/>
    <w:uiPriority w:val="10"/>
    <w:rPr>
      <w:rFonts w:asciiTheme="majorHAnsi" w:eastAsiaTheme="majorEastAsia" w:hAnsiTheme="majorHAnsi" w:cstheme="majorBidi"/>
      <w:b/>
      <w:bCs/>
      <w:kern w:val="28"/>
      <w:sz w:val="32"/>
      <w:szCs w:val="32"/>
    </w:rPr>
  </w:style>
  <w:style w:type="paragraph" w:styleId="Subttulo">
    <w:name w:val="Subtitle"/>
    <w:basedOn w:val="Normal"/>
    <w:next w:val="Normal"/>
    <w:link w:val="SubttuloCar"/>
    <w:uiPriority w:val="11"/>
    <w:qFormat/>
    <w:pPr>
      <w:keepNext/>
      <w:keepLines/>
      <w:spacing w:before="360" w:after="80"/>
    </w:pPr>
    <w:rPr>
      <w:rFonts w:ascii="Georgia" w:hAnsi="Georgia" w:cs="Georgia"/>
      <w:i/>
      <w:color w:val="666666"/>
      <w:sz w:val="48"/>
      <w:szCs w:val="48"/>
    </w:rPr>
  </w:style>
  <w:style w:type="character" w:customStyle="1" w:styleId="SubttuloCar">
    <w:name w:val="Subtítulo Car"/>
    <w:basedOn w:val="Fuentedeprrafopredeter"/>
    <w:link w:val="Subttulo"/>
    <w:uiPriority w:val="11"/>
    <w:rPr>
      <w:rFonts w:asciiTheme="majorHAnsi" w:eastAsiaTheme="majorEastAsia" w:hAnsiTheme="majorHAnsi" w:cstheme="majorBidi"/>
      <w:sz w:val="24"/>
      <w:szCs w:val="24"/>
    </w:rPr>
  </w:style>
  <w:style w:type="character" w:customStyle="1" w:styleId="Mencinsinresolver1">
    <w:name w:val="Mención sin resolver1"/>
    <w:basedOn w:val="Fuentedeprrafopredeter"/>
    <w:uiPriority w:val="99"/>
    <w:semiHidden/>
    <w:unhideWhenUsed/>
    <w:rsid w:val="007E6007"/>
    <w:rPr>
      <w:rFonts w:cs="Times New Roman"/>
      <w:color w:val="605E5C"/>
      <w:shd w:val="clear" w:color="auto" w:fill="E1DFDD"/>
    </w:rPr>
  </w:style>
  <w:style w:type="character" w:styleId="Hipervnculovisitado">
    <w:name w:val="FollowedHyperlink"/>
    <w:basedOn w:val="Fuentedeprrafopredeter"/>
    <w:uiPriority w:val="99"/>
    <w:semiHidden/>
    <w:unhideWhenUsed/>
    <w:rsid w:val="00464871"/>
    <w:rPr>
      <w:rFonts w:cs="Times New Roman"/>
      <w:color w:val="954F72" w:themeColor="followedHyperlink"/>
      <w:u w:val="single"/>
    </w:rPr>
  </w:style>
  <w:style w:type="character" w:styleId="Nmerodepgina">
    <w:name w:val="page number"/>
    <w:basedOn w:val="Fuentedeprrafopredeter"/>
    <w:uiPriority w:val="99"/>
    <w:semiHidden/>
    <w:unhideWhenUsed/>
    <w:rsid w:val="007B5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15794</Words>
  <Characters>86868</Characters>
  <Application>Microsoft Office Word</Application>
  <DocSecurity>0</DocSecurity>
  <Lines>723</Lines>
  <Paragraphs>204</Paragraphs>
  <ScaleCrop>false</ScaleCrop>
  <Company/>
  <LinksUpToDate>false</LinksUpToDate>
  <CharactersWithSpaces>102458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2024-12-19T13:17:00Z</dcterms:created>
  <dcterms:modified xsi:type="dcterms:W3CDTF">2024-12-19T13:17:00Z</dcterms:modified>
</cp:coreProperties>
</file>