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C06" w:rsidRPr="00F2273F" w:rsidRDefault="006458B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F2273F">
        <w:rPr>
          <w:rFonts w:ascii="Times New Roman" w:hAnsi="Times New Roman" w:cs="Times New Roman"/>
          <w:sz w:val="28"/>
          <w:szCs w:val="24"/>
        </w:rPr>
        <w:t xml:space="preserve"> </w:t>
      </w:r>
    </w:p>
    <w:p w:rsidR="001B3C06" w:rsidRPr="00F2273F" w:rsidRDefault="001B3C06">
      <w:pPr>
        <w:widowControl w:val="0"/>
        <w:autoSpaceDE w:val="0"/>
        <w:autoSpaceDN w:val="0"/>
        <w:adjustRightInd w:val="0"/>
        <w:spacing w:after="0" w:line="240" w:lineRule="auto"/>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center"/>
        <w:rPr>
          <w:rFonts w:ascii="Times New Roman" w:hAnsi="Times New Roman" w:cs="Times New Roman"/>
          <w:b/>
          <w:bCs/>
          <w:sz w:val="28"/>
          <w:szCs w:val="28"/>
        </w:rPr>
      </w:pPr>
      <w:r w:rsidRPr="00F2273F">
        <w:rPr>
          <w:rFonts w:ascii="Times New Roman" w:hAnsi="Times New Roman" w:cs="Times New Roman"/>
          <w:b/>
          <w:bCs/>
          <w:sz w:val="28"/>
          <w:szCs w:val="28"/>
        </w:rPr>
        <w:t xml:space="preserve">TEMAS-SUBTEMAS </w:t>
      </w:r>
    </w:p>
    <w:p w:rsidR="001B3C06" w:rsidRPr="00F2273F" w:rsidRDefault="001B3C06">
      <w:pPr>
        <w:widowControl w:val="0"/>
        <w:autoSpaceDE w:val="0"/>
        <w:autoSpaceDN w:val="0"/>
        <w:adjustRightInd w:val="0"/>
        <w:spacing w:after="0" w:line="240" w:lineRule="auto"/>
        <w:jc w:val="center"/>
        <w:rPr>
          <w:rFonts w:ascii="Times New Roman" w:hAnsi="Times New Roman" w:cs="Times New Roman"/>
          <w:b/>
          <w:bCs/>
          <w:sz w:val="28"/>
          <w:szCs w:val="28"/>
        </w:rPr>
      </w:pPr>
    </w:p>
    <w:p w:rsidR="001B3C06" w:rsidRPr="00F2273F" w:rsidRDefault="006458B4">
      <w:pPr>
        <w:widowControl w:val="0"/>
        <w:autoSpaceDE w:val="0"/>
        <w:autoSpaceDN w:val="0"/>
        <w:adjustRightInd w:val="0"/>
        <w:spacing w:after="0" w:line="240" w:lineRule="auto"/>
        <w:jc w:val="center"/>
        <w:rPr>
          <w:rFonts w:ascii="Times New Roman" w:hAnsi="Times New Roman" w:cs="Times New Roman"/>
          <w:sz w:val="28"/>
          <w:szCs w:val="28"/>
        </w:rPr>
      </w:pPr>
      <w:r w:rsidRPr="00F2273F">
        <w:rPr>
          <w:rFonts w:ascii="Times New Roman" w:hAnsi="Times New Roman" w:cs="Times New Roman"/>
          <w:b/>
          <w:bCs/>
          <w:sz w:val="28"/>
          <w:szCs w:val="28"/>
        </w:rPr>
        <w:t xml:space="preserve">Sentencia C-049/26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PRINCIPIOS DE CONSECUTIVIDAD E IDENTIDAD FLEXIBLE EN PLAN NACIONAL DE DESARROLLO</w:t>
      </w:r>
      <w:r w:rsidRPr="00F2273F">
        <w:rPr>
          <w:rFonts w:ascii="Times New Roman" w:hAnsi="Times New Roman" w:cs="Times New Roman"/>
          <w:sz w:val="28"/>
          <w:szCs w:val="28"/>
        </w:rPr>
        <w:t>-Vulneración porque norma no fue objeto de debate</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i/>
          <w:iCs/>
          <w:sz w:val="28"/>
          <w:szCs w:val="28"/>
        </w:rPr>
        <w:t>(...) está acreditado que no se presentó la deliberación debida sobre las medidas enjuiciadas y se impactó por ende el principio democrático. En el trámite quedó acreditado que este asunto no se discutió mínimamente porque: a) no hubo deliberación particular ni específica respecto de las medidas derogatorias contenidas en el artículo 372 del PND, b) se omitió debatir las dos proposiciones que buscaron su eliminación en la Cámara de Representantes y c) el presidente de esa corporación legislativa expresa y voluntariamente eludió de manera consciente el debate sobre aquellas.</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 DE UNIDAD DE MATERIA EN LEY DEL PLAN NACIONAL DE DESARROLLO</w:t>
      </w:r>
      <w:r w:rsidRPr="00F2273F">
        <w:rPr>
          <w:rFonts w:ascii="Times New Roman" w:hAnsi="Times New Roman" w:cs="Times New Roman"/>
          <w:sz w:val="28"/>
          <w:szCs w:val="28"/>
        </w:rPr>
        <w:t>-Vulneración porque norma no tiene relación de conexidad directa e inmediata con objetivos del Plan Nacional de Desarrollo ni con el plan plurianual de inversiones</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i/>
          <w:iCs/>
          <w:sz w:val="28"/>
          <w:szCs w:val="28"/>
        </w:rPr>
        <w:t xml:space="preserve">(...) la Sala no encuentra una relación de las derogatorias acusadas con los objetivos del plan ni con los programas del plan plurianual de inversiones, porque: (i) subsiste el artículo 74 de la Ley 143 de 1994, pues no fue modificado finalmente por la ley del plan nacional de desarrollo para ajustar el modelo de integración vertical y permitir el ejercicio combinado de la actividad de transmisión, como actividad relevante de ISA, con la generación; y (ii) las derogatorias no contenían un condicionamiento para el ejercicio de las actividades combinadas por medio de FNCER, pues se limitaban a derogar las normas pertinentes de las leyes 142 y 143 sin otra consideración, e incluso la aplicación del artículo 197/218 permitía su realización sin dichas fuentes, lo que supone un obstáculo para establecer su relación específica con la transición energética como propósito transversal del PND.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CONTROL CONSTITUCIONAL</w:t>
      </w:r>
      <w:r w:rsidRPr="00F2273F">
        <w:rPr>
          <w:rFonts w:ascii="Times New Roman" w:hAnsi="Times New Roman" w:cs="Times New Roman"/>
          <w:sz w:val="28"/>
          <w:szCs w:val="28"/>
        </w:rPr>
        <w:t xml:space="preserve">-Requisitos para ampliar el objeto de control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DEMANDA DE INCONSTITUCIONALIDAD</w:t>
      </w:r>
      <w:r w:rsidRPr="00F2273F">
        <w:rPr>
          <w:rFonts w:ascii="Times New Roman" w:hAnsi="Times New Roman" w:cs="Times New Roman"/>
          <w:sz w:val="28"/>
          <w:szCs w:val="28"/>
        </w:rPr>
        <w:t xml:space="preserve">-Improcedencia de pronunciamiento sobre nuevo cargo presentado por interviniente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LEY DEL PLAN NACIONAL DE DESARROLLO</w:t>
      </w:r>
      <w:r w:rsidRPr="00F2273F">
        <w:rPr>
          <w:rFonts w:ascii="Times New Roman" w:hAnsi="Times New Roman" w:cs="Times New Roman"/>
          <w:sz w:val="28"/>
          <w:szCs w:val="28"/>
        </w:rPr>
        <w:t>-Naturaleza y contenido</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i/>
          <w:iCs/>
          <w:sz w:val="28"/>
          <w:szCs w:val="28"/>
        </w:rPr>
        <w:t>El plan de desarrollo de carácter nacional es uno de los instrumentos principales de los que dispone el Gobierno para dirigir la economía del país y contribuir al logro de los fines esenciales del Estado desde una perspectiva de planeación. En el plano constitucional, y de acuerdo con los artículos 339 a 342 superiores, la ley del plan está compuesta por una parte general (propósitos, y objetivos nacionales de largo plazo, las metas y prioridades de la acción estatal a mediano plazo y las estrategias y orientaciones generales de la política económica, social y ambiental del gobierno), un plan de inversiones de las entidades públicas del orden nacional (incluye los presupuestos plurianuales de los principales programas y proyectos de inversión y la especificación de los recursos requeridos para su ejecución, en un marco de sostenibilidad fiscal) y los mecanismos instrumentales apropiados para impulsar su cumplimiento y ejecución.</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LEY DEL PLAN NACIONAL DE DESARROLLO</w:t>
      </w:r>
      <w:r w:rsidRPr="00F2273F">
        <w:rPr>
          <w:rFonts w:ascii="Times New Roman" w:hAnsi="Times New Roman" w:cs="Times New Roman"/>
          <w:sz w:val="28"/>
          <w:szCs w:val="28"/>
        </w:rPr>
        <w:t xml:space="preserve">-Elaboración y trámite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 DE CONSECUTIVIDAD EN TRAMITE LEGISLATIVO</w:t>
      </w:r>
      <w:r w:rsidRPr="00F2273F">
        <w:rPr>
          <w:rFonts w:ascii="Times New Roman" w:hAnsi="Times New Roman" w:cs="Times New Roman"/>
          <w:sz w:val="28"/>
          <w:szCs w:val="28"/>
        </w:rPr>
        <w:t xml:space="preserve">-Contenido y alcance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 DE IDENTIDAD FLEXIBLE EN TRAMITE LEGISLATIVO</w:t>
      </w:r>
      <w:r w:rsidRPr="00F2273F">
        <w:rPr>
          <w:rFonts w:ascii="Times New Roman" w:hAnsi="Times New Roman" w:cs="Times New Roman"/>
          <w:sz w:val="28"/>
          <w:szCs w:val="28"/>
        </w:rPr>
        <w:t xml:space="preserve">-Contenido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PRINCIPIOS DE CONSECUTIVIDAD E IDENTIDAD FLEXIBLE EN LA APROBACION DE LA LEY DEL PLAN NACIONAL DE DESARROLLO</w:t>
      </w:r>
      <w:r w:rsidRPr="00F2273F">
        <w:rPr>
          <w:rFonts w:ascii="Times New Roman" w:hAnsi="Times New Roman" w:cs="Times New Roman"/>
          <w:sz w:val="28"/>
          <w:szCs w:val="28"/>
        </w:rPr>
        <w:t>-Alcance</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i/>
          <w:iCs/>
          <w:sz w:val="28"/>
          <w:szCs w:val="28"/>
        </w:rPr>
        <w:t>(...) los criterios para verificar el cumplimiento de los principios de consecutividad e identidad flexible en la ley aprobatoria del plan nacional de desarrollo son los siguientes: primero, es posible introducir disposiciones nuevas en el segundo debate, siempre y cuando estas (a) tengan un vínculo razonable con las temáticas generales del PND y (b) hayan sido objeto de discusión en cada uno de los debates. Estas dos condiciones son concurrentes para poder afirmar que el asunto nuevo incorporado en segundo debate respeta los principios de consecutividad e identidad flexible. Segundo, se violan los principios de consecutividad e identidad flexible cuando la disposición nueva introducida en segundo debate no guarda cercanía temática con lo discutido en primer debate, sino que constituye más bien una materia autónoma e independiente. Tercero, la cercanía temática implica que el proyecto estudiado en primer debate y la disposición introducida en segundo debate guarden una relación clara, estrecha, necesaria y evidente.</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CONTROL DE CONSTITUCIONALIDAD POR VULNERACION DEL PRINCIPIO DE UNIDAD DE MATERIA</w:t>
      </w:r>
      <w:r w:rsidRPr="00F2273F">
        <w:rPr>
          <w:rFonts w:ascii="Times New Roman" w:hAnsi="Times New Roman" w:cs="Times New Roman"/>
          <w:sz w:val="28"/>
          <w:szCs w:val="28"/>
        </w:rPr>
        <w:t xml:space="preserve">-Metodología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PRINCIPIO DE UNIDAD DE MATERIA APLICADO EN LEY DEL PLAN NACIONAL DE DESARROLLO</w:t>
      </w:r>
      <w:r w:rsidRPr="00F2273F">
        <w:rPr>
          <w:rFonts w:ascii="Times New Roman" w:hAnsi="Times New Roman" w:cs="Times New Roman"/>
          <w:sz w:val="28"/>
          <w:szCs w:val="28"/>
        </w:rPr>
        <w:t>-Escrutinio de mayor intensidad</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i/>
          <w:iCs/>
          <w:sz w:val="28"/>
          <w:szCs w:val="28"/>
        </w:rPr>
        <w:t>En este caso, el test debe ser estricto porque la vigencia de los enunciados normativos acusados exceden el lapso cuatrienal propio del PND e implican una modificación de normas legales adoptadas por el legislador en ejercicio de sus competencias constitucionales ordinarias, por lo que tienen una vocación de permanencia.</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PLAN NACIONAL DE INVERSIONES</w:t>
      </w:r>
      <w:r w:rsidRPr="00F2273F">
        <w:rPr>
          <w:rFonts w:ascii="Times New Roman" w:hAnsi="Times New Roman" w:cs="Times New Roman"/>
          <w:sz w:val="28"/>
          <w:szCs w:val="28"/>
        </w:rPr>
        <w:t xml:space="preserve">-Alcance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6458B4">
      <w:pPr>
        <w:widowControl w:val="0"/>
        <w:autoSpaceDE w:val="0"/>
        <w:autoSpaceDN w:val="0"/>
        <w:adjustRightInd w:val="0"/>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REVIVISCENCIA DE NORMA DEROGADA</w:t>
      </w:r>
      <w:r w:rsidRPr="00F2273F">
        <w:rPr>
          <w:rFonts w:ascii="Times New Roman" w:hAnsi="Times New Roman" w:cs="Times New Roman"/>
          <w:sz w:val="28"/>
          <w:szCs w:val="28"/>
        </w:rPr>
        <w:t xml:space="preserve">-Aplicación </w:t>
      </w:r>
    </w:p>
    <w:p w:rsidR="001B3C06" w:rsidRPr="00F2273F" w:rsidRDefault="001B3C06">
      <w:pPr>
        <w:widowControl w:val="0"/>
        <w:autoSpaceDE w:val="0"/>
        <w:autoSpaceDN w:val="0"/>
        <w:adjustRightInd w:val="0"/>
        <w:spacing w:after="0" w:line="240" w:lineRule="auto"/>
        <w:jc w:val="both"/>
        <w:rPr>
          <w:rFonts w:ascii="Times New Roman" w:hAnsi="Times New Roman" w:cs="Times New Roman"/>
          <w:sz w:val="28"/>
          <w:szCs w:val="28"/>
        </w:rPr>
      </w:pPr>
    </w:p>
    <w:p w:rsidR="001B3C06" w:rsidRPr="00F2273F" w:rsidRDefault="00F2273F">
      <w:pPr>
        <w:widowControl w:val="0"/>
        <w:autoSpaceDE w:val="0"/>
        <w:autoSpaceDN w:val="0"/>
        <w:adjustRightInd w:val="0"/>
        <w:spacing w:after="0" w:line="240" w:lineRule="auto"/>
        <w:jc w:val="both"/>
        <w:rPr>
          <w:rFonts w:ascii="Times New Roman" w:hAnsi="Times New Roman" w:cs="Times New Roman"/>
          <w:sz w:val="28"/>
        </w:rPr>
      </w:pPr>
      <w:r w:rsidRPr="00F2273F">
        <w:rPr>
          <w:rFonts w:ascii="Times New Roman" w:hAnsi="Times New Roman" w:cs="Times New Roman"/>
          <w:sz w:val="28"/>
          <w:szCs w:val="28"/>
        </w:rPr>
        <w:pict>
          <v:rect id="_x0000_i1025" style="width:0;height:1.5pt" o:hralign="center" o:hrstd="t" o:hr="t" fillcolor="#a0a0a0" stroked="f"/>
        </w:pict>
      </w:r>
    </w:p>
    <w:p w:rsidR="00EB7E9F" w:rsidRPr="00F2273F" w:rsidRDefault="00F2273F" w:rsidP="0024713D">
      <w:pPr>
        <w:pStyle w:val="Encabezado"/>
        <w:tabs>
          <w:tab w:val="left" w:pos="142"/>
        </w:tabs>
        <w:contextualSpacing/>
        <w:mirrorIndents/>
        <w:jc w:val="center"/>
        <w:rPr>
          <w:rFonts w:ascii="Times New Roman" w:hAnsi="Times New Roman" w:cs="Times New Roman"/>
          <w:b/>
          <w:bCs/>
          <w:sz w:val="28"/>
          <w:szCs w:val="28"/>
          <w:lang w:val="pt-PT"/>
        </w:rPr>
      </w:pPr>
    </w:p>
    <w:p w:rsidR="007C63F9" w:rsidRPr="00F2273F" w:rsidRDefault="00F2273F" w:rsidP="0024713D">
      <w:pPr>
        <w:pStyle w:val="Encabezado"/>
        <w:tabs>
          <w:tab w:val="left" w:pos="142"/>
        </w:tabs>
        <w:contextualSpacing/>
        <w:mirrorIndents/>
        <w:jc w:val="center"/>
        <w:rPr>
          <w:rFonts w:ascii="Times New Roman" w:hAnsi="Times New Roman" w:cs="Times New Roman"/>
          <w:b/>
          <w:bCs/>
          <w:sz w:val="28"/>
          <w:szCs w:val="28"/>
          <w:lang w:val="pt-PT"/>
        </w:rPr>
      </w:pPr>
      <w:r w:rsidRPr="00F2273F">
        <w:rPr>
          <w:rFonts w:ascii="Times New Roman" w:hAnsi="Times New Roman" w:cs="Times New Roman"/>
          <w:b/>
          <w:bCs/>
          <w:sz w:val="28"/>
          <w:szCs w:val="28"/>
          <w:lang w:val="pt-PT"/>
        </w:rPr>
        <w:t>REPÚBLICA DE COLOMBIA</w:t>
      </w:r>
    </w:p>
    <w:p w:rsidR="007C63F9" w:rsidRPr="00F2273F" w:rsidRDefault="00F2273F" w:rsidP="00351E4F">
      <w:pPr>
        <w:pStyle w:val="Encabezado"/>
        <w:tabs>
          <w:tab w:val="left" w:pos="142"/>
        </w:tabs>
        <w:contextualSpacing/>
        <w:mirrorIndents/>
        <w:rPr>
          <w:rFonts w:ascii="Times New Roman" w:hAnsi="Times New Roman" w:cs="Times New Roman"/>
          <w:b/>
          <w:bCs/>
          <w:sz w:val="28"/>
          <w:szCs w:val="28"/>
          <w:lang w:val="pt-PT"/>
        </w:rPr>
      </w:pPr>
    </w:p>
    <w:p w:rsidR="007C63F9" w:rsidRPr="00F2273F" w:rsidRDefault="00F2273F" w:rsidP="0024713D">
      <w:pPr>
        <w:pStyle w:val="Encabezado"/>
        <w:tabs>
          <w:tab w:val="left" w:pos="142"/>
        </w:tabs>
        <w:contextualSpacing/>
        <w:mirrorIndents/>
        <w:jc w:val="center"/>
        <w:rPr>
          <w:rFonts w:ascii="Times New Roman" w:hAnsi="Times New Roman" w:cs="Times New Roman"/>
          <w:b/>
          <w:bCs/>
          <w:sz w:val="28"/>
          <w:szCs w:val="28"/>
          <w:lang w:val="pt-PT"/>
        </w:rPr>
      </w:pPr>
      <w:r w:rsidRPr="00F2273F">
        <w:rPr>
          <w:rFonts w:ascii="Times New Roman" w:hAnsi="Times New Roman" w:cs="Times New Roman"/>
          <w:b/>
          <w:bCs/>
          <w:noProof/>
          <w:sz w:val="28"/>
          <w:szCs w:val="28"/>
          <w:lang w:val="pt-PT"/>
        </w:rPr>
        <w:drawing>
          <wp:inline distT="0" distB="0" distL="0" distR="0" wp14:anchorId="6FD68592" wp14:editId="42758298">
            <wp:extent cx="719455" cy="71945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rsidR="00883C7F" w:rsidRPr="00F2273F" w:rsidRDefault="00F2273F" w:rsidP="0092190F">
      <w:pPr>
        <w:pStyle w:val="Encabezado"/>
        <w:tabs>
          <w:tab w:val="left" w:pos="142"/>
        </w:tabs>
        <w:contextualSpacing/>
        <w:mirrorIndents/>
        <w:rPr>
          <w:rFonts w:ascii="Times New Roman" w:hAnsi="Times New Roman" w:cs="Times New Roman"/>
          <w:b/>
          <w:bCs/>
          <w:sz w:val="28"/>
          <w:szCs w:val="28"/>
          <w:lang w:val="pt-PT"/>
        </w:rPr>
      </w:pPr>
    </w:p>
    <w:p w:rsidR="007C63F9" w:rsidRPr="00F2273F" w:rsidRDefault="00F2273F" w:rsidP="0024713D">
      <w:pPr>
        <w:pStyle w:val="Encabezado"/>
        <w:tabs>
          <w:tab w:val="left" w:pos="142"/>
        </w:tabs>
        <w:contextualSpacing/>
        <w:mirrorIndents/>
        <w:jc w:val="center"/>
        <w:rPr>
          <w:rFonts w:ascii="Times New Roman" w:hAnsi="Times New Roman" w:cs="Times New Roman"/>
          <w:b/>
          <w:bCs/>
          <w:sz w:val="28"/>
          <w:szCs w:val="28"/>
          <w:lang w:val="pt-PT"/>
        </w:rPr>
      </w:pPr>
      <w:r w:rsidRPr="00F2273F">
        <w:rPr>
          <w:rFonts w:ascii="Times New Roman" w:hAnsi="Times New Roman" w:cs="Times New Roman"/>
          <w:b/>
          <w:bCs/>
          <w:sz w:val="28"/>
          <w:szCs w:val="28"/>
          <w:lang w:val="pt-PT"/>
        </w:rPr>
        <w:t>CORTE CONSTITUCIONAL</w:t>
      </w:r>
    </w:p>
    <w:p w:rsidR="007C63F9" w:rsidRPr="00F2273F" w:rsidRDefault="00F2273F" w:rsidP="0024713D">
      <w:pPr>
        <w:pStyle w:val="Encabezado"/>
        <w:tabs>
          <w:tab w:val="left" w:pos="142"/>
        </w:tabs>
        <w:autoSpaceDE w:val="0"/>
        <w:autoSpaceDN w:val="0"/>
        <w:adjustRightInd w:val="0"/>
        <w:contextualSpacing/>
        <w:mirrorIndents/>
        <w:jc w:val="center"/>
        <w:rPr>
          <w:rFonts w:ascii="Times New Roman" w:hAnsi="Times New Roman" w:cs="Times New Roman"/>
          <w:b/>
          <w:sz w:val="28"/>
          <w:szCs w:val="28"/>
          <w:lang w:val="pt-PT"/>
        </w:rPr>
      </w:pPr>
      <w:r w:rsidRPr="00F2273F">
        <w:rPr>
          <w:rFonts w:ascii="Times New Roman" w:hAnsi="Times New Roman" w:cs="Times New Roman"/>
          <w:b/>
          <w:bCs/>
          <w:sz w:val="28"/>
          <w:szCs w:val="28"/>
          <w:lang w:val="pt-PT"/>
        </w:rPr>
        <w:t>Sala Plena</w:t>
      </w:r>
    </w:p>
    <w:p w:rsidR="027D313F" w:rsidRPr="00F2273F" w:rsidRDefault="00F2273F" w:rsidP="0024713D">
      <w:pPr>
        <w:pStyle w:val="Encabezado"/>
        <w:tabs>
          <w:tab w:val="left" w:pos="142"/>
        </w:tabs>
        <w:contextualSpacing/>
        <w:mirrorIndents/>
        <w:jc w:val="center"/>
        <w:rPr>
          <w:rFonts w:ascii="Times New Roman" w:hAnsi="Times New Roman" w:cs="Times New Roman"/>
          <w:b/>
          <w:bCs/>
          <w:sz w:val="28"/>
          <w:szCs w:val="28"/>
          <w:lang w:val="pt-PT"/>
        </w:rPr>
      </w:pPr>
    </w:p>
    <w:p w:rsidR="007C63F9" w:rsidRPr="00F2273F" w:rsidRDefault="00F2273F" w:rsidP="0024713D">
      <w:pPr>
        <w:tabs>
          <w:tab w:val="left" w:pos="142"/>
        </w:tabs>
        <w:spacing w:after="0" w:line="240" w:lineRule="auto"/>
        <w:ind w:right="49"/>
        <w:contextualSpacing/>
        <w:mirrorIndents/>
        <w:jc w:val="center"/>
        <w:rPr>
          <w:rFonts w:ascii="Times New Roman" w:eastAsia="Times New Roman" w:hAnsi="Times New Roman" w:cs="Times New Roman"/>
          <w:b/>
          <w:sz w:val="28"/>
          <w:szCs w:val="28"/>
        </w:rPr>
      </w:pPr>
      <w:r w:rsidRPr="00F2273F">
        <w:rPr>
          <w:rFonts w:ascii="Times New Roman" w:eastAsia="Times New Roman" w:hAnsi="Times New Roman" w:cs="Times New Roman"/>
          <w:b/>
          <w:sz w:val="28"/>
          <w:szCs w:val="28"/>
        </w:rPr>
        <w:t xml:space="preserve">SENTENCIA </w:t>
      </w:r>
      <w:r w:rsidRPr="00F2273F">
        <w:rPr>
          <w:rFonts w:ascii="Times New Roman" w:eastAsia="Times New Roman" w:hAnsi="Times New Roman" w:cs="Times New Roman"/>
          <w:b/>
          <w:sz w:val="28"/>
          <w:szCs w:val="28"/>
        </w:rPr>
        <w:t>C</w:t>
      </w:r>
      <w:r w:rsidRPr="00F2273F">
        <w:rPr>
          <w:rFonts w:ascii="Times New Roman" w:eastAsia="Times New Roman" w:hAnsi="Times New Roman" w:cs="Times New Roman"/>
          <w:b/>
          <w:sz w:val="28"/>
          <w:szCs w:val="28"/>
        </w:rPr>
        <w:t>-</w:t>
      </w:r>
      <w:r w:rsidRPr="00F2273F">
        <w:rPr>
          <w:rFonts w:ascii="Times New Roman" w:eastAsia="Times New Roman" w:hAnsi="Times New Roman" w:cs="Times New Roman"/>
          <w:b/>
          <w:sz w:val="28"/>
          <w:szCs w:val="28"/>
        </w:rPr>
        <w:t xml:space="preserve">049 </w:t>
      </w:r>
      <w:r w:rsidRPr="00F2273F">
        <w:rPr>
          <w:rFonts w:ascii="Times New Roman" w:eastAsia="Times New Roman" w:hAnsi="Times New Roman" w:cs="Times New Roman"/>
          <w:b/>
          <w:sz w:val="28"/>
          <w:szCs w:val="28"/>
        </w:rPr>
        <w:t xml:space="preserve">DE </w:t>
      </w:r>
      <w:r w:rsidRPr="00F2273F">
        <w:rPr>
          <w:rFonts w:ascii="Times New Roman" w:eastAsia="Times New Roman" w:hAnsi="Times New Roman" w:cs="Times New Roman"/>
          <w:b/>
          <w:bCs/>
          <w:sz w:val="28"/>
          <w:szCs w:val="28"/>
        </w:rPr>
        <w:t>202</w:t>
      </w:r>
      <w:r w:rsidRPr="00F2273F">
        <w:rPr>
          <w:rFonts w:ascii="Times New Roman" w:eastAsia="Times New Roman" w:hAnsi="Times New Roman" w:cs="Times New Roman"/>
          <w:b/>
          <w:bCs/>
          <w:sz w:val="28"/>
          <w:szCs w:val="28"/>
        </w:rPr>
        <w:t>6</w:t>
      </w:r>
    </w:p>
    <w:p w:rsidR="00461CA1" w:rsidRPr="00F2273F" w:rsidRDefault="00F2273F" w:rsidP="00D90D66">
      <w:pPr>
        <w:tabs>
          <w:tab w:val="left" w:pos="142"/>
        </w:tabs>
        <w:autoSpaceDE w:val="0"/>
        <w:autoSpaceDN w:val="0"/>
        <w:adjustRightInd w:val="0"/>
        <w:spacing w:after="0" w:line="240" w:lineRule="auto"/>
        <w:ind w:right="49"/>
        <w:contextualSpacing/>
        <w:mirrorIndents/>
        <w:outlineLvl w:val="0"/>
        <w:rPr>
          <w:rFonts w:ascii="Times New Roman" w:eastAsia="Times New Roman" w:hAnsi="Times New Roman" w:cs="Times New Roman"/>
          <w:sz w:val="28"/>
          <w:szCs w:val="28"/>
          <w:lang w:eastAsia="es-ES"/>
        </w:rPr>
      </w:pP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sz w:val="28"/>
          <w:szCs w:val="28"/>
          <w:lang w:val="es-ES_tradnl" w:eastAsia="es-ES"/>
        </w:rPr>
      </w:pPr>
      <w:r w:rsidRPr="00F2273F">
        <w:rPr>
          <w:rFonts w:ascii="Times New Roman" w:eastAsia="Times New Roman" w:hAnsi="Times New Roman" w:cs="Times New Roman"/>
          <w:b/>
          <w:sz w:val="28"/>
          <w:szCs w:val="28"/>
          <w:lang w:val="es-ES_tradnl" w:eastAsia="es-ES"/>
        </w:rPr>
        <w:t>Referencia:</w:t>
      </w:r>
      <w:r w:rsidRPr="00F2273F">
        <w:rPr>
          <w:rFonts w:ascii="Times New Roman" w:eastAsia="Times New Roman" w:hAnsi="Times New Roman" w:cs="Times New Roman"/>
          <w:sz w:val="28"/>
          <w:szCs w:val="28"/>
          <w:lang w:val="es-ES_tradnl" w:eastAsia="es-ES"/>
        </w:rPr>
        <w:t xml:space="preserve"> expediente D-15499</w:t>
      </w: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sz w:val="28"/>
          <w:szCs w:val="28"/>
          <w:lang w:val="es-ES" w:eastAsia="es-ES"/>
        </w:rPr>
      </w:pP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i/>
          <w:iCs/>
          <w:sz w:val="28"/>
          <w:szCs w:val="28"/>
          <w:lang w:eastAsia="es-ES"/>
        </w:rPr>
      </w:pPr>
      <w:bookmarkStart w:id="1" w:name="_Hlk112253936"/>
      <w:r w:rsidRPr="00F2273F">
        <w:rPr>
          <w:rFonts w:ascii="Times New Roman" w:eastAsia="Times New Roman" w:hAnsi="Times New Roman" w:cs="Times New Roman"/>
          <w:b/>
          <w:bCs/>
          <w:sz w:val="28"/>
          <w:szCs w:val="28"/>
          <w:lang w:eastAsia="es-ES"/>
        </w:rPr>
        <w:t>Asunto:</w:t>
      </w:r>
      <w:r w:rsidRPr="00F2273F">
        <w:rPr>
          <w:rFonts w:ascii="Times New Roman" w:eastAsia="Times New Roman" w:hAnsi="Times New Roman" w:cs="Times New Roman"/>
          <w:sz w:val="28"/>
          <w:szCs w:val="28"/>
          <w:lang w:eastAsia="es-ES"/>
        </w:rPr>
        <w:t xml:space="preserve"> acción pública de inconstitucionalidad contra </w:t>
      </w:r>
      <w:r w:rsidRPr="00F2273F">
        <w:rPr>
          <w:rFonts w:ascii="Times New Roman" w:hAnsi="Times New Roman" w:cs="Times New Roman"/>
          <w:sz w:val="28"/>
          <w:szCs w:val="28"/>
          <w:shd w:val="clear" w:color="auto" w:fill="FFFFFF"/>
        </w:rPr>
        <w:t xml:space="preserve">el artículo 372 (parcial) </w:t>
      </w:r>
      <w:r w:rsidRPr="00F2273F">
        <w:rPr>
          <w:rFonts w:ascii="Times New Roman" w:eastAsia="Times New Roman" w:hAnsi="Times New Roman" w:cs="Times New Roman"/>
          <w:sz w:val="28"/>
          <w:szCs w:val="28"/>
          <w:lang w:eastAsia="es-ES"/>
        </w:rPr>
        <w:t xml:space="preserve">de la Ley 2294 de 2023, “por </w:t>
      </w:r>
      <w:r w:rsidRPr="00F2273F">
        <w:rPr>
          <w:rFonts w:ascii="Times New Roman" w:eastAsia="Times New Roman" w:hAnsi="Times New Roman" w:cs="Times New Roman"/>
          <w:sz w:val="28"/>
          <w:szCs w:val="28"/>
          <w:lang w:eastAsia="es-ES"/>
        </w:rPr>
        <w:t xml:space="preserve">la </w:t>
      </w:r>
      <w:r w:rsidRPr="00F2273F">
        <w:rPr>
          <w:rFonts w:ascii="Times New Roman" w:eastAsia="Times New Roman" w:hAnsi="Times New Roman" w:cs="Times New Roman"/>
          <w:sz w:val="28"/>
          <w:szCs w:val="28"/>
          <w:lang w:eastAsia="es-ES"/>
        </w:rPr>
        <w:t>cual se expide el Plan Nacional de Desarrollo 2022-2026 “Colombia Potencia Mundial de la Vida”</w:t>
      </w:r>
    </w:p>
    <w:bookmarkEnd w:id="1"/>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bCs/>
          <w:sz w:val="28"/>
          <w:szCs w:val="28"/>
          <w:lang w:eastAsia="es-ES"/>
        </w:rPr>
      </w:pP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sz w:val="28"/>
          <w:szCs w:val="28"/>
          <w:lang w:val="es-ES_tradnl" w:eastAsia="es-ES"/>
        </w:rPr>
      </w:pPr>
      <w:r w:rsidRPr="00F2273F">
        <w:rPr>
          <w:rFonts w:ascii="Times New Roman" w:eastAsia="Times New Roman" w:hAnsi="Times New Roman" w:cs="Times New Roman"/>
          <w:b/>
          <w:sz w:val="28"/>
          <w:szCs w:val="28"/>
          <w:lang w:val="es-ES" w:eastAsia="es-ES"/>
        </w:rPr>
        <w:t xml:space="preserve">Demandantes: </w:t>
      </w:r>
      <w:r w:rsidRPr="00F2273F">
        <w:rPr>
          <w:rFonts w:ascii="Times New Roman" w:eastAsia="Times New Roman" w:hAnsi="Times New Roman" w:cs="Times New Roman"/>
          <w:sz w:val="28"/>
          <w:szCs w:val="28"/>
          <w:lang w:val="es-ES" w:eastAsia="es-ES"/>
        </w:rPr>
        <w:t>José Fernando Plata Puyana y Felipe Serrano Pinilla</w:t>
      </w: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bCs/>
          <w:sz w:val="28"/>
          <w:szCs w:val="28"/>
          <w:lang w:val="es-ES_tradnl" w:eastAsia="es-ES"/>
        </w:rPr>
      </w:pPr>
    </w:p>
    <w:p w:rsidR="00DF0ADE" w:rsidRPr="00F2273F" w:rsidRDefault="00F2273F" w:rsidP="00DF0ADE">
      <w:pPr>
        <w:tabs>
          <w:tab w:val="left" w:pos="142"/>
        </w:tabs>
        <w:spacing w:after="0" w:line="240" w:lineRule="auto"/>
        <w:ind w:left="3969" w:right="49"/>
        <w:contextualSpacing/>
        <w:mirrorIndents/>
        <w:jc w:val="both"/>
        <w:outlineLvl w:val="0"/>
        <w:rPr>
          <w:rFonts w:ascii="Times New Roman" w:eastAsia="Times New Roman" w:hAnsi="Times New Roman" w:cs="Times New Roman"/>
          <w:bCs/>
          <w:sz w:val="28"/>
          <w:szCs w:val="28"/>
          <w:lang w:val="es-ES_tradnl" w:eastAsia="es-ES"/>
        </w:rPr>
      </w:pPr>
      <w:r w:rsidRPr="00F2273F">
        <w:rPr>
          <w:rFonts w:ascii="Times New Roman" w:eastAsia="Times New Roman" w:hAnsi="Times New Roman" w:cs="Times New Roman"/>
          <w:b/>
          <w:sz w:val="28"/>
          <w:szCs w:val="28"/>
          <w:lang w:val="es-ES_tradnl" w:eastAsia="es-ES"/>
        </w:rPr>
        <w:t>Temas:</w:t>
      </w:r>
      <w:r w:rsidRPr="00F2273F">
        <w:rPr>
          <w:rFonts w:ascii="Times New Roman" w:eastAsia="Times New Roman" w:hAnsi="Times New Roman" w:cs="Times New Roman"/>
          <w:bCs/>
          <w:sz w:val="28"/>
          <w:szCs w:val="28"/>
          <w:lang w:val="es-ES_tradnl" w:eastAsia="es-ES"/>
        </w:rPr>
        <w:t xml:space="preserve"> principio</w:t>
      </w:r>
      <w:r w:rsidRPr="00F2273F">
        <w:rPr>
          <w:rFonts w:ascii="Times New Roman" w:eastAsia="Times New Roman" w:hAnsi="Times New Roman" w:cs="Times New Roman"/>
          <w:bCs/>
          <w:sz w:val="28"/>
          <w:szCs w:val="28"/>
          <w:lang w:val="es-ES_tradnl" w:eastAsia="es-ES"/>
        </w:rPr>
        <w:t>s</w:t>
      </w:r>
      <w:r w:rsidRPr="00F2273F">
        <w:rPr>
          <w:rFonts w:ascii="Times New Roman" w:eastAsia="Times New Roman" w:hAnsi="Times New Roman" w:cs="Times New Roman"/>
          <w:bCs/>
          <w:sz w:val="28"/>
          <w:szCs w:val="28"/>
          <w:lang w:val="es-ES_tradnl" w:eastAsia="es-ES"/>
        </w:rPr>
        <w:t xml:space="preserve"> de consecutividad, identidad flexible y unidad de materia respecto </w:t>
      </w:r>
      <w:r w:rsidRPr="00F2273F">
        <w:rPr>
          <w:rFonts w:ascii="Times New Roman" w:eastAsia="Times New Roman" w:hAnsi="Times New Roman" w:cs="Times New Roman"/>
          <w:bCs/>
          <w:sz w:val="28"/>
          <w:szCs w:val="28"/>
          <w:lang w:val="es-ES_tradnl" w:eastAsia="es-ES"/>
        </w:rPr>
        <w:t>de disposición</w:t>
      </w:r>
      <w:r w:rsidRPr="00F2273F">
        <w:rPr>
          <w:rFonts w:ascii="Times New Roman" w:eastAsia="Times New Roman" w:hAnsi="Times New Roman" w:cs="Times New Roman"/>
          <w:bCs/>
          <w:sz w:val="28"/>
          <w:szCs w:val="28"/>
          <w:lang w:val="es-ES_tradnl" w:eastAsia="es-ES"/>
        </w:rPr>
        <w:t xml:space="preserve"> que deroga prohibición de integración vertical </w:t>
      </w:r>
      <w:r w:rsidRPr="00F2273F">
        <w:rPr>
          <w:rFonts w:ascii="Times New Roman" w:eastAsia="Times New Roman" w:hAnsi="Times New Roman" w:cs="Times New Roman"/>
          <w:bCs/>
          <w:sz w:val="28"/>
          <w:szCs w:val="28"/>
          <w:lang w:val="es-ES_tradnl" w:eastAsia="es-ES"/>
        </w:rPr>
        <w:t xml:space="preserve">de la </w:t>
      </w:r>
      <w:r w:rsidRPr="00F2273F">
        <w:rPr>
          <w:rFonts w:ascii="Times New Roman" w:hAnsi="Times New Roman" w:cs="Times New Roman"/>
          <w:sz w:val="28"/>
          <w:szCs w:val="28"/>
          <w:lang w:eastAsia="es-ES"/>
        </w:rPr>
        <w:t xml:space="preserve">empresa encargada del servicio de </w:t>
      </w:r>
      <w:r w:rsidRPr="00F2273F">
        <w:rPr>
          <w:rFonts w:ascii="Times New Roman" w:hAnsi="Times New Roman" w:cs="Times New Roman"/>
          <w:sz w:val="28"/>
          <w:szCs w:val="28"/>
          <w:lang w:eastAsia="es-ES"/>
        </w:rPr>
        <w:t>interconexión nacional</w:t>
      </w:r>
      <w:r w:rsidRPr="00F2273F">
        <w:rPr>
          <w:rFonts w:ascii="Times New Roman" w:eastAsia="Times New Roman" w:hAnsi="Times New Roman" w:cs="Times New Roman"/>
          <w:bCs/>
          <w:sz w:val="28"/>
          <w:szCs w:val="28"/>
          <w:lang w:val="es-ES_tradnl" w:eastAsia="es-ES"/>
        </w:rPr>
        <w:t xml:space="preserve"> </w:t>
      </w:r>
      <w:r w:rsidRPr="00F2273F">
        <w:rPr>
          <w:rFonts w:ascii="Times New Roman" w:eastAsia="Times New Roman" w:hAnsi="Times New Roman" w:cs="Times New Roman"/>
          <w:bCs/>
          <w:sz w:val="28"/>
          <w:szCs w:val="28"/>
          <w:lang w:val="es-ES_tradnl" w:eastAsia="es-ES"/>
        </w:rPr>
        <w:t xml:space="preserve">en el </w:t>
      </w:r>
      <w:r w:rsidRPr="00F2273F">
        <w:rPr>
          <w:rFonts w:ascii="Times New Roman" w:eastAsia="Times New Roman" w:hAnsi="Times New Roman" w:cs="Times New Roman"/>
          <w:bCs/>
          <w:sz w:val="28"/>
          <w:szCs w:val="28"/>
          <w:lang w:val="es-ES_tradnl" w:eastAsia="es-ES"/>
        </w:rPr>
        <w:t>PND</w:t>
      </w:r>
    </w:p>
    <w:p w:rsidR="00DF0ADE" w:rsidRPr="00F2273F" w:rsidRDefault="00F2273F" w:rsidP="00DF0ADE">
      <w:pPr>
        <w:tabs>
          <w:tab w:val="left" w:pos="142"/>
        </w:tabs>
        <w:spacing w:after="0" w:line="240" w:lineRule="auto"/>
        <w:ind w:left="3969" w:right="49"/>
        <w:contextualSpacing/>
        <w:mirrorIndents/>
        <w:jc w:val="both"/>
        <w:outlineLvl w:val="0"/>
        <w:rPr>
          <w:rFonts w:ascii="Times New Roman" w:eastAsia="Times New Roman" w:hAnsi="Times New Roman" w:cs="Times New Roman"/>
          <w:bCs/>
          <w:sz w:val="28"/>
          <w:szCs w:val="28"/>
          <w:lang w:val="es-ES_tradnl" w:eastAsia="es-ES"/>
        </w:rPr>
      </w:pP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sz w:val="28"/>
          <w:szCs w:val="28"/>
          <w:lang w:val="es-ES_tradnl" w:eastAsia="es-ES"/>
        </w:rPr>
      </w:pPr>
      <w:r w:rsidRPr="00F2273F">
        <w:rPr>
          <w:rFonts w:ascii="Times New Roman" w:eastAsia="Times New Roman" w:hAnsi="Times New Roman" w:cs="Times New Roman"/>
          <w:b/>
          <w:sz w:val="28"/>
          <w:szCs w:val="28"/>
          <w:lang w:val="es-ES_tradnl" w:eastAsia="es-ES"/>
        </w:rPr>
        <w:t xml:space="preserve">Magistrado </w:t>
      </w:r>
      <w:r w:rsidRPr="00F2273F">
        <w:rPr>
          <w:rFonts w:ascii="Times New Roman" w:eastAsia="Times New Roman" w:hAnsi="Times New Roman" w:cs="Times New Roman"/>
          <w:b/>
          <w:sz w:val="28"/>
          <w:szCs w:val="28"/>
          <w:lang w:val="es-ES_tradnl" w:eastAsia="es-ES"/>
        </w:rPr>
        <w:t>ponente</w:t>
      </w:r>
      <w:r w:rsidRPr="00F2273F">
        <w:rPr>
          <w:rFonts w:ascii="Times New Roman" w:eastAsia="Times New Roman" w:hAnsi="Times New Roman" w:cs="Times New Roman"/>
          <w:b/>
          <w:sz w:val="28"/>
          <w:szCs w:val="28"/>
          <w:lang w:val="es-ES_tradnl" w:eastAsia="es-ES"/>
        </w:rPr>
        <w:t>:</w:t>
      </w:r>
    </w:p>
    <w:p w:rsidR="00D15AFF" w:rsidRPr="00F2273F" w:rsidRDefault="00F2273F" w:rsidP="00D15AFF">
      <w:pPr>
        <w:tabs>
          <w:tab w:val="left" w:pos="142"/>
        </w:tabs>
        <w:spacing w:after="0" w:line="240" w:lineRule="auto"/>
        <w:ind w:left="3969" w:right="49"/>
        <w:contextualSpacing/>
        <w:mirrorIndents/>
        <w:jc w:val="both"/>
        <w:outlineLvl w:val="0"/>
        <w:rPr>
          <w:rFonts w:ascii="Times New Roman" w:eastAsia="Times New Roman" w:hAnsi="Times New Roman" w:cs="Times New Roman"/>
          <w:sz w:val="28"/>
          <w:szCs w:val="28"/>
          <w:lang w:val="es-ES_tradnl" w:eastAsia="es-ES"/>
        </w:rPr>
      </w:pPr>
      <w:r w:rsidRPr="00F2273F">
        <w:rPr>
          <w:rFonts w:ascii="Times New Roman" w:eastAsia="Times New Roman" w:hAnsi="Times New Roman" w:cs="Times New Roman"/>
          <w:sz w:val="28"/>
          <w:szCs w:val="28"/>
          <w:lang w:val="es-ES_tradnl" w:eastAsia="es-ES"/>
        </w:rPr>
        <w:t>Juan Carlos Cortés González</w:t>
      </w:r>
    </w:p>
    <w:p w:rsidR="00461CA1" w:rsidRPr="00F2273F" w:rsidRDefault="00F2273F" w:rsidP="0024713D">
      <w:pPr>
        <w:tabs>
          <w:tab w:val="left" w:pos="142"/>
        </w:tabs>
        <w:spacing w:after="0" w:line="240" w:lineRule="auto"/>
        <w:ind w:right="49"/>
        <w:contextualSpacing/>
        <w:mirrorIndents/>
        <w:jc w:val="both"/>
        <w:outlineLvl w:val="0"/>
        <w:rPr>
          <w:rFonts w:ascii="Times New Roman" w:eastAsia="Times New Roman" w:hAnsi="Times New Roman" w:cs="Times New Roman"/>
          <w:sz w:val="28"/>
          <w:szCs w:val="28"/>
          <w:lang w:val="es-ES" w:eastAsia="es-ES"/>
        </w:rPr>
      </w:pPr>
    </w:p>
    <w:p w:rsidR="007C63F9" w:rsidRPr="00F2273F" w:rsidRDefault="00F2273F" w:rsidP="0024713D">
      <w:pPr>
        <w:tabs>
          <w:tab w:val="left" w:pos="142"/>
        </w:tabs>
        <w:spacing w:after="0" w:line="240" w:lineRule="auto"/>
        <w:ind w:right="49"/>
        <w:contextualSpacing/>
        <w:mirrorIndents/>
        <w:jc w:val="both"/>
        <w:rPr>
          <w:rFonts w:ascii="Times New Roman" w:eastAsia="Times New Roman" w:hAnsi="Times New Roman" w:cs="Times New Roman"/>
          <w:sz w:val="28"/>
          <w:szCs w:val="28"/>
          <w:lang w:val="es-ES" w:eastAsia="es-ES"/>
        </w:rPr>
      </w:pPr>
      <w:r w:rsidRPr="00F2273F">
        <w:rPr>
          <w:rFonts w:ascii="Times New Roman" w:eastAsia="Times New Roman" w:hAnsi="Times New Roman" w:cs="Times New Roman"/>
          <w:sz w:val="28"/>
          <w:szCs w:val="28"/>
          <w:lang w:val="es-ES" w:eastAsia="es-ES"/>
        </w:rPr>
        <w:t>Bogotá, D. C.,</w:t>
      </w:r>
      <w:r w:rsidRPr="00F2273F">
        <w:rPr>
          <w:rFonts w:ascii="Times New Roman" w:eastAsia="Times New Roman" w:hAnsi="Times New Roman" w:cs="Times New Roman"/>
          <w:sz w:val="28"/>
          <w:szCs w:val="28"/>
          <w:lang w:val="es-ES" w:eastAsia="es-ES"/>
        </w:rPr>
        <w:t xml:space="preserve"> once (11</w:t>
      </w:r>
      <w:r w:rsidRPr="00F2273F">
        <w:rPr>
          <w:rFonts w:ascii="Times New Roman" w:eastAsia="Times New Roman" w:hAnsi="Times New Roman" w:cs="Times New Roman"/>
          <w:sz w:val="28"/>
          <w:szCs w:val="28"/>
          <w:lang w:val="es-ES" w:eastAsia="es-ES"/>
        </w:rPr>
        <w:t xml:space="preserve">) de </w:t>
      </w:r>
      <w:r w:rsidRPr="00F2273F">
        <w:rPr>
          <w:rFonts w:ascii="Times New Roman" w:eastAsia="Times New Roman" w:hAnsi="Times New Roman" w:cs="Times New Roman"/>
          <w:sz w:val="28"/>
          <w:szCs w:val="28"/>
          <w:lang w:val="es-ES" w:eastAsia="es-ES"/>
        </w:rPr>
        <w:t>marzo</w:t>
      </w:r>
      <w:r w:rsidRPr="00F2273F">
        <w:rPr>
          <w:rFonts w:ascii="Times New Roman" w:eastAsia="Times New Roman" w:hAnsi="Times New Roman" w:cs="Times New Roman"/>
          <w:sz w:val="28"/>
          <w:szCs w:val="28"/>
          <w:lang w:val="es-ES" w:eastAsia="es-ES"/>
        </w:rPr>
        <w:t xml:space="preserve"> de dos mil </w:t>
      </w:r>
      <w:r w:rsidRPr="00F2273F">
        <w:rPr>
          <w:rFonts w:ascii="Times New Roman" w:eastAsia="Times New Roman" w:hAnsi="Times New Roman" w:cs="Times New Roman"/>
          <w:sz w:val="28"/>
          <w:szCs w:val="28"/>
          <w:lang w:val="es-ES" w:eastAsia="es-ES"/>
        </w:rPr>
        <w:t xml:space="preserve">veintiséis </w:t>
      </w:r>
      <w:r w:rsidRPr="00F2273F">
        <w:rPr>
          <w:rFonts w:ascii="Times New Roman" w:eastAsia="Times New Roman" w:hAnsi="Times New Roman" w:cs="Times New Roman"/>
          <w:sz w:val="28"/>
          <w:szCs w:val="28"/>
          <w:lang w:val="es-ES" w:eastAsia="es-ES"/>
        </w:rPr>
        <w:t>(</w:t>
      </w:r>
      <w:r w:rsidRPr="00F2273F">
        <w:rPr>
          <w:rFonts w:ascii="Times New Roman" w:eastAsia="Times New Roman" w:hAnsi="Times New Roman" w:cs="Times New Roman"/>
          <w:sz w:val="28"/>
          <w:szCs w:val="28"/>
          <w:lang w:val="es-ES" w:eastAsia="es-ES"/>
        </w:rPr>
        <w:t>2026</w:t>
      </w:r>
      <w:r w:rsidRPr="00F2273F">
        <w:rPr>
          <w:rFonts w:ascii="Times New Roman" w:eastAsia="Times New Roman" w:hAnsi="Times New Roman" w:cs="Times New Roman"/>
          <w:sz w:val="28"/>
          <w:szCs w:val="28"/>
          <w:lang w:val="es-ES" w:eastAsia="es-ES"/>
        </w:rPr>
        <w:t xml:space="preserve">) </w:t>
      </w:r>
    </w:p>
    <w:p w:rsidR="00C652A9" w:rsidRPr="00F2273F" w:rsidRDefault="00F2273F" w:rsidP="0024713D">
      <w:pPr>
        <w:tabs>
          <w:tab w:val="left" w:pos="142"/>
        </w:tabs>
        <w:spacing w:after="0" w:line="240" w:lineRule="auto"/>
        <w:ind w:right="49"/>
        <w:contextualSpacing/>
        <w:mirrorIndents/>
        <w:jc w:val="both"/>
        <w:rPr>
          <w:rFonts w:ascii="Times New Roman" w:eastAsia="Times New Roman" w:hAnsi="Times New Roman" w:cs="Times New Roman"/>
          <w:sz w:val="28"/>
          <w:szCs w:val="28"/>
          <w:lang w:val="es-ES" w:eastAsia="es-ES"/>
        </w:rPr>
      </w:pPr>
    </w:p>
    <w:p w:rsidR="00D15AFF" w:rsidRPr="00F2273F" w:rsidRDefault="00F2273F" w:rsidP="00D15AFF">
      <w:pPr>
        <w:tabs>
          <w:tab w:val="left" w:pos="142"/>
        </w:tabs>
        <w:spacing w:after="0" w:line="240" w:lineRule="auto"/>
        <w:contextualSpacing/>
        <w:mirrorIndents/>
        <w:jc w:val="both"/>
        <w:rPr>
          <w:rFonts w:ascii="Times New Roman" w:hAnsi="Times New Roman" w:cs="Times New Roman"/>
          <w:sz w:val="28"/>
          <w:szCs w:val="28"/>
        </w:rPr>
      </w:pPr>
      <w:r w:rsidRPr="00F2273F">
        <w:rPr>
          <w:rFonts w:ascii="Times New Roman" w:hAnsi="Times New Roman" w:cs="Times New Roman"/>
          <w:sz w:val="28"/>
          <w:szCs w:val="28"/>
        </w:rPr>
        <w:t xml:space="preserve">La Sala Plena de la Corte Constitucional, en ejercicio de sus atribuciones constitucionales y legales, en especial </w:t>
      </w:r>
      <w:r w:rsidRPr="00F2273F">
        <w:rPr>
          <w:rFonts w:ascii="Times New Roman" w:hAnsi="Times New Roman" w:cs="Times New Roman"/>
          <w:sz w:val="28"/>
          <w:szCs w:val="28"/>
        </w:rPr>
        <w:t xml:space="preserve">de </w:t>
      </w:r>
      <w:r w:rsidRPr="00F2273F">
        <w:rPr>
          <w:rFonts w:ascii="Times New Roman" w:hAnsi="Times New Roman" w:cs="Times New Roman"/>
          <w:sz w:val="28"/>
          <w:szCs w:val="28"/>
        </w:rPr>
        <w:t xml:space="preserve">las previstas en el artículo 241.4 </w:t>
      </w:r>
      <w:r w:rsidRPr="00F2273F">
        <w:rPr>
          <w:rFonts w:ascii="Times New Roman" w:hAnsi="Times New Roman" w:cs="Times New Roman"/>
          <w:sz w:val="28"/>
          <w:szCs w:val="28"/>
        </w:rPr>
        <w:t xml:space="preserve">de </w:t>
      </w:r>
      <w:r w:rsidRPr="00F2273F">
        <w:rPr>
          <w:rFonts w:ascii="Times New Roman" w:hAnsi="Times New Roman" w:cs="Times New Roman"/>
          <w:sz w:val="28"/>
          <w:szCs w:val="28"/>
        </w:rPr>
        <w:t xml:space="preserve">la Constitución Política, cumplidos todos los trámites y requisitos contemplados en el Decreto 2067 </w:t>
      </w:r>
      <w:r w:rsidRPr="00F2273F">
        <w:rPr>
          <w:rFonts w:ascii="Times New Roman" w:hAnsi="Times New Roman" w:cs="Times New Roman"/>
          <w:sz w:val="28"/>
          <w:szCs w:val="28"/>
        </w:rPr>
        <w:t xml:space="preserve">de 1991, ha proferido </w:t>
      </w:r>
      <w:r w:rsidRPr="00F2273F">
        <w:rPr>
          <w:rFonts w:ascii="Times New Roman" w:hAnsi="Times New Roman" w:cs="Times New Roman"/>
          <w:sz w:val="28"/>
          <w:szCs w:val="28"/>
        </w:rPr>
        <w:t>la presente</w:t>
      </w:r>
    </w:p>
    <w:p w:rsidR="00D15AFF" w:rsidRPr="00F2273F" w:rsidRDefault="00F2273F" w:rsidP="00D15AFF">
      <w:pPr>
        <w:tabs>
          <w:tab w:val="left" w:pos="142"/>
        </w:tabs>
        <w:spacing w:after="0" w:line="240" w:lineRule="auto"/>
        <w:contextualSpacing/>
        <w:mirrorIndents/>
        <w:jc w:val="both"/>
        <w:rPr>
          <w:rFonts w:ascii="Times New Roman" w:hAnsi="Times New Roman" w:cs="Times New Roman"/>
          <w:sz w:val="28"/>
          <w:szCs w:val="28"/>
        </w:rPr>
      </w:pPr>
    </w:p>
    <w:p w:rsidR="00D15AFF" w:rsidRPr="00F2273F" w:rsidRDefault="00F2273F" w:rsidP="00D15AFF">
      <w:pPr>
        <w:tabs>
          <w:tab w:val="left" w:pos="142"/>
        </w:tabs>
        <w:spacing w:after="0" w:line="240" w:lineRule="auto"/>
        <w:contextualSpacing/>
        <w:mirrorIndents/>
        <w:jc w:val="center"/>
        <w:rPr>
          <w:rFonts w:ascii="Times New Roman" w:hAnsi="Times New Roman" w:cs="Times New Roman"/>
          <w:b/>
          <w:bCs/>
          <w:sz w:val="28"/>
          <w:szCs w:val="28"/>
        </w:rPr>
      </w:pPr>
      <w:r w:rsidRPr="00F2273F">
        <w:rPr>
          <w:rFonts w:ascii="Times New Roman" w:hAnsi="Times New Roman" w:cs="Times New Roman"/>
          <w:b/>
          <w:bCs/>
          <w:sz w:val="28"/>
          <w:szCs w:val="28"/>
        </w:rPr>
        <w:t>SENTENCIA</w:t>
      </w:r>
    </w:p>
    <w:p w:rsidR="00D15AFF"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p>
    <w:p w:rsidR="00D15AFF"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r w:rsidRPr="00F2273F">
        <w:rPr>
          <w:rFonts w:ascii="Times New Roman" w:eastAsia="Times New Roman" w:hAnsi="Times New Roman" w:cs="Times New Roman"/>
          <w:b/>
          <w:bCs/>
          <w:sz w:val="28"/>
          <w:szCs w:val="28"/>
          <w:lang w:val="es-ES" w:eastAsia="es-ES"/>
        </w:rPr>
        <w:t>SÍNTESIS DE LA DECISIÓN</w:t>
      </w:r>
    </w:p>
    <w:p w:rsidR="007256B7" w:rsidRPr="00F2273F" w:rsidRDefault="00F2273F" w:rsidP="007256B7">
      <w:pPr>
        <w:tabs>
          <w:tab w:val="left" w:pos="142"/>
        </w:tabs>
        <w:spacing w:after="0" w:line="240" w:lineRule="auto"/>
        <w:contextualSpacing/>
        <w:mirrorIndents/>
        <w:jc w:val="both"/>
        <w:rPr>
          <w:rFonts w:ascii="Times New Roman" w:eastAsia="Times New Roman" w:hAnsi="Times New Roman" w:cs="Times New Roman"/>
          <w:sz w:val="28"/>
          <w:szCs w:val="28"/>
          <w:lang w:val="es-ES" w:eastAsia="es-ES"/>
        </w:rPr>
      </w:pPr>
    </w:p>
    <w:tbl>
      <w:tblPr>
        <w:tblStyle w:val="Tablaconcuadrcula"/>
        <w:tblW w:w="0" w:type="auto"/>
        <w:tblLook w:val="04A0" w:firstRow="1" w:lastRow="0" w:firstColumn="1" w:lastColumn="0" w:noHBand="0" w:noVBand="1"/>
      </w:tblPr>
      <w:tblGrid>
        <w:gridCol w:w="1413"/>
        <w:gridCol w:w="7415"/>
      </w:tblGrid>
      <w:tr w:rsidR="00974547" w:rsidRPr="00F2273F" w:rsidTr="005367D3">
        <w:tc>
          <w:tcPr>
            <w:tcW w:w="1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rsidR="007256B7" w:rsidRPr="00F2273F" w:rsidRDefault="00F2273F" w:rsidP="005367D3">
            <w:pPr>
              <w:tabs>
                <w:tab w:val="left" w:pos="142"/>
              </w:tabs>
              <w:contextualSpacing/>
              <w:mirrorIndents/>
              <w:jc w:val="center"/>
              <w:rPr>
                <w:rFonts w:eastAsia="Times New Roman"/>
                <w:b/>
                <w:bCs/>
                <w:sz w:val="28"/>
                <w:szCs w:val="22"/>
              </w:rPr>
            </w:pPr>
            <w:r w:rsidRPr="00F2273F">
              <w:rPr>
                <w:rFonts w:eastAsia="Times New Roman"/>
                <w:b/>
                <w:bCs/>
                <w:sz w:val="28"/>
                <w:szCs w:val="22"/>
              </w:rPr>
              <w:t>¿Qué estudió la Corte?</w:t>
            </w:r>
          </w:p>
        </w:tc>
        <w:tc>
          <w:tcPr>
            <w:tcW w:w="7415" w:type="dxa"/>
            <w:tcBorders>
              <w:top w:val="single" w:sz="4" w:space="0" w:color="auto"/>
              <w:left w:val="single" w:sz="4" w:space="0" w:color="auto"/>
              <w:bottom w:val="single" w:sz="4" w:space="0" w:color="auto"/>
              <w:right w:val="single" w:sz="4" w:space="0" w:color="auto"/>
            </w:tcBorders>
            <w:vAlign w:val="center"/>
          </w:tcPr>
          <w:p w:rsidR="006908C0" w:rsidRPr="00F2273F" w:rsidRDefault="00F2273F" w:rsidP="002A5ED4">
            <w:pPr>
              <w:pStyle w:val="Prrafodelista"/>
              <w:tabs>
                <w:tab w:val="left" w:pos="567"/>
              </w:tabs>
              <w:ind w:left="0"/>
              <w:jc w:val="both"/>
              <w:rPr>
                <w:sz w:val="28"/>
                <w:szCs w:val="22"/>
              </w:rPr>
            </w:pPr>
            <w:r w:rsidRPr="00F2273F">
              <w:rPr>
                <w:rFonts w:eastAsia="Times New Roman"/>
                <w:sz w:val="28"/>
                <w:szCs w:val="22"/>
              </w:rPr>
              <w:t>La Sala Plena de la Corte Constitucional estudió una demanda contra las expresiones “e</w:t>
            </w:r>
            <w:r w:rsidRPr="00F2273F">
              <w:rPr>
                <w:sz w:val="28"/>
                <w:szCs w:val="22"/>
              </w:rPr>
              <w:t xml:space="preserve">l parágrafo tercero del artículo 167 de la Ley 142 de 1994; el parágrafo </w:t>
            </w:r>
            <w:r w:rsidRPr="00F2273F">
              <w:rPr>
                <w:sz w:val="28"/>
                <w:szCs w:val="22"/>
              </w:rPr>
              <w:t>tercero del artículo 32 de la Ley 143 de 1994,</w:t>
            </w:r>
            <w:r w:rsidRPr="00F2273F">
              <w:rPr>
                <w:sz w:val="28"/>
                <w:szCs w:val="22"/>
              </w:rPr>
              <w:t>”</w:t>
            </w:r>
            <w:r w:rsidRPr="00F2273F">
              <w:rPr>
                <w:sz w:val="28"/>
                <w:szCs w:val="22"/>
              </w:rPr>
              <w:t xml:space="preserve"> contenidas en el artículo 372 de la Ley 2294 de 2023. </w:t>
            </w:r>
            <w:r w:rsidRPr="00F2273F">
              <w:rPr>
                <w:sz w:val="28"/>
                <w:szCs w:val="22"/>
              </w:rPr>
              <w:t>En virtud de estas disposiciones se derogaron las normas que establecían la prohibición para que IS</w:t>
            </w:r>
            <w:r w:rsidRPr="00F2273F">
              <w:rPr>
                <w:sz w:val="28"/>
                <w:szCs w:val="22"/>
              </w:rPr>
              <w:t>A participara</w:t>
            </w:r>
            <w:r w:rsidRPr="00F2273F">
              <w:rPr>
                <w:sz w:val="28"/>
                <w:szCs w:val="22"/>
                <w:shd w:val="clear" w:color="auto" w:fill="FFFFFF"/>
              </w:rPr>
              <w:t xml:space="preserve"> en actividades de generación, comercializ</w:t>
            </w:r>
            <w:r w:rsidRPr="00F2273F">
              <w:rPr>
                <w:sz w:val="28"/>
                <w:szCs w:val="22"/>
                <w:shd w:val="clear" w:color="auto" w:fill="FFFFFF"/>
              </w:rPr>
              <w:t>ación y distribución de electricidad.</w:t>
            </w:r>
          </w:p>
          <w:p w:rsidR="00B4799C" w:rsidRPr="00F2273F" w:rsidRDefault="00F2273F" w:rsidP="002A5ED4">
            <w:pPr>
              <w:pStyle w:val="Prrafodelista"/>
              <w:tabs>
                <w:tab w:val="left" w:pos="567"/>
              </w:tabs>
              <w:ind w:left="0"/>
              <w:jc w:val="both"/>
              <w:rPr>
                <w:sz w:val="28"/>
                <w:szCs w:val="22"/>
              </w:rPr>
            </w:pPr>
          </w:p>
          <w:p w:rsidR="007256B7" w:rsidRPr="00F2273F" w:rsidRDefault="00F2273F" w:rsidP="002A5ED4">
            <w:pPr>
              <w:pStyle w:val="Prrafodelista"/>
              <w:tabs>
                <w:tab w:val="left" w:pos="567"/>
              </w:tabs>
              <w:ind w:left="0"/>
              <w:jc w:val="both"/>
              <w:rPr>
                <w:bCs/>
                <w:sz w:val="28"/>
                <w:szCs w:val="22"/>
              </w:rPr>
            </w:pPr>
            <w:r w:rsidRPr="00F2273F">
              <w:rPr>
                <w:sz w:val="28"/>
                <w:szCs w:val="22"/>
              </w:rPr>
              <w:t>Los demandantes presentaron dos cargos. El primer</w:t>
            </w:r>
            <w:r w:rsidRPr="00F2273F">
              <w:rPr>
                <w:sz w:val="28"/>
                <w:szCs w:val="22"/>
              </w:rPr>
              <w:t>o de ellos</w:t>
            </w:r>
            <w:r w:rsidRPr="00F2273F">
              <w:rPr>
                <w:sz w:val="28"/>
                <w:szCs w:val="22"/>
              </w:rPr>
              <w:t xml:space="preserve"> planteó la vulneración del principio de consecutividad, porque las derogatorias acusadas no fueron incluidas en la versión original del proyecto de ley presentado por el Gobierno nacional al Congreso de la República. </w:t>
            </w:r>
            <w:r w:rsidRPr="00F2273F">
              <w:rPr>
                <w:sz w:val="28"/>
                <w:szCs w:val="22"/>
              </w:rPr>
              <w:t xml:space="preserve">Se afirmó </w:t>
            </w:r>
            <w:r w:rsidRPr="00F2273F">
              <w:rPr>
                <w:sz w:val="28"/>
                <w:szCs w:val="22"/>
              </w:rPr>
              <w:t>que dichas derogatorias tamp</w:t>
            </w:r>
            <w:r w:rsidRPr="00F2273F">
              <w:rPr>
                <w:sz w:val="28"/>
                <w:szCs w:val="22"/>
              </w:rPr>
              <w:t xml:space="preserve">oco fueron debatidas en primer debate en las comisiones conjuntas de Cámara y Senado, y que </w:t>
            </w:r>
            <w:r w:rsidRPr="00F2273F">
              <w:rPr>
                <w:sz w:val="28"/>
                <w:szCs w:val="22"/>
              </w:rPr>
              <w:t xml:space="preserve">solamente </w:t>
            </w:r>
            <w:r w:rsidRPr="00F2273F">
              <w:rPr>
                <w:sz w:val="28"/>
                <w:szCs w:val="22"/>
              </w:rPr>
              <w:t xml:space="preserve">fueron introducidas y aprobadas en segundo debate </w:t>
            </w:r>
            <w:r w:rsidRPr="00F2273F">
              <w:rPr>
                <w:sz w:val="28"/>
                <w:szCs w:val="22"/>
              </w:rPr>
              <w:t xml:space="preserve">en Senado, </w:t>
            </w:r>
            <w:r w:rsidRPr="00F2273F">
              <w:rPr>
                <w:sz w:val="28"/>
                <w:szCs w:val="22"/>
              </w:rPr>
              <w:t xml:space="preserve">sin que se discutieran en la Cámara de Representantes. </w:t>
            </w:r>
            <w:r w:rsidRPr="00F2273F">
              <w:rPr>
                <w:bCs/>
                <w:sz w:val="28"/>
                <w:szCs w:val="22"/>
              </w:rPr>
              <w:t xml:space="preserve">Expusieron </w:t>
            </w:r>
            <w:r w:rsidRPr="00F2273F">
              <w:rPr>
                <w:bCs/>
                <w:sz w:val="28"/>
                <w:szCs w:val="22"/>
              </w:rPr>
              <w:t xml:space="preserve">los accionantes </w:t>
            </w:r>
            <w:r w:rsidRPr="00F2273F">
              <w:rPr>
                <w:bCs/>
                <w:sz w:val="28"/>
                <w:szCs w:val="22"/>
              </w:rPr>
              <w:t>que</w:t>
            </w:r>
            <w:r w:rsidRPr="00F2273F">
              <w:rPr>
                <w:bCs/>
                <w:sz w:val="28"/>
                <w:szCs w:val="22"/>
              </w:rPr>
              <w:t xml:space="preserve"> </w:t>
            </w:r>
            <w:r w:rsidRPr="00F2273F">
              <w:rPr>
                <w:bCs/>
                <w:sz w:val="28"/>
                <w:szCs w:val="22"/>
              </w:rPr>
              <w:t>la</w:t>
            </w:r>
            <w:r w:rsidRPr="00F2273F">
              <w:rPr>
                <w:bCs/>
                <w:sz w:val="28"/>
                <w:szCs w:val="22"/>
              </w:rPr>
              <w:t>s</w:t>
            </w:r>
            <w:r w:rsidRPr="00F2273F">
              <w:rPr>
                <w:bCs/>
                <w:sz w:val="28"/>
                <w:szCs w:val="22"/>
              </w:rPr>
              <w:t xml:space="preserve"> der</w:t>
            </w:r>
            <w:r w:rsidRPr="00F2273F">
              <w:rPr>
                <w:bCs/>
                <w:sz w:val="28"/>
                <w:szCs w:val="22"/>
              </w:rPr>
              <w:t>ogatoria</w:t>
            </w:r>
            <w:r w:rsidRPr="00F2273F">
              <w:rPr>
                <w:bCs/>
                <w:sz w:val="28"/>
                <w:szCs w:val="22"/>
              </w:rPr>
              <w:t>s</w:t>
            </w:r>
            <w:r w:rsidRPr="00F2273F">
              <w:rPr>
                <w:bCs/>
                <w:sz w:val="28"/>
                <w:szCs w:val="22"/>
              </w:rPr>
              <w:t xml:space="preserve"> acusada</w:t>
            </w:r>
            <w:r w:rsidRPr="00F2273F">
              <w:rPr>
                <w:bCs/>
                <w:sz w:val="28"/>
                <w:szCs w:val="22"/>
              </w:rPr>
              <w:t>s</w:t>
            </w:r>
            <w:r w:rsidRPr="00F2273F">
              <w:rPr>
                <w:bCs/>
                <w:sz w:val="28"/>
                <w:szCs w:val="22"/>
              </w:rPr>
              <w:t xml:space="preserve"> est</w:t>
            </w:r>
            <w:r w:rsidRPr="00F2273F">
              <w:rPr>
                <w:bCs/>
                <w:sz w:val="28"/>
                <w:szCs w:val="22"/>
              </w:rPr>
              <w:t>án</w:t>
            </w:r>
            <w:r w:rsidRPr="00F2273F">
              <w:rPr>
                <w:bCs/>
                <w:sz w:val="28"/>
                <w:szCs w:val="22"/>
              </w:rPr>
              <w:t xml:space="preserve"> directamente relacionada</w:t>
            </w:r>
            <w:r w:rsidRPr="00F2273F">
              <w:rPr>
                <w:bCs/>
                <w:sz w:val="28"/>
                <w:szCs w:val="22"/>
              </w:rPr>
              <w:t>s</w:t>
            </w:r>
            <w:r w:rsidRPr="00F2273F">
              <w:rPr>
                <w:bCs/>
                <w:sz w:val="28"/>
                <w:szCs w:val="22"/>
              </w:rPr>
              <w:t xml:space="preserve"> con el artículo </w:t>
            </w:r>
            <w:r w:rsidRPr="00F2273F">
              <w:rPr>
                <w:bCs/>
                <w:sz w:val="28"/>
                <w:szCs w:val="22"/>
              </w:rPr>
              <w:t>197/</w:t>
            </w:r>
            <w:r w:rsidRPr="00F2273F">
              <w:rPr>
                <w:bCs/>
                <w:sz w:val="28"/>
                <w:szCs w:val="22"/>
              </w:rPr>
              <w:t xml:space="preserve">218 del proyecto, que modificaba las reglas de integración vertical para las empresas </w:t>
            </w:r>
            <w:r w:rsidRPr="00F2273F">
              <w:rPr>
                <w:bCs/>
                <w:sz w:val="28"/>
                <w:szCs w:val="22"/>
              </w:rPr>
              <w:t xml:space="preserve">prestadoras de servicios públicos, </w:t>
            </w:r>
            <w:r w:rsidRPr="00F2273F">
              <w:rPr>
                <w:bCs/>
                <w:sz w:val="28"/>
                <w:szCs w:val="22"/>
              </w:rPr>
              <w:t>el carácter independiente del Centro Nacional de Despacho -CND y</w:t>
            </w:r>
            <w:r w:rsidRPr="00F2273F">
              <w:rPr>
                <w:bCs/>
                <w:sz w:val="28"/>
                <w:szCs w:val="22"/>
              </w:rPr>
              <w:t xml:space="preserve"> las actividades</w:t>
            </w:r>
            <w:r w:rsidRPr="00F2273F">
              <w:rPr>
                <w:bCs/>
                <w:sz w:val="28"/>
                <w:szCs w:val="22"/>
              </w:rPr>
              <w:t xml:space="preserve"> en materia de energía eléctrica de ECOPETROL</w:t>
            </w:r>
            <w:r w:rsidRPr="00F2273F">
              <w:rPr>
                <w:bCs/>
                <w:sz w:val="28"/>
                <w:szCs w:val="22"/>
              </w:rPr>
              <w:t>, disposición que fue negada en el trámite legislativo</w:t>
            </w:r>
            <w:r w:rsidRPr="00F2273F">
              <w:rPr>
                <w:bCs/>
                <w:sz w:val="28"/>
                <w:szCs w:val="22"/>
              </w:rPr>
              <w:t xml:space="preserve">. </w:t>
            </w:r>
            <w:r w:rsidRPr="00F2273F">
              <w:rPr>
                <w:bCs/>
                <w:sz w:val="28"/>
                <w:szCs w:val="22"/>
              </w:rPr>
              <w:t xml:space="preserve"> </w:t>
            </w:r>
          </w:p>
          <w:p w:rsidR="007256B7" w:rsidRPr="00F2273F" w:rsidRDefault="00F2273F" w:rsidP="002A5ED4">
            <w:pPr>
              <w:pStyle w:val="Prrafodelista"/>
              <w:tabs>
                <w:tab w:val="left" w:pos="567"/>
              </w:tabs>
              <w:ind w:left="0"/>
              <w:jc w:val="both"/>
              <w:rPr>
                <w:sz w:val="28"/>
                <w:szCs w:val="22"/>
              </w:rPr>
            </w:pPr>
          </w:p>
          <w:p w:rsidR="007256B7" w:rsidRPr="00F2273F" w:rsidRDefault="00F2273F" w:rsidP="002A5ED4">
            <w:pPr>
              <w:pStyle w:val="Prrafodelista"/>
              <w:tabs>
                <w:tab w:val="left" w:pos="567"/>
              </w:tabs>
              <w:ind w:left="0"/>
              <w:jc w:val="both"/>
              <w:rPr>
                <w:rFonts w:eastAsia="MS Mincho"/>
                <w:bCs/>
                <w:sz w:val="28"/>
                <w:szCs w:val="22"/>
              </w:rPr>
            </w:pPr>
            <w:r w:rsidRPr="00F2273F">
              <w:rPr>
                <w:sz w:val="28"/>
                <w:szCs w:val="22"/>
              </w:rPr>
              <w:t xml:space="preserve">En el segundo cargo los actores señalaron que </w:t>
            </w:r>
            <w:r w:rsidRPr="00F2273F">
              <w:rPr>
                <w:sz w:val="28"/>
                <w:szCs w:val="22"/>
              </w:rPr>
              <w:t xml:space="preserve">con las disposiciones censuradas </w:t>
            </w:r>
            <w:r w:rsidRPr="00F2273F">
              <w:rPr>
                <w:sz w:val="28"/>
                <w:szCs w:val="22"/>
              </w:rPr>
              <w:t>se viol</w:t>
            </w:r>
            <w:r w:rsidRPr="00F2273F">
              <w:rPr>
                <w:sz w:val="28"/>
                <w:szCs w:val="22"/>
              </w:rPr>
              <w:t>ó</w:t>
            </w:r>
            <w:r w:rsidRPr="00F2273F">
              <w:rPr>
                <w:sz w:val="28"/>
                <w:szCs w:val="22"/>
              </w:rPr>
              <w:t xml:space="preserve"> </w:t>
            </w:r>
            <w:r w:rsidRPr="00F2273F">
              <w:rPr>
                <w:sz w:val="28"/>
                <w:szCs w:val="22"/>
              </w:rPr>
              <w:t>el principio de</w:t>
            </w:r>
            <w:r w:rsidRPr="00F2273F">
              <w:rPr>
                <w:sz w:val="28"/>
                <w:szCs w:val="22"/>
              </w:rPr>
              <w:t xml:space="preserve"> unidad de materia. </w:t>
            </w:r>
            <w:r w:rsidRPr="00F2273F">
              <w:rPr>
                <w:sz w:val="28"/>
                <w:szCs w:val="22"/>
              </w:rPr>
              <w:t>Al</w:t>
            </w:r>
            <w:r w:rsidRPr="00F2273F">
              <w:rPr>
                <w:sz w:val="28"/>
                <w:szCs w:val="22"/>
              </w:rPr>
              <w:t xml:space="preserve"> respecto </w:t>
            </w:r>
            <w:r w:rsidRPr="00F2273F">
              <w:rPr>
                <w:sz w:val="28"/>
                <w:szCs w:val="22"/>
              </w:rPr>
              <w:t xml:space="preserve">indicaron </w:t>
            </w:r>
            <w:r w:rsidRPr="00F2273F">
              <w:rPr>
                <w:sz w:val="28"/>
                <w:szCs w:val="22"/>
              </w:rPr>
              <w:t xml:space="preserve">que las derogatorias acusadas suponen un cambio estructural en el mercado de energía eléctrica y que no son instrumentales para cumplir con los metas y objetivos del </w:t>
            </w:r>
            <w:r w:rsidRPr="00F2273F">
              <w:rPr>
                <w:sz w:val="28"/>
                <w:szCs w:val="22"/>
              </w:rPr>
              <w:t>plan nacional de desarrollo</w:t>
            </w:r>
            <w:r w:rsidRPr="00F2273F">
              <w:rPr>
                <w:sz w:val="28"/>
                <w:szCs w:val="22"/>
              </w:rPr>
              <w:t xml:space="preserve">. Esto, porque las normas están ubicadas </w:t>
            </w:r>
            <w:r w:rsidRPr="00F2273F">
              <w:rPr>
                <w:bCs/>
                <w:sz w:val="28"/>
                <w:szCs w:val="22"/>
              </w:rPr>
              <w:t>en el capítu</w:t>
            </w:r>
            <w:r w:rsidRPr="00F2273F">
              <w:rPr>
                <w:bCs/>
                <w:sz w:val="28"/>
                <w:szCs w:val="22"/>
              </w:rPr>
              <w:t xml:space="preserve">lo denominado </w:t>
            </w:r>
            <w:r w:rsidRPr="00F2273F">
              <w:rPr>
                <w:bCs/>
                <w:i/>
                <w:iCs/>
                <w:sz w:val="28"/>
                <w:szCs w:val="22"/>
              </w:rPr>
              <w:t>Otras disposiciones</w:t>
            </w:r>
            <w:r w:rsidRPr="00F2273F">
              <w:rPr>
                <w:bCs/>
                <w:sz w:val="28"/>
                <w:szCs w:val="22"/>
              </w:rPr>
              <w:t xml:space="preserve"> y no en el título correspondiente a </w:t>
            </w:r>
            <w:r w:rsidRPr="00F2273F">
              <w:rPr>
                <w:bCs/>
                <w:i/>
                <w:iCs/>
                <w:sz w:val="28"/>
                <w:szCs w:val="22"/>
              </w:rPr>
              <w:t xml:space="preserve">Mecanismos de Ejecución del Plan. </w:t>
            </w:r>
            <w:r w:rsidRPr="00F2273F">
              <w:rPr>
                <w:bCs/>
                <w:sz w:val="28"/>
                <w:szCs w:val="22"/>
              </w:rPr>
              <w:t xml:space="preserve">Además, advirtieron que los parágrafos acusados son accesorios al artículo </w:t>
            </w:r>
            <w:r w:rsidRPr="00F2273F">
              <w:rPr>
                <w:bCs/>
                <w:sz w:val="28"/>
                <w:szCs w:val="22"/>
              </w:rPr>
              <w:t>197/</w:t>
            </w:r>
            <w:r w:rsidRPr="00F2273F">
              <w:rPr>
                <w:bCs/>
                <w:sz w:val="28"/>
                <w:szCs w:val="22"/>
              </w:rPr>
              <w:t>218 del proyecto, que pretendía modificar el artículo 74 de la Ley 143 de</w:t>
            </w:r>
            <w:r w:rsidRPr="00F2273F">
              <w:rPr>
                <w:bCs/>
                <w:sz w:val="28"/>
                <w:szCs w:val="22"/>
              </w:rPr>
              <w:t xml:space="preserve"> 1994, artículo que, reiteraron, fue eliminado en el trámite legislativo. Por lo anterior, el aparte demandado debería seguir idéntica suerte. Igualmente, aludieron a que los enunciados normativos acusados no satisfacen el estándar de conexidad directa e i</w:t>
            </w:r>
            <w:r w:rsidRPr="00F2273F">
              <w:rPr>
                <w:bCs/>
                <w:sz w:val="28"/>
                <w:szCs w:val="22"/>
              </w:rPr>
              <w:t xml:space="preserve">nmediata con el </w:t>
            </w:r>
            <w:r w:rsidRPr="00F2273F">
              <w:rPr>
                <w:bCs/>
                <w:sz w:val="28"/>
                <w:szCs w:val="22"/>
              </w:rPr>
              <w:t xml:space="preserve">plan plurianual </w:t>
            </w:r>
            <w:r w:rsidRPr="00F2273F">
              <w:rPr>
                <w:bCs/>
                <w:sz w:val="28"/>
                <w:szCs w:val="22"/>
              </w:rPr>
              <w:t xml:space="preserve">de </w:t>
            </w:r>
            <w:r w:rsidRPr="00F2273F">
              <w:rPr>
                <w:bCs/>
                <w:sz w:val="28"/>
                <w:szCs w:val="22"/>
              </w:rPr>
              <w:t xml:space="preserve">inversiones </w:t>
            </w:r>
            <w:r w:rsidRPr="00F2273F">
              <w:rPr>
                <w:bCs/>
                <w:sz w:val="28"/>
                <w:szCs w:val="22"/>
              </w:rPr>
              <w:t xml:space="preserve">del PND. Esto, por cuanto </w:t>
            </w:r>
            <w:r w:rsidRPr="00F2273F">
              <w:rPr>
                <w:sz w:val="28"/>
                <w:szCs w:val="22"/>
              </w:rPr>
              <w:t xml:space="preserve">no hay “determinación o especificación concreta de los recursos financieros y apropiaciones” en cuanto a (i) los programas relacionados con el catalizador titulado </w:t>
            </w:r>
            <w:r w:rsidRPr="00F2273F">
              <w:rPr>
                <w:i/>
                <w:iCs/>
                <w:sz w:val="28"/>
                <w:szCs w:val="22"/>
              </w:rPr>
              <w:t>Transición energéti</w:t>
            </w:r>
            <w:r w:rsidRPr="00F2273F">
              <w:rPr>
                <w:i/>
                <w:iCs/>
                <w:sz w:val="28"/>
                <w:szCs w:val="22"/>
              </w:rPr>
              <w:t>ca justa, segura, confiable y eficiente</w:t>
            </w:r>
            <w:r w:rsidRPr="00F2273F">
              <w:rPr>
                <w:i/>
                <w:iCs/>
                <w:sz w:val="28"/>
                <w:szCs w:val="22"/>
              </w:rPr>
              <w:t>,</w:t>
            </w:r>
            <w:r w:rsidRPr="00F2273F">
              <w:rPr>
                <w:sz w:val="28"/>
                <w:szCs w:val="22"/>
              </w:rPr>
              <w:t xml:space="preserve"> al cual estaría</w:t>
            </w:r>
            <w:r w:rsidRPr="00F2273F">
              <w:rPr>
                <w:sz w:val="28"/>
                <w:szCs w:val="22"/>
              </w:rPr>
              <w:t>n</w:t>
            </w:r>
            <w:r w:rsidRPr="00F2273F">
              <w:rPr>
                <w:sz w:val="28"/>
                <w:szCs w:val="22"/>
              </w:rPr>
              <w:t xml:space="preserve"> asociada</w:t>
            </w:r>
            <w:r w:rsidRPr="00F2273F">
              <w:rPr>
                <w:sz w:val="28"/>
                <w:szCs w:val="22"/>
              </w:rPr>
              <w:t>s</w:t>
            </w:r>
            <w:r w:rsidRPr="00F2273F">
              <w:rPr>
                <w:sz w:val="28"/>
                <w:szCs w:val="22"/>
              </w:rPr>
              <w:t xml:space="preserve"> la</w:t>
            </w:r>
            <w:r w:rsidRPr="00F2273F">
              <w:rPr>
                <w:sz w:val="28"/>
                <w:szCs w:val="22"/>
              </w:rPr>
              <w:t>s</w:t>
            </w:r>
            <w:r w:rsidRPr="00F2273F">
              <w:rPr>
                <w:sz w:val="28"/>
                <w:szCs w:val="22"/>
              </w:rPr>
              <w:t xml:space="preserve"> </w:t>
            </w:r>
            <w:r w:rsidRPr="00F2273F">
              <w:rPr>
                <w:sz w:val="28"/>
                <w:szCs w:val="22"/>
              </w:rPr>
              <w:t xml:space="preserve">disposiciones </w:t>
            </w:r>
            <w:r w:rsidRPr="00F2273F">
              <w:rPr>
                <w:sz w:val="28"/>
                <w:szCs w:val="22"/>
              </w:rPr>
              <w:t>demandada</w:t>
            </w:r>
            <w:r w:rsidRPr="00F2273F">
              <w:rPr>
                <w:sz w:val="28"/>
                <w:szCs w:val="22"/>
              </w:rPr>
              <w:t>s</w:t>
            </w:r>
            <w:r w:rsidRPr="00F2273F">
              <w:rPr>
                <w:sz w:val="28"/>
                <w:szCs w:val="22"/>
              </w:rPr>
              <w:t xml:space="preserve">, y (ii) al sector de minas y energía. </w:t>
            </w:r>
          </w:p>
        </w:tc>
      </w:tr>
      <w:tr w:rsidR="00974547" w:rsidRPr="00F2273F" w:rsidTr="005367D3">
        <w:tc>
          <w:tcPr>
            <w:tcW w:w="1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rsidR="007256B7" w:rsidRPr="00F2273F" w:rsidRDefault="00F2273F" w:rsidP="005367D3">
            <w:pPr>
              <w:tabs>
                <w:tab w:val="left" w:pos="142"/>
              </w:tabs>
              <w:contextualSpacing/>
              <w:mirrorIndents/>
              <w:jc w:val="center"/>
              <w:rPr>
                <w:rFonts w:eastAsia="Times New Roman"/>
                <w:b/>
                <w:bCs/>
                <w:sz w:val="28"/>
                <w:szCs w:val="22"/>
              </w:rPr>
            </w:pPr>
            <w:r w:rsidRPr="00F2273F">
              <w:rPr>
                <w:rFonts w:eastAsia="Times New Roman"/>
                <w:b/>
                <w:bCs/>
                <w:sz w:val="28"/>
                <w:szCs w:val="22"/>
              </w:rPr>
              <w:t>¿Qué consideró la Corte?</w:t>
            </w:r>
          </w:p>
        </w:tc>
        <w:tc>
          <w:tcPr>
            <w:tcW w:w="7415" w:type="dxa"/>
            <w:tcBorders>
              <w:top w:val="single" w:sz="4" w:space="0" w:color="auto"/>
              <w:left w:val="single" w:sz="4" w:space="0" w:color="auto"/>
              <w:bottom w:val="single" w:sz="4" w:space="0" w:color="auto"/>
              <w:right w:val="single" w:sz="4" w:space="0" w:color="auto"/>
            </w:tcBorders>
            <w:vAlign w:val="center"/>
          </w:tcPr>
          <w:p w:rsidR="007256B7" w:rsidRPr="00F2273F" w:rsidRDefault="00F2273F" w:rsidP="002A5ED4">
            <w:pPr>
              <w:tabs>
                <w:tab w:val="left" w:pos="142"/>
              </w:tabs>
              <w:contextualSpacing/>
              <w:mirrorIndents/>
              <w:jc w:val="both"/>
              <w:rPr>
                <w:rFonts w:eastAsia="Times New Roman"/>
                <w:sz w:val="28"/>
                <w:szCs w:val="22"/>
              </w:rPr>
            </w:pPr>
            <w:r w:rsidRPr="00F2273F">
              <w:rPr>
                <w:rFonts w:eastAsia="Times New Roman"/>
                <w:sz w:val="28"/>
                <w:szCs w:val="22"/>
              </w:rPr>
              <w:t xml:space="preserve">La Corte determinó, como </w:t>
            </w:r>
            <w:r w:rsidRPr="00F2273F">
              <w:rPr>
                <w:rFonts w:eastAsia="Times New Roman"/>
                <w:sz w:val="28"/>
                <w:szCs w:val="22"/>
              </w:rPr>
              <w:t>cuestiones previas,</w:t>
            </w:r>
            <w:r w:rsidRPr="00F2273F">
              <w:rPr>
                <w:rFonts w:eastAsia="Times New Roman"/>
                <w:sz w:val="28"/>
                <w:szCs w:val="22"/>
              </w:rPr>
              <w:t xml:space="preserve"> </w:t>
            </w:r>
            <w:r w:rsidRPr="00F2273F">
              <w:rPr>
                <w:rFonts w:eastAsia="Times New Roman"/>
                <w:sz w:val="28"/>
                <w:szCs w:val="22"/>
              </w:rPr>
              <w:t xml:space="preserve">la procedencia de estudiar un cargo no planteado en la demanda, así como </w:t>
            </w:r>
            <w:r w:rsidRPr="00F2273F">
              <w:rPr>
                <w:rFonts w:eastAsia="Times New Roman"/>
                <w:sz w:val="28"/>
                <w:szCs w:val="22"/>
              </w:rPr>
              <w:t xml:space="preserve">la oportunidad para </w:t>
            </w:r>
            <w:r w:rsidRPr="00F2273F">
              <w:rPr>
                <w:rFonts w:eastAsia="Times New Roman"/>
                <w:sz w:val="28"/>
                <w:szCs w:val="22"/>
              </w:rPr>
              <w:t>promover</w:t>
            </w:r>
            <w:r w:rsidRPr="00F2273F">
              <w:rPr>
                <w:rFonts w:eastAsia="Times New Roman"/>
                <w:sz w:val="28"/>
                <w:szCs w:val="22"/>
              </w:rPr>
              <w:t xml:space="preserve"> </w:t>
            </w:r>
            <w:r w:rsidRPr="00F2273F">
              <w:rPr>
                <w:rFonts w:eastAsia="Times New Roman"/>
                <w:sz w:val="28"/>
                <w:szCs w:val="22"/>
              </w:rPr>
              <w:t xml:space="preserve">un cargo </w:t>
            </w:r>
            <w:r w:rsidRPr="00F2273F">
              <w:rPr>
                <w:rFonts w:eastAsia="Times New Roman"/>
                <w:sz w:val="28"/>
                <w:szCs w:val="22"/>
              </w:rPr>
              <w:t xml:space="preserve">por vulneración </w:t>
            </w:r>
            <w:r w:rsidRPr="00F2273F">
              <w:rPr>
                <w:rFonts w:eastAsia="Times New Roman"/>
                <w:sz w:val="28"/>
                <w:szCs w:val="22"/>
              </w:rPr>
              <w:t>del principio de</w:t>
            </w:r>
            <w:r w:rsidRPr="00F2273F">
              <w:rPr>
                <w:rFonts w:eastAsia="Times New Roman"/>
                <w:sz w:val="28"/>
                <w:szCs w:val="22"/>
              </w:rPr>
              <w:t xml:space="preserve"> consecutividad</w:t>
            </w:r>
            <w:r w:rsidRPr="00F2273F">
              <w:rPr>
                <w:rFonts w:eastAsia="Times New Roman"/>
                <w:sz w:val="28"/>
                <w:szCs w:val="22"/>
              </w:rPr>
              <w:t>, que es un vicio de forma.</w:t>
            </w:r>
            <w:r w:rsidRPr="00F2273F">
              <w:rPr>
                <w:rFonts w:eastAsia="Times New Roman"/>
                <w:sz w:val="28"/>
                <w:szCs w:val="22"/>
              </w:rPr>
              <w:t xml:space="preserve"> </w:t>
            </w:r>
            <w:r w:rsidRPr="00F2273F">
              <w:rPr>
                <w:rFonts w:eastAsia="Times New Roman"/>
                <w:sz w:val="28"/>
                <w:szCs w:val="22"/>
              </w:rPr>
              <w:t>Luego de ello se refirió</w:t>
            </w:r>
            <w:r w:rsidRPr="00F2273F">
              <w:rPr>
                <w:rFonts w:eastAsia="Times New Roman"/>
                <w:sz w:val="28"/>
                <w:szCs w:val="22"/>
              </w:rPr>
              <w:t xml:space="preserve"> </w:t>
            </w:r>
            <w:r w:rsidRPr="00F2273F">
              <w:rPr>
                <w:rFonts w:eastAsia="Times New Roman"/>
                <w:sz w:val="28"/>
                <w:szCs w:val="22"/>
              </w:rPr>
              <w:t>a la ley que aprueba el plan nacional de desa</w:t>
            </w:r>
            <w:r w:rsidRPr="00F2273F">
              <w:rPr>
                <w:rFonts w:eastAsia="Times New Roman"/>
                <w:sz w:val="28"/>
                <w:szCs w:val="22"/>
              </w:rPr>
              <w:t>rrollo</w:t>
            </w:r>
            <w:r w:rsidRPr="00F2273F">
              <w:rPr>
                <w:rFonts w:eastAsia="Times New Roman"/>
                <w:sz w:val="28"/>
                <w:szCs w:val="22"/>
              </w:rPr>
              <w:t xml:space="preserve">, </w:t>
            </w:r>
            <w:r w:rsidRPr="00F2273F">
              <w:rPr>
                <w:rFonts w:eastAsia="Times New Roman"/>
                <w:sz w:val="28"/>
                <w:szCs w:val="22"/>
              </w:rPr>
              <w:t xml:space="preserve">sus características y al plan </w:t>
            </w:r>
            <w:r w:rsidRPr="00F2273F">
              <w:rPr>
                <w:rFonts w:eastAsia="Times New Roman"/>
                <w:sz w:val="28"/>
                <w:szCs w:val="22"/>
              </w:rPr>
              <w:t xml:space="preserve">nacional </w:t>
            </w:r>
            <w:r w:rsidRPr="00F2273F">
              <w:rPr>
                <w:rFonts w:eastAsia="Times New Roman"/>
                <w:sz w:val="28"/>
                <w:szCs w:val="22"/>
              </w:rPr>
              <w:t>de desarrollo actual y sus ejes</w:t>
            </w:r>
            <w:r w:rsidRPr="00F2273F">
              <w:rPr>
                <w:rFonts w:eastAsia="Times New Roman"/>
                <w:sz w:val="28"/>
                <w:szCs w:val="22"/>
              </w:rPr>
              <w:t xml:space="preserve">, así como </w:t>
            </w:r>
            <w:r w:rsidRPr="00F2273F">
              <w:rPr>
                <w:rFonts w:eastAsia="Times New Roman"/>
                <w:sz w:val="28"/>
                <w:szCs w:val="22"/>
              </w:rPr>
              <w:t>a los principios de consecutividad e identidad flexible y al principio de unidad de materia</w:t>
            </w:r>
            <w:r w:rsidRPr="00F2273F">
              <w:rPr>
                <w:rFonts w:eastAsia="Times New Roman"/>
                <w:sz w:val="28"/>
                <w:szCs w:val="22"/>
              </w:rPr>
              <w:t xml:space="preserve">. </w:t>
            </w:r>
          </w:p>
          <w:p w:rsidR="007256B7" w:rsidRPr="00F2273F" w:rsidRDefault="00F2273F" w:rsidP="002A5ED4">
            <w:pPr>
              <w:tabs>
                <w:tab w:val="left" w:pos="142"/>
              </w:tabs>
              <w:contextualSpacing/>
              <w:mirrorIndents/>
              <w:jc w:val="both"/>
              <w:rPr>
                <w:rFonts w:eastAsia="Times New Roman"/>
                <w:sz w:val="28"/>
                <w:szCs w:val="22"/>
              </w:rPr>
            </w:pPr>
          </w:p>
          <w:p w:rsidR="002A5ED4" w:rsidRPr="00F2273F" w:rsidRDefault="00F2273F" w:rsidP="002A5ED4">
            <w:pPr>
              <w:jc w:val="both"/>
              <w:rPr>
                <w:sz w:val="28"/>
                <w:szCs w:val="22"/>
              </w:rPr>
            </w:pPr>
            <w:r w:rsidRPr="00F2273F">
              <w:rPr>
                <w:sz w:val="28"/>
                <w:szCs w:val="22"/>
              </w:rPr>
              <w:t>La Sala encontró que se vulneraron los principios de consecutividad e id</w:t>
            </w:r>
            <w:r w:rsidRPr="00F2273F">
              <w:rPr>
                <w:sz w:val="28"/>
                <w:szCs w:val="22"/>
              </w:rPr>
              <w:t>entidad flexible por cuanto no se surtió la deliberación requerida respecto de las medidas derogatorias introducidas en segundo debate objeto de la demanda, específicamente considerando el carácter de tales normas en una ley multitemática como lo es el pla</w:t>
            </w:r>
            <w:r w:rsidRPr="00F2273F">
              <w:rPr>
                <w:sz w:val="28"/>
                <w:szCs w:val="22"/>
              </w:rPr>
              <w:t xml:space="preserve">n nacional de desarrollo y frente a la no aprobación del artículo que en el proyecto de ley regulaba el ajuste a la integración vertical en el sector de la energía eléctrica. </w:t>
            </w:r>
          </w:p>
          <w:p w:rsidR="002A5ED4" w:rsidRPr="00F2273F" w:rsidRDefault="00F2273F" w:rsidP="002A5ED4">
            <w:pPr>
              <w:jc w:val="both"/>
              <w:rPr>
                <w:sz w:val="28"/>
                <w:szCs w:val="22"/>
              </w:rPr>
            </w:pPr>
          </w:p>
          <w:p w:rsidR="002A5ED4" w:rsidRPr="00F2273F" w:rsidRDefault="00F2273F" w:rsidP="002A5ED4">
            <w:pPr>
              <w:jc w:val="both"/>
              <w:rPr>
                <w:sz w:val="28"/>
                <w:szCs w:val="22"/>
              </w:rPr>
            </w:pPr>
            <w:r w:rsidRPr="00F2273F">
              <w:rPr>
                <w:sz w:val="28"/>
                <w:szCs w:val="22"/>
              </w:rPr>
              <w:t>Si bien desde el proyecto original se incorporaron tres medidas sobre la materi</w:t>
            </w:r>
            <w:r w:rsidRPr="00F2273F">
              <w:rPr>
                <w:sz w:val="28"/>
                <w:szCs w:val="22"/>
              </w:rPr>
              <w:t xml:space="preserve">a, que implicaban incluir la transmisión como actividad integrable en el sector, condicionar la integración generación/transmisión al impulso de energías no convencionales y habilitar a las empresas creadas antes de 1994 a la integración sin </w:t>
            </w:r>
            <w:r w:rsidRPr="00F2273F">
              <w:rPr>
                <w:sz w:val="28"/>
                <w:szCs w:val="22"/>
              </w:rPr>
              <w:t xml:space="preserve">dicha </w:t>
            </w:r>
            <w:r w:rsidRPr="00F2273F">
              <w:rPr>
                <w:sz w:val="28"/>
                <w:szCs w:val="22"/>
              </w:rPr>
              <w:t>restricc</w:t>
            </w:r>
            <w:r w:rsidRPr="00F2273F">
              <w:rPr>
                <w:sz w:val="28"/>
                <w:szCs w:val="22"/>
              </w:rPr>
              <w:t xml:space="preserve">ión, evidenció la Corte Constitucional que: a) no hubo deliberación particular ni específica respecto de las medidas derogatorias contenidas en el artículo 372 del PND, b) se omitió debatir las dos proposiciones que buscaron su eliminación en la Cámara de </w:t>
            </w:r>
            <w:r w:rsidRPr="00F2273F">
              <w:rPr>
                <w:sz w:val="28"/>
                <w:szCs w:val="22"/>
              </w:rPr>
              <w:t xml:space="preserve">Representantes y c) el presidente de esa corporación legislativa expresa y voluntariamente impidió el uso de la palabra para debatir sobre aquellas, d) con lo que se impactó el principio democrático, fundamento de la consecutividad y la identidad flexible </w:t>
            </w:r>
            <w:r w:rsidRPr="00F2273F">
              <w:rPr>
                <w:sz w:val="28"/>
                <w:szCs w:val="22"/>
              </w:rPr>
              <w:t xml:space="preserve">en el trámite legislativo, así como se desconoció el precedente constitucional aplicable. </w:t>
            </w:r>
          </w:p>
          <w:p w:rsidR="00437392" w:rsidRPr="00F2273F" w:rsidRDefault="00F2273F" w:rsidP="002A5ED4">
            <w:pPr>
              <w:jc w:val="both"/>
              <w:rPr>
                <w:sz w:val="28"/>
                <w:szCs w:val="22"/>
              </w:rPr>
            </w:pPr>
          </w:p>
          <w:p w:rsidR="007256B7" w:rsidRPr="00F2273F" w:rsidRDefault="00F2273F" w:rsidP="009E69B9">
            <w:pPr>
              <w:pStyle w:val="Prrafodelista"/>
              <w:ind w:left="0" w:right="49"/>
              <w:jc w:val="both"/>
              <w:rPr>
                <w:sz w:val="28"/>
                <w:szCs w:val="22"/>
              </w:rPr>
            </w:pPr>
            <w:r w:rsidRPr="00F2273F">
              <w:rPr>
                <w:sz w:val="28"/>
                <w:szCs w:val="22"/>
              </w:rPr>
              <w:t>De acuerdo con el precedente sobre la materia, y a pesar de la prosperidad del primer cargo, la Sala también se pronunció sobre la censura por desconocimiento del p</w:t>
            </w:r>
            <w:r w:rsidRPr="00F2273F">
              <w:rPr>
                <w:sz w:val="28"/>
                <w:szCs w:val="22"/>
              </w:rPr>
              <w:t xml:space="preserve">rincipio de unidad de materia y, al efecto, siguió la metodología de análisis contenida en la Sentencia C-244 de 2025. </w:t>
            </w:r>
            <w:r w:rsidRPr="00F2273F">
              <w:rPr>
                <w:sz w:val="28"/>
                <w:szCs w:val="22"/>
              </w:rPr>
              <w:t xml:space="preserve">La Sala encontró que la medida no supera ninguno de los pasos que </w:t>
            </w:r>
            <w:r w:rsidRPr="00F2273F">
              <w:rPr>
                <w:sz w:val="28"/>
                <w:szCs w:val="22"/>
              </w:rPr>
              <w:t xml:space="preserve">constituyen </w:t>
            </w:r>
            <w:r w:rsidRPr="00F2273F">
              <w:rPr>
                <w:sz w:val="28"/>
                <w:szCs w:val="22"/>
              </w:rPr>
              <w:t>el análisis</w:t>
            </w:r>
            <w:r w:rsidRPr="00F2273F">
              <w:rPr>
                <w:sz w:val="28"/>
                <w:szCs w:val="22"/>
              </w:rPr>
              <w:t xml:space="preserve"> sobre un cargo tal</w:t>
            </w:r>
            <w:r w:rsidRPr="00F2273F">
              <w:rPr>
                <w:sz w:val="28"/>
                <w:szCs w:val="22"/>
              </w:rPr>
              <w:t>, dado que las derogatorias n</w:t>
            </w:r>
            <w:r w:rsidRPr="00F2273F">
              <w:rPr>
                <w:sz w:val="28"/>
                <w:szCs w:val="22"/>
              </w:rPr>
              <w:t xml:space="preserve">o son instrumentales en función de su ubicación, no tienen relación con los objetivos y programas del plan y del plan plurianual de inversiones y no </w:t>
            </w:r>
            <w:r w:rsidRPr="00F2273F">
              <w:rPr>
                <w:sz w:val="28"/>
                <w:szCs w:val="22"/>
              </w:rPr>
              <w:t xml:space="preserve">perdieron </w:t>
            </w:r>
            <w:r w:rsidRPr="00F2273F">
              <w:rPr>
                <w:sz w:val="28"/>
                <w:szCs w:val="22"/>
              </w:rPr>
              <w:t>alcance planificador</w:t>
            </w:r>
            <w:r w:rsidRPr="00F2273F">
              <w:rPr>
                <w:sz w:val="28"/>
                <w:szCs w:val="22"/>
              </w:rPr>
              <w:t xml:space="preserve"> con ocasión de la no aprobación del artículo 197/218 del proyecto</w:t>
            </w:r>
            <w:r w:rsidRPr="00F2273F">
              <w:rPr>
                <w:sz w:val="28"/>
                <w:szCs w:val="22"/>
              </w:rPr>
              <w:t xml:space="preserve">.  Además, </w:t>
            </w:r>
            <w:r w:rsidRPr="00F2273F">
              <w:rPr>
                <w:sz w:val="28"/>
                <w:szCs w:val="22"/>
              </w:rPr>
              <w:t>la Sala también encontró que no se debatieron y el Gobierno no justificó su inclusión ni el trámite</w:t>
            </w:r>
            <w:r w:rsidRPr="00F2273F">
              <w:rPr>
                <w:sz w:val="28"/>
                <w:szCs w:val="22"/>
              </w:rPr>
              <w:t xml:space="preserve"> que se les dio</w:t>
            </w:r>
            <w:r w:rsidRPr="00F2273F">
              <w:rPr>
                <w:sz w:val="28"/>
                <w:szCs w:val="22"/>
              </w:rPr>
              <w:t>.</w:t>
            </w:r>
          </w:p>
        </w:tc>
      </w:tr>
      <w:tr w:rsidR="00974547" w:rsidRPr="00F2273F" w:rsidTr="005367D3">
        <w:tc>
          <w:tcPr>
            <w:tcW w:w="1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rsidR="007256B7" w:rsidRPr="00F2273F" w:rsidRDefault="00F2273F" w:rsidP="005367D3">
            <w:pPr>
              <w:tabs>
                <w:tab w:val="left" w:pos="142"/>
              </w:tabs>
              <w:contextualSpacing/>
              <w:mirrorIndents/>
              <w:jc w:val="center"/>
              <w:rPr>
                <w:rFonts w:eastAsia="Times New Roman"/>
                <w:b/>
                <w:bCs/>
                <w:sz w:val="28"/>
                <w:szCs w:val="22"/>
              </w:rPr>
            </w:pPr>
            <w:r w:rsidRPr="00F2273F">
              <w:rPr>
                <w:rFonts w:eastAsia="Times New Roman"/>
                <w:b/>
                <w:bCs/>
                <w:sz w:val="28"/>
                <w:szCs w:val="22"/>
              </w:rPr>
              <w:t>¿Qué decidió la Corte?</w:t>
            </w:r>
          </w:p>
        </w:tc>
        <w:tc>
          <w:tcPr>
            <w:tcW w:w="7415" w:type="dxa"/>
            <w:tcBorders>
              <w:top w:val="single" w:sz="4" w:space="0" w:color="auto"/>
              <w:left w:val="single" w:sz="4" w:space="0" w:color="auto"/>
              <w:bottom w:val="single" w:sz="4" w:space="0" w:color="auto"/>
              <w:right w:val="single" w:sz="4" w:space="0" w:color="auto"/>
            </w:tcBorders>
            <w:vAlign w:val="center"/>
          </w:tcPr>
          <w:p w:rsidR="007256B7" w:rsidRPr="00F2273F" w:rsidRDefault="00F2273F" w:rsidP="001F51C5">
            <w:pPr>
              <w:jc w:val="both"/>
              <w:rPr>
                <w:rFonts w:eastAsia="Arial Unicode MS"/>
                <w:sz w:val="28"/>
                <w:szCs w:val="22"/>
                <w:u w:color="000000"/>
                <w:bdr w:val="nil"/>
                <w:lang w:val="es-MX"/>
              </w:rPr>
            </w:pPr>
            <w:r w:rsidRPr="00F2273F">
              <w:rPr>
                <w:rFonts w:eastAsia="Arial Unicode MS"/>
                <w:sz w:val="28"/>
                <w:szCs w:val="22"/>
                <w:u w:color="000000"/>
                <w:bdr w:val="nil"/>
                <w:lang w:val="es-MX"/>
              </w:rPr>
              <w:t xml:space="preserve">Como consecuencia de lo anterior, la Sala declaró la inexequibilidad </w:t>
            </w:r>
            <w:r w:rsidRPr="00F2273F">
              <w:rPr>
                <w:rFonts w:eastAsia="Arial Unicode MS"/>
                <w:sz w:val="28"/>
                <w:szCs w:val="22"/>
                <w:u w:color="000000"/>
                <w:bdr w:val="nil"/>
                <w:lang w:val="es-MX"/>
              </w:rPr>
              <w:t xml:space="preserve">de </w:t>
            </w:r>
            <w:r w:rsidRPr="00F2273F">
              <w:rPr>
                <w:sz w:val="28"/>
                <w:szCs w:val="22"/>
              </w:rPr>
              <w:t>las expresiones</w:t>
            </w:r>
            <w:r w:rsidRPr="00F2273F">
              <w:rPr>
                <w:sz w:val="28"/>
                <w:szCs w:val="22"/>
              </w:rPr>
              <w:t xml:space="preserve"> </w:t>
            </w:r>
            <w:r w:rsidRPr="00F2273F">
              <w:rPr>
                <w:sz w:val="28"/>
                <w:szCs w:val="22"/>
              </w:rPr>
              <w:t>“el parágrafo tercero del ar</w:t>
            </w:r>
            <w:r w:rsidRPr="00F2273F">
              <w:rPr>
                <w:sz w:val="28"/>
                <w:szCs w:val="22"/>
              </w:rPr>
              <w:t xml:space="preserve">tículo 167 de la Ley 142 de 1994; el parágrafo tercero del artículo 32 de la Ley 143 de 1994;”,contenidas en el artículo 372 de la Ley 2294 de 2023 y dispuso </w:t>
            </w:r>
            <w:r w:rsidRPr="00F2273F">
              <w:rPr>
                <w:sz w:val="28"/>
                <w:szCs w:val="22"/>
              </w:rPr>
              <w:t xml:space="preserve">la </w:t>
            </w:r>
            <w:r w:rsidRPr="00F2273F">
              <w:rPr>
                <w:sz w:val="28"/>
                <w:szCs w:val="22"/>
              </w:rPr>
              <w:t xml:space="preserve">reviviscencia </w:t>
            </w:r>
            <w:r w:rsidRPr="00F2273F">
              <w:rPr>
                <w:sz w:val="28"/>
                <w:szCs w:val="22"/>
              </w:rPr>
              <w:t xml:space="preserve">de las normas derogadas, </w:t>
            </w:r>
            <w:r w:rsidRPr="00F2273F">
              <w:rPr>
                <w:sz w:val="28"/>
                <w:szCs w:val="22"/>
              </w:rPr>
              <w:t xml:space="preserve">para evitar un vacío normativo </w:t>
            </w:r>
            <w:r w:rsidRPr="00F2273F">
              <w:rPr>
                <w:sz w:val="28"/>
                <w:szCs w:val="22"/>
              </w:rPr>
              <w:t>y mantener el diseño adop</w:t>
            </w:r>
            <w:r w:rsidRPr="00F2273F">
              <w:rPr>
                <w:sz w:val="28"/>
                <w:szCs w:val="22"/>
              </w:rPr>
              <w:t xml:space="preserve">tado por el legislador en ejercicio de una competencia constitucional. </w:t>
            </w:r>
            <w:r w:rsidRPr="00F2273F">
              <w:rPr>
                <w:sz w:val="28"/>
                <w:szCs w:val="22"/>
              </w:rPr>
              <w:t xml:space="preserve">  </w:t>
            </w:r>
          </w:p>
        </w:tc>
      </w:tr>
    </w:tbl>
    <w:p w:rsidR="00F83F7D"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p>
    <w:p w:rsidR="00A475F4"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r w:rsidRPr="00F2273F">
        <w:rPr>
          <w:rFonts w:ascii="Times New Roman" w:eastAsia="Times New Roman" w:hAnsi="Times New Roman" w:cs="Times New Roman"/>
          <w:b/>
          <w:bCs/>
          <w:sz w:val="28"/>
          <w:szCs w:val="28"/>
          <w:lang w:val="es-ES" w:eastAsia="es-ES"/>
        </w:rPr>
        <w:t xml:space="preserve">Tabla de abreviaturas </w:t>
      </w:r>
    </w:p>
    <w:p w:rsidR="00A475F4"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p>
    <w:p w:rsidR="00A475F4" w:rsidRPr="00F2273F" w:rsidRDefault="00F2273F" w:rsidP="00C652A9">
      <w:pPr>
        <w:tabs>
          <w:tab w:val="left" w:pos="142"/>
        </w:tabs>
        <w:spacing w:after="0" w:line="240" w:lineRule="auto"/>
        <w:contextualSpacing/>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 xml:space="preserve">La Corte utilizará algunas siglas o abreviaturas empleadas por los intervinientes y algunas normas legales que se consideran relevantes para facilitar la </w:t>
      </w:r>
      <w:r w:rsidRPr="00F2273F">
        <w:rPr>
          <w:rFonts w:ascii="Times New Roman" w:hAnsi="Times New Roman" w:cs="Times New Roman"/>
          <w:sz w:val="28"/>
          <w:szCs w:val="28"/>
          <w:shd w:val="clear" w:color="auto" w:fill="FFFFFF"/>
        </w:rPr>
        <w:t>lectura de esta sentencia. Para tal fin, se incluye la siguiente tabla ilustrativa.</w:t>
      </w:r>
    </w:p>
    <w:p w:rsidR="00974547" w:rsidRPr="00F2273F" w:rsidRDefault="00F2273F" w:rsidP="00C652A9">
      <w:pPr>
        <w:tabs>
          <w:tab w:val="left" w:pos="142"/>
        </w:tabs>
        <w:spacing w:after="0" w:line="240" w:lineRule="auto"/>
        <w:contextualSpacing/>
        <w:mirrorIndents/>
        <w:jc w:val="both"/>
        <w:rPr>
          <w:rFonts w:ascii="Times New Roman" w:hAnsi="Times New Roman" w:cs="Times New Roman"/>
          <w:sz w:val="28"/>
          <w:szCs w:val="28"/>
          <w:shd w:val="clear" w:color="auto" w:fill="FFFFFF"/>
        </w:rPr>
      </w:pPr>
    </w:p>
    <w:p w:rsidR="00974547" w:rsidRPr="00F2273F" w:rsidRDefault="00F2273F" w:rsidP="00974547">
      <w:pPr>
        <w:tabs>
          <w:tab w:val="left" w:pos="142"/>
        </w:tabs>
        <w:spacing w:after="0" w:line="240" w:lineRule="auto"/>
        <w:contextualSpacing/>
        <w:mirrorIndents/>
        <w:jc w:val="center"/>
        <w:rPr>
          <w:rFonts w:ascii="Times New Roman" w:eastAsia="Times New Roman" w:hAnsi="Times New Roman" w:cs="Times New Roman"/>
          <w:b/>
          <w:bCs/>
          <w:sz w:val="28"/>
          <w:lang w:val="es-ES" w:eastAsia="es-ES"/>
        </w:rPr>
      </w:pPr>
      <w:r w:rsidRPr="00F2273F">
        <w:rPr>
          <w:rFonts w:ascii="Times New Roman" w:eastAsia="Times New Roman" w:hAnsi="Times New Roman" w:cs="Times New Roman"/>
          <w:b/>
          <w:bCs/>
          <w:sz w:val="28"/>
          <w:lang w:val="es-ES" w:eastAsia="es-ES"/>
        </w:rPr>
        <w:t xml:space="preserve">Tabla 1. </w:t>
      </w:r>
      <w:r w:rsidRPr="00F2273F">
        <w:rPr>
          <w:rFonts w:ascii="Times New Roman" w:eastAsia="Times New Roman" w:hAnsi="Times New Roman" w:cs="Times New Roman"/>
          <w:i/>
          <w:iCs/>
          <w:sz w:val="28"/>
          <w:lang w:val="es-ES" w:eastAsia="es-ES"/>
        </w:rPr>
        <w:t xml:space="preserve">Abreviaturas. </w:t>
      </w:r>
    </w:p>
    <w:tbl>
      <w:tblPr>
        <w:tblW w:w="6351" w:type="dxa"/>
        <w:jc w:val="center"/>
        <w:tblCellMar>
          <w:left w:w="0" w:type="dxa"/>
          <w:right w:w="0" w:type="dxa"/>
        </w:tblCellMar>
        <w:tblLook w:val="04A0" w:firstRow="1" w:lastRow="0" w:firstColumn="1" w:lastColumn="0" w:noHBand="0" w:noVBand="1"/>
      </w:tblPr>
      <w:tblGrid>
        <w:gridCol w:w="3175"/>
        <w:gridCol w:w="3176"/>
      </w:tblGrid>
      <w:tr w:rsidR="00974547" w:rsidRPr="00F2273F" w:rsidTr="00974547">
        <w:trPr>
          <w:trHeight w:val="468"/>
          <w:jc w:val="center"/>
        </w:trPr>
        <w:tc>
          <w:tcPr>
            <w:tcW w:w="3175"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0" w:type="dxa"/>
              <w:left w:w="70" w:type="dxa"/>
              <w:bottom w:w="0" w:type="dxa"/>
              <w:right w:w="70" w:type="dxa"/>
            </w:tcMar>
            <w:hideMark/>
          </w:tcPr>
          <w:p w:rsidR="00A475F4" w:rsidRPr="00F2273F" w:rsidRDefault="00F2273F" w:rsidP="00A475F4">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b/>
                <w:bCs/>
                <w:sz w:val="28"/>
                <w:lang w:val="es-419" w:eastAsia="es-MX"/>
              </w:rPr>
              <w:t>A</w:t>
            </w:r>
            <w:r w:rsidRPr="00F2273F">
              <w:rPr>
                <w:rFonts w:ascii="Times New Roman" w:eastAsia="Times New Roman" w:hAnsi="Times New Roman" w:cs="Times New Roman"/>
                <w:b/>
                <w:bCs/>
                <w:sz w:val="28"/>
                <w:lang w:val="es-419" w:eastAsia="es-MX"/>
              </w:rPr>
              <w:t>breviatura</w:t>
            </w:r>
          </w:p>
        </w:tc>
        <w:tc>
          <w:tcPr>
            <w:tcW w:w="3176"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0" w:type="dxa"/>
              <w:left w:w="70" w:type="dxa"/>
              <w:bottom w:w="0" w:type="dxa"/>
              <w:right w:w="70" w:type="dxa"/>
            </w:tcMar>
            <w:hideMark/>
          </w:tcPr>
          <w:p w:rsidR="00A475F4" w:rsidRPr="00F2273F" w:rsidRDefault="00F2273F" w:rsidP="00A475F4">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b/>
                <w:bCs/>
                <w:sz w:val="28"/>
                <w:lang w:val="es-419" w:eastAsia="es-MX"/>
              </w:rPr>
              <w:t>N</w:t>
            </w:r>
            <w:r w:rsidRPr="00F2273F">
              <w:rPr>
                <w:rFonts w:ascii="Times New Roman" w:eastAsia="Times New Roman" w:hAnsi="Times New Roman" w:cs="Times New Roman"/>
                <w:b/>
                <w:bCs/>
                <w:sz w:val="28"/>
                <w:lang w:val="es-419" w:eastAsia="es-MX"/>
              </w:rPr>
              <w:t>ombre</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A475F4">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PND</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A475F4">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Plan Nacional de Desarrollo</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A475F4">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CND</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A475F4">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Centro Nacional de Despacho </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A475F4">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hAnsi="Times New Roman" w:cs="Times New Roman"/>
                <w:bCs/>
                <w:sz w:val="28"/>
              </w:rPr>
              <w:t>ISA</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A475F4">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hAnsi="Times New Roman" w:cs="Times New Roman"/>
                <w:sz w:val="28"/>
              </w:rPr>
              <w:t>Interconexión Eléctrica S.A. E.S.P -ISA-</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CREG</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hAnsi="Times New Roman" w:cs="Times New Roman"/>
                <w:bCs/>
                <w:sz w:val="28"/>
              </w:rPr>
              <w:t xml:space="preserve">Comisión </w:t>
            </w:r>
            <w:r w:rsidRPr="00F2273F">
              <w:rPr>
                <w:rFonts w:ascii="Times New Roman" w:hAnsi="Times New Roman" w:cs="Times New Roman"/>
                <w:bCs/>
                <w:sz w:val="28"/>
              </w:rPr>
              <w:t>de Regulación de Energía y Gas</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pStyle w:val="Prrafodelista"/>
              <w:tabs>
                <w:tab w:val="left" w:pos="567"/>
              </w:tabs>
              <w:spacing w:after="0" w:line="240" w:lineRule="auto"/>
              <w:ind w:left="0"/>
              <w:jc w:val="both"/>
              <w:rPr>
                <w:rFonts w:ascii="Times New Roman" w:hAnsi="Times New Roman" w:cs="Times New Roman"/>
                <w:sz w:val="28"/>
              </w:rPr>
            </w:pPr>
          </w:p>
          <w:p w:rsidR="00A475F4" w:rsidRPr="00F2273F" w:rsidRDefault="00F2273F" w:rsidP="00831E3E">
            <w:pPr>
              <w:pStyle w:val="Prrafodelista"/>
              <w:tabs>
                <w:tab w:val="left" w:pos="567"/>
              </w:tabs>
              <w:spacing w:after="0" w:line="240" w:lineRule="auto"/>
              <w:ind w:left="0"/>
              <w:jc w:val="center"/>
              <w:rPr>
                <w:rFonts w:ascii="Times New Roman" w:hAnsi="Times New Roman" w:cs="Times New Roman"/>
                <w:bCs/>
                <w:sz w:val="28"/>
              </w:rPr>
            </w:pPr>
            <w:r w:rsidRPr="00F2273F">
              <w:rPr>
                <w:rFonts w:ascii="Times New Roman" w:hAnsi="Times New Roman" w:cs="Times New Roman"/>
                <w:sz w:val="28"/>
              </w:rPr>
              <w:t>FNCER</w:t>
            </w:r>
          </w:p>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hAnsi="Times New Roman" w:cs="Times New Roman"/>
                <w:sz w:val="28"/>
              </w:rPr>
            </w:pPr>
          </w:p>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hAnsi="Times New Roman" w:cs="Times New Roman"/>
                <w:sz w:val="28"/>
                <w:lang w:eastAsia="es-MX"/>
              </w:rPr>
              <w:t xml:space="preserve">Fuentes no convencionales de energía renovable </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PPI</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Plan plurianual de inversiones</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XM</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hAnsi="Times New Roman" w:cs="Times New Roman"/>
                <w:bCs/>
                <w:sz w:val="28"/>
              </w:rPr>
              <w:t>Administrador del Mercado de Energía Mayorista de Colombia y del Sistema de Interconectado</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hAnsi="Times New Roman" w:cs="Times New Roman"/>
                <w:sz w:val="28"/>
              </w:rPr>
              <w:t>C.P.</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Constitución Política </w:t>
            </w:r>
          </w:p>
        </w:tc>
      </w:tr>
      <w:tr w:rsidR="00974547"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PGN </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Presupuesto General de la Nación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MFMP</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Marco Fiscal de Mediano Plazo</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SGR</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Sistema General de Regalías</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SGP </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Sistema Geenral de Participaciones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 xml:space="preserve">SIN </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Times New Roman" w:hAnsi="Times New Roman" w:cs="Times New Roman"/>
                <w:sz w:val="28"/>
                <w:lang w:val="es-419" w:eastAsia="es-MX"/>
              </w:rPr>
            </w:pPr>
            <w:r w:rsidRPr="00F2273F">
              <w:rPr>
                <w:rFonts w:ascii="Times New Roman" w:eastAsia="Arial Unicode MS" w:hAnsi="Times New Roman" w:cs="Times New Roman"/>
                <w:sz w:val="28"/>
                <w:bdr w:val="nil"/>
                <w:lang w:val="es-ES"/>
              </w:rPr>
              <w:t>Sistema Interconectado Nacional</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eastAsia="Times New Roman" w:hAnsi="Times New Roman" w:cs="Times New Roman"/>
                <w:sz w:val="28"/>
                <w:lang w:val="es-419" w:eastAsia="es-MX"/>
              </w:rPr>
              <w:t>FNCE</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Fuentes no convencionales de energía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eastAsia="Times New Roman" w:hAnsi="Times New Roman" w:cs="Times New Roman"/>
                <w:sz w:val="28"/>
                <w:lang w:val="es-419" w:eastAsia="es-MX"/>
              </w:rPr>
            </w:pPr>
            <w:r w:rsidRPr="00F2273F">
              <w:rPr>
                <w:rFonts w:ascii="Times New Roman" w:hAnsi="Times New Roman" w:cs="Times New Roman"/>
                <w:sz w:val="28"/>
              </w:rPr>
              <w:t>GEB SA ESP</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Grupo de energía </w:t>
            </w:r>
            <w:r w:rsidRPr="00F2273F">
              <w:rPr>
                <w:rFonts w:ascii="Times New Roman" w:eastAsia="Arial Unicode MS" w:hAnsi="Times New Roman" w:cs="Times New Roman"/>
                <w:sz w:val="28"/>
                <w:bdr w:val="nil"/>
                <w:lang w:val="es-ES"/>
              </w:rPr>
              <w:t>de Bogotá</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hAnsi="Times New Roman" w:cs="Times New Roman"/>
                <w:sz w:val="28"/>
              </w:rPr>
            </w:pPr>
            <w:r w:rsidRPr="00F2273F">
              <w:rPr>
                <w:rFonts w:ascii="Times New Roman" w:hAnsi="Times New Roman" w:cs="Times New Roman"/>
                <w:sz w:val="28"/>
              </w:rPr>
              <w:t>EEPM</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Empresas Públicas de Medellín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hAnsi="Times New Roman" w:cs="Times New Roman"/>
                <w:sz w:val="28"/>
              </w:rPr>
            </w:pPr>
            <w:r w:rsidRPr="00F2273F">
              <w:rPr>
                <w:rFonts w:ascii="Times New Roman" w:hAnsi="Times New Roman" w:cs="Times New Roman"/>
                <w:sz w:val="28"/>
              </w:rPr>
              <w:t>ESSA</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Electrificadora de Santander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hAnsi="Times New Roman" w:cs="Times New Roman"/>
                <w:sz w:val="28"/>
              </w:rPr>
            </w:pPr>
            <w:r w:rsidRPr="00F2273F">
              <w:rPr>
                <w:rFonts w:ascii="Times New Roman" w:hAnsi="Times New Roman" w:cs="Times New Roman"/>
                <w:sz w:val="28"/>
              </w:rPr>
              <w:t>DELSUR</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Desarrollo eléctrico Suria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hAnsi="Times New Roman" w:cs="Times New Roman"/>
                <w:sz w:val="28"/>
              </w:rPr>
            </w:pPr>
            <w:r w:rsidRPr="00F2273F">
              <w:rPr>
                <w:rFonts w:ascii="Times New Roman" w:hAnsi="Times New Roman" w:cs="Times New Roman"/>
                <w:sz w:val="28"/>
              </w:rPr>
              <w:t xml:space="preserve">EBSA </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Empresa de Energía de Boyacá </w:t>
            </w:r>
          </w:p>
        </w:tc>
      </w:tr>
      <w:tr w:rsidR="00A475F4" w:rsidRPr="00F2273F" w:rsidTr="00831E3E">
        <w:trPr>
          <w:trHeight w:val="749"/>
          <w:jc w:val="center"/>
        </w:trPr>
        <w:tc>
          <w:tcPr>
            <w:tcW w:w="317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A475F4" w:rsidRPr="00F2273F" w:rsidRDefault="00F2273F" w:rsidP="00831E3E">
            <w:pPr>
              <w:spacing w:after="0" w:line="240" w:lineRule="auto"/>
              <w:jc w:val="center"/>
              <w:textAlignment w:val="baseline"/>
              <w:rPr>
                <w:rFonts w:ascii="Times New Roman" w:hAnsi="Times New Roman" w:cs="Times New Roman"/>
                <w:sz w:val="28"/>
              </w:rPr>
            </w:pPr>
            <w:r w:rsidRPr="00F2273F">
              <w:rPr>
                <w:rFonts w:ascii="Times New Roman" w:hAnsi="Times New Roman" w:cs="Times New Roman"/>
                <w:sz w:val="28"/>
              </w:rPr>
              <w:t>CHEC</w:t>
            </w:r>
          </w:p>
        </w:tc>
        <w:tc>
          <w:tcPr>
            <w:tcW w:w="317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A475F4" w:rsidRPr="00F2273F" w:rsidRDefault="00F2273F" w:rsidP="00831E3E">
            <w:pPr>
              <w:spacing w:after="0" w:line="240" w:lineRule="auto"/>
              <w:jc w:val="both"/>
              <w:textAlignment w:val="baseline"/>
              <w:rPr>
                <w:rFonts w:ascii="Times New Roman" w:eastAsia="Arial Unicode MS" w:hAnsi="Times New Roman" w:cs="Times New Roman"/>
                <w:sz w:val="28"/>
                <w:bdr w:val="nil"/>
                <w:lang w:val="es-ES"/>
              </w:rPr>
            </w:pPr>
            <w:r w:rsidRPr="00F2273F">
              <w:rPr>
                <w:rFonts w:ascii="Times New Roman" w:eastAsia="Arial Unicode MS" w:hAnsi="Times New Roman" w:cs="Times New Roman"/>
                <w:sz w:val="28"/>
                <w:bdr w:val="nil"/>
                <w:lang w:val="es-ES"/>
              </w:rPr>
              <w:t xml:space="preserve">Central Hidroeléctrica de Caldas </w:t>
            </w:r>
          </w:p>
        </w:tc>
      </w:tr>
    </w:tbl>
    <w:p w:rsidR="00A475F4" w:rsidRPr="00F2273F" w:rsidRDefault="00F2273F" w:rsidP="00C652A9">
      <w:pPr>
        <w:tabs>
          <w:tab w:val="left" w:pos="142"/>
        </w:tabs>
        <w:spacing w:after="0" w:line="240" w:lineRule="auto"/>
        <w:contextualSpacing/>
        <w:mirrorIndents/>
        <w:jc w:val="both"/>
        <w:rPr>
          <w:rFonts w:ascii="Times New Roman" w:eastAsia="Times New Roman" w:hAnsi="Times New Roman" w:cs="Times New Roman"/>
          <w:b/>
          <w:bCs/>
          <w:sz w:val="28"/>
          <w:szCs w:val="28"/>
          <w:lang w:val="es-ES" w:eastAsia="es-ES"/>
        </w:rPr>
      </w:pPr>
    </w:p>
    <w:p w:rsidR="00D15AFF" w:rsidRPr="00F2273F" w:rsidRDefault="00F2273F" w:rsidP="22D4BD33">
      <w:pPr>
        <w:pStyle w:val="Prrafodelista"/>
        <w:numPr>
          <w:ilvl w:val="0"/>
          <w:numId w:val="2"/>
        </w:numPr>
        <w:tabs>
          <w:tab w:val="left" w:pos="142"/>
        </w:tabs>
        <w:spacing w:after="0" w:line="240" w:lineRule="auto"/>
        <w:ind w:left="630" w:hanging="630"/>
        <w:mirrorIndents/>
        <w:jc w:val="both"/>
        <w:rPr>
          <w:rFonts w:ascii="Times New Roman" w:eastAsia="Times New Roman" w:hAnsi="Times New Roman" w:cs="Times New Roman"/>
          <w:b/>
          <w:bCs/>
          <w:sz w:val="28"/>
          <w:szCs w:val="28"/>
          <w:lang w:val="es-ES" w:eastAsia="es-ES"/>
        </w:rPr>
      </w:pPr>
      <w:r w:rsidRPr="00F2273F">
        <w:rPr>
          <w:rFonts w:ascii="Times New Roman" w:eastAsia="Times New Roman" w:hAnsi="Times New Roman" w:cs="Times New Roman"/>
          <w:b/>
          <w:bCs/>
          <w:sz w:val="28"/>
          <w:szCs w:val="28"/>
          <w:lang w:val="es-ES" w:eastAsia="es-ES"/>
        </w:rPr>
        <w:t>ANTECEDENTES</w:t>
      </w:r>
    </w:p>
    <w:p w:rsidR="00D15AFF" w:rsidRPr="00F2273F" w:rsidRDefault="00F2273F" w:rsidP="22D4BD33">
      <w:pPr>
        <w:pStyle w:val="Prrafodelista"/>
        <w:tabs>
          <w:tab w:val="left" w:pos="142"/>
        </w:tabs>
        <w:spacing w:after="0" w:line="240" w:lineRule="auto"/>
        <w:ind w:left="630" w:hanging="630"/>
        <w:mirrorIndents/>
        <w:jc w:val="both"/>
        <w:rPr>
          <w:rFonts w:ascii="Times New Roman" w:eastAsia="Times New Roman" w:hAnsi="Times New Roman" w:cs="Times New Roman"/>
          <w:b/>
          <w:bCs/>
          <w:sz w:val="28"/>
          <w:szCs w:val="28"/>
          <w:lang w:val="es-ES" w:eastAsia="es-ES"/>
        </w:rPr>
      </w:pPr>
    </w:p>
    <w:p w:rsidR="00D15AFF" w:rsidRPr="00F2273F" w:rsidRDefault="00F2273F" w:rsidP="22D4BD33">
      <w:pPr>
        <w:pStyle w:val="Prrafodelista"/>
        <w:tabs>
          <w:tab w:val="left" w:pos="142"/>
        </w:tabs>
        <w:spacing w:after="0" w:line="240" w:lineRule="auto"/>
        <w:ind w:left="630" w:hanging="630"/>
        <w:mirrorIndents/>
        <w:jc w:val="both"/>
        <w:rPr>
          <w:rFonts w:ascii="Times New Roman" w:eastAsia="Times New Roman" w:hAnsi="Times New Roman" w:cs="Times New Roman"/>
          <w:b/>
          <w:bCs/>
          <w:sz w:val="28"/>
          <w:szCs w:val="28"/>
          <w:lang w:val="es-ES" w:eastAsia="es-ES"/>
        </w:rPr>
      </w:pPr>
      <w:r w:rsidRPr="00F2273F">
        <w:rPr>
          <w:rFonts w:ascii="Times New Roman" w:eastAsia="Times New Roman" w:hAnsi="Times New Roman" w:cs="Times New Roman"/>
          <w:b/>
          <w:bCs/>
          <w:sz w:val="28"/>
          <w:szCs w:val="28"/>
          <w:lang w:val="es-ES" w:eastAsia="es-ES"/>
        </w:rPr>
        <w:t>Trámite procesal</w:t>
      </w:r>
    </w:p>
    <w:p w:rsidR="00D15AFF" w:rsidRPr="00F2273F" w:rsidRDefault="00F2273F" w:rsidP="007256B7">
      <w:pPr>
        <w:tabs>
          <w:tab w:val="left" w:pos="142"/>
        </w:tabs>
        <w:spacing w:after="0" w:line="240" w:lineRule="auto"/>
        <w:mirrorIndents/>
        <w:jc w:val="both"/>
        <w:rPr>
          <w:rFonts w:ascii="Times New Roman" w:eastAsia="Times New Roman" w:hAnsi="Times New Roman" w:cs="Times New Roman"/>
          <w:b/>
          <w:bCs/>
          <w:sz w:val="28"/>
          <w:szCs w:val="28"/>
          <w:lang w:val="es-ES" w:eastAsia="es-ES"/>
        </w:rPr>
      </w:pPr>
    </w:p>
    <w:p w:rsidR="00D15AFF" w:rsidRPr="00F2273F" w:rsidRDefault="00F2273F" w:rsidP="0028298B">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bookmarkStart w:id="2" w:name="_Hlk163576635"/>
      <w:r w:rsidRPr="00F2273F">
        <w:rPr>
          <w:rFonts w:ascii="Times New Roman" w:hAnsi="Times New Roman" w:cs="Times New Roman"/>
          <w:sz w:val="28"/>
          <w:szCs w:val="28"/>
          <w:shd w:val="clear" w:color="auto" w:fill="FFFFFF"/>
        </w:rPr>
        <w:t xml:space="preserve">En ejercicio de la acción </w:t>
      </w:r>
      <w:r w:rsidRPr="00F2273F">
        <w:rPr>
          <w:rFonts w:ascii="Times New Roman" w:hAnsi="Times New Roman" w:cs="Times New Roman"/>
          <w:sz w:val="28"/>
          <w:szCs w:val="28"/>
          <w:shd w:val="clear" w:color="auto" w:fill="FFFFFF"/>
        </w:rPr>
        <w:t>pública de inconstitucionalidad, los ciudadanos José Fernando Plata Puyana y Felipe Serra</w:t>
      </w:r>
      <w:r w:rsidRPr="00F2273F">
        <w:rPr>
          <w:rFonts w:ascii="Times New Roman" w:hAnsi="Times New Roman" w:cs="Times New Roman"/>
          <w:sz w:val="28"/>
          <w:szCs w:val="28"/>
          <w:shd w:val="clear" w:color="auto" w:fill="FFFFFF"/>
        </w:rPr>
        <w:t>no</w:t>
      </w:r>
      <w:r w:rsidRPr="00F2273F">
        <w:rPr>
          <w:rFonts w:ascii="Times New Roman" w:hAnsi="Times New Roman" w:cs="Times New Roman"/>
          <w:sz w:val="28"/>
          <w:szCs w:val="28"/>
          <w:shd w:val="clear" w:color="auto" w:fill="FFFFFF"/>
        </w:rPr>
        <w:t xml:space="preserve"> Pinilla demandaron el artículo 372 (parcial) de la Ley 2294 de 2023</w:t>
      </w:r>
      <w:r w:rsidRPr="00F2273F">
        <w:rPr>
          <w:rFonts w:ascii="Times New Roman" w:hAnsi="Times New Roman" w:cs="Times New Roman"/>
          <w:sz w:val="28"/>
          <w:szCs w:val="28"/>
          <w:shd w:val="clear" w:color="auto" w:fill="FFFFFF"/>
        </w:rPr>
        <w:t>,</w:t>
      </w:r>
      <w:r w:rsidRPr="00F2273F">
        <w:rPr>
          <w:rFonts w:ascii="Times New Roman" w:hAnsi="Times New Roman" w:cs="Times New Roman"/>
          <w:sz w:val="28"/>
          <w:szCs w:val="28"/>
          <w:shd w:val="clear" w:color="auto" w:fill="FFFFFF"/>
        </w:rPr>
        <w:t xml:space="preserve"> “[p]or el cual se expide el Plan Nacional de Desarrollo 2022</w:t>
      </w:r>
      <w:r w:rsidRPr="00F2273F">
        <w:rPr>
          <w:rFonts w:ascii="Times New Roman" w:hAnsi="Times New Roman" w:cs="Times New Roman"/>
          <w:sz w:val="28"/>
          <w:szCs w:val="28"/>
          <w:shd w:val="clear" w:color="auto" w:fill="FFFFFF"/>
        </w:rPr>
        <w:t>-</w:t>
      </w:r>
      <w:r w:rsidRPr="00F2273F">
        <w:rPr>
          <w:rFonts w:ascii="Times New Roman" w:hAnsi="Times New Roman" w:cs="Times New Roman"/>
          <w:sz w:val="28"/>
          <w:szCs w:val="28"/>
          <w:shd w:val="clear" w:color="auto" w:fill="FFFFFF"/>
        </w:rPr>
        <w:t>2026</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 xml:space="preserve">‘Colombia Potencia Mundial de la Vida’”. Los accionantes argumentaron que las expresiones acusadas son incompatibles con los artículos 157, 158, 160, 169, 339 y 341 de la Constitución por desconocer los principios de consecutividad y unidad de materia. </w:t>
      </w:r>
    </w:p>
    <w:p w:rsidR="00D15AFF" w:rsidRPr="00F2273F" w:rsidRDefault="00F2273F" w:rsidP="00D15AFF">
      <w:pPr>
        <w:pStyle w:val="Prrafodelista"/>
        <w:tabs>
          <w:tab w:val="left" w:pos="567"/>
        </w:tabs>
        <w:spacing w:after="0" w:line="240" w:lineRule="auto"/>
        <w:ind w:left="0"/>
        <w:mirrorIndents/>
        <w:jc w:val="both"/>
        <w:rPr>
          <w:rFonts w:ascii="Times New Roman" w:hAnsi="Times New Roman" w:cs="Times New Roman"/>
          <w:sz w:val="28"/>
          <w:szCs w:val="28"/>
          <w:shd w:val="clear" w:color="auto" w:fill="FFFFFF"/>
        </w:rPr>
      </w:pPr>
    </w:p>
    <w:p w:rsidR="00D15AFF" w:rsidRPr="00F2273F" w:rsidRDefault="00F2273F" w:rsidP="0028298B">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M</w:t>
      </w:r>
      <w:r w:rsidRPr="00F2273F">
        <w:rPr>
          <w:rFonts w:ascii="Times New Roman" w:hAnsi="Times New Roman" w:cs="Times New Roman"/>
          <w:sz w:val="28"/>
          <w:szCs w:val="28"/>
          <w:shd w:val="clear" w:color="auto" w:fill="FFFFFF"/>
        </w:rPr>
        <w:t>ediante Auto del 11 de octubre de 2023, el magistrado sustanciador admitió los dos cargos propuestos en la demanda. Asimismo, ordenó: (a) a los secretarios generales del Senado de la República y de la Cámara de Representantes que remitieran a esta Corte, c</w:t>
      </w:r>
      <w:r w:rsidRPr="00F2273F">
        <w:rPr>
          <w:rFonts w:ascii="Times New Roman" w:hAnsi="Times New Roman" w:cs="Times New Roman"/>
          <w:sz w:val="28"/>
          <w:szCs w:val="28"/>
          <w:shd w:val="clear" w:color="auto" w:fill="FFFFFF"/>
        </w:rPr>
        <w:t xml:space="preserve">on destino al proceso de la referencia, el informe detallado del trámite legislativo y la copia digital del expediente respectivo; y (b) a </w:t>
      </w:r>
      <w:r w:rsidRPr="00F2273F">
        <w:rPr>
          <w:rFonts w:ascii="Times New Roman" w:hAnsi="Times New Roman" w:cs="Times New Roman"/>
          <w:sz w:val="28"/>
          <w:szCs w:val="28"/>
          <w:shd w:val="clear" w:color="auto" w:fill="FFFFFF"/>
        </w:rPr>
        <w:t xml:space="preserve">la </w:t>
      </w:r>
      <w:r w:rsidRPr="00F2273F">
        <w:rPr>
          <w:rFonts w:ascii="Times New Roman" w:hAnsi="Times New Roman" w:cs="Times New Roman"/>
          <w:sz w:val="28"/>
          <w:szCs w:val="28"/>
          <w:shd w:val="clear" w:color="auto" w:fill="FFFFFF"/>
        </w:rPr>
        <w:t>Presidencia de la República, al Ministerio de Hacienda y Crédito Público</w:t>
      </w:r>
      <w:r w:rsidRPr="00F2273F">
        <w:rPr>
          <w:rFonts w:ascii="Times New Roman" w:hAnsi="Times New Roman" w:cs="Times New Roman"/>
          <w:sz w:val="28"/>
          <w:szCs w:val="28"/>
          <w:shd w:val="clear" w:color="auto" w:fill="FFFFFF"/>
        </w:rPr>
        <w:t>,</w:t>
      </w:r>
      <w:r w:rsidRPr="00F2273F">
        <w:rPr>
          <w:rFonts w:ascii="Times New Roman" w:hAnsi="Times New Roman" w:cs="Times New Roman"/>
          <w:sz w:val="28"/>
          <w:szCs w:val="28"/>
          <w:shd w:val="clear" w:color="auto" w:fill="FFFFFF"/>
        </w:rPr>
        <w:t xml:space="preserve"> y al Departamento Nacional de Planeación</w:t>
      </w:r>
      <w:r w:rsidRPr="00F2273F">
        <w:rPr>
          <w:rFonts w:ascii="Times New Roman" w:hAnsi="Times New Roman" w:cs="Times New Roman"/>
          <w:sz w:val="28"/>
          <w:szCs w:val="28"/>
          <w:shd w:val="clear" w:color="auto" w:fill="FFFFFF"/>
        </w:rPr>
        <w:t xml:space="preserve"> remitir el documento oficial contentivo de las bases del Plan Nacional de Desarrollo 2022-2026 e indicar con cuáles ejes, objetivos, programas o proyectos se relaciona </w:t>
      </w:r>
      <w:r w:rsidRPr="00F2273F">
        <w:rPr>
          <w:rFonts w:ascii="Times New Roman" w:hAnsi="Times New Roman" w:cs="Times New Roman"/>
          <w:sz w:val="28"/>
          <w:szCs w:val="28"/>
          <w:shd w:val="clear" w:color="auto" w:fill="FFFFFF"/>
        </w:rPr>
        <w:t>el aparte demandado</w:t>
      </w:r>
      <w:r w:rsidRPr="00F2273F">
        <w:rPr>
          <w:rFonts w:ascii="Times New Roman" w:hAnsi="Times New Roman" w:cs="Times New Roman"/>
          <w:sz w:val="28"/>
          <w:szCs w:val="28"/>
          <w:shd w:val="clear" w:color="auto" w:fill="FFFFFF"/>
        </w:rPr>
        <w:t xml:space="preserve">. También dispuso (c) comunicar el inicio del proceso al presidente </w:t>
      </w:r>
      <w:r w:rsidRPr="00F2273F">
        <w:rPr>
          <w:rFonts w:ascii="Times New Roman" w:hAnsi="Times New Roman" w:cs="Times New Roman"/>
          <w:sz w:val="28"/>
          <w:szCs w:val="28"/>
          <w:shd w:val="clear" w:color="auto" w:fill="FFFFFF"/>
        </w:rPr>
        <w:t xml:space="preserve">de la República, al presidente del Congreso, al ministro de Hacienda y Crédito Público, al director del Departamento Nacional de Planeación, a la Comisión de Regulación de Energía y Gas, y a la Superintendencia de Servicios Públicos Domiciliarios para que </w:t>
      </w:r>
      <w:r w:rsidRPr="00F2273F">
        <w:rPr>
          <w:rFonts w:ascii="Times New Roman" w:hAnsi="Times New Roman" w:cs="Times New Roman"/>
          <w:sz w:val="28"/>
          <w:szCs w:val="28"/>
          <w:shd w:val="clear" w:color="auto" w:fill="FFFFFF"/>
        </w:rPr>
        <w:t>justificaran la constitucionalidad de los enunciados normativos sometidos a control. Además, (d) invitó a varias autoridades, instituciones académicas y personas expertas para que aportaran concepto técnico</w:t>
      </w:r>
      <w:r w:rsidRPr="00F2273F">
        <w:rPr>
          <w:rFonts w:ascii="Times New Roman" w:hAnsi="Times New Roman" w:cs="Times New Roman"/>
          <w:sz w:val="28"/>
          <w:szCs w:val="28"/>
          <w:shd w:val="clear" w:color="auto" w:fill="FFFFFF"/>
          <w:vertAlign w:val="superscript"/>
        </w:rPr>
        <w:footnoteReference w:id="1"/>
      </w:r>
      <w:r w:rsidRPr="00F2273F">
        <w:rPr>
          <w:rFonts w:ascii="Times New Roman" w:hAnsi="Times New Roman" w:cs="Times New Roman"/>
          <w:sz w:val="28"/>
          <w:szCs w:val="28"/>
          <w:shd w:val="clear" w:color="auto" w:fill="FFFFFF"/>
        </w:rPr>
        <w:t>,</w:t>
      </w:r>
      <w:r w:rsidRPr="00F2273F">
        <w:rPr>
          <w:rFonts w:ascii="Times New Roman" w:hAnsi="Times New Roman" w:cs="Times New Roman"/>
          <w:sz w:val="28"/>
          <w:szCs w:val="28"/>
          <w:shd w:val="clear" w:color="auto" w:fill="FFFFFF"/>
        </w:rPr>
        <w:t xml:space="preserve"> de conformidad con el artículo 13 del Decreto 2</w:t>
      </w:r>
      <w:r w:rsidRPr="00F2273F">
        <w:rPr>
          <w:rFonts w:ascii="Times New Roman" w:hAnsi="Times New Roman" w:cs="Times New Roman"/>
          <w:sz w:val="28"/>
          <w:szCs w:val="28"/>
          <w:shd w:val="clear" w:color="auto" w:fill="FFFFFF"/>
        </w:rPr>
        <w:t>067 de 1991</w:t>
      </w:r>
      <w:r w:rsidRPr="00F2273F">
        <w:rPr>
          <w:rFonts w:ascii="Times New Roman" w:hAnsi="Times New Roman" w:cs="Times New Roman"/>
          <w:sz w:val="28"/>
          <w:szCs w:val="28"/>
          <w:shd w:val="clear" w:color="auto" w:fill="FFFFFF"/>
        </w:rPr>
        <w:t xml:space="preserve">. Finalmente, </w:t>
      </w:r>
      <w:r w:rsidRPr="00F2273F">
        <w:rPr>
          <w:rFonts w:ascii="Times New Roman" w:hAnsi="Times New Roman" w:cs="Times New Roman"/>
          <w:sz w:val="28"/>
          <w:szCs w:val="28"/>
          <w:shd w:val="clear" w:color="auto" w:fill="FFFFFF"/>
        </w:rPr>
        <w:t xml:space="preserve">ordenó correr traslado a la procuradora general de la Nación para que rindiera el concepto previsto en </w:t>
      </w:r>
      <w:r w:rsidRPr="00F2273F">
        <w:rPr>
          <w:rFonts w:ascii="Times New Roman" w:hAnsi="Times New Roman" w:cs="Times New Roman"/>
          <w:sz w:val="28"/>
          <w:szCs w:val="28"/>
          <w:shd w:val="clear" w:color="auto" w:fill="FFFFFF"/>
        </w:rPr>
        <w:t xml:space="preserve">los </w:t>
      </w:r>
      <w:r w:rsidRPr="00F2273F">
        <w:rPr>
          <w:rFonts w:ascii="Times New Roman" w:hAnsi="Times New Roman" w:cs="Times New Roman"/>
          <w:sz w:val="28"/>
          <w:szCs w:val="28"/>
          <w:shd w:val="clear" w:color="auto" w:fill="FFFFFF"/>
        </w:rPr>
        <w:t>artículo</w:t>
      </w:r>
      <w:r w:rsidRPr="00F2273F">
        <w:rPr>
          <w:rFonts w:ascii="Times New Roman" w:hAnsi="Times New Roman" w:cs="Times New Roman"/>
          <w:sz w:val="28"/>
          <w:szCs w:val="28"/>
          <w:shd w:val="clear" w:color="auto" w:fill="FFFFFF"/>
        </w:rPr>
        <w:t>s</w:t>
      </w:r>
      <w:r w:rsidRPr="00F2273F">
        <w:rPr>
          <w:rFonts w:ascii="Times New Roman" w:hAnsi="Times New Roman" w:cs="Times New Roman"/>
          <w:sz w:val="28"/>
          <w:szCs w:val="28"/>
          <w:shd w:val="clear" w:color="auto" w:fill="FFFFFF"/>
        </w:rPr>
        <w:t xml:space="preserve"> 278.5 de la Constitución y 7º del Decreto 2067 de 1991.</w:t>
      </w:r>
    </w:p>
    <w:p w:rsidR="00D15AFF" w:rsidRPr="00F2273F" w:rsidRDefault="00F2273F" w:rsidP="00D15AFF">
      <w:pPr>
        <w:pStyle w:val="Prrafodelista"/>
        <w:tabs>
          <w:tab w:val="left" w:pos="567"/>
        </w:tabs>
        <w:spacing w:after="0" w:line="240" w:lineRule="auto"/>
        <w:ind w:left="0"/>
        <w:mirrorIndents/>
        <w:jc w:val="both"/>
        <w:rPr>
          <w:rFonts w:ascii="Times New Roman" w:hAnsi="Times New Roman" w:cs="Times New Roman"/>
          <w:sz w:val="28"/>
          <w:szCs w:val="28"/>
          <w:shd w:val="clear" w:color="auto" w:fill="FFFFFF"/>
        </w:rPr>
      </w:pPr>
    </w:p>
    <w:p w:rsidR="00116AC1" w:rsidRPr="00F2273F" w:rsidRDefault="00F2273F" w:rsidP="009A0271">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 xml:space="preserve">Entre el 23 de octubre de 2023 y el 14 de noviembre de 2023 se recibieron las pruebas decretadas. </w:t>
      </w:r>
      <w:r w:rsidRPr="00F2273F">
        <w:rPr>
          <w:rFonts w:ascii="Times New Roman" w:hAnsi="Times New Roman" w:cs="Times New Roman"/>
          <w:sz w:val="28"/>
          <w:szCs w:val="28"/>
          <w:shd w:val="clear" w:color="auto" w:fill="FFFFFF"/>
        </w:rPr>
        <w:t xml:space="preserve">Mediante </w:t>
      </w:r>
      <w:r w:rsidRPr="00F2273F">
        <w:rPr>
          <w:rFonts w:ascii="Times New Roman" w:hAnsi="Times New Roman" w:cs="Times New Roman"/>
          <w:sz w:val="28"/>
          <w:szCs w:val="28"/>
          <w:shd w:val="clear" w:color="auto" w:fill="FFFFFF"/>
        </w:rPr>
        <w:t xml:space="preserve">Auto </w:t>
      </w:r>
      <w:r w:rsidRPr="00F2273F">
        <w:rPr>
          <w:rFonts w:ascii="Times New Roman" w:hAnsi="Times New Roman" w:cs="Times New Roman"/>
          <w:sz w:val="28"/>
          <w:szCs w:val="28"/>
          <w:shd w:val="clear" w:color="auto" w:fill="FFFFFF"/>
        </w:rPr>
        <w:t>del 4 de marzo de 2024</w:t>
      </w:r>
      <w:r w:rsidRPr="00F2273F">
        <w:rPr>
          <w:rFonts w:ascii="Times New Roman" w:hAnsi="Times New Roman" w:cs="Times New Roman"/>
          <w:sz w:val="28"/>
          <w:szCs w:val="28"/>
          <w:shd w:val="clear" w:color="auto" w:fill="FFFFFF"/>
        </w:rPr>
        <w:t>, el despacho</w:t>
      </w:r>
      <w:r w:rsidRPr="00F2273F">
        <w:rPr>
          <w:rFonts w:ascii="Times New Roman" w:hAnsi="Times New Roman" w:cs="Times New Roman"/>
          <w:sz w:val="28"/>
          <w:szCs w:val="28"/>
          <w:shd w:val="clear" w:color="auto" w:fill="FFFFFF"/>
        </w:rPr>
        <w:t xml:space="preserve"> sustanciador</w:t>
      </w:r>
      <w:r w:rsidRPr="00F2273F">
        <w:rPr>
          <w:rFonts w:ascii="Times New Roman" w:hAnsi="Times New Roman" w:cs="Times New Roman"/>
          <w:sz w:val="28"/>
          <w:szCs w:val="28"/>
          <w:shd w:val="clear" w:color="auto" w:fill="FFFFFF"/>
        </w:rPr>
        <w:t xml:space="preserve"> ordenó continuar con el trámite y el proceso se fijó en lista</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 xml:space="preserve">entre el 7 de marzo de 2024 y el </w:t>
      </w:r>
      <w:r w:rsidRPr="00F2273F">
        <w:rPr>
          <w:rFonts w:ascii="Times New Roman" w:hAnsi="Times New Roman" w:cs="Times New Roman"/>
          <w:sz w:val="28"/>
          <w:szCs w:val="28"/>
          <w:shd w:val="clear" w:color="auto" w:fill="FFFFFF"/>
        </w:rPr>
        <w:t>20 de marzo siguiente, en cumplimiento del artículo 7 del Decreto 2067 de 1991</w:t>
      </w:r>
      <w:r w:rsidRPr="00F2273F">
        <w:rPr>
          <w:rFonts w:ascii="Times New Roman" w:hAnsi="Times New Roman" w:cs="Times New Roman"/>
          <w:sz w:val="28"/>
          <w:szCs w:val="28"/>
          <w:shd w:val="clear" w:color="auto" w:fill="FFFFFF"/>
          <w:vertAlign w:val="superscript"/>
        </w:rPr>
        <w:footnoteReference w:id="2"/>
      </w:r>
      <w:r w:rsidRPr="00F2273F">
        <w:rPr>
          <w:rFonts w:ascii="Times New Roman" w:hAnsi="Times New Roman" w:cs="Times New Roman"/>
          <w:sz w:val="28"/>
          <w:szCs w:val="28"/>
          <w:shd w:val="clear" w:color="auto" w:fill="FFFFFF"/>
          <w:vertAlign w:val="superscript"/>
        </w:rPr>
        <w:t>.</w:t>
      </w:r>
      <w:r w:rsidRPr="00F2273F">
        <w:rPr>
          <w:rFonts w:ascii="Times New Roman" w:hAnsi="Times New Roman" w:cs="Times New Roman"/>
          <w:sz w:val="28"/>
          <w:szCs w:val="28"/>
          <w:shd w:val="clear" w:color="auto" w:fill="FFFFFF"/>
        </w:rPr>
        <w:t>.</w:t>
      </w:r>
    </w:p>
    <w:p w:rsidR="001E030A" w:rsidRPr="00F2273F" w:rsidRDefault="00F2273F" w:rsidP="00D1787F">
      <w:pPr>
        <w:pStyle w:val="Prrafodelista"/>
        <w:tabs>
          <w:tab w:val="left" w:pos="567"/>
        </w:tabs>
        <w:spacing w:after="0" w:line="240" w:lineRule="auto"/>
        <w:ind w:left="0"/>
        <w:mirrorIndents/>
        <w:jc w:val="both"/>
        <w:rPr>
          <w:rFonts w:ascii="Times New Roman" w:hAnsi="Times New Roman" w:cs="Times New Roman"/>
          <w:sz w:val="28"/>
          <w:szCs w:val="28"/>
          <w:shd w:val="clear" w:color="auto" w:fill="FFFFFF"/>
        </w:rPr>
      </w:pPr>
    </w:p>
    <w:p w:rsidR="00301757" w:rsidRPr="00F2273F" w:rsidRDefault="00F2273F" w:rsidP="00301757">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El 10 de abril de 2024,</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 xml:space="preserve">la </w:t>
      </w:r>
      <w:r w:rsidRPr="00F2273F">
        <w:rPr>
          <w:rFonts w:ascii="Times New Roman" w:hAnsi="Times New Roman" w:cs="Times New Roman"/>
          <w:sz w:val="28"/>
          <w:szCs w:val="28"/>
          <w:shd w:val="clear" w:color="auto" w:fill="FFFFFF"/>
        </w:rPr>
        <w:t xml:space="preserve">Sala Plena </w:t>
      </w:r>
      <w:r w:rsidRPr="00F2273F">
        <w:rPr>
          <w:rFonts w:ascii="Times New Roman" w:hAnsi="Times New Roman" w:cs="Times New Roman"/>
          <w:sz w:val="28"/>
          <w:szCs w:val="28"/>
          <w:shd w:val="clear" w:color="auto" w:fill="FFFFFF"/>
        </w:rPr>
        <w:t xml:space="preserve">profirió el Auto </w:t>
      </w:r>
      <w:r w:rsidRPr="00F2273F">
        <w:rPr>
          <w:rFonts w:ascii="Times New Roman" w:hAnsi="Times New Roman" w:cs="Times New Roman"/>
          <w:sz w:val="28"/>
          <w:szCs w:val="28"/>
          <w:shd w:val="clear" w:color="auto" w:fill="FFFFFF"/>
        </w:rPr>
        <w:t xml:space="preserve">705 del 10 de abril </w:t>
      </w:r>
      <w:r w:rsidRPr="00F2273F">
        <w:rPr>
          <w:rFonts w:ascii="Times New Roman" w:hAnsi="Times New Roman" w:cs="Times New Roman"/>
          <w:sz w:val="28"/>
          <w:szCs w:val="28"/>
          <w:shd w:val="clear" w:color="auto" w:fill="FFFFFF"/>
        </w:rPr>
        <w:t xml:space="preserve">que, entre otras cosas, </w:t>
      </w:r>
      <w:r w:rsidRPr="00F2273F">
        <w:rPr>
          <w:rFonts w:ascii="Times New Roman" w:hAnsi="Times New Roman" w:cs="Times New Roman"/>
          <w:sz w:val="28"/>
          <w:szCs w:val="28"/>
          <w:shd w:val="clear" w:color="auto" w:fill="FFFFFF"/>
        </w:rPr>
        <w:t xml:space="preserve">ordenó la suspensión de términos </w:t>
      </w:r>
      <w:r w:rsidRPr="00F2273F">
        <w:rPr>
          <w:rFonts w:ascii="Times New Roman" w:hAnsi="Times New Roman" w:cs="Times New Roman"/>
          <w:sz w:val="28"/>
          <w:szCs w:val="28"/>
          <w:shd w:val="clear" w:color="auto" w:fill="FFFFFF"/>
        </w:rPr>
        <w:t xml:space="preserve">del presente proceso </w:t>
      </w:r>
      <w:r w:rsidRPr="00F2273F">
        <w:rPr>
          <w:rFonts w:ascii="Times New Roman" w:hAnsi="Times New Roman" w:cs="Times New Roman"/>
          <w:sz w:val="28"/>
          <w:szCs w:val="28"/>
          <w:shd w:val="clear" w:color="auto" w:fill="FFFFFF"/>
        </w:rPr>
        <w:t xml:space="preserve">a partir de </w:t>
      </w:r>
      <w:r w:rsidRPr="00F2273F">
        <w:rPr>
          <w:rFonts w:ascii="Times New Roman" w:hAnsi="Times New Roman" w:cs="Times New Roman"/>
          <w:sz w:val="28"/>
          <w:szCs w:val="28"/>
          <w:shd w:val="clear" w:color="auto" w:fill="FFFFFF"/>
        </w:rPr>
        <w:t>dicha</w:t>
      </w:r>
      <w:r w:rsidRPr="00F2273F">
        <w:rPr>
          <w:rFonts w:ascii="Times New Roman" w:hAnsi="Times New Roman" w:cs="Times New Roman"/>
          <w:sz w:val="28"/>
          <w:szCs w:val="28"/>
          <w:shd w:val="clear" w:color="auto" w:fill="FFFFFF"/>
        </w:rPr>
        <w:t xml:space="preserve"> fe</w:t>
      </w:r>
      <w:r w:rsidRPr="00F2273F">
        <w:rPr>
          <w:rFonts w:ascii="Times New Roman" w:hAnsi="Times New Roman" w:cs="Times New Roman"/>
          <w:sz w:val="28"/>
          <w:szCs w:val="28"/>
          <w:shd w:val="clear" w:color="auto" w:fill="FFFFFF"/>
        </w:rPr>
        <w:t xml:space="preserve">cha. </w:t>
      </w:r>
      <w:r w:rsidRPr="00F2273F">
        <w:rPr>
          <w:rFonts w:ascii="Times New Roman" w:hAnsi="Times New Roman" w:cs="Times New Roman"/>
          <w:sz w:val="28"/>
          <w:szCs w:val="28"/>
          <w:shd w:val="clear" w:color="auto" w:fill="FFFFFF"/>
        </w:rPr>
        <w:t>El 24 de octubre de 2024, y luego</w:t>
      </w:r>
      <w:r w:rsidRPr="00F2273F">
        <w:rPr>
          <w:rFonts w:ascii="Times New Roman" w:hAnsi="Times New Roman" w:cs="Times New Roman"/>
          <w:sz w:val="28"/>
          <w:szCs w:val="28"/>
          <w:shd w:val="clear" w:color="auto" w:fill="FFFFFF"/>
        </w:rPr>
        <w:t xml:space="preserve"> del trámite </w:t>
      </w:r>
      <w:r w:rsidRPr="00F2273F">
        <w:rPr>
          <w:rFonts w:ascii="Times New Roman" w:hAnsi="Times New Roman" w:cs="Times New Roman"/>
          <w:sz w:val="28"/>
          <w:szCs w:val="28"/>
          <w:shd w:val="clear" w:color="auto" w:fill="FFFFFF"/>
        </w:rPr>
        <w:t xml:space="preserve">de subsanación </w:t>
      </w:r>
      <w:r w:rsidRPr="00F2273F">
        <w:rPr>
          <w:rFonts w:ascii="Times New Roman" w:hAnsi="Times New Roman" w:cs="Times New Roman"/>
          <w:sz w:val="28"/>
          <w:szCs w:val="28"/>
          <w:shd w:val="clear" w:color="auto" w:fill="FFFFFF"/>
        </w:rPr>
        <w:t>correspondiente en el Congreso de la República</w:t>
      </w:r>
      <w:r w:rsidRPr="00F2273F">
        <w:rPr>
          <w:rFonts w:ascii="Times New Roman" w:hAnsi="Times New Roman" w:cs="Times New Roman"/>
          <w:sz w:val="28"/>
          <w:szCs w:val="28"/>
          <w:shd w:val="clear" w:color="auto" w:fill="FFFFFF"/>
        </w:rPr>
        <w:t xml:space="preserve"> en relación con la ley del plan nacional de desarrollo</w:t>
      </w:r>
      <w:r w:rsidRPr="00F2273F">
        <w:rPr>
          <w:rFonts w:ascii="Times New Roman" w:hAnsi="Times New Roman" w:cs="Times New Roman"/>
          <w:sz w:val="28"/>
          <w:szCs w:val="28"/>
          <w:shd w:val="clear" w:color="auto" w:fill="FFFFFF"/>
        </w:rPr>
        <w:t>,</w:t>
      </w:r>
      <w:r w:rsidRPr="00F2273F">
        <w:rPr>
          <w:rFonts w:ascii="Times New Roman" w:hAnsi="Times New Roman" w:cs="Times New Roman"/>
          <w:sz w:val="28"/>
          <w:szCs w:val="28"/>
          <w:shd w:val="clear" w:color="auto" w:fill="FFFFFF"/>
        </w:rPr>
        <w:t xml:space="preserve"> la Corte </w:t>
      </w:r>
      <w:r w:rsidRPr="00F2273F">
        <w:rPr>
          <w:rFonts w:ascii="Times New Roman" w:hAnsi="Times New Roman" w:cs="Times New Roman"/>
          <w:sz w:val="28"/>
          <w:szCs w:val="28"/>
          <w:shd w:val="clear" w:color="auto" w:fill="FFFFFF"/>
        </w:rPr>
        <w:t xml:space="preserve">Constitucional </w:t>
      </w:r>
      <w:r w:rsidRPr="00F2273F">
        <w:rPr>
          <w:rFonts w:ascii="Times New Roman" w:hAnsi="Times New Roman" w:cs="Times New Roman"/>
          <w:sz w:val="28"/>
          <w:szCs w:val="28"/>
          <w:shd w:val="clear" w:color="auto" w:fill="FFFFFF"/>
        </w:rPr>
        <w:t xml:space="preserve">profirió la Sentencia </w:t>
      </w:r>
      <w:r w:rsidRPr="00F2273F">
        <w:rPr>
          <w:rFonts w:ascii="Times New Roman" w:hAnsi="Times New Roman" w:cs="Times New Roman"/>
          <w:sz w:val="28"/>
          <w:szCs w:val="28"/>
          <w:shd w:val="clear" w:color="auto" w:fill="FFFFFF"/>
        </w:rPr>
        <w:t>C-448 de 2024</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 xml:space="preserve">Además de declarar </w:t>
      </w:r>
      <w:r w:rsidRPr="00F2273F">
        <w:rPr>
          <w:rFonts w:ascii="Times New Roman" w:hAnsi="Times New Roman" w:cs="Times New Roman"/>
          <w:sz w:val="28"/>
          <w:szCs w:val="28"/>
          <w:shd w:val="clear" w:color="auto" w:fill="FFFFFF"/>
        </w:rPr>
        <w:t>subsanado el vicio</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dicha</w:t>
      </w:r>
      <w:r w:rsidRPr="00F2273F">
        <w:rPr>
          <w:rFonts w:ascii="Times New Roman" w:hAnsi="Times New Roman" w:cs="Times New Roman"/>
          <w:sz w:val="28"/>
          <w:szCs w:val="28"/>
          <w:shd w:val="clear" w:color="auto" w:fill="FFFFFF"/>
        </w:rPr>
        <w:t xml:space="preserve"> sentencia dispuso levantar</w:t>
      </w:r>
      <w:r w:rsidRPr="00F2273F">
        <w:rPr>
          <w:rFonts w:ascii="Times New Roman" w:hAnsi="Times New Roman" w:cs="Times New Roman"/>
          <w:sz w:val="28"/>
          <w:szCs w:val="28"/>
          <w:shd w:val="clear" w:color="auto" w:fill="FFFFFF"/>
        </w:rPr>
        <w:t>, a partir del 12 de febrero de 2025,</w:t>
      </w:r>
      <w:r w:rsidRPr="00F2273F">
        <w:rPr>
          <w:rFonts w:ascii="Times New Roman" w:hAnsi="Times New Roman" w:cs="Times New Roman"/>
          <w:sz w:val="28"/>
          <w:szCs w:val="28"/>
          <w:shd w:val="clear" w:color="auto" w:fill="FFFFFF"/>
        </w:rPr>
        <w:t xml:space="preserve"> la suspensión de términos dispuesta en el Auto 705 de</w:t>
      </w:r>
      <w:r w:rsidRPr="00F2273F">
        <w:rPr>
          <w:rFonts w:ascii="Times New Roman" w:hAnsi="Times New Roman" w:cs="Times New Roman"/>
          <w:sz w:val="28"/>
          <w:szCs w:val="28"/>
          <w:shd w:val="clear" w:color="auto" w:fill="FFFFFF"/>
        </w:rPr>
        <w:t xml:space="preserve"> 2024</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en</w:t>
      </w:r>
      <w:r w:rsidRPr="00F2273F">
        <w:rPr>
          <w:rFonts w:ascii="Times New Roman" w:hAnsi="Times New Roman" w:cs="Times New Roman"/>
          <w:sz w:val="28"/>
          <w:szCs w:val="28"/>
          <w:shd w:val="clear" w:color="auto" w:fill="FFFFFF"/>
        </w:rPr>
        <w:t xml:space="preserve"> los procesos que cursaban </w:t>
      </w:r>
      <w:r w:rsidRPr="00F2273F">
        <w:rPr>
          <w:rFonts w:ascii="Times New Roman" w:hAnsi="Times New Roman" w:cs="Times New Roman"/>
          <w:sz w:val="28"/>
          <w:szCs w:val="28"/>
          <w:shd w:val="clear" w:color="auto" w:fill="FFFFFF"/>
        </w:rPr>
        <w:t xml:space="preserve">contra los artículos </w:t>
      </w:r>
      <w:r w:rsidRPr="00F2273F">
        <w:rPr>
          <w:rFonts w:ascii="Times New Roman" w:hAnsi="Times New Roman" w:cs="Times New Roman"/>
          <w:sz w:val="28"/>
          <w:szCs w:val="28"/>
          <w:shd w:val="clear" w:color="auto" w:fill="FFFFFF"/>
        </w:rPr>
        <w:t xml:space="preserve">objeto de conciliación </w:t>
      </w:r>
      <w:r w:rsidRPr="00F2273F">
        <w:rPr>
          <w:rFonts w:ascii="Times New Roman" w:hAnsi="Times New Roman" w:cs="Times New Roman"/>
          <w:sz w:val="28"/>
          <w:szCs w:val="28"/>
          <w:shd w:val="clear" w:color="auto" w:fill="FFFFFF"/>
        </w:rPr>
        <w:t xml:space="preserve">de la </w:t>
      </w:r>
      <w:r w:rsidRPr="00F2273F">
        <w:rPr>
          <w:rFonts w:ascii="Times New Roman" w:hAnsi="Times New Roman" w:cs="Times New Roman"/>
          <w:sz w:val="28"/>
          <w:szCs w:val="28"/>
          <w:shd w:val="clear" w:color="auto" w:fill="FFFFFF"/>
        </w:rPr>
        <w:t xml:space="preserve">referida </w:t>
      </w:r>
      <w:r w:rsidRPr="00F2273F">
        <w:rPr>
          <w:rFonts w:ascii="Times New Roman" w:hAnsi="Times New Roman" w:cs="Times New Roman"/>
          <w:sz w:val="28"/>
          <w:szCs w:val="28"/>
          <w:shd w:val="clear" w:color="auto" w:fill="FFFFFF"/>
        </w:rPr>
        <w:t>ley</w:t>
      </w:r>
      <w:r w:rsidRPr="00F2273F">
        <w:rPr>
          <w:rFonts w:ascii="Times New Roman" w:hAnsi="Times New Roman" w:cs="Times New Roman"/>
          <w:sz w:val="28"/>
          <w:szCs w:val="28"/>
          <w:shd w:val="clear" w:color="auto" w:fill="FFFFFF"/>
        </w:rPr>
        <w:t xml:space="preserve">. Esa medida </w:t>
      </w:r>
      <w:r w:rsidRPr="00F2273F">
        <w:rPr>
          <w:rFonts w:ascii="Times New Roman" w:hAnsi="Times New Roman" w:cs="Times New Roman"/>
          <w:sz w:val="28"/>
          <w:szCs w:val="28"/>
          <w:shd w:val="clear" w:color="auto" w:fill="FFFFFF"/>
        </w:rPr>
        <w:t>abarcó</w:t>
      </w:r>
      <w:r w:rsidRPr="00F2273F">
        <w:rPr>
          <w:rFonts w:ascii="Times New Roman" w:hAnsi="Times New Roman" w:cs="Times New Roman"/>
          <w:sz w:val="28"/>
          <w:szCs w:val="28"/>
          <w:shd w:val="clear" w:color="auto" w:fill="FFFFFF"/>
        </w:rPr>
        <w:t xml:space="preserve"> </w:t>
      </w:r>
      <w:r w:rsidRPr="00F2273F">
        <w:rPr>
          <w:rFonts w:ascii="Times New Roman" w:hAnsi="Times New Roman" w:cs="Times New Roman"/>
          <w:sz w:val="28"/>
          <w:szCs w:val="28"/>
          <w:shd w:val="clear" w:color="auto" w:fill="FFFFFF"/>
        </w:rPr>
        <w:t>la demanda bajo estudio</w:t>
      </w:r>
      <w:r w:rsidRPr="00F2273F">
        <w:rPr>
          <w:rFonts w:ascii="Times New Roman" w:hAnsi="Times New Roman" w:cs="Times New Roman"/>
          <w:sz w:val="28"/>
          <w:szCs w:val="28"/>
          <w:shd w:val="clear" w:color="auto" w:fill="FFFFFF"/>
        </w:rPr>
        <w:t xml:space="preserve"> radicad</w:t>
      </w:r>
      <w:r w:rsidRPr="00F2273F">
        <w:rPr>
          <w:rFonts w:ascii="Times New Roman" w:hAnsi="Times New Roman" w:cs="Times New Roman"/>
          <w:sz w:val="28"/>
          <w:szCs w:val="28"/>
          <w:shd w:val="clear" w:color="auto" w:fill="FFFFFF"/>
        </w:rPr>
        <w:t>a</w:t>
      </w:r>
      <w:r w:rsidRPr="00F2273F">
        <w:rPr>
          <w:rFonts w:ascii="Times New Roman" w:hAnsi="Times New Roman" w:cs="Times New Roman"/>
          <w:sz w:val="28"/>
          <w:szCs w:val="28"/>
          <w:shd w:val="clear" w:color="auto" w:fill="FFFFFF"/>
        </w:rPr>
        <w:t xml:space="preserve"> con el consecutivo</w:t>
      </w:r>
      <w:r w:rsidRPr="00F2273F">
        <w:rPr>
          <w:rFonts w:ascii="Times New Roman" w:hAnsi="Times New Roman" w:cs="Times New Roman"/>
          <w:sz w:val="28"/>
          <w:szCs w:val="28"/>
          <w:shd w:val="clear" w:color="auto" w:fill="FFFFFF"/>
        </w:rPr>
        <w:t xml:space="preserve"> D-15499</w:t>
      </w:r>
      <w:r w:rsidRPr="00F2273F">
        <w:rPr>
          <w:rFonts w:ascii="Times New Roman" w:hAnsi="Times New Roman" w:cs="Times New Roman"/>
          <w:sz w:val="28"/>
          <w:szCs w:val="28"/>
          <w:shd w:val="clear" w:color="auto" w:fill="FFFFFF"/>
        </w:rPr>
        <w:t>.</w:t>
      </w:r>
    </w:p>
    <w:p w:rsidR="00D15AFF" w:rsidRPr="00F2273F" w:rsidRDefault="00F2273F" w:rsidP="00D15AFF">
      <w:pPr>
        <w:pStyle w:val="Prrafodelista"/>
        <w:tabs>
          <w:tab w:val="left" w:pos="567"/>
        </w:tabs>
        <w:spacing w:after="0" w:line="240" w:lineRule="auto"/>
        <w:ind w:left="0"/>
        <w:mirrorIndents/>
        <w:jc w:val="both"/>
        <w:rPr>
          <w:rFonts w:ascii="Times New Roman" w:hAnsi="Times New Roman" w:cs="Times New Roman"/>
          <w:sz w:val="28"/>
          <w:szCs w:val="28"/>
          <w:shd w:val="clear" w:color="auto" w:fill="FFFFFF"/>
        </w:rPr>
      </w:pPr>
    </w:p>
    <w:p w:rsidR="007256B7" w:rsidRPr="00F2273F" w:rsidRDefault="00F2273F" w:rsidP="001B7349">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 xml:space="preserve">Cumplidos los trámites constitucionales y legales propios de </w:t>
      </w:r>
      <w:r w:rsidRPr="00F2273F">
        <w:rPr>
          <w:rFonts w:ascii="Times New Roman" w:hAnsi="Times New Roman" w:cs="Times New Roman"/>
          <w:sz w:val="28"/>
          <w:szCs w:val="28"/>
          <w:shd w:val="clear" w:color="auto" w:fill="FFFFFF"/>
        </w:rPr>
        <w:t>estos juicios</w:t>
      </w:r>
      <w:r w:rsidRPr="00F2273F">
        <w:rPr>
          <w:rFonts w:ascii="Times New Roman" w:hAnsi="Times New Roman" w:cs="Times New Roman"/>
          <w:sz w:val="28"/>
          <w:szCs w:val="28"/>
          <w:shd w:val="clear" w:color="auto" w:fill="FFFFFF"/>
        </w:rPr>
        <w:t xml:space="preserve"> y previo concepto de </w:t>
      </w:r>
      <w:r w:rsidRPr="00F2273F">
        <w:rPr>
          <w:rFonts w:ascii="Times New Roman" w:hAnsi="Times New Roman" w:cs="Times New Roman"/>
          <w:sz w:val="28"/>
          <w:szCs w:val="28"/>
          <w:shd w:val="clear" w:color="auto" w:fill="FFFFFF"/>
        </w:rPr>
        <w:t xml:space="preserve">quien ejercía entonces como </w:t>
      </w:r>
      <w:r w:rsidRPr="00F2273F">
        <w:rPr>
          <w:rFonts w:ascii="Times New Roman" w:hAnsi="Times New Roman" w:cs="Times New Roman"/>
          <w:sz w:val="28"/>
          <w:szCs w:val="28"/>
          <w:shd w:val="clear" w:color="auto" w:fill="FFFFFF"/>
        </w:rPr>
        <w:t xml:space="preserve">procuradora general de la Nación, la Corte </w:t>
      </w:r>
      <w:r w:rsidRPr="00F2273F">
        <w:rPr>
          <w:rFonts w:ascii="Times New Roman" w:hAnsi="Times New Roman" w:cs="Times New Roman"/>
          <w:sz w:val="28"/>
          <w:szCs w:val="28"/>
          <w:shd w:val="clear" w:color="auto" w:fill="FFFFFF"/>
        </w:rPr>
        <w:t xml:space="preserve">Constitucional </w:t>
      </w:r>
      <w:r w:rsidRPr="00F2273F">
        <w:rPr>
          <w:rFonts w:ascii="Times New Roman" w:hAnsi="Times New Roman" w:cs="Times New Roman"/>
          <w:sz w:val="28"/>
          <w:szCs w:val="28"/>
          <w:shd w:val="clear" w:color="auto" w:fill="FFFFFF"/>
        </w:rPr>
        <w:t>procede a decidir sobre la demanda de la referencia.</w:t>
      </w:r>
    </w:p>
    <w:p w:rsidR="00464B12" w:rsidRPr="00F2273F" w:rsidRDefault="00F2273F" w:rsidP="00464B12">
      <w:pPr>
        <w:tabs>
          <w:tab w:val="left" w:pos="567"/>
        </w:tabs>
        <w:spacing w:after="0" w:line="240" w:lineRule="auto"/>
        <w:mirrorIndents/>
        <w:jc w:val="both"/>
        <w:rPr>
          <w:rFonts w:ascii="Times New Roman" w:hAnsi="Times New Roman" w:cs="Times New Roman"/>
          <w:sz w:val="28"/>
          <w:szCs w:val="28"/>
          <w:shd w:val="clear" w:color="auto" w:fill="FFFFFF"/>
        </w:rPr>
      </w:pPr>
    </w:p>
    <w:p w:rsidR="00D15AFF" w:rsidRPr="00F2273F" w:rsidRDefault="00F2273F" w:rsidP="00D15AFF">
      <w:pPr>
        <w:pStyle w:val="Prrafodelista"/>
        <w:spacing w:after="0" w:line="240" w:lineRule="auto"/>
        <w:ind w:left="0"/>
        <w:mirrorIndents/>
        <w:jc w:val="both"/>
        <w:outlineLvl w:val="1"/>
        <w:rPr>
          <w:rFonts w:ascii="Times New Roman" w:hAnsi="Times New Roman" w:cs="Times New Roman"/>
          <w:b/>
          <w:bCs/>
          <w:sz w:val="28"/>
          <w:szCs w:val="28"/>
          <w:shd w:val="clear" w:color="auto" w:fill="FFFFFF"/>
        </w:rPr>
      </w:pPr>
      <w:r w:rsidRPr="00F2273F">
        <w:rPr>
          <w:rFonts w:ascii="Times New Roman" w:hAnsi="Times New Roman" w:cs="Times New Roman"/>
          <w:b/>
          <w:bCs/>
          <w:sz w:val="28"/>
          <w:szCs w:val="28"/>
          <w:shd w:val="clear" w:color="auto" w:fill="FFFFFF"/>
        </w:rPr>
        <w:t>Norma demandada</w:t>
      </w:r>
    </w:p>
    <w:p w:rsidR="00D15AFF" w:rsidRPr="00F2273F" w:rsidRDefault="00F2273F" w:rsidP="00D15AFF">
      <w:pPr>
        <w:pStyle w:val="Prrafodelista"/>
        <w:spacing w:after="0" w:line="240" w:lineRule="auto"/>
        <w:ind w:left="0"/>
        <w:mirrorIndents/>
        <w:jc w:val="both"/>
        <w:outlineLvl w:val="1"/>
        <w:rPr>
          <w:rFonts w:ascii="Times New Roman" w:hAnsi="Times New Roman" w:cs="Times New Roman"/>
          <w:b/>
          <w:bCs/>
          <w:sz w:val="28"/>
          <w:szCs w:val="28"/>
          <w:shd w:val="clear" w:color="auto" w:fill="FFFFFF"/>
        </w:rPr>
      </w:pPr>
    </w:p>
    <w:p w:rsidR="00D15AFF" w:rsidRPr="00F2273F" w:rsidRDefault="00F2273F" w:rsidP="0028298B">
      <w:pPr>
        <w:pStyle w:val="Prrafodelista"/>
        <w:numPr>
          <w:ilvl w:val="0"/>
          <w:numId w:val="3"/>
        </w:numPr>
        <w:tabs>
          <w:tab w:val="left" w:pos="567"/>
        </w:tabs>
        <w:spacing w:after="0" w:line="240" w:lineRule="auto"/>
        <w:ind w:left="0" w:firstLine="0"/>
        <w:mirrorIndents/>
        <w:jc w:val="both"/>
        <w:rPr>
          <w:rFonts w:ascii="Times New Roman" w:hAnsi="Times New Roman" w:cs="Times New Roman"/>
          <w:sz w:val="28"/>
          <w:szCs w:val="28"/>
          <w:shd w:val="clear" w:color="auto" w:fill="FFFFFF"/>
        </w:rPr>
      </w:pPr>
      <w:r w:rsidRPr="00F2273F">
        <w:rPr>
          <w:rFonts w:ascii="Times New Roman" w:hAnsi="Times New Roman" w:cs="Times New Roman"/>
          <w:sz w:val="28"/>
          <w:szCs w:val="28"/>
          <w:shd w:val="clear" w:color="auto" w:fill="FFFFFF"/>
        </w:rPr>
        <w:t xml:space="preserve">A continuación, se trascribe el texto del artículo 372 de la Ley 2294 de 2023 y se </w:t>
      </w:r>
      <w:r w:rsidRPr="00F2273F">
        <w:rPr>
          <w:rFonts w:ascii="Times New Roman" w:hAnsi="Times New Roman" w:cs="Times New Roman"/>
          <w:sz w:val="28"/>
          <w:szCs w:val="28"/>
          <w:shd w:val="clear" w:color="auto" w:fill="FFFFFF"/>
        </w:rPr>
        <w:t xml:space="preserve">resalta </w:t>
      </w:r>
      <w:r w:rsidRPr="00F2273F">
        <w:rPr>
          <w:rFonts w:ascii="Times New Roman" w:hAnsi="Times New Roman" w:cs="Times New Roman"/>
          <w:sz w:val="28"/>
          <w:szCs w:val="28"/>
          <w:shd w:val="clear" w:color="auto" w:fill="FFFFFF"/>
        </w:rPr>
        <w:t>el aparte demandado:</w:t>
      </w:r>
    </w:p>
    <w:p w:rsidR="00D15AFF" w:rsidRPr="00F2273F" w:rsidRDefault="00F2273F" w:rsidP="00D15AFF">
      <w:pPr>
        <w:pStyle w:val="Prrafodelista"/>
        <w:spacing w:after="0" w:line="240" w:lineRule="auto"/>
        <w:ind w:left="0"/>
        <w:mirrorIndents/>
        <w:jc w:val="both"/>
        <w:outlineLvl w:val="1"/>
        <w:rPr>
          <w:rFonts w:ascii="Times New Roman" w:hAnsi="Times New Roman" w:cs="Times New Roman"/>
          <w:i/>
          <w:sz w:val="28"/>
          <w:szCs w:val="28"/>
        </w:rPr>
      </w:pPr>
    </w:p>
    <w:p w:rsidR="00D15AFF" w:rsidRPr="00F2273F" w:rsidRDefault="00F2273F" w:rsidP="00B22E39">
      <w:pPr>
        <w:pStyle w:val="centrado"/>
        <w:spacing w:before="0" w:beforeAutospacing="0" w:after="0" w:afterAutospacing="0"/>
        <w:ind w:left="1134"/>
        <w:jc w:val="center"/>
        <w:rPr>
          <w:iCs/>
          <w:sz w:val="28"/>
          <w:szCs w:val="22"/>
        </w:rPr>
      </w:pPr>
      <w:r w:rsidRPr="00F2273F">
        <w:rPr>
          <w:iCs/>
          <w:sz w:val="28"/>
          <w:szCs w:val="22"/>
        </w:rPr>
        <w:t>“</w:t>
      </w:r>
      <w:r w:rsidRPr="00F2273F">
        <w:rPr>
          <w:b/>
          <w:bCs/>
          <w:iCs/>
          <w:sz w:val="28"/>
          <w:szCs w:val="22"/>
        </w:rPr>
        <w:t>LEY 2294 DE 2023</w:t>
      </w:r>
      <w:r w:rsidRPr="00F2273F">
        <w:rPr>
          <w:rStyle w:val="Refdenotaalpie"/>
          <w:b/>
          <w:bCs/>
          <w:iCs/>
          <w:sz w:val="28"/>
          <w:szCs w:val="22"/>
        </w:rPr>
        <w:footnoteReference w:id="3"/>
      </w:r>
      <w:r w:rsidRPr="00F2273F">
        <w:rPr>
          <w:b/>
          <w:bCs/>
          <w:iCs/>
          <w:sz w:val="28"/>
          <w:szCs w:val="22"/>
        </w:rPr>
        <w:t xml:space="preserve"> </w:t>
      </w:r>
    </w:p>
    <w:p w:rsidR="00D15AFF" w:rsidRPr="00F2273F" w:rsidRDefault="00F2273F" w:rsidP="00B22E39">
      <w:pPr>
        <w:pStyle w:val="centrado"/>
        <w:spacing w:before="0" w:beforeAutospacing="0" w:after="0" w:afterAutospacing="0"/>
        <w:ind w:left="1134"/>
        <w:jc w:val="center"/>
        <w:rPr>
          <w:iCs/>
          <w:sz w:val="28"/>
          <w:szCs w:val="22"/>
        </w:rPr>
      </w:pPr>
      <w:r w:rsidRPr="00F2273F">
        <w:rPr>
          <w:iCs/>
          <w:sz w:val="28"/>
          <w:szCs w:val="22"/>
        </w:rPr>
        <w:t>(mayo 19)</w:t>
      </w:r>
    </w:p>
    <w:p w:rsidR="00D15AFF" w:rsidRPr="00F2273F" w:rsidRDefault="00F2273F" w:rsidP="00B22E39">
      <w:pPr>
        <w:pStyle w:val="centrado"/>
        <w:spacing w:before="0" w:beforeAutospacing="0" w:after="0" w:afterAutospacing="0"/>
        <w:ind w:left="1134"/>
        <w:jc w:val="center"/>
        <w:rPr>
          <w:sz w:val="28"/>
          <w:szCs w:val="22"/>
        </w:rPr>
      </w:pPr>
      <w:bookmarkStart w:id="3" w:name="_Hlk127773665"/>
    </w:p>
    <w:p w:rsidR="00D15AFF" w:rsidRPr="00F2273F" w:rsidRDefault="00F2273F" w:rsidP="00B22E39">
      <w:pPr>
        <w:pStyle w:val="centrado"/>
        <w:spacing w:before="0" w:beforeAutospacing="0" w:after="0" w:afterAutospacing="0"/>
        <w:ind w:left="1134"/>
        <w:jc w:val="center"/>
        <w:rPr>
          <w:sz w:val="28"/>
          <w:szCs w:val="22"/>
        </w:rPr>
      </w:pPr>
      <w:r w:rsidRPr="00F2273F">
        <w:rPr>
          <w:sz w:val="28"/>
          <w:szCs w:val="22"/>
        </w:rPr>
        <w:t>Por el cual se expide el Plan Nacional de</w:t>
      </w:r>
      <w:r w:rsidRPr="00F2273F">
        <w:rPr>
          <w:sz w:val="28"/>
          <w:szCs w:val="22"/>
        </w:rPr>
        <w:t xml:space="preserve"> Desarrollo 2022</w:t>
      </w:r>
      <w:r w:rsidRPr="00F2273F">
        <w:rPr>
          <w:sz w:val="28"/>
          <w:szCs w:val="22"/>
        </w:rPr>
        <w:t>-</w:t>
      </w:r>
      <w:r w:rsidRPr="00F2273F">
        <w:rPr>
          <w:sz w:val="28"/>
          <w:szCs w:val="22"/>
        </w:rPr>
        <w:t>2026 “Colombia Potencia Mundial de la Vida”.</w:t>
      </w:r>
    </w:p>
    <w:bookmarkEnd w:id="3"/>
    <w:p w:rsidR="00D15AFF" w:rsidRPr="00F2273F" w:rsidRDefault="00F2273F" w:rsidP="00B22E39">
      <w:pPr>
        <w:pStyle w:val="centrado"/>
        <w:spacing w:before="0" w:beforeAutospacing="0" w:after="0" w:afterAutospacing="0"/>
        <w:ind w:left="1134"/>
        <w:jc w:val="center"/>
        <w:rPr>
          <w:rStyle w:val="baj"/>
          <w:rFonts w:eastAsiaTheme="majorEastAsia"/>
          <w:sz w:val="28"/>
          <w:szCs w:val="22"/>
        </w:rPr>
      </w:pPr>
      <w:r w:rsidRPr="00F2273F">
        <w:rPr>
          <w:rStyle w:val="baj"/>
          <w:rFonts w:eastAsiaTheme="majorEastAsia"/>
          <w:sz w:val="28"/>
          <w:szCs w:val="22"/>
        </w:rPr>
        <w:t>EL CONGRESO DE COLOMBIA</w:t>
      </w:r>
    </w:p>
    <w:p w:rsidR="00D15AFF" w:rsidRPr="00F2273F" w:rsidRDefault="00F2273F" w:rsidP="00B22E39">
      <w:pPr>
        <w:pStyle w:val="centrado"/>
        <w:spacing w:before="0" w:beforeAutospacing="0" w:after="0" w:afterAutospacing="0"/>
        <w:ind w:left="1134"/>
        <w:jc w:val="center"/>
        <w:rPr>
          <w:rStyle w:val="baj"/>
          <w:rFonts w:eastAsiaTheme="majorEastAsia"/>
          <w:sz w:val="28"/>
          <w:szCs w:val="22"/>
        </w:rPr>
      </w:pPr>
      <w:r w:rsidRPr="00F2273F">
        <w:rPr>
          <w:rStyle w:val="baj"/>
          <w:rFonts w:eastAsiaTheme="majorEastAsia"/>
          <w:sz w:val="28"/>
          <w:szCs w:val="22"/>
        </w:rPr>
        <w:t>DECRETA:</w:t>
      </w:r>
    </w:p>
    <w:p w:rsidR="00D15AFF" w:rsidRPr="00F2273F" w:rsidRDefault="00F2273F" w:rsidP="00B22E39">
      <w:pPr>
        <w:pStyle w:val="NormalWeb"/>
        <w:spacing w:after="0" w:line="240" w:lineRule="auto"/>
        <w:ind w:left="1134" w:right="51"/>
        <w:contextualSpacing/>
        <w:jc w:val="center"/>
        <w:rPr>
          <w:rStyle w:val="baj"/>
          <w:rFonts w:eastAsiaTheme="majorEastAsia"/>
          <w:sz w:val="28"/>
          <w:szCs w:val="22"/>
        </w:rPr>
      </w:pPr>
      <w:r w:rsidRPr="00F2273F">
        <w:rPr>
          <w:rStyle w:val="baj"/>
          <w:rFonts w:eastAsiaTheme="majorEastAsia"/>
          <w:sz w:val="28"/>
          <w:szCs w:val="22"/>
        </w:rPr>
        <w:t>(…)</w:t>
      </w:r>
    </w:p>
    <w:p w:rsidR="00D15AFF" w:rsidRPr="00F2273F" w:rsidRDefault="00F2273F" w:rsidP="00B22E39">
      <w:pPr>
        <w:pStyle w:val="NormalWeb"/>
        <w:spacing w:after="0" w:line="240" w:lineRule="auto"/>
        <w:ind w:left="1134" w:right="51"/>
        <w:contextualSpacing/>
        <w:jc w:val="center"/>
        <w:rPr>
          <w:rStyle w:val="baj"/>
          <w:rFonts w:eastAsiaTheme="majorEastAsia"/>
          <w:sz w:val="28"/>
          <w:szCs w:val="22"/>
        </w:rPr>
      </w:pPr>
    </w:p>
    <w:p w:rsidR="00D15AFF" w:rsidRPr="00F2273F" w:rsidRDefault="00F2273F" w:rsidP="00B22E39">
      <w:pPr>
        <w:pStyle w:val="NormalWeb"/>
        <w:spacing w:line="240" w:lineRule="auto"/>
        <w:ind w:left="1134" w:right="51"/>
        <w:contextualSpacing/>
        <w:jc w:val="both"/>
        <w:rPr>
          <w:rFonts w:eastAsiaTheme="majorEastAsia"/>
          <w:sz w:val="28"/>
          <w:szCs w:val="22"/>
        </w:rPr>
      </w:pPr>
      <w:bookmarkStart w:id="4" w:name="44"/>
      <w:r w:rsidRPr="00F2273F">
        <w:rPr>
          <w:b/>
          <w:bCs/>
          <w:sz w:val="28"/>
          <w:szCs w:val="22"/>
        </w:rPr>
        <w:t xml:space="preserve">ARTÍCULO 372. </w:t>
      </w:r>
      <w:bookmarkEnd w:id="4"/>
      <w:r w:rsidRPr="00F2273F">
        <w:rPr>
          <w:b/>
          <w:bCs/>
          <w:sz w:val="28"/>
          <w:szCs w:val="22"/>
        </w:rPr>
        <w:t>VIGENCIAS Y DEROGATORIAS</w:t>
      </w:r>
      <w:r w:rsidRPr="00F2273F">
        <w:rPr>
          <w:sz w:val="28"/>
          <w:szCs w:val="22"/>
        </w:rPr>
        <w:t>. La presente ley rige a partir de su publicación y deroga todas las disposiciones que le sean contrarias.</w:t>
      </w:r>
    </w:p>
    <w:p w:rsidR="000A22D1" w:rsidRPr="00F2273F" w:rsidRDefault="00F2273F" w:rsidP="00B22E39">
      <w:pPr>
        <w:pStyle w:val="NormalWeb"/>
        <w:spacing w:line="240" w:lineRule="auto"/>
        <w:ind w:left="1134" w:right="51"/>
        <w:contextualSpacing/>
        <w:jc w:val="both"/>
        <w:rPr>
          <w:sz w:val="28"/>
          <w:szCs w:val="22"/>
        </w:rPr>
      </w:pPr>
    </w:p>
    <w:p w:rsidR="00D15AFF" w:rsidRPr="00F2273F" w:rsidRDefault="00F2273F" w:rsidP="00B22E39">
      <w:pPr>
        <w:pStyle w:val="NormalWeb"/>
        <w:spacing w:line="240" w:lineRule="auto"/>
        <w:ind w:left="1134" w:right="51"/>
        <w:contextualSpacing/>
        <w:jc w:val="both"/>
        <w:rPr>
          <w:sz w:val="28"/>
          <w:szCs w:val="22"/>
        </w:rPr>
      </w:pPr>
      <w:r w:rsidRPr="00F2273F">
        <w:rPr>
          <w:sz w:val="28"/>
          <w:szCs w:val="22"/>
        </w:rPr>
        <w:t>Los artícu</w:t>
      </w:r>
      <w:r w:rsidRPr="00F2273F">
        <w:rPr>
          <w:sz w:val="28"/>
          <w:szCs w:val="22"/>
        </w:rPr>
        <w:t>los de las Leyes 812 de 2003, 1151 de 2007, 1450 de 2011, 1753 de 2015 y 1955 de 2019 no derogados expresamente en el siguiente inciso o por otras leyes, continuarán vigentes hasta que sean derogados o modificados por norma posterior.</w:t>
      </w:r>
    </w:p>
    <w:p w:rsidR="000A22D1" w:rsidRPr="00F2273F" w:rsidRDefault="00F2273F" w:rsidP="00B22E39">
      <w:pPr>
        <w:pStyle w:val="NormalWeb"/>
        <w:spacing w:after="0" w:line="240" w:lineRule="auto"/>
        <w:ind w:left="1134" w:right="51"/>
        <w:contextualSpacing/>
        <w:jc w:val="both"/>
        <w:rPr>
          <w:sz w:val="28"/>
          <w:szCs w:val="22"/>
        </w:rPr>
      </w:pPr>
    </w:p>
    <w:p w:rsidR="00D15AFF" w:rsidRPr="00F2273F" w:rsidRDefault="00F2273F" w:rsidP="00C2132E">
      <w:pPr>
        <w:pStyle w:val="NormalWeb"/>
        <w:spacing w:after="0" w:line="240" w:lineRule="auto"/>
        <w:ind w:left="1134" w:right="51"/>
        <w:contextualSpacing/>
        <w:jc w:val="both"/>
        <w:rPr>
          <w:sz w:val="28"/>
          <w:szCs w:val="22"/>
        </w:rPr>
      </w:pPr>
      <w:r w:rsidRPr="00F2273F">
        <w:rPr>
          <w:sz w:val="28"/>
          <w:szCs w:val="22"/>
        </w:rPr>
        <w:t xml:space="preserve">Se derogan expresamente el artículo 26 de la Ley 45 de 1990; </w:t>
      </w:r>
      <w:r w:rsidRPr="00F2273F">
        <w:rPr>
          <w:b/>
          <w:bCs/>
          <w:sz w:val="28"/>
          <w:szCs w:val="22"/>
        </w:rPr>
        <w:t>el parágrafo tercero del artículo 167 de la Ley 142 de 1994; el parágrafo tercero del artículo 32 de la Ley 143 de 1994</w:t>
      </w:r>
      <w:r w:rsidRPr="00F2273F">
        <w:rPr>
          <w:sz w:val="28"/>
          <w:szCs w:val="22"/>
        </w:rPr>
        <w:t>; el artículo 45 de la Ley 300 de 1996; artículos 15, 41, 44, 45, 46, 50, 10</w:t>
      </w:r>
      <w:r w:rsidRPr="00F2273F">
        <w:rPr>
          <w:sz w:val="28"/>
          <w:szCs w:val="22"/>
        </w:rPr>
        <w:t>5, 137, 144, 146, 165 y 179 de la Ley 1450 de 2011; el artículo 22 de la Ley 1558 de 2012; artículos 11, 13, parágrafo segundo del artículo 30, 42, 56, 75, 91, 100, 129, 171, 203, 207, 221, 225, 249 de la Ley 1753 de 2015; incisos 2 y 3, así como los parág</w:t>
      </w:r>
      <w:r w:rsidRPr="00F2273F">
        <w:rPr>
          <w:sz w:val="28"/>
          <w:szCs w:val="22"/>
        </w:rPr>
        <w:t xml:space="preserve">rafos 1, 2 y transitorio del artículo 357 de la Ley 1819 de 2016; el artículo 3 del Decreto Ley 413 de 2018; artículos 12, 49, 62, 85, 94, la expresión “Colombia rural” del artículo 118, los artículos 132, 137, 163, 175, 179, 200, 218, 239, 281, 303, 305, </w:t>
      </w:r>
      <w:r w:rsidRPr="00F2273F">
        <w:rPr>
          <w:sz w:val="28"/>
          <w:szCs w:val="22"/>
        </w:rPr>
        <w:t xml:space="preserve">307, de la Ley 1955 de 2019; las expresiones “con corte al 30 de junio de 2020” y “desarrollo de líneas de crédito” del numeral 23 del artículo 35 de la Ley 1341 de 2009 adicionado por el artículo 9º de la Ley 2108 de 2021; el parágrafo del artículo 9º de </w:t>
      </w:r>
      <w:r w:rsidRPr="00F2273F">
        <w:rPr>
          <w:sz w:val="28"/>
          <w:szCs w:val="22"/>
        </w:rPr>
        <w:t xml:space="preserve">la Ley 1969 de 2019; la expresión “Sistemas Integrados de Transporte Masivo (SITM)” incluida en el artículo 9º de la Ley 1972 de 2019; artículo 48 de la Ley 2099 de 2021; artículo 54 de la Ley 2155 de 2021; artículo 13 de la Ley 2128 de 2021; la expresión </w:t>
      </w:r>
      <w:r w:rsidRPr="00F2273F">
        <w:rPr>
          <w:sz w:val="28"/>
          <w:szCs w:val="22"/>
        </w:rPr>
        <w:t>“territoriales” prevista en el inciso del artículo 95 de la Ley 2166 de 2021; el artículo 52 de la Ley 2136 de 2021; y los artículos 2º y 3º de la Ley 2186 de 2022”.</w:t>
      </w:r>
    </w:p>
    <w:p w:rsidR="00C2132E" w:rsidRPr="00F2273F" w:rsidRDefault="00F2273F" w:rsidP="00C2132E">
      <w:pPr>
        <w:pStyle w:val="NormalWeb"/>
        <w:spacing w:after="0" w:line="240" w:lineRule="auto"/>
        <w:ind w:left="1134" w:right="51"/>
        <w:contextualSpacing/>
        <w:jc w:val="both"/>
        <w:rPr>
          <w:sz w:val="28"/>
          <w:szCs w:val="22"/>
        </w:rPr>
      </w:pPr>
    </w:p>
    <w:p w:rsidR="00D15AFF" w:rsidRPr="00F2273F" w:rsidRDefault="00F2273F" w:rsidP="00D15AFF">
      <w:pPr>
        <w:pStyle w:val="NormalWeb"/>
        <w:tabs>
          <w:tab w:val="center" w:pos="4394"/>
          <w:tab w:val="left" w:pos="4806"/>
        </w:tabs>
        <w:spacing w:after="0" w:line="240" w:lineRule="auto"/>
        <w:ind w:right="49" w:hanging="142"/>
        <w:contextualSpacing/>
        <w:mirrorIndents/>
        <w:outlineLvl w:val="1"/>
        <w:rPr>
          <w:rFonts w:eastAsia="SimSun"/>
          <w:b/>
          <w:bCs/>
          <w:sz w:val="28"/>
          <w:szCs w:val="28"/>
        </w:rPr>
      </w:pPr>
      <w:r w:rsidRPr="00F2273F">
        <w:rPr>
          <w:rFonts w:eastAsia="SimSun"/>
          <w:b/>
          <w:bCs/>
          <w:sz w:val="28"/>
          <w:szCs w:val="28"/>
        </w:rPr>
        <w:t>La demanda</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Los accionantes </w:t>
      </w:r>
      <w:r w:rsidRPr="00F2273F">
        <w:rPr>
          <w:rFonts w:ascii="Times New Roman" w:hAnsi="Times New Roman" w:cs="Times New Roman"/>
          <w:bCs/>
          <w:sz w:val="28"/>
          <w:szCs w:val="28"/>
        </w:rPr>
        <w:t>sostuvieron</w:t>
      </w:r>
      <w:r w:rsidRPr="00F2273F">
        <w:rPr>
          <w:rFonts w:ascii="Times New Roman" w:hAnsi="Times New Roman" w:cs="Times New Roman"/>
          <w:bCs/>
          <w:sz w:val="28"/>
          <w:szCs w:val="28"/>
        </w:rPr>
        <w:t xml:space="preserve"> que el aparte demandado del artículo 372 de la Le</w:t>
      </w:r>
      <w:r w:rsidRPr="00F2273F">
        <w:rPr>
          <w:rFonts w:ascii="Times New Roman" w:hAnsi="Times New Roman" w:cs="Times New Roman"/>
          <w:bCs/>
          <w:sz w:val="28"/>
          <w:szCs w:val="28"/>
        </w:rPr>
        <w:t>y 2294 de 2023 trasgrede los artículos 157, 158, 160, 169, 339 y 341 de la Constitución.</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En consecuencia, solicitaron declarar inexequibles las expresiones acusadas por desconocer los principios de consecutividad y unidad de materia, para lo cual formularo</w:t>
      </w:r>
      <w:r w:rsidRPr="00F2273F">
        <w:rPr>
          <w:rFonts w:ascii="Times New Roman" w:hAnsi="Times New Roman" w:cs="Times New Roman"/>
          <w:bCs/>
          <w:sz w:val="28"/>
          <w:szCs w:val="28"/>
        </w:rPr>
        <w:t>n dos cargos de inconstitucionalidad cuyo alcance se resume a continuación.</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i/>
          <w:iCs/>
          <w:sz w:val="28"/>
          <w:szCs w:val="28"/>
        </w:rPr>
        <w:t xml:space="preserve">Primer cargo. </w:t>
      </w:r>
      <w:r w:rsidRPr="00F2273F">
        <w:rPr>
          <w:rFonts w:ascii="Times New Roman" w:hAnsi="Times New Roman" w:cs="Times New Roman"/>
          <w:sz w:val="28"/>
          <w:szCs w:val="28"/>
        </w:rPr>
        <w:t>Para los accionantes</w:t>
      </w:r>
      <w:r w:rsidRPr="00F2273F">
        <w:rPr>
          <w:rFonts w:ascii="Times New Roman" w:hAnsi="Times New Roman" w:cs="Times New Roman"/>
          <w:sz w:val="28"/>
          <w:szCs w:val="28"/>
        </w:rPr>
        <w:t xml:space="preserve"> se incurrió en </w:t>
      </w:r>
      <w:r w:rsidRPr="00F2273F">
        <w:rPr>
          <w:rFonts w:ascii="Times New Roman" w:hAnsi="Times New Roman" w:cs="Times New Roman"/>
          <w:sz w:val="28"/>
          <w:szCs w:val="28"/>
        </w:rPr>
        <w:t xml:space="preserve">una </w:t>
      </w:r>
      <w:r w:rsidRPr="00F2273F">
        <w:rPr>
          <w:rFonts w:ascii="Times New Roman" w:hAnsi="Times New Roman" w:cs="Times New Roman"/>
          <w:i/>
          <w:iCs/>
          <w:sz w:val="28"/>
          <w:szCs w:val="28"/>
        </w:rPr>
        <w:t>inconstitucionalidad por violación del principio de consecutividad</w:t>
      </w:r>
      <w:r w:rsidRPr="00F2273F">
        <w:rPr>
          <w:rFonts w:ascii="Times New Roman" w:hAnsi="Times New Roman" w:cs="Times New Roman"/>
          <w:sz w:val="28"/>
          <w:szCs w:val="28"/>
        </w:rPr>
        <w:t xml:space="preserve"> </w:t>
      </w:r>
      <w:r w:rsidRPr="00F2273F">
        <w:rPr>
          <w:rFonts w:ascii="Times New Roman" w:hAnsi="Times New Roman" w:cs="Times New Roman"/>
          <w:i/>
          <w:iCs/>
          <w:sz w:val="28"/>
          <w:szCs w:val="28"/>
        </w:rPr>
        <w:t>en el trámite legislativo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en relación con lo </w:t>
      </w:r>
      <w:r w:rsidRPr="00F2273F">
        <w:rPr>
          <w:rFonts w:ascii="Times New Roman" w:hAnsi="Times New Roman" w:cs="Times New Roman"/>
          <w:sz w:val="28"/>
          <w:szCs w:val="28"/>
        </w:rPr>
        <w:t xml:space="preserve">establecido en </w:t>
      </w:r>
      <w:r w:rsidRPr="00F2273F">
        <w:rPr>
          <w:rFonts w:ascii="Times New Roman" w:hAnsi="Times New Roman" w:cs="Times New Roman"/>
          <w:sz w:val="28"/>
          <w:szCs w:val="28"/>
        </w:rPr>
        <w:t>los</w:t>
      </w:r>
      <w:r w:rsidRPr="00F2273F">
        <w:rPr>
          <w:rFonts w:ascii="Times New Roman" w:hAnsi="Times New Roman" w:cs="Times New Roman"/>
          <w:sz w:val="28"/>
          <w:szCs w:val="28"/>
        </w:rPr>
        <w:t xml:space="preserve"> artículo</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157 </w:t>
      </w:r>
      <w:r w:rsidRPr="00F2273F">
        <w:rPr>
          <w:rFonts w:ascii="Times New Roman" w:hAnsi="Times New Roman" w:cs="Times New Roman"/>
          <w:sz w:val="28"/>
          <w:szCs w:val="28"/>
        </w:rPr>
        <w:t xml:space="preserve">y 160 </w:t>
      </w:r>
      <w:r w:rsidRPr="00F2273F">
        <w:rPr>
          <w:rFonts w:ascii="Times New Roman" w:hAnsi="Times New Roman" w:cs="Times New Roman"/>
          <w:sz w:val="28"/>
          <w:szCs w:val="28"/>
        </w:rPr>
        <w:t>superior</w:t>
      </w:r>
      <w:r w:rsidRPr="00F2273F">
        <w:rPr>
          <w:rFonts w:ascii="Times New Roman" w:hAnsi="Times New Roman" w:cs="Times New Roman"/>
          <w:sz w:val="28"/>
          <w:szCs w:val="28"/>
        </w:rPr>
        <w:t>es</w:t>
      </w:r>
      <w:r w:rsidRPr="00F2273F">
        <w:rPr>
          <w:rFonts w:ascii="Times New Roman" w:hAnsi="Times New Roman" w:cs="Times New Roman"/>
          <w:i/>
          <w:iCs/>
          <w:sz w:val="28"/>
          <w:szCs w:val="28"/>
        </w:rPr>
        <w:t xml:space="preserve">. </w:t>
      </w:r>
      <w:r w:rsidRPr="00F2273F">
        <w:rPr>
          <w:rFonts w:ascii="Times New Roman" w:hAnsi="Times New Roman" w:cs="Times New Roman"/>
          <w:sz w:val="28"/>
          <w:szCs w:val="28"/>
        </w:rPr>
        <w:t>P</w:t>
      </w:r>
      <w:r w:rsidRPr="00F2273F">
        <w:rPr>
          <w:rFonts w:ascii="Times New Roman" w:hAnsi="Times New Roman" w:cs="Times New Roman"/>
          <w:sz w:val="28"/>
          <w:szCs w:val="28"/>
        </w:rPr>
        <w:t>lantea</w:t>
      </w:r>
      <w:r w:rsidRPr="00F2273F">
        <w:rPr>
          <w:rFonts w:ascii="Times New Roman" w:hAnsi="Times New Roman" w:cs="Times New Roman"/>
          <w:sz w:val="28"/>
          <w:szCs w:val="28"/>
        </w:rPr>
        <w:t>ro</w:t>
      </w:r>
      <w:r w:rsidRPr="00F2273F">
        <w:rPr>
          <w:rFonts w:ascii="Times New Roman" w:hAnsi="Times New Roman" w:cs="Times New Roman"/>
          <w:sz w:val="28"/>
          <w:szCs w:val="28"/>
        </w:rPr>
        <w:t xml:space="preserve">n </w:t>
      </w:r>
      <w:r w:rsidRPr="00F2273F">
        <w:rPr>
          <w:rFonts w:ascii="Times New Roman" w:hAnsi="Times New Roman" w:cs="Times New Roman"/>
          <w:sz w:val="28"/>
          <w:szCs w:val="28"/>
        </w:rPr>
        <w:t xml:space="preserve">aquellos </w:t>
      </w:r>
      <w:r w:rsidRPr="00F2273F">
        <w:rPr>
          <w:rFonts w:ascii="Times New Roman" w:hAnsi="Times New Roman" w:cs="Times New Roman"/>
          <w:sz w:val="28"/>
          <w:szCs w:val="28"/>
        </w:rPr>
        <w:t xml:space="preserve">que </w:t>
      </w:r>
      <w:r w:rsidRPr="00F2273F">
        <w:rPr>
          <w:rFonts w:ascii="Times New Roman" w:hAnsi="Times New Roman" w:cs="Times New Roman"/>
          <w:sz w:val="28"/>
          <w:szCs w:val="28"/>
        </w:rPr>
        <w:t>la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derogatoria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expresa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del parágrafo tercero del artículo 167 de la Ley 142 de 1994 y del parágrafo tercero del artículo 32 de la Ley 143 de 1994, no fue</w:t>
      </w:r>
      <w:r w:rsidRPr="00F2273F">
        <w:rPr>
          <w:rFonts w:ascii="Times New Roman" w:hAnsi="Times New Roman" w:cs="Times New Roman"/>
          <w:sz w:val="28"/>
          <w:szCs w:val="28"/>
        </w:rPr>
        <w:t>ron</w:t>
      </w:r>
      <w:r w:rsidRPr="00F2273F">
        <w:rPr>
          <w:rFonts w:ascii="Times New Roman" w:hAnsi="Times New Roman" w:cs="Times New Roman"/>
          <w:sz w:val="28"/>
          <w:szCs w:val="28"/>
        </w:rPr>
        <w:t xml:space="preserve"> incluida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en la versión original del proyecto de ley presentado por el Gobierno nacional al Congreso de la República. </w:t>
      </w:r>
      <w:r w:rsidRPr="00F2273F">
        <w:rPr>
          <w:rFonts w:ascii="Times New Roman" w:hAnsi="Times New Roman" w:cs="Times New Roman"/>
          <w:sz w:val="28"/>
          <w:szCs w:val="28"/>
        </w:rPr>
        <w:t>Afirmaron</w:t>
      </w:r>
      <w:r w:rsidRPr="00F2273F">
        <w:rPr>
          <w:rFonts w:ascii="Times New Roman" w:hAnsi="Times New Roman" w:cs="Times New Roman"/>
          <w:sz w:val="28"/>
          <w:szCs w:val="28"/>
        </w:rPr>
        <w:t xml:space="preserve"> que dicha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derogatoria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tampoco fue</w:t>
      </w:r>
      <w:r w:rsidRPr="00F2273F">
        <w:rPr>
          <w:rFonts w:ascii="Times New Roman" w:hAnsi="Times New Roman" w:cs="Times New Roman"/>
          <w:sz w:val="28"/>
          <w:szCs w:val="28"/>
        </w:rPr>
        <w:t>ron</w:t>
      </w:r>
      <w:r w:rsidRPr="00F2273F">
        <w:rPr>
          <w:rFonts w:ascii="Times New Roman" w:hAnsi="Times New Roman" w:cs="Times New Roman"/>
          <w:sz w:val="28"/>
          <w:szCs w:val="28"/>
        </w:rPr>
        <w:t xml:space="preserve"> debatida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en primer debate en las comisiones conjuntas de Cámara y Senado, y que fue</w:t>
      </w:r>
      <w:r w:rsidRPr="00F2273F">
        <w:rPr>
          <w:rFonts w:ascii="Times New Roman" w:hAnsi="Times New Roman" w:cs="Times New Roman"/>
          <w:sz w:val="28"/>
          <w:szCs w:val="28"/>
        </w:rPr>
        <w:t>ron</w:t>
      </w:r>
      <w:r w:rsidRPr="00F2273F">
        <w:rPr>
          <w:rFonts w:ascii="Times New Roman" w:hAnsi="Times New Roman" w:cs="Times New Roman"/>
          <w:sz w:val="28"/>
          <w:szCs w:val="28"/>
        </w:rPr>
        <w:t xml:space="preserve"> introducid</w:t>
      </w:r>
      <w:r w:rsidRPr="00F2273F">
        <w:rPr>
          <w:rFonts w:ascii="Times New Roman" w:hAnsi="Times New Roman" w:cs="Times New Roman"/>
          <w:sz w:val="28"/>
          <w:szCs w:val="28"/>
        </w:rPr>
        <w:t>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y aprobada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en segundo debate sin que se discutiera</w:t>
      </w:r>
      <w:r w:rsidRPr="00F2273F">
        <w:rPr>
          <w:rFonts w:ascii="Times New Roman" w:hAnsi="Times New Roman" w:cs="Times New Roman"/>
          <w:sz w:val="28"/>
          <w:szCs w:val="28"/>
        </w:rPr>
        <w:t>n</w:t>
      </w:r>
      <w:r w:rsidRPr="00F2273F">
        <w:rPr>
          <w:rFonts w:ascii="Times New Roman" w:hAnsi="Times New Roman" w:cs="Times New Roman"/>
          <w:sz w:val="28"/>
          <w:szCs w:val="28"/>
        </w:rPr>
        <w:t xml:space="preserve"> en la Cámara de Representantes.      </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En su entender, el principio de consecutividad (i) implica la obligación para las comisiones y plenarias de estudiar, discutir y debatir el articulado propuesto </w:t>
      </w:r>
      <w:r w:rsidRPr="00F2273F">
        <w:rPr>
          <w:rFonts w:ascii="Times New Roman" w:hAnsi="Times New Roman" w:cs="Times New Roman"/>
          <w:bCs/>
          <w:sz w:val="28"/>
          <w:szCs w:val="28"/>
        </w:rPr>
        <w:t>y las proposiciones puest</w:t>
      </w:r>
      <w:r w:rsidRPr="00F2273F">
        <w:rPr>
          <w:rFonts w:ascii="Times New Roman" w:hAnsi="Times New Roman" w:cs="Times New Roman"/>
          <w:bCs/>
          <w:sz w:val="28"/>
          <w:szCs w:val="28"/>
        </w:rPr>
        <w:t>a</w:t>
      </w:r>
      <w:r w:rsidRPr="00F2273F">
        <w:rPr>
          <w:rFonts w:ascii="Times New Roman" w:hAnsi="Times New Roman" w:cs="Times New Roman"/>
          <w:bCs/>
          <w:sz w:val="28"/>
          <w:szCs w:val="28"/>
        </w:rPr>
        <w:t>s en su conocimiento en el marco del trámite legislativo; (ii) proscribe</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que las comisiones y plenarias omitan el ejercicio de sus competencias o lo deleguen en otra instancia del Congreso</w:t>
      </w:r>
      <w:r w:rsidRPr="00F2273F">
        <w:rPr>
          <w:rFonts w:ascii="Times New Roman" w:hAnsi="Times New Roman" w:cs="Times New Roman"/>
          <w:bCs/>
          <w:sz w:val="28"/>
          <w:szCs w:val="28"/>
        </w:rPr>
        <w:t>, so pena de configurar un vicio</w:t>
      </w:r>
      <w:r w:rsidRPr="00F2273F">
        <w:rPr>
          <w:rFonts w:ascii="Times New Roman" w:hAnsi="Times New Roman" w:cs="Times New Roman"/>
          <w:bCs/>
          <w:sz w:val="28"/>
          <w:szCs w:val="28"/>
        </w:rPr>
        <w:t xml:space="preserve">; e (iii) </w:t>
      </w:r>
      <w:r w:rsidRPr="00F2273F">
        <w:rPr>
          <w:rFonts w:ascii="Times New Roman" w:hAnsi="Times New Roman" w:cs="Times New Roman"/>
          <w:bCs/>
          <w:sz w:val="28"/>
          <w:szCs w:val="28"/>
        </w:rPr>
        <w:t>impone la discusión, aprobación o improbación del articulado propuesto para primer y segundo debate, así como el estudio de las proposiciones que lo modifiquen o adicionen.</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Bajos esos supuestos, </w:t>
      </w:r>
      <w:r w:rsidRPr="00F2273F">
        <w:rPr>
          <w:rFonts w:ascii="Times New Roman" w:hAnsi="Times New Roman" w:cs="Times New Roman"/>
          <w:bCs/>
          <w:sz w:val="28"/>
          <w:szCs w:val="28"/>
        </w:rPr>
        <w:t>indicaron</w:t>
      </w:r>
      <w:r w:rsidRPr="00F2273F">
        <w:rPr>
          <w:rFonts w:ascii="Times New Roman" w:hAnsi="Times New Roman" w:cs="Times New Roman"/>
          <w:bCs/>
          <w:sz w:val="28"/>
          <w:szCs w:val="28"/>
        </w:rPr>
        <w:t xml:space="preserve"> que el vicio de procedimiento se configuró porque las expresiones demandadas </w:t>
      </w:r>
      <w:r w:rsidRPr="00F2273F">
        <w:rPr>
          <w:rFonts w:ascii="Times New Roman" w:hAnsi="Times New Roman" w:cs="Times New Roman"/>
          <w:bCs/>
          <w:sz w:val="28"/>
          <w:szCs w:val="28"/>
        </w:rPr>
        <w:t>infringieron el principio de consecutividad</w:t>
      </w:r>
      <w:r w:rsidRPr="00F2273F">
        <w:rPr>
          <w:rFonts w:ascii="Times New Roman" w:hAnsi="Times New Roman" w:cs="Times New Roman"/>
          <w:bCs/>
          <w:sz w:val="28"/>
          <w:szCs w:val="28"/>
        </w:rPr>
        <w:t>. Esto, porque</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no se</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discutieron </w:t>
      </w:r>
      <w:r w:rsidRPr="00F2273F">
        <w:rPr>
          <w:rFonts w:ascii="Times New Roman" w:hAnsi="Times New Roman" w:cs="Times New Roman"/>
          <w:bCs/>
          <w:sz w:val="28"/>
          <w:szCs w:val="28"/>
        </w:rPr>
        <w:t xml:space="preserve">en la Cámara de Representantes, así como tampoco se </w:t>
      </w:r>
      <w:r w:rsidRPr="00F2273F">
        <w:rPr>
          <w:rFonts w:ascii="Times New Roman" w:hAnsi="Times New Roman" w:cs="Times New Roman"/>
          <w:bCs/>
          <w:sz w:val="28"/>
          <w:szCs w:val="28"/>
        </w:rPr>
        <w:t xml:space="preserve">consideraron </w:t>
      </w:r>
      <w:r w:rsidRPr="00F2273F">
        <w:rPr>
          <w:rFonts w:ascii="Times New Roman" w:hAnsi="Times New Roman" w:cs="Times New Roman"/>
          <w:bCs/>
          <w:sz w:val="28"/>
          <w:szCs w:val="28"/>
        </w:rPr>
        <w:t>las proposiciones para su eliminación</w:t>
      </w:r>
      <w:r w:rsidRPr="00F2273F">
        <w:rPr>
          <w:rFonts w:ascii="Times New Roman" w:hAnsi="Times New Roman" w:cs="Times New Roman"/>
          <w:bCs/>
          <w:sz w:val="28"/>
          <w:szCs w:val="28"/>
        </w:rPr>
        <w:t xml:space="preserve">, ni se deliberó </w:t>
      </w:r>
      <w:r w:rsidRPr="00F2273F">
        <w:rPr>
          <w:rFonts w:ascii="Times New Roman" w:hAnsi="Times New Roman" w:cs="Times New Roman"/>
          <w:bCs/>
          <w:sz w:val="28"/>
          <w:szCs w:val="28"/>
        </w:rPr>
        <w:t>sobre el</w:t>
      </w:r>
      <w:r w:rsidRPr="00F2273F">
        <w:rPr>
          <w:rFonts w:ascii="Times New Roman" w:hAnsi="Times New Roman" w:cs="Times New Roman"/>
          <w:bCs/>
          <w:sz w:val="28"/>
          <w:szCs w:val="28"/>
        </w:rPr>
        <w:t xml:space="preserve"> texto</w:t>
      </w:r>
      <w:r w:rsidRPr="00F2273F">
        <w:rPr>
          <w:rFonts w:ascii="Times New Roman" w:hAnsi="Times New Roman" w:cs="Times New Roman"/>
          <w:bCs/>
          <w:sz w:val="28"/>
          <w:szCs w:val="28"/>
        </w:rPr>
        <w:t xml:space="preserve"> normativo</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finalmente acogido</w:t>
      </w:r>
      <w:r w:rsidRPr="00F2273F">
        <w:rPr>
          <w:rFonts w:ascii="Times New Roman" w:hAnsi="Times New Roman" w:cs="Times New Roman"/>
          <w:bCs/>
          <w:sz w:val="28"/>
          <w:szCs w:val="28"/>
        </w:rPr>
        <w:t>. En relación con las proposiciones, argumenta</w:t>
      </w:r>
      <w:r w:rsidRPr="00F2273F">
        <w:rPr>
          <w:rFonts w:ascii="Times New Roman" w:hAnsi="Times New Roman" w:cs="Times New Roman"/>
          <w:bCs/>
          <w:sz w:val="28"/>
          <w:szCs w:val="28"/>
        </w:rPr>
        <w:t>ro</w:t>
      </w:r>
      <w:r w:rsidRPr="00F2273F">
        <w:rPr>
          <w:rFonts w:ascii="Times New Roman" w:hAnsi="Times New Roman" w:cs="Times New Roman"/>
          <w:bCs/>
          <w:sz w:val="28"/>
          <w:szCs w:val="28"/>
        </w:rPr>
        <w:t xml:space="preserve">n que </w:t>
      </w:r>
      <w:r w:rsidRPr="00F2273F">
        <w:rPr>
          <w:rFonts w:ascii="Times New Roman" w:hAnsi="Times New Roman" w:cs="Times New Roman"/>
          <w:bCs/>
          <w:sz w:val="28"/>
          <w:szCs w:val="28"/>
        </w:rPr>
        <w:t xml:space="preserve">se incumplieron las reglas para </w:t>
      </w:r>
      <w:r w:rsidRPr="00F2273F">
        <w:rPr>
          <w:rFonts w:ascii="Times New Roman" w:hAnsi="Times New Roman" w:cs="Times New Roman"/>
          <w:bCs/>
          <w:sz w:val="28"/>
          <w:szCs w:val="28"/>
        </w:rPr>
        <w:t xml:space="preserve">acreditar </w:t>
      </w:r>
      <w:r w:rsidRPr="00F2273F">
        <w:rPr>
          <w:rFonts w:ascii="Times New Roman" w:hAnsi="Times New Roman" w:cs="Times New Roman"/>
          <w:bCs/>
          <w:sz w:val="28"/>
          <w:szCs w:val="28"/>
        </w:rPr>
        <w:t>su publicidad</w:t>
      </w:r>
      <w:r w:rsidRPr="00F2273F">
        <w:rPr>
          <w:rFonts w:ascii="Times New Roman" w:hAnsi="Times New Roman" w:cs="Times New Roman"/>
          <w:bCs/>
          <w:sz w:val="28"/>
          <w:szCs w:val="28"/>
        </w:rPr>
        <w:t xml:space="preserve"> y que el desarrollo del debate se limitó a la lectura del nombre del autor de cada una</w:t>
      </w:r>
      <w:r w:rsidRPr="00F2273F">
        <w:rPr>
          <w:rFonts w:ascii="Times New Roman" w:hAnsi="Times New Roman" w:cs="Times New Roman"/>
          <w:bCs/>
          <w:sz w:val="28"/>
          <w:szCs w:val="28"/>
        </w:rPr>
        <w:t>, sin dar a conocer el alcance de su contenido y sin permitir el uso de la palabra para deliberar sobre las mismas. Esto, consider</w:t>
      </w:r>
      <w:r w:rsidRPr="00F2273F">
        <w:rPr>
          <w:rFonts w:ascii="Times New Roman" w:hAnsi="Times New Roman" w:cs="Times New Roman"/>
          <w:bCs/>
          <w:sz w:val="28"/>
          <w:szCs w:val="28"/>
        </w:rPr>
        <w:t>a</w:t>
      </w:r>
      <w:r w:rsidRPr="00F2273F">
        <w:rPr>
          <w:rFonts w:ascii="Times New Roman" w:hAnsi="Times New Roman" w:cs="Times New Roman"/>
          <w:bCs/>
          <w:sz w:val="28"/>
          <w:szCs w:val="28"/>
        </w:rPr>
        <w:t xml:space="preserve">n, contraría las reglas fijadas por la Corte Constitucional respecto de la publicidad y el debate mínimo </w:t>
      </w:r>
      <w:r w:rsidRPr="00F2273F">
        <w:rPr>
          <w:rFonts w:ascii="Times New Roman" w:hAnsi="Times New Roman" w:cs="Times New Roman"/>
          <w:bCs/>
          <w:sz w:val="28"/>
          <w:szCs w:val="28"/>
        </w:rPr>
        <w:t>sobre</w:t>
      </w:r>
      <w:r w:rsidRPr="00F2273F">
        <w:rPr>
          <w:rFonts w:ascii="Times New Roman" w:hAnsi="Times New Roman" w:cs="Times New Roman"/>
          <w:bCs/>
          <w:sz w:val="28"/>
          <w:szCs w:val="28"/>
        </w:rPr>
        <w:t xml:space="preserve"> proposiciones </w:t>
      </w:r>
      <w:r w:rsidRPr="00F2273F">
        <w:rPr>
          <w:rFonts w:ascii="Times New Roman" w:hAnsi="Times New Roman" w:cs="Times New Roman"/>
          <w:bCs/>
          <w:sz w:val="28"/>
          <w:szCs w:val="28"/>
        </w:rPr>
        <w:t xml:space="preserve">a un </w:t>
      </w:r>
      <w:r w:rsidRPr="00F2273F">
        <w:rPr>
          <w:rFonts w:ascii="Times New Roman" w:hAnsi="Times New Roman" w:cs="Times New Roman"/>
          <w:bCs/>
          <w:sz w:val="28"/>
          <w:szCs w:val="28"/>
        </w:rPr>
        <w:t>proyecto de ley.</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Resalta</w:t>
      </w:r>
      <w:r w:rsidRPr="00F2273F">
        <w:rPr>
          <w:rFonts w:ascii="Times New Roman" w:hAnsi="Times New Roman" w:cs="Times New Roman"/>
          <w:bCs/>
          <w:sz w:val="28"/>
          <w:szCs w:val="28"/>
        </w:rPr>
        <w:t>ro</w:t>
      </w:r>
      <w:r w:rsidRPr="00F2273F">
        <w:rPr>
          <w:rFonts w:ascii="Times New Roman" w:hAnsi="Times New Roman" w:cs="Times New Roman"/>
          <w:bCs/>
          <w:sz w:val="28"/>
          <w:szCs w:val="28"/>
        </w:rPr>
        <w:t>n que el presidente de la Cámara de Representantes dirigió el trámite legislativo de forma tal que, escudado en razones de apremio, decidió no abrir el espacio para deliberar sobre estos asuntos, con lo que impidió la discus</w:t>
      </w:r>
      <w:r w:rsidRPr="00F2273F">
        <w:rPr>
          <w:rFonts w:ascii="Times New Roman" w:hAnsi="Times New Roman" w:cs="Times New Roman"/>
          <w:bCs/>
          <w:sz w:val="28"/>
          <w:szCs w:val="28"/>
        </w:rPr>
        <w:t>ión sobre las proposiciones y el texto del artículo 372</w:t>
      </w:r>
      <w:r w:rsidRPr="00F2273F">
        <w:rPr>
          <w:rFonts w:ascii="Times New Roman" w:hAnsi="Times New Roman" w:cs="Times New Roman"/>
          <w:bCs/>
          <w:sz w:val="28"/>
          <w:szCs w:val="28"/>
        </w:rPr>
        <w:t xml:space="preserve"> referido</w:t>
      </w:r>
      <w:r w:rsidRPr="00F2273F">
        <w:rPr>
          <w:rFonts w:ascii="Times New Roman" w:hAnsi="Times New Roman" w:cs="Times New Roman"/>
          <w:bCs/>
          <w:sz w:val="28"/>
          <w:szCs w:val="28"/>
        </w:rPr>
        <w:t>. Agrega</w:t>
      </w:r>
      <w:r w:rsidRPr="00F2273F">
        <w:rPr>
          <w:rFonts w:ascii="Times New Roman" w:hAnsi="Times New Roman" w:cs="Times New Roman"/>
          <w:bCs/>
          <w:sz w:val="28"/>
          <w:szCs w:val="28"/>
        </w:rPr>
        <w:t>ro</w:t>
      </w:r>
      <w:r w:rsidRPr="00F2273F">
        <w:rPr>
          <w:rFonts w:ascii="Times New Roman" w:hAnsi="Times New Roman" w:cs="Times New Roman"/>
          <w:bCs/>
          <w:sz w:val="28"/>
          <w:szCs w:val="28"/>
        </w:rPr>
        <w:t xml:space="preserve">n que la votación aprobatoria de la norma sobre derogatorias del plan nacional de desarrollo </w:t>
      </w:r>
      <w:r w:rsidRPr="00F2273F">
        <w:rPr>
          <w:rFonts w:ascii="Times New Roman" w:hAnsi="Times New Roman" w:cs="Times New Roman"/>
          <w:bCs/>
          <w:sz w:val="28"/>
          <w:szCs w:val="28"/>
        </w:rPr>
        <w:t>(</w:t>
      </w:r>
      <w:r w:rsidRPr="00F2273F">
        <w:rPr>
          <w:rFonts w:ascii="Times New Roman" w:hAnsi="Times New Roman" w:cs="Times New Roman"/>
          <w:bCs/>
          <w:sz w:val="28"/>
          <w:szCs w:val="28"/>
        </w:rPr>
        <w:t>PND</w:t>
      </w:r>
      <w:r w:rsidRPr="00F2273F">
        <w:rPr>
          <w:rFonts w:ascii="Times New Roman" w:hAnsi="Times New Roman" w:cs="Times New Roman"/>
          <w:bCs/>
          <w:sz w:val="28"/>
          <w:szCs w:val="28"/>
        </w:rPr>
        <w:t>)</w:t>
      </w:r>
      <w:r w:rsidRPr="00F2273F">
        <w:rPr>
          <w:rFonts w:ascii="Times New Roman" w:hAnsi="Times New Roman" w:cs="Times New Roman"/>
          <w:bCs/>
          <w:sz w:val="28"/>
          <w:szCs w:val="28"/>
        </w:rPr>
        <w:t>,</w:t>
      </w:r>
      <w:r w:rsidRPr="00F2273F">
        <w:rPr>
          <w:rFonts w:ascii="Times New Roman" w:hAnsi="Times New Roman" w:cs="Times New Roman"/>
          <w:bCs/>
          <w:sz w:val="28"/>
          <w:szCs w:val="28"/>
        </w:rPr>
        <w:t xml:space="preserve"> en </w:t>
      </w:r>
      <w:r w:rsidRPr="00F2273F">
        <w:rPr>
          <w:rFonts w:ascii="Times New Roman" w:hAnsi="Times New Roman" w:cs="Times New Roman"/>
          <w:bCs/>
          <w:sz w:val="28"/>
          <w:szCs w:val="28"/>
        </w:rPr>
        <w:t>el s</w:t>
      </w:r>
      <w:r w:rsidRPr="00F2273F">
        <w:rPr>
          <w:rFonts w:ascii="Times New Roman" w:hAnsi="Times New Roman" w:cs="Times New Roman"/>
          <w:bCs/>
          <w:sz w:val="28"/>
          <w:szCs w:val="28"/>
        </w:rPr>
        <w:t xml:space="preserve">egundo debate en </w:t>
      </w:r>
      <w:r w:rsidRPr="00F2273F">
        <w:rPr>
          <w:rFonts w:ascii="Times New Roman" w:hAnsi="Times New Roman" w:cs="Times New Roman"/>
          <w:bCs/>
          <w:sz w:val="28"/>
          <w:szCs w:val="28"/>
        </w:rPr>
        <w:t xml:space="preserve">la </w:t>
      </w:r>
      <w:r w:rsidRPr="00F2273F">
        <w:rPr>
          <w:rFonts w:ascii="Times New Roman" w:hAnsi="Times New Roman" w:cs="Times New Roman"/>
          <w:bCs/>
          <w:sz w:val="28"/>
          <w:szCs w:val="28"/>
        </w:rPr>
        <w:t>Cámara</w:t>
      </w:r>
      <w:r w:rsidRPr="00F2273F">
        <w:rPr>
          <w:rFonts w:ascii="Times New Roman" w:hAnsi="Times New Roman" w:cs="Times New Roman"/>
          <w:bCs/>
          <w:sz w:val="28"/>
          <w:szCs w:val="28"/>
        </w:rPr>
        <w:t xml:space="preserve"> de Representantes,</w:t>
      </w:r>
      <w:r w:rsidRPr="00F2273F">
        <w:rPr>
          <w:rFonts w:ascii="Times New Roman" w:hAnsi="Times New Roman" w:cs="Times New Roman"/>
          <w:bCs/>
          <w:sz w:val="28"/>
          <w:szCs w:val="28"/>
        </w:rPr>
        <w:t xml:space="preserve"> se realizó sin una discusión y deliberación previa</w:t>
      </w:r>
      <w:r w:rsidRPr="00F2273F">
        <w:rPr>
          <w:rFonts w:ascii="Times New Roman" w:hAnsi="Times New Roman" w:cs="Times New Roman"/>
          <w:bCs/>
          <w:sz w:val="28"/>
          <w:szCs w:val="28"/>
        </w:rPr>
        <w:t>. En</w:t>
      </w:r>
      <w:r w:rsidRPr="00F2273F">
        <w:rPr>
          <w:rFonts w:ascii="Times New Roman" w:hAnsi="Times New Roman" w:cs="Times New Roman"/>
          <w:bCs/>
          <w:sz w:val="28"/>
          <w:szCs w:val="28"/>
        </w:rPr>
        <w:t xml:space="preserve"> particular, </w:t>
      </w:r>
      <w:r w:rsidRPr="00F2273F">
        <w:rPr>
          <w:rFonts w:ascii="Times New Roman" w:hAnsi="Times New Roman" w:cs="Times New Roman"/>
          <w:bCs/>
          <w:sz w:val="28"/>
          <w:szCs w:val="28"/>
        </w:rPr>
        <w:t xml:space="preserve">que </w:t>
      </w:r>
      <w:r w:rsidRPr="00F2273F">
        <w:rPr>
          <w:rFonts w:ascii="Times New Roman" w:hAnsi="Times New Roman" w:cs="Times New Roman"/>
          <w:bCs/>
          <w:sz w:val="28"/>
          <w:szCs w:val="28"/>
        </w:rPr>
        <w:t xml:space="preserve">no se consideró el texto novedoso propuesto en la ponencia para segundo debate, </w:t>
      </w:r>
      <w:r w:rsidRPr="00F2273F">
        <w:rPr>
          <w:rFonts w:ascii="Times New Roman" w:hAnsi="Times New Roman" w:cs="Times New Roman"/>
          <w:bCs/>
          <w:sz w:val="28"/>
          <w:szCs w:val="28"/>
        </w:rPr>
        <w:t xml:space="preserve">así como tampoco </w:t>
      </w:r>
      <w:r w:rsidRPr="00F2273F">
        <w:rPr>
          <w:rFonts w:ascii="Times New Roman" w:hAnsi="Times New Roman" w:cs="Times New Roman"/>
          <w:bCs/>
          <w:sz w:val="28"/>
          <w:szCs w:val="28"/>
        </w:rPr>
        <w:t>se discutieron las proposiciones que solicitaban su eliminación.</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E20E39">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Expusieron</w:t>
      </w:r>
      <w:r w:rsidRPr="00F2273F">
        <w:rPr>
          <w:rFonts w:ascii="Times New Roman" w:hAnsi="Times New Roman" w:cs="Times New Roman"/>
          <w:bCs/>
          <w:sz w:val="28"/>
          <w:szCs w:val="28"/>
        </w:rPr>
        <w:t xml:space="preserve"> que la derogatoria </w:t>
      </w:r>
      <w:r w:rsidRPr="00F2273F">
        <w:rPr>
          <w:rFonts w:ascii="Times New Roman" w:hAnsi="Times New Roman" w:cs="Times New Roman"/>
          <w:bCs/>
          <w:sz w:val="28"/>
          <w:szCs w:val="28"/>
        </w:rPr>
        <w:t xml:space="preserve">del parágrafo tercero del artículo 167 de la Ley 142 de 1994 y el parágrafo tercero del artículo 32 de la Ley 143 de 1994 </w:t>
      </w:r>
      <w:r w:rsidRPr="00F2273F">
        <w:rPr>
          <w:rFonts w:ascii="Times New Roman" w:hAnsi="Times New Roman" w:cs="Times New Roman"/>
          <w:bCs/>
          <w:sz w:val="28"/>
          <w:szCs w:val="28"/>
        </w:rPr>
        <w:t>está directamente relacionada con el artículo 218 del proyecto, que regulaba el carácter independiente del Operado</w:t>
      </w:r>
      <w:r w:rsidRPr="00F2273F">
        <w:rPr>
          <w:rFonts w:ascii="Times New Roman" w:hAnsi="Times New Roman" w:cs="Times New Roman"/>
          <w:bCs/>
          <w:sz w:val="28"/>
          <w:szCs w:val="28"/>
        </w:rPr>
        <w:t xml:space="preserve">r del Mercado -Centro Nacional de Despacho -CND- y las actividades de generación, distribución y comercialización de energía eléctrica como actividades secundarias a las actividades principales de </w:t>
      </w:r>
      <w:r w:rsidRPr="00F2273F">
        <w:rPr>
          <w:rFonts w:ascii="Times New Roman" w:hAnsi="Times New Roman" w:cs="Times New Roman"/>
          <w:bCs/>
          <w:sz w:val="28"/>
          <w:szCs w:val="28"/>
        </w:rPr>
        <w:t xml:space="preserve">Ecopetrol </w:t>
      </w:r>
      <w:r w:rsidRPr="00F2273F">
        <w:rPr>
          <w:rFonts w:ascii="Times New Roman" w:hAnsi="Times New Roman" w:cs="Times New Roman"/>
          <w:bCs/>
          <w:sz w:val="28"/>
          <w:szCs w:val="28"/>
        </w:rPr>
        <w:t>en materia de hidrocarburos</w:t>
      </w:r>
      <w:r w:rsidRPr="00F2273F">
        <w:rPr>
          <w:rFonts w:ascii="Times New Roman" w:hAnsi="Times New Roman" w:cs="Times New Roman"/>
          <w:bCs/>
          <w:sz w:val="28"/>
          <w:szCs w:val="28"/>
        </w:rPr>
        <w:t>. Además, dicho artícu</w:t>
      </w:r>
      <w:r w:rsidRPr="00F2273F">
        <w:rPr>
          <w:rFonts w:ascii="Times New Roman" w:hAnsi="Times New Roman" w:cs="Times New Roman"/>
          <w:bCs/>
          <w:sz w:val="28"/>
          <w:szCs w:val="28"/>
        </w:rPr>
        <w:t xml:space="preserve">lo aludía a la </w:t>
      </w:r>
      <w:r w:rsidRPr="00F2273F">
        <w:rPr>
          <w:rFonts w:ascii="Times New Roman" w:hAnsi="Times New Roman" w:cs="Times New Roman"/>
          <w:bCs/>
          <w:sz w:val="28"/>
          <w:szCs w:val="28"/>
        </w:rPr>
        <w:t>interconexión de la red nacional de energía eléctrica</w:t>
      </w:r>
      <w:r w:rsidRPr="00F2273F">
        <w:rPr>
          <w:rFonts w:ascii="Times New Roman" w:hAnsi="Times New Roman" w:cs="Times New Roman"/>
          <w:bCs/>
          <w:sz w:val="28"/>
          <w:szCs w:val="28"/>
        </w:rPr>
        <w:t>,</w:t>
      </w:r>
      <w:r w:rsidRPr="00F2273F">
        <w:rPr>
          <w:rFonts w:ascii="Times New Roman" w:hAnsi="Times New Roman" w:cs="Times New Roman"/>
          <w:bCs/>
          <w:sz w:val="28"/>
          <w:szCs w:val="28"/>
        </w:rPr>
        <w:t xml:space="preserve"> en el caso de Interconexión Eléctrica S.A.</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-ISA, </w:t>
      </w:r>
      <w:r w:rsidRPr="00F2273F">
        <w:rPr>
          <w:rFonts w:ascii="Times New Roman" w:hAnsi="Times New Roman" w:cs="Times New Roman"/>
          <w:bCs/>
          <w:sz w:val="28"/>
          <w:szCs w:val="28"/>
        </w:rPr>
        <w:t xml:space="preserve">ambas </w:t>
      </w:r>
      <w:r w:rsidRPr="00F2273F">
        <w:rPr>
          <w:rFonts w:ascii="Times New Roman" w:hAnsi="Times New Roman" w:cs="Times New Roman"/>
          <w:bCs/>
          <w:sz w:val="28"/>
          <w:szCs w:val="28"/>
        </w:rPr>
        <w:t>actividades</w:t>
      </w:r>
      <w:r w:rsidRPr="00F2273F">
        <w:rPr>
          <w:rFonts w:ascii="Times New Roman" w:hAnsi="Times New Roman" w:cs="Times New Roman"/>
          <w:bCs/>
          <w:sz w:val="28"/>
          <w:szCs w:val="28"/>
        </w:rPr>
        <w:t xml:space="preserve"> (hidrocarburos e interconexión eléctrica)</w:t>
      </w:r>
      <w:r w:rsidRPr="00F2273F">
        <w:rPr>
          <w:rFonts w:ascii="Times New Roman" w:hAnsi="Times New Roman" w:cs="Times New Roman"/>
          <w:bCs/>
          <w:sz w:val="28"/>
          <w:szCs w:val="28"/>
        </w:rPr>
        <w:t xml:space="preserve"> sujetas a la reglamentación de la Comisión de Regulación de Energía y Gas -</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CREG. </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Explicaron que el artículo</w:t>
      </w:r>
      <w:r w:rsidRPr="00F2273F">
        <w:rPr>
          <w:rFonts w:ascii="Times New Roman" w:hAnsi="Times New Roman" w:cs="Times New Roman"/>
          <w:bCs/>
          <w:sz w:val="28"/>
          <w:szCs w:val="28"/>
        </w:rPr>
        <w:t xml:space="preserve"> 218 del proyecto fue suprimido por votación de la </w:t>
      </w:r>
      <w:r w:rsidRPr="00F2273F">
        <w:rPr>
          <w:rFonts w:ascii="Times New Roman" w:hAnsi="Times New Roman" w:cs="Times New Roman"/>
          <w:bCs/>
          <w:sz w:val="28"/>
          <w:szCs w:val="28"/>
        </w:rPr>
        <w:t xml:space="preserve">Plenaria de la </w:t>
      </w:r>
      <w:r w:rsidRPr="00F2273F">
        <w:rPr>
          <w:rFonts w:ascii="Times New Roman" w:hAnsi="Times New Roman" w:cs="Times New Roman"/>
          <w:bCs/>
          <w:sz w:val="28"/>
          <w:szCs w:val="28"/>
        </w:rPr>
        <w:t>Cámara de Representantes, con lo cual se configuró el vicio de procedimiento por la elusión del debate</w:t>
      </w:r>
      <w:r w:rsidRPr="00F2273F">
        <w:rPr>
          <w:rFonts w:ascii="Times New Roman" w:hAnsi="Times New Roman" w:cs="Times New Roman"/>
          <w:bCs/>
          <w:sz w:val="28"/>
          <w:szCs w:val="28"/>
        </w:rPr>
        <w:t>.</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Esto, porque </w:t>
      </w:r>
      <w:r w:rsidRPr="00F2273F">
        <w:rPr>
          <w:rFonts w:ascii="Times New Roman" w:hAnsi="Times New Roman" w:cs="Times New Roman"/>
          <w:bCs/>
          <w:sz w:val="28"/>
          <w:szCs w:val="28"/>
        </w:rPr>
        <w:t>la Cámara no pudo debatir sobre la inco</w:t>
      </w:r>
      <w:r w:rsidRPr="00F2273F">
        <w:rPr>
          <w:rFonts w:ascii="Times New Roman" w:hAnsi="Times New Roman" w:cs="Times New Roman"/>
          <w:bCs/>
          <w:sz w:val="28"/>
          <w:szCs w:val="28"/>
        </w:rPr>
        <w:t>ngruencia que representaba suprimir el artículo 218 del proyecto de ley y conservar la derogatoria expresa de los parágrafos terceros de los artículos 167 y 32 de las leyes 142 y 143 de 1994.</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D15AFF">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i/>
          <w:iCs/>
          <w:sz w:val="28"/>
          <w:szCs w:val="28"/>
        </w:rPr>
        <w:t>Segundo cargo</w:t>
      </w:r>
      <w:r w:rsidRPr="00F2273F">
        <w:rPr>
          <w:rFonts w:ascii="Times New Roman" w:hAnsi="Times New Roman" w:cs="Times New Roman"/>
          <w:bCs/>
          <w:sz w:val="28"/>
          <w:szCs w:val="28"/>
        </w:rPr>
        <w:t>. Los demandantes advirtieron que la misma expresi</w:t>
      </w:r>
      <w:r w:rsidRPr="00F2273F">
        <w:rPr>
          <w:rFonts w:ascii="Times New Roman" w:hAnsi="Times New Roman" w:cs="Times New Roman"/>
          <w:bCs/>
          <w:sz w:val="28"/>
          <w:szCs w:val="28"/>
        </w:rPr>
        <w:t xml:space="preserve">ón acusada </w:t>
      </w:r>
      <w:r w:rsidRPr="00F2273F">
        <w:rPr>
          <w:rFonts w:ascii="Times New Roman" w:hAnsi="Times New Roman" w:cs="Times New Roman"/>
          <w:bCs/>
          <w:i/>
          <w:iCs/>
          <w:sz w:val="28"/>
          <w:szCs w:val="28"/>
        </w:rPr>
        <w:t>desconoce el principio de unidad de materia</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establecido </w:t>
      </w:r>
      <w:r w:rsidRPr="00F2273F">
        <w:rPr>
          <w:rFonts w:ascii="Times New Roman" w:hAnsi="Times New Roman" w:cs="Times New Roman"/>
          <w:bCs/>
          <w:sz w:val="28"/>
          <w:szCs w:val="28"/>
        </w:rPr>
        <w:t>en los artículos 158</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169</w:t>
      </w:r>
      <w:r w:rsidRPr="00F2273F">
        <w:rPr>
          <w:rFonts w:ascii="Times New Roman" w:hAnsi="Times New Roman" w:cs="Times New Roman"/>
          <w:bCs/>
          <w:sz w:val="28"/>
          <w:szCs w:val="28"/>
        </w:rPr>
        <w:t>, 339 y 341</w:t>
      </w:r>
      <w:r w:rsidRPr="00F2273F">
        <w:rPr>
          <w:rFonts w:ascii="Times New Roman" w:hAnsi="Times New Roman" w:cs="Times New Roman"/>
          <w:bCs/>
          <w:sz w:val="28"/>
          <w:szCs w:val="28"/>
        </w:rPr>
        <w:t xml:space="preserve"> de la Constitución Política, </w:t>
      </w:r>
      <w:r w:rsidRPr="00F2273F">
        <w:rPr>
          <w:rFonts w:ascii="Times New Roman" w:hAnsi="Times New Roman" w:cs="Times New Roman"/>
          <w:bCs/>
          <w:sz w:val="28"/>
          <w:szCs w:val="28"/>
        </w:rPr>
        <w:t xml:space="preserve">por cuanto esa norma, de vocación temporal, significó un cambio estructural en el régimen de integración vertical de </w:t>
      </w:r>
      <w:r w:rsidRPr="00F2273F">
        <w:rPr>
          <w:rFonts w:ascii="Times New Roman" w:hAnsi="Times New Roman" w:cs="Times New Roman"/>
          <w:bCs/>
          <w:sz w:val="28"/>
          <w:szCs w:val="28"/>
        </w:rPr>
        <w:t>actividades</w:t>
      </w:r>
      <w:r w:rsidRPr="00F2273F">
        <w:rPr>
          <w:rFonts w:ascii="Times New Roman" w:hAnsi="Times New Roman" w:cs="Times New Roman"/>
          <w:bCs/>
          <w:sz w:val="28"/>
          <w:szCs w:val="28"/>
        </w:rPr>
        <w:t xml:space="preserve"> en el sector energético</w:t>
      </w:r>
      <w:r w:rsidRPr="00F2273F">
        <w:rPr>
          <w:rFonts w:ascii="Times New Roman" w:hAnsi="Times New Roman" w:cs="Times New Roman"/>
          <w:bCs/>
          <w:sz w:val="28"/>
          <w:szCs w:val="28"/>
        </w:rPr>
        <w:t xml:space="preserve"> con base en razones de libre competencia</w:t>
      </w:r>
      <w:r w:rsidRPr="00F2273F">
        <w:rPr>
          <w:rStyle w:val="Refdenotaalpie"/>
          <w:rFonts w:ascii="Times New Roman" w:hAnsi="Times New Roman" w:cs="Times New Roman"/>
          <w:bCs/>
          <w:sz w:val="28"/>
          <w:szCs w:val="28"/>
        </w:rPr>
        <w:footnoteReference w:id="4"/>
      </w:r>
      <w:r w:rsidRPr="00F2273F">
        <w:rPr>
          <w:rFonts w:ascii="Times New Roman" w:hAnsi="Times New Roman" w:cs="Times New Roman"/>
          <w:bCs/>
          <w:sz w:val="28"/>
          <w:szCs w:val="28"/>
        </w:rPr>
        <w:t xml:space="preserve">, lo cual implicó la derogatoria de una ley ordinaria y permanente que rige el mercado </w:t>
      </w:r>
      <w:r w:rsidRPr="00F2273F">
        <w:rPr>
          <w:rFonts w:ascii="Times New Roman" w:hAnsi="Times New Roman" w:cs="Times New Roman"/>
          <w:bCs/>
          <w:sz w:val="28"/>
          <w:szCs w:val="28"/>
        </w:rPr>
        <w:t>energético</w:t>
      </w:r>
      <w:r w:rsidRPr="00F2273F">
        <w:rPr>
          <w:rFonts w:ascii="Times New Roman" w:hAnsi="Times New Roman" w:cs="Times New Roman"/>
          <w:bCs/>
          <w:sz w:val="28"/>
          <w:szCs w:val="28"/>
        </w:rPr>
        <w:t>.</w:t>
      </w:r>
    </w:p>
    <w:p w:rsidR="00D15AFF" w:rsidRPr="00F2273F" w:rsidRDefault="00F2273F" w:rsidP="00742ED8">
      <w:pPr>
        <w:pStyle w:val="Prrafodelista"/>
        <w:numPr>
          <w:ilvl w:val="0"/>
          <w:numId w:val="3"/>
        </w:numPr>
        <w:tabs>
          <w:tab w:val="left" w:pos="567"/>
          <w:tab w:val="left" w:pos="1134"/>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Como fundamento de ese cargo, en primer lugar, expusieron que </w:t>
      </w:r>
      <w:r w:rsidRPr="00F2273F">
        <w:rPr>
          <w:rFonts w:ascii="Times New Roman" w:hAnsi="Times New Roman" w:cs="Times New Roman"/>
          <w:bCs/>
          <w:sz w:val="28"/>
          <w:szCs w:val="28"/>
        </w:rPr>
        <w:t>la disposición dem</w:t>
      </w:r>
      <w:r w:rsidRPr="00F2273F">
        <w:rPr>
          <w:rFonts w:ascii="Times New Roman" w:hAnsi="Times New Roman" w:cs="Times New Roman"/>
          <w:bCs/>
          <w:sz w:val="28"/>
          <w:szCs w:val="28"/>
        </w:rPr>
        <w:t>andada</w:t>
      </w:r>
      <w:r w:rsidRPr="00F2273F">
        <w:rPr>
          <w:rFonts w:ascii="Times New Roman" w:hAnsi="Times New Roman" w:cs="Times New Roman"/>
          <w:bCs/>
          <w:sz w:val="28"/>
          <w:szCs w:val="28"/>
        </w:rPr>
        <w:t xml:space="preserve"> no tiene la naturaleza instrumental requerida por ubicarse en el capítulo denominado </w:t>
      </w:r>
      <w:r w:rsidRPr="00F2273F">
        <w:rPr>
          <w:rFonts w:ascii="Times New Roman" w:hAnsi="Times New Roman" w:cs="Times New Roman"/>
          <w:bCs/>
          <w:i/>
          <w:iCs/>
          <w:sz w:val="28"/>
          <w:szCs w:val="28"/>
        </w:rPr>
        <w:t>Otras disposiciones</w:t>
      </w:r>
      <w:r w:rsidRPr="00F2273F">
        <w:rPr>
          <w:rFonts w:ascii="Times New Roman" w:hAnsi="Times New Roman" w:cs="Times New Roman"/>
          <w:bCs/>
          <w:sz w:val="28"/>
          <w:szCs w:val="28"/>
        </w:rPr>
        <w:t xml:space="preserve">, y no en el título correspondiente a </w:t>
      </w:r>
      <w:r w:rsidRPr="00F2273F">
        <w:rPr>
          <w:rFonts w:ascii="Times New Roman" w:hAnsi="Times New Roman" w:cs="Times New Roman"/>
          <w:bCs/>
          <w:i/>
          <w:iCs/>
          <w:sz w:val="28"/>
          <w:szCs w:val="28"/>
        </w:rPr>
        <w:t>Mecanismos de Ejecución del Plan</w:t>
      </w:r>
      <w:r w:rsidRPr="00F2273F">
        <w:rPr>
          <w:rFonts w:ascii="Times New Roman" w:hAnsi="Times New Roman" w:cs="Times New Roman"/>
          <w:bCs/>
          <w:sz w:val="28"/>
          <w:szCs w:val="28"/>
        </w:rPr>
        <w:t xml:space="preserve">. Asimismo, en lo que tiene que ver con </w:t>
      </w:r>
      <w:r w:rsidRPr="00F2273F">
        <w:rPr>
          <w:rFonts w:ascii="Times New Roman" w:hAnsi="Times New Roman" w:cs="Times New Roman"/>
          <w:bCs/>
          <w:sz w:val="28"/>
          <w:szCs w:val="28"/>
        </w:rPr>
        <w:t xml:space="preserve">su </w:t>
      </w:r>
      <w:r w:rsidRPr="00F2273F">
        <w:rPr>
          <w:rFonts w:ascii="Times New Roman" w:hAnsi="Times New Roman" w:cs="Times New Roman"/>
          <w:bCs/>
          <w:sz w:val="28"/>
          <w:szCs w:val="28"/>
        </w:rPr>
        <w:t>alcance, precisa</w:t>
      </w:r>
      <w:r w:rsidRPr="00F2273F">
        <w:rPr>
          <w:rFonts w:ascii="Times New Roman" w:hAnsi="Times New Roman" w:cs="Times New Roman"/>
          <w:bCs/>
          <w:sz w:val="28"/>
          <w:szCs w:val="28"/>
        </w:rPr>
        <w:t>ro</w:t>
      </w:r>
      <w:r w:rsidRPr="00F2273F">
        <w:rPr>
          <w:rFonts w:ascii="Times New Roman" w:hAnsi="Times New Roman" w:cs="Times New Roman"/>
          <w:bCs/>
          <w:sz w:val="28"/>
          <w:szCs w:val="28"/>
        </w:rPr>
        <w:t xml:space="preserve">n que </w:t>
      </w:r>
      <w:r w:rsidRPr="00F2273F">
        <w:rPr>
          <w:rFonts w:ascii="Times New Roman" w:hAnsi="Times New Roman" w:cs="Times New Roman"/>
          <w:bCs/>
          <w:sz w:val="28"/>
          <w:szCs w:val="28"/>
        </w:rPr>
        <w:t xml:space="preserve">los </w:t>
      </w:r>
      <w:r w:rsidRPr="00F2273F">
        <w:rPr>
          <w:rFonts w:ascii="Times New Roman" w:hAnsi="Times New Roman" w:cs="Times New Roman"/>
          <w:bCs/>
          <w:sz w:val="28"/>
          <w:szCs w:val="28"/>
        </w:rPr>
        <w:t>parágrafos acusados son accesorios</w:t>
      </w:r>
      <w:r w:rsidRPr="00F2273F">
        <w:rPr>
          <w:rFonts w:ascii="Times New Roman" w:hAnsi="Times New Roman" w:cs="Times New Roman"/>
          <w:bCs/>
          <w:sz w:val="28"/>
          <w:szCs w:val="28"/>
        </w:rPr>
        <w:t xml:space="preserve"> al artículo 218 del proyecto, que pretendía modificar el artículo 74 de la Ley 143 de 1994 para permitir la integración vertical entre las actividades de transmisión </w:t>
      </w:r>
      <w:r w:rsidRPr="00F2273F">
        <w:rPr>
          <w:rFonts w:ascii="Times New Roman" w:hAnsi="Times New Roman" w:cs="Times New Roman"/>
          <w:bCs/>
          <w:sz w:val="28"/>
          <w:szCs w:val="28"/>
        </w:rPr>
        <w:t xml:space="preserve">y </w:t>
      </w:r>
      <w:r w:rsidRPr="00F2273F">
        <w:rPr>
          <w:rFonts w:ascii="Times New Roman" w:hAnsi="Times New Roman" w:cs="Times New Roman"/>
          <w:bCs/>
          <w:sz w:val="28"/>
          <w:szCs w:val="28"/>
        </w:rPr>
        <w:t>las de generación a partir de fuentes no convencional</w:t>
      </w:r>
      <w:r w:rsidRPr="00F2273F">
        <w:rPr>
          <w:rFonts w:ascii="Times New Roman" w:hAnsi="Times New Roman" w:cs="Times New Roman"/>
          <w:bCs/>
          <w:sz w:val="28"/>
          <w:szCs w:val="28"/>
        </w:rPr>
        <w:t>es de energía renovable, artículo que, reitera</w:t>
      </w:r>
      <w:r w:rsidRPr="00F2273F">
        <w:rPr>
          <w:rFonts w:ascii="Times New Roman" w:hAnsi="Times New Roman" w:cs="Times New Roman"/>
          <w:bCs/>
          <w:sz w:val="28"/>
          <w:szCs w:val="28"/>
        </w:rPr>
        <w:t>ro</w:t>
      </w:r>
      <w:r w:rsidRPr="00F2273F">
        <w:rPr>
          <w:rFonts w:ascii="Times New Roman" w:hAnsi="Times New Roman" w:cs="Times New Roman"/>
          <w:bCs/>
          <w:sz w:val="28"/>
          <w:szCs w:val="28"/>
        </w:rPr>
        <w:t>n</w:t>
      </w:r>
      <w:r w:rsidRPr="00F2273F">
        <w:rPr>
          <w:rFonts w:ascii="Times New Roman" w:hAnsi="Times New Roman" w:cs="Times New Roman"/>
          <w:bCs/>
          <w:sz w:val="28"/>
          <w:szCs w:val="28"/>
        </w:rPr>
        <w:t>, fue eliminado en el trámite legislativo</w:t>
      </w:r>
      <w:r w:rsidRPr="00F2273F">
        <w:rPr>
          <w:rFonts w:ascii="Times New Roman" w:hAnsi="Times New Roman" w:cs="Times New Roman"/>
          <w:bCs/>
          <w:sz w:val="28"/>
          <w:szCs w:val="28"/>
        </w:rPr>
        <w:t xml:space="preserve">. Por lo anterior, </w:t>
      </w:r>
      <w:r w:rsidRPr="00F2273F">
        <w:rPr>
          <w:rFonts w:ascii="Times New Roman" w:hAnsi="Times New Roman" w:cs="Times New Roman"/>
          <w:bCs/>
          <w:sz w:val="28"/>
          <w:szCs w:val="28"/>
        </w:rPr>
        <w:t xml:space="preserve">el aparte demandado debería seguir </w:t>
      </w:r>
      <w:r w:rsidRPr="00F2273F">
        <w:rPr>
          <w:rFonts w:ascii="Times New Roman" w:hAnsi="Times New Roman" w:cs="Times New Roman"/>
          <w:bCs/>
          <w:sz w:val="28"/>
          <w:szCs w:val="28"/>
        </w:rPr>
        <w:t>idéntica</w:t>
      </w:r>
      <w:r w:rsidRPr="00F2273F">
        <w:rPr>
          <w:rFonts w:ascii="Times New Roman" w:hAnsi="Times New Roman" w:cs="Times New Roman"/>
          <w:bCs/>
          <w:sz w:val="28"/>
          <w:szCs w:val="28"/>
        </w:rPr>
        <w:t xml:space="preserve"> suerte.</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En segundo lugar, indicaron que </w:t>
      </w:r>
      <w:r w:rsidRPr="00F2273F">
        <w:rPr>
          <w:rFonts w:ascii="Times New Roman" w:hAnsi="Times New Roman" w:cs="Times New Roman"/>
          <w:bCs/>
          <w:sz w:val="28"/>
          <w:szCs w:val="28"/>
        </w:rPr>
        <w:t>las derogatorias acusadas</w:t>
      </w:r>
      <w:r w:rsidRPr="00F2273F">
        <w:rPr>
          <w:rFonts w:ascii="Times New Roman" w:hAnsi="Times New Roman" w:cs="Times New Roman"/>
          <w:bCs/>
          <w:sz w:val="28"/>
          <w:szCs w:val="28"/>
        </w:rPr>
        <w:t xml:space="preserve"> no formaban parte del articulado ori</w:t>
      </w:r>
      <w:r w:rsidRPr="00F2273F">
        <w:rPr>
          <w:rFonts w:ascii="Times New Roman" w:hAnsi="Times New Roman" w:cs="Times New Roman"/>
          <w:bCs/>
          <w:sz w:val="28"/>
          <w:szCs w:val="28"/>
        </w:rPr>
        <w:t>ginal del proyecto de ley, sino que fueron incluid</w:t>
      </w:r>
      <w:r w:rsidRPr="00F2273F">
        <w:rPr>
          <w:rFonts w:ascii="Times New Roman" w:hAnsi="Times New Roman" w:cs="Times New Roman"/>
          <w:bCs/>
          <w:sz w:val="28"/>
          <w:szCs w:val="28"/>
        </w:rPr>
        <w:t>a</w:t>
      </w:r>
      <w:r w:rsidRPr="00F2273F">
        <w:rPr>
          <w:rFonts w:ascii="Times New Roman" w:hAnsi="Times New Roman" w:cs="Times New Roman"/>
          <w:bCs/>
          <w:sz w:val="28"/>
          <w:szCs w:val="28"/>
        </w:rPr>
        <w:t xml:space="preserve">s en la ponencia para segundo debate </w:t>
      </w:r>
      <w:r w:rsidRPr="00F2273F">
        <w:rPr>
          <w:rFonts w:ascii="Times New Roman" w:hAnsi="Times New Roman" w:cs="Times New Roman"/>
          <w:bCs/>
          <w:sz w:val="28"/>
          <w:szCs w:val="28"/>
        </w:rPr>
        <w:t>en Cámara</w:t>
      </w:r>
      <w:r w:rsidRPr="00F2273F">
        <w:rPr>
          <w:rFonts w:ascii="Times New Roman" w:hAnsi="Times New Roman" w:cs="Times New Roman"/>
          <w:bCs/>
          <w:sz w:val="28"/>
          <w:szCs w:val="28"/>
        </w:rPr>
        <w:t>, lo cual</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evidencia que la disposición no guarda una conexidad inmediata y directa con los objetivos, metas, planes o estrategias de la parte general del PND. </w:t>
      </w:r>
      <w:r w:rsidRPr="00F2273F">
        <w:rPr>
          <w:rFonts w:ascii="Times New Roman" w:hAnsi="Times New Roman" w:cs="Times New Roman"/>
          <w:bCs/>
          <w:sz w:val="28"/>
          <w:szCs w:val="28"/>
        </w:rPr>
        <w:t>Exp</w:t>
      </w:r>
      <w:r w:rsidRPr="00F2273F">
        <w:rPr>
          <w:rFonts w:ascii="Times New Roman" w:hAnsi="Times New Roman" w:cs="Times New Roman"/>
          <w:bCs/>
          <w:sz w:val="28"/>
          <w:szCs w:val="28"/>
        </w:rPr>
        <w:t>usieron</w:t>
      </w:r>
      <w:r w:rsidRPr="00F2273F">
        <w:rPr>
          <w:rFonts w:ascii="Times New Roman" w:hAnsi="Times New Roman" w:cs="Times New Roman"/>
          <w:bCs/>
          <w:sz w:val="28"/>
          <w:szCs w:val="28"/>
        </w:rPr>
        <w:t xml:space="preserve"> que </w:t>
      </w:r>
      <w:r w:rsidRPr="00F2273F">
        <w:rPr>
          <w:rFonts w:ascii="Times New Roman" w:hAnsi="Times New Roman" w:cs="Times New Roman"/>
          <w:bCs/>
          <w:sz w:val="28"/>
          <w:szCs w:val="28"/>
        </w:rPr>
        <w:t>la derogatoria prevista en la norma acusada</w:t>
      </w:r>
      <w:r w:rsidRPr="00F2273F">
        <w:rPr>
          <w:rFonts w:ascii="Times New Roman" w:hAnsi="Times New Roman" w:cs="Times New Roman"/>
          <w:bCs/>
          <w:sz w:val="28"/>
          <w:szCs w:val="28"/>
        </w:rPr>
        <w:t>, contrastada</w:t>
      </w:r>
      <w:r w:rsidRPr="00F2273F">
        <w:rPr>
          <w:rFonts w:ascii="Times New Roman" w:hAnsi="Times New Roman" w:cs="Times New Roman"/>
          <w:bCs/>
          <w:sz w:val="28"/>
          <w:szCs w:val="28"/>
        </w:rPr>
        <w:t xml:space="preserve"> con las estrategias definidas en la Ley 2294 para lograr la </w:t>
      </w:r>
      <w:r w:rsidRPr="00F2273F">
        <w:rPr>
          <w:rFonts w:ascii="Times New Roman" w:hAnsi="Times New Roman" w:cs="Times New Roman"/>
          <w:bCs/>
          <w:i/>
          <w:iCs/>
          <w:sz w:val="28"/>
          <w:szCs w:val="28"/>
        </w:rPr>
        <w:t>Transición energética justa, segura, confiable y eficiente</w:t>
      </w:r>
      <w:r w:rsidRPr="00F2273F">
        <w:rPr>
          <w:rFonts w:ascii="Times New Roman" w:hAnsi="Times New Roman" w:cs="Times New Roman"/>
          <w:bCs/>
          <w:i/>
          <w:iCs/>
          <w:sz w:val="28"/>
          <w:szCs w:val="28"/>
        </w:rPr>
        <w:t xml:space="preserve">, </w:t>
      </w:r>
      <w:r w:rsidRPr="00F2273F">
        <w:rPr>
          <w:rFonts w:ascii="Times New Roman" w:hAnsi="Times New Roman" w:cs="Times New Roman"/>
          <w:bCs/>
          <w:sz w:val="28"/>
          <w:szCs w:val="28"/>
        </w:rPr>
        <w:t>no</w:t>
      </w:r>
      <w:r w:rsidRPr="00F2273F">
        <w:rPr>
          <w:rFonts w:ascii="Times New Roman" w:hAnsi="Times New Roman" w:cs="Times New Roman"/>
          <w:bCs/>
          <w:i/>
          <w:iCs/>
          <w:sz w:val="28"/>
          <w:szCs w:val="28"/>
        </w:rPr>
        <w:t xml:space="preserve"> </w:t>
      </w:r>
      <w:r w:rsidRPr="00F2273F">
        <w:rPr>
          <w:rFonts w:ascii="Times New Roman" w:hAnsi="Times New Roman" w:cs="Times New Roman"/>
          <w:bCs/>
          <w:sz w:val="28"/>
          <w:szCs w:val="28"/>
        </w:rPr>
        <w:t xml:space="preserve">guarda relación con </w:t>
      </w:r>
      <w:r w:rsidRPr="00F2273F">
        <w:rPr>
          <w:rFonts w:ascii="Times New Roman" w:hAnsi="Times New Roman" w:cs="Times New Roman"/>
          <w:bCs/>
          <w:sz w:val="28"/>
          <w:szCs w:val="28"/>
        </w:rPr>
        <w:t>el objetivo</w:t>
      </w:r>
      <w:r w:rsidRPr="00F2273F">
        <w:rPr>
          <w:rFonts w:ascii="Times New Roman" w:hAnsi="Times New Roman" w:cs="Times New Roman"/>
          <w:bCs/>
          <w:sz w:val="28"/>
          <w:szCs w:val="28"/>
        </w:rPr>
        <w:t xml:space="preserve"> de </w:t>
      </w:r>
      <w:r w:rsidRPr="00F2273F">
        <w:rPr>
          <w:rFonts w:ascii="Times New Roman" w:hAnsi="Times New Roman" w:cs="Times New Roman"/>
          <w:bCs/>
          <w:i/>
          <w:iCs/>
          <w:sz w:val="28"/>
          <w:szCs w:val="28"/>
        </w:rPr>
        <w:t>diversificar la producción</w:t>
      </w:r>
      <w:r w:rsidRPr="00F2273F">
        <w:rPr>
          <w:rFonts w:ascii="Times New Roman" w:hAnsi="Times New Roman" w:cs="Times New Roman"/>
          <w:bCs/>
          <w:i/>
          <w:iCs/>
          <w:sz w:val="28"/>
          <w:szCs w:val="28"/>
        </w:rPr>
        <w:t xml:space="preserve"> asociada a las actividades extractivas</w:t>
      </w:r>
      <w:r w:rsidRPr="00F2273F">
        <w:rPr>
          <w:rFonts w:ascii="Times New Roman" w:hAnsi="Times New Roman" w:cs="Times New Roman"/>
          <w:bCs/>
          <w:sz w:val="28"/>
          <w:szCs w:val="28"/>
        </w:rPr>
        <w:t xml:space="preserve"> y, en consecuencia, </w:t>
      </w:r>
      <w:r w:rsidRPr="00F2273F">
        <w:rPr>
          <w:rFonts w:ascii="Times New Roman" w:hAnsi="Times New Roman" w:cs="Times New Roman"/>
          <w:bCs/>
          <w:sz w:val="28"/>
          <w:szCs w:val="28"/>
        </w:rPr>
        <w:t>se trata de un</w:t>
      </w:r>
      <w:r w:rsidRPr="00F2273F">
        <w:rPr>
          <w:rFonts w:ascii="Times New Roman" w:hAnsi="Times New Roman" w:cs="Times New Roman"/>
          <w:bCs/>
          <w:sz w:val="28"/>
          <w:szCs w:val="28"/>
        </w:rPr>
        <w:t xml:space="preserve"> medio irrelevante para lograr ese fin. </w:t>
      </w:r>
      <w:r w:rsidRPr="00F2273F">
        <w:rPr>
          <w:rFonts w:ascii="Times New Roman" w:hAnsi="Times New Roman" w:cs="Times New Roman"/>
          <w:bCs/>
          <w:sz w:val="28"/>
          <w:szCs w:val="28"/>
        </w:rPr>
        <w:t>Igualmente</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aludieron</w:t>
      </w:r>
      <w:r w:rsidRPr="00F2273F">
        <w:rPr>
          <w:rFonts w:ascii="Times New Roman" w:hAnsi="Times New Roman" w:cs="Times New Roman"/>
          <w:bCs/>
          <w:sz w:val="28"/>
          <w:szCs w:val="28"/>
        </w:rPr>
        <w:t xml:space="preserve"> que la disposición demandada es hipotética, insuficiente y requiere del cumplimiento de condiciones adicionales para log</w:t>
      </w:r>
      <w:r w:rsidRPr="00F2273F">
        <w:rPr>
          <w:rFonts w:ascii="Times New Roman" w:hAnsi="Times New Roman" w:cs="Times New Roman"/>
          <w:bCs/>
          <w:sz w:val="28"/>
          <w:szCs w:val="28"/>
        </w:rPr>
        <w:t xml:space="preserve">rar la </w:t>
      </w:r>
      <w:r w:rsidRPr="00F2273F">
        <w:rPr>
          <w:rFonts w:ascii="Times New Roman" w:hAnsi="Times New Roman" w:cs="Times New Roman"/>
          <w:bCs/>
          <w:i/>
          <w:iCs/>
          <w:sz w:val="28"/>
          <w:szCs w:val="28"/>
        </w:rPr>
        <w:t>eficiencia energética y del mercado</w:t>
      </w:r>
      <w:r w:rsidRPr="00F2273F">
        <w:rPr>
          <w:rFonts w:ascii="Times New Roman" w:hAnsi="Times New Roman" w:cs="Times New Roman"/>
          <w:bCs/>
          <w:sz w:val="28"/>
          <w:szCs w:val="28"/>
        </w:rPr>
        <w:t>.</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9C7F9C" w:rsidRPr="00F2273F" w:rsidRDefault="00F2273F" w:rsidP="009C7F9C">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 xml:space="preserve">En tercer lugar, </w:t>
      </w:r>
      <w:r w:rsidRPr="00F2273F">
        <w:rPr>
          <w:rFonts w:ascii="Times New Roman" w:hAnsi="Times New Roman" w:cs="Times New Roman"/>
          <w:bCs/>
          <w:sz w:val="28"/>
          <w:szCs w:val="28"/>
        </w:rPr>
        <w:t>señalaron</w:t>
      </w:r>
      <w:r w:rsidRPr="00F2273F">
        <w:rPr>
          <w:rFonts w:ascii="Times New Roman" w:hAnsi="Times New Roman" w:cs="Times New Roman"/>
          <w:bCs/>
          <w:sz w:val="28"/>
          <w:szCs w:val="28"/>
        </w:rPr>
        <w:t xml:space="preserve"> que los enunciados normativos acusados no satisfacen el estándar de conexidad directa e inmediata con el Plan Plurianual de Inversiones del PND. Esto, por cuanto </w:t>
      </w:r>
      <w:r w:rsidRPr="00F2273F">
        <w:rPr>
          <w:rFonts w:ascii="Times New Roman" w:hAnsi="Times New Roman" w:cs="Times New Roman"/>
          <w:sz w:val="28"/>
          <w:szCs w:val="28"/>
          <w:lang w:val="es-ES"/>
        </w:rPr>
        <w:t xml:space="preserve">no hay “determinación </w:t>
      </w:r>
      <w:r w:rsidRPr="00F2273F">
        <w:rPr>
          <w:rFonts w:ascii="Times New Roman" w:hAnsi="Times New Roman" w:cs="Times New Roman"/>
          <w:sz w:val="28"/>
          <w:szCs w:val="28"/>
          <w:lang w:val="es-ES"/>
        </w:rPr>
        <w:t>o especificación concreta de los recursos financieros y apropiaciones”</w:t>
      </w:r>
      <w:r w:rsidRPr="00F2273F">
        <w:rPr>
          <w:rStyle w:val="Refdenotaalpie"/>
          <w:rFonts w:ascii="Times New Roman" w:eastAsiaTheme="majorEastAsia" w:hAnsi="Times New Roman" w:cs="Times New Roman"/>
          <w:sz w:val="28"/>
          <w:szCs w:val="28"/>
          <w:lang w:val="es-ES"/>
        </w:rPr>
        <w:footnoteReference w:id="5"/>
      </w:r>
      <w:r w:rsidRPr="00F2273F">
        <w:rPr>
          <w:rFonts w:ascii="Times New Roman" w:hAnsi="Times New Roman" w:cs="Times New Roman"/>
          <w:sz w:val="28"/>
          <w:szCs w:val="28"/>
          <w:lang w:val="es-ES"/>
        </w:rPr>
        <w:t xml:space="preserve"> en cuanto a (i) los programas relacionados con el catalizador titulado </w:t>
      </w:r>
      <w:r w:rsidRPr="00F2273F">
        <w:rPr>
          <w:rFonts w:ascii="Times New Roman" w:hAnsi="Times New Roman" w:cs="Times New Roman"/>
          <w:i/>
          <w:iCs/>
          <w:sz w:val="28"/>
          <w:szCs w:val="28"/>
          <w:lang w:val="es-ES"/>
        </w:rPr>
        <w:t>Transición energética justa, segura, confiable y eficiente</w:t>
      </w:r>
      <w:r w:rsidRPr="00F2273F">
        <w:rPr>
          <w:rStyle w:val="Refdenotaalpie"/>
          <w:rFonts w:ascii="Times New Roman" w:eastAsiaTheme="majorEastAsia" w:hAnsi="Times New Roman" w:cs="Times New Roman"/>
          <w:sz w:val="28"/>
          <w:szCs w:val="28"/>
          <w:lang w:val="es-ES"/>
        </w:rPr>
        <w:footnoteReference w:id="6"/>
      </w:r>
      <w:r w:rsidRPr="00F2273F">
        <w:rPr>
          <w:rFonts w:ascii="Times New Roman" w:hAnsi="Times New Roman" w:cs="Times New Roman"/>
          <w:sz w:val="28"/>
          <w:szCs w:val="28"/>
          <w:lang w:val="es-ES"/>
        </w:rPr>
        <w:t xml:space="preserve"> al cual estaría asociada la disposición demandada, y (ii) al sector de minas y energía. </w:t>
      </w:r>
    </w:p>
    <w:p w:rsidR="009C7F9C" w:rsidRPr="00F2273F" w:rsidRDefault="00F2273F" w:rsidP="009C7F9C">
      <w:pPr>
        <w:pStyle w:val="Prrafodelista"/>
        <w:rPr>
          <w:rFonts w:ascii="Times New Roman" w:hAnsi="Times New Roman" w:cs="Times New Roman"/>
          <w:sz w:val="28"/>
          <w:szCs w:val="28"/>
        </w:rPr>
      </w:pPr>
    </w:p>
    <w:p w:rsidR="002C606A" w:rsidRPr="00F2273F" w:rsidRDefault="00F2273F" w:rsidP="009C7F9C">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sz w:val="28"/>
          <w:szCs w:val="28"/>
        </w:rPr>
        <w:t xml:space="preserve">Para los demandantes, la </w:t>
      </w:r>
      <w:r w:rsidRPr="00F2273F">
        <w:rPr>
          <w:rFonts w:ascii="Times New Roman" w:hAnsi="Times New Roman" w:cs="Times New Roman"/>
          <w:i/>
          <w:iCs/>
          <w:sz w:val="28"/>
          <w:szCs w:val="28"/>
        </w:rPr>
        <w:t>primera condición</w:t>
      </w:r>
      <w:r w:rsidRPr="00F2273F">
        <w:rPr>
          <w:rFonts w:ascii="Times New Roman" w:hAnsi="Times New Roman" w:cs="Times New Roman"/>
          <w:sz w:val="28"/>
          <w:szCs w:val="28"/>
        </w:rPr>
        <w:t xml:space="preserve"> que se debería verificar para que la disposición demandada cumpliera con el estándar de conexidad directa e inmediata es que el </w:t>
      </w:r>
      <w:r w:rsidRPr="00F2273F">
        <w:rPr>
          <w:rFonts w:ascii="Times New Roman" w:hAnsi="Times New Roman" w:cs="Times New Roman"/>
          <w:sz w:val="28"/>
          <w:szCs w:val="28"/>
        </w:rPr>
        <w:t xml:space="preserve">plan </w:t>
      </w:r>
      <w:r w:rsidRPr="00F2273F">
        <w:rPr>
          <w:rFonts w:ascii="Times New Roman" w:hAnsi="Times New Roman" w:cs="Times New Roman"/>
          <w:sz w:val="28"/>
          <w:szCs w:val="28"/>
        </w:rPr>
        <w:t xml:space="preserve">también hubiese modificado el artículo 74 de la Ley 143 de 1994. Argumentan que, tal y como lo señaló la Corte </w:t>
      </w:r>
      <w:r w:rsidRPr="00F2273F">
        <w:rPr>
          <w:rFonts w:ascii="Times New Roman" w:hAnsi="Times New Roman" w:cs="Times New Roman"/>
          <w:sz w:val="28"/>
          <w:szCs w:val="28"/>
        </w:rPr>
        <w:t>Constitucio</w:t>
      </w:r>
      <w:r w:rsidRPr="00F2273F">
        <w:rPr>
          <w:rFonts w:ascii="Times New Roman" w:hAnsi="Times New Roman" w:cs="Times New Roman"/>
          <w:sz w:val="28"/>
          <w:szCs w:val="28"/>
        </w:rPr>
        <w:t xml:space="preserve">nal </w:t>
      </w:r>
      <w:r w:rsidRPr="00F2273F">
        <w:rPr>
          <w:rFonts w:ascii="Times New Roman" w:hAnsi="Times New Roman" w:cs="Times New Roman"/>
          <w:sz w:val="28"/>
          <w:szCs w:val="28"/>
        </w:rPr>
        <w:t>en la Sentencia C-063 de 2021, el artículo 74 de la Ley 143 de 1994 “[e]</w:t>
      </w:r>
      <w:r w:rsidRPr="00F2273F">
        <w:rPr>
          <w:rFonts w:ascii="Times New Roman" w:hAnsi="Times New Roman" w:cs="Times New Roman"/>
          <w:i/>
          <w:iCs/>
          <w:sz w:val="28"/>
          <w:szCs w:val="28"/>
        </w:rPr>
        <w:t>xcluyó la actividad de transmisión de aquellas que pueden ser ejercidas de forma integrada</w:t>
      </w:r>
      <w:r w:rsidRPr="00F2273F">
        <w:rPr>
          <w:rFonts w:ascii="Times New Roman" w:hAnsi="Times New Roman" w:cs="Times New Roman"/>
          <w:sz w:val="28"/>
          <w:szCs w:val="28"/>
        </w:rPr>
        <w:t>”. El Gobierno Nacional propuso modificar el artículo 74 de la Ley 143 de 1994 a través de</w:t>
      </w:r>
      <w:r w:rsidRPr="00F2273F">
        <w:rPr>
          <w:rFonts w:ascii="Times New Roman" w:hAnsi="Times New Roman" w:cs="Times New Roman"/>
          <w:sz w:val="28"/>
          <w:szCs w:val="28"/>
        </w:rPr>
        <w:t>l artículo 218 del Proyecto de Ley, en el sentido de permitir la transmisión de manera integrada con la generación a partir de FNCER</w:t>
      </w:r>
      <w:r w:rsidRPr="00F2273F">
        <w:rPr>
          <w:rFonts w:ascii="Times New Roman" w:hAnsi="Times New Roman" w:cs="Times New Roman"/>
          <w:sz w:val="28"/>
          <w:szCs w:val="28"/>
        </w:rPr>
        <w:t xml:space="preserve"> (fuentes no convencionales de energía renovable). </w:t>
      </w:r>
    </w:p>
    <w:p w:rsidR="002C606A" w:rsidRPr="00F2273F" w:rsidRDefault="00F2273F" w:rsidP="002C606A">
      <w:pPr>
        <w:pStyle w:val="Prrafodelista"/>
        <w:rPr>
          <w:rFonts w:ascii="Times New Roman" w:hAnsi="Times New Roman" w:cs="Times New Roman"/>
          <w:sz w:val="28"/>
          <w:szCs w:val="28"/>
        </w:rPr>
      </w:pPr>
    </w:p>
    <w:p w:rsidR="009C7F9C" w:rsidRPr="00F2273F" w:rsidRDefault="00F2273F" w:rsidP="009C7F9C">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sz w:val="28"/>
          <w:szCs w:val="28"/>
        </w:rPr>
        <w:t>Sin embargo</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tanto la Cámara como el Senado votaron en contra de tal di</w:t>
      </w:r>
      <w:r w:rsidRPr="00F2273F">
        <w:rPr>
          <w:rFonts w:ascii="Times New Roman" w:hAnsi="Times New Roman" w:cs="Times New Roman"/>
          <w:sz w:val="28"/>
          <w:szCs w:val="28"/>
        </w:rPr>
        <w:t>sposición por los altos riegos a la libre competencia. Así, a la fecha, el artículo 74 de la Ley 143 de 1994 impide a Interconexión Eléctrica S.A. E.S.P</w:t>
      </w:r>
      <w:r w:rsidRPr="00F2273F">
        <w:rPr>
          <w:rFonts w:ascii="Times New Roman" w:hAnsi="Times New Roman" w:cs="Times New Roman"/>
          <w:sz w:val="28"/>
          <w:szCs w:val="28"/>
        </w:rPr>
        <w:t xml:space="preserve"> -ISA-</w:t>
      </w:r>
      <w:r w:rsidRPr="00F2273F">
        <w:rPr>
          <w:rFonts w:ascii="Times New Roman" w:hAnsi="Times New Roman" w:cs="Times New Roman"/>
          <w:sz w:val="28"/>
          <w:szCs w:val="28"/>
        </w:rPr>
        <w:t xml:space="preserve">. y a sus matrices o filiales realizar la actividad de generación a partir de </w:t>
      </w:r>
      <w:r w:rsidRPr="00F2273F">
        <w:rPr>
          <w:rFonts w:ascii="Times New Roman" w:hAnsi="Times New Roman" w:cs="Times New Roman"/>
          <w:sz w:val="28"/>
          <w:szCs w:val="28"/>
        </w:rPr>
        <w:t xml:space="preserve">fuentes no </w:t>
      </w:r>
      <w:r w:rsidRPr="00F2273F">
        <w:rPr>
          <w:rFonts w:ascii="Times New Roman" w:hAnsi="Times New Roman" w:cs="Times New Roman"/>
          <w:sz w:val="28"/>
          <w:szCs w:val="28"/>
        </w:rPr>
        <w:t>convencionales de energía renovable -</w:t>
      </w:r>
      <w:r w:rsidRPr="00F2273F">
        <w:rPr>
          <w:rFonts w:ascii="Times New Roman" w:hAnsi="Times New Roman" w:cs="Times New Roman"/>
          <w:sz w:val="28"/>
          <w:szCs w:val="28"/>
        </w:rPr>
        <w:t>FNCER</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La </w:t>
      </w:r>
      <w:r w:rsidRPr="00F2273F">
        <w:rPr>
          <w:rFonts w:ascii="Times New Roman" w:hAnsi="Times New Roman" w:cs="Times New Roman"/>
          <w:i/>
          <w:iCs/>
          <w:sz w:val="28"/>
          <w:szCs w:val="28"/>
        </w:rPr>
        <w:t>segunda condición</w:t>
      </w:r>
      <w:r w:rsidRPr="00F2273F">
        <w:rPr>
          <w:rFonts w:ascii="Times New Roman" w:hAnsi="Times New Roman" w:cs="Times New Roman"/>
          <w:sz w:val="28"/>
          <w:szCs w:val="28"/>
        </w:rPr>
        <w:t xml:space="preserve"> que ocasiona que la disposición demandada sea insuficiente para tener conexidad inmediata, son las decisiones emitidas por la Comisión de Regulación de Energía y Gas (CREG) en desarrollo de </w:t>
      </w:r>
      <w:r w:rsidRPr="00F2273F">
        <w:rPr>
          <w:rFonts w:ascii="Times New Roman" w:hAnsi="Times New Roman" w:cs="Times New Roman"/>
          <w:sz w:val="28"/>
          <w:szCs w:val="28"/>
        </w:rPr>
        <w:t xml:space="preserve">las funciones previstas en los artículos 73 de la Ley 142 de 1994 y 23 de la Ley 143 de 1994. En ejercicio de estas facultades, la CREG ha expedido resoluciones que imponen límites a la integración vertical de las actividades de generación, distribución y </w:t>
      </w:r>
      <w:r w:rsidRPr="00F2273F">
        <w:rPr>
          <w:rFonts w:ascii="Times New Roman" w:hAnsi="Times New Roman" w:cs="Times New Roman"/>
          <w:sz w:val="28"/>
          <w:szCs w:val="28"/>
        </w:rPr>
        <w:t>comercialización con la transmisión, por lo que, aún en el caso que no fuese necesario modificar el artículo 74 de la Ley 143 de 1994, también existen limitaciones a Interconexión Eléctrica S.A. E.S.P., su matriz y filiales para desarrollar la actividad de</w:t>
      </w:r>
      <w:r w:rsidRPr="00F2273F">
        <w:rPr>
          <w:rFonts w:ascii="Times New Roman" w:hAnsi="Times New Roman" w:cs="Times New Roman"/>
          <w:sz w:val="28"/>
          <w:szCs w:val="28"/>
        </w:rPr>
        <w:t xml:space="preserve"> generación mediante FNCER. Como </w:t>
      </w:r>
      <w:r w:rsidRPr="00F2273F">
        <w:rPr>
          <w:rFonts w:ascii="Times New Roman" w:hAnsi="Times New Roman" w:cs="Times New Roman"/>
          <w:i/>
          <w:iCs/>
          <w:sz w:val="28"/>
          <w:szCs w:val="28"/>
        </w:rPr>
        <w:t>tercera condición</w:t>
      </w:r>
      <w:r w:rsidRPr="00F2273F">
        <w:rPr>
          <w:rFonts w:ascii="Times New Roman" w:hAnsi="Times New Roman" w:cs="Times New Roman"/>
          <w:sz w:val="28"/>
          <w:szCs w:val="28"/>
        </w:rPr>
        <w:t xml:space="preserve"> indican que sería necesario que Ecopetrol S.A. o Intercolombia S.A. E.S.P.,</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como empresas con autonomía administrativa, patrimonial y presupuestal, según el artículo 32 de la Ley 142 de 1994, tomen la deci</w:t>
      </w:r>
      <w:r w:rsidRPr="00F2273F">
        <w:rPr>
          <w:rFonts w:ascii="Times New Roman" w:hAnsi="Times New Roman" w:cs="Times New Roman"/>
          <w:sz w:val="28"/>
          <w:szCs w:val="28"/>
        </w:rPr>
        <w:t>sión de ingresar en la actividad de generación con FNCER como nueva línea de negocio.</w:t>
      </w:r>
    </w:p>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28298B">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Por último, i</w:t>
      </w:r>
      <w:r w:rsidRPr="00F2273F">
        <w:rPr>
          <w:rFonts w:ascii="Times New Roman" w:hAnsi="Times New Roman" w:cs="Times New Roman"/>
          <w:bCs/>
          <w:sz w:val="28"/>
          <w:szCs w:val="28"/>
        </w:rPr>
        <w:t>ndica</w:t>
      </w:r>
      <w:r w:rsidRPr="00F2273F">
        <w:rPr>
          <w:rFonts w:ascii="Times New Roman" w:hAnsi="Times New Roman" w:cs="Times New Roman"/>
          <w:bCs/>
          <w:sz w:val="28"/>
          <w:szCs w:val="28"/>
        </w:rPr>
        <w:t>ro</w:t>
      </w:r>
      <w:r w:rsidRPr="00F2273F">
        <w:rPr>
          <w:rFonts w:ascii="Times New Roman" w:hAnsi="Times New Roman" w:cs="Times New Roman"/>
          <w:bCs/>
          <w:sz w:val="28"/>
          <w:szCs w:val="28"/>
        </w:rPr>
        <w:t xml:space="preserve">n </w:t>
      </w:r>
      <w:r w:rsidRPr="00F2273F">
        <w:rPr>
          <w:rFonts w:ascii="Times New Roman" w:hAnsi="Times New Roman" w:cs="Times New Roman"/>
          <w:sz w:val="28"/>
          <w:szCs w:val="28"/>
          <w:lang w:val="es-ES"/>
        </w:rPr>
        <w:t xml:space="preserve">que no se cumplió el estándar de deliberación y justificación fijado por la Corte </w:t>
      </w:r>
      <w:r w:rsidRPr="00F2273F">
        <w:rPr>
          <w:rFonts w:ascii="Times New Roman" w:hAnsi="Times New Roman" w:cs="Times New Roman"/>
          <w:sz w:val="28"/>
          <w:szCs w:val="28"/>
          <w:lang w:val="es-ES"/>
        </w:rPr>
        <w:t xml:space="preserve">Constitucional </w:t>
      </w:r>
      <w:r w:rsidRPr="00F2273F">
        <w:rPr>
          <w:rFonts w:ascii="Times New Roman" w:hAnsi="Times New Roman" w:cs="Times New Roman"/>
          <w:sz w:val="28"/>
          <w:szCs w:val="28"/>
          <w:lang w:val="es-ES"/>
        </w:rPr>
        <w:t>en la Sentencia C-415 de 2020 para que una disposi</w:t>
      </w:r>
      <w:r w:rsidRPr="00F2273F">
        <w:rPr>
          <w:rFonts w:ascii="Times New Roman" w:hAnsi="Times New Roman" w:cs="Times New Roman"/>
          <w:sz w:val="28"/>
          <w:szCs w:val="28"/>
          <w:lang w:val="es-ES"/>
        </w:rPr>
        <w:t xml:space="preserve">ción del plan pueda modificar la legislación ordinaria. Esto, porque: (i) no “hubo oportunidad de deliberar” sobre la norma demandada, ni en primer debate de comisiones </w:t>
      </w:r>
      <w:r w:rsidRPr="00F2273F">
        <w:rPr>
          <w:rFonts w:ascii="Times New Roman" w:hAnsi="Times New Roman" w:cs="Times New Roman"/>
          <w:sz w:val="28"/>
          <w:szCs w:val="28"/>
          <w:lang w:val="es-ES"/>
        </w:rPr>
        <w:t xml:space="preserve">conjuntas </w:t>
      </w:r>
      <w:r w:rsidRPr="00F2273F">
        <w:rPr>
          <w:rFonts w:ascii="Times New Roman" w:hAnsi="Times New Roman" w:cs="Times New Roman"/>
          <w:sz w:val="28"/>
          <w:szCs w:val="28"/>
          <w:lang w:val="es-ES"/>
        </w:rPr>
        <w:t xml:space="preserve">ni en segundo debate </w:t>
      </w:r>
      <w:r w:rsidRPr="00F2273F">
        <w:rPr>
          <w:rFonts w:ascii="Times New Roman" w:hAnsi="Times New Roman" w:cs="Times New Roman"/>
          <w:sz w:val="28"/>
          <w:szCs w:val="28"/>
          <w:lang w:val="es-ES"/>
        </w:rPr>
        <w:t>en la</w:t>
      </w:r>
      <w:r w:rsidRPr="00F2273F">
        <w:rPr>
          <w:rFonts w:ascii="Times New Roman" w:hAnsi="Times New Roman" w:cs="Times New Roman"/>
          <w:sz w:val="28"/>
          <w:szCs w:val="28"/>
          <w:lang w:val="es-ES"/>
        </w:rPr>
        <w:t xml:space="preserve"> Plenaria de la Cámara; (ii) no hubo justificación alguna respecto de los fundamentos que llevaron a la inclusión de la disposición demandada; y (iii) la deliberación surtida en el Senado evidenció que la eliminación del artículo 218 del proyecto de ley su</w:t>
      </w:r>
      <w:r w:rsidRPr="00F2273F">
        <w:rPr>
          <w:rFonts w:ascii="Times New Roman" w:hAnsi="Times New Roman" w:cs="Times New Roman"/>
          <w:sz w:val="28"/>
          <w:szCs w:val="28"/>
          <w:lang w:val="es-ES"/>
        </w:rPr>
        <w:t xml:space="preserve">ponía, a su vez, suprimir las derogaciones expresas de los parágrafos terceros de los artículos 167 y 32 de las leyes 142 y 143 de 1994 ordenadas con los apartes </w:t>
      </w:r>
      <w:r w:rsidRPr="00F2273F">
        <w:rPr>
          <w:rFonts w:ascii="Times New Roman" w:hAnsi="Times New Roman" w:cs="Times New Roman"/>
          <w:sz w:val="28"/>
          <w:szCs w:val="28"/>
          <w:lang w:val="es-ES"/>
        </w:rPr>
        <w:t xml:space="preserve">normativos </w:t>
      </w:r>
      <w:r w:rsidRPr="00F2273F">
        <w:rPr>
          <w:rFonts w:ascii="Times New Roman" w:hAnsi="Times New Roman" w:cs="Times New Roman"/>
          <w:sz w:val="28"/>
          <w:szCs w:val="28"/>
          <w:lang w:val="es-ES"/>
        </w:rPr>
        <w:t>demandados.</w:t>
      </w:r>
    </w:p>
    <w:p w:rsidR="008137C2" w:rsidRPr="00F2273F" w:rsidRDefault="00F2273F" w:rsidP="00D15AFF">
      <w:pPr>
        <w:pStyle w:val="NormalWeb"/>
        <w:tabs>
          <w:tab w:val="center" w:pos="4394"/>
          <w:tab w:val="left" w:pos="4806"/>
        </w:tabs>
        <w:spacing w:after="0" w:line="240" w:lineRule="auto"/>
        <w:ind w:right="49"/>
        <w:contextualSpacing/>
        <w:mirrorIndents/>
        <w:jc w:val="both"/>
        <w:rPr>
          <w:rFonts w:eastAsia="SimSun"/>
          <w:sz w:val="28"/>
          <w:szCs w:val="28"/>
        </w:rPr>
      </w:pPr>
    </w:p>
    <w:p w:rsidR="00D15AFF" w:rsidRPr="00F2273F" w:rsidRDefault="00F2273F" w:rsidP="00D15AFF">
      <w:pPr>
        <w:pStyle w:val="NormalWeb"/>
        <w:tabs>
          <w:tab w:val="center" w:pos="4394"/>
          <w:tab w:val="left" w:pos="4806"/>
        </w:tabs>
        <w:spacing w:after="0" w:line="240" w:lineRule="auto"/>
        <w:ind w:right="49"/>
        <w:contextualSpacing/>
        <w:mirrorIndents/>
        <w:jc w:val="both"/>
        <w:outlineLvl w:val="1"/>
        <w:rPr>
          <w:rFonts w:eastAsia="SimSun"/>
          <w:b/>
          <w:bCs/>
          <w:sz w:val="28"/>
          <w:szCs w:val="28"/>
        </w:rPr>
      </w:pPr>
      <w:r w:rsidRPr="00F2273F">
        <w:rPr>
          <w:rFonts w:eastAsia="SimSun"/>
          <w:b/>
          <w:bCs/>
          <w:sz w:val="28"/>
          <w:szCs w:val="28"/>
        </w:rPr>
        <w:t>Relación de elementos de prueba</w:t>
      </w:r>
    </w:p>
    <w:p w:rsidR="00D15AFF" w:rsidRPr="00F2273F" w:rsidRDefault="00F2273F" w:rsidP="00D15AFF">
      <w:pPr>
        <w:pStyle w:val="NormalWeb"/>
        <w:tabs>
          <w:tab w:val="center" w:pos="4394"/>
          <w:tab w:val="left" w:pos="4806"/>
        </w:tabs>
        <w:spacing w:after="0" w:line="240" w:lineRule="auto"/>
        <w:ind w:right="49"/>
        <w:contextualSpacing/>
        <w:mirrorIndents/>
        <w:jc w:val="both"/>
        <w:outlineLvl w:val="1"/>
        <w:rPr>
          <w:rFonts w:eastAsia="SimSun"/>
          <w:b/>
          <w:bCs/>
          <w:sz w:val="28"/>
          <w:szCs w:val="28"/>
        </w:rPr>
      </w:pPr>
    </w:p>
    <w:p w:rsidR="00D15AFF" w:rsidRPr="00F2273F" w:rsidRDefault="00F2273F" w:rsidP="00D1787F">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bCs/>
          <w:sz w:val="28"/>
          <w:szCs w:val="28"/>
        </w:rPr>
        <w:t>En cumplimiento de lo ordenado por el</w:t>
      </w:r>
      <w:r w:rsidRPr="00F2273F">
        <w:rPr>
          <w:rFonts w:ascii="Times New Roman" w:hAnsi="Times New Roman" w:cs="Times New Roman"/>
          <w:bCs/>
          <w:sz w:val="28"/>
          <w:szCs w:val="28"/>
        </w:rPr>
        <w:t xml:space="preserve"> magistrado sustanciador</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 xml:space="preserve">se recibieron las siguientes respuestas </w:t>
      </w:r>
      <w:r w:rsidRPr="00F2273F">
        <w:rPr>
          <w:rFonts w:ascii="Times New Roman" w:hAnsi="Times New Roman" w:cs="Times New Roman"/>
          <w:bCs/>
          <w:sz w:val="28"/>
          <w:szCs w:val="28"/>
        </w:rPr>
        <w:t xml:space="preserve">probatorias </w:t>
      </w:r>
      <w:r w:rsidRPr="00F2273F">
        <w:rPr>
          <w:rFonts w:ascii="Times New Roman" w:hAnsi="Times New Roman" w:cs="Times New Roman"/>
          <w:bCs/>
          <w:sz w:val="28"/>
          <w:szCs w:val="28"/>
        </w:rPr>
        <w:t xml:space="preserve">relacionadas con </w:t>
      </w:r>
      <w:r w:rsidRPr="00F2273F">
        <w:rPr>
          <w:rFonts w:ascii="Times New Roman" w:hAnsi="Times New Roman" w:cs="Times New Roman"/>
          <w:bCs/>
          <w:sz w:val="28"/>
          <w:szCs w:val="28"/>
        </w:rPr>
        <w:t>el presente asunto</w:t>
      </w:r>
      <w:r w:rsidRPr="00F2273F">
        <w:rPr>
          <w:rFonts w:ascii="Times New Roman" w:hAnsi="Times New Roman" w:cs="Times New Roman"/>
          <w:bCs/>
          <w:sz w:val="28"/>
          <w:szCs w:val="28"/>
        </w:rPr>
        <w:t>:</w:t>
      </w:r>
    </w:p>
    <w:p w:rsidR="00F91D1E" w:rsidRPr="00F2273F" w:rsidRDefault="00F2273F" w:rsidP="00D15AFF">
      <w:pPr>
        <w:pStyle w:val="Prrafodelista"/>
        <w:tabs>
          <w:tab w:val="left" w:pos="567"/>
        </w:tabs>
        <w:spacing w:after="0" w:line="240" w:lineRule="auto"/>
        <w:ind w:left="0"/>
        <w:jc w:val="center"/>
        <w:rPr>
          <w:rFonts w:ascii="Times New Roman" w:hAnsi="Times New Roman" w:cs="Times New Roman"/>
          <w:bCs/>
          <w:sz w:val="28"/>
          <w:szCs w:val="28"/>
        </w:rPr>
      </w:pPr>
    </w:p>
    <w:p w:rsidR="00D15AFF" w:rsidRPr="00F2273F" w:rsidRDefault="00F2273F" w:rsidP="00D15AFF">
      <w:pPr>
        <w:pStyle w:val="Prrafodelista"/>
        <w:tabs>
          <w:tab w:val="left" w:pos="567"/>
        </w:tabs>
        <w:spacing w:after="0" w:line="240" w:lineRule="auto"/>
        <w:ind w:left="0"/>
        <w:jc w:val="center"/>
        <w:rPr>
          <w:rFonts w:ascii="Times New Roman" w:hAnsi="Times New Roman" w:cs="Times New Roman"/>
          <w:bCs/>
          <w:i/>
          <w:iCs/>
          <w:sz w:val="28"/>
        </w:rPr>
      </w:pPr>
      <w:r w:rsidRPr="00F2273F">
        <w:rPr>
          <w:rFonts w:ascii="Times New Roman" w:hAnsi="Times New Roman" w:cs="Times New Roman"/>
          <w:b/>
          <w:sz w:val="28"/>
        </w:rPr>
        <w:t xml:space="preserve">Tabla </w:t>
      </w:r>
      <w:r w:rsidRPr="00F2273F">
        <w:rPr>
          <w:rFonts w:ascii="Times New Roman" w:hAnsi="Times New Roman" w:cs="Times New Roman"/>
          <w:b/>
          <w:sz w:val="28"/>
        </w:rPr>
        <w:t>2</w:t>
      </w:r>
      <w:r w:rsidRPr="00F2273F">
        <w:rPr>
          <w:rFonts w:ascii="Times New Roman" w:hAnsi="Times New Roman" w:cs="Times New Roman"/>
          <w:b/>
          <w:sz w:val="28"/>
        </w:rPr>
        <w:t>.</w:t>
      </w:r>
      <w:r w:rsidRPr="00F2273F">
        <w:rPr>
          <w:rFonts w:ascii="Times New Roman" w:hAnsi="Times New Roman" w:cs="Times New Roman"/>
          <w:bCs/>
          <w:i/>
          <w:iCs/>
          <w:sz w:val="28"/>
        </w:rPr>
        <w:t xml:space="preserve"> Respuestas al auto de pruebas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263"/>
        <w:gridCol w:w="6663"/>
      </w:tblGrid>
      <w:tr w:rsidR="00974547" w:rsidRPr="00F2273F" w:rsidTr="00D15AFF">
        <w:trPr>
          <w:trHeight w:val="110"/>
          <w:tblHeader/>
        </w:trPr>
        <w:tc>
          <w:tcPr>
            <w:tcW w:w="2263" w:type="dxa"/>
            <w:shd w:val="clear" w:color="auto" w:fill="B4C6E7" w:themeFill="accent1" w:themeFillTint="66"/>
            <w:tcMar>
              <w:top w:w="0" w:type="dxa"/>
              <w:left w:w="108" w:type="dxa"/>
              <w:bottom w:w="0" w:type="dxa"/>
              <w:right w:w="108" w:type="dxa"/>
            </w:tcMar>
            <w:vAlign w:val="center"/>
            <w:hideMark/>
          </w:tcPr>
          <w:p w:rsidR="00D15AFF" w:rsidRPr="00F2273F" w:rsidRDefault="00F2273F">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b/>
                <w:bCs/>
                <w:sz w:val="28"/>
              </w:rPr>
              <w:t>Autoridad</w:t>
            </w:r>
          </w:p>
        </w:tc>
        <w:tc>
          <w:tcPr>
            <w:tcW w:w="6663" w:type="dxa"/>
            <w:shd w:val="clear" w:color="auto" w:fill="B4C6E7" w:themeFill="accent1" w:themeFillTint="66"/>
            <w:tcMar>
              <w:top w:w="0" w:type="dxa"/>
              <w:left w:w="108" w:type="dxa"/>
              <w:bottom w:w="0" w:type="dxa"/>
              <w:right w:w="108" w:type="dxa"/>
            </w:tcMar>
            <w:vAlign w:val="center"/>
            <w:hideMark/>
          </w:tcPr>
          <w:p w:rsidR="00D15AFF" w:rsidRPr="00F2273F" w:rsidRDefault="00F2273F">
            <w:pPr>
              <w:spacing w:line="240" w:lineRule="auto"/>
              <w:ind w:right="45"/>
              <w:jc w:val="center"/>
              <w:rPr>
                <w:rFonts w:ascii="Times New Roman" w:hAnsi="Times New Roman" w:cs="Times New Roman"/>
                <w:sz w:val="28"/>
              </w:rPr>
            </w:pPr>
            <w:r w:rsidRPr="00F2273F">
              <w:rPr>
                <w:rFonts w:ascii="Times New Roman" w:hAnsi="Times New Roman" w:cs="Times New Roman"/>
                <w:b/>
                <w:bCs/>
                <w:sz w:val="28"/>
              </w:rPr>
              <w:t>Respuesta</w:t>
            </w:r>
          </w:p>
        </w:tc>
      </w:tr>
      <w:tr w:rsidR="00974547" w:rsidRPr="00F2273F">
        <w:tc>
          <w:tcPr>
            <w:tcW w:w="2263" w:type="dxa"/>
            <w:shd w:val="clear" w:color="auto" w:fill="FFFFFF"/>
            <w:tcMar>
              <w:top w:w="0" w:type="dxa"/>
              <w:left w:w="108" w:type="dxa"/>
              <w:bottom w:w="0" w:type="dxa"/>
              <w:right w:w="108" w:type="dxa"/>
            </w:tcMar>
            <w:vAlign w:val="center"/>
            <w:hideMark/>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Secretaría general del Senado de la República</w:t>
            </w:r>
            <w:bookmarkStart w:id="5" w:name="_ftnref17"/>
            <w:r w:rsidRPr="00F2273F">
              <w:rPr>
                <w:rStyle w:val="Refdenotaalpie"/>
                <w:rFonts w:ascii="Times New Roman" w:hAnsi="Times New Roman" w:cs="Times New Roman"/>
                <w:sz w:val="28"/>
              </w:rPr>
              <w:footnoteReference w:id="7"/>
            </w:r>
            <w:bookmarkEnd w:id="5"/>
          </w:p>
        </w:tc>
        <w:tc>
          <w:tcPr>
            <w:tcW w:w="6663" w:type="dxa"/>
            <w:shd w:val="clear" w:color="auto" w:fill="FFFFFF"/>
            <w:tcMar>
              <w:top w:w="0" w:type="dxa"/>
              <w:left w:w="108" w:type="dxa"/>
              <w:bottom w:w="0" w:type="dxa"/>
              <w:right w:w="108" w:type="dxa"/>
            </w:tcMar>
            <w:vAlign w:val="center"/>
            <w:hideMark/>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Aportó los documentos que </w:t>
            </w:r>
            <w:r w:rsidRPr="00F2273F">
              <w:rPr>
                <w:rFonts w:ascii="Times New Roman" w:hAnsi="Times New Roman" w:cs="Times New Roman"/>
                <w:sz w:val="28"/>
              </w:rPr>
              <w:t>conforman el trámite legislativo que se adelantó en esa cámara, entre los que figuran la exposición de motivos (Gaceta N°. 18 de 2023), la ponencia para primer debate (Gacetas N°. 181 de 2023 – 183 de 2023 ponencia negativa),</w:t>
            </w:r>
            <w:r w:rsidRPr="00F2273F">
              <w:rPr>
                <w:rFonts w:ascii="Times New Roman" w:hAnsi="Times New Roman" w:cs="Times New Roman"/>
                <w:sz w:val="28"/>
              </w:rPr>
              <w:t xml:space="preserve"> el</w:t>
            </w:r>
            <w:r w:rsidRPr="00F2273F">
              <w:rPr>
                <w:rFonts w:ascii="Times New Roman" w:hAnsi="Times New Roman" w:cs="Times New Roman"/>
                <w:sz w:val="28"/>
              </w:rPr>
              <w:t xml:space="preserve"> texto aprobado en primer de</w:t>
            </w:r>
            <w:r w:rsidRPr="00F2273F">
              <w:rPr>
                <w:rFonts w:ascii="Times New Roman" w:hAnsi="Times New Roman" w:cs="Times New Roman"/>
                <w:sz w:val="28"/>
              </w:rPr>
              <w:t xml:space="preserve">bate (Gacetas N°. 274 de 2023 y 485 de 2023), </w:t>
            </w:r>
            <w:r w:rsidRPr="00F2273F">
              <w:rPr>
                <w:rFonts w:ascii="Times New Roman" w:hAnsi="Times New Roman" w:cs="Times New Roman"/>
                <w:sz w:val="28"/>
              </w:rPr>
              <w:t xml:space="preserve">la </w:t>
            </w:r>
            <w:r w:rsidRPr="00F2273F">
              <w:rPr>
                <w:rFonts w:ascii="Times New Roman" w:hAnsi="Times New Roman" w:cs="Times New Roman"/>
                <w:sz w:val="28"/>
              </w:rPr>
              <w:t xml:space="preserve">ponencia para segundo debate (Gaceta N°. 386 de 2023), </w:t>
            </w:r>
            <w:r w:rsidRPr="00F2273F">
              <w:rPr>
                <w:rFonts w:ascii="Times New Roman" w:hAnsi="Times New Roman" w:cs="Times New Roman"/>
                <w:sz w:val="28"/>
              </w:rPr>
              <w:t xml:space="preserve">el </w:t>
            </w:r>
            <w:r w:rsidRPr="00F2273F">
              <w:rPr>
                <w:rFonts w:ascii="Times New Roman" w:hAnsi="Times New Roman" w:cs="Times New Roman"/>
                <w:sz w:val="28"/>
              </w:rPr>
              <w:t xml:space="preserve">texto </w:t>
            </w:r>
            <w:r w:rsidRPr="00F2273F">
              <w:rPr>
                <w:rFonts w:ascii="Times New Roman" w:hAnsi="Times New Roman" w:cs="Times New Roman"/>
                <w:sz w:val="28"/>
              </w:rPr>
              <w:t xml:space="preserve">aprobado en </w:t>
            </w:r>
            <w:r w:rsidRPr="00F2273F">
              <w:rPr>
                <w:rFonts w:ascii="Times New Roman" w:hAnsi="Times New Roman" w:cs="Times New Roman"/>
                <w:sz w:val="28"/>
              </w:rPr>
              <w:t xml:space="preserve">plenaria (Gaceta No. 417 de 2023) y </w:t>
            </w:r>
            <w:r w:rsidRPr="00F2273F">
              <w:rPr>
                <w:rFonts w:ascii="Times New Roman" w:hAnsi="Times New Roman" w:cs="Times New Roman"/>
                <w:sz w:val="28"/>
              </w:rPr>
              <w:t xml:space="preserve">la </w:t>
            </w:r>
            <w:r w:rsidRPr="00F2273F">
              <w:rPr>
                <w:rFonts w:ascii="Times New Roman" w:hAnsi="Times New Roman" w:cs="Times New Roman"/>
                <w:sz w:val="28"/>
              </w:rPr>
              <w:t>conciliación en el Senado (Gaceta No. 427 de 2023).</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Posteriormente</w:t>
            </w:r>
            <w:r w:rsidRPr="00F2273F">
              <w:rPr>
                <w:rFonts w:ascii="Times New Roman" w:hAnsi="Times New Roman" w:cs="Times New Roman"/>
                <w:sz w:val="28"/>
              </w:rPr>
              <w:t>,</w:t>
            </w:r>
            <w:r w:rsidRPr="00F2273F">
              <w:rPr>
                <w:rFonts w:ascii="Times New Roman" w:hAnsi="Times New Roman" w:cs="Times New Roman"/>
                <w:sz w:val="28"/>
              </w:rPr>
              <w:t xml:space="preserve"> allegó la Gaceta No. 889</w:t>
            </w:r>
            <w:r w:rsidRPr="00F2273F">
              <w:rPr>
                <w:rFonts w:ascii="Times New Roman" w:hAnsi="Times New Roman" w:cs="Times New Roman"/>
                <w:sz w:val="28"/>
              </w:rPr>
              <w:t xml:space="preserve"> (Acta No. 46 de 2023) y el enlace del video de la sesión plenaria del 2 de mayo de 2023 del Senado de la República</w:t>
            </w:r>
            <w:r w:rsidRPr="00F2273F">
              <w:rPr>
                <w:rStyle w:val="Refdenotaalpie"/>
                <w:rFonts w:ascii="Times New Roman" w:hAnsi="Times New Roman" w:cs="Times New Roman"/>
                <w:sz w:val="28"/>
              </w:rPr>
              <w:footnoteReference w:id="8"/>
            </w:r>
            <w:r w:rsidRPr="00F2273F">
              <w:rPr>
                <w:rFonts w:ascii="Times New Roman" w:hAnsi="Times New Roman" w:cs="Times New Roman"/>
                <w:sz w:val="28"/>
              </w:rPr>
              <w:t>.</w:t>
            </w:r>
          </w:p>
        </w:tc>
      </w:tr>
      <w:tr w:rsidR="00974547" w:rsidRPr="00F2273F">
        <w:tc>
          <w:tcPr>
            <w:tcW w:w="2263" w:type="dxa"/>
            <w:shd w:val="clear" w:color="auto" w:fill="FFFFFF"/>
            <w:tcMar>
              <w:top w:w="0" w:type="dxa"/>
              <w:left w:w="108" w:type="dxa"/>
              <w:bottom w:w="0" w:type="dxa"/>
              <w:right w:w="108" w:type="dxa"/>
            </w:tcMar>
            <w:vAlign w:val="center"/>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Departamento Nacional de Planeación</w:t>
            </w:r>
            <w:r w:rsidRPr="00F2273F">
              <w:rPr>
                <w:rStyle w:val="Refdenotaalpie"/>
                <w:rFonts w:ascii="Times New Roman" w:hAnsi="Times New Roman" w:cs="Times New Roman"/>
                <w:sz w:val="28"/>
              </w:rPr>
              <w:footnoteReference w:id="9"/>
            </w:r>
          </w:p>
        </w:tc>
        <w:tc>
          <w:tcPr>
            <w:tcW w:w="6663" w:type="dxa"/>
            <w:shd w:val="clear" w:color="auto" w:fill="FFFFFF"/>
            <w:tcMar>
              <w:top w:w="0" w:type="dxa"/>
              <w:left w:w="108" w:type="dxa"/>
              <w:bottom w:w="0" w:type="dxa"/>
              <w:right w:w="108" w:type="dxa"/>
            </w:tcMar>
            <w:vAlign w:val="center"/>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Expuso que las expresiones demandadas del artículo 372 de la Ley 2294 guardan relación con el cuarto</w:t>
            </w:r>
            <w:r w:rsidRPr="00F2273F">
              <w:rPr>
                <w:rFonts w:ascii="Times New Roman" w:hAnsi="Times New Roman" w:cs="Times New Roman"/>
                <w:sz w:val="28"/>
              </w:rPr>
              <w:t xml:space="preserve"> eje de transformación denominado </w:t>
            </w:r>
            <w:r w:rsidRPr="00F2273F">
              <w:rPr>
                <w:rFonts w:ascii="Times New Roman" w:hAnsi="Times New Roman" w:cs="Times New Roman"/>
                <w:i/>
                <w:iCs/>
                <w:sz w:val="28"/>
              </w:rPr>
              <w:t>Transformación productiva, internacionalización y acción climática</w:t>
            </w:r>
            <w:r w:rsidRPr="00F2273F">
              <w:rPr>
                <w:rFonts w:ascii="Times New Roman" w:hAnsi="Times New Roman" w:cs="Times New Roman"/>
                <w:sz w:val="28"/>
              </w:rPr>
              <w:t xml:space="preserve">. En este eje figura el catalizador C, </w:t>
            </w:r>
            <w:r w:rsidRPr="00F2273F">
              <w:rPr>
                <w:rFonts w:ascii="Times New Roman" w:hAnsi="Times New Roman" w:cs="Times New Roman"/>
                <w:i/>
                <w:iCs/>
                <w:sz w:val="28"/>
              </w:rPr>
              <w:t>Transición energética justa, segura, confiable y eficiente</w:t>
            </w:r>
            <w:r w:rsidRPr="00F2273F">
              <w:rPr>
                <w:rFonts w:ascii="Times New Roman" w:hAnsi="Times New Roman" w:cs="Times New Roman"/>
                <w:sz w:val="28"/>
              </w:rPr>
              <w:t>, del cual dos numerales guardan relación con la norma cues</w:t>
            </w:r>
            <w:r w:rsidRPr="00F2273F">
              <w:rPr>
                <w:rFonts w:ascii="Times New Roman" w:hAnsi="Times New Roman" w:cs="Times New Roman"/>
                <w:sz w:val="28"/>
              </w:rPr>
              <w:t>tionada: “1. Transición energética justa, basada en el respeto a la naturaleza, la justicia social y la soberanía con seguridad, confiabilidad y eficiencia”,</w:t>
            </w:r>
            <w:r w:rsidRPr="00F2273F">
              <w:rPr>
                <w:rFonts w:ascii="Times New Roman" w:hAnsi="Times New Roman" w:cs="Times New Roman"/>
                <w:sz w:val="28"/>
              </w:rPr>
              <w:t xml:space="preserve"> ubicado</w:t>
            </w:r>
            <w:r w:rsidRPr="00F2273F">
              <w:rPr>
                <w:rFonts w:ascii="Times New Roman" w:hAnsi="Times New Roman" w:cs="Times New Roman"/>
                <w:sz w:val="28"/>
              </w:rPr>
              <w:t xml:space="preserve"> en la sección “b. Seguridad y confiabilidad energética”, y “2. Desarrollo económico a part</w:t>
            </w:r>
            <w:r w:rsidRPr="00F2273F">
              <w:rPr>
                <w:rFonts w:ascii="Times New Roman" w:hAnsi="Times New Roman" w:cs="Times New Roman"/>
                <w:sz w:val="28"/>
              </w:rPr>
              <w:t xml:space="preserve">ir de eficiencia energética, nuevos energéticos y minerales estratégicos para la transición”, </w:t>
            </w:r>
            <w:r w:rsidRPr="00F2273F">
              <w:rPr>
                <w:rFonts w:ascii="Times New Roman" w:hAnsi="Times New Roman" w:cs="Times New Roman"/>
                <w:sz w:val="28"/>
              </w:rPr>
              <w:t xml:space="preserve">ubicado </w:t>
            </w:r>
            <w:r w:rsidRPr="00F2273F">
              <w:rPr>
                <w:rFonts w:ascii="Times New Roman" w:hAnsi="Times New Roman" w:cs="Times New Roman"/>
                <w:sz w:val="28"/>
              </w:rPr>
              <w:t>en la sección “b. Eficiencia energética y del mercado como factor de desarrollo económico”.</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Agregó que de las líneas de inversión estratégicas nacionales </w:t>
            </w:r>
            <w:r w:rsidRPr="00F2273F">
              <w:rPr>
                <w:rFonts w:ascii="Times New Roman" w:hAnsi="Times New Roman" w:cs="Times New Roman"/>
                <w:sz w:val="28"/>
              </w:rPr>
              <w:t xml:space="preserve">y regionales del Plan Plurianual de Inversiones, una se dedica a la </w:t>
            </w:r>
            <w:r w:rsidRPr="00F2273F">
              <w:rPr>
                <w:rFonts w:ascii="Times New Roman" w:hAnsi="Times New Roman" w:cs="Times New Roman"/>
                <w:i/>
                <w:iCs/>
                <w:sz w:val="28"/>
              </w:rPr>
              <w:t xml:space="preserve">Transición energética justa, democratización de la generación y el consumo energético, desarrollo de comunidades energéticas, impulso a las energías limpias, (hidrógeno verde, eólica, </w:t>
            </w:r>
            <w:r w:rsidRPr="00F2273F">
              <w:rPr>
                <w:rFonts w:ascii="Times New Roman" w:hAnsi="Times New Roman" w:cs="Times New Roman"/>
                <w:i/>
                <w:iCs/>
                <w:sz w:val="28"/>
              </w:rPr>
              <w:t>solar, entre otras) y minerales estratégicos</w:t>
            </w:r>
            <w:r w:rsidRPr="00F2273F">
              <w:rPr>
                <w:rFonts w:ascii="Times New Roman" w:hAnsi="Times New Roman" w:cs="Times New Roman"/>
                <w:sz w:val="28"/>
              </w:rPr>
              <w:t>. Esto, conforme a la tabla II del artículo 5 de la Ley 2294.</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Asimismo, adjuntó el Diario Oficial número 52.400 de 2023, contentivo de las Bases del PND y del Plan Plurianual de Inversiones.</w:t>
            </w:r>
          </w:p>
        </w:tc>
      </w:tr>
      <w:tr w:rsidR="00974547" w:rsidRPr="00F2273F">
        <w:tc>
          <w:tcPr>
            <w:tcW w:w="2263" w:type="dxa"/>
            <w:shd w:val="clear" w:color="auto" w:fill="FFFFFF"/>
            <w:tcMar>
              <w:top w:w="0" w:type="dxa"/>
              <w:left w:w="108" w:type="dxa"/>
              <w:bottom w:w="0" w:type="dxa"/>
              <w:right w:w="108" w:type="dxa"/>
            </w:tcMar>
            <w:vAlign w:val="center"/>
            <w:hideMark/>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 xml:space="preserve">Secretaría jurídica </w:t>
            </w:r>
            <w:r w:rsidRPr="00F2273F">
              <w:rPr>
                <w:rFonts w:ascii="Times New Roman" w:hAnsi="Times New Roman" w:cs="Times New Roman"/>
                <w:sz w:val="28"/>
              </w:rPr>
              <w:t>de Presidencia de la República</w:t>
            </w:r>
            <w:r w:rsidRPr="00F2273F">
              <w:rPr>
                <w:rStyle w:val="Refdenotaalpie"/>
                <w:rFonts w:ascii="Times New Roman" w:hAnsi="Times New Roman" w:cs="Times New Roman"/>
                <w:sz w:val="28"/>
              </w:rPr>
              <w:footnoteReference w:id="10"/>
            </w:r>
          </w:p>
        </w:tc>
        <w:tc>
          <w:tcPr>
            <w:tcW w:w="6663" w:type="dxa"/>
            <w:shd w:val="clear" w:color="auto" w:fill="FFFFFF"/>
            <w:tcMar>
              <w:top w:w="0" w:type="dxa"/>
              <w:left w:w="108" w:type="dxa"/>
              <w:bottom w:w="0" w:type="dxa"/>
              <w:right w:w="108" w:type="dxa"/>
            </w:tcMar>
            <w:vAlign w:val="center"/>
            <w:hideMark/>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La Secretaría Jurídica respondió en términos similares al escrito presentado por el DNP respecto de la relación de la expresión demandada con el contenido de las bases y la ley del plan. Además, remitió (i) las Bases del Pla</w:t>
            </w:r>
            <w:r w:rsidRPr="00F2273F">
              <w:rPr>
                <w:rFonts w:ascii="Times New Roman" w:hAnsi="Times New Roman" w:cs="Times New Roman"/>
                <w:sz w:val="28"/>
              </w:rPr>
              <w:t>n Nacional de Desarrollo 2022-2026, que corresponde a la versión publicada en las Gacetas del Congreso de la República número 427 y 429 de 2023, (ii) el Plan Plurianual de Inversiones (versión del 04 de mayo de 2023),y (iii) el Diario Oficial No. 52.400 de</w:t>
            </w:r>
            <w:r w:rsidRPr="00F2273F">
              <w:rPr>
                <w:rFonts w:ascii="Times New Roman" w:hAnsi="Times New Roman" w:cs="Times New Roman"/>
                <w:sz w:val="28"/>
              </w:rPr>
              <w:t xml:space="preserve">l 19 de mayo de 2023, </w:t>
            </w:r>
            <w:r w:rsidRPr="00F2273F">
              <w:rPr>
                <w:rFonts w:ascii="Times New Roman" w:hAnsi="Times New Roman" w:cs="Times New Roman"/>
                <w:sz w:val="28"/>
              </w:rPr>
              <w:t xml:space="preserve">en </w:t>
            </w:r>
            <w:r w:rsidRPr="00F2273F">
              <w:rPr>
                <w:rFonts w:ascii="Times New Roman" w:hAnsi="Times New Roman" w:cs="Times New Roman"/>
                <w:sz w:val="28"/>
              </w:rPr>
              <w:t>el que se publicó la Ley 2294 de 2023, “por el cual se expide el Plan Nacional de Desarrollo 2022-2023 “Colombia Potencia Mundial de la Vida”.</w:t>
            </w:r>
          </w:p>
        </w:tc>
      </w:tr>
      <w:tr w:rsidR="00974547" w:rsidRPr="00F2273F">
        <w:tc>
          <w:tcPr>
            <w:tcW w:w="2263" w:type="dxa"/>
            <w:shd w:val="clear" w:color="auto" w:fill="FFFFFF"/>
            <w:tcMar>
              <w:top w:w="0" w:type="dxa"/>
              <w:left w:w="108" w:type="dxa"/>
              <w:bottom w:w="0" w:type="dxa"/>
              <w:right w:w="108" w:type="dxa"/>
            </w:tcMar>
            <w:vAlign w:val="center"/>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Comisión Cuarta Constitucional Permanente del Senado de la República</w:t>
            </w:r>
            <w:r w:rsidRPr="00F2273F">
              <w:rPr>
                <w:rStyle w:val="Refdenotaalpie"/>
                <w:rFonts w:ascii="Times New Roman" w:hAnsi="Times New Roman" w:cs="Times New Roman"/>
                <w:sz w:val="28"/>
              </w:rPr>
              <w:footnoteReference w:id="11"/>
            </w:r>
          </w:p>
        </w:tc>
        <w:tc>
          <w:tcPr>
            <w:tcW w:w="6663" w:type="dxa"/>
            <w:shd w:val="clear" w:color="auto" w:fill="FFFFFF"/>
            <w:tcMar>
              <w:top w:w="0" w:type="dxa"/>
              <w:left w:w="108" w:type="dxa"/>
              <w:bottom w:w="0" w:type="dxa"/>
              <w:right w:w="108" w:type="dxa"/>
            </w:tcMar>
            <w:vAlign w:val="center"/>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Presentó las gacetas en las que se publicaron las actas correspondientes a las sesiones conjuntas </w:t>
            </w:r>
            <w:r w:rsidRPr="00F2273F">
              <w:rPr>
                <w:rFonts w:ascii="Times New Roman" w:hAnsi="Times New Roman" w:cs="Times New Roman"/>
                <w:sz w:val="28"/>
              </w:rPr>
              <w:t>de las Comisiones E</w:t>
            </w:r>
            <w:r w:rsidRPr="00F2273F">
              <w:rPr>
                <w:rFonts w:ascii="Times New Roman" w:hAnsi="Times New Roman" w:cs="Times New Roman"/>
                <w:sz w:val="28"/>
              </w:rPr>
              <w:t xml:space="preserve">conómicas </w:t>
            </w:r>
            <w:r w:rsidRPr="00F2273F">
              <w:rPr>
                <w:rFonts w:ascii="Times New Roman" w:hAnsi="Times New Roman" w:cs="Times New Roman"/>
                <w:sz w:val="28"/>
              </w:rPr>
              <w:t>T</w:t>
            </w:r>
            <w:r w:rsidRPr="00F2273F">
              <w:rPr>
                <w:rFonts w:ascii="Times New Roman" w:hAnsi="Times New Roman" w:cs="Times New Roman"/>
                <w:sz w:val="28"/>
              </w:rPr>
              <w:t xml:space="preserve">ercera y </w:t>
            </w:r>
            <w:r w:rsidRPr="00F2273F">
              <w:rPr>
                <w:rFonts w:ascii="Times New Roman" w:hAnsi="Times New Roman" w:cs="Times New Roman"/>
                <w:sz w:val="28"/>
              </w:rPr>
              <w:t>C</w:t>
            </w:r>
            <w:r w:rsidRPr="00F2273F">
              <w:rPr>
                <w:rFonts w:ascii="Times New Roman" w:hAnsi="Times New Roman" w:cs="Times New Roman"/>
                <w:sz w:val="28"/>
              </w:rPr>
              <w:t xml:space="preserve">uarta del Senado de la República y </w:t>
            </w:r>
            <w:r w:rsidRPr="00F2273F">
              <w:rPr>
                <w:rFonts w:ascii="Times New Roman" w:hAnsi="Times New Roman" w:cs="Times New Roman"/>
                <w:sz w:val="28"/>
              </w:rPr>
              <w:t xml:space="preserve">de </w:t>
            </w:r>
            <w:r w:rsidRPr="00F2273F">
              <w:rPr>
                <w:rFonts w:ascii="Times New Roman" w:hAnsi="Times New Roman" w:cs="Times New Roman"/>
                <w:sz w:val="28"/>
              </w:rPr>
              <w:t xml:space="preserve">la Cámara de Representantes, en las que se debatió y aprobó en primer debate el </w:t>
            </w:r>
            <w:r w:rsidRPr="00F2273F">
              <w:rPr>
                <w:rFonts w:ascii="Times New Roman" w:hAnsi="Times New Roman" w:cs="Times New Roman"/>
                <w:sz w:val="28"/>
              </w:rPr>
              <w:t>proyecto de ley 274/23 Senado 388/23 Cámara, hoy Ley 2294 de 2023. Específicamente adjuntó el texto de las Gacetas N°. 485 de 2023, 504 de 2023, 858 de 2023, 859 de 2023 y 860 de 2023, en las que se contienen las actas No. 01, 02, 03, 04 y 05</w:t>
            </w:r>
            <w:r w:rsidRPr="00F2273F">
              <w:rPr>
                <w:rFonts w:ascii="Times New Roman" w:hAnsi="Times New Roman" w:cs="Times New Roman"/>
                <w:sz w:val="28"/>
              </w:rPr>
              <w:t>,</w:t>
            </w:r>
            <w:r w:rsidRPr="00F2273F">
              <w:rPr>
                <w:rFonts w:ascii="Times New Roman" w:hAnsi="Times New Roman" w:cs="Times New Roman"/>
                <w:sz w:val="28"/>
              </w:rPr>
              <w:t xml:space="preserve"> respectivame</w:t>
            </w:r>
            <w:r w:rsidRPr="00F2273F">
              <w:rPr>
                <w:rFonts w:ascii="Times New Roman" w:hAnsi="Times New Roman" w:cs="Times New Roman"/>
                <w:sz w:val="28"/>
              </w:rPr>
              <w:t xml:space="preserve">nte. </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Asimismo anexó la constancia de traslado por competencia a la Comisión Tercera de la Cámara de Representantes para que brinde respuesta en lo pertinente al requerimiento de la Corte</w:t>
            </w:r>
            <w:r w:rsidRPr="00F2273F">
              <w:rPr>
                <w:rFonts w:ascii="Times New Roman" w:hAnsi="Times New Roman" w:cs="Times New Roman"/>
                <w:sz w:val="28"/>
              </w:rPr>
              <w:t xml:space="preserve"> Constitucional</w:t>
            </w:r>
            <w:r w:rsidRPr="00F2273F">
              <w:rPr>
                <w:rFonts w:ascii="Times New Roman" w:hAnsi="Times New Roman" w:cs="Times New Roman"/>
                <w:sz w:val="28"/>
              </w:rPr>
              <w:t xml:space="preserve">. </w:t>
            </w:r>
          </w:p>
        </w:tc>
      </w:tr>
      <w:tr w:rsidR="00974547" w:rsidRPr="00F2273F">
        <w:tc>
          <w:tcPr>
            <w:tcW w:w="2263" w:type="dxa"/>
            <w:shd w:val="clear" w:color="auto" w:fill="FFFFFF"/>
            <w:tcMar>
              <w:top w:w="0" w:type="dxa"/>
              <w:left w:w="108" w:type="dxa"/>
              <w:bottom w:w="0" w:type="dxa"/>
              <w:right w:w="108" w:type="dxa"/>
            </w:tcMar>
            <w:vAlign w:val="center"/>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Ministerio de Hacienda y Crédito Público</w:t>
            </w:r>
            <w:r w:rsidRPr="00F2273F">
              <w:rPr>
                <w:rStyle w:val="Refdenotaalpie"/>
                <w:rFonts w:ascii="Times New Roman" w:hAnsi="Times New Roman" w:cs="Times New Roman"/>
                <w:sz w:val="28"/>
              </w:rPr>
              <w:footnoteReference w:id="12"/>
            </w:r>
          </w:p>
        </w:tc>
        <w:tc>
          <w:tcPr>
            <w:tcW w:w="6663" w:type="dxa"/>
            <w:shd w:val="clear" w:color="auto" w:fill="FFFFFF"/>
            <w:tcMar>
              <w:top w:w="0" w:type="dxa"/>
              <w:left w:w="108" w:type="dxa"/>
              <w:bottom w:w="0" w:type="dxa"/>
              <w:right w:w="108" w:type="dxa"/>
            </w:tcMar>
            <w:vAlign w:val="center"/>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Anotó que los apartes demandados se relacionan directamente con la parte general del Plan Nacional de Desarrollo y, en particular, con el eje denominado </w:t>
            </w:r>
            <w:r w:rsidRPr="00F2273F">
              <w:rPr>
                <w:rFonts w:ascii="Times New Roman" w:hAnsi="Times New Roman" w:cs="Times New Roman"/>
                <w:i/>
                <w:iCs/>
                <w:sz w:val="28"/>
              </w:rPr>
              <w:t xml:space="preserve">Transformación productiva, internacionalización y acción climática </w:t>
            </w:r>
            <w:r w:rsidRPr="00F2273F">
              <w:rPr>
                <w:rFonts w:ascii="Times New Roman" w:hAnsi="Times New Roman" w:cs="Times New Roman"/>
                <w:sz w:val="28"/>
              </w:rPr>
              <w:t>(art. 3.4, Ley 2294). Este contenido</w:t>
            </w:r>
            <w:r w:rsidRPr="00F2273F">
              <w:rPr>
                <w:rFonts w:ascii="Times New Roman" w:hAnsi="Times New Roman" w:cs="Times New Roman"/>
                <w:sz w:val="28"/>
              </w:rPr>
              <w:t xml:space="preserve"> también encuentra fundamentos en las Bases del </w:t>
            </w:r>
            <w:r w:rsidRPr="00F2273F">
              <w:rPr>
                <w:rFonts w:ascii="Times New Roman" w:hAnsi="Times New Roman" w:cs="Times New Roman"/>
                <w:sz w:val="28"/>
              </w:rPr>
              <w:t>P</w:t>
            </w:r>
            <w:r w:rsidRPr="00F2273F">
              <w:rPr>
                <w:rFonts w:ascii="Times New Roman" w:hAnsi="Times New Roman" w:cs="Times New Roman"/>
                <w:sz w:val="28"/>
              </w:rPr>
              <w:t>lan, en lo que tiene que ver con la transformación de la matriz energética con una dinámica progresiva</w:t>
            </w:r>
            <w:r w:rsidRPr="00F2273F">
              <w:rPr>
                <w:rStyle w:val="Refdenotaalpie"/>
                <w:rFonts w:ascii="Times New Roman" w:hAnsi="Times New Roman" w:cs="Times New Roman"/>
                <w:sz w:val="28"/>
              </w:rPr>
              <w:footnoteReference w:id="13"/>
            </w:r>
            <w:r w:rsidRPr="00F2273F">
              <w:rPr>
                <w:rFonts w:ascii="Times New Roman" w:hAnsi="Times New Roman" w:cs="Times New Roman"/>
                <w:sz w:val="28"/>
              </w:rPr>
              <w:t>.</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Luego de mencionar la relación existente con dos numerales del catalizador C</w:t>
            </w:r>
            <w:r w:rsidRPr="00F2273F">
              <w:rPr>
                <w:rStyle w:val="Refdenotaalpie"/>
                <w:rFonts w:ascii="Times New Roman" w:hAnsi="Times New Roman" w:cs="Times New Roman"/>
                <w:sz w:val="28"/>
              </w:rPr>
              <w:footnoteReference w:id="14"/>
            </w:r>
            <w:r w:rsidRPr="00F2273F">
              <w:rPr>
                <w:rFonts w:ascii="Times New Roman" w:hAnsi="Times New Roman" w:cs="Times New Roman"/>
                <w:sz w:val="28"/>
              </w:rPr>
              <w:t>, resaltó que el gasto fi</w:t>
            </w:r>
            <w:r w:rsidRPr="00F2273F">
              <w:rPr>
                <w:rFonts w:ascii="Times New Roman" w:hAnsi="Times New Roman" w:cs="Times New Roman"/>
                <w:sz w:val="28"/>
              </w:rPr>
              <w:t xml:space="preserve">jado en el Plan Plurianual de Inversiones se distribuye según las transformaciones definidas en el PND; estos recursos proyectados ascienden a la suma de $114,3 billones de pesos. </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Incluyó los hipervínculos para consulta de las Gacetas 427 y 429 de 2023, y</w:t>
            </w:r>
            <w:r w:rsidRPr="00F2273F">
              <w:rPr>
                <w:rFonts w:ascii="Times New Roman" w:hAnsi="Times New Roman" w:cs="Times New Roman"/>
                <w:sz w:val="28"/>
              </w:rPr>
              <w:t xml:space="preserve"> de acceso a la Ley 2294 de 2023 y a las Bases del PND. </w:t>
            </w:r>
          </w:p>
        </w:tc>
      </w:tr>
      <w:tr w:rsidR="00974547" w:rsidRPr="00F2273F">
        <w:tc>
          <w:tcPr>
            <w:tcW w:w="2263" w:type="dxa"/>
            <w:shd w:val="clear" w:color="auto" w:fill="FFFFFF"/>
            <w:tcMar>
              <w:top w:w="0" w:type="dxa"/>
              <w:left w:w="108" w:type="dxa"/>
              <w:bottom w:w="0" w:type="dxa"/>
              <w:right w:w="108" w:type="dxa"/>
            </w:tcMar>
            <w:vAlign w:val="center"/>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Secretaría General de la Cámara de Representantes</w:t>
            </w:r>
            <w:r w:rsidRPr="00F2273F">
              <w:rPr>
                <w:rStyle w:val="Refdenotaalpie"/>
                <w:rFonts w:ascii="Times New Roman" w:hAnsi="Times New Roman" w:cs="Times New Roman"/>
                <w:sz w:val="28"/>
              </w:rPr>
              <w:footnoteReference w:id="15"/>
            </w:r>
          </w:p>
        </w:tc>
        <w:tc>
          <w:tcPr>
            <w:tcW w:w="6663" w:type="dxa"/>
            <w:shd w:val="clear" w:color="auto" w:fill="FFFFFF"/>
            <w:tcMar>
              <w:top w:w="0" w:type="dxa"/>
              <w:left w:w="108" w:type="dxa"/>
              <w:bottom w:w="0" w:type="dxa"/>
              <w:right w:w="108" w:type="dxa"/>
            </w:tcMar>
            <w:vAlign w:val="center"/>
          </w:tcPr>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Informó del trámite legislativo surtido en la Cámara de Representantes y que culminó con la expedición de la Ley 2294 de 2023. Adjuntó la copia de </w:t>
            </w:r>
            <w:r w:rsidRPr="00F2273F">
              <w:rPr>
                <w:rFonts w:ascii="Times New Roman" w:hAnsi="Times New Roman" w:cs="Times New Roman"/>
                <w:sz w:val="28"/>
              </w:rPr>
              <w:t xml:space="preserve">las proposiciones y de las Gacetas del Congreso que dan cuenta de la aprobación de la disposición acusada, esto es, las Gacetas N°. 18 de 2023, 180 de 2023, 860 de 2023, 274 de 2023, 388 de 2023, 1143 de 2023, 428 de 2023, 429 de 2023, y 923 de 2023. </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Repo</w:t>
            </w:r>
            <w:r w:rsidRPr="00F2273F">
              <w:rPr>
                <w:rFonts w:ascii="Times New Roman" w:hAnsi="Times New Roman" w:cs="Times New Roman"/>
                <w:sz w:val="28"/>
              </w:rPr>
              <w:t xml:space="preserve">rtó las sesiones digitalizadas en formato audio-video correspondientes a lo sucedido en las </w:t>
            </w:r>
            <w:r w:rsidRPr="00F2273F">
              <w:rPr>
                <w:rFonts w:ascii="Times New Roman" w:hAnsi="Times New Roman" w:cs="Times New Roman"/>
                <w:sz w:val="28"/>
              </w:rPr>
              <w:t>C</w:t>
            </w:r>
            <w:r w:rsidRPr="00F2273F">
              <w:rPr>
                <w:rFonts w:ascii="Times New Roman" w:hAnsi="Times New Roman" w:cs="Times New Roman"/>
                <w:sz w:val="28"/>
              </w:rPr>
              <w:t xml:space="preserve">omisiones </w:t>
            </w:r>
            <w:r w:rsidRPr="00F2273F">
              <w:rPr>
                <w:rFonts w:ascii="Times New Roman" w:hAnsi="Times New Roman" w:cs="Times New Roman"/>
                <w:sz w:val="28"/>
              </w:rPr>
              <w:t xml:space="preserve">Tercera </w:t>
            </w:r>
            <w:r w:rsidRPr="00F2273F">
              <w:rPr>
                <w:rFonts w:ascii="Times New Roman" w:hAnsi="Times New Roman" w:cs="Times New Roman"/>
                <w:sz w:val="28"/>
              </w:rPr>
              <w:t xml:space="preserve">y </w:t>
            </w:r>
            <w:r w:rsidRPr="00F2273F">
              <w:rPr>
                <w:rFonts w:ascii="Times New Roman" w:hAnsi="Times New Roman" w:cs="Times New Roman"/>
                <w:sz w:val="28"/>
              </w:rPr>
              <w:t xml:space="preserve">Cuarta en sesión conjunta </w:t>
            </w:r>
            <w:r w:rsidRPr="00F2273F">
              <w:rPr>
                <w:rFonts w:ascii="Times New Roman" w:hAnsi="Times New Roman" w:cs="Times New Roman"/>
                <w:sz w:val="28"/>
              </w:rPr>
              <w:t>del 23 de marzo de 2023, la segunda parte de la sesión plenaria del 4 de mayo de 2022,</w:t>
            </w:r>
            <w:r w:rsidRPr="00F2273F">
              <w:rPr>
                <w:rFonts w:ascii="Times New Roman" w:hAnsi="Times New Roman" w:cs="Times New Roman"/>
                <w:sz w:val="28"/>
              </w:rPr>
              <w:t xml:space="preserve"> </w:t>
            </w:r>
            <w:r w:rsidRPr="00F2273F">
              <w:rPr>
                <w:rFonts w:ascii="Times New Roman" w:hAnsi="Times New Roman" w:cs="Times New Roman"/>
                <w:sz w:val="28"/>
              </w:rPr>
              <w:t xml:space="preserve">y la sesión plenaria del 5 de </w:t>
            </w:r>
            <w:r w:rsidRPr="00F2273F">
              <w:rPr>
                <w:rFonts w:ascii="Times New Roman" w:hAnsi="Times New Roman" w:cs="Times New Roman"/>
                <w:sz w:val="28"/>
              </w:rPr>
              <w:t>mayo de 2023.</w:t>
            </w:r>
          </w:p>
          <w:p w:rsidR="00D15AFF" w:rsidRPr="00F2273F" w:rsidRDefault="00F2273F">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 xml:space="preserve">También adjuntó las proposiciones presentadas en segundo debate </w:t>
            </w:r>
            <w:r w:rsidRPr="00F2273F">
              <w:rPr>
                <w:rFonts w:ascii="Times New Roman" w:hAnsi="Times New Roman" w:cs="Times New Roman"/>
                <w:sz w:val="28"/>
              </w:rPr>
              <w:t xml:space="preserve">ante </w:t>
            </w:r>
            <w:r w:rsidRPr="00F2273F">
              <w:rPr>
                <w:rFonts w:ascii="Times New Roman" w:hAnsi="Times New Roman" w:cs="Times New Roman"/>
                <w:sz w:val="28"/>
              </w:rPr>
              <w:t>la Cámara de Representantes.</w:t>
            </w:r>
          </w:p>
        </w:tc>
      </w:tr>
      <w:tr w:rsidR="00974547" w:rsidRPr="00F2273F">
        <w:tc>
          <w:tcPr>
            <w:tcW w:w="2263" w:type="dxa"/>
            <w:shd w:val="clear" w:color="auto" w:fill="FFFFFF"/>
            <w:tcMar>
              <w:top w:w="0" w:type="dxa"/>
              <w:left w:w="108" w:type="dxa"/>
              <w:bottom w:w="0" w:type="dxa"/>
              <w:right w:w="108" w:type="dxa"/>
            </w:tcMar>
            <w:vAlign w:val="center"/>
          </w:tcPr>
          <w:p w:rsidR="00D15AFF" w:rsidRPr="00F2273F" w:rsidRDefault="00F2273F" w:rsidP="002C0995">
            <w:pPr>
              <w:pStyle w:val="Prrafodelista"/>
              <w:spacing w:line="240" w:lineRule="auto"/>
              <w:ind w:left="0" w:right="45" w:firstLine="22"/>
              <w:jc w:val="center"/>
              <w:rPr>
                <w:rFonts w:ascii="Times New Roman" w:hAnsi="Times New Roman" w:cs="Times New Roman"/>
                <w:sz w:val="28"/>
              </w:rPr>
            </w:pPr>
            <w:r w:rsidRPr="00F2273F">
              <w:rPr>
                <w:rFonts w:ascii="Times New Roman" w:hAnsi="Times New Roman" w:cs="Times New Roman"/>
                <w:sz w:val="28"/>
              </w:rPr>
              <w:t>Comisión Tercera Constitucional Permanente de la Cámara de Representantes</w:t>
            </w:r>
            <w:r w:rsidRPr="00F2273F">
              <w:rPr>
                <w:rStyle w:val="Refdenotaalpie"/>
                <w:rFonts w:ascii="Times New Roman" w:hAnsi="Times New Roman" w:cs="Times New Roman"/>
                <w:sz w:val="28"/>
              </w:rPr>
              <w:footnoteReference w:id="16"/>
            </w:r>
          </w:p>
        </w:tc>
        <w:tc>
          <w:tcPr>
            <w:tcW w:w="6663" w:type="dxa"/>
            <w:shd w:val="clear" w:color="auto" w:fill="FFFFFF"/>
            <w:tcMar>
              <w:top w:w="0" w:type="dxa"/>
              <w:left w:w="108" w:type="dxa"/>
              <w:bottom w:w="0" w:type="dxa"/>
              <w:right w:w="108" w:type="dxa"/>
            </w:tcMar>
            <w:vAlign w:val="center"/>
          </w:tcPr>
          <w:p w:rsidR="003A1485" w:rsidRPr="00F2273F" w:rsidRDefault="00F2273F" w:rsidP="00A65332">
            <w:pPr>
              <w:pStyle w:val="Prrafodelista"/>
              <w:spacing w:line="240" w:lineRule="auto"/>
              <w:ind w:left="37" w:right="45"/>
              <w:jc w:val="both"/>
              <w:rPr>
                <w:rFonts w:ascii="Times New Roman" w:hAnsi="Times New Roman" w:cs="Times New Roman"/>
                <w:sz w:val="28"/>
              </w:rPr>
            </w:pPr>
            <w:r w:rsidRPr="00F2273F">
              <w:rPr>
                <w:rFonts w:ascii="Times New Roman" w:hAnsi="Times New Roman" w:cs="Times New Roman"/>
                <w:sz w:val="28"/>
              </w:rPr>
              <w:t>Después de detallar el trámite legislativo dado a los artículos relacionados con la disposición acusada, anunció las gacetas anexas y en las que están contenidas las respectivas actuaciones deliberativas: N°. 18 de 2023, 180 de 2023, 182 de 2023, 274 de 20</w:t>
            </w:r>
            <w:r w:rsidRPr="00F2273F">
              <w:rPr>
                <w:rFonts w:ascii="Times New Roman" w:hAnsi="Times New Roman" w:cs="Times New Roman"/>
                <w:sz w:val="28"/>
              </w:rPr>
              <w:t xml:space="preserve">23, 388 de 2023, 428 de 2023, 485 de 2023, 504 de 2023, 858 de 2023, 859 de 2023, y 860 de 2023. Adjuntó también las proposiciones que se presentaron </w:t>
            </w:r>
            <w:r w:rsidRPr="00F2273F">
              <w:rPr>
                <w:rFonts w:ascii="Times New Roman" w:hAnsi="Times New Roman" w:cs="Times New Roman"/>
                <w:sz w:val="28"/>
              </w:rPr>
              <w:t xml:space="preserve">respecto de </w:t>
            </w:r>
            <w:r w:rsidRPr="00F2273F">
              <w:rPr>
                <w:rFonts w:ascii="Times New Roman" w:hAnsi="Times New Roman" w:cs="Times New Roman"/>
                <w:sz w:val="28"/>
              </w:rPr>
              <w:t>los artículos 330, 358, 197 y 218 del proyecto. Asimismo, señaló las sesiones grabadas disponi</w:t>
            </w:r>
            <w:r w:rsidRPr="00F2273F">
              <w:rPr>
                <w:rFonts w:ascii="Times New Roman" w:hAnsi="Times New Roman" w:cs="Times New Roman"/>
                <w:sz w:val="28"/>
              </w:rPr>
              <w:t xml:space="preserve">bles en el Canal Congreso de </w:t>
            </w:r>
            <w:r w:rsidRPr="00F2273F">
              <w:rPr>
                <w:rFonts w:ascii="Times New Roman" w:hAnsi="Times New Roman" w:cs="Times New Roman"/>
                <w:sz w:val="28"/>
              </w:rPr>
              <w:t xml:space="preserve">la plataforma </w:t>
            </w:r>
            <w:r w:rsidRPr="00F2273F">
              <w:rPr>
                <w:rFonts w:ascii="Times New Roman" w:hAnsi="Times New Roman" w:cs="Times New Roman"/>
                <w:sz w:val="28"/>
              </w:rPr>
              <w:t>Youtube.</w:t>
            </w:r>
          </w:p>
        </w:tc>
      </w:tr>
    </w:tbl>
    <w:p w:rsidR="00D15AFF" w:rsidRPr="00F2273F" w:rsidRDefault="00F2273F" w:rsidP="00D15AFF">
      <w:pPr>
        <w:pStyle w:val="Prrafodelista"/>
        <w:tabs>
          <w:tab w:val="left" w:pos="567"/>
        </w:tabs>
        <w:spacing w:after="0" w:line="240" w:lineRule="auto"/>
        <w:ind w:left="0"/>
        <w:jc w:val="both"/>
        <w:rPr>
          <w:rFonts w:ascii="Times New Roman" w:hAnsi="Times New Roman" w:cs="Times New Roman"/>
          <w:bCs/>
          <w:sz w:val="28"/>
          <w:szCs w:val="28"/>
        </w:rPr>
      </w:pPr>
    </w:p>
    <w:p w:rsidR="00D15AFF" w:rsidRPr="00F2273F" w:rsidRDefault="00F2273F" w:rsidP="00D15AFF">
      <w:pPr>
        <w:pStyle w:val="Prrafodelista"/>
        <w:tabs>
          <w:tab w:val="left" w:pos="567"/>
        </w:tabs>
        <w:spacing w:after="0" w:line="240" w:lineRule="auto"/>
        <w:ind w:left="0"/>
        <w:jc w:val="both"/>
        <w:outlineLvl w:val="1"/>
        <w:rPr>
          <w:rFonts w:ascii="Times New Roman" w:hAnsi="Times New Roman" w:cs="Times New Roman"/>
          <w:b/>
          <w:sz w:val="28"/>
          <w:szCs w:val="28"/>
        </w:rPr>
      </w:pPr>
      <w:r w:rsidRPr="00F2273F">
        <w:rPr>
          <w:rFonts w:ascii="Times New Roman" w:hAnsi="Times New Roman" w:cs="Times New Roman"/>
          <w:b/>
          <w:sz w:val="28"/>
          <w:szCs w:val="28"/>
        </w:rPr>
        <w:t>Intervenciones</w:t>
      </w:r>
    </w:p>
    <w:p w:rsidR="007F0A7B" w:rsidRPr="00F2273F" w:rsidRDefault="00F2273F" w:rsidP="00D15AFF">
      <w:pPr>
        <w:pStyle w:val="Prrafodelista"/>
        <w:tabs>
          <w:tab w:val="left" w:pos="567"/>
        </w:tabs>
        <w:spacing w:after="0" w:line="240" w:lineRule="auto"/>
        <w:ind w:left="0"/>
        <w:jc w:val="both"/>
        <w:outlineLvl w:val="1"/>
        <w:rPr>
          <w:rFonts w:ascii="Times New Roman" w:hAnsi="Times New Roman" w:cs="Times New Roman"/>
          <w:b/>
          <w:sz w:val="28"/>
          <w:szCs w:val="28"/>
        </w:rPr>
      </w:pPr>
    </w:p>
    <w:p w:rsidR="0073076A" w:rsidRPr="00F2273F" w:rsidRDefault="00F2273F" w:rsidP="0073076A">
      <w:pPr>
        <w:pStyle w:val="Prrafodelista"/>
        <w:numPr>
          <w:ilvl w:val="0"/>
          <w:numId w:val="3"/>
        </w:numPr>
        <w:tabs>
          <w:tab w:val="left" w:pos="567"/>
        </w:tabs>
        <w:spacing w:line="240" w:lineRule="auto"/>
        <w:ind w:left="0" w:firstLine="0"/>
        <w:jc w:val="both"/>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rPr>
        <w:t>El</w:t>
      </w:r>
      <w:r w:rsidRPr="00F2273F">
        <w:rPr>
          <w:rFonts w:ascii="Times New Roman" w:hAnsi="Times New Roman" w:cs="Times New Roman"/>
          <w:sz w:val="28"/>
          <w:szCs w:val="28"/>
          <w:shd w:val="clear" w:color="auto" w:fill="FFFFFF"/>
        </w:rPr>
        <w:t xml:space="preserve"> proceso se fijó en lista entre el 7 y el 20 de marzo </w:t>
      </w:r>
      <w:r w:rsidRPr="00F2273F">
        <w:rPr>
          <w:rFonts w:ascii="Times New Roman" w:hAnsi="Times New Roman" w:cs="Times New Roman"/>
          <w:sz w:val="28"/>
          <w:szCs w:val="28"/>
          <w:shd w:val="clear" w:color="auto" w:fill="FFFFFF"/>
        </w:rPr>
        <w:t>de 2024</w:t>
      </w:r>
      <w:r w:rsidRPr="00F2273F">
        <w:rPr>
          <w:rFonts w:ascii="Times New Roman" w:hAnsi="Times New Roman" w:cs="Times New Roman"/>
          <w:sz w:val="28"/>
          <w:szCs w:val="28"/>
          <w:shd w:val="clear" w:color="auto" w:fill="FFFFFF"/>
        </w:rPr>
        <w:t xml:space="preserve">. </w:t>
      </w:r>
      <w:r w:rsidRPr="00F2273F">
        <w:rPr>
          <w:rFonts w:ascii="Times New Roman" w:eastAsia="Times New Roman" w:hAnsi="Times New Roman" w:cs="Times New Roman"/>
          <w:sz w:val="28"/>
          <w:szCs w:val="28"/>
        </w:rPr>
        <w:t xml:space="preserve">Durante </w:t>
      </w:r>
      <w:r w:rsidRPr="00F2273F">
        <w:rPr>
          <w:rFonts w:ascii="Times New Roman" w:eastAsia="Times New Roman" w:hAnsi="Times New Roman" w:cs="Times New Roman"/>
          <w:sz w:val="28"/>
          <w:szCs w:val="28"/>
        </w:rPr>
        <w:t xml:space="preserve">este </w:t>
      </w:r>
      <w:r w:rsidRPr="00F2273F">
        <w:rPr>
          <w:rFonts w:ascii="Times New Roman" w:eastAsia="Times New Roman" w:hAnsi="Times New Roman" w:cs="Times New Roman"/>
          <w:sz w:val="28"/>
          <w:szCs w:val="28"/>
        </w:rPr>
        <w:t xml:space="preserve">trámite se recibieron </w:t>
      </w:r>
      <w:r w:rsidRPr="00F2273F">
        <w:rPr>
          <w:rFonts w:ascii="Times New Roman" w:eastAsia="Times New Roman" w:hAnsi="Times New Roman" w:cs="Times New Roman"/>
          <w:sz w:val="28"/>
          <w:szCs w:val="28"/>
        </w:rPr>
        <w:t>17</w:t>
      </w:r>
      <w:r w:rsidRPr="00F2273F">
        <w:rPr>
          <w:rFonts w:ascii="Times New Roman" w:eastAsia="Times New Roman" w:hAnsi="Times New Roman" w:cs="Times New Roman"/>
          <w:sz w:val="28"/>
          <w:szCs w:val="28"/>
        </w:rPr>
        <w:t xml:space="preserve"> escritos de intervención, </w:t>
      </w:r>
      <w:r w:rsidRPr="00F2273F">
        <w:rPr>
          <w:rFonts w:ascii="Times New Roman" w:eastAsia="Times New Roman" w:hAnsi="Times New Roman" w:cs="Times New Roman"/>
          <w:sz w:val="28"/>
          <w:szCs w:val="28"/>
        </w:rPr>
        <w:t>de l</w:t>
      </w:r>
      <w:r w:rsidRPr="00F2273F">
        <w:rPr>
          <w:rFonts w:ascii="Times New Roman" w:eastAsia="Times New Roman" w:hAnsi="Times New Roman" w:cs="Times New Roman"/>
          <w:sz w:val="28"/>
          <w:szCs w:val="28"/>
        </w:rPr>
        <w:t>o</w:t>
      </w:r>
      <w:r w:rsidRPr="00F2273F">
        <w:rPr>
          <w:rFonts w:ascii="Times New Roman" w:eastAsia="Times New Roman" w:hAnsi="Times New Roman" w:cs="Times New Roman"/>
          <w:sz w:val="28"/>
          <w:szCs w:val="28"/>
        </w:rPr>
        <w:t xml:space="preserve">s cuales 14 se presentaron dentro del término de </w:t>
      </w:r>
      <w:r w:rsidRPr="00F2273F">
        <w:rPr>
          <w:rFonts w:ascii="Times New Roman" w:eastAsia="Times New Roman" w:hAnsi="Times New Roman" w:cs="Times New Roman"/>
          <w:sz w:val="28"/>
          <w:szCs w:val="28"/>
        </w:rPr>
        <w:t>fijación</w:t>
      </w:r>
      <w:r w:rsidRPr="00F2273F">
        <w:rPr>
          <w:rFonts w:ascii="Times New Roman" w:eastAsia="Times New Roman" w:hAnsi="Times New Roman" w:cs="Times New Roman"/>
          <w:sz w:val="28"/>
          <w:szCs w:val="28"/>
        </w:rPr>
        <w:t xml:space="preserve"> en lista</w:t>
      </w:r>
      <w:r w:rsidRPr="00F2273F">
        <w:rPr>
          <w:rFonts w:ascii="Times New Roman" w:eastAsia="Times New Roman" w:hAnsi="Times New Roman" w:cs="Times New Roman"/>
          <w:sz w:val="28"/>
          <w:szCs w:val="28"/>
        </w:rPr>
        <w:t xml:space="preserve"> y 3 de manera extemporánea</w:t>
      </w:r>
      <w:r w:rsidRPr="00F2273F">
        <w:rPr>
          <w:rStyle w:val="Refdenotaalpie"/>
          <w:rFonts w:ascii="Times New Roman" w:eastAsia="Times New Roman" w:hAnsi="Times New Roman" w:cs="Times New Roman"/>
          <w:sz w:val="28"/>
          <w:szCs w:val="28"/>
        </w:rPr>
        <w:footnoteReference w:id="17"/>
      </w:r>
      <w:r w:rsidRPr="00F2273F">
        <w:rPr>
          <w:rFonts w:ascii="Times New Roman" w:eastAsia="Times New Roman" w:hAnsi="Times New Roman" w:cs="Times New Roman"/>
          <w:sz w:val="28"/>
          <w:szCs w:val="28"/>
        </w:rPr>
        <w:t>.</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 xml:space="preserve">A </w:t>
      </w:r>
      <w:r w:rsidRPr="00F2273F">
        <w:rPr>
          <w:rFonts w:ascii="Times New Roman" w:eastAsia="Times New Roman" w:hAnsi="Times New Roman" w:cs="Times New Roman"/>
          <w:sz w:val="28"/>
          <w:szCs w:val="28"/>
        </w:rPr>
        <w:t xml:space="preserve">continuación </w:t>
      </w:r>
      <w:r w:rsidRPr="00F2273F">
        <w:rPr>
          <w:rFonts w:ascii="Times New Roman" w:eastAsia="Times New Roman" w:hAnsi="Times New Roman" w:cs="Times New Roman"/>
          <w:sz w:val="28"/>
          <w:szCs w:val="28"/>
        </w:rPr>
        <w:t xml:space="preserve">se </w:t>
      </w:r>
      <w:r w:rsidRPr="00F2273F">
        <w:rPr>
          <w:rFonts w:ascii="Times New Roman" w:eastAsia="Times New Roman" w:hAnsi="Times New Roman" w:cs="Times New Roman"/>
          <w:sz w:val="28"/>
          <w:szCs w:val="28"/>
        </w:rPr>
        <w:t xml:space="preserve">exponen </w:t>
      </w:r>
      <w:r w:rsidRPr="00F2273F">
        <w:rPr>
          <w:rFonts w:ascii="Times New Roman" w:eastAsia="Times New Roman" w:hAnsi="Times New Roman" w:cs="Times New Roman"/>
          <w:sz w:val="28"/>
          <w:szCs w:val="28"/>
        </w:rPr>
        <w:t>los principales argumentos</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 xml:space="preserve">contenidos en </w:t>
      </w:r>
      <w:r w:rsidRPr="00F2273F">
        <w:rPr>
          <w:rFonts w:ascii="Times New Roman" w:eastAsia="Times New Roman" w:hAnsi="Times New Roman" w:cs="Times New Roman"/>
          <w:sz w:val="28"/>
          <w:szCs w:val="28"/>
        </w:rPr>
        <w:t>los escritos presentados oportunamente</w:t>
      </w:r>
      <w:r w:rsidRPr="00F2273F">
        <w:rPr>
          <w:rFonts w:ascii="Times New Roman" w:eastAsia="Times New Roman" w:hAnsi="Times New Roman" w:cs="Times New Roman"/>
          <w:sz w:val="28"/>
          <w:szCs w:val="28"/>
        </w:rPr>
        <w:t xml:space="preserve">: </w:t>
      </w:r>
    </w:p>
    <w:p w:rsidR="00D15AFF" w:rsidRPr="00F2273F" w:rsidRDefault="00F2273F" w:rsidP="007F0A7B">
      <w:pPr>
        <w:spacing w:after="0" w:line="240" w:lineRule="auto"/>
        <w:jc w:val="center"/>
        <w:rPr>
          <w:rFonts w:ascii="Times New Roman" w:hAnsi="Times New Roman" w:cs="Times New Roman"/>
          <w:i/>
          <w:iCs/>
          <w:sz w:val="28"/>
        </w:rPr>
      </w:pPr>
      <w:r w:rsidRPr="00F2273F">
        <w:rPr>
          <w:rFonts w:ascii="Times New Roman" w:hAnsi="Times New Roman" w:cs="Times New Roman"/>
          <w:b/>
          <w:bCs/>
          <w:sz w:val="28"/>
        </w:rPr>
        <w:t xml:space="preserve">Tabla </w:t>
      </w:r>
      <w:r w:rsidRPr="00F2273F">
        <w:rPr>
          <w:rFonts w:ascii="Times New Roman" w:hAnsi="Times New Roman" w:cs="Times New Roman"/>
          <w:b/>
          <w:bCs/>
          <w:sz w:val="28"/>
        </w:rPr>
        <w:t>3</w:t>
      </w:r>
      <w:r w:rsidRPr="00F2273F">
        <w:rPr>
          <w:rFonts w:ascii="Times New Roman" w:hAnsi="Times New Roman" w:cs="Times New Roman"/>
          <w:i/>
          <w:iCs/>
          <w:sz w:val="28"/>
        </w:rPr>
        <w:t>. Síntesis de intervenciones y conceptos</w:t>
      </w:r>
    </w:p>
    <w:tbl>
      <w:tblPr>
        <w:tblStyle w:val="Tablaconcuadrcula"/>
        <w:tblW w:w="8926" w:type="dxa"/>
        <w:tblLook w:val="04A0" w:firstRow="1" w:lastRow="0" w:firstColumn="1" w:lastColumn="0" w:noHBand="0" w:noVBand="1"/>
      </w:tblPr>
      <w:tblGrid>
        <w:gridCol w:w="2263"/>
        <w:gridCol w:w="6663"/>
      </w:tblGrid>
      <w:tr w:rsidR="00974547" w:rsidRPr="00F2273F" w:rsidTr="7252C18A">
        <w:trPr>
          <w:trHeight w:val="289"/>
          <w:tblHeader/>
        </w:trPr>
        <w:tc>
          <w:tcPr>
            <w:tcW w:w="2263" w:type="dxa"/>
            <w:shd w:val="clear" w:color="auto" w:fill="B4C6E7" w:themeFill="accent1" w:themeFillTint="66"/>
            <w:vAlign w:val="center"/>
          </w:tcPr>
          <w:p w:rsidR="00D15AFF" w:rsidRPr="00F2273F" w:rsidRDefault="00F2273F">
            <w:pPr>
              <w:pStyle w:val="Prrafodelista"/>
              <w:ind w:left="0" w:right="45" w:firstLine="22"/>
              <w:jc w:val="center"/>
              <w:rPr>
                <w:b/>
                <w:bCs/>
                <w:sz w:val="28"/>
                <w:szCs w:val="22"/>
                <w:lang w:val="es-CO" w:eastAsia="en-US"/>
              </w:rPr>
            </w:pPr>
            <w:r w:rsidRPr="00F2273F">
              <w:rPr>
                <w:b/>
                <w:bCs/>
                <w:sz w:val="28"/>
                <w:szCs w:val="22"/>
                <w:lang w:val="es-CO" w:eastAsia="en-US"/>
              </w:rPr>
              <w:t>Interviniente o invitado</w:t>
            </w:r>
          </w:p>
        </w:tc>
        <w:tc>
          <w:tcPr>
            <w:tcW w:w="6663" w:type="dxa"/>
            <w:shd w:val="clear" w:color="auto" w:fill="B4C6E7" w:themeFill="accent1" w:themeFillTint="66"/>
            <w:vAlign w:val="center"/>
          </w:tcPr>
          <w:p w:rsidR="00D15AFF" w:rsidRPr="00F2273F" w:rsidRDefault="00F2273F">
            <w:pPr>
              <w:pStyle w:val="Prrafodelista"/>
              <w:ind w:left="0" w:right="45" w:firstLine="22"/>
              <w:jc w:val="center"/>
              <w:rPr>
                <w:b/>
                <w:bCs/>
                <w:sz w:val="28"/>
                <w:szCs w:val="22"/>
                <w:lang w:val="es-CO" w:eastAsia="en-US"/>
              </w:rPr>
            </w:pPr>
            <w:r w:rsidRPr="00F2273F">
              <w:rPr>
                <w:b/>
                <w:bCs/>
                <w:sz w:val="28"/>
                <w:szCs w:val="22"/>
                <w:lang w:val="es-CO" w:eastAsia="en-US"/>
              </w:rPr>
              <w:t>Argumentos</w:t>
            </w:r>
          </w:p>
        </w:tc>
      </w:tr>
      <w:tr w:rsidR="00974547" w:rsidRPr="00F2273F" w:rsidTr="7252C18A">
        <w:trPr>
          <w:trHeight w:val="2837"/>
        </w:trPr>
        <w:tc>
          <w:tcPr>
            <w:tcW w:w="2263" w:type="dxa"/>
            <w:vMerge w:val="restart"/>
            <w:vAlign w:val="center"/>
          </w:tcPr>
          <w:p w:rsidR="00D15AFF" w:rsidRPr="00F2273F" w:rsidRDefault="00F2273F">
            <w:pPr>
              <w:tabs>
                <w:tab w:val="left" w:pos="567"/>
              </w:tabs>
              <w:ind w:right="51"/>
              <w:jc w:val="center"/>
              <w:rPr>
                <w:bCs/>
                <w:sz w:val="28"/>
                <w:szCs w:val="22"/>
              </w:rPr>
            </w:pPr>
            <w:r w:rsidRPr="00F2273F">
              <w:rPr>
                <w:bCs/>
                <w:sz w:val="28"/>
                <w:szCs w:val="22"/>
              </w:rPr>
              <w:t xml:space="preserve">Universidad </w:t>
            </w:r>
            <w:r w:rsidRPr="00F2273F">
              <w:rPr>
                <w:bCs/>
                <w:sz w:val="28"/>
                <w:szCs w:val="22"/>
              </w:rPr>
              <w:t>Externado de Colombia</w:t>
            </w:r>
            <w:r w:rsidRPr="00F2273F">
              <w:rPr>
                <w:rStyle w:val="Refdenotaalpie"/>
                <w:bCs/>
                <w:sz w:val="28"/>
                <w:szCs w:val="22"/>
              </w:rPr>
              <w:footnoteReference w:id="18"/>
            </w:r>
          </w:p>
          <w:p w:rsidR="00275374" w:rsidRPr="00F2273F" w:rsidRDefault="00F2273F">
            <w:pPr>
              <w:tabs>
                <w:tab w:val="left" w:pos="567"/>
              </w:tabs>
              <w:ind w:right="51"/>
              <w:jc w:val="center"/>
              <w:rPr>
                <w:bCs/>
                <w:sz w:val="28"/>
                <w:szCs w:val="22"/>
              </w:rPr>
            </w:pPr>
            <w:r w:rsidRPr="00F2273F">
              <w:rPr>
                <w:bCs/>
                <w:sz w:val="28"/>
                <w:szCs w:val="22"/>
              </w:rPr>
              <w:t xml:space="preserve">(invitado) </w:t>
            </w:r>
          </w:p>
        </w:tc>
        <w:tc>
          <w:tcPr>
            <w:tcW w:w="6663" w:type="dxa"/>
            <w:vAlign w:val="center"/>
          </w:tcPr>
          <w:p w:rsidR="00D15AFF" w:rsidRPr="00F2273F" w:rsidRDefault="00F2273F">
            <w:pPr>
              <w:tabs>
                <w:tab w:val="left" w:pos="567"/>
              </w:tabs>
              <w:ind w:right="51"/>
              <w:jc w:val="both"/>
              <w:rPr>
                <w:bCs/>
                <w:sz w:val="28"/>
                <w:szCs w:val="22"/>
              </w:rPr>
            </w:pPr>
            <w:r w:rsidRPr="00F2273F">
              <w:rPr>
                <w:bCs/>
                <w:sz w:val="28"/>
                <w:szCs w:val="22"/>
              </w:rPr>
              <w:t xml:space="preserve">El docente Emilio José Archila Peñalosa solicitó la declaratoria de </w:t>
            </w:r>
            <w:r w:rsidRPr="00F2273F">
              <w:rPr>
                <w:bCs/>
                <w:i/>
                <w:iCs/>
                <w:sz w:val="28"/>
                <w:szCs w:val="22"/>
              </w:rPr>
              <w:t xml:space="preserve">exequibilidad. </w:t>
            </w:r>
            <w:r w:rsidRPr="00F2273F">
              <w:rPr>
                <w:bCs/>
                <w:sz w:val="28"/>
                <w:szCs w:val="22"/>
              </w:rPr>
              <w:t xml:space="preserve">Manifestó que las normas derogadas eran contrarias al texto superior, por cuanto prohibían una posición de dominio sin cumplir los </w:t>
            </w:r>
            <w:r w:rsidRPr="00F2273F">
              <w:rPr>
                <w:bCs/>
                <w:sz w:val="28"/>
                <w:szCs w:val="22"/>
              </w:rPr>
              <w:t>requisitos materiales y formales previstos para que el Estado intervenga en la economía y limite la libertad de empresa. Esto, por cuanto no existe un interés constitucional</w:t>
            </w:r>
            <w:r w:rsidRPr="00F2273F">
              <w:rPr>
                <w:bCs/>
                <w:sz w:val="28"/>
                <w:szCs w:val="22"/>
              </w:rPr>
              <w:t>mente</w:t>
            </w:r>
            <w:r w:rsidRPr="00F2273F">
              <w:rPr>
                <w:bCs/>
                <w:sz w:val="28"/>
                <w:szCs w:val="22"/>
              </w:rPr>
              <w:t xml:space="preserve"> protegido, no se afecta el núcleo fundamental del derecho a la libre empresa </w:t>
            </w:r>
            <w:r w:rsidRPr="00F2273F">
              <w:rPr>
                <w:bCs/>
                <w:sz w:val="28"/>
                <w:szCs w:val="22"/>
              </w:rPr>
              <w:t>y no resultan razonables ni proporcionadas.</w:t>
            </w:r>
            <w:r w:rsidRPr="00F2273F">
              <w:rPr>
                <w:sz w:val="28"/>
                <w:szCs w:val="22"/>
              </w:rPr>
              <w:t xml:space="preserve"> C</w:t>
            </w:r>
            <w:r w:rsidRPr="00F2273F">
              <w:rPr>
                <w:sz w:val="28"/>
                <w:szCs w:val="22"/>
              </w:rPr>
              <w:t>onsideró</w:t>
            </w:r>
            <w:r w:rsidRPr="00F2273F">
              <w:rPr>
                <w:bCs/>
                <w:sz w:val="28"/>
                <w:szCs w:val="22"/>
              </w:rPr>
              <w:t xml:space="preserve"> que lo que sí está proscrito es el abuso o la utilización de medios irregulares y reprochables que impidan el desarrollo pleno de la competencia.</w:t>
            </w:r>
          </w:p>
          <w:p w:rsidR="00D15AFF" w:rsidRPr="00F2273F" w:rsidRDefault="00F2273F">
            <w:pPr>
              <w:tabs>
                <w:tab w:val="left" w:pos="567"/>
              </w:tabs>
              <w:ind w:right="51"/>
              <w:jc w:val="both"/>
              <w:rPr>
                <w:bCs/>
                <w:sz w:val="28"/>
                <w:szCs w:val="22"/>
              </w:rPr>
            </w:pPr>
            <w:r w:rsidRPr="00F2273F">
              <w:rPr>
                <w:bCs/>
                <w:sz w:val="28"/>
                <w:szCs w:val="22"/>
              </w:rPr>
              <w:t xml:space="preserve">De forma subsidiaria, y en caso de </w:t>
            </w:r>
            <w:r w:rsidRPr="00F2273F">
              <w:rPr>
                <w:bCs/>
                <w:sz w:val="28"/>
                <w:szCs w:val="22"/>
              </w:rPr>
              <w:t xml:space="preserve">una </w:t>
            </w:r>
            <w:r w:rsidRPr="00F2273F">
              <w:rPr>
                <w:bCs/>
                <w:sz w:val="28"/>
                <w:szCs w:val="22"/>
              </w:rPr>
              <w:t>declaratoria de i</w:t>
            </w:r>
            <w:r w:rsidRPr="00F2273F">
              <w:rPr>
                <w:bCs/>
                <w:sz w:val="28"/>
                <w:szCs w:val="22"/>
              </w:rPr>
              <w:t>nconstitucionalidad, consideró que la misma debería tener efectos diferidos</w:t>
            </w:r>
            <w:r w:rsidRPr="00F2273F">
              <w:rPr>
                <w:sz w:val="28"/>
                <w:szCs w:val="22"/>
              </w:rPr>
              <w:t xml:space="preserve"> hasta que el Congreso expida las normas correspondientes. </w:t>
            </w:r>
          </w:p>
        </w:tc>
      </w:tr>
      <w:tr w:rsidR="00974547" w:rsidRPr="00F2273F" w:rsidTr="7252C18A">
        <w:trPr>
          <w:trHeight w:val="2563"/>
        </w:trPr>
        <w:tc>
          <w:tcPr>
            <w:tcW w:w="2263" w:type="dxa"/>
            <w:vMerge/>
            <w:vAlign w:val="center"/>
          </w:tcPr>
          <w:p w:rsidR="00D15AFF" w:rsidRPr="00F2273F" w:rsidRDefault="00F2273F">
            <w:pPr>
              <w:tabs>
                <w:tab w:val="left" w:pos="567"/>
              </w:tabs>
              <w:ind w:right="51"/>
              <w:jc w:val="center"/>
              <w:rPr>
                <w:bCs/>
                <w:sz w:val="28"/>
                <w:szCs w:val="22"/>
              </w:rPr>
            </w:pPr>
          </w:p>
        </w:tc>
        <w:tc>
          <w:tcPr>
            <w:tcW w:w="6663" w:type="dxa"/>
            <w:vAlign w:val="center"/>
          </w:tcPr>
          <w:p w:rsidR="00D15AFF" w:rsidRPr="00F2273F" w:rsidRDefault="00F2273F">
            <w:pPr>
              <w:tabs>
                <w:tab w:val="left" w:pos="567"/>
              </w:tabs>
              <w:ind w:right="51"/>
              <w:jc w:val="both"/>
              <w:rPr>
                <w:bCs/>
                <w:sz w:val="28"/>
                <w:szCs w:val="22"/>
              </w:rPr>
            </w:pPr>
            <w:r w:rsidRPr="00F2273F">
              <w:rPr>
                <w:bCs/>
                <w:sz w:val="28"/>
                <w:szCs w:val="22"/>
              </w:rPr>
              <w:t>De otra parte, e</w:t>
            </w:r>
            <w:r w:rsidRPr="00F2273F">
              <w:rPr>
                <w:bCs/>
                <w:sz w:val="28"/>
                <w:szCs w:val="22"/>
              </w:rPr>
              <w:t xml:space="preserve">l docente Ángel Castañeda se refirió únicamente al cargo de vulneración del principio de unidad de materia, </w:t>
            </w:r>
            <w:r w:rsidRPr="00F2273F">
              <w:rPr>
                <w:bCs/>
                <w:sz w:val="28"/>
                <w:szCs w:val="22"/>
              </w:rPr>
              <w:t>al cual</w:t>
            </w:r>
            <w:r w:rsidRPr="00F2273F">
              <w:rPr>
                <w:bCs/>
                <w:sz w:val="28"/>
                <w:szCs w:val="22"/>
              </w:rPr>
              <w:t xml:space="preserve"> consideró suficiente para de</w:t>
            </w:r>
            <w:r w:rsidRPr="00F2273F">
              <w:rPr>
                <w:bCs/>
                <w:sz w:val="28"/>
                <w:szCs w:val="22"/>
              </w:rPr>
              <w:t>clarar</w:t>
            </w:r>
            <w:r w:rsidRPr="00F2273F">
              <w:rPr>
                <w:bCs/>
                <w:sz w:val="28"/>
                <w:szCs w:val="22"/>
              </w:rPr>
              <w:t xml:space="preserve"> la </w:t>
            </w:r>
            <w:r w:rsidRPr="00F2273F">
              <w:rPr>
                <w:bCs/>
                <w:i/>
                <w:iCs/>
                <w:sz w:val="28"/>
                <w:szCs w:val="22"/>
              </w:rPr>
              <w:t>inexequibilidad</w:t>
            </w:r>
            <w:r w:rsidRPr="00F2273F">
              <w:rPr>
                <w:bCs/>
                <w:sz w:val="28"/>
                <w:szCs w:val="22"/>
              </w:rPr>
              <w:t xml:space="preserve"> de la norma. </w:t>
            </w:r>
          </w:p>
          <w:p w:rsidR="003A1485" w:rsidRPr="00F2273F" w:rsidRDefault="00F2273F">
            <w:pPr>
              <w:tabs>
                <w:tab w:val="left" w:pos="567"/>
              </w:tabs>
              <w:ind w:right="51"/>
              <w:jc w:val="both"/>
              <w:rPr>
                <w:bCs/>
                <w:sz w:val="28"/>
                <w:szCs w:val="22"/>
              </w:rPr>
            </w:pPr>
            <w:r w:rsidRPr="00F2273F">
              <w:rPr>
                <w:bCs/>
                <w:sz w:val="28"/>
                <w:szCs w:val="22"/>
              </w:rPr>
              <w:t xml:space="preserve">Explicó </w:t>
            </w:r>
            <w:r w:rsidRPr="00F2273F">
              <w:rPr>
                <w:sz w:val="28"/>
                <w:szCs w:val="22"/>
              </w:rPr>
              <w:t>que</w:t>
            </w:r>
            <w:r w:rsidRPr="00F2273F">
              <w:rPr>
                <w:bCs/>
                <w:sz w:val="28"/>
                <w:szCs w:val="22"/>
              </w:rPr>
              <w:t xml:space="preserve"> con el fin de garantizar la independencia del transmisor -IS</w:t>
            </w:r>
            <w:r w:rsidRPr="00F2273F">
              <w:rPr>
                <w:bCs/>
                <w:sz w:val="28"/>
                <w:szCs w:val="22"/>
              </w:rPr>
              <w:t>A-</w:t>
            </w:r>
            <w:r w:rsidRPr="00F2273F">
              <w:rPr>
                <w:bCs/>
                <w:sz w:val="28"/>
                <w:szCs w:val="22"/>
              </w:rPr>
              <w:t xml:space="preserve"> y</w:t>
            </w:r>
            <w:r w:rsidRPr="00F2273F">
              <w:rPr>
                <w:bCs/>
                <w:sz w:val="28"/>
                <w:szCs w:val="22"/>
              </w:rPr>
              <w:t xml:space="preserve"> </w:t>
            </w:r>
            <w:r w:rsidRPr="00F2273F">
              <w:rPr>
                <w:sz w:val="28"/>
                <w:szCs w:val="22"/>
              </w:rPr>
              <w:t>la eficiencia en la prestación del servicio</w:t>
            </w:r>
            <w:r w:rsidRPr="00F2273F">
              <w:rPr>
                <w:sz w:val="28"/>
                <w:szCs w:val="22"/>
              </w:rPr>
              <w:t>,</w:t>
            </w:r>
            <w:r w:rsidRPr="00F2273F">
              <w:rPr>
                <w:sz w:val="28"/>
                <w:szCs w:val="22"/>
              </w:rPr>
              <w:t xml:space="preserve"> </w:t>
            </w:r>
            <w:r w:rsidRPr="00F2273F">
              <w:rPr>
                <w:sz w:val="28"/>
                <w:szCs w:val="22"/>
              </w:rPr>
              <w:t>se</w:t>
            </w:r>
            <w:r w:rsidRPr="00F2273F">
              <w:rPr>
                <w:bCs/>
                <w:sz w:val="28"/>
                <w:szCs w:val="22"/>
              </w:rPr>
              <w:t xml:space="preserve"> le prohibió realizar actividades de generación, distribución o </w:t>
            </w:r>
            <w:r w:rsidRPr="00F2273F">
              <w:rPr>
                <w:sz w:val="28"/>
                <w:szCs w:val="22"/>
              </w:rPr>
              <w:t>comercializació</w:t>
            </w:r>
            <w:r w:rsidRPr="00F2273F">
              <w:rPr>
                <w:sz w:val="28"/>
                <w:szCs w:val="22"/>
              </w:rPr>
              <w:t>n en las leyes 142 y 143</w:t>
            </w:r>
            <w:r w:rsidRPr="00F2273F">
              <w:rPr>
                <w:sz w:val="28"/>
                <w:szCs w:val="22"/>
              </w:rPr>
              <w:t>.</w:t>
            </w:r>
            <w:r w:rsidRPr="00F2273F">
              <w:rPr>
                <w:sz w:val="28"/>
                <w:szCs w:val="22"/>
              </w:rPr>
              <w:t xml:space="preserve"> E</w:t>
            </w:r>
            <w:r w:rsidRPr="00F2273F">
              <w:rPr>
                <w:sz w:val="28"/>
                <w:szCs w:val="22"/>
              </w:rPr>
              <w:t>l</w:t>
            </w:r>
            <w:r w:rsidRPr="00F2273F">
              <w:rPr>
                <w:bCs/>
                <w:sz w:val="28"/>
                <w:szCs w:val="22"/>
              </w:rPr>
              <w:t xml:space="preserve"> PND no modifica la estructura de la industria ni favorece normativamente a un agente, </w:t>
            </w:r>
            <w:r w:rsidRPr="00F2273F">
              <w:rPr>
                <w:sz w:val="28"/>
                <w:szCs w:val="22"/>
              </w:rPr>
              <w:t xml:space="preserve">por lo que </w:t>
            </w:r>
            <w:r w:rsidRPr="00F2273F">
              <w:rPr>
                <w:sz w:val="28"/>
                <w:szCs w:val="22"/>
              </w:rPr>
              <w:t>la</w:t>
            </w:r>
            <w:r w:rsidRPr="00F2273F">
              <w:rPr>
                <w:bCs/>
                <w:sz w:val="28"/>
                <w:szCs w:val="22"/>
              </w:rPr>
              <w:t xml:space="preserve"> norma demandada no resulta instrumental al plan; esto, por cuanto la derogatoria cuestionada reduce la posibilidad de una mayor competencia por la falta de transparencia y aumenta la posición de mercado de los agentes que ya operan el mismo, </w:t>
            </w:r>
            <w:r w:rsidRPr="00F2273F">
              <w:rPr>
                <w:bCs/>
                <w:sz w:val="28"/>
                <w:szCs w:val="22"/>
              </w:rPr>
              <w:t>en perjuicio del usuario.</w:t>
            </w:r>
          </w:p>
        </w:tc>
      </w:tr>
      <w:tr w:rsidR="00974547" w:rsidRPr="00F2273F" w:rsidTr="7252C18A">
        <w:trPr>
          <w:trHeight w:val="2705"/>
        </w:trPr>
        <w:tc>
          <w:tcPr>
            <w:tcW w:w="2263" w:type="dxa"/>
            <w:vMerge/>
            <w:vAlign w:val="center"/>
          </w:tcPr>
          <w:p w:rsidR="00D15AFF" w:rsidRPr="00F2273F" w:rsidRDefault="00F2273F">
            <w:pPr>
              <w:tabs>
                <w:tab w:val="left" w:pos="567"/>
              </w:tabs>
              <w:ind w:right="51"/>
              <w:jc w:val="center"/>
              <w:rPr>
                <w:bCs/>
                <w:sz w:val="28"/>
                <w:szCs w:val="22"/>
              </w:rPr>
            </w:pPr>
          </w:p>
        </w:tc>
        <w:tc>
          <w:tcPr>
            <w:tcW w:w="6663" w:type="dxa"/>
            <w:vAlign w:val="center"/>
          </w:tcPr>
          <w:p w:rsidR="00D15AFF" w:rsidRPr="00F2273F" w:rsidRDefault="00F2273F">
            <w:pPr>
              <w:tabs>
                <w:tab w:val="left" w:pos="567"/>
              </w:tabs>
              <w:ind w:right="51"/>
              <w:jc w:val="both"/>
              <w:rPr>
                <w:bCs/>
                <w:sz w:val="28"/>
                <w:szCs w:val="22"/>
              </w:rPr>
            </w:pPr>
            <w:r w:rsidRPr="00F2273F">
              <w:rPr>
                <w:bCs/>
                <w:sz w:val="28"/>
                <w:szCs w:val="22"/>
              </w:rPr>
              <w:t xml:space="preserve">Por último, el docente Hemberth Suárez Lozano concluyó que </w:t>
            </w:r>
            <w:r w:rsidRPr="00F2273F">
              <w:rPr>
                <w:bCs/>
                <w:sz w:val="28"/>
                <w:szCs w:val="22"/>
              </w:rPr>
              <w:t>el segmento acusado</w:t>
            </w:r>
            <w:r w:rsidRPr="00F2273F">
              <w:rPr>
                <w:bCs/>
                <w:sz w:val="28"/>
                <w:szCs w:val="22"/>
              </w:rPr>
              <w:t xml:space="preserve"> es </w:t>
            </w:r>
            <w:r w:rsidRPr="00F2273F">
              <w:rPr>
                <w:bCs/>
                <w:i/>
                <w:iCs/>
                <w:sz w:val="28"/>
                <w:szCs w:val="22"/>
              </w:rPr>
              <w:t>inconstitucional.</w:t>
            </w:r>
            <w:r w:rsidRPr="00F2273F">
              <w:rPr>
                <w:bCs/>
                <w:sz w:val="28"/>
                <w:szCs w:val="22"/>
              </w:rPr>
              <w:t xml:space="preserve"> Para arribar a esa afirmación</w:t>
            </w:r>
            <w:r w:rsidRPr="00F2273F">
              <w:rPr>
                <w:sz w:val="28"/>
                <w:szCs w:val="22"/>
              </w:rPr>
              <w:t xml:space="preserve"> aludió al </w:t>
            </w:r>
            <w:r w:rsidRPr="00F2273F">
              <w:rPr>
                <w:sz w:val="28"/>
                <w:szCs w:val="22"/>
              </w:rPr>
              <w:t>marco</w:t>
            </w:r>
            <w:r w:rsidRPr="00F2273F">
              <w:rPr>
                <w:bCs/>
                <w:sz w:val="28"/>
                <w:szCs w:val="22"/>
              </w:rPr>
              <w:t xml:space="preserve"> regulatorio del mercado mayorista de energía eléctrica y </w:t>
            </w:r>
            <w:r w:rsidRPr="00F2273F">
              <w:rPr>
                <w:bCs/>
                <w:sz w:val="28"/>
                <w:szCs w:val="22"/>
              </w:rPr>
              <w:t xml:space="preserve">a </w:t>
            </w:r>
            <w:r w:rsidRPr="00F2273F">
              <w:rPr>
                <w:bCs/>
                <w:sz w:val="28"/>
                <w:szCs w:val="22"/>
              </w:rPr>
              <w:t>los límites en la integ</w:t>
            </w:r>
            <w:r w:rsidRPr="00F2273F">
              <w:rPr>
                <w:bCs/>
                <w:sz w:val="28"/>
                <w:szCs w:val="22"/>
              </w:rPr>
              <w:t xml:space="preserve">ración vertical y horizontal para evitar la concentración excesiva de poder económico en una sola empresa o grupo en distintos niveles de la cadena de valor de </w:t>
            </w:r>
            <w:r w:rsidRPr="00F2273F">
              <w:rPr>
                <w:bCs/>
                <w:sz w:val="28"/>
                <w:szCs w:val="22"/>
              </w:rPr>
              <w:t xml:space="preserve">aquel </w:t>
            </w:r>
            <w:r w:rsidRPr="00F2273F">
              <w:rPr>
                <w:bCs/>
                <w:sz w:val="28"/>
                <w:szCs w:val="22"/>
              </w:rPr>
              <w:t xml:space="preserve">mercado. </w:t>
            </w:r>
          </w:p>
          <w:p w:rsidR="00D15AFF" w:rsidRPr="00F2273F" w:rsidRDefault="00F2273F">
            <w:pPr>
              <w:tabs>
                <w:tab w:val="left" w:pos="567"/>
              </w:tabs>
              <w:ind w:right="51"/>
              <w:jc w:val="both"/>
              <w:rPr>
                <w:bCs/>
                <w:sz w:val="28"/>
                <w:szCs w:val="22"/>
              </w:rPr>
            </w:pPr>
            <w:r w:rsidRPr="00F2273F">
              <w:rPr>
                <w:bCs/>
                <w:sz w:val="28"/>
                <w:szCs w:val="22"/>
              </w:rPr>
              <w:t>Manifestó que la apresurada votación en bloque no aseguró la discusión que reque</w:t>
            </w:r>
            <w:r w:rsidRPr="00F2273F">
              <w:rPr>
                <w:bCs/>
                <w:sz w:val="28"/>
                <w:szCs w:val="22"/>
              </w:rPr>
              <w:t xml:space="preserve">ría la norma </w:t>
            </w:r>
            <w:r w:rsidRPr="00F2273F">
              <w:rPr>
                <w:bCs/>
                <w:sz w:val="28"/>
                <w:szCs w:val="22"/>
              </w:rPr>
              <w:t>dentro del</w:t>
            </w:r>
            <w:r w:rsidRPr="00F2273F">
              <w:rPr>
                <w:bCs/>
                <w:sz w:val="28"/>
                <w:szCs w:val="22"/>
              </w:rPr>
              <w:t xml:space="preserve"> proceso de formación de la ley, dado su impacto en la transición y estabilidad energética del país. Agregó que la falta de conexidad obedece a que </w:t>
            </w:r>
            <w:r w:rsidRPr="00F2273F">
              <w:rPr>
                <w:bCs/>
                <w:sz w:val="28"/>
                <w:szCs w:val="22"/>
              </w:rPr>
              <w:t xml:space="preserve">lo regulado </w:t>
            </w:r>
            <w:r w:rsidRPr="00F2273F">
              <w:rPr>
                <w:bCs/>
                <w:sz w:val="28"/>
                <w:szCs w:val="22"/>
              </w:rPr>
              <w:t xml:space="preserve">no guarda relación con las estrategias específicas en materia de </w:t>
            </w:r>
            <w:r w:rsidRPr="00F2273F">
              <w:rPr>
                <w:bCs/>
                <w:sz w:val="28"/>
                <w:szCs w:val="22"/>
              </w:rPr>
              <w:t>participación en el mercado de energía eléctrica.</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Pablo Hernán Corredor Avellaneda</w:t>
            </w:r>
            <w:r w:rsidRPr="00F2273F">
              <w:rPr>
                <w:rStyle w:val="Refdenotaalpie"/>
                <w:bCs/>
                <w:sz w:val="28"/>
                <w:szCs w:val="22"/>
              </w:rPr>
              <w:footnoteReference w:id="19"/>
            </w:r>
          </w:p>
          <w:p w:rsidR="00275374" w:rsidRPr="00F2273F" w:rsidRDefault="00F2273F">
            <w:pPr>
              <w:tabs>
                <w:tab w:val="left" w:pos="567"/>
              </w:tabs>
              <w:ind w:right="51"/>
              <w:jc w:val="center"/>
              <w:rPr>
                <w:bCs/>
                <w:sz w:val="28"/>
                <w:szCs w:val="22"/>
              </w:rPr>
            </w:pPr>
            <w:r w:rsidRPr="00F2273F">
              <w:rPr>
                <w:bCs/>
                <w:sz w:val="28"/>
                <w:szCs w:val="22"/>
              </w:rPr>
              <w:t xml:space="preserve">(interviniente) </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No presentó una solicitud específica.</w:t>
            </w:r>
            <w:r w:rsidRPr="00F2273F">
              <w:rPr>
                <w:bCs/>
                <w:i/>
                <w:iCs/>
                <w:sz w:val="28"/>
                <w:szCs w:val="22"/>
              </w:rPr>
              <w:t xml:space="preserve"> </w:t>
            </w:r>
            <w:r w:rsidRPr="00F2273F">
              <w:rPr>
                <w:bCs/>
                <w:sz w:val="28"/>
                <w:szCs w:val="22"/>
              </w:rPr>
              <w:t xml:space="preserve">Expuso las ventajas que representa la derogación de las normas que impusieron a ISA la limitación al ejercicio de </w:t>
            </w:r>
            <w:r w:rsidRPr="00F2273F">
              <w:rPr>
                <w:bCs/>
                <w:sz w:val="28"/>
                <w:szCs w:val="22"/>
              </w:rPr>
              <w:t>actividades de generación, distribución y comercialización de energía. Después de detallar el esquema regulatorio de la metodología de remuneración y calidad del Sistema de Transmisión Nacional, destacó que</w:t>
            </w:r>
            <w:r w:rsidRPr="00F2273F">
              <w:rPr>
                <w:bCs/>
                <w:sz w:val="28"/>
                <w:szCs w:val="22"/>
              </w:rPr>
              <w:t xml:space="preserve"> en la actualidad</w:t>
            </w:r>
            <w:r w:rsidRPr="00F2273F">
              <w:rPr>
                <w:bCs/>
                <w:sz w:val="28"/>
                <w:szCs w:val="22"/>
              </w:rPr>
              <w:t xml:space="preserve"> la participación de ISA en el se</w:t>
            </w:r>
            <w:r w:rsidRPr="00F2273F">
              <w:rPr>
                <w:bCs/>
                <w:sz w:val="28"/>
                <w:szCs w:val="22"/>
              </w:rPr>
              <w:t>ctor se ve reducida a las convocatorias de ampliación de dicho sistema y, ocasionalmente, en los Sistemas de Transmisión Regional.</w:t>
            </w:r>
          </w:p>
          <w:p w:rsidR="00D15AFF" w:rsidRPr="00F2273F" w:rsidRDefault="00F2273F">
            <w:pPr>
              <w:tabs>
                <w:tab w:val="left" w:pos="567"/>
              </w:tabs>
              <w:ind w:right="51"/>
              <w:jc w:val="both"/>
              <w:rPr>
                <w:bCs/>
                <w:sz w:val="28"/>
                <w:szCs w:val="22"/>
              </w:rPr>
            </w:pPr>
            <w:r w:rsidRPr="00F2273F">
              <w:rPr>
                <w:bCs/>
                <w:sz w:val="28"/>
                <w:szCs w:val="22"/>
              </w:rPr>
              <w:t>Para ello present</w:t>
            </w:r>
            <w:r w:rsidRPr="00F2273F">
              <w:rPr>
                <w:bCs/>
                <w:sz w:val="28"/>
                <w:szCs w:val="22"/>
              </w:rPr>
              <w:t>ó</w:t>
            </w:r>
            <w:r w:rsidRPr="00F2273F">
              <w:rPr>
                <w:bCs/>
                <w:sz w:val="28"/>
                <w:szCs w:val="22"/>
              </w:rPr>
              <w:t xml:space="preserve"> índices históricos </w:t>
            </w:r>
            <w:r w:rsidRPr="00F2273F">
              <w:rPr>
                <w:bCs/>
                <w:sz w:val="28"/>
                <w:szCs w:val="22"/>
              </w:rPr>
              <w:t xml:space="preserve">y porcentuales </w:t>
            </w:r>
            <w:r w:rsidRPr="00F2273F">
              <w:rPr>
                <w:bCs/>
                <w:sz w:val="28"/>
                <w:szCs w:val="22"/>
              </w:rPr>
              <w:t xml:space="preserve">de las empresas generadoras </w:t>
            </w:r>
            <w:r w:rsidRPr="00F2273F">
              <w:rPr>
                <w:bCs/>
                <w:sz w:val="28"/>
                <w:szCs w:val="22"/>
              </w:rPr>
              <w:t xml:space="preserve">con más plantas </w:t>
            </w:r>
            <w:r w:rsidRPr="00F2273F">
              <w:rPr>
                <w:bCs/>
                <w:sz w:val="28"/>
                <w:szCs w:val="22"/>
              </w:rPr>
              <w:t xml:space="preserve">que </w:t>
            </w:r>
            <w:r w:rsidRPr="00F2273F">
              <w:rPr>
                <w:bCs/>
                <w:sz w:val="28"/>
                <w:szCs w:val="22"/>
              </w:rPr>
              <w:t>determinan una baja comp</w:t>
            </w:r>
            <w:r w:rsidRPr="00F2273F">
              <w:rPr>
                <w:bCs/>
                <w:sz w:val="28"/>
                <w:szCs w:val="22"/>
              </w:rPr>
              <w:t>etencia en el mercado de generación</w:t>
            </w:r>
            <w:r w:rsidRPr="00F2273F">
              <w:rPr>
                <w:bCs/>
                <w:sz w:val="28"/>
                <w:szCs w:val="22"/>
              </w:rPr>
              <w:t xml:space="preserve">, así como </w:t>
            </w:r>
            <w:r w:rsidRPr="00F2273F">
              <w:rPr>
                <w:bCs/>
                <w:sz w:val="28"/>
                <w:szCs w:val="22"/>
              </w:rPr>
              <w:t>su incidencia en los</w:t>
            </w:r>
            <w:r w:rsidRPr="00F2273F">
              <w:rPr>
                <w:bCs/>
                <w:sz w:val="28"/>
                <w:szCs w:val="22"/>
              </w:rPr>
              <w:t xml:space="preserve"> precios de bolsa, con el propósito de evidenciar la necesidad de que ISA participe en el mercado de generación </w:t>
            </w:r>
            <w:r w:rsidRPr="00F2273F">
              <w:rPr>
                <w:bCs/>
                <w:sz w:val="28"/>
                <w:szCs w:val="22"/>
              </w:rPr>
              <w:t>dada</w:t>
            </w:r>
            <w:r w:rsidRPr="00F2273F">
              <w:rPr>
                <w:bCs/>
                <w:sz w:val="28"/>
                <w:szCs w:val="22"/>
              </w:rPr>
              <w:t xml:space="preserve"> su capacidad de gestión y </w:t>
            </w:r>
            <w:r w:rsidRPr="00F2273F">
              <w:rPr>
                <w:bCs/>
                <w:sz w:val="28"/>
                <w:szCs w:val="22"/>
              </w:rPr>
              <w:t xml:space="preserve">sus </w:t>
            </w:r>
            <w:r w:rsidRPr="00F2273F">
              <w:rPr>
                <w:bCs/>
                <w:sz w:val="28"/>
                <w:szCs w:val="22"/>
              </w:rPr>
              <w:t>posibilidades financieras.</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Departamento Na</w:t>
            </w:r>
            <w:r w:rsidRPr="00F2273F">
              <w:rPr>
                <w:bCs/>
                <w:sz w:val="28"/>
                <w:szCs w:val="22"/>
              </w:rPr>
              <w:t>cional de Planeación</w:t>
            </w:r>
            <w:r w:rsidRPr="00F2273F">
              <w:rPr>
                <w:rStyle w:val="Refdenotaalpie"/>
                <w:bCs/>
                <w:sz w:val="28"/>
                <w:szCs w:val="22"/>
              </w:rPr>
              <w:footnoteReference w:id="20"/>
            </w:r>
          </w:p>
          <w:p w:rsidR="00275374" w:rsidRPr="00F2273F" w:rsidRDefault="00F2273F">
            <w:pPr>
              <w:tabs>
                <w:tab w:val="left" w:pos="567"/>
              </w:tabs>
              <w:ind w:right="51"/>
              <w:jc w:val="center"/>
              <w:rPr>
                <w:bCs/>
                <w:sz w:val="28"/>
                <w:szCs w:val="22"/>
              </w:rPr>
            </w:pPr>
            <w:r w:rsidRPr="00F2273F">
              <w:rPr>
                <w:bCs/>
                <w:sz w:val="28"/>
                <w:szCs w:val="22"/>
              </w:rPr>
              <w:t>(interviniente)</w:t>
            </w:r>
          </w:p>
        </w:tc>
        <w:tc>
          <w:tcPr>
            <w:tcW w:w="6663" w:type="dxa"/>
            <w:vAlign w:val="center"/>
          </w:tcPr>
          <w:p w:rsidR="00D15AFF" w:rsidRPr="00F2273F" w:rsidRDefault="00F2273F" w:rsidP="00D25C27">
            <w:pPr>
              <w:tabs>
                <w:tab w:val="left" w:pos="567"/>
              </w:tabs>
              <w:ind w:right="51"/>
              <w:jc w:val="both"/>
              <w:rPr>
                <w:bCs/>
                <w:sz w:val="28"/>
                <w:szCs w:val="22"/>
              </w:rPr>
            </w:pPr>
            <w:r w:rsidRPr="00F2273F">
              <w:rPr>
                <w:bCs/>
                <w:i/>
                <w:iCs/>
                <w:sz w:val="28"/>
                <w:szCs w:val="22"/>
              </w:rPr>
              <w:t>Exequibilidad.</w:t>
            </w:r>
            <w:r w:rsidRPr="00F2273F">
              <w:rPr>
                <w:bCs/>
                <w:sz w:val="28"/>
                <w:szCs w:val="22"/>
              </w:rPr>
              <w:t xml:space="preserve"> Frente al cargo por el desconocimiento del principio de consecutividad, manifestó que la modificación introducida en el segundo debate, que consistió en la supresión de disposiciones relacionadas con la estructura de los mercados eléctricos, no es una mat</w:t>
            </w:r>
            <w:r w:rsidRPr="00F2273F">
              <w:rPr>
                <w:bCs/>
                <w:sz w:val="28"/>
                <w:szCs w:val="22"/>
              </w:rPr>
              <w:t xml:space="preserve">eria o asunto nuevo en el marco del PND. </w:t>
            </w:r>
            <w:r w:rsidRPr="00F2273F">
              <w:rPr>
                <w:sz w:val="28"/>
                <w:szCs w:val="22"/>
              </w:rPr>
              <w:t xml:space="preserve">Con fundamento en el principio de identidad flexible sostuvo </w:t>
            </w:r>
            <w:r w:rsidRPr="00F2273F">
              <w:rPr>
                <w:sz w:val="28"/>
                <w:szCs w:val="22"/>
              </w:rPr>
              <w:t xml:space="preserve">que el cambio introducido fue discutido por los congresistas y que hizo </w:t>
            </w:r>
            <w:r w:rsidRPr="00F2273F">
              <w:rPr>
                <w:bCs/>
                <w:sz w:val="28"/>
                <w:szCs w:val="22"/>
              </w:rPr>
              <w:t>parte de las Bases del PND</w:t>
            </w:r>
            <w:r w:rsidRPr="00F2273F">
              <w:rPr>
                <w:bCs/>
                <w:sz w:val="28"/>
                <w:szCs w:val="22"/>
              </w:rPr>
              <w:t xml:space="preserve"> porque:</w:t>
            </w:r>
            <w:r w:rsidRPr="00F2273F">
              <w:rPr>
                <w:bCs/>
                <w:sz w:val="28"/>
                <w:szCs w:val="22"/>
              </w:rPr>
              <w:t xml:space="preserve"> (i) la eliminación de la restricción habilita l</w:t>
            </w:r>
            <w:r w:rsidRPr="00F2273F">
              <w:rPr>
                <w:bCs/>
                <w:sz w:val="28"/>
                <w:szCs w:val="22"/>
              </w:rPr>
              <w:t>os supuestos de integración vertical; (ii) ocurrida esa habilitación, ISA puede participar en la oferta de generación y abarca</w:t>
            </w:r>
            <w:r w:rsidRPr="00F2273F">
              <w:rPr>
                <w:bCs/>
                <w:sz w:val="28"/>
                <w:szCs w:val="22"/>
              </w:rPr>
              <w:t>r</w:t>
            </w:r>
            <w:r w:rsidRPr="00F2273F">
              <w:rPr>
                <w:bCs/>
                <w:sz w:val="28"/>
                <w:szCs w:val="22"/>
              </w:rPr>
              <w:t xml:space="preserve"> el incremento de oferta de energía a partir de fuentes no convencionales de energías renovables -FNCER-; y (iii) este incremento</w:t>
            </w:r>
            <w:r w:rsidRPr="00F2273F">
              <w:rPr>
                <w:bCs/>
                <w:sz w:val="28"/>
                <w:szCs w:val="22"/>
              </w:rPr>
              <w:t xml:space="preserve"> de oferta a partir de FNCER implica la materialización de los objetivos del PND enfocados en la transición a una matriz energética más limpia, con un impacto benéfico en términos de preservación ambiental y cambio climático. </w:t>
            </w:r>
          </w:p>
          <w:p w:rsidR="00D15AFF" w:rsidRPr="00F2273F" w:rsidRDefault="00F2273F">
            <w:pPr>
              <w:tabs>
                <w:tab w:val="left" w:pos="567"/>
              </w:tabs>
              <w:ind w:right="51"/>
              <w:jc w:val="both"/>
              <w:rPr>
                <w:bCs/>
                <w:sz w:val="28"/>
                <w:szCs w:val="22"/>
              </w:rPr>
            </w:pPr>
            <w:r w:rsidRPr="00F2273F">
              <w:rPr>
                <w:bCs/>
                <w:sz w:val="28"/>
                <w:szCs w:val="22"/>
              </w:rPr>
              <w:t xml:space="preserve">En cuanto </w:t>
            </w:r>
            <w:r w:rsidRPr="00F2273F">
              <w:rPr>
                <w:bCs/>
                <w:sz w:val="28"/>
                <w:szCs w:val="22"/>
              </w:rPr>
              <w:t>a</w:t>
            </w:r>
            <w:r w:rsidRPr="00F2273F">
              <w:rPr>
                <w:bCs/>
                <w:sz w:val="28"/>
                <w:szCs w:val="22"/>
              </w:rPr>
              <w:t>l cargo</w:t>
            </w:r>
            <w:r w:rsidRPr="00F2273F">
              <w:rPr>
                <w:bCs/>
                <w:sz w:val="28"/>
                <w:szCs w:val="22"/>
              </w:rPr>
              <w:t xml:space="preserve"> por la vio</w:t>
            </w:r>
            <w:r w:rsidRPr="00F2273F">
              <w:rPr>
                <w:bCs/>
                <w:sz w:val="28"/>
                <w:szCs w:val="22"/>
              </w:rPr>
              <w:t>lación de la unidad de materia</w:t>
            </w:r>
            <w:r w:rsidRPr="00F2273F">
              <w:rPr>
                <w:bCs/>
                <w:sz w:val="28"/>
                <w:szCs w:val="22"/>
              </w:rPr>
              <w:t xml:space="preserve"> señaló</w:t>
            </w:r>
            <w:r w:rsidRPr="00F2273F">
              <w:rPr>
                <w:bCs/>
                <w:sz w:val="28"/>
                <w:szCs w:val="22"/>
              </w:rPr>
              <w:t>,</w:t>
            </w:r>
            <w:r w:rsidRPr="00F2273F">
              <w:rPr>
                <w:bCs/>
                <w:sz w:val="28"/>
                <w:szCs w:val="22"/>
              </w:rPr>
              <w:t xml:space="preserve"> en primer lugar, que la instrumentalidad de una disposición no </w:t>
            </w:r>
            <w:r w:rsidRPr="00F2273F">
              <w:rPr>
                <w:bCs/>
                <w:sz w:val="28"/>
                <w:szCs w:val="22"/>
              </w:rPr>
              <w:t>de</w:t>
            </w:r>
            <w:r w:rsidRPr="00F2273F">
              <w:rPr>
                <w:bCs/>
                <w:sz w:val="28"/>
                <w:szCs w:val="22"/>
              </w:rPr>
              <w:t xml:space="preserve">pende de su ubicación en el PND, sino de la vocación para impulsar el cumplimiento </w:t>
            </w:r>
            <w:r w:rsidRPr="00F2273F">
              <w:rPr>
                <w:bCs/>
                <w:sz w:val="28"/>
                <w:szCs w:val="22"/>
              </w:rPr>
              <w:t>de este</w:t>
            </w:r>
            <w:r w:rsidRPr="00F2273F">
              <w:rPr>
                <w:bCs/>
                <w:sz w:val="28"/>
                <w:szCs w:val="22"/>
              </w:rPr>
              <w:t xml:space="preserve">. Por el contrario, en las primeras disposiciones del plan </w:t>
            </w:r>
            <w:r w:rsidRPr="00F2273F">
              <w:rPr>
                <w:bCs/>
                <w:sz w:val="28"/>
                <w:szCs w:val="22"/>
              </w:rPr>
              <w:t xml:space="preserve">se </w:t>
            </w:r>
            <w:r w:rsidRPr="00F2273F">
              <w:rPr>
                <w:bCs/>
                <w:sz w:val="28"/>
                <w:szCs w:val="22"/>
              </w:rPr>
              <w:t>alude</w:t>
            </w:r>
            <w:r w:rsidRPr="00F2273F">
              <w:rPr>
                <w:bCs/>
                <w:sz w:val="28"/>
                <w:szCs w:val="22"/>
              </w:rPr>
              <w:t xml:space="preserve"> a</w:t>
            </w:r>
            <w:r w:rsidRPr="00F2273F">
              <w:rPr>
                <w:bCs/>
                <w:sz w:val="28"/>
                <w:szCs w:val="22"/>
              </w:rPr>
              <w:t xml:space="preserve"> la transformación productiva, </w:t>
            </w:r>
            <w:r w:rsidRPr="00F2273F">
              <w:rPr>
                <w:bCs/>
                <w:sz w:val="28"/>
                <w:szCs w:val="22"/>
              </w:rPr>
              <w:t xml:space="preserve">la </w:t>
            </w:r>
            <w:r w:rsidRPr="00F2273F">
              <w:rPr>
                <w:bCs/>
                <w:sz w:val="28"/>
                <w:szCs w:val="22"/>
              </w:rPr>
              <w:t xml:space="preserve">internacionalización y </w:t>
            </w:r>
            <w:r w:rsidRPr="00F2273F">
              <w:rPr>
                <w:bCs/>
                <w:sz w:val="28"/>
                <w:szCs w:val="22"/>
              </w:rPr>
              <w:t xml:space="preserve">la </w:t>
            </w:r>
            <w:r w:rsidRPr="00F2273F">
              <w:rPr>
                <w:bCs/>
                <w:sz w:val="28"/>
                <w:szCs w:val="22"/>
              </w:rPr>
              <w:t>acción climática como ejes del plan, elemento</w:t>
            </w:r>
            <w:r w:rsidRPr="00F2273F">
              <w:rPr>
                <w:bCs/>
                <w:sz w:val="28"/>
                <w:szCs w:val="22"/>
              </w:rPr>
              <w:t>s</w:t>
            </w:r>
            <w:r w:rsidRPr="00F2273F">
              <w:rPr>
                <w:bCs/>
                <w:sz w:val="28"/>
                <w:szCs w:val="22"/>
              </w:rPr>
              <w:t xml:space="preserve"> programático</w:t>
            </w:r>
            <w:r w:rsidRPr="00F2273F">
              <w:rPr>
                <w:bCs/>
                <w:sz w:val="28"/>
                <w:szCs w:val="22"/>
              </w:rPr>
              <w:t>s</w:t>
            </w:r>
            <w:r w:rsidRPr="00F2273F">
              <w:rPr>
                <w:bCs/>
                <w:sz w:val="28"/>
                <w:szCs w:val="22"/>
              </w:rPr>
              <w:t xml:space="preserve"> cuya eficacia es consecuencia de disposiciones instrumentales, como el artículo 372, entre otras. </w:t>
            </w:r>
          </w:p>
          <w:p w:rsidR="00D15AFF" w:rsidRPr="00F2273F" w:rsidRDefault="00F2273F" w:rsidP="1A65911F">
            <w:pPr>
              <w:tabs>
                <w:tab w:val="left" w:pos="567"/>
              </w:tabs>
              <w:ind w:right="51"/>
              <w:jc w:val="both"/>
              <w:rPr>
                <w:sz w:val="28"/>
                <w:szCs w:val="22"/>
              </w:rPr>
            </w:pPr>
            <w:r w:rsidRPr="00F2273F">
              <w:rPr>
                <w:sz w:val="28"/>
                <w:szCs w:val="22"/>
              </w:rPr>
              <w:t xml:space="preserve">En segundo lugar, consideró </w:t>
            </w:r>
            <w:r w:rsidRPr="00F2273F">
              <w:rPr>
                <w:sz w:val="28"/>
                <w:szCs w:val="22"/>
              </w:rPr>
              <w:t>que las referencias programáticas del plan evidencian la conexión directa e inmediata de la derogatoria cuestionada con la parte general del PND, pues derogar la prohibición de integración vertical entre la generación y la transmisión, es una condición nor</w:t>
            </w:r>
            <w:r w:rsidRPr="00F2273F">
              <w:rPr>
                <w:sz w:val="28"/>
                <w:szCs w:val="22"/>
              </w:rPr>
              <w:t>mativa esencial para realizarlas. Explicó que, si bien el Congreso optó por eliminar el artículo 218 del proyecto de ley del plan -que proponía modificar el artículo 74 de la Ley 143- tras considerar los altos riesgos que representaba para la libre compete</w:t>
            </w:r>
            <w:r w:rsidRPr="00F2273F">
              <w:rPr>
                <w:sz w:val="28"/>
                <w:szCs w:val="22"/>
              </w:rPr>
              <w:t>ncia, al derogarse el parágrafo tercero de los artículos 167 de la Ley 142 y del artículo 32 de la Ley 143 se entiende que cambió el alcance del artículo 74 mencionado. Así, “varió</w:t>
            </w:r>
            <w:r w:rsidRPr="00F2273F">
              <w:rPr>
                <w:sz w:val="28"/>
                <w:szCs w:val="22"/>
              </w:rPr>
              <w:t xml:space="preserve"> </w:t>
            </w:r>
            <w:r w:rsidRPr="00F2273F">
              <w:rPr>
                <w:sz w:val="28"/>
                <w:szCs w:val="22"/>
              </w:rPr>
              <w:t>[el artículo 74] en el sentido de “permitir” no solo la integración vertica</w:t>
            </w:r>
            <w:r w:rsidRPr="00F2273F">
              <w:rPr>
                <w:sz w:val="28"/>
                <w:szCs w:val="22"/>
              </w:rPr>
              <w:t>l entre generación, distribución y comercialización por expresa disposición legal, sino, además, entre generación y transmisión por ausencia de prohibición expresa</w:t>
            </w:r>
            <w:r w:rsidRPr="00F2273F">
              <w:rPr>
                <w:sz w:val="28"/>
                <w:szCs w:val="22"/>
              </w:rPr>
              <w:t>, por lo que debe concluirse que el supuesto de integración vertical está permitido</w:t>
            </w:r>
            <w:r w:rsidRPr="00F2273F">
              <w:rPr>
                <w:sz w:val="28"/>
                <w:szCs w:val="22"/>
              </w:rPr>
              <w:t>. Esto, po</w:t>
            </w:r>
            <w:r w:rsidRPr="00F2273F">
              <w:rPr>
                <w:sz w:val="28"/>
                <w:szCs w:val="22"/>
              </w:rPr>
              <w:t>r supuesto, redunda en superar una restricción explícita que existía en contra de la libertad de entrada de ISA en la actividad de generación, lo cual, por cierto, vulneraba el principio de igualdad en la medida en que tal restricción solo afectaba a la em</w:t>
            </w:r>
            <w:r w:rsidRPr="00F2273F">
              <w:rPr>
                <w:sz w:val="28"/>
                <w:szCs w:val="22"/>
              </w:rPr>
              <w:t>presa de interconexión nacional”</w:t>
            </w:r>
            <w:r w:rsidRPr="00F2273F">
              <w:rPr>
                <w:rStyle w:val="Refdenotaalpie"/>
                <w:sz w:val="28"/>
                <w:szCs w:val="22"/>
              </w:rPr>
              <w:footnoteReference w:id="21"/>
            </w:r>
            <w:r w:rsidRPr="00F2273F">
              <w:rPr>
                <w:sz w:val="28"/>
                <w:szCs w:val="22"/>
              </w:rPr>
              <w:t xml:space="preserve">. </w:t>
            </w:r>
          </w:p>
          <w:p w:rsidR="00D15AFF" w:rsidRPr="00F2273F" w:rsidRDefault="00F2273F" w:rsidP="00602714">
            <w:pPr>
              <w:tabs>
                <w:tab w:val="left" w:pos="567"/>
              </w:tabs>
              <w:ind w:right="51"/>
              <w:jc w:val="both"/>
              <w:rPr>
                <w:bCs/>
                <w:sz w:val="28"/>
                <w:szCs w:val="22"/>
              </w:rPr>
            </w:pPr>
            <w:r w:rsidRPr="00F2273F">
              <w:rPr>
                <w:bCs/>
                <w:sz w:val="28"/>
                <w:szCs w:val="22"/>
              </w:rPr>
              <w:t>En tercer lugar, señaló que el Plan Plurianual de Inversiones incluye recursos tanto para el sector energético, como para el impulso a la transformación de la matriz energética hacia fuentes más limpias y sostenibles, lo</w:t>
            </w:r>
            <w:r w:rsidRPr="00F2273F">
              <w:rPr>
                <w:bCs/>
                <w:sz w:val="28"/>
                <w:szCs w:val="22"/>
              </w:rPr>
              <w:t xml:space="preserve"> que coincide con el fin buscado por la derogatoria demandada.</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María</w:t>
            </w:r>
            <w:r w:rsidRPr="00F2273F">
              <w:rPr>
                <w:bCs/>
                <w:sz w:val="28"/>
                <w:szCs w:val="22"/>
              </w:rPr>
              <w:t xml:space="preserve"> Ximena Valencia López</w:t>
            </w:r>
            <w:r w:rsidRPr="00F2273F">
              <w:rPr>
                <w:rStyle w:val="Refdenotaalpie"/>
                <w:bCs/>
                <w:sz w:val="28"/>
                <w:szCs w:val="22"/>
              </w:rPr>
              <w:footnoteReference w:id="22"/>
            </w:r>
          </w:p>
          <w:p w:rsidR="00275374" w:rsidRPr="00F2273F" w:rsidRDefault="00F2273F">
            <w:pPr>
              <w:tabs>
                <w:tab w:val="left" w:pos="567"/>
              </w:tabs>
              <w:ind w:right="51"/>
              <w:jc w:val="center"/>
              <w:rPr>
                <w:bCs/>
                <w:sz w:val="28"/>
                <w:szCs w:val="22"/>
              </w:rPr>
            </w:pPr>
            <w:r w:rsidRPr="00F2273F">
              <w:rPr>
                <w:bCs/>
                <w:sz w:val="28"/>
                <w:szCs w:val="22"/>
              </w:rPr>
              <w:t>(interviniente)</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Exequibilidad</w:t>
            </w:r>
            <w:r w:rsidRPr="00F2273F">
              <w:rPr>
                <w:bCs/>
                <w:sz w:val="28"/>
                <w:szCs w:val="22"/>
              </w:rPr>
              <w:t>. La ciudadana señaló que la derogatoria ordenada con la disposición acusada se ajusta a la Constitución. De una parte, permite que IS</w:t>
            </w:r>
            <w:r w:rsidRPr="00F2273F">
              <w:rPr>
                <w:bCs/>
                <w:sz w:val="28"/>
                <w:szCs w:val="22"/>
              </w:rPr>
              <w:t>A ejerza su autonomía empresarial para desarrollar integradamente distintas actividades dentro de la cadena de valor del mercado de energía eléctrica propias de la transformación productiva y la transición energética</w:t>
            </w:r>
            <w:r w:rsidRPr="00F2273F">
              <w:rPr>
                <w:bCs/>
                <w:sz w:val="28"/>
                <w:szCs w:val="22"/>
              </w:rPr>
              <w:t>. De otra parte</w:t>
            </w:r>
            <w:r w:rsidRPr="00F2273F">
              <w:rPr>
                <w:bCs/>
                <w:sz w:val="28"/>
                <w:szCs w:val="22"/>
              </w:rPr>
              <w:t>, no limita las potestade</w:t>
            </w:r>
            <w:r w:rsidRPr="00F2273F">
              <w:rPr>
                <w:bCs/>
                <w:sz w:val="28"/>
                <w:szCs w:val="22"/>
              </w:rPr>
              <w:t>s de los órganos que vigilan y controlan el sector. En su parecer, todo ello hizo parte estructural de la discusión del PND desde su radicación ante el Congreso, y afirmó que el cambio normativo introducido permite diversificar la base de</w:t>
            </w:r>
            <w:r w:rsidRPr="00F2273F">
              <w:rPr>
                <w:bCs/>
                <w:sz w:val="28"/>
                <w:szCs w:val="22"/>
              </w:rPr>
              <w:t xml:space="preserve"> los</w:t>
            </w:r>
            <w:r w:rsidRPr="00F2273F">
              <w:rPr>
                <w:bCs/>
                <w:sz w:val="28"/>
                <w:szCs w:val="22"/>
              </w:rPr>
              <w:t xml:space="preserve"> proyectos, as</w:t>
            </w:r>
            <w:r w:rsidRPr="00F2273F">
              <w:rPr>
                <w:bCs/>
                <w:sz w:val="28"/>
                <w:szCs w:val="22"/>
              </w:rPr>
              <w:t xml:space="preserve">í como </w:t>
            </w:r>
            <w:r w:rsidRPr="00F2273F">
              <w:rPr>
                <w:bCs/>
                <w:sz w:val="28"/>
                <w:szCs w:val="22"/>
              </w:rPr>
              <w:t xml:space="preserve">provoca </w:t>
            </w:r>
            <w:r w:rsidRPr="00F2273F">
              <w:rPr>
                <w:bCs/>
                <w:sz w:val="28"/>
                <w:szCs w:val="22"/>
              </w:rPr>
              <w:t xml:space="preserve">una mayor capacidad de generación para abordar la escasez de oferta energética </w:t>
            </w:r>
            <w:r w:rsidRPr="00F2273F">
              <w:rPr>
                <w:bCs/>
                <w:sz w:val="28"/>
                <w:szCs w:val="22"/>
              </w:rPr>
              <w:t>que se anticipa sucederá en</w:t>
            </w:r>
            <w:r w:rsidRPr="00F2273F">
              <w:rPr>
                <w:bCs/>
                <w:sz w:val="28"/>
                <w:szCs w:val="22"/>
              </w:rPr>
              <w:t xml:space="preserve"> los años 2027 y 2028.</w:t>
            </w:r>
          </w:p>
        </w:tc>
      </w:tr>
      <w:tr w:rsidR="00974547" w:rsidRPr="00F2273F" w:rsidTr="00D1787F">
        <w:trPr>
          <w:trHeight w:val="1030"/>
        </w:trPr>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Agremiación de</w:t>
            </w:r>
          </w:p>
          <w:p w:rsidR="00D15AFF" w:rsidRPr="00F2273F" w:rsidRDefault="00F2273F">
            <w:pPr>
              <w:tabs>
                <w:tab w:val="left" w:pos="567"/>
              </w:tabs>
              <w:ind w:right="51"/>
              <w:jc w:val="center"/>
              <w:rPr>
                <w:bCs/>
                <w:sz w:val="28"/>
                <w:szCs w:val="22"/>
              </w:rPr>
            </w:pPr>
            <w:r w:rsidRPr="00F2273F">
              <w:rPr>
                <w:bCs/>
                <w:sz w:val="28"/>
                <w:szCs w:val="22"/>
              </w:rPr>
              <w:t>distribuidoras y comercializadoras de energía sin generación despachada</w:t>
            </w:r>
          </w:p>
          <w:p w:rsidR="00D15AFF" w:rsidRPr="00F2273F" w:rsidRDefault="00F2273F">
            <w:pPr>
              <w:tabs>
                <w:tab w:val="left" w:pos="567"/>
              </w:tabs>
              <w:ind w:right="51"/>
              <w:jc w:val="center"/>
              <w:rPr>
                <w:bCs/>
                <w:sz w:val="28"/>
                <w:szCs w:val="22"/>
              </w:rPr>
            </w:pPr>
            <w:r w:rsidRPr="00F2273F">
              <w:rPr>
                <w:bCs/>
                <w:sz w:val="28"/>
                <w:szCs w:val="22"/>
              </w:rPr>
              <w:t>centralmente - CODISGEN</w:t>
            </w:r>
            <w:r w:rsidRPr="00F2273F">
              <w:rPr>
                <w:rStyle w:val="Refdenotaalpie"/>
                <w:bCs/>
                <w:sz w:val="28"/>
                <w:szCs w:val="22"/>
              </w:rPr>
              <w:footnoteReference w:id="23"/>
            </w:r>
          </w:p>
          <w:p w:rsidR="00275374" w:rsidRPr="00F2273F" w:rsidRDefault="00F2273F">
            <w:pPr>
              <w:tabs>
                <w:tab w:val="left" w:pos="567"/>
              </w:tabs>
              <w:ind w:right="51"/>
              <w:jc w:val="center"/>
              <w:rPr>
                <w:bCs/>
                <w:sz w:val="28"/>
                <w:szCs w:val="22"/>
              </w:rPr>
            </w:pPr>
            <w:r w:rsidRPr="00F2273F">
              <w:rPr>
                <w:bCs/>
                <w:sz w:val="28"/>
                <w:szCs w:val="22"/>
              </w:rPr>
              <w:t xml:space="preserve">(interviniente) </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Exequibilidad</w:t>
            </w:r>
            <w:r w:rsidRPr="00F2273F">
              <w:rPr>
                <w:bCs/>
                <w:sz w:val="28"/>
                <w:szCs w:val="22"/>
              </w:rPr>
              <w:t xml:space="preserve">. Indicó que la expedición de la norma acusada sí se ajustó a los principios de consecutividad, identidad flexible y unidad de materia, pues permitir a ISA el desarrollo integrado de la actividad de transmisión con todas las </w:t>
            </w:r>
            <w:r w:rsidRPr="00F2273F">
              <w:rPr>
                <w:bCs/>
                <w:sz w:val="28"/>
                <w:szCs w:val="22"/>
              </w:rPr>
              <w:t xml:space="preserve">otras actividades que </w:t>
            </w:r>
            <w:r w:rsidRPr="00F2273F">
              <w:rPr>
                <w:bCs/>
                <w:sz w:val="28"/>
                <w:szCs w:val="22"/>
              </w:rPr>
              <w:t>conforman</w:t>
            </w:r>
            <w:r w:rsidRPr="00F2273F">
              <w:rPr>
                <w:bCs/>
                <w:sz w:val="28"/>
                <w:szCs w:val="22"/>
              </w:rPr>
              <w:t xml:space="preserve"> la cadena de generación de energía eléctrica, hizo parte de la deliberación desde el primer debate del proyecto de ley. Esta temática se incluyó en las Bases del PND, porque fue voluntad del legislador levantar las barreras </w:t>
            </w:r>
            <w:r w:rsidRPr="00F2273F">
              <w:rPr>
                <w:bCs/>
                <w:sz w:val="28"/>
                <w:szCs w:val="22"/>
              </w:rPr>
              <w:t xml:space="preserve">a la competencia en el mercado eléctrico colombiano. </w:t>
            </w:r>
          </w:p>
          <w:p w:rsidR="00D15AFF" w:rsidRPr="00F2273F" w:rsidRDefault="00F2273F">
            <w:pPr>
              <w:tabs>
                <w:tab w:val="left" w:pos="567"/>
              </w:tabs>
              <w:ind w:right="51"/>
              <w:jc w:val="both"/>
              <w:rPr>
                <w:bCs/>
                <w:sz w:val="28"/>
                <w:szCs w:val="22"/>
              </w:rPr>
            </w:pPr>
            <w:r w:rsidRPr="00F2273F">
              <w:rPr>
                <w:bCs/>
                <w:sz w:val="28"/>
                <w:szCs w:val="22"/>
              </w:rPr>
              <w:t xml:space="preserve">Expuso gráficos de los que concluyó que el mercado de generación del país es </w:t>
            </w:r>
            <w:r w:rsidRPr="00F2273F">
              <w:rPr>
                <w:bCs/>
                <w:i/>
                <w:iCs/>
                <w:sz w:val="28"/>
                <w:szCs w:val="22"/>
              </w:rPr>
              <w:t xml:space="preserve">oligopólico, </w:t>
            </w:r>
            <w:r w:rsidRPr="00F2273F">
              <w:rPr>
                <w:bCs/>
                <w:sz w:val="28"/>
                <w:szCs w:val="22"/>
              </w:rPr>
              <w:t>lo cual en periodos de estiaje dificulta el funcionamiento eficiente del mercado</w:t>
            </w:r>
            <w:r w:rsidRPr="00F2273F">
              <w:rPr>
                <w:bCs/>
                <w:sz w:val="28"/>
                <w:szCs w:val="22"/>
              </w:rPr>
              <w:t xml:space="preserve"> y</w:t>
            </w:r>
            <w:r w:rsidRPr="00F2273F">
              <w:rPr>
                <w:bCs/>
                <w:sz w:val="28"/>
                <w:szCs w:val="22"/>
              </w:rPr>
              <w:t xml:space="preserve"> </w:t>
            </w:r>
            <w:r w:rsidRPr="00F2273F">
              <w:rPr>
                <w:bCs/>
                <w:sz w:val="28"/>
                <w:szCs w:val="22"/>
              </w:rPr>
              <w:t>termina por</w:t>
            </w:r>
            <w:r w:rsidRPr="00F2273F">
              <w:rPr>
                <w:bCs/>
                <w:sz w:val="28"/>
                <w:szCs w:val="22"/>
              </w:rPr>
              <w:t xml:space="preserve"> trasladar a los c</w:t>
            </w:r>
            <w:r w:rsidRPr="00F2273F">
              <w:rPr>
                <w:bCs/>
                <w:sz w:val="28"/>
                <w:szCs w:val="22"/>
              </w:rPr>
              <w:t>ompradores en la bolsa precios que no reflejan el verdadero valor económico de los recursos. Consideró también que desde hace más de 30 años ISA era la única empresa que no se podía integrar, prohibición que en un principio quiso impedir el abuso de la pos</w:t>
            </w:r>
            <w:r w:rsidRPr="00F2273F">
              <w:rPr>
                <w:bCs/>
                <w:sz w:val="28"/>
                <w:szCs w:val="22"/>
              </w:rPr>
              <w:t>ición dominante</w:t>
            </w:r>
            <w:r w:rsidRPr="00F2273F">
              <w:rPr>
                <w:bCs/>
                <w:sz w:val="28"/>
                <w:szCs w:val="22"/>
              </w:rPr>
              <w:t>,</w:t>
            </w:r>
            <w:r w:rsidRPr="00F2273F">
              <w:rPr>
                <w:bCs/>
                <w:sz w:val="28"/>
                <w:szCs w:val="22"/>
              </w:rPr>
              <w:t xml:space="preserve"> pero </w:t>
            </w:r>
            <w:r w:rsidRPr="00F2273F">
              <w:rPr>
                <w:bCs/>
                <w:sz w:val="28"/>
                <w:szCs w:val="22"/>
              </w:rPr>
              <w:t>significó</w:t>
            </w:r>
            <w:r w:rsidRPr="00F2273F">
              <w:rPr>
                <w:bCs/>
                <w:sz w:val="28"/>
                <w:szCs w:val="22"/>
              </w:rPr>
              <w:t xml:space="preserve"> violar el derecho a la libertad de empresa e incentivar que otros agentes no estatales sí ejercieran su poder dominante.</w:t>
            </w:r>
          </w:p>
          <w:p w:rsidR="00D15AFF" w:rsidRPr="00F2273F" w:rsidRDefault="00F2273F">
            <w:pPr>
              <w:tabs>
                <w:tab w:val="left" w:pos="567"/>
              </w:tabs>
              <w:ind w:right="51"/>
              <w:jc w:val="both"/>
              <w:rPr>
                <w:bCs/>
                <w:sz w:val="28"/>
                <w:szCs w:val="22"/>
              </w:rPr>
            </w:pPr>
            <w:r w:rsidRPr="00F2273F">
              <w:rPr>
                <w:bCs/>
                <w:sz w:val="28"/>
                <w:szCs w:val="22"/>
              </w:rPr>
              <w:t xml:space="preserve">Otras consideraciones </w:t>
            </w:r>
            <w:r w:rsidRPr="00F2273F">
              <w:rPr>
                <w:bCs/>
                <w:sz w:val="28"/>
                <w:szCs w:val="22"/>
              </w:rPr>
              <w:t>expuestas</w:t>
            </w:r>
            <w:r w:rsidRPr="00F2273F">
              <w:rPr>
                <w:bCs/>
                <w:sz w:val="28"/>
                <w:szCs w:val="22"/>
              </w:rPr>
              <w:t xml:space="preserve"> coinciden con las presentadas por la ciudadana María Ximena Valencia López.</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Ecopetrol S.A.</w:t>
            </w:r>
            <w:r w:rsidRPr="00F2273F">
              <w:rPr>
                <w:rStyle w:val="Refdenotaalpie"/>
                <w:bCs/>
                <w:sz w:val="28"/>
                <w:szCs w:val="22"/>
              </w:rPr>
              <w:footnoteReference w:id="24"/>
            </w:r>
          </w:p>
          <w:p w:rsidR="00275374" w:rsidRPr="00F2273F" w:rsidRDefault="00F2273F">
            <w:pPr>
              <w:tabs>
                <w:tab w:val="left" w:pos="567"/>
              </w:tabs>
              <w:ind w:right="51"/>
              <w:jc w:val="center"/>
              <w:rPr>
                <w:bCs/>
                <w:sz w:val="28"/>
                <w:szCs w:val="22"/>
              </w:rPr>
            </w:pPr>
            <w:r w:rsidRPr="00F2273F">
              <w:rPr>
                <w:bCs/>
                <w:sz w:val="28"/>
                <w:szCs w:val="22"/>
              </w:rPr>
              <w:t xml:space="preserve">(interviniente) </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Coadyuva</w:t>
            </w:r>
            <w:r w:rsidRPr="00F2273F">
              <w:rPr>
                <w:bCs/>
                <w:i/>
                <w:iCs/>
                <w:sz w:val="28"/>
                <w:szCs w:val="22"/>
              </w:rPr>
              <w:t>ncia de la</w:t>
            </w:r>
            <w:r w:rsidRPr="00F2273F">
              <w:rPr>
                <w:bCs/>
                <w:i/>
                <w:iCs/>
                <w:sz w:val="28"/>
                <w:szCs w:val="22"/>
              </w:rPr>
              <w:t xml:space="preserve"> solicitud de exequibilidad.</w:t>
            </w:r>
            <w:r w:rsidRPr="00F2273F">
              <w:rPr>
                <w:bCs/>
                <w:sz w:val="28"/>
                <w:szCs w:val="22"/>
              </w:rPr>
              <w:t xml:space="preserve"> Expuso que,</w:t>
            </w:r>
            <w:r w:rsidRPr="00F2273F">
              <w:rPr>
                <w:bCs/>
                <w:sz w:val="28"/>
                <w:szCs w:val="22"/>
              </w:rPr>
              <w:t xml:space="preserve"> </w:t>
            </w:r>
            <w:r w:rsidRPr="00F2273F">
              <w:rPr>
                <w:bCs/>
                <w:sz w:val="28"/>
                <w:szCs w:val="22"/>
              </w:rPr>
              <w:t>sucedida la adquisición de la participación accionaria mayoritaria de</w:t>
            </w:r>
            <w:r w:rsidRPr="00F2273F">
              <w:rPr>
                <w:bCs/>
                <w:sz w:val="28"/>
                <w:szCs w:val="22"/>
              </w:rPr>
              <w:t xml:space="preserve"> la empresa</w:t>
            </w:r>
            <w:r w:rsidRPr="00F2273F">
              <w:rPr>
                <w:bCs/>
                <w:sz w:val="28"/>
                <w:szCs w:val="22"/>
              </w:rPr>
              <w:t xml:space="preserve"> ISA, esta apalancó uno de los pilares de la estrategia empresarial del Grupo Ecopetrol denominado </w:t>
            </w:r>
            <w:r w:rsidRPr="00F2273F">
              <w:rPr>
                <w:bCs/>
                <w:sz w:val="28"/>
                <w:szCs w:val="22"/>
              </w:rPr>
              <w:t>“</w:t>
            </w:r>
            <w:r w:rsidRPr="00F2273F">
              <w:rPr>
                <w:i/>
                <w:sz w:val="28"/>
                <w:szCs w:val="22"/>
              </w:rPr>
              <w:t>Crecer con la transición energética</w:t>
            </w:r>
            <w:r w:rsidRPr="00F2273F">
              <w:rPr>
                <w:bCs/>
                <w:sz w:val="28"/>
                <w:szCs w:val="22"/>
              </w:rPr>
              <w:t>”</w:t>
            </w:r>
            <w:r w:rsidRPr="00F2273F">
              <w:rPr>
                <w:bCs/>
                <w:sz w:val="28"/>
                <w:szCs w:val="22"/>
              </w:rPr>
              <w:t>, sin que por ello se comprometiera o afectara la autonomía e independencia de gestión por parte de ISA y el gobierno co</w:t>
            </w:r>
            <w:r w:rsidRPr="00F2273F">
              <w:rPr>
                <w:bCs/>
                <w:sz w:val="28"/>
                <w:szCs w:val="22"/>
              </w:rPr>
              <w:t xml:space="preserve">rporativo respectivo, conservando </w:t>
            </w:r>
            <w:r w:rsidRPr="00F2273F">
              <w:rPr>
                <w:bCs/>
                <w:sz w:val="28"/>
                <w:szCs w:val="22"/>
              </w:rPr>
              <w:t xml:space="preserve">esta </w:t>
            </w:r>
            <w:r w:rsidRPr="00F2273F">
              <w:rPr>
                <w:bCs/>
                <w:sz w:val="28"/>
                <w:szCs w:val="22"/>
              </w:rPr>
              <w:t xml:space="preserve">su propia personería jurídica. </w:t>
            </w:r>
          </w:p>
          <w:p w:rsidR="00D15AFF" w:rsidRPr="00F2273F" w:rsidRDefault="00F2273F">
            <w:pPr>
              <w:tabs>
                <w:tab w:val="left" w:pos="567"/>
              </w:tabs>
              <w:ind w:right="51"/>
              <w:jc w:val="both"/>
              <w:rPr>
                <w:bCs/>
                <w:sz w:val="28"/>
                <w:szCs w:val="22"/>
              </w:rPr>
            </w:pPr>
            <w:r w:rsidRPr="00F2273F">
              <w:rPr>
                <w:bCs/>
                <w:sz w:val="28"/>
                <w:szCs w:val="22"/>
              </w:rPr>
              <w:t xml:space="preserve">Partiendo de ese entendimiento, solicitó declarar la exequibilidad de los apartes demandados. En concreto, frente al cargo </w:t>
            </w:r>
            <w:r w:rsidRPr="00F2273F">
              <w:rPr>
                <w:bCs/>
                <w:sz w:val="28"/>
                <w:szCs w:val="22"/>
              </w:rPr>
              <w:t xml:space="preserve">por </w:t>
            </w:r>
            <w:r w:rsidRPr="00F2273F">
              <w:rPr>
                <w:bCs/>
                <w:sz w:val="28"/>
                <w:szCs w:val="22"/>
              </w:rPr>
              <w:t>vulneración del principio de consecutividad, afirmó que la</w:t>
            </w:r>
            <w:r w:rsidRPr="00F2273F">
              <w:rPr>
                <w:bCs/>
                <w:sz w:val="28"/>
                <w:szCs w:val="22"/>
              </w:rPr>
              <w:t xml:space="preserve"> regulación vigente permite introducir modificaciones, adiciones y supresiones en el segundo debate, para lo cual se presentó el pliego modificatorio en el caso estudiado.  Tampoco se eludió el debate legislativo, pues se cumplió en debida forma con la pub</w:t>
            </w:r>
            <w:r w:rsidRPr="00F2273F">
              <w:rPr>
                <w:bCs/>
                <w:sz w:val="28"/>
                <w:szCs w:val="22"/>
              </w:rPr>
              <w:t xml:space="preserve">licación, así como se garantizó que los congresistas tuvieran conocimiento de las derogatorias aludidas antes y durante la plenaria, y que pudieran acceder a las mismas en el canal virtual dispuesto para ese fin. En efecto, en la Gaceta No. 388 de 2023 se </w:t>
            </w:r>
            <w:r w:rsidRPr="00F2273F">
              <w:rPr>
                <w:bCs/>
                <w:sz w:val="28"/>
                <w:szCs w:val="22"/>
              </w:rPr>
              <w:t>aprecia una tabla a doble columna donde se menciona el texto aprobado en primer debate y el pliego modificatorio con las propuestas de cambio, entre las que se incluyen los apartes hoy acusados.</w:t>
            </w:r>
          </w:p>
          <w:p w:rsidR="00D15AFF" w:rsidRPr="00F2273F" w:rsidRDefault="00F2273F">
            <w:pPr>
              <w:tabs>
                <w:tab w:val="left" w:pos="567"/>
              </w:tabs>
              <w:ind w:right="51"/>
              <w:jc w:val="both"/>
              <w:rPr>
                <w:bCs/>
                <w:i/>
                <w:iCs/>
                <w:sz w:val="28"/>
                <w:szCs w:val="22"/>
              </w:rPr>
            </w:pPr>
            <w:r w:rsidRPr="00F2273F">
              <w:rPr>
                <w:bCs/>
                <w:sz w:val="28"/>
                <w:szCs w:val="22"/>
              </w:rPr>
              <w:t xml:space="preserve">Con relación al cargo </w:t>
            </w:r>
            <w:r w:rsidRPr="00F2273F">
              <w:rPr>
                <w:bCs/>
                <w:sz w:val="28"/>
                <w:szCs w:val="22"/>
              </w:rPr>
              <w:t xml:space="preserve">por </w:t>
            </w:r>
            <w:r w:rsidRPr="00F2273F">
              <w:rPr>
                <w:bCs/>
                <w:sz w:val="28"/>
                <w:szCs w:val="22"/>
              </w:rPr>
              <w:t>violación del principio de unidad d</w:t>
            </w:r>
            <w:r w:rsidRPr="00F2273F">
              <w:rPr>
                <w:bCs/>
                <w:sz w:val="28"/>
                <w:szCs w:val="22"/>
              </w:rPr>
              <w:t>e materia, aclaró que la derogatoria pretende eliminar la limitación aplicable a ISA como agente de mercado de energía eléctrica, y tiene como finalidad materializar los objetivos expuestos en el PND y las Bases en materia de transición económica y energét</w:t>
            </w:r>
            <w:r w:rsidRPr="00F2273F">
              <w:rPr>
                <w:bCs/>
                <w:sz w:val="28"/>
                <w:szCs w:val="22"/>
              </w:rPr>
              <w:t xml:space="preserve">ica, con lo que se evidencia su carácter instrumental y </w:t>
            </w:r>
            <w:r w:rsidRPr="00F2273F">
              <w:rPr>
                <w:bCs/>
                <w:sz w:val="28"/>
                <w:szCs w:val="22"/>
              </w:rPr>
              <w:t xml:space="preserve">la </w:t>
            </w:r>
            <w:r w:rsidRPr="00F2273F">
              <w:rPr>
                <w:bCs/>
                <w:sz w:val="28"/>
                <w:szCs w:val="22"/>
              </w:rPr>
              <w:t>necesidad de que trascienda la temporalidad del plan. Agregó que la ubicación de una disposición no determina su naturaleza instrumental, pues este criterio es meramente orientador. Por último, ind</w:t>
            </w:r>
            <w:r w:rsidRPr="00F2273F">
              <w:rPr>
                <w:bCs/>
                <w:sz w:val="28"/>
                <w:szCs w:val="22"/>
              </w:rPr>
              <w:t xml:space="preserve">icó que las dos normas que señalan los accionantes (artículo 218 PL eliminado y artículo 372 sancionado) guardan relación, pero de la derogatoria demandada no se predica una subsidiariedad </w:t>
            </w:r>
            <w:r w:rsidRPr="00F2273F">
              <w:rPr>
                <w:bCs/>
                <w:sz w:val="28"/>
                <w:szCs w:val="22"/>
              </w:rPr>
              <w:t xml:space="preserve">respecto </w:t>
            </w:r>
            <w:r w:rsidRPr="00F2273F">
              <w:rPr>
                <w:bCs/>
                <w:sz w:val="28"/>
                <w:szCs w:val="22"/>
              </w:rPr>
              <w:t>de aquella que fue eliminada en el trámite legislativo, po</w:t>
            </w:r>
            <w:r w:rsidRPr="00F2273F">
              <w:rPr>
                <w:bCs/>
                <w:sz w:val="28"/>
                <w:szCs w:val="22"/>
              </w:rPr>
              <w:t xml:space="preserve">r cuanto ambas fueron concebidas de manera independiente. </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Agencia Nacional de Defensa Jurídica del Estado</w:t>
            </w:r>
            <w:r w:rsidRPr="00F2273F">
              <w:rPr>
                <w:rStyle w:val="Refdenotaalpie"/>
                <w:bCs/>
                <w:sz w:val="28"/>
                <w:szCs w:val="22"/>
              </w:rPr>
              <w:footnoteReference w:id="25"/>
            </w:r>
          </w:p>
          <w:p w:rsidR="00275374" w:rsidRPr="00F2273F" w:rsidRDefault="00F2273F">
            <w:pPr>
              <w:tabs>
                <w:tab w:val="left" w:pos="567"/>
              </w:tabs>
              <w:ind w:right="51"/>
              <w:jc w:val="center"/>
              <w:rPr>
                <w:bCs/>
                <w:sz w:val="28"/>
                <w:szCs w:val="22"/>
              </w:rPr>
            </w:pPr>
            <w:r w:rsidRPr="00F2273F">
              <w:rPr>
                <w:bCs/>
                <w:sz w:val="28"/>
                <w:szCs w:val="22"/>
              </w:rPr>
              <w:t xml:space="preserve">(interviniente) </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Exequibilidad</w:t>
            </w:r>
            <w:r w:rsidRPr="00F2273F">
              <w:rPr>
                <w:bCs/>
                <w:sz w:val="28"/>
                <w:szCs w:val="22"/>
              </w:rPr>
              <w:t xml:space="preserve">. Respecto del cargo </w:t>
            </w:r>
            <w:r w:rsidRPr="00F2273F">
              <w:rPr>
                <w:bCs/>
                <w:sz w:val="28"/>
                <w:szCs w:val="22"/>
              </w:rPr>
              <w:t xml:space="preserve">por </w:t>
            </w:r>
            <w:r w:rsidRPr="00F2273F">
              <w:rPr>
                <w:bCs/>
                <w:sz w:val="28"/>
                <w:szCs w:val="22"/>
              </w:rPr>
              <w:t>consecutividad</w:t>
            </w:r>
            <w:r w:rsidRPr="00F2273F">
              <w:rPr>
                <w:bCs/>
                <w:sz w:val="28"/>
                <w:szCs w:val="22"/>
              </w:rPr>
              <w:t xml:space="preserve"> </w:t>
            </w:r>
            <w:r w:rsidRPr="00F2273F">
              <w:rPr>
                <w:bCs/>
                <w:sz w:val="28"/>
                <w:szCs w:val="22"/>
              </w:rPr>
              <w:t xml:space="preserve">explicó que el levantamiento de las barreras del servicio eléctrico que </w:t>
            </w:r>
            <w:r w:rsidRPr="00F2273F">
              <w:rPr>
                <w:bCs/>
                <w:sz w:val="28"/>
                <w:szCs w:val="22"/>
              </w:rPr>
              <w:t>impedía a los agentes la integración de actividades fue uno de los temas de debate en</w:t>
            </w:r>
            <w:r w:rsidRPr="00F2273F">
              <w:rPr>
                <w:bCs/>
                <w:sz w:val="28"/>
                <w:szCs w:val="22"/>
              </w:rPr>
              <w:t xml:space="preserve"> las</w:t>
            </w:r>
            <w:r w:rsidRPr="00F2273F">
              <w:rPr>
                <w:bCs/>
                <w:sz w:val="28"/>
                <w:szCs w:val="22"/>
              </w:rPr>
              <w:t xml:space="preserve"> comisiones conjuntas, en consonancia con los objetivos en materia de transformación energética expuestos en las Bases del </w:t>
            </w:r>
            <w:r w:rsidRPr="00F2273F">
              <w:rPr>
                <w:bCs/>
                <w:sz w:val="28"/>
                <w:szCs w:val="22"/>
              </w:rPr>
              <w:t>P</w:t>
            </w:r>
            <w:r w:rsidRPr="00F2273F">
              <w:rPr>
                <w:bCs/>
                <w:sz w:val="28"/>
                <w:szCs w:val="22"/>
              </w:rPr>
              <w:t>lan. Así, es admisible que durante el segun</w:t>
            </w:r>
            <w:r w:rsidRPr="00F2273F">
              <w:rPr>
                <w:bCs/>
                <w:sz w:val="28"/>
                <w:szCs w:val="22"/>
              </w:rPr>
              <w:t>do debate las cámaras introduzcan modificaciones, adiciones y supresiones</w:t>
            </w:r>
            <w:r w:rsidRPr="00F2273F">
              <w:rPr>
                <w:bCs/>
                <w:sz w:val="28"/>
                <w:szCs w:val="22"/>
              </w:rPr>
              <w:t>,</w:t>
            </w:r>
            <w:r w:rsidRPr="00F2273F">
              <w:rPr>
                <w:bCs/>
                <w:sz w:val="28"/>
                <w:szCs w:val="22"/>
              </w:rPr>
              <w:t xml:space="preserve"> siempre que estas tengan relación con las materias discutidas en primer debate</w:t>
            </w:r>
            <w:r w:rsidRPr="00F2273F">
              <w:rPr>
                <w:sz w:val="28"/>
                <w:szCs w:val="22"/>
              </w:rPr>
              <w:t xml:space="preserve">, lo que </w:t>
            </w:r>
            <w:r w:rsidRPr="00F2273F">
              <w:rPr>
                <w:sz w:val="28"/>
                <w:szCs w:val="22"/>
              </w:rPr>
              <w:t xml:space="preserve">se </w:t>
            </w:r>
            <w:r w:rsidRPr="00F2273F">
              <w:rPr>
                <w:sz w:val="28"/>
                <w:szCs w:val="22"/>
              </w:rPr>
              <w:t xml:space="preserve">sustentó en el trámite legislativo. </w:t>
            </w:r>
          </w:p>
          <w:p w:rsidR="00D15AFF" w:rsidRPr="00F2273F" w:rsidRDefault="00F2273F">
            <w:pPr>
              <w:tabs>
                <w:tab w:val="left" w:pos="567"/>
              </w:tabs>
              <w:ind w:right="51"/>
              <w:jc w:val="both"/>
              <w:rPr>
                <w:bCs/>
                <w:sz w:val="28"/>
                <w:szCs w:val="22"/>
              </w:rPr>
            </w:pPr>
            <w:r w:rsidRPr="00F2273F">
              <w:rPr>
                <w:bCs/>
                <w:sz w:val="28"/>
                <w:szCs w:val="22"/>
              </w:rPr>
              <w:t>R</w:t>
            </w:r>
            <w:r w:rsidRPr="00F2273F">
              <w:rPr>
                <w:bCs/>
                <w:sz w:val="28"/>
                <w:szCs w:val="22"/>
              </w:rPr>
              <w:t xml:space="preserve">especto del principio de unidad de materia, </w:t>
            </w:r>
            <w:r w:rsidRPr="00F2273F">
              <w:rPr>
                <w:sz w:val="28"/>
                <w:szCs w:val="22"/>
              </w:rPr>
              <w:t>sostuvo</w:t>
            </w:r>
            <w:r w:rsidRPr="00F2273F">
              <w:rPr>
                <w:bCs/>
                <w:sz w:val="28"/>
                <w:szCs w:val="22"/>
              </w:rPr>
              <w:t xml:space="preserve"> </w:t>
            </w:r>
            <w:r w:rsidRPr="00F2273F">
              <w:rPr>
                <w:bCs/>
                <w:sz w:val="28"/>
                <w:szCs w:val="22"/>
              </w:rPr>
              <w:t>q</w:t>
            </w:r>
            <w:r w:rsidRPr="00F2273F">
              <w:rPr>
                <w:bCs/>
                <w:sz w:val="28"/>
                <w:szCs w:val="22"/>
              </w:rPr>
              <w:t xml:space="preserve">ue </w:t>
            </w:r>
            <w:r w:rsidRPr="00F2273F">
              <w:rPr>
                <w:sz w:val="28"/>
                <w:szCs w:val="22"/>
              </w:rPr>
              <w:t>existe</w:t>
            </w:r>
            <w:r w:rsidRPr="00F2273F">
              <w:rPr>
                <w:bCs/>
                <w:sz w:val="28"/>
                <w:szCs w:val="22"/>
              </w:rPr>
              <w:t xml:space="preserve"> coherencia temática y lógica entre la norma demandada y la materia general de la ley que la contiene</w:t>
            </w:r>
            <w:r w:rsidRPr="00F2273F">
              <w:rPr>
                <w:sz w:val="28"/>
                <w:szCs w:val="22"/>
              </w:rPr>
              <w:t>. Esto</w:t>
            </w:r>
            <w:r w:rsidRPr="00F2273F">
              <w:rPr>
                <w:bCs/>
                <w:sz w:val="28"/>
                <w:szCs w:val="22"/>
              </w:rPr>
              <w:t xml:space="preserve"> por la instrumentalidad y conexidad directa acreditada a partir del eje de transformación productiva y los catalizadores enfilados a la tra</w:t>
            </w:r>
            <w:r w:rsidRPr="00F2273F">
              <w:rPr>
                <w:bCs/>
                <w:sz w:val="28"/>
                <w:szCs w:val="22"/>
              </w:rPr>
              <w:t>nsición energética.</w:t>
            </w:r>
          </w:p>
          <w:p w:rsidR="00D15AFF" w:rsidRPr="00F2273F" w:rsidRDefault="00F2273F">
            <w:pPr>
              <w:tabs>
                <w:tab w:val="left" w:pos="567"/>
              </w:tabs>
              <w:ind w:right="51"/>
              <w:jc w:val="both"/>
              <w:rPr>
                <w:bCs/>
                <w:sz w:val="28"/>
                <w:szCs w:val="22"/>
              </w:rPr>
            </w:pPr>
            <w:r w:rsidRPr="00F2273F">
              <w:rPr>
                <w:bCs/>
                <w:sz w:val="28"/>
                <w:szCs w:val="22"/>
              </w:rPr>
              <w:t>Explicó que las barreras que generaban los parágrafos derogados debían removerse porque (i) discriminaba</w:t>
            </w:r>
            <w:r w:rsidRPr="00F2273F">
              <w:rPr>
                <w:bCs/>
                <w:sz w:val="28"/>
                <w:szCs w:val="22"/>
              </w:rPr>
              <w:t>n</w:t>
            </w:r>
            <w:r w:rsidRPr="00F2273F">
              <w:rPr>
                <w:bCs/>
                <w:sz w:val="28"/>
                <w:szCs w:val="22"/>
              </w:rPr>
              <w:t xml:space="preserve"> injustificadamente a ISA, constituida antes de 1994, y </w:t>
            </w:r>
            <w:r w:rsidRPr="00F2273F">
              <w:rPr>
                <w:bCs/>
                <w:sz w:val="28"/>
                <w:szCs w:val="22"/>
              </w:rPr>
              <w:t xml:space="preserve">a la cual </w:t>
            </w:r>
            <w:r w:rsidRPr="00F2273F">
              <w:rPr>
                <w:bCs/>
                <w:sz w:val="28"/>
                <w:szCs w:val="22"/>
              </w:rPr>
              <w:t>se le impedía realizar la actividad de transmisión en conjunto co</w:t>
            </w:r>
            <w:r w:rsidRPr="00F2273F">
              <w:rPr>
                <w:bCs/>
                <w:sz w:val="28"/>
                <w:szCs w:val="22"/>
              </w:rPr>
              <w:t xml:space="preserve">n otras </w:t>
            </w:r>
            <w:r w:rsidRPr="00F2273F">
              <w:rPr>
                <w:bCs/>
                <w:sz w:val="28"/>
                <w:szCs w:val="22"/>
              </w:rPr>
              <w:t xml:space="preserve">actividades </w:t>
            </w:r>
            <w:r w:rsidRPr="00F2273F">
              <w:rPr>
                <w:bCs/>
                <w:sz w:val="28"/>
                <w:szCs w:val="22"/>
              </w:rPr>
              <w:t>de la cadena de suministro de electricidad; y (ii) restringían el mercado en cuanto solo permit</w:t>
            </w:r>
            <w:r w:rsidRPr="00F2273F">
              <w:rPr>
                <w:bCs/>
                <w:sz w:val="28"/>
                <w:szCs w:val="22"/>
              </w:rPr>
              <w:t>ían</w:t>
            </w:r>
            <w:r w:rsidRPr="00F2273F">
              <w:rPr>
                <w:bCs/>
                <w:sz w:val="28"/>
                <w:szCs w:val="22"/>
              </w:rPr>
              <w:t xml:space="preserve"> el fortalecimiento en el mercado de los competidores de ISA que sí están integrados verticalmente en los sectores de energía y gas combus</w:t>
            </w:r>
            <w:r w:rsidRPr="00F2273F">
              <w:rPr>
                <w:bCs/>
                <w:sz w:val="28"/>
                <w:szCs w:val="22"/>
              </w:rPr>
              <w:t>tible. Con la integración ahora permitida, ISA fortalece su competencia en el mercado de generación de energía, beneficiando así tanto a la prestación del servicio como a los usuarios finales, lo que a su vez implicará el crecimiento de la oferta de energí</w:t>
            </w:r>
            <w:r w:rsidRPr="00F2273F">
              <w:rPr>
                <w:bCs/>
                <w:sz w:val="28"/>
                <w:szCs w:val="22"/>
              </w:rPr>
              <w:t>a eléctrica a corto, mediano y largo plazo.</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Centro de Estudios de Derecho Procesal</w:t>
            </w:r>
            <w:r w:rsidRPr="00F2273F">
              <w:rPr>
                <w:rStyle w:val="Refdenotaalpie"/>
                <w:bCs/>
                <w:sz w:val="28"/>
                <w:szCs w:val="22"/>
              </w:rPr>
              <w:footnoteReference w:id="26"/>
            </w:r>
          </w:p>
          <w:p w:rsidR="00275374" w:rsidRPr="00F2273F" w:rsidRDefault="00F2273F">
            <w:pPr>
              <w:tabs>
                <w:tab w:val="left" w:pos="567"/>
              </w:tabs>
              <w:ind w:right="51"/>
              <w:jc w:val="center"/>
              <w:rPr>
                <w:bCs/>
                <w:sz w:val="28"/>
                <w:szCs w:val="22"/>
              </w:rPr>
            </w:pPr>
            <w:r w:rsidRPr="00F2273F">
              <w:rPr>
                <w:bCs/>
                <w:sz w:val="28"/>
                <w:szCs w:val="22"/>
              </w:rPr>
              <w:t>(interviniente)</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 xml:space="preserve">Exequibilidad. </w:t>
            </w:r>
            <w:r w:rsidRPr="00F2273F">
              <w:rPr>
                <w:bCs/>
                <w:sz w:val="28"/>
                <w:szCs w:val="22"/>
              </w:rPr>
              <w:t xml:space="preserve">Sobre el primer cargo, precisó que la exigencia de consecutividad debe revisarse a la luz de la identidad flexible, </w:t>
            </w:r>
            <w:r w:rsidRPr="00F2273F">
              <w:rPr>
                <w:bCs/>
                <w:sz w:val="28"/>
                <w:szCs w:val="22"/>
              </w:rPr>
              <w:t>a partir de lo cual</w:t>
            </w:r>
            <w:r w:rsidRPr="00F2273F">
              <w:rPr>
                <w:bCs/>
                <w:sz w:val="28"/>
                <w:szCs w:val="22"/>
              </w:rPr>
              <w:t xml:space="preserve"> se evidencia que</w:t>
            </w:r>
            <w:r w:rsidRPr="00F2273F">
              <w:rPr>
                <w:bCs/>
                <w:sz w:val="28"/>
                <w:szCs w:val="22"/>
              </w:rPr>
              <w:t xml:space="preserve"> en primer debate sí se discutió </w:t>
            </w:r>
            <w:r w:rsidRPr="00F2273F">
              <w:rPr>
                <w:bCs/>
                <w:sz w:val="28"/>
                <w:szCs w:val="22"/>
              </w:rPr>
              <w:t>sobre</w:t>
            </w:r>
            <w:r w:rsidRPr="00F2273F">
              <w:rPr>
                <w:bCs/>
                <w:sz w:val="28"/>
                <w:szCs w:val="22"/>
              </w:rPr>
              <w:t xml:space="preserve"> las reglas de integración vertical para lograr la aprobación de un artículo (218 del PL</w:t>
            </w:r>
            <w:r w:rsidRPr="00F2273F">
              <w:rPr>
                <w:sz w:val="28"/>
                <w:szCs w:val="22"/>
              </w:rPr>
              <w:t>)</w:t>
            </w:r>
            <w:r w:rsidRPr="00F2273F">
              <w:rPr>
                <w:sz w:val="28"/>
                <w:szCs w:val="22"/>
              </w:rPr>
              <w:t>,</w:t>
            </w:r>
            <w:r w:rsidRPr="00F2273F">
              <w:rPr>
                <w:bCs/>
                <w:sz w:val="28"/>
                <w:szCs w:val="22"/>
              </w:rPr>
              <w:t xml:space="preserve"> que modificaría el texto del artículo 74 de la Ley 143 de 1994</w:t>
            </w:r>
            <w:r w:rsidRPr="00F2273F">
              <w:rPr>
                <w:bCs/>
                <w:sz w:val="28"/>
                <w:szCs w:val="22"/>
              </w:rPr>
              <w:t xml:space="preserve">, </w:t>
            </w:r>
            <w:r w:rsidRPr="00F2273F">
              <w:rPr>
                <w:bCs/>
                <w:sz w:val="28"/>
                <w:szCs w:val="22"/>
              </w:rPr>
              <w:t>propuesta que posteriormente fue eliminada. As</w:t>
            </w:r>
            <w:r w:rsidRPr="00F2273F">
              <w:rPr>
                <w:bCs/>
                <w:sz w:val="28"/>
                <w:szCs w:val="22"/>
              </w:rPr>
              <w:t>unto diferente es que la derogatoria acusada tuvo una suerte distinta en ambas cámaras: en el Senado se aprobó el texto propuesto excluyendo las derogatorias, mientras que en la Cámara la votación aprobó el texto incorporado. Lo que valida el actuar del le</w:t>
            </w:r>
            <w:r w:rsidRPr="00F2273F">
              <w:rPr>
                <w:bCs/>
                <w:sz w:val="28"/>
                <w:szCs w:val="22"/>
              </w:rPr>
              <w:t>gislador es que las proposiciones fueron mencionadas durante la plenaria, estaban disponibles para consulta y el trámite de votación fue anunciado sin recibir reparo alguno; asimismo, el trámite conciliatorio se surtió conforme a la ley.</w:t>
            </w:r>
          </w:p>
          <w:p w:rsidR="00D15AFF" w:rsidRPr="00F2273F" w:rsidRDefault="00F2273F">
            <w:pPr>
              <w:tabs>
                <w:tab w:val="left" w:pos="567"/>
              </w:tabs>
              <w:ind w:right="51"/>
              <w:jc w:val="both"/>
              <w:rPr>
                <w:bCs/>
                <w:sz w:val="28"/>
                <w:szCs w:val="22"/>
              </w:rPr>
            </w:pPr>
            <w:r w:rsidRPr="00F2273F">
              <w:rPr>
                <w:bCs/>
                <w:sz w:val="28"/>
                <w:szCs w:val="22"/>
              </w:rPr>
              <w:t xml:space="preserve">Con relación a la </w:t>
            </w:r>
            <w:r w:rsidRPr="00F2273F">
              <w:rPr>
                <w:bCs/>
                <w:sz w:val="28"/>
                <w:szCs w:val="22"/>
              </w:rPr>
              <w:t xml:space="preserve">unidad de materia, sostuvo que se acredita porque tanto en las Bases del </w:t>
            </w:r>
            <w:r w:rsidRPr="00F2273F">
              <w:rPr>
                <w:bCs/>
                <w:sz w:val="28"/>
                <w:szCs w:val="22"/>
              </w:rPr>
              <w:t>Pl</w:t>
            </w:r>
            <w:r w:rsidRPr="00F2273F">
              <w:rPr>
                <w:bCs/>
                <w:sz w:val="28"/>
                <w:szCs w:val="22"/>
              </w:rPr>
              <w:t xml:space="preserve">an como en el Plan Plurianual de Inversiones, figura lo relacionado con el eje de </w:t>
            </w:r>
            <w:r w:rsidRPr="00F2273F">
              <w:rPr>
                <w:bCs/>
                <w:i/>
                <w:iCs/>
                <w:sz w:val="28"/>
                <w:szCs w:val="22"/>
              </w:rPr>
              <w:t>Transformación productiva, internacionalización y acción climática</w:t>
            </w:r>
            <w:r w:rsidRPr="00F2273F">
              <w:rPr>
                <w:bCs/>
                <w:sz w:val="28"/>
                <w:szCs w:val="22"/>
              </w:rPr>
              <w:t>, para lo cual se estipularon uno</w:t>
            </w:r>
            <w:r w:rsidRPr="00F2273F">
              <w:rPr>
                <w:bCs/>
                <w:sz w:val="28"/>
                <w:szCs w:val="22"/>
              </w:rPr>
              <w:t>s catalizadores y se asignaron recursos por un total de $114,3 billones.</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Ministerio de Minas y Energía</w:t>
            </w:r>
            <w:r w:rsidRPr="00F2273F">
              <w:rPr>
                <w:rStyle w:val="Refdenotaalpie"/>
                <w:bCs/>
                <w:sz w:val="28"/>
                <w:szCs w:val="22"/>
              </w:rPr>
              <w:footnoteReference w:id="27"/>
            </w:r>
          </w:p>
          <w:p w:rsidR="00275374" w:rsidRPr="00F2273F" w:rsidRDefault="00F2273F">
            <w:pPr>
              <w:tabs>
                <w:tab w:val="left" w:pos="567"/>
              </w:tabs>
              <w:ind w:right="51"/>
              <w:jc w:val="center"/>
              <w:rPr>
                <w:bCs/>
                <w:sz w:val="28"/>
                <w:szCs w:val="22"/>
              </w:rPr>
            </w:pPr>
            <w:r w:rsidRPr="00F2273F">
              <w:rPr>
                <w:bCs/>
                <w:sz w:val="28"/>
                <w:szCs w:val="22"/>
              </w:rPr>
              <w:t>(</w:t>
            </w:r>
            <w:r w:rsidRPr="00F2273F">
              <w:rPr>
                <w:bCs/>
                <w:sz w:val="28"/>
                <w:szCs w:val="22"/>
              </w:rPr>
              <w:t>interviniente</w:t>
            </w:r>
            <w:r w:rsidRPr="00F2273F">
              <w:rPr>
                <w:bCs/>
                <w:sz w:val="28"/>
                <w:szCs w:val="22"/>
              </w:rPr>
              <w:t>)</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Exequibilidad.</w:t>
            </w:r>
            <w:r w:rsidRPr="00F2273F">
              <w:rPr>
                <w:bCs/>
                <w:sz w:val="28"/>
                <w:szCs w:val="22"/>
              </w:rPr>
              <w:t xml:space="preserve"> Inició su intervención refiriéndose al cargo por violación a la consecutividad, sobre el cual consideró que en el primer debate las comisiones conjuntas sí debatieron en torno a la integración del sector eléctrico nacional y </w:t>
            </w:r>
            <w:r w:rsidRPr="00F2273F">
              <w:rPr>
                <w:bCs/>
                <w:sz w:val="28"/>
                <w:szCs w:val="22"/>
              </w:rPr>
              <w:t xml:space="preserve">a </w:t>
            </w:r>
            <w:r w:rsidRPr="00F2273F">
              <w:rPr>
                <w:bCs/>
                <w:sz w:val="28"/>
                <w:szCs w:val="22"/>
              </w:rPr>
              <w:t xml:space="preserve">la necesidad de </w:t>
            </w:r>
            <w:r w:rsidRPr="00F2273F">
              <w:rPr>
                <w:bCs/>
                <w:sz w:val="28"/>
                <w:szCs w:val="22"/>
              </w:rPr>
              <w:t>aumentar</w:t>
            </w:r>
            <w:r w:rsidRPr="00F2273F">
              <w:rPr>
                <w:bCs/>
                <w:sz w:val="28"/>
                <w:szCs w:val="22"/>
              </w:rPr>
              <w:t xml:space="preserve"> la </w:t>
            </w:r>
            <w:r w:rsidRPr="00F2273F">
              <w:rPr>
                <w:bCs/>
                <w:sz w:val="28"/>
                <w:szCs w:val="22"/>
              </w:rPr>
              <w:t>competitividad en materia energética</w:t>
            </w:r>
            <w:r w:rsidRPr="00F2273F">
              <w:rPr>
                <w:sz w:val="28"/>
                <w:szCs w:val="22"/>
              </w:rPr>
              <w:t>.</w:t>
            </w:r>
            <w:r w:rsidRPr="00F2273F">
              <w:rPr>
                <w:bCs/>
                <w:sz w:val="28"/>
                <w:szCs w:val="22"/>
              </w:rPr>
              <w:t xml:space="preserve"> Si bien esa discusión se dio en torno a un artículo distinto al parcialmente acusado, estima que tanto el segundo debate como las propuestas de modificación -oportunamente conocidas- guardan coherencia con el propósito</w:t>
            </w:r>
            <w:r w:rsidRPr="00F2273F">
              <w:rPr>
                <w:bCs/>
                <w:sz w:val="28"/>
                <w:szCs w:val="22"/>
              </w:rPr>
              <w:t xml:space="preserve"> del PND, al eliminar la barrera a la competencia y al impulso que recaía sobre ISA. En este punto presentó también algunas consideraciones sobre la votación en bloque, la cual estima una práctica propia del trámite legislativo en asuntos que no componen l</w:t>
            </w:r>
            <w:r w:rsidRPr="00F2273F">
              <w:rPr>
                <w:bCs/>
                <w:sz w:val="28"/>
                <w:szCs w:val="22"/>
              </w:rPr>
              <w:t>a sustancia del PND</w:t>
            </w:r>
            <w:r w:rsidRPr="00F2273F">
              <w:rPr>
                <w:sz w:val="28"/>
                <w:szCs w:val="22"/>
              </w:rPr>
              <w:t>.</w:t>
            </w:r>
          </w:p>
          <w:p w:rsidR="00D15AFF" w:rsidRPr="00F2273F" w:rsidRDefault="00F2273F">
            <w:pPr>
              <w:tabs>
                <w:tab w:val="left" w:pos="567"/>
              </w:tabs>
              <w:ind w:right="51"/>
              <w:jc w:val="both"/>
              <w:rPr>
                <w:bCs/>
                <w:sz w:val="28"/>
                <w:szCs w:val="22"/>
              </w:rPr>
            </w:pPr>
            <w:r w:rsidRPr="00F2273F">
              <w:rPr>
                <w:bCs/>
                <w:sz w:val="28"/>
                <w:szCs w:val="22"/>
              </w:rPr>
              <w:t xml:space="preserve">En lo que tiene que ver con la unidad de materia, afirmó que el artículo 372 es instrumental y cumple con los criterios de conexidad exigidos. Para ello, explicó que la ley del plan atiende a una interpretación sistemática, que abarca </w:t>
            </w:r>
            <w:r w:rsidRPr="00F2273F">
              <w:rPr>
                <w:bCs/>
                <w:sz w:val="28"/>
                <w:szCs w:val="22"/>
              </w:rPr>
              <w:t xml:space="preserve">las bases -con el eje y catalizadores ya mencionados en otras intervenciones- y el plan de inversiones. </w:t>
            </w:r>
            <w:r w:rsidRPr="00F2273F">
              <w:rPr>
                <w:bCs/>
                <w:sz w:val="28"/>
                <w:szCs w:val="22"/>
              </w:rPr>
              <w:t>Precisó que</w:t>
            </w:r>
            <w:r w:rsidRPr="00F2273F">
              <w:rPr>
                <w:bCs/>
                <w:sz w:val="28"/>
                <w:szCs w:val="22"/>
              </w:rPr>
              <w:t xml:space="preserve"> las normas demandadas son autónomas e independientes, </w:t>
            </w:r>
            <w:r w:rsidRPr="00F2273F">
              <w:rPr>
                <w:bCs/>
                <w:sz w:val="28"/>
                <w:szCs w:val="22"/>
              </w:rPr>
              <w:t>pues</w:t>
            </w:r>
            <w:r w:rsidRPr="00F2273F">
              <w:rPr>
                <w:bCs/>
                <w:sz w:val="28"/>
                <w:szCs w:val="22"/>
              </w:rPr>
              <w:t xml:space="preserve"> buscan la eliminación de barreras para la entrada de nuevas actividades o agentes</w:t>
            </w:r>
            <w:r w:rsidRPr="00F2273F">
              <w:rPr>
                <w:bCs/>
                <w:sz w:val="28"/>
                <w:szCs w:val="22"/>
              </w:rPr>
              <w:t xml:space="preserve"> en la cadena de prestación del servicio mediante formas distintas.</w:t>
            </w:r>
          </w:p>
          <w:p w:rsidR="00D15AFF" w:rsidRPr="00F2273F" w:rsidRDefault="00F2273F">
            <w:pPr>
              <w:tabs>
                <w:tab w:val="left" w:pos="567"/>
              </w:tabs>
              <w:ind w:right="51"/>
              <w:jc w:val="both"/>
              <w:rPr>
                <w:bCs/>
                <w:sz w:val="28"/>
                <w:szCs w:val="22"/>
              </w:rPr>
            </w:pPr>
            <w:r w:rsidRPr="00F2273F">
              <w:rPr>
                <w:bCs/>
                <w:sz w:val="28"/>
                <w:szCs w:val="22"/>
              </w:rPr>
              <w:t>C</w:t>
            </w:r>
            <w:r w:rsidRPr="00F2273F">
              <w:rPr>
                <w:bCs/>
                <w:sz w:val="28"/>
                <w:szCs w:val="22"/>
              </w:rPr>
              <w:t>oncluyó que las derogatorias demandadas concuerdan con el propósito y objetivos del PND, con la normativa anterior y con la tendencia a abrir el mercado energético en términos de libre co</w:t>
            </w:r>
            <w:r w:rsidRPr="00F2273F">
              <w:rPr>
                <w:bCs/>
                <w:sz w:val="28"/>
                <w:szCs w:val="22"/>
              </w:rPr>
              <w:t>mpetencia, igualdad de condiciones y regulación pertinente</w:t>
            </w:r>
            <w:r w:rsidRPr="00F2273F">
              <w:rPr>
                <w:bCs/>
                <w:sz w:val="28"/>
                <w:szCs w:val="22"/>
              </w:rPr>
              <w:t xml:space="preserve">, </w:t>
            </w:r>
            <w:r w:rsidRPr="00F2273F">
              <w:rPr>
                <w:bCs/>
                <w:sz w:val="28"/>
                <w:szCs w:val="22"/>
              </w:rPr>
              <w:t>a fin de que la cadena de valor se enriquezca, se logren los propósitos de la transición energética y se beneficie al usuario final.</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Interconexión Eléctrica S.A. E.S.P.</w:t>
            </w:r>
            <w:r w:rsidRPr="00F2273F">
              <w:rPr>
                <w:rStyle w:val="Refdenotaalpie"/>
                <w:bCs/>
                <w:sz w:val="28"/>
                <w:szCs w:val="22"/>
              </w:rPr>
              <w:footnoteReference w:id="28"/>
            </w:r>
          </w:p>
          <w:p w:rsidR="00275374" w:rsidRPr="00F2273F" w:rsidRDefault="00F2273F">
            <w:pPr>
              <w:tabs>
                <w:tab w:val="left" w:pos="567"/>
              </w:tabs>
              <w:ind w:right="51"/>
              <w:jc w:val="center"/>
              <w:rPr>
                <w:bCs/>
                <w:sz w:val="28"/>
                <w:szCs w:val="22"/>
              </w:rPr>
            </w:pPr>
            <w:r w:rsidRPr="00F2273F">
              <w:rPr>
                <w:bCs/>
                <w:sz w:val="28"/>
                <w:szCs w:val="22"/>
              </w:rPr>
              <w:t>(interv</w:t>
            </w:r>
            <w:r w:rsidRPr="00F2273F">
              <w:rPr>
                <w:bCs/>
                <w:sz w:val="28"/>
                <w:szCs w:val="22"/>
              </w:rPr>
              <w:t>iniente</w:t>
            </w:r>
            <w:r w:rsidRPr="00F2273F">
              <w:rPr>
                <w:bCs/>
                <w:sz w:val="28"/>
                <w:szCs w:val="22"/>
              </w:rPr>
              <w:t>)</w:t>
            </w:r>
          </w:p>
        </w:tc>
        <w:tc>
          <w:tcPr>
            <w:tcW w:w="6663" w:type="dxa"/>
            <w:vAlign w:val="center"/>
          </w:tcPr>
          <w:p w:rsidR="00D15AFF" w:rsidRPr="00F2273F" w:rsidRDefault="00F2273F">
            <w:pPr>
              <w:tabs>
                <w:tab w:val="left" w:pos="567"/>
              </w:tabs>
              <w:ind w:right="51"/>
              <w:jc w:val="both"/>
              <w:rPr>
                <w:bCs/>
                <w:sz w:val="28"/>
                <w:szCs w:val="22"/>
              </w:rPr>
            </w:pPr>
            <w:r w:rsidRPr="00F2273F">
              <w:rPr>
                <w:i/>
                <w:iCs/>
                <w:sz w:val="28"/>
                <w:szCs w:val="22"/>
              </w:rPr>
              <w:t>Exequibilidad</w:t>
            </w:r>
            <w:r w:rsidRPr="00F2273F">
              <w:rPr>
                <w:sz w:val="28"/>
                <w:szCs w:val="22"/>
              </w:rPr>
              <w:t>. Consideró que</w:t>
            </w:r>
            <w:r w:rsidRPr="00F2273F">
              <w:rPr>
                <w:sz w:val="28"/>
                <w:szCs w:val="22"/>
              </w:rPr>
              <w:t xml:space="preserve"> u</w:t>
            </w:r>
            <w:r w:rsidRPr="00F2273F">
              <w:rPr>
                <w:sz w:val="28"/>
                <w:szCs w:val="22"/>
              </w:rPr>
              <w:t>na</w:t>
            </w:r>
            <w:r w:rsidRPr="00F2273F">
              <w:rPr>
                <w:bCs/>
                <w:sz w:val="28"/>
                <w:szCs w:val="22"/>
              </w:rPr>
              <w:t xml:space="preserve"> de las finalidades del proyecto de ley era aumentar la competitividad en el sector energético, para lo cual se requería modificar las reglas de integración vertical y con ello permitir la entrada de nuevas actividades o age</w:t>
            </w:r>
            <w:r w:rsidRPr="00F2273F">
              <w:rPr>
                <w:bCs/>
                <w:sz w:val="28"/>
                <w:szCs w:val="22"/>
              </w:rPr>
              <w:t xml:space="preserve">ntes en la cadena de prestación del servicio. Esto, en consonancia con el catalizador </w:t>
            </w:r>
            <w:r w:rsidRPr="00F2273F">
              <w:rPr>
                <w:bCs/>
                <w:i/>
                <w:iCs/>
                <w:sz w:val="28"/>
                <w:szCs w:val="22"/>
              </w:rPr>
              <w:t>Transición Energética Justa, segura, confiable y eficiente</w:t>
            </w:r>
            <w:r w:rsidRPr="00F2273F">
              <w:rPr>
                <w:bCs/>
                <w:sz w:val="28"/>
                <w:szCs w:val="22"/>
              </w:rPr>
              <w:t xml:space="preserve">, que hace parte de una de las cinco transformaciones que componen el PND, </w:t>
            </w:r>
            <w:r w:rsidRPr="00F2273F">
              <w:rPr>
                <w:bCs/>
                <w:sz w:val="28"/>
                <w:szCs w:val="22"/>
              </w:rPr>
              <w:t>por lo que</w:t>
            </w:r>
            <w:r w:rsidRPr="00F2273F">
              <w:rPr>
                <w:bCs/>
                <w:sz w:val="28"/>
                <w:szCs w:val="22"/>
              </w:rPr>
              <w:t xml:space="preserve"> el apartado demandado</w:t>
            </w:r>
            <w:r w:rsidRPr="00F2273F">
              <w:rPr>
                <w:bCs/>
                <w:sz w:val="28"/>
                <w:szCs w:val="22"/>
              </w:rPr>
              <w:t xml:space="preserve"> </w:t>
            </w:r>
            <w:r w:rsidRPr="00F2273F">
              <w:rPr>
                <w:bCs/>
                <w:sz w:val="28"/>
                <w:szCs w:val="22"/>
              </w:rPr>
              <w:t>guar</w:t>
            </w:r>
            <w:r w:rsidRPr="00F2273F">
              <w:rPr>
                <w:bCs/>
                <w:sz w:val="28"/>
                <w:szCs w:val="22"/>
              </w:rPr>
              <w:t xml:space="preserve">da relación con lo establecido en las Bases del </w:t>
            </w:r>
            <w:r w:rsidRPr="00F2273F">
              <w:rPr>
                <w:bCs/>
                <w:sz w:val="28"/>
                <w:szCs w:val="22"/>
              </w:rPr>
              <w:t>P</w:t>
            </w:r>
            <w:r w:rsidRPr="00F2273F">
              <w:rPr>
                <w:bCs/>
                <w:sz w:val="28"/>
                <w:szCs w:val="22"/>
              </w:rPr>
              <w:t>lan</w:t>
            </w:r>
            <w:r w:rsidRPr="00F2273F">
              <w:rPr>
                <w:bCs/>
                <w:sz w:val="28"/>
                <w:szCs w:val="22"/>
              </w:rPr>
              <w:t xml:space="preserve">. </w:t>
            </w:r>
          </w:p>
          <w:p w:rsidR="00D15AFF" w:rsidRPr="00F2273F" w:rsidRDefault="00F2273F">
            <w:pPr>
              <w:tabs>
                <w:tab w:val="left" w:pos="567"/>
              </w:tabs>
              <w:ind w:right="51"/>
              <w:jc w:val="both"/>
              <w:rPr>
                <w:bCs/>
                <w:sz w:val="28"/>
                <w:szCs w:val="22"/>
              </w:rPr>
            </w:pPr>
            <w:r w:rsidRPr="00F2273F">
              <w:rPr>
                <w:bCs/>
                <w:sz w:val="28"/>
                <w:szCs w:val="22"/>
              </w:rPr>
              <w:t xml:space="preserve">Las derogatorias acusadas y el artículo 197 original del proyecto </w:t>
            </w:r>
            <w:r w:rsidRPr="00F2273F">
              <w:rPr>
                <w:bCs/>
                <w:sz w:val="28"/>
                <w:szCs w:val="22"/>
              </w:rPr>
              <w:t>guardaban</w:t>
            </w:r>
            <w:r w:rsidRPr="00F2273F">
              <w:rPr>
                <w:bCs/>
                <w:sz w:val="28"/>
                <w:szCs w:val="22"/>
              </w:rPr>
              <w:t xml:space="preserve"> coherencia temática guiada por la integración de actividades en el sector de energía eléctrica, discusión que comprendía </w:t>
            </w:r>
            <w:r w:rsidRPr="00F2273F">
              <w:rPr>
                <w:bCs/>
                <w:i/>
                <w:iCs/>
                <w:sz w:val="28"/>
                <w:szCs w:val="22"/>
              </w:rPr>
              <w:t>forz</w:t>
            </w:r>
            <w:r w:rsidRPr="00F2273F">
              <w:rPr>
                <w:bCs/>
                <w:i/>
                <w:iCs/>
                <w:sz w:val="28"/>
                <w:szCs w:val="22"/>
              </w:rPr>
              <w:t>osamente</w:t>
            </w:r>
            <w:r w:rsidRPr="00F2273F">
              <w:rPr>
                <w:bCs/>
                <w:sz w:val="28"/>
                <w:szCs w:val="22"/>
              </w:rPr>
              <w:t xml:space="preserve"> el análisis de las normas derogadas: una norma lo hizo de manera general para todas las empresas (art. 197/218 eliminado) y la otra de manera particular respecto de la única empresa de servicios públicos domiciliarios que tenía una restricción leg</w:t>
            </w:r>
            <w:r w:rsidRPr="00F2273F">
              <w:rPr>
                <w:bCs/>
                <w:sz w:val="28"/>
                <w:szCs w:val="22"/>
              </w:rPr>
              <w:t>al expresa, contenida en las Leyes 143 y 143 de 1994, para concurrir a tal integración vertical, esto es, ISA</w:t>
            </w:r>
            <w:r w:rsidRPr="00F2273F">
              <w:rPr>
                <w:bCs/>
                <w:sz w:val="28"/>
                <w:szCs w:val="22"/>
              </w:rPr>
              <w:t xml:space="preserve"> (art. 372 sancionado y acusado)</w:t>
            </w:r>
            <w:r w:rsidRPr="00F2273F">
              <w:rPr>
                <w:bCs/>
                <w:sz w:val="28"/>
                <w:szCs w:val="22"/>
              </w:rPr>
              <w:t>. Esa temática</w:t>
            </w:r>
            <w:r w:rsidRPr="00F2273F">
              <w:rPr>
                <w:bCs/>
                <w:sz w:val="28"/>
                <w:szCs w:val="22"/>
              </w:rPr>
              <w:t xml:space="preserve"> </w:t>
            </w:r>
            <w:r w:rsidRPr="00F2273F">
              <w:rPr>
                <w:bCs/>
                <w:sz w:val="28"/>
                <w:szCs w:val="22"/>
              </w:rPr>
              <w:t>fue debatida en el transcurso del trámite legislativo, a través de diferentes disposiciones normativ</w:t>
            </w:r>
            <w:r w:rsidRPr="00F2273F">
              <w:rPr>
                <w:bCs/>
                <w:sz w:val="28"/>
                <w:szCs w:val="22"/>
              </w:rPr>
              <w:t>as.</w:t>
            </w:r>
          </w:p>
          <w:p w:rsidR="00D15AFF" w:rsidRPr="00F2273F" w:rsidRDefault="00F2273F">
            <w:pPr>
              <w:tabs>
                <w:tab w:val="left" w:pos="567"/>
              </w:tabs>
              <w:ind w:right="51"/>
              <w:jc w:val="both"/>
              <w:rPr>
                <w:bCs/>
                <w:sz w:val="28"/>
                <w:szCs w:val="22"/>
              </w:rPr>
            </w:pPr>
            <w:r w:rsidRPr="00F2273F">
              <w:rPr>
                <w:bCs/>
                <w:sz w:val="28"/>
                <w:szCs w:val="22"/>
              </w:rPr>
              <w:t>Sobre</w:t>
            </w:r>
            <w:r w:rsidRPr="00F2273F">
              <w:rPr>
                <w:bCs/>
                <w:sz w:val="28"/>
                <w:szCs w:val="22"/>
              </w:rPr>
              <w:t xml:space="preserve"> la elusión del debate</w:t>
            </w:r>
            <w:r w:rsidRPr="00F2273F">
              <w:rPr>
                <w:bCs/>
                <w:sz w:val="28"/>
                <w:szCs w:val="22"/>
              </w:rPr>
              <w:t xml:space="preserve"> de </w:t>
            </w:r>
            <w:r w:rsidRPr="00F2273F">
              <w:rPr>
                <w:bCs/>
                <w:sz w:val="28"/>
                <w:szCs w:val="22"/>
              </w:rPr>
              <w:t>las proposiciones de eliminación, estimó que</w:t>
            </w:r>
            <w:r w:rsidRPr="00F2273F">
              <w:rPr>
                <w:bCs/>
                <w:sz w:val="28"/>
                <w:szCs w:val="22"/>
              </w:rPr>
              <w:t xml:space="preserve"> sí</w:t>
            </w:r>
            <w:r w:rsidRPr="00F2273F">
              <w:rPr>
                <w:bCs/>
                <w:sz w:val="28"/>
                <w:szCs w:val="22"/>
              </w:rPr>
              <w:t xml:space="preserve"> se presentaron proposiciones modificativas dirigidas a eliminar la derogatoria y las mismas fueron objeto de decisión, la cual culminó con una votación negativa. A esto se suma que, de una parte, quienes presentan proposiciones tienen el deber de asegurar</w:t>
            </w:r>
            <w:r w:rsidRPr="00F2273F">
              <w:rPr>
                <w:bCs/>
                <w:sz w:val="28"/>
                <w:szCs w:val="22"/>
              </w:rPr>
              <w:t xml:space="preserve"> que estas sean expuestas y discutidas. De otra parte, según la Sentencia C-134 de 2023, el hecho de que el secretario del Senado o de la Cámara no lea el contenido de las proposiciones, no implica </w:t>
            </w:r>
            <w:r w:rsidRPr="00F2273F">
              <w:rPr>
                <w:bCs/>
                <w:i/>
                <w:iCs/>
                <w:sz w:val="28"/>
                <w:szCs w:val="22"/>
              </w:rPr>
              <w:t>per se</w:t>
            </w:r>
            <w:r w:rsidRPr="00F2273F">
              <w:rPr>
                <w:bCs/>
                <w:sz w:val="28"/>
                <w:szCs w:val="22"/>
              </w:rPr>
              <w:t xml:space="preserve"> una violación al principio de publicidad frente a l</w:t>
            </w:r>
            <w:r w:rsidRPr="00F2273F">
              <w:rPr>
                <w:bCs/>
                <w:sz w:val="28"/>
                <w:szCs w:val="22"/>
              </w:rPr>
              <w:t>as proposiciones no leídas. De ahí que la renuencia u omisión de exponer las proposiciones no puede viciar y anular la voluntad de las mayorías del Congreso.</w:t>
            </w:r>
          </w:p>
          <w:p w:rsidR="00D15AFF" w:rsidRPr="00F2273F" w:rsidRDefault="00F2273F">
            <w:pPr>
              <w:tabs>
                <w:tab w:val="left" w:pos="567"/>
              </w:tabs>
              <w:ind w:right="51"/>
              <w:jc w:val="both"/>
              <w:rPr>
                <w:bCs/>
                <w:sz w:val="28"/>
                <w:szCs w:val="22"/>
              </w:rPr>
            </w:pPr>
            <w:r w:rsidRPr="00F2273F">
              <w:rPr>
                <w:bCs/>
                <w:sz w:val="28"/>
                <w:szCs w:val="22"/>
              </w:rPr>
              <w:t xml:space="preserve">En cuanto al cargo </w:t>
            </w:r>
            <w:r w:rsidRPr="00F2273F">
              <w:rPr>
                <w:sz w:val="28"/>
                <w:szCs w:val="22"/>
              </w:rPr>
              <w:t>por violación del</w:t>
            </w:r>
            <w:r w:rsidRPr="00F2273F">
              <w:rPr>
                <w:bCs/>
                <w:sz w:val="28"/>
                <w:szCs w:val="22"/>
              </w:rPr>
              <w:t xml:space="preserve"> principio de unidad de materia, expuso que el artículo de la </w:t>
            </w:r>
            <w:r w:rsidRPr="00F2273F">
              <w:rPr>
                <w:bCs/>
                <w:sz w:val="28"/>
                <w:szCs w:val="22"/>
              </w:rPr>
              <w:t xml:space="preserve">derogatoria </w:t>
            </w:r>
            <w:r w:rsidRPr="00F2273F">
              <w:rPr>
                <w:bCs/>
                <w:sz w:val="28"/>
                <w:szCs w:val="22"/>
              </w:rPr>
              <w:t>no lo vulnera</w:t>
            </w:r>
            <w:r w:rsidRPr="00F2273F">
              <w:rPr>
                <w:bCs/>
                <w:sz w:val="28"/>
                <w:szCs w:val="22"/>
              </w:rPr>
              <w:t>, pues (i) la norma se ubicó en el acápite de derogatorias por simple técnica legislativa y</w:t>
            </w:r>
            <w:r w:rsidRPr="00F2273F">
              <w:rPr>
                <w:bCs/>
                <w:sz w:val="28"/>
                <w:szCs w:val="22"/>
              </w:rPr>
              <w:t>, en cualquier caso,</w:t>
            </w:r>
            <w:r w:rsidRPr="00F2273F">
              <w:rPr>
                <w:bCs/>
                <w:sz w:val="28"/>
                <w:szCs w:val="22"/>
              </w:rPr>
              <w:t xml:space="preserve"> ello no determina el cumplimiento de la unidad de materia; (ii) la pérdida de vigencia de la norma que limita la integr</w:t>
            </w:r>
            <w:r w:rsidRPr="00F2273F">
              <w:rPr>
                <w:bCs/>
                <w:sz w:val="28"/>
                <w:szCs w:val="22"/>
              </w:rPr>
              <w:t>ación vertical en la cadena de prestación del servicio de energía eléctrica tiene un carácter instrumental para alcanzar las metas planteadas en el PND, cuya parte general incorpora las Bases del PND -específicamente los catalizadores B, C y D del cuarto e</w:t>
            </w:r>
            <w:r w:rsidRPr="00F2273F">
              <w:rPr>
                <w:bCs/>
                <w:sz w:val="28"/>
                <w:szCs w:val="22"/>
              </w:rPr>
              <w:t xml:space="preserve">je-; y (iii) esa derogatoria no es complementaria al artículo que el legislador decidió excluir del trámite (art. 218/197 original del PL), pues </w:t>
            </w:r>
            <w:r w:rsidRPr="00F2273F">
              <w:rPr>
                <w:bCs/>
                <w:sz w:val="28"/>
                <w:szCs w:val="22"/>
              </w:rPr>
              <w:t xml:space="preserve">se trata de </w:t>
            </w:r>
            <w:r w:rsidRPr="00F2273F">
              <w:rPr>
                <w:bCs/>
                <w:sz w:val="28"/>
                <w:szCs w:val="22"/>
              </w:rPr>
              <w:t xml:space="preserve">un dispositivo normativo autónomo. Agregó que (iv) la modificación de leyes ordinarias de carácter </w:t>
            </w:r>
            <w:r w:rsidRPr="00F2273F">
              <w:rPr>
                <w:bCs/>
                <w:sz w:val="28"/>
                <w:szCs w:val="22"/>
              </w:rPr>
              <w:t xml:space="preserve">permanente mediante el PND es posible si ello tiene un fin planificador y de impulso a la ejecución cuatrienal, lo cual se evidencia </w:t>
            </w:r>
            <w:r w:rsidRPr="00F2273F">
              <w:rPr>
                <w:bCs/>
                <w:sz w:val="28"/>
                <w:szCs w:val="22"/>
              </w:rPr>
              <w:t>por</w:t>
            </w:r>
            <w:r w:rsidRPr="00F2273F">
              <w:rPr>
                <w:bCs/>
                <w:sz w:val="28"/>
                <w:szCs w:val="22"/>
              </w:rPr>
              <w:t xml:space="preserve"> la conexidad directa e inmediata </w:t>
            </w:r>
            <w:r w:rsidRPr="00F2273F">
              <w:rPr>
                <w:bCs/>
                <w:sz w:val="28"/>
                <w:szCs w:val="22"/>
              </w:rPr>
              <w:t xml:space="preserve">de la norma </w:t>
            </w:r>
            <w:r w:rsidRPr="00F2273F">
              <w:rPr>
                <w:bCs/>
                <w:sz w:val="28"/>
                <w:szCs w:val="22"/>
              </w:rPr>
              <w:t>con los objetivos generales de aquel</w:t>
            </w:r>
            <w:r w:rsidRPr="00F2273F">
              <w:rPr>
                <w:bCs/>
                <w:sz w:val="28"/>
                <w:szCs w:val="22"/>
              </w:rPr>
              <w:t xml:space="preserve"> en el presente asunto</w:t>
            </w:r>
            <w:r w:rsidRPr="00F2273F">
              <w:rPr>
                <w:bCs/>
                <w:sz w:val="28"/>
                <w:szCs w:val="22"/>
              </w:rPr>
              <w:t>.</w:t>
            </w:r>
          </w:p>
          <w:p w:rsidR="006C0225" w:rsidRPr="00F2273F" w:rsidRDefault="00F2273F">
            <w:pPr>
              <w:tabs>
                <w:tab w:val="left" w:pos="567"/>
              </w:tabs>
              <w:ind w:right="51"/>
              <w:jc w:val="both"/>
              <w:rPr>
                <w:bCs/>
                <w:sz w:val="28"/>
                <w:szCs w:val="22"/>
              </w:rPr>
            </w:pPr>
            <w:r w:rsidRPr="00F2273F">
              <w:rPr>
                <w:bCs/>
                <w:sz w:val="28"/>
                <w:szCs w:val="22"/>
              </w:rPr>
              <w:t>En efecto, ind</w:t>
            </w:r>
            <w:r w:rsidRPr="00F2273F">
              <w:rPr>
                <w:bCs/>
                <w:sz w:val="28"/>
                <w:szCs w:val="22"/>
              </w:rPr>
              <w:t>icó, l</w:t>
            </w:r>
            <w:r w:rsidRPr="00F2273F">
              <w:rPr>
                <w:bCs/>
                <w:sz w:val="28"/>
                <w:szCs w:val="22"/>
              </w:rPr>
              <w:t>a derogatoria propuesta</w:t>
            </w:r>
            <w:r w:rsidRPr="00F2273F">
              <w:rPr>
                <w:bCs/>
                <w:sz w:val="28"/>
                <w:szCs w:val="22"/>
              </w:rPr>
              <w:t xml:space="preserve"> y sancionada</w:t>
            </w:r>
            <w:r w:rsidRPr="00F2273F">
              <w:rPr>
                <w:bCs/>
                <w:sz w:val="28"/>
                <w:szCs w:val="22"/>
              </w:rPr>
              <w:t xml:space="preserve"> permite la integración vertical de un agente</w:t>
            </w:r>
            <w:r w:rsidRPr="00F2273F">
              <w:rPr>
                <w:bCs/>
                <w:sz w:val="28"/>
                <w:szCs w:val="22"/>
              </w:rPr>
              <w:t>, lo cual</w:t>
            </w:r>
            <w:r w:rsidRPr="00F2273F">
              <w:rPr>
                <w:bCs/>
                <w:sz w:val="28"/>
                <w:szCs w:val="22"/>
              </w:rPr>
              <w:t xml:space="preserve"> traerá como consecuencia esquemas de eficiencia de un servicio público de interés nacional</w:t>
            </w:r>
            <w:r w:rsidRPr="00F2273F">
              <w:rPr>
                <w:bCs/>
                <w:sz w:val="28"/>
                <w:szCs w:val="22"/>
              </w:rPr>
              <w:t xml:space="preserve"> y </w:t>
            </w:r>
            <w:r w:rsidRPr="00F2273F">
              <w:rPr>
                <w:bCs/>
                <w:sz w:val="28"/>
                <w:szCs w:val="22"/>
              </w:rPr>
              <w:t xml:space="preserve">la </w:t>
            </w:r>
            <w:r w:rsidRPr="00F2273F">
              <w:rPr>
                <w:bCs/>
                <w:sz w:val="28"/>
                <w:szCs w:val="22"/>
              </w:rPr>
              <w:t>promoción de</w:t>
            </w:r>
            <w:r w:rsidRPr="00F2273F">
              <w:rPr>
                <w:bCs/>
                <w:sz w:val="28"/>
                <w:szCs w:val="22"/>
              </w:rPr>
              <w:t xml:space="preserve"> la sostenibilidad y competencia entre agentes en i</w:t>
            </w:r>
            <w:r w:rsidRPr="00F2273F">
              <w:rPr>
                <w:bCs/>
                <w:sz w:val="28"/>
                <w:szCs w:val="22"/>
              </w:rPr>
              <w:t xml:space="preserve">gualdad de condiciones, </w:t>
            </w:r>
            <w:r w:rsidRPr="00F2273F">
              <w:rPr>
                <w:bCs/>
                <w:sz w:val="28"/>
                <w:szCs w:val="22"/>
              </w:rPr>
              <w:t xml:space="preserve">lo cual </w:t>
            </w:r>
            <w:r w:rsidRPr="00F2273F">
              <w:rPr>
                <w:bCs/>
                <w:sz w:val="28"/>
                <w:szCs w:val="22"/>
              </w:rPr>
              <w:t xml:space="preserve">genera expansión y mayor participación en el mercado de energía, y ubica en condiciones de paridad a ISA frente a los demás agentes. Además, los programas y proyectos dentro de la ley del plan nacional de inversiones sirven </w:t>
            </w:r>
            <w:r w:rsidRPr="00F2273F">
              <w:rPr>
                <w:bCs/>
                <w:sz w:val="28"/>
                <w:szCs w:val="22"/>
              </w:rPr>
              <w:t>como criterio técnico y objetivo para evaluar si las disposiciones instrumentales previstas en la misma ley respetan el principio de unidad de materia.</w:t>
            </w:r>
          </w:p>
          <w:p w:rsidR="006C0225" w:rsidRPr="00F2273F" w:rsidRDefault="00F2273F">
            <w:pPr>
              <w:tabs>
                <w:tab w:val="left" w:pos="567"/>
              </w:tabs>
              <w:ind w:right="51"/>
              <w:jc w:val="both"/>
              <w:rPr>
                <w:sz w:val="28"/>
                <w:szCs w:val="22"/>
              </w:rPr>
            </w:pPr>
            <w:r w:rsidRPr="00F2273F">
              <w:rPr>
                <w:sz w:val="28"/>
                <w:szCs w:val="22"/>
              </w:rPr>
              <w:t>Finalmente adujo que la derogatoria de los parágrafos corrige una desigualdad, pues a ISA no se le permi</w:t>
            </w:r>
            <w:r w:rsidRPr="00F2273F">
              <w:rPr>
                <w:sz w:val="28"/>
                <w:szCs w:val="22"/>
              </w:rPr>
              <w:t xml:space="preserve">tía la integración vertical mientras que las empresas de servicios públicos sí podían verticalizarse. </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Asociación Colombiana de Generadores de Energía Eléctrica – ACOLGEN-</w:t>
            </w:r>
            <w:r w:rsidRPr="00F2273F">
              <w:rPr>
                <w:rStyle w:val="Refdenotaalpie"/>
                <w:bCs/>
                <w:sz w:val="28"/>
                <w:szCs w:val="22"/>
              </w:rPr>
              <w:footnoteReference w:id="29"/>
            </w:r>
          </w:p>
          <w:p w:rsidR="00275374" w:rsidRPr="00F2273F" w:rsidRDefault="00F2273F">
            <w:pPr>
              <w:tabs>
                <w:tab w:val="left" w:pos="567"/>
              </w:tabs>
              <w:ind w:right="51"/>
              <w:jc w:val="center"/>
              <w:rPr>
                <w:bCs/>
                <w:sz w:val="28"/>
                <w:szCs w:val="22"/>
              </w:rPr>
            </w:pPr>
            <w:r w:rsidRPr="00F2273F">
              <w:rPr>
                <w:bCs/>
                <w:sz w:val="28"/>
                <w:szCs w:val="22"/>
              </w:rPr>
              <w:t>(interviniente)</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Inexequibilidad por violación del principio de unidad de materia</w:t>
            </w:r>
            <w:r w:rsidRPr="00F2273F">
              <w:rPr>
                <w:bCs/>
                <w:sz w:val="28"/>
                <w:szCs w:val="22"/>
              </w:rPr>
              <w:t xml:space="preserve">. </w:t>
            </w:r>
            <w:r w:rsidRPr="00F2273F">
              <w:rPr>
                <w:bCs/>
                <w:sz w:val="28"/>
                <w:szCs w:val="22"/>
              </w:rPr>
              <w:t>Señaló que los apartes demandados introdujeron una reforma estructural y permanente al mercado de energía eléctrica por medio de una norma de carácter transitorio y sin el debate necesario.</w:t>
            </w:r>
          </w:p>
          <w:p w:rsidR="00D15AFF" w:rsidRPr="00F2273F" w:rsidRDefault="00F2273F">
            <w:pPr>
              <w:tabs>
                <w:tab w:val="left" w:pos="567"/>
              </w:tabs>
              <w:ind w:right="51"/>
              <w:jc w:val="both"/>
              <w:rPr>
                <w:bCs/>
                <w:sz w:val="28"/>
                <w:szCs w:val="22"/>
              </w:rPr>
            </w:pPr>
            <w:r w:rsidRPr="00F2273F">
              <w:rPr>
                <w:bCs/>
                <w:sz w:val="28"/>
                <w:szCs w:val="22"/>
              </w:rPr>
              <w:t>E</w:t>
            </w:r>
            <w:r w:rsidRPr="00F2273F">
              <w:rPr>
                <w:bCs/>
                <w:sz w:val="28"/>
                <w:szCs w:val="22"/>
              </w:rPr>
              <w:t>xpuso que una medida similar que sí hizo parte del proyecto origi</w:t>
            </w:r>
            <w:r w:rsidRPr="00F2273F">
              <w:rPr>
                <w:bCs/>
                <w:sz w:val="28"/>
                <w:szCs w:val="22"/>
              </w:rPr>
              <w:t xml:space="preserve">nal fue eliminada por votación mayoritaria de la proposición presentada en ese sentido. Por el contrario, </w:t>
            </w:r>
            <w:r w:rsidRPr="00F2273F">
              <w:rPr>
                <w:bCs/>
                <w:sz w:val="28"/>
                <w:szCs w:val="22"/>
              </w:rPr>
              <w:t>la supresión de los parágrafos acusad</w:t>
            </w:r>
            <w:r w:rsidRPr="00F2273F">
              <w:rPr>
                <w:bCs/>
                <w:sz w:val="28"/>
                <w:szCs w:val="22"/>
              </w:rPr>
              <w:t>os</w:t>
            </w:r>
            <w:r w:rsidRPr="00F2273F">
              <w:rPr>
                <w:bCs/>
                <w:sz w:val="28"/>
                <w:szCs w:val="22"/>
              </w:rPr>
              <w:t xml:space="preserve"> debi</w:t>
            </w:r>
            <w:r w:rsidRPr="00F2273F">
              <w:rPr>
                <w:bCs/>
                <w:sz w:val="28"/>
                <w:szCs w:val="22"/>
              </w:rPr>
              <w:t>ó</w:t>
            </w:r>
            <w:r w:rsidRPr="00F2273F">
              <w:rPr>
                <w:bCs/>
                <w:sz w:val="28"/>
                <w:szCs w:val="22"/>
              </w:rPr>
              <w:t xml:space="preserve"> ser debatid</w:t>
            </w:r>
            <w:r w:rsidRPr="00F2273F">
              <w:rPr>
                <w:bCs/>
                <w:sz w:val="28"/>
                <w:szCs w:val="22"/>
              </w:rPr>
              <w:t>a</w:t>
            </w:r>
            <w:r w:rsidRPr="00F2273F">
              <w:rPr>
                <w:bCs/>
                <w:sz w:val="28"/>
                <w:szCs w:val="22"/>
              </w:rPr>
              <w:t xml:space="preserve"> para considerar los riesgos que implica</w:t>
            </w:r>
            <w:r w:rsidRPr="00F2273F">
              <w:rPr>
                <w:bCs/>
                <w:sz w:val="28"/>
                <w:szCs w:val="22"/>
              </w:rPr>
              <w:t xml:space="preserve"> </w:t>
            </w:r>
            <w:r w:rsidRPr="00F2273F">
              <w:rPr>
                <w:bCs/>
                <w:sz w:val="28"/>
                <w:szCs w:val="22"/>
              </w:rPr>
              <w:t>la integración de las actividades de generación y t</w:t>
            </w:r>
            <w:r w:rsidRPr="00F2273F">
              <w:rPr>
                <w:bCs/>
                <w:sz w:val="28"/>
                <w:szCs w:val="22"/>
              </w:rPr>
              <w:t>ransmisión</w:t>
            </w:r>
            <w:r w:rsidRPr="00F2273F">
              <w:rPr>
                <w:bCs/>
                <w:sz w:val="28"/>
                <w:szCs w:val="22"/>
              </w:rPr>
              <w:t xml:space="preserve"> para la libre competencia en el sector eléctrico</w:t>
            </w:r>
            <w:r w:rsidRPr="00F2273F">
              <w:rPr>
                <w:bCs/>
                <w:sz w:val="28"/>
                <w:szCs w:val="22"/>
              </w:rPr>
              <w:t xml:space="preserve">, más </w:t>
            </w:r>
            <w:r w:rsidRPr="00F2273F">
              <w:rPr>
                <w:bCs/>
                <w:sz w:val="28"/>
                <w:szCs w:val="22"/>
              </w:rPr>
              <w:t>porque</w:t>
            </w:r>
            <w:r w:rsidRPr="00F2273F">
              <w:rPr>
                <w:bCs/>
                <w:sz w:val="28"/>
                <w:szCs w:val="22"/>
              </w:rPr>
              <w:t xml:space="preserve"> ISA tiene acceso a la gestión e información del administrador del Mercado de Energía Mayorista de Colombia y del Sistema de Interconectado (empresa XM). Pese a ello, no </w:t>
            </w:r>
            <w:r w:rsidRPr="00F2273F">
              <w:rPr>
                <w:bCs/>
                <w:sz w:val="28"/>
                <w:szCs w:val="22"/>
              </w:rPr>
              <w:t xml:space="preserve">se </w:t>
            </w:r>
            <w:r w:rsidRPr="00F2273F">
              <w:rPr>
                <w:bCs/>
                <w:sz w:val="28"/>
                <w:szCs w:val="22"/>
              </w:rPr>
              <w:t>definió si X</w:t>
            </w:r>
            <w:r w:rsidRPr="00F2273F">
              <w:rPr>
                <w:bCs/>
                <w:sz w:val="28"/>
                <w:szCs w:val="22"/>
              </w:rPr>
              <w:t>M ha de mantenerse como entidad independiente y así evitar posibles conflictos de interés e incluso la incidencia de Ecopetrol por su rol inversionista.</w:t>
            </w:r>
          </w:p>
          <w:p w:rsidR="00D15AFF" w:rsidRPr="00F2273F" w:rsidRDefault="00F2273F">
            <w:pPr>
              <w:tabs>
                <w:tab w:val="left" w:pos="567"/>
              </w:tabs>
              <w:ind w:right="51"/>
              <w:jc w:val="both"/>
              <w:rPr>
                <w:bCs/>
                <w:sz w:val="28"/>
                <w:szCs w:val="22"/>
              </w:rPr>
            </w:pPr>
            <w:r w:rsidRPr="00F2273F">
              <w:rPr>
                <w:bCs/>
                <w:sz w:val="28"/>
                <w:szCs w:val="22"/>
              </w:rPr>
              <w:t>M</w:t>
            </w:r>
            <w:r w:rsidRPr="00F2273F">
              <w:rPr>
                <w:bCs/>
                <w:sz w:val="28"/>
                <w:szCs w:val="22"/>
              </w:rPr>
              <w:t>anifestó que la norma demandada no guarda conexidad directa e inmediata con los objetivos del PND, pue</w:t>
            </w:r>
            <w:r w:rsidRPr="00F2273F">
              <w:rPr>
                <w:bCs/>
                <w:sz w:val="28"/>
                <w:szCs w:val="22"/>
              </w:rPr>
              <w:t xml:space="preserve">s ya existía un marco jurídico que permitía la participación de empresas estatales en la transformación energética. Bajo la lógica de que no contribuye a la eficiencia energética y del mercado, se debían establecer condiciones adicionales relacionadas con </w:t>
            </w:r>
            <w:r w:rsidRPr="00F2273F">
              <w:rPr>
                <w:bCs/>
                <w:sz w:val="28"/>
                <w:szCs w:val="22"/>
              </w:rPr>
              <w:t>reformas legales, cambios regulatorios y decisiones empresariales autónomas, incluso en cuanto a la gestión de la CREG.</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Universidad Pontificia Bolivariana (UPB Medellín)</w:t>
            </w:r>
            <w:r w:rsidRPr="00F2273F">
              <w:rPr>
                <w:rStyle w:val="Refdenotaalpie"/>
                <w:bCs/>
                <w:sz w:val="28"/>
                <w:szCs w:val="22"/>
              </w:rPr>
              <w:footnoteReference w:id="30"/>
            </w:r>
          </w:p>
          <w:p w:rsidR="00275374" w:rsidRPr="00F2273F" w:rsidRDefault="00F2273F">
            <w:pPr>
              <w:tabs>
                <w:tab w:val="left" w:pos="567"/>
              </w:tabs>
              <w:ind w:right="51"/>
              <w:jc w:val="center"/>
              <w:rPr>
                <w:bCs/>
                <w:sz w:val="28"/>
                <w:szCs w:val="22"/>
              </w:rPr>
            </w:pPr>
            <w:r w:rsidRPr="00F2273F">
              <w:rPr>
                <w:bCs/>
                <w:sz w:val="28"/>
                <w:szCs w:val="22"/>
              </w:rPr>
              <w:t>(interviniente)</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 xml:space="preserve">Exequibilidad. </w:t>
            </w:r>
            <w:r w:rsidRPr="00F2273F">
              <w:rPr>
                <w:bCs/>
                <w:sz w:val="28"/>
                <w:szCs w:val="22"/>
              </w:rPr>
              <w:t xml:space="preserve">Consideró que la norma acusada, que deroga </w:t>
            </w:r>
            <w:r w:rsidRPr="00F2273F">
              <w:rPr>
                <w:bCs/>
                <w:sz w:val="28"/>
                <w:szCs w:val="22"/>
              </w:rPr>
              <w:t>disposicio</w:t>
            </w:r>
            <w:r w:rsidRPr="00F2273F">
              <w:rPr>
                <w:bCs/>
                <w:sz w:val="28"/>
                <w:szCs w:val="22"/>
              </w:rPr>
              <w:t>nes</w:t>
            </w:r>
            <w:r w:rsidRPr="00F2273F">
              <w:rPr>
                <w:bCs/>
                <w:sz w:val="28"/>
                <w:szCs w:val="22"/>
              </w:rPr>
              <w:t xml:space="preserve"> de hace 20 años, respeta la unidad de materia </w:t>
            </w:r>
            <w:r w:rsidRPr="00F2273F">
              <w:rPr>
                <w:bCs/>
                <w:sz w:val="28"/>
                <w:szCs w:val="22"/>
              </w:rPr>
              <w:t>porque</w:t>
            </w:r>
            <w:r w:rsidRPr="00F2273F">
              <w:rPr>
                <w:bCs/>
                <w:sz w:val="28"/>
                <w:szCs w:val="22"/>
              </w:rPr>
              <w:t xml:space="preserve"> guarda una relación de conexidad directa e inmediata con los objetivos, metas, programas y proyectos del PND</w:t>
            </w:r>
            <w:r w:rsidRPr="00F2273F">
              <w:rPr>
                <w:bCs/>
                <w:sz w:val="28"/>
                <w:szCs w:val="22"/>
              </w:rPr>
              <w:t xml:space="preserve">, así como </w:t>
            </w:r>
            <w:r w:rsidRPr="00F2273F">
              <w:rPr>
                <w:bCs/>
                <w:sz w:val="28"/>
                <w:szCs w:val="22"/>
              </w:rPr>
              <w:t xml:space="preserve">con </w:t>
            </w:r>
            <w:r w:rsidRPr="00F2273F">
              <w:rPr>
                <w:bCs/>
                <w:sz w:val="28"/>
                <w:szCs w:val="22"/>
              </w:rPr>
              <w:t>sus b</w:t>
            </w:r>
            <w:r w:rsidRPr="00F2273F">
              <w:rPr>
                <w:bCs/>
                <w:sz w:val="28"/>
                <w:szCs w:val="22"/>
              </w:rPr>
              <w:t xml:space="preserve">ases. Resaltó que no se trata de un tema autónomo e independiente, pues es un instrumento que da cuenta de una relación directa, cercana y suficiente con el catalizador C del eje </w:t>
            </w:r>
            <w:r w:rsidRPr="00F2273F">
              <w:rPr>
                <w:bCs/>
                <w:i/>
                <w:iCs/>
                <w:sz w:val="28"/>
                <w:szCs w:val="22"/>
              </w:rPr>
              <w:t>Transformación Productiva</w:t>
            </w:r>
            <w:r w:rsidRPr="00F2273F">
              <w:rPr>
                <w:bCs/>
                <w:sz w:val="28"/>
                <w:szCs w:val="22"/>
              </w:rPr>
              <w:t>, porque brinda solución directa e inmediata a la pr</w:t>
            </w:r>
            <w:r w:rsidRPr="00F2273F">
              <w:rPr>
                <w:bCs/>
                <w:sz w:val="28"/>
                <w:szCs w:val="22"/>
              </w:rPr>
              <w:t>oblemática emanada de la necesidad de democratizar el mercado de actores que participan en la cadena de valor de la energía eléctrica.</w:t>
            </w:r>
          </w:p>
          <w:p w:rsidR="00D15AFF" w:rsidRPr="00F2273F" w:rsidRDefault="00F2273F">
            <w:pPr>
              <w:tabs>
                <w:tab w:val="left" w:pos="567"/>
              </w:tabs>
              <w:ind w:right="51"/>
              <w:jc w:val="both"/>
              <w:rPr>
                <w:bCs/>
                <w:sz w:val="28"/>
                <w:szCs w:val="22"/>
              </w:rPr>
            </w:pPr>
            <w:r w:rsidRPr="00F2273F">
              <w:rPr>
                <w:bCs/>
                <w:sz w:val="28"/>
                <w:szCs w:val="22"/>
              </w:rPr>
              <w:t>Asimismo, expuso que la disposición no desconoce el principio de consecutividad, pues entendido bajo la identidad flexibl</w:t>
            </w:r>
            <w:r w:rsidRPr="00F2273F">
              <w:rPr>
                <w:bCs/>
                <w:sz w:val="28"/>
                <w:szCs w:val="22"/>
              </w:rPr>
              <w:t xml:space="preserve">e, es posible concluir que desde la versión original del proyecto de ley y </w:t>
            </w:r>
            <w:r w:rsidRPr="00F2273F">
              <w:rPr>
                <w:bCs/>
                <w:sz w:val="28"/>
                <w:szCs w:val="22"/>
              </w:rPr>
              <w:t xml:space="preserve">por </w:t>
            </w:r>
            <w:r w:rsidRPr="00F2273F">
              <w:rPr>
                <w:bCs/>
                <w:sz w:val="28"/>
                <w:szCs w:val="22"/>
              </w:rPr>
              <w:t>los debates surtidos</w:t>
            </w:r>
            <w:r w:rsidRPr="00F2273F">
              <w:rPr>
                <w:bCs/>
                <w:sz w:val="28"/>
                <w:szCs w:val="22"/>
              </w:rPr>
              <w:t>,</w:t>
            </w:r>
            <w:r w:rsidRPr="00F2273F">
              <w:rPr>
                <w:bCs/>
                <w:sz w:val="28"/>
                <w:szCs w:val="22"/>
              </w:rPr>
              <w:t xml:space="preserve"> el Congreso tuvo conocimiento de la problemática y necesidad de flexibilizar reglas que restringían la participación de las empresas encargadas del servici</w:t>
            </w:r>
            <w:r w:rsidRPr="00F2273F">
              <w:rPr>
                <w:bCs/>
                <w:sz w:val="28"/>
                <w:szCs w:val="22"/>
              </w:rPr>
              <w:t>o de interconexión en actividades de generación, comercialización y distribución de electricidad.</w:t>
            </w:r>
          </w:p>
        </w:tc>
      </w:tr>
      <w:tr w:rsidR="00974547"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Pontificia Universidad Javeriana</w:t>
            </w:r>
            <w:r w:rsidRPr="00F2273F">
              <w:rPr>
                <w:rStyle w:val="Refdenotaalpie"/>
                <w:bCs/>
                <w:sz w:val="28"/>
                <w:szCs w:val="22"/>
              </w:rPr>
              <w:footnoteReference w:id="31"/>
            </w:r>
          </w:p>
          <w:p w:rsidR="00275374" w:rsidRPr="00F2273F" w:rsidRDefault="00F2273F">
            <w:pPr>
              <w:tabs>
                <w:tab w:val="left" w:pos="567"/>
              </w:tabs>
              <w:ind w:right="51"/>
              <w:jc w:val="center"/>
              <w:rPr>
                <w:bCs/>
                <w:sz w:val="28"/>
                <w:szCs w:val="22"/>
              </w:rPr>
            </w:pPr>
            <w:r w:rsidRPr="00F2273F">
              <w:rPr>
                <w:bCs/>
                <w:sz w:val="28"/>
                <w:szCs w:val="22"/>
              </w:rPr>
              <w:t>(invitado)</w:t>
            </w:r>
          </w:p>
        </w:tc>
        <w:tc>
          <w:tcPr>
            <w:tcW w:w="6663" w:type="dxa"/>
            <w:vAlign w:val="center"/>
          </w:tcPr>
          <w:p w:rsidR="00D15AFF" w:rsidRPr="00F2273F" w:rsidRDefault="00F2273F" w:rsidP="7252C18A">
            <w:pPr>
              <w:tabs>
                <w:tab w:val="left" w:pos="567"/>
              </w:tabs>
              <w:ind w:right="51"/>
              <w:jc w:val="both"/>
              <w:rPr>
                <w:sz w:val="28"/>
                <w:szCs w:val="22"/>
              </w:rPr>
            </w:pPr>
            <w:r w:rsidRPr="00F2273F">
              <w:rPr>
                <w:i/>
                <w:iCs/>
                <w:sz w:val="28"/>
                <w:szCs w:val="22"/>
              </w:rPr>
              <w:t xml:space="preserve">Aunque </w:t>
            </w:r>
            <w:r w:rsidRPr="00F2273F">
              <w:rPr>
                <w:i/>
                <w:iCs/>
                <w:sz w:val="28"/>
                <w:szCs w:val="22"/>
              </w:rPr>
              <w:t>no se refiere en específico a los</w:t>
            </w:r>
            <w:r w:rsidRPr="00F2273F">
              <w:rPr>
                <w:i/>
                <w:iCs/>
                <w:sz w:val="28"/>
                <w:szCs w:val="22"/>
              </w:rPr>
              <w:t xml:space="preserve"> cargos de la demanda, </w:t>
            </w:r>
            <w:r w:rsidRPr="00F2273F">
              <w:rPr>
                <w:i/>
                <w:iCs/>
                <w:sz w:val="28"/>
                <w:szCs w:val="22"/>
              </w:rPr>
              <w:t>considera que deben prosperar</w:t>
            </w:r>
            <w:r w:rsidRPr="00F2273F">
              <w:rPr>
                <w:i/>
                <w:iCs/>
                <w:sz w:val="28"/>
                <w:szCs w:val="22"/>
              </w:rPr>
              <w:t xml:space="preserve"> y </w:t>
            </w:r>
            <w:r w:rsidRPr="00F2273F">
              <w:rPr>
                <w:i/>
                <w:iCs/>
                <w:sz w:val="28"/>
                <w:szCs w:val="22"/>
              </w:rPr>
              <w:t>además</w:t>
            </w:r>
            <w:r w:rsidRPr="00F2273F">
              <w:rPr>
                <w:i/>
                <w:iCs/>
                <w:sz w:val="28"/>
                <w:szCs w:val="22"/>
              </w:rPr>
              <w:t xml:space="preserve"> </w:t>
            </w:r>
            <w:r w:rsidRPr="00F2273F">
              <w:rPr>
                <w:i/>
                <w:iCs/>
                <w:sz w:val="28"/>
                <w:szCs w:val="22"/>
              </w:rPr>
              <w:t>plantea</w:t>
            </w:r>
            <w:r w:rsidRPr="00F2273F">
              <w:rPr>
                <w:i/>
                <w:iCs/>
                <w:sz w:val="28"/>
                <w:szCs w:val="22"/>
              </w:rPr>
              <w:t xml:space="preserve"> la vulneración del principio de la libre competencia establecido en el artículo 333 superior.</w:t>
            </w:r>
            <w:r w:rsidRPr="00F2273F">
              <w:rPr>
                <w:sz w:val="28"/>
                <w:szCs w:val="22"/>
              </w:rPr>
              <w:t xml:space="preserve"> Compartió la premisa fijada en la demanda según la cual las expresiones acusadas </w:t>
            </w:r>
            <w:r w:rsidRPr="00F2273F">
              <w:rPr>
                <w:sz w:val="28"/>
                <w:szCs w:val="22"/>
              </w:rPr>
              <w:t>implican</w:t>
            </w:r>
            <w:r w:rsidRPr="00F2273F">
              <w:rPr>
                <w:sz w:val="28"/>
                <w:szCs w:val="22"/>
              </w:rPr>
              <w:t xml:space="preserve"> un cambio estructural y permanente en el mercado eléctrico, el cual afe</w:t>
            </w:r>
            <w:r w:rsidRPr="00F2273F">
              <w:rPr>
                <w:sz w:val="28"/>
                <w:szCs w:val="22"/>
              </w:rPr>
              <w:t>cta el régimen de integración vertical de este sector y la libre competencia económica.</w:t>
            </w:r>
          </w:p>
          <w:p w:rsidR="00D15AFF" w:rsidRPr="00F2273F" w:rsidRDefault="00F2273F">
            <w:pPr>
              <w:tabs>
                <w:tab w:val="left" w:pos="567"/>
              </w:tabs>
              <w:ind w:right="51"/>
              <w:jc w:val="both"/>
              <w:rPr>
                <w:bCs/>
                <w:sz w:val="28"/>
                <w:szCs w:val="22"/>
              </w:rPr>
            </w:pPr>
            <w:r w:rsidRPr="00F2273F">
              <w:rPr>
                <w:bCs/>
                <w:sz w:val="28"/>
                <w:szCs w:val="22"/>
              </w:rPr>
              <w:t>Con el fin de proteger la libre competencia e impedir prácticas que constituyan competencia desleal o abuso de la posición dominante, se ha restringido la integración v</w:t>
            </w:r>
            <w:r w:rsidRPr="00F2273F">
              <w:rPr>
                <w:bCs/>
                <w:sz w:val="28"/>
                <w:szCs w:val="22"/>
              </w:rPr>
              <w:t>ertical de las empresas que prestan el servicio de transmisión, como es el caso de ISA. Expuso, según una sentencia del Consejo de Estado</w:t>
            </w:r>
            <w:r w:rsidRPr="00F2273F">
              <w:rPr>
                <w:rStyle w:val="Refdenotaalpie"/>
                <w:bCs/>
                <w:sz w:val="28"/>
                <w:szCs w:val="22"/>
              </w:rPr>
              <w:footnoteReference w:id="32"/>
            </w:r>
            <w:r w:rsidRPr="00F2273F">
              <w:rPr>
                <w:bCs/>
                <w:sz w:val="28"/>
                <w:szCs w:val="22"/>
              </w:rPr>
              <w:t xml:space="preserve">, que esa actividad de transmisión es un monopolio natural por </w:t>
            </w:r>
            <w:r w:rsidRPr="00F2273F">
              <w:rPr>
                <w:bCs/>
                <w:sz w:val="28"/>
                <w:szCs w:val="22"/>
              </w:rPr>
              <w:t>sus</w:t>
            </w:r>
            <w:r w:rsidRPr="00F2273F">
              <w:rPr>
                <w:bCs/>
                <w:sz w:val="28"/>
                <w:szCs w:val="22"/>
              </w:rPr>
              <w:t xml:space="preserve"> características de construcción, administración, op</w:t>
            </w:r>
            <w:r w:rsidRPr="00F2273F">
              <w:rPr>
                <w:bCs/>
                <w:sz w:val="28"/>
                <w:szCs w:val="22"/>
              </w:rPr>
              <w:t>eración y mantenimiento, de manera que resultaría completamente ineficiente que existieran múltiples empresas que se dedicaran a prestar ese servicio.</w:t>
            </w:r>
          </w:p>
          <w:p w:rsidR="00D15AFF" w:rsidRPr="00F2273F" w:rsidRDefault="00F2273F">
            <w:pPr>
              <w:tabs>
                <w:tab w:val="left" w:pos="567"/>
              </w:tabs>
              <w:ind w:right="51"/>
              <w:jc w:val="both"/>
              <w:rPr>
                <w:bCs/>
                <w:sz w:val="28"/>
                <w:szCs w:val="22"/>
              </w:rPr>
            </w:pPr>
            <w:r w:rsidRPr="00F2273F">
              <w:rPr>
                <w:bCs/>
                <w:sz w:val="28"/>
                <w:szCs w:val="22"/>
              </w:rPr>
              <w:t xml:space="preserve">Tras </w:t>
            </w:r>
            <w:r w:rsidRPr="00F2273F">
              <w:rPr>
                <w:bCs/>
                <w:sz w:val="28"/>
                <w:szCs w:val="22"/>
              </w:rPr>
              <w:t>señalar</w:t>
            </w:r>
            <w:r w:rsidRPr="00F2273F">
              <w:rPr>
                <w:bCs/>
                <w:sz w:val="28"/>
                <w:szCs w:val="22"/>
              </w:rPr>
              <w:t xml:space="preserve"> que ISA participa aproximadamente en un 69 % del Sistema de Transmisión Nacional de Colombia, indicó que es por esa estructura de mercado que se han diseñado restricciones legales para las empresas de transmisión, entre las que se encuentra la prohibición</w:t>
            </w:r>
            <w:r w:rsidRPr="00F2273F">
              <w:rPr>
                <w:bCs/>
                <w:sz w:val="28"/>
                <w:szCs w:val="22"/>
              </w:rPr>
              <w:t xml:space="preserve"> de integración vertical de las empresas que prestan servicios de transmisión</w:t>
            </w:r>
            <w:r w:rsidRPr="00F2273F">
              <w:rPr>
                <w:bCs/>
                <w:sz w:val="28"/>
                <w:szCs w:val="22"/>
              </w:rPr>
              <w:t>, como la</w:t>
            </w:r>
            <w:r w:rsidRPr="00F2273F">
              <w:rPr>
                <w:bCs/>
                <w:sz w:val="28"/>
                <w:szCs w:val="22"/>
              </w:rPr>
              <w:t xml:space="preserve"> que fue suprimida con </w:t>
            </w:r>
            <w:r w:rsidRPr="00F2273F">
              <w:rPr>
                <w:bCs/>
                <w:sz w:val="28"/>
                <w:szCs w:val="22"/>
              </w:rPr>
              <w:t>la expresión acusada</w:t>
            </w:r>
            <w:r w:rsidRPr="00F2273F">
              <w:rPr>
                <w:bCs/>
                <w:sz w:val="28"/>
                <w:szCs w:val="22"/>
              </w:rPr>
              <w:t>, y aquella contenida en el artículo 74 de la Ley 143 de 1994, según la cual la transmisión está separada de los demás eslabone</w:t>
            </w:r>
            <w:r w:rsidRPr="00F2273F">
              <w:rPr>
                <w:bCs/>
                <w:sz w:val="28"/>
                <w:szCs w:val="22"/>
              </w:rPr>
              <w:t>s de la cadena. Bajo esa línea, la Corte Constitucional estableció que la exclusión de la actividad de transmisión de la integración vertical constituye un mecanismo para promover la competencia, reducir el riesgo de fijación de precios y garantizar la pre</w:t>
            </w:r>
            <w:r w:rsidRPr="00F2273F">
              <w:rPr>
                <w:bCs/>
                <w:sz w:val="28"/>
                <w:szCs w:val="22"/>
              </w:rPr>
              <w:t>stación eficiente del servicio.</w:t>
            </w:r>
          </w:p>
        </w:tc>
      </w:tr>
      <w:tr w:rsidR="00D15AFF" w:rsidRPr="00F2273F" w:rsidTr="7252C18A">
        <w:tc>
          <w:tcPr>
            <w:tcW w:w="2263" w:type="dxa"/>
            <w:vAlign w:val="center"/>
          </w:tcPr>
          <w:p w:rsidR="00D15AFF" w:rsidRPr="00F2273F" w:rsidRDefault="00F2273F">
            <w:pPr>
              <w:tabs>
                <w:tab w:val="left" w:pos="567"/>
              </w:tabs>
              <w:ind w:right="51"/>
              <w:jc w:val="center"/>
              <w:rPr>
                <w:bCs/>
                <w:sz w:val="28"/>
                <w:szCs w:val="22"/>
              </w:rPr>
            </w:pPr>
            <w:r w:rsidRPr="00F2273F">
              <w:rPr>
                <w:bCs/>
                <w:sz w:val="28"/>
                <w:szCs w:val="22"/>
              </w:rPr>
              <w:t>Luis Alfredo Rojas Rosillo</w:t>
            </w:r>
            <w:r w:rsidRPr="00F2273F">
              <w:rPr>
                <w:rStyle w:val="Refdenotaalpie"/>
                <w:bCs/>
                <w:sz w:val="28"/>
                <w:szCs w:val="22"/>
              </w:rPr>
              <w:footnoteReference w:id="33"/>
            </w:r>
          </w:p>
          <w:p w:rsidR="00275374" w:rsidRPr="00F2273F" w:rsidRDefault="00F2273F">
            <w:pPr>
              <w:tabs>
                <w:tab w:val="left" w:pos="567"/>
              </w:tabs>
              <w:ind w:right="51"/>
              <w:jc w:val="center"/>
              <w:rPr>
                <w:bCs/>
                <w:sz w:val="28"/>
                <w:szCs w:val="22"/>
              </w:rPr>
            </w:pPr>
            <w:r w:rsidRPr="00F2273F">
              <w:rPr>
                <w:bCs/>
                <w:sz w:val="28"/>
                <w:szCs w:val="22"/>
              </w:rPr>
              <w:t xml:space="preserve">(interviniente) </w:t>
            </w:r>
          </w:p>
        </w:tc>
        <w:tc>
          <w:tcPr>
            <w:tcW w:w="6663" w:type="dxa"/>
            <w:vAlign w:val="center"/>
          </w:tcPr>
          <w:p w:rsidR="00D15AFF" w:rsidRPr="00F2273F" w:rsidRDefault="00F2273F">
            <w:pPr>
              <w:tabs>
                <w:tab w:val="left" w:pos="567"/>
              </w:tabs>
              <w:ind w:right="51"/>
              <w:jc w:val="both"/>
              <w:rPr>
                <w:bCs/>
                <w:sz w:val="28"/>
                <w:szCs w:val="22"/>
              </w:rPr>
            </w:pPr>
            <w:r w:rsidRPr="00F2273F">
              <w:rPr>
                <w:bCs/>
                <w:i/>
                <w:iCs/>
                <w:sz w:val="28"/>
                <w:szCs w:val="22"/>
              </w:rPr>
              <w:t>Exequibilidad</w:t>
            </w:r>
            <w:r w:rsidRPr="00F2273F">
              <w:rPr>
                <w:bCs/>
                <w:sz w:val="28"/>
                <w:szCs w:val="22"/>
              </w:rPr>
              <w:t xml:space="preserve">. En cuanto a la consecutividad expuso que los demandantes pretenden que la Corte </w:t>
            </w:r>
            <w:r w:rsidRPr="00F2273F">
              <w:rPr>
                <w:bCs/>
                <w:sz w:val="28"/>
                <w:szCs w:val="22"/>
              </w:rPr>
              <w:t xml:space="preserve">Constitucional </w:t>
            </w:r>
            <w:r w:rsidRPr="00F2273F">
              <w:rPr>
                <w:bCs/>
                <w:sz w:val="28"/>
                <w:szCs w:val="22"/>
              </w:rPr>
              <w:t xml:space="preserve">considere si con fundamento en las discusiones que resultaron en la </w:t>
            </w:r>
            <w:r w:rsidRPr="00F2273F">
              <w:rPr>
                <w:bCs/>
                <w:sz w:val="28"/>
                <w:szCs w:val="22"/>
              </w:rPr>
              <w:t>eliminación del artículo 218 del proyecto</w:t>
            </w:r>
            <w:r w:rsidRPr="00F2273F">
              <w:rPr>
                <w:bCs/>
                <w:sz w:val="28"/>
                <w:szCs w:val="22"/>
              </w:rPr>
              <w:t>,</w:t>
            </w:r>
            <w:r w:rsidRPr="00F2273F">
              <w:rPr>
                <w:bCs/>
                <w:sz w:val="28"/>
                <w:szCs w:val="22"/>
              </w:rPr>
              <w:t xml:space="preserve"> se debió negar la aprobación de las expresiones acusadas, asunto que, en su concepto</w:t>
            </w:r>
            <w:r w:rsidRPr="00F2273F">
              <w:rPr>
                <w:bCs/>
                <w:sz w:val="28"/>
                <w:szCs w:val="22"/>
              </w:rPr>
              <w:t>,</w:t>
            </w:r>
            <w:r w:rsidRPr="00F2273F">
              <w:rPr>
                <w:bCs/>
                <w:sz w:val="28"/>
                <w:szCs w:val="22"/>
              </w:rPr>
              <w:t xml:space="preserve"> desborda los límites del juicio de constitucionalidad. Además, sostuvo que el trámite surtido ante la comisión de conciliación </w:t>
            </w:r>
            <w:r w:rsidRPr="00F2273F">
              <w:rPr>
                <w:bCs/>
                <w:sz w:val="28"/>
                <w:szCs w:val="22"/>
              </w:rPr>
              <w:t>es suficiente para resolver válidamente toda discrepancia que pudo presentarse en lo corrido del trámite</w:t>
            </w:r>
            <w:r w:rsidRPr="00F2273F">
              <w:rPr>
                <w:bCs/>
                <w:sz w:val="28"/>
                <w:szCs w:val="22"/>
              </w:rPr>
              <w:t xml:space="preserve"> legislativo</w:t>
            </w:r>
            <w:r w:rsidRPr="00F2273F">
              <w:rPr>
                <w:bCs/>
                <w:sz w:val="28"/>
                <w:szCs w:val="22"/>
              </w:rPr>
              <w:t xml:space="preserve">, propuesta que luego fue aprobada por la plenaria del Congreso, incluyendo </w:t>
            </w:r>
            <w:r w:rsidRPr="00F2273F">
              <w:rPr>
                <w:bCs/>
                <w:sz w:val="28"/>
                <w:szCs w:val="22"/>
              </w:rPr>
              <w:t>la expresión que hoy es demandada</w:t>
            </w:r>
            <w:r w:rsidRPr="00F2273F">
              <w:rPr>
                <w:bCs/>
                <w:sz w:val="28"/>
                <w:szCs w:val="22"/>
              </w:rPr>
              <w:t>.</w:t>
            </w:r>
          </w:p>
          <w:p w:rsidR="00D15AFF" w:rsidRPr="00F2273F" w:rsidRDefault="00F2273F">
            <w:pPr>
              <w:tabs>
                <w:tab w:val="left" w:pos="567"/>
              </w:tabs>
              <w:ind w:right="51"/>
              <w:jc w:val="both"/>
              <w:rPr>
                <w:bCs/>
                <w:sz w:val="28"/>
                <w:szCs w:val="22"/>
              </w:rPr>
            </w:pPr>
            <w:r w:rsidRPr="00F2273F">
              <w:rPr>
                <w:bCs/>
                <w:sz w:val="28"/>
                <w:szCs w:val="22"/>
              </w:rPr>
              <w:t xml:space="preserve">Consideró que las </w:t>
            </w:r>
            <w:r w:rsidRPr="00F2273F">
              <w:rPr>
                <w:bCs/>
                <w:sz w:val="28"/>
                <w:szCs w:val="22"/>
              </w:rPr>
              <w:t>derogatoria</w:t>
            </w:r>
            <w:r w:rsidRPr="00F2273F">
              <w:rPr>
                <w:bCs/>
                <w:sz w:val="28"/>
                <w:szCs w:val="22"/>
              </w:rPr>
              <w:t>s en cuestión</w:t>
            </w:r>
            <w:r w:rsidRPr="00F2273F">
              <w:rPr>
                <w:bCs/>
                <w:sz w:val="28"/>
                <w:szCs w:val="22"/>
              </w:rPr>
              <w:t xml:space="preserve"> respetan el principio de unidad de materia porque guardan relación directa e inmediata con los fines, planes y programas del Plan Nacional de Desarrollo, en lo que tiene que ver con el desarrollo, avance y profundización de la mejora </w:t>
            </w:r>
            <w:r w:rsidRPr="00F2273F">
              <w:rPr>
                <w:bCs/>
                <w:sz w:val="28"/>
                <w:szCs w:val="22"/>
              </w:rPr>
              <w:t xml:space="preserve">de </w:t>
            </w:r>
            <w:r w:rsidRPr="00F2273F">
              <w:rPr>
                <w:bCs/>
                <w:sz w:val="28"/>
                <w:szCs w:val="22"/>
              </w:rPr>
              <w:t>la li</w:t>
            </w:r>
            <w:r w:rsidRPr="00F2273F">
              <w:rPr>
                <w:bCs/>
                <w:sz w:val="28"/>
                <w:szCs w:val="22"/>
              </w:rPr>
              <w:t>bre competencia en el mercado mayorista y la eficiencia en la prestación del servicio. Esto, por medio de la supresión de las limitaciones a la integración vertical</w:t>
            </w:r>
            <w:r w:rsidRPr="00F2273F">
              <w:rPr>
                <w:bCs/>
                <w:sz w:val="28"/>
                <w:szCs w:val="22"/>
              </w:rPr>
              <w:t>,</w:t>
            </w:r>
            <w:r w:rsidRPr="00F2273F">
              <w:rPr>
                <w:bCs/>
                <w:sz w:val="28"/>
                <w:szCs w:val="22"/>
              </w:rPr>
              <w:t xml:space="preserve"> asunto que ya había sido tratado en la exposición de motivos del artículo 298 de la Ley 19</w:t>
            </w:r>
            <w:r w:rsidRPr="00F2273F">
              <w:rPr>
                <w:bCs/>
                <w:sz w:val="28"/>
                <w:szCs w:val="22"/>
              </w:rPr>
              <w:t xml:space="preserve">55 de 1995, cuya vigencia se mantuvo </w:t>
            </w:r>
            <w:r w:rsidRPr="00F2273F">
              <w:rPr>
                <w:bCs/>
                <w:sz w:val="28"/>
                <w:szCs w:val="22"/>
              </w:rPr>
              <w:t>co</w:t>
            </w:r>
            <w:r w:rsidRPr="00F2273F">
              <w:rPr>
                <w:bCs/>
                <w:sz w:val="28"/>
                <w:szCs w:val="22"/>
              </w:rPr>
              <w:t>n el artículo 372 de la Ley 2294 de 2023, parcialmente demandado.</w:t>
            </w:r>
          </w:p>
        </w:tc>
      </w:tr>
      <w:bookmarkEnd w:id="2"/>
    </w:tbl>
    <w:p w:rsidR="00D15AFF" w:rsidRPr="00F2273F" w:rsidRDefault="00F2273F" w:rsidP="00D15AFF">
      <w:pPr>
        <w:spacing w:after="0" w:line="240" w:lineRule="auto"/>
        <w:mirrorIndents/>
        <w:jc w:val="both"/>
        <w:rPr>
          <w:rFonts w:ascii="Times New Roman" w:hAnsi="Times New Roman" w:cs="Times New Roman"/>
          <w:sz w:val="28"/>
          <w:szCs w:val="28"/>
        </w:rPr>
      </w:pPr>
    </w:p>
    <w:p w:rsidR="00D15AFF" w:rsidRPr="00F2273F" w:rsidRDefault="00F2273F" w:rsidP="00D15AFF">
      <w:pPr>
        <w:spacing w:after="0" w:line="240" w:lineRule="auto"/>
        <w:mirrorIndents/>
        <w:jc w:val="both"/>
        <w:rPr>
          <w:rFonts w:ascii="Times New Roman" w:hAnsi="Times New Roman" w:cs="Times New Roman"/>
          <w:b/>
          <w:bCs/>
          <w:sz w:val="28"/>
          <w:szCs w:val="28"/>
        </w:rPr>
      </w:pPr>
      <w:r w:rsidRPr="00F2273F">
        <w:rPr>
          <w:rFonts w:ascii="Times New Roman" w:hAnsi="Times New Roman" w:cs="Times New Roman"/>
          <w:b/>
          <w:bCs/>
          <w:sz w:val="28"/>
          <w:szCs w:val="28"/>
        </w:rPr>
        <w:t xml:space="preserve">Concepto de la </w:t>
      </w:r>
      <w:r w:rsidRPr="00F2273F">
        <w:rPr>
          <w:rFonts w:ascii="Times New Roman" w:hAnsi="Times New Roman" w:cs="Times New Roman"/>
          <w:b/>
          <w:bCs/>
          <w:sz w:val="28"/>
          <w:szCs w:val="28"/>
        </w:rPr>
        <w:t xml:space="preserve">procuradora general </w:t>
      </w:r>
      <w:r w:rsidRPr="00F2273F">
        <w:rPr>
          <w:rFonts w:ascii="Times New Roman" w:hAnsi="Times New Roman" w:cs="Times New Roman"/>
          <w:b/>
          <w:bCs/>
          <w:sz w:val="28"/>
          <w:szCs w:val="28"/>
        </w:rPr>
        <w:t>de la Nación</w:t>
      </w:r>
    </w:p>
    <w:p w:rsidR="00D15AFF" w:rsidRPr="00F2273F" w:rsidRDefault="00F2273F" w:rsidP="00D15AFF">
      <w:pPr>
        <w:spacing w:after="0" w:line="240" w:lineRule="auto"/>
        <w:mirrorIndents/>
        <w:jc w:val="both"/>
        <w:rPr>
          <w:rFonts w:ascii="Times New Roman" w:hAnsi="Times New Roman" w:cs="Times New Roman"/>
          <w:b/>
          <w:bCs/>
          <w:sz w:val="28"/>
          <w:szCs w:val="28"/>
        </w:rPr>
      </w:pPr>
    </w:p>
    <w:p w:rsidR="00B7206B" w:rsidRPr="00F2273F" w:rsidRDefault="00F2273F" w:rsidP="0028298B">
      <w:pPr>
        <w:pStyle w:val="Prrafodelista"/>
        <w:numPr>
          <w:ilvl w:val="0"/>
          <w:numId w:val="3"/>
        </w:numPr>
        <w:spacing w:after="0" w:line="240" w:lineRule="auto"/>
        <w:ind w:left="0" w:firstLine="0"/>
        <w:mirrorIndents/>
        <w:jc w:val="both"/>
        <w:rPr>
          <w:rFonts w:ascii="Times New Roman" w:hAnsi="Times New Roman" w:cs="Times New Roman"/>
          <w:sz w:val="28"/>
          <w:szCs w:val="28"/>
        </w:rPr>
      </w:pPr>
      <w:r w:rsidRPr="00F2273F">
        <w:rPr>
          <w:rFonts w:ascii="Times New Roman" w:hAnsi="Times New Roman" w:cs="Times New Roman"/>
          <w:sz w:val="28"/>
          <w:szCs w:val="28"/>
        </w:rPr>
        <w:t xml:space="preserve">Con fecha </w:t>
      </w:r>
      <w:r w:rsidRPr="00F2273F">
        <w:rPr>
          <w:rFonts w:ascii="Times New Roman" w:hAnsi="Times New Roman" w:cs="Times New Roman"/>
          <w:sz w:val="28"/>
          <w:szCs w:val="28"/>
        </w:rPr>
        <w:t>23 de abril de 2024</w:t>
      </w:r>
      <w:r w:rsidRPr="00F2273F">
        <w:rPr>
          <w:rFonts w:ascii="Times New Roman" w:hAnsi="Times New Roman" w:cs="Times New Roman"/>
          <w:sz w:val="28"/>
          <w:szCs w:val="28"/>
        </w:rPr>
        <w:t xml:space="preserve">, quien fungía entonces como </w:t>
      </w:r>
      <w:r w:rsidRPr="00F2273F">
        <w:rPr>
          <w:rFonts w:ascii="Times New Roman" w:hAnsi="Times New Roman" w:cs="Times New Roman"/>
          <w:sz w:val="28"/>
          <w:szCs w:val="28"/>
        </w:rPr>
        <w:t xml:space="preserve">procuradora general de la Nación presentó concepto en el que solicitó a la Corte </w:t>
      </w:r>
      <w:r w:rsidRPr="00F2273F">
        <w:rPr>
          <w:rFonts w:ascii="Times New Roman" w:hAnsi="Times New Roman" w:cs="Times New Roman"/>
          <w:sz w:val="28"/>
          <w:szCs w:val="28"/>
        </w:rPr>
        <w:t xml:space="preserve">Constitucional </w:t>
      </w:r>
      <w:r w:rsidRPr="00F2273F">
        <w:rPr>
          <w:rFonts w:ascii="Times New Roman" w:hAnsi="Times New Roman" w:cs="Times New Roman"/>
          <w:sz w:val="28"/>
          <w:szCs w:val="28"/>
        </w:rPr>
        <w:t xml:space="preserve">que </w:t>
      </w:r>
      <w:r w:rsidRPr="00F2273F">
        <w:rPr>
          <w:rFonts w:ascii="Times New Roman" w:hAnsi="Times New Roman" w:cs="Times New Roman"/>
          <w:sz w:val="28"/>
          <w:szCs w:val="28"/>
        </w:rPr>
        <w:t xml:space="preserve">declarara </w:t>
      </w:r>
      <w:r w:rsidRPr="00F2273F">
        <w:rPr>
          <w:rFonts w:ascii="Times New Roman" w:hAnsi="Times New Roman" w:cs="Times New Roman"/>
          <w:sz w:val="28"/>
          <w:szCs w:val="28"/>
        </w:rPr>
        <w:t xml:space="preserve">la inexequibilidad de </w:t>
      </w:r>
      <w:r w:rsidRPr="00F2273F">
        <w:rPr>
          <w:rFonts w:ascii="Times New Roman" w:hAnsi="Times New Roman" w:cs="Times New Roman"/>
          <w:sz w:val="28"/>
          <w:szCs w:val="28"/>
        </w:rPr>
        <w:t>las expresiones acusadas</w:t>
      </w:r>
      <w:r w:rsidRPr="00F2273F">
        <w:rPr>
          <w:rFonts w:ascii="Times New Roman" w:hAnsi="Times New Roman" w:cs="Times New Roman"/>
          <w:sz w:val="28"/>
          <w:szCs w:val="28"/>
        </w:rPr>
        <w:t xml:space="preserve">. </w:t>
      </w:r>
    </w:p>
    <w:p w:rsidR="00B7206B" w:rsidRPr="00F2273F" w:rsidRDefault="00F2273F" w:rsidP="00B7206B">
      <w:pPr>
        <w:pStyle w:val="Prrafodelista"/>
        <w:spacing w:after="0" w:line="240" w:lineRule="auto"/>
        <w:ind w:left="0"/>
        <w:mirrorIndents/>
        <w:jc w:val="both"/>
        <w:rPr>
          <w:rFonts w:ascii="Times New Roman" w:hAnsi="Times New Roman" w:cs="Times New Roman"/>
          <w:sz w:val="28"/>
          <w:szCs w:val="28"/>
        </w:rPr>
      </w:pPr>
    </w:p>
    <w:p w:rsidR="00FF20B1" w:rsidRPr="00F2273F" w:rsidRDefault="00F2273F" w:rsidP="00D1787F">
      <w:pPr>
        <w:pStyle w:val="Prrafodelista"/>
        <w:numPr>
          <w:ilvl w:val="0"/>
          <w:numId w:val="3"/>
        </w:numPr>
        <w:spacing w:after="0" w:line="240" w:lineRule="auto"/>
        <w:ind w:left="0" w:firstLine="0"/>
        <w:mirrorIndents/>
        <w:jc w:val="both"/>
        <w:rPr>
          <w:rFonts w:ascii="Times New Roman" w:hAnsi="Times New Roman" w:cs="Times New Roman"/>
          <w:sz w:val="28"/>
          <w:szCs w:val="28"/>
        </w:rPr>
      </w:pPr>
      <w:r w:rsidRPr="00F2273F">
        <w:rPr>
          <w:rFonts w:ascii="Times New Roman" w:hAnsi="Times New Roman" w:cs="Times New Roman"/>
          <w:sz w:val="28"/>
          <w:szCs w:val="28"/>
        </w:rPr>
        <w:t>En primer lugar</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expuso que se</w:t>
      </w:r>
      <w:r w:rsidRPr="00F2273F">
        <w:rPr>
          <w:rFonts w:ascii="Times New Roman" w:hAnsi="Times New Roman" w:cs="Times New Roman"/>
          <w:sz w:val="28"/>
          <w:szCs w:val="28"/>
        </w:rPr>
        <w:t xml:space="preserve"> inobservó el principio de </w:t>
      </w:r>
      <w:r w:rsidRPr="00F2273F">
        <w:rPr>
          <w:rFonts w:ascii="Times New Roman" w:hAnsi="Times New Roman" w:cs="Times New Roman"/>
          <w:sz w:val="28"/>
          <w:szCs w:val="28"/>
        </w:rPr>
        <w:t xml:space="preserve">consecutividad, pues las derogatorias </w:t>
      </w:r>
      <w:r w:rsidRPr="00F2273F">
        <w:rPr>
          <w:rFonts w:ascii="Times New Roman" w:hAnsi="Times New Roman" w:cs="Times New Roman"/>
          <w:sz w:val="28"/>
          <w:szCs w:val="28"/>
        </w:rPr>
        <w:t xml:space="preserve">demandadas </w:t>
      </w:r>
      <w:r w:rsidRPr="00F2273F">
        <w:rPr>
          <w:rFonts w:ascii="Times New Roman" w:hAnsi="Times New Roman" w:cs="Times New Roman"/>
          <w:sz w:val="28"/>
          <w:szCs w:val="28"/>
        </w:rPr>
        <w:t>no contaron con las condiciones para ser discutidas por el pleno de la Cámara y, por lo tanto, no fueron objeto de debate. I</w:t>
      </w:r>
      <w:r w:rsidRPr="00F2273F">
        <w:rPr>
          <w:rFonts w:ascii="Times New Roman" w:hAnsi="Times New Roman" w:cs="Times New Roman"/>
          <w:sz w:val="28"/>
          <w:szCs w:val="28"/>
        </w:rPr>
        <w:t>ndicó que</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en </w:t>
      </w:r>
      <w:r w:rsidRPr="00F2273F">
        <w:rPr>
          <w:rFonts w:ascii="Times New Roman" w:hAnsi="Times New Roman" w:cs="Times New Roman"/>
          <w:sz w:val="28"/>
          <w:szCs w:val="28"/>
        </w:rPr>
        <w:t xml:space="preserve">la ponencia para segundo debate </w:t>
      </w:r>
      <w:r w:rsidRPr="00F2273F">
        <w:rPr>
          <w:rFonts w:ascii="Times New Roman" w:hAnsi="Times New Roman" w:cs="Times New Roman"/>
          <w:sz w:val="28"/>
          <w:szCs w:val="28"/>
        </w:rPr>
        <w:t xml:space="preserve">en </w:t>
      </w:r>
      <w:r w:rsidRPr="00F2273F">
        <w:rPr>
          <w:rFonts w:ascii="Times New Roman" w:hAnsi="Times New Roman" w:cs="Times New Roman"/>
          <w:sz w:val="28"/>
          <w:szCs w:val="28"/>
        </w:rPr>
        <w:t xml:space="preserve">la Cámara de Representantes se propuso la eliminación </w:t>
      </w:r>
      <w:r w:rsidRPr="00F2273F">
        <w:rPr>
          <w:rFonts w:ascii="Times New Roman" w:hAnsi="Times New Roman" w:cs="Times New Roman"/>
          <w:sz w:val="28"/>
          <w:szCs w:val="28"/>
        </w:rPr>
        <w:t>del enunciado acusa</w:t>
      </w:r>
      <w:r w:rsidRPr="00F2273F">
        <w:rPr>
          <w:rFonts w:ascii="Times New Roman" w:hAnsi="Times New Roman" w:cs="Times New Roman"/>
          <w:sz w:val="28"/>
          <w:szCs w:val="28"/>
        </w:rPr>
        <w:t xml:space="preserve">do </w:t>
      </w:r>
      <w:r w:rsidRPr="00F2273F">
        <w:rPr>
          <w:rFonts w:ascii="Times New Roman" w:hAnsi="Times New Roman" w:cs="Times New Roman"/>
          <w:sz w:val="28"/>
          <w:szCs w:val="28"/>
        </w:rPr>
        <w:t xml:space="preserve">y </w:t>
      </w:r>
      <w:r w:rsidRPr="00F2273F">
        <w:rPr>
          <w:rFonts w:ascii="Times New Roman" w:hAnsi="Times New Roman" w:cs="Times New Roman"/>
          <w:sz w:val="28"/>
          <w:szCs w:val="28"/>
        </w:rPr>
        <w:t>luego,</w:t>
      </w:r>
      <w:r w:rsidRPr="00F2273F">
        <w:rPr>
          <w:rFonts w:ascii="Times New Roman" w:hAnsi="Times New Roman" w:cs="Times New Roman"/>
          <w:sz w:val="28"/>
          <w:szCs w:val="28"/>
        </w:rPr>
        <w:t xml:space="preserve"> el 2 de mayo de 2023</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dos parlamentarios presentaron proposiciones modificativas a ese artículo </w:t>
      </w:r>
      <w:r w:rsidRPr="00F2273F">
        <w:rPr>
          <w:rFonts w:ascii="Times New Roman" w:hAnsi="Times New Roman" w:cs="Times New Roman"/>
          <w:sz w:val="28"/>
          <w:szCs w:val="28"/>
        </w:rPr>
        <w:t>señalando</w:t>
      </w:r>
      <w:r w:rsidRPr="00F2273F">
        <w:rPr>
          <w:rFonts w:ascii="Times New Roman" w:hAnsi="Times New Roman" w:cs="Times New Roman"/>
          <w:sz w:val="28"/>
          <w:szCs w:val="28"/>
        </w:rPr>
        <w:t xml:space="preserve"> que </w:t>
      </w:r>
      <w:r w:rsidRPr="00F2273F">
        <w:rPr>
          <w:rFonts w:ascii="Times New Roman" w:hAnsi="Times New Roman" w:cs="Times New Roman"/>
          <w:sz w:val="28"/>
          <w:szCs w:val="28"/>
        </w:rPr>
        <w:t xml:space="preserve">la integración vertical </w:t>
      </w:r>
      <w:r w:rsidRPr="00F2273F">
        <w:rPr>
          <w:rFonts w:ascii="Times New Roman" w:hAnsi="Times New Roman" w:cs="Times New Roman"/>
          <w:sz w:val="28"/>
          <w:szCs w:val="28"/>
        </w:rPr>
        <w:t xml:space="preserve">acabaría con la </w:t>
      </w:r>
      <w:r w:rsidRPr="00F2273F">
        <w:rPr>
          <w:rFonts w:ascii="Times New Roman" w:hAnsi="Times New Roman" w:cs="Times New Roman"/>
          <w:sz w:val="28"/>
          <w:szCs w:val="28"/>
        </w:rPr>
        <w:t>competencia</w:t>
      </w:r>
      <w:r w:rsidRPr="00F2273F">
        <w:rPr>
          <w:rFonts w:ascii="Times New Roman" w:hAnsi="Times New Roman" w:cs="Times New Roman"/>
          <w:sz w:val="28"/>
          <w:szCs w:val="28"/>
        </w:rPr>
        <w:t xml:space="preserve">, lo que requería </w:t>
      </w:r>
      <w:r w:rsidRPr="00F2273F">
        <w:rPr>
          <w:rFonts w:ascii="Times New Roman" w:hAnsi="Times New Roman" w:cs="Times New Roman"/>
          <w:sz w:val="28"/>
          <w:szCs w:val="28"/>
        </w:rPr>
        <w:t>un artículo autónomo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pero</w:t>
      </w:r>
      <w:r w:rsidRPr="00F2273F">
        <w:rPr>
          <w:rFonts w:ascii="Times New Roman" w:hAnsi="Times New Roman" w:cs="Times New Roman"/>
          <w:sz w:val="28"/>
          <w:szCs w:val="28"/>
        </w:rPr>
        <w:t xml:space="preserve"> terminó por incorporarse a través de la</w:t>
      </w:r>
      <w:r w:rsidRPr="00F2273F">
        <w:rPr>
          <w:rFonts w:ascii="Times New Roman" w:hAnsi="Times New Roman" w:cs="Times New Roman"/>
          <w:sz w:val="28"/>
          <w:szCs w:val="28"/>
        </w:rPr>
        <w:t xml:space="preserve"> cláusula de derogatorias</w:t>
      </w:r>
      <w:r w:rsidRPr="00F2273F">
        <w:rPr>
          <w:rFonts w:ascii="Times New Roman" w:hAnsi="Times New Roman" w:cs="Times New Roman"/>
          <w:sz w:val="28"/>
          <w:szCs w:val="28"/>
        </w:rPr>
        <w:t xml:space="preserve"> acusada</w:t>
      </w:r>
      <w:r w:rsidRPr="00F2273F">
        <w:rPr>
          <w:rFonts w:ascii="Times New Roman" w:hAnsi="Times New Roman" w:cs="Times New Roman"/>
          <w:sz w:val="28"/>
          <w:szCs w:val="28"/>
        </w:rPr>
        <w:t xml:space="preserve">. El 4 de mayo siguiente, en la sesión de la </w:t>
      </w:r>
      <w:r w:rsidRPr="00F2273F">
        <w:rPr>
          <w:rFonts w:ascii="Times New Roman" w:hAnsi="Times New Roman" w:cs="Times New Roman"/>
          <w:sz w:val="28"/>
          <w:szCs w:val="28"/>
        </w:rPr>
        <w:t xml:space="preserve">plenaria </w:t>
      </w:r>
      <w:r w:rsidRPr="00F2273F">
        <w:rPr>
          <w:rFonts w:ascii="Times New Roman" w:hAnsi="Times New Roman" w:cs="Times New Roman"/>
          <w:sz w:val="28"/>
          <w:szCs w:val="28"/>
        </w:rPr>
        <w:t xml:space="preserve">de la misma cámara, la mesa directiva omitió la lectura de las proposiciones, limitándose a referir su existencia y </w:t>
      </w:r>
      <w:r w:rsidRPr="00F2273F">
        <w:rPr>
          <w:rFonts w:ascii="Times New Roman" w:hAnsi="Times New Roman" w:cs="Times New Roman"/>
          <w:sz w:val="28"/>
          <w:szCs w:val="28"/>
        </w:rPr>
        <w:t xml:space="preserve">pretermitiendo </w:t>
      </w:r>
      <w:r w:rsidRPr="00F2273F">
        <w:rPr>
          <w:rFonts w:ascii="Times New Roman" w:hAnsi="Times New Roman" w:cs="Times New Roman"/>
          <w:sz w:val="28"/>
          <w:szCs w:val="28"/>
        </w:rPr>
        <w:t>el espacio para su discusión</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bajo la excusa de apremio para aprobar la ley del plan y </w:t>
      </w:r>
      <w:r w:rsidRPr="00F2273F">
        <w:rPr>
          <w:rFonts w:ascii="Times New Roman" w:hAnsi="Times New Roman" w:cs="Times New Roman"/>
          <w:sz w:val="28"/>
          <w:szCs w:val="28"/>
        </w:rPr>
        <w:t xml:space="preserve">así </w:t>
      </w:r>
      <w:r w:rsidRPr="00F2273F">
        <w:rPr>
          <w:rFonts w:ascii="Times New Roman" w:hAnsi="Times New Roman" w:cs="Times New Roman"/>
          <w:sz w:val="28"/>
          <w:szCs w:val="28"/>
        </w:rPr>
        <w:t>evitar la desintegración del quórum.</w:t>
      </w:r>
    </w:p>
    <w:p w:rsidR="00D1787F" w:rsidRPr="00F2273F" w:rsidRDefault="00F2273F" w:rsidP="00D1787F">
      <w:pPr>
        <w:pStyle w:val="Prrafodelista"/>
        <w:spacing w:after="0" w:line="240" w:lineRule="auto"/>
        <w:ind w:left="0"/>
        <w:mirrorIndents/>
        <w:jc w:val="both"/>
        <w:rPr>
          <w:rFonts w:ascii="Times New Roman" w:hAnsi="Times New Roman" w:cs="Times New Roman"/>
          <w:sz w:val="28"/>
          <w:szCs w:val="28"/>
        </w:rPr>
      </w:pPr>
    </w:p>
    <w:p w:rsidR="00647959" w:rsidRPr="00F2273F" w:rsidRDefault="00F2273F" w:rsidP="00647959">
      <w:pPr>
        <w:pStyle w:val="Prrafodelista"/>
        <w:numPr>
          <w:ilvl w:val="0"/>
          <w:numId w:val="3"/>
        </w:numPr>
        <w:spacing w:after="0" w:line="240" w:lineRule="auto"/>
        <w:ind w:left="0" w:firstLine="0"/>
        <w:mirrorIndents/>
        <w:jc w:val="both"/>
        <w:rPr>
          <w:rFonts w:ascii="Times New Roman" w:hAnsi="Times New Roman" w:cs="Times New Roman"/>
          <w:sz w:val="28"/>
          <w:szCs w:val="28"/>
        </w:rPr>
      </w:pPr>
      <w:r w:rsidRPr="00F2273F">
        <w:rPr>
          <w:rFonts w:ascii="Times New Roman" w:hAnsi="Times New Roman" w:cs="Times New Roman"/>
          <w:sz w:val="28"/>
          <w:szCs w:val="28"/>
        </w:rPr>
        <w:t>Frente al segundo cargo</w:t>
      </w:r>
      <w:r w:rsidRPr="00F2273F">
        <w:rPr>
          <w:rFonts w:ascii="Times New Roman" w:hAnsi="Times New Roman" w:cs="Times New Roman"/>
          <w:sz w:val="28"/>
          <w:szCs w:val="28"/>
        </w:rPr>
        <w:t>, la procuradora</w:t>
      </w:r>
      <w:r w:rsidRPr="00F2273F">
        <w:rPr>
          <w:rFonts w:ascii="Times New Roman" w:hAnsi="Times New Roman" w:cs="Times New Roman"/>
          <w:sz w:val="28"/>
          <w:szCs w:val="28"/>
        </w:rPr>
        <w:t xml:space="preserve"> señaló que si bien la exposición de motivos y el articulado del plan contemplaban normas relacionadas con la </w:t>
      </w:r>
      <w:r w:rsidRPr="00F2273F">
        <w:rPr>
          <w:rFonts w:ascii="Times New Roman" w:hAnsi="Times New Roman" w:cs="Times New Roman"/>
          <w:sz w:val="28"/>
          <w:szCs w:val="28"/>
        </w:rPr>
        <w:t>integra</w:t>
      </w:r>
      <w:r w:rsidRPr="00F2273F">
        <w:rPr>
          <w:rFonts w:ascii="Times New Roman" w:hAnsi="Times New Roman" w:cs="Times New Roman"/>
          <w:sz w:val="28"/>
          <w:szCs w:val="28"/>
        </w:rPr>
        <w:t xml:space="preserve">ción vertical de las empresas del sector eléctrico, las mismas no fueron aprobadas por los </w:t>
      </w:r>
      <w:r w:rsidRPr="00F2273F">
        <w:rPr>
          <w:rFonts w:ascii="Times New Roman" w:hAnsi="Times New Roman" w:cs="Times New Roman"/>
          <w:sz w:val="28"/>
          <w:szCs w:val="28"/>
        </w:rPr>
        <w:t>congresistas</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En su concepto, “en forma subrepticia, su esencia fue nuevamente incluida por medio de derogatorias incorporadas en las ponencias para los debates de l</w:t>
      </w:r>
      <w:r w:rsidRPr="00F2273F">
        <w:rPr>
          <w:rFonts w:ascii="Times New Roman" w:hAnsi="Times New Roman" w:cs="Times New Roman"/>
          <w:sz w:val="28"/>
          <w:szCs w:val="28"/>
        </w:rPr>
        <w:t>as plenarias”</w:t>
      </w:r>
      <w:r w:rsidRPr="00F2273F">
        <w:rPr>
          <w:rStyle w:val="Refdenotaalpie"/>
          <w:rFonts w:ascii="Times New Roman" w:hAnsi="Times New Roman" w:cs="Times New Roman"/>
          <w:sz w:val="28"/>
          <w:szCs w:val="28"/>
        </w:rPr>
        <w:footnoteReference w:id="34"/>
      </w:r>
      <w:r w:rsidRPr="00F2273F">
        <w:rPr>
          <w:rFonts w:ascii="Times New Roman" w:hAnsi="Times New Roman" w:cs="Times New Roman"/>
          <w:sz w:val="28"/>
          <w:szCs w:val="28"/>
        </w:rPr>
        <w:t>, desconociendo con ello los debates que se habían surtido en el trámite legislativo</w:t>
      </w:r>
    </w:p>
    <w:p w:rsidR="00647959" w:rsidRPr="00F2273F" w:rsidRDefault="00F2273F" w:rsidP="00647959">
      <w:pPr>
        <w:pStyle w:val="Ttulo1"/>
        <w:spacing w:before="0" w:line="240" w:lineRule="auto"/>
        <w:ind w:left="709"/>
        <w:rPr>
          <w:rFonts w:ascii="Times New Roman" w:hAnsi="Times New Roman" w:cs="Times New Roman"/>
          <w:b/>
          <w:bCs/>
          <w:color w:val="auto"/>
          <w:sz w:val="28"/>
          <w:szCs w:val="28"/>
        </w:rPr>
      </w:pPr>
    </w:p>
    <w:p w:rsidR="001277A3" w:rsidRPr="00F2273F" w:rsidRDefault="00F2273F" w:rsidP="0028298B">
      <w:pPr>
        <w:pStyle w:val="Ttulo1"/>
        <w:numPr>
          <w:ilvl w:val="0"/>
          <w:numId w:val="2"/>
        </w:numPr>
        <w:spacing w:before="0" w:line="240" w:lineRule="auto"/>
        <w:ind w:left="709" w:hanging="709"/>
        <w:rPr>
          <w:rFonts w:ascii="Times New Roman" w:hAnsi="Times New Roman" w:cs="Times New Roman"/>
          <w:b/>
          <w:bCs/>
          <w:color w:val="auto"/>
          <w:sz w:val="28"/>
          <w:szCs w:val="28"/>
        </w:rPr>
      </w:pPr>
      <w:r w:rsidRPr="00F2273F">
        <w:rPr>
          <w:rFonts w:ascii="Times New Roman" w:hAnsi="Times New Roman" w:cs="Times New Roman"/>
          <w:b/>
          <w:bCs/>
          <w:color w:val="auto"/>
          <w:sz w:val="28"/>
          <w:szCs w:val="28"/>
        </w:rPr>
        <w:t>C</w:t>
      </w:r>
      <w:r w:rsidRPr="00F2273F">
        <w:rPr>
          <w:rFonts w:ascii="Times New Roman" w:hAnsi="Times New Roman" w:cs="Times New Roman"/>
          <w:b/>
          <w:bCs/>
          <w:color w:val="auto"/>
          <w:sz w:val="28"/>
          <w:szCs w:val="28"/>
        </w:rPr>
        <w:t>ONSIDERACIONES</w:t>
      </w:r>
    </w:p>
    <w:p w:rsidR="006D3779" w:rsidRPr="00F2273F" w:rsidRDefault="00F2273F" w:rsidP="006D3779">
      <w:pPr>
        <w:pStyle w:val="Ttulo2"/>
        <w:spacing w:before="0" w:line="240" w:lineRule="auto"/>
        <w:ind w:left="709"/>
        <w:rPr>
          <w:rFonts w:ascii="Times New Roman" w:hAnsi="Times New Roman" w:cs="Times New Roman"/>
          <w:b/>
          <w:bCs/>
          <w:color w:val="auto"/>
          <w:sz w:val="28"/>
          <w:szCs w:val="28"/>
          <w:lang w:val="es-MX"/>
        </w:rPr>
      </w:pPr>
    </w:p>
    <w:p w:rsidR="001277A3" w:rsidRPr="00F2273F" w:rsidRDefault="00F2273F" w:rsidP="0028298B">
      <w:pPr>
        <w:pStyle w:val="Ttulo2"/>
        <w:numPr>
          <w:ilvl w:val="0"/>
          <w:numId w:val="4"/>
        </w:numPr>
        <w:spacing w:before="0" w:line="240" w:lineRule="auto"/>
        <w:ind w:left="709" w:hanging="709"/>
        <w:rPr>
          <w:rFonts w:ascii="Times New Roman" w:hAnsi="Times New Roman" w:cs="Times New Roman"/>
          <w:b/>
          <w:bCs/>
          <w:color w:val="auto"/>
          <w:sz w:val="28"/>
          <w:szCs w:val="28"/>
          <w:lang w:val="es-MX"/>
        </w:rPr>
      </w:pPr>
      <w:r w:rsidRPr="00F2273F">
        <w:rPr>
          <w:rFonts w:ascii="Times New Roman" w:hAnsi="Times New Roman" w:cs="Times New Roman"/>
          <w:b/>
          <w:bCs/>
          <w:color w:val="auto"/>
          <w:sz w:val="28"/>
          <w:szCs w:val="28"/>
          <w:lang w:val="es-MX"/>
        </w:rPr>
        <w:t>Competencia</w:t>
      </w:r>
    </w:p>
    <w:p w:rsidR="001277A3" w:rsidRPr="00F2273F" w:rsidRDefault="00F2273F" w:rsidP="001277A3">
      <w:pPr>
        <w:pStyle w:val="Ttulo2"/>
        <w:spacing w:before="0" w:line="240" w:lineRule="auto"/>
        <w:rPr>
          <w:rFonts w:ascii="Times New Roman" w:hAnsi="Times New Roman" w:cs="Times New Roman"/>
          <w:b/>
          <w:bCs/>
          <w:color w:val="auto"/>
          <w:sz w:val="28"/>
          <w:szCs w:val="28"/>
          <w:lang w:val="es-MX"/>
        </w:rPr>
      </w:pPr>
    </w:p>
    <w:p w:rsidR="001277A3" w:rsidRPr="00F2273F" w:rsidRDefault="00F2273F" w:rsidP="0028298B">
      <w:pPr>
        <w:pStyle w:val="Ttulo2"/>
        <w:numPr>
          <w:ilvl w:val="0"/>
          <w:numId w:val="3"/>
        </w:numPr>
        <w:tabs>
          <w:tab w:val="num" w:pos="720"/>
        </w:tabs>
        <w:spacing w:before="0" w:line="240" w:lineRule="auto"/>
        <w:ind w:left="0" w:firstLine="0"/>
        <w:jc w:val="both"/>
        <w:rPr>
          <w:rFonts w:ascii="Times New Roman" w:hAnsi="Times New Roman" w:cs="Times New Roman"/>
          <w:color w:val="auto"/>
          <w:sz w:val="28"/>
          <w:szCs w:val="28"/>
          <w:lang w:val="es-MX"/>
        </w:rPr>
      </w:pPr>
      <w:r w:rsidRPr="00F2273F">
        <w:rPr>
          <w:rFonts w:ascii="Times New Roman" w:hAnsi="Times New Roman" w:cs="Times New Roman"/>
          <w:color w:val="auto"/>
          <w:sz w:val="28"/>
          <w:szCs w:val="28"/>
          <w:lang w:val="es-MX"/>
        </w:rPr>
        <w:t xml:space="preserve">De conformidad con lo dispuesto en el numeral 4° del artículo 241 de la Constitución Política, la Corte Constitucional es competente para adelantar el control de constitucionalidad contra la disposición parcialmente acusada, por estar contenida en una ley </w:t>
      </w:r>
      <w:r w:rsidRPr="00F2273F">
        <w:rPr>
          <w:rFonts w:ascii="Times New Roman" w:hAnsi="Times New Roman" w:cs="Times New Roman"/>
          <w:color w:val="auto"/>
          <w:sz w:val="28"/>
          <w:szCs w:val="28"/>
          <w:lang w:val="es-MX"/>
        </w:rPr>
        <w:t xml:space="preserve">de la República.  </w:t>
      </w:r>
    </w:p>
    <w:p w:rsidR="00A7564A" w:rsidRPr="00F2273F" w:rsidRDefault="00F2273F" w:rsidP="001277A3">
      <w:pPr>
        <w:pStyle w:val="Prrafodelista"/>
        <w:keepNext/>
        <w:spacing w:after="0" w:line="240" w:lineRule="auto"/>
        <w:ind w:left="0"/>
        <w:mirrorIndents/>
        <w:jc w:val="both"/>
        <w:rPr>
          <w:rFonts w:ascii="Times New Roman" w:eastAsia="Arial Unicode MS" w:hAnsi="Times New Roman" w:cs="Times New Roman"/>
          <w:b/>
          <w:bCs/>
          <w:sz w:val="28"/>
          <w:szCs w:val="28"/>
          <w:u w:color="000000"/>
          <w:bdr w:val="nil"/>
          <w:lang w:val="es-MX"/>
        </w:rPr>
      </w:pPr>
    </w:p>
    <w:p w:rsidR="00A7564A" w:rsidRPr="00F2273F" w:rsidRDefault="00F2273F" w:rsidP="00A7564A">
      <w:pPr>
        <w:pStyle w:val="Prrafodelista"/>
        <w:keepNext/>
        <w:numPr>
          <w:ilvl w:val="0"/>
          <w:numId w:val="4"/>
        </w:numPr>
        <w:spacing w:after="0" w:line="240" w:lineRule="auto"/>
        <w:ind w:hanging="720"/>
        <w:mirrorIndents/>
        <w:rPr>
          <w:rFonts w:ascii="Times New Roman" w:hAnsi="Times New Roman" w:cs="Times New Roman"/>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Cuestiones previas</w:t>
      </w:r>
    </w:p>
    <w:p w:rsidR="00A7564A" w:rsidRPr="00F2273F" w:rsidRDefault="00F2273F" w:rsidP="00A7564A">
      <w:pPr>
        <w:keepNext/>
        <w:spacing w:after="0" w:line="240" w:lineRule="auto"/>
        <w:mirrorIndents/>
        <w:rPr>
          <w:rFonts w:ascii="Times New Roman" w:eastAsia="Arial Unicode MS" w:hAnsi="Times New Roman" w:cs="Times New Roman"/>
          <w:b/>
          <w:bCs/>
          <w:sz w:val="28"/>
          <w:szCs w:val="28"/>
          <w:u w:color="000000"/>
          <w:bdr w:val="nil"/>
          <w:lang w:val="es-MX"/>
        </w:rPr>
      </w:pPr>
    </w:p>
    <w:p w:rsidR="00A7564A" w:rsidRPr="00F2273F" w:rsidRDefault="00F2273F" w:rsidP="00A7564A">
      <w:pPr>
        <w:pStyle w:val="Prrafodelista"/>
        <w:keepNext/>
        <w:numPr>
          <w:ilvl w:val="1"/>
          <w:numId w:val="2"/>
        </w:numPr>
        <w:spacing w:after="0" w:line="240" w:lineRule="auto"/>
        <w:ind w:left="709" w:hanging="709"/>
        <w:mirrorIndents/>
        <w:jc w:val="both"/>
        <w:rPr>
          <w:rFonts w:ascii="Times New Roman" w:hAnsi="Times New Roman" w:cs="Times New Roman"/>
          <w:b/>
          <w:bCs/>
          <w:sz w:val="28"/>
          <w:szCs w:val="28"/>
          <w:u w:color="000000"/>
          <w:bdr w:val="nil"/>
          <w:lang w:val="es-MX"/>
        </w:rPr>
      </w:pPr>
      <w:r w:rsidRPr="00F2273F">
        <w:rPr>
          <w:rFonts w:ascii="Times New Roman" w:hAnsi="Times New Roman" w:cs="Times New Roman"/>
          <w:b/>
          <w:bCs/>
          <w:sz w:val="28"/>
          <w:szCs w:val="28"/>
          <w:u w:color="000000"/>
          <w:bdr w:val="nil"/>
          <w:lang w:val="es-MX"/>
        </w:rPr>
        <w:t xml:space="preserve">Primera cuestión previa: oportunidad del cargo por vicios de procedimiento </w:t>
      </w:r>
    </w:p>
    <w:p w:rsidR="00A7564A" w:rsidRPr="00F2273F" w:rsidRDefault="00F2273F" w:rsidP="001277A3">
      <w:pPr>
        <w:pStyle w:val="Prrafodelista"/>
        <w:keepNext/>
        <w:spacing w:after="0" w:line="240" w:lineRule="auto"/>
        <w:ind w:left="0"/>
        <w:mirrorIndents/>
        <w:jc w:val="both"/>
        <w:rPr>
          <w:rFonts w:ascii="Times New Roman" w:eastAsia="Arial Unicode MS" w:hAnsi="Times New Roman" w:cs="Times New Roman"/>
          <w:b/>
          <w:bCs/>
          <w:sz w:val="28"/>
          <w:szCs w:val="28"/>
          <w:u w:color="000000"/>
          <w:bdr w:val="nil"/>
          <w:lang w:val="es-MX"/>
        </w:rPr>
      </w:pPr>
    </w:p>
    <w:p w:rsidR="0002642C" w:rsidRPr="00F2273F" w:rsidRDefault="00F2273F" w:rsidP="0028298B">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u w:color="000000"/>
          <w:bdr w:val="nil"/>
          <w:lang w:val="es-MX"/>
        </w:rPr>
        <w:t>El numeral 3 del artículo 242 de la Constitución establece que “</w:t>
      </w:r>
      <w:r w:rsidRPr="00F2273F">
        <w:rPr>
          <w:rFonts w:ascii="Times New Roman" w:hAnsi="Times New Roman" w:cs="Times New Roman"/>
          <w:sz w:val="28"/>
          <w:szCs w:val="28"/>
          <w:shd w:val="clear" w:color="auto" w:fill="FFFFFF"/>
        </w:rPr>
        <w:t xml:space="preserve">[l]as acciones </w:t>
      </w:r>
      <w:r w:rsidRPr="00F2273F">
        <w:rPr>
          <w:rFonts w:ascii="Times New Roman" w:hAnsi="Times New Roman" w:cs="Times New Roman"/>
          <w:sz w:val="28"/>
          <w:szCs w:val="28"/>
        </w:rPr>
        <w:t>por vicios de forma caducan en el término de un año, contado</w:t>
      </w:r>
      <w:r w:rsidRPr="00F2273F">
        <w:rPr>
          <w:rFonts w:ascii="Times New Roman" w:hAnsi="Times New Roman" w:cs="Times New Roman"/>
          <w:sz w:val="28"/>
          <w:szCs w:val="28"/>
        </w:rPr>
        <w:t xml:space="preserve"> desde la publicación del respectivo acto</w:t>
      </w:r>
      <w:r w:rsidRPr="00F2273F">
        <w:rPr>
          <w:rFonts w:ascii="Times New Roman" w:hAnsi="Times New Roman" w:cs="Times New Roman"/>
          <w:sz w:val="28"/>
          <w:szCs w:val="28"/>
        </w:rPr>
        <w:t>”</w:t>
      </w:r>
      <w:r w:rsidRPr="00F2273F">
        <w:rPr>
          <w:rFonts w:ascii="Times New Roman" w:hAnsi="Times New Roman" w:cs="Times New Roman"/>
          <w:sz w:val="28"/>
          <w:szCs w:val="28"/>
        </w:rPr>
        <w:t>. Como se explicó, en el presente caso se presentaron dos cargos</w:t>
      </w:r>
      <w:r w:rsidRPr="00F2273F">
        <w:rPr>
          <w:rFonts w:ascii="Times New Roman" w:hAnsi="Times New Roman" w:cs="Times New Roman"/>
          <w:sz w:val="28"/>
          <w:szCs w:val="28"/>
        </w:rPr>
        <w:t>, u</w:t>
      </w:r>
      <w:r w:rsidRPr="00F2273F">
        <w:rPr>
          <w:rFonts w:ascii="Times New Roman" w:hAnsi="Times New Roman" w:cs="Times New Roman"/>
          <w:sz w:val="28"/>
          <w:szCs w:val="28"/>
        </w:rPr>
        <w:t>no</w:t>
      </w:r>
      <w:r w:rsidRPr="00F2273F">
        <w:rPr>
          <w:rFonts w:ascii="Times New Roman" w:hAnsi="Times New Roman" w:cs="Times New Roman"/>
          <w:sz w:val="28"/>
          <w:szCs w:val="28"/>
        </w:rPr>
        <w:t xml:space="preserve"> por unidad de materia y otro por desconocimiento del principio de consecutividad en el trámite legislativo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 </w:t>
      </w:r>
    </w:p>
    <w:p w:rsidR="0002642C" w:rsidRPr="00F2273F" w:rsidRDefault="00F2273F" w:rsidP="002C0995">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FE2B86" w:rsidRPr="00F2273F" w:rsidRDefault="00F2273F" w:rsidP="0028298B">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bdr w:val="nil"/>
          <w:lang w:val="es-MX"/>
        </w:rPr>
        <w:t xml:space="preserve">La </w:t>
      </w:r>
      <w:r w:rsidRPr="00F2273F">
        <w:rPr>
          <w:rFonts w:ascii="Times New Roman" w:eastAsia="Arial Unicode MS" w:hAnsi="Times New Roman" w:cs="Times New Roman"/>
          <w:sz w:val="28"/>
          <w:szCs w:val="28"/>
          <w:bdr w:val="nil"/>
          <w:lang w:val="es-MX"/>
        </w:rPr>
        <w:t>Ley 2294 se publicó en el Diar</w:t>
      </w:r>
      <w:r w:rsidRPr="00F2273F">
        <w:rPr>
          <w:rFonts w:ascii="Times New Roman" w:eastAsia="Arial Unicode MS" w:hAnsi="Times New Roman" w:cs="Times New Roman"/>
          <w:sz w:val="28"/>
          <w:szCs w:val="28"/>
          <w:bdr w:val="nil"/>
          <w:lang w:val="es-MX"/>
        </w:rPr>
        <w:t xml:space="preserve">io Oficial No. 52.400 del 19 de mayo de 2023. Los accionantes formularon </w:t>
      </w:r>
      <w:r w:rsidRPr="00F2273F">
        <w:rPr>
          <w:rFonts w:ascii="Times New Roman" w:eastAsia="Arial Unicode MS" w:hAnsi="Times New Roman" w:cs="Times New Roman"/>
          <w:sz w:val="28"/>
          <w:szCs w:val="28"/>
          <w:bdr w:val="nil"/>
          <w:lang w:val="es-MX"/>
        </w:rPr>
        <w:t xml:space="preserve">la demanda </w:t>
      </w:r>
      <w:r w:rsidRPr="00F2273F">
        <w:rPr>
          <w:rFonts w:ascii="Times New Roman" w:eastAsia="Arial Unicode MS" w:hAnsi="Times New Roman" w:cs="Times New Roman"/>
          <w:sz w:val="28"/>
          <w:szCs w:val="28"/>
          <w:bdr w:val="nil"/>
          <w:lang w:val="es-MX"/>
        </w:rPr>
        <w:t>el 29 de agosto de 2023</w:t>
      </w:r>
      <w:r w:rsidRPr="00F2273F">
        <w:rPr>
          <w:rStyle w:val="Refdenotaalpie"/>
          <w:rFonts w:ascii="Times New Roman" w:eastAsia="Arial Unicode MS" w:hAnsi="Times New Roman" w:cs="Times New Roman"/>
          <w:sz w:val="28"/>
          <w:szCs w:val="28"/>
          <w:bdr w:val="nil"/>
          <w:lang w:val="es-MX"/>
        </w:rPr>
        <w:footnoteReference w:id="35"/>
      </w:r>
      <w:r w:rsidRPr="00F2273F">
        <w:rPr>
          <w:rFonts w:ascii="Times New Roman" w:eastAsia="Arial Unicode MS" w:hAnsi="Times New Roman" w:cs="Times New Roman"/>
          <w:sz w:val="28"/>
          <w:szCs w:val="28"/>
          <w:bdr w:val="nil"/>
          <w:lang w:val="es-MX"/>
        </w:rPr>
        <w:t>, es decir, dentro del año siguiente a su publicación. El cumplimiento de este término habilita el estudio de constitucionalidad</w:t>
      </w:r>
      <w:r w:rsidRPr="00F2273F">
        <w:rPr>
          <w:rFonts w:ascii="Times New Roman" w:eastAsia="Arial Unicode MS" w:hAnsi="Times New Roman" w:cs="Times New Roman"/>
          <w:sz w:val="28"/>
          <w:szCs w:val="28"/>
          <w:bdr w:val="nil"/>
          <w:lang w:val="es-MX"/>
        </w:rPr>
        <w:t xml:space="preserve"> por vicios de procedimiento, </w:t>
      </w:r>
      <w:r w:rsidRPr="00F2273F">
        <w:rPr>
          <w:rFonts w:ascii="Times New Roman" w:eastAsia="Arial Unicode MS" w:hAnsi="Times New Roman" w:cs="Times New Roman"/>
          <w:sz w:val="28"/>
          <w:szCs w:val="28"/>
          <w:bdr w:val="nil"/>
        </w:rPr>
        <w:t>los cuales se materializan en la omisión o quebrantamiento de cualquiera de los requisitos extrínsecos impuestos por el orden jurídico al proceso de formación y aprobación de las leyes</w:t>
      </w:r>
      <w:r w:rsidRPr="00F2273F">
        <w:rPr>
          <w:rStyle w:val="Refdenotaalpie"/>
          <w:rFonts w:ascii="Times New Roman" w:eastAsia="Arial Unicode MS" w:hAnsi="Times New Roman" w:cs="Times New Roman"/>
          <w:sz w:val="28"/>
          <w:szCs w:val="28"/>
          <w:bdr w:val="nil"/>
        </w:rPr>
        <w:footnoteReference w:id="36"/>
      </w:r>
      <w:r w:rsidRPr="00F2273F">
        <w:rPr>
          <w:rFonts w:ascii="Times New Roman" w:eastAsia="Arial Unicode MS" w:hAnsi="Times New Roman" w:cs="Times New Roman"/>
          <w:sz w:val="28"/>
          <w:szCs w:val="28"/>
          <w:bdr w:val="nil"/>
        </w:rPr>
        <w:t xml:space="preserve">, que en este caso está representado por </w:t>
      </w:r>
      <w:r w:rsidRPr="00F2273F">
        <w:rPr>
          <w:rFonts w:ascii="Times New Roman" w:eastAsia="Arial Unicode MS" w:hAnsi="Times New Roman" w:cs="Times New Roman"/>
          <w:sz w:val="28"/>
          <w:szCs w:val="28"/>
          <w:bdr w:val="nil"/>
        </w:rPr>
        <w:t>la censura que argumenta la vulneración del principio de consecutividad</w:t>
      </w:r>
      <w:r w:rsidRPr="00F2273F">
        <w:rPr>
          <w:rFonts w:ascii="Times New Roman" w:eastAsia="Arial Unicode MS" w:hAnsi="Times New Roman" w:cs="Times New Roman"/>
          <w:sz w:val="28"/>
          <w:szCs w:val="28"/>
          <w:bdr w:val="nil"/>
        </w:rPr>
        <w:t>.</w:t>
      </w:r>
      <w:r w:rsidRPr="00F2273F">
        <w:rPr>
          <w:rFonts w:ascii="Times New Roman" w:eastAsia="Arial Unicode MS" w:hAnsi="Times New Roman" w:cs="Times New Roman"/>
          <w:sz w:val="28"/>
          <w:szCs w:val="28"/>
          <w:bdr w:val="nil"/>
        </w:rPr>
        <w:t xml:space="preserve"> </w:t>
      </w:r>
    </w:p>
    <w:p w:rsidR="00FE2B86" w:rsidRPr="00F2273F" w:rsidRDefault="00F2273F" w:rsidP="00FE2B86">
      <w:pPr>
        <w:pStyle w:val="Prrafodelista"/>
        <w:rPr>
          <w:rFonts w:ascii="Times New Roman" w:eastAsia="Arial Unicode MS" w:hAnsi="Times New Roman" w:cs="Times New Roman"/>
          <w:sz w:val="28"/>
          <w:szCs w:val="28"/>
          <w:u w:color="000000"/>
          <w:bdr w:val="nil"/>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rPr>
        <w:t>Sobre el cargo por desconocimiento de la unidad de materia l</w:t>
      </w:r>
      <w:r w:rsidRPr="00F2273F">
        <w:rPr>
          <w:rFonts w:ascii="Times New Roman" w:eastAsia="Arial Unicode MS" w:hAnsi="Times New Roman" w:cs="Times New Roman"/>
          <w:sz w:val="28"/>
          <w:szCs w:val="28"/>
          <w:bdr w:val="nil"/>
        </w:rPr>
        <w:t xml:space="preserve">a Corte Constitucional ha sostenido que </w:t>
      </w:r>
      <w:r w:rsidRPr="00F2273F">
        <w:rPr>
          <w:rFonts w:ascii="Times New Roman" w:eastAsia="Arial Unicode MS" w:hAnsi="Times New Roman" w:cs="Times New Roman"/>
          <w:sz w:val="28"/>
          <w:szCs w:val="28"/>
          <w:bdr w:val="nil"/>
        </w:rPr>
        <w:t xml:space="preserve">su formulación no está sujeta </w:t>
      </w:r>
      <w:r w:rsidRPr="00F2273F">
        <w:rPr>
          <w:rFonts w:ascii="Times New Roman" w:eastAsia="Arial Unicode MS" w:hAnsi="Times New Roman" w:cs="Times New Roman"/>
          <w:sz w:val="28"/>
          <w:szCs w:val="28"/>
          <w:bdr w:val="nil"/>
        </w:rPr>
        <w:t xml:space="preserve">al término de caducidad </w:t>
      </w:r>
      <w:r w:rsidRPr="00F2273F">
        <w:rPr>
          <w:rFonts w:ascii="Times New Roman" w:eastAsia="Arial Unicode MS" w:hAnsi="Times New Roman" w:cs="Times New Roman"/>
          <w:sz w:val="28"/>
          <w:szCs w:val="28"/>
          <w:bdr w:val="nil"/>
        </w:rPr>
        <w:t xml:space="preserve">aludido </w:t>
      </w:r>
      <w:r w:rsidRPr="00F2273F">
        <w:rPr>
          <w:rFonts w:ascii="Times New Roman" w:eastAsia="Arial Unicode MS" w:hAnsi="Times New Roman" w:cs="Times New Roman"/>
          <w:sz w:val="28"/>
          <w:szCs w:val="28"/>
          <w:bdr w:val="nil"/>
        </w:rPr>
        <w:t xml:space="preserve">por tratarse de un vicio material o </w:t>
      </w:r>
      <w:r w:rsidRPr="00F2273F">
        <w:rPr>
          <w:rFonts w:ascii="Times New Roman" w:eastAsia="Arial Unicode MS" w:hAnsi="Times New Roman" w:cs="Times New Roman"/>
          <w:sz w:val="28"/>
          <w:szCs w:val="28"/>
          <w:bdr w:val="nil"/>
        </w:rPr>
        <w:t>sustantivo</w:t>
      </w:r>
      <w:r w:rsidRPr="00F2273F">
        <w:rPr>
          <w:rFonts w:ascii="Times New Roman" w:eastAsia="Arial Unicode MS" w:hAnsi="Times New Roman" w:cs="Times New Roman"/>
          <w:sz w:val="28"/>
          <w:szCs w:val="28"/>
          <w:bdr w:val="nil"/>
        </w:rPr>
        <w:t xml:space="preserve">, cuyo estudio no se agota en el proceso </w:t>
      </w:r>
      <w:r w:rsidRPr="00F2273F">
        <w:rPr>
          <w:rFonts w:ascii="Times New Roman" w:eastAsia="Arial Unicode MS" w:hAnsi="Times New Roman" w:cs="Times New Roman"/>
          <w:sz w:val="28"/>
          <w:szCs w:val="28"/>
          <w:bdr w:val="nil"/>
        </w:rPr>
        <w:t>legislativo,</w:t>
      </w:r>
      <w:r w:rsidRPr="00F2273F">
        <w:rPr>
          <w:rFonts w:ascii="Times New Roman" w:eastAsia="Arial Unicode MS" w:hAnsi="Times New Roman" w:cs="Times New Roman"/>
          <w:sz w:val="28"/>
          <w:szCs w:val="28"/>
          <w:bdr w:val="nil"/>
        </w:rPr>
        <w:t xml:space="preserve"> sino que se extiende </w:t>
      </w:r>
      <w:r w:rsidRPr="00F2273F">
        <w:rPr>
          <w:rFonts w:ascii="Times New Roman" w:eastAsia="Arial Unicode MS" w:hAnsi="Times New Roman" w:cs="Times New Roman"/>
          <w:sz w:val="28"/>
          <w:szCs w:val="28"/>
          <w:bdr w:val="nil"/>
        </w:rPr>
        <w:t xml:space="preserve">materialmente </w:t>
      </w:r>
      <w:r w:rsidRPr="00F2273F">
        <w:rPr>
          <w:rFonts w:ascii="Times New Roman" w:eastAsia="Arial Unicode MS" w:hAnsi="Times New Roman" w:cs="Times New Roman"/>
          <w:sz w:val="28"/>
          <w:szCs w:val="28"/>
          <w:bdr w:val="nil"/>
        </w:rPr>
        <w:t>a las leyes y su cumplimiento</w:t>
      </w:r>
      <w:r w:rsidRPr="00F2273F">
        <w:rPr>
          <w:rStyle w:val="Refdenotaalpie"/>
          <w:rFonts w:ascii="Times New Roman" w:eastAsia="Arial Unicode MS" w:hAnsi="Times New Roman" w:cs="Times New Roman"/>
          <w:sz w:val="28"/>
          <w:szCs w:val="28"/>
          <w:bdr w:val="nil"/>
        </w:rPr>
        <w:footnoteReference w:id="37"/>
      </w:r>
      <w:r w:rsidRPr="00F2273F">
        <w:rPr>
          <w:rFonts w:ascii="Times New Roman" w:eastAsia="Arial Unicode MS" w:hAnsi="Times New Roman" w:cs="Times New Roman"/>
          <w:sz w:val="28"/>
          <w:szCs w:val="28"/>
          <w:bdr w:val="nil"/>
        </w:rPr>
        <w:t xml:space="preserve">. </w:t>
      </w:r>
    </w:p>
    <w:p w:rsidR="007808B4" w:rsidRPr="00F2273F" w:rsidRDefault="00F2273F" w:rsidP="007808B4">
      <w:pPr>
        <w:pStyle w:val="Prrafodelista"/>
        <w:keepNext/>
        <w:spacing w:after="0" w:line="240" w:lineRule="auto"/>
        <w:ind w:left="0"/>
        <w:mirrorIndents/>
        <w:jc w:val="both"/>
        <w:rPr>
          <w:rFonts w:ascii="Times New Roman" w:eastAsia="Arial Unicode MS" w:hAnsi="Times New Roman" w:cs="Times New Roman"/>
          <w:sz w:val="28"/>
          <w:szCs w:val="28"/>
          <w:bdr w:val="nil"/>
          <w:lang w:val="es-MX"/>
        </w:rPr>
      </w:pPr>
    </w:p>
    <w:p w:rsidR="00A7564A" w:rsidRPr="00F2273F" w:rsidRDefault="00F2273F" w:rsidP="00A7564A">
      <w:pPr>
        <w:pStyle w:val="Prrafodelista"/>
        <w:keepNext/>
        <w:numPr>
          <w:ilvl w:val="1"/>
          <w:numId w:val="2"/>
        </w:numPr>
        <w:spacing w:after="0" w:line="240" w:lineRule="auto"/>
        <w:ind w:left="709" w:hanging="709"/>
        <w:mirrorIndents/>
        <w:jc w:val="both"/>
        <w:rPr>
          <w:rFonts w:ascii="Times New Roman" w:hAnsi="Times New Roman" w:cs="Times New Roman"/>
          <w:b/>
          <w:bCs/>
          <w:sz w:val="28"/>
          <w:szCs w:val="28"/>
          <w:u w:color="000000"/>
          <w:bdr w:val="nil"/>
          <w:lang w:val="es-MX"/>
        </w:rPr>
      </w:pPr>
      <w:r w:rsidRPr="00F2273F">
        <w:rPr>
          <w:rFonts w:ascii="Times New Roman" w:hAnsi="Times New Roman" w:cs="Times New Roman"/>
          <w:b/>
          <w:bCs/>
          <w:sz w:val="28"/>
          <w:szCs w:val="28"/>
          <w:u w:color="000000"/>
          <w:bdr w:val="nil"/>
          <w:lang w:val="es-MX"/>
        </w:rPr>
        <w:t xml:space="preserve">Segunda cuestión previa: posibilidad de ampliar el alcance del control de </w:t>
      </w:r>
      <w:r w:rsidRPr="00F2273F">
        <w:rPr>
          <w:rFonts w:ascii="Times New Roman" w:hAnsi="Times New Roman" w:cs="Times New Roman"/>
          <w:b/>
          <w:bCs/>
          <w:sz w:val="28"/>
          <w:szCs w:val="28"/>
          <w:u w:color="000000"/>
          <w:bdr w:val="nil"/>
          <w:lang w:val="es-MX"/>
        </w:rPr>
        <w:t>constitucionalidad</w:t>
      </w:r>
    </w:p>
    <w:p w:rsidR="00A7564A" w:rsidRPr="00F2273F" w:rsidRDefault="00F2273F" w:rsidP="00A7564A">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i/>
          <w:iCs/>
          <w:sz w:val="28"/>
          <w:szCs w:val="28"/>
          <w:bdr w:val="nil"/>
          <w:lang w:val="es-MX"/>
        </w:rPr>
        <w:t>Nuevo cargo formulado</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 xml:space="preserve">La </w:t>
      </w:r>
      <w:r w:rsidRPr="00F2273F">
        <w:rPr>
          <w:rFonts w:ascii="Times New Roman" w:eastAsia="Arial Unicode MS" w:hAnsi="Times New Roman" w:cs="Times New Roman"/>
          <w:sz w:val="28"/>
          <w:szCs w:val="28"/>
          <w:bdr w:val="nil"/>
          <w:lang w:val="es-MX"/>
        </w:rPr>
        <w:t xml:space="preserve">Pontificia </w:t>
      </w:r>
      <w:r w:rsidRPr="00F2273F">
        <w:rPr>
          <w:rFonts w:ascii="Times New Roman" w:eastAsia="Arial Unicode MS" w:hAnsi="Times New Roman" w:cs="Times New Roman"/>
          <w:sz w:val="28"/>
          <w:szCs w:val="28"/>
          <w:bdr w:val="nil"/>
          <w:lang w:val="es-MX"/>
        </w:rPr>
        <w:t>Universidad Javeriana</w:t>
      </w:r>
      <w:r w:rsidRPr="00F2273F">
        <w:rPr>
          <w:rStyle w:val="Refdenotaalpie"/>
          <w:rFonts w:ascii="Times New Roman" w:eastAsia="Arial Unicode MS" w:hAnsi="Times New Roman" w:cs="Times New Roman"/>
          <w:sz w:val="28"/>
          <w:szCs w:val="28"/>
          <w:bdr w:val="nil"/>
          <w:lang w:val="es-MX"/>
        </w:rPr>
        <w:footnoteReference w:id="38"/>
      </w:r>
      <w:r w:rsidRPr="00F2273F">
        <w:rPr>
          <w:rFonts w:ascii="Times New Roman" w:eastAsia="Arial Unicode MS" w:hAnsi="Times New Roman" w:cs="Times New Roman"/>
          <w:sz w:val="28"/>
          <w:szCs w:val="28"/>
          <w:bdr w:val="nil"/>
          <w:lang w:val="es-MX"/>
        </w:rPr>
        <w:t xml:space="preserve"> señaló que, además de vulnerar los principios de consecutividad y de unidad de materia, los segmentos acusados quebrantan el principio de libre competencia económica (artículo 333, C.P.). Para sustentar tal violación, </w:t>
      </w:r>
      <w:r w:rsidRPr="00F2273F">
        <w:rPr>
          <w:rFonts w:ascii="Times New Roman" w:eastAsia="Arial Unicode MS" w:hAnsi="Times New Roman" w:cs="Times New Roman"/>
          <w:sz w:val="28"/>
          <w:szCs w:val="28"/>
          <w:bdr w:val="nil"/>
          <w:lang w:val="es-MX"/>
        </w:rPr>
        <w:t>la institución invitada</w:t>
      </w:r>
      <w:r w:rsidRPr="00F2273F">
        <w:rPr>
          <w:rFonts w:ascii="Times New Roman" w:eastAsia="Arial Unicode MS" w:hAnsi="Times New Roman" w:cs="Times New Roman"/>
          <w:sz w:val="28"/>
          <w:szCs w:val="28"/>
          <w:bdr w:val="nil"/>
          <w:lang w:val="es-MX"/>
        </w:rPr>
        <w:t xml:space="preserve"> expuso los ev</w:t>
      </w:r>
      <w:r w:rsidRPr="00F2273F">
        <w:rPr>
          <w:rFonts w:ascii="Times New Roman" w:eastAsia="Arial Unicode MS" w:hAnsi="Times New Roman" w:cs="Times New Roman"/>
          <w:sz w:val="28"/>
          <w:szCs w:val="28"/>
          <w:bdr w:val="nil"/>
          <w:lang w:val="es-MX"/>
        </w:rPr>
        <w:t xml:space="preserve">entuales efectos que produciría la integración vertical del servicio de transmisión </w:t>
      </w:r>
      <w:r w:rsidRPr="00F2273F">
        <w:rPr>
          <w:rFonts w:ascii="Times New Roman" w:eastAsia="Arial Unicode MS" w:hAnsi="Times New Roman" w:cs="Times New Roman"/>
          <w:sz w:val="28"/>
          <w:szCs w:val="28"/>
          <w:bdr w:val="nil"/>
        </w:rPr>
        <w:t xml:space="preserve">con las demás actividades del mercado de energía eléctrica </w:t>
      </w:r>
      <w:r w:rsidRPr="00F2273F">
        <w:rPr>
          <w:rFonts w:ascii="Times New Roman" w:eastAsia="Arial Unicode MS" w:hAnsi="Times New Roman" w:cs="Times New Roman"/>
          <w:sz w:val="28"/>
          <w:szCs w:val="28"/>
          <w:bdr w:val="nil"/>
          <w:lang w:val="es-MX"/>
        </w:rPr>
        <w:t xml:space="preserve">sobre el “derecho de la libre competencia económica”. Afirmó también que es la misma estructura del sector la que justifica la intervención del legislador para restringir conductas anticompetitivas. Para soportar su aserto acudió a ejemplos </w:t>
      </w:r>
      <w:r w:rsidRPr="00F2273F">
        <w:rPr>
          <w:rFonts w:ascii="Times New Roman" w:eastAsia="Arial Unicode MS" w:hAnsi="Times New Roman" w:cs="Times New Roman"/>
          <w:sz w:val="28"/>
          <w:szCs w:val="28"/>
          <w:bdr w:val="nil"/>
          <w:lang w:val="es-MX"/>
        </w:rPr>
        <w:t xml:space="preserve">en cuanto a </w:t>
      </w:r>
      <w:r w:rsidRPr="00F2273F">
        <w:rPr>
          <w:rFonts w:ascii="Times New Roman" w:eastAsia="Arial Unicode MS" w:hAnsi="Times New Roman" w:cs="Times New Roman"/>
          <w:sz w:val="28"/>
          <w:szCs w:val="28"/>
          <w:bdr w:val="nil"/>
          <w:lang w:val="es-MX"/>
        </w:rPr>
        <w:t xml:space="preserve">la </w:t>
      </w:r>
      <w:r w:rsidRPr="00F2273F">
        <w:rPr>
          <w:rFonts w:ascii="Times New Roman" w:eastAsia="Arial Unicode MS" w:hAnsi="Times New Roman" w:cs="Times New Roman"/>
          <w:sz w:val="28"/>
          <w:szCs w:val="28"/>
          <w:bdr w:val="nil"/>
          <w:lang w:val="es-MX"/>
        </w:rPr>
        <w:t xml:space="preserve">regulación interna y </w:t>
      </w:r>
      <w:r w:rsidRPr="00F2273F">
        <w:rPr>
          <w:rFonts w:ascii="Times New Roman" w:eastAsia="Arial Unicode MS" w:hAnsi="Times New Roman" w:cs="Times New Roman"/>
          <w:sz w:val="28"/>
          <w:szCs w:val="28"/>
          <w:bdr w:val="nil"/>
          <w:lang w:val="es-MX"/>
        </w:rPr>
        <w:t xml:space="preserve">la </w:t>
      </w:r>
      <w:r w:rsidRPr="00F2273F">
        <w:rPr>
          <w:rFonts w:ascii="Times New Roman" w:eastAsia="Arial Unicode MS" w:hAnsi="Times New Roman" w:cs="Times New Roman"/>
          <w:sz w:val="28"/>
          <w:szCs w:val="28"/>
          <w:bdr w:val="nil"/>
          <w:lang w:val="es-MX"/>
        </w:rPr>
        <w:t xml:space="preserve">europea, así como a estudios como el realizado por la </w:t>
      </w:r>
      <w:r w:rsidRPr="00F2273F">
        <w:rPr>
          <w:rFonts w:ascii="Times New Roman" w:eastAsia="Arial Unicode MS" w:hAnsi="Times New Roman" w:cs="Times New Roman"/>
          <w:sz w:val="28"/>
          <w:szCs w:val="28"/>
          <w:bdr w:val="nil"/>
        </w:rPr>
        <w:t>Organización para la Cooperación y el Desarrollo Económico (OCDE)</w:t>
      </w:r>
      <w:r w:rsidRPr="00F2273F">
        <w:rPr>
          <w:rFonts w:ascii="Times New Roman" w:eastAsia="Arial Unicode MS" w:hAnsi="Times New Roman" w:cs="Times New Roman"/>
          <w:sz w:val="28"/>
          <w:szCs w:val="28"/>
          <w:bdr w:val="nil"/>
          <w:lang w:val="es-MX"/>
        </w:rPr>
        <w:t xml:space="preserve">.  </w:t>
      </w:r>
    </w:p>
    <w:p w:rsidR="00A7564A" w:rsidRPr="00F2273F" w:rsidRDefault="00F2273F" w:rsidP="00A7564A">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hAnsi="Times New Roman" w:cs="Times New Roman"/>
          <w:i/>
          <w:iCs/>
          <w:sz w:val="28"/>
          <w:szCs w:val="28"/>
          <w:lang w:val="es-ES_tradnl"/>
        </w:rPr>
        <w:t>Posibilidad de ampliar el alcance del control de constitucionalidad</w:t>
      </w:r>
      <w:r w:rsidRPr="00F2273F">
        <w:rPr>
          <w:rFonts w:ascii="Times New Roman" w:hAnsi="Times New Roman" w:cs="Times New Roman"/>
          <w:sz w:val="28"/>
          <w:szCs w:val="28"/>
          <w:lang w:val="es-ES_tradnl"/>
        </w:rPr>
        <w:t>. La Corte Constitucional ha señalado que</w:t>
      </w:r>
      <w:r w:rsidRPr="00F2273F">
        <w:rPr>
          <w:rFonts w:ascii="Times New Roman" w:hAnsi="Times New Roman" w:cs="Times New Roman"/>
          <w:sz w:val="28"/>
          <w:szCs w:val="28"/>
          <w:lang w:val="es-ES_tradnl"/>
        </w:rPr>
        <w:t>, en principio, no es procedente incluir nuevos cargos en procesos iniciados a través de la acción pública de inconstitucionalidad</w:t>
      </w:r>
      <w:r w:rsidRPr="00F2273F">
        <w:rPr>
          <w:rStyle w:val="Refdenotaalpie"/>
          <w:rFonts w:ascii="Times New Roman" w:hAnsi="Times New Roman" w:cs="Times New Roman"/>
          <w:sz w:val="28"/>
          <w:szCs w:val="28"/>
          <w:lang w:val="es-ES_tradnl"/>
        </w:rPr>
        <w:footnoteReference w:id="39"/>
      </w:r>
      <w:r w:rsidRPr="00F2273F">
        <w:rPr>
          <w:rFonts w:ascii="Times New Roman" w:hAnsi="Times New Roman" w:cs="Times New Roman"/>
          <w:sz w:val="28"/>
          <w:szCs w:val="28"/>
          <w:lang w:val="es-ES_tradnl"/>
        </w:rPr>
        <w:t xml:space="preserve">. Esto es así porque el análisis que hace esta </w:t>
      </w:r>
      <w:r w:rsidRPr="00F2273F">
        <w:rPr>
          <w:rFonts w:ascii="Times New Roman" w:hAnsi="Times New Roman" w:cs="Times New Roman"/>
          <w:sz w:val="28"/>
          <w:szCs w:val="28"/>
          <w:lang w:val="es-ES_tradnl"/>
        </w:rPr>
        <w:t xml:space="preserve">corporación </w:t>
      </w:r>
      <w:r w:rsidRPr="00F2273F">
        <w:rPr>
          <w:rFonts w:ascii="Times New Roman" w:hAnsi="Times New Roman" w:cs="Times New Roman"/>
          <w:sz w:val="28"/>
          <w:szCs w:val="28"/>
          <w:lang w:val="es-ES_tradnl"/>
        </w:rPr>
        <w:t xml:space="preserve">se limita a los cargos formulados en la demanda, </w:t>
      </w:r>
      <w:r w:rsidRPr="00F2273F">
        <w:rPr>
          <w:rFonts w:ascii="Times New Roman" w:hAnsi="Times New Roman" w:cs="Times New Roman"/>
          <w:sz w:val="28"/>
          <w:szCs w:val="28"/>
          <w:lang w:val="es-ES_tradnl"/>
        </w:rPr>
        <w:t xml:space="preserve">en tanto </w:t>
      </w:r>
      <w:r w:rsidRPr="00F2273F">
        <w:rPr>
          <w:rFonts w:ascii="Times New Roman" w:hAnsi="Times New Roman" w:cs="Times New Roman"/>
          <w:sz w:val="28"/>
          <w:szCs w:val="28"/>
          <w:lang w:val="es-ES_tradnl"/>
        </w:rPr>
        <w:t>el juici</w:t>
      </w:r>
      <w:r w:rsidRPr="00F2273F">
        <w:rPr>
          <w:rFonts w:ascii="Times New Roman" w:hAnsi="Times New Roman" w:cs="Times New Roman"/>
          <w:sz w:val="28"/>
          <w:szCs w:val="28"/>
          <w:lang w:val="es-ES_tradnl"/>
        </w:rPr>
        <w:t>o de constitucionalidad inicia cuando un ciudadano presenta una acción pública de inconstitucionalidad que es tramitada conforme al procedimiento establecido en el Decreto 2067 de 1991</w:t>
      </w:r>
      <w:r w:rsidRPr="00F2273F">
        <w:rPr>
          <w:rStyle w:val="Refdenotaalpie"/>
          <w:rFonts w:ascii="Times New Roman" w:hAnsi="Times New Roman" w:cs="Times New Roman"/>
          <w:sz w:val="28"/>
          <w:szCs w:val="28"/>
          <w:lang w:val="es-ES_tradnl"/>
        </w:rPr>
        <w:footnoteReference w:id="40"/>
      </w:r>
      <w:r w:rsidRPr="00F2273F">
        <w:rPr>
          <w:rFonts w:ascii="Times New Roman" w:hAnsi="Times New Roman" w:cs="Times New Roman"/>
          <w:sz w:val="28"/>
          <w:szCs w:val="28"/>
          <w:lang w:val="es-ES_tradnl"/>
        </w:rPr>
        <w:t xml:space="preserve">. Por ello, un reproche que no haya cumplido dicho trámite “carece, en </w:t>
      </w:r>
      <w:r w:rsidRPr="00F2273F">
        <w:rPr>
          <w:rFonts w:ascii="Times New Roman" w:hAnsi="Times New Roman" w:cs="Times New Roman"/>
          <w:sz w:val="28"/>
          <w:szCs w:val="28"/>
          <w:lang w:val="es-ES_tradnl"/>
        </w:rPr>
        <w:t>principio, de la capacidad para generar un pronunciamiento por parte de esta Corporación”</w:t>
      </w:r>
      <w:r w:rsidRPr="00F2273F">
        <w:rPr>
          <w:rStyle w:val="Refdenotaalpie"/>
          <w:rFonts w:ascii="Times New Roman" w:hAnsi="Times New Roman" w:cs="Times New Roman"/>
          <w:sz w:val="28"/>
          <w:szCs w:val="28"/>
          <w:lang w:val="es-ES_tradnl"/>
        </w:rPr>
        <w:footnoteReference w:id="41"/>
      </w:r>
      <w:r w:rsidRPr="00F2273F">
        <w:rPr>
          <w:rFonts w:ascii="Times New Roman" w:hAnsi="Times New Roman" w:cs="Times New Roman"/>
          <w:sz w:val="28"/>
          <w:szCs w:val="28"/>
          <w:lang w:val="es-ES_tradnl"/>
        </w:rPr>
        <w:t xml:space="preserve">. </w:t>
      </w:r>
    </w:p>
    <w:p w:rsidR="00A7564A" w:rsidRPr="00F2273F" w:rsidRDefault="00F2273F" w:rsidP="00A7564A">
      <w:pPr>
        <w:pStyle w:val="Prrafodelista"/>
        <w:rPr>
          <w:rFonts w:ascii="Times New Roman" w:hAnsi="Times New Roman" w:cs="Times New Roman"/>
          <w:sz w:val="28"/>
          <w:szCs w:val="28"/>
          <w:lang w:val="es-ES_tradnl"/>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hAnsi="Times New Roman" w:cs="Times New Roman"/>
          <w:sz w:val="28"/>
          <w:szCs w:val="28"/>
          <w:lang w:val="es-ES_tradnl"/>
        </w:rPr>
        <w:t>De manera excepcional</w:t>
      </w:r>
      <w:r w:rsidRPr="00F2273F">
        <w:rPr>
          <w:rFonts w:ascii="Times New Roman" w:hAnsi="Times New Roman" w:cs="Times New Roman"/>
          <w:sz w:val="28"/>
          <w:szCs w:val="28"/>
          <w:lang w:val="es-ES_tradnl"/>
        </w:rPr>
        <w:t>,</w:t>
      </w:r>
      <w:r w:rsidRPr="00F2273F">
        <w:rPr>
          <w:rFonts w:ascii="Times New Roman" w:hAnsi="Times New Roman" w:cs="Times New Roman"/>
          <w:sz w:val="28"/>
          <w:szCs w:val="28"/>
          <w:lang w:val="es-ES_tradnl"/>
        </w:rPr>
        <w:t xml:space="preserve"> la Corte ha admitido su facultad de ampliar el control de constitucionalidad a cargos que advierten contradicciones con la Carta Política y </w:t>
      </w:r>
      <w:r w:rsidRPr="00F2273F">
        <w:rPr>
          <w:rFonts w:ascii="Times New Roman" w:hAnsi="Times New Roman" w:cs="Times New Roman"/>
          <w:sz w:val="28"/>
          <w:szCs w:val="28"/>
          <w:lang w:val="es-ES_tradnl"/>
        </w:rPr>
        <w:t xml:space="preserve">que </w:t>
      </w:r>
      <w:r w:rsidRPr="00F2273F">
        <w:rPr>
          <w:rFonts w:ascii="Times New Roman" w:hAnsi="Times New Roman" w:cs="Times New Roman"/>
          <w:sz w:val="28"/>
          <w:szCs w:val="28"/>
          <w:lang w:val="es-ES_tradnl"/>
        </w:rPr>
        <w:t>no fueron identificados en la demanda, pero que “tienen una relación intrínseca con ella”</w:t>
      </w:r>
      <w:r w:rsidRPr="00F2273F">
        <w:rPr>
          <w:rStyle w:val="Refdenotaalpie"/>
          <w:rFonts w:ascii="Times New Roman" w:hAnsi="Times New Roman" w:cs="Times New Roman"/>
          <w:sz w:val="28"/>
          <w:szCs w:val="28"/>
          <w:lang w:val="es-ES_tradnl"/>
        </w:rPr>
        <w:footnoteReference w:id="42"/>
      </w:r>
      <w:r w:rsidRPr="00F2273F">
        <w:rPr>
          <w:rFonts w:ascii="Times New Roman" w:hAnsi="Times New Roman" w:cs="Times New Roman"/>
          <w:sz w:val="28"/>
          <w:szCs w:val="28"/>
          <w:lang w:val="es-ES_tradnl"/>
        </w:rPr>
        <w:t>. En este contexto, e</w:t>
      </w:r>
      <w:r w:rsidRPr="00F2273F">
        <w:rPr>
          <w:rFonts w:ascii="Times New Roman" w:hAnsi="Times New Roman" w:cs="Times New Roman"/>
          <w:sz w:val="28"/>
          <w:szCs w:val="28"/>
          <w:lang w:val="es-ES_tradnl"/>
        </w:rPr>
        <w:t xml:space="preserve">ste </w:t>
      </w:r>
      <w:r w:rsidRPr="00F2273F">
        <w:rPr>
          <w:rFonts w:ascii="Times New Roman" w:hAnsi="Times New Roman" w:cs="Times New Roman"/>
          <w:sz w:val="28"/>
          <w:szCs w:val="28"/>
          <w:lang w:val="es-ES_tradnl"/>
        </w:rPr>
        <w:t xml:space="preserve">tribunal </w:t>
      </w:r>
      <w:r w:rsidRPr="00F2273F">
        <w:rPr>
          <w:rFonts w:ascii="Times New Roman" w:hAnsi="Times New Roman" w:cs="Times New Roman"/>
          <w:sz w:val="28"/>
          <w:szCs w:val="28"/>
          <w:lang w:val="es-ES_tradnl"/>
        </w:rPr>
        <w:t>se ocupó de</w:t>
      </w:r>
      <w:r w:rsidRPr="00F2273F">
        <w:rPr>
          <w:rFonts w:ascii="Times New Roman" w:hAnsi="Times New Roman" w:cs="Times New Roman"/>
          <w:sz w:val="28"/>
          <w:szCs w:val="28"/>
          <w:lang w:val="es-ES_tradnl"/>
        </w:rPr>
        <w:t xml:space="preserve"> los requisitos que se deben cumplir para ampliar el alcance del control constitucional</w:t>
      </w:r>
      <w:r w:rsidRPr="00F2273F">
        <w:rPr>
          <w:rFonts w:ascii="Times New Roman" w:hAnsi="Times New Roman" w:cs="Times New Roman"/>
          <w:sz w:val="28"/>
          <w:szCs w:val="28"/>
          <w:lang w:val="es-ES_tradnl"/>
        </w:rPr>
        <w:t xml:space="preserve"> en estos eventos, así</w:t>
      </w:r>
      <w:r w:rsidRPr="00F2273F">
        <w:rPr>
          <w:rFonts w:ascii="Times New Roman" w:hAnsi="Times New Roman" w:cs="Times New Roman"/>
          <w:sz w:val="28"/>
          <w:szCs w:val="28"/>
          <w:lang w:val="es-ES_tradnl"/>
        </w:rPr>
        <w:t>:</w:t>
      </w:r>
    </w:p>
    <w:p w:rsidR="00A7564A" w:rsidRPr="00F2273F" w:rsidRDefault="00F2273F" w:rsidP="00A7564A">
      <w:pPr>
        <w:shd w:val="clear" w:color="auto" w:fill="FFFFFF"/>
        <w:spacing w:after="0" w:line="240" w:lineRule="auto"/>
        <w:textAlignment w:val="baseline"/>
        <w:rPr>
          <w:rFonts w:ascii="Times New Roman" w:hAnsi="Times New Roman" w:cs="Times New Roman"/>
          <w:sz w:val="28"/>
          <w:lang w:val="es-ES_tradnl"/>
        </w:rPr>
      </w:pPr>
    </w:p>
    <w:p w:rsidR="00A7564A" w:rsidRPr="00F2273F" w:rsidRDefault="00F2273F" w:rsidP="00A7564A">
      <w:pPr>
        <w:shd w:val="clear" w:color="auto" w:fill="FFFFFF"/>
        <w:spacing w:after="0" w:line="240" w:lineRule="auto"/>
        <w:jc w:val="center"/>
        <w:textAlignment w:val="baseline"/>
        <w:rPr>
          <w:rFonts w:ascii="Times New Roman" w:eastAsia="Times New Roman" w:hAnsi="Times New Roman" w:cs="Times New Roman"/>
          <w:sz w:val="28"/>
        </w:rPr>
      </w:pPr>
      <w:r w:rsidRPr="00F2273F">
        <w:rPr>
          <w:rFonts w:ascii="Times New Roman" w:eastAsia="Times New Roman" w:hAnsi="Times New Roman" w:cs="Times New Roman"/>
          <w:b/>
          <w:bCs/>
          <w:sz w:val="28"/>
        </w:rPr>
        <w:t>Tabla</w:t>
      </w:r>
      <w:r w:rsidRPr="00F2273F">
        <w:rPr>
          <w:rFonts w:ascii="Times New Roman" w:eastAsia="Times New Roman" w:hAnsi="Times New Roman" w:cs="Times New Roman"/>
          <w:b/>
          <w:bCs/>
          <w:sz w:val="28"/>
        </w:rPr>
        <w:t xml:space="preserve"> 4</w:t>
      </w:r>
      <w:r w:rsidRPr="00F2273F">
        <w:rPr>
          <w:rFonts w:ascii="Times New Roman" w:eastAsia="Times New Roman" w:hAnsi="Times New Roman" w:cs="Times New Roman"/>
          <w:b/>
          <w:bCs/>
          <w:sz w:val="28"/>
        </w:rPr>
        <w:t>.</w:t>
      </w:r>
      <w:r w:rsidRPr="00F2273F">
        <w:rPr>
          <w:rFonts w:ascii="Times New Roman" w:eastAsia="Times New Roman" w:hAnsi="Times New Roman" w:cs="Times New Roman"/>
          <w:i/>
          <w:iCs/>
          <w:sz w:val="28"/>
        </w:rPr>
        <w:t xml:space="preserve"> Reglas para la ampliación oficiosa del control de constitucionalidad</w:t>
      </w:r>
      <w:r w:rsidRPr="00F2273F">
        <w:rPr>
          <w:rStyle w:val="Refdenotaalpie"/>
          <w:rFonts w:ascii="Times New Roman" w:eastAsia="Times New Roman" w:hAnsi="Times New Roman" w:cs="Times New Roman"/>
          <w:sz w:val="28"/>
        </w:rPr>
        <w:footnoteReference w:id="43"/>
      </w:r>
    </w:p>
    <w:tbl>
      <w:tblPr>
        <w:tblW w:w="8788" w:type="dxa"/>
        <w:jc w:val="center"/>
        <w:tblCellMar>
          <w:left w:w="0" w:type="dxa"/>
          <w:right w:w="0" w:type="dxa"/>
        </w:tblCellMar>
        <w:tblLook w:val="04A0" w:firstRow="1" w:lastRow="0" w:firstColumn="1" w:lastColumn="0" w:noHBand="0" w:noVBand="1"/>
      </w:tblPr>
      <w:tblGrid>
        <w:gridCol w:w="8788"/>
      </w:tblGrid>
      <w:tr w:rsidR="00974547" w:rsidRPr="00F2273F" w:rsidTr="00096C00">
        <w:trPr>
          <w:trHeight w:val="314"/>
          <w:jc w:val="center"/>
        </w:trPr>
        <w:tc>
          <w:tcPr>
            <w:tcW w:w="8788"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0" w:type="dxa"/>
              <w:left w:w="70" w:type="dxa"/>
              <w:bottom w:w="0" w:type="dxa"/>
              <w:right w:w="70" w:type="dxa"/>
            </w:tcMar>
            <w:hideMark/>
          </w:tcPr>
          <w:p w:rsidR="00A7564A" w:rsidRPr="00F2273F" w:rsidRDefault="00F2273F" w:rsidP="00096C00">
            <w:pPr>
              <w:spacing w:after="0" w:line="289" w:lineRule="atLeast"/>
              <w:ind w:right="48"/>
              <w:jc w:val="center"/>
              <w:textAlignment w:val="baseline"/>
              <w:rPr>
                <w:rFonts w:ascii="Times New Roman" w:eastAsia="Times New Roman" w:hAnsi="Times New Roman" w:cs="Times New Roman"/>
                <w:sz w:val="28"/>
              </w:rPr>
            </w:pPr>
            <w:r w:rsidRPr="00F2273F">
              <w:rPr>
                <w:rFonts w:ascii="Times New Roman" w:eastAsia="Times New Roman" w:hAnsi="Times New Roman" w:cs="Times New Roman"/>
                <w:b/>
                <w:bCs/>
                <w:sz w:val="28"/>
              </w:rPr>
              <w:t xml:space="preserve">Reglas para ampliar de oficio el control </w:t>
            </w:r>
            <w:r w:rsidRPr="00F2273F">
              <w:rPr>
                <w:rFonts w:ascii="Times New Roman" w:eastAsia="Times New Roman" w:hAnsi="Times New Roman" w:cs="Times New Roman"/>
                <w:b/>
                <w:bCs/>
                <w:sz w:val="28"/>
              </w:rPr>
              <w:t>de constitucionalidad</w:t>
            </w:r>
          </w:p>
        </w:tc>
      </w:tr>
      <w:tr w:rsidR="00A7564A" w:rsidRPr="00F2273F" w:rsidTr="00096C00">
        <w:trPr>
          <w:trHeight w:val="578"/>
          <w:jc w:val="center"/>
        </w:trPr>
        <w:tc>
          <w:tcPr>
            <w:tcW w:w="8788"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rPr>
              <w:t>1. La demanda debe ser apta para emitir un pronunciamiento de fondo, de manera que el control ampliado no implique para la Corte un poder de construir cargos de inconstitucionalidad allí donde no existen.</w:t>
            </w:r>
          </w:p>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rPr>
              <w:t>2. El control verse sobre un</w:t>
            </w:r>
            <w:r w:rsidRPr="00F2273F">
              <w:rPr>
                <w:rFonts w:ascii="Times New Roman" w:eastAsia="Times New Roman" w:hAnsi="Times New Roman" w:cs="Times New Roman"/>
                <w:sz w:val="28"/>
              </w:rPr>
              <w:t>a norma efectivamente demandada, o susceptible de controlarse en virtud de una integración de la unidad normativa. </w:t>
            </w:r>
          </w:p>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rPr>
              <w:t>3. La acción haya sido instaurada antes de que haya expirado el término de caducidad, en caso de que se hayan invocado vicios de procedimien</w:t>
            </w:r>
            <w:r w:rsidRPr="00F2273F">
              <w:rPr>
                <w:rFonts w:ascii="Times New Roman" w:eastAsia="Times New Roman" w:hAnsi="Times New Roman" w:cs="Times New Roman"/>
                <w:sz w:val="28"/>
              </w:rPr>
              <w:t>to.</w:t>
            </w:r>
          </w:p>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rPr>
              <w:t>4. La competencia de la Corte para revisar la constitucionalidad de la norma enjuiciada sea absolutamente clara</w:t>
            </w:r>
            <w:r w:rsidRPr="00F2273F">
              <w:rPr>
                <w:rFonts w:ascii="Times New Roman" w:eastAsia="Times New Roman" w:hAnsi="Times New Roman" w:cs="Times New Roman"/>
                <w:sz w:val="28"/>
                <w:lang w:val="es-MX"/>
              </w:rPr>
              <w:t>.</w:t>
            </w:r>
          </w:p>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lang w:val="es-MX"/>
              </w:rPr>
              <w:t>5. Se advierta un vicio evidente y manifiesto de inconstitucionalidad, bien sea porque así lo pusieron de presente las pruebas recaudas, la</w:t>
            </w:r>
            <w:r w:rsidRPr="00F2273F">
              <w:rPr>
                <w:rFonts w:ascii="Times New Roman" w:eastAsia="Times New Roman" w:hAnsi="Times New Roman" w:cs="Times New Roman"/>
                <w:sz w:val="28"/>
                <w:lang w:val="es-MX"/>
              </w:rPr>
              <w:t>s intervenciones presentadas o el Ministerio Público a través de su concepto.</w:t>
            </w:r>
          </w:p>
          <w:p w:rsidR="00A7564A" w:rsidRPr="00F2273F" w:rsidRDefault="00F2273F" w:rsidP="00096C00">
            <w:pPr>
              <w:spacing w:line="240" w:lineRule="auto"/>
              <w:jc w:val="both"/>
              <w:textAlignment w:val="baseline"/>
              <w:rPr>
                <w:rFonts w:ascii="Times New Roman" w:eastAsia="Times New Roman" w:hAnsi="Times New Roman" w:cs="Times New Roman"/>
                <w:sz w:val="28"/>
              </w:rPr>
            </w:pPr>
            <w:r w:rsidRPr="00F2273F">
              <w:rPr>
                <w:rFonts w:ascii="Times New Roman" w:eastAsia="Times New Roman" w:hAnsi="Times New Roman" w:cs="Times New Roman"/>
                <w:sz w:val="28"/>
                <w:lang w:val="es-MX"/>
              </w:rPr>
              <w:t>6. Se constate que, con base en normas superiores no invocadas en la demanda o argumentos no desarrollados en ella, la disposición debe ser declarada inexequible.</w:t>
            </w:r>
          </w:p>
        </w:tc>
      </w:tr>
    </w:tbl>
    <w:p w:rsidR="00A7564A" w:rsidRPr="00F2273F" w:rsidRDefault="00F2273F" w:rsidP="00A7564A">
      <w:pPr>
        <w:pStyle w:val="Prrafodelista"/>
        <w:shd w:val="clear" w:color="auto" w:fill="FFFFFF"/>
        <w:spacing w:line="289" w:lineRule="atLeast"/>
        <w:ind w:right="48"/>
        <w:textAlignment w:val="baseline"/>
        <w:rPr>
          <w:rFonts w:ascii="Times New Roman" w:eastAsia="Times New Roman" w:hAnsi="Times New Roman" w:cs="Times New Roman"/>
          <w:sz w:val="28"/>
          <w:szCs w:val="28"/>
        </w:rPr>
      </w:pPr>
    </w:p>
    <w:p w:rsidR="00A7564A" w:rsidRPr="00F2273F" w:rsidRDefault="00F2273F" w:rsidP="00A7564A">
      <w:pPr>
        <w:pStyle w:val="Prrafodelista"/>
        <w:numPr>
          <w:ilvl w:val="0"/>
          <w:numId w:val="3"/>
        </w:numPr>
        <w:shd w:val="clear" w:color="auto" w:fill="FFFFFF" w:themeFill="background1"/>
        <w:spacing w:line="289" w:lineRule="atLeast"/>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rPr>
        <w:t>En esa línea, la jurisprudencia constitucional ha establecido que la incorporación de nuevos cargos propuestos por los intervinientes que no guarden una relación directa y sustancial con los fundamentos de la demanda y, que a su vez, no se basen en argumen</w:t>
      </w:r>
      <w:r w:rsidRPr="00F2273F">
        <w:rPr>
          <w:rFonts w:ascii="Times New Roman" w:eastAsia="Times New Roman" w:hAnsi="Times New Roman" w:cs="Times New Roman"/>
          <w:sz w:val="28"/>
          <w:szCs w:val="28"/>
        </w:rPr>
        <w:t xml:space="preserve">tos </w:t>
      </w:r>
      <w:r w:rsidRPr="00F2273F">
        <w:rPr>
          <w:rFonts w:ascii="Times New Roman" w:eastAsia="Times New Roman" w:hAnsi="Times New Roman" w:cs="Times New Roman"/>
          <w:sz w:val="28"/>
          <w:szCs w:val="28"/>
        </w:rPr>
        <w:t xml:space="preserve">razonables, </w:t>
      </w:r>
      <w:r w:rsidRPr="00F2273F">
        <w:rPr>
          <w:rFonts w:ascii="Times New Roman" w:eastAsia="Times New Roman" w:hAnsi="Times New Roman" w:cs="Times New Roman"/>
          <w:sz w:val="28"/>
          <w:szCs w:val="28"/>
        </w:rPr>
        <w:t>compromete la posibilidad de que otros ciudadanos interesados puedan participar de manera efectiva en el proceso de constitucionalidad y activar libremente los mecanismos diseñados en el sistema democrático para el control de validez de las</w:t>
      </w:r>
      <w:r w:rsidRPr="00F2273F">
        <w:rPr>
          <w:rFonts w:ascii="Times New Roman" w:eastAsia="Times New Roman" w:hAnsi="Times New Roman" w:cs="Times New Roman"/>
          <w:sz w:val="28"/>
          <w:szCs w:val="28"/>
        </w:rPr>
        <w:t xml:space="preserve"> leyes</w:t>
      </w:r>
      <w:r w:rsidRPr="00F2273F">
        <w:rPr>
          <w:rStyle w:val="Refdenotaalpie"/>
          <w:rFonts w:ascii="Times New Roman" w:eastAsia="Times New Roman" w:hAnsi="Times New Roman" w:cs="Times New Roman"/>
          <w:sz w:val="28"/>
          <w:szCs w:val="28"/>
        </w:rPr>
        <w:footnoteReference w:id="44"/>
      </w:r>
      <w:r w:rsidRPr="00F2273F">
        <w:rPr>
          <w:rFonts w:ascii="Times New Roman" w:eastAsia="Times New Roman" w:hAnsi="Times New Roman" w:cs="Times New Roman"/>
          <w:sz w:val="28"/>
          <w:szCs w:val="28"/>
        </w:rPr>
        <w:t>.</w:t>
      </w:r>
    </w:p>
    <w:p w:rsidR="00A7564A" w:rsidRPr="00F2273F" w:rsidRDefault="00F2273F" w:rsidP="00A7564A">
      <w:pPr>
        <w:pStyle w:val="Prrafodelista"/>
        <w:shd w:val="clear" w:color="auto" w:fill="FFFFFF"/>
        <w:spacing w:line="289" w:lineRule="atLeast"/>
        <w:ind w:left="0" w:right="48"/>
        <w:jc w:val="both"/>
        <w:textAlignment w:val="baseline"/>
        <w:rPr>
          <w:rFonts w:ascii="Times New Roman" w:eastAsia="Times New Roman" w:hAnsi="Times New Roman" w:cs="Times New Roman"/>
          <w:sz w:val="28"/>
          <w:szCs w:val="28"/>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i/>
          <w:iCs/>
          <w:sz w:val="28"/>
          <w:szCs w:val="28"/>
          <w:u w:color="000000"/>
          <w:bdr w:val="nil"/>
        </w:rPr>
        <w:t>No procede la ampliación del cargo de inconstitucionalidad respecto del principio de libre competencia económica.</w:t>
      </w:r>
      <w:r w:rsidRPr="00F2273F">
        <w:rPr>
          <w:rFonts w:ascii="Times New Roman" w:eastAsia="Arial Unicode MS" w:hAnsi="Times New Roman" w:cs="Times New Roman"/>
          <w:sz w:val="28"/>
          <w:szCs w:val="28"/>
          <w:u w:color="000000"/>
          <w:bdr w:val="nil"/>
        </w:rPr>
        <w:t xml:space="preserve"> En el presente caso, la Sala Plena considera que no resulta procedente la solicitud de ampliación del cargo de inconstitucionalidad </w:t>
      </w:r>
      <w:r w:rsidRPr="00F2273F">
        <w:rPr>
          <w:rFonts w:ascii="Times New Roman" w:eastAsia="Arial Unicode MS" w:hAnsi="Times New Roman" w:cs="Times New Roman"/>
          <w:sz w:val="28"/>
          <w:szCs w:val="28"/>
          <w:u w:color="000000"/>
          <w:bdr w:val="nil"/>
        </w:rPr>
        <w:t>por</w:t>
      </w:r>
      <w:r w:rsidRPr="00F2273F">
        <w:rPr>
          <w:rFonts w:ascii="Times New Roman" w:eastAsia="Arial Unicode MS" w:hAnsi="Times New Roman" w:cs="Times New Roman"/>
          <w:sz w:val="28"/>
          <w:szCs w:val="28"/>
          <w:u w:color="000000"/>
          <w:bdr w:val="nil"/>
        </w:rPr>
        <w:t xml:space="preserve"> la vulneración del principio de libre competencia económica, pues no se cumple con </w:t>
      </w:r>
      <w:r w:rsidRPr="00F2273F">
        <w:rPr>
          <w:rFonts w:ascii="Times New Roman" w:eastAsia="Arial Unicode MS" w:hAnsi="Times New Roman" w:cs="Times New Roman"/>
          <w:sz w:val="28"/>
          <w:szCs w:val="28"/>
          <w:u w:color="000000"/>
          <w:bdr w:val="nil"/>
        </w:rPr>
        <w:t>las</w:t>
      </w:r>
      <w:r w:rsidRPr="00F2273F">
        <w:rPr>
          <w:rFonts w:ascii="Times New Roman" w:eastAsia="Arial Unicode MS" w:hAnsi="Times New Roman" w:cs="Times New Roman"/>
          <w:sz w:val="28"/>
          <w:szCs w:val="28"/>
          <w:u w:color="000000"/>
          <w:bdr w:val="nil"/>
        </w:rPr>
        <w:t xml:space="preserve"> condiciones requeridas para ello. Si bien existe una demanda con la aptitud para provocar un pronunciamiento de fondo, no se advierte una</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relación </w:t>
      </w:r>
      <w:r w:rsidRPr="00F2273F">
        <w:rPr>
          <w:rFonts w:ascii="Times New Roman" w:eastAsia="Arial Unicode MS" w:hAnsi="Times New Roman" w:cs="Times New Roman"/>
          <w:sz w:val="28"/>
          <w:szCs w:val="28"/>
          <w:u w:color="000000"/>
          <w:bdr w:val="nil"/>
        </w:rPr>
        <w:t xml:space="preserve">de </w:t>
      </w:r>
      <w:r w:rsidRPr="00F2273F">
        <w:rPr>
          <w:rFonts w:ascii="Times New Roman" w:eastAsia="Arial Unicode MS" w:hAnsi="Times New Roman" w:cs="Times New Roman"/>
          <w:sz w:val="28"/>
          <w:szCs w:val="28"/>
          <w:u w:color="000000"/>
          <w:bdr w:val="nil"/>
        </w:rPr>
        <w:t>dicha</w:t>
      </w:r>
      <w:r w:rsidRPr="00F2273F">
        <w:rPr>
          <w:rFonts w:ascii="Times New Roman" w:eastAsia="Arial Unicode MS" w:hAnsi="Times New Roman" w:cs="Times New Roman"/>
          <w:sz w:val="28"/>
          <w:szCs w:val="28"/>
          <w:u w:color="000000"/>
          <w:bdr w:val="nil"/>
        </w:rPr>
        <w:t xml:space="preserve"> solicitud </w:t>
      </w:r>
      <w:r w:rsidRPr="00F2273F">
        <w:rPr>
          <w:rFonts w:ascii="Times New Roman" w:eastAsia="Arial Unicode MS" w:hAnsi="Times New Roman" w:cs="Times New Roman"/>
          <w:sz w:val="28"/>
          <w:szCs w:val="28"/>
          <w:u w:color="000000"/>
          <w:bdr w:val="nil"/>
        </w:rPr>
        <w:t xml:space="preserve">con los cargos propuestos por los accionantes y admitidos por el </w:t>
      </w:r>
      <w:r w:rsidRPr="00F2273F">
        <w:rPr>
          <w:rFonts w:ascii="Times New Roman" w:eastAsia="Arial Unicode MS" w:hAnsi="Times New Roman" w:cs="Times New Roman"/>
          <w:sz w:val="28"/>
          <w:szCs w:val="28"/>
          <w:u w:color="000000"/>
          <w:bdr w:val="nil"/>
        </w:rPr>
        <w:t xml:space="preserve">despacho </w:t>
      </w:r>
      <w:r w:rsidRPr="00F2273F">
        <w:rPr>
          <w:rFonts w:ascii="Times New Roman" w:eastAsia="Arial Unicode MS" w:hAnsi="Times New Roman" w:cs="Times New Roman"/>
          <w:sz w:val="28"/>
          <w:szCs w:val="28"/>
          <w:u w:color="000000"/>
          <w:bdr w:val="nil"/>
        </w:rPr>
        <w:t xml:space="preserve">sustanciador. </w:t>
      </w:r>
    </w:p>
    <w:p w:rsidR="00A7564A" w:rsidRPr="00F2273F" w:rsidRDefault="00F2273F" w:rsidP="00A7564A">
      <w:pPr>
        <w:pStyle w:val="Prrafodelista"/>
        <w:rPr>
          <w:rFonts w:ascii="Times New Roman" w:eastAsia="Arial Unicode MS" w:hAnsi="Times New Roman" w:cs="Times New Roman"/>
          <w:sz w:val="28"/>
          <w:szCs w:val="28"/>
          <w:u w:color="000000"/>
          <w:bdr w:val="nil"/>
          <w:lang w:val="es-MX"/>
        </w:rPr>
      </w:pPr>
    </w:p>
    <w:p w:rsidR="00A7564A" w:rsidRPr="00F2273F" w:rsidRDefault="00F2273F" w:rsidP="00EC0604">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lang w:val="es-MX"/>
        </w:rPr>
        <w:t xml:space="preserve">En concreto, </w:t>
      </w:r>
      <w:r w:rsidRPr="00F2273F">
        <w:rPr>
          <w:rFonts w:ascii="Times New Roman" w:eastAsia="Arial Unicode MS" w:hAnsi="Times New Roman" w:cs="Times New Roman"/>
          <w:sz w:val="28"/>
          <w:szCs w:val="28"/>
          <w:bdr w:val="nil"/>
        </w:rPr>
        <w:t xml:space="preserve">para el caso examinado la Sala advierte que </w:t>
      </w:r>
      <w:r w:rsidRPr="00F2273F">
        <w:rPr>
          <w:rFonts w:ascii="Times New Roman" w:eastAsia="Arial Unicode MS" w:hAnsi="Times New Roman" w:cs="Times New Roman"/>
          <w:sz w:val="28"/>
          <w:szCs w:val="28"/>
          <w:bdr w:val="nil"/>
        </w:rPr>
        <w:t xml:space="preserve">la </w:t>
      </w:r>
      <w:r w:rsidRPr="00F2273F">
        <w:rPr>
          <w:rFonts w:ascii="Times New Roman" w:eastAsia="Arial Unicode MS" w:hAnsi="Times New Roman" w:cs="Times New Roman"/>
          <w:sz w:val="28"/>
          <w:szCs w:val="28"/>
          <w:bdr w:val="nil"/>
        </w:rPr>
        <w:t>interviniente </w:t>
      </w:r>
      <w:r w:rsidRPr="00F2273F">
        <w:rPr>
          <w:rFonts w:ascii="Times New Roman" w:eastAsia="Arial Unicode MS" w:hAnsi="Times New Roman" w:cs="Times New Roman"/>
          <w:i/>
          <w:iCs/>
          <w:sz w:val="28"/>
          <w:szCs w:val="28"/>
          <w:bdr w:val="nil"/>
        </w:rPr>
        <w:t>(i) </w:t>
      </w:r>
      <w:r w:rsidRPr="00F2273F">
        <w:rPr>
          <w:rFonts w:ascii="Times New Roman" w:eastAsia="Arial Unicode MS" w:hAnsi="Times New Roman" w:cs="Times New Roman"/>
          <w:sz w:val="28"/>
          <w:szCs w:val="28"/>
          <w:bdr w:val="nil"/>
        </w:rPr>
        <w:t xml:space="preserve">plantea un cargo que no se deriva de la demanda, en tanto la censura por desconocimiento de la libre competencia no está asociada al trámite de la disposición y, en concreto, </w:t>
      </w:r>
      <w:r w:rsidRPr="00F2273F">
        <w:rPr>
          <w:rFonts w:ascii="Times New Roman" w:eastAsia="Arial Unicode MS" w:hAnsi="Times New Roman" w:cs="Times New Roman"/>
          <w:sz w:val="28"/>
          <w:szCs w:val="28"/>
        </w:rPr>
        <w:t>a estudiar si las derogatorias acusadas tienen relación con materias discutidas e</w:t>
      </w:r>
      <w:r w:rsidRPr="00F2273F">
        <w:rPr>
          <w:rFonts w:ascii="Times New Roman" w:eastAsia="Arial Unicode MS" w:hAnsi="Times New Roman" w:cs="Times New Roman"/>
          <w:sz w:val="28"/>
          <w:szCs w:val="28"/>
        </w:rPr>
        <w:t>n las comisiones conjuntas (consecutividad). Tampoco se relaciona con el estudio dirigido a determinar si los enunciados acusados son instrumentales para ejecutar los objetivos del PND (unidad de materia)</w:t>
      </w:r>
      <w:r w:rsidRPr="00F2273F">
        <w:rPr>
          <w:rFonts w:ascii="Times New Roman" w:eastAsia="Arial Unicode MS" w:hAnsi="Times New Roman" w:cs="Times New Roman"/>
          <w:sz w:val="28"/>
          <w:szCs w:val="28"/>
          <w:bdr w:val="nil"/>
        </w:rPr>
        <w:t>. Además, </w:t>
      </w:r>
      <w:r w:rsidRPr="00F2273F">
        <w:rPr>
          <w:rFonts w:ascii="Times New Roman" w:eastAsia="Arial Unicode MS" w:hAnsi="Times New Roman" w:cs="Times New Roman"/>
          <w:i/>
          <w:sz w:val="28"/>
          <w:szCs w:val="28"/>
          <w:bdr w:val="nil"/>
        </w:rPr>
        <w:t>(ii) </w:t>
      </w:r>
      <w:r w:rsidRPr="00F2273F">
        <w:rPr>
          <w:rFonts w:ascii="Times New Roman" w:eastAsia="Arial Unicode MS" w:hAnsi="Times New Roman" w:cs="Times New Roman"/>
          <w:sz w:val="28"/>
          <w:szCs w:val="28"/>
          <w:bdr w:val="nil"/>
        </w:rPr>
        <w:t xml:space="preserve">la argumentación no demuestra cómo y </w:t>
      </w:r>
      <w:r w:rsidRPr="00F2273F">
        <w:rPr>
          <w:rFonts w:ascii="Times New Roman" w:eastAsia="Arial Unicode MS" w:hAnsi="Times New Roman" w:cs="Times New Roman"/>
          <w:sz w:val="28"/>
          <w:szCs w:val="28"/>
          <w:bdr w:val="nil"/>
        </w:rPr>
        <w:t xml:space="preserve">por qué se desconoce </w:t>
      </w:r>
      <w:r w:rsidRPr="00F2273F">
        <w:rPr>
          <w:rFonts w:ascii="Times New Roman" w:eastAsia="Arial Unicode MS" w:hAnsi="Times New Roman" w:cs="Times New Roman"/>
          <w:sz w:val="28"/>
          <w:szCs w:val="28"/>
          <w:bdr w:val="nil"/>
          <w:lang w:val="es-ES"/>
        </w:rPr>
        <w:t>la libre competencia</w:t>
      </w:r>
      <w:r w:rsidRPr="00F2273F">
        <w:rPr>
          <w:rFonts w:ascii="Times New Roman" w:eastAsia="Arial Unicode MS" w:hAnsi="Times New Roman" w:cs="Times New Roman"/>
          <w:sz w:val="28"/>
          <w:szCs w:val="28"/>
          <w:bdr w:val="nil"/>
          <w:lang w:val="es-ES"/>
        </w:rPr>
        <w:t xml:space="preserve"> y, en concreto, </w:t>
      </w:r>
      <w:r w:rsidRPr="00F2273F">
        <w:rPr>
          <w:rFonts w:ascii="Times New Roman" w:eastAsia="Arial Unicode MS" w:hAnsi="Times New Roman" w:cs="Times New Roman"/>
          <w:sz w:val="28"/>
          <w:szCs w:val="28"/>
          <w:bdr w:val="nil"/>
          <w:lang w:val="es-ES"/>
        </w:rPr>
        <w:t xml:space="preserve">cuáles son las garantías de este derecho que transgreden las derogatorias acusadas </w:t>
      </w:r>
      <w:r w:rsidRPr="00F2273F">
        <w:rPr>
          <w:rStyle w:val="Refdenotaalpie"/>
          <w:rFonts w:ascii="Times New Roman" w:eastAsia="Arial Unicode MS" w:hAnsi="Times New Roman" w:cs="Times New Roman"/>
          <w:sz w:val="28"/>
          <w:szCs w:val="28"/>
          <w:bdr w:val="nil"/>
          <w:lang w:val="es-ES"/>
        </w:rPr>
        <w:footnoteReference w:id="45"/>
      </w:r>
      <w:r w:rsidRPr="00F2273F">
        <w:rPr>
          <w:rFonts w:ascii="Times New Roman" w:eastAsia="Arial Unicode MS" w:hAnsi="Times New Roman" w:cs="Times New Roman"/>
          <w:sz w:val="28"/>
          <w:szCs w:val="28"/>
          <w:bdr w:val="nil"/>
          <w:lang w:val="es-ES"/>
        </w:rPr>
        <w:t xml:space="preserve">; y </w:t>
      </w:r>
      <w:r w:rsidRPr="00F2273F">
        <w:rPr>
          <w:rFonts w:ascii="Times New Roman" w:eastAsia="Arial Unicode MS" w:hAnsi="Times New Roman" w:cs="Times New Roman"/>
          <w:i/>
          <w:sz w:val="28"/>
          <w:szCs w:val="28"/>
          <w:bdr w:val="nil"/>
        </w:rPr>
        <w:t>(i</w:t>
      </w:r>
      <w:r w:rsidRPr="00F2273F">
        <w:rPr>
          <w:rFonts w:ascii="Times New Roman" w:eastAsia="Arial Unicode MS" w:hAnsi="Times New Roman" w:cs="Times New Roman"/>
          <w:i/>
          <w:sz w:val="28"/>
          <w:szCs w:val="28"/>
          <w:bdr w:val="nil"/>
        </w:rPr>
        <w:t>ii</w:t>
      </w:r>
      <w:r w:rsidRPr="00F2273F">
        <w:rPr>
          <w:rFonts w:ascii="Times New Roman" w:eastAsia="Arial Unicode MS" w:hAnsi="Times New Roman" w:cs="Times New Roman"/>
          <w:i/>
          <w:sz w:val="28"/>
          <w:szCs w:val="28"/>
          <w:bdr w:val="nil"/>
        </w:rPr>
        <w:t xml:space="preserve">) </w:t>
      </w:r>
      <w:r w:rsidRPr="00F2273F">
        <w:rPr>
          <w:rFonts w:ascii="Times New Roman" w:eastAsia="Arial Unicode MS" w:hAnsi="Times New Roman" w:cs="Times New Roman"/>
          <w:i/>
          <w:sz w:val="28"/>
          <w:szCs w:val="28"/>
          <w:bdr w:val="nil"/>
        </w:rPr>
        <w:t xml:space="preserve">la </w:t>
      </w:r>
      <w:r w:rsidRPr="00F2273F">
        <w:rPr>
          <w:rFonts w:ascii="Times New Roman" w:eastAsia="Arial Unicode MS" w:hAnsi="Times New Roman" w:cs="Times New Roman"/>
          <w:iCs/>
          <w:sz w:val="28"/>
          <w:szCs w:val="28"/>
          <w:bdr w:val="nil"/>
        </w:rPr>
        <w:t xml:space="preserve">argumentación </w:t>
      </w:r>
      <w:r w:rsidRPr="00F2273F">
        <w:rPr>
          <w:rFonts w:ascii="Times New Roman" w:eastAsia="Arial Unicode MS" w:hAnsi="Times New Roman" w:cs="Times New Roman"/>
          <w:sz w:val="28"/>
          <w:szCs w:val="28"/>
          <w:bdr w:val="nil"/>
        </w:rPr>
        <w:t xml:space="preserve">presenta valoraciones que se apoyan en estudios y regulaciones internacionales, sin lograr plantear una confrontación con la norma superior. </w:t>
      </w:r>
    </w:p>
    <w:p w:rsidR="00A7564A" w:rsidRPr="00F2273F" w:rsidRDefault="00F2273F" w:rsidP="00A7564A">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A7564A" w:rsidRPr="00F2273F" w:rsidRDefault="00F2273F" w:rsidP="00A7564A">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rPr>
        <w:t xml:space="preserve">En consecuencia, la intervención no busca ampliar </w:t>
      </w:r>
      <w:r w:rsidRPr="00F2273F">
        <w:rPr>
          <w:rFonts w:ascii="Times New Roman" w:eastAsia="Arial Unicode MS" w:hAnsi="Times New Roman" w:cs="Times New Roman"/>
          <w:sz w:val="28"/>
          <w:szCs w:val="28"/>
        </w:rPr>
        <w:t>los cargos</w:t>
      </w:r>
      <w:r w:rsidRPr="00F2273F">
        <w:rPr>
          <w:rFonts w:ascii="Times New Roman" w:eastAsia="Arial Unicode MS" w:hAnsi="Times New Roman" w:cs="Times New Roman"/>
          <w:sz w:val="28"/>
          <w:szCs w:val="28"/>
        </w:rPr>
        <w:t xml:space="preserve"> contra la norma demandada, sino construir </w:t>
      </w:r>
      <w:r w:rsidRPr="00F2273F">
        <w:rPr>
          <w:rFonts w:ascii="Times New Roman" w:eastAsia="Arial Unicode MS" w:hAnsi="Times New Roman" w:cs="Times New Roman"/>
          <w:sz w:val="28"/>
          <w:szCs w:val="28"/>
        </w:rPr>
        <w:t>uno nuevo</w:t>
      </w:r>
      <w:r w:rsidRPr="00F2273F">
        <w:rPr>
          <w:rFonts w:ascii="Times New Roman" w:eastAsia="Arial Unicode MS" w:hAnsi="Times New Roman" w:cs="Times New Roman"/>
          <w:sz w:val="28"/>
          <w:szCs w:val="28"/>
        </w:rPr>
        <w:t>. </w:t>
      </w:r>
      <w:r w:rsidRPr="00F2273F">
        <w:rPr>
          <w:rFonts w:ascii="Times New Roman" w:eastAsia="Arial Unicode MS" w:hAnsi="Times New Roman" w:cs="Times New Roman"/>
          <w:sz w:val="28"/>
          <w:szCs w:val="28"/>
        </w:rPr>
        <w:t>Al respecto se tiene que</w:t>
      </w:r>
      <w:r w:rsidRPr="00F2273F">
        <w:rPr>
          <w:rFonts w:ascii="Times New Roman" w:eastAsia="Arial Unicode MS" w:hAnsi="Times New Roman" w:cs="Times New Roman"/>
          <w:sz w:val="28"/>
          <w:szCs w:val="28"/>
        </w:rPr>
        <w:t xml:space="preserve"> l</w:t>
      </w:r>
      <w:r w:rsidRPr="00F2273F">
        <w:rPr>
          <w:rFonts w:ascii="Times New Roman" w:eastAsia="Arial Unicode MS" w:hAnsi="Times New Roman" w:cs="Times New Roman"/>
          <w:sz w:val="28"/>
          <w:szCs w:val="28"/>
          <w:bdr w:val="nil"/>
        </w:rPr>
        <w:t xml:space="preserve">a adición de un cargo a la demanda inicialmente planteada sobre la misma disposición sin cumplir las condiciones para la admisión excepcional y, en particular, sin que exista una relación intrínseca con lo planteado en </w:t>
      </w:r>
      <w:r w:rsidRPr="00F2273F">
        <w:rPr>
          <w:rFonts w:ascii="Times New Roman" w:eastAsia="Arial Unicode MS" w:hAnsi="Times New Roman" w:cs="Times New Roman"/>
          <w:sz w:val="28"/>
          <w:szCs w:val="28"/>
          <w:bdr w:val="nil"/>
        </w:rPr>
        <w:t>aquella</w:t>
      </w:r>
      <w:r w:rsidRPr="00F2273F">
        <w:rPr>
          <w:rFonts w:ascii="Times New Roman" w:eastAsia="Arial Unicode MS" w:hAnsi="Times New Roman" w:cs="Times New Roman"/>
          <w:sz w:val="28"/>
          <w:szCs w:val="28"/>
          <w:bdr w:val="nil"/>
        </w:rPr>
        <w:t xml:space="preserve">, </w:t>
      </w:r>
      <w:r w:rsidRPr="00F2273F">
        <w:rPr>
          <w:rFonts w:ascii="Times New Roman" w:eastAsia="Arial Unicode MS" w:hAnsi="Times New Roman" w:cs="Times New Roman"/>
          <w:sz w:val="28"/>
          <w:szCs w:val="28"/>
          <w:bdr w:val="nil"/>
        </w:rPr>
        <w:t xml:space="preserve">incorporaría un nuevo elemento de juicio que no </w:t>
      </w:r>
      <w:r w:rsidRPr="00F2273F">
        <w:rPr>
          <w:rFonts w:ascii="Times New Roman" w:eastAsia="Arial Unicode MS" w:hAnsi="Times New Roman" w:cs="Times New Roman"/>
          <w:sz w:val="28"/>
          <w:szCs w:val="28"/>
          <w:bdr w:val="nil"/>
        </w:rPr>
        <w:t>fue</w:t>
      </w:r>
      <w:r w:rsidRPr="00F2273F">
        <w:rPr>
          <w:rFonts w:ascii="Times New Roman" w:eastAsia="Arial Unicode MS" w:hAnsi="Times New Roman" w:cs="Times New Roman"/>
          <w:sz w:val="28"/>
          <w:szCs w:val="28"/>
          <w:bdr w:val="nil"/>
        </w:rPr>
        <w:t xml:space="preserve"> sometido al estudio de admisibilidad por parte de la Corte Constitucional, ni conocido por los intervinientes en </w:t>
      </w:r>
      <w:r w:rsidRPr="00F2273F">
        <w:rPr>
          <w:rFonts w:ascii="Times New Roman" w:eastAsia="Arial Unicode MS" w:hAnsi="Times New Roman" w:cs="Times New Roman"/>
          <w:sz w:val="28"/>
          <w:szCs w:val="28"/>
          <w:bdr w:val="nil"/>
        </w:rPr>
        <w:t xml:space="preserve">el </w:t>
      </w:r>
      <w:r w:rsidRPr="00F2273F">
        <w:rPr>
          <w:rFonts w:ascii="Times New Roman" w:eastAsia="Arial Unicode MS" w:hAnsi="Times New Roman" w:cs="Times New Roman"/>
          <w:sz w:val="28"/>
          <w:szCs w:val="28"/>
          <w:bdr w:val="nil"/>
        </w:rPr>
        <w:t>proceso. Por lo tanto, al evidenciarse la necesidad de agotar un juicio de constituciona</w:t>
      </w:r>
      <w:r w:rsidRPr="00F2273F">
        <w:rPr>
          <w:rFonts w:ascii="Times New Roman" w:eastAsia="Arial Unicode MS" w:hAnsi="Times New Roman" w:cs="Times New Roman"/>
          <w:sz w:val="28"/>
          <w:szCs w:val="28"/>
          <w:bdr w:val="nil"/>
        </w:rPr>
        <w:t>lidad diferente para atender el estudio sobre la libre competencia económica</w:t>
      </w:r>
      <w:r w:rsidRPr="00F2273F">
        <w:rPr>
          <w:rFonts w:ascii="Times New Roman" w:eastAsia="Arial Unicode MS" w:hAnsi="Times New Roman" w:cs="Times New Roman"/>
          <w:sz w:val="28"/>
          <w:szCs w:val="28"/>
          <w:bdr w:val="nil"/>
        </w:rPr>
        <w:t xml:space="preserve"> en esta materia</w:t>
      </w:r>
      <w:r w:rsidRPr="00F2273F">
        <w:rPr>
          <w:rFonts w:ascii="Times New Roman" w:eastAsia="Arial Unicode MS" w:hAnsi="Times New Roman" w:cs="Times New Roman"/>
          <w:sz w:val="28"/>
          <w:szCs w:val="28"/>
          <w:bdr w:val="nil"/>
        </w:rPr>
        <w:t xml:space="preserve">, la Sala restringirá el alcance de su pronunciamiento a lo pedido en la demanda, sin acoger la extensión </w:t>
      </w:r>
      <w:r w:rsidRPr="00F2273F">
        <w:rPr>
          <w:rFonts w:ascii="Times New Roman" w:eastAsia="Arial Unicode MS" w:hAnsi="Times New Roman" w:cs="Times New Roman"/>
          <w:sz w:val="28"/>
          <w:szCs w:val="28"/>
          <w:bdr w:val="nil"/>
        </w:rPr>
        <w:t>de cargos</w:t>
      </w:r>
      <w:r w:rsidRPr="00F2273F">
        <w:rPr>
          <w:rFonts w:ascii="Times New Roman" w:eastAsia="Arial Unicode MS" w:hAnsi="Times New Roman" w:cs="Times New Roman"/>
          <w:sz w:val="28"/>
          <w:szCs w:val="28"/>
          <w:bdr w:val="nil"/>
        </w:rPr>
        <w:t xml:space="preserve"> planteado por </w:t>
      </w:r>
      <w:r w:rsidRPr="00F2273F">
        <w:rPr>
          <w:rFonts w:ascii="Times New Roman" w:eastAsia="Arial Unicode MS" w:hAnsi="Times New Roman" w:cs="Times New Roman"/>
          <w:sz w:val="28"/>
          <w:szCs w:val="28"/>
          <w:bdr w:val="nil"/>
        </w:rPr>
        <w:t xml:space="preserve">la </w:t>
      </w:r>
      <w:r w:rsidRPr="00F2273F">
        <w:rPr>
          <w:rFonts w:ascii="Times New Roman" w:eastAsia="Arial Unicode MS" w:hAnsi="Times New Roman" w:cs="Times New Roman"/>
          <w:sz w:val="28"/>
          <w:szCs w:val="28"/>
          <w:bdr w:val="nil"/>
        </w:rPr>
        <w:t xml:space="preserve">Pontificia </w:t>
      </w:r>
      <w:r w:rsidRPr="00F2273F">
        <w:rPr>
          <w:rFonts w:ascii="Times New Roman" w:eastAsia="Arial Unicode MS" w:hAnsi="Times New Roman" w:cs="Times New Roman"/>
          <w:sz w:val="28"/>
          <w:szCs w:val="28"/>
          <w:bdr w:val="nil"/>
        </w:rPr>
        <w:t>Universidad Javerian</w:t>
      </w:r>
      <w:r w:rsidRPr="00F2273F">
        <w:rPr>
          <w:rFonts w:ascii="Times New Roman" w:eastAsia="Arial Unicode MS" w:hAnsi="Times New Roman" w:cs="Times New Roman"/>
          <w:sz w:val="28"/>
          <w:szCs w:val="28"/>
          <w:bdr w:val="nil"/>
        </w:rPr>
        <w:t>a.</w:t>
      </w:r>
      <w:r w:rsidRPr="00F2273F">
        <w:rPr>
          <w:rFonts w:ascii="Times New Roman" w:eastAsia="Arial Unicode MS" w:hAnsi="Times New Roman" w:cs="Times New Roman"/>
          <w:sz w:val="28"/>
          <w:szCs w:val="28"/>
          <w:bdr w:val="nil"/>
        </w:rPr>
        <w:t xml:space="preserve"> </w:t>
      </w:r>
    </w:p>
    <w:p w:rsidR="00A7564A" w:rsidRPr="00F2273F" w:rsidRDefault="00F2273F" w:rsidP="00A7564A">
      <w:pPr>
        <w:pStyle w:val="Prrafodelista"/>
        <w:keepNext/>
        <w:spacing w:after="0" w:line="240" w:lineRule="auto"/>
        <w:ind w:left="0"/>
        <w:mirrorIndents/>
        <w:jc w:val="both"/>
        <w:rPr>
          <w:rFonts w:ascii="Times New Roman" w:hAnsi="Times New Roman" w:cs="Times New Roman"/>
          <w:sz w:val="28"/>
          <w:szCs w:val="28"/>
          <w:u w:color="000000"/>
          <w:bdr w:val="nil"/>
          <w:lang w:val="es-MX"/>
        </w:rPr>
      </w:pPr>
    </w:p>
    <w:p w:rsidR="007808B4" w:rsidRPr="00F2273F" w:rsidRDefault="00F2273F" w:rsidP="007808B4">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u w:color="000000"/>
          <w:bdr w:val="nil"/>
          <w:lang w:val="es-MX"/>
        </w:rPr>
        <w:t xml:space="preserve">Una vez resueltas las cuestiones previas relacionadas con la oportunidad del cargo por vicio de procedimiento y la posibilidad de ampliar el alcance del </w:t>
      </w:r>
      <w:r w:rsidRPr="00F2273F">
        <w:rPr>
          <w:rFonts w:ascii="Times New Roman" w:eastAsia="Arial Unicode MS" w:hAnsi="Times New Roman" w:cs="Times New Roman"/>
          <w:sz w:val="28"/>
          <w:szCs w:val="28"/>
          <w:u w:color="000000"/>
          <w:bdr w:val="nil"/>
          <w:lang w:val="es-MX"/>
        </w:rPr>
        <w:t xml:space="preserve">control de constitucionalidad, se procederá a formular los problemas jurídicos para este juicio y la metodología de la decisión.  </w:t>
      </w:r>
    </w:p>
    <w:p w:rsidR="001D7FDE" w:rsidRPr="00F2273F" w:rsidRDefault="00F2273F" w:rsidP="00D3406D">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1277A3" w:rsidRPr="00F2273F" w:rsidRDefault="00F2273F" w:rsidP="0028298B">
      <w:pPr>
        <w:pStyle w:val="Prrafodelista"/>
        <w:keepNext/>
        <w:numPr>
          <w:ilvl w:val="0"/>
          <w:numId w:val="4"/>
        </w:numPr>
        <w:spacing w:after="0" w:line="240" w:lineRule="auto"/>
        <w:ind w:hanging="720"/>
        <w:mirrorIndents/>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Problemas jurídicos y metodología de la decisión</w:t>
      </w:r>
    </w:p>
    <w:p w:rsidR="001277A3" w:rsidRPr="00F2273F" w:rsidRDefault="00F2273F" w:rsidP="001277A3">
      <w:pPr>
        <w:keepNext/>
        <w:spacing w:after="0" w:line="240" w:lineRule="auto"/>
        <w:mirrorIndents/>
        <w:rPr>
          <w:rFonts w:ascii="Times New Roman" w:eastAsia="Arial Unicode MS" w:hAnsi="Times New Roman" w:cs="Times New Roman"/>
          <w:b/>
          <w:bCs/>
          <w:sz w:val="28"/>
          <w:szCs w:val="28"/>
          <w:u w:color="000000"/>
          <w:bdr w:val="nil"/>
          <w:lang w:val="es-MX"/>
        </w:rPr>
      </w:pPr>
    </w:p>
    <w:p w:rsidR="001277A3" w:rsidRPr="00F2273F" w:rsidRDefault="00F2273F" w:rsidP="00772126">
      <w:pPr>
        <w:pStyle w:val="Sinespaciado"/>
        <w:numPr>
          <w:ilvl w:val="0"/>
          <w:numId w:val="3"/>
        </w:numPr>
        <w:ind w:left="0" w:firstLine="0"/>
        <w:jc w:val="both"/>
        <w:rPr>
          <w:rFonts w:ascii="Times New Roman" w:hAnsi="Times New Roman" w:cs="Times New Roman"/>
          <w:sz w:val="28"/>
          <w:szCs w:val="28"/>
        </w:rPr>
      </w:pPr>
      <w:r w:rsidRPr="00F2273F">
        <w:rPr>
          <w:rFonts w:ascii="Times New Roman" w:hAnsi="Times New Roman" w:cs="Times New Roman"/>
          <w:sz w:val="28"/>
          <w:szCs w:val="28"/>
        </w:rPr>
        <w:t>E</w:t>
      </w:r>
      <w:r w:rsidRPr="00F2273F">
        <w:rPr>
          <w:rFonts w:ascii="Times New Roman" w:hAnsi="Times New Roman" w:cs="Times New Roman"/>
          <w:sz w:val="28"/>
          <w:szCs w:val="28"/>
        </w:rPr>
        <w:t>n la demanda se propusieron dos cargos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la violación del principio de </w:t>
      </w:r>
      <w:r w:rsidRPr="00F2273F">
        <w:rPr>
          <w:rFonts w:ascii="Times New Roman" w:hAnsi="Times New Roman" w:cs="Times New Roman"/>
          <w:sz w:val="28"/>
          <w:szCs w:val="28"/>
        </w:rPr>
        <w:t>consecutividad y el desconocimiento del principio de unidad de materia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Reiterado </w:t>
      </w:r>
      <w:r w:rsidRPr="00F2273F">
        <w:rPr>
          <w:rFonts w:ascii="Times New Roman" w:hAnsi="Times New Roman" w:cs="Times New Roman"/>
          <w:sz w:val="28"/>
          <w:szCs w:val="28"/>
        </w:rPr>
        <w:t>lo anterior</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y de acuerdo con la demanda, las intervenciones y el concepto de la Proc</w:t>
      </w:r>
      <w:r w:rsidRPr="00F2273F">
        <w:rPr>
          <w:rFonts w:ascii="Times New Roman" w:hAnsi="Times New Roman" w:cs="Times New Roman"/>
          <w:sz w:val="28"/>
          <w:szCs w:val="28"/>
        </w:rPr>
        <w:t xml:space="preserve">uradora General de la Nación, </w:t>
      </w:r>
      <w:r w:rsidRPr="00F2273F">
        <w:rPr>
          <w:rFonts w:ascii="Times New Roman" w:hAnsi="Times New Roman" w:cs="Times New Roman"/>
          <w:sz w:val="28"/>
          <w:szCs w:val="28"/>
        </w:rPr>
        <w:t xml:space="preserve">la Sala considera que debe resolver </w:t>
      </w:r>
      <w:r w:rsidRPr="00F2273F">
        <w:rPr>
          <w:rFonts w:ascii="Times New Roman" w:hAnsi="Times New Roman" w:cs="Times New Roman"/>
          <w:sz w:val="28"/>
          <w:szCs w:val="28"/>
        </w:rPr>
        <w:t xml:space="preserve">los </w:t>
      </w:r>
      <w:r w:rsidRPr="00F2273F">
        <w:rPr>
          <w:rFonts w:ascii="Times New Roman" w:hAnsi="Times New Roman" w:cs="Times New Roman"/>
          <w:sz w:val="28"/>
          <w:szCs w:val="28"/>
        </w:rPr>
        <w:t xml:space="preserve">siguientes </w:t>
      </w:r>
      <w:r w:rsidRPr="00F2273F">
        <w:rPr>
          <w:rFonts w:ascii="Times New Roman" w:hAnsi="Times New Roman" w:cs="Times New Roman"/>
          <w:sz w:val="28"/>
          <w:szCs w:val="28"/>
        </w:rPr>
        <w:t>problema</w:t>
      </w:r>
      <w:r w:rsidRPr="00F2273F">
        <w:rPr>
          <w:rFonts w:ascii="Times New Roman" w:hAnsi="Times New Roman" w:cs="Times New Roman"/>
          <w:sz w:val="28"/>
          <w:szCs w:val="28"/>
        </w:rPr>
        <w:t xml:space="preserve">s jurídicos: </w:t>
      </w:r>
    </w:p>
    <w:p w:rsidR="00D90D66" w:rsidRPr="00F2273F" w:rsidRDefault="00F2273F" w:rsidP="001277A3">
      <w:pPr>
        <w:pStyle w:val="Sinespaciado"/>
        <w:jc w:val="both"/>
        <w:rPr>
          <w:rFonts w:ascii="Times New Roman" w:hAnsi="Times New Roman" w:cs="Times New Roman"/>
          <w:sz w:val="28"/>
          <w:szCs w:val="28"/>
        </w:rPr>
      </w:pPr>
    </w:p>
    <w:p w:rsidR="001277A3" w:rsidRPr="00F2273F" w:rsidRDefault="00F2273F" w:rsidP="0028298B">
      <w:pPr>
        <w:pStyle w:val="Sinespaciado"/>
        <w:numPr>
          <w:ilvl w:val="0"/>
          <w:numId w:val="5"/>
        </w:numPr>
        <w:jc w:val="both"/>
        <w:rPr>
          <w:rFonts w:ascii="Times New Roman" w:hAnsi="Times New Roman" w:cs="Times New Roman"/>
          <w:sz w:val="28"/>
          <w:szCs w:val="28"/>
        </w:rPr>
      </w:pPr>
      <w:r w:rsidRPr="00F2273F">
        <w:rPr>
          <w:rFonts w:ascii="Times New Roman" w:hAnsi="Times New Roman" w:cs="Times New Roman"/>
          <w:sz w:val="28"/>
          <w:szCs w:val="28"/>
        </w:rPr>
        <w:t xml:space="preserve">¿La inclusión </w:t>
      </w:r>
      <w:r w:rsidRPr="00F2273F">
        <w:rPr>
          <w:rFonts w:ascii="Times New Roman" w:hAnsi="Times New Roman" w:cs="Times New Roman"/>
          <w:sz w:val="28"/>
          <w:szCs w:val="28"/>
        </w:rPr>
        <w:t xml:space="preserve">en el trámite legislativo </w:t>
      </w:r>
      <w:r w:rsidRPr="00F2273F">
        <w:rPr>
          <w:rFonts w:ascii="Times New Roman" w:hAnsi="Times New Roman" w:cs="Times New Roman"/>
          <w:sz w:val="28"/>
          <w:szCs w:val="28"/>
        </w:rPr>
        <w:t>de la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expresiones </w:t>
      </w:r>
      <w:r w:rsidRPr="00F2273F">
        <w:rPr>
          <w:rFonts w:ascii="Times New Roman" w:hAnsi="Times New Roman" w:cs="Times New Roman"/>
          <w:sz w:val="28"/>
          <w:szCs w:val="28"/>
        </w:rPr>
        <w:t>“</w:t>
      </w:r>
      <w:r w:rsidRPr="00F2273F">
        <w:rPr>
          <w:rFonts w:ascii="Times New Roman" w:hAnsi="Times New Roman" w:cs="Times New Roman"/>
          <w:i/>
          <w:iCs/>
          <w:sz w:val="28"/>
          <w:szCs w:val="28"/>
          <w:u w:val="single"/>
        </w:rPr>
        <w:t>el parágrafo tercero del artículo 167 de la Ley 142 de 1994; el parágrafo tercero del artículo 32 de la Ley 143 de 1994</w:t>
      </w:r>
      <w:r w:rsidRPr="00F2273F">
        <w:rPr>
          <w:rFonts w:ascii="Times New Roman" w:hAnsi="Times New Roman" w:cs="Times New Roman"/>
          <w:i/>
          <w:iCs/>
          <w:sz w:val="28"/>
          <w:szCs w:val="28"/>
          <w:u w:val="single"/>
        </w:rPr>
        <w:t>”</w:t>
      </w:r>
      <w:r w:rsidRPr="00F2273F">
        <w:rPr>
          <w:rFonts w:ascii="Times New Roman" w:hAnsi="Times New Roman" w:cs="Times New Roman"/>
          <w:i/>
          <w:iCs/>
          <w:sz w:val="28"/>
          <w:szCs w:val="28"/>
        </w:rPr>
        <w:t xml:space="preserve"> </w:t>
      </w:r>
      <w:r w:rsidRPr="00F2273F">
        <w:rPr>
          <w:rFonts w:ascii="Times New Roman" w:hAnsi="Times New Roman" w:cs="Times New Roman"/>
          <w:sz w:val="28"/>
          <w:szCs w:val="28"/>
        </w:rPr>
        <w:t>contenida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en </w:t>
      </w:r>
      <w:r w:rsidRPr="00F2273F">
        <w:rPr>
          <w:rFonts w:ascii="Times New Roman" w:hAnsi="Times New Roman" w:cs="Times New Roman"/>
          <w:sz w:val="28"/>
          <w:szCs w:val="28"/>
        </w:rPr>
        <w:t xml:space="preserve">la cláusula de vigencias y derogatorias </w:t>
      </w:r>
      <w:r w:rsidRPr="00F2273F">
        <w:rPr>
          <w:rFonts w:ascii="Times New Roman" w:hAnsi="Times New Roman" w:cs="Times New Roman"/>
          <w:sz w:val="28"/>
          <w:szCs w:val="28"/>
        </w:rPr>
        <w:t>d</w:t>
      </w:r>
      <w:r w:rsidRPr="00F2273F">
        <w:rPr>
          <w:rFonts w:ascii="Times New Roman" w:hAnsi="Times New Roman" w:cs="Times New Roman"/>
          <w:sz w:val="28"/>
          <w:szCs w:val="28"/>
        </w:rPr>
        <w:t xml:space="preserve">el </w:t>
      </w:r>
      <w:r w:rsidRPr="00F2273F">
        <w:rPr>
          <w:rFonts w:ascii="Times New Roman" w:hAnsi="Times New Roman" w:cs="Times New Roman"/>
          <w:sz w:val="28"/>
          <w:szCs w:val="28"/>
        </w:rPr>
        <w:t>artículo 372 de la Ley 2294</w:t>
      </w:r>
      <w:r w:rsidRPr="00F2273F">
        <w:rPr>
          <w:rFonts w:ascii="Times New Roman" w:hAnsi="Times New Roman" w:cs="Times New Roman"/>
          <w:sz w:val="28"/>
          <w:szCs w:val="28"/>
        </w:rPr>
        <w:t xml:space="preserve"> de 2024</w:t>
      </w:r>
      <w:r w:rsidRPr="00F2273F">
        <w:rPr>
          <w:rFonts w:ascii="Times New Roman" w:hAnsi="Times New Roman" w:cs="Times New Roman"/>
          <w:sz w:val="28"/>
          <w:szCs w:val="28"/>
        </w:rPr>
        <w:t>, vulneró el principio de consecutividad (C.P., arts. 157 y 160)</w:t>
      </w:r>
      <w:r w:rsidRPr="00F2273F">
        <w:rPr>
          <w:rFonts w:ascii="Times New Roman" w:hAnsi="Times New Roman" w:cs="Times New Roman"/>
          <w:sz w:val="28"/>
          <w:szCs w:val="28"/>
        </w:rPr>
        <w:t xml:space="preserve"> por haberse introducido y aprobado </w:t>
      </w:r>
      <w:r w:rsidRPr="00F2273F">
        <w:rPr>
          <w:rFonts w:ascii="Times New Roman" w:hAnsi="Times New Roman" w:cs="Times New Roman"/>
          <w:sz w:val="28"/>
          <w:szCs w:val="28"/>
        </w:rPr>
        <w:t xml:space="preserve">solo </w:t>
      </w:r>
      <w:r w:rsidRPr="00F2273F">
        <w:rPr>
          <w:rFonts w:ascii="Times New Roman" w:hAnsi="Times New Roman" w:cs="Times New Roman"/>
          <w:sz w:val="28"/>
          <w:szCs w:val="28"/>
        </w:rPr>
        <w:t>en el segundo debate ante la Cámara de Representantes</w:t>
      </w:r>
      <w:r w:rsidRPr="00F2273F">
        <w:rPr>
          <w:rFonts w:ascii="Times New Roman" w:hAnsi="Times New Roman" w:cs="Times New Roman"/>
          <w:sz w:val="28"/>
          <w:szCs w:val="28"/>
        </w:rPr>
        <w:t xml:space="preserve">? </w:t>
      </w:r>
    </w:p>
    <w:p w:rsidR="001277A3" w:rsidRPr="00F2273F" w:rsidRDefault="00F2273F" w:rsidP="001277A3">
      <w:pPr>
        <w:pStyle w:val="Sinespaciado"/>
        <w:ind w:left="720"/>
        <w:jc w:val="both"/>
        <w:rPr>
          <w:rFonts w:ascii="Times New Roman" w:hAnsi="Times New Roman" w:cs="Times New Roman"/>
          <w:sz w:val="28"/>
          <w:szCs w:val="28"/>
        </w:rPr>
      </w:pPr>
    </w:p>
    <w:p w:rsidR="001277A3" w:rsidRPr="00F2273F" w:rsidRDefault="00F2273F" w:rsidP="001277A3">
      <w:pPr>
        <w:pStyle w:val="Sinespaciado"/>
        <w:numPr>
          <w:ilvl w:val="0"/>
          <w:numId w:val="5"/>
        </w:numPr>
        <w:jc w:val="both"/>
        <w:rPr>
          <w:rFonts w:ascii="Times New Roman" w:hAnsi="Times New Roman" w:cs="Times New Roman"/>
          <w:sz w:val="28"/>
          <w:szCs w:val="28"/>
        </w:rPr>
      </w:pPr>
      <w:r w:rsidRPr="00F2273F">
        <w:rPr>
          <w:rFonts w:ascii="Times New Roman" w:hAnsi="Times New Roman" w:cs="Times New Roman"/>
          <w:sz w:val="28"/>
          <w:szCs w:val="28"/>
        </w:rPr>
        <w:t>¿La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expresiones </w:t>
      </w:r>
      <w:r w:rsidRPr="00F2273F">
        <w:rPr>
          <w:rFonts w:ascii="Times New Roman" w:hAnsi="Times New Roman" w:cs="Times New Roman"/>
          <w:sz w:val="28"/>
          <w:szCs w:val="28"/>
        </w:rPr>
        <w:t>“</w:t>
      </w:r>
      <w:r w:rsidRPr="00F2273F">
        <w:rPr>
          <w:rFonts w:ascii="Times New Roman" w:hAnsi="Times New Roman" w:cs="Times New Roman"/>
          <w:i/>
          <w:iCs/>
          <w:sz w:val="28"/>
          <w:szCs w:val="28"/>
          <w:u w:val="single"/>
        </w:rPr>
        <w:t xml:space="preserve">el parágrafo tercero del artículo 167 de </w:t>
      </w:r>
      <w:r w:rsidRPr="00F2273F">
        <w:rPr>
          <w:rFonts w:ascii="Times New Roman" w:hAnsi="Times New Roman" w:cs="Times New Roman"/>
          <w:i/>
          <w:iCs/>
          <w:sz w:val="28"/>
          <w:szCs w:val="28"/>
          <w:u w:val="single"/>
        </w:rPr>
        <w:t>la Ley 142 de 1994;</w:t>
      </w:r>
      <w:r w:rsidRPr="00F2273F">
        <w:rPr>
          <w:rFonts w:ascii="Times New Roman" w:hAnsi="Times New Roman" w:cs="Times New Roman"/>
          <w:i/>
          <w:iCs/>
          <w:sz w:val="28"/>
          <w:szCs w:val="28"/>
          <w:u w:val="single"/>
        </w:rPr>
        <w:t xml:space="preserve"> </w:t>
      </w:r>
      <w:r w:rsidRPr="00F2273F">
        <w:rPr>
          <w:rFonts w:ascii="Times New Roman" w:hAnsi="Times New Roman" w:cs="Times New Roman"/>
          <w:i/>
          <w:iCs/>
          <w:sz w:val="28"/>
          <w:szCs w:val="28"/>
          <w:u w:val="single"/>
        </w:rPr>
        <w:t>el parágrafo tercero del artículo 32 de la Ley</w:t>
      </w:r>
      <w:r w:rsidRPr="00F2273F">
        <w:rPr>
          <w:rFonts w:ascii="Times New Roman" w:hAnsi="Times New Roman" w:cs="Times New Roman"/>
          <w:i/>
          <w:iCs/>
          <w:sz w:val="28"/>
          <w:szCs w:val="28"/>
          <w:u w:val="single"/>
        </w:rPr>
        <w:t xml:space="preserve"> </w:t>
      </w:r>
      <w:r w:rsidRPr="00F2273F">
        <w:rPr>
          <w:rFonts w:ascii="Times New Roman" w:hAnsi="Times New Roman" w:cs="Times New Roman"/>
          <w:i/>
          <w:iCs/>
          <w:sz w:val="28"/>
          <w:szCs w:val="28"/>
          <w:u w:val="single"/>
        </w:rPr>
        <w:t>143 de 1994</w:t>
      </w:r>
      <w:r w:rsidRPr="00F2273F">
        <w:rPr>
          <w:rFonts w:ascii="Times New Roman" w:hAnsi="Times New Roman" w:cs="Times New Roman"/>
          <w:i/>
          <w:iCs/>
          <w:sz w:val="28"/>
          <w:szCs w:val="28"/>
          <w:u w:val="single"/>
        </w:rPr>
        <w:t>”</w:t>
      </w:r>
      <w:r w:rsidRPr="00F2273F">
        <w:rPr>
          <w:rFonts w:ascii="Times New Roman" w:hAnsi="Times New Roman" w:cs="Times New Roman"/>
          <w:i/>
          <w:iCs/>
          <w:sz w:val="28"/>
          <w:szCs w:val="28"/>
        </w:rPr>
        <w:t xml:space="preserve"> </w:t>
      </w:r>
      <w:r w:rsidRPr="00F2273F">
        <w:rPr>
          <w:rFonts w:ascii="Times New Roman" w:hAnsi="Times New Roman" w:cs="Times New Roman"/>
          <w:sz w:val="28"/>
          <w:szCs w:val="28"/>
        </w:rPr>
        <w:t>contenida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en el artículo 372 de la Ley 2294</w:t>
      </w:r>
      <w:r w:rsidRPr="00F2273F">
        <w:rPr>
          <w:rFonts w:ascii="Times New Roman" w:hAnsi="Times New Roman" w:cs="Times New Roman"/>
          <w:sz w:val="28"/>
          <w:szCs w:val="28"/>
        </w:rPr>
        <w:t xml:space="preserve"> y</w:t>
      </w:r>
      <w:r w:rsidRPr="00F2273F">
        <w:rPr>
          <w:rFonts w:ascii="Times New Roman" w:hAnsi="Times New Roman" w:cs="Times New Roman"/>
          <w:sz w:val="28"/>
          <w:szCs w:val="28"/>
        </w:rPr>
        <w:t xml:space="preserve"> que dispone</w:t>
      </w:r>
      <w:r w:rsidRPr="00F2273F">
        <w:rPr>
          <w:rFonts w:ascii="Times New Roman" w:hAnsi="Times New Roman" w:cs="Times New Roman"/>
          <w:sz w:val="28"/>
          <w:szCs w:val="28"/>
        </w:rPr>
        <w:t>n</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la </w:t>
      </w:r>
      <w:r w:rsidRPr="00F2273F">
        <w:rPr>
          <w:rFonts w:ascii="Times New Roman" w:hAnsi="Times New Roman" w:cs="Times New Roman"/>
          <w:sz w:val="28"/>
          <w:szCs w:val="28"/>
        </w:rPr>
        <w:t>derogatoria expresa</w:t>
      </w:r>
      <w:r w:rsidRPr="00F2273F">
        <w:rPr>
          <w:rFonts w:ascii="Times New Roman" w:hAnsi="Times New Roman" w:cs="Times New Roman"/>
          <w:sz w:val="28"/>
          <w:szCs w:val="28"/>
        </w:rPr>
        <w:t xml:space="preserve"> de normas legales permanentes</w:t>
      </w:r>
      <w:r w:rsidRPr="00F2273F">
        <w:rPr>
          <w:rFonts w:ascii="Times New Roman" w:hAnsi="Times New Roman" w:cs="Times New Roman"/>
          <w:sz w:val="28"/>
          <w:szCs w:val="28"/>
        </w:rPr>
        <w:t>, desconoce</w:t>
      </w:r>
      <w:r w:rsidRPr="00F2273F">
        <w:rPr>
          <w:rFonts w:ascii="Times New Roman" w:hAnsi="Times New Roman" w:cs="Times New Roman"/>
          <w:sz w:val="28"/>
          <w:szCs w:val="28"/>
        </w:rPr>
        <w:t>n</w:t>
      </w:r>
      <w:r w:rsidRPr="00F2273F">
        <w:rPr>
          <w:rFonts w:ascii="Times New Roman" w:hAnsi="Times New Roman" w:cs="Times New Roman"/>
          <w:sz w:val="28"/>
          <w:szCs w:val="28"/>
        </w:rPr>
        <w:t xml:space="preserve"> el principio de unidad de materia (C.P</w:t>
      </w:r>
      <w:r w:rsidRPr="00F2273F">
        <w:rPr>
          <w:rFonts w:ascii="Times New Roman" w:hAnsi="Times New Roman" w:cs="Times New Roman"/>
          <w:sz w:val="28"/>
          <w:szCs w:val="28"/>
        </w:rPr>
        <w:t>.</w:t>
      </w:r>
      <w:r w:rsidRPr="00F2273F">
        <w:rPr>
          <w:rFonts w:ascii="Times New Roman" w:hAnsi="Times New Roman" w:cs="Times New Roman"/>
          <w:sz w:val="28"/>
          <w:szCs w:val="28"/>
        </w:rPr>
        <w:t>, arts. 158</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169</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339</w:t>
      </w:r>
      <w:r w:rsidRPr="00F2273F">
        <w:rPr>
          <w:rFonts w:ascii="Times New Roman" w:hAnsi="Times New Roman" w:cs="Times New Roman"/>
          <w:sz w:val="28"/>
          <w:szCs w:val="28"/>
        </w:rPr>
        <w:t xml:space="preserve"> y </w:t>
      </w:r>
      <w:r w:rsidRPr="00F2273F">
        <w:rPr>
          <w:rFonts w:ascii="Times New Roman" w:hAnsi="Times New Roman" w:cs="Times New Roman"/>
          <w:sz w:val="28"/>
          <w:szCs w:val="28"/>
        </w:rPr>
        <w:t>341</w:t>
      </w:r>
      <w:r w:rsidRPr="00F2273F">
        <w:rPr>
          <w:rFonts w:ascii="Times New Roman" w:hAnsi="Times New Roman" w:cs="Times New Roman"/>
          <w:sz w:val="28"/>
          <w:szCs w:val="28"/>
        </w:rPr>
        <w:t>)?</w:t>
      </w:r>
    </w:p>
    <w:p w:rsidR="00293EE5" w:rsidRPr="00F2273F" w:rsidRDefault="00F2273F" w:rsidP="00D90D66">
      <w:pPr>
        <w:pStyle w:val="Sinespaciado"/>
        <w:jc w:val="both"/>
        <w:rPr>
          <w:rFonts w:ascii="Times New Roman" w:hAnsi="Times New Roman" w:cs="Times New Roman"/>
          <w:sz w:val="28"/>
          <w:szCs w:val="28"/>
        </w:rPr>
      </w:pPr>
    </w:p>
    <w:p w:rsidR="001277A3" w:rsidRPr="00F2273F" w:rsidRDefault="00F2273F" w:rsidP="005E329F">
      <w:pPr>
        <w:pStyle w:val="Prrafodelista"/>
        <w:numPr>
          <w:ilvl w:val="0"/>
          <w:numId w:val="3"/>
        </w:numPr>
        <w:shd w:val="clear" w:color="auto" w:fill="FFFFFF"/>
        <w:spacing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Para atender los problemas planteados, la Sala reiterará la jurisprudencia constitucional referida a (i) la ley que aprueba el plan nacional de desarrollo, (ii) los principios de consecutividad e identidad flexible en el trámite legislativo de la ley del p</w:t>
      </w:r>
      <w:r w:rsidRPr="00F2273F">
        <w:rPr>
          <w:rFonts w:ascii="Times New Roman" w:hAnsi="Times New Roman" w:cs="Times New Roman"/>
          <w:sz w:val="28"/>
          <w:szCs w:val="28"/>
          <w:lang w:eastAsia="es-ES"/>
        </w:rPr>
        <w:t xml:space="preserve">lan y (iii) el principio de unidad de materia en el </w:t>
      </w:r>
      <w:r w:rsidRPr="00F2273F">
        <w:rPr>
          <w:rFonts w:ascii="Times New Roman" w:hAnsi="Times New Roman" w:cs="Times New Roman"/>
          <w:sz w:val="28"/>
          <w:szCs w:val="28"/>
          <w:lang w:eastAsia="es-ES"/>
        </w:rPr>
        <w:t>plan nacional de desarrollo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Por último,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(iv) </w:t>
      </w:r>
      <w:r w:rsidRPr="00F2273F">
        <w:rPr>
          <w:rFonts w:ascii="Times New Roman" w:hAnsi="Times New Roman" w:cs="Times New Roman"/>
          <w:sz w:val="28"/>
          <w:szCs w:val="28"/>
          <w:lang w:eastAsia="es-ES"/>
        </w:rPr>
        <w:t xml:space="preserve">se </w:t>
      </w:r>
      <w:r w:rsidRPr="00F2273F">
        <w:rPr>
          <w:rFonts w:ascii="Times New Roman" w:hAnsi="Times New Roman" w:cs="Times New Roman"/>
          <w:sz w:val="28"/>
          <w:szCs w:val="28"/>
          <w:lang w:eastAsia="es-ES"/>
        </w:rPr>
        <w:t>analizará</w:t>
      </w:r>
      <w:r w:rsidRPr="00F2273F">
        <w:rPr>
          <w:rFonts w:ascii="Times New Roman" w:hAnsi="Times New Roman" w:cs="Times New Roman"/>
          <w:sz w:val="28"/>
          <w:szCs w:val="28"/>
          <w:lang w:eastAsia="es-ES"/>
        </w:rPr>
        <w:t xml:space="preserve"> la constitucionalidad de las expresiones acusadas</w:t>
      </w:r>
      <w:r w:rsidRPr="00F2273F">
        <w:rPr>
          <w:rFonts w:ascii="Times New Roman" w:hAnsi="Times New Roman" w:cs="Times New Roman"/>
          <w:sz w:val="28"/>
          <w:szCs w:val="28"/>
          <w:lang w:eastAsia="es-ES"/>
        </w:rPr>
        <w:t xml:space="preserve"> respecto de cada uno de los cargos formulados</w:t>
      </w:r>
      <w:r w:rsidRPr="00F2273F">
        <w:rPr>
          <w:rFonts w:ascii="Times New Roman" w:hAnsi="Times New Roman" w:cs="Times New Roman"/>
          <w:sz w:val="28"/>
          <w:szCs w:val="28"/>
          <w:lang w:eastAsia="es-ES"/>
        </w:rPr>
        <w:t>.</w:t>
      </w:r>
    </w:p>
    <w:p w:rsidR="001277A3" w:rsidRPr="00F2273F" w:rsidRDefault="00F2273F" w:rsidP="001277A3">
      <w:pPr>
        <w:pStyle w:val="Prrafodelista"/>
        <w:shd w:val="clear" w:color="auto" w:fill="FFFFFF"/>
        <w:spacing w:line="240" w:lineRule="auto"/>
        <w:ind w:left="0" w:right="48"/>
        <w:jc w:val="both"/>
        <w:textAlignment w:val="baseline"/>
        <w:rPr>
          <w:rFonts w:ascii="Times New Roman" w:hAnsi="Times New Roman" w:cs="Times New Roman"/>
          <w:sz w:val="28"/>
          <w:szCs w:val="28"/>
          <w:lang w:eastAsia="es-ES"/>
        </w:rPr>
      </w:pPr>
    </w:p>
    <w:p w:rsidR="001277A3" w:rsidRPr="00F2273F" w:rsidRDefault="00F2273F" w:rsidP="0028298B">
      <w:pPr>
        <w:pStyle w:val="Prrafodelista"/>
        <w:numPr>
          <w:ilvl w:val="0"/>
          <w:numId w:val="4"/>
        </w:numPr>
        <w:shd w:val="clear" w:color="auto" w:fill="FFFFFF"/>
        <w:spacing w:line="240" w:lineRule="auto"/>
        <w:ind w:left="709" w:right="48" w:hanging="709"/>
        <w:jc w:val="both"/>
        <w:textAlignment w:val="baseline"/>
        <w:rPr>
          <w:rFonts w:ascii="Times New Roman" w:hAnsi="Times New Roman" w:cs="Times New Roman"/>
          <w:b/>
          <w:bCs/>
          <w:sz w:val="28"/>
          <w:szCs w:val="28"/>
          <w:lang w:eastAsia="es-ES"/>
        </w:rPr>
      </w:pPr>
      <w:r w:rsidRPr="00F2273F">
        <w:rPr>
          <w:rFonts w:ascii="Times New Roman" w:hAnsi="Times New Roman" w:cs="Times New Roman"/>
          <w:b/>
          <w:bCs/>
          <w:sz w:val="28"/>
          <w:szCs w:val="28"/>
          <w:lang w:eastAsia="es-ES"/>
        </w:rPr>
        <w:t>La ley que aprueba el plan nacional de desarrol</w:t>
      </w:r>
      <w:r w:rsidRPr="00F2273F">
        <w:rPr>
          <w:rFonts w:ascii="Times New Roman" w:hAnsi="Times New Roman" w:cs="Times New Roman"/>
          <w:b/>
          <w:bCs/>
          <w:sz w:val="28"/>
          <w:szCs w:val="28"/>
          <w:lang w:eastAsia="es-ES"/>
        </w:rPr>
        <w:t>lo</w:t>
      </w:r>
    </w:p>
    <w:p w:rsidR="001277A3" w:rsidRPr="00F2273F" w:rsidRDefault="00F2273F" w:rsidP="001277A3">
      <w:pPr>
        <w:pStyle w:val="Prrafodelista"/>
        <w:shd w:val="clear" w:color="auto" w:fill="FFFFFF"/>
        <w:spacing w:line="240" w:lineRule="auto"/>
        <w:ind w:left="284" w:right="48"/>
        <w:jc w:val="both"/>
        <w:textAlignment w:val="baseline"/>
        <w:rPr>
          <w:rFonts w:ascii="Times New Roman" w:hAnsi="Times New Roman" w:cs="Times New Roman"/>
          <w:b/>
          <w:bCs/>
          <w:sz w:val="28"/>
          <w:szCs w:val="28"/>
          <w:lang w:eastAsia="es-ES"/>
        </w:rPr>
      </w:pPr>
    </w:p>
    <w:p w:rsidR="001277A3" w:rsidRPr="00F2273F" w:rsidRDefault="00F2273F" w:rsidP="00A81493">
      <w:pPr>
        <w:pStyle w:val="Prrafodelista"/>
        <w:numPr>
          <w:ilvl w:val="1"/>
          <w:numId w:val="6"/>
        </w:numPr>
        <w:shd w:val="clear" w:color="auto" w:fill="FFFFFF"/>
        <w:tabs>
          <w:tab w:val="left" w:pos="709"/>
        </w:tabs>
        <w:spacing w:after="0" w:line="240" w:lineRule="auto"/>
        <w:ind w:left="709" w:right="48"/>
        <w:jc w:val="both"/>
        <w:textAlignment w:val="baseline"/>
        <w:rPr>
          <w:rFonts w:ascii="Times New Roman" w:hAnsi="Times New Roman" w:cs="Times New Roman"/>
          <w:b/>
          <w:bCs/>
          <w:sz w:val="28"/>
          <w:szCs w:val="28"/>
          <w:lang w:eastAsia="es-ES"/>
        </w:rPr>
      </w:pPr>
      <w:r w:rsidRPr="00F2273F">
        <w:rPr>
          <w:rFonts w:ascii="Times New Roman" w:hAnsi="Times New Roman" w:cs="Times New Roman"/>
          <w:b/>
          <w:bCs/>
          <w:sz w:val="28"/>
          <w:szCs w:val="28"/>
          <w:lang w:eastAsia="es-ES"/>
        </w:rPr>
        <w:t>Generalidades de la ley del plan nacional de desarrollo</w:t>
      </w:r>
      <w:r w:rsidRPr="00F2273F">
        <w:rPr>
          <w:rFonts w:ascii="Times New Roman" w:hAnsi="Times New Roman" w:cs="Times New Roman"/>
          <w:b/>
          <w:bCs/>
          <w:sz w:val="28"/>
          <w:szCs w:val="28"/>
          <w:lang w:eastAsia="es-ES"/>
        </w:rPr>
        <w:t xml:space="preserve"> </w:t>
      </w:r>
    </w:p>
    <w:p w:rsidR="001277A3" w:rsidRPr="00F2273F" w:rsidRDefault="00F2273F" w:rsidP="001277A3">
      <w:pPr>
        <w:pStyle w:val="Prrafodelista"/>
        <w:shd w:val="clear" w:color="auto" w:fill="FFFFFF"/>
        <w:spacing w:line="240" w:lineRule="auto"/>
        <w:ind w:left="1080" w:right="48"/>
        <w:jc w:val="both"/>
        <w:textAlignment w:val="baseline"/>
        <w:rPr>
          <w:rFonts w:ascii="Times New Roman" w:hAnsi="Times New Roman" w:cs="Times New Roman"/>
          <w:sz w:val="28"/>
          <w:szCs w:val="28"/>
          <w:lang w:eastAsia="es-ES"/>
        </w:rPr>
      </w:pPr>
    </w:p>
    <w:p w:rsidR="001277A3" w:rsidRPr="00F2273F" w:rsidRDefault="00F2273F" w:rsidP="005E329F">
      <w:pPr>
        <w:pStyle w:val="Prrafodelista"/>
        <w:numPr>
          <w:ilvl w:val="0"/>
          <w:numId w:val="3"/>
        </w:numPr>
        <w:shd w:val="clear" w:color="auto" w:fill="FFFFFF"/>
        <w:spacing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p</w:t>
      </w:r>
      <w:r w:rsidRPr="00F2273F">
        <w:rPr>
          <w:rFonts w:ascii="Times New Roman" w:hAnsi="Times New Roman" w:cs="Times New Roman"/>
          <w:sz w:val="28"/>
          <w:szCs w:val="28"/>
          <w:lang w:eastAsia="es-ES"/>
        </w:rPr>
        <w:t xml:space="preserve">lan de desarrollo de carácter nacional </w:t>
      </w:r>
      <w:r w:rsidRPr="00F2273F">
        <w:rPr>
          <w:rFonts w:ascii="Times New Roman" w:hAnsi="Times New Roman" w:cs="Times New Roman"/>
          <w:sz w:val="28"/>
          <w:szCs w:val="28"/>
          <w:lang w:eastAsia="es-ES"/>
        </w:rPr>
        <w:t>es</w:t>
      </w:r>
      <w:r w:rsidRPr="00F2273F">
        <w:rPr>
          <w:rFonts w:ascii="Times New Roman" w:hAnsi="Times New Roman" w:cs="Times New Roman"/>
          <w:sz w:val="28"/>
          <w:szCs w:val="28"/>
          <w:lang w:eastAsia="es-ES"/>
        </w:rPr>
        <w:t xml:space="preserve"> uno de los instrumentos </w:t>
      </w:r>
      <w:r w:rsidRPr="00F2273F">
        <w:rPr>
          <w:rFonts w:ascii="Times New Roman" w:hAnsi="Times New Roman" w:cs="Times New Roman"/>
          <w:sz w:val="28"/>
          <w:szCs w:val="28"/>
          <w:lang w:eastAsia="es-ES"/>
        </w:rPr>
        <w:t xml:space="preserve">principales </w:t>
      </w:r>
      <w:r w:rsidRPr="00F2273F">
        <w:rPr>
          <w:rFonts w:ascii="Times New Roman" w:hAnsi="Times New Roman" w:cs="Times New Roman"/>
          <w:sz w:val="28"/>
          <w:szCs w:val="28"/>
          <w:lang w:eastAsia="es-ES"/>
        </w:rPr>
        <w:t xml:space="preserve">de los que dispone </w:t>
      </w:r>
      <w:r w:rsidRPr="00F2273F">
        <w:rPr>
          <w:rFonts w:ascii="Times New Roman" w:hAnsi="Times New Roman" w:cs="Times New Roman"/>
          <w:sz w:val="28"/>
          <w:szCs w:val="28"/>
          <w:lang w:eastAsia="es-ES"/>
        </w:rPr>
        <w:t xml:space="preserve">el Gobierno para dirigir la economía del país y contribuir al logro de los fines esenciales del Estado desde una perspectiva de planeación. </w:t>
      </w:r>
      <w:r w:rsidRPr="00F2273F">
        <w:rPr>
          <w:rFonts w:ascii="Times New Roman" w:hAnsi="Times New Roman" w:cs="Times New Roman"/>
          <w:sz w:val="28"/>
          <w:szCs w:val="28"/>
          <w:lang w:eastAsia="es-ES"/>
        </w:rPr>
        <w:t xml:space="preserve">En el plano constitucional, </w:t>
      </w:r>
      <w:r w:rsidRPr="00F2273F">
        <w:rPr>
          <w:rFonts w:ascii="Times New Roman" w:hAnsi="Times New Roman" w:cs="Times New Roman"/>
          <w:sz w:val="28"/>
          <w:szCs w:val="28"/>
          <w:lang w:eastAsia="es-ES"/>
        </w:rPr>
        <w:t xml:space="preserve">y de acuerdo con </w:t>
      </w:r>
      <w:r w:rsidRPr="00F2273F">
        <w:rPr>
          <w:rFonts w:ascii="Times New Roman" w:hAnsi="Times New Roman" w:cs="Times New Roman"/>
          <w:sz w:val="28"/>
          <w:szCs w:val="28"/>
          <w:lang w:eastAsia="es-ES"/>
        </w:rPr>
        <w:t xml:space="preserve">los </w:t>
      </w:r>
      <w:r w:rsidRPr="00F2273F">
        <w:rPr>
          <w:rFonts w:ascii="Times New Roman" w:hAnsi="Times New Roman" w:cs="Times New Roman"/>
          <w:sz w:val="28"/>
          <w:szCs w:val="28"/>
          <w:lang w:eastAsia="es-ES"/>
        </w:rPr>
        <w:t>artículo</w:t>
      </w:r>
      <w:r w:rsidRPr="00F2273F">
        <w:rPr>
          <w:rFonts w:ascii="Times New Roman" w:hAnsi="Times New Roman" w:cs="Times New Roman"/>
          <w:sz w:val="28"/>
          <w:szCs w:val="28"/>
          <w:lang w:eastAsia="es-ES"/>
        </w:rPr>
        <w:t xml:space="preserve">s </w:t>
      </w:r>
      <w:r w:rsidRPr="00F2273F">
        <w:rPr>
          <w:rFonts w:ascii="Times New Roman" w:hAnsi="Times New Roman" w:cs="Times New Roman"/>
          <w:sz w:val="28"/>
          <w:szCs w:val="28"/>
          <w:lang w:eastAsia="es-ES"/>
        </w:rPr>
        <w:t>339 a 342</w:t>
      </w:r>
      <w:r w:rsidRPr="00F2273F">
        <w:rPr>
          <w:rFonts w:ascii="Times New Roman" w:hAnsi="Times New Roman" w:cs="Times New Roman"/>
          <w:sz w:val="28"/>
          <w:szCs w:val="28"/>
          <w:lang w:eastAsia="es-ES"/>
        </w:rPr>
        <w:t xml:space="preserve"> superiores</w:t>
      </w:r>
      <w:r w:rsidRPr="00F2273F">
        <w:rPr>
          <w:rFonts w:ascii="Times New Roman" w:hAnsi="Times New Roman" w:cs="Times New Roman"/>
          <w:sz w:val="28"/>
          <w:szCs w:val="28"/>
          <w:lang w:eastAsia="es-ES"/>
        </w:rPr>
        <w:t xml:space="preserve">, la ley del plan </w:t>
      </w: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stá compuest</w:t>
      </w:r>
      <w:r w:rsidRPr="00F2273F">
        <w:rPr>
          <w:rFonts w:ascii="Times New Roman" w:hAnsi="Times New Roman" w:cs="Times New Roman"/>
          <w:sz w:val="28"/>
          <w:szCs w:val="28"/>
          <w:lang w:eastAsia="es-ES"/>
        </w:rPr>
        <w:t>a</w:t>
      </w:r>
      <w:r w:rsidRPr="00F2273F">
        <w:rPr>
          <w:rFonts w:ascii="Times New Roman" w:hAnsi="Times New Roman" w:cs="Times New Roman"/>
          <w:sz w:val="28"/>
          <w:szCs w:val="28"/>
          <w:lang w:eastAsia="es-ES"/>
        </w:rPr>
        <w:t xml:space="preserve"> por una parte general (propósitos, </w:t>
      </w:r>
      <w:r w:rsidRPr="00F2273F">
        <w:rPr>
          <w:rFonts w:ascii="Times New Roman" w:hAnsi="Times New Roman" w:cs="Times New Roman"/>
          <w:sz w:val="28"/>
          <w:szCs w:val="28"/>
          <w:lang w:val="es-ES" w:eastAsia="es-ES"/>
        </w:rPr>
        <w:t>y objetivos nacionales de largo plazo, las metas y prioridades de la acción estatal a mediano plazo y las estrategias y orientaciones generales de la política económica, social y ambiental del gobierno), un plan de inver</w:t>
      </w:r>
      <w:r w:rsidRPr="00F2273F">
        <w:rPr>
          <w:rFonts w:ascii="Times New Roman" w:hAnsi="Times New Roman" w:cs="Times New Roman"/>
          <w:sz w:val="28"/>
          <w:szCs w:val="28"/>
          <w:lang w:val="es-ES" w:eastAsia="es-ES"/>
        </w:rPr>
        <w:t>siones de las entidades públicas del orden nacional (incluye los presupuestos plurianuales de los principales programas y proyectos de inversión y la especificación de los recursos requeridos para su ejecución, en un marco de sostenibilidad fiscal) y los m</w:t>
      </w:r>
      <w:r w:rsidRPr="00F2273F">
        <w:rPr>
          <w:rFonts w:ascii="Times New Roman" w:hAnsi="Times New Roman" w:cs="Times New Roman"/>
          <w:sz w:val="28"/>
          <w:szCs w:val="28"/>
          <w:lang w:val="es-ES" w:eastAsia="es-ES"/>
        </w:rPr>
        <w:t>ecanismos instrumentales apropiados para impulsar su cumplimiento y ejecución</w:t>
      </w:r>
      <w:r w:rsidRPr="00F2273F">
        <w:rPr>
          <w:rStyle w:val="Refdenotaalpie"/>
          <w:rFonts w:ascii="Times New Roman" w:hAnsi="Times New Roman" w:cs="Times New Roman"/>
          <w:sz w:val="28"/>
          <w:szCs w:val="28"/>
          <w:lang w:val="es-ES" w:eastAsia="es-ES"/>
        </w:rPr>
        <w:footnoteReference w:id="46"/>
      </w:r>
      <w:r w:rsidRPr="00F2273F">
        <w:rPr>
          <w:rFonts w:ascii="Times New Roman" w:hAnsi="Times New Roman" w:cs="Times New Roman"/>
          <w:sz w:val="28"/>
          <w:szCs w:val="28"/>
          <w:lang w:val="es-ES" w:eastAsia="es-ES"/>
        </w:rPr>
        <w:t>.</w:t>
      </w:r>
    </w:p>
    <w:p w:rsidR="001277A3" w:rsidRPr="00F2273F" w:rsidRDefault="00F2273F" w:rsidP="001277A3">
      <w:pPr>
        <w:pStyle w:val="Prrafodelista"/>
        <w:shd w:val="clear" w:color="auto" w:fill="FFFFFF"/>
        <w:spacing w:line="240" w:lineRule="auto"/>
        <w:ind w:left="0" w:right="48"/>
        <w:jc w:val="both"/>
        <w:textAlignment w:val="baseline"/>
        <w:rPr>
          <w:rFonts w:ascii="Times New Roman" w:hAnsi="Times New Roman" w:cs="Times New Roman"/>
          <w:sz w:val="28"/>
          <w:szCs w:val="28"/>
          <w:lang w:eastAsia="es-ES"/>
        </w:rPr>
      </w:pPr>
    </w:p>
    <w:p w:rsidR="001277A3" w:rsidRPr="00F2273F" w:rsidRDefault="00F2273F" w:rsidP="005E329F">
      <w:pPr>
        <w:pStyle w:val="Prrafodelista"/>
        <w:numPr>
          <w:ilvl w:val="0"/>
          <w:numId w:val="3"/>
        </w:numPr>
        <w:shd w:val="clear" w:color="auto" w:fill="FFFFFF"/>
        <w:spacing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el plano legal, y de acuerdo con la</w:t>
      </w:r>
      <w:r w:rsidRPr="00F2273F">
        <w:rPr>
          <w:rFonts w:ascii="Times New Roman" w:hAnsi="Times New Roman" w:cs="Times New Roman"/>
          <w:sz w:val="28"/>
          <w:szCs w:val="28"/>
          <w:lang w:eastAsia="es-ES"/>
        </w:rPr>
        <w:t xml:space="preserve"> Ley 152 de 1994,</w:t>
      </w:r>
      <w:r w:rsidRPr="00F2273F">
        <w:rPr>
          <w:rFonts w:ascii="Times New Roman" w:hAnsi="Times New Roman" w:cs="Times New Roman"/>
          <w:sz w:val="28"/>
          <w:szCs w:val="28"/>
          <w:lang w:eastAsia="es-ES"/>
        </w:rPr>
        <w:t xml:space="preserve"> orgánica del plan de desarrollo,</w:t>
      </w:r>
      <w:r w:rsidRPr="00F2273F">
        <w:rPr>
          <w:rFonts w:ascii="Times New Roman" w:hAnsi="Times New Roman" w:cs="Times New Roman"/>
          <w:sz w:val="28"/>
          <w:szCs w:val="28"/>
          <w:lang w:eastAsia="es-ES"/>
        </w:rPr>
        <w:t xml:space="preserve"> (i) la competencia para la elaboración</w:t>
      </w:r>
      <w:r w:rsidRPr="00F2273F">
        <w:rPr>
          <w:rFonts w:ascii="Times New Roman" w:hAnsi="Times New Roman" w:cs="Times New Roman"/>
          <w:sz w:val="28"/>
          <w:szCs w:val="28"/>
          <w:lang w:eastAsia="es-ES"/>
        </w:rPr>
        <w:t xml:space="preserve"> del proyecto</w:t>
      </w:r>
      <w:r w:rsidRPr="00F2273F">
        <w:rPr>
          <w:rFonts w:ascii="Times New Roman" w:hAnsi="Times New Roman" w:cs="Times New Roman"/>
          <w:sz w:val="28"/>
          <w:szCs w:val="28"/>
          <w:lang w:eastAsia="es-ES"/>
        </w:rPr>
        <w:t xml:space="preserve"> de plan recae en el Gobierno nacional, con apoyo en otras autoridades</w:t>
      </w:r>
      <w:r w:rsidRPr="00F2273F">
        <w:rPr>
          <w:rFonts w:ascii="Times New Roman" w:hAnsi="Times New Roman" w:cs="Times New Roman"/>
          <w:sz w:val="28"/>
          <w:szCs w:val="28"/>
          <w:lang w:eastAsia="es-ES"/>
        </w:rPr>
        <w:t xml:space="preserve"> nacionales y locales</w:t>
      </w:r>
      <w:r w:rsidRPr="00F2273F">
        <w:rPr>
          <w:rFonts w:ascii="Times New Roman" w:hAnsi="Times New Roman" w:cs="Times New Roman"/>
          <w:sz w:val="28"/>
          <w:szCs w:val="28"/>
          <w:lang w:eastAsia="es-ES"/>
        </w:rPr>
        <w:t>, (ii) con sujeción a un trámite deliberativo y participativo que se surte ante el Congreso de la República</w:t>
      </w:r>
      <w:r w:rsidRPr="00F2273F">
        <w:rPr>
          <w:rFonts w:ascii="Times New Roman" w:hAnsi="Times New Roman" w:cs="Times New Roman"/>
          <w:sz w:val="28"/>
          <w:szCs w:val="28"/>
          <w:lang w:val="es-ES" w:eastAsia="es-ES"/>
        </w:rPr>
        <w:t xml:space="preserve"> de manera prioritaria y dentro de los 6 meses siguientes </w:t>
      </w:r>
      <w:r w:rsidRPr="00F2273F">
        <w:rPr>
          <w:rFonts w:ascii="Times New Roman" w:hAnsi="Times New Roman" w:cs="Times New Roman"/>
          <w:sz w:val="28"/>
          <w:szCs w:val="28"/>
          <w:lang w:val="es-ES" w:eastAsia="es-ES"/>
        </w:rPr>
        <w:t>al inicio del período presidencial</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(iii) </w:t>
      </w:r>
      <w:r w:rsidRPr="00F2273F">
        <w:rPr>
          <w:rFonts w:ascii="Times New Roman" w:hAnsi="Times New Roman" w:cs="Times New Roman"/>
          <w:sz w:val="28"/>
          <w:szCs w:val="28"/>
        </w:rPr>
        <w:t>E</w:t>
      </w:r>
      <w:r w:rsidRPr="00F2273F">
        <w:rPr>
          <w:rFonts w:ascii="Times New Roman" w:hAnsi="Times New Roman" w:cs="Times New Roman"/>
          <w:sz w:val="28"/>
          <w:szCs w:val="28"/>
        </w:rPr>
        <w:t xml:space="preserve">l primer debate </w:t>
      </w:r>
      <w:r w:rsidRPr="00F2273F">
        <w:rPr>
          <w:rFonts w:ascii="Times New Roman" w:hAnsi="Times New Roman" w:cs="Times New Roman"/>
          <w:sz w:val="28"/>
          <w:szCs w:val="28"/>
        </w:rPr>
        <w:t xml:space="preserve">de aquel </w:t>
      </w:r>
      <w:r w:rsidRPr="00F2273F">
        <w:rPr>
          <w:rFonts w:ascii="Times New Roman" w:hAnsi="Times New Roman" w:cs="Times New Roman"/>
          <w:sz w:val="28"/>
          <w:szCs w:val="28"/>
        </w:rPr>
        <w:t xml:space="preserve">se adelantará en las comisiones económicas de ambas cámaras en sesión conjunta y el segundo debate se </w:t>
      </w:r>
      <w:r w:rsidRPr="00F2273F">
        <w:rPr>
          <w:rFonts w:ascii="Times New Roman" w:hAnsi="Times New Roman" w:cs="Times New Roman"/>
          <w:sz w:val="28"/>
          <w:szCs w:val="28"/>
        </w:rPr>
        <w:t>surtirá</w:t>
      </w:r>
      <w:r w:rsidRPr="00F2273F">
        <w:rPr>
          <w:rFonts w:ascii="Times New Roman" w:hAnsi="Times New Roman" w:cs="Times New Roman"/>
          <w:sz w:val="28"/>
          <w:szCs w:val="28"/>
        </w:rPr>
        <w:t xml:space="preserve"> en la plenaria de cada una de las Cámaras</w:t>
      </w:r>
      <w:r w:rsidRPr="00F2273F">
        <w:rPr>
          <w:rStyle w:val="Refdenotaalpie"/>
          <w:rFonts w:ascii="Times New Roman" w:hAnsi="Times New Roman" w:cs="Times New Roman"/>
          <w:sz w:val="28"/>
          <w:szCs w:val="28"/>
        </w:rPr>
        <w:footnoteReference w:id="47"/>
      </w:r>
      <w:r w:rsidRPr="00F2273F">
        <w:rPr>
          <w:rFonts w:ascii="Times New Roman" w:hAnsi="Times New Roman" w:cs="Times New Roman"/>
          <w:sz w:val="28"/>
          <w:szCs w:val="28"/>
        </w:rPr>
        <w:t>.</w:t>
      </w:r>
    </w:p>
    <w:p w:rsidR="001277A3" w:rsidRPr="00F2273F" w:rsidRDefault="00F2273F" w:rsidP="001277A3">
      <w:pPr>
        <w:pStyle w:val="Prrafodelista"/>
        <w:spacing w:line="240" w:lineRule="auto"/>
        <w:rPr>
          <w:rFonts w:ascii="Times New Roman" w:hAnsi="Times New Roman" w:cs="Times New Roman"/>
          <w:sz w:val="28"/>
          <w:szCs w:val="28"/>
          <w:lang w:eastAsia="es-ES"/>
        </w:rPr>
      </w:pPr>
    </w:p>
    <w:p w:rsidR="001277A3" w:rsidRPr="00F2273F" w:rsidRDefault="00F2273F" w:rsidP="005E329F">
      <w:pPr>
        <w:pStyle w:val="Prrafodelista"/>
        <w:numPr>
          <w:ilvl w:val="0"/>
          <w:numId w:val="3"/>
        </w:numPr>
        <w:shd w:val="clear" w:color="auto" w:fill="FFFFFF"/>
        <w:spacing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Esas particularidades</w:t>
      </w:r>
      <w:r w:rsidRPr="00F2273F">
        <w:rPr>
          <w:rFonts w:ascii="Times New Roman" w:hAnsi="Times New Roman" w:cs="Times New Roman"/>
          <w:sz w:val="28"/>
          <w:szCs w:val="28"/>
          <w:lang w:eastAsia="es-ES"/>
        </w:rPr>
        <w:t xml:space="preserve">, propias de la concreción legislativa del programa de gobierno propuesto por </w:t>
      </w: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 xml:space="preserve">presidente </w:t>
      </w:r>
      <w:r w:rsidRPr="00F2273F">
        <w:rPr>
          <w:rFonts w:ascii="Times New Roman" w:hAnsi="Times New Roman" w:cs="Times New Roman"/>
          <w:sz w:val="28"/>
          <w:szCs w:val="28"/>
          <w:lang w:eastAsia="es-ES"/>
        </w:rPr>
        <w:t>de la República</w:t>
      </w:r>
      <w:r w:rsidRPr="00F2273F">
        <w:rPr>
          <w:rStyle w:val="Refdenotaalpie"/>
          <w:rFonts w:ascii="Times New Roman" w:hAnsi="Times New Roman" w:cs="Times New Roman"/>
          <w:sz w:val="28"/>
          <w:szCs w:val="28"/>
          <w:lang w:eastAsia="es-ES"/>
        </w:rPr>
        <w:footnoteReference w:id="48"/>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ameritan un entendimiento más riguroso y preciso de </w:t>
      </w:r>
      <w:r w:rsidRPr="00F2273F">
        <w:rPr>
          <w:rFonts w:ascii="Times New Roman" w:hAnsi="Times New Roman" w:cs="Times New Roman"/>
          <w:sz w:val="28"/>
          <w:szCs w:val="28"/>
          <w:lang w:eastAsia="es-ES"/>
        </w:rPr>
        <w:t xml:space="preserve">los </w:t>
      </w:r>
      <w:r w:rsidRPr="00F2273F">
        <w:rPr>
          <w:rFonts w:ascii="Times New Roman" w:hAnsi="Times New Roman" w:cs="Times New Roman"/>
          <w:sz w:val="28"/>
          <w:szCs w:val="28"/>
          <w:lang w:eastAsia="es-ES"/>
        </w:rPr>
        <w:t>principios que rigen la actividad legislativa</w:t>
      </w:r>
      <w:r w:rsidRPr="00F2273F">
        <w:rPr>
          <w:rFonts w:ascii="Times New Roman" w:hAnsi="Times New Roman" w:cs="Times New Roman"/>
          <w:sz w:val="28"/>
          <w:szCs w:val="28"/>
          <w:lang w:eastAsia="es-ES"/>
        </w:rPr>
        <w:t xml:space="preserve"> en este ámbito</w:t>
      </w:r>
      <w:r w:rsidRPr="00F2273F">
        <w:rPr>
          <w:rFonts w:ascii="Times New Roman" w:hAnsi="Times New Roman" w:cs="Times New Roman"/>
          <w:sz w:val="28"/>
          <w:szCs w:val="28"/>
          <w:lang w:eastAsia="es-ES"/>
        </w:rPr>
        <w:t xml:space="preserve">, los cuales se </w:t>
      </w:r>
      <w:r w:rsidRPr="00F2273F">
        <w:rPr>
          <w:rFonts w:ascii="Times New Roman" w:hAnsi="Times New Roman" w:cs="Times New Roman"/>
          <w:sz w:val="28"/>
          <w:szCs w:val="28"/>
          <w:lang w:eastAsia="es-ES"/>
        </w:rPr>
        <w:t>consolidan com</w:t>
      </w:r>
      <w:r w:rsidRPr="00F2273F">
        <w:rPr>
          <w:rFonts w:ascii="Times New Roman" w:hAnsi="Times New Roman" w:cs="Times New Roman"/>
          <w:sz w:val="28"/>
          <w:szCs w:val="28"/>
          <w:lang w:eastAsia="es-ES"/>
        </w:rPr>
        <w:t>o</w:t>
      </w:r>
      <w:r w:rsidRPr="00F2273F">
        <w:rPr>
          <w:rFonts w:ascii="Times New Roman" w:hAnsi="Times New Roman" w:cs="Times New Roman"/>
          <w:sz w:val="28"/>
          <w:szCs w:val="28"/>
          <w:lang w:eastAsia="es-ES"/>
        </w:rPr>
        <w:t xml:space="preserve"> la pauta para el control de constitucionalidad que ejerce </w:t>
      </w:r>
      <w:r w:rsidRPr="00F2273F">
        <w:rPr>
          <w:rFonts w:ascii="Times New Roman" w:hAnsi="Times New Roman" w:cs="Times New Roman"/>
          <w:sz w:val="28"/>
          <w:szCs w:val="28"/>
          <w:lang w:eastAsia="es-ES"/>
        </w:rPr>
        <w:t>esta</w:t>
      </w:r>
      <w:r w:rsidRPr="00F2273F">
        <w:rPr>
          <w:rFonts w:ascii="Times New Roman" w:hAnsi="Times New Roman" w:cs="Times New Roman"/>
          <w:sz w:val="28"/>
          <w:szCs w:val="28"/>
          <w:lang w:eastAsia="es-ES"/>
        </w:rPr>
        <w:t xml:space="preserve"> Corporación</w:t>
      </w:r>
      <w:r w:rsidRPr="00F2273F">
        <w:rPr>
          <w:rFonts w:ascii="Times New Roman" w:hAnsi="Times New Roman" w:cs="Times New Roman"/>
          <w:sz w:val="28"/>
          <w:szCs w:val="28"/>
          <w:lang w:eastAsia="es-ES"/>
        </w:rPr>
        <w:t xml:space="preserve"> sobre aquel instrumento</w:t>
      </w:r>
      <w:r w:rsidRPr="00F2273F">
        <w:rPr>
          <w:rFonts w:ascii="Times New Roman" w:hAnsi="Times New Roman" w:cs="Times New Roman"/>
          <w:sz w:val="28"/>
          <w:szCs w:val="28"/>
          <w:lang w:eastAsia="es-ES"/>
        </w:rPr>
        <w:t>.</w:t>
      </w:r>
    </w:p>
    <w:p w:rsidR="001277A3" w:rsidRPr="00F2273F" w:rsidRDefault="00F2273F" w:rsidP="001277A3">
      <w:pPr>
        <w:pStyle w:val="Prrafodelista"/>
        <w:spacing w:line="240" w:lineRule="auto"/>
        <w:rPr>
          <w:rFonts w:ascii="Times New Roman" w:hAnsi="Times New Roman" w:cs="Times New Roman"/>
          <w:sz w:val="28"/>
          <w:szCs w:val="28"/>
          <w:lang w:eastAsia="es-ES"/>
        </w:rPr>
      </w:pPr>
    </w:p>
    <w:p w:rsidR="001277A3" w:rsidRPr="00F2273F" w:rsidRDefault="00F2273F" w:rsidP="004518E8">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A </w:t>
      </w:r>
      <w:r w:rsidRPr="00F2273F">
        <w:rPr>
          <w:rFonts w:ascii="Times New Roman" w:hAnsi="Times New Roman" w:cs="Times New Roman"/>
          <w:sz w:val="28"/>
          <w:szCs w:val="28"/>
          <w:lang w:eastAsia="es-ES"/>
        </w:rPr>
        <w:t xml:space="preserve">las </w:t>
      </w:r>
      <w:r w:rsidRPr="00F2273F">
        <w:rPr>
          <w:rFonts w:ascii="Times New Roman" w:hAnsi="Times New Roman" w:cs="Times New Roman"/>
          <w:sz w:val="28"/>
          <w:szCs w:val="28"/>
          <w:lang w:eastAsia="es-ES"/>
        </w:rPr>
        <w:t>características</w:t>
      </w:r>
      <w:r w:rsidRPr="00F2273F">
        <w:rPr>
          <w:rFonts w:ascii="Times New Roman" w:hAnsi="Times New Roman" w:cs="Times New Roman"/>
          <w:sz w:val="28"/>
          <w:szCs w:val="28"/>
          <w:lang w:eastAsia="es-ES"/>
        </w:rPr>
        <w:t xml:space="preserve"> del trámite legislativo </w:t>
      </w:r>
      <w:r w:rsidRPr="00F2273F">
        <w:rPr>
          <w:rFonts w:ascii="Times New Roman" w:hAnsi="Times New Roman" w:cs="Times New Roman"/>
          <w:sz w:val="28"/>
          <w:szCs w:val="28"/>
          <w:lang w:eastAsia="es-ES"/>
        </w:rPr>
        <w:t xml:space="preserve">aludidas </w:t>
      </w:r>
      <w:r w:rsidRPr="00F2273F">
        <w:rPr>
          <w:rFonts w:ascii="Times New Roman" w:hAnsi="Times New Roman" w:cs="Times New Roman"/>
          <w:sz w:val="28"/>
          <w:szCs w:val="28"/>
          <w:lang w:eastAsia="es-ES"/>
        </w:rPr>
        <w:t xml:space="preserve">se suma el carácter temporal de </w:t>
      </w:r>
      <w:r w:rsidRPr="00F2273F">
        <w:rPr>
          <w:rFonts w:ascii="Times New Roman" w:hAnsi="Times New Roman" w:cs="Times New Roman"/>
          <w:sz w:val="28"/>
          <w:szCs w:val="28"/>
          <w:lang w:eastAsia="es-ES"/>
        </w:rPr>
        <w:t xml:space="preserve">las </w:t>
      </w:r>
      <w:r w:rsidRPr="00F2273F">
        <w:rPr>
          <w:rFonts w:ascii="Times New Roman" w:hAnsi="Times New Roman" w:cs="Times New Roman"/>
          <w:sz w:val="28"/>
          <w:szCs w:val="28"/>
          <w:lang w:eastAsia="es-ES"/>
        </w:rPr>
        <w:t>disposiciones</w:t>
      </w:r>
      <w:r w:rsidRPr="00F2273F">
        <w:rPr>
          <w:rFonts w:ascii="Times New Roman" w:hAnsi="Times New Roman" w:cs="Times New Roman"/>
          <w:sz w:val="28"/>
          <w:szCs w:val="28"/>
          <w:lang w:eastAsia="es-ES"/>
        </w:rPr>
        <w:t xml:space="preserve"> de aquella normativa</w:t>
      </w:r>
      <w:r w:rsidRPr="00F2273F">
        <w:rPr>
          <w:rFonts w:ascii="Times New Roman" w:hAnsi="Times New Roman" w:cs="Times New Roman"/>
          <w:sz w:val="28"/>
          <w:szCs w:val="28"/>
          <w:lang w:eastAsia="es-ES"/>
        </w:rPr>
        <w:t xml:space="preserve">, en atención a que </w:t>
      </w:r>
      <w:r w:rsidRPr="00F2273F">
        <w:rPr>
          <w:rFonts w:ascii="Times New Roman" w:hAnsi="Times New Roman" w:cs="Times New Roman"/>
          <w:sz w:val="28"/>
          <w:szCs w:val="28"/>
          <w:lang w:eastAsia="es-ES"/>
        </w:rPr>
        <w:t xml:space="preserve">la ley del plan nacional de desarrollo </w:t>
      </w:r>
      <w:r w:rsidRPr="00F2273F">
        <w:rPr>
          <w:rFonts w:ascii="Times New Roman" w:hAnsi="Times New Roman" w:cs="Times New Roman"/>
          <w:sz w:val="28"/>
          <w:szCs w:val="28"/>
          <w:lang w:eastAsia="es-ES"/>
        </w:rPr>
        <w:t>está orientada a cumplir los objetivos que el gobierno en funciones busca promover</w:t>
      </w:r>
      <w:r w:rsidRPr="00F2273F">
        <w:rPr>
          <w:rStyle w:val="Refdenotaalpie"/>
          <w:rFonts w:ascii="Times New Roman" w:hAnsi="Times New Roman" w:cs="Times New Roman"/>
          <w:sz w:val="28"/>
          <w:szCs w:val="28"/>
          <w:lang w:eastAsia="es-ES"/>
        </w:rPr>
        <w:footnoteReference w:id="49"/>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Bajo esta línea, en principio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la vigencia de las disposiciones </w:t>
      </w:r>
      <w:r w:rsidRPr="00F2273F">
        <w:rPr>
          <w:rFonts w:ascii="Times New Roman" w:hAnsi="Times New Roman" w:cs="Times New Roman"/>
          <w:sz w:val="28"/>
          <w:szCs w:val="28"/>
          <w:lang w:eastAsia="es-ES"/>
        </w:rPr>
        <w:t>del plan de desarrollo de</w:t>
      </w:r>
      <w:r w:rsidRPr="00F2273F">
        <w:rPr>
          <w:rFonts w:ascii="Times New Roman" w:hAnsi="Times New Roman" w:cs="Times New Roman"/>
          <w:sz w:val="28"/>
          <w:szCs w:val="28"/>
          <w:lang w:eastAsia="es-ES"/>
        </w:rPr>
        <w:t>l</w:t>
      </w:r>
      <w:r w:rsidRPr="00F2273F">
        <w:rPr>
          <w:rFonts w:ascii="Times New Roman" w:hAnsi="Times New Roman" w:cs="Times New Roman"/>
          <w:sz w:val="28"/>
          <w:szCs w:val="28"/>
          <w:lang w:eastAsia="es-ES"/>
        </w:rPr>
        <w:t xml:space="preserve"> orden nacional</w:t>
      </w:r>
      <w:r w:rsidRPr="00F2273F">
        <w:rPr>
          <w:rFonts w:ascii="Times New Roman" w:hAnsi="Times New Roman" w:cs="Times New Roman"/>
          <w:sz w:val="28"/>
          <w:szCs w:val="28"/>
          <w:lang w:eastAsia="es-ES"/>
        </w:rPr>
        <w:t xml:space="preserve"> corresponde al periodo cuatrienal del </w:t>
      </w:r>
      <w:r w:rsidRPr="00F2273F">
        <w:rPr>
          <w:rFonts w:ascii="Times New Roman" w:hAnsi="Times New Roman" w:cs="Times New Roman"/>
          <w:sz w:val="28"/>
          <w:szCs w:val="28"/>
          <w:lang w:eastAsia="es-ES"/>
        </w:rPr>
        <w:t>G</w:t>
      </w:r>
      <w:r w:rsidRPr="00F2273F">
        <w:rPr>
          <w:rFonts w:ascii="Times New Roman" w:hAnsi="Times New Roman" w:cs="Times New Roman"/>
          <w:sz w:val="28"/>
          <w:szCs w:val="28"/>
          <w:lang w:eastAsia="es-ES"/>
        </w:rPr>
        <w:t xml:space="preserve">obierno. La construcción que de este aspecto ha hecho la Corte </w:t>
      </w:r>
      <w:r w:rsidRPr="00F2273F">
        <w:rPr>
          <w:rFonts w:ascii="Times New Roman" w:hAnsi="Times New Roman" w:cs="Times New Roman"/>
          <w:sz w:val="28"/>
          <w:szCs w:val="28"/>
          <w:lang w:eastAsia="es-ES"/>
        </w:rPr>
        <w:t xml:space="preserve">Constitucional </w:t>
      </w:r>
      <w:r w:rsidRPr="00F2273F">
        <w:rPr>
          <w:rFonts w:ascii="Times New Roman" w:hAnsi="Times New Roman" w:cs="Times New Roman"/>
          <w:sz w:val="28"/>
          <w:szCs w:val="28"/>
          <w:lang w:eastAsia="es-ES"/>
        </w:rPr>
        <w:t xml:space="preserve">indica que el plan no puede tornarse en una herramienta para subsanar vacíos normativos de leyes ordinarias. La forma </w:t>
      </w:r>
      <w:r w:rsidRPr="00F2273F">
        <w:rPr>
          <w:rFonts w:ascii="Times New Roman" w:hAnsi="Times New Roman" w:cs="Times New Roman"/>
          <w:sz w:val="28"/>
          <w:szCs w:val="28"/>
          <w:lang w:eastAsia="es-ES"/>
        </w:rPr>
        <w:t xml:space="preserve">acertada </w:t>
      </w:r>
      <w:r w:rsidRPr="00F2273F">
        <w:rPr>
          <w:rFonts w:ascii="Times New Roman" w:hAnsi="Times New Roman" w:cs="Times New Roman"/>
          <w:sz w:val="28"/>
          <w:szCs w:val="28"/>
          <w:lang w:eastAsia="es-ES"/>
        </w:rPr>
        <w:t>para soluci</w:t>
      </w:r>
      <w:r w:rsidRPr="00F2273F">
        <w:rPr>
          <w:rFonts w:ascii="Times New Roman" w:hAnsi="Times New Roman" w:cs="Times New Roman"/>
          <w:sz w:val="28"/>
          <w:szCs w:val="28"/>
          <w:lang w:eastAsia="es-ES"/>
        </w:rPr>
        <w:t>onar esas falencias, aún si son de carácter estructural, es acudir al trámite propio de las leyes ordinarias y permanentes</w:t>
      </w:r>
      <w:r w:rsidRPr="00F2273F">
        <w:rPr>
          <w:rStyle w:val="Refdenotaalpie"/>
          <w:rFonts w:ascii="Times New Roman" w:hAnsi="Times New Roman" w:cs="Times New Roman"/>
          <w:sz w:val="28"/>
          <w:szCs w:val="28"/>
          <w:lang w:eastAsia="es-ES"/>
        </w:rPr>
        <w:footnoteReference w:id="50"/>
      </w:r>
      <w:r w:rsidRPr="00F2273F">
        <w:rPr>
          <w:rFonts w:ascii="Times New Roman" w:hAnsi="Times New Roman" w:cs="Times New Roman"/>
          <w:sz w:val="28"/>
          <w:szCs w:val="28"/>
          <w:lang w:eastAsia="es-ES"/>
        </w:rPr>
        <w:t>. Tampoco es posible que la ley del plan regule todas las materias que le corresponde</w:t>
      </w:r>
      <w:r w:rsidRPr="00F2273F">
        <w:rPr>
          <w:rFonts w:ascii="Times New Roman" w:hAnsi="Times New Roman" w:cs="Times New Roman"/>
          <w:sz w:val="28"/>
          <w:szCs w:val="28"/>
          <w:lang w:eastAsia="es-ES"/>
        </w:rPr>
        <w:t>n</w:t>
      </w:r>
      <w:r w:rsidRPr="00F2273F">
        <w:rPr>
          <w:rFonts w:ascii="Times New Roman" w:hAnsi="Times New Roman" w:cs="Times New Roman"/>
          <w:sz w:val="28"/>
          <w:szCs w:val="28"/>
          <w:lang w:eastAsia="es-ES"/>
        </w:rPr>
        <w:t xml:space="preserve"> al Congreso en ejercicio de sus competencias c</w:t>
      </w:r>
      <w:r w:rsidRPr="00F2273F">
        <w:rPr>
          <w:rFonts w:ascii="Times New Roman" w:hAnsi="Times New Roman" w:cs="Times New Roman"/>
          <w:sz w:val="28"/>
          <w:szCs w:val="28"/>
          <w:lang w:eastAsia="es-ES"/>
        </w:rPr>
        <w:t>onstitucionales, pues las vaciaría de contenido.</w:t>
      </w:r>
      <w:r w:rsidRPr="00F2273F">
        <w:rPr>
          <w:rFonts w:ascii="Times New Roman" w:hAnsi="Times New Roman" w:cs="Times New Roman"/>
          <w:sz w:val="28"/>
          <w:szCs w:val="28"/>
          <w:lang w:eastAsia="es-ES"/>
        </w:rPr>
        <w:t xml:space="preserve"> </w:t>
      </w:r>
    </w:p>
    <w:p w:rsidR="001277A3" w:rsidRPr="00F2273F" w:rsidRDefault="00F2273F" w:rsidP="001277A3">
      <w:pPr>
        <w:pStyle w:val="Prrafodelista"/>
        <w:spacing w:line="240" w:lineRule="auto"/>
        <w:rPr>
          <w:rFonts w:ascii="Times New Roman" w:hAnsi="Times New Roman" w:cs="Times New Roman"/>
          <w:sz w:val="28"/>
          <w:szCs w:val="28"/>
          <w:lang w:eastAsia="es-ES"/>
        </w:rPr>
      </w:pPr>
    </w:p>
    <w:p w:rsidR="001277A3" w:rsidRPr="00F2273F" w:rsidRDefault="00F2273F" w:rsidP="00F96AB9">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Ello no obsta para que la ley del plan modifique leyes ordinarias de carácter permanente,</w:t>
      </w:r>
      <w:r w:rsidRPr="00F2273F">
        <w:rPr>
          <w:rFonts w:ascii="Times New Roman" w:hAnsi="Times New Roman" w:cs="Times New Roman"/>
          <w:bCs/>
          <w:iCs/>
          <w:sz w:val="28"/>
          <w:szCs w:val="28"/>
          <w:lang w:eastAsia="es-ES"/>
        </w:rPr>
        <w:t xml:space="preserve"> siempre que la modificación tenga un fin planificador y de impulso a la ejecución del plan cuatrienal. </w:t>
      </w:r>
      <w:r w:rsidRPr="00F2273F">
        <w:rPr>
          <w:rFonts w:ascii="Times New Roman" w:hAnsi="Times New Roman" w:cs="Times New Roman"/>
          <w:sz w:val="28"/>
          <w:szCs w:val="28"/>
          <w:lang w:eastAsia="es-ES"/>
        </w:rPr>
        <w:t xml:space="preserve">De ahí que </w:t>
      </w: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 xml:space="preserve">sta </w:t>
      </w:r>
      <w:r w:rsidRPr="00F2273F">
        <w:rPr>
          <w:rFonts w:ascii="Times New Roman" w:hAnsi="Times New Roman" w:cs="Times New Roman"/>
          <w:sz w:val="28"/>
          <w:szCs w:val="28"/>
          <w:lang w:eastAsia="es-ES"/>
        </w:rPr>
        <w:t>Corte haya declarado inexequibles disposiciones</w:t>
      </w:r>
      <w:r w:rsidRPr="00F2273F">
        <w:rPr>
          <w:rFonts w:ascii="Times New Roman" w:hAnsi="Times New Roman" w:cs="Times New Roman"/>
          <w:sz w:val="28"/>
          <w:szCs w:val="28"/>
          <w:lang w:eastAsia="es-ES"/>
        </w:rPr>
        <w:t xml:space="preserve"> de leyes tales</w:t>
      </w:r>
      <w:r w:rsidRPr="00F2273F">
        <w:rPr>
          <w:rFonts w:ascii="Times New Roman" w:hAnsi="Times New Roman" w:cs="Times New Roman"/>
          <w:sz w:val="28"/>
          <w:szCs w:val="28"/>
          <w:lang w:eastAsia="es-ES"/>
        </w:rPr>
        <w:t xml:space="preserve"> que pretenden </w:t>
      </w:r>
      <w:r w:rsidRPr="00F2273F">
        <w:rPr>
          <w:rFonts w:ascii="Times New Roman" w:hAnsi="Times New Roman" w:cs="Times New Roman"/>
          <w:sz w:val="28"/>
          <w:szCs w:val="28"/>
          <w:lang w:eastAsia="es-ES"/>
        </w:rPr>
        <w:t xml:space="preserve">su </w:t>
      </w:r>
      <w:r w:rsidRPr="00F2273F">
        <w:rPr>
          <w:rFonts w:ascii="Times New Roman" w:hAnsi="Times New Roman" w:cs="Times New Roman"/>
          <w:sz w:val="28"/>
          <w:szCs w:val="28"/>
          <w:lang w:eastAsia="es-ES"/>
        </w:rPr>
        <w:t xml:space="preserve">permanencia sin cumplir con la conexidad directa e inmediata </w:t>
      </w:r>
      <w:r w:rsidRPr="00F2273F">
        <w:rPr>
          <w:rFonts w:ascii="Times New Roman" w:hAnsi="Times New Roman" w:cs="Times New Roman"/>
          <w:sz w:val="28"/>
          <w:szCs w:val="28"/>
          <w:lang w:eastAsia="es-ES"/>
        </w:rPr>
        <w:t>en relación con</w:t>
      </w:r>
      <w:r w:rsidRPr="00F2273F">
        <w:rPr>
          <w:rFonts w:ascii="Times New Roman" w:hAnsi="Times New Roman" w:cs="Times New Roman"/>
          <w:sz w:val="28"/>
          <w:szCs w:val="28"/>
          <w:lang w:eastAsia="es-ES"/>
        </w:rPr>
        <w:t xml:space="preserve"> los objetivos generales del plan</w:t>
      </w:r>
      <w:r w:rsidRPr="00F2273F">
        <w:rPr>
          <w:rStyle w:val="Refdenotaalpie"/>
          <w:rFonts w:ascii="Times New Roman" w:hAnsi="Times New Roman" w:cs="Times New Roman"/>
          <w:sz w:val="28"/>
          <w:szCs w:val="28"/>
          <w:lang w:eastAsia="es-ES"/>
        </w:rPr>
        <w:footnoteReference w:id="51"/>
      </w:r>
      <w:r w:rsidRPr="00F2273F">
        <w:rPr>
          <w:rFonts w:ascii="Times New Roman" w:hAnsi="Times New Roman" w:cs="Times New Roman"/>
          <w:sz w:val="28"/>
          <w:szCs w:val="28"/>
          <w:lang w:eastAsia="es-ES"/>
        </w:rPr>
        <w:t xml:space="preserve">, con lo cual se respeta tanto la cláusula general de competencia del Congreso y se reafirman otras herramientas a las que puede acudir el </w:t>
      </w:r>
      <w:r w:rsidRPr="00F2273F">
        <w:rPr>
          <w:rFonts w:ascii="Times New Roman" w:hAnsi="Times New Roman" w:cs="Times New Roman"/>
          <w:sz w:val="28"/>
          <w:szCs w:val="28"/>
          <w:lang w:eastAsia="es-ES"/>
        </w:rPr>
        <w:t>G</w:t>
      </w:r>
      <w:r w:rsidRPr="00F2273F">
        <w:rPr>
          <w:rFonts w:ascii="Times New Roman" w:hAnsi="Times New Roman" w:cs="Times New Roman"/>
          <w:sz w:val="28"/>
          <w:szCs w:val="28"/>
          <w:lang w:eastAsia="es-ES"/>
        </w:rPr>
        <w:t xml:space="preserve">obierno para contar con la regulación que </w:t>
      </w:r>
      <w:r w:rsidRPr="00F2273F">
        <w:rPr>
          <w:rFonts w:ascii="Times New Roman" w:hAnsi="Times New Roman" w:cs="Times New Roman"/>
          <w:sz w:val="28"/>
          <w:szCs w:val="28"/>
          <w:lang w:eastAsia="es-ES"/>
        </w:rPr>
        <w:t xml:space="preserve">le permita </w:t>
      </w:r>
      <w:r w:rsidRPr="00F2273F">
        <w:rPr>
          <w:rFonts w:ascii="Times New Roman" w:hAnsi="Times New Roman" w:cs="Times New Roman"/>
          <w:sz w:val="28"/>
          <w:szCs w:val="28"/>
          <w:lang w:eastAsia="es-ES"/>
        </w:rPr>
        <w:t>el cumplimiento de los fines del Estado, tales como la iniciati</w:t>
      </w:r>
      <w:r w:rsidRPr="00F2273F">
        <w:rPr>
          <w:rFonts w:ascii="Times New Roman" w:hAnsi="Times New Roman" w:cs="Times New Roman"/>
          <w:sz w:val="28"/>
          <w:szCs w:val="28"/>
          <w:lang w:eastAsia="es-ES"/>
        </w:rPr>
        <w:t>va legislativa y la potestad reglamentaria</w:t>
      </w:r>
      <w:r w:rsidRPr="00F2273F">
        <w:rPr>
          <w:rStyle w:val="Refdenotaalpie"/>
          <w:rFonts w:ascii="Times New Roman" w:hAnsi="Times New Roman" w:cs="Times New Roman"/>
          <w:sz w:val="28"/>
          <w:szCs w:val="28"/>
          <w:lang w:eastAsia="es-ES"/>
        </w:rPr>
        <w:footnoteReference w:id="52"/>
      </w:r>
      <w:r w:rsidRPr="00F2273F">
        <w:rPr>
          <w:rFonts w:ascii="Times New Roman" w:hAnsi="Times New Roman" w:cs="Times New Roman"/>
          <w:sz w:val="28"/>
          <w:szCs w:val="28"/>
          <w:lang w:eastAsia="es-ES"/>
        </w:rPr>
        <w:t xml:space="preserve">.  </w:t>
      </w:r>
    </w:p>
    <w:p w:rsidR="00C2132E" w:rsidRPr="00F2273F" w:rsidRDefault="00F2273F" w:rsidP="00C2132E">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1277A3" w:rsidRPr="00F2273F" w:rsidRDefault="00F2273F" w:rsidP="0028298B">
      <w:pPr>
        <w:pStyle w:val="Prrafodelista"/>
        <w:numPr>
          <w:ilvl w:val="1"/>
          <w:numId w:val="6"/>
        </w:numPr>
        <w:shd w:val="clear" w:color="auto" w:fill="FFFFFF"/>
        <w:spacing w:after="0" w:line="240" w:lineRule="auto"/>
        <w:ind w:left="0" w:right="48" w:firstLine="0"/>
        <w:jc w:val="both"/>
        <w:textAlignment w:val="baseline"/>
        <w:rPr>
          <w:rFonts w:ascii="Times New Roman" w:hAnsi="Times New Roman" w:cs="Times New Roman"/>
          <w:b/>
          <w:bCs/>
          <w:sz w:val="28"/>
          <w:szCs w:val="28"/>
          <w:lang w:eastAsia="es-ES"/>
        </w:rPr>
      </w:pPr>
      <w:r w:rsidRPr="00F2273F">
        <w:rPr>
          <w:rFonts w:ascii="Times New Roman" w:hAnsi="Times New Roman" w:cs="Times New Roman"/>
          <w:b/>
          <w:bCs/>
          <w:sz w:val="28"/>
          <w:szCs w:val="28"/>
          <w:lang w:eastAsia="es-ES"/>
        </w:rPr>
        <w:t>Plan Nacional de Desarrollo 2022-2026 “Colombia Potencia Mundial de la Vida”</w:t>
      </w:r>
    </w:p>
    <w:p w:rsidR="001277A3" w:rsidRPr="00F2273F" w:rsidRDefault="00F2273F" w:rsidP="001277A3">
      <w:pPr>
        <w:pStyle w:val="Prrafodelista"/>
        <w:spacing w:line="240" w:lineRule="auto"/>
        <w:rPr>
          <w:rFonts w:ascii="Times New Roman" w:hAnsi="Times New Roman" w:cs="Times New Roman"/>
          <w:sz w:val="28"/>
          <w:szCs w:val="28"/>
          <w:lang w:eastAsia="es-ES"/>
        </w:rPr>
      </w:pPr>
    </w:p>
    <w:p w:rsidR="001F4966" w:rsidRPr="00F2273F" w:rsidRDefault="00F2273F" w:rsidP="00651833">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Con la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Ley 2294 de 2023 se expid</w:t>
      </w:r>
      <w:r w:rsidRPr="00F2273F">
        <w:rPr>
          <w:rFonts w:ascii="Times New Roman" w:hAnsi="Times New Roman" w:cs="Times New Roman"/>
          <w:sz w:val="28"/>
          <w:szCs w:val="28"/>
          <w:lang w:eastAsia="es-ES"/>
        </w:rPr>
        <w:t>ió</w:t>
      </w:r>
      <w:r w:rsidRPr="00F2273F">
        <w:rPr>
          <w:rFonts w:ascii="Times New Roman" w:hAnsi="Times New Roman" w:cs="Times New Roman"/>
          <w:sz w:val="28"/>
          <w:szCs w:val="28"/>
          <w:lang w:eastAsia="es-ES"/>
        </w:rPr>
        <w:t xml:space="preserve"> el Plan Nacional de Desarrollo 2022-2026 “Colombia Potencia Mundial de la Vida”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cuyo objetivo es sentar las bases para que el país sea líder en la protección de la vida a partir de un nuevo contrato social que permita la superación de injusticias y exclusiones históricas, la no repetición del conflicto, el cambio en el relacionamiento</w:t>
      </w:r>
      <w:r w:rsidRPr="00F2273F">
        <w:rPr>
          <w:rFonts w:ascii="Times New Roman" w:hAnsi="Times New Roman" w:cs="Times New Roman"/>
          <w:sz w:val="28"/>
          <w:szCs w:val="28"/>
          <w:lang w:eastAsia="es-ES"/>
        </w:rPr>
        <w:t xml:space="preserve"> medioambiental, la transformación productiva basada en el conocimiento y en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armonía con la naturaleza, y una cultura de paz</w:t>
      </w:r>
      <w:r w:rsidRPr="00F2273F">
        <w:rPr>
          <w:rStyle w:val="Refdenotaalpie"/>
          <w:rFonts w:ascii="Times New Roman" w:hAnsi="Times New Roman" w:cs="Times New Roman"/>
          <w:sz w:val="28"/>
          <w:szCs w:val="28"/>
          <w:lang w:eastAsia="es-ES"/>
        </w:rPr>
        <w:footnoteReference w:id="53"/>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Aquella ley del plan está dividida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en 4 títulos: la parte general del PND, el plan de inversiones y presupuestos, los mecanism</w:t>
      </w:r>
      <w:r w:rsidRPr="00F2273F">
        <w:rPr>
          <w:rFonts w:ascii="Times New Roman" w:hAnsi="Times New Roman" w:cs="Times New Roman"/>
          <w:sz w:val="28"/>
          <w:szCs w:val="28"/>
          <w:lang w:eastAsia="es-ES"/>
        </w:rPr>
        <w:t>os de ejecución y otras disposiciones.</w:t>
      </w:r>
      <w:r w:rsidRPr="00F2273F">
        <w:rPr>
          <w:rFonts w:ascii="Times New Roman" w:hAnsi="Times New Roman" w:cs="Times New Roman"/>
          <w:sz w:val="28"/>
          <w:szCs w:val="28"/>
          <w:lang w:eastAsia="es-ES"/>
        </w:rPr>
        <w:t xml:space="preserve"> </w:t>
      </w:r>
    </w:p>
    <w:p w:rsidR="001F4966" w:rsidRPr="00F2273F" w:rsidRDefault="00F2273F" w:rsidP="007A4BF7">
      <w:pPr>
        <w:pStyle w:val="Prrafodelista"/>
        <w:shd w:val="clear" w:color="auto" w:fill="FFFFFF"/>
        <w:spacing w:after="0" w:line="240" w:lineRule="auto"/>
        <w:ind w:left="0" w:right="48"/>
        <w:jc w:val="center"/>
        <w:textAlignment w:val="baseline"/>
        <w:rPr>
          <w:rFonts w:ascii="Times New Roman" w:hAnsi="Times New Roman" w:cs="Times New Roman"/>
          <w:sz w:val="28"/>
          <w:szCs w:val="28"/>
          <w:lang w:eastAsia="es-ES"/>
        </w:rPr>
      </w:pPr>
    </w:p>
    <w:p w:rsidR="007A4BF7" w:rsidRPr="00F2273F" w:rsidRDefault="00F2273F" w:rsidP="007A4BF7">
      <w:pPr>
        <w:pStyle w:val="Prrafodelista"/>
        <w:shd w:val="clear" w:color="auto" w:fill="FFFFFF"/>
        <w:spacing w:after="0" w:line="240" w:lineRule="auto"/>
        <w:ind w:left="0" w:right="48"/>
        <w:jc w:val="center"/>
        <w:textAlignment w:val="baseline"/>
        <w:rPr>
          <w:rFonts w:ascii="Times New Roman" w:hAnsi="Times New Roman" w:cs="Times New Roman"/>
          <w:i/>
          <w:iCs/>
          <w:sz w:val="28"/>
          <w:lang w:eastAsia="es-ES"/>
        </w:rPr>
      </w:pPr>
      <w:r w:rsidRPr="00F2273F">
        <w:rPr>
          <w:rFonts w:ascii="Times New Roman" w:hAnsi="Times New Roman" w:cs="Times New Roman"/>
          <w:b/>
          <w:bCs/>
          <w:sz w:val="28"/>
          <w:lang w:eastAsia="es-ES"/>
        </w:rPr>
        <w:t xml:space="preserve">Tabla </w:t>
      </w:r>
      <w:r w:rsidRPr="00F2273F">
        <w:rPr>
          <w:rFonts w:ascii="Times New Roman" w:hAnsi="Times New Roman" w:cs="Times New Roman"/>
          <w:b/>
          <w:bCs/>
          <w:sz w:val="28"/>
          <w:lang w:eastAsia="es-ES"/>
        </w:rPr>
        <w:t>5</w:t>
      </w:r>
      <w:r w:rsidRPr="00F2273F">
        <w:rPr>
          <w:rFonts w:ascii="Times New Roman" w:hAnsi="Times New Roman" w:cs="Times New Roman"/>
          <w:b/>
          <w:bCs/>
          <w:sz w:val="28"/>
          <w:lang w:eastAsia="es-ES"/>
        </w:rPr>
        <w:t>.</w:t>
      </w:r>
      <w:r w:rsidRPr="00F2273F">
        <w:rPr>
          <w:rFonts w:ascii="Times New Roman" w:hAnsi="Times New Roman" w:cs="Times New Roman"/>
          <w:i/>
          <w:iCs/>
          <w:sz w:val="28"/>
          <w:lang w:eastAsia="es-ES"/>
        </w:rPr>
        <w:t xml:space="preserve"> Contenido del PND 2022-2026</w:t>
      </w:r>
    </w:p>
    <w:tbl>
      <w:tblPr>
        <w:tblStyle w:val="Tablaconcuadrcula"/>
        <w:tblW w:w="8842" w:type="dxa"/>
        <w:tblInd w:w="-5" w:type="dxa"/>
        <w:tblLayout w:type="fixed"/>
        <w:tblLook w:val="04A0" w:firstRow="1" w:lastRow="0" w:firstColumn="1" w:lastColumn="0" w:noHBand="0" w:noVBand="1"/>
      </w:tblPr>
      <w:tblGrid>
        <w:gridCol w:w="1277"/>
        <w:gridCol w:w="3405"/>
        <w:gridCol w:w="4160"/>
      </w:tblGrid>
      <w:tr w:rsidR="00974547" w:rsidRPr="00F2273F" w:rsidTr="29E2283F">
        <w:trPr>
          <w:cantSplit/>
          <w:trHeight w:val="393"/>
        </w:trPr>
        <w:tc>
          <w:tcPr>
            <w:tcW w:w="1277" w:type="dxa"/>
            <w:shd w:val="clear" w:color="auto" w:fill="B4C6E7" w:themeFill="accent1" w:themeFillTint="66"/>
            <w:textDirection w:val="btLr"/>
            <w:vAlign w:val="center"/>
          </w:tcPr>
          <w:p w:rsidR="00D87B79" w:rsidRPr="00F2273F" w:rsidRDefault="00F2273F" w:rsidP="00D87B79">
            <w:pPr>
              <w:jc w:val="center"/>
              <w:rPr>
                <w:sz w:val="28"/>
                <w:szCs w:val="22"/>
              </w:rPr>
            </w:pPr>
          </w:p>
        </w:tc>
        <w:tc>
          <w:tcPr>
            <w:tcW w:w="7565" w:type="dxa"/>
            <w:gridSpan w:val="2"/>
            <w:shd w:val="clear" w:color="auto" w:fill="B4C6E7" w:themeFill="accent1" w:themeFillTint="66"/>
            <w:vAlign w:val="center"/>
          </w:tcPr>
          <w:p w:rsidR="00D87B79" w:rsidRPr="00F2273F" w:rsidRDefault="00F2273F" w:rsidP="00D87B79">
            <w:pPr>
              <w:jc w:val="center"/>
              <w:rPr>
                <w:sz w:val="28"/>
                <w:szCs w:val="22"/>
              </w:rPr>
            </w:pPr>
            <w:r w:rsidRPr="00F2273F">
              <w:rPr>
                <w:b/>
                <w:bCs/>
                <w:sz w:val="28"/>
                <w:szCs w:val="22"/>
              </w:rPr>
              <w:t>CONTENIDO</w:t>
            </w:r>
          </w:p>
        </w:tc>
      </w:tr>
      <w:tr w:rsidR="00974547" w:rsidRPr="00F2273F" w:rsidTr="00B43578">
        <w:trPr>
          <w:cantSplit/>
          <w:trHeight w:val="1026"/>
        </w:trPr>
        <w:tc>
          <w:tcPr>
            <w:tcW w:w="1277" w:type="dxa"/>
            <w:shd w:val="clear" w:color="auto" w:fill="D9E2F3" w:themeFill="accent1" w:themeFillTint="33"/>
            <w:textDirection w:val="btLr"/>
            <w:vAlign w:val="center"/>
          </w:tcPr>
          <w:p w:rsidR="007F0775" w:rsidRPr="00F2273F" w:rsidRDefault="00F2273F" w:rsidP="00D87B79">
            <w:pPr>
              <w:jc w:val="center"/>
              <w:rPr>
                <w:sz w:val="28"/>
                <w:szCs w:val="22"/>
              </w:rPr>
            </w:pPr>
            <w:r w:rsidRPr="00F2273F">
              <w:rPr>
                <w:sz w:val="28"/>
                <w:szCs w:val="22"/>
              </w:rPr>
              <w:t>Título I</w:t>
            </w:r>
          </w:p>
          <w:p w:rsidR="007F0775" w:rsidRPr="00F2273F" w:rsidRDefault="00F2273F" w:rsidP="00D87B79">
            <w:pPr>
              <w:jc w:val="center"/>
              <w:rPr>
                <w:sz w:val="28"/>
                <w:szCs w:val="22"/>
              </w:rPr>
            </w:pPr>
            <w:r w:rsidRPr="00F2273F">
              <w:rPr>
                <w:sz w:val="28"/>
                <w:szCs w:val="22"/>
              </w:rPr>
              <w:t>Parte General</w:t>
            </w:r>
            <w:r w:rsidRPr="00F2273F">
              <w:rPr>
                <w:sz w:val="28"/>
                <w:szCs w:val="22"/>
              </w:rPr>
              <w:t xml:space="preserve"> – Ejes transversales y de transformación</w:t>
            </w:r>
            <w:r w:rsidRPr="00F2273F">
              <w:rPr>
                <w:rStyle w:val="Refdenotaalpie"/>
                <w:sz w:val="28"/>
                <w:szCs w:val="22"/>
              </w:rPr>
              <w:footnoteReference w:id="54"/>
            </w:r>
          </w:p>
        </w:tc>
        <w:tc>
          <w:tcPr>
            <w:tcW w:w="3405" w:type="dxa"/>
            <w:vAlign w:val="center"/>
          </w:tcPr>
          <w:p w:rsidR="007F0775" w:rsidRPr="00F2273F" w:rsidRDefault="00F2273F" w:rsidP="00D87B79">
            <w:pPr>
              <w:rPr>
                <w:sz w:val="28"/>
                <w:szCs w:val="22"/>
              </w:rPr>
            </w:pPr>
            <w:r w:rsidRPr="00F2273F">
              <w:rPr>
                <w:sz w:val="28"/>
                <w:szCs w:val="22"/>
              </w:rPr>
              <w:t>Ejes transversales:</w:t>
            </w:r>
          </w:p>
          <w:p w:rsidR="00823EC0" w:rsidRPr="00F2273F" w:rsidRDefault="00F2273F" w:rsidP="0028298B">
            <w:pPr>
              <w:pStyle w:val="Prrafodelista"/>
              <w:numPr>
                <w:ilvl w:val="0"/>
                <w:numId w:val="7"/>
              </w:numPr>
              <w:ind w:left="311" w:hanging="283"/>
              <w:rPr>
                <w:sz w:val="28"/>
                <w:szCs w:val="22"/>
                <w:lang w:val="es-CO"/>
              </w:rPr>
            </w:pPr>
            <w:r w:rsidRPr="00F2273F">
              <w:rPr>
                <w:sz w:val="28"/>
                <w:szCs w:val="22"/>
              </w:rPr>
              <w:t>Paz total</w:t>
            </w:r>
          </w:p>
          <w:p w:rsidR="00823EC0" w:rsidRPr="00F2273F" w:rsidRDefault="00F2273F" w:rsidP="0028298B">
            <w:pPr>
              <w:pStyle w:val="Prrafodelista"/>
              <w:numPr>
                <w:ilvl w:val="0"/>
                <w:numId w:val="7"/>
              </w:numPr>
              <w:ind w:left="311" w:hanging="283"/>
              <w:rPr>
                <w:sz w:val="28"/>
                <w:szCs w:val="22"/>
                <w:lang w:val="es-CO"/>
              </w:rPr>
            </w:pPr>
            <w:r w:rsidRPr="00F2273F">
              <w:rPr>
                <w:sz w:val="28"/>
                <w:szCs w:val="22"/>
              </w:rPr>
              <w:t>Actores diferenciales para el cambio</w:t>
            </w:r>
          </w:p>
          <w:p w:rsidR="00823EC0" w:rsidRPr="00F2273F" w:rsidRDefault="00F2273F" w:rsidP="0028298B">
            <w:pPr>
              <w:pStyle w:val="Prrafodelista"/>
              <w:numPr>
                <w:ilvl w:val="0"/>
                <w:numId w:val="7"/>
              </w:numPr>
              <w:ind w:left="311" w:hanging="283"/>
              <w:rPr>
                <w:sz w:val="28"/>
                <w:szCs w:val="22"/>
                <w:lang w:val="es-CO"/>
              </w:rPr>
            </w:pPr>
            <w:r w:rsidRPr="00F2273F">
              <w:rPr>
                <w:sz w:val="28"/>
                <w:szCs w:val="22"/>
              </w:rPr>
              <w:t>Estabilidad macroeconómica</w:t>
            </w:r>
          </w:p>
          <w:p w:rsidR="00823EC0" w:rsidRPr="00F2273F" w:rsidRDefault="00F2273F" w:rsidP="0028298B">
            <w:pPr>
              <w:pStyle w:val="Prrafodelista"/>
              <w:numPr>
                <w:ilvl w:val="0"/>
                <w:numId w:val="7"/>
              </w:numPr>
              <w:ind w:left="311" w:hanging="283"/>
              <w:rPr>
                <w:sz w:val="28"/>
                <w:szCs w:val="22"/>
                <w:lang w:val="es-CO"/>
              </w:rPr>
            </w:pPr>
            <w:r w:rsidRPr="00F2273F">
              <w:rPr>
                <w:sz w:val="28"/>
                <w:szCs w:val="22"/>
              </w:rPr>
              <w:t>Política exterior con enfoque de género</w:t>
            </w:r>
          </w:p>
          <w:p w:rsidR="00823EC0" w:rsidRPr="00F2273F" w:rsidRDefault="00F2273F" w:rsidP="00D87B79">
            <w:pPr>
              <w:rPr>
                <w:sz w:val="28"/>
                <w:szCs w:val="22"/>
              </w:rPr>
            </w:pPr>
          </w:p>
        </w:tc>
        <w:tc>
          <w:tcPr>
            <w:tcW w:w="4160" w:type="dxa"/>
            <w:vAlign w:val="center"/>
          </w:tcPr>
          <w:p w:rsidR="007F0775" w:rsidRPr="00F2273F" w:rsidRDefault="00F2273F" w:rsidP="00D87B79">
            <w:pPr>
              <w:rPr>
                <w:sz w:val="28"/>
                <w:szCs w:val="22"/>
              </w:rPr>
            </w:pPr>
            <w:r w:rsidRPr="00F2273F">
              <w:rPr>
                <w:sz w:val="28"/>
                <w:szCs w:val="22"/>
              </w:rPr>
              <w:t>Ejes de transformación:</w:t>
            </w:r>
          </w:p>
          <w:p w:rsidR="00823EC0" w:rsidRPr="00F2273F" w:rsidRDefault="00F2273F" w:rsidP="0028298B">
            <w:pPr>
              <w:pStyle w:val="Prrafodelista"/>
              <w:numPr>
                <w:ilvl w:val="0"/>
                <w:numId w:val="8"/>
              </w:numPr>
              <w:ind w:left="313" w:hanging="283"/>
              <w:rPr>
                <w:sz w:val="28"/>
                <w:szCs w:val="22"/>
                <w:lang w:val="es-CO"/>
              </w:rPr>
            </w:pPr>
            <w:r w:rsidRPr="00F2273F">
              <w:rPr>
                <w:sz w:val="28"/>
                <w:szCs w:val="22"/>
              </w:rPr>
              <w:t>Ordenamiento del territorio alrededor del agua</w:t>
            </w:r>
          </w:p>
          <w:p w:rsidR="00823EC0" w:rsidRPr="00F2273F" w:rsidRDefault="00F2273F" w:rsidP="0028298B">
            <w:pPr>
              <w:pStyle w:val="Prrafodelista"/>
              <w:numPr>
                <w:ilvl w:val="0"/>
                <w:numId w:val="8"/>
              </w:numPr>
              <w:ind w:left="313" w:hanging="283"/>
              <w:rPr>
                <w:sz w:val="28"/>
                <w:szCs w:val="22"/>
                <w:lang w:val="es-CO"/>
              </w:rPr>
            </w:pPr>
            <w:r w:rsidRPr="00F2273F">
              <w:rPr>
                <w:sz w:val="28"/>
                <w:szCs w:val="22"/>
              </w:rPr>
              <w:t>Seguridad humana y justicia social</w:t>
            </w:r>
          </w:p>
          <w:p w:rsidR="00823EC0" w:rsidRPr="00F2273F" w:rsidRDefault="00F2273F" w:rsidP="0028298B">
            <w:pPr>
              <w:pStyle w:val="Prrafodelista"/>
              <w:numPr>
                <w:ilvl w:val="0"/>
                <w:numId w:val="8"/>
              </w:numPr>
              <w:ind w:left="313" w:hanging="283"/>
              <w:rPr>
                <w:sz w:val="28"/>
                <w:szCs w:val="22"/>
                <w:lang w:val="es-CO"/>
              </w:rPr>
            </w:pPr>
            <w:r w:rsidRPr="00F2273F">
              <w:rPr>
                <w:sz w:val="28"/>
                <w:szCs w:val="22"/>
              </w:rPr>
              <w:t>Derecho humano a la alimentación</w:t>
            </w:r>
          </w:p>
          <w:p w:rsidR="00823EC0" w:rsidRPr="00F2273F" w:rsidRDefault="00F2273F" w:rsidP="0028298B">
            <w:pPr>
              <w:pStyle w:val="Prrafodelista"/>
              <w:numPr>
                <w:ilvl w:val="0"/>
                <w:numId w:val="8"/>
              </w:numPr>
              <w:ind w:left="313" w:hanging="283"/>
              <w:rPr>
                <w:sz w:val="28"/>
                <w:szCs w:val="22"/>
                <w:lang w:val="es-CO"/>
              </w:rPr>
            </w:pPr>
            <w:r w:rsidRPr="00F2273F">
              <w:rPr>
                <w:sz w:val="28"/>
                <w:szCs w:val="22"/>
              </w:rPr>
              <w:t>Transformación productiva, internacionalización y acción climática</w:t>
            </w:r>
          </w:p>
          <w:p w:rsidR="00823EC0" w:rsidRPr="00F2273F" w:rsidRDefault="00F2273F" w:rsidP="0028298B">
            <w:pPr>
              <w:pStyle w:val="Prrafodelista"/>
              <w:numPr>
                <w:ilvl w:val="0"/>
                <w:numId w:val="8"/>
              </w:numPr>
              <w:ind w:left="313" w:hanging="283"/>
              <w:rPr>
                <w:sz w:val="28"/>
                <w:szCs w:val="22"/>
                <w:lang w:val="es-CO"/>
              </w:rPr>
            </w:pPr>
            <w:r w:rsidRPr="00F2273F">
              <w:rPr>
                <w:sz w:val="28"/>
                <w:szCs w:val="22"/>
              </w:rPr>
              <w:t>Convergencia regional</w:t>
            </w:r>
          </w:p>
        </w:tc>
      </w:tr>
      <w:tr w:rsidR="00974547" w:rsidRPr="00F2273F" w:rsidTr="00B43578">
        <w:trPr>
          <w:cantSplit/>
          <w:trHeight w:val="1026"/>
        </w:trPr>
        <w:tc>
          <w:tcPr>
            <w:tcW w:w="1277" w:type="dxa"/>
            <w:shd w:val="clear" w:color="auto" w:fill="D9E2F3" w:themeFill="accent1" w:themeFillTint="33"/>
            <w:textDirection w:val="btLr"/>
            <w:vAlign w:val="center"/>
          </w:tcPr>
          <w:p w:rsidR="00823EC0" w:rsidRPr="00F2273F" w:rsidRDefault="00F2273F" w:rsidP="00D87B79">
            <w:pPr>
              <w:jc w:val="center"/>
              <w:rPr>
                <w:sz w:val="28"/>
                <w:szCs w:val="22"/>
              </w:rPr>
            </w:pPr>
            <w:r w:rsidRPr="00F2273F">
              <w:rPr>
                <w:sz w:val="28"/>
                <w:szCs w:val="22"/>
              </w:rPr>
              <w:t>Título II</w:t>
            </w:r>
          </w:p>
          <w:p w:rsidR="00823EC0" w:rsidRPr="00F2273F" w:rsidRDefault="00F2273F" w:rsidP="00D87B79">
            <w:pPr>
              <w:jc w:val="center"/>
              <w:rPr>
                <w:sz w:val="28"/>
                <w:szCs w:val="22"/>
              </w:rPr>
            </w:pPr>
            <w:r w:rsidRPr="00F2273F">
              <w:rPr>
                <w:sz w:val="28"/>
                <w:szCs w:val="22"/>
                <w:lang w:val="es-CO"/>
              </w:rPr>
              <w:t>Plan de Inversiones y Presupuestos Plurianuales</w:t>
            </w:r>
          </w:p>
        </w:tc>
        <w:tc>
          <w:tcPr>
            <w:tcW w:w="7565" w:type="dxa"/>
            <w:gridSpan w:val="2"/>
            <w:vAlign w:val="center"/>
          </w:tcPr>
          <w:p w:rsidR="00823EC0" w:rsidRPr="00F2273F" w:rsidRDefault="00F2273F" w:rsidP="0028298B">
            <w:pPr>
              <w:pStyle w:val="Prrafodelista"/>
              <w:numPr>
                <w:ilvl w:val="0"/>
                <w:numId w:val="9"/>
              </w:numPr>
              <w:ind w:left="311" w:hanging="283"/>
              <w:rPr>
                <w:sz w:val="28"/>
                <w:szCs w:val="22"/>
              </w:rPr>
            </w:pPr>
            <w:r w:rsidRPr="00F2273F">
              <w:rPr>
                <w:sz w:val="28"/>
                <w:szCs w:val="22"/>
              </w:rPr>
              <w:t>Fuentes que financian el Plan de Inversiones Públicas</w:t>
            </w:r>
            <w:r w:rsidRPr="00F2273F">
              <w:rPr>
                <w:sz w:val="28"/>
                <w:szCs w:val="22"/>
              </w:rPr>
              <w:t xml:space="preserve"> [desagregado en </w:t>
            </w:r>
            <w:r w:rsidRPr="00F2273F">
              <w:rPr>
                <w:sz w:val="28"/>
                <w:szCs w:val="22"/>
              </w:rPr>
              <w:t>PGN, SGP, Territoriales, Empresas públicas, SGR y Cooperación]</w:t>
            </w:r>
          </w:p>
          <w:p w:rsidR="00823EC0" w:rsidRPr="00F2273F" w:rsidRDefault="00F2273F" w:rsidP="0028298B">
            <w:pPr>
              <w:pStyle w:val="Prrafodelista"/>
              <w:numPr>
                <w:ilvl w:val="0"/>
                <w:numId w:val="9"/>
              </w:numPr>
              <w:ind w:left="311" w:hanging="283"/>
              <w:rPr>
                <w:sz w:val="28"/>
                <w:szCs w:val="22"/>
              </w:rPr>
            </w:pPr>
            <w:r w:rsidRPr="00F2273F">
              <w:rPr>
                <w:sz w:val="28"/>
                <w:szCs w:val="22"/>
              </w:rPr>
              <w:t xml:space="preserve">Distribución de fuentes públicas por </w:t>
            </w:r>
            <w:r w:rsidRPr="00F2273F">
              <w:rPr>
                <w:sz w:val="28"/>
                <w:szCs w:val="22"/>
              </w:rPr>
              <w:t>transformación</w:t>
            </w:r>
            <w:r w:rsidRPr="00F2273F">
              <w:rPr>
                <w:sz w:val="28"/>
                <w:szCs w:val="22"/>
              </w:rPr>
              <w:t xml:space="preserve"> [discriminado en Seguridad Humana y Justicia Social; Convergencia regional; Transformación productiva, internacionalización y acción climática; Derecho humano a la alimentación; Ordenamiento del territorio alrededor del agua y justicia ambie</w:t>
            </w:r>
            <w:r w:rsidRPr="00F2273F">
              <w:rPr>
                <w:sz w:val="28"/>
                <w:szCs w:val="22"/>
              </w:rPr>
              <w:t>ntal; Estabilidad macroeconómica]</w:t>
            </w:r>
          </w:p>
          <w:p w:rsidR="00823EC0" w:rsidRPr="00F2273F" w:rsidRDefault="00F2273F" w:rsidP="0028298B">
            <w:pPr>
              <w:pStyle w:val="Prrafodelista"/>
              <w:numPr>
                <w:ilvl w:val="0"/>
                <w:numId w:val="9"/>
              </w:numPr>
              <w:ind w:left="311" w:hanging="283"/>
              <w:rPr>
                <w:sz w:val="28"/>
                <w:szCs w:val="22"/>
              </w:rPr>
            </w:pPr>
            <w:r w:rsidRPr="00F2273F">
              <w:rPr>
                <w:sz w:val="28"/>
                <w:szCs w:val="22"/>
              </w:rPr>
              <w:t>Componente de paz en el Plan Nacional de Inversiones 2023-2026</w:t>
            </w:r>
            <w:r w:rsidRPr="00F2273F">
              <w:rPr>
                <w:sz w:val="28"/>
                <w:szCs w:val="22"/>
              </w:rPr>
              <w:t xml:space="preserve"> [discriminado en Seguridad Humana y Justicia Social; Convergencia regional; Derecho Humano a la alimentación; Ordenamiento del territorio alrededor del agua y </w:t>
            </w:r>
            <w:r w:rsidRPr="00F2273F">
              <w:rPr>
                <w:sz w:val="28"/>
                <w:szCs w:val="22"/>
              </w:rPr>
              <w:t>justicia ambiental; Transformación productiva, internacionalización y acción climática; Transversal a las Transformaciones]</w:t>
            </w:r>
          </w:p>
        </w:tc>
      </w:tr>
      <w:tr w:rsidR="00974547" w:rsidRPr="00F2273F" w:rsidTr="00B43578">
        <w:trPr>
          <w:cantSplit/>
          <w:trHeight w:val="1026"/>
        </w:trPr>
        <w:tc>
          <w:tcPr>
            <w:tcW w:w="1277" w:type="dxa"/>
            <w:shd w:val="clear" w:color="auto" w:fill="D9E2F3" w:themeFill="accent1" w:themeFillTint="33"/>
            <w:textDirection w:val="btLr"/>
            <w:vAlign w:val="center"/>
          </w:tcPr>
          <w:p w:rsidR="00D87B79" w:rsidRPr="00F2273F" w:rsidRDefault="00F2273F" w:rsidP="00D87B79">
            <w:pPr>
              <w:jc w:val="center"/>
              <w:rPr>
                <w:sz w:val="28"/>
                <w:szCs w:val="22"/>
              </w:rPr>
            </w:pPr>
            <w:r w:rsidRPr="00F2273F">
              <w:rPr>
                <w:sz w:val="28"/>
                <w:szCs w:val="22"/>
              </w:rPr>
              <w:t>Título III</w:t>
            </w:r>
          </w:p>
          <w:p w:rsidR="00D87B79" w:rsidRPr="00F2273F" w:rsidRDefault="00F2273F" w:rsidP="00D87B79">
            <w:pPr>
              <w:jc w:val="center"/>
              <w:rPr>
                <w:sz w:val="28"/>
                <w:szCs w:val="22"/>
              </w:rPr>
            </w:pPr>
            <w:r w:rsidRPr="00F2273F">
              <w:rPr>
                <w:sz w:val="28"/>
                <w:szCs w:val="22"/>
                <w:lang w:val="es-CO"/>
              </w:rPr>
              <w:t>Mecanismos de ejecución del plan</w:t>
            </w:r>
          </w:p>
        </w:tc>
        <w:tc>
          <w:tcPr>
            <w:tcW w:w="7565" w:type="dxa"/>
            <w:gridSpan w:val="2"/>
            <w:vAlign w:val="center"/>
          </w:tcPr>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Capítulo I - Proyectos, políticas y programas para la construcción de la paz</w:t>
            </w:r>
          </w:p>
          <w:p w:rsidR="00D87B79" w:rsidRPr="00F2273F" w:rsidRDefault="00F2273F" w:rsidP="0028298B">
            <w:pPr>
              <w:pStyle w:val="Prrafodelista"/>
              <w:numPr>
                <w:ilvl w:val="0"/>
                <w:numId w:val="10"/>
              </w:numPr>
              <w:ind w:left="311" w:hanging="283"/>
              <w:rPr>
                <w:sz w:val="28"/>
                <w:szCs w:val="22"/>
                <w:lang w:val="es-ES_tradnl"/>
              </w:rPr>
            </w:pPr>
            <w:r w:rsidRPr="00F2273F">
              <w:rPr>
                <w:sz w:val="28"/>
                <w:szCs w:val="22"/>
                <w:lang w:val="es-ES_tradnl"/>
              </w:rPr>
              <w:t xml:space="preserve">Capítulo </w:t>
            </w:r>
            <w:r w:rsidRPr="00F2273F">
              <w:rPr>
                <w:sz w:val="28"/>
                <w:szCs w:val="22"/>
                <w:lang w:val="es-ES_tradnl"/>
              </w:rPr>
              <w:t>II - Ordenamiento del territorio alrededor del agua y justicia ambiental</w:t>
            </w:r>
          </w:p>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Capítulo III - Seguridad humana y justicia social</w:t>
            </w:r>
          </w:p>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Capítulo IV - Derecho humano a la alimentación</w:t>
            </w:r>
          </w:p>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Capítulo V - Transformación productiva, internacionalización y acción climática</w:t>
            </w:r>
          </w:p>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w:t>
            </w:r>
            <w:r w:rsidRPr="00F2273F">
              <w:rPr>
                <w:sz w:val="28"/>
                <w:szCs w:val="22"/>
                <w:lang w:val="es-CO"/>
              </w:rPr>
              <w:t>lo VI - Convergencia regional</w:t>
            </w:r>
          </w:p>
          <w:p w:rsidR="00D87B79" w:rsidRPr="00F2273F" w:rsidRDefault="00F2273F" w:rsidP="0028298B">
            <w:pPr>
              <w:pStyle w:val="Prrafodelista"/>
              <w:numPr>
                <w:ilvl w:val="0"/>
                <w:numId w:val="10"/>
              </w:numPr>
              <w:ind w:left="311" w:hanging="283"/>
              <w:rPr>
                <w:sz w:val="28"/>
                <w:szCs w:val="22"/>
                <w:lang w:val="es-CO"/>
              </w:rPr>
            </w:pPr>
            <w:r w:rsidRPr="00F2273F">
              <w:rPr>
                <w:sz w:val="28"/>
                <w:szCs w:val="22"/>
                <w:lang w:val="es-CO"/>
              </w:rPr>
              <w:t>Capítulo VII - Estabilidad macroeconómica</w:t>
            </w:r>
          </w:p>
          <w:p w:rsidR="00D87B79" w:rsidRPr="00F2273F" w:rsidRDefault="00F2273F" w:rsidP="0028298B">
            <w:pPr>
              <w:pStyle w:val="Prrafodelista"/>
              <w:numPr>
                <w:ilvl w:val="0"/>
                <w:numId w:val="10"/>
              </w:numPr>
              <w:ind w:left="311" w:hanging="283"/>
              <w:rPr>
                <w:sz w:val="28"/>
                <w:szCs w:val="22"/>
              </w:rPr>
            </w:pPr>
            <w:r w:rsidRPr="00F2273F">
              <w:rPr>
                <w:sz w:val="28"/>
                <w:szCs w:val="22"/>
                <w:lang w:val="es-CO"/>
              </w:rPr>
              <w:t>Capítulo VIII - Actores diferenciales para el cambio</w:t>
            </w:r>
          </w:p>
        </w:tc>
      </w:tr>
      <w:tr w:rsidR="00974547" w:rsidRPr="00F2273F" w:rsidTr="00B43578">
        <w:trPr>
          <w:cantSplit/>
          <w:trHeight w:val="1026"/>
        </w:trPr>
        <w:tc>
          <w:tcPr>
            <w:tcW w:w="1277" w:type="dxa"/>
            <w:shd w:val="clear" w:color="auto" w:fill="D9E2F3" w:themeFill="accent1" w:themeFillTint="33"/>
            <w:textDirection w:val="btLr"/>
            <w:vAlign w:val="center"/>
          </w:tcPr>
          <w:p w:rsidR="00D87B79" w:rsidRPr="00F2273F" w:rsidRDefault="00F2273F" w:rsidP="00D87B79">
            <w:pPr>
              <w:jc w:val="center"/>
              <w:rPr>
                <w:sz w:val="28"/>
                <w:szCs w:val="22"/>
              </w:rPr>
            </w:pPr>
            <w:r w:rsidRPr="00F2273F">
              <w:rPr>
                <w:sz w:val="28"/>
                <w:szCs w:val="22"/>
              </w:rPr>
              <w:t>Título IV</w:t>
            </w:r>
          </w:p>
          <w:p w:rsidR="00D87B79" w:rsidRPr="00F2273F" w:rsidRDefault="00F2273F" w:rsidP="00D87B79">
            <w:pPr>
              <w:jc w:val="center"/>
              <w:rPr>
                <w:sz w:val="28"/>
                <w:szCs w:val="22"/>
              </w:rPr>
            </w:pPr>
            <w:r w:rsidRPr="00F2273F">
              <w:rPr>
                <w:sz w:val="28"/>
                <w:szCs w:val="22"/>
              </w:rPr>
              <w:t>Otras disposiciones</w:t>
            </w:r>
          </w:p>
        </w:tc>
        <w:tc>
          <w:tcPr>
            <w:tcW w:w="7565" w:type="dxa"/>
            <w:gridSpan w:val="2"/>
            <w:vAlign w:val="center"/>
          </w:tcPr>
          <w:p w:rsidR="00D87B79" w:rsidRPr="00F2273F" w:rsidRDefault="00F2273F" w:rsidP="007A4BF7">
            <w:pPr>
              <w:jc w:val="both"/>
              <w:rPr>
                <w:sz w:val="28"/>
                <w:szCs w:val="22"/>
              </w:rPr>
            </w:pPr>
            <w:r w:rsidRPr="00F2273F">
              <w:rPr>
                <w:sz w:val="28"/>
                <w:szCs w:val="22"/>
                <w:lang w:val="es-CO"/>
              </w:rPr>
              <w:t>Contiene a</w:t>
            </w:r>
            <w:r w:rsidRPr="00F2273F">
              <w:rPr>
                <w:sz w:val="28"/>
                <w:szCs w:val="22"/>
                <w:lang w:val="es-CO"/>
              </w:rPr>
              <w:t>rtículos referidos al reconocimiento, apoyo y fortalecimiento de las territorialidades cam</w:t>
            </w:r>
            <w:r w:rsidRPr="00F2273F">
              <w:rPr>
                <w:sz w:val="28"/>
                <w:szCs w:val="22"/>
                <w:lang w:val="es-CO"/>
              </w:rPr>
              <w:t>pesinas, los mecanismos de verificación del cumplimiento del PND, la sujeción al Marco Fiscal de Mediano Plazo, el Sistema General de Participaciones, los programas sociales de Familias y Jóvenes en Acción, el Hospital San Juan de Dios, los caminos vecinal</w:t>
            </w:r>
            <w:r w:rsidRPr="00F2273F">
              <w:rPr>
                <w:sz w:val="28"/>
                <w:szCs w:val="22"/>
                <w:lang w:val="es-CO"/>
              </w:rPr>
              <w:t>es, el Grupo Bicentenario, el método y sistema para la determinación de las tarifas en cabeza del ICA, la Educación para el Trabajo y Desarrollo Humano, y las vigencias y derogatorias de la ley.</w:t>
            </w:r>
          </w:p>
        </w:tc>
      </w:tr>
    </w:tbl>
    <w:p w:rsidR="009B7884" w:rsidRPr="00F2273F" w:rsidRDefault="00F2273F" w:rsidP="00F96AB9">
      <w:pPr>
        <w:pStyle w:val="Prrafodelista"/>
        <w:keepNext/>
        <w:spacing w:after="0" w:line="240" w:lineRule="auto"/>
        <w:ind w:left="0"/>
        <w:mirrorIndents/>
        <w:jc w:val="center"/>
        <w:rPr>
          <w:rFonts w:ascii="Times New Roman" w:hAnsi="Times New Roman" w:cs="Times New Roman"/>
          <w:sz w:val="28"/>
          <w:lang w:eastAsia="es-ES"/>
        </w:rPr>
      </w:pPr>
      <w:r w:rsidRPr="00F2273F">
        <w:rPr>
          <w:rFonts w:ascii="Times New Roman" w:hAnsi="Times New Roman" w:cs="Times New Roman"/>
          <w:sz w:val="28"/>
          <w:lang w:eastAsia="es-ES"/>
        </w:rPr>
        <w:t>Fuente: elaboración propia</w:t>
      </w:r>
    </w:p>
    <w:p w:rsidR="007F0775" w:rsidRPr="00F2273F" w:rsidRDefault="00F2273F" w:rsidP="005E329F">
      <w:pPr>
        <w:pStyle w:val="Prrafodelista"/>
        <w:keepNext/>
        <w:numPr>
          <w:ilvl w:val="0"/>
          <w:numId w:val="3"/>
        </w:numPr>
        <w:spacing w:after="0" w:line="240" w:lineRule="auto"/>
        <w:ind w:left="0" w:firstLine="0"/>
        <w:mirrorIndents/>
        <w:jc w:val="both"/>
        <w:rPr>
          <w:rFonts w:ascii="Times New Roman" w:hAnsi="Times New Roman" w:cs="Times New Roman"/>
          <w:sz w:val="28"/>
          <w:szCs w:val="28"/>
          <w:lang w:eastAsia="es-ES"/>
        </w:rPr>
      </w:pPr>
      <w:r w:rsidRPr="00F2273F">
        <w:rPr>
          <w:rFonts w:ascii="Times New Roman" w:hAnsi="Times New Roman" w:cs="Times New Roman"/>
          <w:sz w:val="28"/>
          <w:szCs w:val="28"/>
          <w:lang w:eastAsia="es-ES"/>
        </w:rPr>
        <w:t>Los apartes</w:t>
      </w:r>
      <w:r w:rsidRPr="00F2273F">
        <w:rPr>
          <w:rFonts w:ascii="Times New Roman" w:hAnsi="Times New Roman" w:cs="Times New Roman"/>
          <w:sz w:val="28"/>
          <w:szCs w:val="28"/>
          <w:lang w:eastAsia="es-ES"/>
        </w:rPr>
        <w:t xml:space="preserve"> acusado</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en este proceso hace</w:t>
      </w:r>
      <w:r w:rsidRPr="00F2273F">
        <w:rPr>
          <w:rFonts w:ascii="Times New Roman" w:hAnsi="Times New Roman" w:cs="Times New Roman"/>
          <w:sz w:val="28"/>
          <w:szCs w:val="28"/>
          <w:lang w:eastAsia="es-ES"/>
        </w:rPr>
        <w:t>n</w:t>
      </w:r>
      <w:r w:rsidRPr="00F2273F">
        <w:rPr>
          <w:rFonts w:ascii="Times New Roman" w:hAnsi="Times New Roman" w:cs="Times New Roman"/>
          <w:sz w:val="28"/>
          <w:szCs w:val="28"/>
          <w:lang w:eastAsia="es-ES"/>
        </w:rPr>
        <w:t xml:space="preserve"> parte del título IV, específicamente </w:t>
      </w:r>
      <w:r w:rsidRPr="00F2273F">
        <w:rPr>
          <w:rFonts w:ascii="Times New Roman" w:hAnsi="Times New Roman" w:cs="Times New Roman"/>
          <w:sz w:val="28"/>
          <w:szCs w:val="28"/>
          <w:lang w:eastAsia="es-ES"/>
        </w:rPr>
        <w:t>d</w:t>
      </w:r>
      <w:r w:rsidRPr="00F2273F">
        <w:rPr>
          <w:rFonts w:ascii="Times New Roman" w:hAnsi="Times New Roman" w:cs="Times New Roman"/>
          <w:sz w:val="28"/>
          <w:szCs w:val="28"/>
          <w:lang w:eastAsia="es-ES"/>
        </w:rPr>
        <w:t>el artículo 372, referido a las vigencias y derogatorias expresas.</w:t>
      </w:r>
    </w:p>
    <w:p w:rsidR="007F0775" w:rsidRPr="00F2273F" w:rsidRDefault="00F2273F" w:rsidP="001277A3">
      <w:pPr>
        <w:pStyle w:val="Prrafodelista"/>
        <w:keepNext/>
        <w:spacing w:after="0" w:line="240" w:lineRule="auto"/>
        <w:mirrorIndents/>
        <w:rPr>
          <w:rFonts w:ascii="Times New Roman" w:hAnsi="Times New Roman" w:cs="Times New Roman"/>
          <w:sz w:val="28"/>
          <w:szCs w:val="28"/>
          <w:lang w:eastAsia="es-ES"/>
        </w:rPr>
      </w:pPr>
    </w:p>
    <w:p w:rsidR="00E21B1C" w:rsidRPr="00F2273F" w:rsidRDefault="00F2273F" w:rsidP="0028298B">
      <w:pPr>
        <w:pStyle w:val="Prrafodelista"/>
        <w:keepNext/>
        <w:numPr>
          <w:ilvl w:val="0"/>
          <w:numId w:val="4"/>
        </w:numPr>
        <w:spacing w:after="0" w:line="240" w:lineRule="auto"/>
        <w:ind w:left="0" w:firstLine="0"/>
        <w:mirrorIndents/>
        <w:jc w:val="both"/>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Principios de consecutividad e identidad flexible en el trámite legislativo</w:t>
      </w:r>
      <w:r w:rsidRPr="00F2273F">
        <w:rPr>
          <w:rFonts w:ascii="Times New Roman" w:eastAsia="Arial Unicode MS" w:hAnsi="Times New Roman" w:cs="Times New Roman"/>
          <w:b/>
          <w:bCs/>
          <w:sz w:val="28"/>
          <w:szCs w:val="28"/>
          <w:u w:color="000000"/>
          <w:bdr w:val="nil"/>
          <w:lang w:val="es-MX"/>
        </w:rPr>
        <w:t xml:space="preserve"> de ley del plan nacional de desarrollo</w:t>
      </w:r>
      <w:r w:rsidRPr="00F2273F">
        <w:rPr>
          <w:rFonts w:ascii="Times New Roman" w:eastAsia="Arial Unicode MS" w:hAnsi="Times New Roman" w:cs="Times New Roman"/>
          <w:b/>
          <w:bCs/>
          <w:sz w:val="28"/>
          <w:szCs w:val="28"/>
          <w:u w:color="000000"/>
          <w:bdr w:val="nil"/>
          <w:lang w:val="es-MX"/>
        </w:rPr>
        <w:t>. Reiteración</w:t>
      </w:r>
      <w:r w:rsidRPr="00F2273F">
        <w:rPr>
          <w:rFonts w:ascii="Times New Roman" w:eastAsia="Arial Unicode MS" w:hAnsi="Times New Roman" w:cs="Times New Roman"/>
          <w:b/>
          <w:bCs/>
          <w:sz w:val="28"/>
          <w:szCs w:val="28"/>
          <w:u w:color="000000"/>
          <w:bdr w:val="nil"/>
          <w:lang w:val="es-MX"/>
        </w:rPr>
        <w:t xml:space="preserve"> de jurisprudencia</w:t>
      </w:r>
    </w:p>
    <w:p w:rsidR="00E21B1C" w:rsidRPr="00F2273F" w:rsidRDefault="00F2273F" w:rsidP="00E21B1C">
      <w:pPr>
        <w:pStyle w:val="Prrafodelista"/>
        <w:keepNext/>
        <w:spacing w:after="0" w:line="240" w:lineRule="auto"/>
        <w:mirrorIndents/>
        <w:rPr>
          <w:rFonts w:ascii="Times New Roman" w:eastAsia="Arial Unicode MS" w:hAnsi="Times New Roman" w:cs="Times New Roman"/>
          <w:sz w:val="28"/>
          <w:szCs w:val="28"/>
          <w:u w:color="000000"/>
          <w:bdr w:val="nil"/>
          <w:lang w:val="es-MX"/>
        </w:rPr>
      </w:pPr>
    </w:p>
    <w:p w:rsidR="00E21B1C"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val="es-ES" w:eastAsia="es-ES"/>
        </w:rPr>
        <w:t>La Constitución adoptó una serie de dispositivos que propenden por la g</w:t>
      </w:r>
      <w:r w:rsidRPr="00F2273F">
        <w:rPr>
          <w:rFonts w:ascii="Times New Roman" w:hAnsi="Times New Roman" w:cs="Times New Roman"/>
          <w:sz w:val="28"/>
          <w:szCs w:val="28"/>
          <w:lang w:val="es-ES" w:eastAsia="es-ES"/>
        </w:rPr>
        <w:t xml:space="preserve">arantía de procesos deliberativos, transparentes, imparciales y reflexivos en la formación de la voluntad </w:t>
      </w:r>
      <w:r w:rsidRPr="00F2273F">
        <w:rPr>
          <w:rFonts w:ascii="Times New Roman" w:hAnsi="Times New Roman" w:cs="Times New Roman"/>
          <w:sz w:val="28"/>
          <w:szCs w:val="28"/>
          <w:lang w:val="es-ES" w:eastAsia="es-ES"/>
        </w:rPr>
        <w:t xml:space="preserve">legislativa </w:t>
      </w:r>
      <w:r w:rsidRPr="00F2273F">
        <w:rPr>
          <w:rFonts w:ascii="Times New Roman" w:hAnsi="Times New Roman" w:cs="Times New Roman"/>
          <w:sz w:val="28"/>
          <w:szCs w:val="28"/>
          <w:lang w:val="es-ES" w:eastAsia="es-ES"/>
        </w:rPr>
        <w:t xml:space="preserve">y </w:t>
      </w:r>
      <w:r w:rsidRPr="00F2273F">
        <w:rPr>
          <w:rFonts w:ascii="Times New Roman" w:hAnsi="Times New Roman" w:cs="Times New Roman"/>
          <w:sz w:val="28"/>
          <w:szCs w:val="28"/>
          <w:lang w:val="es-ES" w:eastAsia="es-ES"/>
        </w:rPr>
        <w:t xml:space="preserve">la </w:t>
      </w:r>
      <w:r w:rsidRPr="00F2273F">
        <w:rPr>
          <w:rFonts w:ascii="Times New Roman" w:hAnsi="Times New Roman" w:cs="Times New Roman"/>
          <w:sz w:val="28"/>
          <w:szCs w:val="28"/>
          <w:lang w:val="es-ES" w:eastAsia="es-ES"/>
        </w:rPr>
        <w:t>creación de normas</w:t>
      </w:r>
      <w:r w:rsidRPr="00F2273F">
        <w:rPr>
          <w:rStyle w:val="Refdenotaalpie"/>
          <w:rFonts w:ascii="Times New Roman" w:hAnsi="Times New Roman" w:cs="Times New Roman"/>
          <w:sz w:val="28"/>
          <w:szCs w:val="28"/>
          <w:lang w:val="es-ES" w:eastAsia="es-ES"/>
        </w:rPr>
        <w:footnoteReference w:id="55"/>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Uno de ellos es el denominado principio de consecutividad, </w:t>
      </w:r>
      <w:r w:rsidRPr="00F2273F">
        <w:rPr>
          <w:rFonts w:ascii="Times New Roman" w:hAnsi="Times New Roman" w:cs="Times New Roman"/>
          <w:sz w:val="28"/>
          <w:szCs w:val="28"/>
          <w:lang w:val="es-ES" w:eastAsia="es-ES"/>
        </w:rPr>
        <w:t xml:space="preserve">según el cual </w:t>
      </w:r>
      <w:r w:rsidRPr="00F2273F">
        <w:rPr>
          <w:rFonts w:ascii="Times New Roman" w:hAnsi="Times New Roman" w:cs="Times New Roman"/>
          <w:sz w:val="28"/>
          <w:szCs w:val="28"/>
          <w:lang w:val="es-ES" w:eastAsia="es-ES"/>
        </w:rPr>
        <w:t xml:space="preserve">la manifestación de la voluntad democrática del </w:t>
      </w:r>
      <w:r w:rsidRPr="00F2273F">
        <w:rPr>
          <w:rFonts w:ascii="Times New Roman" w:hAnsi="Times New Roman" w:cs="Times New Roman"/>
          <w:sz w:val="28"/>
          <w:szCs w:val="28"/>
          <w:lang w:val="es-ES" w:eastAsia="es-ES"/>
        </w:rPr>
        <w:t>legislador</w:t>
      </w:r>
      <w:r w:rsidRPr="00F2273F">
        <w:rPr>
          <w:rFonts w:ascii="Times New Roman" w:hAnsi="Times New Roman" w:cs="Times New Roman"/>
          <w:sz w:val="28"/>
          <w:szCs w:val="28"/>
          <w:lang w:val="es-ES" w:eastAsia="es-ES"/>
        </w:rPr>
        <w:t xml:space="preserve"> sólo se entiende perfeccionada con la realización de los debates exigidos por la Carta </w:t>
      </w:r>
      <w:r w:rsidRPr="00F2273F">
        <w:rPr>
          <w:rFonts w:ascii="Times New Roman" w:hAnsi="Times New Roman" w:cs="Times New Roman"/>
          <w:sz w:val="28"/>
          <w:szCs w:val="28"/>
          <w:lang w:val="es-ES" w:eastAsia="es-ES"/>
        </w:rPr>
        <w:t xml:space="preserve">y </w:t>
      </w:r>
      <w:r w:rsidRPr="00F2273F">
        <w:rPr>
          <w:rFonts w:ascii="Times New Roman" w:hAnsi="Times New Roman" w:cs="Times New Roman"/>
          <w:sz w:val="28"/>
          <w:szCs w:val="28"/>
          <w:lang w:val="es-ES" w:eastAsia="es-ES"/>
        </w:rPr>
        <w:t xml:space="preserve">por las normas orgánicas que la desarrollan, </w:t>
      </w:r>
      <w:r w:rsidRPr="00F2273F">
        <w:rPr>
          <w:rFonts w:ascii="Times New Roman" w:hAnsi="Times New Roman" w:cs="Times New Roman"/>
          <w:sz w:val="28"/>
          <w:szCs w:val="28"/>
          <w:lang w:val="es-ES" w:eastAsia="es-ES"/>
        </w:rPr>
        <w:t>de manera que</w:t>
      </w:r>
      <w:r w:rsidRPr="00F2273F">
        <w:rPr>
          <w:rFonts w:ascii="Times New Roman" w:hAnsi="Times New Roman" w:cs="Times New Roman"/>
          <w:sz w:val="28"/>
          <w:szCs w:val="28"/>
          <w:lang w:val="es-ES" w:eastAsia="es-ES"/>
        </w:rPr>
        <w:t xml:space="preserve"> </w:t>
      </w:r>
      <w:r w:rsidRPr="00F2273F">
        <w:rPr>
          <w:rFonts w:ascii="Times New Roman" w:hAnsi="Times New Roman" w:cs="Times New Roman"/>
          <w:sz w:val="28"/>
          <w:szCs w:val="28"/>
          <w:lang w:val="es-ES" w:eastAsia="es-ES"/>
        </w:rPr>
        <w:t>únicamente</w:t>
      </w:r>
      <w:r w:rsidRPr="00F2273F">
        <w:rPr>
          <w:rFonts w:ascii="Times New Roman" w:hAnsi="Times New Roman" w:cs="Times New Roman"/>
          <w:sz w:val="28"/>
          <w:szCs w:val="28"/>
          <w:lang w:val="es-ES" w:eastAsia="es-ES"/>
        </w:rPr>
        <w:t xml:space="preserve"> </w:t>
      </w:r>
      <w:r w:rsidRPr="00F2273F">
        <w:rPr>
          <w:rFonts w:ascii="Times New Roman" w:hAnsi="Times New Roman" w:cs="Times New Roman"/>
          <w:sz w:val="28"/>
          <w:szCs w:val="28"/>
          <w:lang w:val="es-ES" w:eastAsia="es-ES"/>
        </w:rPr>
        <w:t>aquellos</w:t>
      </w:r>
      <w:r w:rsidRPr="00F2273F">
        <w:rPr>
          <w:rFonts w:ascii="Times New Roman" w:hAnsi="Times New Roman" w:cs="Times New Roman"/>
          <w:sz w:val="28"/>
          <w:szCs w:val="28"/>
          <w:lang w:val="es-ES" w:eastAsia="es-ES"/>
        </w:rPr>
        <w:t xml:space="preserve"> textos normativos que los superan </w:t>
      </w:r>
      <w:r w:rsidRPr="00F2273F">
        <w:rPr>
          <w:rFonts w:ascii="Times New Roman" w:hAnsi="Times New Roman" w:cs="Times New Roman"/>
          <w:sz w:val="28"/>
          <w:szCs w:val="28"/>
          <w:lang w:val="es-ES" w:eastAsia="es-ES"/>
        </w:rPr>
        <w:t>se considerarán</w:t>
      </w:r>
      <w:r w:rsidRPr="00F2273F">
        <w:rPr>
          <w:rFonts w:ascii="Times New Roman" w:hAnsi="Times New Roman" w:cs="Times New Roman"/>
          <w:sz w:val="28"/>
          <w:szCs w:val="28"/>
          <w:lang w:val="es-ES" w:eastAsia="es-ES"/>
        </w:rPr>
        <w:t xml:space="preserve"> leyes válidamente expedidas por el Congreso de la República</w:t>
      </w:r>
      <w:r w:rsidRPr="00F2273F">
        <w:rPr>
          <w:rStyle w:val="Refdenotaalpie"/>
          <w:rFonts w:ascii="Times New Roman" w:hAnsi="Times New Roman" w:cs="Times New Roman"/>
          <w:sz w:val="28"/>
          <w:szCs w:val="28"/>
          <w:lang w:val="es-ES" w:eastAsia="es-ES"/>
        </w:rPr>
        <w:footnoteReference w:id="56"/>
      </w:r>
      <w:r w:rsidRPr="00F2273F">
        <w:rPr>
          <w:rFonts w:ascii="Times New Roman" w:hAnsi="Times New Roman" w:cs="Times New Roman"/>
          <w:sz w:val="28"/>
          <w:szCs w:val="28"/>
          <w:lang w:val="es-ES" w:eastAsia="es-ES"/>
        </w:rPr>
        <w:t>.</w:t>
      </w:r>
    </w:p>
    <w:p w:rsidR="00E21B1C" w:rsidRPr="00F2273F" w:rsidRDefault="00F2273F" w:rsidP="00E21B1C">
      <w:pPr>
        <w:pStyle w:val="Prrafodelista"/>
        <w:shd w:val="clear" w:color="auto" w:fill="FFFFFF"/>
        <w:spacing w:after="0" w:line="240" w:lineRule="auto"/>
        <w:ind w:left="0" w:right="48"/>
        <w:jc w:val="both"/>
        <w:textAlignment w:val="baseline"/>
        <w:rPr>
          <w:rFonts w:ascii="Times New Roman" w:hAnsi="Times New Roman" w:cs="Times New Roman"/>
          <w:sz w:val="28"/>
          <w:szCs w:val="28"/>
          <w:lang w:val="es-ES" w:eastAsia="es-ES"/>
        </w:rPr>
      </w:pPr>
    </w:p>
    <w:p w:rsidR="00BE67FF"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val="es-ES" w:eastAsia="es-ES"/>
        </w:rPr>
        <w:t xml:space="preserve">Este principio, establecido en el </w:t>
      </w:r>
      <w:r w:rsidRPr="00F2273F">
        <w:rPr>
          <w:rFonts w:ascii="Times New Roman" w:hAnsi="Times New Roman" w:cs="Times New Roman"/>
          <w:sz w:val="28"/>
          <w:szCs w:val="28"/>
          <w:lang w:val="es-ES" w:eastAsia="es-ES"/>
        </w:rPr>
        <w:t>art</w:t>
      </w:r>
      <w:r w:rsidRPr="00F2273F">
        <w:rPr>
          <w:rFonts w:ascii="Times New Roman" w:hAnsi="Times New Roman" w:cs="Times New Roman"/>
          <w:sz w:val="28"/>
          <w:szCs w:val="28"/>
          <w:lang w:val="es-ES" w:eastAsia="es-ES"/>
        </w:rPr>
        <w:t>ículo</w:t>
      </w:r>
      <w:r w:rsidRPr="00F2273F">
        <w:rPr>
          <w:rFonts w:ascii="Times New Roman" w:hAnsi="Times New Roman" w:cs="Times New Roman"/>
          <w:sz w:val="28"/>
          <w:szCs w:val="28"/>
          <w:lang w:val="es-ES" w:eastAsia="es-ES"/>
        </w:rPr>
        <w:t xml:space="preserve"> 157</w:t>
      </w:r>
      <w:r w:rsidRPr="00F2273F">
        <w:rPr>
          <w:rFonts w:ascii="Times New Roman" w:hAnsi="Times New Roman" w:cs="Times New Roman"/>
          <w:sz w:val="28"/>
          <w:szCs w:val="28"/>
          <w:lang w:val="es-ES" w:eastAsia="es-ES"/>
        </w:rPr>
        <w:t xml:space="preserve"> </w:t>
      </w:r>
      <w:r w:rsidRPr="00F2273F">
        <w:rPr>
          <w:rFonts w:ascii="Times New Roman" w:hAnsi="Times New Roman" w:cs="Times New Roman"/>
          <w:sz w:val="28"/>
          <w:szCs w:val="28"/>
          <w:lang w:val="es-ES" w:eastAsia="es-ES"/>
        </w:rPr>
        <w:t>de la Constitució</w:t>
      </w:r>
      <w:r w:rsidRPr="00F2273F">
        <w:rPr>
          <w:rFonts w:ascii="Times New Roman" w:hAnsi="Times New Roman" w:cs="Times New Roman"/>
          <w:sz w:val="28"/>
          <w:szCs w:val="28"/>
          <w:lang w:val="es-ES" w:eastAsia="es-ES"/>
        </w:rPr>
        <w:t>n</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se orienta a garantizar la deliberación de las iniciativas. </w:t>
      </w:r>
      <w:r w:rsidRPr="00F2273F">
        <w:rPr>
          <w:rFonts w:ascii="Times New Roman" w:hAnsi="Times New Roman" w:cs="Times New Roman"/>
          <w:sz w:val="28"/>
          <w:szCs w:val="28"/>
          <w:lang w:val="es-ES" w:eastAsia="es-ES"/>
        </w:rPr>
        <w:t xml:space="preserve">Impone </w:t>
      </w:r>
      <w:r w:rsidRPr="00F2273F">
        <w:rPr>
          <w:rFonts w:ascii="Times New Roman" w:hAnsi="Times New Roman" w:cs="Times New Roman"/>
          <w:sz w:val="28"/>
          <w:szCs w:val="28"/>
          <w:lang w:val="es-ES" w:eastAsia="es-ES"/>
        </w:rPr>
        <w:t xml:space="preserve">que </w:t>
      </w:r>
      <w:r w:rsidRPr="00F2273F">
        <w:rPr>
          <w:rFonts w:ascii="Times New Roman" w:hAnsi="Times New Roman" w:cs="Times New Roman"/>
          <w:sz w:val="28"/>
          <w:szCs w:val="28"/>
          <w:lang w:eastAsia="es-ES"/>
        </w:rPr>
        <w:t xml:space="preserve">ningún proyecto se convierte en ley sin (i) su publicación oficial por el Congreso antes del inicio del trámite legislativo; (ii) ser aprobado en la comisión constitucional </w:t>
      </w:r>
      <w:r w:rsidRPr="00F2273F">
        <w:rPr>
          <w:rFonts w:ascii="Times New Roman" w:hAnsi="Times New Roman" w:cs="Times New Roman"/>
          <w:sz w:val="28"/>
          <w:szCs w:val="28"/>
          <w:lang w:eastAsia="es-ES"/>
        </w:rPr>
        <w:t>permanente de la Cámara y el Senado en primer debate; (iii) ser aprobado por la plenaria de la Cámara y el Senado en segundo debate; y (iv) obtener la sanción del Gobierno nacional</w:t>
      </w:r>
      <w:r w:rsidRPr="00F2273F">
        <w:rPr>
          <w:rStyle w:val="Refdenotaalpie"/>
          <w:rFonts w:ascii="Times New Roman" w:hAnsi="Times New Roman" w:cs="Times New Roman"/>
          <w:sz w:val="28"/>
          <w:szCs w:val="28"/>
          <w:lang w:eastAsia="es-ES"/>
        </w:rPr>
        <w:footnoteReference w:id="57"/>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val="es-ES" w:eastAsia="es-ES"/>
        </w:rPr>
        <w:t xml:space="preserve"> </w:t>
      </w:r>
      <w:r w:rsidRPr="00F2273F">
        <w:rPr>
          <w:rFonts w:ascii="Times New Roman" w:hAnsi="Times New Roman" w:cs="Times New Roman"/>
          <w:sz w:val="28"/>
          <w:szCs w:val="28"/>
          <w:lang w:val="es-ES" w:eastAsia="es-ES"/>
        </w:rPr>
        <w:t xml:space="preserve">En la práctica esto significa que, por regla general, </w:t>
      </w:r>
      <w:r w:rsidRPr="00F2273F">
        <w:rPr>
          <w:rFonts w:ascii="Times New Roman" w:hAnsi="Times New Roman" w:cs="Times New Roman"/>
          <w:sz w:val="28"/>
          <w:szCs w:val="28"/>
          <w:lang w:eastAsia="es-ES"/>
        </w:rPr>
        <w:t>la aprobación de un</w:t>
      </w:r>
      <w:r w:rsidRPr="00F2273F">
        <w:rPr>
          <w:rFonts w:ascii="Times New Roman" w:hAnsi="Times New Roman" w:cs="Times New Roman"/>
          <w:sz w:val="28"/>
          <w:szCs w:val="28"/>
          <w:lang w:eastAsia="es-ES"/>
        </w:rPr>
        <w:t xml:space="preserve"> proyecto de ley </w:t>
      </w:r>
      <w:r w:rsidRPr="00F2273F">
        <w:rPr>
          <w:rFonts w:ascii="Times New Roman" w:hAnsi="Times New Roman" w:cs="Times New Roman"/>
          <w:sz w:val="28"/>
          <w:szCs w:val="28"/>
          <w:lang w:eastAsia="es-ES"/>
        </w:rPr>
        <w:t xml:space="preserve">ocurre </w:t>
      </w:r>
      <w:r w:rsidRPr="00F2273F">
        <w:rPr>
          <w:rFonts w:ascii="Times New Roman" w:hAnsi="Times New Roman" w:cs="Times New Roman"/>
          <w:sz w:val="28"/>
          <w:szCs w:val="28"/>
          <w:lang w:eastAsia="es-ES"/>
        </w:rPr>
        <w:t xml:space="preserve">luego de surtidos cuatro debates, en forma ordenada y sucesiva: el primer debate en la comisión constitucional permanente </w:t>
      </w:r>
      <w:r w:rsidRPr="00F2273F">
        <w:rPr>
          <w:rFonts w:ascii="Times New Roman" w:hAnsi="Times New Roman" w:cs="Times New Roman"/>
          <w:sz w:val="28"/>
          <w:szCs w:val="28"/>
          <w:lang w:eastAsia="es-ES"/>
        </w:rPr>
        <w:t>de</w:t>
      </w:r>
      <w:r w:rsidRPr="00F2273F">
        <w:rPr>
          <w:rFonts w:ascii="Times New Roman" w:hAnsi="Times New Roman" w:cs="Times New Roman"/>
          <w:sz w:val="28"/>
          <w:szCs w:val="28"/>
          <w:lang w:eastAsia="es-ES"/>
        </w:rPr>
        <w:t xml:space="preserve"> la cámara en la cual el proyecto tiene origen; seguidamente, el segundo debate </w:t>
      </w:r>
      <w:r w:rsidRPr="00F2273F">
        <w:rPr>
          <w:rFonts w:ascii="Times New Roman" w:hAnsi="Times New Roman" w:cs="Times New Roman"/>
          <w:sz w:val="28"/>
          <w:szCs w:val="28"/>
          <w:lang w:eastAsia="es-ES"/>
        </w:rPr>
        <w:t xml:space="preserve">debe surtirse </w:t>
      </w:r>
      <w:r w:rsidRPr="00F2273F">
        <w:rPr>
          <w:rFonts w:ascii="Times New Roman" w:hAnsi="Times New Roman" w:cs="Times New Roman"/>
          <w:sz w:val="28"/>
          <w:szCs w:val="28"/>
          <w:lang w:eastAsia="es-ES"/>
        </w:rPr>
        <w:t>en la plenaria</w:t>
      </w:r>
      <w:r w:rsidRPr="00F2273F">
        <w:rPr>
          <w:rFonts w:ascii="Times New Roman" w:hAnsi="Times New Roman" w:cs="Times New Roman"/>
          <w:sz w:val="28"/>
          <w:szCs w:val="28"/>
          <w:lang w:eastAsia="es-ES"/>
        </w:rPr>
        <w:t xml:space="preserve"> de esa misma corporación; el primer debate subsiguiente en la comisión constitucional permanente homóloga de la otra cámara; y, finalmente, el segundo debate ulterior en la plenaria de esta segunda corporación</w:t>
      </w:r>
      <w:r w:rsidRPr="00F2273F">
        <w:rPr>
          <w:rStyle w:val="Refdenotaalpie"/>
          <w:rFonts w:ascii="Times New Roman" w:hAnsi="Times New Roman" w:cs="Times New Roman"/>
          <w:sz w:val="28"/>
          <w:szCs w:val="28"/>
          <w:lang w:eastAsia="es-ES"/>
        </w:rPr>
        <w:footnoteReference w:id="58"/>
      </w:r>
      <w:r w:rsidRPr="00F2273F">
        <w:rPr>
          <w:rFonts w:ascii="Times New Roman" w:hAnsi="Times New Roman" w:cs="Times New Roman"/>
          <w:sz w:val="28"/>
          <w:szCs w:val="28"/>
          <w:lang w:eastAsia="es-ES"/>
        </w:rPr>
        <w:t xml:space="preserve">. </w:t>
      </w:r>
    </w:p>
    <w:p w:rsidR="002C0995" w:rsidRPr="00F2273F" w:rsidRDefault="00F2273F" w:rsidP="002C0995">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E21B1C" w:rsidRPr="00F2273F" w:rsidRDefault="00F2273F" w:rsidP="00057F28">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eastAsia="es-ES"/>
        </w:rPr>
        <w:t xml:space="preserve">La excepción a esta regla </w:t>
      </w:r>
      <w:r w:rsidRPr="00F2273F">
        <w:rPr>
          <w:rFonts w:ascii="Times New Roman" w:hAnsi="Times New Roman" w:cs="Times New Roman"/>
          <w:sz w:val="28"/>
          <w:szCs w:val="28"/>
          <w:lang w:eastAsia="es-ES"/>
        </w:rPr>
        <w:t xml:space="preserve">opera en casos </w:t>
      </w:r>
      <w:r w:rsidRPr="00F2273F">
        <w:rPr>
          <w:rFonts w:ascii="Times New Roman" w:hAnsi="Times New Roman" w:cs="Times New Roman"/>
          <w:sz w:val="28"/>
          <w:szCs w:val="28"/>
          <w:lang w:eastAsia="es-ES"/>
        </w:rPr>
        <w:t>en los que</w:t>
      </w:r>
      <w:r w:rsidRPr="00F2273F">
        <w:rPr>
          <w:rFonts w:ascii="Times New Roman" w:hAnsi="Times New Roman" w:cs="Times New Roman"/>
          <w:sz w:val="28"/>
          <w:szCs w:val="28"/>
          <w:lang w:eastAsia="es-ES"/>
        </w:rPr>
        <w:t xml:space="preserve"> la misma Constitución Política exija o admita que el primer debate se surta en sesiones conjuntas de las comisiones constitucionales permanentes. Es el caso de </w:t>
      </w:r>
      <w:r w:rsidRPr="00F2273F">
        <w:rPr>
          <w:rFonts w:ascii="Times New Roman" w:hAnsi="Times New Roman" w:cs="Times New Roman"/>
          <w:sz w:val="28"/>
          <w:szCs w:val="28"/>
          <w:lang w:eastAsia="es-ES"/>
        </w:rPr>
        <w:t>exigencia contenida en la Ley Orgánica 152 de 1994</w:t>
      </w:r>
      <w:r w:rsidRPr="00F2273F">
        <w:rPr>
          <w:rFonts w:ascii="Times New Roman" w:hAnsi="Times New Roman" w:cs="Times New Roman"/>
          <w:sz w:val="28"/>
          <w:szCs w:val="28"/>
          <w:lang w:eastAsia="es-ES"/>
        </w:rPr>
        <w:t xml:space="preserve">, según la cual las comisiones de </w:t>
      </w:r>
      <w:r w:rsidRPr="00F2273F">
        <w:rPr>
          <w:rFonts w:ascii="Times New Roman" w:hAnsi="Times New Roman" w:cs="Times New Roman"/>
          <w:sz w:val="28"/>
          <w:szCs w:val="28"/>
          <w:lang w:eastAsia="es-ES"/>
        </w:rPr>
        <w:t>asuntos económicos de las dos cámaras deliberarán en forma conjunta para dar primer debate al proyecto de ley que contenga el plan nacional de desarrollo.</w:t>
      </w:r>
    </w:p>
    <w:p w:rsidR="00057F28" w:rsidRPr="00F2273F" w:rsidRDefault="00F2273F" w:rsidP="00057F28">
      <w:pPr>
        <w:pStyle w:val="Prrafodelista"/>
        <w:shd w:val="clear" w:color="auto" w:fill="FFFFFF"/>
        <w:spacing w:after="0" w:line="240" w:lineRule="auto"/>
        <w:ind w:left="0" w:right="48"/>
        <w:jc w:val="both"/>
        <w:textAlignment w:val="baseline"/>
        <w:rPr>
          <w:rFonts w:ascii="Times New Roman" w:hAnsi="Times New Roman" w:cs="Times New Roman"/>
          <w:sz w:val="28"/>
          <w:szCs w:val="28"/>
          <w:lang w:val="es-ES" w:eastAsia="es-ES"/>
        </w:rPr>
      </w:pPr>
    </w:p>
    <w:p w:rsidR="005D2DB9"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val="es-ES" w:eastAsia="es-ES"/>
        </w:rPr>
        <w:t>L</w:t>
      </w:r>
      <w:r w:rsidRPr="00F2273F">
        <w:rPr>
          <w:rFonts w:ascii="Times New Roman" w:hAnsi="Times New Roman" w:cs="Times New Roman"/>
          <w:sz w:val="28"/>
          <w:szCs w:val="28"/>
          <w:lang w:val="es-ES" w:eastAsia="es-ES"/>
        </w:rPr>
        <w:t>a interpretación y aplicación del artículo 157 de la Constitución no es rígida, pues la imposibilid</w:t>
      </w:r>
      <w:r w:rsidRPr="00F2273F">
        <w:rPr>
          <w:rFonts w:ascii="Times New Roman" w:hAnsi="Times New Roman" w:cs="Times New Roman"/>
          <w:sz w:val="28"/>
          <w:szCs w:val="28"/>
          <w:lang w:val="es-ES" w:eastAsia="es-ES"/>
        </w:rPr>
        <w:t xml:space="preserve">ad de introducir modificaciones a los proyectos de ley radicados ante el </w:t>
      </w:r>
      <w:r w:rsidRPr="00F2273F">
        <w:rPr>
          <w:rFonts w:ascii="Times New Roman" w:hAnsi="Times New Roman" w:cs="Times New Roman"/>
          <w:sz w:val="28"/>
          <w:szCs w:val="28"/>
          <w:lang w:val="es-ES" w:eastAsia="es-ES"/>
        </w:rPr>
        <w:t xml:space="preserve">legislativo </w:t>
      </w:r>
      <w:r w:rsidRPr="00F2273F">
        <w:rPr>
          <w:rFonts w:ascii="Times New Roman" w:hAnsi="Times New Roman" w:cs="Times New Roman"/>
          <w:sz w:val="28"/>
          <w:szCs w:val="28"/>
          <w:lang w:val="es-ES" w:eastAsia="es-ES"/>
        </w:rPr>
        <w:t xml:space="preserve">implicaría una limitación a la deliberación propia de los escenarios </w:t>
      </w:r>
      <w:r w:rsidRPr="00F2273F">
        <w:rPr>
          <w:rFonts w:ascii="Times New Roman" w:hAnsi="Times New Roman" w:cs="Times New Roman"/>
          <w:sz w:val="28"/>
          <w:szCs w:val="28"/>
          <w:lang w:val="es-ES" w:eastAsia="es-ES"/>
        </w:rPr>
        <w:t>democráticos</w:t>
      </w:r>
      <w:r w:rsidRPr="00F2273F">
        <w:rPr>
          <w:rFonts w:ascii="Times New Roman" w:hAnsi="Times New Roman" w:cs="Times New Roman"/>
          <w:sz w:val="28"/>
          <w:szCs w:val="28"/>
          <w:lang w:val="es-ES" w:eastAsia="es-ES"/>
        </w:rPr>
        <w:t xml:space="preserve">. </w:t>
      </w:r>
      <w:r w:rsidRPr="00F2273F">
        <w:rPr>
          <w:rFonts w:ascii="Times New Roman" w:hAnsi="Times New Roman" w:cs="Times New Roman"/>
          <w:sz w:val="28"/>
          <w:szCs w:val="28"/>
          <w:lang w:val="es-ES" w:eastAsia="es-ES"/>
        </w:rPr>
        <w:t>Así,</w:t>
      </w:r>
      <w:r w:rsidRPr="00F2273F">
        <w:rPr>
          <w:rFonts w:ascii="Times New Roman" w:hAnsi="Times New Roman" w:cs="Times New Roman"/>
          <w:sz w:val="28"/>
          <w:szCs w:val="28"/>
          <w:lang w:val="es-ES" w:eastAsia="es-ES"/>
        </w:rPr>
        <w:t xml:space="preserve"> el referido artículo 157 se debe leer de manera armónica con el artículo 160</w:t>
      </w:r>
      <w:r w:rsidRPr="00F2273F">
        <w:rPr>
          <w:rFonts w:ascii="Times New Roman" w:hAnsi="Times New Roman" w:cs="Times New Roman"/>
          <w:sz w:val="28"/>
          <w:szCs w:val="28"/>
          <w:lang w:val="es-ES" w:eastAsia="es-ES"/>
        </w:rPr>
        <w:t xml:space="preserve"> superi</w:t>
      </w:r>
      <w:r w:rsidRPr="00F2273F">
        <w:rPr>
          <w:rFonts w:ascii="Times New Roman" w:hAnsi="Times New Roman" w:cs="Times New Roman"/>
          <w:sz w:val="28"/>
          <w:szCs w:val="28"/>
          <w:lang w:val="es-ES" w:eastAsia="es-ES"/>
        </w:rPr>
        <w:t>or</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e</w:t>
      </w:r>
      <w:r w:rsidRPr="00F2273F">
        <w:rPr>
          <w:rFonts w:ascii="Times New Roman" w:hAnsi="Times New Roman" w:cs="Times New Roman"/>
          <w:sz w:val="28"/>
          <w:szCs w:val="28"/>
          <w:lang w:val="es-ES" w:eastAsia="es-ES"/>
        </w:rPr>
        <w:t>n concreto,</w:t>
      </w:r>
      <w:r w:rsidRPr="00F2273F">
        <w:rPr>
          <w:rFonts w:ascii="Times New Roman" w:hAnsi="Times New Roman" w:cs="Times New Roman"/>
          <w:sz w:val="28"/>
          <w:szCs w:val="28"/>
          <w:lang w:val="es-ES" w:eastAsia="es-ES"/>
        </w:rPr>
        <w:t xml:space="preserve"> con</w:t>
      </w:r>
      <w:r w:rsidRPr="00F2273F">
        <w:rPr>
          <w:rFonts w:ascii="Times New Roman" w:hAnsi="Times New Roman" w:cs="Times New Roman"/>
          <w:sz w:val="28"/>
          <w:szCs w:val="28"/>
          <w:lang w:val="es-ES" w:eastAsia="es-ES"/>
        </w:rPr>
        <w:t xml:space="preserve"> e</w:t>
      </w:r>
      <w:r w:rsidRPr="00F2273F">
        <w:rPr>
          <w:rFonts w:ascii="Times New Roman" w:hAnsi="Times New Roman" w:cs="Times New Roman"/>
          <w:sz w:val="28"/>
          <w:szCs w:val="28"/>
          <w:lang w:val="es-ES" w:eastAsia="es-ES"/>
        </w:rPr>
        <w:t>l principio de identidad flexible</w:t>
      </w:r>
      <w:r w:rsidRPr="00F2273F">
        <w:rPr>
          <w:rFonts w:ascii="Times New Roman" w:hAnsi="Times New Roman" w:cs="Times New Roman"/>
          <w:sz w:val="28"/>
          <w:szCs w:val="28"/>
          <w:lang w:val="es-ES" w:eastAsia="es-ES"/>
        </w:rPr>
        <w:t xml:space="preserve"> para determinar un</w:t>
      </w:r>
      <w:r w:rsidRPr="00F2273F">
        <w:rPr>
          <w:rFonts w:ascii="Times New Roman" w:hAnsi="Times New Roman" w:cs="Times New Roman"/>
          <w:sz w:val="28"/>
          <w:szCs w:val="28"/>
          <w:lang w:val="es-ES" w:eastAsia="es-ES"/>
        </w:rPr>
        <w:t xml:space="preserve"> vínculo razonable </w:t>
      </w:r>
      <w:r w:rsidRPr="00F2273F">
        <w:rPr>
          <w:rFonts w:ascii="Times New Roman" w:hAnsi="Times New Roman" w:cs="Times New Roman"/>
          <w:sz w:val="28"/>
          <w:szCs w:val="28"/>
          <w:lang w:val="es-ES" w:eastAsia="es-ES"/>
        </w:rPr>
        <w:t>entre la norma que se estudia y</w:t>
      </w:r>
      <w:r w:rsidRPr="00F2273F">
        <w:rPr>
          <w:rFonts w:ascii="Times New Roman" w:hAnsi="Times New Roman" w:cs="Times New Roman"/>
          <w:sz w:val="28"/>
          <w:szCs w:val="28"/>
          <w:lang w:val="es-ES" w:eastAsia="es-ES"/>
        </w:rPr>
        <w:t xml:space="preserve"> el tema aprobado en el primer debate</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y que </w:t>
      </w:r>
      <w:r w:rsidRPr="00F2273F">
        <w:rPr>
          <w:rFonts w:ascii="Times New Roman" w:hAnsi="Times New Roman" w:cs="Times New Roman"/>
          <w:sz w:val="28"/>
          <w:szCs w:val="28"/>
          <w:lang w:val="es-ES" w:eastAsia="es-ES"/>
        </w:rPr>
        <w:t xml:space="preserve">persigue que el proyecto de ley se conserve sustancialmente a lo largo del procedimiento legislativo, </w:t>
      </w:r>
      <w:r w:rsidRPr="00F2273F">
        <w:rPr>
          <w:rFonts w:ascii="Times New Roman" w:hAnsi="Times New Roman" w:cs="Times New Roman"/>
          <w:sz w:val="28"/>
          <w:szCs w:val="28"/>
          <w:lang w:val="es-ES" w:eastAsia="es-ES"/>
        </w:rPr>
        <w:t xml:space="preserve">es decir, </w:t>
      </w:r>
      <w:r w:rsidRPr="00F2273F">
        <w:rPr>
          <w:rFonts w:ascii="Times New Roman" w:hAnsi="Times New Roman" w:cs="Times New Roman"/>
          <w:sz w:val="28"/>
          <w:szCs w:val="28"/>
          <w:lang w:val="es-ES" w:eastAsia="es-ES"/>
        </w:rPr>
        <w:t>no frente a cada una de las regulaciones y el detalle de su contenido, sino frente al sentido general de la iniciativa</w:t>
      </w:r>
      <w:r w:rsidRPr="00F2273F">
        <w:rPr>
          <w:rStyle w:val="Refdenotaalpie"/>
          <w:rFonts w:ascii="Times New Roman" w:hAnsi="Times New Roman" w:cs="Times New Roman"/>
          <w:sz w:val="28"/>
          <w:szCs w:val="28"/>
          <w:lang w:val="es-ES" w:eastAsia="es-ES"/>
        </w:rPr>
        <w:footnoteReference w:id="59"/>
      </w:r>
      <w:r w:rsidRPr="00F2273F">
        <w:rPr>
          <w:rFonts w:ascii="Times New Roman" w:hAnsi="Times New Roman" w:cs="Times New Roman"/>
          <w:sz w:val="28"/>
          <w:szCs w:val="28"/>
          <w:lang w:val="es-ES" w:eastAsia="es-ES"/>
        </w:rPr>
        <w:t xml:space="preserve">. El principio </w:t>
      </w:r>
      <w:r w:rsidRPr="00F2273F">
        <w:rPr>
          <w:rFonts w:ascii="Times New Roman" w:hAnsi="Times New Roman" w:cs="Times New Roman"/>
          <w:sz w:val="28"/>
          <w:szCs w:val="28"/>
          <w:lang w:val="es-ES" w:eastAsia="es-ES"/>
        </w:rPr>
        <w:t xml:space="preserve">aludido </w:t>
      </w:r>
      <w:r w:rsidRPr="00F2273F">
        <w:rPr>
          <w:rFonts w:ascii="Times New Roman" w:hAnsi="Times New Roman" w:cs="Times New Roman"/>
          <w:sz w:val="28"/>
          <w:szCs w:val="28"/>
          <w:lang w:val="es-ES" w:eastAsia="es-ES"/>
        </w:rPr>
        <w:t>op</w:t>
      </w:r>
      <w:r w:rsidRPr="00F2273F">
        <w:rPr>
          <w:rFonts w:ascii="Times New Roman" w:hAnsi="Times New Roman" w:cs="Times New Roman"/>
          <w:sz w:val="28"/>
          <w:szCs w:val="28"/>
          <w:lang w:val="es-ES" w:eastAsia="es-ES"/>
        </w:rPr>
        <w:t xml:space="preserve">era entonces como un mandato de coherencia. </w:t>
      </w:r>
    </w:p>
    <w:p w:rsidR="005D2DB9" w:rsidRPr="00F2273F" w:rsidRDefault="00F2273F" w:rsidP="005D2DB9">
      <w:pPr>
        <w:pStyle w:val="Prrafodelista"/>
        <w:rPr>
          <w:rFonts w:ascii="Times New Roman" w:hAnsi="Times New Roman" w:cs="Times New Roman"/>
          <w:sz w:val="28"/>
          <w:szCs w:val="28"/>
          <w:lang w:val="es-ES" w:eastAsia="es-ES"/>
        </w:rPr>
      </w:pPr>
    </w:p>
    <w:p w:rsidR="00055E06" w:rsidRPr="00F2273F" w:rsidRDefault="00F2273F" w:rsidP="00055E06">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val="es-ES" w:eastAsia="es-ES"/>
        </w:rPr>
        <w:t>Por lo tanto</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persiste la posibilidad de que cada cámara incorpore cambios, adiciones y supresiones durante el segundo debate (art. 160 C</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P</w:t>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de manera que </w:t>
      </w:r>
      <w:r w:rsidRPr="00F2273F">
        <w:rPr>
          <w:rFonts w:ascii="Times New Roman" w:hAnsi="Times New Roman" w:cs="Times New Roman"/>
          <w:sz w:val="28"/>
          <w:szCs w:val="28"/>
          <w:lang w:eastAsia="es-ES"/>
        </w:rPr>
        <w:t xml:space="preserve">las plenarias de cada cámara pueden reformar los </w:t>
      </w:r>
      <w:r w:rsidRPr="00F2273F">
        <w:rPr>
          <w:rFonts w:ascii="Times New Roman" w:hAnsi="Times New Roman" w:cs="Times New Roman"/>
          <w:sz w:val="28"/>
          <w:szCs w:val="28"/>
          <w:lang w:eastAsia="es-ES"/>
        </w:rPr>
        <w:t>proyectos sin que por esto deban regresar el asunto a la comisión permanente en donde se surtió el primer debate, a menos que se adviertan serias discrepancias con lo que allí se aprobó</w:t>
      </w:r>
      <w:r w:rsidRPr="00F2273F">
        <w:rPr>
          <w:rStyle w:val="Refdenotaalpie"/>
          <w:rFonts w:ascii="Times New Roman" w:hAnsi="Times New Roman" w:cs="Times New Roman"/>
          <w:sz w:val="28"/>
          <w:szCs w:val="28"/>
          <w:lang w:val="es-ES" w:eastAsia="es-ES"/>
        </w:rPr>
        <w:footnoteReference w:id="60"/>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val="es-ES" w:eastAsia="es-ES"/>
        </w:rPr>
        <w:t xml:space="preserve"> </w:t>
      </w:r>
      <w:r w:rsidRPr="00F2273F">
        <w:rPr>
          <w:rFonts w:ascii="Times New Roman" w:eastAsia="Times New Roman" w:hAnsi="Times New Roman" w:cs="Times New Roman"/>
          <w:sz w:val="28"/>
          <w:szCs w:val="28"/>
        </w:rPr>
        <w:t>En ese orden de ideas, es claro que la facultad de introducir modifi</w:t>
      </w:r>
      <w:r w:rsidRPr="00F2273F">
        <w:rPr>
          <w:rFonts w:ascii="Times New Roman" w:eastAsia="Times New Roman" w:hAnsi="Times New Roman" w:cs="Times New Roman"/>
          <w:sz w:val="28"/>
          <w:szCs w:val="28"/>
        </w:rPr>
        <w:t xml:space="preserve">caciones y adiciones se encuentra limitada </w:t>
      </w:r>
      <w:r w:rsidRPr="00F2273F">
        <w:rPr>
          <w:rFonts w:ascii="Times New Roman" w:eastAsia="Times New Roman" w:hAnsi="Times New Roman" w:cs="Times New Roman"/>
          <w:sz w:val="28"/>
          <w:szCs w:val="28"/>
        </w:rPr>
        <w:t xml:space="preserve">por el </w:t>
      </w:r>
      <w:r w:rsidRPr="00F2273F">
        <w:rPr>
          <w:rFonts w:ascii="Times New Roman" w:eastAsia="Times New Roman" w:hAnsi="Times New Roman" w:cs="Times New Roman"/>
          <w:sz w:val="28"/>
          <w:szCs w:val="28"/>
        </w:rPr>
        <w:t>principio de identidad</w:t>
      </w:r>
      <w:r w:rsidRPr="00F2273F">
        <w:rPr>
          <w:rFonts w:ascii="Times New Roman" w:eastAsia="Times New Roman" w:hAnsi="Times New Roman" w:cs="Times New Roman"/>
          <w:sz w:val="28"/>
          <w:szCs w:val="28"/>
        </w:rPr>
        <w:t xml:space="preserve"> flexible</w:t>
      </w:r>
      <w:r w:rsidRPr="00F2273F">
        <w:rPr>
          <w:rFonts w:ascii="Times New Roman" w:eastAsia="Times New Roman" w:hAnsi="Times New Roman" w:cs="Times New Roman"/>
          <w:sz w:val="28"/>
          <w:szCs w:val="28"/>
        </w:rPr>
        <w:t xml:space="preserve">, de </w:t>
      </w:r>
      <w:r w:rsidRPr="00F2273F">
        <w:rPr>
          <w:rFonts w:ascii="Times New Roman" w:eastAsia="Times New Roman" w:hAnsi="Times New Roman" w:cs="Times New Roman"/>
          <w:sz w:val="28"/>
          <w:szCs w:val="28"/>
        </w:rPr>
        <w:t>manera</w:t>
      </w:r>
      <w:r w:rsidRPr="00F2273F">
        <w:rPr>
          <w:rFonts w:ascii="Times New Roman" w:eastAsia="Times New Roman" w:hAnsi="Times New Roman" w:cs="Times New Roman"/>
          <w:sz w:val="28"/>
          <w:szCs w:val="28"/>
        </w:rPr>
        <w:t xml:space="preserve"> que </w:t>
      </w:r>
      <w:r w:rsidRPr="00F2273F">
        <w:rPr>
          <w:rFonts w:ascii="Times New Roman" w:eastAsia="Times New Roman" w:hAnsi="Times New Roman" w:cs="Times New Roman"/>
          <w:sz w:val="28"/>
          <w:szCs w:val="28"/>
        </w:rPr>
        <w:t xml:space="preserve">los </w:t>
      </w:r>
      <w:r w:rsidRPr="00F2273F">
        <w:rPr>
          <w:rFonts w:ascii="Times New Roman" w:eastAsia="Times New Roman" w:hAnsi="Times New Roman" w:cs="Times New Roman"/>
          <w:sz w:val="28"/>
          <w:szCs w:val="28"/>
        </w:rPr>
        <w:t xml:space="preserve">asuntos </w:t>
      </w:r>
      <w:r w:rsidRPr="00F2273F">
        <w:rPr>
          <w:rFonts w:ascii="Times New Roman" w:eastAsia="Times New Roman" w:hAnsi="Times New Roman" w:cs="Times New Roman"/>
          <w:sz w:val="28"/>
          <w:szCs w:val="28"/>
        </w:rPr>
        <w:t>deben estar</w:t>
      </w:r>
      <w:r w:rsidRPr="00F2273F">
        <w:rPr>
          <w:rFonts w:ascii="Times New Roman" w:eastAsia="Times New Roman" w:hAnsi="Times New Roman" w:cs="Times New Roman"/>
          <w:sz w:val="28"/>
          <w:szCs w:val="28"/>
        </w:rPr>
        <w:t xml:space="preserve"> estrechamente ligados a lo debatido y aprobado en comisiones</w:t>
      </w:r>
      <w:r w:rsidRPr="00F2273F">
        <w:rPr>
          <w:rStyle w:val="Refdenotaalpie"/>
          <w:rFonts w:ascii="Times New Roman" w:eastAsia="Times New Roman" w:hAnsi="Times New Roman" w:cs="Times New Roman"/>
          <w:sz w:val="28"/>
          <w:szCs w:val="28"/>
        </w:rPr>
        <w:footnoteReference w:id="61"/>
      </w:r>
      <w:r w:rsidRPr="00F2273F">
        <w:rPr>
          <w:rFonts w:ascii="Times New Roman" w:eastAsia="Times New Roman" w:hAnsi="Times New Roman" w:cs="Times New Roman"/>
          <w:sz w:val="28"/>
          <w:szCs w:val="28"/>
        </w:rPr>
        <w:t xml:space="preserve">. </w:t>
      </w:r>
      <w:r w:rsidRPr="00F2273F">
        <w:rPr>
          <w:rFonts w:ascii="Times New Roman" w:hAnsi="Times New Roman" w:cs="Times New Roman"/>
          <w:sz w:val="28"/>
          <w:szCs w:val="28"/>
          <w:lang w:val="es-ES" w:eastAsia="es-ES"/>
        </w:rPr>
        <w:t xml:space="preserve">Lo anterior </w:t>
      </w:r>
      <w:r w:rsidRPr="00F2273F">
        <w:rPr>
          <w:rFonts w:ascii="Times New Roman" w:hAnsi="Times New Roman" w:cs="Times New Roman"/>
          <w:sz w:val="28"/>
          <w:szCs w:val="28"/>
          <w:lang w:val="es-ES" w:eastAsia="es-ES"/>
        </w:rPr>
        <w:t xml:space="preserve">ha de </w:t>
      </w:r>
      <w:r w:rsidRPr="00F2273F">
        <w:rPr>
          <w:rFonts w:ascii="Times New Roman" w:hAnsi="Times New Roman" w:cs="Times New Roman"/>
          <w:sz w:val="28"/>
          <w:szCs w:val="28"/>
          <w:lang w:val="es-ES" w:eastAsia="es-ES"/>
        </w:rPr>
        <w:t>comprenderse bajo el entendido de que, s</w:t>
      </w:r>
      <w:r w:rsidRPr="00F2273F">
        <w:rPr>
          <w:rFonts w:ascii="Times New Roman" w:hAnsi="Times New Roman" w:cs="Times New Roman"/>
          <w:sz w:val="28"/>
          <w:szCs w:val="28"/>
          <w:lang w:val="es-ES" w:eastAsia="es-ES"/>
        </w:rPr>
        <w:t xml:space="preserve">i bien se permite que las plenarias modifiquen los proyectos de ley bajo su conocimiento, es preciso que esas modificaciones </w:t>
      </w:r>
      <w:r w:rsidRPr="00F2273F">
        <w:rPr>
          <w:rFonts w:ascii="Times New Roman" w:hAnsi="Times New Roman" w:cs="Times New Roman"/>
          <w:sz w:val="28"/>
          <w:szCs w:val="28"/>
          <w:lang w:val="es-ES" w:eastAsia="es-ES"/>
        </w:rPr>
        <w:t>guarden</w:t>
      </w:r>
      <w:r w:rsidRPr="00F2273F">
        <w:rPr>
          <w:rFonts w:ascii="Times New Roman" w:hAnsi="Times New Roman" w:cs="Times New Roman"/>
          <w:sz w:val="28"/>
          <w:szCs w:val="28"/>
          <w:lang w:val="es-ES" w:eastAsia="es-ES"/>
        </w:rPr>
        <w:t xml:space="preserve"> una </w:t>
      </w:r>
      <w:r w:rsidRPr="00F2273F">
        <w:rPr>
          <w:rFonts w:ascii="Times New Roman" w:hAnsi="Times New Roman" w:cs="Times New Roman"/>
          <w:sz w:val="28"/>
          <w:szCs w:val="28"/>
          <w:lang w:val="es-ES" w:eastAsia="es-ES"/>
        </w:rPr>
        <w:t>relación</w:t>
      </w:r>
      <w:r w:rsidRPr="00F2273F">
        <w:rPr>
          <w:rFonts w:ascii="Times New Roman" w:hAnsi="Times New Roman" w:cs="Times New Roman"/>
          <w:sz w:val="28"/>
          <w:szCs w:val="28"/>
          <w:lang w:val="es-ES" w:eastAsia="es-ES"/>
        </w:rPr>
        <w:t xml:space="preserve"> clara y específica, estrecha, necesaria y evidente</w:t>
      </w:r>
      <w:r w:rsidRPr="00F2273F">
        <w:rPr>
          <w:rFonts w:ascii="Times New Roman" w:hAnsi="Times New Roman" w:cs="Times New Roman"/>
          <w:sz w:val="28"/>
          <w:szCs w:val="28"/>
          <w:lang w:val="es-ES" w:eastAsia="es-ES"/>
        </w:rPr>
        <w:t xml:space="preserve"> con las materias que se vienen discutiendo en el Congreso</w:t>
      </w:r>
      <w:r w:rsidRPr="00F2273F">
        <w:rPr>
          <w:rStyle w:val="Refdenotaalpie"/>
          <w:rFonts w:ascii="Times New Roman" w:hAnsi="Times New Roman" w:cs="Times New Roman"/>
          <w:sz w:val="28"/>
          <w:szCs w:val="28"/>
          <w:lang w:val="es-ES" w:eastAsia="es-ES"/>
        </w:rPr>
        <w:footnoteReference w:id="62"/>
      </w:r>
      <w:r w:rsidRPr="00F2273F">
        <w:rPr>
          <w:rFonts w:ascii="Times New Roman" w:hAnsi="Times New Roman" w:cs="Times New Roman"/>
          <w:sz w:val="28"/>
          <w:szCs w:val="28"/>
          <w:lang w:val="es-ES" w:eastAsia="es-ES"/>
        </w:rPr>
        <w:t xml:space="preserve">. </w:t>
      </w:r>
    </w:p>
    <w:p w:rsidR="00055E06" w:rsidRPr="00F2273F" w:rsidRDefault="00F2273F" w:rsidP="00055E06">
      <w:pPr>
        <w:pStyle w:val="Prrafodelista"/>
        <w:rPr>
          <w:rFonts w:ascii="Times New Roman" w:hAnsi="Times New Roman" w:cs="Times New Roman"/>
          <w:sz w:val="28"/>
          <w:szCs w:val="28"/>
          <w:lang w:val="es-ES" w:eastAsia="es-ES"/>
        </w:rPr>
      </w:pPr>
    </w:p>
    <w:p w:rsidR="006C3B22" w:rsidRPr="00F2273F" w:rsidRDefault="00F2273F" w:rsidP="00055E06">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val="es-ES" w:eastAsia="es-ES"/>
        </w:rPr>
        <w:t xml:space="preserve">Hay también criterios para determinar, a la luz de la identidad flexible, la </w:t>
      </w:r>
      <w:r w:rsidRPr="00F2273F">
        <w:rPr>
          <w:rFonts w:ascii="Times New Roman" w:hAnsi="Times New Roman" w:cs="Times New Roman"/>
          <w:i/>
          <w:iCs/>
          <w:sz w:val="28"/>
          <w:szCs w:val="28"/>
          <w:lang w:val="es-ES" w:eastAsia="es-ES"/>
        </w:rPr>
        <w:t>novedad</w:t>
      </w:r>
      <w:r w:rsidRPr="00F2273F">
        <w:rPr>
          <w:rFonts w:ascii="Times New Roman" w:hAnsi="Times New Roman" w:cs="Times New Roman"/>
          <w:sz w:val="28"/>
          <w:szCs w:val="28"/>
          <w:lang w:val="es-ES" w:eastAsia="es-ES"/>
        </w:rPr>
        <w:t xml:space="preserve"> de las modificaciones: “(i) un artículo nuevo no siempre corresponde a un tema nuevo, puesto que el artículo puede versar sobre asuntos debatidos previamente; (ii) las</w:t>
      </w:r>
      <w:r w:rsidRPr="00F2273F">
        <w:rPr>
          <w:rFonts w:ascii="Times New Roman" w:hAnsi="Times New Roman" w:cs="Times New Roman"/>
          <w:sz w:val="28"/>
          <w:szCs w:val="28"/>
          <w:lang w:val="es-ES" w:eastAsia="es-ES"/>
        </w:rPr>
        <w:t xml:space="preserve"> adiciones que desarrollen o precisen aspectos de la materia central tratada en el proyecto no son temas nuevos, siempre que estén comprendidas dentro de lo previamente debatido; (iii) la novedad de un tema se aprecia a la luz del proyecto de ley en su con</w:t>
      </w:r>
      <w:r w:rsidRPr="00F2273F">
        <w:rPr>
          <w:rFonts w:ascii="Times New Roman" w:hAnsi="Times New Roman" w:cs="Times New Roman"/>
          <w:sz w:val="28"/>
          <w:szCs w:val="28"/>
          <w:lang w:val="es-ES" w:eastAsia="es-ES"/>
        </w:rPr>
        <w:t>junto, no de un artículo específico; y (iv) un artículo propuesto por la comisión de conciliación que crea una fórmula original para superar una discrepancia entre las cámaras en algún punto tampoco constituye un tema nuevo”</w:t>
      </w:r>
      <w:r w:rsidRPr="00F2273F">
        <w:rPr>
          <w:rStyle w:val="Refdenotaalpie"/>
          <w:rFonts w:ascii="Times New Roman" w:hAnsi="Times New Roman" w:cs="Times New Roman"/>
          <w:sz w:val="28"/>
          <w:szCs w:val="28"/>
          <w:lang w:val="es-ES" w:eastAsia="es-ES"/>
        </w:rPr>
        <w:footnoteReference w:id="63"/>
      </w:r>
      <w:r w:rsidRPr="00F2273F">
        <w:rPr>
          <w:rFonts w:ascii="Times New Roman" w:hAnsi="Times New Roman" w:cs="Times New Roman"/>
          <w:sz w:val="28"/>
          <w:szCs w:val="28"/>
          <w:lang w:val="es-ES" w:eastAsia="es-ES"/>
        </w:rPr>
        <w:t>.</w:t>
      </w:r>
      <w:r w:rsidRPr="00F2273F">
        <w:rPr>
          <w:rFonts w:ascii="Times New Roman" w:hAnsi="Times New Roman" w:cs="Times New Roman"/>
          <w:sz w:val="28"/>
          <w:szCs w:val="28"/>
          <w:lang w:eastAsia="es-ES"/>
        </w:rPr>
        <w:t xml:space="preserve"> </w:t>
      </w:r>
    </w:p>
    <w:p w:rsidR="00E21B1C" w:rsidRPr="00F2273F" w:rsidRDefault="00F2273F" w:rsidP="005872B7">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E21B1C"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lang w:eastAsia="es-ES"/>
        </w:rPr>
        <w:t xml:space="preserve">Los </w:t>
      </w:r>
      <w:r w:rsidRPr="00F2273F">
        <w:rPr>
          <w:rFonts w:ascii="Times New Roman" w:hAnsi="Times New Roman" w:cs="Times New Roman"/>
          <w:sz w:val="28"/>
          <w:szCs w:val="28"/>
          <w:lang w:eastAsia="es-ES"/>
        </w:rPr>
        <w:t xml:space="preserve">principios de </w:t>
      </w:r>
      <w:r w:rsidRPr="00F2273F">
        <w:rPr>
          <w:rFonts w:ascii="Times New Roman" w:hAnsi="Times New Roman" w:cs="Times New Roman"/>
          <w:sz w:val="28"/>
          <w:szCs w:val="28"/>
          <w:lang w:eastAsia="es-ES"/>
        </w:rPr>
        <w:t>consecutividad e identidad flexible suponen</w:t>
      </w:r>
      <w:r w:rsidRPr="00F2273F">
        <w:rPr>
          <w:rFonts w:ascii="Times New Roman" w:hAnsi="Times New Roman" w:cs="Times New Roman"/>
          <w:sz w:val="28"/>
          <w:szCs w:val="28"/>
          <w:lang w:eastAsia="es-ES"/>
        </w:rPr>
        <w:t xml:space="preserve"> pues</w:t>
      </w:r>
      <w:r w:rsidRPr="00F2273F">
        <w:rPr>
          <w:rFonts w:ascii="Times New Roman" w:hAnsi="Times New Roman" w:cs="Times New Roman"/>
          <w:sz w:val="28"/>
          <w:szCs w:val="28"/>
          <w:lang w:eastAsia="es-ES"/>
        </w:rPr>
        <w:t xml:space="preserve"> que </w:t>
      </w:r>
      <w:r w:rsidRPr="00F2273F">
        <w:rPr>
          <w:rFonts w:ascii="Times New Roman" w:hAnsi="Times New Roman" w:cs="Times New Roman"/>
          <w:sz w:val="28"/>
          <w:szCs w:val="28"/>
          <w:lang w:val="es-ES"/>
        </w:rPr>
        <w:t>“todo proyecto de ley, a pesar de las modificaciones, adiciones o supresiones introducidas en el trámite legislativo, debe mantener un eje temático común durante la totalidad de los debates parlamentario</w:t>
      </w:r>
      <w:r w:rsidRPr="00F2273F">
        <w:rPr>
          <w:rFonts w:ascii="Times New Roman" w:hAnsi="Times New Roman" w:cs="Times New Roman"/>
          <w:sz w:val="28"/>
          <w:szCs w:val="28"/>
          <w:lang w:val="es-ES"/>
        </w:rPr>
        <w:t>s. Por tal razón, está prohibida ‘la introducción de temas nuevos, que no guarden relación con las materias debatidas en instancias anteriores del trámite o, en general, conexidad material con el proyecto, con lo debatido y aprobado en las comisiones’”</w:t>
      </w:r>
      <w:r w:rsidRPr="00F2273F">
        <w:rPr>
          <w:rStyle w:val="Refdenotaalpie"/>
          <w:rFonts w:ascii="Times New Roman" w:hAnsi="Times New Roman" w:cs="Times New Roman"/>
          <w:sz w:val="28"/>
          <w:szCs w:val="28"/>
          <w:lang w:val="es-ES"/>
        </w:rPr>
        <w:footnoteReference w:id="64"/>
      </w:r>
      <w:r w:rsidRPr="00F2273F">
        <w:rPr>
          <w:rFonts w:ascii="Times New Roman" w:hAnsi="Times New Roman" w:cs="Times New Roman"/>
          <w:sz w:val="28"/>
          <w:szCs w:val="28"/>
          <w:lang w:val="es-ES"/>
        </w:rPr>
        <w:t>.</w:t>
      </w:r>
      <w:r w:rsidRPr="00F2273F">
        <w:rPr>
          <w:rFonts w:ascii="Times New Roman" w:hAnsi="Times New Roman" w:cs="Times New Roman"/>
          <w:sz w:val="28"/>
          <w:szCs w:val="28"/>
          <w:lang w:val="es-ES"/>
        </w:rPr>
        <w:t xml:space="preserve"> A</w:t>
      </w:r>
      <w:r w:rsidRPr="00F2273F">
        <w:rPr>
          <w:rFonts w:ascii="Times New Roman" w:hAnsi="Times New Roman" w:cs="Times New Roman"/>
          <w:sz w:val="28"/>
          <w:szCs w:val="28"/>
          <w:lang w:val="es-ES"/>
        </w:rPr>
        <w:t xml:space="preserve">demás, </w:t>
      </w:r>
      <w:r w:rsidRPr="00F2273F">
        <w:rPr>
          <w:rFonts w:ascii="Times New Roman" w:hAnsi="Times New Roman" w:cs="Times New Roman"/>
          <w:sz w:val="28"/>
          <w:szCs w:val="28"/>
          <w:lang w:val="es-ES"/>
        </w:rPr>
        <w:t xml:space="preserve">los citados principios </w:t>
      </w:r>
      <w:r w:rsidRPr="00F2273F">
        <w:rPr>
          <w:rFonts w:ascii="Times New Roman" w:hAnsi="Times New Roman" w:cs="Times New Roman"/>
          <w:sz w:val="28"/>
          <w:szCs w:val="28"/>
        </w:rPr>
        <w:t xml:space="preserve">tienen un especial significado en el trámite de leyes aprobatorias del </w:t>
      </w:r>
      <w:r w:rsidRPr="00F2273F">
        <w:rPr>
          <w:rFonts w:ascii="Times New Roman" w:hAnsi="Times New Roman" w:cs="Times New Roman"/>
          <w:sz w:val="28"/>
          <w:szCs w:val="28"/>
        </w:rPr>
        <w:t xml:space="preserve">plan nacional de desarrollo </w:t>
      </w:r>
      <w:r w:rsidRPr="00F2273F">
        <w:rPr>
          <w:rFonts w:ascii="Times New Roman" w:hAnsi="Times New Roman" w:cs="Times New Roman"/>
          <w:sz w:val="28"/>
          <w:szCs w:val="28"/>
        </w:rPr>
        <w:t xml:space="preserve">pues, en vista de la naturaleza y </w:t>
      </w:r>
      <w:r w:rsidRPr="00F2273F">
        <w:rPr>
          <w:rFonts w:ascii="Times New Roman" w:hAnsi="Times New Roman" w:cs="Times New Roman"/>
          <w:sz w:val="28"/>
          <w:szCs w:val="28"/>
        </w:rPr>
        <w:t xml:space="preserve">el </w:t>
      </w:r>
      <w:r w:rsidRPr="00F2273F">
        <w:rPr>
          <w:rFonts w:ascii="Times New Roman" w:hAnsi="Times New Roman" w:cs="Times New Roman"/>
          <w:sz w:val="28"/>
          <w:szCs w:val="28"/>
        </w:rPr>
        <w:t xml:space="preserve">objeto de esa normativa, se restringe la potestad del </w:t>
      </w:r>
      <w:r w:rsidRPr="00F2273F">
        <w:rPr>
          <w:rFonts w:ascii="Times New Roman" w:hAnsi="Times New Roman" w:cs="Times New Roman"/>
          <w:sz w:val="28"/>
          <w:szCs w:val="28"/>
        </w:rPr>
        <w:t>l</w:t>
      </w:r>
      <w:r w:rsidRPr="00F2273F">
        <w:rPr>
          <w:rFonts w:ascii="Times New Roman" w:hAnsi="Times New Roman" w:cs="Times New Roman"/>
          <w:sz w:val="28"/>
          <w:szCs w:val="28"/>
        </w:rPr>
        <w:t>egislador</w:t>
      </w:r>
      <w:r w:rsidRPr="00F2273F">
        <w:rPr>
          <w:rFonts w:ascii="Times New Roman" w:hAnsi="Times New Roman" w:cs="Times New Roman"/>
          <w:sz w:val="28"/>
          <w:szCs w:val="28"/>
        </w:rPr>
        <w:t xml:space="preserve"> para introducir </w:t>
      </w:r>
      <w:r w:rsidRPr="00F2273F">
        <w:rPr>
          <w:rFonts w:ascii="Times New Roman" w:hAnsi="Times New Roman" w:cs="Times New Roman"/>
          <w:sz w:val="28"/>
          <w:szCs w:val="28"/>
        </w:rPr>
        <w:t xml:space="preserve">modificaciones al texto del proyecto original presentado por el </w:t>
      </w:r>
      <w:r w:rsidRPr="00F2273F">
        <w:rPr>
          <w:rFonts w:ascii="Times New Roman" w:hAnsi="Times New Roman" w:cs="Times New Roman"/>
          <w:sz w:val="28"/>
          <w:szCs w:val="28"/>
        </w:rPr>
        <w:t>G</w:t>
      </w:r>
      <w:r w:rsidRPr="00F2273F">
        <w:rPr>
          <w:rFonts w:ascii="Times New Roman" w:hAnsi="Times New Roman" w:cs="Times New Roman"/>
          <w:sz w:val="28"/>
          <w:szCs w:val="28"/>
        </w:rPr>
        <w:t>obierno nacional</w:t>
      </w:r>
      <w:r w:rsidRPr="00F2273F">
        <w:rPr>
          <w:rStyle w:val="Refdenotaalpie"/>
          <w:rFonts w:ascii="Times New Roman" w:hAnsi="Times New Roman" w:cs="Times New Roman"/>
          <w:sz w:val="28"/>
          <w:szCs w:val="28"/>
        </w:rPr>
        <w:footnoteReference w:id="65"/>
      </w:r>
      <w:r w:rsidRPr="00F2273F">
        <w:rPr>
          <w:rFonts w:ascii="Times New Roman" w:hAnsi="Times New Roman" w:cs="Times New Roman"/>
          <w:sz w:val="28"/>
          <w:szCs w:val="28"/>
        </w:rPr>
        <w:t>.</w:t>
      </w:r>
    </w:p>
    <w:p w:rsidR="00E21B1C" w:rsidRPr="00F2273F" w:rsidRDefault="00F2273F" w:rsidP="00E21B1C">
      <w:pPr>
        <w:pStyle w:val="Prrafodelista"/>
        <w:spacing w:line="240" w:lineRule="auto"/>
        <w:rPr>
          <w:rFonts w:ascii="Times New Roman" w:hAnsi="Times New Roman" w:cs="Times New Roman"/>
          <w:sz w:val="28"/>
          <w:szCs w:val="28"/>
          <w:lang w:val="es-ES_tradnl"/>
        </w:rPr>
      </w:pPr>
    </w:p>
    <w:p w:rsidR="00E21B1C"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val="es-ES" w:eastAsia="es-ES"/>
        </w:rPr>
      </w:pPr>
      <w:r w:rsidRPr="00F2273F">
        <w:rPr>
          <w:rFonts w:ascii="Times New Roman" w:hAnsi="Times New Roman" w:cs="Times New Roman"/>
          <w:sz w:val="28"/>
          <w:szCs w:val="28"/>
        </w:rPr>
        <w:t xml:space="preserve">En suma, </w:t>
      </w:r>
      <w:r w:rsidRPr="00F2273F">
        <w:rPr>
          <w:rFonts w:ascii="Times New Roman" w:hAnsi="Times New Roman" w:cs="Times New Roman"/>
          <w:sz w:val="28"/>
          <w:szCs w:val="28"/>
        </w:rPr>
        <w:t xml:space="preserve">los criterios para verificar el cumplimiento de los principios de consecutividad e identidad flexible en la ley aprobatoria del </w:t>
      </w:r>
      <w:r w:rsidRPr="00F2273F">
        <w:rPr>
          <w:rFonts w:ascii="Times New Roman" w:hAnsi="Times New Roman" w:cs="Times New Roman"/>
          <w:sz w:val="28"/>
          <w:szCs w:val="28"/>
        </w:rPr>
        <w:t xml:space="preserve">plan nacional de desarrollo </w:t>
      </w:r>
      <w:r w:rsidRPr="00F2273F">
        <w:rPr>
          <w:rFonts w:ascii="Times New Roman" w:hAnsi="Times New Roman" w:cs="Times New Roman"/>
          <w:sz w:val="28"/>
          <w:szCs w:val="28"/>
        </w:rPr>
        <w:t>son</w:t>
      </w:r>
      <w:r w:rsidRPr="00F2273F">
        <w:rPr>
          <w:rFonts w:ascii="Times New Roman" w:hAnsi="Times New Roman" w:cs="Times New Roman"/>
          <w:sz w:val="28"/>
          <w:szCs w:val="28"/>
        </w:rPr>
        <w:t xml:space="preserve"> lo</w:t>
      </w:r>
      <w:r w:rsidRPr="00F2273F">
        <w:rPr>
          <w:rFonts w:ascii="Times New Roman" w:hAnsi="Times New Roman" w:cs="Times New Roman"/>
          <w:sz w:val="28"/>
          <w:szCs w:val="28"/>
        </w:rPr>
        <w:t>s siguientes</w:t>
      </w:r>
      <w:r w:rsidRPr="00F2273F">
        <w:rPr>
          <w:rFonts w:ascii="Times New Roman" w:hAnsi="Times New Roman" w:cs="Times New Roman"/>
          <w:sz w:val="28"/>
          <w:szCs w:val="28"/>
        </w:rPr>
        <w:t xml:space="preserve">: </w:t>
      </w:r>
      <w:bookmarkStart w:id="6" w:name="_Ref173934254"/>
      <w:r w:rsidRPr="00F2273F">
        <w:rPr>
          <w:rFonts w:ascii="Times New Roman" w:hAnsi="Times New Roman" w:cs="Times New Roman"/>
          <w:i/>
          <w:iCs/>
          <w:sz w:val="28"/>
          <w:szCs w:val="28"/>
          <w:lang w:val="es-ES"/>
        </w:rPr>
        <w:t xml:space="preserve">primero, </w:t>
      </w:r>
      <w:r w:rsidRPr="00F2273F">
        <w:rPr>
          <w:rFonts w:ascii="Times New Roman" w:hAnsi="Times New Roman" w:cs="Times New Roman"/>
          <w:sz w:val="28"/>
          <w:szCs w:val="28"/>
          <w:lang w:val="es-ES"/>
        </w:rPr>
        <w:t>es posible introducir disposiciones nuevas en el segundo debate, siempre y cuando estas (a) tengan un vínculo razonable con las temáticas generales del PND y (b) hayan sido objeto de discusión en cada uno de los debates</w:t>
      </w:r>
      <w:bookmarkEnd w:id="6"/>
      <w:r w:rsidRPr="00F2273F">
        <w:rPr>
          <w:rFonts w:ascii="Times New Roman" w:hAnsi="Times New Roman" w:cs="Times New Roman"/>
          <w:sz w:val="28"/>
          <w:szCs w:val="28"/>
          <w:lang w:val="es-ES"/>
        </w:rPr>
        <w:t>. Estas dos co</w:t>
      </w:r>
      <w:r w:rsidRPr="00F2273F">
        <w:rPr>
          <w:rFonts w:ascii="Times New Roman" w:hAnsi="Times New Roman" w:cs="Times New Roman"/>
          <w:sz w:val="28"/>
          <w:szCs w:val="28"/>
          <w:lang w:val="es-ES"/>
        </w:rPr>
        <w:t xml:space="preserve">ndiciones son concurrentes para poder afirmar que el asunto nuevo incorporado en segundo debate respeta los principios de consecutividad e identidad flexible. </w:t>
      </w:r>
      <w:r w:rsidRPr="00F2273F">
        <w:rPr>
          <w:rFonts w:ascii="Times New Roman" w:hAnsi="Times New Roman" w:cs="Times New Roman"/>
          <w:i/>
          <w:iCs/>
          <w:sz w:val="28"/>
          <w:szCs w:val="28"/>
          <w:lang w:val="es-ES"/>
        </w:rPr>
        <w:t xml:space="preserve">Segundo, </w:t>
      </w:r>
      <w:r w:rsidRPr="00F2273F">
        <w:rPr>
          <w:rFonts w:ascii="Times New Roman" w:hAnsi="Times New Roman" w:cs="Times New Roman"/>
          <w:sz w:val="28"/>
          <w:szCs w:val="28"/>
          <w:lang w:val="es-ES"/>
        </w:rPr>
        <w:t>s</w:t>
      </w:r>
      <w:r w:rsidRPr="00F2273F">
        <w:rPr>
          <w:rFonts w:ascii="Times New Roman" w:hAnsi="Times New Roman" w:cs="Times New Roman"/>
          <w:sz w:val="28"/>
          <w:szCs w:val="28"/>
          <w:lang w:val="es-ES"/>
        </w:rPr>
        <w:t xml:space="preserve">e violan los principios de consecutividad e identidad flexible cuando la disposición nueva introducida en segundo debate no guarda cercanía temática con lo discutido en primer debate, sino que constituye más bien una materia autónoma e independiente. </w:t>
      </w:r>
      <w:r w:rsidRPr="00F2273F">
        <w:rPr>
          <w:rFonts w:ascii="Times New Roman" w:hAnsi="Times New Roman" w:cs="Times New Roman"/>
          <w:i/>
          <w:iCs/>
          <w:sz w:val="28"/>
          <w:szCs w:val="28"/>
          <w:lang w:val="es-ES"/>
        </w:rPr>
        <w:t>Terce</w:t>
      </w:r>
      <w:r w:rsidRPr="00F2273F">
        <w:rPr>
          <w:rFonts w:ascii="Times New Roman" w:hAnsi="Times New Roman" w:cs="Times New Roman"/>
          <w:i/>
          <w:iCs/>
          <w:sz w:val="28"/>
          <w:szCs w:val="28"/>
          <w:lang w:val="es-ES"/>
        </w:rPr>
        <w:t xml:space="preserve">ro, </w:t>
      </w:r>
      <w:r w:rsidRPr="00F2273F">
        <w:rPr>
          <w:rFonts w:ascii="Times New Roman" w:hAnsi="Times New Roman" w:cs="Times New Roman"/>
          <w:sz w:val="28"/>
          <w:szCs w:val="28"/>
          <w:lang w:val="es-ES"/>
        </w:rPr>
        <w:t>l</w:t>
      </w:r>
      <w:r w:rsidRPr="00F2273F">
        <w:rPr>
          <w:rFonts w:ascii="Times New Roman" w:hAnsi="Times New Roman" w:cs="Times New Roman"/>
          <w:sz w:val="28"/>
          <w:szCs w:val="28"/>
          <w:lang w:val="es-ES"/>
        </w:rPr>
        <w:t xml:space="preserve">a cercanía temática implica que el proyecto estudiado en primer debate y la disposición introducida en segundo debate </w:t>
      </w:r>
      <w:r w:rsidRPr="00F2273F">
        <w:rPr>
          <w:rFonts w:ascii="Times New Roman" w:hAnsi="Times New Roman" w:cs="Times New Roman"/>
          <w:sz w:val="28"/>
          <w:szCs w:val="28"/>
          <w:lang w:val="es-ES"/>
        </w:rPr>
        <w:t>guarden una relación</w:t>
      </w:r>
      <w:r w:rsidRPr="00F2273F">
        <w:rPr>
          <w:rFonts w:ascii="Times New Roman" w:hAnsi="Times New Roman" w:cs="Times New Roman"/>
          <w:sz w:val="28"/>
          <w:szCs w:val="28"/>
          <w:lang w:val="es-ES"/>
        </w:rPr>
        <w:t xml:space="preserve"> clara, estrecha, necesaria y evidente.</w:t>
      </w:r>
    </w:p>
    <w:p w:rsidR="005D2DB9" w:rsidRPr="00F2273F" w:rsidRDefault="00F2273F" w:rsidP="005D2DB9">
      <w:pPr>
        <w:pStyle w:val="Prrafodelista"/>
        <w:rPr>
          <w:rFonts w:ascii="Times New Roman" w:hAnsi="Times New Roman" w:cs="Times New Roman"/>
          <w:sz w:val="28"/>
          <w:szCs w:val="28"/>
          <w:lang w:val="es-ES" w:eastAsia="es-ES"/>
        </w:rPr>
      </w:pPr>
    </w:p>
    <w:p w:rsidR="005D2DB9" w:rsidRPr="00F2273F" w:rsidRDefault="00F2273F" w:rsidP="0028298B">
      <w:pPr>
        <w:pStyle w:val="Prrafodelista"/>
        <w:keepNext/>
        <w:numPr>
          <w:ilvl w:val="0"/>
          <w:numId w:val="4"/>
        </w:numPr>
        <w:spacing w:after="0" w:line="240" w:lineRule="auto"/>
        <w:ind w:left="0" w:firstLine="0"/>
        <w:mirrorIndents/>
        <w:jc w:val="both"/>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Principio de unidad de materia en la ley del plan nacional de desarrollo</w:t>
      </w:r>
      <w:r w:rsidRPr="00F2273F">
        <w:rPr>
          <w:rFonts w:ascii="Times New Roman" w:eastAsia="Arial Unicode MS" w:hAnsi="Times New Roman" w:cs="Times New Roman"/>
          <w:b/>
          <w:bCs/>
          <w:sz w:val="28"/>
          <w:szCs w:val="28"/>
          <w:u w:color="000000"/>
          <w:bdr w:val="nil"/>
          <w:lang w:val="es-MX"/>
        </w:rPr>
        <w:t>. Reiteración de jurisprudencia</w:t>
      </w:r>
    </w:p>
    <w:p w:rsidR="005D2DB9" w:rsidRPr="00F2273F" w:rsidRDefault="00F2273F" w:rsidP="005D2DB9">
      <w:pPr>
        <w:keepNext/>
        <w:spacing w:after="0" w:line="240" w:lineRule="auto"/>
        <w:mirrorIndents/>
        <w:rPr>
          <w:rFonts w:ascii="Times New Roman" w:eastAsia="Arial Unicode MS" w:hAnsi="Times New Roman" w:cs="Times New Roman"/>
          <w:sz w:val="28"/>
          <w:szCs w:val="28"/>
          <w:u w:color="000000"/>
          <w:bdr w:val="nil"/>
          <w:lang w:val="es-MX"/>
        </w:rPr>
      </w:pPr>
    </w:p>
    <w:p w:rsidR="005D2DB9"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Otro </w:t>
      </w:r>
      <w:r w:rsidRPr="00F2273F">
        <w:rPr>
          <w:rFonts w:ascii="Times New Roman" w:hAnsi="Times New Roman" w:cs="Times New Roman"/>
          <w:sz w:val="28"/>
          <w:szCs w:val="28"/>
          <w:lang w:eastAsia="es-ES"/>
        </w:rPr>
        <w:t xml:space="preserve">instrumento </w:t>
      </w:r>
      <w:r w:rsidRPr="00F2273F">
        <w:rPr>
          <w:rFonts w:ascii="Times New Roman" w:hAnsi="Times New Roman" w:cs="Times New Roman"/>
          <w:sz w:val="28"/>
          <w:szCs w:val="28"/>
          <w:lang w:eastAsia="es-ES"/>
        </w:rPr>
        <w:t>que contribuye a la garantía de los principios democrático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de</w:t>
      </w:r>
      <w:r w:rsidRPr="00F2273F">
        <w:rPr>
          <w:rFonts w:ascii="Times New Roman" w:hAnsi="Times New Roman" w:cs="Times New Roman"/>
          <w:sz w:val="28"/>
          <w:szCs w:val="28"/>
          <w:lang w:eastAsia="es-ES"/>
        </w:rPr>
        <w:t xml:space="preserve"> transparencia y</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de </w:t>
      </w:r>
      <w:r w:rsidRPr="00F2273F">
        <w:rPr>
          <w:rFonts w:ascii="Times New Roman" w:hAnsi="Times New Roman" w:cs="Times New Roman"/>
          <w:sz w:val="28"/>
          <w:szCs w:val="28"/>
          <w:lang w:eastAsia="es-ES"/>
        </w:rPr>
        <w:t xml:space="preserve">publicidad de las leyes, es el </w:t>
      </w:r>
      <w:r w:rsidRPr="00F2273F">
        <w:rPr>
          <w:rFonts w:ascii="Times New Roman" w:hAnsi="Times New Roman" w:cs="Times New Roman"/>
          <w:sz w:val="28"/>
          <w:szCs w:val="28"/>
          <w:lang w:eastAsia="es-ES"/>
        </w:rPr>
        <w:t xml:space="preserve">principio </w:t>
      </w:r>
      <w:r w:rsidRPr="00F2273F">
        <w:rPr>
          <w:rFonts w:ascii="Times New Roman" w:hAnsi="Times New Roman" w:cs="Times New Roman"/>
          <w:sz w:val="28"/>
          <w:szCs w:val="28"/>
          <w:lang w:eastAsia="es-ES"/>
        </w:rPr>
        <w:t xml:space="preserve">de unidad de materia, establecido en el artículo 158 superior y en el artículo 148 </w:t>
      </w:r>
      <w:r w:rsidRPr="00F2273F">
        <w:rPr>
          <w:rFonts w:ascii="Times New Roman" w:hAnsi="Times New Roman" w:cs="Times New Roman"/>
          <w:sz w:val="28"/>
          <w:szCs w:val="28"/>
          <w:lang w:eastAsia="es-ES"/>
        </w:rPr>
        <w:t>de la Ley 5ª de 1992</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según </w:t>
      </w:r>
      <w:r w:rsidRPr="00F2273F">
        <w:rPr>
          <w:rFonts w:ascii="Times New Roman" w:hAnsi="Times New Roman" w:cs="Times New Roman"/>
          <w:sz w:val="28"/>
          <w:szCs w:val="28"/>
          <w:lang w:eastAsia="es-ES"/>
        </w:rPr>
        <w:t>el cual</w:t>
      </w:r>
      <w:r w:rsidRPr="00F2273F">
        <w:rPr>
          <w:rFonts w:ascii="Times New Roman" w:hAnsi="Times New Roman" w:cs="Times New Roman"/>
          <w:sz w:val="28"/>
          <w:szCs w:val="28"/>
          <w:lang w:eastAsia="es-ES"/>
        </w:rPr>
        <w:t xml:space="preserve"> todo proyecto de ley debe referirse a una misma materia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siendo</w:t>
      </w:r>
      <w:r w:rsidRPr="00F2273F">
        <w:rPr>
          <w:rFonts w:ascii="Times New Roman" w:hAnsi="Times New Roman" w:cs="Times New Roman"/>
          <w:sz w:val="28"/>
          <w:szCs w:val="28"/>
          <w:lang w:eastAsia="es-ES"/>
        </w:rPr>
        <w:t xml:space="preserve"> inadmisibles aquellas disposiciones o modificaciones que sean extrañas al objeto general</w:t>
      </w:r>
      <w:r w:rsidRPr="00F2273F">
        <w:rPr>
          <w:rFonts w:ascii="Times New Roman" w:hAnsi="Times New Roman" w:cs="Times New Roman"/>
          <w:sz w:val="28"/>
          <w:szCs w:val="28"/>
          <w:lang w:eastAsia="es-ES"/>
        </w:rPr>
        <w:t xml:space="preserve"> de aquel</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Para verificar el cumplimiento de este principio en </w:t>
      </w:r>
      <w:r w:rsidRPr="00F2273F">
        <w:rPr>
          <w:rFonts w:ascii="Times New Roman" w:hAnsi="Times New Roman" w:cs="Times New Roman"/>
          <w:sz w:val="28"/>
          <w:szCs w:val="28"/>
          <w:lang w:eastAsia="es-ES"/>
        </w:rPr>
        <w:t>la ley</w:t>
      </w:r>
      <w:r w:rsidRPr="00F2273F">
        <w:rPr>
          <w:rFonts w:ascii="Times New Roman" w:hAnsi="Times New Roman" w:cs="Times New Roman"/>
          <w:sz w:val="28"/>
          <w:szCs w:val="28"/>
          <w:lang w:eastAsia="es-ES"/>
        </w:rPr>
        <w:t xml:space="preserve"> aprobatoria del plan</w:t>
      </w:r>
      <w:r w:rsidRPr="00F2273F">
        <w:rPr>
          <w:rFonts w:ascii="Times New Roman" w:hAnsi="Times New Roman" w:cs="Times New Roman"/>
          <w:sz w:val="28"/>
          <w:szCs w:val="28"/>
          <w:lang w:eastAsia="es-ES"/>
        </w:rPr>
        <w:t xml:space="preserve"> nacional de desarrollo</w:t>
      </w:r>
      <w:r w:rsidRPr="00F2273F">
        <w:rPr>
          <w:rFonts w:ascii="Times New Roman" w:hAnsi="Times New Roman" w:cs="Times New Roman"/>
          <w:sz w:val="28"/>
          <w:szCs w:val="28"/>
          <w:lang w:eastAsia="es-ES"/>
        </w:rPr>
        <w:t xml:space="preserve"> y por las características mismas de esta</w:t>
      </w:r>
      <w:r w:rsidRPr="00F2273F">
        <w:rPr>
          <w:rFonts w:ascii="Times New Roman" w:hAnsi="Times New Roman" w:cs="Times New Roman"/>
          <w:sz w:val="28"/>
          <w:szCs w:val="28"/>
          <w:lang w:eastAsia="es-ES"/>
        </w:rPr>
        <w:t xml:space="preserve">, se </w:t>
      </w:r>
      <w:r w:rsidRPr="00F2273F">
        <w:rPr>
          <w:rFonts w:ascii="Times New Roman" w:hAnsi="Times New Roman" w:cs="Times New Roman"/>
          <w:sz w:val="28"/>
          <w:szCs w:val="28"/>
          <w:lang w:eastAsia="es-ES"/>
        </w:rPr>
        <w:t xml:space="preserve">aplican </w:t>
      </w:r>
      <w:r w:rsidRPr="00F2273F">
        <w:rPr>
          <w:rFonts w:ascii="Times New Roman" w:hAnsi="Times New Roman" w:cs="Times New Roman"/>
          <w:sz w:val="28"/>
          <w:szCs w:val="28"/>
          <w:lang w:eastAsia="es-ES"/>
        </w:rPr>
        <w:t xml:space="preserve">unos criterios </w:t>
      </w:r>
      <w:r w:rsidRPr="00F2273F">
        <w:rPr>
          <w:rFonts w:ascii="Times New Roman" w:hAnsi="Times New Roman" w:cs="Times New Roman"/>
          <w:sz w:val="28"/>
          <w:szCs w:val="28"/>
          <w:lang w:eastAsia="es-ES"/>
        </w:rPr>
        <w:t xml:space="preserve">más </w:t>
      </w:r>
      <w:r w:rsidRPr="00F2273F">
        <w:rPr>
          <w:rFonts w:ascii="Times New Roman" w:hAnsi="Times New Roman" w:cs="Times New Roman"/>
          <w:sz w:val="28"/>
          <w:szCs w:val="28"/>
          <w:lang w:eastAsia="es-ES"/>
        </w:rPr>
        <w:t>rigurosos</w:t>
      </w:r>
      <w:r w:rsidRPr="00F2273F">
        <w:rPr>
          <w:rFonts w:ascii="Times New Roman" w:hAnsi="Times New Roman" w:cs="Times New Roman"/>
          <w:sz w:val="28"/>
          <w:szCs w:val="28"/>
          <w:lang w:eastAsia="es-ES"/>
        </w:rPr>
        <w:t xml:space="preserve"> que los exigibles </w:t>
      </w:r>
      <w:r w:rsidRPr="00F2273F">
        <w:rPr>
          <w:rFonts w:ascii="Times New Roman" w:hAnsi="Times New Roman" w:cs="Times New Roman"/>
          <w:sz w:val="28"/>
          <w:szCs w:val="28"/>
          <w:lang w:eastAsia="es-ES"/>
        </w:rPr>
        <w:t xml:space="preserve">respecto </w:t>
      </w:r>
      <w:r w:rsidRPr="00F2273F">
        <w:rPr>
          <w:rFonts w:ascii="Times New Roman" w:hAnsi="Times New Roman" w:cs="Times New Roman"/>
          <w:sz w:val="28"/>
          <w:szCs w:val="28"/>
          <w:lang w:eastAsia="es-ES"/>
        </w:rPr>
        <w:t>de una ley ordinaria</w:t>
      </w:r>
      <w:r w:rsidRPr="00F2273F">
        <w:rPr>
          <w:rFonts w:ascii="Times New Roman" w:hAnsi="Times New Roman" w:cs="Times New Roman"/>
          <w:sz w:val="28"/>
          <w:szCs w:val="28"/>
          <w:lang w:eastAsia="es-ES"/>
        </w:rPr>
        <w:t>.</w:t>
      </w:r>
    </w:p>
    <w:p w:rsidR="005D2DB9" w:rsidRPr="00F2273F" w:rsidRDefault="00F2273F" w:rsidP="005D2DB9">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5D2DB9"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Vista su naturaleza planificadora, la ley del plan se ha definido como </w:t>
      </w:r>
      <w:r w:rsidRPr="00F2273F">
        <w:rPr>
          <w:rFonts w:ascii="Times New Roman" w:hAnsi="Times New Roman" w:cs="Times New Roman"/>
          <w:sz w:val="28"/>
          <w:szCs w:val="28"/>
          <w:lang w:eastAsia="es-ES"/>
        </w:rPr>
        <w:t>multitemática y heterogénea</w:t>
      </w:r>
      <w:r w:rsidRPr="00F2273F">
        <w:rPr>
          <w:rStyle w:val="Refdenotaalpie"/>
          <w:rFonts w:ascii="Times New Roman" w:hAnsi="Times New Roman" w:cs="Times New Roman"/>
          <w:sz w:val="28"/>
          <w:szCs w:val="28"/>
          <w:lang w:eastAsia="es-ES"/>
        </w:rPr>
        <w:footnoteReference w:id="66"/>
      </w:r>
      <w:r w:rsidRPr="00F2273F">
        <w:rPr>
          <w:rFonts w:ascii="Times New Roman" w:hAnsi="Times New Roman" w:cs="Times New Roman"/>
          <w:sz w:val="28"/>
          <w:szCs w:val="28"/>
          <w:lang w:eastAsia="es-ES"/>
        </w:rPr>
        <w:t xml:space="preserve">, de manera que </w:t>
      </w:r>
      <w:r w:rsidRPr="00F2273F">
        <w:rPr>
          <w:rFonts w:ascii="Times New Roman" w:hAnsi="Times New Roman" w:cs="Times New Roman"/>
          <w:sz w:val="28"/>
          <w:szCs w:val="28"/>
          <w:lang w:eastAsia="es-ES"/>
        </w:rPr>
        <w:t xml:space="preserve">su </w:t>
      </w:r>
      <w:r w:rsidRPr="00F2273F">
        <w:rPr>
          <w:rFonts w:ascii="Times New Roman" w:hAnsi="Times New Roman" w:cs="Times New Roman"/>
          <w:sz w:val="28"/>
          <w:szCs w:val="28"/>
          <w:lang w:eastAsia="es-ES"/>
        </w:rPr>
        <w:t xml:space="preserve">articulado debe guardar una </w:t>
      </w:r>
      <w:r w:rsidRPr="00F2273F">
        <w:rPr>
          <w:rFonts w:ascii="Times New Roman" w:hAnsi="Times New Roman" w:cs="Times New Roman"/>
          <w:sz w:val="28"/>
          <w:szCs w:val="28"/>
          <w:lang w:eastAsia="es-ES"/>
        </w:rPr>
        <w:t>relación</w:t>
      </w:r>
      <w:r w:rsidRPr="00F2273F">
        <w:rPr>
          <w:rFonts w:ascii="Times New Roman" w:hAnsi="Times New Roman" w:cs="Times New Roman"/>
          <w:sz w:val="28"/>
          <w:szCs w:val="28"/>
          <w:lang w:eastAsia="es-ES"/>
        </w:rPr>
        <w:t xml:space="preserve"> entre sí. </w:t>
      </w:r>
      <w:r w:rsidRPr="00F2273F">
        <w:rPr>
          <w:rFonts w:ascii="Times New Roman" w:hAnsi="Times New Roman" w:cs="Times New Roman"/>
          <w:sz w:val="28"/>
          <w:szCs w:val="28"/>
          <w:lang w:eastAsia="es-ES"/>
        </w:rPr>
        <w:t>En efecto,</w:t>
      </w:r>
      <w:r w:rsidRPr="00F2273F">
        <w:rPr>
          <w:rFonts w:ascii="Times New Roman" w:hAnsi="Times New Roman" w:cs="Times New Roman"/>
          <w:sz w:val="28"/>
          <w:szCs w:val="28"/>
          <w:lang w:eastAsia="es-ES"/>
        </w:rPr>
        <w:t xml:space="preserve"> la jurisprudencia constitucional ha establecido que la ley que aprueba el plan está compuesta por: (a) los propósitos y objetivos nacionales de largo p</w:t>
      </w:r>
      <w:r w:rsidRPr="00F2273F">
        <w:rPr>
          <w:rFonts w:ascii="Times New Roman" w:hAnsi="Times New Roman" w:cs="Times New Roman"/>
          <w:sz w:val="28"/>
          <w:szCs w:val="28"/>
          <w:lang w:eastAsia="es-ES"/>
        </w:rPr>
        <w:t>lazo, (b) las metas y prioridades de la acción estatal a mediano plazo, (c) las estrategias y orientaciones generales de la política económica, social y ambiental que serán adoptadas por el Gobierno, (d) los presupuestos plurianuales de los principales pro</w:t>
      </w:r>
      <w:r w:rsidRPr="00F2273F">
        <w:rPr>
          <w:rFonts w:ascii="Times New Roman" w:hAnsi="Times New Roman" w:cs="Times New Roman"/>
          <w:sz w:val="28"/>
          <w:szCs w:val="28"/>
          <w:lang w:eastAsia="es-ES"/>
        </w:rPr>
        <w:t>gramas y proyectos de inversión pública nacional, (e) los recursos financieros requeridos y (f) las normas jurídicas necesarias para su ejecución</w:t>
      </w:r>
      <w:r w:rsidRPr="00F2273F">
        <w:rPr>
          <w:rFonts w:ascii="Times New Roman" w:hAnsi="Times New Roman" w:cs="Times New Roman"/>
          <w:sz w:val="28"/>
          <w:szCs w:val="28"/>
          <w:vertAlign w:val="superscript"/>
          <w:lang w:eastAsia="es-ES"/>
        </w:rPr>
        <w:footnoteReference w:id="67"/>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En este contexto, el principio de unidad de materia restringe la posibilidad de que se incorporen disposicio</w:t>
      </w:r>
      <w:r w:rsidRPr="00F2273F">
        <w:rPr>
          <w:rFonts w:ascii="Times New Roman" w:hAnsi="Times New Roman" w:cs="Times New Roman"/>
          <w:sz w:val="28"/>
          <w:szCs w:val="28"/>
          <w:lang w:eastAsia="es-ES"/>
        </w:rPr>
        <w:t xml:space="preserve">nes </w:t>
      </w:r>
      <w:r w:rsidRPr="00F2273F">
        <w:rPr>
          <w:rFonts w:ascii="Times New Roman" w:hAnsi="Times New Roman" w:cs="Times New Roman"/>
          <w:sz w:val="28"/>
          <w:szCs w:val="28"/>
          <w:lang w:eastAsia="es-ES"/>
        </w:rPr>
        <w:t xml:space="preserve">incongruentes </w:t>
      </w:r>
      <w:r w:rsidRPr="00F2273F">
        <w:rPr>
          <w:rFonts w:ascii="Times New Roman" w:hAnsi="Times New Roman" w:cs="Times New Roman"/>
          <w:sz w:val="28"/>
          <w:szCs w:val="28"/>
          <w:lang w:eastAsia="es-ES"/>
        </w:rPr>
        <w:t xml:space="preserve">y aisladas de </w:t>
      </w:r>
      <w:r w:rsidRPr="00F2273F">
        <w:rPr>
          <w:rFonts w:ascii="Times New Roman" w:hAnsi="Times New Roman" w:cs="Times New Roman"/>
          <w:sz w:val="28"/>
          <w:szCs w:val="28"/>
          <w:lang w:eastAsia="es-ES"/>
        </w:rPr>
        <w:t>los contenidos mencionados.</w:t>
      </w:r>
    </w:p>
    <w:p w:rsidR="005D2DB9" w:rsidRPr="00F2273F" w:rsidRDefault="00F2273F" w:rsidP="005D2DB9">
      <w:pPr>
        <w:pStyle w:val="Prrafodelista"/>
        <w:spacing w:line="240" w:lineRule="auto"/>
        <w:rPr>
          <w:rFonts w:ascii="Times New Roman" w:hAnsi="Times New Roman" w:cs="Times New Roman"/>
          <w:sz w:val="28"/>
          <w:szCs w:val="28"/>
          <w:lang w:eastAsia="es-ES"/>
        </w:rPr>
      </w:pPr>
    </w:p>
    <w:p w:rsidR="00544102"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Bajo esa lógica, serán acordes a la Constitución aquellas </w:t>
      </w:r>
      <w:r w:rsidRPr="00F2273F">
        <w:rPr>
          <w:rFonts w:ascii="Times New Roman" w:hAnsi="Times New Roman" w:cs="Times New Roman"/>
          <w:sz w:val="28"/>
          <w:szCs w:val="28"/>
          <w:lang w:eastAsia="es-ES"/>
        </w:rPr>
        <w:t xml:space="preserve">normas </w:t>
      </w:r>
      <w:r w:rsidRPr="00F2273F">
        <w:rPr>
          <w:rFonts w:ascii="Times New Roman" w:hAnsi="Times New Roman" w:cs="Times New Roman"/>
          <w:sz w:val="28"/>
          <w:szCs w:val="28"/>
          <w:lang w:eastAsia="es-ES"/>
        </w:rPr>
        <w:t xml:space="preserve">que guarden relación con la </w:t>
      </w:r>
      <w:r w:rsidRPr="00F2273F">
        <w:rPr>
          <w:rFonts w:ascii="Times New Roman" w:hAnsi="Times New Roman" w:cs="Times New Roman"/>
          <w:sz w:val="28"/>
          <w:szCs w:val="28"/>
          <w:lang w:eastAsia="es-ES"/>
        </w:rPr>
        <w:t>materia de</w:t>
      </w:r>
      <w:r w:rsidRPr="00F2273F">
        <w:rPr>
          <w:rFonts w:ascii="Times New Roman" w:hAnsi="Times New Roman" w:cs="Times New Roman"/>
          <w:sz w:val="28"/>
          <w:szCs w:val="28"/>
          <w:lang w:eastAsia="es-ES"/>
        </w:rPr>
        <w:t xml:space="preserve"> la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ley del plan. </w:t>
      </w: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sa conexidad implica “[establecer] la existencia de una ‘conexión directa</w:t>
      </w:r>
      <w:r w:rsidRPr="00F2273F">
        <w:rPr>
          <w:rFonts w:ascii="Times New Roman" w:hAnsi="Times New Roman" w:cs="Times New Roman"/>
          <w:sz w:val="28"/>
          <w:szCs w:val="28"/>
          <w:lang w:eastAsia="es-ES"/>
        </w:rPr>
        <w:t xml:space="preserve"> e inmediata (estrecha y verificable)’ entre la parte general del Plan y las disposiciones destinadas a impulsar su cumplimiento; por tanto, las normas instrumentales objeto de análisis deberán llevar inequívocamente al logro de lo planteado en los compone</w:t>
      </w:r>
      <w:r w:rsidRPr="00F2273F">
        <w:rPr>
          <w:rFonts w:ascii="Times New Roman" w:hAnsi="Times New Roman" w:cs="Times New Roman"/>
          <w:sz w:val="28"/>
          <w:szCs w:val="28"/>
          <w:lang w:eastAsia="es-ES"/>
        </w:rPr>
        <w:t>ntes de la parte general”</w:t>
      </w:r>
      <w:r w:rsidRPr="00F2273F">
        <w:rPr>
          <w:rStyle w:val="Refdenotaalpie"/>
          <w:rFonts w:ascii="Times New Roman" w:hAnsi="Times New Roman" w:cs="Times New Roman"/>
          <w:sz w:val="28"/>
          <w:szCs w:val="28"/>
          <w:lang w:eastAsia="es-ES"/>
        </w:rPr>
        <w:footnoteReference w:id="68"/>
      </w:r>
      <w:r w:rsidRPr="00F2273F">
        <w:rPr>
          <w:rFonts w:ascii="Times New Roman" w:hAnsi="Times New Roman" w:cs="Times New Roman"/>
          <w:sz w:val="28"/>
          <w:szCs w:val="28"/>
          <w:lang w:eastAsia="es-ES"/>
        </w:rPr>
        <w:t xml:space="preserve">. </w:t>
      </w:r>
    </w:p>
    <w:p w:rsidR="00544102" w:rsidRPr="00F2273F" w:rsidRDefault="00F2273F" w:rsidP="00544102">
      <w:pPr>
        <w:pStyle w:val="Prrafodelista"/>
        <w:rPr>
          <w:rFonts w:ascii="Times New Roman" w:hAnsi="Times New Roman" w:cs="Times New Roman"/>
          <w:sz w:val="28"/>
          <w:szCs w:val="28"/>
          <w:lang w:eastAsia="es-ES"/>
        </w:rPr>
      </w:pPr>
    </w:p>
    <w:p w:rsidR="00544102"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Sobre la mención a la </w:t>
      </w:r>
      <w:r w:rsidRPr="00F2273F">
        <w:rPr>
          <w:rFonts w:ascii="Times New Roman" w:hAnsi="Times New Roman" w:cs="Times New Roman"/>
          <w:i/>
          <w:iCs/>
          <w:sz w:val="28"/>
          <w:szCs w:val="28"/>
          <w:lang w:eastAsia="es-ES"/>
        </w:rPr>
        <w:t xml:space="preserve">parte general, </w:t>
      </w:r>
      <w:r w:rsidRPr="00F2273F">
        <w:rPr>
          <w:rFonts w:ascii="Times New Roman" w:hAnsi="Times New Roman" w:cs="Times New Roman"/>
          <w:sz w:val="28"/>
          <w:szCs w:val="28"/>
          <w:lang w:eastAsia="es-ES"/>
        </w:rPr>
        <w:t xml:space="preserve">esta </w:t>
      </w:r>
      <w:r w:rsidRPr="00F2273F">
        <w:rPr>
          <w:rFonts w:ascii="Times New Roman" w:hAnsi="Times New Roman" w:cs="Times New Roman"/>
          <w:sz w:val="28"/>
          <w:szCs w:val="28"/>
          <w:lang w:eastAsia="es-ES"/>
        </w:rPr>
        <w:t xml:space="preserve">corporación </w:t>
      </w:r>
      <w:r w:rsidRPr="00F2273F">
        <w:rPr>
          <w:rFonts w:ascii="Times New Roman" w:hAnsi="Times New Roman" w:cs="Times New Roman"/>
          <w:sz w:val="28"/>
          <w:szCs w:val="28"/>
          <w:lang w:eastAsia="es-ES"/>
        </w:rPr>
        <w:t>indicó</w:t>
      </w:r>
      <w:r w:rsidRPr="00F2273F">
        <w:rPr>
          <w:rFonts w:ascii="Times New Roman" w:hAnsi="Times New Roman" w:cs="Times New Roman"/>
          <w:sz w:val="28"/>
          <w:szCs w:val="28"/>
          <w:lang w:eastAsia="es-ES"/>
        </w:rPr>
        <w:t xml:space="preserve"> que hace referencia al componente de </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estrategias y orientaciones generales de las políticas que adoptará el Gobierno durante el respectivo período cuatrienal</w:t>
      </w:r>
      <w:r w:rsidRPr="00F2273F">
        <w:rPr>
          <w:rFonts w:ascii="Times New Roman" w:hAnsi="Times New Roman" w:cs="Times New Roman"/>
          <w:sz w:val="28"/>
          <w:szCs w:val="28"/>
          <w:lang w:eastAsia="es-ES"/>
        </w:rPr>
        <w:t>”</w:t>
      </w:r>
      <w:r w:rsidRPr="00F2273F">
        <w:rPr>
          <w:rStyle w:val="Refdenotaalpie"/>
          <w:rFonts w:ascii="Times New Roman" w:hAnsi="Times New Roman" w:cs="Times New Roman"/>
          <w:sz w:val="28"/>
          <w:szCs w:val="28"/>
          <w:lang w:eastAsia="es-ES"/>
        </w:rPr>
        <w:footnoteReference w:id="69"/>
      </w:r>
      <w:r w:rsidRPr="00F2273F">
        <w:rPr>
          <w:rFonts w:ascii="Times New Roman" w:hAnsi="Times New Roman" w:cs="Times New Roman"/>
          <w:sz w:val="28"/>
          <w:szCs w:val="28"/>
          <w:lang w:eastAsia="es-ES"/>
        </w:rPr>
        <w:t xml:space="preserve">. Son precisamente esas estrategias y orientaciones generales de política que se pretenden alcanzar en el respectivo cuatrienio las que concretan los objetivos y metas de la acción estatal de mediano y largo plazo señaladas en el plan, </w:t>
      </w:r>
      <w:r w:rsidRPr="00F2273F">
        <w:rPr>
          <w:rFonts w:ascii="Times New Roman" w:hAnsi="Times New Roman" w:cs="Times New Roman"/>
          <w:sz w:val="28"/>
          <w:szCs w:val="28"/>
          <w:lang w:eastAsia="es-ES"/>
        </w:rPr>
        <w:t>así como las</w:t>
      </w:r>
      <w:r w:rsidRPr="00F2273F">
        <w:rPr>
          <w:rFonts w:ascii="Times New Roman" w:hAnsi="Times New Roman" w:cs="Times New Roman"/>
          <w:sz w:val="28"/>
          <w:szCs w:val="28"/>
          <w:lang w:eastAsia="es-ES"/>
        </w:rPr>
        <w:t xml:space="preserve"> medidas</w:t>
      </w:r>
      <w:r w:rsidRPr="00F2273F">
        <w:rPr>
          <w:rFonts w:ascii="Times New Roman" w:hAnsi="Times New Roman" w:cs="Times New Roman"/>
          <w:sz w:val="28"/>
          <w:szCs w:val="28"/>
          <w:lang w:eastAsia="es-ES"/>
        </w:rPr>
        <w:t xml:space="preserve"> para impulsar el cumplimiento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tanto de la parte general como del plan de inversiones, </w:t>
      </w:r>
      <w:r w:rsidRPr="00F2273F">
        <w:rPr>
          <w:rFonts w:ascii="Times New Roman" w:hAnsi="Times New Roman" w:cs="Times New Roman"/>
          <w:sz w:val="28"/>
          <w:szCs w:val="28"/>
          <w:lang w:eastAsia="es-ES"/>
        </w:rPr>
        <w:t xml:space="preserve">según </w:t>
      </w:r>
      <w:r w:rsidRPr="00F2273F">
        <w:rPr>
          <w:rFonts w:ascii="Times New Roman" w:hAnsi="Times New Roman" w:cs="Times New Roman"/>
          <w:sz w:val="28"/>
          <w:szCs w:val="28"/>
          <w:lang w:eastAsia="es-ES"/>
        </w:rPr>
        <w:t>lo establece el artículo 5.c de la Ley 152 de 1994</w:t>
      </w:r>
      <w:r w:rsidRPr="00F2273F">
        <w:rPr>
          <w:rStyle w:val="Refdenotaalpie"/>
          <w:rFonts w:ascii="Times New Roman" w:hAnsi="Times New Roman" w:cs="Times New Roman"/>
          <w:sz w:val="28"/>
          <w:szCs w:val="28"/>
          <w:lang w:eastAsia="es-ES"/>
        </w:rPr>
        <w:footnoteReference w:id="70"/>
      </w:r>
      <w:r w:rsidRPr="00F2273F">
        <w:rPr>
          <w:rFonts w:ascii="Times New Roman" w:hAnsi="Times New Roman" w:cs="Times New Roman"/>
          <w:sz w:val="28"/>
          <w:szCs w:val="28"/>
          <w:lang w:eastAsia="es-ES"/>
        </w:rPr>
        <w:t>.</w:t>
      </w:r>
    </w:p>
    <w:p w:rsidR="00544102" w:rsidRPr="00F2273F" w:rsidRDefault="00F2273F" w:rsidP="00544102">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826B18" w:rsidRPr="00F2273F" w:rsidRDefault="00F2273F" w:rsidP="004862D8">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Ahora bien, sobre </w:t>
      </w:r>
      <w:r w:rsidRPr="00F2273F">
        <w:rPr>
          <w:rFonts w:ascii="Times New Roman" w:hAnsi="Times New Roman" w:cs="Times New Roman"/>
          <w:sz w:val="28"/>
          <w:szCs w:val="28"/>
          <w:lang w:eastAsia="es-ES"/>
        </w:rPr>
        <w:t>las disposiciones</w:t>
      </w:r>
      <w:r w:rsidRPr="00F2273F">
        <w:rPr>
          <w:rFonts w:ascii="Times New Roman" w:hAnsi="Times New Roman" w:cs="Times New Roman"/>
          <w:sz w:val="28"/>
          <w:szCs w:val="28"/>
          <w:lang w:eastAsia="es-ES"/>
        </w:rPr>
        <w:t xml:space="preserve"> de carácter per</w:t>
      </w:r>
      <w:r w:rsidRPr="00F2273F">
        <w:rPr>
          <w:rFonts w:ascii="Times New Roman" w:hAnsi="Times New Roman" w:cs="Times New Roman"/>
          <w:sz w:val="28"/>
          <w:szCs w:val="28"/>
          <w:lang w:eastAsia="es-ES"/>
        </w:rPr>
        <w:t>manente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o que </w:t>
      </w:r>
      <w:r w:rsidRPr="00F2273F">
        <w:rPr>
          <w:rFonts w:ascii="Times New Roman" w:hAnsi="Times New Roman" w:cs="Times New Roman"/>
          <w:sz w:val="28"/>
          <w:szCs w:val="28"/>
          <w:lang w:eastAsia="es-ES"/>
        </w:rPr>
        <w:t>signifiquen</w:t>
      </w:r>
      <w:r w:rsidRPr="00F2273F">
        <w:rPr>
          <w:rFonts w:ascii="Times New Roman" w:hAnsi="Times New Roman" w:cs="Times New Roman"/>
          <w:sz w:val="28"/>
          <w:szCs w:val="28"/>
          <w:lang w:eastAsia="es-ES"/>
        </w:rPr>
        <w:t xml:space="preserve"> una modificación normativa de c</w:t>
      </w:r>
      <w:r w:rsidRPr="00F2273F">
        <w:rPr>
          <w:rFonts w:ascii="Times New Roman" w:hAnsi="Times New Roman" w:cs="Times New Roman"/>
          <w:sz w:val="28"/>
          <w:szCs w:val="28"/>
          <w:lang w:eastAsia="es-ES"/>
        </w:rPr>
        <w:t xml:space="preserve">arácter estructural </w:t>
      </w:r>
      <w:r w:rsidRPr="00F2273F">
        <w:rPr>
          <w:rFonts w:ascii="Times New Roman" w:hAnsi="Times New Roman" w:cs="Times New Roman"/>
          <w:sz w:val="28"/>
          <w:szCs w:val="28"/>
          <w:lang w:eastAsia="es-ES"/>
        </w:rPr>
        <w:t xml:space="preserve">en el </w:t>
      </w:r>
      <w:r w:rsidRPr="00F2273F">
        <w:rPr>
          <w:rFonts w:ascii="Times New Roman" w:hAnsi="Times New Roman" w:cs="Times New Roman"/>
          <w:sz w:val="28"/>
          <w:szCs w:val="28"/>
          <w:lang w:eastAsia="es-ES"/>
        </w:rPr>
        <w:t>plan nacional de desarrollo</w:t>
      </w:r>
      <w:r w:rsidRPr="00F2273F">
        <w:rPr>
          <w:rFonts w:ascii="Times New Roman" w:hAnsi="Times New Roman" w:cs="Times New Roman"/>
          <w:sz w:val="28"/>
          <w:szCs w:val="28"/>
          <w:lang w:eastAsia="es-ES"/>
        </w:rPr>
        <w:t xml:space="preserve">, la Corte </w:t>
      </w:r>
      <w:r w:rsidRPr="00F2273F">
        <w:rPr>
          <w:rFonts w:ascii="Times New Roman" w:hAnsi="Times New Roman" w:cs="Times New Roman"/>
          <w:sz w:val="28"/>
          <w:szCs w:val="28"/>
          <w:lang w:eastAsia="es-ES"/>
        </w:rPr>
        <w:t xml:space="preserve">Constitucional </w:t>
      </w:r>
      <w:r w:rsidRPr="00F2273F">
        <w:rPr>
          <w:rFonts w:ascii="Times New Roman" w:hAnsi="Times New Roman" w:cs="Times New Roman"/>
          <w:sz w:val="28"/>
          <w:szCs w:val="28"/>
          <w:lang w:eastAsia="es-ES"/>
        </w:rPr>
        <w:t>ha sostenido</w:t>
      </w:r>
      <w:r w:rsidRPr="00F2273F">
        <w:rPr>
          <w:rFonts w:ascii="Times New Roman" w:hAnsi="Times New Roman" w:cs="Times New Roman"/>
          <w:sz w:val="28"/>
          <w:szCs w:val="28"/>
          <w:lang w:eastAsia="es-ES"/>
        </w:rPr>
        <w:t xml:space="preserve"> que </w:t>
      </w:r>
      <w:r w:rsidRPr="00F2273F">
        <w:rPr>
          <w:rFonts w:ascii="Times New Roman" w:hAnsi="Times New Roman" w:cs="Times New Roman"/>
          <w:sz w:val="28"/>
          <w:szCs w:val="28"/>
          <w:lang w:eastAsia="es-ES"/>
        </w:rPr>
        <w:t>su inclusión constituye un indicio de inconstitucionalidad</w:t>
      </w:r>
      <w:r w:rsidRPr="00F2273F">
        <w:rPr>
          <w:rStyle w:val="Refdenotaalpie"/>
          <w:rFonts w:ascii="Times New Roman" w:hAnsi="Times New Roman" w:cs="Times New Roman"/>
          <w:sz w:val="28"/>
          <w:szCs w:val="28"/>
          <w:lang w:eastAsia="es-ES"/>
        </w:rPr>
        <w:footnoteReference w:id="71"/>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Esto, </w:t>
      </w:r>
      <w:r w:rsidRPr="00F2273F">
        <w:rPr>
          <w:rFonts w:ascii="Times New Roman" w:hAnsi="Times New Roman" w:cs="Times New Roman"/>
          <w:sz w:val="28"/>
          <w:szCs w:val="28"/>
          <w:lang w:eastAsia="es-ES"/>
        </w:rPr>
        <w:t>en atención a la regla de respeto por las competencias legislativas ordinarias permanentes</w:t>
      </w:r>
      <w:r w:rsidRPr="00F2273F">
        <w:rPr>
          <w:rStyle w:val="Refdenotaalpie"/>
          <w:rFonts w:ascii="Times New Roman" w:hAnsi="Times New Roman" w:cs="Times New Roman"/>
          <w:sz w:val="28"/>
          <w:szCs w:val="28"/>
          <w:lang w:eastAsia="es-ES"/>
        </w:rPr>
        <w:footnoteReference w:id="72"/>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Si bien se atribuye al Congreso de la República la función de aprobar el plan nacional de desarrollo y de inversiones públicas (artículo</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150.3, </w:t>
      </w:r>
      <w:r w:rsidRPr="00F2273F">
        <w:rPr>
          <w:rFonts w:ascii="Times New Roman" w:hAnsi="Times New Roman" w:cs="Times New Roman"/>
          <w:sz w:val="28"/>
          <w:szCs w:val="28"/>
          <w:lang w:eastAsia="es-ES"/>
        </w:rPr>
        <w:t xml:space="preserve">339 y 341 </w:t>
      </w:r>
      <w:r w:rsidRPr="00F2273F">
        <w:rPr>
          <w:rFonts w:ascii="Times New Roman" w:hAnsi="Times New Roman" w:cs="Times New Roman"/>
          <w:sz w:val="28"/>
          <w:szCs w:val="28"/>
          <w:lang w:eastAsia="es-ES"/>
        </w:rPr>
        <w:t xml:space="preserve">C.P.), en principio los artículos que hagan parte de esos planes no </w:t>
      </w:r>
      <w:r w:rsidRPr="00F2273F">
        <w:rPr>
          <w:rFonts w:ascii="Times New Roman" w:hAnsi="Times New Roman" w:cs="Times New Roman"/>
          <w:sz w:val="28"/>
          <w:szCs w:val="28"/>
          <w:lang w:eastAsia="es-ES"/>
        </w:rPr>
        <w:t>tendrían que pertenecer a los asu</w:t>
      </w:r>
      <w:r w:rsidRPr="00F2273F">
        <w:rPr>
          <w:rFonts w:ascii="Times New Roman" w:hAnsi="Times New Roman" w:cs="Times New Roman"/>
          <w:sz w:val="28"/>
          <w:szCs w:val="28"/>
          <w:lang w:eastAsia="es-ES"/>
        </w:rPr>
        <w:t>ntos objeto de</w:t>
      </w:r>
      <w:r w:rsidRPr="00F2273F">
        <w:rPr>
          <w:rFonts w:ascii="Times New Roman" w:hAnsi="Times New Roman" w:cs="Times New Roman"/>
          <w:sz w:val="28"/>
          <w:szCs w:val="28"/>
          <w:lang w:eastAsia="es-ES"/>
        </w:rPr>
        <w:t xml:space="preserve"> la competencia general del legislativo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lo cual busca evitar</w:t>
      </w:r>
      <w:r w:rsidRPr="00F2273F">
        <w:rPr>
          <w:rFonts w:ascii="Times New Roman" w:hAnsi="Times New Roman" w:cs="Times New Roman"/>
          <w:sz w:val="28"/>
          <w:szCs w:val="28"/>
          <w:lang w:eastAsia="es-ES"/>
        </w:rPr>
        <w:t xml:space="preserve"> que se subsuman o reduzcan las funciones constitucionales restantes del legislador</w:t>
      </w:r>
      <w:r w:rsidRPr="00F2273F">
        <w:rPr>
          <w:rStyle w:val="Refdenotaalpie"/>
          <w:rFonts w:ascii="Times New Roman" w:hAnsi="Times New Roman" w:cs="Times New Roman"/>
          <w:sz w:val="28"/>
          <w:szCs w:val="28"/>
          <w:lang w:eastAsia="es-ES"/>
        </w:rPr>
        <w:footnoteReference w:id="73"/>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p>
    <w:p w:rsidR="00335074" w:rsidRPr="00F2273F" w:rsidRDefault="00F2273F" w:rsidP="00335074">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FB37FA" w:rsidRPr="00F2273F" w:rsidRDefault="00F2273F" w:rsidP="009A0271">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Con todo, n</w:t>
      </w:r>
      <w:r w:rsidRPr="00F2273F">
        <w:rPr>
          <w:rFonts w:ascii="Times New Roman" w:hAnsi="Times New Roman" w:cs="Times New Roman"/>
          <w:sz w:val="28"/>
          <w:szCs w:val="28"/>
          <w:lang w:eastAsia="es-ES"/>
        </w:rPr>
        <w:t xml:space="preserve">o se </w:t>
      </w:r>
      <w:r w:rsidRPr="00F2273F">
        <w:rPr>
          <w:rFonts w:ascii="Times New Roman" w:hAnsi="Times New Roman" w:cs="Times New Roman"/>
          <w:sz w:val="28"/>
          <w:szCs w:val="28"/>
          <w:lang w:eastAsia="es-ES"/>
        </w:rPr>
        <w:t>proscribe</w:t>
      </w:r>
      <w:r w:rsidRPr="00F2273F">
        <w:rPr>
          <w:rFonts w:ascii="Times New Roman" w:hAnsi="Times New Roman" w:cs="Times New Roman"/>
          <w:sz w:val="28"/>
          <w:szCs w:val="28"/>
          <w:lang w:eastAsia="es-ES"/>
        </w:rPr>
        <w:t xml:space="preserve"> de forma absoluta </w:t>
      </w:r>
      <w:r w:rsidRPr="00F2273F">
        <w:rPr>
          <w:rFonts w:ascii="Times New Roman" w:hAnsi="Times New Roman" w:cs="Times New Roman"/>
          <w:sz w:val="28"/>
          <w:szCs w:val="28"/>
          <w:lang w:eastAsia="es-ES"/>
        </w:rPr>
        <w:t xml:space="preserve">la modificación de leyes ordinarias de carácter </w:t>
      </w:r>
      <w:r w:rsidRPr="00F2273F">
        <w:rPr>
          <w:rFonts w:ascii="Times New Roman" w:hAnsi="Times New Roman" w:cs="Times New Roman"/>
          <w:sz w:val="28"/>
          <w:szCs w:val="28"/>
          <w:lang w:eastAsia="es-ES"/>
        </w:rPr>
        <w:t>permanente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o estructural </w:t>
      </w:r>
      <w:r w:rsidRPr="00F2273F">
        <w:rPr>
          <w:rFonts w:ascii="Times New Roman" w:hAnsi="Times New Roman" w:cs="Times New Roman"/>
          <w:sz w:val="28"/>
          <w:szCs w:val="28"/>
          <w:lang w:eastAsia="es-ES"/>
        </w:rPr>
        <w:t>por medio de la ley del plan nacional de desarrollo</w:t>
      </w:r>
      <w:r w:rsidRPr="00F2273F">
        <w:rPr>
          <w:rFonts w:ascii="Times New Roman" w:hAnsi="Times New Roman" w:cs="Times New Roman"/>
          <w:sz w:val="28"/>
          <w:szCs w:val="28"/>
          <w:lang w:eastAsia="es-ES"/>
        </w:rPr>
        <w:t>. Si</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una</w:t>
      </w:r>
      <w:r w:rsidRPr="00F2273F">
        <w:rPr>
          <w:rFonts w:ascii="Times New Roman" w:hAnsi="Times New Roman" w:cs="Times New Roman"/>
          <w:sz w:val="28"/>
          <w:szCs w:val="28"/>
          <w:lang w:eastAsia="es-ES"/>
        </w:rPr>
        <w:t xml:space="preserve"> disposición introduce </w:t>
      </w:r>
      <w:r w:rsidRPr="00F2273F">
        <w:rPr>
          <w:rFonts w:ascii="Times New Roman" w:hAnsi="Times New Roman" w:cs="Times New Roman"/>
          <w:sz w:val="28"/>
          <w:szCs w:val="28"/>
          <w:lang w:eastAsia="es-ES"/>
        </w:rPr>
        <w:t>cambios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con vocación de permanencia</w:t>
      </w:r>
      <w:r w:rsidRPr="00F2273F">
        <w:rPr>
          <w:rFonts w:ascii="Times New Roman" w:hAnsi="Times New Roman" w:cs="Times New Roman"/>
          <w:sz w:val="28"/>
          <w:szCs w:val="28"/>
          <w:lang w:eastAsia="es-ES"/>
        </w:rPr>
        <w:t xml:space="preserve"> o </w:t>
      </w:r>
      <w:r w:rsidRPr="00F2273F">
        <w:rPr>
          <w:rFonts w:ascii="Times New Roman" w:hAnsi="Times New Roman" w:cs="Times New Roman"/>
          <w:sz w:val="28"/>
          <w:szCs w:val="28"/>
          <w:lang w:eastAsia="es-ES"/>
        </w:rPr>
        <w:t xml:space="preserve">su </w:t>
      </w:r>
      <w:r w:rsidRPr="00F2273F">
        <w:rPr>
          <w:rFonts w:ascii="Times New Roman" w:hAnsi="Times New Roman" w:cs="Times New Roman"/>
          <w:sz w:val="28"/>
          <w:szCs w:val="28"/>
          <w:lang w:eastAsia="es-ES"/>
        </w:rPr>
        <w:t>vigencia supera el lapso cuatrienal</w:t>
      </w:r>
      <w:r w:rsidRPr="00F2273F">
        <w:rPr>
          <w:rFonts w:ascii="Times New Roman" w:hAnsi="Times New Roman" w:cs="Times New Roman"/>
          <w:sz w:val="28"/>
          <w:szCs w:val="28"/>
          <w:lang w:eastAsia="es-ES"/>
        </w:rPr>
        <w:t xml:space="preserve"> propi</w:t>
      </w:r>
      <w:r w:rsidRPr="00F2273F">
        <w:rPr>
          <w:rFonts w:ascii="Times New Roman" w:hAnsi="Times New Roman" w:cs="Times New Roman"/>
          <w:sz w:val="28"/>
          <w:szCs w:val="28"/>
          <w:lang w:eastAsia="es-ES"/>
        </w:rPr>
        <w:t>o</w:t>
      </w:r>
      <w:r w:rsidRPr="00F2273F">
        <w:rPr>
          <w:rFonts w:ascii="Times New Roman" w:hAnsi="Times New Roman" w:cs="Times New Roman"/>
          <w:sz w:val="28"/>
          <w:szCs w:val="28"/>
          <w:lang w:eastAsia="es-ES"/>
        </w:rPr>
        <w:t xml:space="preserve"> de la ley del plan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para declararla ajustada a la Constitución </w:t>
      </w:r>
      <w:r w:rsidRPr="00F2273F">
        <w:rPr>
          <w:rFonts w:ascii="Times New Roman" w:hAnsi="Times New Roman" w:cs="Times New Roman"/>
          <w:sz w:val="28"/>
          <w:szCs w:val="28"/>
          <w:lang w:eastAsia="es-ES"/>
        </w:rPr>
        <w:t>es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preciso </w:t>
      </w:r>
      <w:r w:rsidRPr="00F2273F">
        <w:rPr>
          <w:rFonts w:ascii="Times New Roman" w:hAnsi="Times New Roman" w:cs="Times New Roman"/>
          <w:sz w:val="28"/>
          <w:szCs w:val="28"/>
          <w:lang w:eastAsia="es-ES"/>
        </w:rPr>
        <w:t>constatar su</w:t>
      </w:r>
      <w:r w:rsidRPr="00F2273F">
        <w:rPr>
          <w:rFonts w:ascii="Times New Roman" w:hAnsi="Times New Roman" w:cs="Times New Roman"/>
          <w:sz w:val="28"/>
          <w:szCs w:val="28"/>
          <w:lang w:eastAsia="es-ES"/>
        </w:rPr>
        <w:t xml:space="preserve"> carácter instrumental, en el sentido de que se </w:t>
      </w:r>
      <w:r w:rsidRPr="00F2273F">
        <w:rPr>
          <w:rFonts w:ascii="Times New Roman" w:hAnsi="Times New Roman" w:cs="Times New Roman"/>
          <w:sz w:val="28"/>
          <w:szCs w:val="28"/>
          <w:lang w:eastAsia="es-ES"/>
        </w:rPr>
        <w:t xml:space="preserve">trate </w:t>
      </w:r>
      <w:r w:rsidRPr="00F2273F">
        <w:rPr>
          <w:rFonts w:ascii="Times New Roman" w:hAnsi="Times New Roman" w:cs="Times New Roman"/>
          <w:sz w:val="28"/>
          <w:szCs w:val="28"/>
          <w:lang w:eastAsia="es-ES"/>
        </w:rPr>
        <w:t>de procedimientos, mecanismos</w:t>
      </w:r>
      <w:r w:rsidRPr="00F2273F">
        <w:rPr>
          <w:rFonts w:ascii="Times New Roman" w:hAnsi="Times New Roman" w:cs="Times New Roman"/>
          <w:sz w:val="28"/>
          <w:szCs w:val="28"/>
          <w:lang w:eastAsia="es-ES"/>
        </w:rPr>
        <w:t xml:space="preserve"> o </w:t>
      </w:r>
      <w:r w:rsidRPr="00F2273F">
        <w:rPr>
          <w:rFonts w:ascii="Times New Roman" w:hAnsi="Times New Roman" w:cs="Times New Roman"/>
          <w:sz w:val="28"/>
          <w:szCs w:val="28"/>
          <w:lang w:eastAsia="es-ES"/>
        </w:rPr>
        <w:t xml:space="preserve">medidas para impulsar el cumplimiento del plan o </w:t>
      </w:r>
      <w:r w:rsidRPr="00F2273F">
        <w:rPr>
          <w:rFonts w:ascii="Times New Roman" w:hAnsi="Times New Roman" w:cs="Times New Roman"/>
          <w:sz w:val="28"/>
          <w:szCs w:val="28"/>
          <w:lang w:eastAsia="es-ES"/>
        </w:rPr>
        <w:t xml:space="preserve">para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apropiación de los recursos necesarios para su ejecución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Se </w:t>
      </w:r>
      <w:r w:rsidRPr="00F2273F">
        <w:rPr>
          <w:rFonts w:ascii="Times New Roman" w:hAnsi="Times New Roman" w:cs="Times New Roman"/>
          <w:sz w:val="28"/>
          <w:szCs w:val="28"/>
          <w:lang w:eastAsia="es-ES"/>
        </w:rPr>
        <w:t>exige</w:t>
      </w:r>
      <w:r w:rsidRPr="00F2273F">
        <w:rPr>
          <w:rFonts w:ascii="Times New Roman" w:hAnsi="Times New Roman" w:cs="Times New Roman"/>
          <w:sz w:val="28"/>
          <w:szCs w:val="28"/>
          <w:lang w:eastAsia="es-ES"/>
        </w:rPr>
        <w:t xml:space="preserve"> entonces una justificación en torno a si la </w:t>
      </w:r>
      <w:r w:rsidRPr="00F2273F">
        <w:rPr>
          <w:rFonts w:ascii="Times New Roman" w:hAnsi="Times New Roman" w:cs="Times New Roman"/>
          <w:sz w:val="28"/>
          <w:szCs w:val="28"/>
        </w:rPr>
        <w:t>“norma tiene un contenido asociado a la función de planeación, que permite alcanzar los objetivos perseguidos mediante la ley del plan y constituye un mecanismo para la ejecución del plan nacional de inversiones</w:t>
      </w:r>
      <w:r w:rsidRPr="00F2273F">
        <w:rPr>
          <w:rFonts w:ascii="Times New Roman" w:hAnsi="Times New Roman" w:cs="Times New Roman"/>
          <w:sz w:val="28"/>
          <w:szCs w:val="28"/>
        </w:rPr>
        <w:t xml:space="preserve"> o una medida necesaria para impulsar el cumplimiento del plan de desarrollo”</w:t>
      </w:r>
      <w:r w:rsidRPr="00F2273F">
        <w:rPr>
          <w:rStyle w:val="Refdenotaalpie"/>
          <w:rFonts w:ascii="Times New Roman" w:hAnsi="Times New Roman" w:cs="Times New Roman"/>
          <w:sz w:val="28"/>
          <w:szCs w:val="28"/>
        </w:rPr>
        <w:footnoteReference w:id="74"/>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w:t>
      </w:r>
    </w:p>
    <w:p w:rsidR="00AB6204" w:rsidRPr="00F2273F" w:rsidRDefault="00F2273F" w:rsidP="00AB6204">
      <w:pPr>
        <w:pStyle w:val="Prrafodelista"/>
        <w:rPr>
          <w:rFonts w:ascii="Times New Roman" w:hAnsi="Times New Roman" w:cs="Times New Roman"/>
          <w:sz w:val="28"/>
          <w:szCs w:val="28"/>
          <w:lang w:eastAsia="es-ES"/>
        </w:rPr>
      </w:pPr>
    </w:p>
    <w:p w:rsidR="00764909" w:rsidRPr="00F2273F" w:rsidRDefault="00F2273F" w:rsidP="00240666">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Recientemente</w:t>
      </w:r>
      <w:r w:rsidRPr="00F2273F">
        <w:rPr>
          <w:rFonts w:ascii="Times New Roman" w:hAnsi="Times New Roman" w:cs="Times New Roman"/>
          <w:sz w:val="28"/>
          <w:szCs w:val="28"/>
          <w:lang w:eastAsia="es-ES"/>
        </w:rPr>
        <w:t>, en la Sentencia C-244 de 2025</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la Sala Plena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de esta Corte </w:t>
      </w:r>
      <w:r w:rsidRPr="00F2273F">
        <w:rPr>
          <w:rFonts w:ascii="Times New Roman" w:hAnsi="Times New Roman" w:cs="Times New Roman"/>
          <w:sz w:val="28"/>
          <w:szCs w:val="28"/>
          <w:lang w:eastAsia="es-ES"/>
        </w:rPr>
        <w:t>sistematizó las pautas</w:t>
      </w:r>
      <w:r w:rsidRPr="00F2273F">
        <w:rPr>
          <w:rFonts w:ascii="Times New Roman" w:hAnsi="Times New Roman" w:cs="Times New Roman"/>
          <w:sz w:val="28"/>
          <w:szCs w:val="28"/>
          <w:lang w:eastAsia="es-ES"/>
        </w:rPr>
        <w:t xml:space="preserve"> para analizar el principio de unidad de materia </w:t>
      </w:r>
      <w:r w:rsidRPr="00F2273F">
        <w:rPr>
          <w:rFonts w:ascii="Times New Roman" w:hAnsi="Times New Roman" w:cs="Times New Roman"/>
          <w:sz w:val="28"/>
          <w:szCs w:val="28"/>
          <w:lang w:eastAsia="es-ES"/>
        </w:rPr>
        <w:t xml:space="preserve">frente a </w:t>
      </w:r>
      <w:r w:rsidRPr="00F2273F">
        <w:rPr>
          <w:rFonts w:ascii="Times New Roman" w:hAnsi="Times New Roman" w:cs="Times New Roman"/>
          <w:sz w:val="28"/>
          <w:szCs w:val="28"/>
          <w:lang w:eastAsia="es-ES"/>
        </w:rPr>
        <w:t xml:space="preserve">disposiciones que </w:t>
      </w:r>
      <w:r w:rsidRPr="00F2273F">
        <w:rPr>
          <w:rFonts w:ascii="Times New Roman" w:hAnsi="Times New Roman" w:cs="Times New Roman"/>
          <w:sz w:val="28"/>
          <w:szCs w:val="28"/>
          <w:lang w:eastAsia="es-ES"/>
        </w:rPr>
        <w:t>hacen parte de la ley del plan de desarrollo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Tal sistematización es importante porque permite garantizar el principio democrático y los mandatos de transparencia y publicidad dentro del trámite legislativo, sin que se minimice el margen de configuración l</w:t>
      </w:r>
      <w:r w:rsidRPr="00F2273F">
        <w:rPr>
          <w:rFonts w:ascii="Times New Roman" w:hAnsi="Times New Roman" w:cs="Times New Roman"/>
          <w:sz w:val="28"/>
          <w:szCs w:val="28"/>
          <w:lang w:eastAsia="es-ES"/>
        </w:rPr>
        <w:t xml:space="preserve">egislativa en materia de planificación a cargo del Congreso. </w:t>
      </w: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 xml:space="preserve">método </w:t>
      </w:r>
      <w:r w:rsidRPr="00F2273F">
        <w:rPr>
          <w:rFonts w:ascii="Times New Roman" w:hAnsi="Times New Roman" w:cs="Times New Roman"/>
          <w:sz w:val="28"/>
          <w:szCs w:val="28"/>
          <w:lang w:eastAsia="es-ES"/>
        </w:rPr>
        <w:t xml:space="preserve">aplicable al efecto </w:t>
      </w:r>
      <w:r w:rsidRPr="00F2273F">
        <w:rPr>
          <w:rFonts w:ascii="Times New Roman" w:hAnsi="Times New Roman" w:cs="Times New Roman"/>
          <w:sz w:val="28"/>
          <w:szCs w:val="28"/>
          <w:lang w:eastAsia="es-ES"/>
        </w:rPr>
        <w:t xml:space="preserve">parte de examinar la naturaleza de la norma demandada, aspecto que definirá si </w:t>
      </w:r>
      <w:r w:rsidRPr="00F2273F">
        <w:rPr>
          <w:rFonts w:ascii="Times New Roman" w:hAnsi="Times New Roman" w:cs="Times New Roman"/>
          <w:sz w:val="28"/>
          <w:szCs w:val="28"/>
          <w:lang w:eastAsia="es-ES"/>
        </w:rPr>
        <w:t xml:space="preserve">el grado de rigurosidad del control de constitucionalidad </w:t>
      </w:r>
      <w:r w:rsidRPr="00F2273F">
        <w:rPr>
          <w:rFonts w:ascii="Times New Roman" w:hAnsi="Times New Roman" w:cs="Times New Roman"/>
          <w:sz w:val="28"/>
          <w:szCs w:val="28"/>
          <w:lang w:eastAsia="es-ES"/>
        </w:rPr>
        <w:t>en el</w:t>
      </w:r>
      <w:r w:rsidRPr="00F2273F">
        <w:rPr>
          <w:rFonts w:ascii="Times New Roman" w:hAnsi="Times New Roman" w:cs="Times New Roman"/>
          <w:sz w:val="28"/>
          <w:szCs w:val="28"/>
          <w:lang w:eastAsia="es-ES"/>
        </w:rPr>
        <w:t xml:space="preserve"> caso concreto</w:t>
      </w:r>
      <w:r w:rsidRPr="00F2273F">
        <w:rPr>
          <w:rFonts w:ascii="Times New Roman" w:hAnsi="Times New Roman" w:cs="Times New Roman"/>
          <w:sz w:val="28"/>
          <w:szCs w:val="28"/>
          <w:lang w:eastAsia="es-ES"/>
        </w:rPr>
        <w:t xml:space="preserve"> será leve o estricto</w:t>
      </w:r>
      <w:r w:rsidRPr="00F2273F">
        <w:rPr>
          <w:rFonts w:ascii="Times New Roman" w:hAnsi="Times New Roman" w:cs="Times New Roman"/>
          <w:sz w:val="28"/>
          <w:szCs w:val="28"/>
          <w:lang w:eastAsia="es-ES"/>
        </w:rPr>
        <w:t>.</w:t>
      </w:r>
    </w:p>
    <w:p w:rsidR="00C27938" w:rsidRPr="00F2273F" w:rsidRDefault="00F2273F" w:rsidP="00402B07">
      <w:pPr>
        <w:pStyle w:val="Prrafodelista"/>
        <w:spacing w:line="240" w:lineRule="auto"/>
        <w:rPr>
          <w:rFonts w:ascii="Times New Roman" w:hAnsi="Times New Roman" w:cs="Times New Roman"/>
          <w:sz w:val="28"/>
          <w:szCs w:val="28"/>
          <w:lang w:eastAsia="es-ES"/>
        </w:rPr>
      </w:pPr>
    </w:p>
    <w:p w:rsidR="002D68E0" w:rsidRPr="00F2273F" w:rsidRDefault="00F2273F" w:rsidP="00240666">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En lo que tiene que ver con la </w:t>
      </w:r>
      <w:r w:rsidRPr="00F2273F">
        <w:rPr>
          <w:rFonts w:ascii="Times New Roman" w:hAnsi="Times New Roman" w:cs="Times New Roman"/>
          <w:i/>
          <w:iCs/>
          <w:sz w:val="28"/>
          <w:szCs w:val="28"/>
          <w:lang w:eastAsia="es-ES"/>
        </w:rPr>
        <w:t>naturaleza de la norma demandada,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como se dijo, </w:t>
      </w:r>
      <w:r w:rsidRPr="00F2273F">
        <w:rPr>
          <w:rFonts w:ascii="Times New Roman" w:hAnsi="Times New Roman" w:cs="Times New Roman"/>
          <w:sz w:val="28"/>
          <w:szCs w:val="28"/>
          <w:lang w:eastAsia="es-ES"/>
        </w:rPr>
        <w:t xml:space="preserve">en principio el </w:t>
      </w:r>
      <w:r w:rsidRPr="00F2273F">
        <w:rPr>
          <w:rFonts w:ascii="Times New Roman" w:hAnsi="Times New Roman" w:cs="Times New Roman"/>
          <w:sz w:val="28"/>
          <w:szCs w:val="28"/>
          <w:lang w:eastAsia="es-ES"/>
        </w:rPr>
        <w:t xml:space="preserve">plan nacional de desarrollo </w:t>
      </w:r>
      <w:r w:rsidRPr="00F2273F">
        <w:rPr>
          <w:rFonts w:ascii="Times New Roman" w:hAnsi="Times New Roman" w:cs="Times New Roman"/>
          <w:sz w:val="28"/>
          <w:szCs w:val="28"/>
          <w:lang w:eastAsia="es-ES"/>
        </w:rPr>
        <w:t xml:space="preserve">no puede incluir asuntos cuya regulación </w:t>
      </w:r>
      <w:r w:rsidRPr="00F2273F">
        <w:rPr>
          <w:rFonts w:ascii="Times New Roman" w:hAnsi="Times New Roman" w:cs="Times New Roman"/>
          <w:sz w:val="28"/>
          <w:szCs w:val="28"/>
          <w:lang w:eastAsia="es-ES"/>
        </w:rPr>
        <w:t>corresponda a</w:t>
      </w:r>
      <w:r w:rsidRPr="00F2273F">
        <w:rPr>
          <w:rFonts w:ascii="Times New Roman" w:hAnsi="Times New Roman" w:cs="Times New Roman"/>
          <w:sz w:val="28"/>
          <w:szCs w:val="28"/>
          <w:lang w:eastAsia="es-ES"/>
        </w:rPr>
        <w:t xml:space="preserve"> las competencias legislativas ordinarias del Congreso </w:t>
      </w:r>
      <w:r w:rsidRPr="00F2273F">
        <w:rPr>
          <w:rFonts w:ascii="Times New Roman" w:hAnsi="Times New Roman" w:cs="Times New Roman"/>
          <w:sz w:val="28"/>
          <w:szCs w:val="28"/>
          <w:lang w:eastAsia="es-ES"/>
        </w:rPr>
        <w:t>de la República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como </w:t>
      </w:r>
      <w:r w:rsidRPr="00F2273F">
        <w:rPr>
          <w:rFonts w:ascii="Times New Roman" w:hAnsi="Times New Roman" w:cs="Times New Roman"/>
          <w:sz w:val="28"/>
          <w:szCs w:val="28"/>
          <w:lang w:eastAsia="es-ES"/>
        </w:rPr>
        <w:t xml:space="preserve">ocurre con </w:t>
      </w:r>
      <w:r w:rsidRPr="00F2273F">
        <w:rPr>
          <w:rFonts w:ascii="Times New Roman" w:hAnsi="Times New Roman" w:cs="Times New Roman"/>
          <w:sz w:val="28"/>
          <w:szCs w:val="28"/>
          <w:lang w:eastAsia="es-ES"/>
        </w:rPr>
        <w:t xml:space="preserve">las normas tributarias, </w:t>
      </w:r>
      <w:r w:rsidRPr="00F2273F">
        <w:rPr>
          <w:rFonts w:ascii="Times New Roman" w:hAnsi="Times New Roman" w:cs="Times New Roman"/>
          <w:sz w:val="28"/>
          <w:szCs w:val="28"/>
          <w:lang w:eastAsia="es-ES"/>
        </w:rPr>
        <w:t xml:space="preserve">las </w:t>
      </w:r>
      <w:r w:rsidRPr="00F2273F">
        <w:rPr>
          <w:rFonts w:ascii="Times New Roman" w:hAnsi="Times New Roman" w:cs="Times New Roman"/>
          <w:sz w:val="28"/>
          <w:szCs w:val="28"/>
          <w:lang w:eastAsia="es-ES"/>
        </w:rPr>
        <w:t xml:space="preserve">de carácter sancionatorio o </w:t>
      </w:r>
      <w:r w:rsidRPr="00F2273F">
        <w:rPr>
          <w:rFonts w:ascii="Times New Roman" w:hAnsi="Times New Roman" w:cs="Times New Roman"/>
          <w:sz w:val="28"/>
          <w:szCs w:val="28"/>
          <w:lang w:eastAsia="es-ES"/>
        </w:rPr>
        <w:t xml:space="preserve">las </w:t>
      </w:r>
      <w:r w:rsidRPr="00F2273F">
        <w:rPr>
          <w:rFonts w:ascii="Times New Roman" w:hAnsi="Times New Roman" w:cs="Times New Roman"/>
          <w:sz w:val="28"/>
          <w:szCs w:val="28"/>
          <w:lang w:eastAsia="es-ES"/>
        </w:rPr>
        <w:t>que modifican</w:t>
      </w:r>
      <w:r w:rsidRPr="00F2273F">
        <w:rPr>
          <w:rFonts w:ascii="Times New Roman" w:hAnsi="Times New Roman" w:cs="Times New Roman"/>
          <w:sz w:val="28"/>
          <w:szCs w:val="28"/>
          <w:lang w:eastAsia="es-ES"/>
        </w:rPr>
        <w:t xml:space="preserve"> la legislación de manera permanente</w:t>
      </w:r>
      <w:r w:rsidRPr="00F2273F">
        <w:rPr>
          <w:rFonts w:ascii="Times New Roman" w:hAnsi="Times New Roman" w:cs="Times New Roman"/>
          <w:sz w:val="28"/>
          <w:szCs w:val="28"/>
          <w:lang w:eastAsia="es-ES"/>
        </w:rPr>
        <w:t>. Esto porque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la ley del plan “no es una herramienta para subsanar vacíos normativos existentes en otras leyes </w:t>
      </w:r>
      <w:r w:rsidRPr="00F2273F">
        <w:rPr>
          <w:rFonts w:ascii="Times New Roman" w:hAnsi="Times New Roman" w:cs="Times New Roman"/>
          <w:sz w:val="28"/>
          <w:szCs w:val="28"/>
          <w:lang w:eastAsia="es-ES"/>
        </w:rPr>
        <w:t>ordinarias”</w:t>
      </w:r>
      <w:r w:rsidRPr="00F2273F">
        <w:rPr>
          <w:rStyle w:val="Refdenotaalpie"/>
          <w:rFonts w:ascii="Times New Roman" w:hAnsi="Times New Roman" w:cs="Times New Roman"/>
          <w:sz w:val="28"/>
          <w:szCs w:val="28"/>
          <w:lang w:eastAsia="es-ES"/>
        </w:rPr>
        <w:footnoteReference w:id="75"/>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ni </w:t>
      </w:r>
      <w:r w:rsidRPr="00F2273F">
        <w:rPr>
          <w:rFonts w:ascii="Times New Roman" w:hAnsi="Times New Roman" w:cs="Times New Roman"/>
          <w:sz w:val="28"/>
          <w:szCs w:val="28"/>
          <w:lang w:eastAsia="es-ES"/>
        </w:rPr>
        <w:t>para modificar otras</w:t>
      </w:r>
      <w:r w:rsidRPr="00F2273F">
        <w:rPr>
          <w:rFonts w:ascii="Times New Roman" w:hAnsi="Times New Roman" w:cs="Times New Roman"/>
          <w:sz w:val="28"/>
          <w:szCs w:val="28"/>
          <w:lang w:eastAsia="es-ES"/>
        </w:rPr>
        <w:t xml:space="preserve"> categorías legislativas especiales asignadas al </w:t>
      </w:r>
      <w:r w:rsidRPr="00F2273F">
        <w:rPr>
          <w:rFonts w:ascii="Times New Roman" w:hAnsi="Times New Roman" w:cs="Times New Roman"/>
          <w:sz w:val="28"/>
          <w:szCs w:val="28"/>
          <w:lang w:eastAsia="es-ES"/>
        </w:rPr>
        <w:t>l</w:t>
      </w:r>
      <w:r w:rsidRPr="00F2273F">
        <w:rPr>
          <w:rFonts w:ascii="Times New Roman" w:hAnsi="Times New Roman" w:cs="Times New Roman"/>
          <w:sz w:val="28"/>
          <w:szCs w:val="28"/>
          <w:lang w:eastAsia="es-ES"/>
        </w:rPr>
        <w:t>egislador, así como tampoco</w:t>
      </w:r>
      <w:r w:rsidRPr="00F2273F">
        <w:rPr>
          <w:rFonts w:ascii="Times New Roman" w:hAnsi="Times New Roman" w:cs="Times New Roman"/>
          <w:sz w:val="28"/>
          <w:szCs w:val="28"/>
          <w:lang w:eastAsia="es-ES"/>
        </w:rPr>
        <w:t xml:space="preserve"> para expedir disposiciones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con</w:t>
      </w:r>
      <w:r w:rsidRPr="00F2273F">
        <w:rPr>
          <w:rFonts w:ascii="Times New Roman" w:hAnsi="Times New Roman" w:cs="Times New Roman"/>
          <w:sz w:val="28"/>
          <w:szCs w:val="28"/>
          <w:lang w:eastAsia="es-ES"/>
        </w:rPr>
        <w:t xml:space="preserve"> vocación de permanencia</w:t>
      </w:r>
      <w:r w:rsidRPr="00F2273F">
        <w:rPr>
          <w:rStyle w:val="Refdenotaalpie"/>
          <w:rFonts w:ascii="Times New Roman" w:hAnsi="Times New Roman" w:cs="Times New Roman"/>
          <w:sz w:val="28"/>
          <w:szCs w:val="28"/>
          <w:lang w:eastAsia="es-ES"/>
        </w:rPr>
        <w:footnoteReference w:id="76"/>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Consecuentemente, e</w:t>
      </w:r>
      <w:r w:rsidRPr="00F2273F">
        <w:rPr>
          <w:rFonts w:ascii="Times New Roman" w:hAnsi="Times New Roman" w:cs="Times New Roman"/>
          <w:sz w:val="28"/>
          <w:szCs w:val="28"/>
          <w:lang w:eastAsia="es-ES"/>
        </w:rPr>
        <w:t xml:space="preserve">n casos en los que se introducen modificaciones a la legislación </w:t>
      </w:r>
      <w:r w:rsidRPr="00F2273F">
        <w:rPr>
          <w:rFonts w:ascii="Times New Roman" w:hAnsi="Times New Roman" w:cs="Times New Roman"/>
          <w:sz w:val="28"/>
          <w:szCs w:val="28"/>
          <w:lang w:eastAsia="es-ES"/>
        </w:rPr>
        <w:t>permanente es necesario adelantar</w:t>
      </w:r>
      <w:r w:rsidRPr="00F2273F">
        <w:rPr>
          <w:rFonts w:ascii="Times New Roman" w:hAnsi="Times New Roman" w:cs="Times New Roman"/>
          <w:sz w:val="28"/>
          <w:szCs w:val="28"/>
          <w:lang w:eastAsia="es-ES"/>
        </w:rPr>
        <w:t xml:space="preserve"> un examen </w:t>
      </w:r>
      <w:r w:rsidRPr="00F2273F">
        <w:rPr>
          <w:rFonts w:ascii="Times New Roman" w:hAnsi="Times New Roman" w:cs="Times New Roman"/>
          <w:i/>
          <w:iCs/>
          <w:sz w:val="28"/>
          <w:szCs w:val="28"/>
          <w:lang w:eastAsia="es-ES"/>
        </w:rPr>
        <w:t>estricto</w:t>
      </w:r>
      <w:r w:rsidRPr="00F2273F">
        <w:rPr>
          <w:rFonts w:ascii="Times New Roman" w:hAnsi="Times New Roman" w:cs="Times New Roman"/>
          <w:sz w:val="28"/>
          <w:szCs w:val="28"/>
          <w:lang w:eastAsia="es-ES"/>
        </w:rPr>
        <w:t xml:space="preserve"> para </w:t>
      </w:r>
      <w:r w:rsidRPr="00F2273F">
        <w:rPr>
          <w:rFonts w:ascii="Times New Roman" w:hAnsi="Times New Roman" w:cs="Times New Roman"/>
          <w:sz w:val="28"/>
          <w:szCs w:val="28"/>
          <w:lang w:eastAsia="es-ES"/>
        </w:rPr>
        <w:t>determinar</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si </w:t>
      </w:r>
      <w:r w:rsidRPr="00F2273F">
        <w:rPr>
          <w:rFonts w:ascii="Times New Roman" w:hAnsi="Times New Roman" w:cs="Times New Roman"/>
          <w:sz w:val="28"/>
          <w:szCs w:val="28"/>
          <w:lang w:eastAsia="es-ES"/>
        </w:rPr>
        <w:t xml:space="preserve">aquellas disposiciones </w:t>
      </w:r>
      <w:r w:rsidRPr="00F2273F">
        <w:rPr>
          <w:rFonts w:ascii="Times New Roman" w:hAnsi="Times New Roman" w:cs="Times New Roman"/>
          <w:sz w:val="28"/>
          <w:szCs w:val="28"/>
          <w:lang w:eastAsia="es-ES"/>
        </w:rPr>
        <w:t xml:space="preserve">son instrumentales y guardan una conexidad directa e inmediata con las bases del </w:t>
      </w:r>
      <w:r w:rsidRPr="00F2273F">
        <w:rPr>
          <w:rFonts w:ascii="Times New Roman" w:hAnsi="Times New Roman" w:cs="Times New Roman"/>
          <w:sz w:val="28"/>
          <w:szCs w:val="28"/>
          <w:lang w:eastAsia="es-ES"/>
        </w:rPr>
        <w:t xml:space="preserve">Plan Nacional de Desarrollo </w:t>
      </w:r>
      <w:r w:rsidRPr="00F2273F">
        <w:rPr>
          <w:rFonts w:ascii="Times New Roman" w:hAnsi="Times New Roman" w:cs="Times New Roman"/>
          <w:sz w:val="28"/>
          <w:szCs w:val="28"/>
          <w:lang w:eastAsia="es-ES"/>
        </w:rPr>
        <w:t xml:space="preserve">o con los programas y proyectos que hacen parte del </w:t>
      </w:r>
      <w:r w:rsidRPr="00F2273F">
        <w:rPr>
          <w:rFonts w:ascii="Times New Roman" w:hAnsi="Times New Roman" w:cs="Times New Roman"/>
          <w:sz w:val="28"/>
          <w:szCs w:val="28"/>
          <w:lang w:eastAsia="es-ES"/>
        </w:rPr>
        <w:t xml:space="preserve">Plan Nacional de Inversiones, es decir, </w:t>
      </w:r>
      <w:r w:rsidRPr="00F2273F">
        <w:rPr>
          <w:rFonts w:ascii="Times New Roman" w:hAnsi="Times New Roman" w:cs="Times New Roman"/>
          <w:sz w:val="28"/>
          <w:szCs w:val="28"/>
          <w:lang w:eastAsia="es-ES"/>
        </w:rPr>
        <w:t xml:space="preserve">establecer si </w:t>
      </w:r>
      <w:r w:rsidRPr="00F2273F">
        <w:rPr>
          <w:rFonts w:ascii="Times New Roman" w:hAnsi="Times New Roman" w:cs="Times New Roman"/>
          <w:sz w:val="28"/>
          <w:szCs w:val="28"/>
          <w:lang w:eastAsia="es-ES"/>
        </w:rPr>
        <w:t xml:space="preserve">la medida instrumental se dirige a cumplir los objetivos </w:t>
      </w:r>
      <w:r w:rsidRPr="00F2273F">
        <w:rPr>
          <w:rFonts w:ascii="Times New Roman" w:hAnsi="Times New Roman" w:cs="Times New Roman"/>
          <w:sz w:val="28"/>
          <w:szCs w:val="28"/>
          <w:lang w:eastAsia="es-ES"/>
        </w:rPr>
        <w:t xml:space="preserve">o programas </w:t>
      </w:r>
      <w:r w:rsidRPr="00F2273F">
        <w:rPr>
          <w:rFonts w:ascii="Times New Roman" w:hAnsi="Times New Roman" w:cs="Times New Roman"/>
          <w:sz w:val="28"/>
          <w:szCs w:val="28"/>
          <w:lang w:eastAsia="es-ES"/>
        </w:rPr>
        <w:t>para lo</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que</w:t>
      </w:r>
      <w:r w:rsidRPr="00F2273F">
        <w:rPr>
          <w:rFonts w:ascii="Times New Roman" w:hAnsi="Times New Roman" w:cs="Times New Roman"/>
          <w:sz w:val="28"/>
          <w:szCs w:val="28"/>
          <w:lang w:eastAsia="es-ES"/>
        </w:rPr>
        <w:t xml:space="preserve"> fue incorporada en la ley del plan</w:t>
      </w:r>
      <w:r w:rsidRPr="00F2273F">
        <w:rPr>
          <w:rStyle w:val="Refdenotaalpie"/>
          <w:rFonts w:ascii="Times New Roman" w:hAnsi="Times New Roman" w:cs="Times New Roman"/>
          <w:sz w:val="28"/>
          <w:szCs w:val="28"/>
          <w:lang w:eastAsia="es-ES"/>
        </w:rPr>
        <w:footnoteReference w:id="77"/>
      </w:r>
      <w:r w:rsidRPr="00F2273F">
        <w:rPr>
          <w:rFonts w:ascii="Times New Roman" w:hAnsi="Times New Roman" w:cs="Times New Roman"/>
          <w:sz w:val="28"/>
          <w:szCs w:val="28"/>
          <w:lang w:eastAsia="es-ES"/>
        </w:rPr>
        <w:t xml:space="preserve">. </w:t>
      </w:r>
    </w:p>
    <w:p w:rsidR="002D68E0" w:rsidRPr="00F2273F" w:rsidRDefault="00F2273F" w:rsidP="002D68E0">
      <w:pPr>
        <w:pStyle w:val="Prrafodelista"/>
        <w:rPr>
          <w:rFonts w:ascii="Times New Roman" w:hAnsi="Times New Roman" w:cs="Times New Roman"/>
          <w:sz w:val="28"/>
          <w:szCs w:val="28"/>
          <w:lang w:eastAsia="es-ES"/>
        </w:rPr>
      </w:pPr>
    </w:p>
    <w:p w:rsidR="007E0AE0" w:rsidRPr="00F2273F" w:rsidRDefault="00F2273F" w:rsidP="00D64A77">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i al evaluar la naturaleza de la norma bajo estudio se determina que </w:t>
      </w:r>
      <w:r w:rsidRPr="00F2273F">
        <w:rPr>
          <w:rFonts w:ascii="Times New Roman" w:hAnsi="Times New Roman" w:cs="Times New Roman"/>
          <w:sz w:val="28"/>
          <w:szCs w:val="28"/>
          <w:lang w:eastAsia="es-ES"/>
        </w:rPr>
        <w:t xml:space="preserve">correspondía </w:t>
      </w:r>
      <w:r w:rsidRPr="00F2273F">
        <w:rPr>
          <w:rFonts w:ascii="Times New Roman" w:hAnsi="Times New Roman" w:cs="Times New Roman"/>
          <w:sz w:val="28"/>
          <w:szCs w:val="28"/>
          <w:lang w:eastAsia="es-ES"/>
        </w:rPr>
        <w:t xml:space="preserve">ser adoptada por el legislador en uso de sus competencias ordinarias, se sujetará a un examen con </w:t>
      </w:r>
      <w:r w:rsidRPr="00F2273F">
        <w:rPr>
          <w:rFonts w:ascii="Times New Roman" w:hAnsi="Times New Roman" w:cs="Times New Roman"/>
          <w:i/>
          <w:iCs/>
          <w:sz w:val="28"/>
          <w:szCs w:val="28"/>
          <w:lang w:eastAsia="es-ES"/>
        </w:rPr>
        <w:t>intensidad mayor</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En este escenario se verificará el cumplimiento de los criterios para determinar que la disposición </w:t>
      </w:r>
      <w:r w:rsidRPr="00F2273F">
        <w:rPr>
          <w:rFonts w:ascii="Times New Roman" w:hAnsi="Times New Roman" w:cs="Times New Roman"/>
          <w:sz w:val="28"/>
          <w:szCs w:val="28"/>
          <w:lang w:eastAsia="es-ES"/>
        </w:rPr>
        <w:t>tenga por objeto planificar</w:t>
      </w:r>
      <w:r w:rsidRPr="00F2273F">
        <w:rPr>
          <w:rFonts w:ascii="Times New Roman" w:hAnsi="Times New Roman" w:cs="Times New Roman"/>
          <w:sz w:val="28"/>
          <w:szCs w:val="28"/>
          <w:lang w:eastAsia="es-ES"/>
        </w:rPr>
        <w:t xml:space="preserve"> la acción gubernamental y guarde conexidad estrecha, directa e inmediata con las estrategias y políticas que orientan la gestión del Gobierno para alcanzar en el respectivo cuatrienio los objetivos y metas de la acción estatal de mediano y largo plazo señ</w:t>
      </w:r>
      <w:r w:rsidRPr="00F2273F">
        <w:rPr>
          <w:rFonts w:ascii="Times New Roman" w:hAnsi="Times New Roman" w:cs="Times New Roman"/>
          <w:sz w:val="28"/>
          <w:szCs w:val="28"/>
          <w:lang w:eastAsia="es-ES"/>
        </w:rPr>
        <w:t>alados en la parte general, o realizar los programas y proyectos señalados en el plan de inversiones</w:t>
      </w:r>
      <w:r w:rsidRPr="00F2273F">
        <w:rPr>
          <w:rStyle w:val="Refdenotaalpie"/>
          <w:rFonts w:ascii="Times New Roman" w:hAnsi="Times New Roman" w:cs="Times New Roman"/>
          <w:sz w:val="28"/>
          <w:szCs w:val="28"/>
          <w:lang w:eastAsia="es-ES"/>
        </w:rPr>
        <w:footnoteReference w:id="78"/>
      </w:r>
      <w:r w:rsidRPr="00F2273F">
        <w:rPr>
          <w:rFonts w:ascii="Times New Roman" w:hAnsi="Times New Roman" w:cs="Times New Roman"/>
          <w:sz w:val="28"/>
          <w:szCs w:val="28"/>
          <w:lang w:eastAsia="es-ES"/>
        </w:rPr>
        <w:t>. En otras palabras, “la conexidad directa e inmediata significa comprobar que el cumplimiento de las normas instrumentales lleve inequívocamente a la real</w:t>
      </w:r>
      <w:r w:rsidRPr="00F2273F">
        <w:rPr>
          <w:rFonts w:ascii="Times New Roman" w:hAnsi="Times New Roman" w:cs="Times New Roman"/>
          <w:sz w:val="28"/>
          <w:szCs w:val="28"/>
          <w:lang w:eastAsia="es-ES"/>
        </w:rPr>
        <w:t>ización de las metas generales del plan”</w:t>
      </w:r>
      <w:r w:rsidRPr="00F2273F">
        <w:rPr>
          <w:rStyle w:val="Refdenotaalpie"/>
          <w:rFonts w:ascii="Times New Roman" w:hAnsi="Times New Roman" w:cs="Times New Roman"/>
          <w:sz w:val="28"/>
          <w:szCs w:val="28"/>
          <w:lang w:eastAsia="es-ES"/>
        </w:rPr>
        <w:footnoteReference w:id="79"/>
      </w:r>
      <w:r w:rsidRPr="00F2273F">
        <w:rPr>
          <w:rFonts w:ascii="Times New Roman" w:hAnsi="Times New Roman" w:cs="Times New Roman"/>
          <w:sz w:val="28"/>
          <w:szCs w:val="28"/>
          <w:lang w:eastAsia="es-ES"/>
        </w:rPr>
        <w:t xml:space="preserve">, de manera que si </w:t>
      </w: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l cumplimiento del objetivo previsto en la parte general</w:t>
      </w:r>
      <w:r w:rsidRPr="00F2273F">
        <w:rPr>
          <w:rFonts w:ascii="Times New Roman" w:hAnsi="Times New Roman" w:cs="Times New Roman"/>
          <w:sz w:val="28"/>
          <w:szCs w:val="28"/>
          <w:lang w:eastAsia="es-ES"/>
        </w:rPr>
        <w:t xml:space="preserve"> es hipotético</w:t>
      </w:r>
      <w:r w:rsidRPr="00F2273F">
        <w:rPr>
          <w:rFonts w:ascii="Times New Roman" w:hAnsi="Times New Roman" w:cs="Times New Roman"/>
          <w:sz w:val="28"/>
          <w:szCs w:val="28"/>
          <w:lang w:eastAsia="es-ES"/>
        </w:rPr>
        <w:t>, se estará ante una conexidad eventual</w:t>
      </w:r>
      <w:r w:rsidRPr="00F2273F">
        <w:rPr>
          <w:rStyle w:val="Refdenotaalpie"/>
          <w:rFonts w:ascii="Times New Roman" w:hAnsi="Times New Roman" w:cs="Times New Roman"/>
          <w:sz w:val="28"/>
          <w:szCs w:val="28"/>
          <w:lang w:eastAsia="es-ES"/>
        </w:rPr>
        <w:footnoteReference w:id="80"/>
      </w:r>
      <w:r w:rsidRPr="00F2273F">
        <w:rPr>
          <w:rFonts w:ascii="Times New Roman" w:hAnsi="Times New Roman" w:cs="Times New Roman"/>
          <w:sz w:val="28"/>
          <w:szCs w:val="28"/>
          <w:lang w:eastAsia="es-ES"/>
        </w:rPr>
        <w:t xml:space="preserve">, que implica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 xml:space="preserve">inconstitucionalidad de la disposición objeto de control. </w:t>
      </w:r>
    </w:p>
    <w:p w:rsidR="007E0AE0" w:rsidRPr="00F2273F" w:rsidRDefault="00F2273F" w:rsidP="007E0AE0">
      <w:pPr>
        <w:pStyle w:val="Prrafodelista"/>
        <w:rPr>
          <w:rFonts w:ascii="Times New Roman" w:hAnsi="Times New Roman" w:cs="Times New Roman"/>
          <w:sz w:val="28"/>
          <w:szCs w:val="28"/>
          <w:lang w:eastAsia="es-ES"/>
        </w:rPr>
      </w:pPr>
    </w:p>
    <w:p w:rsidR="00DF1BC3" w:rsidRPr="00F2273F" w:rsidRDefault="00F2273F" w:rsidP="001F470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Si por el contrario </w:t>
      </w:r>
      <w:r w:rsidRPr="00F2273F">
        <w:rPr>
          <w:rFonts w:ascii="Times New Roman" w:hAnsi="Times New Roman" w:cs="Times New Roman"/>
          <w:sz w:val="28"/>
          <w:szCs w:val="28"/>
          <w:lang w:eastAsia="es-ES"/>
        </w:rPr>
        <w:t xml:space="preserve">la naturaleza de la norma indica que no aborda una temática sujeta a las funciones ordinarias del Congreso y que tiene un estricto fin planificador, </w:t>
      </w:r>
      <w:r w:rsidRPr="00F2273F">
        <w:rPr>
          <w:rFonts w:ascii="Times New Roman" w:hAnsi="Times New Roman" w:cs="Times New Roman"/>
          <w:sz w:val="28"/>
          <w:szCs w:val="28"/>
          <w:lang w:eastAsia="es-ES"/>
        </w:rPr>
        <w:t xml:space="preserve">se </w:t>
      </w:r>
      <w:r w:rsidRPr="00F2273F">
        <w:rPr>
          <w:rFonts w:ascii="Times New Roman" w:hAnsi="Times New Roman" w:cs="Times New Roman"/>
          <w:sz w:val="28"/>
          <w:szCs w:val="28"/>
          <w:lang w:eastAsia="es-ES"/>
        </w:rPr>
        <w:t>seguirá</w:t>
      </w:r>
      <w:r w:rsidRPr="00F2273F">
        <w:rPr>
          <w:rFonts w:ascii="Times New Roman" w:hAnsi="Times New Roman" w:cs="Times New Roman"/>
          <w:sz w:val="28"/>
          <w:szCs w:val="28"/>
          <w:lang w:eastAsia="es-ES"/>
        </w:rPr>
        <w:t>n</w:t>
      </w:r>
      <w:r w:rsidRPr="00F2273F">
        <w:rPr>
          <w:rFonts w:ascii="Times New Roman" w:hAnsi="Times New Roman" w:cs="Times New Roman"/>
          <w:sz w:val="28"/>
          <w:szCs w:val="28"/>
          <w:lang w:eastAsia="es-ES"/>
        </w:rPr>
        <w:t xml:space="preserve"> las pautas de un análisis con </w:t>
      </w:r>
      <w:r w:rsidRPr="00F2273F">
        <w:rPr>
          <w:rFonts w:ascii="Times New Roman" w:hAnsi="Times New Roman" w:cs="Times New Roman"/>
          <w:i/>
          <w:iCs/>
          <w:sz w:val="28"/>
          <w:szCs w:val="28"/>
          <w:lang w:eastAsia="es-ES"/>
        </w:rPr>
        <w:t>intensidad menor</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Bajo esta perspectiva, el </w:t>
      </w:r>
      <w:r w:rsidRPr="00F2273F">
        <w:rPr>
          <w:rFonts w:ascii="Times New Roman" w:hAnsi="Times New Roman" w:cs="Times New Roman"/>
          <w:sz w:val="28"/>
          <w:szCs w:val="28"/>
          <w:lang w:eastAsia="es-ES"/>
        </w:rPr>
        <w:t>juez constitucional simplemente valorará si la norma instrumental, de manera razonable y evidente, contribuye a la consecución del fin al cual responde</w:t>
      </w:r>
      <w:r w:rsidRPr="00F2273F">
        <w:rPr>
          <w:rStyle w:val="Refdenotaalpie"/>
          <w:rFonts w:ascii="Times New Roman" w:hAnsi="Times New Roman" w:cs="Times New Roman"/>
          <w:sz w:val="28"/>
          <w:szCs w:val="28"/>
          <w:lang w:eastAsia="es-ES"/>
        </w:rPr>
        <w:footnoteReference w:id="81"/>
      </w:r>
      <w:r w:rsidRPr="00F2273F">
        <w:rPr>
          <w:rFonts w:ascii="Times New Roman" w:hAnsi="Times New Roman" w:cs="Times New Roman"/>
          <w:sz w:val="28"/>
          <w:szCs w:val="28"/>
          <w:lang w:eastAsia="es-ES"/>
        </w:rPr>
        <w:t>.</w:t>
      </w:r>
    </w:p>
    <w:p w:rsidR="00DF1BC3" w:rsidRPr="00F2273F" w:rsidRDefault="00F2273F" w:rsidP="00DF1BC3">
      <w:pPr>
        <w:pStyle w:val="Prrafodelista"/>
        <w:rPr>
          <w:rFonts w:ascii="Times New Roman" w:hAnsi="Times New Roman" w:cs="Times New Roman"/>
          <w:sz w:val="28"/>
          <w:szCs w:val="28"/>
          <w:lang w:eastAsia="es-ES"/>
        </w:rPr>
      </w:pPr>
    </w:p>
    <w:p w:rsidR="001F470C" w:rsidRPr="00F2273F" w:rsidRDefault="00F2273F" w:rsidP="00151C91">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A continuación se presenta un esquema que detalla la valoración </w:t>
      </w:r>
      <w:r w:rsidRPr="00F2273F">
        <w:rPr>
          <w:rFonts w:ascii="Times New Roman" w:hAnsi="Times New Roman" w:cs="Times New Roman"/>
          <w:sz w:val="28"/>
          <w:szCs w:val="28"/>
          <w:lang w:eastAsia="es-ES"/>
        </w:rPr>
        <w:t>del juicio de inconstitucionalidad po</w:t>
      </w:r>
      <w:r w:rsidRPr="00F2273F">
        <w:rPr>
          <w:rFonts w:ascii="Times New Roman" w:hAnsi="Times New Roman" w:cs="Times New Roman"/>
          <w:sz w:val="28"/>
          <w:szCs w:val="28"/>
          <w:lang w:eastAsia="es-ES"/>
        </w:rPr>
        <w:t>r</w:t>
      </w:r>
      <w:r w:rsidRPr="00F2273F">
        <w:rPr>
          <w:rFonts w:ascii="Times New Roman" w:hAnsi="Times New Roman" w:cs="Times New Roman"/>
          <w:sz w:val="28"/>
          <w:szCs w:val="28"/>
          <w:lang w:eastAsia="es-ES"/>
        </w:rPr>
        <w:t xml:space="preserve"> unidad de materia</w:t>
      </w:r>
      <w:r w:rsidRPr="00F2273F">
        <w:rPr>
          <w:rFonts w:ascii="Times New Roman" w:hAnsi="Times New Roman" w:cs="Times New Roman"/>
          <w:sz w:val="28"/>
          <w:szCs w:val="28"/>
          <w:lang w:eastAsia="es-ES"/>
        </w:rPr>
        <w:t xml:space="preserve"> en estos casos</w:t>
      </w:r>
      <w:r w:rsidRPr="00F2273F">
        <w:rPr>
          <w:rFonts w:ascii="Times New Roman" w:hAnsi="Times New Roman" w:cs="Times New Roman"/>
          <w:sz w:val="28"/>
          <w:szCs w:val="28"/>
          <w:lang w:eastAsia="es-ES"/>
        </w:rPr>
        <w:t>:</w:t>
      </w:r>
    </w:p>
    <w:p w:rsidR="00151C91" w:rsidRPr="00F2273F" w:rsidRDefault="00F2273F" w:rsidP="00151C91">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1F470C" w:rsidRPr="00F2273F" w:rsidRDefault="00F2273F" w:rsidP="001F470C">
      <w:pPr>
        <w:pStyle w:val="Prrafodelista"/>
        <w:shd w:val="clear" w:color="auto" w:fill="FFFFFF"/>
        <w:spacing w:after="0" w:line="240" w:lineRule="auto"/>
        <w:ind w:left="0" w:right="48"/>
        <w:jc w:val="center"/>
        <w:textAlignment w:val="baseline"/>
        <w:rPr>
          <w:rFonts w:ascii="Times New Roman" w:hAnsi="Times New Roman" w:cs="Times New Roman"/>
          <w:sz w:val="28"/>
          <w:lang w:eastAsia="es-ES"/>
        </w:rPr>
      </w:pPr>
      <w:r w:rsidRPr="00F2273F">
        <w:rPr>
          <w:rFonts w:ascii="Times New Roman" w:hAnsi="Times New Roman" w:cs="Times New Roman"/>
          <w:b/>
          <w:bCs/>
          <w:sz w:val="28"/>
          <w:lang w:eastAsia="es-ES"/>
        </w:rPr>
        <w:t xml:space="preserve">Tabla </w:t>
      </w:r>
      <w:r w:rsidRPr="00F2273F">
        <w:rPr>
          <w:rFonts w:ascii="Times New Roman" w:hAnsi="Times New Roman" w:cs="Times New Roman"/>
          <w:b/>
          <w:bCs/>
          <w:sz w:val="28"/>
          <w:lang w:eastAsia="es-ES"/>
        </w:rPr>
        <w:t>6</w:t>
      </w:r>
      <w:r w:rsidRPr="00F2273F">
        <w:rPr>
          <w:rFonts w:ascii="Times New Roman" w:hAnsi="Times New Roman" w:cs="Times New Roman"/>
          <w:b/>
          <w:bCs/>
          <w:sz w:val="28"/>
          <w:lang w:eastAsia="es-ES"/>
        </w:rPr>
        <w:t>.</w:t>
      </w:r>
      <w:r w:rsidRPr="00F2273F">
        <w:rPr>
          <w:rFonts w:ascii="Times New Roman" w:hAnsi="Times New Roman" w:cs="Times New Roman"/>
          <w:i/>
          <w:iCs/>
          <w:sz w:val="28"/>
          <w:lang w:eastAsia="es-ES"/>
        </w:rPr>
        <w:t xml:space="preserve"> Juicio de unidad de materia</w:t>
      </w:r>
      <w:r w:rsidRPr="00F2273F">
        <w:rPr>
          <w:rFonts w:ascii="Times New Roman" w:hAnsi="Times New Roman" w:cs="Times New Roman"/>
          <w:i/>
          <w:iCs/>
          <w:sz w:val="28"/>
          <w:lang w:eastAsia="es-ES"/>
        </w:rPr>
        <w:t xml:space="preserve"> respecto de la ley del PND</w:t>
      </w:r>
    </w:p>
    <w:tbl>
      <w:tblPr>
        <w:tblStyle w:val="Tablaconcuadrcula"/>
        <w:tblW w:w="0" w:type="auto"/>
        <w:jc w:val="center"/>
        <w:tblLook w:val="04A0" w:firstRow="1" w:lastRow="0" w:firstColumn="1" w:lastColumn="0" w:noHBand="0" w:noVBand="1"/>
      </w:tblPr>
      <w:tblGrid>
        <w:gridCol w:w="4414"/>
        <w:gridCol w:w="4414"/>
      </w:tblGrid>
      <w:tr w:rsidR="00974547" w:rsidRPr="00F2273F" w:rsidTr="00822D8C">
        <w:trPr>
          <w:jc w:val="center"/>
        </w:trPr>
        <w:tc>
          <w:tcPr>
            <w:tcW w:w="8828" w:type="dxa"/>
            <w:gridSpan w:val="2"/>
            <w:shd w:val="clear" w:color="auto" w:fill="DEEAF6" w:themeFill="accent5" w:themeFillTint="33"/>
          </w:tcPr>
          <w:p w:rsidR="001F470C" w:rsidRPr="00F2273F" w:rsidRDefault="00F2273F" w:rsidP="00822D8C">
            <w:pPr>
              <w:widowControl w:val="0"/>
              <w:jc w:val="center"/>
              <w:rPr>
                <w:b/>
                <w:bCs/>
                <w:sz w:val="28"/>
                <w:szCs w:val="22"/>
              </w:rPr>
            </w:pPr>
            <w:r w:rsidRPr="00F2273F">
              <w:rPr>
                <w:b/>
                <w:bCs/>
                <w:sz w:val="28"/>
                <w:szCs w:val="22"/>
              </w:rPr>
              <w:t>Definición de la intensidad del escrutinio</w:t>
            </w:r>
          </w:p>
        </w:tc>
      </w:tr>
      <w:tr w:rsidR="00974547" w:rsidRPr="00F2273F" w:rsidTr="00822D8C">
        <w:trPr>
          <w:jc w:val="center"/>
        </w:trPr>
        <w:tc>
          <w:tcPr>
            <w:tcW w:w="8828" w:type="dxa"/>
            <w:gridSpan w:val="2"/>
          </w:tcPr>
          <w:p w:rsidR="001F470C" w:rsidRPr="00F2273F" w:rsidRDefault="00F2273F" w:rsidP="007B1E40">
            <w:pPr>
              <w:widowControl w:val="0"/>
              <w:jc w:val="both"/>
              <w:rPr>
                <w:sz w:val="28"/>
                <w:szCs w:val="22"/>
                <w:lang w:eastAsia="es-CO"/>
              </w:rPr>
            </w:pPr>
            <w:r w:rsidRPr="00F2273F">
              <w:rPr>
                <w:sz w:val="28"/>
                <w:szCs w:val="22"/>
                <w:lang w:eastAsia="es-CO"/>
              </w:rPr>
              <w:t xml:space="preserve">Cuando la norma demandada –incluida en el PND– sea de aquellas que debían adoptarse por el Congreso de la República en el marco de sus competencias constitucionales ordinarias, el escrutinio </w:t>
            </w:r>
            <w:r w:rsidRPr="00F2273F">
              <w:rPr>
                <w:b/>
                <w:bCs/>
                <w:sz w:val="28"/>
                <w:szCs w:val="22"/>
                <w:lang w:eastAsia="es-CO"/>
              </w:rPr>
              <w:t>tendrá una intensidad mayor</w:t>
            </w:r>
            <w:r w:rsidRPr="00F2273F">
              <w:rPr>
                <w:sz w:val="28"/>
                <w:szCs w:val="22"/>
                <w:lang w:eastAsia="es-CO"/>
              </w:rPr>
              <w:t xml:space="preserve">. En contraste, el escrutinio </w:t>
            </w:r>
            <w:r w:rsidRPr="00F2273F">
              <w:rPr>
                <w:b/>
                <w:bCs/>
                <w:sz w:val="28"/>
                <w:szCs w:val="22"/>
                <w:lang w:eastAsia="es-CO"/>
              </w:rPr>
              <w:t>tendrá u</w:t>
            </w:r>
            <w:r w:rsidRPr="00F2273F">
              <w:rPr>
                <w:b/>
                <w:bCs/>
                <w:sz w:val="28"/>
                <w:szCs w:val="22"/>
                <w:lang w:eastAsia="es-CO"/>
              </w:rPr>
              <w:t>na intensidad menor</w:t>
            </w:r>
            <w:r w:rsidRPr="00F2273F">
              <w:rPr>
                <w:sz w:val="28"/>
                <w:szCs w:val="22"/>
                <w:lang w:eastAsia="es-CO"/>
              </w:rPr>
              <w:t xml:space="preserve"> cuando la norma demandada –incluida en el PND– (i) no aborde temáticas que debían ser reguladas, necesariamente, en el marco de las competencias ordinarias del Congreso de la República y (ii) tenga un estricto fin planificador. Se enten</w:t>
            </w:r>
            <w:r w:rsidRPr="00F2273F">
              <w:rPr>
                <w:sz w:val="28"/>
                <w:szCs w:val="22"/>
                <w:lang w:eastAsia="es-CO"/>
              </w:rPr>
              <w:t xml:space="preserve">derá que existe un fin planificador por parte de la norma instrumental demandada, cuando la incorporación de aquella se dirija a cumplir alguno de los objetivos, metas, estrategias o programas del PND cuya naturaleza es, en principio, </w:t>
            </w:r>
            <w:r w:rsidRPr="00F2273F">
              <w:rPr>
                <w:i/>
                <w:iCs/>
                <w:sz w:val="28"/>
                <w:szCs w:val="22"/>
                <w:lang w:eastAsia="es-CO"/>
              </w:rPr>
              <w:t>temporal.</w:t>
            </w:r>
          </w:p>
          <w:p w:rsidR="001F470C" w:rsidRPr="00F2273F" w:rsidRDefault="00F2273F" w:rsidP="00822D8C">
            <w:pPr>
              <w:widowControl w:val="0"/>
              <w:rPr>
                <w:sz w:val="28"/>
                <w:szCs w:val="22"/>
              </w:rPr>
            </w:pPr>
          </w:p>
          <w:p w:rsidR="001F470C" w:rsidRPr="00F2273F" w:rsidRDefault="00F2273F" w:rsidP="00822D8C">
            <w:pPr>
              <w:widowControl w:val="0"/>
              <w:rPr>
                <w:b/>
                <w:bCs/>
                <w:sz w:val="28"/>
                <w:szCs w:val="22"/>
              </w:rPr>
            </w:pPr>
            <w:r w:rsidRPr="00F2273F">
              <w:rPr>
                <w:sz w:val="28"/>
                <w:szCs w:val="22"/>
              </w:rPr>
              <w:t>Definida l</w:t>
            </w:r>
            <w:r w:rsidRPr="00F2273F">
              <w:rPr>
                <w:sz w:val="28"/>
                <w:szCs w:val="22"/>
              </w:rPr>
              <w:t>a intensidad del escrutinio, deberán seguirse las reglas que a continuación se exponen</w:t>
            </w:r>
            <w:r w:rsidRPr="00F2273F">
              <w:rPr>
                <w:sz w:val="28"/>
                <w:szCs w:val="22"/>
              </w:rPr>
              <w:t>:</w:t>
            </w:r>
          </w:p>
        </w:tc>
      </w:tr>
      <w:tr w:rsidR="00974547" w:rsidRPr="00F2273F" w:rsidTr="00822D8C">
        <w:trPr>
          <w:jc w:val="center"/>
        </w:trPr>
        <w:tc>
          <w:tcPr>
            <w:tcW w:w="4414" w:type="dxa"/>
            <w:shd w:val="clear" w:color="auto" w:fill="DEEAF6" w:themeFill="accent5" w:themeFillTint="33"/>
          </w:tcPr>
          <w:p w:rsidR="001F470C" w:rsidRPr="00F2273F" w:rsidRDefault="00F2273F" w:rsidP="00822D8C">
            <w:pPr>
              <w:widowControl w:val="0"/>
              <w:jc w:val="center"/>
              <w:rPr>
                <w:b/>
                <w:bCs/>
                <w:sz w:val="28"/>
                <w:szCs w:val="22"/>
              </w:rPr>
            </w:pPr>
            <w:r w:rsidRPr="00F2273F">
              <w:rPr>
                <w:b/>
                <w:bCs/>
                <w:sz w:val="28"/>
                <w:szCs w:val="22"/>
              </w:rPr>
              <w:t>Escrutinio de mayor intensidad</w:t>
            </w:r>
          </w:p>
        </w:tc>
        <w:tc>
          <w:tcPr>
            <w:tcW w:w="4414" w:type="dxa"/>
            <w:shd w:val="clear" w:color="auto" w:fill="DEEAF6" w:themeFill="accent5" w:themeFillTint="33"/>
          </w:tcPr>
          <w:p w:rsidR="001F470C" w:rsidRPr="00F2273F" w:rsidRDefault="00F2273F" w:rsidP="00822D8C">
            <w:pPr>
              <w:widowControl w:val="0"/>
              <w:jc w:val="center"/>
              <w:rPr>
                <w:b/>
                <w:bCs/>
                <w:sz w:val="28"/>
                <w:szCs w:val="22"/>
              </w:rPr>
            </w:pPr>
            <w:r w:rsidRPr="00F2273F">
              <w:rPr>
                <w:b/>
                <w:bCs/>
                <w:sz w:val="28"/>
                <w:szCs w:val="22"/>
              </w:rPr>
              <w:t>Escrutinio de menor intensidad</w:t>
            </w:r>
          </w:p>
        </w:tc>
      </w:tr>
      <w:tr w:rsidR="00974547" w:rsidRPr="00F2273F" w:rsidTr="00822D8C">
        <w:trPr>
          <w:jc w:val="center"/>
        </w:trPr>
        <w:tc>
          <w:tcPr>
            <w:tcW w:w="8828" w:type="dxa"/>
            <w:gridSpan w:val="2"/>
          </w:tcPr>
          <w:p w:rsidR="001F470C" w:rsidRPr="00F2273F" w:rsidRDefault="00F2273F" w:rsidP="007B1E40">
            <w:pPr>
              <w:widowControl w:val="0"/>
              <w:jc w:val="both"/>
              <w:rPr>
                <w:sz w:val="28"/>
                <w:szCs w:val="22"/>
              </w:rPr>
            </w:pPr>
            <w:r w:rsidRPr="00F2273F">
              <w:rPr>
                <w:b/>
                <w:bCs/>
                <w:sz w:val="28"/>
                <w:szCs w:val="22"/>
              </w:rPr>
              <w:t>Primera etapa</w:t>
            </w:r>
            <w:r w:rsidRPr="00F2273F">
              <w:rPr>
                <w:sz w:val="28"/>
                <w:szCs w:val="22"/>
              </w:rPr>
              <w:t xml:space="preserve"> (común a ambos escrutinios): “</w:t>
            </w:r>
            <w:r w:rsidRPr="00F2273F">
              <w:rPr>
                <w:i/>
                <w:iCs/>
                <w:sz w:val="28"/>
                <w:szCs w:val="22"/>
              </w:rPr>
              <w:t xml:space="preserve">determinar la ubicación y alcance de las normas demandadas </w:t>
            </w:r>
            <w:r w:rsidRPr="00F2273F">
              <w:rPr>
                <w:i/>
                <w:iCs/>
                <w:sz w:val="28"/>
                <w:szCs w:val="22"/>
              </w:rPr>
              <w:t>para establecer si se trata de una disposición instrumental”</w:t>
            </w:r>
            <w:r w:rsidRPr="00F2273F">
              <w:rPr>
                <w:rStyle w:val="Refdenotaalpie"/>
                <w:sz w:val="28"/>
                <w:szCs w:val="22"/>
              </w:rPr>
              <w:footnoteReference w:id="82"/>
            </w:r>
            <w:r w:rsidRPr="00F2273F">
              <w:rPr>
                <w:sz w:val="28"/>
                <w:szCs w:val="22"/>
              </w:rPr>
              <w:t>.</w:t>
            </w:r>
          </w:p>
        </w:tc>
      </w:tr>
      <w:tr w:rsidR="00974547" w:rsidRPr="00F2273F" w:rsidTr="00822D8C">
        <w:trPr>
          <w:jc w:val="center"/>
        </w:trPr>
        <w:tc>
          <w:tcPr>
            <w:tcW w:w="8828" w:type="dxa"/>
            <w:gridSpan w:val="2"/>
          </w:tcPr>
          <w:p w:rsidR="001F470C" w:rsidRPr="00F2273F" w:rsidRDefault="00F2273F" w:rsidP="007B1E40">
            <w:pPr>
              <w:widowControl w:val="0"/>
              <w:jc w:val="both"/>
              <w:rPr>
                <w:sz w:val="28"/>
                <w:szCs w:val="22"/>
              </w:rPr>
            </w:pPr>
            <w:r w:rsidRPr="00F2273F">
              <w:rPr>
                <w:b/>
                <w:bCs/>
                <w:sz w:val="28"/>
                <w:szCs w:val="22"/>
              </w:rPr>
              <w:t>Segunda etapa</w:t>
            </w:r>
            <w:r w:rsidRPr="00F2273F">
              <w:rPr>
                <w:sz w:val="28"/>
                <w:szCs w:val="22"/>
              </w:rPr>
              <w:t xml:space="preserve"> (común a ambos escrutinios): “</w:t>
            </w:r>
            <w:r w:rsidRPr="00F2273F">
              <w:rPr>
                <w:i/>
                <w:iCs/>
                <w:sz w:val="28"/>
                <w:szCs w:val="22"/>
              </w:rPr>
              <w:t>definir si en la parte general del plan existen objetivos, metas, planes o estrategias que puedan relacionarse con las disposiciones acusadas”</w:t>
            </w:r>
            <w:r w:rsidRPr="00F2273F">
              <w:rPr>
                <w:rStyle w:val="Refdenotaalpie"/>
                <w:sz w:val="28"/>
                <w:szCs w:val="22"/>
              </w:rPr>
              <w:footnoteReference w:id="83"/>
            </w:r>
            <w:r w:rsidRPr="00F2273F">
              <w:rPr>
                <w:i/>
                <w:iCs/>
                <w:sz w:val="28"/>
                <w:szCs w:val="22"/>
              </w:rPr>
              <w:t>.</w:t>
            </w:r>
            <w:r w:rsidRPr="00F2273F">
              <w:rPr>
                <w:sz w:val="28"/>
                <w:szCs w:val="22"/>
              </w:rPr>
              <w:t xml:space="preserve"> Asi</w:t>
            </w:r>
            <w:r w:rsidRPr="00F2273F">
              <w:rPr>
                <w:sz w:val="28"/>
                <w:szCs w:val="22"/>
              </w:rPr>
              <w:t>mismo, verificar si las disposiciones demandadas pueden relacionarse con los programas del Plan Plurianual de Inversiones.</w:t>
            </w:r>
          </w:p>
        </w:tc>
      </w:tr>
      <w:tr w:rsidR="00974547" w:rsidRPr="00F2273F" w:rsidTr="00822D8C">
        <w:trPr>
          <w:jc w:val="center"/>
        </w:trPr>
        <w:tc>
          <w:tcPr>
            <w:tcW w:w="4414" w:type="dxa"/>
          </w:tcPr>
          <w:p w:rsidR="001F470C" w:rsidRPr="00F2273F" w:rsidRDefault="00F2273F" w:rsidP="007B1E40">
            <w:pPr>
              <w:widowControl w:val="0"/>
              <w:jc w:val="both"/>
              <w:rPr>
                <w:sz w:val="28"/>
                <w:szCs w:val="22"/>
              </w:rPr>
            </w:pPr>
            <w:r w:rsidRPr="00F2273F">
              <w:rPr>
                <w:b/>
                <w:bCs/>
                <w:sz w:val="28"/>
                <w:szCs w:val="22"/>
              </w:rPr>
              <w:t>Tercera etapa:</w:t>
            </w:r>
            <w:r w:rsidRPr="00F2273F">
              <w:rPr>
                <w:sz w:val="28"/>
                <w:szCs w:val="22"/>
              </w:rPr>
              <w:t xml:space="preserve"> “</w:t>
            </w:r>
            <w:r w:rsidRPr="00F2273F">
              <w:rPr>
                <w:i/>
                <w:iCs/>
                <w:sz w:val="28"/>
                <w:szCs w:val="22"/>
              </w:rPr>
              <w:t>constatar que exista conexidad directa e inmediata (estrecha y verificable) entre las normas cuestionadas y los obje</w:t>
            </w:r>
            <w:r w:rsidRPr="00F2273F">
              <w:rPr>
                <w:i/>
                <w:iCs/>
                <w:sz w:val="28"/>
                <w:szCs w:val="22"/>
              </w:rPr>
              <w:t>tivos, metas o estrategias de la parte general del plan, así como de los programas, proyectos y apropiaciones que se autoricen para su ejecución y de las medidas que se adopten para impulsar su cumplimiento, los cuales siempre han de contar con un referent</w:t>
            </w:r>
            <w:r w:rsidRPr="00F2273F">
              <w:rPr>
                <w:i/>
                <w:iCs/>
                <w:sz w:val="28"/>
                <w:szCs w:val="22"/>
              </w:rPr>
              <w:t>e en la parte general del mismo”</w:t>
            </w:r>
            <w:r w:rsidRPr="00F2273F">
              <w:rPr>
                <w:rStyle w:val="Refdenotaalpie"/>
                <w:sz w:val="28"/>
                <w:szCs w:val="22"/>
              </w:rPr>
              <w:footnoteReference w:id="84"/>
            </w:r>
            <w:r w:rsidRPr="00F2273F">
              <w:rPr>
                <w:sz w:val="28"/>
                <w:szCs w:val="22"/>
              </w:rPr>
              <w:t>.</w:t>
            </w:r>
          </w:p>
          <w:p w:rsidR="001F470C" w:rsidRPr="00F2273F" w:rsidRDefault="00F2273F" w:rsidP="007B1E40">
            <w:pPr>
              <w:widowControl w:val="0"/>
              <w:jc w:val="both"/>
              <w:rPr>
                <w:sz w:val="28"/>
                <w:szCs w:val="22"/>
              </w:rPr>
            </w:pPr>
          </w:p>
          <w:p w:rsidR="001F470C" w:rsidRPr="00F2273F" w:rsidRDefault="00F2273F" w:rsidP="007B1E40">
            <w:pPr>
              <w:widowControl w:val="0"/>
              <w:jc w:val="both"/>
              <w:rPr>
                <w:sz w:val="28"/>
                <w:szCs w:val="22"/>
              </w:rPr>
            </w:pPr>
            <w:r w:rsidRPr="00F2273F">
              <w:rPr>
                <w:i/>
                <w:iCs/>
                <w:sz w:val="28"/>
                <w:szCs w:val="22"/>
                <w:u w:val="single"/>
              </w:rPr>
              <w:t>Explicación de esta etapa</w:t>
            </w:r>
            <w:r w:rsidRPr="00F2273F">
              <w:rPr>
                <w:sz w:val="28"/>
                <w:szCs w:val="22"/>
              </w:rPr>
              <w:t xml:space="preserve">: En este punto no se puede declarar la </w:t>
            </w:r>
            <w:r w:rsidRPr="00F2273F">
              <w:rPr>
                <w:i/>
                <w:iCs/>
                <w:sz w:val="28"/>
                <w:szCs w:val="22"/>
              </w:rPr>
              <w:t>exequibilidad</w:t>
            </w:r>
            <w:r w:rsidRPr="00F2273F">
              <w:rPr>
                <w:sz w:val="28"/>
                <w:szCs w:val="22"/>
              </w:rPr>
              <w:t xml:space="preserve"> de una norma con base en la existencia de una relación de conexidad cualquiera. Una norma instrumental puede contribuir, en un mayor o menor </w:t>
            </w:r>
            <w:r w:rsidRPr="00F2273F">
              <w:rPr>
                <w:sz w:val="28"/>
                <w:szCs w:val="22"/>
              </w:rPr>
              <w:t xml:space="preserve">grado, al cumplimiento de la finalidad para la cual fue incluida. Por ello debe analizarse si la norma instrumental demandada es </w:t>
            </w:r>
            <w:r w:rsidRPr="00F2273F">
              <w:rPr>
                <w:i/>
                <w:iCs/>
                <w:sz w:val="28"/>
                <w:szCs w:val="22"/>
                <w:shd w:val="clear" w:color="auto" w:fill="FFFFFF"/>
              </w:rPr>
              <w:t>efectiva</w:t>
            </w:r>
            <w:r w:rsidRPr="00F2273F">
              <w:rPr>
                <w:sz w:val="28"/>
                <w:szCs w:val="22"/>
                <w:shd w:val="clear" w:color="auto" w:fill="FFFFFF"/>
              </w:rPr>
              <w:t xml:space="preserve"> y </w:t>
            </w:r>
            <w:r w:rsidRPr="00F2273F">
              <w:rPr>
                <w:i/>
                <w:iCs/>
                <w:sz w:val="28"/>
                <w:szCs w:val="22"/>
                <w:shd w:val="clear" w:color="auto" w:fill="FFFFFF"/>
              </w:rPr>
              <w:t>posibilita</w:t>
            </w:r>
            <w:r w:rsidRPr="00F2273F">
              <w:rPr>
                <w:sz w:val="28"/>
                <w:szCs w:val="22"/>
                <w:shd w:val="clear" w:color="auto" w:fill="FFFFFF"/>
              </w:rPr>
              <w:t xml:space="preserve"> el cumplimiento del propósito para el cual se incluyó</w:t>
            </w:r>
            <w:r w:rsidRPr="00F2273F">
              <w:rPr>
                <w:sz w:val="28"/>
                <w:szCs w:val="22"/>
              </w:rPr>
              <w:t>. Este análisis coincide con las reglas jurisprudenc</w:t>
            </w:r>
            <w:r w:rsidRPr="00F2273F">
              <w:rPr>
                <w:sz w:val="28"/>
                <w:szCs w:val="22"/>
              </w:rPr>
              <w:t>iales vigentes hasta la fecha.</w:t>
            </w:r>
          </w:p>
        </w:tc>
        <w:tc>
          <w:tcPr>
            <w:tcW w:w="4414" w:type="dxa"/>
          </w:tcPr>
          <w:p w:rsidR="001F470C" w:rsidRPr="00F2273F" w:rsidRDefault="00F2273F" w:rsidP="007B1E40">
            <w:pPr>
              <w:widowControl w:val="0"/>
              <w:jc w:val="both"/>
              <w:rPr>
                <w:sz w:val="28"/>
                <w:szCs w:val="22"/>
              </w:rPr>
            </w:pPr>
            <w:r w:rsidRPr="00F2273F">
              <w:rPr>
                <w:b/>
                <w:bCs/>
                <w:sz w:val="28"/>
                <w:szCs w:val="22"/>
              </w:rPr>
              <w:t xml:space="preserve">Tercera etapa: </w:t>
            </w:r>
            <w:r w:rsidRPr="00F2273F">
              <w:rPr>
                <w:sz w:val="28"/>
                <w:szCs w:val="22"/>
              </w:rPr>
              <w:t xml:space="preserve">definir si existe una conexidad razonable, objetiva y coherente con las bases del Plan </w:t>
            </w:r>
            <w:r w:rsidRPr="00F2273F">
              <w:rPr>
                <w:sz w:val="28"/>
                <w:szCs w:val="22"/>
              </w:rPr>
              <w:t>[</w:t>
            </w:r>
            <w:r w:rsidRPr="00F2273F">
              <w:rPr>
                <w:sz w:val="28"/>
                <w:szCs w:val="22"/>
              </w:rPr>
              <w:t>Nacional de Desarrollo</w:t>
            </w:r>
            <w:r w:rsidRPr="00F2273F">
              <w:rPr>
                <w:sz w:val="28"/>
                <w:szCs w:val="22"/>
              </w:rPr>
              <w:t>]</w:t>
            </w:r>
            <w:r w:rsidRPr="00F2273F">
              <w:rPr>
                <w:sz w:val="28"/>
                <w:szCs w:val="22"/>
              </w:rPr>
              <w:t xml:space="preserve"> </w:t>
            </w:r>
            <w:r w:rsidRPr="00F2273F">
              <w:rPr>
                <w:sz w:val="28"/>
                <w:szCs w:val="22"/>
              </w:rPr>
              <w:t>o con el Plan Plurianual de Inversiones.</w:t>
            </w:r>
          </w:p>
          <w:p w:rsidR="001F470C" w:rsidRPr="00F2273F" w:rsidRDefault="00F2273F" w:rsidP="007B1E40">
            <w:pPr>
              <w:widowControl w:val="0"/>
              <w:jc w:val="both"/>
              <w:rPr>
                <w:b/>
                <w:bCs/>
                <w:sz w:val="28"/>
                <w:szCs w:val="22"/>
              </w:rPr>
            </w:pPr>
          </w:p>
          <w:p w:rsidR="001F470C" w:rsidRPr="00F2273F" w:rsidRDefault="00F2273F" w:rsidP="007B1E40">
            <w:pPr>
              <w:widowControl w:val="0"/>
              <w:jc w:val="both"/>
              <w:rPr>
                <w:sz w:val="28"/>
                <w:szCs w:val="22"/>
              </w:rPr>
            </w:pPr>
            <w:r w:rsidRPr="00F2273F">
              <w:rPr>
                <w:i/>
                <w:iCs/>
                <w:sz w:val="28"/>
                <w:szCs w:val="22"/>
                <w:u w:val="single"/>
              </w:rPr>
              <w:t>Explicación de esta etapa</w:t>
            </w:r>
            <w:r w:rsidRPr="00F2273F">
              <w:rPr>
                <w:sz w:val="28"/>
                <w:szCs w:val="22"/>
              </w:rPr>
              <w:t>. Si en el juicio de mayor inte</w:t>
            </w:r>
            <w:r w:rsidRPr="00F2273F">
              <w:rPr>
                <w:sz w:val="28"/>
                <w:szCs w:val="22"/>
              </w:rPr>
              <w:t xml:space="preserve">nsidad debe identificarse la </w:t>
            </w:r>
            <w:r w:rsidRPr="00F2273F">
              <w:rPr>
                <w:i/>
                <w:iCs/>
                <w:sz w:val="28"/>
                <w:szCs w:val="22"/>
              </w:rPr>
              <w:t>efectividad</w:t>
            </w:r>
            <w:r w:rsidRPr="00F2273F">
              <w:rPr>
                <w:sz w:val="28"/>
                <w:szCs w:val="22"/>
              </w:rPr>
              <w:t xml:space="preserve"> que la norma instrumental tiene para cumplir el fin que se trazó, en el juicio de menor intensidad simplemente debe verificarse que la norma demandada tenga una </w:t>
            </w:r>
            <w:r w:rsidRPr="00F2273F">
              <w:rPr>
                <w:i/>
                <w:iCs/>
                <w:sz w:val="28"/>
                <w:szCs w:val="22"/>
              </w:rPr>
              <w:t>conexidad razonable y objetiva</w:t>
            </w:r>
            <w:r w:rsidRPr="00F2273F">
              <w:rPr>
                <w:sz w:val="28"/>
                <w:szCs w:val="22"/>
              </w:rPr>
              <w:t xml:space="preserve"> con las bases del Plan </w:t>
            </w:r>
            <w:r w:rsidRPr="00F2273F">
              <w:rPr>
                <w:sz w:val="28"/>
                <w:szCs w:val="22"/>
              </w:rPr>
              <w:t xml:space="preserve">o con los programas incluidos en el Plan Plurianual de Inversiones. Así, la norma debería declararse exequible solo </w:t>
            </w:r>
            <w:r w:rsidRPr="00F2273F">
              <w:rPr>
                <w:i/>
                <w:iCs/>
                <w:sz w:val="28"/>
                <w:szCs w:val="22"/>
              </w:rPr>
              <w:t>si contribuye, en algún grado razonable, a la consecución del fin que se propone</w:t>
            </w:r>
            <w:r w:rsidRPr="00F2273F">
              <w:rPr>
                <w:sz w:val="28"/>
                <w:szCs w:val="22"/>
              </w:rPr>
              <w:t>.</w:t>
            </w:r>
          </w:p>
          <w:p w:rsidR="001F470C" w:rsidRPr="00F2273F" w:rsidRDefault="00F2273F" w:rsidP="00822D8C">
            <w:pPr>
              <w:widowControl w:val="0"/>
              <w:rPr>
                <w:sz w:val="28"/>
                <w:szCs w:val="22"/>
              </w:rPr>
            </w:pPr>
          </w:p>
          <w:p w:rsidR="001F470C" w:rsidRPr="00F2273F" w:rsidRDefault="00F2273F" w:rsidP="00822D8C">
            <w:pPr>
              <w:widowControl w:val="0"/>
              <w:rPr>
                <w:sz w:val="28"/>
                <w:szCs w:val="22"/>
              </w:rPr>
            </w:pPr>
          </w:p>
        </w:tc>
      </w:tr>
    </w:tbl>
    <w:p w:rsidR="001F470C" w:rsidRPr="00F2273F" w:rsidRDefault="00F2273F" w:rsidP="001F470C">
      <w:pPr>
        <w:pStyle w:val="Prrafodelista"/>
        <w:shd w:val="clear" w:color="auto" w:fill="FFFFFF"/>
        <w:spacing w:after="0" w:line="240" w:lineRule="auto"/>
        <w:ind w:left="0" w:right="48"/>
        <w:jc w:val="center"/>
        <w:textAlignment w:val="baseline"/>
        <w:rPr>
          <w:rFonts w:ascii="Times New Roman" w:hAnsi="Times New Roman" w:cs="Times New Roman"/>
          <w:sz w:val="28"/>
          <w:lang w:eastAsia="es-ES"/>
        </w:rPr>
      </w:pPr>
      <w:r w:rsidRPr="00F2273F">
        <w:rPr>
          <w:rFonts w:ascii="Times New Roman" w:hAnsi="Times New Roman" w:cs="Times New Roman"/>
          <w:sz w:val="28"/>
          <w:lang w:eastAsia="es-ES"/>
        </w:rPr>
        <w:t>Fuente: Corte Constitucional, Sentencia C-244 de 2025</w:t>
      </w:r>
    </w:p>
    <w:p w:rsidR="005D2DB9" w:rsidRPr="00F2273F" w:rsidRDefault="00F2273F" w:rsidP="006C3B22">
      <w:pPr>
        <w:pStyle w:val="Prrafodelista"/>
        <w:shd w:val="clear" w:color="auto" w:fill="FFFFFF"/>
        <w:spacing w:after="0" w:line="240" w:lineRule="auto"/>
        <w:ind w:left="0" w:right="48"/>
        <w:jc w:val="both"/>
        <w:textAlignment w:val="baseline"/>
        <w:rPr>
          <w:rFonts w:ascii="Times New Roman" w:hAnsi="Times New Roman" w:cs="Times New Roman"/>
          <w:sz w:val="28"/>
          <w:szCs w:val="24"/>
          <w:lang w:eastAsia="es-ES"/>
        </w:rPr>
      </w:pPr>
    </w:p>
    <w:p w:rsidR="005D2DB9" w:rsidRPr="00F2273F" w:rsidRDefault="00F2273F" w:rsidP="0028298B">
      <w:pPr>
        <w:pStyle w:val="Prrafodelista"/>
        <w:keepNext/>
        <w:numPr>
          <w:ilvl w:val="0"/>
          <w:numId w:val="4"/>
        </w:numPr>
        <w:spacing w:after="0" w:line="240" w:lineRule="auto"/>
        <w:ind w:hanging="720"/>
        <w:mirrorIndents/>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 xml:space="preserve">Análisis de constitucionalidad </w:t>
      </w:r>
      <w:r w:rsidRPr="00F2273F">
        <w:rPr>
          <w:rFonts w:ascii="Times New Roman" w:eastAsia="Arial Unicode MS" w:hAnsi="Times New Roman" w:cs="Times New Roman"/>
          <w:b/>
          <w:bCs/>
          <w:sz w:val="28"/>
          <w:szCs w:val="28"/>
          <w:u w:color="000000"/>
          <w:bdr w:val="nil"/>
          <w:lang w:val="es-MX"/>
        </w:rPr>
        <w:t xml:space="preserve">sobre </w:t>
      </w:r>
      <w:r w:rsidRPr="00F2273F">
        <w:rPr>
          <w:rFonts w:ascii="Times New Roman" w:eastAsia="Arial Unicode MS" w:hAnsi="Times New Roman" w:cs="Times New Roman"/>
          <w:b/>
          <w:bCs/>
          <w:sz w:val="28"/>
          <w:szCs w:val="28"/>
          <w:u w:color="000000"/>
          <w:bdr w:val="nil"/>
          <w:lang w:val="es-MX"/>
        </w:rPr>
        <w:t>las expresiones demandadas</w:t>
      </w:r>
    </w:p>
    <w:p w:rsidR="00A16DB1" w:rsidRPr="00F2273F" w:rsidRDefault="00F2273F" w:rsidP="00804CB1">
      <w:pPr>
        <w:pStyle w:val="Prrafodelista"/>
        <w:keepNext/>
        <w:spacing w:after="0" w:line="240" w:lineRule="auto"/>
        <w:mirrorIndents/>
        <w:rPr>
          <w:rFonts w:ascii="Times New Roman" w:eastAsia="Arial Unicode MS" w:hAnsi="Times New Roman" w:cs="Times New Roman"/>
          <w:b/>
          <w:bCs/>
          <w:sz w:val="28"/>
          <w:szCs w:val="28"/>
          <w:u w:color="000000"/>
          <w:bdr w:val="nil"/>
          <w:lang w:val="es-MX"/>
        </w:rPr>
      </w:pPr>
    </w:p>
    <w:p w:rsidR="0026178B" w:rsidRPr="00F2273F" w:rsidRDefault="00F2273F" w:rsidP="00804CB1">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u w:color="000000"/>
          <w:bdr w:val="nil"/>
        </w:rPr>
        <w:t>A continuación, la Sala Plena presenta el estudio de fondo</w:t>
      </w:r>
      <w:r w:rsidRPr="00F2273F">
        <w:rPr>
          <w:rFonts w:ascii="Times New Roman" w:eastAsia="Arial Unicode MS" w:hAnsi="Times New Roman" w:cs="Times New Roman"/>
          <w:sz w:val="28"/>
          <w:szCs w:val="28"/>
          <w:u w:color="000000"/>
          <w:bdr w:val="nil"/>
        </w:rPr>
        <w:t xml:space="preserve"> sobre el caso</w:t>
      </w:r>
      <w:r w:rsidRPr="00F2273F">
        <w:rPr>
          <w:rFonts w:ascii="Times New Roman" w:eastAsia="Arial Unicode MS" w:hAnsi="Times New Roman" w:cs="Times New Roman"/>
          <w:sz w:val="28"/>
          <w:szCs w:val="28"/>
          <w:u w:color="000000"/>
          <w:bdr w:val="nil"/>
        </w:rPr>
        <w:t xml:space="preserve">, para lo cual (i) se referirá al alcance de </w:t>
      </w:r>
      <w:r w:rsidRPr="00F2273F">
        <w:rPr>
          <w:rFonts w:ascii="Times New Roman" w:eastAsia="Arial Unicode MS" w:hAnsi="Times New Roman" w:cs="Times New Roman"/>
          <w:sz w:val="28"/>
          <w:szCs w:val="28"/>
          <w:u w:color="000000"/>
          <w:bdr w:val="nil"/>
        </w:rPr>
        <w:t>las derogatorias</w:t>
      </w:r>
      <w:r w:rsidRPr="00F2273F">
        <w:rPr>
          <w:rFonts w:ascii="Times New Roman" w:eastAsia="Arial Unicode MS" w:hAnsi="Times New Roman" w:cs="Times New Roman"/>
          <w:sz w:val="28"/>
          <w:szCs w:val="28"/>
          <w:u w:color="000000"/>
          <w:bdr w:val="nil"/>
        </w:rPr>
        <w:t xml:space="preserve"> demandadas e</w:t>
      </w:r>
      <w:r w:rsidRPr="00F2273F">
        <w:rPr>
          <w:rFonts w:ascii="Times New Roman" w:eastAsia="Arial Unicode MS" w:hAnsi="Times New Roman" w:cs="Times New Roman"/>
          <w:sz w:val="28"/>
          <w:szCs w:val="28"/>
          <w:u w:color="000000"/>
          <w:bdr w:val="nil"/>
        </w:rPr>
        <w:t xml:space="preserve"> </w:t>
      </w:r>
      <w:r w:rsidRPr="00F2273F">
        <w:rPr>
          <w:rFonts w:ascii="Times New Roman" w:hAnsi="Times New Roman" w:cs="Times New Roman"/>
          <w:sz w:val="28"/>
          <w:szCs w:val="28"/>
          <w:lang w:eastAsia="es-ES"/>
        </w:rPr>
        <w:t>incorporadas al artículo 372 de la Ley 2294</w:t>
      </w:r>
      <w:r w:rsidRPr="00F2273F">
        <w:rPr>
          <w:rFonts w:ascii="Times New Roman" w:hAnsi="Times New Roman" w:cs="Times New Roman"/>
          <w:sz w:val="28"/>
          <w:szCs w:val="28"/>
          <w:lang w:eastAsia="es-ES"/>
        </w:rPr>
        <w:t xml:space="preserve"> de 202</w:t>
      </w:r>
      <w:r w:rsidRPr="00F2273F">
        <w:rPr>
          <w:rFonts w:ascii="Times New Roman" w:hAnsi="Times New Roman" w:cs="Times New Roman"/>
          <w:sz w:val="28"/>
          <w:szCs w:val="28"/>
          <w:lang w:eastAsia="es-ES"/>
        </w:rPr>
        <w:t>3</w:t>
      </w:r>
      <w:r w:rsidRPr="00F2273F">
        <w:rPr>
          <w:rFonts w:ascii="Times New Roman" w:hAnsi="Times New Roman" w:cs="Times New Roman"/>
          <w:sz w:val="28"/>
          <w:szCs w:val="28"/>
          <w:lang w:eastAsia="es-ES"/>
        </w:rPr>
        <w:t xml:space="preserve">. Estas derogatorias </w:t>
      </w:r>
      <w:r w:rsidRPr="00F2273F">
        <w:rPr>
          <w:rFonts w:ascii="Times New Roman" w:hAnsi="Times New Roman" w:cs="Times New Roman"/>
          <w:sz w:val="28"/>
          <w:szCs w:val="28"/>
          <w:lang w:eastAsia="es-ES"/>
        </w:rPr>
        <w:t>tenían como propósito eliminar</w:t>
      </w:r>
      <w:r w:rsidRPr="00F2273F">
        <w:rPr>
          <w:rFonts w:ascii="Times New Roman" w:hAnsi="Times New Roman" w:cs="Times New Roman"/>
          <w:sz w:val="28"/>
          <w:szCs w:val="28"/>
          <w:lang w:eastAsia="es-ES"/>
        </w:rPr>
        <w:t xml:space="preserve"> la restricción que recaía sobre la empresa </w:t>
      </w:r>
      <w:r w:rsidRPr="00F2273F">
        <w:rPr>
          <w:rFonts w:ascii="Times New Roman" w:hAnsi="Times New Roman" w:cs="Times New Roman"/>
          <w:sz w:val="28"/>
          <w:szCs w:val="28"/>
          <w:lang w:eastAsia="es-ES"/>
        </w:rPr>
        <w:t xml:space="preserve">ISA </w:t>
      </w:r>
      <w:r w:rsidRPr="00F2273F">
        <w:rPr>
          <w:rFonts w:ascii="Times New Roman" w:hAnsi="Times New Roman" w:cs="Times New Roman"/>
          <w:sz w:val="28"/>
          <w:szCs w:val="28"/>
          <w:lang w:eastAsia="es-ES"/>
        </w:rPr>
        <w:t xml:space="preserve">encargada del servicio de interconexión </w:t>
      </w:r>
      <w:r w:rsidRPr="00F2273F">
        <w:rPr>
          <w:rFonts w:ascii="Times New Roman" w:hAnsi="Times New Roman" w:cs="Times New Roman"/>
          <w:sz w:val="28"/>
          <w:szCs w:val="28"/>
          <w:lang w:eastAsia="es-ES"/>
        </w:rPr>
        <w:t xml:space="preserve">eléctrica </w:t>
      </w:r>
      <w:r w:rsidRPr="00F2273F">
        <w:rPr>
          <w:rFonts w:ascii="Times New Roman" w:hAnsi="Times New Roman" w:cs="Times New Roman"/>
          <w:sz w:val="28"/>
          <w:szCs w:val="28"/>
          <w:lang w:eastAsia="es-ES"/>
        </w:rPr>
        <w:t>nacional</w:t>
      </w:r>
      <w:r w:rsidRPr="00F2273F">
        <w:rPr>
          <w:rFonts w:ascii="Times New Roman" w:hAnsi="Times New Roman" w:cs="Times New Roman"/>
          <w:sz w:val="28"/>
          <w:szCs w:val="28"/>
          <w:lang w:eastAsia="es-ES"/>
        </w:rPr>
        <w:t xml:space="preserve"> y que</w:t>
      </w:r>
      <w:r w:rsidRPr="00F2273F">
        <w:rPr>
          <w:rFonts w:ascii="Times New Roman" w:hAnsi="Times New Roman" w:cs="Times New Roman"/>
          <w:sz w:val="28"/>
          <w:szCs w:val="28"/>
          <w:lang w:eastAsia="es-ES"/>
        </w:rPr>
        <w:t xml:space="preserve"> le impedía participar simultáneamente en actividades de generación, comercialización y distribución de electricidad</w:t>
      </w:r>
      <w:r w:rsidRPr="00F2273F">
        <w:rPr>
          <w:rFonts w:ascii="Times New Roman" w:hAnsi="Times New Roman" w:cs="Times New Roman"/>
          <w:sz w:val="28"/>
          <w:szCs w:val="28"/>
          <w:lang w:eastAsia="es-ES"/>
        </w:rPr>
        <w:t>.</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Luego, </w:t>
      </w:r>
      <w:r w:rsidRPr="00F2273F">
        <w:rPr>
          <w:rFonts w:ascii="Times New Roman" w:eastAsia="Arial Unicode MS" w:hAnsi="Times New Roman" w:cs="Times New Roman"/>
          <w:sz w:val="28"/>
          <w:szCs w:val="28"/>
          <w:u w:color="000000"/>
          <w:bdr w:val="nil"/>
        </w:rPr>
        <w:t xml:space="preserve">(ii) </w:t>
      </w:r>
      <w:r w:rsidRPr="00F2273F">
        <w:rPr>
          <w:rFonts w:ascii="Times New Roman" w:eastAsia="Arial Unicode MS" w:hAnsi="Times New Roman" w:cs="Times New Roman"/>
          <w:sz w:val="28"/>
          <w:szCs w:val="28"/>
          <w:u w:color="000000"/>
          <w:bdr w:val="nil"/>
        </w:rPr>
        <w:t xml:space="preserve">para resolver el cargo </w:t>
      </w:r>
      <w:r w:rsidRPr="00F2273F">
        <w:rPr>
          <w:rFonts w:ascii="Times New Roman" w:eastAsia="Arial Unicode MS" w:hAnsi="Times New Roman" w:cs="Times New Roman"/>
          <w:sz w:val="28"/>
          <w:szCs w:val="28"/>
          <w:u w:color="000000"/>
          <w:bdr w:val="nil"/>
        </w:rPr>
        <w:t xml:space="preserve">por </w:t>
      </w:r>
      <w:r w:rsidRPr="00F2273F">
        <w:rPr>
          <w:rFonts w:ascii="Times New Roman" w:eastAsia="Arial Unicode MS" w:hAnsi="Times New Roman" w:cs="Times New Roman"/>
          <w:sz w:val="28"/>
          <w:szCs w:val="28"/>
          <w:u w:color="000000"/>
          <w:bdr w:val="nil"/>
        </w:rPr>
        <w:t>consecutividad,</w:t>
      </w:r>
      <w:r w:rsidRPr="00F2273F">
        <w:rPr>
          <w:rFonts w:ascii="Times New Roman" w:eastAsia="Arial Unicode MS" w:hAnsi="Times New Roman" w:cs="Times New Roman"/>
          <w:sz w:val="28"/>
          <w:szCs w:val="28"/>
          <w:u w:color="000000"/>
          <w:bdr w:val="nil"/>
        </w:rPr>
        <w:t xml:space="preserve"> se</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describirá el trámite que condujo a </w:t>
      </w:r>
      <w:r w:rsidRPr="00F2273F">
        <w:rPr>
          <w:rFonts w:ascii="Times New Roman" w:eastAsia="Arial Unicode MS" w:hAnsi="Times New Roman" w:cs="Times New Roman"/>
          <w:sz w:val="28"/>
          <w:szCs w:val="28"/>
          <w:u w:color="000000"/>
          <w:bdr w:val="nil"/>
        </w:rPr>
        <w:t xml:space="preserve">la </w:t>
      </w:r>
      <w:r w:rsidRPr="00F2273F">
        <w:rPr>
          <w:rFonts w:ascii="Times New Roman" w:eastAsia="Arial Unicode MS" w:hAnsi="Times New Roman" w:cs="Times New Roman"/>
          <w:sz w:val="28"/>
          <w:szCs w:val="28"/>
          <w:u w:color="000000"/>
          <w:bdr w:val="nil"/>
        </w:rPr>
        <w:t xml:space="preserve">aprobación </w:t>
      </w:r>
      <w:r w:rsidRPr="00F2273F">
        <w:rPr>
          <w:rFonts w:ascii="Times New Roman" w:eastAsia="Arial Unicode MS" w:hAnsi="Times New Roman" w:cs="Times New Roman"/>
          <w:sz w:val="28"/>
          <w:szCs w:val="28"/>
          <w:u w:color="000000"/>
          <w:bdr w:val="nil"/>
        </w:rPr>
        <w:t>de las medidas cuestionadas</w:t>
      </w:r>
      <w:r w:rsidRPr="00F2273F">
        <w:rPr>
          <w:rFonts w:ascii="Times New Roman" w:hAnsi="Times New Roman" w:cs="Times New Roman"/>
          <w:sz w:val="28"/>
          <w:szCs w:val="28"/>
          <w:lang w:eastAsia="es-ES"/>
        </w:rPr>
        <w:t>.</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En este punto, se hará referencia al trámite del ar</w:t>
      </w:r>
      <w:r w:rsidRPr="00F2273F">
        <w:rPr>
          <w:rFonts w:ascii="Times New Roman" w:eastAsia="Arial Unicode MS" w:hAnsi="Times New Roman" w:cs="Times New Roman"/>
          <w:sz w:val="28"/>
          <w:szCs w:val="28"/>
          <w:u w:color="000000"/>
          <w:bdr w:val="nil"/>
        </w:rPr>
        <w:t xml:space="preserve">tículo </w:t>
      </w:r>
      <w:r w:rsidRPr="00F2273F">
        <w:rPr>
          <w:rFonts w:ascii="Times New Roman" w:eastAsia="Arial Unicode MS" w:hAnsi="Times New Roman" w:cs="Times New Roman"/>
          <w:sz w:val="28"/>
          <w:szCs w:val="28"/>
          <w:u w:color="000000"/>
          <w:bdr w:val="nil"/>
        </w:rPr>
        <w:t>197/</w:t>
      </w:r>
      <w:r w:rsidRPr="00F2273F">
        <w:rPr>
          <w:rFonts w:ascii="Times New Roman" w:eastAsia="Arial Unicode MS" w:hAnsi="Times New Roman" w:cs="Times New Roman"/>
          <w:sz w:val="28"/>
          <w:szCs w:val="28"/>
          <w:u w:color="000000"/>
          <w:bdr w:val="nil"/>
        </w:rPr>
        <w:t xml:space="preserve">218 del </w:t>
      </w:r>
      <w:r w:rsidRPr="00F2273F">
        <w:rPr>
          <w:rFonts w:ascii="Times New Roman" w:eastAsia="Arial Unicode MS" w:hAnsi="Times New Roman" w:cs="Times New Roman"/>
          <w:sz w:val="28"/>
          <w:szCs w:val="28"/>
          <w:u w:color="000000"/>
          <w:bdr w:val="nil"/>
        </w:rPr>
        <w:t>proyecto de ley correspondiente</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pues </w:t>
      </w:r>
      <w:r w:rsidRPr="00F2273F">
        <w:rPr>
          <w:rFonts w:ascii="Times New Roman" w:eastAsia="Arial Unicode MS" w:hAnsi="Times New Roman" w:cs="Times New Roman"/>
          <w:sz w:val="28"/>
          <w:szCs w:val="28"/>
          <w:u w:color="000000"/>
          <w:bdr w:val="nil"/>
        </w:rPr>
        <w:t xml:space="preserve">tanto </w:t>
      </w:r>
      <w:r w:rsidRPr="00F2273F">
        <w:rPr>
          <w:rFonts w:ascii="Times New Roman" w:eastAsia="Arial Unicode MS" w:hAnsi="Times New Roman" w:cs="Times New Roman"/>
          <w:sz w:val="28"/>
          <w:szCs w:val="28"/>
          <w:u w:color="000000"/>
          <w:bdr w:val="nil"/>
        </w:rPr>
        <w:t>los demandantes</w:t>
      </w:r>
      <w:r w:rsidRPr="00F2273F">
        <w:rPr>
          <w:rFonts w:ascii="Times New Roman" w:eastAsia="Arial Unicode MS" w:hAnsi="Times New Roman" w:cs="Times New Roman"/>
          <w:sz w:val="28"/>
          <w:szCs w:val="28"/>
          <w:u w:color="000000"/>
          <w:bdr w:val="nil"/>
        </w:rPr>
        <w:t xml:space="preserve"> como el Gobierno y varios de los intervinientes</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señala</w:t>
      </w:r>
      <w:r w:rsidRPr="00F2273F">
        <w:rPr>
          <w:rFonts w:ascii="Times New Roman" w:eastAsia="Arial Unicode MS" w:hAnsi="Times New Roman" w:cs="Times New Roman"/>
          <w:sz w:val="28"/>
          <w:szCs w:val="28"/>
          <w:u w:color="000000"/>
          <w:bdr w:val="nil"/>
        </w:rPr>
        <w:t>ron</w:t>
      </w:r>
      <w:r w:rsidRPr="00F2273F">
        <w:rPr>
          <w:rFonts w:ascii="Times New Roman" w:eastAsia="Arial Unicode MS" w:hAnsi="Times New Roman" w:cs="Times New Roman"/>
          <w:sz w:val="28"/>
          <w:szCs w:val="28"/>
          <w:u w:color="000000"/>
          <w:bdr w:val="nil"/>
        </w:rPr>
        <w:t xml:space="preserve"> </w:t>
      </w:r>
      <w:r w:rsidRPr="00F2273F">
        <w:rPr>
          <w:rFonts w:ascii="Times New Roman" w:hAnsi="Times New Roman" w:cs="Times New Roman"/>
          <w:bCs/>
          <w:sz w:val="28"/>
          <w:szCs w:val="28"/>
        </w:rPr>
        <w:t xml:space="preserve">que la derogatoria de los parágrafos de los artículos de las leyes 142 y 143 está directamente relacionada con </w:t>
      </w:r>
      <w:r w:rsidRPr="00F2273F">
        <w:rPr>
          <w:rFonts w:ascii="Times New Roman" w:hAnsi="Times New Roman" w:cs="Times New Roman"/>
          <w:bCs/>
          <w:sz w:val="28"/>
          <w:szCs w:val="28"/>
        </w:rPr>
        <w:t>dicho</w:t>
      </w:r>
      <w:r w:rsidRPr="00F2273F">
        <w:rPr>
          <w:rFonts w:ascii="Times New Roman" w:hAnsi="Times New Roman" w:cs="Times New Roman"/>
          <w:bCs/>
          <w:sz w:val="28"/>
          <w:szCs w:val="28"/>
        </w:rPr>
        <w:t xml:space="preserve"> artículo </w:t>
      </w:r>
      <w:r w:rsidRPr="00F2273F">
        <w:rPr>
          <w:rFonts w:ascii="Times New Roman" w:hAnsi="Times New Roman" w:cs="Times New Roman"/>
          <w:bCs/>
          <w:sz w:val="28"/>
          <w:szCs w:val="28"/>
        </w:rPr>
        <w:t>197/</w:t>
      </w:r>
      <w:r w:rsidRPr="00F2273F">
        <w:rPr>
          <w:rFonts w:ascii="Times New Roman" w:hAnsi="Times New Roman" w:cs="Times New Roman"/>
          <w:bCs/>
          <w:sz w:val="28"/>
          <w:szCs w:val="28"/>
        </w:rPr>
        <w:t xml:space="preserve">218 del proyecto, que </w:t>
      </w:r>
      <w:r w:rsidRPr="00F2273F">
        <w:rPr>
          <w:rFonts w:ascii="Times New Roman" w:eastAsia="Arial Unicode MS" w:hAnsi="Times New Roman" w:cs="Times New Roman"/>
          <w:sz w:val="28"/>
          <w:szCs w:val="28"/>
          <w:u w:color="000000"/>
          <w:bdr w:val="nil"/>
        </w:rPr>
        <w:t xml:space="preserve">fue eliminado </w:t>
      </w:r>
      <w:r w:rsidRPr="00F2273F">
        <w:rPr>
          <w:rFonts w:ascii="Times New Roman" w:eastAsia="Arial Unicode MS" w:hAnsi="Times New Roman" w:cs="Times New Roman"/>
          <w:sz w:val="28"/>
          <w:szCs w:val="28"/>
          <w:u w:color="000000"/>
          <w:bdr w:val="nil"/>
        </w:rPr>
        <w:t xml:space="preserve">en el </w:t>
      </w:r>
      <w:r w:rsidRPr="00F2273F">
        <w:rPr>
          <w:rFonts w:ascii="Times New Roman" w:eastAsia="Arial Unicode MS" w:hAnsi="Times New Roman" w:cs="Times New Roman"/>
          <w:sz w:val="28"/>
          <w:szCs w:val="28"/>
          <w:u w:color="000000"/>
          <w:bdr w:val="nil"/>
        </w:rPr>
        <w:t>trámite legislativo</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Posteriormente</w:t>
      </w:r>
      <w:r w:rsidRPr="00F2273F">
        <w:rPr>
          <w:rFonts w:ascii="Times New Roman" w:eastAsia="Arial Unicode MS" w:hAnsi="Times New Roman" w:cs="Times New Roman"/>
          <w:sz w:val="28"/>
          <w:szCs w:val="28"/>
          <w:u w:color="000000"/>
          <w:bdr w:val="nil"/>
        </w:rPr>
        <w:t>,</w:t>
      </w:r>
      <w:r w:rsidRPr="00F2273F">
        <w:rPr>
          <w:rFonts w:ascii="Times New Roman" w:eastAsia="Arial Unicode MS" w:hAnsi="Times New Roman" w:cs="Times New Roman"/>
          <w:sz w:val="28"/>
          <w:szCs w:val="28"/>
          <w:u w:color="000000"/>
          <w:bdr w:val="nil"/>
        </w:rPr>
        <w:t xml:space="preserve"> (iii) </w:t>
      </w:r>
      <w:r w:rsidRPr="00F2273F">
        <w:rPr>
          <w:rFonts w:ascii="Times New Roman" w:eastAsia="Arial Unicode MS" w:hAnsi="Times New Roman" w:cs="Times New Roman"/>
          <w:sz w:val="28"/>
          <w:szCs w:val="28"/>
          <w:u w:color="000000"/>
          <w:bdr w:val="nil"/>
        </w:rPr>
        <w:t xml:space="preserve">se </w:t>
      </w:r>
      <w:r w:rsidRPr="00F2273F">
        <w:rPr>
          <w:rFonts w:ascii="Times New Roman" w:eastAsia="Arial Unicode MS" w:hAnsi="Times New Roman" w:cs="Times New Roman"/>
          <w:sz w:val="28"/>
          <w:szCs w:val="28"/>
          <w:u w:color="000000"/>
          <w:bdr w:val="nil"/>
        </w:rPr>
        <w:t>realizará</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el juicio de constitucionalidad para </w:t>
      </w:r>
      <w:r w:rsidRPr="00F2273F">
        <w:rPr>
          <w:rFonts w:ascii="Times New Roman" w:eastAsia="Arial Unicode MS" w:hAnsi="Times New Roman" w:cs="Times New Roman"/>
          <w:sz w:val="28"/>
          <w:szCs w:val="28"/>
          <w:u w:color="000000"/>
          <w:bdr w:val="nil"/>
        </w:rPr>
        <w:t>atender</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el cargo por violación del principio de unidad de materia</w:t>
      </w:r>
      <w:r w:rsidRPr="00F2273F">
        <w:rPr>
          <w:rFonts w:ascii="Times New Roman" w:eastAsia="Arial Unicode MS" w:hAnsi="Times New Roman" w:cs="Times New Roman"/>
          <w:sz w:val="28"/>
          <w:szCs w:val="28"/>
          <w:u w:color="000000"/>
          <w:bdr w:val="nil"/>
        </w:rPr>
        <w:t>.</w:t>
      </w:r>
      <w:r w:rsidRPr="00F2273F">
        <w:rPr>
          <w:rFonts w:ascii="Times New Roman" w:eastAsia="Arial Unicode MS" w:hAnsi="Times New Roman" w:cs="Times New Roman"/>
          <w:sz w:val="28"/>
          <w:szCs w:val="28"/>
          <w:u w:color="000000"/>
          <w:bdr w:val="nil"/>
        </w:rPr>
        <w:t xml:space="preserve"> </w:t>
      </w:r>
    </w:p>
    <w:p w:rsidR="00E85CB6" w:rsidRPr="00F2273F" w:rsidRDefault="00F2273F" w:rsidP="007B1E40">
      <w:pPr>
        <w:pStyle w:val="Prrafodelista"/>
        <w:keepNext/>
        <w:spacing w:after="0" w:line="240" w:lineRule="auto"/>
        <w:ind w:left="0"/>
        <w:mirrorIndents/>
        <w:jc w:val="both"/>
        <w:rPr>
          <w:rFonts w:ascii="Times New Roman" w:eastAsia="Arial Unicode MS" w:hAnsi="Times New Roman" w:cs="Times New Roman"/>
          <w:b/>
          <w:bCs/>
          <w:sz w:val="28"/>
          <w:szCs w:val="28"/>
          <w:bdr w:val="nil"/>
          <w:lang w:val="es-MX"/>
        </w:rPr>
      </w:pPr>
    </w:p>
    <w:p w:rsidR="005D2DB9" w:rsidRPr="00F2273F" w:rsidRDefault="00F2273F" w:rsidP="0028298B">
      <w:pPr>
        <w:pStyle w:val="Prrafodelista"/>
        <w:keepNext/>
        <w:numPr>
          <w:ilvl w:val="1"/>
          <w:numId w:val="11"/>
        </w:numPr>
        <w:spacing w:after="0" w:line="240" w:lineRule="auto"/>
        <w:mirrorIndents/>
        <w:rPr>
          <w:rFonts w:ascii="Times New Roman" w:eastAsia="Arial Unicode MS" w:hAnsi="Times New Roman" w:cs="Times New Roman"/>
          <w:b/>
          <w:bCs/>
          <w:sz w:val="28"/>
          <w:szCs w:val="28"/>
          <w:bdr w:val="nil"/>
          <w:lang w:val="es-MX"/>
        </w:rPr>
      </w:pPr>
      <w:r w:rsidRPr="00F2273F">
        <w:rPr>
          <w:rFonts w:ascii="Times New Roman" w:eastAsia="Arial Unicode MS" w:hAnsi="Times New Roman" w:cs="Times New Roman"/>
          <w:b/>
          <w:bCs/>
          <w:sz w:val="28"/>
          <w:szCs w:val="28"/>
          <w:bdr w:val="nil"/>
          <w:lang w:val="es-MX"/>
        </w:rPr>
        <w:t>Alcance de las expresiones acusadas</w:t>
      </w:r>
      <w:r w:rsidRPr="00F2273F">
        <w:rPr>
          <w:rFonts w:ascii="Times New Roman" w:eastAsia="Arial Unicode MS" w:hAnsi="Times New Roman" w:cs="Times New Roman"/>
          <w:b/>
          <w:bCs/>
          <w:sz w:val="28"/>
          <w:szCs w:val="28"/>
          <w:bdr w:val="nil"/>
          <w:lang w:val="es-MX"/>
        </w:rPr>
        <w:t xml:space="preserve"> </w:t>
      </w:r>
    </w:p>
    <w:p w:rsidR="005D2DB9" w:rsidRPr="00F2273F" w:rsidRDefault="00F2273F" w:rsidP="005D2DB9">
      <w:pPr>
        <w:pStyle w:val="Prrafodelista"/>
        <w:keepNext/>
        <w:spacing w:after="0" w:line="240" w:lineRule="auto"/>
        <w:ind w:hanging="720"/>
        <w:mirrorIndents/>
        <w:rPr>
          <w:rFonts w:ascii="Times New Roman" w:eastAsia="Arial Unicode MS" w:hAnsi="Times New Roman" w:cs="Times New Roman"/>
          <w:b/>
          <w:bCs/>
          <w:sz w:val="28"/>
          <w:szCs w:val="28"/>
          <w:u w:color="000000"/>
          <w:bdr w:val="nil"/>
          <w:lang w:val="es-MX"/>
        </w:rPr>
      </w:pPr>
    </w:p>
    <w:p w:rsidR="00F462A9" w:rsidRPr="00F2273F" w:rsidRDefault="00F2273F" w:rsidP="005E329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lang w:val="es-MX"/>
        </w:rPr>
        <w:t xml:space="preserve">Para explicar el alcance de las expresiones del artículo 372 parcialmente acusado, las cuales ordenan la </w:t>
      </w:r>
      <w:r w:rsidRPr="00F2273F">
        <w:rPr>
          <w:rFonts w:ascii="Times New Roman" w:eastAsia="Arial Unicode MS" w:hAnsi="Times New Roman" w:cs="Times New Roman"/>
          <w:sz w:val="28"/>
          <w:szCs w:val="28"/>
          <w:bdr w:val="nil"/>
          <w:lang w:val="es-MX"/>
        </w:rPr>
        <w:t>derogatoria del parágrafo tercero del artículo 167 de la Ley 142 de 1994 y del parágrafo tercero del artículo 32 de la Ley 143 de 1994, es</w:t>
      </w:r>
      <w:r w:rsidRPr="00F2273F">
        <w:rPr>
          <w:rFonts w:ascii="Times New Roman" w:eastAsia="Arial Unicode MS" w:hAnsi="Times New Roman" w:cs="Times New Roman"/>
          <w:sz w:val="28"/>
          <w:szCs w:val="28"/>
          <w:bdr w:val="nil"/>
          <w:lang w:val="es-MX"/>
        </w:rPr>
        <w:t xml:space="preserve"> preciso </w:t>
      </w:r>
      <w:r w:rsidRPr="00F2273F">
        <w:rPr>
          <w:rFonts w:ascii="Times New Roman" w:eastAsia="Arial Unicode MS" w:hAnsi="Times New Roman" w:cs="Times New Roman"/>
          <w:sz w:val="28"/>
          <w:szCs w:val="28"/>
          <w:bdr w:val="nil"/>
          <w:lang w:val="es-MX"/>
        </w:rPr>
        <w:t>presentar</w:t>
      </w:r>
      <w:r w:rsidRPr="00F2273F">
        <w:rPr>
          <w:rFonts w:ascii="Times New Roman" w:eastAsia="Arial Unicode MS" w:hAnsi="Times New Roman" w:cs="Times New Roman"/>
          <w:sz w:val="28"/>
          <w:szCs w:val="28"/>
          <w:bdr w:val="nil"/>
          <w:lang w:val="es-MX"/>
        </w:rPr>
        <w:t xml:space="preserve"> las </w:t>
      </w:r>
      <w:r w:rsidRPr="00F2273F">
        <w:rPr>
          <w:rFonts w:ascii="Times New Roman" w:eastAsia="Arial Unicode MS" w:hAnsi="Times New Roman" w:cs="Times New Roman"/>
          <w:sz w:val="28"/>
          <w:szCs w:val="28"/>
          <w:bdr w:val="nil"/>
          <w:lang w:val="es-MX"/>
        </w:rPr>
        <w:t xml:space="preserve">regulaciones </w:t>
      </w:r>
      <w:r w:rsidRPr="00F2273F">
        <w:rPr>
          <w:rFonts w:ascii="Times New Roman" w:eastAsia="Arial Unicode MS" w:hAnsi="Times New Roman" w:cs="Times New Roman"/>
          <w:sz w:val="28"/>
          <w:szCs w:val="28"/>
          <w:bdr w:val="nil"/>
          <w:lang w:val="es-MX"/>
        </w:rPr>
        <w:t>en las que se inserta</w:t>
      </w:r>
      <w:r w:rsidRPr="00F2273F">
        <w:rPr>
          <w:rFonts w:ascii="Times New Roman" w:eastAsia="Arial Unicode MS" w:hAnsi="Times New Roman" w:cs="Times New Roman"/>
          <w:sz w:val="28"/>
          <w:szCs w:val="28"/>
          <w:bdr w:val="nil"/>
          <w:lang w:val="es-MX"/>
        </w:rPr>
        <w:t>ba</w:t>
      </w:r>
      <w:r w:rsidRPr="00F2273F">
        <w:rPr>
          <w:rFonts w:ascii="Times New Roman" w:eastAsia="Arial Unicode MS" w:hAnsi="Times New Roman" w:cs="Times New Roman"/>
          <w:sz w:val="28"/>
          <w:szCs w:val="28"/>
          <w:bdr w:val="nil"/>
          <w:lang w:val="es-MX"/>
        </w:rPr>
        <w:t>n</w:t>
      </w:r>
      <w:r w:rsidRPr="00F2273F">
        <w:rPr>
          <w:rFonts w:ascii="Times New Roman" w:eastAsia="Arial Unicode MS" w:hAnsi="Times New Roman" w:cs="Times New Roman"/>
          <w:sz w:val="28"/>
          <w:szCs w:val="28"/>
          <w:bdr w:val="nil"/>
          <w:lang w:val="es-MX"/>
        </w:rPr>
        <w:t xml:space="preserve"> estas disposiciones</w:t>
      </w:r>
      <w:r w:rsidRPr="00F2273F">
        <w:rPr>
          <w:rFonts w:ascii="Times New Roman" w:eastAsia="Arial Unicode MS" w:hAnsi="Times New Roman" w:cs="Times New Roman"/>
          <w:sz w:val="28"/>
          <w:szCs w:val="28"/>
          <w:bdr w:val="nil"/>
          <w:lang w:val="es-MX"/>
        </w:rPr>
        <w:t xml:space="preserve">. </w:t>
      </w:r>
    </w:p>
    <w:p w:rsidR="001A260E" w:rsidRPr="00F2273F" w:rsidRDefault="00F2273F" w:rsidP="005872B7">
      <w:pPr>
        <w:pStyle w:val="Prrafodelista"/>
        <w:keepNext/>
        <w:spacing w:after="0" w:line="240" w:lineRule="auto"/>
        <w:ind w:left="0"/>
        <w:mirrorIndents/>
        <w:jc w:val="both"/>
        <w:rPr>
          <w:rFonts w:ascii="Times New Roman" w:eastAsia="Arial Unicode MS" w:hAnsi="Times New Roman" w:cs="Times New Roman"/>
          <w:sz w:val="28"/>
          <w:szCs w:val="28"/>
          <w:bdr w:val="nil"/>
          <w:lang w:val="es-MX"/>
        </w:rPr>
      </w:pPr>
    </w:p>
    <w:p w:rsidR="001A260E" w:rsidRPr="00F2273F" w:rsidRDefault="00F2273F" w:rsidP="001A260E">
      <w:pPr>
        <w:pStyle w:val="Prrafodelista"/>
        <w:keepNext/>
        <w:numPr>
          <w:ilvl w:val="0"/>
          <w:numId w:val="3"/>
        </w:numPr>
        <w:spacing w:after="0" w:line="240" w:lineRule="auto"/>
        <w:ind w:left="0" w:firstLine="0"/>
        <w:mirrorIndents/>
        <w:jc w:val="both"/>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sz w:val="28"/>
          <w:szCs w:val="28"/>
          <w:u w:color="000000"/>
          <w:bdr w:val="nil"/>
          <w:lang w:val="es-MX"/>
        </w:rPr>
        <w:t>Las leyes 142 y 143 se expidieron con fundamento en el artículo 365 de la Constitución Política, que establece que la prestación eficiente de los servicios públicos es inherente a la función social del Estado. La misma disposición señala quiénes pueden pre</w:t>
      </w:r>
      <w:r w:rsidRPr="00F2273F">
        <w:rPr>
          <w:rFonts w:ascii="Times New Roman" w:eastAsia="Arial Unicode MS" w:hAnsi="Times New Roman" w:cs="Times New Roman"/>
          <w:sz w:val="28"/>
          <w:szCs w:val="28"/>
          <w:u w:color="000000"/>
          <w:bdr w:val="nil"/>
          <w:lang w:val="es-MX"/>
        </w:rPr>
        <w:t xml:space="preserve">star esos servicios e indica que la ley determinará asuntos relacionados con las competencias, régimen tarifario, cobertura, calidad y financiación de </w:t>
      </w:r>
      <w:r w:rsidRPr="00F2273F">
        <w:rPr>
          <w:rFonts w:ascii="Times New Roman" w:eastAsia="Arial Unicode MS" w:hAnsi="Times New Roman" w:cs="Times New Roman"/>
          <w:sz w:val="28"/>
          <w:szCs w:val="28"/>
          <w:u w:color="000000"/>
          <w:bdr w:val="nil"/>
          <w:lang w:val="es-MX"/>
        </w:rPr>
        <w:t>aquellos</w:t>
      </w:r>
      <w:r w:rsidRPr="00F2273F">
        <w:rPr>
          <w:rFonts w:ascii="Times New Roman" w:eastAsia="Arial Unicode MS" w:hAnsi="Times New Roman" w:cs="Times New Roman"/>
          <w:sz w:val="28"/>
          <w:szCs w:val="28"/>
          <w:u w:color="000000"/>
          <w:bdr w:val="nil"/>
          <w:lang w:val="es-MX"/>
        </w:rPr>
        <w:t>.</w:t>
      </w:r>
    </w:p>
    <w:p w:rsidR="00F462A9" w:rsidRPr="00F2273F" w:rsidRDefault="00F2273F" w:rsidP="005872B7">
      <w:pPr>
        <w:pStyle w:val="Prrafodelista"/>
        <w:keepNext/>
        <w:spacing w:after="0" w:line="240" w:lineRule="auto"/>
        <w:ind w:left="0"/>
        <w:mirrorIndents/>
        <w:jc w:val="both"/>
        <w:rPr>
          <w:rFonts w:ascii="Times New Roman" w:eastAsia="Arial Unicode MS" w:hAnsi="Times New Roman" w:cs="Times New Roman"/>
          <w:sz w:val="28"/>
          <w:szCs w:val="28"/>
          <w:bdr w:val="nil"/>
          <w:lang w:val="es-MX"/>
        </w:rPr>
      </w:pPr>
    </w:p>
    <w:p w:rsidR="00774EA7" w:rsidRPr="00F2273F" w:rsidRDefault="00F2273F" w:rsidP="005E329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lang w:val="es-MX"/>
        </w:rPr>
        <w:t xml:space="preserve">El primer parágrafo </w:t>
      </w:r>
      <w:r w:rsidRPr="00F2273F">
        <w:rPr>
          <w:rFonts w:ascii="Times New Roman" w:eastAsia="Arial Unicode MS" w:hAnsi="Times New Roman" w:cs="Times New Roman"/>
          <w:sz w:val="28"/>
          <w:szCs w:val="28"/>
          <w:bdr w:val="nil"/>
          <w:lang w:val="es-MX"/>
        </w:rPr>
        <w:t xml:space="preserve">objeto de la derogatoria </w:t>
      </w:r>
      <w:r w:rsidRPr="00F2273F">
        <w:rPr>
          <w:rFonts w:ascii="Times New Roman" w:eastAsia="Arial Unicode MS" w:hAnsi="Times New Roman" w:cs="Times New Roman"/>
          <w:sz w:val="28"/>
          <w:szCs w:val="28"/>
          <w:bdr w:val="nil"/>
          <w:lang w:val="es-MX"/>
        </w:rPr>
        <w:t>hacía parte del régimen de los servicios públicos</w:t>
      </w:r>
      <w:r w:rsidRPr="00F2273F">
        <w:rPr>
          <w:rFonts w:ascii="Times New Roman" w:eastAsia="Arial Unicode MS" w:hAnsi="Times New Roman" w:cs="Times New Roman"/>
          <w:sz w:val="28"/>
          <w:szCs w:val="28"/>
          <w:bdr w:val="nil"/>
          <w:lang w:val="es-MX"/>
        </w:rPr>
        <w:t xml:space="preserve"> domiciliarios contenido en la Ley 142 de 1994, específicamente en el capítulo III del título IX, que incorpora normas especiales para la energía eléctrica y el gas combustible. El mencionado artículo 167</w:t>
      </w:r>
      <w:r w:rsidRPr="00F2273F">
        <w:rPr>
          <w:rFonts w:ascii="Times New Roman" w:eastAsia="Arial Unicode MS" w:hAnsi="Times New Roman" w:cs="Times New Roman"/>
          <w:sz w:val="28"/>
          <w:szCs w:val="28"/>
          <w:bdr w:val="nil"/>
          <w:lang w:val="es-MX"/>
        </w:rPr>
        <w:t>,</w:t>
      </w:r>
      <w:r w:rsidRPr="00F2273F">
        <w:rPr>
          <w:rFonts w:ascii="Times New Roman" w:eastAsia="Arial Unicode MS" w:hAnsi="Times New Roman" w:cs="Times New Roman"/>
          <w:sz w:val="28"/>
          <w:szCs w:val="28"/>
          <w:bdr w:val="nil"/>
          <w:lang w:val="es-MX"/>
        </w:rPr>
        <w:t xml:space="preserve"> con la modificación introducida por el PND</w:t>
      </w:r>
      <w:r w:rsidRPr="00F2273F">
        <w:rPr>
          <w:rFonts w:ascii="Times New Roman" w:eastAsia="Arial Unicode MS" w:hAnsi="Times New Roman" w:cs="Times New Roman"/>
          <w:sz w:val="28"/>
          <w:szCs w:val="28"/>
          <w:bdr w:val="nil"/>
          <w:lang w:val="es-MX"/>
        </w:rPr>
        <w:t>,</w:t>
      </w:r>
      <w:r w:rsidRPr="00F2273F">
        <w:rPr>
          <w:rFonts w:ascii="Times New Roman" w:eastAsia="Arial Unicode MS" w:hAnsi="Times New Roman" w:cs="Times New Roman"/>
          <w:sz w:val="28"/>
          <w:szCs w:val="28"/>
          <w:bdr w:val="nil"/>
          <w:lang w:val="es-MX"/>
        </w:rPr>
        <w:t xml:space="preserve"> establ</w:t>
      </w:r>
      <w:r w:rsidRPr="00F2273F">
        <w:rPr>
          <w:rFonts w:ascii="Times New Roman" w:eastAsia="Arial Unicode MS" w:hAnsi="Times New Roman" w:cs="Times New Roman"/>
          <w:sz w:val="28"/>
          <w:szCs w:val="28"/>
          <w:bdr w:val="nil"/>
          <w:lang w:val="es-MX"/>
        </w:rPr>
        <w:t>ece lo siguiente:</w:t>
      </w:r>
    </w:p>
    <w:p w:rsidR="00774EA7" w:rsidRPr="00F2273F" w:rsidRDefault="00F2273F" w:rsidP="00774EA7">
      <w:pPr>
        <w:pStyle w:val="Prrafodelista"/>
        <w:rPr>
          <w:rFonts w:ascii="Times New Roman" w:eastAsia="Arial Unicode MS" w:hAnsi="Times New Roman" w:cs="Times New Roman"/>
          <w:sz w:val="28"/>
          <w:szCs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w:t>
      </w:r>
      <w:r w:rsidRPr="00F2273F">
        <w:rPr>
          <w:rFonts w:ascii="Times New Roman" w:eastAsia="Arial Unicode MS" w:hAnsi="Times New Roman" w:cs="Times New Roman"/>
          <w:sz w:val="28"/>
          <w:u w:color="000000"/>
          <w:bdr w:val="nil"/>
          <w:lang w:val="es-MX"/>
        </w:rPr>
        <w:t xml:space="preserve">ARTÍCULO 167. REFORMAS Y ESCISIÓN DE ISA. S.A. Autorízase al gobierno nacional para modificar el objeto social de Interconexión Eléctrica S.A., que en lo sucesivo será el de atender la operación y mantenimiento de la red de su </w:t>
      </w:r>
      <w:r w:rsidRPr="00F2273F">
        <w:rPr>
          <w:rFonts w:ascii="Times New Roman" w:eastAsia="Arial Unicode MS" w:hAnsi="Times New Roman" w:cs="Times New Roman"/>
          <w:sz w:val="28"/>
          <w:u w:color="000000"/>
          <w:bdr w:val="nil"/>
          <w:lang w:val="es-MX"/>
        </w:rPr>
        <w:t>propiedad, la expansión de la red nacional de interconexión y prestar servicios técnicos en actividades relacionadas con su objeto principal.</w:t>
      </w: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Autorízase, así mismo, al gobierno para organizar, a partir de los activos de generación que actualmente posee In</w:t>
      </w:r>
      <w:r w:rsidRPr="00F2273F">
        <w:rPr>
          <w:rFonts w:ascii="Times New Roman" w:eastAsia="Arial Unicode MS" w:hAnsi="Times New Roman" w:cs="Times New Roman"/>
          <w:sz w:val="28"/>
          <w:u w:color="000000"/>
          <w:bdr w:val="nil"/>
          <w:lang w:val="es-MX"/>
        </w:rPr>
        <w:t>terconexión Eléctrica S.A., una empresa, que se constituirá en sociedad de economía mixta, vinculada al Ministerio de Minas y Energía y dedicada a la generación de electricidad.</w:t>
      </w: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PARÁGRAFO 1o. La empresa encargada del servicio de interconexión nacional org</w:t>
      </w:r>
      <w:r w:rsidRPr="00F2273F">
        <w:rPr>
          <w:rFonts w:ascii="Times New Roman" w:eastAsia="Arial Unicode MS" w:hAnsi="Times New Roman" w:cs="Times New Roman"/>
          <w:sz w:val="28"/>
          <w:u w:color="000000"/>
          <w:bdr w:val="nil"/>
          <w:lang w:val="es-MX"/>
        </w:rPr>
        <w:t>anizará el centro nacional de despacho como una de sus dependencias internas, que se encargará de la planeación y coordinación de la operación de los recursos del sistema interconectado nacional y administrar el sistema de intercambios y comercialización d</w:t>
      </w:r>
      <w:r w:rsidRPr="00F2273F">
        <w:rPr>
          <w:rFonts w:ascii="Times New Roman" w:eastAsia="Arial Unicode MS" w:hAnsi="Times New Roman" w:cs="Times New Roman"/>
          <w:sz w:val="28"/>
          <w:u w:color="000000"/>
          <w:bdr w:val="nil"/>
          <w:lang w:val="es-MX"/>
        </w:rPr>
        <w:t>e energía eléctrica en el mercado mayorista, con sujeción a las normas del reglamento de operación y a los acuerdos del consejo nacional de operación. Una vez se haya organizado el centro, el gobierno podrá constituir una sociedad anónima que se encargue d</w:t>
      </w:r>
      <w:r w:rsidRPr="00F2273F">
        <w:rPr>
          <w:rFonts w:ascii="Times New Roman" w:eastAsia="Arial Unicode MS" w:hAnsi="Times New Roman" w:cs="Times New Roman"/>
          <w:sz w:val="28"/>
          <w:u w:color="000000"/>
          <w:bdr w:val="nil"/>
          <w:lang w:val="es-MX"/>
        </w:rPr>
        <w:t>e estas funciones.</w:t>
      </w: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 xml:space="preserve">PARÁGRAFO 2o. La empresa encargada del servicio de interconexión nacional contará con recursos propios provenientes de la prestación de los servicios de despacho, del transporte de electricidad, de los cargos por el acceso y uso de sus </w:t>
      </w:r>
      <w:r w:rsidRPr="00F2273F">
        <w:rPr>
          <w:rFonts w:ascii="Times New Roman" w:eastAsia="Arial Unicode MS" w:hAnsi="Times New Roman" w:cs="Times New Roman"/>
          <w:sz w:val="28"/>
          <w:u w:color="000000"/>
          <w:bdr w:val="nil"/>
          <w:lang w:val="es-MX"/>
        </w:rPr>
        <w:t>redes de interconexión y por los servicios técnicos relacionados con su función.</w:t>
      </w: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PARÁGRAFO 3o.  &lt;Parágrafo derogado por el artículo 372 de la Ley 2294 de 2023&gt;</w:t>
      </w: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p>
    <w:p w:rsidR="00774EA7" w:rsidRPr="00F2273F" w:rsidRDefault="00F2273F" w:rsidP="00774EA7">
      <w:pPr>
        <w:pStyle w:val="Prrafodelista"/>
        <w:spacing w:line="240" w:lineRule="auto"/>
        <w:jc w:val="both"/>
        <w:rPr>
          <w:rFonts w:ascii="Times New Roman" w:eastAsia="Arial Unicode MS" w:hAnsi="Times New Roman" w:cs="Times New Roman"/>
          <w:sz w:val="28"/>
          <w:u w:color="000000"/>
          <w:bdr w:val="nil"/>
          <w:lang w:val="es-MX"/>
        </w:rPr>
      </w:pPr>
      <w:r w:rsidRPr="00F2273F">
        <w:rPr>
          <w:rFonts w:ascii="Times New Roman" w:eastAsia="Arial Unicode MS" w:hAnsi="Times New Roman" w:cs="Times New Roman"/>
          <w:sz w:val="28"/>
          <w:u w:color="000000"/>
          <w:bdr w:val="nil"/>
          <w:lang w:val="es-MX"/>
        </w:rPr>
        <w:t>PARÁGRAFO 4o. El personal de la actual planta de ISA será reubicado en las empresas a que dé o</w:t>
      </w:r>
      <w:r w:rsidRPr="00F2273F">
        <w:rPr>
          <w:rFonts w:ascii="Times New Roman" w:eastAsia="Arial Unicode MS" w:hAnsi="Times New Roman" w:cs="Times New Roman"/>
          <w:sz w:val="28"/>
          <w:u w:color="000000"/>
          <w:bdr w:val="nil"/>
          <w:lang w:val="es-MX"/>
        </w:rPr>
        <w:t>rigen, respetando los derechos adquiridos de los trabajadores.</w:t>
      </w:r>
    </w:p>
    <w:p w:rsidR="00774EA7" w:rsidRPr="00F2273F" w:rsidRDefault="00F2273F" w:rsidP="00774EA7">
      <w:pPr>
        <w:pStyle w:val="Prrafodelista"/>
        <w:rPr>
          <w:rFonts w:ascii="Times New Roman" w:eastAsia="Arial Unicode MS" w:hAnsi="Times New Roman" w:cs="Times New Roman"/>
          <w:sz w:val="28"/>
          <w:szCs w:val="28"/>
          <w:u w:color="000000"/>
          <w:bdr w:val="nil"/>
          <w:lang w:val="es-MX"/>
        </w:rPr>
      </w:pPr>
    </w:p>
    <w:p w:rsidR="00774EA7" w:rsidRPr="00F2273F" w:rsidRDefault="00F2273F" w:rsidP="005E329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lang w:val="es-MX"/>
        </w:rPr>
        <w:t>El segundo parágrafo</w:t>
      </w:r>
      <w:r w:rsidRPr="00F2273F">
        <w:rPr>
          <w:rFonts w:ascii="Times New Roman" w:eastAsia="Arial Unicode MS" w:hAnsi="Times New Roman" w:cs="Times New Roman"/>
          <w:sz w:val="28"/>
          <w:szCs w:val="28"/>
          <w:bdr w:val="nil"/>
          <w:lang w:val="es-MX"/>
        </w:rPr>
        <w:t xml:space="preserve"> derogado</w:t>
      </w:r>
      <w:r w:rsidRPr="00F2273F">
        <w:rPr>
          <w:rFonts w:ascii="Times New Roman" w:eastAsia="Arial Unicode MS" w:hAnsi="Times New Roman" w:cs="Times New Roman"/>
          <w:sz w:val="28"/>
          <w:szCs w:val="28"/>
          <w:bdr w:val="nil"/>
          <w:lang w:val="es-MX"/>
        </w:rPr>
        <w:t xml:space="preserve"> pertenecía a la Ley 143 de 1994, </w:t>
      </w:r>
      <w:r w:rsidRPr="00F2273F">
        <w:rPr>
          <w:rFonts w:ascii="Times New Roman" w:eastAsia="Arial Unicode MS" w:hAnsi="Times New Roman" w:cs="Times New Roman"/>
          <w:sz w:val="28"/>
          <w:szCs w:val="28"/>
          <w:bdr w:val="nil"/>
        </w:rPr>
        <w:t>la cual fija el régimen para la generación, interconexión, transmisión, distribución y comercialización de electricidad en el ter</w:t>
      </w:r>
      <w:r w:rsidRPr="00F2273F">
        <w:rPr>
          <w:rFonts w:ascii="Times New Roman" w:eastAsia="Arial Unicode MS" w:hAnsi="Times New Roman" w:cs="Times New Roman"/>
          <w:sz w:val="28"/>
          <w:szCs w:val="28"/>
          <w:bdr w:val="nil"/>
        </w:rPr>
        <w:t>ritorio nacional</w:t>
      </w:r>
      <w:r w:rsidRPr="00F2273F">
        <w:rPr>
          <w:rFonts w:ascii="Times New Roman" w:eastAsia="Arial Unicode MS" w:hAnsi="Times New Roman" w:cs="Times New Roman"/>
          <w:i/>
          <w:iCs/>
          <w:sz w:val="28"/>
          <w:szCs w:val="28"/>
          <w:bdr w:val="nil"/>
        </w:rPr>
        <w:t>.</w:t>
      </w:r>
      <w:r w:rsidRPr="00F2273F">
        <w:rPr>
          <w:rFonts w:ascii="Times New Roman" w:eastAsia="Arial Unicode MS" w:hAnsi="Times New Roman" w:cs="Times New Roman"/>
          <w:sz w:val="28"/>
          <w:szCs w:val="28"/>
          <w:bdr w:val="nil"/>
          <w:lang w:val="es-MX"/>
        </w:rPr>
        <w:t xml:space="preserve"> El artículo 32 en cuestión se inserta en el capítulo VI, </w:t>
      </w:r>
      <w:r w:rsidRPr="00F2273F">
        <w:rPr>
          <w:rFonts w:ascii="Times New Roman" w:eastAsia="Arial Unicode MS" w:hAnsi="Times New Roman" w:cs="Times New Roman"/>
          <w:sz w:val="28"/>
          <w:szCs w:val="28"/>
          <w:bdr w:val="nil"/>
          <w:lang w:val="es-MX"/>
        </w:rPr>
        <w:t>denominado</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“DE LA INTERCONEXIÓN”</w:t>
      </w:r>
      <w:r w:rsidRPr="00F2273F">
        <w:rPr>
          <w:rFonts w:ascii="Times New Roman" w:eastAsia="Arial Unicode MS" w:hAnsi="Times New Roman" w:cs="Times New Roman"/>
          <w:sz w:val="28"/>
          <w:szCs w:val="28"/>
          <w:bdr w:val="nil"/>
          <w:lang w:val="es-MX"/>
        </w:rPr>
        <w:t>. Con</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 xml:space="preserve">la modificación introducida por el PND </w:t>
      </w:r>
      <w:r w:rsidRPr="00F2273F">
        <w:rPr>
          <w:rFonts w:ascii="Times New Roman" w:eastAsia="Arial Unicode MS" w:hAnsi="Times New Roman" w:cs="Times New Roman"/>
          <w:sz w:val="28"/>
          <w:szCs w:val="28"/>
          <w:bdr w:val="nil"/>
          <w:lang w:val="es-MX"/>
        </w:rPr>
        <w:t xml:space="preserve">dicha norma </w:t>
      </w:r>
      <w:r w:rsidRPr="00F2273F">
        <w:rPr>
          <w:rFonts w:ascii="Times New Roman" w:eastAsia="Arial Unicode MS" w:hAnsi="Times New Roman" w:cs="Times New Roman"/>
          <w:sz w:val="28"/>
          <w:szCs w:val="28"/>
          <w:bdr w:val="nil"/>
          <w:lang w:val="es-MX"/>
        </w:rPr>
        <w:t>estipula lo siguiente:</w:t>
      </w:r>
    </w:p>
    <w:p w:rsidR="00774EA7" w:rsidRPr="00F2273F" w:rsidRDefault="00F2273F" w:rsidP="00774EA7">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w:t>
      </w:r>
      <w:r w:rsidRPr="00F2273F">
        <w:rPr>
          <w:rFonts w:ascii="Times New Roman" w:hAnsi="Times New Roman" w:cs="Times New Roman"/>
          <w:sz w:val="28"/>
          <w:u w:color="000000"/>
          <w:bdr w:val="nil"/>
          <w:lang w:val="es-MX"/>
        </w:rPr>
        <w:t xml:space="preserve">ARTÍCULO 32. Autorízase al Gobierno Nacional para modificar el </w:t>
      </w:r>
      <w:r w:rsidRPr="00F2273F">
        <w:rPr>
          <w:rFonts w:ascii="Times New Roman" w:hAnsi="Times New Roman" w:cs="Times New Roman"/>
          <w:sz w:val="28"/>
          <w:u w:color="000000"/>
          <w:bdr w:val="nil"/>
          <w:lang w:val="es-MX"/>
        </w:rPr>
        <w:t>objeto social de Interconexión Eléctrica S.A., que en lo sucesivo será el de atender la operación y mantenimiento de la red de su propiedad, la expansión de la red nacional de interconexión, la planeación y coordinación de la operación del sistema intercon</w:t>
      </w:r>
      <w:r w:rsidRPr="00F2273F">
        <w:rPr>
          <w:rFonts w:ascii="Times New Roman" w:hAnsi="Times New Roman" w:cs="Times New Roman"/>
          <w:sz w:val="28"/>
          <w:u w:color="000000"/>
          <w:bdr w:val="nil"/>
          <w:lang w:val="es-MX"/>
        </w:rPr>
        <w:t>ectado nacional y prestar servicios técnicos en actividades relacionadas con su objeto Social.</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Autorízase, así mismo, al Gobierno Nacional para organizar a partir de los activos de generación que actualmente posee Interconexión Eléctrica S.A., una nueva e</w:t>
      </w:r>
      <w:r w:rsidRPr="00F2273F">
        <w:rPr>
          <w:rFonts w:ascii="Times New Roman" w:hAnsi="Times New Roman" w:cs="Times New Roman"/>
          <w:sz w:val="28"/>
          <w:u w:color="000000"/>
          <w:bdr w:val="nil"/>
          <w:lang w:val="es-MX"/>
        </w:rPr>
        <w:t>mpresa, que se constituirá en una sociedad de economía mixta, vinculada al Ministerio de Minas y Energía, dedicada a la generación de electricidad. Esta nueva empresa contará con autonomía patrimonial, administrativa y presupuestaria.</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PARÁGRAFO 1o. El Cen</w:t>
      </w:r>
      <w:r w:rsidRPr="00F2273F">
        <w:rPr>
          <w:rFonts w:ascii="Times New Roman" w:hAnsi="Times New Roman" w:cs="Times New Roman"/>
          <w:sz w:val="28"/>
          <w:u w:color="000000"/>
          <w:bdr w:val="nil"/>
          <w:lang w:val="es-MX"/>
        </w:rPr>
        <w:t xml:space="preserve">tro Nacional de Despacho será una dependencia interna de la empresa encargada del servicio de interconexión nacional, constituido con los bienes actualmente de propiedad de Interconexión Eléctrica S.A., destinados a la planeación, supervisión y control de </w:t>
      </w:r>
      <w:r w:rsidRPr="00F2273F">
        <w:rPr>
          <w:rFonts w:ascii="Times New Roman" w:hAnsi="Times New Roman" w:cs="Times New Roman"/>
          <w:sz w:val="28"/>
          <w:u w:color="000000"/>
          <w:bdr w:val="nil"/>
          <w:lang w:val="es-MX"/>
        </w:rPr>
        <w:t>la operación y despacho de los recursos en el sistema interconectado nacional, así como los demás que le asigne el Gobierno Nacional.</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PARÁGRAFO 2o. La empresa encargada del servicio de interconexión nacional contará con recursos propios provenientes de la</w:t>
      </w:r>
      <w:r w:rsidRPr="00F2273F">
        <w:rPr>
          <w:rFonts w:ascii="Times New Roman" w:hAnsi="Times New Roman" w:cs="Times New Roman"/>
          <w:sz w:val="28"/>
          <w:u w:color="000000"/>
          <w:bdr w:val="nil"/>
          <w:lang w:val="es-MX"/>
        </w:rPr>
        <w:t xml:space="preserve"> prestación de los servicios del despacho, del transporte de electricidad, de los cargos por el acceso y uso de sus redes de interconexión y por los servicios técnicos relacionados con su función.</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PARÁGRAFO 3o. &lt;Parágrafo derogado por el artículo 372 de l</w:t>
      </w:r>
      <w:r w:rsidRPr="00F2273F">
        <w:rPr>
          <w:rFonts w:ascii="Times New Roman" w:hAnsi="Times New Roman" w:cs="Times New Roman"/>
          <w:sz w:val="28"/>
          <w:u w:color="000000"/>
          <w:bdr w:val="nil"/>
          <w:lang w:val="es-MX"/>
        </w:rPr>
        <w:t>a Ley 2294 de 2023&gt;</w:t>
      </w:r>
    </w:p>
    <w:p w:rsidR="00774EA7" w:rsidRPr="00F2273F" w:rsidRDefault="00F2273F" w:rsidP="00774EA7">
      <w:pPr>
        <w:pStyle w:val="Sinespaciado"/>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PARÁGRAFO 4o. El personal de la actual planta de ISA será reubicado en cada una de las dos empresas que dio origen, de acuerdo con sus actuales funciones, respetando los derechos adquiridos de los trabajadores.</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PARÁGRAFO 5o. Cuando la</w:t>
      </w:r>
      <w:r w:rsidRPr="00F2273F">
        <w:rPr>
          <w:rFonts w:ascii="Times New Roman" w:hAnsi="Times New Roman" w:cs="Times New Roman"/>
          <w:sz w:val="28"/>
          <w:u w:color="000000"/>
          <w:bdr w:val="nil"/>
          <w:lang w:val="es-MX"/>
        </w:rPr>
        <w:t xml:space="preserve"> expansión de la Red Nacional de Interconexión se vaya a hacer a través de líneas en las cuales se conjuguen las características de la red nacional de interconexión con las de la red regional de transmisión, la Comisión de Regulación de Energía y Gas, deci</w:t>
      </w:r>
      <w:r w:rsidRPr="00F2273F">
        <w:rPr>
          <w:rFonts w:ascii="Times New Roman" w:hAnsi="Times New Roman" w:cs="Times New Roman"/>
          <w:sz w:val="28"/>
          <w:u w:color="000000"/>
          <w:bdr w:val="nil"/>
          <w:lang w:val="es-MX"/>
        </w:rPr>
        <w:t>dirá quién ejecuta dicha expansión en caso de presentarse conflicto.</w:t>
      </w:r>
    </w:p>
    <w:p w:rsidR="00774EA7" w:rsidRPr="00F2273F" w:rsidRDefault="00F2273F" w:rsidP="00774EA7">
      <w:pPr>
        <w:pStyle w:val="Sinespaciado"/>
        <w:ind w:left="708"/>
        <w:jc w:val="both"/>
        <w:rPr>
          <w:rFonts w:ascii="Times New Roman" w:hAnsi="Times New Roman" w:cs="Times New Roman"/>
          <w:sz w:val="28"/>
          <w:u w:color="000000"/>
          <w:bdr w:val="nil"/>
          <w:lang w:val="es-MX"/>
        </w:rPr>
      </w:pPr>
    </w:p>
    <w:p w:rsidR="00774EA7" w:rsidRPr="00F2273F" w:rsidRDefault="00F2273F" w:rsidP="007B1E40">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 xml:space="preserve">PARÁGRAFO 6o. La autorización dada al Gobierno Nacional para modificar el objeto social de Interconexión Eléctrica S.A., y para organizar a partir de sus activos de generación una nueva </w:t>
      </w:r>
      <w:r w:rsidRPr="00F2273F">
        <w:rPr>
          <w:rFonts w:ascii="Times New Roman" w:hAnsi="Times New Roman" w:cs="Times New Roman"/>
          <w:sz w:val="28"/>
          <w:u w:color="000000"/>
          <w:bdr w:val="nil"/>
          <w:lang w:val="es-MX"/>
        </w:rPr>
        <w:t>empresa, se utilizará sin perjuicio de los compromisos adquiridos por la Nación con las empresas del sector eléctrico, con anterioridad a la vigencia de la presente Ley, cuando adquirió la participación de dichas empresas en Interconexión Eléctrica S.A.</w:t>
      </w:r>
    </w:p>
    <w:p w:rsidR="003036A8" w:rsidRPr="00F2273F" w:rsidRDefault="00F2273F" w:rsidP="007B1E40">
      <w:pPr>
        <w:pStyle w:val="Sinespaciado"/>
        <w:ind w:left="708"/>
        <w:jc w:val="both"/>
        <w:rPr>
          <w:rFonts w:ascii="Times New Roman" w:hAnsi="Times New Roman" w:cs="Times New Roman"/>
          <w:sz w:val="28"/>
          <w:szCs w:val="28"/>
          <w:u w:color="000000"/>
          <w:bdr w:val="nil"/>
          <w:lang w:val="es-MX"/>
        </w:rPr>
      </w:pPr>
    </w:p>
    <w:p w:rsidR="00774EA7" w:rsidRPr="00F2273F" w:rsidRDefault="00F2273F" w:rsidP="005E329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bdr w:val="nil"/>
          <w:lang w:val="es-MX"/>
        </w:rPr>
      </w:pPr>
      <w:r w:rsidRPr="00F2273F">
        <w:rPr>
          <w:rFonts w:ascii="Times New Roman" w:eastAsia="Arial Unicode MS" w:hAnsi="Times New Roman" w:cs="Times New Roman"/>
          <w:sz w:val="28"/>
          <w:szCs w:val="28"/>
          <w:bdr w:val="nil"/>
          <w:lang w:val="es-MX"/>
        </w:rPr>
        <w:t>A</w:t>
      </w:r>
      <w:r w:rsidRPr="00F2273F">
        <w:rPr>
          <w:rFonts w:ascii="Times New Roman" w:eastAsia="Arial Unicode MS" w:hAnsi="Times New Roman" w:cs="Times New Roman"/>
          <w:sz w:val="28"/>
          <w:szCs w:val="28"/>
          <w:bdr w:val="nil"/>
          <w:lang w:val="es-MX"/>
        </w:rPr>
        <w:t xml:space="preserve"> continuación se menciona la redacción original del parágrafo </w:t>
      </w:r>
      <w:r w:rsidRPr="00F2273F">
        <w:rPr>
          <w:rFonts w:ascii="Times New Roman" w:eastAsia="Arial Unicode MS" w:hAnsi="Times New Roman" w:cs="Times New Roman"/>
          <w:sz w:val="28"/>
          <w:szCs w:val="28"/>
          <w:bdr w:val="nil"/>
          <w:lang w:val="es-MX"/>
        </w:rPr>
        <w:t xml:space="preserve">objeto de </w:t>
      </w:r>
      <w:r w:rsidRPr="00F2273F">
        <w:rPr>
          <w:rFonts w:ascii="Times New Roman" w:eastAsia="Arial Unicode MS" w:hAnsi="Times New Roman" w:cs="Times New Roman"/>
          <w:sz w:val="28"/>
          <w:szCs w:val="28"/>
          <w:bdr w:val="nil"/>
          <w:lang w:val="es-MX"/>
        </w:rPr>
        <w:t>derogatoria</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por las expresiones acusadas</w:t>
      </w:r>
      <w:r w:rsidRPr="00F2273F">
        <w:rPr>
          <w:rFonts w:ascii="Times New Roman" w:eastAsia="Arial Unicode MS" w:hAnsi="Times New Roman" w:cs="Times New Roman"/>
          <w:sz w:val="28"/>
          <w:szCs w:val="28"/>
          <w:bdr w:val="nil"/>
          <w:lang w:val="es-MX"/>
        </w:rPr>
        <w:t xml:space="preserve">, texto que resultaba idéntico tanto en el artículo 167 de la Ley 142 de 1994 como en el artículo 32 de la Ley 143 de 1994. </w:t>
      </w:r>
      <w:r w:rsidRPr="00F2273F">
        <w:rPr>
          <w:rFonts w:ascii="Times New Roman" w:eastAsia="Arial Unicode MS" w:hAnsi="Times New Roman" w:cs="Times New Roman"/>
          <w:sz w:val="28"/>
          <w:szCs w:val="28"/>
          <w:bdr w:val="nil"/>
          <w:lang w:val="es-MX"/>
        </w:rPr>
        <w:t>Aquel</w:t>
      </w:r>
      <w:r w:rsidRPr="00F2273F">
        <w:rPr>
          <w:rFonts w:ascii="Times New Roman" w:eastAsia="Arial Unicode MS" w:hAnsi="Times New Roman" w:cs="Times New Roman"/>
          <w:sz w:val="28"/>
          <w:szCs w:val="28"/>
          <w:bdr w:val="nil"/>
          <w:lang w:val="es-MX"/>
        </w:rPr>
        <w:t xml:space="preserve"> era el siguiente:</w:t>
      </w:r>
    </w:p>
    <w:p w:rsidR="00774EA7" w:rsidRPr="00F2273F" w:rsidRDefault="00F2273F" w:rsidP="00774EA7">
      <w:pPr>
        <w:pStyle w:val="Prrafodelista"/>
        <w:keepNext/>
        <w:spacing w:after="0" w:line="240" w:lineRule="auto"/>
        <w:ind w:left="0"/>
        <w:mirrorIndents/>
        <w:jc w:val="both"/>
        <w:rPr>
          <w:rFonts w:ascii="Times New Roman" w:eastAsia="Arial Unicode MS" w:hAnsi="Times New Roman" w:cs="Times New Roman"/>
          <w:sz w:val="28"/>
          <w:u w:color="000000"/>
          <w:bdr w:val="nil"/>
          <w:lang w:val="es-MX"/>
        </w:rPr>
      </w:pPr>
    </w:p>
    <w:p w:rsidR="001A260E" w:rsidRPr="00F2273F" w:rsidRDefault="00F2273F" w:rsidP="00774EA7">
      <w:pPr>
        <w:pStyle w:val="Sinespaciado"/>
        <w:ind w:left="708"/>
        <w:jc w:val="both"/>
        <w:rPr>
          <w:rFonts w:ascii="Times New Roman" w:hAnsi="Times New Roman" w:cs="Times New Roman"/>
          <w:sz w:val="28"/>
          <w:u w:color="000000"/>
          <w:bdr w:val="nil"/>
          <w:lang w:val="es-MX"/>
        </w:rPr>
      </w:pPr>
      <w:r w:rsidRPr="00F2273F">
        <w:rPr>
          <w:rFonts w:ascii="Times New Roman" w:hAnsi="Times New Roman" w:cs="Times New Roman"/>
          <w:sz w:val="28"/>
          <w:u w:color="000000"/>
          <w:bdr w:val="nil"/>
          <w:lang w:val="es-MX"/>
        </w:rPr>
        <w:t>“</w:t>
      </w:r>
      <w:r w:rsidRPr="00F2273F">
        <w:rPr>
          <w:rFonts w:ascii="Times New Roman" w:hAnsi="Times New Roman" w:cs="Times New Roman"/>
          <w:sz w:val="28"/>
          <w:u w:color="000000"/>
          <w:bdr w:val="nil"/>
          <w:lang w:val="es-MX"/>
        </w:rPr>
        <w:t>PARÁGRAFO 3o. La empresa encargada del servicio de interconexión nacional no podrá participar en actividades de generación, comercialización y distribución de electricidad</w:t>
      </w:r>
      <w:r w:rsidRPr="00F2273F">
        <w:rPr>
          <w:rFonts w:ascii="Times New Roman" w:hAnsi="Times New Roman" w:cs="Times New Roman"/>
          <w:sz w:val="28"/>
          <w:u w:color="000000"/>
          <w:bdr w:val="nil"/>
          <w:lang w:val="es-MX"/>
        </w:rPr>
        <w:t>”</w:t>
      </w:r>
      <w:r w:rsidRPr="00F2273F">
        <w:rPr>
          <w:rFonts w:ascii="Times New Roman" w:hAnsi="Times New Roman" w:cs="Times New Roman"/>
          <w:sz w:val="28"/>
          <w:u w:color="000000"/>
          <w:bdr w:val="nil"/>
          <w:lang w:val="es-MX"/>
        </w:rPr>
        <w:t>.</w:t>
      </w:r>
    </w:p>
    <w:p w:rsidR="005D2DB9" w:rsidRPr="00F2273F" w:rsidRDefault="00F2273F" w:rsidP="005D2DB9">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5D2DB9" w:rsidRPr="00F2273F" w:rsidRDefault="00F2273F" w:rsidP="005E329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on los artículos 167 de la Ley 142 de 1994 y 32 de la Ley </w:t>
      </w:r>
      <w:r w:rsidRPr="00F2273F">
        <w:rPr>
          <w:rFonts w:ascii="Times New Roman" w:hAnsi="Times New Roman" w:cs="Times New Roman"/>
          <w:sz w:val="28"/>
          <w:szCs w:val="28"/>
          <w:lang w:eastAsia="es-ES"/>
        </w:rPr>
        <w:t>143 de 1994 los que disponen que el objeto social de Interconexión Eléctrica S.A. E.S.P. (ISA) “será el de atender la operación y mantenimiento de la red de su propiedad, la expansión de la red nacional de interconexión y prestar servicios técnicos en acti</w:t>
      </w:r>
      <w:r w:rsidRPr="00F2273F">
        <w:rPr>
          <w:rFonts w:ascii="Times New Roman" w:hAnsi="Times New Roman" w:cs="Times New Roman"/>
          <w:sz w:val="28"/>
          <w:szCs w:val="28"/>
          <w:lang w:eastAsia="es-ES"/>
        </w:rPr>
        <w:t>vidades relacionadas con su objeto principal”.</w:t>
      </w:r>
      <w:r w:rsidRPr="00F2273F">
        <w:rPr>
          <w:rFonts w:ascii="Times New Roman" w:eastAsia="Arial Unicode MS" w:hAnsi="Times New Roman" w:cs="Times New Roman"/>
          <w:sz w:val="28"/>
          <w:szCs w:val="28"/>
          <w:u w:color="000000"/>
          <w:bdr w:val="nil"/>
          <w:lang w:val="es-MX"/>
        </w:rPr>
        <w:t xml:space="preserve"> </w:t>
      </w:r>
      <w:r w:rsidRPr="00F2273F">
        <w:rPr>
          <w:rFonts w:ascii="Times New Roman" w:hAnsi="Times New Roman" w:cs="Times New Roman"/>
          <w:sz w:val="28"/>
          <w:szCs w:val="28"/>
          <w:lang w:eastAsia="es-ES"/>
        </w:rPr>
        <w:t>Por su parte</w:t>
      </w:r>
      <w:r w:rsidRPr="00F2273F">
        <w:rPr>
          <w:rFonts w:ascii="Times New Roman" w:hAnsi="Times New Roman" w:cs="Times New Roman"/>
          <w:sz w:val="28"/>
          <w:szCs w:val="28"/>
          <w:lang w:eastAsia="es-ES"/>
        </w:rPr>
        <w:t>, l</w:t>
      </w:r>
      <w:r w:rsidRPr="00F2273F">
        <w:rPr>
          <w:rFonts w:ascii="Times New Roman" w:hAnsi="Times New Roman" w:cs="Times New Roman"/>
          <w:sz w:val="28"/>
          <w:szCs w:val="28"/>
          <w:lang w:eastAsia="es-ES"/>
        </w:rPr>
        <w:t>os parágrafos derogados impedían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a </w:t>
      </w:r>
      <w:r w:rsidRPr="00F2273F">
        <w:rPr>
          <w:rFonts w:ascii="Times New Roman" w:hAnsi="Times New Roman" w:cs="Times New Roman"/>
          <w:i/>
          <w:iCs/>
          <w:sz w:val="28"/>
          <w:szCs w:val="28"/>
          <w:lang w:eastAsia="es-ES"/>
        </w:rPr>
        <w:t>la empresa encargada del servicio de interconexión nacional</w:t>
      </w:r>
      <w:r w:rsidRPr="00F2273F">
        <w:rPr>
          <w:rFonts w:ascii="Times New Roman" w:hAnsi="Times New Roman" w:cs="Times New Roman"/>
          <w:sz w:val="28"/>
          <w:szCs w:val="28"/>
          <w:lang w:eastAsia="es-ES"/>
        </w:rPr>
        <w:t xml:space="preserve"> participar simultáneamente en actividades de generación, comercialización y distribución de electricidad. </w:t>
      </w:r>
      <w:r w:rsidRPr="00F2273F">
        <w:rPr>
          <w:rFonts w:ascii="Times New Roman" w:eastAsia="Arial Unicode MS" w:hAnsi="Times New Roman" w:cs="Times New Roman"/>
          <w:sz w:val="28"/>
          <w:szCs w:val="28"/>
          <w:u w:color="000000"/>
          <w:bdr w:val="nil"/>
          <w:lang w:val="es-MX"/>
        </w:rPr>
        <w:t>Se trataba pues de una restricción que recaía sobre Interconexión Eléctrica S.A.</w:t>
      </w:r>
      <w:r w:rsidRPr="00F2273F">
        <w:rPr>
          <w:rFonts w:ascii="Times New Roman" w:eastAsia="Arial Unicode MS" w:hAnsi="Times New Roman" w:cs="Times New Roman"/>
          <w:sz w:val="28"/>
          <w:szCs w:val="28"/>
          <w:u w:color="000000"/>
          <w:bdr w:val="nil"/>
          <w:lang w:val="es-MX"/>
        </w:rPr>
        <w:t xml:space="preserve"> E.S.P. ISA</w:t>
      </w:r>
      <w:r w:rsidRPr="00F2273F">
        <w:rPr>
          <w:rFonts w:ascii="Times New Roman" w:eastAsia="Arial Unicode MS" w:hAnsi="Times New Roman" w:cs="Times New Roman"/>
          <w:sz w:val="28"/>
          <w:szCs w:val="28"/>
          <w:u w:color="000000"/>
          <w:bdr w:val="nil"/>
          <w:lang w:val="es-MX"/>
        </w:rPr>
        <w:t xml:space="preserve">, </w:t>
      </w:r>
      <w:r w:rsidRPr="00F2273F">
        <w:rPr>
          <w:rFonts w:ascii="Times New Roman" w:eastAsia="Arial Unicode MS" w:hAnsi="Times New Roman" w:cs="Times New Roman"/>
          <w:sz w:val="28"/>
          <w:szCs w:val="28"/>
          <w:u w:color="000000"/>
          <w:bdr w:val="nil"/>
          <w:lang w:val="es-MX"/>
        </w:rPr>
        <w:t>agente del sistema</w:t>
      </w:r>
      <w:r w:rsidRPr="00F2273F">
        <w:rPr>
          <w:rFonts w:ascii="Times New Roman" w:eastAsia="Arial Unicode MS" w:hAnsi="Times New Roman" w:cs="Times New Roman"/>
          <w:sz w:val="28"/>
          <w:szCs w:val="28"/>
          <w:u w:color="000000"/>
          <w:bdr w:val="nil"/>
          <w:lang w:val="es-MX"/>
        </w:rPr>
        <w:t xml:space="preserve"> </w:t>
      </w:r>
      <w:r w:rsidRPr="00F2273F">
        <w:rPr>
          <w:rFonts w:ascii="Times New Roman" w:eastAsia="Arial Unicode MS" w:hAnsi="Times New Roman" w:cs="Times New Roman"/>
          <w:sz w:val="28"/>
          <w:szCs w:val="28"/>
          <w:u w:color="000000"/>
          <w:bdr w:val="nil"/>
          <w:lang w:val="es-MX"/>
        </w:rPr>
        <w:t>al</w:t>
      </w:r>
      <w:r w:rsidRPr="00F2273F">
        <w:rPr>
          <w:rFonts w:ascii="Times New Roman" w:eastAsia="Arial Unicode MS" w:hAnsi="Times New Roman" w:cs="Times New Roman"/>
          <w:sz w:val="28"/>
          <w:szCs w:val="28"/>
          <w:u w:color="000000"/>
          <w:bdr w:val="nil"/>
          <w:lang w:val="es-MX"/>
        </w:rPr>
        <w:t xml:space="preserve"> que</w:t>
      </w:r>
      <w:r w:rsidRPr="00F2273F">
        <w:rPr>
          <w:rFonts w:ascii="Times New Roman" w:eastAsia="Arial Unicode MS" w:hAnsi="Times New Roman" w:cs="Times New Roman"/>
          <w:sz w:val="28"/>
          <w:szCs w:val="28"/>
          <w:u w:color="000000"/>
          <w:bdr w:val="nil"/>
          <w:lang w:val="es-MX"/>
        </w:rPr>
        <w:t xml:space="preserve"> se dirigen </w:t>
      </w:r>
      <w:r w:rsidRPr="00F2273F">
        <w:rPr>
          <w:rFonts w:ascii="Times New Roman" w:eastAsia="Arial Unicode MS" w:hAnsi="Times New Roman" w:cs="Times New Roman"/>
          <w:sz w:val="28"/>
          <w:szCs w:val="28"/>
          <w:u w:color="000000"/>
          <w:bdr w:val="nil"/>
          <w:lang w:val="es-MX"/>
        </w:rPr>
        <w:t xml:space="preserve">ambas normas </w:t>
      </w:r>
      <w:r w:rsidRPr="00F2273F">
        <w:rPr>
          <w:rFonts w:ascii="Times New Roman" w:eastAsia="Arial Unicode MS" w:hAnsi="Times New Roman" w:cs="Times New Roman"/>
          <w:sz w:val="28"/>
          <w:szCs w:val="28"/>
          <w:u w:color="000000"/>
          <w:bdr w:val="nil"/>
          <w:lang w:val="es-MX"/>
        </w:rPr>
        <w:t xml:space="preserve">como </w:t>
      </w:r>
      <w:r w:rsidRPr="00F2273F">
        <w:rPr>
          <w:rFonts w:ascii="Times New Roman" w:eastAsia="Arial Unicode MS" w:hAnsi="Times New Roman" w:cs="Times New Roman"/>
          <w:sz w:val="28"/>
          <w:szCs w:val="28"/>
          <w:u w:color="000000"/>
          <w:bdr w:val="nil"/>
          <w:lang w:val="es-MX"/>
        </w:rPr>
        <w:t xml:space="preserve">encargado </w:t>
      </w:r>
      <w:r w:rsidRPr="00F2273F">
        <w:rPr>
          <w:rFonts w:ascii="Times New Roman" w:eastAsia="Arial Unicode MS" w:hAnsi="Times New Roman" w:cs="Times New Roman"/>
          <w:sz w:val="28"/>
          <w:szCs w:val="28"/>
          <w:u w:color="000000"/>
          <w:bdr w:val="nil"/>
          <w:lang w:val="es-MX"/>
        </w:rPr>
        <w:t>del servicio de interconexión nacional</w:t>
      </w:r>
      <w:r w:rsidRPr="00F2273F">
        <w:rPr>
          <w:rFonts w:ascii="Times New Roman" w:eastAsia="Arial Unicode MS" w:hAnsi="Times New Roman" w:cs="Times New Roman"/>
          <w:sz w:val="28"/>
          <w:szCs w:val="28"/>
          <w:u w:color="000000"/>
          <w:bdr w:val="nil"/>
          <w:lang w:val="es-MX"/>
        </w:rPr>
        <w:t xml:space="preserve"> y en su rol de </w:t>
      </w:r>
      <w:r w:rsidRPr="00F2273F">
        <w:rPr>
          <w:rFonts w:ascii="Times New Roman" w:eastAsia="Arial Unicode MS" w:hAnsi="Times New Roman" w:cs="Times New Roman"/>
          <w:sz w:val="28"/>
          <w:szCs w:val="28"/>
          <w:u w:color="000000"/>
          <w:bdr w:val="nil"/>
          <w:lang w:val="es-MX"/>
        </w:rPr>
        <w:t>organizar el centro nacional de despacho, entre otras funciones.</w:t>
      </w:r>
    </w:p>
    <w:p w:rsidR="0033146C" w:rsidRPr="00F2273F" w:rsidRDefault="00F2273F" w:rsidP="0033146C">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3E1C53" w:rsidRPr="00F2273F" w:rsidRDefault="00F2273F" w:rsidP="003E1C53">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eastAsia="Arial Unicode MS" w:hAnsi="Times New Roman" w:cs="Times New Roman"/>
          <w:sz w:val="28"/>
          <w:szCs w:val="28"/>
          <w:u w:color="000000"/>
          <w:bdr w:val="nil"/>
        </w:rPr>
        <w:t>D</w:t>
      </w:r>
      <w:r w:rsidRPr="00F2273F">
        <w:rPr>
          <w:rFonts w:ascii="Times New Roman" w:eastAsia="Arial Unicode MS" w:hAnsi="Times New Roman" w:cs="Times New Roman"/>
          <w:sz w:val="28"/>
          <w:szCs w:val="28"/>
          <w:u w:color="000000"/>
          <w:bdr w:val="nil"/>
        </w:rPr>
        <w:t>ebe anotarse que la Ley 142 de 1994 define el servicio de energía eléctrica</w:t>
      </w:r>
      <w:r w:rsidRPr="00F2273F">
        <w:rPr>
          <w:rFonts w:ascii="Times New Roman" w:eastAsia="Arial Unicode MS" w:hAnsi="Times New Roman" w:cs="Times New Roman"/>
          <w:sz w:val="28"/>
          <w:szCs w:val="28"/>
          <w:bdr w:val="nil"/>
          <w:lang w:val="es-MX"/>
        </w:rPr>
        <w:t xml:space="preserve"> como</w:t>
      </w:r>
      <w:r w:rsidRPr="00F2273F">
        <w:rPr>
          <w:rFonts w:ascii="Times New Roman" w:eastAsia="Arial Unicode MS" w:hAnsi="Times New Roman" w:cs="Times New Roman"/>
          <w:sz w:val="28"/>
          <w:szCs w:val="28"/>
          <w:bdr w:val="nil"/>
        </w:rPr>
        <w:t> </w:t>
      </w:r>
      <w:r w:rsidRPr="00F2273F">
        <w:rPr>
          <w:rFonts w:ascii="Times New Roman" w:eastAsia="Arial Unicode MS" w:hAnsi="Times New Roman" w:cs="Times New Roman"/>
          <w:sz w:val="28"/>
          <w:szCs w:val="28"/>
          <w:bdr w:val="nil"/>
          <w:lang w:val="es-ES"/>
        </w:rPr>
        <w:t>“el transporte desde las redes regionales de</w:t>
      </w:r>
      <w:r w:rsidRPr="00F2273F">
        <w:rPr>
          <w:rFonts w:ascii="Times New Roman" w:eastAsia="Arial Unicode MS" w:hAnsi="Times New Roman" w:cs="Times New Roman"/>
          <w:sz w:val="28"/>
          <w:szCs w:val="28"/>
          <w:bdr w:val="nil"/>
          <w:lang w:val="es-ES"/>
        </w:rPr>
        <w:t xml:space="preserve"> transmisión hasta el domicilio del usuario final, incluida su conexión y medición”</w:t>
      </w:r>
      <w:r w:rsidRPr="00F2273F">
        <w:rPr>
          <w:rStyle w:val="Refdenotaalpie"/>
          <w:rFonts w:ascii="Times New Roman" w:eastAsia="Arial Unicode MS" w:hAnsi="Times New Roman" w:cs="Times New Roman"/>
          <w:sz w:val="28"/>
          <w:szCs w:val="28"/>
          <w:bdr w:val="nil"/>
          <w:lang w:val="es-ES"/>
        </w:rPr>
        <w:footnoteReference w:id="85"/>
      </w:r>
      <w:r w:rsidRPr="00F2273F">
        <w:rPr>
          <w:rFonts w:ascii="Times New Roman" w:eastAsia="Arial Unicode MS" w:hAnsi="Times New Roman" w:cs="Times New Roman"/>
          <w:sz w:val="28"/>
          <w:szCs w:val="28"/>
          <w:bdr w:val="nil"/>
          <w:lang w:val="es-ES"/>
        </w:rPr>
        <w:t xml:space="preserve">. Su prestación está sujeta a los </w:t>
      </w:r>
      <w:r w:rsidRPr="00F2273F">
        <w:rPr>
          <w:rFonts w:ascii="Times New Roman" w:eastAsia="Arial Unicode MS" w:hAnsi="Times New Roman" w:cs="Times New Roman"/>
          <w:sz w:val="28"/>
          <w:szCs w:val="28"/>
          <w:bdr w:val="nil"/>
        </w:rPr>
        <w:t>principios de eficiencia, calidad, continuidad, adaptabilidad, neutralidad, solidaridad y equidad,</w:t>
      </w:r>
      <w:r w:rsidRPr="00F2273F">
        <w:rPr>
          <w:rFonts w:ascii="Times New Roman" w:eastAsia="Arial Unicode MS" w:hAnsi="Times New Roman" w:cs="Times New Roman"/>
          <w:sz w:val="28"/>
          <w:szCs w:val="28"/>
          <w:bdr w:val="nil"/>
          <w:lang w:val="es-ES"/>
        </w:rPr>
        <w:t xml:space="preserve"> y se realiza por medio del Sistema Inte</w:t>
      </w:r>
      <w:r w:rsidRPr="00F2273F">
        <w:rPr>
          <w:rFonts w:ascii="Times New Roman" w:eastAsia="Arial Unicode MS" w:hAnsi="Times New Roman" w:cs="Times New Roman"/>
          <w:sz w:val="28"/>
          <w:szCs w:val="28"/>
          <w:bdr w:val="nil"/>
          <w:lang w:val="es-ES"/>
        </w:rPr>
        <w:t>rconectado Nacional (SIN) en las zonas interconectadas, o a través de la infraestructura que los prestadores instauren en las zonas no interconectadas</w:t>
      </w:r>
      <w:r w:rsidRPr="00F2273F">
        <w:rPr>
          <w:rStyle w:val="Refdenotaalpie"/>
          <w:rFonts w:ascii="Times New Roman" w:eastAsia="Arial Unicode MS" w:hAnsi="Times New Roman" w:cs="Times New Roman"/>
          <w:sz w:val="28"/>
          <w:szCs w:val="28"/>
          <w:bdr w:val="nil"/>
          <w:lang w:val="es-ES"/>
        </w:rPr>
        <w:footnoteReference w:id="86"/>
      </w:r>
      <w:r w:rsidRPr="00F2273F">
        <w:rPr>
          <w:rFonts w:ascii="Times New Roman" w:eastAsia="Arial Unicode MS" w:hAnsi="Times New Roman" w:cs="Times New Roman"/>
          <w:sz w:val="28"/>
          <w:szCs w:val="28"/>
          <w:bdr w:val="nil"/>
          <w:lang w:val="es-ES"/>
        </w:rPr>
        <w:t>.</w:t>
      </w:r>
      <w:r w:rsidRPr="00F2273F">
        <w:rPr>
          <w:rFonts w:ascii="Times New Roman" w:eastAsia="Arial Unicode MS" w:hAnsi="Times New Roman" w:cs="Times New Roman"/>
          <w:sz w:val="28"/>
          <w:szCs w:val="28"/>
          <w:bdr w:val="nil"/>
          <w:lang w:val="es-MX"/>
        </w:rPr>
        <w:t xml:space="preserve"> </w:t>
      </w:r>
    </w:p>
    <w:p w:rsidR="003E1C53" w:rsidRPr="00F2273F" w:rsidRDefault="00F2273F" w:rsidP="003E1C53">
      <w:pPr>
        <w:pStyle w:val="Prrafodelista"/>
        <w:spacing w:after="0" w:line="240" w:lineRule="auto"/>
        <w:ind w:left="0" w:right="49"/>
        <w:jc w:val="both"/>
        <w:rPr>
          <w:rFonts w:ascii="Times New Roman" w:hAnsi="Times New Roman" w:cs="Times New Roman"/>
          <w:sz w:val="28"/>
          <w:szCs w:val="28"/>
        </w:rPr>
      </w:pPr>
    </w:p>
    <w:p w:rsidR="0033146C" w:rsidRPr="00F2273F" w:rsidRDefault="00F2273F" w:rsidP="0033146C">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u w:color="000000"/>
          <w:bdr w:val="nil"/>
          <w:lang w:val="es-MX"/>
        </w:rPr>
        <w:t>En la prestación del servicio público de energía eléctrica convergen varias actividades:</w:t>
      </w:r>
    </w:p>
    <w:p w:rsidR="0033146C" w:rsidRPr="00F2273F" w:rsidRDefault="00F2273F" w:rsidP="0033146C">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33146C" w:rsidRPr="00F2273F" w:rsidRDefault="00F2273F" w:rsidP="0073076A">
      <w:pPr>
        <w:pStyle w:val="Prrafodelista"/>
        <w:jc w:val="center"/>
        <w:rPr>
          <w:rFonts w:ascii="Times New Roman" w:eastAsia="Arial Unicode MS" w:hAnsi="Times New Roman" w:cs="Times New Roman"/>
          <w:b/>
          <w:bCs/>
          <w:sz w:val="28"/>
          <w:u w:color="000000"/>
          <w:bdr w:val="nil"/>
          <w:lang w:val="es-MX"/>
        </w:rPr>
      </w:pPr>
      <w:r w:rsidRPr="00F2273F">
        <w:rPr>
          <w:rFonts w:ascii="Times New Roman" w:eastAsia="Arial Unicode MS" w:hAnsi="Times New Roman" w:cs="Times New Roman"/>
          <w:b/>
          <w:bCs/>
          <w:sz w:val="28"/>
          <w:u w:color="000000"/>
          <w:bdr w:val="nil"/>
          <w:lang w:val="es-MX"/>
        </w:rPr>
        <w:t xml:space="preserve">Tabla </w:t>
      </w:r>
      <w:r w:rsidRPr="00F2273F">
        <w:rPr>
          <w:rFonts w:ascii="Times New Roman" w:eastAsia="Arial Unicode MS" w:hAnsi="Times New Roman" w:cs="Times New Roman"/>
          <w:b/>
          <w:bCs/>
          <w:sz w:val="28"/>
          <w:u w:color="000000"/>
          <w:bdr w:val="nil"/>
          <w:lang w:val="es-MX"/>
        </w:rPr>
        <w:t>7</w:t>
      </w:r>
      <w:r w:rsidRPr="00F2273F">
        <w:rPr>
          <w:rFonts w:ascii="Times New Roman" w:eastAsia="Arial Unicode MS" w:hAnsi="Times New Roman" w:cs="Times New Roman"/>
          <w:b/>
          <w:bCs/>
          <w:sz w:val="28"/>
          <w:u w:color="000000"/>
          <w:bdr w:val="nil"/>
          <w:lang w:val="es-MX"/>
        </w:rPr>
        <w:t>.</w:t>
      </w:r>
      <w:r w:rsidRPr="00F2273F">
        <w:rPr>
          <w:rFonts w:ascii="Times New Roman" w:eastAsia="Arial Unicode MS" w:hAnsi="Times New Roman" w:cs="Times New Roman"/>
          <w:i/>
          <w:iCs/>
          <w:sz w:val="28"/>
          <w:u w:color="000000"/>
          <w:bdr w:val="nil"/>
          <w:lang w:val="es-MX"/>
        </w:rPr>
        <w:t xml:space="preserve"> Actividades de la prestación del servicio</w:t>
      </w:r>
    </w:p>
    <w:tbl>
      <w:tblPr>
        <w:tblStyle w:val="Tablaconcuadrcula"/>
        <w:tblW w:w="0" w:type="auto"/>
        <w:tblInd w:w="-5" w:type="dxa"/>
        <w:tblLook w:val="04A0" w:firstRow="1" w:lastRow="0" w:firstColumn="1" w:lastColumn="0" w:noHBand="0" w:noVBand="1"/>
      </w:tblPr>
      <w:tblGrid>
        <w:gridCol w:w="1843"/>
        <w:gridCol w:w="3402"/>
        <w:gridCol w:w="3588"/>
      </w:tblGrid>
      <w:tr w:rsidR="00974547" w:rsidRPr="00F2273F" w:rsidTr="00822D8C">
        <w:trPr>
          <w:tblHeader/>
        </w:trPr>
        <w:tc>
          <w:tcPr>
            <w:tcW w:w="1843" w:type="dxa"/>
            <w:shd w:val="clear" w:color="auto" w:fill="B4C6E7" w:themeFill="accent1" w:themeFillTint="66"/>
            <w:vAlign w:val="center"/>
          </w:tcPr>
          <w:p w:rsidR="0033146C" w:rsidRPr="00F2273F" w:rsidRDefault="00F2273F" w:rsidP="00822D8C">
            <w:pPr>
              <w:pStyle w:val="Prrafodelista"/>
              <w:ind w:left="0"/>
              <w:jc w:val="center"/>
              <w:rPr>
                <w:rFonts w:eastAsia="Arial Unicode MS"/>
                <w:b/>
                <w:bCs/>
                <w:sz w:val="28"/>
                <w:szCs w:val="22"/>
                <w:u w:color="000000"/>
                <w:bdr w:val="nil"/>
                <w:lang w:val="es-MX"/>
              </w:rPr>
            </w:pPr>
            <w:r w:rsidRPr="00F2273F">
              <w:rPr>
                <w:rFonts w:eastAsia="Arial Unicode MS"/>
                <w:b/>
                <w:bCs/>
                <w:sz w:val="28"/>
                <w:szCs w:val="22"/>
                <w:u w:color="000000"/>
                <w:bdr w:val="nil"/>
                <w:lang w:val="es-MX"/>
              </w:rPr>
              <w:t>Actividad</w:t>
            </w:r>
          </w:p>
        </w:tc>
        <w:tc>
          <w:tcPr>
            <w:tcW w:w="6990" w:type="dxa"/>
            <w:gridSpan w:val="2"/>
            <w:shd w:val="clear" w:color="auto" w:fill="B4C6E7" w:themeFill="accent1" w:themeFillTint="66"/>
            <w:vAlign w:val="center"/>
          </w:tcPr>
          <w:p w:rsidR="0033146C" w:rsidRPr="00F2273F" w:rsidRDefault="00F2273F" w:rsidP="00822D8C">
            <w:pPr>
              <w:pStyle w:val="Prrafodelista"/>
              <w:ind w:left="0"/>
              <w:jc w:val="center"/>
              <w:rPr>
                <w:rFonts w:eastAsia="Arial Unicode MS"/>
                <w:b/>
                <w:bCs/>
                <w:sz w:val="28"/>
                <w:szCs w:val="22"/>
                <w:u w:color="000000"/>
                <w:bdr w:val="nil"/>
                <w:lang w:val="es-MX"/>
              </w:rPr>
            </w:pPr>
            <w:r w:rsidRPr="00F2273F">
              <w:rPr>
                <w:rFonts w:eastAsia="Arial Unicode MS"/>
                <w:b/>
                <w:bCs/>
                <w:sz w:val="28"/>
                <w:szCs w:val="22"/>
                <w:u w:color="000000"/>
                <w:bdr w:val="nil"/>
                <w:lang w:val="es-MX"/>
              </w:rPr>
              <w:t>Definición</w:t>
            </w:r>
          </w:p>
        </w:tc>
      </w:tr>
      <w:tr w:rsidR="00974547" w:rsidRPr="00F2273F" w:rsidTr="00822D8C">
        <w:tc>
          <w:tcPr>
            <w:tcW w:w="1843" w:type="dxa"/>
            <w:vAlign w:val="center"/>
          </w:tcPr>
          <w:p w:rsidR="0033146C" w:rsidRPr="00F2273F" w:rsidRDefault="00F2273F" w:rsidP="00822D8C">
            <w:pPr>
              <w:pStyle w:val="Prrafodelista"/>
              <w:ind w:left="0"/>
              <w:jc w:val="center"/>
              <w:rPr>
                <w:rFonts w:eastAsia="Arial Unicode MS"/>
                <w:sz w:val="28"/>
                <w:szCs w:val="22"/>
                <w:u w:color="000000"/>
                <w:bdr w:val="nil"/>
                <w:lang w:val="es-MX"/>
              </w:rPr>
            </w:pPr>
            <w:r w:rsidRPr="00F2273F">
              <w:rPr>
                <w:rFonts w:eastAsia="Arial Unicode MS"/>
                <w:sz w:val="28"/>
                <w:szCs w:val="22"/>
                <w:u w:color="000000"/>
                <w:bdr w:val="nil"/>
              </w:rPr>
              <w:t>Generación</w:t>
            </w:r>
          </w:p>
        </w:tc>
        <w:tc>
          <w:tcPr>
            <w:tcW w:w="3402" w:type="dxa"/>
            <w:vAlign w:val="center"/>
          </w:tcPr>
          <w:p w:rsidR="0033146C" w:rsidRPr="00F2273F" w:rsidRDefault="00F2273F" w:rsidP="00FD1EBC">
            <w:pPr>
              <w:pStyle w:val="Prrafodelista"/>
              <w:ind w:left="0"/>
              <w:jc w:val="both"/>
              <w:rPr>
                <w:rFonts w:eastAsia="Arial Unicode MS"/>
                <w:sz w:val="28"/>
                <w:szCs w:val="22"/>
                <w:u w:color="000000"/>
                <w:bdr w:val="nil"/>
                <w:lang w:val="es-MX"/>
              </w:rPr>
            </w:pPr>
            <w:r w:rsidRPr="00F2273F">
              <w:rPr>
                <w:rFonts w:eastAsia="Arial Unicode MS"/>
                <w:sz w:val="28"/>
                <w:szCs w:val="22"/>
                <w:bdr w:val="nil"/>
              </w:rPr>
              <w:t>Producción de energía eléctrica</w:t>
            </w:r>
            <w:r w:rsidRPr="00F2273F">
              <w:rPr>
                <w:rFonts w:eastAsia="Arial Unicode MS"/>
                <w:sz w:val="28"/>
                <w:szCs w:val="22"/>
                <w:bdr w:val="nil"/>
              </w:rPr>
              <w:t xml:space="preserve"> </w:t>
            </w:r>
            <w:r w:rsidRPr="00F2273F">
              <w:rPr>
                <w:rFonts w:eastAsia="Arial Unicode MS"/>
                <w:sz w:val="28"/>
                <w:szCs w:val="22"/>
                <w:bdr w:val="nil"/>
              </w:rPr>
              <w:t>mediante planta conectada al sistema interconectado nacional (SIN)</w:t>
            </w:r>
            <w:r w:rsidRPr="00F2273F">
              <w:rPr>
                <w:rStyle w:val="Refdenotaalpie"/>
                <w:rFonts w:eastAsia="Arial Unicode MS"/>
                <w:sz w:val="28"/>
                <w:szCs w:val="22"/>
                <w:bdr w:val="nil"/>
              </w:rPr>
              <w:footnoteReference w:id="87"/>
            </w:r>
            <w:r w:rsidRPr="00F2273F">
              <w:rPr>
                <w:rFonts w:eastAsia="Arial Unicode MS"/>
                <w:sz w:val="28"/>
                <w:szCs w:val="22"/>
                <w:bdr w:val="nil"/>
              </w:rPr>
              <w:t>.</w:t>
            </w:r>
          </w:p>
        </w:tc>
        <w:tc>
          <w:tcPr>
            <w:tcW w:w="3588" w:type="dxa"/>
            <w:vAlign w:val="center"/>
          </w:tcPr>
          <w:p w:rsidR="0033146C" w:rsidRPr="00F2273F" w:rsidRDefault="00F2273F" w:rsidP="00822D8C">
            <w:pPr>
              <w:pStyle w:val="Prrafodelista"/>
              <w:ind w:left="0"/>
              <w:rPr>
                <w:rFonts w:eastAsia="Arial Unicode MS"/>
                <w:sz w:val="28"/>
                <w:szCs w:val="22"/>
                <w:u w:color="000000"/>
                <w:bdr w:val="nil"/>
                <w:lang w:val="es-MX"/>
              </w:rPr>
            </w:pPr>
            <w:r w:rsidRPr="00F2273F">
              <w:rPr>
                <w:rFonts w:eastAsia="Arial Unicode MS"/>
                <w:sz w:val="28"/>
                <w:szCs w:val="22"/>
                <w:u w:color="000000"/>
                <w:bdr w:val="nil"/>
                <w:lang w:val="es-MX"/>
              </w:rPr>
              <w:t>La energía se puede producir a partir de 3 clases de fuentes:</w:t>
            </w:r>
          </w:p>
          <w:p w:rsidR="0033146C" w:rsidRPr="00F2273F" w:rsidRDefault="00F2273F" w:rsidP="00822D8C">
            <w:pPr>
              <w:pStyle w:val="Prrafodelista"/>
              <w:numPr>
                <w:ilvl w:val="0"/>
                <w:numId w:val="12"/>
              </w:numPr>
              <w:ind w:left="286" w:hanging="284"/>
              <w:rPr>
                <w:rFonts w:eastAsia="Arial Unicode MS"/>
                <w:sz w:val="28"/>
                <w:szCs w:val="22"/>
                <w:u w:color="000000"/>
                <w:bdr w:val="nil"/>
                <w:lang w:val="es-CO"/>
              </w:rPr>
            </w:pPr>
            <w:r w:rsidRPr="00F2273F">
              <w:rPr>
                <w:rFonts w:eastAsia="Arial Unicode MS"/>
                <w:sz w:val="28"/>
                <w:szCs w:val="22"/>
                <w:u w:color="000000"/>
                <w:bdr w:val="nil"/>
              </w:rPr>
              <w:t xml:space="preserve">fuentes </w:t>
            </w:r>
            <w:r w:rsidRPr="00F2273F">
              <w:rPr>
                <w:rFonts w:eastAsia="Arial Unicode MS"/>
                <w:sz w:val="28"/>
                <w:szCs w:val="22"/>
                <w:u w:color="000000"/>
                <w:bdr w:val="nil"/>
              </w:rPr>
              <w:t>convencionales de energía</w:t>
            </w:r>
          </w:p>
          <w:p w:rsidR="0033146C" w:rsidRPr="00F2273F" w:rsidRDefault="00F2273F" w:rsidP="00822D8C">
            <w:pPr>
              <w:pStyle w:val="Prrafodelista"/>
              <w:numPr>
                <w:ilvl w:val="0"/>
                <w:numId w:val="12"/>
              </w:numPr>
              <w:ind w:left="286" w:hanging="284"/>
              <w:rPr>
                <w:rFonts w:eastAsia="Arial Unicode MS"/>
                <w:sz w:val="28"/>
                <w:szCs w:val="22"/>
                <w:u w:color="000000"/>
                <w:bdr w:val="nil"/>
                <w:lang w:val="es-CO"/>
              </w:rPr>
            </w:pPr>
            <w:r w:rsidRPr="00F2273F">
              <w:rPr>
                <w:rFonts w:eastAsia="Arial Unicode MS"/>
                <w:sz w:val="28"/>
                <w:szCs w:val="22"/>
                <w:u w:color="000000"/>
                <w:bdr w:val="nil"/>
              </w:rPr>
              <w:t>fuentes no convencionales de energía (FNCE)</w:t>
            </w:r>
          </w:p>
          <w:p w:rsidR="0033146C" w:rsidRPr="00F2273F" w:rsidRDefault="00F2273F" w:rsidP="00822D8C">
            <w:pPr>
              <w:pStyle w:val="Prrafodelista"/>
              <w:numPr>
                <w:ilvl w:val="0"/>
                <w:numId w:val="12"/>
              </w:numPr>
              <w:ind w:left="286" w:hanging="284"/>
              <w:rPr>
                <w:rFonts w:eastAsia="Arial Unicode MS"/>
                <w:sz w:val="28"/>
                <w:szCs w:val="22"/>
                <w:u w:color="000000"/>
                <w:bdr w:val="nil"/>
                <w:lang w:val="es-CO"/>
              </w:rPr>
            </w:pPr>
            <w:r w:rsidRPr="00F2273F">
              <w:rPr>
                <w:rFonts w:eastAsia="Arial Unicode MS"/>
                <w:sz w:val="28"/>
                <w:szCs w:val="22"/>
                <w:bdr w:val="nil"/>
              </w:rPr>
              <w:t>fuentes no convencionales de energía renovable (FNCER)</w:t>
            </w:r>
            <w:r w:rsidRPr="00F2273F">
              <w:rPr>
                <w:rStyle w:val="Refdenotaalpie"/>
                <w:rFonts w:eastAsia="Arial Unicode MS"/>
                <w:sz w:val="28"/>
                <w:szCs w:val="22"/>
                <w:bdr w:val="nil"/>
              </w:rPr>
              <w:footnoteReference w:id="88"/>
            </w:r>
          </w:p>
        </w:tc>
      </w:tr>
      <w:tr w:rsidR="00974547" w:rsidRPr="00F2273F" w:rsidTr="00822D8C">
        <w:tc>
          <w:tcPr>
            <w:tcW w:w="1843" w:type="dxa"/>
            <w:vAlign w:val="center"/>
          </w:tcPr>
          <w:p w:rsidR="0033146C" w:rsidRPr="00F2273F" w:rsidRDefault="00F2273F" w:rsidP="00822D8C">
            <w:pPr>
              <w:pStyle w:val="Prrafodelista"/>
              <w:ind w:left="0"/>
              <w:jc w:val="center"/>
              <w:rPr>
                <w:rFonts w:eastAsia="Arial Unicode MS"/>
                <w:sz w:val="28"/>
                <w:szCs w:val="22"/>
                <w:u w:color="000000"/>
                <w:bdr w:val="nil"/>
                <w:lang w:val="es-MX"/>
              </w:rPr>
            </w:pPr>
            <w:r w:rsidRPr="00F2273F">
              <w:rPr>
                <w:rFonts w:eastAsia="Arial Unicode MS"/>
                <w:sz w:val="28"/>
                <w:szCs w:val="22"/>
                <w:u w:color="000000"/>
                <w:bdr w:val="nil"/>
              </w:rPr>
              <w:t>Transmisión-interconexión</w:t>
            </w:r>
          </w:p>
        </w:tc>
        <w:tc>
          <w:tcPr>
            <w:tcW w:w="6990" w:type="dxa"/>
            <w:gridSpan w:val="2"/>
            <w:vAlign w:val="center"/>
          </w:tcPr>
          <w:p w:rsidR="0033146C" w:rsidRPr="00F2273F" w:rsidRDefault="00F2273F" w:rsidP="00822D8C">
            <w:pPr>
              <w:pStyle w:val="Prrafodelista"/>
              <w:ind w:left="0"/>
              <w:jc w:val="both"/>
              <w:rPr>
                <w:rFonts w:eastAsia="Arial Unicode MS"/>
                <w:sz w:val="28"/>
                <w:szCs w:val="22"/>
                <w:u w:color="000000"/>
                <w:bdr w:val="nil"/>
                <w:lang w:val="es-MX"/>
              </w:rPr>
            </w:pPr>
            <w:r w:rsidRPr="00F2273F">
              <w:rPr>
                <w:rFonts w:eastAsia="Arial Unicode MS"/>
                <w:sz w:val="28"/>
                <w:szCs w:val="22"/>
                <w:bdr w:val="nil"/>
                <w:lang w:val="es-MX"/>
              </w:rPr>
              <w:t>Se trata del “</w:t>
            </w:r>
            <w:r w:rsidRPr="00F2273F">
              <w:rPr>
                <w:rFonts w:eastAsia="Arial Unicode MS"/>
                <w:sz w:val="28"/>
                <w:szCs w:val="22"/>
                <w:bdr w:val="nil"/>
              </w:rPr>
              <w:t xml:space="preserve">transporte de energía eléctrica en alta tensión y transformación de tensión vinculada, </w:t>
            </w:r>
            <w:r w:rsidRPr="00F2273F">
              <w:rPr>
                <w:rFonts w:eastAsia="Arial Unicode MS"/>
                <w:sz w:val="28"/>
                <w:szCs w:val="22"/>
                <w:bdr w:val="nil"/>
              </w:rPr>
              <w:t>desde el punto de entrega de dicha energía por el generador, hasta el punto de recepción por la distribuidora”</w:t>
            </w:r>
            <w:r w:rsidRPr="00F2273F">
              <w:rPr>
                <w:rStyle w:val="Refdenotaalpie"/>
                <w:rFonts w:eastAsia="Arial Unicode MS"/>
                <w:sz w:val="28"/>
                <w:szCs w:val="22"/>
                <w:bdr w:val="nil"/>
              </w:rPr>
              <w:footnoteReference w:id="89"/>
            </w:r>
            <w:r w:rsidRPr="00F2273F">
              <w:rPr>
                <w:rFonts w:eastAsia="Arial Unicode MS"/>
                <w:sz w:val="28"/>
                <w:szCs w:val="22"/>
                <w:bdr w:val="nil"/>
              </w:rPr>
              <w:t>.</w:t>
            </w:r>
          </w:p>
        </w:tc>
      </w:tr>
      <w:tr w:rsidR="00974547" w:rsidRPr="00F2273F" w:rsidTr="00822D8C">
        <w:tc>
          <w:tcPr>
            <w:tcW w:w="1843" w:type="dxa"/>
            <w:vAlign w:val="center"/>
          </w:tcPr>
          <w:p w:rsidR="0033146C" w:rsidRPr="00F2273F" w:rsidRDefault="00F2273F" w:rsidP="00822D8C">
            <w:pPr>
              <w:pStyle w:val="Prrafodelista"/>
              <w:ind w:left="0"/>
              <w:jc w:val="center"/>
              <w:rPr>
                <w:rFonts w:eastAsia="Arial Unicode MS"/>
                <w:sz w:val="28"/>
                <w:szCs w:val="22"/>
                <w:u w:color="000000"/>
                <w:bdr w:val="nil"/>
                <w:lang w:val="es-MX"/>
              </w:rPr>
            </w:pPr>
            <w:r w:rsidRPr="00F2273F">
              <w:rPr>
                <w:rFonts w:eastAsia="Arial Unicode MS"/>
                <w:sz w:val="28"/>
                <w:szCs w:val="22"/>
                <w:u w:color="000000"/>
                <w:bdr w:val="nil"/>
              </w:rPr>
              <w:t>Distribución</w:t>
            </w:r>
          </w:p>
        </w:tc>
        <w:tc>
          <w:tcPr>
            <w:tcW w:w="6990" w:type="dxa"/>
            <w:gridSpan w:val="2"/>
            <w:vAlign w:val="center"/>
          </w:tcPr>
          <w:p w:rsidR="0033146C" w:rsidRPr="00F2273F" w:rsidRDefault="00F2273F" w:rsidP="00783E42">
            <w:pPr>
              <w:pStyle w:val="Prrafodelista"/>
              <w:ind w:left="0"/>
              <w:jc w:val="both"/>
              <w:rPr>
                <w:rFonts w:eastAsia="Arial Unicode MS"/>
                <w:sz w:val="28"/>
                <w:szCs w:val="22"/>
                <w:u w:color="000000"/>
                <w:bdr w:val="nil"/>
                <w:lang w:val="es-MX"/>
              </w:rPr>
            </w:pPr>
            <w:r w:rsidRPr="00F2273F">
              <w:rPr>
                <w:rFonts w:eastAsia="Arial Unicode MS"/>
                <w:sz w:val="28"/>
                <w:szCs w:val="22"/>
                <w:bdr w:val="nil"/>
                <w:lang w:val="es-MX"/>
              </w:rPr>
              <w:t xml:space="preserve">Consiste en </w:t>
            </w:r>
            <w:r w:rsidRPr="00F2273F">
              <w:rPr>
                <w:rFonts w:eastAsia="Arial Unicode MS"/>
                <w:sz w:val="28"/>
                <w:szCs w:val="22"/>
                <w:bdr w:val="nil"/>
              </w:rPr>
              <w:t>“el transporte de energía a través de las redes de distribución, hasta la entrega al usuario final para su consumo”</w:t>
            </w:r>
            <w:r w:rsidRPr="00F2273F">
              <w:rPr>
                <w:rStyle w:val="Refdenotaalpie"/>
                <w:rFonts w:eastAsia="Arial Unicode MS"/>
                <w:sz w:val="28"/>
                <w:szCs w:val="22"/>
                <w:bdr w:val="nil"/>
              </w:rPr>
              <w:footnoteReference w:id="90"/>
            </w:r>
            <w:r w:rsidRPr="00F2273F">
              <w:rPr>
                <w:rFonts w:eastAsia="Arial Unicode MS"/>
                <w:sz w:val="28"/>
                <w:szCs w:val="22"/>
                <w:bdr w:val="nil"/>
              </w:rPr>
              <w:t>.</w:t>
            </w:r>
          </w:p>
        </w:tc>
      </w:tr>
      <w:tr w:rsidR="00974547" w:rsidRPr="00F2273F" w:rsidTr="00822D8C">
        <w:tc>
          <w:tcPr>
            <w:tcW w:w="1843" w:type="dxa"/>
            <w:vAlign w:val="center"/>
          </w:tcPr>
          <w:p w:rsidR="0033146C" w:rsidRPr="00F2273F" w:rsidRDefault="00F2273F" w:rsidP="00822D8C">
            <w:pPr>
              <w:pStyle w:val="Prrafodelista"/>
              <w:ind w:left="0"/>
              <w:jc w:val="center"/>
              <w:rPr>
                <w:rFonts w:eastAsia="Arial Unicode MS"/>
                <w:sz w:val="28"/>
                <w:szCs w:val="22"/>
                <w:u w:color="000000"/>
                <w:bdr w:val="nil"/>
              </w:rPr>
            </w:pPr>
            <w:r w:rsidRPr="00F2273F">
              <w:rPr>
                <w:rFonts w:eastAsia="Arial Unicode MS"/>
                <w:sz w:val="28"/>
                <w:szCs w:val="22"/>
                <w:u w:color="000000"/>
                <w:bdr w:val="nil"/>
              </w:rPr>
              <w:t>Comercialización</w:t>
            </w:r>
          </w:p>
        </w:tc>
        <w:tc>
          <w:tcPr>
            <w:tcW w:w="6990" w:type="dxa"/>
            <w:gridSpan w:val="2"/>
            <w:vAlign w:val="center"/>
          </w:tcPr>
          <w:p w:rsidR="0033146C" w:rsidRPr="00F2273F" w:rsidRDefault="00F2273F" w:rsidP="00822D8C">
            <w:pPr>
              <w:pStyle w:val="Prrafodelista"/>
              <w:ind w:left="0"/>
              <w:jc w:val="both"/>
              <w:rPr>
                <w:rFonts w:eastAsia="Arial Unicode MS"/>
                <w:sz w:val="28"/>
                <w:szCs w:val="22"/>
                <w:u w:color="000000"/>
                <w:bdr w:val="nil"/>
                <w:lang w:val="es-MX"/>
              </w:rPr>
            </w:pPr>
            <w:r w:rsidRPr="00F2273F">
              <w:rPr>
                <w:rFonts w:eastAsia="Arial Unicode MS"/>
                <w:sz w:val="28"/>
                <w:szCs w:val="22"/>
                <w:bdr w:val="nil"/>
                <w:lang w:val="es-MX"/>
              </w:rPr>
              <w:t xml:space="preserve">Se entiende como </w:t>
            </w:r>
            <w:r w:rsidRPr="00F2273F">
              <w:rPr>
                <w:rFonts w:eastAsia="Arial Unicode MS"/>
                <w:sz w:val="28"/>
                <w:szCs w:val="22"/>
                <w:bdr w:val="nil"/>
              </w:rPr>
              <w:t>una actividad de intermediación que consiste en la compra de energía eléctrica y su venta a los usuarios finales, regulados o no regulados</w:t>
            </w:r>
            <w:r w:rsidRPr="00F2273F">
              <w:rPr>
                <w:rStyle w:val="Refdenotaalpie"/>
                <w:rFonts w:eastAsia="Arial Unicode MS"/>
                <w:sz w:val="28"/>
                <w:szCs w:val="22"/>
                <w:bdr w:val="nil"/>
              </w:rPr>
              <w:footnoteReference w:id="91"/>
            </w:r>
            <w:r w:rsidRPr="00F2273F">
              <w:rPr>
                <w:rFonts w:eastAsia="Arial Unicode MS"/>
                <w:sz w:val="28"/>
                <w:szCs w:val="22"/>
                <w:bdr w:val="nil"/>
              </w:rPr>
              <w:t>.</w:t>
            </w:r>
          </w:p>
        </w:tc>
      </w:tr>
    </w:tbl>
    <w:p w:rsidR="0033146C" w:rsidRPr="00F2273F" w:rsidRDefault="00F2273F" w:rsidP="0033146C">
      <w:pPr>
        <w:pStyle w:val="Prrafodelista"/>
        <w:keepNext/>
        <w:spacing w:after="0" w:line="240" w:lineRule="auto"/>
        <w:ind w:left="0"/>
        <w:mirrorIndents/>
        <w:jc w:val="both"/>
        <w:rPr>
          <w:rFonts w:ascii="Times New Roman" w:eastAsia="Arial Unicode MS" w:hAnsi="Times New Roman" w:cs="Times New Roman"/>
          <w:sz w:val="28"/>
          <w:szCs w:val="24"/>
          <w:u w:color="000000"/>
          <w:bdr w:val="nil"/>
          <w:lang w:val="es-MX"/>
        </w:rPr>
      </w:pPr>
    </w:p>
    <w:p w:rsidR="0033146C" w:rsidRPr="00F2273F" w:rsidRDefault="00F2273F" w:rsidP="00EA22A9">
      <w:pPr>
        <w:pStyle w:val="Prrafodelista"/>
        <w:numPr>
          <w:ilvl w:val="0"/>
          <w:numId w:val="3"/>
        </w:numPr>
        <w:spacing w:after="0" w:line="240" w:lineRule="auto"/>
        <w:ind w:left="0" w:right="49" w:firstLine="0"/>
        <w:jc w:val="both"/>
        <w:rPr>
          <w:rFonts w:ascii="Times New Roman" w:eastAsia="Arial Unicode MS" w:hAnsi="Times New Roman" w:cs="Times New Roman"/>
          <w:sz w:val="28"/>
          <w:szCs w:val="28"/>
          <w:u w:color="000000"/>
          <w:bdr w:val="nil"/>
        </w:rPr>
      </w:pPr>
      <w:r w:rsidRPr="00F2273F">
        <w:rPr>
          <w:rFonts w:ascii="Times New Roman" w:eastAsia="Arial Unicode MS" w:hAnsi="Times New Roman" w:cs="Times New Roman"/>
          <w:sz w:val="28"/>
          <w:szCs w:val="28"/>
          <w:u w:color="000000"/>
          <w:bdr w:val="nil"/>
        </w:rPr>
        <w:t xml:space="preserve">Por el significativo impacto de esas actividades en la satisfacción de </w:t>
      </w:r>
      <w:r w:rsidRPr="00F2273F">
        <w:rPr>
          <w:rFonts w:ascii="Times New Roman" w:eastAsia="Arial Unicode MS" w:hAnsi="Times New Roman" w:cs="Times New Roman"/>
          <w:sz w:val="28"/>
          <w:szCs w:val="28"/>
          <w:u w:color="000000"/>
          <w:bdr w:val="nil"/>
        </w:rPr>
        <w:t>necesidades de la población y por tratarse de un servicio público esencial y obligatorio, es el Estado quien debe regular la materia</w:t>
      </w:r>
      <w:r w:rsidRPr="00F2273F">
        <w:rPr>
          <w:rFonts w:ascii="Times New Roman" w:eastAsia="Arial Unicode MS" w:hAnsi="Times New Roman" w:cs="Times New Roman"/>
          <w:sz w:val="28"/>
          <w:szCs w:val="28"/>
          <w:u w:color="000000"/>
          <w:bdr w:val="nil"/>
          <w:vertAlign w:val="superscript"/>
        </w:rPr>
        <w:footnoteReference w:id="92"/>
      </w:r>
      <w:r w:rsidRPr="00F2273F">
        <w:rPr>
          <w:rFonts w:ascii="Times New Roman" w:eastAsia="Arial Unicode MS" w:hAnsi="Times New Roman" w:cs="Times New Roman"/>
          <w:sz w:val="28"/>
          <w:szCs w:val="28"/>
          <w:u w:color="000000"/>
          <w:bdr w:val="nil"/>
        </w:rPr>
        <w:t xml:space="preserve">. En el caso del servicio de energía el legislador adoptó un modelo de segmentación de la industria en un escenario de libre competencia. Con ello, se pretendió asegurar la adecuada prestación del servicio y el aprovechamiento de </w:t>
      </w:r>
      <w:r w:rsidRPr="00F2273F">
        <w:rPr>
          <w:rFonts w:ascii="Times New Roman" w:eastAsia="Arial Unicode MS" w:hAnsi="Times New Roman" w:cs="Times New Roman"/>
          <w:sz w:val="28"/>
          <w:szCs w:val="28"/>
          <w:u w:color="000000"/>
          <w:bdr w:val="nil"/>
        </w:rPr>
        <w:t xml:space="preserve">los </w:t>
      </w:r>
      <w:r w:rsidRPr="00F2273F">
        <w:rPr>
          <w:rFonts w:ascii="Times New Roman" w:eastAsia="Arial Unicode MS" w:hAnsi="Times New Roman" w:cs="Times New Roman"/>
          <w:sz w:val="28"/>
          <w:szCs w:val="28"/>
          <w:u w:color="000000"/>
          <w:bdr w:val="nil"/>
        </w:rPr>
        <w:t xml:space="preserve">recursos energéticos, </w:t>
      </w:r>
      <w:r w:rsidRPr="00F2273F">
        <w:rPr>
          <w:rFonts w:ascii="Times New Roman" w:eastAsia="Arial Unicode MS" w:hAnsi="Times New Roman" w:cs="Times New Roman"/>
          <w:sz w:val="28"/>
          <w:szCs w:val="28"/>
          <w:u w:color="000000"/>
          <w:bdr w:val="nil"/>
        </w:rPr>
        <w:t>trazar los límites necesarios en cuanto a posibles conflictos de interés en ciertos mercados, promover la competencia y conservar la facultad de crear y preservar las condiciones que conduzcan a ese fin</w:t>
      </w:r>
      <w:r w:rsidRPr="00F2273F">
        <w:rPr>
          <w:rFonts w:ascii="Times New Roman" w:eastAsia="Arial Unicode MS" w:hAnsi="Times New Roman" w:cs="Times New Roman"/>
          <w:sz w:val="28"/>
          <w:szCs w:val="28"/>
          <w:u w:color="000000"/>
          <w:bdr w:val="nil"/>
          <w:vertAlign w:val="superscript"/>
        </w:rPr>
        <w:footnoteReference w:id="93"/>
      </w:r>
      <w:r w:rsidRPr="00F2273F">
        <w:rPr>
          <w:rFonts w:ascii="Times New Roman" w:eastAsia="Arial Unicode MS" w:hAnsi="Times New Roman" w:cs="Times New Roman"/>
          <w:sz w:val="28"/>
          <w:szCs w:val="28"/>
          <w:u w:color="000000"/>
          <w:bdr w:val="nil"/>
        </w:rPr>
        <w:t>.</w:t>
      </w:r>
    </w:p>
    <w:p w:rsidR="0033146C" w:rsidRPr="00F2273F" w:rsidRDefault="00F2273F" w:rsidP="0033146C">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Bajo esa óptica, esta </w:t>
      </w:r>
      <w:r w:rsidRPr="00F2273F">
        <w:rPr>
          <w:rFonts w:ascii="Times New Roman" w:hAnsi="Times New Roman" w:cs="Times New Roman"/>
          <w:sz w:val="28"/>
          <w:szCs w:val="28"/>
          <w:lang w:eastAsia="es-ES"/>
        </w:rPr>
        <w:t xml:space="preserve">corporación </w:t>
      </w:r>
      <w:r w:rsidRPr="00F2273F">
        <w:rPr>
          <w:rFonts w:ascii="Times New Roman" w:hAnsi="Times New Roman" w:cs="Times New Roman"/>
          <w:sz w:val="28"/>
          <w:szCs w:val="28"/>
          <w:lang w:eastAsia="es-ES"/>
        </w:rPr>
        <w:t>ha entendido que</w:t>
      </w:r>
      <w:r w:rsidRPr="00F2273F">
        <w:rPr>
          <w:rFonts w:ascii="Times New Roman" w:hAnsi="Times New Roman" w:cs="Times New Roman"/>
          <w:sz w:val="28"/>
          <w:szCs w:val="28"/>
          <w:lang w:eastAsia="es-ES"/>
        </w:rPr>
        <w:t xml:space="preserve"> la generación, interconexión, transmisión, distribución y comercialización de electricidad están destinadas a satisfacer necesidades colectivas primordiales en forma permanente y, por esta razón, son consideradas actividades en un servicio público de cará</w:t>
      </w:r>
      <w:r w:rsidRPr="00F2273F">
        <w:rPr>
          <w:rFonts w:ascii="Times New Roman" w:hAnsi="Times New Roman" w:cs="Times New Roman"/>
          <w:sz w:val="28"/>
          <w:szCs w:val="28"/>
          <w:lang w:eastAsia="es-ES"/>
        </w:rPr>
        <w:t>cter esencial, obligatorio y solidario, así como de utilidad pública</w:t>
      </w:r>
      <w:r w:rsidRPr="00F2273F">
        <w:rPr>
          <w:rStyle w:val="Refdenotaalpie"/>
          <w:rFonts w:ascii="Times New Roman" w:hAnsi="Times New Roman" w:cs="Times New Roman"/>
          <w:sz w:val="28"/>
          <w:szCs w:val="28"/>
          <w:lang w:eastAsia="es-ES"/>
        </w:rPr>
        <w:footnoteReference w:id="94"/>
      </w:r>
      <w:r w:rsidRPr="00F2273F">
        <w:rPr>
          <w:rFonts w:ascii="Times New Roman" w:hAnsi="Times New Roman" w:cs="Times New Roman"/>
          <w:sz w:val="28"/>
          <w:szCs w:val="28"/>
          <w:lang w:eastAsia="es-ES"/>
        </w:rPr>
        <w:t>. Esto, sumado al concepto de monopolio natural, conllevó a que la ley estableciera las condiciones que habilitan, restringen o imponen condiciones para el desarrollo de cada una de tales</w:t>
      </w:r>
      <w:r w:rsidRPr="00F2273F">
        <w:rPr>
          <w:rFonts w:ascii="Times New Roman" w:hAnsi="Times New Roman" w:cs="Times New Roman"/>
          <w:sz w:val="28"/>
          <w:szCs w:val="28"/>
          <w:lang w:eastAsia="es-ES"/>
        </w:rPr>
        <w:t xml:space="preserve"> actividades por los diferentes agentes que intervienen en la cadena</w:t>
      </w:r>
      <w:r w:rsidRPr="00F2273F">
        <w:rPr>
          <w:rStyle w:val="Refdenotaalpie"/>
          <w:rFonts w:ascii="Times New Roman" w:hAnsi="Times New Roman" w:cs="Times New Roman"/>
          <w:sz w:val="28"/>
          <w:szCs w:val="28"/>
          <w:lang w:eastAsia="es-ES"/>
        </w:rPr>
        <w:footnoteReference w:id="95"/>
      </w:r>
      <w:r w:rsidRPr="00F2273F">
        <w:rPr>
          <w:rFonts w:ascii="Times New Roman" w:hAnsi="Times New Roman" w:cs="Times New Roman"/>
          <w:sz w:val="28"/>
          <w:szCs w:val="28"/>
          <w:lang w:eastAsia="es-ES"/>
        </w:rPr>
        <w:t xml:space="preserve">. </w:t>
      </w:r>
    </w:p>
    <w:p w:rsidR="0033146C" w:rsidRPr="00F2273F" w:rsidRDefault="00F2273F" w:rsidP="0033146C">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Inicialmente el mercado de energía eléctrica </w:t>
      </w:r>
      <w:r w:rsidRPr="00F2273F">
        <w:rPr>
          <w:rFonts w:ascii="Times New Roman" w:hAnsi="Times New Roman" w:cs="Times New Roman"/>
          <w:sz w:val="28"/>
          <w:szCs w:val="28"/>
          <w:lang w:eastAsia="es-ES"/>
        </w:rPr>
        <w:t>restringía</w:t>
      </w:r>
      <w:r w:rsidRPr="00F2273F">
        <w:rPr>
          <w:rFonts w:ascii="Times New Roman" w:hAnsi="Times New Roman" w:cs="Times New Roman"/>
          <w:sz w:val="28"/>
          <w:szCs w:val="28"/>
          <w:lang w:eastAsia="es-ES"/>
        </w:rPr>
        <w:t xml:space="preserve"> la integración vertical para las empresas constituidas con posterioridad al 12 de julio de 1994</w:t>
      </w:r>
      <w:r w:rsidRPr="00F2273F">
        <w:rPr>
          <w:rFonts w:ascii="Times New Roman" w:hAnsi="Times New Roman" w:cs="Times New Roman"/>
          <w:sz w:val="28"/>
          <w:szCs w:val="28"/>
          <w:lang w:eastAsia="es-ES"/>
        </w:rPr>
        <w:t>, fecha en la que entraron en vi</w:t>
      </w:r>
      <w:r w:rsidRPr="00F2273F">
        <w:rPr>
          <w:rFonts w:ascii="Times New Roman" w:hAnsi="Times New Roman" w:cs="Times New Roman"/>
          <w:sz w:val="28"/>
          <w:szCs w:val="28"/>
          <w:lang w:eastAsia="es-ES"/>
        </w:rPr>
        <w:t>gencia las leyes 142 y 143 de 1994</w:t>
      </w:r>
      <w:r w:rsidRPr="00F2273F">
        <w:rPr>
          <w:rFonts w:ascii="Times New Roman" w:hAnsi="Times New Roman" w:cs="Times New Roman"/>
          <w:sz w:val="28"/>
          <w:szCs w:val="28"/>
          <w:lang w:eastAsia="es-ES"/>
        </w:rPr>
        <w:t>. De otra parte, las empresas constituidas con antelación a esa fecha podían desarrollar dos o más actividades de la cadena de servicio de energía con sujeción a las condiciones aplicables. Específicamente, se les permitía</w:t>
      </w:r>
      <w:r w:rsidRPr="00F2273F">
        <w:rPr>
          <w:rFonts w:ascii="Times New Roman" w:hAnsi="Times New Roman" w:cs="Times New Roman"/>
          <w:sz w:val="28"/>
          <w:szCs w:val="28"/>
          <w:lang w:eastAsia="es-ES"/>
        </w:rPr>
        <w:t xml:space="preserve"> desarrollar una de las actividades de la cadena de prestación del servicio con excepción de la comercialización, que podría realizarse de forma combinada, bien con la actividad de generación o con la de distribución.</w:t>
      </w:r>
    </w:p>
    <w:p w:rsidR="0033146C" w:rsidRPr="00F2273F" w:rsidRDefault="00F2273F" w:rsidP="0033146C">
      <w:pPr>
        <w:pStyle w:val="Prrafodelista"/>
        <w:rPr>
          <w:rFonts w:ascii="Times New Roman" w:hAnsi="Times New Roman" w:cs="Times New Roman"/>
          <w:sz w:val="28"/>
          <w:szCs w:val="28"/>
          <w:lang w:eastAsia="es-ES"/>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Posteriormente, el artículo 298 de la</w:t>
      </w:r>
      <w:r w:rsidRPr="00F2273F">
        <w:rPr>
          <w:rFonts w:ascii="Times New Roman" w:hAnsi="Times New Roman" w:cs="Times New Roman"/>
          <w:sz w:val="28"/>
          <w:szCs w:val="28"/>
          <w:lang w:eastAsia="es-ES"/>
        </w:rPr>
        <w:t xml:space="preserve"> Ley 1955 de 2019 (Plan Nacional de Desarrollo 2018-2022) sustituyó el artículo 74 de la Ley 143 en comento</w:t>
      </w:r>
      <w:r w:rsidRPr="00F2273F">
        <w:rPr>
          <w:rStyle w:val="Refdenotaalpie"/>
          <w:rFonts w:ascii="Times New Roman" w:hAnsi="Times New Roman" w:cs="Times New Roman"/>
          <w:sz w:val="28"/>
          <w:szCs w:val="28"/>
          <w:lang w:eastAsia="es-ES"/>
        </w:rPr>
        <w:footnoteReference w:id="96"/>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Se dispuso </w:t>
      </w:r>
      <w:r w:rsidRPr="00F2273F">
        <w:rPr>
          <w:rFonts w:ascii="Times New Roman" w:hAnsi="Times New Roman" w:cs="Times New Roman"/>
          <w:sz w:val="28"/>
          <w:szCs w:val="28"/>
          <w:lang w:eastAsia="es-ES"/>
        </w:rPr>
        <w:t xml:space="preserve">entonces </w:t>
      </w:r>
      <w:r w:rsidRPr="00F2273F">
        <w:rPr>
          <w:rFonts w:ascii="Times New Roman" w:hAnsi="Times New Roman" w:cs="Times New Roman"/>
          <w:sz w:val="28"/>
          <w:szCs w:val="28"/>
          <w:lang w:eastAsia="es-ES"/>
        </w:rPr>
        <w:t>que las empresas que tengan como objetivo la prestación del servicio público domiciliario de energía eléctrica y que hagan par</w:t>
      </w:r>
      <w:r w:rsidRPr="00F2273F">
        <w:rPr>
          <w:rFonts w:ascii="Times New Roman" w:hAnsi="Times New Roman" w:cs="Times New Roman"/>
          <w:sz w:val="28"/>
          <w:szCs w:val="28"/>
          <w:lang w:eastAsia="es-ES"/>
        </w:rPr>
        <w:t xml:space="preserve">te del sistema interconectado nacional, podrán integrarse verticalmente para desarrollar las actividades de generación, distribución y comercialización, excluyendo de tal integración la actividad de transmisión. Además, se definió a la CREG como encargada </w:t>
      </w:r>
      <w:r w:rsidRPr="00F2273F">
        <w:rPr>
          <w:rFonts w:ascii="Times New Roman" w:hAnsi="Times New Roman" w:cs="Times New Roman"/>
          <w:sz w:val="28"/>
          <w:szCs w:val="28"/>
          <w:lang w:eastAsia="es-ES"/>
        </w:rPr>
        <w:t xml:space="preserve">de establecer la regulación diferencial pertinente para promover la competencia y mitigar posibles conflictos de intereses entre los agentes integrados. </w:t>
      </w:r>
    </w:p>
    <w:p w:rsidR="0033146C" w:rsidRPr="00F2273F" w:rsidRDefault="00F2273F" w:rsidP="0033146C">
      <w:pPr>
        <w:pStyle w:val="Prrafodelista"/>
        <w:rPr>
          <w:rFonts w:ascii="Times New Roman" w:hAnsi="Times New Roman" w:cs="Times New Roman"/>
          <w:sz w:val="28"/>
          <w:szCs w:val="28"/>
          <w:lang w:eastAsia="es-ES"/>
        </w:rPr>
      </w:pPr>
    </w:p>
    <w:p w:rsidR="0033146C" w:rsidRPr="00F2273F" w:rsidRDefault="00F2273F" w:rsidP="00EA22A9">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rPr>
        <w:t xml:space="preserve">La Sentencia C-063 de 2021 </w:t>
      </w:r>
      <w:r w:rsidRPr="00F2273F">
        <w:rPr>
          <w:rFonts w:ascii="Times New Roman" w:hAnsi="Times New Roman" w:cs="Times New Roman"/>
          <w:sz w:val="28"/>
          <w:szCs w:val="28"/>
        </w:rPr>
        <w:t xml:space="preserve">de esta Corte </w:t>
      </w:r>
      <w:r w:rsidRPr="00F2273F">
        <w:rPr>
          <w:rFonts w:ascii="Times New Roman" w:hAnsi="Times New Roman" w:cs="Times New Roman"/>
          <w:sz w:val="28"/>
          <w:szCs w:val="28"/>
        </w:rPr>
        <w:t>avaló el precitado artículo 298 de la Ley 1955</w:t>
      </w:r>
      <w:r w:rsidRPr="00F2273F">
        <w:rPr>
          <w:rFonts w:ascii="Times New Roman" w:hAnsi="Times New Roman" w:cs="Times New Roman"/>
          <w:sz w:val="28"/>
          <w:szCs w:val="28"/>
        </w:rPr>
        <w:t xml:space="preserve"> de 2019</w:t>
      </w:r>
      <w:r w:rsidRPr="00F2273F">
        <w:rPr>
          <w:rFonts w:ascii="Times New Roman" w:hAnsi="Times New Roman" w:cs="Times New Roman"/>
          <w:sz w:val="28"/>
          <w:szCs w:val="28"/>
        </w:rPr>
        <w:t>.</w:t>
      </w:r>
      <w:r w:rsidRPr="00F2273F">
        <w:rPr>
          <w:rFonts w:ascii="Times New Roman" w:hAnsi="Times New Roman" w:cs="Times New Roman"/>
          <w:sz w:val="28"/>
          <w:szCs w:val="28"/>
          <w:lang w:eastAsia="es-ES"/>
        </w:rPr>
        <w:t xml:space="preserve"> En e</w:t>
      </w:r>
      <w:r w:rsidRPr="00F2273F">
        <w:rPr>
          <w:rFonts w:ascii="Times New Roman" w:hAnsi="Times New Roman" w:cs="Times New Roman"/>
          <w:sz w:val="28"/>
          <w:szCs w:val="28"/>
          <w:lang w:eastAsia="es-ES"/>
        </w:rPr>
        <w:t>sa oportunidad se expuso que la limitante que recaía sobre las empresas era otra de las manifestaciones de la intervención del Estado en la economía para remover las fallas del mercado, promover el desarrollo económico y social, y evitar el abuso de la pos</w:t>
      </w:r>
      <w:r w:rsidRPr="00F2273F">
        <w:rPr>
          <w:rFonts w:ascii="Times New Roman" w:hAnsi="Times New Roman" w:cs="Times New Roman"/>
          <w:sz w:val="28"/>
          <w:szCs w:val="28"/>
          <w:lang w:eastAsia="es-ES"/>
        </w:rPr>
        <w:t>ición dominante que eventualmente pudieran tener algunos agentes</w:t>
      </w:r>
      <w:r w:rsidRPr="00F2273F">
        <w:rPr>
          <w:rStyle w:val="Refdenotaalpie"/>
          <w:rFonts w:ascii="Times New Roman" w:hAnsi="Times New Roman" w:cs="Times New Roman"/>
          <w:sz w:val="28"/>
          <w:szCs w:val="28"/>
          <w:lang w:eastAsia="es-ES"/>
        </w:rPr>
        <w:footnoteReference w:id="97"/>
      </w:r>
      <w:r w:rsidRPr="00F2273F">
        <w:rPr>
          <w:rFonts w:ascii="Times New Roman" w:hAnsi="Times New Roman" w:cs="Times New Roman"/>
          <w:sz w:val="28"/>
          <w:szCs w:val="28"/>
          <w:lang w:eastAsia="es-ES"/>
        </w:rPr>
        <w:t xml:space="preserve">. Se indicó también que la integración vertical podría representar ventajas y riesgos importantes para la competencia, en especial cuando el agente integrado participa simultáneamente en </w:t>
      </w:r>
      <w:r w:rsidRPr="00F2273F">
        <w:rPr>
          <w:rFonts w:ascii="Times New Roman" w:hAnsi="Times New Roman" w:cs="Times New Roman"/>
          <w:sz w:val="28"/>
          <w:szCs w:val="28"/>
          <w:lang w:eastAsia="es-ES"/>
        </w:rPr>
        <w:t>eslabones monopólicos (transmisión) y en eslabones de competencia (comercialización), en los que aquel agente integrado tiene incentivos para adoptar comportamientos estratégicos anticompetitivos que podrían perjudicar a los demás participantes del eslabón</w:t>
      </w:r>
      <w:r w:rsidRPr="00F2273F">
        <w:rPr>
          <w:rFonts w:ascii="Times New Roman" w:hAnsi="Times New Roman" w:cs="Times New Roman"/>
          <w:sz w:val="28"/>
          <w:szCs w:val="28"/>
          <w:lang w:eastAsia="es-ES"/>
        </w:rPr>
        <w:t xml:space="preserve"> competitivo</w:t>
      </w:r>
      <w:r w:rsidRPr="00F2273F">
        <w:rPr>
          <w:rStyle w:val="Refdenotaalpie"/>
          <w:rFonts w:ascii="Times New Roman" w:hAnsi="Times New Roman" w:cs="Times New Roman"/>
          <w:sz w:val="28"/>
          <w:szCs w:val="28"/>
          <w:lang w:eastAsia="es-ES"/>
        </w:rPr>
        <w:footnoteReference w:id="98"/>
      </w:r>
      <w:r w:rsidRPr="00F2273F">
        <w:rPr>
          <w:rFonts w:ascii="Times New Roman" w:hAnsi="Times New Roman" w:cs="Times New Roman"/>
          <w:sz w:val="28"/>
          <w:szCs w:val="28"/>
          <w:lang w:eastAsia="es-ES"/>
        </w:rPr>
        <w:t xml:space="preserve">. En este contexto, esta Corte sostuvo que para mitigar ese y otros riesgos, se facultó a la Comisión de Regulación - CREG a fin de que </w:t>
      </w:r>
      <w:r w:rsidRPr="00F2273F">
        <w:rPr>
          <w:rFonts w:ascii="Times New Roman" w:hAnsi="Times New Roman" w:cs="Times New Roman"/>
          <w:sz w:val="28"/>
          <w:szCs w:val="28"/>
          <w:lang w:eastAsia="es-ES"/>
        </w:rPr>
        <w:t>estableciera</w:t>
      </w:r>
      <w:r w:rsidRPr="00F2273F">
        <w:rPr>
          <w:rFonts w:ascii="Times New Roman" w:hAnsi="Times New Roman" w:cs="Times New Roman"/>
          <w:sz w:val="28"/>
          <w:szCs w:val="28"/>
          <w:lang w:eastAsia="es-ES"/>
        </w:rPr>
        <w:t xml:space="preserve"> los mecanismos indispensables para limitar la integración vertical de aquellos actores a quien</w:t>
      </w:r>
      <w:r w:rsidRPr="00F2273F">
        <w:rPr>
          <w:rFonts w:ascii="Times New Roman" w:hAnsi="Times New Roman" w:cs="Times New Roman"/>
          <w:sz w:val="28"/>
          <w:szCs w:val="28"/>
          <w:lang w:eastAsia="es-ES"/>
        </w:rPr>
        <w:t>es la ley les ha permitido realizar varias actividades de la cadena de servicio</w:t>
      </w:r>
      <w:r w:rsidRPr="00F2273F">
        <w:rPr>
          <w:rStyle w:val="Refdenotaalpie"/>
          <w:rFonts w:ascii="Times New Roman" w:hAnsi="Times New Roman" w:cs="Times New Roman"/>
          <w:sz w:val="28"/>
          <w:szCs w:val="28"/>
          <w:lang w:eastAsia="es-ES"/>
        </w:rPr>
        <w:footnoteReference w:id="99"/>
      </w:r>
      <w:r w:rsidRPr="00F2273F">
        <w:rPr>
          <w:rFonts w:ascii="Times New Roman" w:hAnsi="Times New Roman" w:cs="Times New Roman"/>
          <w:sz w:val="28"/>
          <w:szCs w:val="28"/>
          <w:lang w:eastAsia="es-ES"/>
        </w:rPr>
        <w:t xml:space="preserve">. </w:t>
      </w:r>
    </w:p>
    <w:p w:rsidR="0033146C" w:rsidRPr="00F2273F" w:rsidRDefault="00F2273F" w:rsidP="004A3648">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La</w:t>
      </w:r>
      <w:r w:rsidRPr="00F2273F">
        <w:rPr>
          <w:rFonts w:ascii="Times New Roman" w:hAnsi="Times New Roman" w:cs="Times New Roman"/>
          <w:sz w:val="28"/>
          <w:szCs w:val="28"/>
          <w:lang w:eastAsia="es-ES"/>
        </w:rPr>
        <w:t xml:space="preserve"> Corte </w:t>
      </w:r>
      <w:r w:rsidRPr="00F2273F">
        <w:rPr>
          <w:rFonts w:ascii="Times New Roman" w:hAnsi="Times New Roman" w:cs="Times New Roman"/>
          <w:sz w:val="28"/>
          <w:szCs w:val="28"/>
          <w:lang w:eastAsia="es-ES"/>
        </w:rPr>
        <w:t xml:space="preserve">Constitucional </w:t>
      </w:r>
      <w:r w:rsidRPr="00F2273F">
        <w:rPr>
          <w:rFonts w:ascii="Times New Roman" w:hAnsi="Times New Roman" w:cs="Times New Roman"/>
          <w:sz w:val="28"/>
          <w:szCs w:val="28"/>
          <w:lang w:eastAsia="es-ES"/>
        </w:rPr>
        <w:t>concluyó que no se vulneró la unidad de materia pues el artículo 298 de la Ley 1955 acusado se relacionaba de forma directa e inmediata con los programas y proyectos en los que se concentró el Plan Nacional de Inversiones 2018-2022, en relación con la pres</w:t>
      </w:r>
      <w:r w:rsidRPr="00F2273F">
        <w:rPr>
          <w:rFonts w:ascii="Times New Roman" w:hAnsi="Times New Roman" w:cs="Times New Roman"/>
          <w:sz w:val="28"/>
          <w:szCs w:val="28"/>
          <w:lang w:eastAsia="es-ES"/>
        </w:rPr>
        <w:t xml:space="preserve">tación eficiente del servicio público de energía eléctrica. Esto, en tanto la verticalización comportó una medida de regulación e intervención económica excepcional modificatoria de las reglas sobre quiénes participan en el mercado energético y con </w:t>
      </w:r>
      <w:r w:rsidRPr="00F2273F">
        <w:rPr>
          <w:rFonts w:ascii="Times New Roman" w:hAnsi="Times New Roman" w:cs="Times New Roman"/>
          <w:sz w:val="28"/>
          <w:szCs w:val="28"/>
          <w:lang w:eastAsia="es-ES"/>
        </w:rPr>
        <w:t xml:space="preserve">ella </w:t>
      </w:r>
      <w:r w:rsidRPr="00F2273F">
        <w:rPr>
          <w:rFonts w:ascii="Times New Roman" w:hAnsi="Times New Roman" w:cs="Times New Roman"/>
          <w:sz w:val="28"/>
          <w:szCs w:val="28"/>
          <w:lang w:eastAsia="es-ES"/>
        </w:rPr>
        <w:t>se</w:t>
      </w:r>
      <w:r w:rsidRPr="00F2273F">
        <w:rPr>
          <w:rFonts w:ascii="Times New Roman" w:hAnsi="Times New Roman" w:cs="Times New Roman"/>
          <w:sz w:val="28"/>
          <w:szCs w:val="28"/>
          <w:lang w:eastAsia="es-ES"/>
        </w:rPr>
        <w:t xml:space="preserve"> busca</w:t>
      </w:r>
      <w:r w:rsidRPr="00F2273F">
        <w:rPr>
          <w:rFonts w:ascii="Times New Roman" w:hAnsi="Times New Roman" w:cs="Times New Roman"/>
          <w:sz w:val="28"/>
          <w:szCs w:val="28"/>
          <w:lang w:eastAsia="es-ES"/>
        </w:rPr>
        <w:t>ba</w:t>
      </w:r>
      <w:r w:rsidRPr="00F2273F">
        <w:rPr>
          <w:rFonts w:ascii="Times New Roman" w:hAnsi="Times New Roman" w:cs="Times New Roman"/>
          <w:sz w:val="28"/>
          <w:szCs w:val="28"/>
          <w:lang w:eastAsia="es-ES"/>
        </w:rPr>
        <w:t xml:space="preserve"> contribuir al aumento de la competencia, la eliminación de barreras a la inversión y la revisión de las normas de acceso y operación en el mercado.</w:t>
      </w:r>
    </w:p>
    <w:p w:rsidR="00BC2995" w:rsidRPr="00F2273F" w:rsidRDefault="00F2273F" w:rsidP="00BC2995">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este punto, la Sala resalta que los cambios descritos a propósito de la regulación del sector y</w:t>
      </w:r>
      <w:r w:rsidRPr="00F2273F">
        <w:rPr>
          <w:rFonts w:ascii="Times New Roman" w:hAnsi="Times New Roman" w:cs="Times New Roman"/>
          <w:sz w:val="28"/>
          <w:szCs w:val="28"/>
          <w:lang w:eastAsia="es-ES"/>
        </w:rPr>
        <w:t xml:space="preserve"> la Sentencia C-063 de 2021 no alteraron el objeto social de Interconexión Eléctrica S.A. E.S.P. - ISA, de manera que se mantuvieron vigentes </w:t>
      </w:r>
      <w:r w:rsidRPr="00F2273F">
        <w:rPr>
          <w:rFonts w:ascii="Times New Roman" w:hAnsi="Times New Roman" w:cs="Times New Roman"/>
          <w:sz w:val="28"/>
          <w:szCs w:val="28"/>
          <w:lang w:eastAsia="es-ES"/>
        </w:rPr>
        <w:t>las disposiciones</w:t>
      </w:r>
      <w:r w:rsidRPr="00F2273F">
        <w:rPr>
          <w:rFonts w:ascii="Times New Roman" w:hAnsi="Times New Roman" w:cs="Times New Roman"/>
          <w:sz w:val="28"/>
          <w:szCs w:val="28"/>
          <w:lang w:eastAsia="es-ES"/>
        </w:rPr>
        <w:t xml:space="preserve"> que le impedían </w:t>
      </w:r>
      <w:r w:rsidRPr="00F2273F">
        <w:rPr>
          <w:rFonts w:ascii="Times New Roman" w:hAnsi="Times New Roman" w:cs="Times New Roman"/>
          <w:sz w:val="28"/>
          <w:szCs w:val="28"/>
          <w:lang w:eastAsia="es-ES"/>
        </w:rPr>
        <w:t xml:space="preserve">a aquella </w:t>
      </w:r>
      <w:r w:rsidRPr="00F2273F">
        <w:rPr>
          <w:rFonts w:ascii="Times New Roman" w:hAnsi="Times New Roman" w:cs="Times New Roman"/>
          <w:sz w:val="28"/>
          <w:szCs w:val="28"/>
          <w:lang w:eastAsia="es-ES"/>
        </w:rPr>
        <w:t>participar en otros eslabones del sector energético.</w:t>
      </w:r>
    </w:p>
    <w:p w:rsidR="0033146C" w:rsidRPr="00F2273F" w:rsidRDefault="00F2273F" w:rsidP="0033146C">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2E1F57" w:rsidRPr="00F2273F" w:rsidRDefault="00F2273F" w:rsidP="003D5D0B">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ISA es uno de los agentes más relevantes en el mercado de la energía por ser la empresa encargada de la transmisión nacional, con participación mayoritariamente estatal y estar constituida con anterioridad a la expedición de las leyes 142 y 143 de 1994. Es</w:t>
      </w:r>
      <w:r w:rsidRPr="00F2273F">
        <w:rPr>
          <w:rFonts w:ascii="Times New Roman" w:hAnsi="Times New Roman" w:cs="Times New Roman"/>
          <w:sz w:val="28"/>
          <w:szCs w:val="28"/>
          <w:lang w:eastAsia="es-ES"/>
        </w:rPr>
        <w:t xml:space="preserve">tas normas definieron como objeto de la empresa ISA </w:t>
      </w:r>
      <w:r w:rsidRPr="00F2273F">
        <w:rPr>
          <w:rFonts w:ascii="Times New Roman" w:hAnsi="Times New Roman" w:cs="Times New Roman"/>
          <w:sz w:val="28"/>
          <w:szCs w:val="28"/>
          <w:lang w:val="es-MX" w:eastAsia="es-ES"/>
        </w:rPr>
        <w:t>atender la operación y mantenimiento de la red de su propiedad, la expansión de la red nacional de interconexión, la planeación y coordinación de la operación del sistema interconectado nacional y prestar</w:t>
      </w:r>
      <w:r w:rsidRPr="00F2273F">
        <w:rPr>
          <w:rFonts w:ascii="Times New Roman" w:hAnsi="Times New Roman" w:cs="Times New Roman"/>
          <w:sz w:val="28"/>
          <w:szCs w:val="28"/>
          <w:lang w:val="es-MX" w:eastAsia="es-ES"/>
        </w:rPr>
        <w:t xml:space="preserve"> servicios técnicos en actividades relacionadas con su objeto social</w:t>
      </w:r>
      <w:r w:rsidRPr="00F2273F">
        <w:rPr>
          <w:rStyle w:val="Refdenotaalpie"/>
          <w:rFonts w:ascii="Times New Roman" w:hAnsi="Times New Roman" w:cs="Times New Roman"/>
          <w:sz w:val="28"/>
          <w:szCs w:val="28"/>
          <w:lang w:val="es-MX" w:eastAsia="es-ES"/>
        </w:rPr>
        <w:footnoteReference w:id="100"/>
      </w:r>
      <w:r w:rsidRPr="00F2273F">
        <w:rPr>
          <w:rFonts w:ascii="Times New Roman" w:hAnsi="Times New Roman" w:cs="Times New Roman"/>
          <w:sz w:val="28"/>
          <w:szCs w:val="28"/>
          <w:lang w:val="es-MX" w:eastAsia="es-ES"/>
        </w:rPr>
        <w:t>. Aquella tiene también a su cargo la organización del centro nacional de despacho como una de sus dependencias internas, desde donde se planea y coordina la operación de los recursos del</w:t>
      </w:r>
      <w:r w:rsidRPr="00F2273F">
        <w:rPr>
          <w:rFonts w:ascii="Times New Roman" w:hAnsi="Times New Roman" w:cs="Times New Roman"/>
          <w:sz w:val="28"/>
          <w:szCs w:val="28"/>
          <w:lang w:val="es-MX" w:eastAsia="es-ES"/>
        </w:rPr>
        <w:t xml:space="preserve"> sistema interconectado nacional, así como se administra el sistema de intercambios y comercialización de energía eléctrica en el mercado mayorista</w:t>
      </w:r>
      <w:r w:rsidRPr="00F2273F">
        <w:rPr>
          <w:rStyle w:val="Refdenotaalpie"/>
          <w:rFonts w:ascii="Times New Roman" w:hAnsi="Times New Roman" w:cs="Times New Roman"/>
          <w:sz w:val="28"/>
          <w:szCs w:val="28"/>
          <w:lang w:val="es-MX" w:eastAsia="es-ES"/>
        </w:rPr>
        <w:footnoteReference w:id="101"/>
      </w:r>
      <w:r w:rsidRPr="00F2273F">
        <w:rPr>
          <w:rFonts w:ascii="Times New Roman" w:hAnsi="Times New Roman" w:cs="Times New Roman"/>
          <w:sz w:val="28"/>
          <w:szCs w:val="28"/>
          <w:lang w:val="es-MX" w:eastAsia="es-ES"/>
        </w:rPr>
        <w:t>.</w:t>
      </w:r>
    </w:p>
    <w:p w:rsidR="0033146C" w:rsidRPr="00F2273F" w:rsidRDefault="00F2273F" w:rsidP="00CD6775">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 </w:t>
      </w: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lo que tiene que ver con la composición accionaria</w:t>
      </w:r>
      <w:r w:rsidRPr="00F2273F">
        <w:rPr>
          <w:rFonts w:ascii="Times New Roman" w:hAnsi="Times New Roman" w:cs="Times New Roman"/>
          <w:sz w:val="28"/>
          <w:szCs w:val="28"/>
          <w:lang w:eastAsia="es-ES"/>
        </w:rPr>
        <w:t xml:space="preserve"> actual</w:t>
      </w:r>
      <w:r w:rsidRPr="00F2273F">
        <w:rPr>
          <w:rFonts w:ascii="Times New Roman" w:hAnsi="Times New Roman" w:cs="Times New Roman"/>
          <w:sz w:val="28"/>
          <w:szCs w:val="28"/>
          <w:lang w:eastAsia="es-ES"/>
        </w:rPr>
        <w:t xml:space="preserve"> de ISA, la participación mayoritaria la ostenta Ecopetrol, con un 51,41 %, y la minoritaria pertenece a otros titulares económicos como tenedores de bonos y accionistas</w:t>
      </w:r>
      <w:r w:rsidRPr="00F2273F">
        <w:rPr>
          <w:rStyle w:val="Refdenotaalpie"/>
          <w:rFonts w:ascii="Times New Roman" w:hAnsi="Times New Roman" w:cs="Times New Roman"/>
          <w:sz w:val="28"/>
          <w:szCs w:val="28"/>
          <w:lang w:eastAsia="es-ES"/>
        </w:rPr>
        <w:footnoteReference w:id="102"/>
      </w:r>
      <w:r w:rsidRPr="00F2273F">
        <w:rPr>
          <w:rFonts w:ascii="Times New Roman" w:hAnsi="Times New Roman" w:cs="Times New Roman"/>
          <w:sz w:val="28"/>
          <w:szCs w:val="28"/>
          <w:lang w:eastAsia="es-ES"/>
        </w:rPr>
        <w:t>. Concretamente, el 20 de agosto de 2021</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Ecopetrol adquirió el 51,41 % de las accione</w:t>
      </w:r>
      <w:r w:rsidRPr="00F2273F">
        <w:rPr>
          <w:rFonts w:ascii="Times New Roman" w:hAnsi="Times New Roman" w:cs="Times New Roman"/>
          <w:sz w:val="28"/>
          <w:szCs w:val="28"/>
          <w:lang w:eastAsia="es-ES"/>
        </w:rPr>
        <w:t>s en circulación de ISA, transacción que significó que Ecopetrol adquiriera la situación de sociedad matriz controlante respecto de ISA</w:t>
      </w:r>
      <w:r w:rsidRPr="00F2273F">
        <w:rPr>
          <w:rStyle w:val="Refdenotaalpie"/>
          <w:rFonts w:ascii="Times New Roman" w:hAnsi="Times New Roman" w:cs="Times New Roman"/>
          <w:sz w:val="28"/>
          <w:szCs w:val="28"/>
          <w:lang w:eastAsia="es-ES"/>
        </w:rPr>
        <w:footnoteReference w:id="103"/>
      </w:r>
      <w:r w:rsidRPr="00F2273F">
        <w:rPr>
          <w:rFonts w:ascii="Times New Roman" w:hAnsi="Times New Roman" w:cs="Times New Roman"/>
          <w:sz w:val="28"/>
          <w:szCs w:val="28"/>
          <w:lang w:eastAsia="es-ES"/>
        </w:rPr>
        <w:t>.</w:t>
      </w:r>
    </w:p>
    <w:p w:rsidR="0033146C" w:rsidRPr="00F2273F" w:rsidRDefault="00F2273F" w:rsidP="0033146C">
      <w:pPr>
        <w:pStyle w:val="Prrafodelista"/>
        <w:rPr>
          <w:rFonts w:ascii="Times New Roman" w:hAnsi="Times New Roman" w:cs="Times New Roman"/>
          <w:sz w:val="28"/>
          <w:szCs w:val="28"/>
          <w:lang w:eastAsia="es-ES"/>
        </w:rPr>
      </w:pPr>
    </w:p>
    <w:p w:rsidR="0033146C" w:rsidRPr="00F2273F" w:rsidRDefault="00F2273F" w:rsidP="0033146C">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Con todo y esa composición accionaria, se trata de personas jurídicas distintas y con intereses independientes. Frent</w:t>
      </w:r>
      <w:r w:rsidRPr="00F2273F">
        <w:rPr>
          <w:rFonts w:ascii="Times New Roman" w:hAnsi="Times New Roman" w:cs="Times New Roman"/>
          <w:sz w:val="28"/>
          <w:szCs w:val="28"/>
          <w:lang w:eastAsia="es-ES"/>
        </w:rPr>
        <w:t>e a este aspecto, Ecopetrol explicó</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que esa </w:t>
      </w:r>
      <w:r w:rsidRPr="00F2273F">
        <w:rPr>
          <w:rFonts w:ascii="Times New Roman" w:hAnsi="Times New Roman" w:cs="Times New Roman"/>
          <w:sz w:val="28"/>
          <w:szCs w:val="28"/>
          <w:lang w:eastAsia="es-ES"/>
        </w:rPr>
        <w:t xml:space="preserve">participación accionaria mayoritaria implica que (i) entre ambas sociedades se configuró la situación jurídica denominada </w:t>
      </w:r>
      <w:r w:rsidRPr="00F2273F">
        <w:rPr>
          <w:rFonts w:ascii="Times New Roman" w:hAnsi="Times New Roman" w:cs="Times New Roman"/>
          <w:i/>
          <w:iCs/>
          <w:sz w:val="28"/>
          <w:szCs w:val="28"/>
          <w:lang w:eastAsia="es-ES"/>
        </w:rPr>
        <w:t>grupo empresarial</w:t>
      </w:r>
      <w:r w:rsidRPr="00F2273F">
        <w:rPr>
          <w:rFonts w:ascii="Times New Roman" w:hAnsi="Times New Roman" w:cs="Times New Roman"/>
          <w:sz w:val="28"/>
          <w:szCs w:val="28"/>
          <w:lang w:eastAsia="es-ES"/>
        </w:rPr>
        <w:t xml:space="preserve"> y (ii) que esa participación busca generar una identidad común que integre las compañías en términos de dirección, gestión y cultura, y así asegurar las inversiones que tiene Ecopetrol en las sociedades que hacen parte del grupo. Además, (iii) aludió a la</w:t>
      </w:r>
      <w:r w:rsidRPr="00F2273F">
        <w:rPr>
          <w:rFonts w:ascii="Times New Roman" w:hAnsi="Times New Roman" w:cs="Times New Roman"/>
          <w:sz w:val="28"/>
          <w:szCs w:val="28"/>
          <w:lang w:eastAsia="es-ES"/>
        </w:rPr>
        <w:t xml:space="preserve"> estrategia 2040 del Grupo Empresarial Ecopetrol, cuyo primer pilar, denominado </w:t>
      </w:r>
      <w:r w:rsidRPr="00F2273F">
        <w:rPr>
          <w:rFonts w:ascii="Times New Roman" w:hAnsi="Times New Roman" w:cs="Times New Roman"/>
          <w:i/>
          <w:iCs/>
          <w:sz w:val="28"/>
          <w:szCs w:val="28"/>
          <w:lang w:eastAsia="es-ES"/>
        </w:rPr>
        <w:t xml:space="preserve">Crecer con la transición energética, </w:t>
      </w:r>
      <w:r w:rsidRPr="00F2273F">
        <w:rPr>
          <w:rFonts w:ascii="Times New Roman" w:hAnsi="Times New Roman" w:cs="Times New Roman"/>
          <w:sz w:val="28"/>
          <w:szCs w:val="28"/>
          <w:lang w:eastAsia="es-ES"/>
        </w:rPr>
        <w:t>se apalanca en la adquisición accionaria mayoritaria de ISA</w:t>
      </w:r>
      <w:r w:rsidRPr="00F2273F">
        <w:rPr>
          <w:rStyle w:val="Refdenotaalpie"/>
          <w:rFonts w:ascii="Times New Roman" w:hAnsi="Times New Roman" w:cs="Times New Roman"/>
          <w:sz w:val="28"/>
          <w:szCs w:val="28"/>
          <w:lang w:eastAsia="es-ES"/>
        </w:rPr>
        <w:footnoteReference w:id="104"/>
      </w:r>
      <w:r w:rsidRPr="00F2273F">
        <w:rPr>
          <w:rFonts w:ascii="Times New Roman" w:hAnsi="Times New Roman" w:cs="Times New Roman"/>
          <w:sz w:val="28"/>
          <w:szCs w:val="28"/>
          <w:lang w:eastAsia="es-ES"/>
        </w:rPr>
        <w:t>. Esa estrategia está orientada hacia la reducción de la huella de carbono y co</w:t>
      </w:r>
      <w:r w:rsidRPr="00F2273F">
        <w:rPr>
          <w:rFonts w:ascii="Times New Roman" w:hAnsi="Times New Roman" w:cs="Times New Roman"/>
          <w:sz w:val="28"/>
          <w:szCs w:val="28"/>
          <w:lang w:eastAsia="es-ES"/>
        </w:rPr>
        <w:t>nstituirse en una empresa y grupo de cero emisiones netas de carbono a</w:t>
      </w:r>
      <w:r w:rsidRPr="00F2273F">
        <w:rPr>
          <w:rFonts w:ascii="Times New Roman" w:hAnsi="Times New Roman" w:cs="Times New Roman"/>
          <w:sz w:val="28"/>
          <w:szCs w:val="28"/>
          <w:lang w:eastAsia="es-ES"/>
        </w:rPr>
        <w:t>l</w:t>
      </w:r>
      <w:r w:rsidRPr="00F2273F">
        <w:rPr>
          <w:rFonts w:ascii="Times New Roman" w:hAnsi="Times New Roman" w:cs="Times New Roman"/>
          <w:sz w:val="28"/>
          <w:szCs w:val="28"/>
          <w:lang w:eastAsia="es-ES"/>
        </w:rPr>
        <w:t xml:space="preserve"> 2050, así como en contribuir a mitigar los efectos del cambio climático</w:t>
      </w:r>
      <w:r w:rsidRPr="00F2273F">
        <w:rPr>
          <w:rStyle w:val="Refdenotaalpie"/>
          <w:rFonts w:ascii="Times New Roman" w:hAnsi="Times New Roman" w:cs="Times New Roman"/>
          <w:sz w:val="28"/>
          <w:szCs w:val="28"/>
          <w:lang w:eastAsia="es-ES"/>
        </w:rPr>
        <w:footnoteReference w:id="105"/>
      </w:r>
      <w:r w:rsidRPr="00F2273F">
        <w:rPr>
          <w:rFonts w:ascii="Times New Roman" w:hAnsi="Times New Roman" w:cs="Times New Roman"/>
          <w:sz w:val="28"/>
          <w:szCs w:val="28"/>
          <w:lang w:eastAsia="es-ES"/>
        </w:rPr>
        <w:t>. A partir de lo anterior</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Ecopetrol se considera un inversionista estratégico </w:t>
      </w:r>
      <w:r w:rsidRPr="00F2273F">
        <w:rPr>
          <w:rFonts w:ascii="Times New Roman" w:hAnsi="Times New Roman" w:cs="Times New Roman"/>
          <w:sz w:val="28"/>
          <w:szCs w:val="28"/>
          <w:lang w:eastAsia="es-ES"/>
        </w:rPr>
        <w:t xml:space="preserve">de ISA, </w:t>
      </w:r>
      <w:r w:rsidRPr="00F2273F">
        <w:rPr>
          <w:rFonts w:ascii="Times New Roman" w:hAnsi="Times New Roman" w:cs="Times New Roman"/>
          <w:sz w:val="28"/>
          <w:szCs w:val="28"/>
          <w:lang w:eastAsia="es-ES"/>
        </w:rPr>
        <w:t xml:space="preserve">que imparte lineamientos </w:t>
      </w:r>
      <w:r w:rsidRPr="00F2273F">
        <w:rPr>
          <w:rFonts w:ascii="Times New Roman" w:hAnsi="Times New Roman" w:cs="Times New Roman"/>
          <w:sz w:val="28"/>
          <w:szCs w:val="28"/>
          <w:lang w:eastAsia="es-ES"/>
        </w:rPr>
        <w:t>que respetan los derechos de los accionistas minoritarios, los procedimientos internos, el gobierno corporativo y las competencias estatutarias de los órganos internos, de modo que ISA conserva su independencia en la toma de decisiones</w:t>
      </w:r>
      <w:r w:rsidRPr="00F2273F">
        <w:rPr>
          <w:rStyle w:val="Refdenotaalpie"/>
          <w:rFonts w:ascii="Times New Roman" w:hAnsi="Times New Roman" w:cs="Times New Roman"/>
          <w:sz w:val="28"/>
          <w:szCs w:val="28"/>
          <w:lang w:eastAsia="es-ES"/>
        </w:rPr>
        <w:footnoteReference w:id="106"/>
      </w:r>
      <w:r w:rsidRPr="00F2273F">
        <w:rPr>
          <w:rFonts w:ascii="Times New Roman" w:hAnsi="Times New Roman" w:cs="Times New Roman"/>
          <w:sz w:val="28"/>
          <w:szCs w:val="28"/>
          <w:lang w:eastAsia="es-ES"/>
        </w:rPr>
        <w:t>.</w:t>
      </w:r>
    </w:p>
    <w:p w:rsidR="0033146C" w:rsidRPr="00F2273F" w:rsidRDefault="00F2273F" w:rsidP="0033146C">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FE6452" w:rsidRPr="00F2273F" w:rsidRDefault="00F2273F" w:rsidP="00FE6452">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sentido simila</w:t>
      </w:r>
      <w:r w:rsidRPr="00F2273F">
        <w:rPr>
          <w:rFonts w:ascii="Times New Roman" w:hAnsi="Times New Roman" w:cs="Times New Roman"/>
          <w:sz w:val="28"/>
          <w:szCs w:val="28"/>
          <w:lang w:eastAsia="es-ES"/>
        </w:rPr>
        <w:t>r ISA expuso que es una persona jurídica distinta de Ecopetrol</w:t>
      </w:r>
      <w:r w:rsidRPr="00F2273F">
        <w:rPr>
          <w:rStyle w:val="Refdenotaalpie"/>
          <w:rFonts w:ascii="Times New Roman" w:hAnsi="Times New Roman" w:cs="Times New Roman"/>
          <w:sz w:val="28"/>
          <w:szCs w:val="28"/>
          <w:lang w:eastAsia="es-ES"/>
        </w:rPr>
        <w:footnoteReference w:id="107"/>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Indicó que si bien Ecopetrol ostenta una participación mayoritaria, lo cierto es que ISA tiene intereses independientes a los de aquella empresa, y que cuenta con un sistema de gobierno corpo</w:t>
      </w:r>
      <w:r w:rsidRPr="00F2273F">
        <w:rPr>
          <w:rFonts w:ascii="Times New Roman" w:hAnsi="Times New Roman" w:cs="Times New Roman"/>
          <w:sz w:val="28"/>
          <w:szCs w:val="28"/>
          <w:lang w:eastAsia="es-ES"/>
        </w:rPr>
        <w:t>rativo que ampara tanto a los accionistas minoritarios como al mayoritario. En su concepto, esto se explica por el principio de la personificación jurídica independiente y por el principio de separación patrimonial, según los cuales las sociedades conforma</w:t>
      </w:r>
      <w:r w:rsidRPr="00F2273F">
        <w:rPr>
          <w:rFonts w:ascii="Times New Roman" w:hAnsi="Times New Roman" w:cs="Times New Roman"/>
          <w:sz w:val="28"/>
          <w:szCs w:val="28"/>
          <w:lang w:eastAsia="es-ES"/>
        </w:rPr>
        <w:t>n un ente jurídico distinto a sus asociados y las personas jurídicas deben tratarse con independencia de sus accionistas</w:t>
      </w:r>
      <w:r w:rsidRPr="00F2273F">
        <w:rPr>
          <w:rStyle w:val="Refdenotaalpie"/>
          <w:rFonts w:ascii="Times New Roman" w:hAnsi="Times New Roman" w:cs="Times New Roman"/>
          <w:sz w:val="28"/>
          <w:szCs w:val="28"/>
          <w:lang w:eastAsia="es-ES"/>
        </w:rPr>
        <w:footnoteReference w:id="108"/>
      </w:r>
      <w:r w:rsidRPr="00F2273F">
        <w:rPr>
          <w:rFonts w:ascii="Times New Roman" w:hAnsi="Times New Roman" w:cs="Times New Roman"/>
          <w:sz w:val="28"/>
          <w:szCs w:val="28"/>
          <w:lang w:eastAsia="es-ES"/>
        </w:rPr>
        <w:t>.</w:t>
      </w:r>
    </w:p>
    <w:p w:rsidR="00FE6452" w:rsidRPr="00F2273F" w:rsidRDefault="00F2273F" w:rsidP="00FE6452">
      <w:pPr>
        <w:pStyle w:val="Prrafodelista"/>
        <w:rPr>
          <w:rFonts w:ascii="Times New Roman" w:hAnsi="Times New Roman" w:cs="Times New Roman"/>
          <w:sz w:val="28"/>
          <w:szCs w:val="28"/>
          <w:lang w:eastAsia="es-ES"/>
        </w:rPr>
      </w:pPr>
    </w:p>
    <w:p w:rsidR="0033146C" w:rsidRPr="00F2273F" w:rsidRDefault="00F2273F" w:rsidP="00FE6452">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este contexto, y según lo destacado por uno de los intervinientes, se resalta que actualmente la empresa ISA, a través de Interco</w:t>
      </w:r>
      <w:r w:rsidRPr="00F2273F">
        <w:rPr>
          <w:rFonts w:ascii="Times New Roman" w:hAnsi="Times New Roman" w:cs="Times New Roman"/>
          <w:sz w:val="28"/>
          <w:szCs w:val="28"/>
          <w:lang w:eastAsia="es-ES"/>
        </w:rPr>
        <w:t xml:space="preserve">lombia, ISA y Transtelca, </w:t>
      </w:r>
      <w:r w:rsidRPr="00F2273F">
        <w:rPr>
          <w:rFonts w:ascii="Times New Roman" w:hAnsi="Times New Roman" w:cs="Times New Roman"/>
          <w:sz w:val="28"/>
          <w:szCs w:val="28"/>
          <w:lang w:eastAsia="es-ES"/>
        </w:rPr>
        <w:t xml:space="preserve">que hace parte del grupo empresarial ISA, </w:t>
      </w:r>
      <w:r w:rsidRPr="00F2273F">
        <w:rPr>
          <w:rFonts w:ascii="Times New Roman" w:hAnsi="Times New Roman" w:cs="Times New Roman"/>
          <w:sz w:val="28"/>
          <w:szCs w:val="28"/>
          <w:lang w:eastAsia="es-ES"/>
        </w:rPr>
        <w:t>participa aproximadamente en un 68 % del Sistema de Transmisión Nacional en Colombia:</w:t>
      </w:r>
    </w:p>
    <w:p w:rsidR="00D90D66" w:rsidRPr="00F2273F" w:rsidRDefault="00F2273F" w:rsidP="00D90D66">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33146C" w:rsidRPr="00F2273F" w:rsidRDefault="00F2273F" w:rsidP="0033146C">
      <w:pPr>
        <w:jc w:val="center"/>
        <w:rPr>
          <w:rFonts w:ascii="Times New Roman" w:hAnsi="Times New Roman" w:cs="Times New Roman"/>
          <w:i/>
          <w:iCs/>
          <w:sz w:val="28"/>
          <w:lang w:eastAsia="es-ES"/>
        </w:rPr>
      </w:pPr>
      <w:r w:rsidRPr="00F2273F">
        <w:rPr>
          <w:rFonts w:ascii="Times New Roman" w:hAnsi="Times New Roman" w:cs="Times New Roman"/>
          <w:b/>
          <w:bCs/>
          <w:sz w:val="28"/>
          <w:lang w:eastAsia="es-ES"/>
        </w:rPr>
        <w:t xml:space="preserve">Tabla </w:t>
      </w:r>
      <w:r w:rsidRPr="00F2273F">
        <w:rPr>
          <w:rFonts w:ascii="Times New Roman" w:hAnsi="Times New Roman" w:cs="Times New Roman"/>
          <w:b/>
          <w:bCs/>
          <w:sz w:val="28"/>
          <w:lang w:eastAsia="es-ES"/>
        </w:rPr>
        <w:t>8</w:t>
      </w:r>
      <w:r w:rsidRPr="00F2273F">
        <w:rPr>
          <w:rFonts w:ascii="Times New Roman" w:hAnsi="Times New Roman" w:cs="Times New Roman"/>
          <w:b/>
          <w:bCs/>
          <w:sz w:val="28"/>
          <w:lang w:eastAsia="es-ES"/>
        </w:rPr>
        <w:t>.</w:t>
      </w:r>
      <w:r w:rsidRPr="00F2273F">
        <w:rPr>
          <w:rFonts w:ascii="Times New Roman" w:hAnsi="Times New Roman" w:cs="Times New Roman"/>
          <w:i/>
          <w:iCs/>
          <w:sz w:val="28"/>
          <w:lang w:eastAsia="es-ES"/>
        </w:rPr>
        <w:t xml:space="preserve"> Participación en el Sistema de Transmisión Nacional</w:t>
      </w:r>
    </w:p>
    <w:tbl>
      <w:tblPr>
        <w:tblStyle w:val="Tablaconcuadrcula"/>
        <w:tblW w:w="0" w:type="auto"/>
        <w:jc w:val="center"/>
        <w:tblLook w:val="04A0" w:firstRow="1" w:lastRow="0" w:firstColumn="1" w:lastColumn="0" w:noHBand="0" w:noVBand="1"/>
      </w:tblPr>
      <w:tblGrid>
        <w:gridCol w:w="2718"/>
        <w:gridCol w:w="2244"/>
      </w:tblGrid>
      <w:tr w:rsidR="00974547" w:rsidRPr="00F2273F" w:rsidTr="00822D8C">
        <w:trPr>
          <w:tblHeader/>
          <w:jc w:val="center"/>
        </w:trPr>
        <w:tc>
          <w:tcPr>
            <w:tcW w:w="2718" w:type="dxa"/>
            <w:shd w:val="clear" w:color="auto" w:fill="B4C6E7" w:themeFill="accent1" w:themeFillTint="66"/>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rStyle w:val="Textoennegrita"/>
                <w:sz w:val="28"/>
                <w:szCs w:val="22"/>
              </w:rPr>
              <w:t>Empresa</w:t>
            </w:r>
          </w:p>
        </w:tc>
        <w:tc>
          <w:tcPr>
            <w:tcW w:w="2244" w:type="dxa"/>
            <w:shd w:val="clear" w:color="auto" w:fill="B4C6E7" w:themeFill="accent1" w:themeFillTint="66"/>
          </w:tcPr>
          <w:p w:rsidR="0033146C" w:rsidRPr="00F2273F" w:rsidRDefault="00F2273F" w:rsidP="00822D8C">
            <w:pPr>
              <w:pStyle w:val="Prrafodelista"/>
              <w:ind w:left="0" w:right="48"/>
              <w:jc w:val="center"/>
              <w:textAlignment w:val="baseline"/>
              <w:rPr>
                <w:sz w:val="28"/>
                <w:szCs w:val="22"/>
              </w:rPr>
            </w:pPr>
            <w:r w:rsidRPr="00F2273F">
              <w:rPr>
                <w:rStyle w:val="Textoennegrita"/>
                <w:sz w:val="28"/>
                <w:szCs w:val="22"/>
              </w:rPr>
              <w:t>​</w:t>
            </w:r>
            <w:r w:rsidRPr="00F2273F">
              <w:rPr>
                <w:rStyle w:val="Textoennegrita"/>
                <w:sz w:val="28"/>
                <w:szCs w:val="22"/>
              </w:rPr>
              <w:t>Participación %</w:t>
            </w:r>
          </w:p>
        </w:tc>
      </w:tr>
      <w:tr w:rsidR="00974547" w:rsidRPr="00F2273F" w:rsidTr="00822D8C">
        <w:trPr>
          <w:jc w:val="center"/>
        </w:trPr>
        <w:tc>
          <w:tcPr>
            <w:tcW w:w="2718"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INTERCOLOMBIA</w:t>
            </w:r>
          </w:p>
        </w:tc>
        <w:tc>
          <w:tcPr>
            <w:tcW w:w="2244"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50.39%</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GEB SA ESP</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19.91%</w:t>
            </w:r>
          </w:p>
        </w:tc>
      </w:tr>
      <w:tr w:rsidR="00974547" w:rsidRPr="00F2273F" w:rsidTr="00822D8C">
        <w:trPr>
          <w:jc w:val="center"/>
        </w:trPr>
        <w:tc>
          <w:tcPr>
            <w:tcW w:w="2718"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ISA</w:t>
            </w:r>
          </w:p>
        </w:tc>
        <w:tc>
          <w:tcPr>
            <w:tcW w:w="2244"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11.92%</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EEPPM</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7.31%</w:t>
            </w:r>
          </w:p>
        </w:tc>
      </w:tr>
      <w:tr w:rsidR="00974547" w:rsidRPr="00F2273F" w:rsidTr="00822D8C">
        <w:trPr>
          <w:jc w:val="center"/>
        </w:trPr>
        <w:tc>
          <w:tcPr>
            <w:tcW w:w="2718"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TRANSELCA</w:t>
            </w:r>
          </w:p>
        </w:tc>
        <w:tc>
          <w:tcPr>
            <w:tcW w:w="2244" w:type="dxa"/>
            <w:shd w:val="clear" w:color="auto" w:fill="D0CECE" w:themeFill="background2" w:themeFillShade="E6"/>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6.64%</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CELSIA COLOMBIA</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1.73%</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ESSA (SANTANDER)</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1.03%</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DELSUR S.A.S. E.S.P.</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0.54%</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DISTASA</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0.22%</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CENS (N.SANTANDER)</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0.14%</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EBSA (BOYACA)</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0.13%</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CHEC E.S.P.</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sz w:val="28"/>
                <w:szCs w:val="22"/>
              </w:rPr>
              <w:t>0.04%</w:t>
            </w:r>
          </w:p>
        </w:tc>
      </w:tr>
      <w:tr w:rsidR="00974547" w:rsidRPr="00F2273F" w:rsidTr="00822D8C">
        <w:trPr>
          <w:jc w:val="center"/>
        </w:trPr>
        <w:tc>
          <w:tcPr>
            <w:tcW w:w="2718" w:type="dxa"/>
          </w:tcPr>
          <w:p w:rsidR="0033146C" w:rsidRPr="00F2273F" w:rsidRDefault="00F2273F" w:rsidP="00822D8C">
            <w:pPr>
              <w:pStyle w:val="Prrafodelista"/>
              <w:ind w:left="0" w:right="48"/>
              <w:jc w:val="center"/>
              <w:textAlignment w:val="baseline"/>
              <w:rPr>
                <w:sz w:val="28"/>
                <w:szCs w:val="22"/>
              </w:rPr>
            </w:pPr>
            <w:r w:rsidRPr="00F2273F">
              <w:rPr>
                <w:sz w:val="28"/>
                <w:szCs w:val="22"/>
              </w:rPr>
              <w:t>​</w:t>
            </w:r>
            <w:r w:rsidRPr="00F2273F">
              <w:rPr>
                <w:rStyle w:val="Textoennegrita"/>
                <w:sz w:val="28"/>
                <w:szCs w:val="22"/>
              </w:rPr>
              <w:t>Total</w:t>
            </w:r>
          </w:p>
        </w:tc>
        <w:tc>
          <w:tcPr>
            <w:tcW w:w="2244" w:type="dxa"/>
          </w:tcPr>
          <w:p w:rsidR="0033146C" w:rsidRPr="00F2273F" w:rsidRDefault="00F2273F" w:rsidP="00822D8C">
            <w:pPr>
              <w:pStyle w:val="Prrafodelista"/>
              <w:ind w:left="0" w:right="48"/>
              <w:jc w:val="center"/>
              <w:textAlignment w:val="baseline"/>
              <w:rPr>
                <w:sz w:val="28"/>
                <w:szCs w:val="22"/>
              </w:rPr>
            </w:pPr>
            <w:r w:rsidRPr="00F2273F">
              <w:rPr>
                <w:rStyle w:val="Textoennegrita"/>
                <w:sz w:val="28"/>
                <w:szCs w:val="22"/>
              </w:rPr>
              <w:t>​</w:t>
            </w:r>
            <w:r w:rsidRPr="00F2273F">
              <w:rPr>
                <w:rStyle w:val="Textoennegrita"/>
                <w:sz w:val="28"/>
                <w:szCs w:val="22"/>
              </w:rPr>
              <w:t>100%</w:t>
            </w:r>
          </w:p>
        </w:tc>
      </w:tr>
    </w:tbl>
    <w:p w:rsidR="00CF78E1" w:rsidRPr="00F2273F" w:rsidRDefault="00F2273F" w:rsidP="00CF78E1">
      <w:pPr>
        <w:pStyle w:val="Prrafodelista"/>
        <w:shd w:val="clear" w:color="auto" w:fill="FFFFFF"/>
        <w:spacing w:after="0" w:line="240" w:lineRule="auto"/>
        <w:ind w:left="0" w:right="48"/>
        <w:jc w:val="center"/>
        <w:textAlignment w:val="baseline"/>
        <w:rPr>
          <w:rFonts w:ascii="Times New Roman" w:hAnsi="Times New Roman" w:cs="Times New Roman"/>
          <w:sz w:val="28"/>
          <w:lang w:eastAsia="es-ES"/>
        </w:rPr>
      </w:pPr>
      <w:r w:rsidRPr="00F2273F">
        <w:rPr>
          <w:rFonts w:ascii="Times New Roman" w:hAnsi="Times New Roman" w:cs="Times New Roman"/>
          <w:sz w:val="28"/>
          <w:lang w:eastAsia="es-ES"/>
        </w:rPr>
        <w:t>Tomada de ISA/Gestión Sostenible</w:t>
      </w:r>
      <w:r w:rsidRPr="00F2273F">
        <w:rPr>
          <w:rStyle w:val="Refdenotaalpie"/>
          <w:rFonts w:ascii="Times New Roman" w:hAnsi="Times New Roman" w:cs="Times New Roman"/>
          <w:sz w:val="28"/>
          <w:lang w:eastAsia="es-ES"/>
        </w:rPr>
        <w:footnoteReference w:id="109"/>
      </w:r>
    </w:p>
    <w:p w:rsidR="00CF78E1" w:rsidRPr="00F2273F" w:rsidRDefault="00F2273F" w:rsidP="00CF78E1">
      <w:pPr>
        <w:pStyle w:val="Prrafodelista"/>
        <w:shd w:val="clear" w:color="auto" w:fill="FFFFFF"/>
        <w:spacing w:after="0" w:line="240" w:lineRule="auto"/>
        <w:ind w:left="0" w:right="48"/>
        <w:jc w:val="center"/>
        <w:textAlignment w:val="baseline"/>
        <w:rPr>
          <w:rFonts w:ascii="Times New Roman" w:hAnsi="Times New Roman" w:cs="Times New Roman"/>
          <w:sz w:val="28"/>
          <w:szCs w:val="28"/>
          <w:lang w:eastAsia="es-ES"/>
        </w:rPr>
      </w:pPr>
    </w:p>
    <w:p w:rsidR="0033146C" w:rsidRPr="00F2273F" w:rsidRDefault="00F2273F" w:rsidP="00573382">
      <w:pPr>
        <w:pStyle w:val="Prrafodelista"/>
        <w:keepNext/>
        <w:numPr>
          <w:ilvl w:val="0"/>
          <w:numId w:val="3"/>
        </w:numPr>
        <w:shd w:val="clear" w:color="auto" w:fill="FFFFFF"/>
        <w:spacing w:after="0" w:line="240" w:lineRule="auto"/>
        <w:ind w:left="0" w:right="48" w:firstLine="0"/>
        <w:mirrorIndents/>
        <w:jc w:val="both"/>
        <w:textAlignment w:val="baseline"/>
        <w:rPr>
          <w:rFonts w:ascii="Times New Roman" w:eastAsia="Arial Unicode MS" w:hAnsi="Times New Roman" w:cs="Times New Roman"/>
          <w:sz w:val="28"/>
          <w:szCs w:val="28"/>
          <w:u w:color="000000"/>
          <w:bdr w:val="nil"/>
          <w:lang w:val="es-MX"/>
        </w:rPr>
      </w:pPr>
      <w:r w:rsidRPr="00F2273F">
        <w:rPr>
          <w:rFonts w:ascii="Times New Roman" w:hAnsi="Times New Roman" w:cs="Times New Roman"/>
          <w:sz w:val="28"/>
          <w:szCs w:val="28"/>
          <w:lang w:eastAsia="es-ES"/>
        </w:rPr>
        <w:t xml:space="preserve">Como conclusión, la Sala observa que la derogatoria del parágrafo tercero del artículo 167 de la Ley 142 de 1994 y del parágrafo tercero del artículo 32 de la Ley 143 de 1994 significa entonces </w:t>
      </w:r>
      <w:r w:rsidRPr="00F2273F">
        <w:rPr>
          <w:rFonts w:ascii="Times New Roman" w:hAnsi="Times New Roman" w:cs="Times New Roman"/>
          <w:sz w:val="28"/>
          <w:szCs w:val="28"/>
          <w:lang w:eastAsia="es-ES"/>
        </w:rPr>
        <w:t>la pretensión</w:t>
      </w:r>
      <w:r w:rsidRPr="00F2273F">
        <w:rPr>
          <w:rFonts w:ascii="Times New Roman" w:hAnsi="Times New Roman" w:cs="Times New Roman"/>
          <w:sz w:val="28"/>
          <w:szCs w:val="28"/>
          <w:lang w:eastAsia="es-ES"/>
        </w:rPr>
        <w:t xml:space="preserve"> de </w:t>
      </w:r>
      <w:r w:rsidRPr="00F2273F">
        <w:rPr>
          <w:rFonts w:ascii="Times New Roman" w:hAnsi="Times New Roman" w:cs="Times New Roman"/>
          <w:sz w:val="28"/>
          <w:szCs w:val="28"/>
          <w:lang w:eastAsia="es-ES"/>
        </w:rPr>
        <w:t xml:space="preserve">levantar </w:t>
      </w:r>
      <w:r w:rsidRPr="00F2273F">
        <w:rPr>
          <w:rFonts w:ascii="Times New Roman" w:hAnsi="Times New Roman" w:cs="Times New Roman"/>
          <w:sz w:val="28"/>
          <w:szCs w:val="28"/>
          <w:lang w:eastAsia="es-ES"/>
        </w:rPr>
        <w:t xml:space="preserve">una prohibición legal expresa en torno a la posibilidad de integración vertical de las actividades de generación y transmisión para que la empresa ISA pueda participar en el mercado de la generación de energía. </w:t>
      </w:r>
    </w:p>
    <w:p w:rsidR="003D5D0B" w:rsidRPr="00F2273F" w:rsidRDefault="00F2273F" w:rsidP="003D5D0B">
      <w:pPr>
        <w:pStyle w:val="Prrafodelista"/>
        <w:keepNext/>
        <w:shd w:val="clear" w:color="auto" w:fill="FFFFFF"/>
        <w:spacing w:after="0" w:line="240" w:lineRule="auto"/>
        <w:ind w:left="0" w:right="48"/>
        <w:mirrorIndents/>
        <w:jc w:val="both"/>
        <w:textAlignment w:val="baseline"/>
        <w:rPr>
          <w:rFonts w:ascii="Times New Roman" w:eastAsia="Arial Unicode MS" w:hAnsi="Times New Roman" w:cs="Times New Roman"/>
          <w:sz w:val="28"/>
          <w:szCs w:val="28"/>
          <w:u w:color="000000"/>
          <w:bdr w:val="nil"/>
          <w:lang w:val="es-MX"/>
        </w:rPr>
      </w:pPr>
    </w:p>
    <w:p w:rsidR="000720DC" w:rsidRPr="00F2273F" w:rsidRDefault="00F2273F" w:rsidP="00464B12">
      <w:pPr>
        <w:pStyle w:val="Prrafodelista"/>
        <w:numPr>
          <w:ilvl w:val="1"/>
          <w:numId w:val="11"/>
        </w:numPr>
        <w:shd w:val="clear" w:color="auto" w:fill="FFFFFF"/>
        <w:spacing w:line="240" w:lineRule="auto"/>
        <w:ind w:left="0" w:right="48" w:firstLine="0"/>
        <w:jc w:val="both"/>
        <w:textAlignment w:val="baseline"/>
        <w:rPr>
          <w:rFonts w:ascii="Times New Roman" w:eastAsia="Arial Unicode MS" w:hAnsi="Times New Roman" w:cs="Times New Roman"/>
          <w:b/>
          <w:bCs/>
          <w:sz w:val="28"/>
          <w:szCs w:val="28"/>
          <w:u w:color="000000"/>
          <w:bdr w:val="nil"/>
          <w:lang w:val="es-MX"/>
        </w:rPr>
      </w:pPr>
      <w:r w:rsidRPr="00F2273F">
        <w:rPr>
          <w:rFonts w:ascii="Times New Roman" w:eastAsia="Arial Unicode MS" w:hAnsi="Times New Roman" w:cs="Times New Roman"/>
          <w:b/>
          <w:bCs/>
          <w:sz w:val="28"/>
          <w:szCs w:val="28"/>
          <w:u w:color="000000"/>
          <w:bdr w:val="nil"/>
          <w:lang w:val="es-MX"/>
        </w:rPr>
        <w:t xml:space="preserve">Primer cargo: </w:t>
      </w:r>
      <w:r w:rsidRPr="00F2273F">
        <w:rPr>
          <w:rFonts w:ascii="Times New Roman" w:hAnsi="Times New Roman" w:cs="Times New Roman"/>
          <w:b/>
          <w:bCs/>
          <w:sz w:val="28"/>
          <w:szCs w:val="28"/>
          <w:lang w:eastAsia="es-ES"/>
        </w:rPr>
        <w:t>la</w:t>
      </w:r>
      <w:r w:rsidRPr="00F2273F">
        <w:rPr>
          <w:rFonts w:ascii="Times New Roman" w:hAnsi="Times New Roman" w:cs="Times New Roman"/>
          <w:b/>
          <w:bCs/>
          <w:sz w:val="28"/>
          <w:szCs w:val="28"/>
          <w:lang w:eastAsia="es-ES"/>
        </w:rPr>
        <w:t>s</w:t>
      </w:r>
      <w:r w:rsidRPr="00F2273F">
        <w:rPr>
          <w:rFonts w:ascii="Times New Roman" w:hAnsi="Times New Roman" w:cs="Times New Roman"/>
          <w:b/>
          <w:bCs/>
          <w:sz w:val="28"/>
          <w:szCs w:val="28"/>
          <w:lang w:eastAsia="es-ES"/>
        </w:rPr>
        <w:t xml:space="preserve"> derogatoria</w:t>
      </w:r>
      <w:r w:rsidRPr="00F2273F">
        <w:rPr>
          <w:rFonts w:ascii="Times New Roman" w:hAnsi="Times New Roman" w:cs="Times New Roman"/>
          <w:b/>
          <w:bCs/>
          <w:sz w:val="28"/>
          <w:szCs w:val="28"/>
          <w:lang w:eastAsia="es-ES"/>
        </w:rPr>
        <w:t>s</w:t>
      </w:r>
      <w:r w:rsidRPr="00F2273F">
        <w:rPr>
          <w:rFonts w:ascii="Times New Roman" w:hAnsi="Times New Roman" w:cs="Times New Roman"/>
          <w:b/>
          <w:bCs/>
          <w:sz w:val="28"/>
          <w:szCs w:val="28"/>
          <w:lang w:eastAsia="es-ES"/>
        </w:rPr>
        <w:t xml:space="preserve"> del </w:t>
      </w:r>
      <w:r w:rsidRPr="00F2273F">
        <w:rPr>
          <w:rFonts w:ascii="Times New Roman" w:hAnsi="Times New Roman" w:cs="Times New Roman"/>
          <w:b/>
          <w:bCs/>
          <w:iCs/>
          <w:sz w:val="28"/>
          <w:szCs w:val="28"/>
        </w:rPr>
        <w:t>parágrafo 3 del artículo 167 de la Ley 142 de 1994 y del parágrafo 3 del artículo 32 de la Ley 1</w:t>
      </w:r>
      <w:r w:rsidRPr="00F2273F">
        <w:rPr>
          <w:rFonts w:ascii="Times New Roman" w:hAnsi="Times New Roman" w:cs="Times New Roman"/>
          <w:b/>
          <w:bCs/>
          <w:iCs/>
          <w:sz w:val="28"/>
          <w:szCs w:val="28"/>
        </w:rPr>
        <w:t>43</w:t>
      </w:r>
      <w:r w:rsidRPr="00F2273F">
        <w:rPr>
          <w:rFonts w:ascii="Times New Roman" w:eastAsia="Arial Unicode MS" w:hAnsi="Times New Roman" w:cs="Times New Roman"/>
          <w:b/>
          <w:bCs/>
          <w:sz w:val="28"/>
          <w:szCs w:val="28"/>
          <w:u w:color="000000"/>
          <w:bdr w:val="nil"/>
          <w:lang w:val="es-MX"/>
        </w:rPr>
        <w:t xml:space="preserve"> </w:t>
      </w:r>
      <w:r w:rsidRPr="00F2273F">
        <w:rPr>
          <w:rFonts w:ascii="Times New Roman" w:hAnsi="Times New Roman" w:cs="Times New Roman"/>
          <w:b/>
          <w:bCs/>
          <w:iCs/>
          <w:sz w:val="28"/>
          <w:szCs w:val="28"/>
        </w:rPr>
        <w:t>de 1994, ordenada</w:t>
      </w:r>
      <w:r w:rsidRPr="00F2273F">
        <w:rPr>
          <w:rFonts w:ascii="Times New Roman" w:hAnsi="Times New Roman" w:cs="Times New Roman"/>
          <w:b/>
          <w:bCs/>
          <w:iCs/>
          <w:sz w:val="28"/>
          <w:szCs w:val="28"/>
        </w:rPr>
        <w:t>s</w:t>
      </w:r>
      <w:r w:rsidRPr="00F2273F">
        <w:rPr>
          <w:rFonts w:ascii="Times New Roman" w:hAnsi="Times New Roman" w:cs="Times New Roman"/>
          <w:b/>
          <w:bCs/>
          <w:iCs/>
          <w:sz w:val="28"/>
          <w:szCs w:val="28"/>
        </w:rPr>
        <w:t xml:space="preserve"> </w:t>
      </w:r>
      <w:r w:rsidRPr="00F2273F">
        <w:rPr>
          <w:rFonts w:ascii="Times New Roman" w:hAnsi="Times New Roman" w:cs="Times New Roman"/>
          <w:b/>
          <w:bCs/>
          <w:iCs/>
          <w:sz w:val="28"/>
          <w:szCs w:val="28"/>
        </w:rPr>
        <w:t xml:space="preserve">por </w:t>
      </w:r>
      <w:r w:rsidRPr="00F2273F">
        <w:rPr>
          <w:rFonts w:ascii="Times New Roman" w:hAnsi="Times New Roman" w:cs="Times New Roman"/>
          <w:b/>
          <w:bCs/>
          <w:iCs/>
          <w:sz w:val="28"/>
          <w:szCs w:val="28"/>
        </w:rPr>
        <w:t>el artículo 372 de la Ley 2294, desconoce</w:t>
      </w:r>
      <w:r w:rsidRPr="00F2273F">
        <w:rPr>
          <w:rFonts w:ascii="Times New Roman" w:hAnsi="Times New Roman" w:cs="Times New Roman"/>
          <w:b/>
          <w:bCs/>
          <w:iCs/>
          <w:sz w:val="28"/>
          <w:szCs w:val="28"/>
        </w:rPr>
        <w:t>n</w:t>
      </w:r>
      <w:r w:rsidRPr="00F2273F">
        <w:rPr>
          <w:rFonts w:ascii="Times New Roman" w:hAnsi="Times New Roman" w:cs="Times New Roman"/>
          <w:b/>
          <w:bCs/>
          <w:iCs/>
          <w:sz w:val="28"/>
          <w:szCs w:val="28"/>
        </w:rPr>
        <w:t xml:space="preserve"> </w:t>
      </w:r>
      <w:r w:rsidRPr="00F2273F">
        <w:rPr>
          <w:rFonts w:ascii="Times New Roman" w:hAnsi="Times New Roman" w:cs="Times New Roman"/>
          <w:b/>
          <w:bCs/>
          <w:iCs/>
          <w:sz w:val="28"/>
          <w:szCs w:val="28"/>
        </w:rPr>
        <w:t>el principio de consecutividad</w:t>
      </w:r>
    </w:p>
    <w:p w:rsidR="00773125" w:rsidRPr="00F2273F" w:rsidRDefault="00F2273F" w:rsidP="00773125">
      <w:pPr>
        <w:pStyle w:val="Sinespaciado"/>
        <w:numPr>
          <w:ilvl w:val="0"/>
          <w:numId w:val="3"/>
        </w:numPr>
        <w:ind w:left="0" w:firstLine="0"/>
        <w:jc w:val="both"/>
        <w:rPr>
          <w:rFonts w:ascii="Times New Roman" w:hAnsi="Times New Roman" w:cs="Times New Roman"/>
          <w:iCs/>
          <w:sz w:val="28"/>
          <w:szCs w:val="28"/>
        </w:rPr>
      </w:pPr>
      <w:r w:rsidRPr="00F2273F">
        <w:rPr>
          <w:rFonts w:ascii="Times New Roman" w:hAnsi="Times New Roman" w:cs="Times New Roman"/>
          <w:iCs/>
          <w:sz w:val="28"/>
          <w:szCs w:val="28"/>
        </w:rPr>
        <w:t xml:space="preserve">Para resolver el cargo de consecutividad, (i) se </w:t>
      </w:r>
      <w:r w:rsidRPr="00F2273F">
        <w:rPr>
          <w:rFonts w:ascii="Times New Roman" w:hAnsi="Times New Roman" w:cs="Times New Roman"/>
          <w:iCs/>
          <w:sz w:val="28"/>
          <w:szCs w:val="28"/>
        </w:rPr>
        <w:t>revisará la secuencia del trámite legislativo respecto de los enunciados normativos objeto de la demanda</w:t>
      </w:r>
      <w:r w:rsidRPr="00F2273F">
        <w:rPr>
          <w:rFonts w:ascii="Times New Roman" w:hAnsi="Times New Roman" w:cs="Times New Roman"/>
          <w:iCs/>
          <w:sz w:val="28"/>
          <w:szCs w:val="28"/>
        </w:rPr>
        <w:t>,</w:t>
      </w:r>
      <w:r w:rsidRPr="00F2273F">
        <w:rPr>
          <w:rFonts w:ascii="Times New Roman" w:hAnsi="Times New Roman" w:cs="Times New Roman"/>
          <w:iCs/>
          <w:sz w:val="28"/>
          <w:szCs w:val="28"/>
        </w:rPr>
        <w:t xml:space="preserve"> </w:t>
      </w:r>
      <w:r w:rsidRPr="00F2273F">
        <w:rPr>
          <w:rFonts w:ascii="Times New Roman" w:hAnsi="Times New Roman" w:cs="Times New Roman"/>
          <w:sz w:val="28"/>
          <w:szCs w:val="28"/>
          <w:lang w:eastAsia="es-ES"/>
        </w:rPr>
        <w:t xml:space="preserve">con el propósito de </w:t>
      </w:r>
      <w:r w:rsidRPr="00F2273F">
        <w:rPr>
          <w:rFonts w:ascii="Times New Roman" w:hAnsi="Times New Roman" w:cs="Times New Roman"/>
          <w:sz w:val="28"/>
          <w:szCs w:val="28"/>
          <w:lang w:eastAsia="es-ES"/>
        </w:rPr>
        <w:t>constatar si el asunto fue abordado durante el primer debate, si fue introducido en los informes de ponencia para segundo debate y</w:t>
      </w:r>
      <w:r w:rsidRPr="00F2273F">
        <w:rPr>
          <w:rFonts w:ascii="Times New Roman" w:hAnsi="Times New Roman" w:cs="Times New Roman"/>
          <w:sz w:val="28"/>
          <w:szCs w:val="28"/>
          <w:lang w:eastAsia="es-ES"/>
        </w:rPr>
        <w:t xml:space="preserve"> si </w:t>
      </w:r>
      <w:r w:rsidRPr="00F2273F">
        <w:rPr>
          <w:rFonts w:ascii="Times New Roman" w:hAnsi="Times New Roman" w:cs="Times New Roman"/>
          <w:sz w:val="28"/>
          <w:szCs w:val="28"/>
          <w:lang w:eastAsia="es-ES"/>
        </w:rPr>
        <w:t>fue efectivamente debatido</w:t>
      </w:r>
      <w:r w:rsidRPr="00F2273F">
        <w:rPr>
          <w:rFonts w:ascii="Times New Roman" w:hAnsi="Times New Roman" w:cs="Times New Roman"/>
          <w:sz w:val="28"/>
          <w:szCs w:val="28"/>
          <w:lang w:eastAsia="es-ES"/>
        </w:rPr>
        <w:t xml:space="preserve">. </w:t>
      </w:r>
      <w:r w:rsidRPr="00F2273F">
        <w:rPr>
          <w:rFonts w:ascii="Times New Roman" w:hAnsi="Times New Roman" w:cs="Times New Roman"/>
          <w:iCs/>
          <w:sz w:val="28"/>
          <w:szCs w:val="28"/>
        </w:rPr>
        <w:t xml:space="preserve">Además, </w:t>
      </w:r>
      <w:r w:rsidRPr="00F2273F">
        <w:rPr>
          <w:rFonts w:ascii="Times New Roman" w:hAnsi="Times New Roman" w:cs="Times New Roman"/>
          <w:iCs/>
          <w:sz w:val="28"/>
          <w:szCs w:val="28"/>
        </w:rPr>
        <w:t xml:space="preserve">(ii) </w:t>
      </w:r>
      <w:r w:rsidRPr="00F2273F">
        <w:rPr>
          <w:rFonts w:ascii="Times New Roman" w:hAnsi="Times New Roman" w:cs="Times New Roman"/>
          <w:iCs/>
          <w:sz w:val="28"/>
          <w:szCs w:val="28"/>
        </w:rPr>
        <w:t xml:space="preserve">en atención a que los demandantes, el Gobierno y varios de los intervinientes se refirieron a la cercanía entre las disposiciones acusadas </w:t>
      </w:r>
      <w:r w:rsidRPr="00F2273F">
        <w:rPr>
          <w:rFonts w:ascii="Times New Roman" w:hAnsi="Times New Roman" w:cs="Times New Roman"/>
          <w:iCs/>
          <w:sz w:val="28"/>
          <w:szCs w:val="28"/>
        </w:rPr>
        <w:t xml:space="preserve">y el artículo 197/218 del proyecto de ley, se hará mención </w:t>
      </w:r>
      <w:r w:rsidRPr="00F2273F">
        <w:rPr>
          <w:rFonts w:ascii="Times New Roman" w:hAnsi="Times New Roman" w:cs="Times New Roman"/>
          <w:iCs/>
          <w:sz w:val="28"/>
          <w:szCs w:val="28"/>
        </w:rPr>
        <w:t xml:space="preserve">al </w:t>
      </w:r>
      <w:r w:rsidRPr="00F2273F">
        <w:rPr>
          <w:rFonts w:ascii="Times New Roman" w:hAnsi="Times New Roman" w:cs="Times New Roman"/>
          <w:iCs/>
          <w:sz w:val="28"/>
          <w:szCs w:val="28"/>
        </w:rPr>
        <w:t xml:space="preserve">trámite </w:t>
      </w:r>
      <w:r w:rsidRPr="00F2273F">
        <w:rPr>
          <w:rFonts w:ascii="Times New Roman" w:hAnsi="Times New Roman" w:cs="Times New Roman"/>
          <w:iCs/>
          <w:sz w:val="28"/>
          <w:szCs w:val="28"/>
        </w:rPr>
        <w:t>legislativo de este último</w:t>
      </w:r>
      <w:r w:rsidRPr="00F2273F">
        <w:rPr>
          <w:rFonts w:ascii="Times New Roman" w:hAnsi="Times New Roman" w:cs="Times New Roman"/>
          <w:iCs/>
          <w:sz w:val="28"/>
          <w:szCs w:val="28"/>
        </w:rPr>
        <w:t xml:space="preserve"> y a su contenido</w:t>
      </w:r>
      <w:r w:rsidRPr="00F2273F">
        <w:rPr>
          <w:rFonts w:ascii="Times New Roman" w:hAnsi="Times New Roman" w:cs="Times New Roman"/>
          <w:iCs/>
          <w:sz w:val="28"/>
          <w:szCs w:val="28"/>
        </w:rPr>
        <w:t>. Finalmente, (iii) se presentará el análisis del cargo.</w:t>
      </w:r>
    </w:p>
    <w:p w:rsidR="00805979" w:rsidRPr="00F2273F" w:rsidRDefault="00F2273F" w:rsidP="00805979">
      <w:pPr>
        <w:pStyle w:val="Sinespaciado"/>
        <w:jc w:val="both"/>
        <w:rPr>
          <w:rFonts w:ascii="Times New Roman" w:hAnsi="Times New Roman" w:cs="Times New Roman"/>
          <w:iCs/>
          <w:sz w:val="28"/>
          <w:szCs w:val="28"/>
        </w:rPr>
      </w:pPr>
    </w:p>
    <w:p w:rsidR="007D5F77" w:rsidRPr="00F2273F" w:rsidRDefault="00F2273F" w:rsidP="005E329F">
      <w:pPr>
        <w:pStyle w:val="Sinespaciado"/>
        <w:numPr>
          <w:ilvl w:val="0"/>
          <w:numId w:val="3"/>
        </w:numPr>
        <w:ind w:left="0" w:firstLine="0"/>
        <w:jc w:val="both"/>
        <w:rPr>
          <w:rFonts w:ascii="Times New Roman" w:hAnsi="Times New Roman" w:cs="Times New Roman"/>
          <w:iCs/>
          <w:sz w:val="28"/>
          <w:szCs w:val="28"/>
        </w:rPr>
      </w:pPr>
      <w:r w:rsidRPr="00F2273F">
        <w:rPr>
          <w:rFonts w:ascii="Times New Roman" w:hAnsi="Times New Roman" w:cs="Times New Roman"/>
          <w:i/>
          <w:sz w:val="28"/>
          <w:szCs w:val="28"/>
        </w:rPr>
        <w:t xml:space="preserve">Trámite </w:t>
      </w:r>
      <w:r w:rsidRPr="00F2273F">
        <w:rPr>
          <w:rFonts w:ascii="Times New Roman" w:hAnsi="Times New Roman" w:cs="Times New Roman"/>
          <w:i/>
          <w:sz w:val="28"/>
          <w:szCs w:val="28"/>
        </w:rPr>
        <w:t>de las disposiciones</w:t>
      </w:r>
      <w:r w:rsidRPr="00F2273F">
        <w:rPr>
          <w:rFonts w:ascii="Times New Roman" w:hAnsi="Times New Roman" w:cs="Times New Roman"/>
          <w:i/>
          <w:sz w:val="28"/>
          <w:szCs w:val="28"/>
        </w:rPr>
        <w:t xml:space="preserve"> </w:t>
      </w:r>
      <w:r w:rsidRPr="00F2273F">
        <w:rPr>
          <w:rFonts w:ascii="Times New Roman" w:hAnsi="Times New Roman" w:cs="Times New Roman"/>
          <w:i/>
          <w:sz w:val="28"/>
          <w:szCs w:val="28"/>
        </w:rPr>
        <w:t>acusadas</w:t>
      </w:r>
      <w:r w:rsidRPr="00F2273F">
        <w:rPr>
          <w:rFonts w:ascii="Times New Roman" w:hAnsi="Times New Roman" w:cs="Times New Roman"/>
          <w:iCs/>
          <w:sz w:val="28"/>
          <w:szCs w:val="28"/>
        </w:rPr>
        <w:t xml:space="preserve">. </w:t>
      </w:r>
      <w:r w:rsidRPr="00F2273F">
        <w:rPr>
          <w:rFonts w:ascii="Times New Roman" w:hAnsi="Times New Roman" w:cs="Times New Roman"/>
          <w:iCs/>
          <w:sz w:val="28"/>
          <w:szCs w:val="28"/>
        </w:rPr>
        <w:t>Para estudiar este cargo</w:t>
      </w:r>
      <w:r w:rsidRPr="00F2273F">
        <w:rPr>
          <w:rFonts w:ascii="Times New Roman" w:hAnsi="Times New Roman" w:cs="Times New Roman"/>
          <w:iCs/>
          <w:sz w:val="28"/>
          <w:szCs w:val="28"/>
        </w:rPr>
        <w:t xml:space="preserve"> c</w:t>
      </w:r>
      <w:r w:rsidRPr="00F2273F">
        <w:rPr>
          <w:rFonts w:ascii="Times New Roman" w:hAnsi="Times New Roman" w:cs="Times New Roman"/>
          <w:iCs/>
          <w:sz w:val="28"/>
          <w:szCs w:val="28"/>
        </w:rPr>
        <w:t>orresponde</w:t>
      </w:r>
      <w:r w:rsidRPr="00F2273F">
        <w:rPr>
          <w:rFonts w:ascii="Times New Roman" w:hAnsi="Times New Roman" w:cs="Times New Roman"/>
          <w:iCs/>
          <w:sz w:val="28"/>
          <w:szCs w:val="28"/>
        </w:rPr>
        <w:t xml:space="preserve"> </w:t>
      </w:r>
      <w:r w:rsidRPr="00F2273F">
        <w:rPr>
          <w:rFonts w:ascii="Times New Roman" w:hAnsi="Times New Roman" w:cs="Times New Roman"/>
          <w:iCs/>
          <w:sz w:val="28"/>
          <w:szCs w:val="28"/>
        </w:rPr>
        <w:t xml:space="preserve">analizar las pruebas obrantes </w:t>
      </w:r>
      <w:r w:rsidRPr="00F2273F">
        <w:rPr>
          <w:rFonts w:ascii="Times New Roman" w:hAnsi="Times New Roman" w:cs="Times New Roman"/>
          <w:iCs/>
          <w:sz w:val="28"/>
          <w:szCs w:val="28"/>
        </w:rPr>
        <w:t>en el</w:t>
      </w:r>
      <w:r w:rsidRPr="00F2273F">
        <w:rPr>
          <w:rFonts w:ascii="Times New Roman" w:hAnsi="Times New Roman" w:cs="Times New Roman"/>
          <w:iCs/>
          <w:sz w:val="28"/>
          <w:szCs w:val="28"/>
        </w:rPr>
        <w:t xml:space="preserve"> expediente que dan cuenta </w:t>
      </w:r>
      <w:r w:rsidRPr="00F2273F">
        <w:rPr>
          <w:rFonts w:ascii="Times New Roman" w:hAnsi="Times New Roman" w:cs="Times New Roman"/>
          <w:iCs/>
          <w:sz w:val="28"/>
          <w:szCs w:val="28"/>
        </w:rPr>
        <w:t xml:space="preserve">de la secuencia </w:t>
      </w:r>
      <w:r w:rsidRPr="00F2273F">
        <w:rPr>
          <w:rFonts w:ascii="Times New Roman" w:hAnsi="Times New Roman" w:cs="Times New Roman"/>
          <w:iCs/>
          <w:sz w:val="28"/>
          <w:szCs w:val="28"/>
        </w:rPr>
        <w:t>del</w:t>
      </w:r>
      <w:r w:rsidRPr="00F2273F">
        <w:rPr>
          <w:rFonts w:ascii="Times New Roman" w:hAnsi="Times New Roman" w:cs="Times New Roman"/>
          <w:iCs/>
          <w:sz w:val="28"/>
          <w:szCs w:val="28"/>
        </w:rPr>
        <w:t xml:space="preserve"> trámite del proyecto respecto </w:t>
      </w:r>
      <w:r w:rsidRPr="00F2273F">
        <w:rPr>
          <w:rFonts w:ascii="Times New Roman" w:hAnsi="Times New Roman" w:cs="Times New Roman"/>
          <w:iCs/>
          <w:sz w:val="28"/>
          <w:szCs w:val="28"/>
        </w:rPr>
        <w:t>de los enunciados normativos</w:t>
      </w:r>
      <w:r w:rsidRPr="00F2273F">
        <w:rPr>
          <w:rFonts w:ascii="Times New Roman" w:hAnsi="Times New Roman" w:cs="Times New Roman"/>
          <w:iCs/>
          <w:sz w:val="28"/>
          <w:szCs w:val="28"/>
        </w:rPr>
        <w:t xml:space="preserve"> objeto de demanda</w:t>
      </w:r>
      <w:r w:rsidRPr="00F2273F">
        <w:rPr>
          <w:rFonts w:ascii="Times New Roman" w:hAnsi="Times New Roman" w:cs="Times New Roman"/>
          <w:iCs/>
          <w:sz w:val="28"/>
          <w:szCs w:val="28"/>
        </w:rPr>
        <w:t xml:space="preserve">. </w:t>
      </w:r>
    </w:p>
    <w:p w:rsidR="006708D1" w:rsidRPr="00F2273F" w:rsidRDefault="00F2273F" w:rsidP="000D58F8">
      <w:pPr>
        <w:pStyle w:val="Sinespaciado"/>
        <w:jc w:val="both"/>
        <w:rPr>
          <w:rFonts w:ascii="Times New Roman" w:hAnsi="Times New Roman" w:cs="Times New Roman"/>
          <w:iCs/>
          <w:sz w:val="28"/>
          <w:szCs w:val="28"/>
        </w:rPr>
      </w:pPr>
    </w:p>
    <w:p w:rsidR="007D5F77" w:rsidRPr="00F2273F" w:rsidRDefault="00F2273F" w:rsidP="007D5F77">
      <w:pPr>
        <w:pStyle w:val="Sinespaciado"/>
        <w:numPr>
          <w:ilvl w:val="0"/>
          <w:numId w:val="3"/>
        </w:numPr>
        <w:ind w:left="0" w:firstLine="0"/>
        <w:jc w:val="both"/>
        <w:rPr>
          <w:rFonts w:ascii="Times New Roman" w:hAnsi="Times New Roman" w:cs="Times New Roman"/>
          <w:iCs/>
          <w:sz w:val="28"/>
          <w:szCs w:val="28"/>
        </w:rPr>
      </w:pPr>
      <w:r w:rsidRPr="00F2273F">
        <w:rPr>
          <w:rFonts w:ascii="Times New Roman" w:hAnsi="Times New Roman" w:cs="Times New Roman"/>
          <w:iCs/>
          <w:sz w:val="28"/>
          <w:szCs w:val="28"/>
        </w:rPr>
        <w:t xml:space="preserve">La cláusula de derogatorias </w:t>
      </w:r>
      <w:r w:rsidRPr="00F2273F">
        <w:rPr>
          <w:rFonts w:ascii="Times New Roman" w:hAnsi="Times New Roman" w:cs="Times New Roman"/>
          <w:iCs/>
          <w:sz w:val="28"/>
          <w:szCs w:val="28"/>
        </w:rPr>
        <w:t>se presentó</w:t>
      </w:r>
      <w:r w:rsidRPr="00F2273F">
        <w:rPr>
          <w:rFonts w:ascii="Times New Roman" w:hAnsi="Times New Roman" w:cs="Times New Roman"/>
          <w:iCs/>
          <w:sz w:val="28"/>
          <w:szCs w:val="28"/>
        </w:rPr>
        <w:t xml:space="preserve"> inicialmente</w:t>
      </w:r>
      <w:r w:rsidRPr="00F2273F">
        <w:rPr>
          <w:rFonts w:ascii="Times New Roman" w:hAnsi="Times New Roman" w:cs="Times New Roman"/>
          <w:iCs/>
          <w:sz w:val="28"/>
          <w:szCs w:val="28"/>
        </w:rPr>
        <w:t xml:space="preserve"> </w:t>
      </w:r>
      <w:r w:rsidRPr="00F2273F">
        <w:rPr>
          <w:rFonts w:ascii="Times New Roman" w:hAnsi="Times New Roman" w:cs="Times New Roman"/>
          <w:iCs/>
          <w:sz w:val="28"/>
          <w:szCs w:val="28"/>
        </w:rPr>
        <w:t>en e</w:t>
      </w:r>
      <w:r w:rsidRPr="00F2273F">
        <w:rPr>
          <w:rFonts w:ascii="Times New Roman" w:hAnsi="Times New Roman" w:cs="Times New Roman"/>
          <w:iCs/>
          <w:sz w:val="28"/>
          <w:szCs w:val="28"/>
        </w:rPr>
        <w:t>l</w:t>
      </w:r>
      <w:r w:rsidRPr="00F2273F">
        <w:rPr>
          <w:rFonts w:ascii="Times New Roman" w:hAnsi="Times New Roman" w:cs="Times New Roman"/>
          <w:iCs/>
          <w:sz w:val="28"/>
          <w:szCs w:val="28"/>
        </w:rPr>
        <w:t xml:space="preserve"> artículo 300 del proyecto de ley No. 338/2023 Cámara – 274/2023 Senado</w:t>
      </w:r>
      <w:r w:rsidRPr="00F2273F">
        <w:rPr>
          <w:rFonts w:ascii="Times New Roman" w:hAnsi="Times New Roman" w:cs="Times New Roman"/>
          <w:iCs/>
          <w:sz w:val="28"/>
          <w:szCs w:val="28"/>
        </w:rPr>
        <w:t>. Luego de</w:t>
      </w:r>
      <w:r w:rsidRPr="00F2273F">
        <w:rPr>
          <w:rFonts w:ascii="Times New Roman" w:hAnsi="Times New Roman" w:cs="Times New Roman"/>
          <w:iCs/>
          <w:sz w:val="28"/>
          <w:szCs w:val="28"/>
        </w:rPr>
        <w:t xml:space="preserve"> su </w:t>
      </w:r>
      <w:r w:rsidRPr="00F2273F">
        <w:rPr>
          <w:rFonts w:ascii="Times New Roman" w:hAnsi="Times New Roman" w:cs="Times New Roman"/>
          <w:iCs/>
          <w:sz w:val="28"/>
          <w:szCs w:val="28"/>
        </w:rPr>
        <w:t xml:space="preserve">trámite y </w:t>
      </w:r>
      <w:r w:rsidRPr="00F2273F">
        <w:rPr>
          <w:rFonts w:ascii="Times New Roman" w:hAnsi="Times New Roman" w:cs="Times New Roman"/>
          <w:iCs/>
          <w:sz w:val="28"/>
          <w:szCs w:val="28"/>
        </w:rPr>
        <w:t xml:space="preserve">aprobación </w:t>
      </w:r>
      <w:r w:rsidRPr="00F2273F">
        <w:rPr>
          <w:rFonts w:ascii="Times New Roman" w:hAnsi="Times New Roman" w:cs="Times New Roman"/>
          <w:iCs/>
          <w:sz w:val="28"/>
          <w:szCs w:val="28"/>
        </w:rPr>
        <w:t>correspo</w:t>
      </w:r>
      <w:r w:rsidRPr="00F2273F">
        <w:rPr>
          <w:rFonts w:ascii="Times New Roman" w:hAnsi="Times New Roman" w:cs="Times New Roman"/>
          <w:iCs/>
          <w:sz w:val="28"/>
          <w:szCs w:val="28"/>
        </w:rPr>
        <w:t xml:space="preserve">ndió </w:t>
      </w:r>
      <w:r w:rsidRPr="00F2273F">
        <w:rPr>
          <w:rFonts w:ascii="Times New Roman" w:hAnsi="Times New Roman" w:cs="Times New Roman"/>
          <w:iCs/>
          <w:sz w:val="28"/>
          <w:szCs w:val="28"/>
        </w:rPr>
        <w:t xml:space="preserve">al artículo 372 de la Ley 2294 de 2023. </w:t>
      </w:r>
      <w:r w:rsidRPr="00F2273F">
        <w:rPr>
          <w:rFonts w:ascii="Times New Roman" w:hAnsi="Times New Roman" w:cs="Times New Roman"/>
          <w:iCs/>
          <w:sz w:val="28"/>
          <w:szCs w:val="28"/>
        </w:rPr>
        <w:t>Se</w:t>
      </w:r>
      <w:r w:rsidRPr="00F2273F">
        <w:rPr>
          <w:rFonts w:ascii="Times New Roman" w:hAnsi="Times New Roman" w:cs="Times New Roman"/>
          <w:iCs/>
          <w:sz w:val="28"/>
          <w:szCs w:val="28"/>
        </w:rPr>
        <w:t xml:space="preserve"> </w:t>
      </w:r>
      <w:r w:rsidRPr="00F2273F">
        <w:rPr>
          <w:rFonts w:ascii="Times New Roman" w:hAnsi="Times New Roman" w:cs="Times New Roman"/>
          <w:iCs/>
          <w:sz w:val="28"/>
          <w:szCs w:val="28"/>
        </w:rPr>
        <w:t>precisa</w:t>
      </w:r>
      <w:r w:rsidRPr="00F2273F">
        <w:rPr>
          <w:rFonts w:ascii="Times New Roman" w:hAnsi="Times New Roman" w:cs="Times New Roman"/>
          <w:iCs/>
          <w:sz w:val="28"/>
          <w:szCs w:val="28"/>
        </w:rPr>
        <w:t xml:space="preserve"> que </w:t>
      </w:r>
      <w:r w:rsidRPr="00F2273F">
        <w:rPr>
          <w:rFonts w:ascii="Times New Roman" w:hAnsi="Times New Roman" w:cs="Times New Roman"/>
          <w:sz w:val="28"/>
          <w:szCs w:val="28"/>
        </w:rPr>
        <w:t>el artículo que contiene la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expresi</w:t>
      </w:r>
      <w:r w:rsidRPr="00F2273F">
        <w:rPr>
          <w:rFonts w:ascii="Times New Roman" w:hAnsi="Times New Roman" w:cs="Times New Roman"/>
          <w:sz w:val="28"/>
          <w:szCs w:val="28"/>
        </w:rPr>
        <w:t>ones</w:t>
      </w:r>
      <w:r w:rsidRPr="00F2273F">
        <w:rPr>
          <w:rFonts w:ascii="Times New Roman" w:hAnsi="Times New Roman" w:cs="Times New Roman"/>
          <w:sz w:val="28"/>
          <w:szCs w:val="28"/>
        </w:rPr>
        <w:t xml:space="preserve"> acusada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fue reenumerado en distintas ocasiones (art. 300/358/330/373/372).</w:t>
      </w:r>
      <w:r w:rsidRPr="00F2273F">
        <w:rPr>
          <w:rFonts w:ascii="Times New Roman" w:hAnsi="Times New Roman" w:cs="Times New Roman"/>
          <w:iCs/>
          <w:sz w:val="28"/>
          <w:szCs w:val="28"/>
        </w:rPr>
        <w:t xml:space="preserve"> En la siguiente tabla se explica el trámite general </w:t>
      </w:r>
      <w:r w:rsidRPr="00F2273F">
        <w:rPr>
          <w:rFonts w:ascii="Times New Roman" w:hAnsi="Times New Roman" w:cs="Times New Roman"/>
          <w:iCs/>
          <w:sz w:val="28"/>
          <w:szCs w:val="28"/>
        </w:rPr>
        <w:t>de dicho artículo.</w:t>
      </w:r>
      <w:r w:rsidRPr="00F2273F">
        <w:rPr>
          <w:rFonts w:ascii="Times New Roman" w:hAnsi="Times New Roman" w:cs="Times New Roman"/>
          <w:iCs/>
          <w:sz w:val="28"/>
          <w:szCs w:val="28"/>
        </w:rPr>
        <w:t xml:space="preserve"> </w:t>
      </w:r>
    </w:p>
    <w:p w:rsidR="00EB4AE7" w:rsidRPr="00F2273F" w:rsidRDefault="00F2273F" w:rsidP="00EB4AE7">
      <w:pPr>
        <w:pStyle w:val="Sinespaciado"/>
        <w:jc w:val="both"/>
        <w:rPr>
          <w:rFonts w:ascii="Times New Roman" w:hAnsi="Times New Roman" w:cs="Times New Roman"/>
          <w:iCs/>
          <w:sz w:val="28"/>
          <w:szCs w:val="24"/>
        </w:rPr>
      </w:pPr>
    </w:p>
    <w:p w:rsidR="007D5F77" w:rsidRPr="00F2273F" w:rsidRDefault="00F2273F" w:rsidP="007D5F77">
      <w:pPr>
        <w:pStyle w:val="Sinespaciado"/>
        <w:jc w:val="center"/>
        <w:rPr>
          <w:rFonts w:ascii="Times New Roman" w:hAnsi="Times New Roman" w:cs="Times New Roman"/>
          <w:iCs/>
          <w:sz w:val="28"/>
        </w:rPr>
      </w:pPr>
      <w:r w:rsidRPr="00F2273F">
        <w:rPr>
          <w:rFonts w:ascii="Times New Roman" w:hAnsi="Times New Roman" w:cs="Times New Roman"/>
          <w:b/>
          <w:bCs/>
          <w:iCs/>
          <w:sz w:val="28"/>
        </w:rPr>
        <w:t xml:space="preserve">Tabla </w:t>
      </w:r>
      <w:r w:rsidRPr="00F2273F">
        <w:rPr>
          <w:rFonts w:ascii="Times New Roman" w:hAnsi="Times New Roman" w:cs="Times New Roman"/>
          <w:b/>
          <w:bCs/>
          <w:iCs/>
          <w:sz w:val="28"/>
        </w:rPr>
        <w:t>9</w:t>
      </w:r>
      <w:r w:rsidRPr="00F2273F">
        <w:rPr>
          <w:rFonts w:ascii="Times New Roman" w:hAnsi="Times New Roman" w:cs="Times New Roman"/>
          <w:b/>
          <w:bCs/>
          <w:iCs/>
          <w:sz w:val="28"/>
        </w:rPr>
        <w:t>.</w:t>
      </w:r>
      <w:r w:rsidRPr="00F2273F">
        <w:rPr>
          <w:rFonts w:ascii="Times New Roman" w:hAnsi="Times New Roman" w:cs="Times New Roman"/>
          <w:i/>
          <w:sz w:val="28"/>
        </w:rPr>
        <w:t xml:space="preserve"> Trámite legislativo impartido al artículo 37</w:t>
      </w:r>
      <w:r w:rsidRPr="00F2273F">
        <w:rPr>
          <w:rFonts w:ascii="Times New Roman" w:hAnsi="Times New Roman" w:cs="Times New Roman"/>
          <w:i/>
          <w:sz w:val="28"/>
        </w:rPr>
        <w:t>2</w:t>
      </w:r>
      <w:r w:rsidRPr="00F2273F">
        <w:rPr>
          <w:rFonts w:ascii="Times New Roman" w:hAnsi="Times New Roman" w:cs="Times New Roman"/>
          <w:i/>
          <w:sz w:val="28"/>
        </w:rPr>
        <w:t>.</w:t>
      </w:r>
    </w:p>
    <w:tbl>
      <w:tblPr>
        <w:tblStyle w:val="Tablaconcuadrcula"/>
        <w:tblW w:w="0" w:type="auto"/>
        <w:tblInd w:w="-5" w:type="dxa"/>
        <w:tblLook w:val="04A0" w:firstRow="1" w:lastRow="0" w:firstColumn="1" w:lastColumn="0" w:noHBand="0" w:noVBand="1"/>
      </w:tblPr>
      <w:tblGrid>
        <w:gridCol w:w="1701"/>
        <w:gridCol w:w="2410"/>
        <w:gridCol w:w="4722"/>
      </w:tblGrid>
      <w:tr w:rsidR="00974547" w:rsidRPr="00F2273F" w:rsidTr="0000126E">
        <w:tc>
          <w:tcPr>
            <w:tcW w:w="1701" w:type="dxa"/>
            <w:shd w:val="clear" w:color="auto" w:fill="B4C6E7" w:themeFill="accent1" w:themeFillTint="66"/>
            <w:vAlign w:val="center"/>
          </w:tcPr>
          <w:p w:rsidR="007D5F77" w:rsidRPr="00F2273F" w:rsidRDefault="00F2273F" w:rsidP="0000126E">
            <w:pPr>
              <w:pStyle w:val="Prrafodelista"/>
              <w:ind w:left="0" w:right="48"/>
              <w:jc w:val="center"/>
              <w:textAlignment w:val="baseline"/>
              <w:rPr>
                <w:b/>
                <w:bCs/>
                <w:sz w:val="28"/>
                <w:szCs w:val="22"/>
              </w:rPr>
            </w:pPr>
            <w:r w:rsidRPr="00F2273F">
              <w:rPr>
                <w:b/>
                <w:bCs/>
                <w:sz w:val="28"/>
                <w:szCs w:val="22"/>
              </w:rPr>
              <w:t>Etapa</w:t>
            </w:r>
          </w:p>
        </w:tc>
        <w:tc>
          <w:tcPr>
            <w:tcW w:w="2410" w:type="dxa"/>
            <w:shd w:val="clear" w:color="auto" w:fill="B4C6E7" w:themeFill="accent1" w:themeFillTint="66"/>
            <w:vAlign w:val="center"/>
          </w:tcPr>
          <w:p w:rsidR="007D5F77" w:rsidRPr="00F2273F" w:rsidRDefault="00F2273F" w:rsidP="0000126E">
            <w:pPr>
              <w:pStyle w:val="Prrafodelista"/>
              <w:ind w:left="0" w:right="48"/>
              <w:jc w:val="center"/>
              <w:textAlignment w:val="baseline"/>
              <w:rPr>
                <w:b/>
                <w:bCs/>
                <w:sz w:val="28"/>
                <w:szCs w:val="22"/>
              </w:rPr>
            </w:pPr>
            <w:r w:rsidRPr="00F2273F">
              <w:rPr>
                <w:b/>
                <w:bCs/>
                <w:sz w:val="28"/>
                <w:szCs w:val="22"/>
              </w:rPr>
              <w:t>Gaceta del Congreso</w:t>
            </w:r>
          </w:p>
        </w:tc>
        <w:tc>
          <w:tcPr>
            <w:tcW w:w="4722" w:type="dxa"/>
            <w:shd w:val="clear" w:color="auto" w:fill="B4C6E7" w:themeFill="accent1" w:themeFillTint="66"/>
            <w:vAlign w:val="center"/>
          </w:tcPr>
          <w:p w:rsidR="007D5F77" w:rsidRPr="00F2273F" w:rsidRDefault="00F2273F" w:rsidP="0000126E">
            <w:pPr>
              <w:pStyle w:val="Prrafodelista"/>
              <w:ind w:left="0" w:right="48"/>
              <w:jc w:val="center"/>
              <w:textAlignment w:val="baseline"/>
              <w:rPr>
                <w:b/>
                <w:bCs/>
                <w:sz w:val="28"/>
                <w:szCs w:val="22"/>
              </w:rPr>
            </w:pPr>
            <w:r w:rsidRPr="00F2273F">
              <w:rPr>
                <w:b/>
                <w:bCs/>
                <w:sz w:val="28"/>
                <w:szCs w:val="22"/>
              </w:rPr>
              <w:t>Observaciones</w:t>
            </w:r>
          </w:p>
        </w:tc>
      </w:tr>
      <w:tr w:rsidR="00974547" w:rsidRPr="00F2273F" w:rsidTr="0000126E">
        <w:tc>
          <w:tcPr>
            <w:tcW w:w="1701" w:type="dxa"/>
            <w:vAlign w:val="center"/>
          </w:tcPr>
          <w:p w:rsidR="007D5F77" w:rsidRPr="00F2273F" w:rsidRDefault="00F2273F" w:rsidP="000D58F8">
            <w:pPr>
              <w:pStyle w:val="Prrafodelista"/>
              <w:tabs>
                <w:tab w:val="left" w:pos="2027"/>
              </w:tabs>
              <w:ind w:left="0" w:right="48"/>
              <w:jc w:val="center"/>
              <w:textAlignment w:val="baseline"/>
              <w:rPr>
                <w:sz w:val="28"/>
                <w:szCs w:val="22"/>
              </w:rPr>
            </w:pPr>
            <w:r w:rsidRPr="00F2273F">
              <w:rPr>
                <w:sz w:val="28"/>
                <w:szCs w:val="22"/>
              </w:rPr>
              <w:t>Exposición de motivos</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18 de 2023</w:t>
            </w:r>
          </w:p>
        </w:tc>
        <w:tc>
          <w:tcPr>
            <w:tcW w:w="4722" w:type="dxa"/>
            <w:vAlign w:val="center"/>
          </w:tcPr>
          <w:p w:rsidR="007D5F77" w:rsidRPr="00F2273F" w:rsidRDefault="00F2273F" w:rsidP="0000126E">
            <w:pPr>
              <w:pStyle w:val="Prrafodelista"/>
              <w:numPr>
                <w:ilvl w:val="0"/>
                <w:numId w:val="5"/>
              </w:numPr>
              <w:ind w:left="314" w:right="48" w:hanging="314"/>
              <w:jc w:val="both"/>
              <w:textAlignment w:val="baseline"/>
              <w:rPr>
                <w:sz w:val="28"/>
                <w:szCs w:val="22"/>
              </w:rPr>
            </w:pPr>
            <w:r w:rsidRPr="00F2273F">
              <w:rPr>
                <w:sz w:val="28"/>
                <w:szCs w:val="22"/>
              </w:rPr>
              <w:t>Radicación del P</w:t>
            </w:r>
            <w:r w:rsidRPr="00F2273F">
              <w:rPr>
                <w:sz w:val="28"/>
                <w:szCs w:val="22"/>
              </w:rPr>
              <w:t xml:space="preserve">royecto de </w:t>
            </w:r>
            <w:r w:rsidRPr="00F2273F">
              <w:rPr>
                <w:sz w:val="28"/>
                <w:szCs w:val="22"/>
              </w:rPr>
              <w:t>L</w:t>
            </w:r>
            <w:r w:rsidRPr="00F2273F">
              <w:rPr>
                <w:sz w:val="28"/>
                <w:szCs w:val="22"/>
              </w:rPr>
              <w:t>ey</w:t>
            </w:r>
            <w:r w:rsidRPr="00F2273F">
              <w:rPr>
                <w:sz w:val="28"/>
                <w:szCs w:val="22"/>
              </w:rPr>
              <w:t xml:space="preserve"> 274 de 2023 Senado – 338 de 2023 Cámara.</w:t>
            </w:r>
          </w:p>
          <w:p w:rsidR="007D5F77" w:rsidRPr="00F2273F" w:rsidRDefault="00F2273F" w:rsidP="0000126E">
            <w:pPr>
              <w:pStyle w:val="Prrafodelista"/>
              <w:numPr>
                <w:ilvl w:val="0"/>
                <w:numId w:val="5"/>
              </w:numPr>
              <w:ind w:left="314" w:right="48" w:hanging="314"/>
              <w:jc w:val="both"/>
              <w:textAlignment w:val="baseline"/>
              <w:rPr>
                <w:sz w:val="28"/>
                <w:szCs w:val="22"/>
              </w:rPr>
            </w:pPr>
            <w:r w:rsidRPr="00F2273F">
              <w:rPr>
                <w:sz w:val="28"/>
                <w:szCs w:val="22"/>
              </w:rPr>
              <w:t xml:space="preserve">El artículo 300, dedicado a vigencia y derogatorias, </w:t>
            </w:r>
            <w:r w:rsidRPr="00F2273F">
              <w:rPr>
                <w:sz w:val="28"/>
                <w:szCs w:val="22"/>
              </w:rPr>
              <w:t>no inclu</w:t>
            </w:r>
            <w:r w:rsidRPr="00F2273F">
              <w:rPr>
                <w:sz w:val="28"/>
                <w:szCs w:val="22"/>
              </w:rPr>
              <w:t>yó</w:t>
            </w:r>
            <w:r w:rsidRPr="00F2273F">
              <w:rPr>
                <w:sz w:val="28"/>
                <w:szCs w:val="22"/>
              </w:rPr>
              <w:t xml:space="preserve"> 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Ponencia positiva para primer debate (mayoritaria)</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Gaceta 180 de 2023 (Cámara de Representantes)</w:t>
            </w:r>
          </w:p>
          <w:p w:rsidR="007D5F77" w:rsidRPr="00F2273F" w:rsidRDefault="00F2273F" w:rsidP="00817542">
            <w:pPr>
              <w:pStyle w:val="Prrafodelista"/>
              <w:ind w:left="0" w:right="48"/>
              <w:jc w:val="center"/>
              <w:textAlignment w:val="baseline"/>
              <w:rPr>
                <w:sz w:val="28"/>
                <w:szCs w:val="22"/>
              </w:rPr>
            </w:pPr>
            <w:r w:rsidRPr="00F2273F">
              <w:rPr>
                <w:sz w:val="28"/>
                <w:szCs w:val="22"/>
              </w:rPr>
              <w:t>Gaceta 181 de 2023 (Senado)</w:t>
            </w:r>
          </w:p>
        </w:tc>
        <w:tc>
          <w:tcPr>
            <w:tcW w:w="4722" w:type="dxa"/>
            <w:vAlign w:val="center"/>
          </w:tcPr>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El artículo de vigencia y derogatorias cambia de numeración y pasa a ser el artículo 358.</w:t>
            </w:r>
          </w:p>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 xml:space="preserve">No </w:t>
            </w:r>
            <w:r w:rsidRPr="00F2273F">
              <w:rPr>
                <w:sz w:val="28"/>
                <w:szCs w:val="22"/>
              </w:rPr>
              <w:t>incluy</w:t>
            </w:r>
            <w:r w:rsidRPr="00F2273F">
              <w:rPr>
                <w:sz w:val="28"/>
                <w:szCs w:val="22"/>
              </w:rPr>
              <w:t>ó</w:t>
            </w:r>
            <w:r w:rsidRPr="00F2273F">
              <w:rPr>
                <w:sz w:val="28"/>
                <w:szCs w:val="22"/>
              </w:rPr>
              <w:t xml:space="preserve"> 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Ponencia negativa para primer debate (minoritaria)</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182 de 2023</w:t>
            </w:r>
          </w:p>
        </w:tc>
        <w:tc>
          <w:tcPr>
            <w:tcW w:w="4722" w:type="dxa"/>
            <w:vAlign w:val="center"/>
          </w:tcPr>
          <w:p w:rsidR="007D5F77" w:rsidRPr="00F2273F" w:rsidRDefault="00F2273F" w:rsidP="0000126E">
            <w:pPr>
              <w:pStyle w:val="Prrafodelista"/>
              <w:numPr>
                <w:ilvl w:val="0"/>
                <w:numId w:val="5"/>
              </w:numPr>
              <w:ind w:left="314" w:right="48" w:hanging="314"/>
              <w:jc w:val="both"/>
              <w:textAlignment w:val="baseline"/>
              <w:rPr>
                <w:sz w:val="28"/>
                <w:szCs w:val="22"/>
              </w:rPr>
            </w:pPr>
            <w:r w:rsidRPr="00F2273F">
              <w:rPr>
                <w:sz w:val="28"/>
                <w:szCs w:val="22"/>
              </w:rPr>
              <w:t xml:space="preserve">Solicita el archivo del proyecto de ley 274 de 2023 Senado – 338 de 2023 Cámara. </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Sesión de p</w:t>
            </w:r>
            <w:r w:rsidRPr="00F2273F">
              <w:rPr>
                <w:sz w:val="28"/>
                <w:szCs w:val="22"/>
              </w:rPr>
              <w:t xml:space="preserve">resentación del </w:t>
            </w:r>
            <w:r w:rsidRPr="00F2273F">
              <w:rPr>
                <w:sz w:val="28"/>
                <w:szCs w:val="22"/>
              </w:rPr>
              <w:t>PND</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485 de 2023 - Acta No. 001 del</w:t>
            </w:r>
            <w:r w:rsidRPr="00F2273F">
              <w:rPr>
                <w:sz w:val="28"/>
                <w:szCs w:val="22"/>
              </w:rPr>
              <w:t xml:space="preserve"> 21 de febrero de 2023</w:t>
            </w:r>
          </w:p>
        </w:tc>
        <w:tc>
          <w:tcPr>
            <w:tcW w:w="4722" w:type="dxa"/>
            <w:vMerge w:val="restart"/>
            <w:vAlign w:val="center"/>
          </w:tcPr>
          <w:p w:rsidR="007D5F77" w:rsidRPr="00F2273F" w:rsidRDefault="00F2273F" w:rsidP="009A0271">
            <w:pPr>
              <w:ind w:right="48"/>
              <w:jc w:val="both"/>
              <w:textAlignment w:val="baseline"/>
              <w:rPr>
                <w:sz w:val="28"/>
                <w:szCs w:val="22"/>
              </w:rPr>
            </w:pPr>
          </w:p>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No se menciona</w:t>
            </w:r>
            <w:r w:rsidRPr="00F2273F">
              <w:rPr>
                <w:sz w:val="28"/>
                <w:szCs w:val="22"/>
              </w:rPr>
              <w:t>ron</w:t>
            </w:r>
            <w:r w:rsidRPr="00F2273F">
              <w:rPr>
                <w:sz w:val="28"/>
                <w:szCs w:val="22"/>
              </w:rPr>
              <w:t xml:space="preserve"> las derogatorias acusadas.</w:t>
            </w:r>
          </w:p>
        </w:tc>
      </w:tr>
      <w:tr w:rsidR="00974547" w:rsidRPr="00F2273F" w:rsidTr="0000126E">
        <w:tc>
          <w:tcPr>
            <w:tcW w:w="1701" w:type="dxa"/>
            <w:vAlign w:val="center"/>
          </w:tcPr>
          <w:p w:rsidR="007D5F77" w:rsidRPr="00F2273F" w:rsidRDefault="00F2273F" w:rsidP="006B301C">
            <w:pPr>
              <w:pStyle w:val="Prrafodelista"/>
              <w:ind w:left="0" w:right="48"/>
              <w:jc w:val="center"/>
              <w:textAlignment w:val="baseline"/>
              <w:rPr>
                <w:sz w:val="28"/>
                <w:szCs w:val="22"/>
              </w:rPr>
            </w:pPr>
            <w:r w:rsidRPr="00F2273F">
              <w:rPr>
                <w:sz w:val="28"/>
                <w:szCs w:val="22"/>
              </w:rPr>
              <w:t>Anuncio del PL</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Gaceta 504 de 2023 - Acta No. 002 del 20 de marzo de 2023</w:t>
            </w:r>
          </w:p>
        </w:tc>
        <w:tc>
          <w:tcPr>
            <w:tcW w:w="4722" w:type="dxa"/>
            <w:vMerge/>
            <w:vAlign w:val="center"/>
          </w:tcPr>
          <w:p w:rsidR="007D5F77" w:rsidRPr="00F2273F" w:rsidRDefault="00F2273F" w:rsidP="0000126E">
            <w:pPr>
              <w:pStyle w:val="Prrafodelista"/>
              <w:numPr>
                <w:ilvl w:val="0"/>
                <w:numId w:val="5"/>
              </w:numPr>
              <w:ind w:left="321" w:right="48" w:hanging="321"/>
              <w:jc w:val="both"/>
              <w:textAlignment w:val="baseline"/>
              <w:rPr>
                <w:sz w:val="28"/>
                <w:szCs w:val="22"/>
              </w:rPr>
            </w:pP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Estudio, discusión y votación en primer debate del PL (anuncio)</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 xml:space="preserve">Gacetas 858 y 859 de 2023 - Actas No. 003 del </w:t>
            </w:r>
            <w:r w:rsidRPr="00F2273F">
              <w:rPr>
                <w:sz w:val="28"/>
                <w:szCs w:val="22"/>
              </w:rPr>
              <w:t>21 de marzo de 2023, y No. 004 del 22 de marzo de 2023</w:t>
            </w:r>
          </w:p>
        </w:tc>
        <w:tc>
          <w:tcPr>
            <w:tcW w:w="4722" w:type="dxa"/>
            <w:vMerge/>
            <w:vAlign w:val="center"/>
          </w:tcPr>
          <w:p w:rsidR="007D5F77" w:rsidRPr="00F2273F" w:rsidRDefault="00F2273F" w:rsidP="0000126E">
            <w:pPr>
              <w:pStyle w:val="Prrafodelista"/>
              <w:numPr>
                <w:ilvl w:val="0"/>
                <w:numId w:val="5"/>
              </w:numPr>
              <w:ind w:left="321" w:right="48" w:hanging="321"/>
              <w:jc w:val="both"/>
              <w:textAlignment w:val="baseline"/>
              <w:rPr>
                <w:sz w:val="28"/>
                <w:szCs w:val="22"/>
              </w:rPr>
            </w:pP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Aprobación en primer debate</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Gaceta 860 de 2023 - Acta No. 005 del 23 de marzo de 2023</w:t>
            </w:r>
          </w:p>
        </w:tc>
        <w:tc>
          <w:tcPr>
            <w:tcW w:w="4722" w:type="dxa"/>
            <w:vMerge/>
            <w:vAlign w:val="center"/>
          </w:tcPr>
          <w:p w:rsidR="007D5F77" w:rsidRPr="00F2273F" w:rsidRDefault="00F2273F" w:rsidP="0000126E">
            <w:pPr>
              <w:ind w:right="48"/>
              <w:jc w:val="both"/>
              <w:textAlignment w:val="baseline"/>
              <w:rPr>
                <w:sz w:val="28"/>
                <w:szCs w:val="22"/>
              </w:rPr>
            </w:pP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Texto aprobado en primer debate</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Gaceta 274 de 2023</w:t>
            </w:r>
          </w:p>
        </w:tc>
        <w:tc>
          <w:tcPr>
            <w:tcW w:w="4722" w:type="dxa"/>
            <w:vAlign w:val="center"/>
          </w:tcPr>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El artículo de vigencias y derogatorias cambi</w:t>
            </w:r>
            <w:r w:rsidRPr="00F2273F">
              <w:rPr>
                <w:sz w:val="28"/>
                <w:szCs w:val="22"/>
              </w:rPr>
              <w:t>ó</w:t>
            </w:r>
            <w:r w:rsidRPr="00F2273F">
              <w:rPr>
                <w:sz w:val="28"/>
                <w:szCs w:val="22"/>
              </w:rPr>
              <w:t xml:space="preserve"> de numeración y pas</w:t>
            </w:r>
            <w:r w:rsidRPr="00F2273F">
              <w:rPr>
                <w:sz w:val="28"/>
                <w:szCs w:val="22"/>
              </w:rPr>
              <w:t>ó</w:t>
            </w:r>
            <w:r w:rsidRPr="00F2273F">
              <w:rPr>
                <w:sz w:val="28"/>
                <w:szCs w:val="22"/>
              </w:rPr>
              <w:t xml:space="preserve"> a ser el artículo 330.</w:t>
            </w:r>
          </w:p>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 xml:space="preserve">No </w:t>
            </w:r>
            <w:r w:rsidRPr="00F2273F">
              <w:rPr>
                <w:sz w:val="28"/>
                <w:szCs w:val="22"/>
              </w:rPr>
              <w:t xml:space="preserve">se </w:t>
            </w:r>
            <w:r w:rsidRPr="00F2273F">
              <w:rPr>
                <w:sz w:val="28"/>
                <w:szCs w:val="22"/>
              </w:rPr>
              <w:t>incluyeron</w:t>
            </w:r>
            <w:r w:rsidRPr="00F2273F">
              <w:rPr>
                <w:sz w:val="28"/>
                <w:szCs w:val="22"/>
              </w:rPr>
              <w:t xml:space="preserve"> 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Texto propuesto para segundo debate (modificado por los ponentes)</w:t>
            </w:r>
          </w:p>
        </w:tc>
        <w:tc>
          <w:tcPr>
            <w:tcW w:w="2410" w:type="dxa"/>
            <w:vAlign w:val="center"/>
          </w:tcPr>
          <w:p w:rsidR="007D5F77" w:rsidRPr="00F2273F" w:rsidRDefault="00F2273F" w:rsidP="00817542">
            <w:pPr>
              <w:pStyle w:val="Prrafodelista"/>
              <w:ind w:left="0" w:right="48"/>
              <w:jc w:val="center"/>
              <w:textAlignment w:val="baseline"/>
              <w:rPr>
                <w:sz w:val="28"/>
                <w:szCs w:val="22"/>
              </w:rPr>
            </w:pPr>
            <w:r w:rsidRPr="00F2273F">
              <w:rPr>
                <w:sz w:val="28"/>
                <w:szCs w:val="22"/>
              </w:rPr>
              <w:t>Gacetas 386 de 2023 (Cámara de Representantes)</w:t>
            </w:r>
          </w:p>
          <w:p w:rsidR="007D5F77" w:rsidRPr="00F2273F" w:rsidRDefault="00F2273F" w:rsidP="00817542">
            <w:pPr>
              <w:pStyle w:val="Prrafodelista"/>
              <w:ind w:left="0" w:right="48"/>
              <w:jc w:val="center"/>
              <w:textAlignment w:val="baseline"/>
              <w:rPr>
                <w:sz w:val="28"/>
                <w:szCs w:val="22"/>
              </w:rPr>
            </w:pPr>
            <w:r w:rsidRPr="00F2273F">
              <w:rPr>
                <w:sz w:val="28"/>
                <w:szCs w:val="22"/>
              </w:rPr>
              <w:t>Gaceta 388 de 2023 (Senado)</w:t>
            </w:r>
          </w:p>
        </w:tc>
        <w:tc>
          <w:tcPr>
            <w:tcW w:w="4722" w:type="dxa"/>
            <w:vAlign w:val="center"/>
          </w:tcPr>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 xml:space="preserve">El artículo de vigencia y </w:t>
            </w:r>
            <w:r w:rsidRPr="00F2273F">
              <w:rPr>
                <w:sz w:val="28"/>
                <w:szCs w:val="22"/>
              </w:rPr>
              <w:t>derogatorias cambia de numeración y pasa a ser el artículo 373.</w:t>
            </w:r>
          </w:p>
          <w:p w:rsidR="00181D1A"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En la presentación que hicieren los equipos coordinadores de las Comisiones Tercera y Cuarta de la Cámara del texto propuesto para segundo debate, se anot</w:t>
            </w:r>
            <w:r w:rsidRPr="00F2273F">
              <w:rPr>
                <w:sz w:val="28"/>
                <w:szCs w:val="22"/>
              </w:rPr>
              <w:t>ó</w:t>
            </w:r>
            <w:r w:rsidRPr="00F2273F">
              <w:rPr>
                <w:sz w:val="28"/>
                <w:szCs w:val="22"/>
              </w:rPr>
              <w:t xml:space="preserve"> que el ahora artículo 373</w:t>
            </w:r>
            <w:r w:rsidRPr="00F2273F">
              <w:rPr>
                <w:sz w:val="28"/>
                <w:szCs w:val="22"/>
              </w:rPr>
              <w:t>, de vigenc</w:t>
            </w:r>
            <w:r w:rsidRPr="00F2273F">
              <w:rPr>
                <w:sz w:val="28"/>
                <w:szCs w:val="22"/>
              </w:rPr>
              <w:t>ias y derogatorias,</w:t>
            </w:r>
            <w:r w:rsidRPr="00F2273F">
              <w:rPr>
                <w:sz w:val="28"/>
                <w:szCs w:val="22"/>
              </w:rPr>
              <w:t xml:space="preserve"> incluye lo siguiente: “El parágrafo tercero del artículo 167 de la Ley 142 de 1994; y el parágrafo tercero del artículo 32 de la Ley 143 de 1994, que prohíben expresamente a la empresa encargada del servicio de interconexión nacional pa</w:t>
            </w:r>
            <w:r w:rsidRPr="00F2273F">
              <w:rPr>
                <w:sz w:val="28"/>
                <w:szCs w:val="22"/>
              </w:rPr>
              <w:t>rticipar en actividades de generación, comercialización y distribución de electricidad”</w:t>
            </w:r>
            <w:r w:rsidRPr="00F2273F">
              <w:rPr>
                <w:rStyle w:val="Refdenotaalpie"/>
                <w:sz w:val="28"/>
                <w:szCs w:val="22"/>
              </w:rPr>
              <w:footnoteReference w:id="110"/>
            </w:r>
            <w:r w:rsidRPr="00F2273F">
              <w:rPr>
                <w:sz w:val="28"/>
                <w:szCs w:val="22"/>
              </w:rPr>
              <w:t xml:space="preserve">. </w:t>
            </w:r>
          </w:p>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T</w:t>
            </w:r>
            <w:r w:rsidRPr="00F2273F">
              <w:rPr>
                <w:sz w:val="28"/>
                <w:szCs w:val="22"/>
              </w:rPr>
              <w:t>ambién</w:t>
            </w:r>
            <w:r w:rsidRPr="00F2273F">
              <w:rPr>
                <w:sz w:val="28"/>
                <w:szCs w:val="22"/>
              </w:rPr>
              <w:t xml:space="preserve"> obra</w:t>
            </w:r>
            <w:r w:rsidRPr="00F2273F">
              <w:rPr>
                <w:sz w:val="28"/>
                <w:szCs w:val="22"/>
              </w:rPr>
              <w:t xml:space="preserve"> </w:t>
            </w:r>
            <w:r w:rsidRPr="00F2273F">
              <w:rPr>
                <w:sz w:val="28"/>
                <w:szCs w:val="22"/>
              </w:rPr>
              <w:t xml:space="preserve">la </w:t>
            </w:r>
            <w:r w:rsidRPr="00F2273F">
              <w:rPr>
                <w:sz w:val="28"/>
                <w:szCs w:val="22"/>
              </w:rPr>
              <w:t>proposición de la representante María del Mar Pizarro</w:t>
            </w:r>
            <w:r w:rsidRPr="00F2273F">
              <w:rPr>
                <w:rStyle w:val="Refdenotaalpie"/>
                <w:sz w:val="28"/>
                <w:szCs w:val="22"/>
              </w:rPr>
              <w:footnoteReference w:id="111"/>
            </w:r>
            <w:r w:rsidRPr="00F2273F">
              <w:rPr>
                <w:sz w:val="28"/>
                <w:szCs w:val="22"/>
              </w:rPr>
              <w:t xml:space="preserve"> para incluir 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 xml:space="preserve"> en el artículo de vigencias y derogatorias.</w:t>
            </w:r>
          </w:p>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El pliego de</w:t>
            </w:r>
            <w:r w:rsidRPr="00F2273F">
              <w:rPr>
                <w:sz w:val="28"/>
                <w:szCs w:val="22"/>
              </w:rPr>
              <w:t xml:space="preserve"> modificaciones</w:t>
            </w:r>
            <w:r w:rsidRPr="00F2273F">
              <w:rPr>
                <w:sz w:val="28"/>
                <w:szCs w:val="22"/>
              </w:rPr>
              <w:t xml:space="preserve"> se present</w:t>
            </w:r>
            <w:r w:rsidRPr="00F2273F">
              <w:rPr>
                <w:sz w:val="28"/>
                <w:szCs w:val="22"/>
              </w:rPr>
              <w:t>ó</w:t>
            </w:r>
            <w:r w:rsidRPr="00F2273F">
              <w:rPr>
                <w:sz w:val="28"/>
                <w:szCs w:val="22"/>
              </w:rPr>
              <w:t xml:space="preserve"> a doble columna, con el texto del plan que fue aprobado en primer debate (en el cual no figuraba la expresión acusada) y el texto propuesto para segundo debate, que incluy</w:t>
            </w:r>
            <w:r w:rsidRPr="00F2273F">
              <w:rPr>
                <w:sz w:val="28"/>
                <w:szCs w:val="22"/>
              </w:rPr>
              <w:t>ó</w:t>
            </w:r>
            <w:r w:rsidRPr="00F2273F">
              <w:rPr>
                <w:sz w:val="28"/>
                <w:szCs w:val="22"/>
              </w:rPr>
              <w:t xml:space="preserve"> 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 “</w:t>
            </w:r>
            <w:r w:rsidRPr="00F2273F">
              <w:rPr>
                <w:i/>
                <w:iCs/>
                <w:sz w:val="28"/>
                <w:szCs w:val="22"/>
              </w:rPr>
              <w:t>el parágrafo tercero del art</w:t>
            </w:r>
            <w:r w:rsidRPr="00F2273F">
              <w:rPr>
                <w:i/>
                <w:iCs/>
                <w:sz w:val="28"/>
                <w:szCs w:val="22"/>
              </w:rPr>
              <w:t>ículo </w:t>
            </w:r>
            <w:hyperlink r:id="rId8" w:anchor="167" w:history="1">
              <w:r w:rsidRPr="00F2273F">
                <w:rPr>
                  <w:rStyle w:val="Hipervnculo"/>
                  <w:i/>
                  <w:iCs/>
                  <w:color w:val="auto"/>
                  <w:sz w:val="28"/>
                  <w:szCs w:val="22"/>
                  <w:u w:val="none"/>
                </w:rPr>
                <w:t>167</w:t>
              </w:r>
            </w:hyperlink>
            <w:r w:rsidRPr="00F2273F">
              <w:rPr>
                <w:i/>
                <w:iCs/>
                <w:sz w:val="28"/>
                <w:szCs w:val="22"/>
              </w:rPr>
              <w:t> de la Ley 142 de 1994; el parágrafo tercero del artículo </w:t>
            </w:r>
            <w:hyperlink r:id="rId9" w:anchor="32" w:history="1">
              <w:r w:rsidRPr="00F2273F">
                <w:rPr>
                  <w:rStyle w:val="Hipervnculo"/>
                  <w:i/>
                  <w:iCs/>
                  <w:color w:val="auto"/>
                  <w:sz w:val="28"/>
                  <w:szCs w:val="22"/>
                  <w:u w:val="none"/>
                </w:rPr>
                <w:t>32</w:t>
              </w:r>
            </w:hyperlink>
            <w:r w:rsidRPr="00F2273F">
              <w:rPr>
                <w:i/>
                <w:iCs/>
                <w:sz w:val="28"/>
                <w:szCs w:val="22"/>
              </w:rPr>
              <w:t> de la Ley 143 de 1994;”.</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Texto definitivo Plenaria - Cámara de Representantes</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428 de 2023</w:t>
            </w:r>
          </w:p>
        </w:tc>
        <w:tc>
          <w:tcPr>
            <w:tcW w:w="4722" w:type="dxa"/>
            <w:vAlign w:val="center"/>
          </w:tcPr>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E</w:t>
            </w:r>
            <w:r w:rsidRPr="00F2273F">
              <w:rPr>
                <w:sz w:val="28"/>
                <w:szCs w:val="22"/>
              </w:rPr>
              <w:t xml:space="preserve">l artículo 373 </w:t>
            </w:r>
            <w:r w:rsidRPr="00F2273F">
              <w:rPr>
                <w:sz w:val="28"/>
                <w:szCs w:val="22"/>
              </w:rPr>
              <w:t>conservó</w:t>
            </w:r>
            <w:r w:rsidRPr="00F2273F">
              <w:rPr>
                <w:sz w:val="28"/>
                <w:szCs w:val="22"/>
              </w:rPr>
              <w:t xml:space="preserve"> </w:t>
            </w:r>
            <w:r w:rsidRPr="00F2273F">
              <w:rPr>
                <w:sz w:val="28"/>
                <w:szCs w:val="22"/>
              </w:rPr>
              <w:t>la</w:t>
            </w:r>
            <w:r w:rsidRPr="00F2273F">
              <w:rPr>
                <w:sz w:val="28"/>
                <w:szCs w:val="22"/>
              </w:rPr>
              <w:t>s</w:t>
            </w:r>
            <w:r w:rsidRPr="00F2273F">
              <w:rPr>
                <w:sz w:val="28"/>
                <w:szCs w:val="22"/>
              </w:rPr>
              <w:t xml:space="preserve"> expresi</w:t>
            </w:r>
            <w:r w:rsidRPr="00F2273F">
              <w:rPr>
                <w:sz w:val="28"/>
                <w:szCs w:val="22"/>
              </w:rPr>
              <w:t>ones</w:t>
            </w:r>
            <w:r w:rsidRPr="00F2273F">
              <w:rPr>
                <w:sz w:val="28"/>
                <w:szCs w:val="22"/>
              </w:rPr>
              <w:t xml:space="preserve"> acusada</w:t>
            </w:r>
            <w:r w:rsidRPr="00F2273F">
              <w:rPr>
                <w:sz w:val="28"/>
                <w:szCs w:val="22"/>
              </w:rPr>
              <w:t>s</w:t>
            </w:r>
            <w:r w:rsidRPr="00F2273F">
              <w:rPr>
                <w:sz w:val="28"/>
                <w:szCs w:val="22"/>
              </w:rPr>
              <w:t xml:space="preserve"> “</w:t>
            </w:r>
            <w:r w:rsidRPr="00F2273F">
              <w:rPr>
                <w:i/>
                <w:iCs/>
                <w:sz w:val="28"/>
                <w:szCs w:val="22"/>
              </w:rPr>
              <w:t>el parágrafo tercero del artículo </w:t>
            </w:r>
            <w:hyperlink r:id="rId10" w:anchor="167" w:history="1">
              <w:r w:rsidRPr="00F2273F">
                <w:rPr>
                  <w:rStyle w:val="Hipervnculo"/>
                  <w:i/>
                  <w:iCs/>
                  <w:color w:val="auto"/>
                  <w:sz w:val="28"/>
                  <w:szCs w:val="22"/>
                  <w:u w:val="none"/>
                </w:rPr>
                <w:t>167</w:t>
              </w:r>
            </w:hyperlink>
            <w:r w:rsidRPr="00F2273F">
              <w:rPr>
                <w:i/>
                <w:iCs/>
                <w:sz w:val="28"/>
                <w:szCs w:val="22"/>
              </w:rPr>
              <w:t> de la Ley 142 de 1994; el parágrafo tercero del artículo </w:t>
            </w:r>
            <w:hyperlink r:id="rId11" w:anchor="32" w:history="1">
              <w:r w:rsidRPr="00F2273F">
                <w:rPr>
                  <w:rStyle w:val="Hipervnculo"/>
                  <w:i/>
                  <w:iCs/>
                  <w:color w:val="auto"/>
                  <w:sz w:val="28"/>
                  <w:szCs w:val="22"/>
                  <w:u w:val="none"/>
                </w:rPr>
                <w:t>32</w:t>
              </w:r>
            </w:hyperlink>
            <w:r w:rsidRPr="00F2273F">
              <w:rPr>
                <w:i/>
                <w:iCs/>
                <w:sz w:val="28"/>
                <w:szCs w:val="22"/>
              </w:rPr>
              <w:t> de la Ley 143 de 1994;”.</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iCs/>
                <w:sz w:val="28"/>
                <w:szCs w:val="22"/>
              </w:rPr>
              <w:t>Texto aprobado en segundo debate - Senado</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417 de 2023</w:t>
            </w:r>
          </w:p>
        </w:tc>
        <w:tc>
          <w:tcPr>
            <w:tcW w:w="4722" w:type="dxa"/>
            <w:vAlign w:val="center"/>
          </w:tcPr>
          <w:p w:rsidR="00181D1A"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En la sesión plenaria del Senado, antes de proceder con la votación, el congresista David Luna presentó la proposición de eliminación de la</w:t>
            </w:r>
            <w:r w:rsidRPr="00F2273F">
              <w:rPr>
                <w:sz w:val="28"/>
                <w:szCs w:val="22"/>
              </w:rPr>
              <w:t>s</w:t>
            </w:r>
            <w:r w:rsidRPr="00F2273F">
              <w:rPr>
                <w:sz w:val="28"/>
                <w:szCs w:val="22"/>
              </w:rPr>
              <w:t xml:space="preserve"> expresi</w:t>
            </w:r>
            <w:r w:rsidRPr="00F2273F">
              <w:rPr>
                <w:sz w:val="28"/>
                <w:szCs w:val="22"/>
              </w:rPr>
              <w:t>o</w:t>
            </w:r>
            <w:r w:rsidRPr="00F2273F">
              <w:rPr>
                <w:sz w:val="28"/>
                <w:szCs w:val="22"/>
              </w:rPr>
              <w:t>n</w:t>
            </w:r>
            <w:r w:rsidRPr="00F2273F">
              <w:rPr>
                <w:sz w:val="28"/>
                <w:szCs w:val="22"/>
              </w:rPr>
              <w:t>es</w:t>
            </w:r>
            <w:r w:rsidRPr="00F2273F">
              <w:rPr>
                <w:sz w:val="28"/>
                <w:szCs w:val="22"/>
              </w:rPr>
              <w:t xml:space="preserve"> acusada</w:t>
            </w:r>
            <w:r w:rsidRPr="00F2273F">
              <w:rPr>
                <w:sz w:val="28"/>
                <w:szCs w:val="22"/>
              </w:rPr>
              <w:t>s</w:t>
            </w:r>
            <w:r w:rsidRPr="00F2273F">
              <w:rPr>
                <w:sz w:val="28"/>
                <w:szCs w:val="22"/>
              </w:rPr>
              <w:t xml:space="preserve"> y soli</w:t>
            </w:r>
            <w:r w:rsidRPr="00F2273F">
              <w:rPr>
                <w:sz w:val="28"/>
                <w:szCs w:val="22"/>
              </w:rPr>
              <w:t>citó al Gobierno que la aval</w:t>
            </w:r>
            <w:r w:rsidRPr="00F2273F">
              <w:rPr>
                <w:sz w:val="28"/>
                <w:szCs w:val="22"/>
              </w:rPr>
              <w:t>ara. El senador</w:t>
            </w:r>
            <w:r w:rsidRPr="00F2273F">
              <w:rPr>
                <w:sz w:val="28"/>
                <w:szCs w:val="22"/>
              </w:rPr>
              <w:t xml:space="preserve"> afirmó que “están tratando de generar revivir el artículo [197/218], pero eso es otra discusión (…) esto sí es fundamental para que el plan tenga coherencia”</w:t>
            </w:r>
            <w:r w:rsidRPr="00F2273F">
              <w:rPr>
                <w:rStyle w:val="Refdenotaalpie"/>
                <w:sz w:val="28"/>
                <w:szCs w:val="22"/>
              </w:rPr>
              <w:footnoteReference w:id="112"/>
            </w:r>
            <w:r w:rsidRPr="00F2273F">
              <w:rPr>
                <w:sz w:val="28"/>
                <w:szCs w:val="22"/>
              </w:rPr>
              <w:t xml:space="preserve">. </w:t>
            </w:r>
          </w:p>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El Ministerio de Hacienda y Crédito Público avaló l</w:t>
            </w:r>
            <w:r w:rsidRPr="00F2273F">
              <w:rPr>
                <w:sz w:val="28"/>
                <w:szCs w:val="22"/>
              </w:rPr>
              <w:t>a proposición.</w:t>
            </w:r>
          </w:p>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Se aprobó el texto del artículo 373 eliminándose del mismo la derogatoria acusada.</w:t>
            </w:r>
          </w:p>
        </w:tc>
      </w:tr>
      <w:tr w:rsidR="00974547" w:rsidRPr="00F2273F" w:rsidTr="0000126E">
        <w:tc>
          <w:tcPr>
            <w:tcW w:w="1701"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Informe de Conciliación – texto aprobado por unanimidad para proponer ante las plenarias</w:t>
            </w:r>
          </w:p>
        </w:tc>
        <w:tc>
          <w:tcPr>
            <w:tcW w:w="2410" w:type="dxa"/>
            <w:vAlign w:val="center"/>
          </w:tcPr>
          <w:p w:rsidR="007D5F77" w:rsidRPr="00F2273F" w:rsidRDefault="00F2273F" w:rsidP="000D58F8">
            <w:pPr>
              <w:pStyle w:val="Prrafodelista"/>
              <w:ind w:left="0" w:right="48"/>
              <w:jc w:val="center"/>
              <w:textAlignment w:val="baseline"/>
              <w:rPr>
                <w:sz w:val="28"/>
                <w:szCs w:val="22"/>
              </w:rPr>
            </w:pPr>
            <w:r w:rsidRPr="00F2273F">
              <w:rPr>
                <w:sz w:val="28"/>
                <w:szCs w:val="22"/>
              </w:rPr>
              <w:t>Gaceta 427 (S) y 429 (C) de 2023</w:t>
            </w:r>
          </w:p>
        </w:tc>
        <w:tc>
          <w:tcPr>
            <w:tcW w:w="4722" w:type="dxa"/>
            <w:vAlign w:val="center"/>
          </w:tcPr>
          <w:p w:rsidR="007D5F77" w:rsidRPr="00F2273F" w:rsidRDefault="00F2273F" w:rsidP="0000126E">
            <w:pPr>
              <w:pStyle w:val="Prrafodelista"/>
              <w:numPr>
                <w:ilvl w:val="0"/>
                <w:numId w:val="5"/>
              </w:numPr>
              <w:ind w:left="321" w:right="48" w:hanging="284"/>
              <w:jc w:val="both"/>
              <w:textAlignment w:val="baseline"/>
              <w:rPr>
                <w:sz w:val="28"/>
                <w:szCs w:val="22"/>
              </w:rPr>
            </w:pPr>
            <w:r w:rsidRPr="00F2273F">
              <w:rPr>
                <w:sz w:val="28"/>
                <w:szCs w:val="22"/>
              </w:rPr>
              <w:t xml:space="preserve">El texto del artículo 373 se </w:t>
            </w:r>
            <w:r w:rsidRPr="00F2273F">
              <w:rPr>
                <w:sz w:val="28"/>
                <w:szCs w:val="22"/>
              </w:rPr>
              <w:t>present</w:t>
            </w:r>
            <w:r w:rsidRPr="00F2273F">
              <w:rPr>
                <w:sz w:val="28"/>
                <w:szCs w:val="22"/>
              </w:rPr>
              <w:t>ó</w:t>
            </w:r>
            <w:r w:rsidRPr="00F2273F">
              <w:rPr>
                <w:sz w:val="28"/>
                <w:szCs w:val="22"/>
              </w:rPr>
              <w:t xml:space="preserve"> a triple columna, con el texto propuesto por la Cámara (incluye la derogatoria) y el texto propuesto por el Senado (elimina la derogatoria). Una tercera columna indica que se acogió el texto de la Cámara, es decir, </w:t>
            </w:r>
            <w:r w:rsidRPr="00F2273F">
              <w:rPr>
                <w:sz w:val="28"/>
                <w:szCs w:val="22"/>
              </w:rPr>
              <w:t>se mantiene</w:t>
            </w:r>
            <w:r w:rsidRPr="00F2273F">
              <w:rPr>
                <w:sz w:val="28"/>
                <w:szCs w:val="22"/>
              </w:rPr>
              <w:t xml:space="preserve"> la derogatoria acusa</w:t>
            </w:r>
            <w:r w:rsidRPr="00F2273F">
              <w:rPr>
                <w:sz w:val="28"/>
                <w:szCs w:val="22"/>
              </w:rPr>
              <w:t>da.</w:t>
            </w:r>
          </w:p>
          <w:p w:rsidR="007D5F77" w:rsidRPr="00F2273F" w:rsidRDefault="00F2273F" w:rsidP="0000126E">
            <w:pPr>
              <w:pStyle w:val="Prrafodelista"/>
              <w:numPr>
                <w:ilvl w:val="0"/>
                <w:numId w:val="5"/>
              </w:numPr>
              <w:ind w:left="321" w:right="48" w:hanging="321"/>
              <w:jc w:val="both"/>
              <w:textAlignment w:val="baseline"/>
              <w:rPr>
                <w:sz w:val="28"/>
                <w:szCs w:val="22"/>
              </w:rPr>
            </w:pPr>
            <w:r w:rsidRPr="00F2273F">
              <w:rPr>
                <w:sz w:val="28"/>
                <w:szCs w:val="22"/>
              </w:rPr>
              <w:t xml:space="preserve">En el artículo 373 </w:t>
            </w:r>
            <w:r w:rsidRPr="00F2273F">
              <w:rPr>
                <w:sz w:val="28"/>
                <w:szCs w:val="22"/>
              </w:rPr>
              <w:t>permanece</w:t>
            </w:r>
            <w:r w:rsidRPr="00F2273F">
              <w:rPr>
                <w:sz w:val="28"/>
                <w:szCs w:val="22"/>
              </w:rPr>
              <w:t xml:space="preserve"> la expresión acusada “</w:t>
            </w:r>
            <w:r w:rsidRPr="00F2273F">
              <w:rPr>
                <w:i/>
                <w:iCs/>
                <w:sz w:val="28"/>
                <w:szCs w:val="22"/>
              </w:rPr>
              <w:t>el parágrafo tercero del artículo </w:t>
            </w:r>
            <w:hyperlink r:id="rId12" w:anchor="167" w:history="1">
              <w:r w:rsidRPr="00F2273F">
                <w:rPr>
                  <w:rStyle w:val="Hipervnculo"/>
                  <w:i/>
                  <w:iCs/>
                  <w:color w:val="auto"/>
                  <w:sz w:val="28"/>
                  <w:szCs w:val="22"/>
                  <w:u w:val="none"/>
                </w:rPr>
                <w:t>167</w:t>
              </w:r>
            </w:hyperlink>
            <w:r w:rsidRPr="00F2273F">
              <w:rPr>
                <w:i/>
                <w:iCs/>
                <w:sz w:val="28"/>
                <w:szCs w:val="22"/>
              </w:rPr>
              <w:t> de la Ley 142 de 1994; el parágrafo tercero del artículo </w:t>
            </w:r>
            <w:hyperlink r:id="rId13" w:anchor="32" w:history="1">
              <w:r w:rsidRPr="00F2273F">
                <w:rPr>
                  <w:rStyle w:val="Hipervnculo"/>
                  <w:i/>
                  <w:iCs/>
                  <w:color w:val="auto"/>
                  <w:sz w:val="28"/>
                  <w:szCs w:val="22"/>
                  <w:u w:val="none"/>
                </w:rPr>
                <w:t>32</w:t>
              </w:r>
            </w:hyperlink>
            <w:r w:rsidRPr="00F2273F">
              <w:rPr>
                <w:i/>
                <w:iCs/>
                <w:sz w:val="28"/>
                <w:szCs w:val="22"/>
              </w:rPr>
              <w:t> de la Ley 143 de 1994;”.</w:t>
            </w:r>
          </w:p>
        </w:tc>
      </w:tr>
    </w:tbl>
    <w:p w:rsidR="006931B9" w:rsidRPr="00F2273F" w:rsidRDefault="00F2273F" w:rsidP="007D5F77">
      <w:pPr>
        <w:pStyle w:val="Sinespaciado"/>
        <w:jc w:val="both"/>
        <w:rPr>
          <w:rFonts w:ascii="Times New Roman" w:hAnsi="Times New Roman" w:cs="Times New Roman"/>
          <w:iCs/>
          <w:sz w:val="28"/>
          <w:szCs w:val="28"/>
        </w:rPr>
      </w:pPr>
    </w:p>
    <w:p w:rsidR="00DF1F09" w:rsidRPr="00F2273F" w:rsidRDefault="00F2273F" w:rsidP="00B134BA">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Para la </w:t>
      </w:r>
      <w:r w:rsidRPr="00F2273F">
        <w:rPr>
          <w:rFonts w:ascii="Times New Roman" w:hAnsi="Times New Roman" w:cs="Times New Roman"/>
          <w:sz w:val="28"/>
          <w:szCs w:val="28"/>
          <w:lang w:eastAsia="es-ES"/>
        </w:rPr>
        <w:t>Sala está probado</w:t>
      </w:r>
      <w:r w:rsidRPr="00F2273F">
        <w:rPr>
          <w:rFonts w:ascii="Times New Roman" w:hAnsi="Times New Roman" w:cs="Times New Roman"/>
          <w:sz w:val="28"/>
          <w:szCs w:val="28"/>
          <w:lang w:eastAsia="es-ES"/>
        </w:rPr>
        <w:t xml:space="preserve"> que la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expresiones </w:t>
      </w:r>
      <w:r w:rsidRPr="00F2273F">
        <w:rPr>
          <w:rFonts w:ascii="Times New Roman" w:hAnsi="Times New Roman" w:cs="Times New Roman"/>
          <w:sz w:val="28"/>
          <w:szCs w:val="28"/>
          <w:lang w:eastAsia="es-ES"/>
        </w:rPr>
        <w:t>acusada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no </w:t>
      </w:r>
      <w:r w:rsidRPr="00F2273F">
        <w:rPr>
          <w:rFonts w:ascii="Times New Roman" w:hAnsi="Times New Roman" w:cs="Times New Roman"/>
          <w:sz w:val="28"/>
          <w:szCs w:val="28"/>
          <w:lang w:eastAsia="es-ES"/>
        </w:rPr>
        <w:t xml:space="preserve">hicieron </w:t>
      </w:r>
      <w:r w:rsidRPr="00F2273F">
        <w:rPr>
          <w:rFonts w:ascii="Times New Roman" w:hAnsi="Times New Roman" w:cs="Times New Roman"/>
          <w:sz w:val="28"/>
          <w:szCs w:val="28"/>
          <w:lang w:eastAsia="es-ES"/>
        </w:rPr>
        <w:t xml:space="preserve">parte del proyecto de ley del plan presentado por el Gobierno, así como </w:t>
      </w:r>
      <w:r w:rsidRPr="00F2273F">
        <w:rPr>
          <w:rFonts w:ascii="Times New Roman" w:hAnsi="Times New Roman" w:cs="Times New Roman"/>
          <w:sz w:val="28"/>
          <w:szCs w:val="28"/>
          <w:lang w:eastAsia="es-ES"/>
        </w:rPr>
        <w:t>tampoco fue</w:t>
      </w:r>
      <w:r w:rsidRPr="00F2273F">
        <w:rPr>
          <w:rFonts w:ascii="Times New Roman" w:hAnsi="Times New Roman" w:cs="Times New Roman"/>
          <w:sz w:val="28"/>
          <w:szCs w:val="28"/>
          <w:lang w:eastAsia="es-ES"/>
        </w:rPr>
        <w:t>ron</w:t>
      </w:r>
      <w:r w:rsidRPr="00F2273F">
        <w:rPr>
          <w:rFonts w:ascii="Times New Roman" w:hAnsi="Times New Roman" w:cs="Times New Roman"/>
          <w:sz w:val="28"/>
          <w:szCs w:val="28"/>
          <w:lang w:eastAsia="es-ES"/>
        </w:rPr>
        <w:t xml:space="preserve"> debatida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en</w:t>
      </w:r>
      <w:r w:rsidRPr="00F2273F">
        <w:rPr>
          <w:rFonts w:ascii="Times New Roman" w:hAnsi="Times New Roman" w:cs="Times New Roman"/>
          <w:sz w:val="28"/>
          <w:szCs w:val="28"/>
          <w:lang w:eastAsia="es-ES"/>
        </w:rPr>
        <w:t xml:space="preserve"> el primer debate surtido ante</w:t>
      </w:r>
      <w:r w:rsidRPr="00F2273F">
        <w:rPr>
          <w:rFonts w:ascii="Times New Roman" w:hAnsi="Times New Roman" w:cs="Times New Roman"/>
          <w:sz w:val="28"/>
          <w:szCs w:val="28"/>
          <w:lang w:eastAsia="es-ES"/>
        </w:rPr>
        <w:t xml:space="preserve"> las comisiones conjuntas. Tan solo se incluyó </w:t>
      </w:r>
      <w:r w:rsidRPr="00F2273F">
        <w:rPr>
          <w:rFonts w:ascii="Times New Roman" w:hAnsi="Times New Roman" w:cs="Times New Roman"/>
          <w:sz w:val="28"/>
          <w:szCs w:val="28"/>
          <w:lang w:eastAsia="es-ES"/>
        </w:rPr>
        <w:t xml:space="preserve">esa referencia </w:t>
      </w:r>
      <w:r w:rsidRPr="00F2273F">
        <w:rPr>
          <w:rFonts w:ascii="Times New Roman" w:hAnsi="Times New Roman" w:cs="Times New Roman"/>
          <w:sz w:val="28"/>
          <w:szCs w:val="28"/>
          <w:lang w:eastAsia="es-ES"/>
        </w:rPr>
        <w:t xml:space="preserve">exclusivamente </w:t>
      </w:r>
      <w:r w:rsidRPr="00F2273F">
        <w:rPr>
          <w:rFonts w:ascii="Times New Roman" w:hAnsi="Times New Roman" w:cs="Times New Roman"/>
          <w:sz w:val="28"/>
          <w:szCs w:val="28"/>
          <w:lang w:eastAsia="es-ES"/>
        </w:rPr>
        <w:t xml:space="preserve">en el texto </w:t>
      </w:r>
      <w:r w:rsidRPr="00F2273F">
        <w:rPr>
          <w:rFonts w:ascii="Times New Roman" w:hAnsi="Times New Roman" w:cs="Times New Roman"/>
          <w:sz w:val="28"/>
          <w:szCs w:val="28"/>
          <w:lang w:eastAsia="es-ES"/>
        </w:rPr>
        <w:t>debatido en</w:t>
      </w:r>
      <w:r w:rsidRPr="00F2273F">
        <w:rPr>
          <w:rFonts w:ascii="Times New Roman" w:hAnsi="Times New Roman" w:cs="Times New Roman"/>
          <w:sz w:val="28"/>
          <w:szCs w:val="28"/>
          <w:lang w:eastAsia="es-ES"/>
        </w:rPr>
        <w:t xml:space="preserve"> segundo debate</w:t>
      </w:r>
      <w:r w:rsidRPr="00F2273F">
        <w:rPr>
          <w:rFonts w:ascii="Times New Roman" w:hAnsi="Times New Roman" w:cs="Times New Roman"/>
          <w:sz w:val="28"/>
          <w:szCs w:val="28"/>
          <w:lang w:eastAsia="es-ES"/>
        </w:rPr>
        <w:t xml:space="preserve"> ante la Cámara de Representantes</w:t>
      </w:r>
      <w:r w:rsidRPr="00F2273F">
        <w:rPr>
          <w:rFonts w:ascii="Times New Roman" w:hAnsi="Times New Roman" w:cs="Times New Roman"/>
          <w:sz w:val="28"/>
          <w:szCs w:val="28"/>
          <w:lang w:eastAsia="es-ES"/>
        </w:rPr>
        <w:t xml:space="preserve"> y así se mantuvo en el informe de conciliación apr</w:t>
      </w:r>
      <w:r w:rsidRPr="00F2273F">
        <w:rPr>
          <w:rFonts w:ascii="Times New Roman" w:hAnsi="Times New Roman" w:cs="Times New Roman"/>
          <w:sz w:val="28"/>
          <w:szCs w:val="28"/>
          <w:lang w:eastAsia="es-ES"/>
        </w:rPr>
        <w:t>obado.</w:t>
      </w:r>
    </w:p>
    <w:p w:rsidR="00DF1F09" w:rsidRPr="00F2273F" w:rsidRDefault="00F2273F" w:rsidP="00DF1F09">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DF1F09" w:rsidRPr="00F2273F" w:rsidRDefault="00F2273F" w:rsidP="00DF1F09">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Se destaca también que</w:t>
      </w:r>
      <w:r w:rsidRPr="00F2273F">
        <w:rPr>
          <w:rFonts w:ascii="Times New Roman" w:hAnsi="Times New Roman" w:cs="Times New Roman"/>
          <w:sz w:val="28"/>
          <w:szCs w:val="28"/>
          <w:lang w:eastAsia="es-ES"/>
        </w:rPr>
        <w:t>, de acuerdo con el informe rendido por la Secretaría General de la Cámara de Representantes</w:t>
      </w:r>
      <w:r w:rsidRPr="00F2273F">
        <w:rPr>
          <w:rFonts w:ascii="Times New Roman" w:hAnsi="Times New Roman" w:cs="Times New Roman"/>
          <w:sz w:val="28"/>
          <w:szCs w:val="28"/>
          <w:vertAlign w:val="superscript"/>
          <w:lang w:eastAsia="es-ES"/>
        </w:rPr>
        <w:footnoteReference w:id="113"/>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la derogatoria acusada se introdujo en el </w:t>
      </w:r>
      <w:r w:rsidRPr="00F2273F">
        <w:rPr>
          <w:rFonts w:ascii="Times New Roman" w:hAnsi="Times New Roman" w:cs="Times New Roman"/>
          <w:sz w:val="28"/>
          <w:szCs w:val="28"/>
          <w:lang w:eastAsia="es-ES"/>
        </w:rPr>
        <w:t xml:space="preserve">texto propuesto </w:t>
      </w:r>
      <w:r w:rsidRPr="00F2273F">
        <w:rPr>
          <w:rFonts w:ascii="Times New Roman" w:hAnsi="Times New Roman" w:cs="Times New Roman"/>
          <w:sz w:val="28"/>
          <w:szCs w:val="28"/>
          <w:lang w:eastAsia="es-ES"/>
        </w:rPr>
        <w:t>para segundo debate en la plenaria de la Cámara de Representantes</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vertAlign w:val="subscript"/>
          <w:lang w:eastAsia="es-ES"/>
        </w:rPr>
        <w:t xml:space="preserve"> </w:t>
      </w:r>
      <w:r w:rsidRPr="00F2273F">
        <w:rPr>
          <w:rFonts w:ascii="Times New Roman" w:hAnsi="Times New Roman" w:cs="Times New Roman"/>
          <w:sz w:val="28"/>
          <w:szCs w:val="28"/>
          <w:lang w:eastAsia="es-ES"/>
        </w:rPr>
        <w:t xml:space="preserve">Luego, </w:t>
      </w:r>
      <w:r w:rsidRPr="00F2273F">
        <w:rPr>
          <w:rFonts w:ascii="Times New Roman" w:eastAsia="Arial Unicode MS" w:hAnsi="Times New Roman" w:cs="Times New Roman"/>
          <w:sz w:val="28"/>
          <w:szCs w:val="28"/>
          <w:bdr w:val="nil"/>
          <w:lang w:val="es-ES"/>
        </w:rPr>
        <w:t xml:space="preserve">la plenaria del Senado negó dicha modificación, mientras que en la plenaria de la Cámara de Representantes se aprobó. Finalmente, en el texto conciliado se optó por mantener </w:t>
      </w:r>
      <w:r w:rsidRPr="00F2273F">
        <w:rPr>
          <w:rFonts w:ascii="Times New Roman" w:eastAsia="Arial Unicode MS" w:hAnsi="Times New Roman" w:cs="Times New Roman"/>
          <w:sz w:val="28"/>
          <w:szCs w:val="28"/>
          <w:bdr w:val="nil"/>
          <w:lang w:val="es-ES"/>
        </w:rPr>
        <w:t>la propuesta de</w:t>
      </w:r>
      <w:r w:rsidRPr="00F2273F">
        <w:rPr>
          <w:rFonts w:ascii="Times New Roman" w:eastAsia="Arial Unicode MS" w:hAnsi="Times New Roman" w:cs="Times New Roman"/>
          <w:sz w:val="28"/>
          <w:szCs w:val="28"/>
          <w:bdr w:val="nil"/>
          <w:lang w:val="es-ES"/>
        </w:rPr>
        <w:t xml:space="preserve"> la Cámara, esto es, </w:t>
      </w:r>
      <w:r w:rsidRPr="00F2273F">
        <w:rPr>
          <w:rFonts w:ascii="Times New Roman" w:eastAsia="Arial Unicode MS" w:hAnsi="Times New Roman" w:cs="Times New Roman"/>
          <w:sz w:val="28"/>
          <w:szCs w:val="28"/>
          <w:bdr w:val="nil"/>
          <w:lang w:val="es-ES"/>
        </w:rPr>
        <w:t xml:space="preserve">la </w:t>
      </w:r>
      <w:r w:rsidRPr="00F2273F">
        <w:rPr>
          <w:rFonts w:ascii="Times New Roman" w:eastAsia="Arial Unicode MS" w:hAnsi="Times New Roman" w:cs="Times New Roman"/>
          <w:sz w:val="28"/>
          <w:szCs w:val="28"/>
          <w:bdr w:val="nil"/>
          <w:lang w:val="es-ES"/>
        </w:rPr>
        <w:t>que inclu</w:t>
      </w:r>
      <w:r w:rsidRPr="00F2273F">
        <w:rPr>
          <w:rFonts w:ascii="Times New Roman" w:eastAsia="Arial Unicode MS" w:hAnsi="Times New Roman" w:cs="Times New Roman"/>
          <w:sz w:val="28"/>
          <w:szCs w:val="28"/>
          <w:bdr w:val="nil"/>
          <w:lang w:val="es-ES"/>
        </w:rPr>
        <w:t>ía</w:t>
      </w:r>
      <w:r w:rsidRPr="00F2273F">
        <w:rPr>
          <w:rFonts w:ascii="Times New Roman" w:eastAsia="Arial Unicode MS" w:hAnsi="Times New Roman" w:cs="Times New Roman"/>
          <w:sz w:val="28"/>
          <w:szCs w:val="28"/>
          <w:bdr w:val="nil"/>
          <w:lang w:val="es-ES"/>
        </w:rPr>
        <w:t xml:space="preserve"> las derogatorias acusada</w:t>
      </w:r>
      <w:r w:rsidRPr="00F2273F">
        <w:rPr>
          <w:rFonts w:ascii="Times New Roman" w:eastAsia="Arial Unicode MS" w:hAnsi="Times New Roman" w:cs="Times New Roman"/>
          <w:sz w:val="28"/>
          <w:szCs w:val="28"/>
          <w:bdr w:val="nil"/>
          <w:lang w:val="es-ES"/>
        </w:rPr>
        <w:t>s</w:t>
      </w:r>
      <w:r w:rsidRPr="00F2273F">
        <w:rPr>
          <w:rFonts w:ascii="Times New Roman" w:eastAsia="Arial Unicode MS" w:hAnsi="Times New Roman" w:cs="Times New Roman"/>
          <w:sz w:val="28"/>
          <w:szCs w:val="28"/>
          <w:bdr w:val="nil"/>
          <w:lang w:val="es-ES"/>
        </w:rPr>
        <w:t xml:space="preserve">. </w:t>
      </w:r>
    </w:p>
    <w:p w:rsidR="00DF1F09" w:rsidRPr="00F2273F" w:rsidRDefault="00F2273F" w:rsidP="000D58F8">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2F3710" w:rsidRPr="00F2273F" w:rsidRDefault="00F2273F" w:rsidP="00F3189C">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iCs/>
          <w:sz w:val="28"/>
          <w:szCs w:val="28"/>
        </w:rPr>
        <w:t>Ahora bien, e</w:t>
      </w:r>
      <w:r w:rsidRPr="00F2273F">
        <w:rPr>
          <w:rFonts w:ascii="Times New Roman" w:hAnsi="Times New Roman" w:cs="Times New Roman"/>
          <w:iCs/>
          <w:sz w:val="28"/>
          <w:szCs w:val="28"/>
        </w:rPr>
        <w:t xml:space="preserve">l </w:t>
      </w:r>
      <w:r w:rsidRPr="00F2273F">
        <w:rPr>
          <w:rFonts w:ascii="Times New Roman" w:hAnsi="Times New Roman" w:cs="Times New Roman"/>
          <w:sz w:val="28"/>
          <w:szCs w:val="28"/>
          <w:lang w:eastAsia="es-ES"/>
        </w:rPr>
        <w:t>Gobierno</w:t>
      </w:r>
      <w:r w:rsidRPr="00F2273F">
        <w:rPr>
          <w:rFonts w:ascii="Times New Roman" w:hAnsi="Times New Roman" w:cs="Times New Roman"/>
          <w:sz w:val="28"/>
          <w:szCs w:val="28"/>
          <w:lang w:eastAsia="es-ES"/>
        </w:rPr>
        <w:t xml:space="preserve"> nacional</w:t>
      </w:r>
      <w:r w:rsidRPr="00F2273F">
        <w:rPr>
          <w:rFonts w:ascii="Times New Roman" w:hAnsi="Times New Roman" w:cs="Times New Roman"/>
          <w:sz w:val="28"/>
          <w:szCs w:val="28"/>
          <w:lang w:eastAsia="es-ES"/>
        </w:rPr>
        <w:t xml:space="preserve"> y algunos intervinientes afirmaron que, en aplicación del principio de identidad flexible, la derogatoria incluida en el artículo 372 en segundo debate no resultó extraña ni nueva al trámite legislativo de la ley del plan. </w:t>
      </w:r>
      <w:r w:rsidRPr="00F2273F">
        <w:rPr>
          <w:rFonts w:ascii="Times New Roman" w:hAnsi="Times New Roman" w:cs="Times New Roman"/>
          <w:sz w:val="28"/>
          <w:szCs w:val="28"/>
          <w:lang w:eastAsia="es-ES"/>
        </w:rPr>
        <w:t>Explicaron que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la medida </w:t>
      </w:r>
      <w:r w:rsidRPr="00F2273F">
        <w:rPr>
          <w:rFonts w:ascii="Times New Roman" w:hAnsi="Times New Roman" w:cs="Times New Roman"/>
          <w:sz w:val="28"/>
          <w:szCs w:val="28"/>
          <w:lang w:eastAsia="es-ES"/>
        </w:rPr>
        <w:t>guardab</w:t>
      </w:r>
      <w:r w:rsidRPr="00F2273F">
        <w:rPr>
          <w:rFonts w:ascii="Times New Roman" w:hAnsi="Times New Roman" w:cs="Times New Roman"/>
          <w:sz w:val="28"/>
          <w:szCs w:val="28"/>
          <w:lang w:eastAsia="es-ES"/>
        </w:rPr>
        <w:t xml:space="preserve">a relación con </w:t>
      </w:r>
      <w:r w:rsidRPr="00F2273F">
        <w:rPr>
          <w:rFonts w:ascii="Times New Roman" w:hAnsi="Times New Roman" w:cs="Times New Roman"/>
          <w:sz w:val="28"/>
          <w:szCs w:val="28"/>
          <w:lang w:eastAsia="es-ES"/>
        </w:rPr>
        <w:t xml:space="preserve">el debate surtido en torno al </w:t>
      </w:r>
      <w:r w:rsidRPr="00F2273F">
        <w:rPr>
          <w:rFonts w:ascii="Times New Roman" w:hAnsi="Times New Roman" w:cs="Times New Roman"/>
          <w:iCs/>
          <w:sz w:val="28"/>
          <w:szCs w:val="28"/>
        </w:rPr>
        <w:t xml:space="preserve">artículo </w:t>
      </w:r>
      <w:r w:rsidRPr="00F2273F">
        <w:rPr>
          <w:rFonts w:ascii="Times New Roman" w:hAnsi="Times New Roman" w:cs="Times New Roman"/>
          <w:sz w:val="28"/>
          <w:szCs w:val="28"/>
          <w:lang w:eastAsia="es-ES"/>
        </w:rPr>
        <w:t xml:space="preserve">197 </w:t>
      </w:r>
      <w:r w:rsidRPr="00F2273F">
        <w:rPr>
          <w:rFonts w:ascii="Times New Roman" w:hAnsi="Times New Roman" w:cs="Times New Roman"/>
          <w:sz w:val="28"/>
          <w:szCs w:val="28"/>
          <w:lang w:eastAsia="es-ES"/>
        </w:rPr>
        <w:t>del proyecto de ley (</w:t>
      </w:r>
      <w:r w:rsidRPr="00F2273F">
        <w:rPr>
          <w:rFonts w:ascii="Times New Roman" w:hAnsi="Times New Roman" w:cs="Times New Roman"/>
          <w:sz w:val="28"/>
          <w:szCs w:val="28"/>
          <w:lang w:eastAsia="es-ES"/>
        </w:rPr>
        <w:t xml:space="preserve">reenumerado </w:t>
      </w:r>
      <w:r w:rsidRPr="00F2273F">
        <w:rPr>
          <w:rFonts w:ascii="Times New Roman" w:hAnsi="Times New Roman" w:cs="Times New Roman"/>
          <w:sz w:val="28"/>
          <w:szCs w:val="28"/>
          <w:lang w:eastAsia="es-ES"/>
        </w:rPr>
        <w:t xml:space="preserve">como artículo </w:t>
      </w:r>
      <w:r w:rsidRPr="00F2273F">
        <w:rPr>
          <w:rFonts w:ascii="Times New Roman" w:hAnsi="Times New Roman" w:cs="Times New Roman"/>
          <w:sz w:val="28"/>
          <w:szCs w:val="28"/>
          <w:lang w:eastAsia="es-ES"/>
        </w:rPr>
        <w:t xml:space="preserve">218 y que </w:t>
      </w:r>
      <w:r w:rsidRPr="00F2273F">
        <w:rPr>
          <w:rFonts w:ascii="Times New Roman" w:hAnsi="Times New Roman" w:cs="Times New Roman"/>
          <w:sz w:val="28"/>
          <w:szCs w:val="28"/>
          <w:lang w:eastAsia="es-ES"/>
        </w:rPr>
        <w:t xml:space="preserve">posteriormente </w:t>
      </w:r>
      <w:r w:rsidRPr="00F2273F">
        <w:rPr>
          <w:rFonts w:ascii="Times New Roman" w:hAnsi="Times New Roman" w:cs="Times New Roman"/>
          <w:sz w:val="28"/>
          <w:szCs w:val="28"/>
          <w:lang w:eastAsia="es-ES"/>
        </w:rPr>
        <w:t>fue eliminado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bCs/>
          <w:sz w:val="28"/>
          <w:szCs w:val="28"/>
        </w:rPr>
        <w:t xml:space="preserve">el cual pretendía modificar el artículo 74 de la Ley 143 de 1994 para permitir </w:t>
      </w:r>
      <w:r w:rsidRPr="00F2273F">
        <w:rPr>
          <w:rFonts w:ascii="Times New Roman" w:hAnsi="Times New Roman" w:cs="Times New Roman"/>
          <w:bCs/>
          <w:sz w:val="28"/>
          <w:szCs w:val="28"/>
        </w:rPr>
        <w:t>la</w:t>
      </w:r>
      <w:r w:rsidRPr="00F2273F">
        <w:rPr>
          <w:rFonts w:ascii="Times New Roman" w:hAnsi="Times New Roman" w:cs="Times New Roman"/>
          <w:bCs/>
          <w:sz w:val="28"/>
          <w:szCs w:val="28"/>
        </w:rPr>
        <w:t xml:space="preserve"> integración vertical entre las actividades de transmisión con las de generación</w:t>
      </w:r>
      <w:r w:rsidRPr="00F2273F">
        <w:rPr>
          <w:rFonts w:ascii="Times New Roman" w:hAnsi="Times New Roman" w:cs="Times New Roman"/>
          <w:bCs/>
          <w:sz w:val="28"/>
          <w:szCs w:val="28"/>
        </w:rPr>
        <w:t>,</w:t>
      </w:r>
      <w:r w:rsidRPr="00F2273F">
        <w:rPr>
          <w:rFonts w:ascii="Times New Roman" w:hAnsi="Times New Roman" w:cs="Times New Roman"/>
          <w:bCs/>
          <w:sz w:val="28"/>
          <w:szCs w:val="28"/>
        </w:rPr>
        <w:t xml:space="preserve"> a partir de fuentes no convencionales de energía renovable</w:t>
      </w:r>
      <w:r w:rsidRPr="00F2273F">
        <w:rPr>
          <w:rFonts w:ascii="Times New Roman" w:hAnsi="Times New Roman" w:cs="Times New Roman"/>
          <w:sz w:val="28"/>
          <w:szCs w:val="28"/>
          <w:lang w:eastAsia="es-ES"/>
        </w:rPr>
        <w:t xml:space="preserve">. </w:t>
      </w:r>
    </w:p>
    <w:p w:rsidR="004F6517" w:rsidRPr="00F2273F" w:rsidRDefault="00F2273F" w:rsidP="004F6517">
      <w:pPr>
        <w:pStyle w:val="Prrafodelista"/>
        <w:tabs>
          <w:tab w:val="left" w:pos="567"/>
        </w:tabs>
        <w:spacing w:after="0" w:line="240" w:lineRule="auto"/>
        <w:ind w:left="0"/>
        <w:jc w:val="both"/>
        <w:rPr>
          <w:rFonts w:ascii="Times New Roman" w:hAnsi="Times New Roman" w:cs="Times New Roman"/>
          <w:bCs/>
          <w:sz w:val="28"/>
          <w:szCs w:val="28"/>
        </w:rPr>
      </w:pPr>
    </w:p>
    <w:p w:rsidR="008416A1" w:rsidRPr="00F2273F" w:rsidRDefault="00F2273F" w:rsidP="00F046E2">
      <w:pPr>
        <w:pStyle w:val="Prrafodelista"/>
        <w:numPr>
          <w:ilvl w:val="0"/>
          <w:numId w:val="3"/>
        </w:numPr>
        <w:tabs>
          <w:tab w:val="left" w:pos="567"/>
        </w:tabs>
        <w:spacing w:after="0" w:line="240" w:lineRule="auto"/>
        <w:ind w:left="0" w:firstLine="0"/>
        <w:jc w:val="both"/>
        <w:rPr>
          <w:rFonts w:ascii="Times New Roman" w:hAnsi="Times New Roman" w:cs="Times New Roman"/>
          <w:bCs/>
          <w:sz w:val="28"/>
          <w:szCs w:val="28"/>
        </w:rPr>
      </w:pPr>
      <w:r w:rsidRPr="00F2273F">
        <w:rPr>
          <w:rFonts w:ascii="Times New Roman" w:hAnsi="Times New Roman" w:cs="Times New Roman"/>
          <w:sz w:val="28"/>
          <w:szCs w:val="28"/>
          <w:lang w:eastAsia="es-ES"/>
        </w:rPr>
        <w:t xml:space="preserve">Por su parte, los demandantes </w:t>
      </w:r>
      <w:r w:rsidRPr="00F2273F">
        <w:rPr>
          <w:rFonts w:ascii="Times New Roman" w:hAnsi="Times New Roman" w:cs="Times New Roman"/>
          <w:sz w:val="28"/>
          <w:szCs w:val="28"/>
          <w:lang w:eastAsia="es-ES"/>
        </w:rPr>
        <w:t xml:space="preserve">sostuvieron que </w:t>
      </w:r>
      <w:r w:rsidRPr="00F2273F">
        <w:rPr>
          <w:rFonts w:ascii="Times New Roman" w:hAnsi="Times New Roman" w:cs="Times New Roman"/>
          <w:bCs/>
          <w:sz w:val="28"/>
          <w:szCs w:val="28"/>
        </w:rPr>
        <w:t>las derogatorias</w:t>
      </w:r>
      <w:r w:rsidRPr="00F2273F">
        <w:rPr>
          <w:rFonts w:ascii="Times New Roman" w:hAnsi="Times New Roman" w:cs="Times New Roman"/>
          <w:bCs/>
          <w:sz w:val="28"/>
          <w:szCs w:val="28"/>
        </w:rPr>
        <w:t xml:space="preserve"> acusad</w:t>
      </w:r>
      <w:r w:rsidRPr="00F2273F">
        <w:rPr>
          <w:rFonts w:ascii="Times New Roman" w:hAnsi="Times New Roman" w:cs="Times New Roman"/>
          <w:bCs/>
          <w:sz w:val="28"/>
          <w:szCs w:val="28"/>
        </w:rPr>
        <w:t>a</w:t>
      </w:r>
      <w:r w:rsidRPr="00F2273F">
        <w:rPr>
          <w:rFonts w:ascii="Times New Roman" w:hAnsi="Times New Roman" w:cs="Times New Roman"/>
          <w:bCs/>
          <w:sz w:val="28"/>
          <w:szCs w:val="28"/>
        </w:rPr>
        <w:t xml:space="preserve">s </w:t>
      </w:r>
      <w:r w:rsidRPr="00F2273F">
        <w:rPr>
          <w:rFonts w:ascii="Times New Roman" w:hAnsi="Times New Roman" w:cs="Times New Roman"/>
          <w:bCs/>
          <w:sz w:val="28"/>
          <w:szCs w:val="28"/>
        </w:rPr>
        <w:t xml:space="preserve">resultaban </w:t>
      </w:r>
      <w:r w:rsidRPr="00F2273F">
        <w:rPr>
          <w:rFonts w:ascii="Times New Roman" w:hAnsi="Times New Roman" w:cs="Times New Roman"/>
          <w:bCs/>
          <w:sz w:val="28"/>
          <w:szCs w:val="28"/>
        </w:rPr>
        <w:t>accesori</w:t>
      </w:r>
      <w:r w:rsidRPr="00F2273F">
        <w:rPr>
          <w:rFonts w:ascii="Times New Roman" w:hAnsi="Times New Roman" w:cs="Times New Roman"/>
          <w:bCs/>
          <w:sz w:val="28"/>
          <w:szCs w:val="28"/>
        </w:rPr>
        <w:t>a</w:t>
      </w:r>
      <w:r w:rsidRPr="00F2273F">
        <w:rPr>
          <w:rFonts w:ascii="Times New Roman" w:hAnsi="Times New Roman" w:cs="Times New Roman"/>
          <w:bCs/>
          <w:sz w:val="28"/>
          <w:szCs w:val="28"/>
        </w:rPr>
        <w:t xml:space="preserve">s al artículo </w:t>
      </w:r>
      <w:r w:rsidRPr="00F2273F">
        <w:rPr>
          <w:rFonts w:ascii="Times New Roman" w:hAnsi="Times New Roman" w:cs="Times New Roman"/>
          <w:bCs/>
          <w:sz w:val="28"/>
          <w:szCs w:val="28"/>
        </w:rPr>
        <w:t>197/</w:t>
      </w:r>
      <w:r w:rsidRPr="00F2273F">
        <w:rPr>
          <w:rFonts w:ascii="Times New Roman" w:hAnsi="Times New Roman" w:cs="Times New Roman"/>
          <w:bCs/>
          <w:sz w:val="28"/>
          <w:szCs w:val="28"/>
        </w:rPr>
        <w:t>218 del proyecto</w:t>
      </w:r>
      <w:r w:rsidRPr="00F2273F">
        <w:rPr>
          <w:rFonts w:ascii="Times New Roman" w:hAnsi="Times New Roman" w:cs="Times New Roman"/>
          <w:bCs/>
          <w:sz w:val="28"/>
          <w:szCs w:val="28"/>
        </w:rPr>
        <w:t xml:space="preserve">, por lo que </w:t>
      </w:r>
      <w:r w:rsidRPr="00F2273F">
        <w:rPr>
          <w:rFonts w:ascii="Times New Roman" w:hAnsi="Times New Roman" w:cs="Times New Roman"/>
          <w:bCs/>
          <w:sz w:val="28"/>
          <w:szCs w:val="28"/>
        </w:rPr>
        <w:t>concluye</w:t>
      </w:r>
      <w:r w:rsidRPr="00F2273F">
        <w:rPr>
          <w:rFonts w:ascii="Times New Roman" w:hAnsi="Times New Roman" w:cs="Times New Roman"/>
          <w:bCs/>
          <w:sz w:val="28"/>
          <w:szCs w:val="28"/>
        </w:rPr>
        <w:t>ron que</w:t>
      </w:r>
      <w:r w:rsidRPr="00F2273F">
        <w:rPr>
          <w:rFonts w:ascii="Times New Roman" w:hAnsi="Times New Roman" w:cs="Times New Roman"/>
          <w:bCs/>
          <w:sz w:val="28"/>
          <w:szCs w:val="28"/>
        </w:rPr>
        <w:t xml:space="preserve"> </w:t>
      </w:r>
      <w:r w:rsidRPr="00F2273F">
        <w:rPr>
          <w:rFonts w:ascii="Times New Roman" w:hAnsi="Times New Roman" w:cs="Times New Roman"/>
          <w:bCs/>
          <w:sz w:val="28"/>
          <w:szCs w:val="28"/>
        </w:rPr>
        <w:t>el aparte demandado debería seguir idéntica suerte</w:t>
      </w:r>
      <w:r w:rsidRPr="00F2273F">
        <w:rPr>
          <w:rFonts w:ascii="Times New Roman" w:hAnsi="Times New Roman" w:cs="Times New Roman"/>
          <w:bCs/>
          <w:sz w:val="28"/>
          <w:szCs w:val="28"/>
        </w:rPr>
        <w:t xml:space="preserve">. </w:t>
      </w:r>
    </w:p>
    <w:p w:rsidR="00E27AD3" w:rsidRPr="00F2273F" w:rsidRDefault="00F2273F" w:rsidP="00E27AD3">
      <w:pPr>
        <w:pStyle w:val="Prrafodelista"/>
        <w:rPr>
          <w:rFonts w:ascii="Times New Roman" w:hAnsi="Times New Roman" w:cs="Times New Roman"/>
          <w:bCs/>
          <w:sz w:val="28"/>
          <w:szCs w:val="28"/>
        </w:rPr>
      </w:pPr>
    </w:p>
    <w:p w:rsidR="006931B9" w:rsidRPr="00F2273F" w:rsidRDefault="00F2273F" w:rsidP="005E329F">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i/>
          <w:iCs/>
          <w:sz w:val="28"/>
          <w:szCs w:val="28"/>
          <w:lang w:eastAsia="es-ES"/>
        </w:rPr>
        <w:t>Trámite del</w:t>
      </w:r>
      <w:r w:rsidRPr="00F2273F">
        <w:rPr>
          <w:rFonts w:ascii="Times New Roman" w:hAnsi="Times New Roman" w:cs="Times New Roman"/>
          <w:i/>
          <w:iCs/>
          <w:sz w:val="28"/>
          <w:szCs w:val="28"/>
        </w:rPr>
        <w:t xml:space="preserve"> artículo 197/218</w:t>
      </w:r>
      <w:r w:rsidRPr="00F2273F">
        <w:rPr>
          <w:rFonts w:ascii="Times New Roman" w:hAnsi="Times New Roman" w:cs="Times New Roman"/>
          <w:i/>
          <w:iCs/>
          <w:sz w:val="28"/>
          <w:szCs w:val="28"/>
        </w:rPr>
        <w:t xml:space="preserve"> del proyecto de ley</w:t>
      </w:r>
      <w:r w:rsidRPr="00F2273F">
        <w:rPr>
          <w:rFonts w:ascii="Times New Roman" w:hAnsi="Times New Roman" w:cs="Times New Roman"/>
          <w:i/>
          <w:iCs/>
          <w:sz w:val="28"/>
          <w:szCs w:val="28"/>
        </w:rPr>
        <w:t>.</w:t>
      </w:r>
      <w:r w:rsidRPr="00F2273F">
        <w:rPr>
          <w:rFonts w:ascii="Times New Roman" w:hAnsi="Times New Roman" w:cs="Times New Roman"/>
          <w:i/>
          <w:sz w:val="28"/>
          <w:szCs w:val="28"/>
        </w:rPr>
        <w:t xml:space="preserve"> </w:t>
      </w:r>
      <w:r w:rsidRPr="00F2273F">
        <w:rPr>
          <w:rFonts w:ascii="Times New Roman" w:hAnsi="Times New Roman" w:cs="Times New Roman"/>
          <w:sz w:val="28"/>
          <w:szCs w:val="28"/>
          <w:lang w:eastAsia="es-ES"/>
        </w:rPr>
        <w:t>Para la Sala esta discusión dentro del proceso</w:t>
      </w:r>
      <w:r w:rsidRPr="00F2273F">
        <w:rPr>
          <w:rFonts w:ascii="Times New Roman" w:hAnsi="Times New Roman" w:cs="Times New Roman"/>
          <w:sz w:val="28"/>
          <w:szCs w:val="28"/>
          <w:lang w:eastAsia="es-ES"/>
        </w:rPr>
        <w:t xml:space="preserve"> amerita hacer una referencia </w:t>
      </w:r>
      <w:r w:rsidRPr="00F2273F">
        <w:rPr>
          <w:rFonts w:ascii="Times New Roman" w:hAnsi="Times New Roman" w:cs="Times New Roman"/>
          <w:sz w:val="28"/>
          <w:szCs w:val="28"/>
          <w:lang w:eastAsia="es-ES"/>
        </w:rPr>
        <w:t>al</w:t>
      </w:r>
      <w:r w:rsidRPr="00F2273F">
        <w:rPr>
          <w:rFonts w:ascii="Times New Roman" w:hAnsi="Times New Roman" w:cs="Times New Roman"/>
          <w:sz w:val="28"/>
          <w:szCs w:val="28"/>
          <w:lang w:eastAsia="es-ES"/>
        </w:rPr>
        <w:t xml:space="preserve"> contenido</w:t>
      </w:r>
      <w:r w:rsidRPr="00F2273F">
        <w:rPr>
          <w:rFonts w:ascii="Times New Roman" w:hAnsi="Times New Roman" w:cs="Times New Roman"/>
          <w:sz w:val="28"/>
          <w:szCs w:val="28"/>
          <w:lang w:eastAsia="es-ES"/>
        </w:rPr>
        <w:t xml:space="preserve"> de dicha disposición</w:t>
      </w:r>
      <w:r w:rsidRPr="00F2273F">
        <w:rPr>
          <w:rFonts w:ascii="Times New Roman" w:hAnsi="Times New Roman" w:cs="Times New Roman"/>
          <w:sz w:val="28"/>
          <w:szCs w:val="28"/>
          <w:lang w:eastAsia="es-ES"/>
        </w:rPr>
        <w:t xml:space="preserve"> y </w:t>
      </w:r>
      <w:r w:rsidRPr="00F2273F">
        <w:rPr>
          <w:rFonts w:ascii="Times New Roman" w:hAnsi="Times New Roman" w:cs="Times New Roman"/>
          <w:sz w:val="28"/>
          <w:szCs w:val="28"/>
          <w:lang w:eastAsia="es-ES"/>
        </w:rPr>
        <w:t xml:space="preserve">al </w:t>
      </w:r>
      <w:r w:rsidRPr="00F2273F">
        <w:rPr>
          <w:rFonts w:ascii="Times New Roman" w:hAnsi="Times New Roman" w:cs="Times New Roman"/>
          <w:sz w:val="28"/>
          <w:szCs w:val="28"/>
          <w:lang w:eastAsia="es-ES"/>
        </w:rPr>
        <w:t>trámite que surtió</w:t>
      </w:r>
      <w:r w:rsidRPr="00F2273F">
        <w:rPr>
          <w:rFonts w:ascii="Times New Roman" w:hAnsi="Times New Roman" w:cs="Times New Roman"/>
          <w:sz w:val="28"/>
          <w:szCs w:val="28"/>
          <w:lang w:eastAsia="es-ES"/>
        </w:rPr>
        <w:t>.</w:t>
      </w:r>
    </w:p>
    <w:p w:rsidR="006931B9" w:rsidRPr="00F2273F" w:rsidRDefault="00F2273F" w:rsidP="006931B9">
      <w:pPr>
        <w:pStyle w:val="Prrafodelista"/>
        <w:spacing w:line="240" w:lineRule="auto"/>
        <w:rPr>
          <w:rFonts w:ascii="Times New Roman" w:hAnsi="Times New Roman" w:cs="Times New Roman"/>
          <w:sz w:val="28"/>
          <w:szCs w:val="28"/>
          <w:lang w:eastAsia="es-ES"/>
        </w:rPr>
      </w:pPr>
    </w:p>
    <w:p w:rsidR="00EE7D1E" w:rsidRPr="00F2273F" w:rsidRDefault="00F2273F" w:rsidP="00EE7D1E">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 xml:space="preserve">l proyecto de ley del plan presentado por el Gobierno </w:t>
      </w:r>
      <w:r w:rsidRPr="00F2273F">
        <w:rPr>
          <w:rFonts w:ascii="Times New Roman" w:hAnsi="Times New Roman" w:cs="Times New Roman"/>
          <w:sz w:val="28"/>
          <w:szCs w:val="28"/>
          <w:lang w:eastAsia="es-ES"/>
        </w:rPr>
        <w:t>contenía</w:t>
      </w:r>
      <w:r w:rsidRPr="00F2273F">
        <w:rPr>
          <w:rFonts w:ascii="Times New Roman" w:hAnsi="Times New Roman" w:cs="Times New Roman"/>
          <w:sz w:val="28"/>
          <w:szCs w:val="28"/>
          <w:lang w:eastAsia="es-ES"/>
        </w:rPr>
        <w:t xml:space="preserve"> desde su inicio</w:t>
      </w:r>
      <w:r w:rsidRPr="00F2273F">
        <w:rPr>
          <w:rFonts w:ascii="Times New Roman" w:hAnsi="Times New Roman" w:cs="Times New Roman"/>
          <w:sz w:val="28"/>
          <w:szCs w:val="28"/>
          <w:lang w:eastAsia="es-ES"/>
        </w:rPr>
        <w:t xml:space="preserve"> una estrategia para lograr el aumento de la competitividad en materia energética y hacer frente a la crisis que en este servicio aqueja a varias regiones del país</w:t>
      </w:r>
      <w:r w:rsidRPr="00F2273F">
        <w:rPr>
          <w:rFonts w:ascii="Times New Roman" w:hAnsi="Times New Roman" w:cs="Times New Roman"/>
          <w:sz w:val="28"/>
          <w:szCs w:val="28"/>
          <w:lang w:eastAsia="es-ES"/>
        </w:rPr>
        <w:t>, atendiendo a economías limpias y biodiversas</w:t>
      </w:r>
      <w:r w:rsidRPr="00F2273F">
        <w:rPr>
          <w:rFonts w:ascii="Times New Roman" w:hAnsi="Times New Roman" w:cs="Times New Roman"/>
          <w:sz w:val="28"/>
          <w:szCs w:val="28"/>
          <w:lang w:eastAsia="es-ES"/>
        </w:rPr>
        <w:t xml:space="preserve"> con miras a la disminución gradual de la depen</w:t>
      </w:r>
      <w:r w:rsidRPr="00F2273F">
        <w:rPr>
          <w:rFonts w:ascii="Times New Roman" w:hAnsi="Times New Roman" w:cs="Times New Roman"/>
          <w:sz w:val="28"/>
          <w:szCs w:val="28"/>
          <w:lang w:eastAsia="es-ES"/>
        </w:rPr>
        <w:t xml:space="preserve">dencia </w:t>
      </w:r>
      <w:r w:rsidRPr="00F2273F">
        <w:rPr>
          <w:rFonts w:ascii="Times New Roman" w:hAnsi="Times New Roman" w:cs="Times New Roman"/>
          <w:sz w:val="28"/>
          <w:szCs w:val="28"/>
          <w:lang w:eastAsia="es-ES"/>
        </w:rPr>
        <w:t xml:space="preserve">frente a </w:t>
      </w:r>
      <w:r w:rsidRPr="00F2273F">
        <w:rPr>
          <w:rFonts w:ascii="Times New Roman" w:hAnsi="Times New Roman" w:cs="Times New Roman"/>
          <w:sz w:val="28"/>
          <w:szCs w:val="28"/>
          <w:lang w:eastAsia="es-ES"/>
        </w:rPr>
        <w:t>combustibles fósiles</w:t>
      </w:r>
      <w:r w:rsidRPr="00F2273F">
        <w:rPr>
          <w:rFonts w:ascii="Times New Roman" w:hAnsi="Times New Roman" w:cs="Times New Roman"/>
          <w:sz w:val="28"/>
          <w:szCs w:val="28"/>
          <w:lang w:eastAsia="es-ES"/>
        </w:rPr>
        <w:t>. A partir de lo anterior, se planteó</w:t>
      </w:r>
      <w:r w:rsidRPr="00F2273F">
        <w:rPr>
          <w:rFonts w:ascii="Times New Roman" w:hAnsi="Times New Roman" w:cs="Times New Roman"/>
          <w:sz w:val="28"/>
          <w:szCs w:val="28"/>
          <w:lang w:eastAsia="es-ES"/>
        </w:rPr>
        <w:t>, entre otras</w:t>
      </w:r>
      <w:r w:rsidRPr="00F2273F">
        <w:rPr>
          <w:rFonts w:ascii="Times New Roman" w:hAnsi="Times New Roman" w:cs="Times New Roman"/>
          <w:sz w:val="28"/>
          <w:szCs w:val="28"/>
          <w:lang w:eastAsia="es-ES"/>
        </w:rPr>
        <w:t xml:space="preserve"> iniciativas</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la necesidad de hacer modificaciones en la estructura del sistema, </w:t>
      </w:r>
      <w:r w:rsidRPr="00F2273F">
        <w:rPr>
          <w:rFonts w:ascii="Times New Roman" w:hAnsi="Times New Roman" w:cs="Times New Roman"/>
          <w:sz w:val="28"/>
          <w:szCs w:val="28"/>
          <w:lang w:eastAsia="es-ES"/>
        </w:rPr>
        <w:t xml:space="preserve">así como </w:t>
      </w:r>
      <w:r w:rsidRPr="00F2273F">
        <w:rPr>
          <w:rFonts w:ascii="Times New Roman" w:hAnsi="Times New Roman" w:cs="Times New Roman"/>
          <w:sz w:val="28"/>
          <w:szCs w:val="28"/>
          <w:lang w:eastAsia="es-ES"/>
        </w:rPr>
        <w:t xml:space="preserve">en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 xml:space="preserve">regulación y </w:t>
      </w:r>
      <w:r w:rsidRPr="00F2273F">
        <w:rPr>
          <w:rFonts w:ascii="Times New Roman" w:hAnsi="Times New Roman" w:cs="Times New Roman"/>
          <w:sz w:val="28"/>
          <w:szCs w:val="28"/>
          <w:lang w:eastAsia="es-ES"/>
        </w:rPr>
        <w:t xml:space="preserve">en </w:t>
      </w: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mercado energético nacional. Específicamente, en las Ba</w:t>
      </w:r>
      <w:r w:rsidRPr="00F2273F">
        <w:rPr>
          <w:rFonts w:ascii="Times New Roman" w:hAnsi="Times New Roman" w:cs="Times New Roman"/>
          <w:sz w:val="28"/>
          <w:szCs w:val="28"/>
          <w:lang w:eastAsia="es-ES"/>
        </w:rPr>
        <w:t xml:space="preserve">ses del Plan, en el catalizador </w:t>
      </w:r>
      <w:r w:rsidRPr="00F2273F">
        <w:rPr>
          <w:rFonts w:ascii="Times New Roman" w:hAnsi="Times New Roman" w:cs="Times New Roman"/>
          <w:sz w:val="28"/>
          <w:szCs w:val="28"/>
          <w:lang w:eastAsia="es-ES"/>
        </w:rPr>
        <w:t>C</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titulado “</w:t>
      </w:r>
      <w:r w:rsidRPr="00F2273F">
        <w:rPr>
          <w:rFonts w:ascii="Times New Roman" w:hAnsi="Times New Roman" w:cs="Times New Roman"/>
          <w:i/>
          <w:iCs/>
          <w:sz w:val="28"/>
          <w:szCs w:val="28"/>
          <w:lang w:eastAsia="es-ES"/>
        </w:rPr>
        <w:t>Transición Energética Justa, segura, confiable y eficiente</w:t>
      </w:r>
      <w:r w:rsidRPr="00F2273F">
        <w:rPr>
          <w:rFonts w:ascii="Times New Roman" w:hAnsi="Times New Roman" w:cs="Times New Roman"/>
          <w:sz w:val="28"/>
          <w:szCs w:val="28"/>
          <w:lang w:eastAsia="es-ES"/>
        </w:rPr>
        <w:t>”, se anotó que “</w:t>
      </w:r>
      <w:r w:rsidRPr="00F2273F">
        <w:rPr>
          <w:rFonts w:ascii="Times New Roman" w:hAnsi="Times New Roman" w:cs="Times New Roman"/>
          <w:i/>
          <w:iCs/>
          <w:sz w:val="28"/>
          <w:szCs w:val="28"/>
          <w:lang w:eastAsia="es-ES"/>
        </w:rPr>
        <w:t xml:space="preserve">se levantará la limitación establecida en la Ley 143 de 1994 en relación con la integración de las actividades de la cadena de prestación del servicio, atendiendo a las directrices que para el caso establezca la CREG”. </w:t>
      </w:r>
    </w:p>
    <w:p w:rsidR="00EE7D1E" w:rsidRPr="00F2273F" w:rsidRDefault="00F2273F" w:rsidP="00EE7D1E">
      <w:pPr>
        <w:pStyle w:val="Prrafodelista"/>
        <w:rPr>
          <w:rFonts w:ascii="Times New Roman" w:hAnsi="Times New Roman" w:cs="Times New Roman"/>
          <w:sz w:val="28"/>
          <w:szCs w:val="28"/>
          <w:lang w:eastAsia="es-ES"/>
        </w:rPr>
      </w:pPr>
    </w:p>
    <w:p w:rsidR="00B76755" w:rsidRPr="00F2273F" w:rsidRDefault="00F2273F" w:rsidP="00EE7D1E">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De acuerdo con el Departamento Naci</w:t>
      </w:r>
      <w:r w:rsidRPr="00F2273F">
        <w:rPr>
          <w:rFonts w:ascii="Times New Roman" w:hAnsi="Times New Roman" w:cs="Times New Roman"/>
          <w:sz w:val="28"/>
          <w:szCs w:val="28"/>
          <w:lang w:eastAsia="es-ES"/>
        </w:rPr>
        <w:t>onal de Planeación</w:t>
      </w:r>
      <w:r w:rsidRPr="00F2273F">
        <w:rPr>
          <w:rFonts w:ascii="Times New Roman" w:hAnsi="Times New Roman" w:cs="Times New Roman"/>
          <w:sz w:val="28"/>
          <w:szCs w:val="28"/>
          <w:lang w:eastAsia="es-ES"/>
        </w:rPr>
        <w:t xml:space="preserve"> en su intervención</w:t>
      </w:r>
      <w:r w:rsidRPr="00F2273F">
        <w:rPr>
          <w:rFonts w:ascii="Times New Roman" w:hAnsi="Times New Roman" w:cs="Times New Roman"/>
          <w:sz w:val="28"/>
          <w:szCs w:val="28"/>
          <w:lang w:eastAsia="es-ES"/>
        </w:rPr>
        <w:t>, e</w:t>
      </w:r>
      <w:r w:rsidRPr="00F2273F">
        <w:rPr>
          <w:rFonts w:ascii="Times New Roman" w:hAnsi="Times New Roman" w:cs="Times New Roman"/>
          <w:sz w:val="28"/>
          <w:szCs w:val="28"/>
          <w:lang w:eastAsia="es-ES"/>
        </w:rPr>
        <w:t xml:space="preserve">l artículo 197 del </w:t>
      </w:r>
      <w:r w:rsidRPr="00F2273F">
        <w:rPr>
          <w:rFonts w:ascii="Times New Roman" w:hAnsi="Times New Roman" w:cs="Times New Roman"/>
          <w:sz w:val="28"/>
          <w:szCs w:val="28"/>
          <w:lang w:eastAsia="es-ES"/>
        </w:rPr>
        <w:t xml:space="preserve">proyecto de ley </w:t>
      </w:r>
      <w:r w:rsidRPr="00F2273F">
        <w:rPr>
          <w:rFonts w:ascii="Times New Roman" w:hAnsi="Times New Roman" w:cs="Times New Roman"/>
          <w:sz w:val="28"/>
          <w:szCs w:val="28"/>
          <w:lang w:eastAsia="es-ES"/>
        </w:rPr>
        <w:t>tuvo como propósito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“[levantar] la limitación establecida en la Ley 143 de 1994 en relación con la integración de las actividades de la cadena de prestación del servicio”</w:t>
      </w:r>
      <w:r w:rsidRPr="00F2273F">
        <w:rPr>
          <w:rStyle w:val="Refdenotaalpie"/>
          <w:rFonts w:ascii="Times New Roman" w:hAnsi="Times New Roman" w:cs="Times New Roman"/>
          <w:sz w:val="28"/>
          <w:szCs w:val="28"/>
          <w:lang w:eastAsia="es-ES"/>
        </w:rPr>
        <w:footnoteReference w:id="114"/>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El texto</w:t>
      </w:r>
      <w:r w:rsidRPr="00F2273F">
        <w:rPr>
          <w:rFonts w:ascii="Times New Roman" w:hAnsi="Times New Roman" w:cs="Times New Roman"/>
          <w:sz w:val="28"/>
          <w:szCs w:val="28"/>
          <w:lang w:eastAsia="es-ES"/>
        </w:rPr>
        <w:t xml:space="preserve"> propuesto fue el siguiente:</w:t>
      </w:r>
    </w:p>
    <w:p w:rsidR="00B76755" w:rsidRPr="00F2273F" w:rsidRDefault="00F2273F" w:rsidP="00B76755">
      <w:pPr>
        <w:pStyle w:val="Prrafodelista"/>
        <w:rPr>
          <w:rFonts w:ascii="Times New Roman" w:hAnsi="Times New Roman" w:cs="Times New Roman"/>
          <w:sz w:val="28"/>
          <w:szCs w:val="28"/>
          <w:lang w:eastAsia="es-ES"/>
        </w:rPr>
      </w:pP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w:t>
      </w:r>
      <w:r w:rsidRPr="00F2273F">
        <w:rPr>
          <w:rFonts w:ascii="Times New Roman" w:hAnsi="Times New Roman" w:cs="Times New Roman"/>
          <w:sz w:val="28"/>
          <w:szCs w:val="24"/>
          <w:lang w:eastAsia="es-ES"/>
        </w:rPr>
        <w:t xml:space="preserve">ARTÍCULO 197. Modifíquese el artículo 74 de la Ley 143 de 1994, el cual quedará así: </w:t>
      </w: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Artículo 74. Con el fin de promover la eficiencia en la prestación del servicio público domiciliario de energía eléctrica, incentivar la ejecución de proyectos para ampliar la cobertura de este servicio e impulsar el desarrollo y la adopción de nuevas tecn</w:t>
      </w:r>
      <w:r w:rsidRPr="00F2273F">
        <w:rPr>
          <w:rFonts w:ascii="Times New Roman" w:hAnsi="Times New Roman" w:cs="Times New Roman"/>
          <w:sz w:val="28"/>
          <w:szCs w:val="24"/>
          <w:lang w:eastAsia="es-ES"/>
        </w:rPr>
        <w:t>ologías, las empresas que ejerzan actividades del servicio público de energía eléctrica podrán desarrollar, de manera integrada, las actividades de generación, transmisión, distribución y comercialización de energía eléctrica, así como las nuevas actividad</w:t>
      </w:r>
      <w:r w:rsidRPr="00F2273F">
        <w:rPr>
          <w:rFonts w:ascii="Times New Roman" w:hAnsi="Times New Roman" w:cs="Times New Roman"/>
          <w:sz w:val="28"/>
          <w:szCs w:val="24"/>
          <w:lang w:eastAsia="es-ES"/>
        </w:rPr>
        <w:t>es que la Comisión de Regulación de Energía y Gas creen o asimilen. Esta disposición aplicará también para las empresas que tengan la misma controlante o entre las cuales exista situación de control en los términos del artículo 260 del Código de Comercio y</w:t>
      </w:r>
      <w:r w:rsidRPr="00F2273F">
        <w:rPr>
          <w:rFonts w:ascii="Times New Roman" w:hAnsi="Times New Roman" w:cs="Times New Roman"/>
          <w:sz w:val="28"/>
          <w:szCs w:val="24"/>
          <w:lang w:eastAsia="es-ES"/>
        </w:rPr>
        <w:t xml:space="preserve"> el artículo 45 del Decreto 2153 de 1992, o las normas que lo reglamenten, modifiquen o sustituyan. </w:t>
      </w: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El ejercicio de las actividades de generación y transmisión de manera integrada sólo estará permitido cuando la generación de energía eléctrica se realice</w:t>
      </w:r>
      <w:r w:rsidRPr="00F2273F">
        <w:rPr>
          <w:rFonts w:ascii="Times New Roman" w:hAnsi="Times New Roman" w:cs="Times New Roman"/>
          <w:sz w:val="28"/>
          <w:szCs w:val="24"/>
          <w:lang w:eastAsia="es-ES"/>
        </w:rPr>
        <w:t xml:space="preserve"> a partir de fuentes no convencionales de energía renovable. Esta restricción no aplica para aquellas empresas que ejercen las actividades de generación y transmisión desde antes de la vigencia de las leyes 142 y 143 de 1994.</w:t>
      </w: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p>
    <w:p w:rsidR="008A11D9"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 xml:space="preserve">La Comisión de Regulación de </w:t>
      </w:r>
      <w:r w:rsidRPr="00F2273F">
        <w:rPr>
          <w:rFonts w:ascii="Times New Roman" w:hAnsi="Times New Roman" w:cs="Times New Roman"/>
          <w:sz w:val="28"/>
          <w:szCs w:val="24"/>
          <w:lang w:eastAsia="es-ES"/>
        </w:rPr>
        <w:t>Energía y Gas regulará el ejercicio integrado de las actividades de generación, transmisión, distribución y comercialización de energía eléctrica, incluyendo las nuevas actividades que se creen o asimilen por parte de la autoridad competente, a fin de prom</w:t>
      </w:r>
      <w:r w:rsidRPr="00F2273F">
        <w:rPr>
          <w:rFonts w:ascii="Times New Roman" w:hAnsi="Times New Roman" w:cs="Times New Roman"/>
          <w:sz w:val="28"/>
          <w:szCs w:val="24"/>
          <w:lang w:eastAsia="es-ES"/>
        </w:rPr>
        <w:t>over la competencia, así como prevenir y mitigar eventuales conflictos de interés. La regulación deberá contemplar medidas para la adecuada implementación de lo dispuesto en el presente artículo, en relación con la concurrencia de actividades realizadas de</w:t>
      </w:r>
      <w:r w:rsidRPr="00F2273F">
        <w:rPr>
          <w:rFonts w:ascii="Times New Roman" w:hAnsi="Times New Roman" w:cs="Times New Roman"/>
          <w:sz w:val="28"/>
          <w:szCs w:val="24"/>
          <w:lang w:eastAsia="es-ES"/>
        </w:rPr>
        <w:t xml:space="preserve"> manera integrada por una misma empresa o por empresas con el mismo controlante o entre las cuales exista situación de control, considerando posibles conflictos de interés, conductas anticompetitivas, abusos de posición dominante, concentración del mercado</w:t>
      </w:r>
      <w:r w:rsidRPr="00F2273F">
        <w:rPr>
          <w:rFonts w:ascii="Times New Roman" w:hAnsi="Times New Roman" w:cs="Times New Roman"/>
          <w:sz w:val="28"/>
          <w:szCs w:val="24"/>
          <w:lang w:eastAsia="es-ES"/>
        </w:rPr>
        <w:t xml:space="preserve">, posibles riesgos sistémicos y demás condiciones que busquen proteger a los usuarios finales y la prestación del servicio. </w:t>
      </w:r>
    </w:p>
    <w:p w:rsidR="008A11D9"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p>
    <w:p w:rsidR="008A11D9"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 xml:space="preserve">Las integraciones de las empresas que desarrollan las actividades de que trata este artículo se someterán a lo dispuesto en los artículos 4 de la Ley 155 de 1959 y 10 y siguientes de la Ley 1340 de 2009. </w:t>
      </w:r>
    </w:p>
    <w:p w:rsidR="008A11D9"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p>
    <w:p w:rsidR="00B76755" w:rsidRPr="00F2273F" w:rsidRDefault="00F2273F" w:rsidP="008A11D9">
      <w:pPr>
        <w:pStyle w:val="Prrafodelista"/>
        <w:shd w:val="clear" w:color="auto" w:fill="FFFFFF"/>
        <w:spacing w:after="0" w:line="240" w:lineRule="auto"/>
        <w:ind w:left="709" w:right="48"/>
        <w:jc w:val="both"/>
        <w:textAlignment w:val="baseline"/>
        <w:rPr>
          <w:rFonts w:ascii="Times New Roman" w:hAnsi="Times New Roman" w:cs="Times New Roman"/>
          <w:sz w:val="28"/>
          <w:szCs w:val="24"/>
          <w:lang w:eastAsia="es-ES"/>
        </w:rPr>
      </w:pPr>
      <w:r w:rsidRPr="00F2273F">
        <w:rPr>
          <w:rFonts w:ascii="Times New Roman" w:hAnsi="Times New Roman" w:cs="Times New Roman"/>
          <w:sz w:val="28"/>
          <w:szCs w:val="24"/>
          <w:lang w:eastAsia="es-ES"/>
        </w:rPr>
        <w:t>PARÁGRAFO. Ninguna empresa de servicios públicos d</w:t>
      </w:r>
      <w:r w:rsidRPr="00F2273F">
        <w:rPr>
          <w:rFonts w:ascii="Times New Roman" w:hAnsi="Times New Roman" w:cs="Times New Roman"/>
          <w:sz w:val="28"/>
          <w:szCs w:val="24"/>
          <w:lang w:eastAsia="es-ES"/>
        </w:rPr>
        <w:t xml:space="preserve">omiciliarios, que además de la comercialización de energía desarrolle de manera integrada otras actividades y que represente más del 25% del total de la demanda del Sistema Interconectado Nacional, podrá cubrir con energía propia o con energía de filiales </w:t>
      </w:r>
      <w:r w:rsidRPr="00F2273F">
        <w:rPr>
          <w:rFonts w:ascii="Times New Roman" w:hAnsi="Times New Roman" w:cs="Times New Roman"/>
          <w:sz w:val="28"/>
          <w:szCs w:val="24"/>
          <w:lang w:eastAsia="es-ES"/>
        </w:rPr>
        <w:t xml:space="preserve">o empresas controladas, más del 40% de la energía requerida para atender la demanda de su mercado regulado. Esta restricción no aplicará a los contratos que sean suscritos como consecuencia de procesos competitivos en los que expresamente el Ministerio de </w:t>
      </w:r>
      <w:r w:rsidRPr="00F2273F">
        <w:rPr>
          <w:rFonts w:ascii="Times New Roman" w:hAnsi="Times New Roman" w:cs="Times New Roman"/>
          <w:sz w:val="28"/>
          <w:szCs w:val="24"/>
          <w:lang w:eastAsia="es-ES"/>
        </w:rPr>
        <w:t>Minas y Energía o la Comisión de Regulación de Energía y Gas, hubieren dispuesto que estarían exceptuados de esta restricción. El Gobierno nacional o la Comisión de Regulación de Energía y Gas en ejercicio de las funciones delegadas, podrá establecer un po</w:t>
      </w:r>
      <w:r w:rsidRPr="00F2273F">
        <w:rPr>
          <w:rFonts w:ascii="Times New Roman" w:hAnsi="Times New Roman" w:cs="Times New Roman"/>
          <w:sz w:val="28"/>
          <w:szCs w:val="24"/>
          <w:lang w:eastAsia="es-ES"/>
        </w:rPr>
        <w:t>rcentaje inferior a este 40%</w:t>
      </w:r>
      <w:r w:rsidRPr="00F2273F">
        <w:rPr>
          <w:rFonts w:ascii="Times New Roman" w:hAnsi="Times New Roman" w:cs="Times New Roman"/>
          <w:sz w:val="28"/>
          <w:szCs w:val="24"/>
          <w:lang w:eastAsia="es-ES"/>
        </w:rPr>
        <w:t>”.</w:t>
      </w:r>
    </w:p>
    <w:p w:rsidR="00B76755" w:rsidRPr="00F2273F" w:rsidRDefault="00F2273F" w:rsidP="00B76755">
      <w:pPr>
        <w:pStyle w:val="Prrafodelista"/>
        <w:rPr>
          <w:rFonts w:ascii="Times New Roman" w:hAnsi="Times New Roman" w:cs="Times New Roman"/>
          <w:sz w:val="28"/>
          <w:szCs w:val="24"/>
          <w:lang w:eastAsia="es-ES"/>
        </w:rPr>
      </w:pPr>
    </w:p>
    <w:p w:rsidR="008A11D9" w:rsidRPr="00F2273F" w:rsidRDefault="00F2273F" w:rsidP="00EE7D1E">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Para una mejor comprensión del cambio que se pretendía con este artículo, a continuación se expone</w:t>
      </w:r>
      <w:r w:rsidRPr="00F2273F">
        <w:rPr>
          <w:rFonts w:ascii="Times New Roman" w:hAnsi="Times New Roman" w:cs="Times New Roman"/>
          <w:sz w:val="28"/>
          <w:szCs w:val="28"/>
          <w:lang w:eastAsia="es-ES"/>
        </w:rPr>
        <w:t>n</w:t>
      </w:r>
      <w:r w:rsidRPr="00F2273F">
        <w:rPr>
          <w:rFonts w:ascii="Times New Roman" w:hAnsi="Times New Roman" w:cs="Times New Roman"/>
          <w:sz w:val="28"/>
          <w:szCs w:val="28"/>
          <w:lang w:eastAsia="es-ES"/>
        </w:rPr>
        <w:t xml:space="preserve"> los aspectos más relevantes</w:t>
      </w:r>
      <w:r w:rsidRPr="00F2273F">
        <w:rPr>
          <w:rFonts w:ascii="Times New Roman" w:hAnsi="Times New Roman" w:cs="Times New Roman"/>
          <w:sz w:val="28"/>
          <w:szCs w:val="28"/>
          <w:lang w:eastAsia="es-ES"/>
        </w:rPr>
        <w:t xml:space="preserve"> y </w:t>
      </w: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estado actual del artículo 74 de la Ley 143</w:t>
      </w:r>
      <w:r w:rsidRPr="00F2273F">
        <w:rPr>
          <w:rFonts w:ascii="Times New Roman" w:hAnsi="Times New Roman" w:cs="Times New Roman"/>
          <w:sz w:val="28"/>
          <w:szCs w:val="28"/>
          <w:lang w:eastAsia="es-ES"/>
        </w:rPr>
        <w:t xml:space="preserve"> de 1994</w:t>
      </w:r>
      <w:r w:rsidRPr="00F2273F">
        <w:rPr>
          <w:rFonts w:ascii="Times New Roman" w:hAnsi="Times New Roman" w:cs="Times New Roman"/>
          <w:sz w:val="28"/>
          <w:szCs w:val="28"/>
          <w:lang w:eastAsia="es-ES"/>
        </w:rPr>
        <w:t>:</w:t>
      </w:r>
    </w:p>
    <w:p w:rsidR="004F6517" w:rsidRPr="00F2273F" w:rsidRDefault="00F2273F" w:rsidP="009B38B7">
      <w:pPr>
        <w:pStyle w:val="Prrafodelista"/>
        <w:shd w:val="clear" w:color="auto" w:fill="FFFFFF"/>
        <w:spacing w:after="0" w:line="240" w:lineRule="auto"/>
        <w:ind w:left="0" w:right="48"/>
        <w:textAlignment w:val="baseline"/>
        <w:rPr>
          <w:rFonts w:ascii="Times New Roman" w:hAnsi="Times New Roman" w:cs="Times New Roman"/>
          <w:b/>
          <w:bCs/>
          <w:sz w:val="28"/>
          <w:szCs w:val="28"/>
          <w:lang w:eastAsia="es-ES"/>
        </w:rPr>
      </w:pPr>
    </w:p>
    <w:p w:rsidR="002D6924" w:rsidRPr="00F2273F" w:rsidRDefault="00F2273F" w:rsidP="002D6924">
      <w:pPr>
        <w:pStyle w:val="Prrafodelista"/>
        <w:shd w:val="clear" w:color="auto" w:fill="FFFFFF"/>
        <w:spacing w:after="0" w:line="240" w:lineRule="auto"/>
        <w:ind w:left="0" w:right="48"/>
        <w:jc w:val="center"/>
        <w:textAlignment w:val="baseline"/>
        <w:rPr>
          <w:rFonts w:ascii="Times New Roman" w:hAnsi="Times New Roman" w:cs="Times New Roman"/>
          <w:i/>
          <w:iCs/>
          <w:sz w:val="28"/>
          <w:lang w:eastAsia="es-ES"/>
        </w:rPr>
      </w:pPr>
      <w:r w:rsidRPr="00F2273F">
        <w:rPr>
          <w:rFonts w:ascii="Times New Roman" w:hAnsi="Times New Roman" w:cs="Times New Roman"/>
          <w:b/>
          <w:bCs/>
          <w:sz w:val="28"/>
          <w:lang w:eastAsia="es-ES"/>
        </w:rPr>
        <w:t>Gráfico 1</w:t>
      </w:r>
      <w:r w:rsidRPr="00F2273F">
        <w:rPr>
          <w:rFonts w:ascii="Times New Roman" w:hAnsi="Times New Roman" w:cs="Times New Roman"/>
          <w:i/>
          <w:iCs/>
          <w:sz w:val="28"/>
          <w:lang w:eastAsia="es-ES"/>
        </w:rPr>
        <w:t xml:space="preserve">. Evolución del artículo 74 </w:t>
      </w:r>
      <w:r w:rsidRPr="00F2273F">
        <w:rPr>
          <w:rFonts w:ascii="Times New Roman" w:hAnsi="Times New Roman" w:cs="Times New Roman"/>
          <w:i/>
          <w:iCs/>
          <w:sz w:val="28"/>
          <w:lang w:eastAsia="es-ES"/>
        </w:rPr>
        <w:t>de la Ley 143 de 1994</w:t>
      </w:r>
    </w:p>
    <w:p w:rsidR="002D6924" w:rsidRPr="00F2273F" w:rsidRDefault="00F2273F" w:rsidP="002D6924">
      <w:pPr>
        <w:pStyle w:val="Prrafodelista"/>
        <w:shd w:val="clear" w:color="auto" w:fill="FFFFFF"/>
        <w:spacing w:after="0" w:line="240" w:lineRule="auto"/>
        <w:ind w:left="0" w:right="48"/>
        <w:jc w:val="center"/>
        <w:textAlignment w:val="baseline"/>
        <w:rPr>
          <w:rFonts w:ascii="Times New Roman" w:hAnsi="Times New Roman" w:cs="Times New Roman"/>
          <w:i/>
          <w:iCs/>
          <w:sz w:val="28"/>
          <w:lang w:eastAsia="es-ES"/>
        </w:rPr>
      </w:pPr>
      <w:r w:rsidRPr="00F2273F">
        <w:rPr>
          <w:rFonts w:ascii="Times New Roman" w:hAnsi="Times New Roman" w:cs="Times New Roman"/>
          <w:i/>
          <w:iCs/>
          <w:sz w:val="28"/>
          <w:lang w:eastAsia="es-ES"/>
        </w:rPr>
        <w:t>Elaboración propia</w:t>
      </w:r>
    </w:p>
    <w:p w:rsidR="008A11D9" w:rsidRPr="00F2273F" w:rsidRDefault="00F2273F" w:rsidP="008A11D9">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r w:rsidRPr="00F2273F">
        <w:rPr>
          <w:rFonts w:ascii="Times New Roman" w:hAnsi="Times New Roman" w:cs="Times New Roman"/>
          <w:noProof/>
          <w:sz w:val="28"/>
          <w:szCs w:val="28"/>
          <w:lang w:eastAsia="es-ES"/>
        </w:rPr>
        <w:drawing>
          <wp:inline distT="0" distB="0" distL="0" distR="0" wp14:anchorId="7CCDFF72" wp14:editId="5CC41730">
            <wp:extent cx="5612130" cy="5267325"/>
            <wp:effectExtent l="0" t="0" r="0" b="0"/>
            <wp:docPr id="2" name="Diagrama 1">
              <a:extLst xmlns:a="http://schemas.openxmlformats.org/drawingml/2006/main">
                <a:ext uri="{FF2B5EF4-FFF2-40B4-BE49-F238E27FC236}">
                  <a16:creationId xmlns:a16="http://schemas.microsoft.com/office/drawing/2014/main" id="{0239A14E-A663-9F11-6BFC-6E33282B81B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B8755D" w:rsidRPr="00F2273F" w:rsidRDefault="00F2273F" w:rsidP="00B8755D">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A partir de </w:t>
      </w:r>
      <w:r w:rsidRPr="00F2273F">
        <w:rPr>
          <w:rFonts w:ascii="Times New Roman" w:hAnsi="Times New Roman" w:cs="Times New Roman"/>
          <w:sz w:val="28"/>
          <w:szCs w:val="28"/>
          <w:lang w:eastAsia="es-ES"/>
        </w:rPr>
        <w:t>lo expresado</w:t>
      </w:r>
      <w:r w:rsidRPr="00F2273F">
        <w:rPr>
          <w:rFonts w:ascii="Times New Roman" w:hAnsi="Times New Roman" w:cs="Times New Roman"/>
          <w:sz w:val="28"/>
          <w:szCs w:val="28"/>
          <w:lang w:eastAsia="es-ES"/>
        </w:rPr>
        <w:t xml:space="preserve">, la Sala concluye que </w:t>
      </w:r>
      <w:r w:rsidRPr="00F2273F">
        <w:rPr>
          <w:rFonts w:ascii="Times New Roman" w:hAnsi="Times New Roman" w:cs="Times New Roman"/>
          <w:sz w:val="28"/>
          <w:szCs w:val="28"/>
          <w:lang w:eastAsia="es-ES"/>
        </w:rPr>
        <w:t>el</w:t>
      </w:r>
      <w:r w:rsidRPr="00F2273F">
        <w:rPr>
          <w:rFonts w:ascii="Times New Roman" w:hAnsi="Times New Roman" w:cs="Times New Roman"/>
          <w:sz w:val="28"/>
          <w:szCs w:val="28"/>
          <w:lang w:eastAsia="es-ES"/>
        </w:rPr>
        <w:t xml:space="preserve"> artículo </w:t>
      </w:r>
      <w:r w:rsidRPr="00F2273F">
        <w:rPr>
          <w:rFonts w:ascii="Times New Roman" w:hAnsi="Times New Roman" w:cs="Times New Roman"/>
          <w:sz w:val="28"/>
          <w:szCs w:val="28"/>
          <w:lang w:eastAsia="es-ES"/>
        </w:rPr>
        <w:t xml:space="preserve">197/218 </w:t>
      </w:r>
      <w:r w:rsidRPr="00F2273F">
        <w:rPr>
          <w:rFonts w:ascii="Times New Roman" w:hAnsi="Times New Roman" w:cs="Times New Roman"/>
          <w:sz w:val="28"/>
          <w:szCs w:val="28"/>
          <w:lang w:eastAsia="es-ES"/>
        </w:rPr>
        <w:t xml:space="preserve">contenido en el </w:t>
      </w:r>
      <w:r w:rsidRPr="00F2273F">
        <w:rPr>
          <w:rFonts w:ascii="Times New Roman" w:hAnsi="Times New Roman" w:cs="Times New Roman"/>
          <w:sz w:val="28"/>
          <w:szCs w:val="28"/>
          <w:lang w:eastAsia="es-ES"/>
        </w:rPr>
        <w:t xml:space="preserve">proyecto de ley del </w:t>
      </w:r>
      <w:r w:rsidRPr="00F2273F">
        <w:rPr>
          <w:rFonts w:ascii="Times New Roman" w:hAnsi="Times New Roman" w:cs="Times New Roman"/>
          <w:sz w:val="28"/>
          <w:szCs w:val="28"/>
          <w:lang w:eastAsia="es-ES"/>
        </w:rPr>
        <w:t>plan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pretendía </w:t>
      </w:r>
      <w:r w:rsidRPr="00F2273F">
        <w:rPr>
          <w:rFonts w:ascii="Times New Roman" w:hAnsi="Times New Roman" w:cs="Times New Roman"/>
          <w:sz w:val="28"/>
          <w:szCs w:val="28"/>
          <w:lang w:eastAsia="es-ES"/>
        </w:rPr>
        <w:t xml:space="preserve">modificar </w:t>
      </w:r>
      <w:r w:rsidRPr="00F2273F">
        <w:rPr>
          <w:rFonts w:ascii="Times New Roman" w:hAnsi="Times New Roman" w:cs="Times New Roman"/>
          <w:sz w:val="28"/>
          <w:szCs w:val="28"/>
          <w:lang w:eastAsia="es-ES"/>
        </w:rPr>
        <w:t xml:space="preserve">el artículo 74 de la Ley 143 de 1994, que regula la operación de nuevos agentes en el mercado energético y la libre competencia y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eficiencia</w:t>
      </w:r>
      <w:r w:rsidRPr="00F2273F">
        <w:rPr>
          <w:rFonts w:ascii="Times New Roman" w:hAnsi="Times New Roman" w:cs="Times New Roman"/>
          <w:sz w:val="28"/>
          <w:szCs w:val="28"/>
          <w:lang w:eastAsia="es-ES"/>
        </w:rPr>
        <w:t xml:space="preserve"> en el sector</w:t>
      </w:r>
      <w:r w:rsidRPr="00F2273F">
        <w:rPr>
          <w:rFonts w:ascii="Times New Roman" w:hAnsi="Times New Roman" w:cs="Times New Roman"/>
          <w:sz w:val="28"/>
          <w:szCs w:val="28"/>
          <w:lang w:eastAsia="es-ES"/>
        </w:rPr>
        <w:t xml:space="preserve">, con </w:t>
      </w:r>
      <w:r w:rsidRPr="00F2273F">
        <w:rPr>
          <w:rFonts w:ascii="Times New Roman" w:hAnsi="Times New Roman" w:cs="Times New Roman"/>
          <w:sz w:val="28"/>
          <w:szCs w:val="28"/>
          <w:lang w:eastAsia="es-ES"/>
        </w:rPr>
        <w:t xml:space="preserve">el propósito </w:t>
      </w:r>
      <w:r w:rsidRPr="00F2273F">
        <w:rPr>
          <w:rFonts w:ascii="Times New Roman" w:hAnsi="Times New Roman" w:cs="Times New Roman"/>
          <w:sz w:val="28"/>
          <w:szCs w:val="28"/>
          <w:lang w:eastAsia="es-ES"/>
        </w:rPr>
        <w:t>de levantar la barrera normativa</w:t>
      </w:r>
      <w:r w:rsidRPr="00F2273F">
        <w:rPr>
          <w:rFonts w:ascii="Times New Roman" w:hAnsi="Times New Roman" w:cs="Times New Roman"/>
          <w:sz w:val="28"/>
          <w:szCs w:val="28"/>
          <w:lang w:eastAsia="es-ES"/>
        </w:rPr>
        <w:t xml:space="preserve"> y </w:t>
      </w:r>
      <w:r w:rsidRPr="00F2273F">
        <w:rPr>
          <w:rFonts w:ascii="Times New Roman" w:hAnsi="Times New Roman" w:cs="Times New Roman"/>
          <w:sz w:val="28"/>
          <w:szCs w:val="28"/>
          <w:lang w:eastAsia="es-ES"/>
        </w:rPr>
        <w:t xml:space="preserve">viabilizar la </w:t>
      </w:r>
      <w:r w:rsidRPr="00F2273F">
        <w:rPr>
          <w:rFonts w:ascii="Times New Roman" w:hAnsi="Times New Roman" w:cs="Times New Roman"/>
          <w:sz w:val="28"/>
          <w:szCs w:val="28"/>
          <w:lang w:eastAsia="es-ES"/>
        </w:rPr>
        <w:t>consecuente permisión de</w:t>
      </w:r>
      <w:r w:rsidRPr="00F2273F">
        <w:rPr>
          <w:rFonts w:ascii="Times New Roman" w:hAnsi="Times New Roman" w:cs="Times New Roman"/>
          <w:sz w:val="28"/>
          <w:szCs w:val="28"/>
          <w:lang w:eastAsia="es-ES"/>
        </w:rPr>
        <w:t xml:space="preserve"> la integración vertical </w:t>
      </w:r>
      <w:r w:rsidRPr="00F2273F">
        <w:rPr>
          <w:rFonts w:ascii="Times New Roman" w:hAnsi="Times New Roman" w:cs="Times New Roman"/>
          <w:sz w:val="28"/>
          <w:szCs w:val="28"/>
          <w:lang w:eastAsia="es-ES"/>
        </w:rPr>
        <w:t xml:space="preserve">entre </w:t>
      </w:r>
      <w:r w:rsidRPr="00F2273F">
        <w:rPr>
          <w:rFonts w:ascii="Times New Roman" w:hAnsi="Times New Roman" w:cs="Times New Roman"/>
          <w:sz w:val="28"/>
          <w:szCs w:val="28"/>
          <w:lang w:eastAsia="es-ES"/>
        </w:rPr>
        <w:t>las actividades de generación</w:t>
      </w:r>
      <w:r w:rsidRPr="00F2273F">
        <w:rPr>
          <w:rFonts w:ascii="Times New Roman" w:hAnsi="Times New Roman" w:cs="Times New Roman"/>
          <w:sz w:val="28"/>
          <w:szCs w:val="28"/>
          <w:lang w:eastAsia="es-ES"/>
        </w:rPr>
        <w:t xml:space="preserve"> y</w:t>
      </w:r>
      <w:r w:rsidRPr="00F2273F">
        <w:rPr>
          <w:rFonts w:ascii="Times New Roman" w:hAnsi="Times New Roman" w:cs="Times New Roman"/>
          <w:sz w:val="28"/>
          <w:szCs w:val="28"/>
          <w:lang w:eastAsia="es-ES"/>
        </w:rPr>
        <w:t xml:space="preserve"> transmisión</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cuando la generación de energía eléctrica se realice a partir de FNCER.</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Esto, en línea con el catalizador </w:t>
      </w:r>
      <w:r w:rsidRPr="00F2273F">
        <w:rPr>
          <w:rFonts w:ascii="Times New Roman" w:hAnsi="Times New Roman" w:cs="Times New Roman"/>
          <w:sz w:val="28"/>
          <w:szCs w:val="28"/>
          <w:lang w:eastAsia="es-ES"/>
        </w:rPr>
        <w:t>“</w:t>
      </w:r>
      <w:r w:rsidRPr="00F2273F">
        <w:rPr>
          <w:rFonts w:ascii="Times New Roman" w:hAnsi="Times New Roman" w:cs="Times New Roman"/>
          <w:i/>
          <w:iCs/>
          <w:sz w:val="28"/>
          <w:szCs w:val="28"/>
          <w:lang w:eastAsia="es-ES"/>
        </w:rPr>
        <w:t>Transición Energética Justa, segura, confiable y eficiente</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y que hace parte del eje </w:t>
      </w:r>
      <w:r w:rsidRPr="00F2273F">
        <w:rPr>
          <w:rFonts w:ascii="Times New Roman" w:hAnsi="Times New Roman" w:cs="Times New Roman"/>
          <w:i/>
          <w:iCs/>
          <w:sz w:val="28"/>
          <w:szCs w:val="28"/>
          <w:lang w:eastAsia="es-ES"/>
        </w:rPr>
        <w:t>Transformación Productiva, Internacionalización y Acción Climática</w:t>
      </w:r>
      <w:r w:rsidRPr="00F2273F">
        <w:rPr>
          <w:rFonts w:ascii="Times New Roman" w:hAnsi="Times New Roman" w:cs="Times New Roman"/>
          <w:sz w:val="28"/>
          <w:szCs w:val="28"/>
          <w:lang w:eastAsia="es-ES"/>
        </w:rPr>
        <w:t xml:space="preserve"> del PND.</w:t>
      </w:r>
    </w:p>
    <w:p w:rsidR="00BC2995" w:rsidRPr="00F2273F" w:rsidRDefault="00F2273F" w:rsidP="00BC2995">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FC645F" w:rsidRPr="00F2273F" w:rsidRDefault="00F2273F" w:rsidP="002D4B55">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En lo que tiene que ver con el trámite legislativo de este artículo, debe resaltarse que</w:t>
      </w:r>
      <w:r w:rsidRPr="00F2273F">
        <w:rPr>
          <w:rFonts w:ascii="Times New Roman" w:hAnsi="Times New Roman" w:cs="Times New Roman"/>
          <w:sz w:val="28"/>
          <w:szCs w:val="28"/>
          <w:lang w:eastAsia="es-ES"/>
        </w:rPr>
        <w:t xml:space="preserve"> para su aprobación </w:t>
      </w:r>
      <w:r w:rsidRPr="00F2273F">
        <w:rPr>
          <w:rFonts w:ascii="Times New Roman" w:hAnsi="Times New Roman" w:cs="Times New Roman"/>
          <w:sz w:val="28"/>
          <w:szCs w:val="28"/>
          <w:lang w:eastAsia="es-ES"/>
        </w:rPr>
        <w:t xml:space="preserve">por parte de las </w:t>
      </w:r>
      <w:r w:rsidRPr="00F2273F">
        <w:rPr>
          <w:rFonts w:ascii="Times New Roman" w:hAnsi="Times New Roman" w:cs="Times New Roman"/>
          <w:sz w:val="28"/>
          <w:szCs w:val="28"/>
          <w:lang w:eastAsia="es-ES"/>
        </w:rPr>
        <w:t xml:space="preserve">comisiones </w:t>
      </w:r>
      <w:r w:rsidRPr="00F2273F">
        <w:rPr>
          <w:rFonts w:ascii="Times New Roman" w:hAnsi="Times New Roman" w:cs="Times New Roman"/>
          <w:sz w:val="28"/>
          <w:szCs w:val="28"/>
          <w:lang w:eastAsia="es-ES"/>
        </w:rPr>
        <w:t>conjuntas en prime</w:t>
      </w:r>
      <w:r w:rsidRPr="00F2273F">
        <w:rPr>
          <w:rFonts w:ascii="Times New Roman" w:hAnsi="Times New Roman" w:cs="Times New Roman"/>
          <w:sz w:val="28"/>
          <w:szCs w:val="28"/>
          <w:lang w:eastAsia="es-ES"/>
        </w:rPr>
        <w:t xml:space="preserve">r debate </w:t>
      </w:r>
      <w:r w:rsidRPr="00F2273F">
        <w:rPr>
          <w:rFonts w:ascii="Times New Roman" w:hAnsi="Times New Roman" w:cs="Times New Roman"/>
          <w:sz w:val="28"/>
          <w:szCs w:val="28"/>
          <w:lang w:eastAsia="es-ES"/>
        </w:rPr>
        <w:t>se acudió a la votación en bloque, 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w:t>
      </w:r>
      <w:r w:rsidRPr="00F2273F">
        <w:rPr>
          <w:rFonts w:ascii="Times New Roman" w:hAnsi="Times New Roman" w:cs="Times New Roman"/>
          <w:sz w:val="28"/>
          <w:szCs w:val="28"/>
          <w:lang w:eastAsia="es-ES"/>
        </w:rPr>
        <w:t>a</w:t>
      </w:r>
      <w:r w:rsidRPr="00F2273F">
        <w:rPr>
          <w:rFonts w:ascii="Times New Roman" w:hAnsi="Times New Roman" w:cs="Times New Roman"/>
          <w:sz w:val="28"/>
          <w:szCs w:val="28"/>
          <w:lang w:eastAsia="es-ES"/>
        </w:rPr>
        <w:t xml:space="preserve"> cual le precedieron varias </w:t>
      </w:r>
      <w:r w:rsidRPr="00F2273F">
        <w:rPr>
          <w:rFonts w:ascii="Times New Roman" w:hAnsi="Times New Roman" w:cs="Times New Roman"/>
          <w:sz w:val="28"/>
          <w:szCs w:val="28"/>
          <w:lang w:eastAsia="es-ES"/>
        </w:rPr>
        <w:t xml:space="preserve">intervenciones en las </w:t>
      </w:r>
      <w:r w:rsidRPr="00F2273F">
        <w:rPr>
          <w:rFonts w:ascii="Times New Roman" w:hAnsi="Times New Roman" w:cs="Times New Roman"/>
          <w:sz w:val="28"/>
          <w:szCs w:val="28"/>
          <w:lang w:eastAsia="es-ES"/>
        </w:rPr>
        <w:t xml:space="preserve">que </w:t>
      </w:r>
      <w:r w:rsidRPr="00F2273F">
        <w:rPr>
          <w:rFonts w:ascii="Times New Roman" w:hAnsi="Times New Roman" w:cs="Times New Roman"/>
          <w:sz w:val="28"/>
          <w:szCs w:val="28"/>
          <w:lang w:eastAsia="es-ES"/>
        </w:rPr>
        <w:t xml:space="preserve">se hizo mención </w:t>
      </w:r>
      <w:r w:rsidRPr="00F2273F">
        <w:rPr>
          <w:rFonts w:ascii="Times New Roman" w:hAnsi="Times New Roman" w:cs="Times New Roman"/>
          <w:sz w:val="28"/>
          <w:szCs w:val="28"/>
          <w:lang w:eastAsia="es-ES"/>
        </w:rPr>
        <w:t xml:space="preserve">a la transición energética y </w:t>
      </w:r>
      <w:r w:rsidRPr="00F2273F">
        <w:rPr>
          <w:rFonts w:ascii="Times New Roman" w:hAnsi="Times New Roman" w:cs="Times New Roman"/>
          <w:sz w:val="28"/>
          <w:szCs w:val="28"/>
          <w:lang w:eastAsia="es-ES"/>
        </w:rPr>
        <w:t xml:space="preserve">a las </w:t>
      </w:r>
      <w:r w:rsidRPr="00F2273F">
        <w:rPr>
          <w:rFonts w:ascii="Times New Roman" w:hAnsi="Times New Roman" w:cs="Times New Roman"/>
          <w:sz w:val="28"/>
          <w:szCs w:val="28"/>
          <w:lang w:eastAsia="es-ES"/>
        </w:rPr>
        <w:t>energías limpias</w:t>
      </w:r>
      <w:r w:rsidRPr="00F2273F">
        <w:rPr>
          <w:rStyle w:val="Refdenotaalpie"/>
          <w:rFonts w:ascii="Times New Roman" w:hAnsi="Times New Roman" w:cs="Times New Roman"/>
          <w:sz w:val="28"/>
          <w:szCs w:val="28"/>
          <w:lang w:eastAsia="es-ES"/>
        </w:rPr>
        <w:footnoteReference w:id="115"/>
      </w:r>
      <w:r w:rsidRPr="00F2273F">
        <w:rPr>
          <w:rFonts w:ascii="Times New Roman" w:hAnsi="Times New Roman" w:cs="Times New Roman"/>
          <w:sz w:val="28"/>
          <w:szCs w:val="28"/>
          <w:lang w:eastAsia="es-ES"/>
        </w:rPr>
        <w:t xml:space="preserve"> como </w:t>
      </w:r>
      <w:r w:rsidRPr="00F2273F">
        <w:rPr>
          <w:rFonts w:ascii="Times New Roman" w:hAnsi="Times New Roman" w:cs="Times New Roman"/>
          <w:sz w:val="28"/>
          <w:szCs w:val="28"/>
          <w:lang w:eastAsia="es-ES"/>
        </w:rPr>
        <w:t>uno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de los tópicos transversales al plan de desarrollo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Fue así como se aprobó </w:t>
      </w:r>
      <w:r w:rsidRPr="00F2273F">
        <w:rPr>
          <w:rFonts w:ascii="Times New Roman" w:hAnsi="Times New Roman" w:cs="Times New Roman"/>
          <w:sz w:val="28"/>
          <w:szCs w:val="28"/>
          <w:lang w:eastAsia="es-ES"/>
        </w:rPr>
        <w:t>el artículo 197 con el texto original del proyecto de ley</w:t>
      </w:r>
      <w:r w:rsidRPr="00F2273F">
        <w:rPr>
          <w:rStyle w:val="Refdenotaalpie"/>
          <w:rFonts w:ascii="Times New Roman" w:hAnsi="Times New Roman" w:cs="Times New Roman"/>
          <w:sz w:val="28"/>
          <w:szCs w:val="28"/>
          <w:lang w:eastAsia="es-ES"/>
        </w:rPr>
        <w:footnoteReference w:id="116"/>
      </w:r>
      <w:r w:rsidRPr="00F2273F">
        <w:rPr>
          <w:rFonts w:ascii="Times New Roman" w:hAnsi="Times New Roman" w:cs="Times New Roman"/>
          <w:sz w:val="28"/>
          <w:szCs w:val="28"/>
          <w:lang w:eastAsia="es-ES"/>
        </w:rPr>
        <w:t xml:space="preserve">. </w:t>
      </w:r>
    </w:p>
    <w:p w:rsidR="00A44A1A" w:rsidRPr="00F2273F" w:rsidRDefault="00F2273F" w:rsidP="00A44A1A">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DA7A4F" w:rsidRPr="00F2273F" w:rsidRDefault="00F2273F" w:rsidP="00DE6143">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Luego, e</w:t>
      </w:r>
      <w:r w:rsidRPr="00F2273F">
        <w:rPr>
          <w:rFonts w:ascii="Times New Roman" w:hAnsi="Times New Roman" w:cs="Times New Roman"/>
          <w:sz w:val="28"/>
          <w:szCs w:val="28"/>
          <w:lang w:eastAsia="es-ES"/>
        </w:rPr>
        <w:t xml:space="preserve">n </w:t>
      </w:r>
      <w:r w:rsidRPr="00F2273F">
        <w:rPr>
          <w:rFonts w:ascii="Times New Roman" w:hAnsi="Times New Roman" w:cs="Times New Roman"/>
          <w:sz w:val="28"/>
          <w:szCs w:val="28"/>
          <w:lang w:eastAsia="es-ES"/>
        </w:rPr>
        <w:t>las gacetas contentivas d</w:t>
      </w:r>
      <w:r w:rsidRPr="00F2273F">
        <w:rPr>
          <w:rFonts w:ascii="Times New Roman" w:hAnsi="Times New Roman" w:cs="Times New Roman"/>
          <w:sz w:val="28"/>
          <w:szCs w:val="28"/>
          <w:lang w:eastAsia="es-ES"/>
        </w:rPr>
        <w:t xml:space="preserve">el texto propuesto para segundo debate </w:t>
      </w:r>
      <w:r w:rsidRPr="00F2273F">
        <w:rPr>
          <w:rFonts w:ascii="Times New Roman" w:hAnsi="Times New Roman" w:cs="Times New Roman"/>
          <w:sz w:val="28"/>
          <w:szCs w:val="28"/>
          <w:lang w:eastAsia="es-ES"/>
        </w:rPr>
        <w:t>y</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en el </w:t>
      </w:r>
      <w:r w:rsidRPr="00F2273F">
        <w:rPr>
          <w:rFonts w:ascii="Times New Roman" w:hAnsi="Times New Roman" w:cs="Times New Roman"/>
          <w:sz w:val="28"/>
          <w:szCs w:val="28"/>
          <w:lang w:eastAsia="es-ES"/>
        </w:rPr>
        <w:t>pliego de modificaciones al articulado aprobado en primer debate</w:t>
      </w:r>
      <w:r w:rsidRPr="00F2273F">
        <w:rPr>
          <w:rStyle w:val="Refdenotaalpie"/>
          <w:rFonts w:ascii="Times New Roman" w:hAnsi="Times New Roman" w:cs="Times New Roman"/>
          <w:sz w:val="28"/>
          <w:szCs w:val="28"/>
          <w:lang w:eastAsia="es-ES"/>
        </w:rPr>
        <w:footnoteReference w:id="117"/>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consta que </w:t>
      </w:r>
      <w:r w:rsidRPr="00F2273F">
        <w:rPr>
          <w:rFonts w:ascii="Times New Roman" w:hAnsi="Times New Roman" w:cs="Times New Roman"/>
          <w:sz w:val="28"/>
          <w:szCs w:val="28"/>
          <w:lang w:eastAsia="es-ES"/>
        </w:rPr>
        <w:t xml:space="preserve">cambió la numeración </w:t>
      </w:r>
      <w:r w:rsidRPr="00F2273F">
        <w:rPr>
          <w:rFonts w:ascii="Times New Roman" w:hAnsi="Times New Roman" w:cs="Times New Roman"/>
          <w:sz w:val="28"/>
          <w:szCs w:val="28"/>
          <w:lang w:eastAsia="es-ES"/>
        </w:rPr>
        <w:t xml:space="preserve">de ese </w:t>
      </w:r>
      <w:r w:rsidRPr="00F2273F">
        <w:rPr>
          <w:rFonts w:ascii="Times New Roman" w:hAnsi="Times New Roman" w:cs="Times New Roman"/>
          <w:sz w:val="28"/>
          <w:szCs w:val="28"/>
          <w:lang w:eastAsia="es-ES"/>
        </w:rPr>
        <w:t>artículo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al 218 y </w:t>
      </w:r>
      <w:r w:rsidRPr="00F2273F">
        <w:rPr>
          <w:rFonts w:ascii="Times New Roman" w:hAnsi="Times New Roman" w:cs="Times New Roman"/>
          <w:sz w:val="28"/>
          <w:szCs w:val="28"/>
          <w:lang w:eastAsia="es-ES"/>
        </w:rPr>
        <w:t xml:space="preserve">que </w:t>
      </w:r>
      <w:r w:rsidRPr="00F2273F">
        <w:rPr>
          <w:rFonts w:ascii="Times New Roman" w:hAnsi="Times New Roman" w:cs="Times New Roman"/>
          <w:sz w:val="28"/>
          <w:szCs w:val="28"/>
          <w:lang w:eastAsia="es-ES"/>
        </w:rPr>
        <w:t>se</w:t>
      </w:r>
      <w:r w:rsidRPr="00F2273F">
        <w:rPr>
          <w:rFonts w:ascii="Times New Roman" w:hAnsi="Times New Roman" w:cs="Times New Roman"/>
          <w:sz w:val="28"/>
          <w:szCs w:val="28"/>
          <w:lang w:eastAsia="es-ES"/>
        </w:rPr>
        <w:t xml:space="preserve"> le</w:t>
      </w:r>
      <w:r w:rsidRPr="00F2273F">
        <w:rPr>
          <w:rFonts w:ascii="Times New Roman" w:hAnsi="Times New Roman" w:cs="Times New Roman"/>
          <w:sz w:val="28"/>
          <w:szCs w:val="28"/>
          <w:lang w:eastAsia="es-ES"/>
        </w:rPr>
        <w:t xml:space="preserve"> agrega</w:t>
      </w:r>
      <w:r w:rsidRPr="00F2273F">
        <w:rPr>
          <w:rFonts w:ascii="Times New Roman" w:hAnsi="Times New Roman" w:cs="Times New Roman"/>
          <w:sz w:val="28"/>
          <w:szCs w:val="28"/>
          <w:lang w:eastAsia="es-ES"/>
        </w:rPr>
        <w:t>ro</w:t>
      </w:r>
      <w:r w:rsidRPr="00F2273F">
        <w:rPr>
          <w:rFonts w:ascii="Times New Roman" w:hAnsi="Times New Roman" w:cs="Times New Roman"/>
          <w:sz w:val="28"/>
          <w:szCs w:val="28"/>
          <w:lang w:eastAsia="es-ES"/>
        </w:rPr>
        <w:t xml:space="preserve">n dos parágrafos: el primero </w:t>
      </w:r>
      <w:r w:rsidRPr="00F2273F">
        <w:rPr>
          <w:rFonts w:ascii="Times New Roman" w:hAnsi="Times New Roman" w:cs="Times New Roman"/>
          <w:sz w:val="28"/>
          <w:szCs w:val="28"/>
          <w:lang w:eastAsia="es-ES"/>
        </w:rPr>
        <w:t>indicaba</w:t>
      </w:r>
      <w:r w:rsidRPr="00F2273F">
        <w:rPr>
          <w:rFonts w:ascii="Times New Roman" w:hAnsi="Times New Roman" w:cs="Times New Roman"/>
          <w:sz w:val="28"/>
          <w:szCs w:val="28"/>
          <w:lang w:eastAsia="es-ES"/>
        </w:rPr>
        <w:t xml:space="preserve"> que el Operador del Mercado </w:t>
      </w:r>
      <w:r w:rsidRPr="00F2273F">
        <w:rPr>
          <w:rFonts w:ascii="Times New Roman" w:hAnsi="Times New Roman" w:cs="Times New Roman"/>
          <w:sz w:val="28"/>
          <w:szCs w:val="28"/>
          <w:lang w:eastAsia="es-ES"/>
        </w:rPr>
        <w:t xml:space="preserve">-Centro Nacional de Despacho-CND </w:t>
      </w:r>
      <w:r w:rsidRPr="00F2273F">
        <w:rPr>
          <w:rFonts w:ascii="Times New Roman" w:hAnsi="Times New Roman" w:cs="Times New Roman"/>
          <w:sz w:val="28"/>
          <w:szCs w:val="28"/>
          <w:lang w:eastAsia="es-ES"/>
        </w:rPr>
        <w:t>ser</w:t>
      </w:r>
      <w:r w:rsidRPr="00F2273F">
        <w:rPr>
          <w:rFonts w:ascii="Times New Roman" w:hAnsi="Times New Roman" w:cs="Times New Roman"/>
          <w:sz w:val="28"/>
          <w:szCs w:val="28"/>
          <w:lang w:eastAsia="es-ES"/>
        </w:rPr>
        <w:t>ía</w:t>
      </w:r>
      <w:r w:rsidRPr="00F2273F">
        <w:rPr>
          <w:rFonts w:ascii="Times New Roman" w:hAnsi="Times New Roman" w:cs="Times New Roman"/>
          <w:sz w:val="28"/>
          <w:szCs w:val="28"/>
          <w:lang w:eastAsia="es-ES"/>
        </w:rPr>
        <w:t xml:space="preserve"> independiente de cualquier entidad o agente del mercado. El segundo </w:t>
      </w:r>
      <w:r w:rsidRPr="00F2273F">
        <w:rPr>
          <w:rFonts w:ascii="Times New Roman" w:hAnsi="Times New Roman" w:cs="Times New Roman"/>
          <w:sz w:val="28"/>
          <w:szCs w:val="28"/>
          <w:lang w:eastAsia="es-ES"/>
        </w:rPr>
        <w:t>establecía</w:t>
      </w:r>
      <w:r w:rsidRPr="00F2273F">
        <w:rPr>
          <w:rFonts w:ascii="Times New Roman" w:hAnsi="Times New Roman" w:cs="Times New Roman"/>
          <w:sz w:val="28"/>
          <w:szCs w:val="28"/>
          <w:lang w:eastAsia="es-ES"/>
        </w:rPr>
        <w:t xml:space="preserve"> que las actividades de generación, distribución y comercialización de energía ser</w:t>
      </w:r>
      <w:r w:rsidRPr="00F2273F">
        <w:rPr>
          <w:rFonts w:ascii="Times New Roman" w:hAnsi="Times New Roman" w:cs="Times New Roman"/>
          <w:sz w:val="28"/>
          <w:szCs w:val="28"/>
          <w:lang w:eastAsia="es-ES"/>
        </w:rPr>
        <w:t>ía</w:t>
      </w:r>
      <w:r w:rsidRPr="00F2273F">
        <w:rPr>
          <w:rFonts w:ascii="Times New Roman" w:hAnsi="Times New Roman" w:cs="Times New Roman"/>
          <w:sz w:val="28"/>
          <w:szCs w:val="28"/>
          <w:lang w:eastAsia="es-ES"/>
        </w:rPr>
        <w:t>n secundarias a las actividades principales de Ecopetrol (hidrocarburos) y de ISA (interconexión de la red de energía eléctrica nacional)</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El texto de los parágrafos propue</w:t>
      </w:r>
      <w:r w:rsidRPr="00F2273F">
        <w:rPr>
          <w:rFonts w:ascii="Times New Roman" w:hAnsi="Times New Roman" w:cs="Times New Roman"/>
          <w:sz w:val="28"/>
          <w:szCs w:val="28"/>
          <w:lang w:eastAsia="es-ES"/>
        </w:rPr>
        <w:t>stos era el siguiente:</w:t>
      </w:r>
    </w:p>
    <w:p w:rsidR="00DE6143" w:rsidRPr="00F2273F" w:rsidRDefault="00F2273F" w:rsidP="00DE6143">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DA7A4F" w:rsidRPr="00F2273F" w:rsidRDefault="00F2273F" w:rsidP="00DE6143">
      <w:pPr>
        <w:pStyle w:val="Textonotapie"/>
        <w:ind w:left="567"/>
        <w:rPr>
          <w:rFonts w:cs="Times New Roman"/>
          <w:i/>
          <w:iCs/>
          <w:sz w:val="28"/>
          <w:szCs w:val="22"/>
        </w:rPr>
      </w:pPr>
      <w:r w:rsidRPr="00F2273F">
        <w:rPr>
          <w:rFonts w:cs="Times New Roman"/>
          <w:sz w:val="28"/>
          <w:szCs w:val="22"/>
        </w:rPr>
        <w:t>“</w:t>
      </w:r>
      <w:r w:rsidRPr="00F2273F">
        <w:rPr>
          <w:rFonts w:cs="Times New Roman"/>
          <w:i/>
          <w:iCs/>
          <w:sz w:val="28"/>
          <w:szCs w:val="22"/>
        </w:rPr>
        <w:t xml:space="preserve">PARÁGRAFO SEGUNDO. El Operador del Mercado (Centro Nacional de Despacho -CND, Administrador del Sistema de Intercambios Comerciales -ASIC y Liquidador y Administrador de Cuentas -LAC) será independiente respecto de cualquier entidad del Estado o cualquier </w:t>
      </w:r>
      <w:r w:rsidRPr="00F2273F">
        <w:rPr>
          <w:rFonts w:cs="Times New Roman"/>
          <w:i/>
          <w:iCs/>
          <w:sz w:val="28"/>
          <w:szCs w:val="22"/>
        </w:rPr>
        <w:t xml:space="preserve">otro agente del mercado, para ello, el Gobierno nacional expedirá la normatividad pertinente. </w:t>
      </w:r>
    </w:p>
    <w:p w:rsidR="00DE6143" w:rsidRPr="00F2273F" w:rsidRDefault="00F2273F" w:rsidP="00DE6143">
      <w:pPr>
        <w:pStyle w:val="Prrafodelista"/>
        <w:shd w:val="clear" w:color="auto" w:fill="FFFFFF"/>
        <w:spacing w:after="0" w:line="240" w:lineRule="auto"/>
        <w:ind w:left="567" w:right="48"/>
        <w:jc w:val="both"/>
        <w:textAlignment w:val="baseline"/>
        <w:rPr>
          <w:rFonts w:ascii="Times New Roman" w:hAnsi="Times New Roman" w:cs="Times New Roman"/>
          <w:i/>
          <w:iCs/>
          <w:sz w:val="28"/>
        </w:rPr>
      </w:pPr>
    </w:p>
    <w:p w:rsidR="00DA7A4F" w:rsidRPr="00F2273F" w:rsidRDefault="00F2273F" w:rsidP="00DE6143">
      <w:pPr>
        <w:pStyle w:val="Prrafodelista"/>
        <w:shd w:val="clear" w:color="auto" w:fill="FFFFFF"/>
        <w:spacing w:after="0" w:line="240" w:lineRule="auto"/>
        <w:ind w:left="567" w:right="48"/>
        <w:jc w:val="both"/>
        <w:textAlignment w:val="baseline"/>
        <w:rPr>
          <w:rFonts w:ascii="Times New Roman" w:hAnsi="Times New Roman" w:cs="Times New Roman"/>
          <w:sz w:val="28"/>
          <w:lang w:eastAsia="es-ES"/>
        </w:rPr>
      </w:pPr>
      <w:r w:rsidRPr="00F2273F">
        <w:rPr>
          <w:rFonts w:ascii="Times New Roman" w:hAnsi="Times New Roman" w:cs="Times New Roman"/>
          <w:i/>
          <w:iCs/>
          <w:sz w:val="28"/>
        </w:rPr>
        <w:t>PARÁGRAFO TERCERO. Las actividades de generación, distribución y comercialización de energía eléctrica serán secundarias a las actividades principales de ECOPET</w:t>
      </w:r>
      <w:r w:rsidRPr="00F2273F">
        <w:rPr>
          <w:rFonts w:ascii="Times New Roman" w:hAnsi="Times New Roman" w:cs="Times New Roman"/>
          <w:i/>
          <w:iCs/>
          <w:sz w:val="28"/>
        </w:rPr>
        <w:t>ROL en materia de hidrocarburos, e interconexión de la red nacional de energía eléctrica en el caso de ISA. Estas actividades secundarias estarán sujetas a la reglamentación que expida la CREG</w:t>
      </w:r>
      <w:r w:rsidRPr="00F2273F">
        <w:rPr>
          <w:rFonts w:ascii="Times New Roman" w:hAnsi="Times New Roman" w:cs="Times New Roman"/>
          <w:i/>
          <w:iCs/>
          <w:sz w:val="28"/>
        </w:rPr>
        <w:t>”.</w:t>
      </w:r>
    </w:p>
    <w:p w:rsidR="00DA5B3D" w:rsidRPr="00F2273F" w:rsidRDefault="00F2273F" w:rsidP="00DA5B3D">
      <w:pPr>
        <w:pStyle w:val="Prrafodelista"/>
        <w:rPr>
          <w:rFonts w:ascii="Times New Roman" w:hAnsi="Times New Roman" w:cs="Times New Roman"/>
          <w:sz w:val="28"/>
          <w:szCs w:val="28"/>
          <w:lang w:eastAsia="es-ES"/>
        </w:rPr>
      </w:pPr>
    </w:p>
    <w:p w:rsidR="00DA5B3D" w:rsidRPr="00F2273F" w:rsidRDefault="00F2273F" w:rsidP="007320C7">
      <w:pPr>
        <w:pStyle w:val="Prrafodelista"/>
        <w:numPr>
          <w:ilvl w:val="0"/>
          <w:numId w:val="3"/>
        </w:numPr>
        <w:shd w:val="clear" w:color="auto" w:fill="FFFFFF"/>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n la sesión plenaria del Senado de la República</w:t>
      </w:r>
      <w:r w:rsidRPr="00F2273F">
        <w:rPr>
          <w:rFonts w:ascii="Times New Roman" w:hAnsi="Times New Roman" w:cs="Times New Roman"/>
          <w:sz w:val="28"/>
          <w:szCs w:val="28"/>
          <w:lang w:eastAsia="es-ES"/>
        </w:rPr>
        <w:footnoteReference w:id="118"/>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realizada</w:t>
      </w:r>
      <w:r w:rsidRPr="00F2273F">
        <w:rPr>
          <w:rFonts w:ascii="Times New Roman" w:hAnsi="Times New Roman" w:cs="Times New Roman"/>
          <w:sz w:val="28"/>
          <w:szCs w:val="28"/>
          <w:lang w:eastAsia="es-ES"/>
        </w:rPr>
        <w:t xml:space="preserve"> el 2 de mayo de 2023, </w:t>
      </w:r>
      <w:r w:rsidRPr="00F2273F">
        <w:rPr>
          <w:rFonts w:ascii="Times New Roman" w:hAnsi="Times New Roman" w:cs="Times New Roman"/>
          <w:sz w:val="28"/>
          <w:szCs w:val="28"/>
          <w:lang w:eastAsia="es-ES"/>
        </w:rPr>
        <w:t>tuvo lugar</w:t>
      </w:r>
      <w:r w:rsidRPr="00F2273F">
        <w:rPr>
          <w:rFonts w:ascii="Times New Roman" w:hAnsi="Times New Roman" w:cs="Times New Roman"/>
          <w:sz w:val="28"/>
          <w:szCs w:val="28"/>
          <w:lang w:eastAsia="es-ES"/>
        </w:rPr>
        <w:t xml:space="preserve"> el segundo debate</w:t>
      </w:r>
      <w:r w:rsidRPr="00F2273F">
        <w:rPr>
          <w:rFonts w:ascii="Times New Roman" w:hAnsi="Times New Roman" w:cs="Times New Roman"/>
          <w:sz w:val="28"/>
          <w:szCs w:val="28"/>
          <w:lang w:eastAsia="es-ES"/>
        </w:rPr>
        <w:t xml:space="preserve"> de la ley del plan</w:t>
      </w:r>
      <w:r w:rsidRPr="00F2273F">
        <w:rPr>
          <w:rFonts w:ascii="Times New Roman" w:hAnsi="Times New Roman" w:cs="Times New Roman"/>
          <w:sz w:val="28"/>
          <w:szCs w:val="28"/>
          <w:lang w:eastAsia="es-ES"/>
        </w:rPr>
        <w:t xml:space="preserve">. Allí </w:t>
      </w:r>
      <w:r w:rsidRPr="00F2273F">
        <w:rPr>
          <w:rFonts w:ascii="Times New Roman" w:hAnsi="Times New Roman" w:cs="Times New Roman"/>
          <w:sz w:val="28"/>
          <w:szCs w:val="28"/>
          <w:lang w:eastAsia="es-ES"/>
        </w:rPr>
        <w:t xml:space="preserve">el </w:t>
      </w:r>
      <w:r w:rsidRPr="00F2273F">
        <w:rPr>
          <w:rFonts w:ascii="Times New Roman" w:hAnsi="Times New Roman" w:cs="Times New Roman"/>
          <w:sz w:val="28"/>
          <w:szCs w:val="28"/>
          <w:lang w:eastAsia="es-ES"/>
        </w:rPr>
        <w:t xml:space="preserve">entonces </w:t>
      </w:r>
      <w:r w:rsidRPr="00F2273F">
        <w:rPr>
          <w:rFonts w:ascii="Times New Roman" w:hAnsi="Times New Roman" w:cs="Times New Roman"/>
          <w:sz w:val="28"/>
          <w:szCs w:val="28"/>
          <w:lang w:eastAsia="es-ES"/>
        </w:rPr>
        <w:t>senador Miguel Uribe</w:t>
      </w:r>
      <w:r w:rsidRPr="00F2273F">
        <w:rPr>
          <w:rFonts w:ascii="Times New Roman" w:hAnsi="Times New Roman" w:cs="Times New Roman"/>
          <w:sz w:val="28"/>
          <w:szCs w:val="28"/>
          <w:lang w:eastAsia="es-ES"/>
        </w:rPr>
        <w:t xml:space="preserve"> Turbay</w:t>
      </w:r>
      <w:r w:rsidRPr="00F2273F">
        <w:rPr>
          <w:rFonts w:ascii="Times New Roman" w:hAnsi="Times New Roman" w:cs="Times New Roman"/>
          <w:sz w:val="28"/>
          <w:szCs w:val="28"/>
          <w:lang w:eastAsia="es-ES"/>
        </w:rPr>
        <w:t xml:space="preserve"> presentó la proposición de eliminación del artículo 218, </w:t>
      </w:r>
      <w:r w:rsidRPr="00F2273F">
        <w:rPr>
          <w:rFonts w:ascii="Times New Roman" w:hAnsi="Times New Roman" w:cs="Times New Roman"/>
          <w:sz w:val="28"/>
          <w:szCs w:val="28"/>
          <w:lang w:eastAsia="es-ES"/>
        </w:rPr>
        <w:t xml:space="preserve">pues en su concepto </w:t>
      </w:r>
      <w:r w:rsidRPr="00F2273F">
        <w:rPr>
          <w:rFonts w:ascii="Times New Roman" w:hAnsi="Times New Roman" w:cs="Times New Roman"/>
          <w:sz w:val="28"/>
          <w:szCs w:val="28"/>
          <w:lang w:eastAsia="es-ES"/>
        </w:rPr>
        <w:t>la integración vertical</w:t>
      </w:r>
      <w:r w:rsidRPr="00F2273F">
        <w:rPr>
          <w:rFonts w:ascii="Times New Roman" w:hAnsi="Times New Roman" w:cs="Times New Roman"/>
          <w:sz w:val="28"/>
          <w:szCs w:val="28"/>
          <w:lang w:eastAsia="es-ES"/>
        </w:rPr>
        <w:t xml:space="preserve"> resultaba inconveniente al propiciar</w:t>
      </w:r>
      <w:r w:rsidRPr="00F2273F">
        <w:rPr>
          <w:rFonts w:ascii="Times New Roman" w:hAnsi="Times New Roman" w:cs="Times New Roman"/>
          <w:sz w:val="28"/>
          <w:szCs w:val="28"/>
          <w:lang w:eastAsia="es-ES"/>
        </w:rPr>
        <w:t xml:space="preserve"> la conformación de monopolios y </w:t>
      </w:r>
      <w:r w:rsidRPr="00F2273F">
        <w:rPr>
          <w:rFonts w:ascii="Times New Roman" w:hAnsi="Times New Roman" w:cs="Times New Roman"/>
          <w:sz w:val="28"/>
          <w:szCs w:val="28"/>
          <w:lang w:eastAsia="es-ES"/>
        </w:rPr>
        <w:t xml:space="preserve">provocar </w:t>
      </w:r>
      <w:r w:rsidRPr="00F2273F">
        <w:rPr>
          <w:rFonts w:ascii="Times New Roman" w:hAnsi="Times New Roman" w:cs="Times New Roman"/>
          <w:sz w:val="28"/>
          <w:szCs w:val="28"/>
          <w:lang w:eastAsia="es-ES"/>
        </w:rPr>
        <w:t>conflictos de interés.</w:t>
      </w:r>
      <w:r w:rsidRPr="00F2273F">
        <w:rPr>
          <w:rFonts w:ascii="Times New Roman" w:hAnsi="Times New Roman" w:cs="Times New Roman"/>
          <w:sz w:val="28"/>
          <w:szCs w:val="28"/>
          <w:lang w:eastAsia="es-ES"/>
        </w:rPr>
        <w:t xml:space="preserve"> A continuación se sometió a votación la citada proposición eliminatoria</w:t>
      </w:r>
      <w:r w:rsidRPr="00F2273F">
        <w:rPr>
          <w:rFonts w:ascii="Times New Roman" w:hAnsi="Times New Roman" w:cs="Times New Roman"/>
          <w:sz w:val="28"/>
          <w:szCs w:val="28"/>
          <w:lang w:eastAsia="es-ES"/>
        </w:rPr>
        <w:t xml:space="preserve">, la cual </w:t>
      </w:r>
      <w:r w:rsidRPr="00F2273F">
        <w:rPr>
          <w:rFonts w:ascii="Times New Roman" w:hAnsi="Times New Roman" w:cs="Times New Roman"/>
          <w:sz w:val="28"/>
          <w:szCs w:val="28"/>
          <w:lang w:eastAsia="es-ES"/>
        </w:rPr>
        <w:t>resultó aprobada con 48 votos por el sí y 35 votos por el no.</w:t>
      </w:r>
    </w:p>
    <w:p w:rsidR="00DA5B3D" w:rsidRPr="00F2273F" w:rsidRDefault="00F2273F" w:rsidP="00DA5B3D">
      <w:pPr>
        <w:pStyle w:val="Prrafodelista"/>
        <w:shd w:val="clear" w:color="auto" w:fill="FFFFFF"/>
        <w:spacing w:after="0" w:line="240" w:lineRule="auto"/>
        <w:ind w:left="0" w:right="48"/>
        <w:jc w:val="both"/>
        <w:textAlignment w:val="baseline"/>
        <w:rPr>
          <w:rFonts w:ascii="Times New Roman" w:hAnsi="Times New Roman" w:cs="Times New Roman"/>
          <w:sz w:val="28"/>
          <w:szCs w:val="28"/>
          <w:lang w:eastAsia="es-ES"/>
        </w:rPr>
      </w:pPr>
    </w:p>
    <w:p w:rsidR="00A44A1A" w:rsidRPr="00F2273F" w:rsidRDefault="00F2273F" w:rsidP="00941395">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Por su parte, e</w:t>
      </w:r>
      <w:r w:rsidRPr="00F2273F">
        <w:rPr>
          <w:rFonts w:ascii="Times New Roman" w:hAnsi="Times New Roman" w:cs="Times New Roman"/>
          <w:sz w:val="28"/>
          <w:szCs w:val="28"/>
          <w:lang w:eastAsia="es-ES"/>
        </w:rPr>
        <w:t xml:space="preserve">n la sesión plenaria de la </w:t>
      </w:r>
      <w:r w:rsidRPr="00F2273F">
        <w:rPr>
          <w:rFonts w:ascii="Times New Roman" w:hAnsi="Times New Roman" w:cs="Times New Roman"/>
          <w:sz w:val="28"/>
          <w:szCs w:val="28"/>
          <w:lang w:eastAsia="es-ES"/>
        </w:rPr>
        <w:t>Cámara de Representantes llevada a cabo el 3 de mayo de 2023, el representante Juan Fernando Espinal explicó la proposición que presentó para eliminar el artículo 197 reenumerado a 218. Señaló que la misma Cámara eliminó la integración vertical que se prop</w:t>
      </w:r>
      <w:r w:rsidRPr="00F2273F">
        <w:rPr>
          <w:rFonts w:ascii="Times New Roman" w:hAnsi="Times New Roman" w:cs="Times New Roman"/>
          <w:sz w:val="28"/>
          <w:szCs w:val="28"/>
          <w:lang w:eastAsia="es-ES"/>
        </w:rPr>
        <w:t>uso para el sector de gas y</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aun</w:t>
      </w:r>
      <w:r w:rsidRPr="00F2273F">
        <w:rPr>
          <w:rFonts w:ascii="Times New Roman" w:hAnsi="Times New Roman" w:cs="Times New Roman"/>
          <w:sz w:val="28"/>
          <w:szCs w:val="28"/>
          <w:lang w:eastAsia="es-ES"/>
        </w:rPr>
        <w:t xml:space="preserve"> así</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se </w:t>
      </w:r>
      <w:r w:rsidRPr="00F2273F">
        <w:rPr>
          <w:rFonts w:ascii="Times New Roman" w:hAnsi="Times New Roman" w:cs="Times New Roman"/>
          <w:sz w:val="28"/>
          <w:szCs w:val="28"/>
          <w:lang w:eastAsia="es-ES"/>
        </w:rPr>
        <w:t>pretendía</w:t>
      </w:r>
      <w:r w:rsidRPr="00F2273F">
        <w:rPr>
          <w:rFonts w:ascii="Times New Roman" w:hAnsi="Times New Roman" w:cs="Times New Roman"/>
          <w:sz w:val="28"/>
          <w:szCs w:val="28"/>
          <w:lang w:eastAsia="es-ES"/>
        </w:rPr>
        <w:t xml:space="preserve"> esa verticalidad para el sector energético. </w:t>
      </w:r>
      <w:r w:rsidRPr="00F2273F">
        <w:rPr>
          <w:rFonts w:ascii="Times New Roman" w:hAnsi="Times New Roman" w:cs="Times New Roman"/>
          <w:sz w:val="28"/>
          <w:szCs w:val="28"/>
          <w:lang w:eastAsia="es-ES"/>
        </w:rPr>
        <w:t xml:space="preserve">Asimismo </w:t>
      </w:r>
      <w:r w:rsidRPr="00F2273F">
        <w:rPr>
          <w:rFonts w:ascii="Times New Roman" w:hAnsi="Times New Roman" w:cs="Times New Roman"/>
          <w:sz w:val="28"/>
          <w:szCs w:val="28"/>
          <w:lang w:eastAsia="es-ES"/>
        </w:rPr>
        <w:t xml:space="preserve">destacó que en el Senado también se había eliminado este artículo y refirió que los nuevos parágrafos propuestos pretendían “entregarle </w:t>
      </w:r>
      <w:r w:rsidRPr="00F2273F">
        <w:rPr>
          <w:rFonts w:ascii="Times New Roman" w:hAnsi="Times New Roman" w:cs="Times New Roman"/>
          <w:sz w:val="28"/>
          <w:szCs w:val="28"/>
          <w:lang w:eastAsia="es-ES"/>
        </w:rPr>
        <w:t>la posibilidad d</w:t>
      </w:r>
      <w:r w:rsidRPr="00F2273F">
        <w:rPr>
          <w:rFonts w:ascii="Times New Roman" w:hAnsi="Times New Roman" w:cs="Times New Roman"/>
          <w:sz w:val="28"/>
          <w:szCs w:val="28"/>
          <w:lang w:eastAsia="es-ES"/>
        </w:rPr>
        <w:t>el negocio de la energía a ECOPETROL</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sin que la disposición dejara claro cómo se garantizaría la independencia de XM, de la empresa ISA o de los generadores</w:t>
      </w:r>
      <w:r w:rsidRPr="00F2273F">
        <w:rPr>
          <w:rStyle w:val="Refdenotaalpie"/>
          <w:rFonts w:ascii="Times New Roman" w:hAnsi="Times New Roman" w:cs="Times New Roman"/>
          <w:sz w:val="28"/>
          <w:szCs w:val="28"/>
          <w:lang w:eastAsia="es-ES"/>
        </w:rPr>
        <w:footnoteReference w:id="119"/>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rPr>
        <w:t>E</w:t>
      </w:r>
      <w:r w:rsidRPr="00F2273F">
        <w:rPr>
          <w:rFonts w:ascii="Times New Roman" w:hAnsi="Times New Roman" w:cs="Times New Roman"/>
          <w:sz w:val="28"/>
          <w:szCs w:val="28"/>
        </w:rPr>
        <w:t>n esa intervención no se aludió a la necesidad de derogar las limitantes que reca</w:t>
      </w:r>
      <w:r w:rsidRPr="00F2273F">
        <w:rPr>
          <w:rFonts w:ascii="Times New Roman" w:hAnsi="Times New Roman" w:cs="Times New Roman"/>
          <w:sz w:val="28"/>
          <w:szCs w:val="28"/>
        </w:rPr>
        <w:t>ía</w:t>
      </w:r>
      <w:r w:rsidRPr="00F2273F">
        <w:rPr>
          <w:rFonts w:ascii="Times New Roman" w:hAnsi="Times New Roman" w:cs="Times New Roman"/>
          <w:sz w:val="28"/>
          <w:szCs w:val="28"/>
        </w:rPr>
        <w:t xml:space="preserve">n sobre </w:t>
      </w:r>
      <w:r w:rsidRPr="00F2273F">
        <w:rPr>
          <w:rFonts w:ascii="Times New Roman" w:hAnsi="Times New Roman" w:cs="Times New Roman"/>
          <w:sz w:val="28"/>
          <w:szCs w:val="28"/>
        </w:rPr>
        <w:t>ISA</w:t>
      </w:r>
      <w:r w:rsidRPr="00F2273F">
        <w:rPr>
          <w:rFonts w:ascii="Times New Roman" w:hAnsi="Times New Roman" w:cs="Times New Roman"/>
          <w:sz w:val="28"/>
          <w:szCs w:val="28"/>
        </w:rPr>
        <w:t xml:space="preserve"> en materia de integración vertical</w:t>
      </w:r>
      <w:r w:rsidRPr="00F2273F">
        <w:rPr>
          <w:rFonts w:ascii="Times New Roman" w:hAnsi="Times New Roman" w:cs="Times New Roman"/>
          <w:sz w:val="28"/>
          <w:szCs w:val="28"/>
        </w:rPr>
        <w:t>, establecidas en el parágrafo 3 del artículo 167 de la Ley 142 de 1994 y el parágrafo 3 del artículo 32 de la Ley 134 de 1994</w:t>
      </w:r>
      <w:r w:rsidRPr="00F2273F">
        <w:rPr>
          <w:rFonts w:ascii="Times New Roman" w:hAnsi="Times New Roman" w:cs="Times New Roman"/>
          <w:sz w:val="28"/>
          <w:szCs w:val="28"/>
        </w:rPr>
        <w:t>.</w:t>
      </w:r>
      <w:r w:rsidRPr="00F2273F">
        <w:rPr>
          <w:rFonts w:ascii="Times New Roman" w:hAnsi="Times New Roman" w:cs="Times New Roman"/>
          <w:sz w:val="28"/>
          <w:szCs w:val="28"/>
          <w:lang w:eastAsia="es-ES"/>
        </w:rPr>
        <w:t xml:space="preserve"> </w:t>
      </w:r>
    </w:p>
    <w:p w:rsidR="00A44A1A" w:rsidRPr="00F2273F" w:rsidRDefault="00F2273F" w:rsidP="00A44A1A">
      <w:pPr>
        <w:pStyle w:val="Prrafodelista"/>
        <w:rPr>
          <w:rFonts w:ascii="Times New Roman" w:hAnsi="Times New Roman" w:cs="Times New Roman"/>
          <w:sz w:val="28"/>
          <w:szCs w:val="28"/>
          <w:lang w:eastAsia="es-ES"/>
        </w:rPr>
      </w:pPr>
    </w:p>
    <w:p w:rsidR="00941395" w:rsidRPr="00F2273F" w:rsidRDefault="00F2273F" w:rsidP="00941395">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Asimismo, en el expediente obra una proposición de eliminación del artículo 218 </w:t>
      </w:r>
      <w:r w:rsidRPr="00F2273F">
        <w:rPr>
          <w:rFonts w:ascii="Times New Roman" w:hAnsi="Times New Roman" w:cs="Times New Roman"/>
          <w:sz w:val="28"/>
          <w:szCs w:val="28"/>
          <w:lang w:eastAsia="es-ES"/>
        </w:rPr>
        <w:t xml:space="preserve">presentada </w:t>
      </w:r>
      <w:r w:rsidRPr="00F2273F">
        <w:rPr>
          <w:rFonts w:ascii="Times New Roman" w:hAnsi="Times New Roman" w:cs="Times New Roman"/>
          <w:sz w:val="28"/>
          <w:szCs w:val="28"/>
          <w:lang w:eastAsia="es-ES"/>
        </w:rPr>
        <w:t xml:space="preserve">por el representante </w:t>
      </w:r>
      <w:r w:rsidRPr="00F2273F">
        <w:rPr>
          <w:rFonts w:ascii="Times New Roman" w:hAnsi="Times New Roman" w:cs="Times New Roman"/>
          <w:sz w:val="28"/>
          <w:szCs w:val="28"/>
          <w:lang w:eastAsia="es-ES"/>
        </w:rPr>
        <w:t xml:space="preserve">Luis Miguel López Aristizábal </w:t>
      </w:r>
      <w:r w:rsidRPr="00F2273F">
        <w:rPr>
          <w:rFonts w:ascii="Times New Roman" w:hAnsi="Times New Roman" w:cs="Times New Roman"/>
          <w:sz w:val="28"/>
          <w:szCs w:val="28"/>
          <w:lang w:eastAsia="es-ES"/>
        </w:rPr>
        <w:t>y en la que también se alude expresamente a las derogatorias de la prohibición de integración vertical de ISA</w:t>
      </w:r>
      <w:r w:rsidRPr="00F2273F">
        <w:rPr>
          <w:rFonts w:ascii="Times New Roman" w:hAnsi="Times New Roman" w:cs="Times New Roman"/>
          <w:sz w:val="28"/>
          <w:szCs w:val="28"/>
          <w:lang w:eastAsia="es-ES"/>
        </w:rPr>
        <w:t xml:space="preserve"> contenidas en el artículo 373 </w:t>
      </w:r>
      <w:r w:rsidRPr="00F2273F">
        <w:rPr>
          <w:rFonts w:ascii="Times New Roman" w:hAnsi="Times New Roman" w:cs="Times New Roman"/>
          <w:sz w:val="28"/>
          <w:szCs w:val="28"/>
          <w:lang w:eastAsia="es-ES"/>
        </w:rPr>
        <w:t>. En la justificación del texto se afirma qu</w:t>
      </w:r>
      <w:r w:rsidRPr="00F2273F">
        <w:rPr>
          <w:rFonts w:ascii="Times New Roman" w:hAnsi="Times New Roman" w:cs="Times New Roman"/>
          <w:sz w:val="28"/>
          <w:szCs w:val="28"/>
          <w:lang w:eastAsia="es-ES"/>
        </w:rPr>
        <w:t>e la posibilidad de q</w:t>
      </w:r>
      <w:r w:rsidRPr="00F2273F">
        <w:rPr>
          <w:rFonts w:ascii="Times New Roman" w:hAnsi="Times New Roman" w:cs="Times New Roman"/>
          <w:sz w:val="28"/>
          <w:szCs w:val="28"/>
          <w:lang w:eastAsia="es-ES"/>
        </w:rPr>
        <w:t>ue ISA participe en la distribución, comercialización y generación de energía, resulta inconveniente por tratarse de “un agente monopólico”</w:t>
      </w:r>
      <w:r w:rsidRPr="00F2273F">
        <w:rPr>
          <w:rStyle w:val="Refdenotaalpie"/>
          <w:rFonts w:ascii="Times New Roman" w:hAnsi="Times New Roman" w:cs="Times New Roman"/>
          <w:sz w:val="28"/>
          <w:szCs w:val="28"/>
          <w:lang w:eastAsia="es-ES"/>
        </w:rPr>
        <w:footnoteReference w:id="120"/>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En el mismo sentido, el representante a la Cámara </w:t>
      </w:r>
      <w:r w:rsidRPr="00F2273F">
        <w:rPr>
          <w:rFonts w:ascii="Times New Roman" w:hAnsi="Times New Roman" w:cs="Times New Roman"/>
          <w:sz w:val="28"/>
          <w:szCs w:val="28"/>
          <w:lang w:eastAsia="es-ES"/>
        </w:rPr>
        <w:t>Ó</w:t>
      </w:r>
      <w:r w:rsidRPr="00F2273F">
        <w:rPr>
          <w:rFonts w:ascii="Times New Roman" w:hAnsi="Times New Roman" w:cs="Times New Roman"/>
          <w:sz w:val="28"/>
          <w:szCs w:val="28"/>
          <w:lang w:eastAsia="es-ES"/>
        </w:rPr>
        <w:t xml:space="preserve">scar Leonardo Villamizar Meneses propuso eliminar las </w:t>
      </w:r>
      <w:r w:rsidRPr="00F2273F">
        <w:rPr>
          <w:rFonts w:ascii="Times New Roman" w:hAnsi="Times New Roman" w:cs="Times New Roman"/>
          <w:sz w:val="28"/>
          <w:szCs w:val="28"/>
          <w:lang w:eastAsia="es-ES"/>
        </w:rPr>
        <w:t>derogatorias acusadas. En la justificación se sostuvo que la derogatoria de la prohibición “abre la puerta a un monopolio del Estado y acaba la competencia” y que se trataba de “(…) un artículo autónomo en el proyecto original que se termina incorporando e</w:t>
      </w:r>
      <w:r w:rsidRPr="00F2273F">
        <w:rPr>
          <w:rFonts w:ascii="Times New Roman" w:hAnsi="Times New Roman" w:cs="Times New Roman"/>
          <w:sz w:val="28"/>
          <w:szCs w:val="28"/>
          <w:lang w:eastAsia="es-ES"/>
        </w:rPr>
        <w:t>n las derogatorias”</w:t>
      </w:r>
      <w:r w:rsidRPr="00F2273F">
        <w:rPr>
          <w:rStyle w:val="Refdenotaalpie"/>
          <w:rFonts w:ascii="Times New Roman" w:hAnsi="Times New Roman" w:cs="Times New Roman"/>
          <w:sz w:val="28"/>
          <w:szCs w:val="28"/>
          <w:lang w:eastAsia="es-ES"/>
        </w:rPr>
        <w:footnoteReference w:id="121"/>
      </w:r>
      <w:r w:rsidRPr="00F2273F">
        <w:rPr>
          <w:rFonts w:ascii="Times New Roman" w:hAnsi="Times New Roman" w:cs="Times New Roman"/>
          <w:sz w:val="28"/>
          <w:szCs w:val="28"/>
          <w:lang w:eastAsia="es-ES"/>
        </w:rPr>
        <w:t xml:space="preserve">. </w:t>
      </w:r>
    </w:p>
    <w:p w:rsidR="00A44A1A" w:rsidRPr="00F2273F" w:rsidRDefault="00F2273F" w:rsidP="00A44A1A">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lang w:eastAsia="es-ES"/>
        </w:rPr>
      </w:pPr>
    </w:p>
    <w:p w:rsidR="001B2F35" w:rsidRPr="00F2273F" w:rsidRDefault="00F2273F" w:rsidP="009F77A6">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Se </w:t>
      </w:r>
      <w:r w:rsidRPr="00F2273F">
        <w:rPr>
          <w:rFonts w:ascii="Times New Roman" w:hAnsi="Times New Roman" w:cs="Times New Roman"/>
          <w:sz w:val="28"/>
          <w:szCs w:val="28"/>
          <w:lang w:eastAsia="es-ES"/>
        </w:rPr>
        <w:t>suceden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a continuación </w:t>
      </w:r>
      <w:r w:rsidRPr="00F2273F">
        <w:rPr>
          <w:rFonts w:ascii="Times New Roman" w:hAnsi="Times New Roman" w:cs="Times New Roman"/>
          <w:sz w:val="28"/>
          <w:szCs w:val="28"/>
          <w:lang w:eastAsia="es-ES"/>
        </w:rPr>
        <w:t xml:space="preserve">las intervenciones de parte del Gobierno, en las que </w:t>
      </w:r>
      <w:r w:rsidRPr="00F2273F">
        <w:rPr>
          <w:rFonts w:ascii="Times New Roman" w:hAnsi="Times New Roman" w:cs="Times New Roman"/>
          <w:sz w:val="28"/>
          <w:szCs w:val="28"/>
          <w:lang w:eastAsia="es-ES"/>
        </w:rPr>
        <w:t xml:space="preserve">este </w:t>
      </w:r>
      <w:r w:rsidRPr="00F2273F">
        <w:rPr>
          <w:rFonts w:ascii="Times New Roman" w:hAnsi="Times New Roman" w:cs="Times New Roman"/>
          <w:sz w:val="28"/>
          <w:szCs w:val="28"/>
          <w:lang w:eastAsia="es-ES"/>
        </w:rPr>
        <w:t>resal</w:t>
      </w:r>
      <w:r w:rsidRPr="00F2273F">
        <w:rPr>
          <w:rFonts w:ascii="Times New Roman" w:hAnsi="Times New Roman" w:cs="Times New Roman"/>
          <w:sz w:val="28"/>
          <w:szCs w:val="28"/>
          <w:lang w:eastAsia="es-ES"/>
        </w:rPr>
        <w:t>tó</w:t>
      </w:r>
      <w:r w:rsidRPr="00F2273F">
        <w:rPr>
          <w:rFonts w:ascii="Times New Roman" w:hAnsi="Times New Roman" w:cs="Times New Roman"/>
          <w:sz w:val="28"/>
          <w:szCs w:val="28"/>
          <w:lang w:eastAsia="es-ES"/>
        </w:rPr>
        <w:t xml:space="preserve"> la necesidad de un modelo de competencia </w:t>
      </w:r>
      <w:r w:rsidRPr="00F2273F">
        <w:rPr>
          <w:rFonts w:ascii="Times New Roman" w:hAnsi="Times New Roman" w:cs="Times New Roman"/>
          <w:sz w:val="28"/>
          <w:szCs w:val="28"/>
          <w:lang w:eastAsia="es-ES"/>
        </w:rPr>
        <w:t xml:space="preserve">para la transición energética </w:t>
      </w:r>
      <w:r w:rsidRPr="00F2273F">
        <w:rPr>
          <w:rFonts w:ascii="Times New Roman" w:hAnsi="Times New Roman" w:cs="Times New Roman"/>
          <w:sz w:val="28"/>
          <w:szCs w:val="28"/>
          <w:lang w:eastAsia="es-ES"/>
        </w:rPr>
        <w:t>y se indicó</w:t>
      </w:r>
      <w:r w:rsidRPr="00F2273F">
        <w:rPr>
          <w:rFonts w:ascii="Times New Roman" w:hAnsi="Times New Roman" w:cs="Times New Roman"/>
          <w:sz w:val="28"/>
          <w:szCs w:val="28"/>
          <w:lang w:eastAsia="es-ES"/>
        </w:rPr>
        <w:t xml:space="preserve"> que la integración vertical no es una figura novedosa en el país</w:t>
      </w:r>
      <w:r w:rsidRPr="00F2273F">
        <w:rPr>
          <w:rStyle w:val="Refdenotaalpie"/>
          <w:rFonts w:ascii="Times New Roman" w:hAnsi="Times New Roman" w:cs="Times New Roman"/>
          <w:sz w:val="28"/>
          <w:szCs w:val="28"/>
          <w:lang w:eastAsia="es-ES"/>
        </w:rPr>
        <w:footnoteReference w:id="122"/>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Para concluir, </w:t>
      </w:r>
      <w:r w:rsidRPr="00F2273F">
        <w:rPr>
          <w:rFonts w:ascii="Times New Roman" w:hAnsi="Times New Roman" w:cs="Times New Roman"/>
          <w:sz w:val="28"/>
          <w:szCs w:val="28"/>
          <w:lang w:eastAsia="es-ES"/>
        </w:rPr>
        <w:t xml:space="preserve">en la misma sesión se sometió a votación de los </w:t>
      </w:r>
      <w:r w:rsidRPr="00F2273F">
        <w:rPr>
          <w:rFonts w:ascii="Times New Roman" w:hAnsi="Times New Roman" w:cs="Times New Roman"/>
          <w:sz w:val="28"/>
          <w:szCs w:val="28"/>
          <w:lang w:eastAsia="es-ES"/>
        </w:rPr>
        <w:t xml:space="preserve">representantes a la Cámara </w:t>
      </w:r>
      <w:r w:rsidRPr="00F2273F">
        <w:rPr>
          <w:rFonts w:ascii="Times New Roman" w:hAnsi="Times New Roman" w:cs="Times New Roman"/>
          <w:sz w:val="28"/>
          <w:szCs w:val="28"/>
          <w:lang w:eastAsia="es-ES"/>
        </w:rPr>
        <w:t>la proposición de eliminación del artículo 218</w:t>
      </w:r>
      <w:r w:rsidRPr="00F2273F">
        <w:rPr>
          <w:rFonts w:ascii="Times New Roman" w:hAnsi="Times New Roman" w:cs="Times New Roman"/>
          <w:sz w:val="28"/>
          <w:szCs w:val="28"/>
          <w:lang w:eastAsia="es-ES"/>
        </w:rPr>
        <w:t xml:space="preserve"> presentada por el representante Espinal</w:t>
      </w:r>
      <w:r w:rsidRPr="00F2273F">
        <w:rPr>
          <w:rFonts w:ascii="Times New Roman" w:hAnsi="Times New Roman" w:cs="Times New Roman"/>
          <w:sz w:val="28"/>
          <w:szCs w:val="28"/>
          <w:lang w:eastAsia="es-ES"/>
        </w:rPr>
        <w:t>, la cual se</w:t>
      </w:r>
      <w:r w:rsidRPr="00F2273F">
        <w:rPr>
          <w:rFonts w:ascii="Times New Roman" w:hAnsi="Times New Roman" w:cs="Times New Roman"/>
          <w:sz w:val="28"/>
          <w:szCs w:val="28"/>
          <w:lang w:eastAsia="es-ES"/>
        </w:rPr>
        <w:t xml:space="preserve"> aprobó con 79 votos por el sí frente a 76 votos por el no.</w:t>
      </w:r>
      <w:r w:rsidRPr="00F2273F">
        <w:rPr>
          <w:rFonts w:ascii="Times New Roman" w:hAnsi="Times New Roman" w:cs="Times New Roman"/>
          <w:sz w:val="28"/>
          <w:szCs w:val="28"/>
          <w:lang w:eastAsia="es-ES"/>
        </w:rPr>
        <w:t xml:space="preserve"> En consecuencia, en el texto </w:t>
      </w:r>
      <w:r w:rsidRPr="00F2273F">
        <w:rPr>
          <w:rFonts w:ascii="Times New Roman" w:hAnsi="Times New Roman" w:cs="Times New Roman"/>
          <w:sz w:val="28"/>
          <w:szCs w:val="28"/>
          <w:lang w:eastAsia="es-ES"/>
        </w:rPr>
        <w:t xml:space="preserve">aprobado por la </w:t>
      </w:r>
      <w:r w:rsidRPr="00F2273F">
        <w:rPr>
          <w:rFonts w:ascii="Times New Roman" w:hAnsi="Times New Roman" w:cs="Times New Roman"/>
          <w:sz w:val="28"/>
          <w:szCs w:val="28"/>
          <w:lang w:eastAsia="es-ES"/>
        </w:rPr>
        <w:t xml:space="preserve">Plenaria de la Cámara de Representantes </w:t>
      </w:r>
      <w:r w:rsidRPr="00F2273F">
        <w:rPr>
          <w:rFonts w:ascii="Times New Roman" w:hAnsi="Times New Roman" w:cs="Times New Roman"/>
          <w:sz w:val="28"/>
          <w:szCs w:val="28"/>
          <w:lang w:eastAsia="es-ES"/>
        </w:rPr>
        <w:t xml:space="preserve">también </w:t>
      </w:r>
      <w:r w:rsidRPr="00F2273F">
        <w:rPr>
          <w:rFonts w:ascii="Times New Roman" w:hAnsi="Times New Roman" w:cs="Times New Roman"/>
          <w:sz w:val="28"/>
          <w:szCs w:val="28"/>
          <w:lang w:eastAsia="es-ES"/>
        </w:rPr>
        <w:t xml:space="preserve">se decidió </w:t>
      </w:r>
      <w:r w:rsidRPr="00F2273F">
        <w:rPr>
          <w:rFonts w:ascii="Times New Roman" w:hAnsi="Times New Roman" w:cs="Times New Roman"/>
          <w:sz w:val="28"/>
          <w:szCs w:val="28"/>
          <w:lang w:eastAsia="es-ES"/>
        </w:rPr>
        <w:t>la eliminación del artículo 218</w:t>
      </w:r>
      <w:r w:rsidRPr="00F2273F">
        <w:rPr>
          <w:rStyle w:val="Refdenotaalpie"/>
          <w:rFonts w:ascii="Times New Roman" w:hAnsi="Times New Roman" w:cs="Times New Roman"/>
          <w:sz w:val="28"/>
          <w:szCs w:val="28"/>
          <w:lang w:eastAsia="es-ES"/>
        </w:rPr>
        <w:footnoteReference w:id="123"/>
      </w:r>
      <w:r w:rsidRPr="00F2273F">
        <w:rPr>
          <w:rFonts w:ascii="Times New Roman" w:hAnsi="Times New Roman" w:cs="Times New Roman"/>
          <w:sz w:val="28"/>
          <w:szCs w:val="28"/>
          <w:lang w:eastAsia="es-ES"/>
        </w:rPr>
        <w:t>.</w:t>
      </w:r>
    </w:p>
    <w:p w:rsidR="00B15417" w:rsidRPr="00F2273F" w:rsidRDefault="00F2273F" w:rsidP="00D90D66">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lang w:eastAsia="es-ES"/>
        </w:rPr>
      </w:pPr>
    </w:p>
    <w:p w:rsidR="00C11BB3" w:rsidRPr="00F2273F" w:rsidRDefault="00F2273F" w:rsidP="00C11BB3">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i/>
          <w:iCs/>
          <w:sz w:val="28"/>
          <w:szCs w:val="28"/>
        </w:rPr>
        <w:t>Análisis del cargo</w:t>
      </w:r>
      <w:r w:rsidRPr="00F2273F">
        <w:rPr>
          <w:rFonts w:ascii="Times New Roman" w:eastAsia="Times New Roman" w:hAnsi="Times New Roman" w:cs="Times New Roman"/>
          <w:i/>
          <w:iCs/>
          <w:sz w:val="28"/>
          <w:szCs w:val="28"/>
        </w:rPr>
        <w:t xml:space="preserve"> por consecutividad e identidad flexible</w:t>
      </w:r>
      <w:r w:rsidRPr="00F2273F">
        <w:rPr>
          <w:rFonts w:ascii="Times New Roman" w:eastAsia="Times New Roman" w:hAnsi="Times New Roman" w:cs="Times New Roman"/>
          <w:sz w:val="28"/>
          <w:szCs w:val="28"/>
        </w:rPr>
        <w:t xml:space="preserve">. </w:t>
      </w:r>
      <w:r w:rsidRPr="00F2273F">
        <w:rPr>
          <w:rFonts w:ascii="Times New Roman" w:hAnsi="Times New Roman" w:cs="Times New Roman"/>
          <w:sz w:val="28"/>
          <w:szCs w:val="28"/>
          <w:lang w:eastAsia="es-ES"/>
        </w:rPr>
        <w:t xml:space="preserve">De acuerdo </w:t>
      </w:r>
      <w:r w:rsidRPr="00F2273F">
        <w:rPr>
          <w:rFonts w:ascii="Times New Roman" w:hAnsi="Times New Roman" w:cs="Times New Roman"/>
          <w:sz w:val="28"/>
          <w:szCs w:val="28"/>
          <w:lang w:eastAsia="es-ES"/>
        </w:rPr>
        <w:t>con lo probado en el proceso</w:t>
      </w:r>
      <w:r w:rsidRPr="00F2273F">
        <w:rPr>
          <w:rFonts w:ascii="Times New Roman" w:hAnsi="Times New Roman" w:cs="Times New Roman"/>
          <w:sz w:val="28"/>
          <w:szCs w:val="28"/>
          <w:lang w:eastAsia="es-ES"/>
        </w:rPr>
        <w:t>, la Sala encuentra que en el trámite legislativo de las derogatorias acusadas se desconocieron los principios de consecutividad e identidad flexible</w:t>
      </w:r>
      <w:r w:rsidRPr="00F2273F">
        <w:rPr>
          <w:rFonts w:ascii="Times New Roman" w:hAnsi="Times New Roman" w:cs="Times New Roman"/>
          <w:sz w:val="28"/>
          <w:szCs w:val="28"/>
          <w:lang w:eastAsia="es-ES"/>
        </w:rPr>
        <w:t>. El análisis sobre el par</w:t>
      </w:r>
      <w:r w:rsidRPr="00F2273F">
        <w:rPr>
          <w:rFonts w:ascii="Times New Roman" w:hAnsi="Times New Roman" w:cs="Times New Roman"/>
          <w:sz w:val="28"/>
          <w:szCs w:val="28"/>
          <w:lang w:eastAsia="es-ES"/>
        </w:rPr>
        <w:t xml:space="preserve">ticular debe partir </w:t>
      </w:r>
      <w:r w:rsidRPr="00F2273F">
        <w:rPr>
          <w:rFonts w:ascii="Times New Roman" w:hAnsi="Times New Roman" w:cs="Times New Roman"/>
          <w:sz w:val="28"/>
          <w:szCs w:val="28"/>
          <w:lang w:val="es-ES" w:eastAsia="es-ES"/>
        </w:rPr>
        <w:t>específicamente de considerar el carácter multitemático de la ley del plan nacional de desarrollo en la que se insertaron las disposiciones censuradas y tomar en cuenta la negativa del artículo que regulaba el ajuste a la integración ve</w:t>
      </w:r>
      <w:r w:rsidRPr="00F2273F">
        <w:rPr>
          <w:rFonts w:ascii="Times New Roman" w:hAnsi="Times New Roman" w:cs="Times New Roman"/>
          <w:sz w:val="28"/>
          <w:szCs w:val="28"/>
          <w:lang w:val="es-ES" w:eastAsia="es-ES"/>
        </w:rPr>
        <w:t>rtical en el sector de energía eléctrica.</w:t>
      </w:r>
      <w:r w:rsidRPr="00F2273F">
        <w:rPr>
          <w:rFonts w:ascii="Times New Roman" w:hAnsi="Times New Roman" w:cs="Times New Roman"/>
          <w:sz w:val="28"/>
          <w:szCs w:val="28"/>
          <w:lang w:eastAsia="es-ES"/>
        </w:rPr>
        <w:t xml:space="preserve"> </w:t>
      </w:r>
    </w:p>
    <w:p w:rsidR="00E87EFB" w:rsidRPr="00F2273F" w:rsidRDefault="00F2273F" w:rsidP="002417CC">
      <w:pPr>
        <w:pStyle w:val="Prrafodelista"/>
        <w:rPr>
          <w:rFonts w:ascii="Times New Roman" w:eastAsia="Times New Roman" w:hAnsi="Times New Roman" w:cs="Times New Roman"/>
          <w:sz w:val="28"/>
          <w:szCs w:val="28"/>
        </w:rPr>
      </w:pPr>
    </w:p>
    <w:p w:rsidR="00E87EFB" w:rsidRPr="00F2273F" w:rsidRDefault="00F2273F" w:rsidP="00C11BB3">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rPr>
        <w:t>La Sala encuentra que:</w:t>
      </w:r>
      <w:r w:rsidRPr="00F2273F">
        <w:rPr>
          <w:rFonts w:ascii="Times New Roman" w:eastAsia="Times New Roman" w:hAnsi="Times New Roman" w:cs="Times New Roman"/>
          <w:sz w:val="28"/>
          <w:szCs w:val="28"/>
          <w:lang w:val="es-ES"/>
        </w:rPr>
        <w:t xml:space="preserve"> i) desde el proyecto original se incorporaron tres medidas a la iniciativa: </w:t>
      </w:r>
      <w:r w:rsidRPr="00F2273F">
        <w:rPr>
          <w:rFonts w:ascii="Times New Roman" w:eastAsia="Times New Roman" w:hAnsi="Times New Roman" w:cs="Times New Roman"/>
          <w:sz w:val="28"/>
          <w:szCs w:val="28"/>
          <w:lang w:val="es-ES"/>
        </w:rPr>
        <w:t xml:space="preserve">a) </w:t>
      </w:r>
      <w:r w:rsidRPr="00F2273F">
        <w:rPr>
          <w:rFonts w:ascii="Times New Roman" w:eastAsia="Times New Roman" w:hAnsi="Times New Roman" w:cs="Times New Roman"/>
          <w:sz w:val="28"/>
          <w:szCs w:val="28"/>
          <w:lang w:val="es-ES"/>
        </w:rPr>
        <w:t xml:space="preserve">incluir la transmisión como actividad integrable en el sector, </w:t>
      </w:r>
      <w:r w:rsidRPr="00F2273F">
        <w:rPr>
          <w:rFonts w:ascii="Times New Roman" w:eastAsia="Times New Roman" w:hAnsi="Times New Roman" w:cs="Times New Roman"/>
          <w:sz w:val="28"/>
          <w:szCs w:val="28"/>
          <w:lang w:val="es-ES"/>
        </w:rPr>
        <w:t xml:space="preserve">b) </w:t>
      </w:r>
      <w:r w:rsidRPr="00F2273F">
        <w:rPr>
          <w:rFonts w:ascii="Times New Roman" w:eastAsia="Times New Roman" w:hAnsi="Times New Roman" w:cs="Times New Roman"/>
          <w:sz w:val="28"/>
          <w:szCs w:val="28"/>
          <w:lang w:val="es-ES"/>
        </w:rPr>
        <w:t xml:space="preserve">condicionar la integración generación/transmisión al impulso de </w:t>
      </w:r>
      <w:r w:rsidRPr="00F2273F">
        <w:rPr>
          <w:rFonts w:ascii="Times New Roman" w:eastAsia="Times New Roman" w:hAnsi="Times New Roman" w:cs="Times New Roman"/>
          <w:sz w:val="28"/>
          <w:szCs w:val="28"/>
          <w:lang w:val="es-ES"/>
        </w:rPr>
        <w:t>fuentes no convencionales de energía</w:t>
      </w:r>
      <w:r w:rsidRPr="00F2273F">
        <w:rPr>
          <w:rFonts w:ascii="Times New Roman" w:eastAsia="Times New Roman" w:hAnsi="Times New Roman" w:cs="Times New Roman"/>
          <w:sz w:val="28"/>
          <w:szCs w:val="28"/>
          <w:lang w:val="es-ES"/>
        </w:rPr>
        <w:t xml:space="preserve"> FNECER</w:t>
      </w:r>
      <w:r w:rsidRPr="00F2273F">
        <w:rPr>
          <w:rFonts w:ascii="Times New Roman" w:eastAsia="Times New Roman" w:hAnsi="Times New Roman" w:cs="Times New Roman"/>
          <w:sz w:val="28"/>
          <w:szCs w:val="28"/>
          <w:lang w:val="es-ES"/>
        </w:rPr>
        <w:t xml:space="preserve"> y </w:t>
      </w:r>
      <w:r w:rsidRPr="00F2273F">
        <w:rPr>
          <w:rFonts w:ascii="Times New Roman" w:eastAsia="Times New Roman" w:hAnsi="Times New Roman" w:cs="Times New Roman"/>
          <w:sz w:val="28"/>
          <w:szCs w:val="28"/>
          <w:lang w:val="es-ES"/>
        </w:rPr>
        <w:t xml:space="preserve">c) </w:t>
      </w:r>
      <w:r w:rsidRPr="00F2273F">
        <w:rPr>
          <w:rFonts w:ascii="Times New Roman" w:eastAsia="Times New Roman" w:hAnsi="Times New Roman" w:cs="Times New Roman"/>
          <w:sz w:val="28"/>
          <w:szCs w:val="28"/>
          <w:lang w:val="es-ES"/>
        </w:rPr>
        <w:t>habilitar a las empresas creadas antes de 1994 a la integración sin esa restricción (lo que incluye a ISA); ello a partir de una lectura integr</w:t>
      </w:r>
      <w:r w:rsidRPr="00F2273F">
        <w:rPr>
          <w:rFonts w:ascii="Times New Roman" w:eastAsia="Times New Roman" w:hAnsi="Times New Roman" w:cs="Times New Roman"/>
          <w:sz w:val="28"/>
          <w:szCs w:val="28"/>
          <w:lang w:val="es-ES"/>
        </w:rPr>
        <w:t>al y coordinada entre los artículos 197/218 y 372 de la Ley 2294 de 2023, puesto que la norma propuesta desde el primer debate, al tratar la transmisión</w:t>
      </w:r>
      <w:r w:rsidRPr="00F2273F">
        <w:rPr>
          <w:rFonts w:ascii="Times New Roman" w:eastAsia="Times New Roman" w:hAnsi="Times New Roman" w:cs="Times New Roman"/>
          <w:sz w:val="28"/>
          <w:szCs w:val="28"/>
          <w:lang w:val="es-ES"/>
        </w:rPr>
        <w:t>,</w:t>
      </w:r>
      <w:r w:rsidRPr="00F2273F">
        <w:rPr>
          <w:rFonts w:ascii="Times New Roman" w:eastAsia="Times New Roman" w:hAnsi="Times New Roman" w:cs="Times New Roman"/>
          <w:sz w:val="28"/>
          <w:szCs w:val="28"/>
          <w:lang w:val="es-ES"/>
        </w:rPr>
        <w:t xml:space="preserve"> </w:t>
      </w:r>
      <w:r w:rsidRPr="00F2273F">
        <w:rPr>
          <w:rFonts w:ascii="Times New Roman" w:eastAsia="Times New Roman" w:hAnsi="Times New Roman" w:cs="Times New Roman"/>
          <w:sz w:val="28"/>
          <w:szCs w:val="28"/>
          <w:lang w:val="es-ES"/>
        </w:rPr>
        <w:t>aplica</w:t>
      </w:r>
      <w:r w:rsidRPr="00F2273F">
        <w:rPr>
          <w:rFonts w:ascii="Times New Roman" w:eastAsia="Times New Roman" w:hAnsi="Times New Roman" w:cs="Times New Roman"/>
          <w:sz w:val="28"/>
          <w:szCs w:val="28"/>
          <w:lang w:val="es-ES"/>
        </w:rPr>
        <w:t>ba</w:t>
      </w:r>
      <w:r w:rsidRPr="00F2273F">
        <w:rPr>
          <w:rFonts w:ascii="Times New Roman" w:eastAsia="Times New Roman" w:hAnsi="Times New Roman" w:cs="Times New Roman"/>
          <w:sz w:val="28"/>
          <w:szCs w:val="28"/>
          <w:lang w:val="es-ES"/>
        </w:rPr>
        <w:t xml:space="preserve"> tanto a las empresas como a ISA,</w:t>
      </w:r>
      <w:r w:rsidRPr="00F2273F">
        <w:rPr>
          <w:rFonts w:ascii="Times New Roman" w:eastAsia="Times New Roman" w:hAnsi="Times New Roman" w:cs="Times New Roman"/>
          <w:sz w:val="28"/>
          <w:szCs w:val="28"/>
          <w:lang w:val="es-ES"/>
        </w:rPr>
        <w:t xml:space="preserve"> </w:t>
      </w:r>
      <w:r w:rsidRPr="00F2273F">
        <w:rPr>
          <w:rFonts w:ascii="Times New Roman" w:eastAsia="Times New Roman" w:hAnsi="Times New Roman" w:cs="Times New Roman"/>
          <w:sz w:val="28"/>
          <w:szCs w:val="28"/>
          <w:lang w:val="es-ES"/>
        </w:rPr>
        <w:t xml:space="preserve">y </w:t>
      </w:r>
      <w:r w:rsidRPr="00F2273F">
        <w:rPr>
          <w:rFonts w:ascii="Times New Roman" w:eastAsia="Times New Roman" w:hAnsi="Times New Roman" w:cs="Times New Roman"/>
          <w:sz w:val="28"/>
          <w:szCs w:val="28"/>
          <w:lang w:val="es-ES"/>
        </w:rPr>
        <w:t>ii</w:t>
      </w:r>
      <w:r w:rsidRPr="00F2273F">
        <w:rPr>
          <w:rFonts w:ascii="Times New Roman" w:eastAsia="Times New Roman" w:hAnsi="Times New Roman" w:cs="Times New Roman"/>
          <w:sz w:val="28"/>
          <w:szCs w:val="28"/>
          <w:lang w:val="es-ES"/>
        </w:rPr>
        <w:t>) a partir de lo anterior, si bien existe una relación e</w:t>
      </w:r>
      <w:r w:rsidRPr="00F2273F">
        <w:rPr>
          <w:rFonts w:ascii="Times New Roman" w:eastAsia="Times New Roman" w:hAnsi="Times New Roman" w:cs="Times New Roman"/>
          <w:sz w:val="28"/>
          <w:szCs w:val="28"/>
          <w:lang w:val="es-ES"/>
        </w:rPr>
        <w:t xml:space="preserve">ntre ambas disposiciones, </w:t>
      </w:r>
      <w:r w:rsidRPr="00F2273F">
        <w:rPr>
          <w:rFonts w:ascii="Times New Roman" w:eastAsia="Times New Roman" w:hAnsi="Times New Roman" w:cs="Times New Roman"/>
          <w:sz w:val="28"/>
          <w:szCs w:val="28"/>
          <w:lang w:val="es-ES"/>
        </w:rPr>
        <w:t xml:space="preserve">no se trata de asuntos equiparables. </w:t>
      </w:r>
    </w:p>
    <w:p w:rsidR="00C11BB3" w:rsidRPr="00F2273F" w:rsidRDefault="00F2273F" w:rsidP="00C11BB3">
      <w:pPr>
        <w:pStyle w:val="Prrafodelista"/>
        <w:rPr>
          <w:rFonts w:ascii="Times New Roman" w:hAnsi="Times New Roman" w:cs="Times New Roman"/>
          <w:sz w:val="28"/>
          <w:szCs w:val="28"/>
          <w:lang w:eastAsia="es-ES"/>
        </w:rPr>
      </w:pPr>
    </w:p>
    <w:p w:rsidR="00C11BB3" w:rsidRPr="00F2273F" w:rsidRDefault="00F2273F" w:rsidP="00C11BB3">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hAnsi="Times New Roman" w:cs="Times New Roman"/>
          <w:sz w:val="28"/>
          <w:szCs w:val="28"/>
          <w:lang w:eastAsia="es-ES"/>
        </w:rPr>
        <w:t>En efecto,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ni el proyecto de ley original de la Ley 2294 ni el texto aprobado en primer debate por las </w:t>
      </w:r>
      <w:r w:rsidRPr="00F2273F">
        <w:rPr>
          <w:rFonts w:ascii="Times New Roman" w:hAnsi="Times New Roman" w:cs="Times New Roman"/>
          <w:sz w:val="28"/>
          <w:szCs w:val="28"/>
          <w:lang w:eastAsia="es-ES"/>
        </w:rPr>
        <w:t>C</w:t>
      </w:r>
      <w:r w:rsidRPr="00F2273F">
        <w:rPr>
          <w:rFonts w:ascii="Times New Roman" w:hAnsi="Times New Roman" w:cs="Times New Roman"/>
          <w:sz w:val="28"/>
          <w:szCs w:val="28"/>
          <w:lang w:eastAsia="es-ES"/>
        </w:rPr>
        <w:t xml:space="preserve">omisiones Tercera y Cuarta </w:t>
      </w:r>
      <w:r w:rsidRPr="00F2273F">
        <w:rPr>
          <w:rFonts w:ascii="Times New Roman" w:hAnsi="Times New Roman" w:cs="Times New Roman"/>
          <w:sz w:val="28"/>
          <w:szCs w:val="28"/>
          <w:lang w:eastAsia="es-ES"/>
        </w:rPr>
        <w:t>C</w:t>
      </w:r>
      <w:r w:rsidRPr="00F2273F">
        <w:rPr>
          <w:rFonts w:ascii="Times New Roman" w:hAnsi="Times New Roman" w:cs="Times New Roman"/>
          <w:sz w:val="28"/>
          <w:szCs w:val="28"/>
          <w:lang w:eastAsia="es-ES"/>
        </w:rPr>
        <w:t xml:space="preserve">onjuntas de la Cámara de Representantes y del Senado de la </w:t>
      </w:r>
      <w:r w:rsidRPr="00F2273F">
        <w:rPr>
          <w:rFonts w:ascii="Times New Roman" w:hAnsi="Times New Roman" w:cs="Times New Roman"/>
          <w:sz w:val="28"/>
          <w:szCs w:val="28"/>
          <w:lang w:eastAsia="es-ES"/>
        </w:rPr>
        <w:t>República incluyeron las derogatorias acusadas, aun cuando el ar</w:t>
      </w:r>
      <w:r w:rsidRPr="00F2273F">
        <w:rPr>
          <w:rFonts w:ascii="Times New Roman" w:eastAsia="Times New Roman" w:hAnsi="Times New Roman" w:cs="Times New Roman"/>
          <w:sz w:val="28"/>
          <w:szCs w:val="28"/>
        </w:rPr>
        <w:t xml:space="preserve">tículo de vigencias y derogatorias del PND fue discutido </w:t>
      </w:r>
      <w:r w:rsidRPr="00F2273F">
        <w:rPr>
          <w:rFonts w:ascii="Times New Roman" w:eastAsia="Times New Roman" w:hAnsi="Times New Roman" w:cs="Times New Roman"/>
          <w:sz w:val="28"/>
          <w:szCs w:val="28"/>
        </w:rPr>
        <w:t>durante todo el tránsito legislativo del proyecto</w:t>
      </w:r>
      <w:r w:rsidRPr="00F2273F">
        <w:rPr>
          <w:rFonts w:ascii="Times New Roman" w:eastAsia="Times New Roman" w:hAnsi="Times New Roman" w:cs="Times New Roman"/>
          <w:sz w:val="28"/>
          <w:szCs w:val="28"/>
        </w:rPr>
        <w:t>.</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 xml:space="preserve">Como se acreditó, el artículo se incluyó </w:t>
      </w:r>
      <w:r w:rsidRPr="00F2273F">
        <w:rPr>
          <w:rFonts w:ascii="Times New Roman" w:eastAsia="Times New Roman" w:hAnsi="Times New Roman" w:cs="Times New Roman"/>
          <w:sz w:val="28"/>
          <w:szCs w:val="28"/>
        </w:rPr>
        <w:t xml:space="preserve">en la ponencia para segundo debate en la Cámara de </w:t>
      </w:r>
      <w:r w:rsidRPr="00F2273F">
        <w:rPr>
          <w:rFonts w:ascii="Times New Roman" w:eastAsia="Times New Roman" w:hAnsi="Times New Roman" w:cs="Times New Roman"/>
          <w:sz w:val="28"/>
          <w:szCs w:val="28"/>
        </w:rPr>
        <w:t>Representantes</w:t>
      </w:r>
      <w:r w:rsidRPr="00F2273F">
        <w:rPr>
          <w:rFonts w:ascii="Times New Roman" w:eastAsia="Times New Roman" w:hAnsi="Times New Roman" w:cs="Times New Roman"/>
          <w:sz w:val="28"/>
          <w:szCs w:val="28"/>
        </w:rPr>
        <w:t>,</w:t>
      </w:r>
      <w:r w:rsidRPr="00F2273F">
        <w:rPr>
          <w:rFonts w:ascii="Times New Roman" w:eastAsia="Times New Roman" w:hAnsi="Times New Roman" w:cs="Times New Roman"/>
          <w:sz w:val="28"/>
          <w:szCs w:val="28"/>
        </w:rPr>
        <w:t xml:space="preserve"> por decisión de los ponentes</w:t>
      </w:r>
      <w:r w:rsidRPr="00F2273F">
        <w:rPr>
          <w:rFonts w:ascii="Times New Roman" w:eastAsia="Times New Roman" w:hAnsi="Times New Roman" w:cs="Times New Roman"/>
          <w:sz w:val="28"/>
          <w:szCs w:val="28"/>
        </w:rPr>
        <w:t xml:space="preserve"> y en línea con una proposición</w:t>
      </w:r>
      <w:r w:rsidRPr="00F2273F">
        <w:rPr>
          <w:rFonts w:ascii="Times New Roman" w:eastAsia="Times New Roman" w:hAnsi="Times New Roman" w:cs="Times New Roman"/>
          <w:sz w:val="28"/>
          <w:szCs w:val="28"/>
        </w:rPr>
        <w:t>.</w:t>
      </w:r>
    </w:p>
    <w:p w:rsidR="00C11BB3" w:rsidRPr="00F2273F" w:rsidRDefault="00F2273F" w:rsidP="00C11BB3">
      <w:pPr>
        <w:pStyle w:val="Prrafodelista"/>
        <w:rPr>
          <w:rFonts w:ascii="Times New Roman" w:eastAsia="Times New Roman" w:hAnsi="Times New Roman" w:cs="Times New Roman"/>
          <w:sz w:val="28"/>
          <w:szCs w:val="28"/>
        </w:rPr>
      </w:pPr>
    </w:p>
    <w:p w:rsidR="00DC1887" w:rsidRPr="00F2273F" w:rsidRDefault="00F2273F" w:rsidP="002417CC">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rPr>
        <w:t>Ahora bien,</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 xml:space="preserve">a pesar de la aprobación </w:t>
      </w:r>
      <w:r w:rsidRPr="00F2273F">
        <w:rPr>
          <w:rFonts w:ascii="Times New Roman" w:eastAsia="Times New Roman" w:hAnsi="Times New Roman" w:cs="Times New Roman"/>
          <w:sz w:val="28"/>
          <w:szCs w:val="28"/>
        </w:rPr>
        <w:t>de los segmentos acusados</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la eliminación</w:t>
      </w:r>
      <w:r w:rsidRPr="00F2273F">
        <w:rPr>
          <w:rFonts w:ascii="Times New Roman" w:eastAsia="Times New Roman" w:hAnsi="Times New Roman" w:cs="Times New Roman"/>
          <w:sz w:val="28"/>
          <w:szCs w:val="28"/>
        </w:rPr>
        <w:t xml:space="preserve"> del artículo 197/218 tenía un impacto en la operatividad de la integración vertical de ISA, dado que subsistía </w:t>
      </w:r>
      <w:r w:rsidRPr="00F2273F">
        <w:rPr>
          <w:rFonts w:ascii="Times New Roman" w:eastAsia="Times New Roman" w:hAnsi="Times New Roman" w:cs="Times New Roman"/>
          <w:sz w:val="28"/>
          <w:szCs w:val="28"/>
        </w:rPr>
        <w:t>una disposición vigente que dispone que la actividad de transmisión debe desarrollarse de forma independiente</w:t>
      </w:r>
      <w:r w:rsidRPr="00F2273F">
        <w:rPr>
          <w:rFonts w:ascii="Times New Roman" w:eastAsia="Times New Roman" w:hAnsi="Times New Roman" w:cs="Times New Roman"/>
          <w:sz w:val="28"/>
          <w:szCs w:val="28"/>
        </w:rPr>
        <w:t>, como se señaló previamente</w:t>
      </w:r>
      <w:r w:rsidRPr="00F2273F">
        <w:rPr>
          <w:rFonts w:ascii="Times New Roman" w:eastAsia="Times New Roman" w:hAnsi="Times New Roman" w:cs="Times New Roman"/>
          <w:sz w:val="28"/>
          <w:szCs w:val="28"/>
        </w:rPr>
        <w:t xml:space="preserve">. </w:t>
      </w:r>
    </w:p>
    <w:p w:rsidR="007320C7" w:rsidRPr="00F2273F" w:rsidRDefault="00F2273F" w:rsidP="007320C7">
      <w:pPr>
        <w:pStyle w:val="Prrafodelista"/>
        <w:shd w:val="clear" w:color="auto" w:fill="FFFFFF"/>
        <w:tabs>
          <w:tab w:val="left" w:pos="0"/>
        </w:tabs>
        <w:spacing w:after="0" w:line="240" w:lineRule="auto"/>
        <w:ind w:left="0" w:right="48"/>
        <w:jc w:val="both"/>
        <w:textAlignment w:val="baseline"/>
        <w:rPr>
          <w:rFonts w:ascii="Times New Roman" w:eastAsia="Times New Roman" w:hAnsi="Times New Roman" w:cs="Times New Roman"/>
          <w:sz w:val="28"/>
          <w:szCs w:val="28"/>
        </w:rPr>
      </w:pPr>
    </w:p>
    <w:p w:rsidR="00AB6692" w:rsidRPr="00F2273F" w:rsidRDefault="00F2273F" w:rsidP="002609AA">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Así</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ante la eliminación del artículo 197/218 del proyecto de ley, </w:t>
      </w:r>
      <w:r w:rsidRPr="00F2273F">
        <w:rPr>
          <w:rFonts w:ascii="Times New Roman" w:hAnsi="Times New Roman" w:cs="Times New Roman"/>
          <w:sz w:val="28"/>
          <w:szCs w:val="28"/>
        </w:rPr>
        <w:t>subsistía</w:t>
      </w:r>
      <w:r w:rsidRPr="00F2273F">
        <w:rPr>
          <w:rFonts w:ascii="Times New Roman" w:hAnsi="Times New Roman" w:cs="Times New Roman"/>
          <w:sz w:val="28"/>
          <w:szCs w:val="28"/>
        </w:rPr>
        <w:t xml:space="preserve"> una </w:t>
      </w:r>
      <w:r w:rsidRPr="00F2273F">
        <w:rPr>
          <w:rFonts w:ascii="Times New Roman" w:hAnsi="Times New Roman" w:cs="Times New Roman"/>
          <w:sz w:val="28"/>
          <w:szCs w:val="28"/>
        </w:rPr>
        <w:t>disposición</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genera</w:t>
      </w:r>
      <w:r w:rsidRPr="00F2273F">
        <w:rPr>
          <w:rFonts w:ascii="Times New Roman" w:hAnsi="Times New Roman" w:cs="Times New Roman"/>
          <w:sz w:val="28"/>
          <w:szCs w:val="28"/>
        </w:rPr>
        <w:t>l</w:t>
      </w:r>
      <w:r w:rsidRPr="00F2273F">
        <w:rPr>
          <w:rFonts w:ascii="Times New Roman" w:hAnsi="Times New Roman" w:cs="Times New Roman"/>
          <w:sz w:val="28"/>
          <w:szCs w:val="28"/>
        </w:rPr>
        <w:t xml:space="preserve">, esto es, </w:t>
      </w:r>
      <w:r w:rsidRPr="00F2273F">
        <w:rPr>
          <w:rFonts w:ascii="Times New Roman" w:hAnsi="Times New Roman" w:cs="Times New Roman"/>
          <w:sz w:val="28"/>
          <w:szCs w:val="28"/>
        </w:rPr>
        <w:t xml:space="preserve">el artículo 74 de la </w:t>
      </w:r>
      <w:r w:rsidRPr="00F2273F">
        <w:rPr>
          <w:rFonts w:ascii="Times New Roman" w:hAnsi="Times New Roman" w:cs="Times New Roman"/>
          <w:sz w:val="28"/>
          <w:szCs w:val="28"/>
        </w:rPr>
        <w:t xml:space="preserve">Ley </w:t>
      </w:r>
      <w:r w:rsidRPr="00F2273F">
        <w:rPr>
          <w:rFonts w:ascii="Times New Roman" w:hAnsi="Times New Roman" w:cs="Times New Roman"/>
          <w:sz w:val="28"/>
          <w:szCs w:val="28"/>
        </w:rPr>
        <w:t xml:space="preserve">143 de 1994 y su modificación </w:t>
      </w:r>
      <w:r w:rsidRPr="00F2273F">
        <w:rPr>
          <w:rFonts w:ascii="Times New Roman" w:hAnsi="Times New Roman" w:cs="Times New Roman"/>
          <w:sz w:val="28"/>
          <w:szCs w:val="28"/>
        </w:rPr>
        <w:t>dispuesta por la Ley 1955 de 2019</w:t>
      </w:r>
      <w:r w:rsidRPr="00F2273F">
        <w:rPr>
          <w:rFonts w:ascii="Times New Roman" w:hAnsi="Times New Roman" w:cs="Times New Roman"/>
          <w:sz w:val="28"/>
          <w:szCs w:val="28"/>
        </w:rPr>
        <w:t>, que está vigente.</w:t>
      </w:r>
      <w:r w:rsidRPr="00F2273F">
        <w:rPr>
          <w:rFonts w:ascii="Times New Roman" w:hAnsi="Times New Roman" w:cs="Times New Roman"/>
          <w:sz w:val="28"/>
          <w:szCs w:val="28"/>
          <w:vertAlign w:val="superscript"/>
        </w:rPr>
        <w:t xml:space="preserve"> </w:t>
      </w:r>
      <w:r w:rsidRPr="00F2273F">
        <w:rPr>
          <w:rFonts w:ascii="Times New Roman" w:hAnsi="Times New Roman" w:cs="Times New Roman"/>
          <w:sz w:val="28"/>
          <w:szCs w:val="28"/>
        </w:rPr>
        <w:t>Aquel</w:t>
      </w:r>
      <w:r w:rsidRPr="00F2273F">
        <w:rPr>
          <w:rFonts w:ascii="Times New Roman" w:hAnsi="Times New Roman" w:cs="Times New Roman"/>
          <w:sz w:val="28"/>
          <w:szCs w:val="28"/>
        </w:rPr>
        <w:t xml:space="preserve"> no </w:t>
      </w:r>
      <w:r w:rsidRPr="00F2273F">
        <w:rPr>
          <w:rFonts w:ascii="Times New Roman" w:hAnsi="Times New Roman" w:cs="Times New Roman"/>
          <w:sz w:val="28"/>
          <w:szCs w:val="28"/>
        </w:rPr>
        <w:t>permite</w:t>
      </w:r>
      <w:r w:rsidRPr="00F2273F">
        <w:rPr>
          <w:rFonts w:ascii="Times New Roman" w:hAnsi="Times New Roman" w:cs="Times New Roman"/>
          <w:sz w:val="28"/>
          <w:szCs w:val="28"/>
        </w:rPr>
        <w:t xml:space="preserve"> la </w:t>
      </w:r>
      <w:r w:rsidRPr="00F2273F">
        <w:rPr>
          <w:rFonts w:ascii="Times New Roman" w:hAnsi="Times New Roman" w:cs="Times New Roman"/>
          <w:sz w:val="28"/>
          <w:szCs w:val="28"/>
        </w:rPr>
        <w:t xml:space="preserve">integración de la actividad </w:t>
      </w:r>
      <w:r w:rsidRPr="00F2273F">
        <w:rPr>
          <w:rFonts w:ascii="Times New Roman" w:hAnsi="Times New Roman" w:cs="Times New Roman"/>
          <w:sz w:val="28"/>
          <w:szCs w:val="28"/>
        </w:rPr>
        <w:t>de tran</w:t>
      </w:r>
      <w:r w:rsidRPr="00F2273F">
        <w:rPr>
          <w:rFonts w:ascii="Times New Roman" w:hAnsi="Times New Roman" w:cs="Times New Roman"/>
          <w:sz w:val="28"/>
          <w:szCs w:val="28"/>
        </w:rPr>
        <w:t>smisión de energía</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que es una de las actividades </w:t>
      </w:r>
      <w:r w:rsidRPr="00F2273F">
        <w:rPr>
          <w:rFonts w:ascii="Times New Roman" w:hAnsi="Times New Roman" w:cs="Times New Roman"/>
          <w:sz w:val="28"/>
          <w:szCs w:val="28"/>
        </w:rPr>
        <w:t>principales de ISA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El</w:t>
      </w:r>
      <w:r w:rsidRPr="00F2273F">
        <w:rPr>
          <w:rFonts w:ascii="Times New Roman" w:hAnsi="Times New Roman" w:cs="Times New Roman"/>
          <w:sz w:val="28"/>
          <w:szCs w:val="28"/>
        </w:rPr>
        <w:t xml:space="preserve"> enunciado </w:t>
      </w:r>
      <w:r w:rsidRPr="00F2273F">
        <w:rPr>
          <w:rFonts w:ascii="Times New Roman" w:hAnsi="Times New Roman" w:cs="Times New Roman"/>
          <w:sz w:val="28"/>
          <w:szCs w:val="28"/>
        </w:rPr>
        <w:t xml:space="preserve">referido </w:t>
      </w:r>
      <w:r w:rsidRPr="00F2273F">
        <w:rPr>
          <w:rFonts w:ascii="Times New Roman" w:hAnsi="Times New Roman" w:cs="Times New Roman"/>
          <w:sz w:val="28"/>
          <w:szCs w:val="28"/>
        </w:rPr>
        <w:t>dispone lo siguiente</w:t>
      </w:r>
      <w:r w:rsidRPr="00F2273F">
        <w:rPr>
          <w:rFonts w:ascii="Times New Roman" w:hAnsi="Times New Roman" w:cs="Times New Roman"/>
          <w:sz w:val="28"/>
          <w:szCs w:val="28"/>
        </w:rPr>
        <w:t xml:space="preserve">: </w:t>
      </w:r>
      <w:r w:rsidRPr="00F2273F">
        <w:rPr>
          <w:rFonts w:ascii="Times New Roman" w:hAnsi="Times New Roman" w:cs="Times New Roman"/>
          <w:spacing w:val="2"/>
          <w:sz w:val="28"/>
          <w:szCs w:val="28"/>
          <w:shd w:val="clear" w:color="auto" w:fill="FFFFFF"/>
        </w:rPr>
        <w:t>“</w:t>
      </w:r>
      <w:r w:rsidRPr="00F2273F">
        <w:rPr>
          <w:rFonts w:ascii="Times New Roman" w:hAnsi="Times New Roman" w:cs="Times New Roman"/>
          <w:spacing w:val="2"/>
          <w:sz w:val="28"/>
          <w:szCs w:val="28"/>
          <w:shd w:val="clear" w:color="auto" w:fill="FFFFFF"/>
        </w:rPr>
        <w:t>[l]as e</w:t>
      </w:r>
      <w:r w:rsidRPr="00F2273F">
        <w:rPr>
          <w:rFonts w:ascii="Times New Roman" w:hAnsi="Times New Roman" w:cs="Times New Roman"/>
          <w:spacing w:val="2"/>
          <w:sz w:val="28"/>
          <w:szCs w:val="28"/>
          <w:shd w:val="clear" w:color="auto" w:fill="FFFFFF"/>
        </w:rPr>
        <w:t xml:space="preserve">mpresas de Servicios Públicos Domiciliarios que tengan por objeto la prestación del servicio </w:t>
      </w:r>
      <w:r w:rsidRPr="00F2273F">
        <w:rPr>
          <w:rFonts w:ascii="Times New Roman" w:hAnsi="Times New Roman" w:cs="Times New Roman"/>
          <w:spacing w:val="2"/>
          <w:sz w:val="28"/>
          <w:szCs w:val="28"/>
          <w:shd w:val="clear" w:color="auto" w:fill="FFFFFF"/>
        </w:rPr>
        <w:t>público de energía eléctrica y que hagan parte del Sistema Interconectado Nacional, podrán desarrollar las actividades de generación, distribución y comercialización de energía de manera integrada”</w:t>
      </w:r>
      <w:r w:rsidRPr="00F2273F">
        <w:rPr>
          <w:rFonts w:ascii="Times New Roman" w:hAnsi="Times New Roman" w:cs="Times New Roman"/>
          <w:spacing w:val="2"/>
          <w:sz w:val="28"/>
          <w:szCs w:val="28"/>
          <w:shd w:val="clear" w:color="auto" w:fill="FFFFFF"/>
        </w:rPr>
        <w:t>,</w:t>
      </w:r>
      <w:r w:rsidRPr="00F2273F">
        <w:rPr>
          <w:rFonts w:ascii="Times New Roman" w:hAnsi="Times New Roman" w:cs="Times New Roman"/>
          <w:spacing w:val="2"/>
          <w:sz w:val="28"/>
          <w:szCs w:val="28"/>
          <w:shd w:val="clear" w:color="auto" w:fill="FFFFFF"/>
        </w:rPr>
        <w:t xml:space="preserve"> razón por la cual la actividad de transmisión no puede se</w:t>
      </w:r>
      <w:r w:rsidRPr="00F2273F">
        <w:rPr>
          <w:rFonts w:ascii="Times New Roman" w:hAnsi="Times New Roman" w:cs="Times New Roman"/>
          <w:spacing w:val="2"/>
          <w:sz w:val="28"/>
          <w:szCs w:val="28"/>
          <w:shd w:val="clear" w:color="auto" w:fill="FFFFFF"/>
        </w:rPr>
        <w:t xml:space="preserve">r objeto de integración. </w:t>
      </w:r>
      <w:r w:rsidRPr="00F2273F">
        <w:rPr>
          <w:rFonts w:ascii="Times New Roman" w:hAnsi="Times New Roman" w:cs="Times New Roman"/>
          <w:spacing w:val="2"/>
          <w:sz w:val="28"/>
          <w:szCs w:val="28"/>
          <w:shd w:val="clear" w:color="auto" w:fill="FFFFFF"/>
        </w:rPr>
        <w:t xml:space="preserve">Este artículo </w:t>
      </w:r>
      <w:r w:rsidRPr="00F2273F">
        <w:rPr>
          <w:rFonts w:ascii="Times New Roman" w:hAnsi="Times New Roman" w:cs="Times New Roman"/>
          <w:spacing w:val="2"/>
          <w:sz w:val="28"/>
          <w:szCs w:val="28"/>
          <w:shd w:val="clear" w:color="auto" w:fill="FFFFFF"/>
        </w:rPr>
        <w:t>aplica</w:t>
      </w:r>
      <w:r w:rsidRPr="00F2273F">
        <w:rPr>
          <w:rFonts w:ascii="Times New Roman" w:hAnsi="Times New Roman" w:cs="Times New Roman"/>
          <w:spacing w:val="2"/>
          <w:sz w:val="28"/>
          <w:szCs w:val="28"/>
          <w:shd w:val="clear" w:color="auto" w:fill="FFFFFF"/>
        </w:rPr>
        <w:t xml:space="preserve"> a ISA dado que se trata de una empresa que presta el servicio público de energía y que administra, opera y mantiene </w:t>
      </w:r>
      <w:r w:rsidRPr="00F2273F">
        <w:rPr>
          <w:rFonts w:ascii="Times New Roman" w:hAnsi="Times New Roman" w:cs="Times New Roman"/>
          <w:spacing w:val="2"/>
          <w:sz w:val="28"/>
          <w:szCs w:val="28"/>
          <w:shd w:val="clear" w:color="auto" w:fill="FFFFFF"/>
        </w:rPr>
        <w:t xml:space="preserve">el Sistema Integrado Nacional. </w:t>
      </w:r>
      <w:r w:rsidRPr="00F2273F">
        <w:rPr>
          <w:rFonts w:ascii="Times New Roman" w:hAnsi="Times New Roman" w:cs="Times New Roman"/>
          <w:spacing w:val="2"/>
          <w:sz w:val="28"/>
          <w:szCs w:val="28"/>
          <w:shd w:val="clear" w:color="auto" w:fill="FFFFFF"/>
        </w:rPr>
        <w:t xml:space="preserve"> </w:t>
      </w:r>
    </w:p>
    <w:p w:rsidR="002609AA" w:rsidRPr="00F2273F" w:rsidRDefault="00F2273F" w:rsidP="002609AA">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rPr>
      </w:pPr>
    </w:p>
    <w:p w:rsidR="00AB6692" w:rsidRPr="00F2273F" w:rsidRDefault="00F2273F" w:rsidP="001B58AB">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De acuerdo con lo descrito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aunque </w:t>
      </w:r>
      <w:r w:rsidRPr="00F2273F">
        <w:rPr>
          <w:rFonts w:ascii="Times New Roman" w:eastAsia="Times New Roman" w:hAnsi="Times New Roman" w:cs="Times New Roman"/>
          <w:sz w:val="28"/>
          <w:szCs w:val="28"/>
        </w:rPr>
        <w:t xml:space="preserve">existe una relación </w:t>
      </w:r>
      <w:r w:rsidRPr="00F2273F">
        <w:rPr>
          <w:rFonts w:ascii="Times New Roman" w:eastAsia="Times New Roman" w:hAnsi="Times New Roman" w:cs="Times New Roman"/>
          <w:sz w:val="28"/>
          <w:szCs w:val="28"/>
        </w:rPr>
        <w:t>temática entre los artículos 197/218 y las derogatorias acusadas en el curso del debate, pues ambos instrumentos se refieren a la integración vertical en el sector eléctrico, en el contexto específico del</w:t>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trámite legislativo era imperioso un debate concret</w:t>
      </w:r>
      <w:r w:rsidRPr="00F2273F">
        <w:rPr>
          <w:rFonts w:ascii="Times New Roman" w:eastAsia="Times New Roman" w:hAnsi="Times New Roman" w:cs="Times New Roman"/>
          <w:sz w:val="28"/>
          <w:szCs w:val="28"/>
        </w:rPr>
        <w:t>o</w:t>
      </w:r>
      <w:r w:rsidRPr="00F2273F">
        <w:rPr>
          <w:rFonts w:ascii="Times New Roman" w:eastAsia="Times New Roman" w:hAnsi="Times New Roman" w:cs="Times New Roman"/>
          <w:sz w:val="28"/>
          <w:szCs w:val="28"/>
        </w:rPr>
        <w:t xml:space="preserve"> sobre las derogatorias acusadas</w:t>
      </w:r>
      <w:r w:rsidRPr="00F2273F">
        <w:rPr>
          <w:rFonts w:ascii="Times New Roman" w:eastAsia="Times New Roman" w:hAnsi="Times New Roman" w:cs="Times New Roman"/>
          <w:sz w:val="28"/>
          <w:szCs w:val="28"/>
        </w:rPr>
        <w:t xml:space="preserve"> que se referían a ISA</w:t>
      </w:r>
      <w:r w:rsidRPr="00F2273F">
        <w:rPr>
          <w:rFonts w:ascii="Times New Roman" w:eastAsia="Times New Roman" w:hAnsi="Times New Roman" w:cs="Times New Roman"/>
          <w:sz w:val="28"/>
          <w:szCs w:val="28"/>
        </w:rPr>
        <w:t xml:space="preserve">. En otros términos, </w:t>
      </w:r>
      <w:r w:rsidRPr="00F2273F">
        <w:rPr>
          <w:rFonts w:ascii="Times New Roman" w:hAnsi="Times New Roman" w:cs="Times New Roman"/>
          <w:sz w:val="28"/>
          <w:szCs w:val="28"/>
        </w:rPr>
        <w:t>aun cuando el tema general de la integración vertical fue objeto de discusión, ello no es suficiente para tener por acreditado el debate específico sobre las derogatorias acusada</w:t>
      </w:r>
      <w:r w:rsidRPr="00F2273F">
        <w:rPr>
          <w:rFonts w:ascii="Times New Roman" w:hAnsi="Times New Roman" w:cs="Times New Roman"/>
          <w:sz w:val="28"/>
          <w:szCs w:val="28"/>
        </w:rPr>
        <w:t>s</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S</w:t>
      </w:r>
      <w:r w:rsidRPr="00F2273F">
        <w:rPr>
          <w:rFonts w:ascii="Times New Roman" w:hAnsi="Times New Roman" w:cs="Times New Roman"/>
          <w:sz w:val="28"/>
          <w:szCs w:val="28"/>
        </w:rPr>
        <w:t xml:space="preserve">e requería una consideración particular sobre </w:t>
      </w:r>
      <w:r w:rsidRPr="00F2273F">
        <w:rPr>
          <w:rFonts w:ascii="Times New Roman" w:eastAsia="Times New Roman" w:hAnsi="Times New Roman" w:cs="Times New Roman"/>
          <w:sz w:val="28"/>
          <w:szCs w:val="28"/>
        </w:rPr>
        <w:t xml:space="preserve">el impacto de la no aprobación del artículo 197/218 en la operatividad del levantamiento de la prohibición de integración vertical </w:t>
      </w:r>
      <w:r w:rsidRPr="00F2273F">
        <w:rPr>
          <w:rFonts w:ascii="Times New Roman" w:eastAsia="Times New Roman" w:hAnsi="Times New Roman" w:cs="Times New Roman"/>
          <w:sz w:val="28"/>
          <w:szCs w:val="28"/>
        </w:rPr>
        <w:t xml:space="preserve">que se examina. </w:t>
      </w:r>
    </w:p>
    <w:p w:rsidR="00AB6692" w:rsidRPr="00F2273F" w:rsidRDefault="00F2273F" w:rsidP="00AB6692">
      <w:pPr>
        <w:pStyle w:val="Prrafodelista"/>
        <w:rPr>
          <w:rFonts w:ascii="Times New Roman" w:eastAsia="Times New Roman" w:hAnsi="Times New Roman" w:cs="Times New Roman"/>
          <w:sz w:val="28"/>
          <w:szCs w:val="28"/>
        </w:rPr>
      </w:pPr>
    </w:p>
    <w:p w:rsidR="00AB6692" w:rsidRPr="00F2273F" w:rsidRDefault="00F2273F" w:rsidP="00AB6692">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eastAsia="Times New Roman" w:hAnsi="Times New Roman" w:cs="Times New Roman"/>
          <w:sz w:val="28"/>
          <w:szCs w:val="28"/>
        </w:rPr>
        <w:t>Por lo anterior</w:t>
      </w:r>
      <w:r w:rsidRPr="00F2273F">
        <w:rPr>
          <w:rFonts w:ascii="Times New Roman" w:eastAsia="Times New Roman" w:hAnsi="Times New Roman" w:cs="Times New Roman"/>
          <w:i/>
          <w:iCs/>
          <w:sz w:val="28"/>
          <w:szCs w:val="28"/>
        </w:rPr>
        <w:t>,</w:t>
      </w:r>
      <w:r w:rsidRPr="00F2273F">
        <w:rPr>
          <w:rFonts w:ascii="Times New Roman" w:eastAsia="Times New Roman" w:hAnsi="Times New Roman" w:cs="Times New Roman"/>
          <w:sz w:val="28"/>
          <w:szCs w:val="28"/>
        </w:rPr>
        <w:t xml:space="preserve"> está acreditado que</w:t>
      </w:r>
      <w:r w:rsidRPr="00F2273F">
        <w:rPr>
          <w:rFonts w:ascii="Times New Roman" w:eastAsia="Times New Roman" w:hAnsi="Times New Roman" w:cs="Times New Roman"/>
          <w:sz w:val="28"/>
          <w:szCs w:val="28"/>
        </w:rPr>
        <w:t xml:space="preserve"> no se presentó la deliberación debida sobre las medidas enjuiciadas y se impactó por ende el principio democrático. E</w:t>
      </w:r>
      <w:r w:rsidRPr="00F2273F">
        <w:rPr>
          <w:rFonts w:ascii="Times New Roman" w:eastAsia="Times New Roman" w:hAnsi="Times New Roman" w:cs="Times New Roman"/>
          <w:sz w:val="28"/>
          <w:szCs w:val="28"/>
        </w:rPr>
        <w:t>n el trámite quedó acreditado que este asunto no se discutió mínimamente porque</w:t>
      </w:r>
      <w:r w:rsidRPr="00F2273F">
        <w:rPr>
          <w:rFonts w:ascii="Times New Roman" w:hAnsi="Times New Roman" w:cs="Times New Roman"/>
          <w:sz w:val="28"/>
          <w:szCs w:val="28"/>
          <w:lang w:val="es-ES"/>
        </w:rPr>
        <w:t>: a) no hubo deliberación particular ni específica respecto</w:t>
      </w:r>
      <w:r w:rsidRPr="00F2273F">
        <w:rPr>
          <w:rFonts w:ascii="Times New Roman" w:hAnsi="Times New Roman" w:cs="Times New Roman"/>
          <w:sz w:val="28"/>
          <w:szCs w:val="28"/>
          <w:lang w:val="es-ES"/>
        </w:rPr>
        <w:t xml:space="preserve"> de las medidas derogatorias contenidas en el artículo 372 del PND, b) se omitió debatir las dos proposiciones que buscaron su eliminación en la Cámara de Representantes y c) el presidente de esa corporación legislativa expresa y voluntariamente </w:t>
      </w:r>
      <w:r w:rsidRPr="00F2273F">
        <w:rPr>
          <w:rFonts w:ascii="Times New Roman" w:hAnsi="Times New Roman" w:cs="Times New Roman"/>
          <w:sz w:val="28"/>
          <w:szCs w:val="28"/>
          <w:lang w:val="es-ES"/>
        </w:rPr>
        <w:t>eludió</w:t>
      </w:r>
      <w:r w:rsidRPr="00F2273F">
        <w:rPr>
          <w:rFonts w:ascii="Times New Roman" w:hAnsi="Times New Roman" w:cs="Times New Roman"/>
          <w:sz w:val="28"/>
          <w:szCs w:val="28"/>
          <w:lang w:val="es-ES"/>
        </w:rPr>
        <w:t xml:space="preserve"> de </w:t>
      </w:r>
      <w:r w:rsidRPr="00F2273F">
        <w:rPr>
          <w:rFonts w:ascii="Times New Roman" w:hAnsi="Times New Roman" w:cs="Times New Roman"/>
          <w:sz w:val="28"/>
          <w:szCs w:val="28"/>
          <w:lang w:val="es-ES"/>
        </w:rPr>
        <w:t>manera consciente el debate</w:t>
      </w:r>
      <w:r w:rsidRPr="00F2273F">
        <w:rPr>
          <w:rFonts w:ascii="Times New Roman" w:hAnsi="Times New Roman" w:cs="Times New Roman"/>
          <w:sz w:val="28"/>
          <w:szCs w:val="28"/>
          <w:lang w:val="es-ES"/>
        </w:rPr>
        <w:t xml:space="preserve"> sobre aquellas</w:t>
      </w:r>
      <w:r w:rsidRPr="00F2273F">
        <w:rPr>
          <w:rFonts w:ascii="Times New Roman" w:hAnsi="Times New Roman" w:cs="Times New Roman"/>
          <w:sz w:val="28"/>
          <w:szCs w:val="28"/>
          <w:lang w:val="es-ES"/>
        </w:rPr>
        <w:t xml:space="preserve">. </w:t>
      </w:r>
      <w:r w:rsidRPr="00F2273F">
        <w:rPr>
          <w:rFonts w:ascii="Times New Roman" w:hAnsi="Times New Roman" w:cs="Times New Roman"/>
          <w:sz w:val="28"/>
          <w:szCs w:val="28"/>
          <w:lang w:val="es-ES"/>
        </w:rPr>
        <w:t>La Sala explicará cada uno de estos asuntos</w:t>
      </w:r>
      <w:r w:rsidRPr="00F2273F">
        <w:rPr>
          <w:rFonts w:ascii="Times New Roman" w:hAnsi="Times New Roman" w:cs="Times New Roman"/>
          <w:sz w:val="28"/>
          <w:szCs w:val="28"/>
          <w:lang w:val="es-ES"/>
        </w:rPr>
        <w:t xml:space="preserve"> de manera </w:t>
      </w:r>
      <w:r w:rsidRPr="00F2273F">
        <w:rPr>
          <w:rFonts w:ascii="Times New Roman" w:hAnsi="Times New Roman" w:cs="Times New Roman"/>
          <w:sz w:val="28"/>
          <w:szCs w:val="28"/>
          <w:lang w:val="es-ES"/>
        </w:rPr>
        <w:t>puntual</w:t>
      </w:r>
      <w:r w:rsidRPr="00F2273F">
        <w:rPr>
          <w:rFonts w:ascii="Times New Roman" w:hAnsi="Times New Roman" w:cs="Times New Roman"/>
          <w:sz w:val="28"/>
          <w:szCs w:val="28"/>
          <w:lang w:val="es-ES"/>
        </w:rPr>
        <w:t>.</w:t>
      </w:r>
    </w:p>
    <w:p w:rsidR="00D81F44" w:rsidRPr="00F2273F" w:rsidRDefault="00F2273F" w:rsidP="00D81F44">
      <w:pPr>
        <w:pStyle w:val="Prrafodelista"/>
        <w:rPr>
          <w:rFonts w:ascii="Times New Roman" w:hAnsi="Times New Roman" w:cs="Times New Roman"/>
          <w:sz w:val="28"/>
          <w:szCs w:val="28"/>
        </w:rPr>
      </w:pPr>
    </w:p>
    <w:p w:rsidR="002808CB" w:rsidRPr="00F2273F" w:rsidRDefault="00F2273F" w:rsidP="00C51664">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Arial Unicode MS" w:hAnsi="Times New Roman" w:cs="Times New Roman"/>
          <w:sz w:val="28"/>
          <w:szCs w:val="28"/>
          <w:u w:color="000000"/>
          <w:bdr w:val="nil"/>
        </w:rPr>
      </w:pPr>
      <w:r w:rsidRPr="00F2273F">
        <w:rPr>
          <w:rFonts w:ascii="Times New Roman" w:hAnsi="Times New Roman" w:cs="Times New Roman"/>
          <w:i/>
          <w:iCs/>
          <w:sz w:val="28"/>
          <w:szCs w:val="28"/>
          <w:lang w:val="es-ES"/>
        </w:rPr>
        <w:t>N</w:t>
      </w:r>
      <w:r w:rsidRPr="00F2273F">
        <w:rPr>
          <w:rFonts w:ascii="Times New Roman" w:hAnsi="Times New Roman" w:cs="Times New Roman"/>
          <w:i/>
          <w:iCs/>
          <w:sz w:val="28"/>
          <w:szCs w:val="28"/>
          <w:lang w:val="es-ES"/>
        </w:rPr>
        <w:t>o hubo deliberación particular ni específica respecto de las medidas derogatorias contenidas en el artículo 372 del PN</w:t>
      </w:r>
      <w:r w:rsidRPr="00F2273F">
        <w:rPr>
          <w:rFonts w:ascii="Times New Roman" w:hAnsi="Times New Roman" w:cs="Times New Roman"/>
          <w:i/>
          <w:iCs/>
          <w:sz w:val="28"/>
          <w:szCs w:val="28"/>
          <w:lang w:val="es-ES"/>
        </w:rPr>
        <w:t xml:space="preserve">D. </w:t>
      </w:r>
      <w:r w:rsidRPr="00F2273F">
        <w:rPr>
          <w:rFonts w:ascii="Times New Roman" w:hAnsi="Times New Roman" w:cs="Times New Roman"/>
          <w:sz w:val="28"/>
          <w:szCs w:val="28"/>
          <w:lang w:val="es-ES"/>
        </w:rPr>
        <w:t xml:space="preserve">En el trámite se acreditó que ambas cámaras </w:t>
      </w:r>
      <w:r w:rsidRPr="00F2273F">
        <w:rPr>
          <w:rFonts w:ascii="Times New Roman" w:eastAsia="Times New Roman" w:hAnsi="Times New Roman" w:cs="Times New Roman"/>
          <w:sz w:val="28"/>
          <w:szCs w:val="28"/>
        </w:rPr>
        <w:t>debatieron sobre la integración vertical en el sector eléctrico</w:t>
      </w:r>
      <w:r w:rsidRPr="00F2273F">
        <w:rPr>
          <w:rFonts w:ascii="Times New Roman" w:eastAsia="Times New Roman" w:hAnsi="Times New Roman" w:cs="Times New Roman"/>
          <w:sz w:val="28"/>
          <w:szCs w:val="28"/>
        </w:rPr>
        <w:t xml:space="preserve">, de gas y </w:t>
      </w:r>
      <w:r w:rsidRPr="00F2273F">
        <w:rPr>
          <w:rFonts w:ascii="Times New Roman" w:eastAsia="Times New Roman" w:hAnsi="Times New Roman" w:cs="Times New Roman"/>
          <w:sz w:val="28"/>
          <w:szCs w:val="28"/>
        </w:rPr>
        <w:t>sobre el</w:t>
      </w:r>
      <w:r w:rsidRPr="00F2273F">
        <w:rPr>
          <w:rFonts w:ascii="Times New Roman" w:eastAsia="Times New Roman" w:hAnsi="Times New Roman" w:cs="Times New Roman"/>
          <w:sz w:val="28"/>
          <w:szCs w:val="28"/>
        </w:rPr>
        <w:t xml:space="preserve"> papel de Ecopetrol en la materia, todo a propósito de la discusión del artículo 197/218</w:t>
      </w:r>
      <w:r w:rsidRPr="00F2273F">
        <w:rPr>
          <w:rStyle w:val="Refdenotaalpie"/>
          <w:rFonts w:ascii="Times New Roman" w:eastAsia="Times New Roman" w:hAnsi="Times New Roman" w:cs="Times New Roman"/>
          <w:sz w:val="28"/>
          <w:szCs w:val="28"/>
        </w:rPr>
        <w:footnoteReference w:id="124"/>
      </w:r>
      <w:r w:rsidRPr="00F2273F">
        <w:rPr>
          <w:rFonts w:ascii="Times New Roman" w:eastAsia="Times New Roman" w:hAnsi="Times New Roman" w:cs="Times New Roman"/>
          <w:sz w:val="28"/>
          <w:szCs w:val="28"/>
        </w:rPr>
        <w:t xml:space="preserve">. </w:t>
      </w:r>
      <w:r w:rsidRPr="00F2273F">
        <w:rPr>
          <w:rFonts w:ascii="Times New Roman" w:eastAsia="Times New Roman" w:hAnsi="Times New Roman" w:cs="Times New Roman"/>
          <w:sz w:val="28"/>
          <w:szCs w:val="28"/>
        </w:rPr>
        <w:t>No obstante</w:t>
      </w:r>
      <w:r w:rsidRPr="00F2273F">
        <w:rPr>
          <w:rFonts w:ascii="Times New Roman" w:eastAsia="Times New Roman" w:hAnsi="Times New Roman" w:cs="Times New Roman"/>
          <w:sz w:val="28"/>
          <w:szCs w:val="28"/>
        </w:rPr>
        <w:t xml:space="preserve">, también está probado que, luego de la inclusión </w:t>
      </w:r>
      <w:r w:rsidRPr="00F2273F">
        <w:rPr>
          <w:rFonts w:ascii="Times New Roman" w:eastAsia="Times New Roman" w:hAnsi="Times New Roman" w:cs="Times New Roman"/>
          <w:sz w:val="28"/>
          <w:szCs w:val="28"/>
        </w:rPr>
        <w:t>de los enunciados acusados</w:t>
      </w:r>
      <w:r w:rsidRPr="00F2273F">
        <w:rPr>
          <w:rFonts w:ascii="Times New Roman" w:eastAsia="Times New Roman" w:hAnsi="Times New Roman" w:cs="Times New Roman"/>
          <w:sz w:val="28"/>
          <w:szCs w:val="28"/>
        </w:rPr>
        <w:t xml:space="preserve"> por parte de los coordinadores y ponentes, ni en la plenaria del Senado ni en la plenaria de la Cámara de Representantes se debatió concretamente sobre las derogatorias de la proh</w:t>
      </w:r>
      <w:r w:rsidRPr="00F2273F">
        <w:rPr>
          <w:rFonts w:ascii="Times New Roman" w:eastAsia="Times New Roman" w:hAnsi="Times New Roman" w:cs="Times New Roman"/>
          <w:sz w:val="28"/>
          <w:szCs w:val="28"/>
        </w:rPr>
        <w:t xml:space="preserve">ibición de integración vertical </w:t>
      </w:r>
      <w:r w:rsidRPr="00F2273F">
        <w:rPr>
          <w:rFonts w:ascii="Times New Roman" w:eastAsia="Times New Roman" w:hAnsi="Times New Roman" w:cs="Times New Roman"/>
          <w:sz w:val="28"/>
          <w:szCs w:val="28"/>
        </w:rPr>
        <w:t xml:space="preserve">respecto </w:t>
      </w:r>
      <w:r w:rsidRPr="00F2273F">
        <w:rPr>
          <w:rFonts w:ascii="Times New Roman" w:eastAsia="Times New Roman" w:hAnsi="Times New Roman" w:cs="Times New Roman"/>
          <w:sz w:val="28"/>
          <w:szCs w:val="28"/>
        </w:rPr>
        <w:t xml:space="preserve">de la empresa ISA. </w:t>
      </w:r>
      <w:r w:rsidRPr="00F2273F">
        <w:rPr>
          <w:rFonts w:ascii="Times New Roman" w:eastAsia="Times New Roman" w:hAnsi="Times New Roman" w:cs="Times New Roman"/>
          <w:sz w:val="28"/>
          <w:szCs w:val="28"/>
        </w:rPr>
        <w:t xml:space="preserve">No hay una solo documento </w:t>
      </w:r>
      <w:r w:rsidRPr="00F2273F">
        <w:rPr>
          <w:rFonts w:ascii="Times New Roman" w:eastAsia="Times New Roman" w:hAnsi="Times New Roman" w:cs="Times New Roman"/>
          <w:sz w:val="28"/>
          <w:szCs w:val="28"/>
        </w:rPr>
        <w:t xml:space="preserve">o antecedente </w:t>
      </w:r>
      <w:r w:rsidRPr="00F2273F">
        <w:rPr>
          <w:rFonts w:ascii="Times New Roman" w:eastAsia="Times New Roman" w:hAnsi="Times New Roman" w:cs="Times New Roman"/>
          <w:sz w:val="28"/>
          <w:szCs w:val="28"/>
        </w:rPr>
        <w:t xml:space="preserve">que dé cuenta de un debate concreto y específico sobre las derogatorias </w:t>
      </w:r>
      <w:r w:rsidRPr="00F2273F">
        <w:rPr>
          <w:rFonts w:ascii="Times New Roman" w:eastAsia="Times New Roman" w:hAnsi="Times New Roman" w:cs="Times New Roman"/>
          <w:sz w:val="28"/>
          <w:szCs w:val="28"/>
        </w:rPr>
        <w:t xml:space="preserve">estudiadas </w:t>
      </w:r>
      <w:r w:rsidRPr="00F2273F">
        <w:rPr>
          <w:rFonts w:ascii="Times New Roman" w:eastAsia="Times New Roman" w:hAnsi="Times New Roman" w:cs="Times New Roman"/>
          <w:sz w:val="28"/>
          <w:szCs w:val="28"/>
        </w:rPr>
        <w:t>que se incluyeron en el artículo</w:t>
      </w:r>
      <w:r w:rsidRPr="00F2273F">
        <w:rPr>
          <w:rFonts w:ascii="Times New Roman" w:eastAsia="Times New Roman" w:hAnsi="Times New Roman" w:cs="Times New Roman"/>
          <w:sz w:val="28"/>
          <w:szCs w:val="28"/>
        </w:rPr>
        <w:t xml:space="preserve"> 372 final</w:t>
      </w:r>
      <w:r w:rsidRPr="00F2273F">
        <w:rPr>
          <w:rFonts w:ascii="Times New Roman" w:eastAsia="Times New Roman" w:hAnsi="Times New Roman" w:cs="Times New Roman"/>
          <w:sz w:val="28"/>
          <w:szCs w:val="28"/>
        </w:rPr>
        <w:t xml:space="preserve">. </w:t>
      </w:r>
    </w:p>
    <w:p w:rsidR="00750ADF" w:rsidRPr="00F2273F" w:rsidRDefault="00F2273F" w:rsidP="00750ADF">
      <w:pPr>
        <w:pStyle w:val="Prrafodelista"/>
        <w:rPr>
          <w:rFonts w:ascii="Times New Roman" w:eastAsia="Arial Unicode MS" w:hAnsi="Times New Roman" w:cs="Times New Roman"/>
          <w:sz w:val="28"/>
          <w:szCs w:val="28"/>
          <w:u w:color="000000"/>
          <w:bdr w:val="nil"/>
        </w:rPr>
      </w:pPr>
    </w:p>
    <w:p w:rsidR="009F3F8D" w:rsidRPr="00F2273F" w:rsidRDefault="00F2273F" w:rsidP="005E5F6C">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hAnsi="Times New Roman" w:cs="Times New Roman"/>
          <w:sz w:val="28"/>
          <w:szCs w:val="28"/>
          <w:lang w:eastAsia="es-ES"/>
        </w:rPr>
        <w:t>Así, el</w:t>
      </w:r>
      <w:r w:rsidRPr="00F2273F">
        <w:rPr>
          <w:rFonts w:ascii="Times New Roman" w:hAnsi="Times New Roman" w:cs="Times New Roman"/>
          <w:sz w:val="28"/>
          <w:szCs w:val="28"/>
          <w:lang w:eastAsia="es-ES"/>
        </w:rPr>
        <w:t xml:space="preserve"> impacto de levantar la barrera de integración que recaía sobre la empresa ISA </w:t>
      </w:r>
      <w:r w:rsidRPr="00F2273F">
        <w:rPr>
          <w:rFonts w:ascii="Times New Roman" w:hAnsi="Times New Roman" w:cs="Times New Roman"/>
          <w:sz w:val="28"/>
          <w:szCs w:val="28"/>
          <w:lang w:eastAsia="es-ES"/>
        </w:rPr>
        <w:t>y su eficacia</w:t>
      </w:r>
      <w:r w:rsidRPr="00F2273F">
        <w:rPr>
          <w:rFonts w:ascii="Times New Roman" w:hAnsi="Times New Roman" w:cs="Times New Roman"/>
          <w:sz w:val="28"/>
          <w:szCs w:val="28"/>
          <w:lang w:eastAsia="es-ES"/>
        </w:rPr>
        <w:t xml:space="preserve"> material</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requería </w:t>
      </w:r>
      <w:r w:rsidRPr="00F2273F">
        <w:rPr>
          <w:rFonts w:ascii="Times New Roman" w:hAnsi="Times New Roman" w:cs="Times New Roman"/>
          <w:sz w:val="28"/>
          <w:szCs w:val="28"/>
          <w:lang w:eastAsia="es-ES"/>
        </w:rPr>
        <w:t xml:space="preserve">una discusión </w:t>
      </w:r>
      <w:r w:rsidRPr="00F2273F">
        <w:rPr>
          <w:rFonts w:ascii="Times New Roman" w:hAnsi="Times New Roman" w:cs="Times New Roman"/>
          <w:sz w:val="28"/>
          <w:szCs w:val="28"/>
          <w:lang w:eastAsia="es-ES"/>
        </w:rPr>
        <w:t>mínima,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porque aunque relacionadas, requerían un debate amplio por su impacto en el funcionamiento y el diseño del sector.  </w:t>
      </w:r>
      <w:r w:rsidRPr="00F2273F">
        <w:rPr>
          <w:rFonts w:ascii="Times New Roman" w:hAnsi="Times New Roman" w:cs="Times New Roman"/>
          <w:sz w:val="28"/>
          <w:szCs w:val="28"/>
          <w:lang w:eastAsia="es-ES"/>
        </w:rPr>
        <w:t>P</w:t>
      </w:r>
      <w:r w:rsidRPr="00F2273F">
        <w:rPr>
          <w:rFonts w:ascii="Times New Roman" w:hAnsi="Times New Roman" w:cs="Times New Roman"/>
          <w:sz w:val="28"/>
          <w:szCs w:val="28"/>
          <w:lang w:eastAsia="es-ES"/>
        </w:rPr>
        <w:t xml:space="preserve">ara la Sala Plena no resulta procedente el argumento según el cual </w:t>
      </w:r>
      <w:r w:rsidRPr="00F2273F">
        <w:rPr>
          <w:rFonts w:ascii="Times New Roman" w:hAnsi="Times New Roman" w:cs="Times New Roman"/>
          <w:sz w:val="28"/>
          <w:szCs w:val="28"/>
          <w:lang w:eastAsia="es-ES"/>
        </w:rPr>
        <w:t xml:space="preserve">la materia referida a </w:t>
      </w:r>
      <w:r w:rsidRPr="00F2273F">
        <w:rPr>
          <w:rFonts w:ascii="Times New Roman" w:hAnsi="Times New Roman" w:cs="Times New Roman"/>
          <w:sz w:val="28"/>
          <w:szCs w:val="28"/>
          <w:lang w:eastAsia="es-ES"/>
        </w:rPr>
        <w:t xml:space="preserve">las derogatorias acusadas ya estaba incorporada en el proyecto de ley original y, en consecuencia, con el trámite dado al artículo 197/218 </w:t>
      </w:r>
      <w:r w:rsidRPr="00F2273F">
        <w:rPr>
          <w:rFonts w:ascii="Times New Roman" w:hAnsi="Times New Roman" w:cs="Times New Roman"/>
          <w:sz w:val="28"/>
          <w:szCs w:val="28"/>
          <w:lang w:eastAsia="es-ES"/>
        </w:rPr>
        <w:t xml:space="preserve">era suficiente para dar por </w:t>
      </w:r>
      <w:r w:rsidRPr="00F2273F">
        <w:rPr>
          <w:rFonts w:ascii="Times New Roman" w:hAnsi="Times New Roman" w:cs="Times New Roman"/>
          <w:sz w:val="28"/>
          <w:szCs w:val="28"/>
          <w:lang w:eastAsia="es-ES"/>
        </w:rPr>
        <w:t>satisfecha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la</w:t>
      </w:r>
      <w:r w:rsidRPr="00F2273F">
        <w:rPr>
          <w:rFonts w:ascii="Times New Roman" w:hAnsi="Times New Roman" w:cs="Times New Roman"/>
          <w:sz w:val="28"/>
          <w:szCs w:val="28"/>
          <w:lang w:eastAsia="es-ES"/>
        </w:rPr>
        <w:t xml:space="preserve"> consecutividad</w:t>
      </w:r>
      <w:r w:rsidRPr="00F2273F">
        <w:rPr>
          <w:rFonts w:ascii="Times New Roman" w:hAnsi="Times New Roman" w:cs="Times New Roman"/>
          <w:sz w:val="28"/>
          <w:szCs w:val="28"/>
          <w:lang w:eastAsia="es-ES"/>
        </w:rPr>
        <w:t xml:space="preserve"> frente a las derogatorias</w:t>
      </w:r>
      <w:r w:rsidRPr="00F2273F">
        <w:rPr>
          <w:rFonts w:ascii="Times New Roman" w:hAnsi="Times New Roman" w:cs="Times New Roman"/>
          <w:sz w:val="28"/>
          <w:szCs w:val="28"/>
          <w:lang w:eastAsia="es-ES"/>
        </w:rPr>
        <w:t xml:space="preserve">, pues </w:t>
      </w:r>
      <w:r w:rsidRPr="00F2273F">
        <w:rPr>
          <w:rFonts w:ascii="Times New Roman" w:hAnsi="Times New Roman" w:cs="Times New Roman"/>
          <w:sz w:val="28"/>
          <w:szCs w:val="28"/>
          <w:lang w:eastAsia="es-ES"/>
        </w:rPr>
        <w:t xml:space="preserve">no se trata de materias equiparables a pesar de su relación. Además, la Sala </w:t>
      </w:r>
      <w:r w:rsidRPr="00F2273F">
        <w:rPr>
          <w:rFonts w:ascii="Times New Roman" w:hAnsi="Times New Roman" w:cs="Times New Roman"/>
          <w:sz w:val="28"/>
          <w:szCs w:val="28"/>
          <w:lang w:eastAsia="es-ES"/>
        </w:rPr>
        <w:t xml:space="preserve">insiste en que la eficacia de </w:t>
      </w:r>
      <w:r w:rsidRPr="00F2273F">
        <w:rPr>
          <w:rFonts w:ascii="Times New Roman" w:hAnsi="Times New Roman" w:cs="Times New Roman"/>
          <w:sz w:val="28"/>
          <w:szCs w:val="28"/>
          <w:lang w:eastAsia="es-ES"/>
        </w:rPr>
        <w:t>esta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se encontraba</w:t>
      </w:r>
      <w:r w:rsidRPr="00F2273F">
        <w:rPr>
          <w:rFonts w:ascii="Times New Roman" w:hAnsi="Times New Roman" w:cs="Times New Roman"/>
          <w:sz w:val="28"/>
          <w:szCs w:val="28"/>
          <w:lang w:eastAsia="es-ES"/>
        </w:rPr>
        <w:t xml:space="preserve"> estrechamente relacionada con el artículo 197/218</w:t>
      </w:r>
      <w:r w:rsidRPr="00F2273F">
        <w:rPr>
          <w:rFonts w:ascii="Times New Roman" w:hAnsi="Times New Roman" w:cs="Times New Roman"/>
          <w:sz w:val="28"/>
          <w:szCs w:val="28"/>
          <w:lang w:eastAsia="es-ES"/>
        </w:rPr>
        <w:t xml:space="preserve"> y la suerte de est</w:t>
      </w:r>
      <w:r w:rsidRPr="00F2273F">
        <w:rPr>
          <w:rFonts w:ascii="Times New Roman" w:hAnsi="Times New Roman" w:cs="Times New Roman"/>
          <w:sz w:val="28"/>
          <w:szCs w:val="28"/>
          <w:lang w:eastAsia="es-ES"/>
        </w:rPr>
        <w:t>a norma</w:t>
      </w:r>
      <w:r w:rsidRPr="00F2273F">
        <w:rPr>
          <w:rFonts w:ascii="Times New Roman" w:hAnsi="Times New Roman" w:cs="Times New Roman"/>
          <w:sz w:val="28"/>
          <w:szCs w:val="28"/>
          <w:lang w:eastAsia="es-ES"/>
        </w:rPr>
        <w:t xml:space="preserve"> determinaba la de aquellas medidas, por lo que si bien se trataba de asuntos relacionados, constituían materias independientes</w:t>
      </w:r>
      <w:r w:rsidRPr="00F2273F">
        <w:rPr>
          <w:rFonts w:ascii="Times New Roman" w:hAnsi="Times New Roman" w:cs="Times New Roman"/>
          <w:sz w:val="28"/>
          <w:szCs w:val="28"/>
          <w:lang w:eastAsia="es-ES"/>
        </w:rPr>
        <w:t xml:space="preserve">. </w:t>
      </w:r>
    </w:p>
    <w:p w:rsidR="008A30AB" w:rsidRPr="00F2273F" w:rsidRDefault="00F2273F" w:rsidP="008A30AB">
      <w:pPr>
        <w:pStyle w:val="Prrafodelista"/>
        <w:shd w:val="clear" w:color="auto" w:fill="FFFFFF"/>
        <w:tabs>
          <w:tab w:val="left" w:pos="0"/>
        </w:tabs>
        <w:spacing w:after="0" w:line="240" w:lineRule="auto"/>
        <w:ind w:left="0" w:right="48"/>
        <w:jc w:val="both"/>
        <w:textAlignment w:val="baseline"/>
        <w:rPr>
          <w:rFonts w:ascii="Times New Roman" w:eastAsia="Times New Roman" w:hAnsi="Times New Roman" w:cs="Times New Roman"/>
          <w:sz w:val="28"/>
          <w:szCs w:val="28"/>
        </w:rPr>
      </w:pPr>
    </w:p>
    <w:p w:rsidR="00147A96" w:rsidRPr="00F2273F" w:rsidRDefault="00F2273F" w:rsidP="00147A96">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hAnsi="Times New Roman" w:cs="Times New Roman"/>
          <w:i/>
          <w:iCs/>
          <w:sz w:val="28"/>
          <w:szCs w:val="28"/>
          <w:lang w:val="es-ES"/>
        </w:rPr>
        <w:t xml:space="preserve">En el trámite se omitió debatir las proposiciones que buscaron </w:t>
      </w:r>
      <w:r w:rsidRPr="00F2273F">
        <w:rPr>
          <w:rFonts w:ascii="Times New Roman" w:hAnsi="Times New Roman" w:cs="Times New Roman"/>
          <w:i/>
          <w:iCs/>
          <w:sz w:val="28"/>
          <w:szCs w:val="28"/>
          <w:lang w:val="es-ES"/>
        </w:rPr>
        <w:t>la eliminación de las derogatorias acusadas</w:t>
      </w:r>
      <w:r w:rsidRPr="00F2273F">
        <w:rPr>
          <w:rFonts w:ascii="Times New Roman" w:hAnsi="Times New Roman" w:cs="Times New Roman"/>
          <w:sz w:val="28"/>
          <w:szCs w:val="28"/>
          <w:lang w:val="es-ES"/>
        </w:rPr>
        <w:t xml:space="preserve">. En el proceso quedó acreditado que en la sesión plenaria de la Cámara de Representantes </w:t>
      </w:r>
      <w:r w:rsidRPr="00F2273F">
        <w:rPr>
          <w:rFonts w:ascii="Times New Roman" w:hAnsi="Times New Roman" w:cs="Times New Roman"/>
          <w:sz w:val="28"/>
          <w:szCs w:val="28"/>
          <w:lang w:val="es-ES"/>
        </w:rPr>
        <w:t xml:space="preserve">se presentaron proposiciones </w:t>
      </w:r>
      <w:r w:rsidRPr="00F2273F">
        <w:rPr>
          <w:rFonts w:ascii="Times New Roman" w:hAnsi="Times New Roman" w:cs="Times New Roman"/>
          <w:sz w:val="28"/>
          <w:szCs w:val="28"/>
          <w:lang w:val="es-ES"/>
        </w:rPr>
        <w:t>de eliminación</w:t>
      </w:r>
      <w:r w:rsidRPr="00F2273F">
        <w:rPr>
          <w:rFonts w:ascii="Times New Roman" w:hAnsi="Times New Roman" w:cs="Times New Roman"/>
          <w:sz w:val="28"/>
          <w:szCs w:val="28"/>
          <w:lang w:val="es-ES"/>
        </w:rPr>
        <w:t xml:space="preserve"> de</w:t>
      </w:r>
      <w:r w:rsidRPr="00F2273F">
        <w:rPr>
          <w:rFonts w:ascii="Times New Roman" w:hAnsi="Times New Roman" w:cs="Times New Roman"/>
          <w:sz w:val="28"/>
          <w:szCs w:val="28"/>
          <w:lang w:val="es-ES"/>
        </w:rPr>
        <w:t xml:space="preserve"> las derogatorias acusadas</w:t>
      </w:r>
      <w:r w:rsidRPr="00F2273F">
        <w:rPr>
          <w:rFonts w:ascii="Times New Roman" w:hAnsi="Times New Roman" w:cs="Times New Roman"/>
          <w:sz w:val="28"/>
          <w:szCs w:val="28"/>
          <w:lang w:val="es-ES"/>
        </w:rPr>
        <w:t>,</w:t>
      </w:r>
      <w:r w:rsidRPr="00F2273F">
        <w:rPr>
          <w:rFonts w:ascii="Times New Roman" w:hAnsi="Times New Roman" w:cs="Times New Roman"/>
          <w:sz w:val="28"/>
          <w:szCs w:val="28"/>
          <w:lang w:val="es-ES"/>
        </w:rPr>
        <w:t xml:space="preserve"> por parte de los representantes </w:t>
      </w:r>
      <w:r w:rsidRPr="00F2273F">
        <w:rPr>
          <w:rFonts w:ascii="Times New Roman" w:hAnsi="Times New Roman" w:cs="Times New Roman"/>
          <w:sz w:val="28"/>
          <w:szCs w:val="28"/>
          <w:lang w:val="es-ES"/>
        </w:rPr>
        <w:t xml:space="preserve">Óscar </w:t>
      </w:r>
      <w:r w:rsidRPr="00F2273F">
        <w:rPr>
          <w:rFonts w:ascii="Times New Roman" w:hAnsi="Times New Roman" w:cs="Times New Roman"/>
          <w:sz w:val="28"/>
          <w:szCs w:val="28"/>
        </w:rPr>
        <w:t xml:space="preserve">Villamizar y Luis Miguel </w:t>
      </w:r>
      <w:r w:rsidRPr="00F2273F">
        <w:rPr>
          <w:rFonts w:ascii="Times New Roman" w:hAnsi="Times New Roman" w:cs="Times New Roman"/>
          <w:sz w:val="28"/>
          <w:szCs w:val="28"/>
        </w:rPr>
        <w:t>López, que</w:t>
      </w:r>
      <w:r w:rsidRPr="00F2273F">
        <w:rPr>
          <w:rFonts w:ascii="Times New Roman" w:hAnsi="Times New Roman" w:cs="Times New Roman"/>
          <w:sz w:val="28"/>
          <w:szCs w:val="28"/>
        </w:rPr>
        <w:t xml:space="preserve"> estaban justificad</w:t>
      </w:r>
      <w:r w:rsidRPr="00F2273F">
        <w:rPr>
          <w:rFonts w:ascii="Times New Roman" w:hAnsi="Times New Roman" w:cs="Times New Roman"/>
          <w:sz w:val="28"/>
          <w:szCs w:val="28"/>
        </w:rPr>
        <w:t>as en la inconveniencia de la integración de ISA en términos de competencia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y </w:t>
      </w:r>
      <w:r w:rsidRPr="00F2273F">
        <w:rPr>
          <w:rFonts w:ascii="Times New Roman" w:hAnsi="Times New Roman" w:cs="Times New Roman"/>
          <w:sz w:val="28"/>
          <w:szCs w:val="28"/>
        </w:rPr>
        <w:t xml:space="preserve">las cuales </w:t>
      </w:r>
      <w:r w:rsidRPr="00F2273F">
        <w:rPr>
          <w:rFonts w:ascii="Times New Roman" w:hAnsi="Times New Roman" w:cs="Times New Roman"/>
          <w:sz w:val="28"/>
          <w:szCs w:val="28"/>
        </w:rPr>
        <w:t>aludieron expresamente a la relación que existía entre el artículo 197/218 original y las derogatorias previstas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Estas proposiciones no se debatieron. </w:t>
      </w:r>
      <w:r w:rsidRPr="00F2273F">
        <w:rPr>
          <w:rFonts w:ascii="Times New Roman" w:hAnsi="Times New Roman" w:cs="Times New Roman"/>
          <w:sz w:val="28"/>
          <w:szCs w:val="28"/>
          <w:lang w:val="es-ES"/>
        </w:rPr>
        <w:t xml:space="preserve">Sobre el </w:t>
      </w:r>
      <w:r w:rsidRPr="00F2273F">
        <w:rPr>
          <w:rFonts w:ascii="Times New Roman" w:hAnsi="Times New Roman" w:cs="Times New Roman"/>
          <w:sz w:val="28"/>
          <w:szCs w:val="28"/>
          <w:lang w:val="es-ES"/>
        </w:rPr>
        <w:t>particular</w:t>
      </w:r>
      <w:r w:rsidRPr="00F2273F">
        <w:rPr>
          <w:rFonts w:ascii="Times New Roman" w:hAnsi="Times New Roman" w:cs="Times New Roman"/>
          <w:sz w:val="28"/>
          <w:szCs w:val="28"/>
          <w:lang w:val="es-ES"/>
        </w:rPr>
        <w:t xml:space="preserve"> se tiene que</w:t>
      </w:r>
      <w:r w:rsidRPr="00F2273F">
        <w:rPr>
          <w:rFonts w:ascii="Times New Roman" w:hAnsi="Times New Roman" w:cs="Times New Roman"/>
          <w:sz w:val="28"/>
          <w:szCs w:val="28"/>
          <w:lang w:val="es-ES"/>
        </w:rPr>
        <w:t xml:space="preserve"> el presidente de la Cámara de </w:t>
      </w:r>
      <w:r w:rsidRPr="00F2273F">
        <w:rPr>
          <w:rFonts w:ascii="Times New Roman" w:hAnsi="Times New Roman" w:cs="Times New Roman"/>
          <w:sz w:val="28"/>
          <w:szCs w:val="28"/>
          <w:lang w:val="es-ES"/>
        </w:rPr>
        <w:t>Representantes</w:t>
      </w:r>
      <w:r w:rsidRPr="00F2273F">
        <w:rPr>
          <w:rFonts w:ascii="Times New Roman" w:hAnsi="Times New Roman" w:cs="Times New Roman"/>
          <w:sz w:val="28"/>
          <w:szCs w:val="28"/>
          <w:lang w:val="es-ES"/>
        </w:rPr>
        <w:t xml:space="preserve"> </w:t>
      </w:r>
      <w:r w:rsidRPr="00F2273F">
        <w:rPr>
          <w:rFonts w:ascii="Times New Roman" w:hAnsi="Times New Roman" w:cs="Times New Roman"/>
          <w:sz w:val="28"/>
          <w:szCs w:val="28"/>
          <w:lang w:val="es-ES"/>
        </w:rPr>
        <w:t>dispuso</w:t>
      </w:r>
      <w:r w:rsidRPr="00F2273F">
        <w:rPr>
          <w:rFonts w:ascii="Times New Roman" w:hAnsi="Times New Roman" w:cs="Times New Roman"/>
          <w:sz w:val="28"/>
          <w:szCs w:val="28"/>
          <w:lang w:val="es-ES"/>
        </w:rPr>
        <w:t xml:space="preserve"> la votación de</w:t>
      </w:r>
      <w:r w:rsidRPr="00F2273F">
        <w:rPr>
          <w:rFonts w:ascii="Times New Roman" w:hAnsi="Times New Roman" w:cs="Times New Roman"/>
          <w:sz w:val="28"/>
          <w:szCs w:val="28"/>
          <w:lang w:val="es-ES"/>
        </w:rPr>
        <w:t xml:space="preserve"> las proposiciones no avaladas sobre el artículo 373 y solo se </w:t>
      </w:r>
      <w:r w:rsidRPr="00F2273F">
        <w:rPr>
          <w:rFonts w:ascii="Times New Roman" w:hAnsi="Times New Roman" w:cs="Times New Roman"/>
          <w:sz w:val="28"/>
          <w:szCs w:val="28"/>
          <w:lang w:val="es-ES"/>
        </w:rPr>
        <w:t>refirió</w:t>
      </w:r>
      <w:r w:rsidRPr="00F2273F">
        <w:rPr>
          <w:rFonts w:ascii="Times New Roman" w:hAnsi="Times New Roman" w:cs="Times New Roman"/>
          <w:sz w:val="28"/>
          <w:szCs w:val="28"/>
          <w:lang w:val="es-ES"/>
        </w:rPr>
        <w:t xml:space="preserve"> al nombre y al autor de </w:t>
      </w:r>
      <w:r w:rsidRPr="00F2273F">
        <w:rPr>
          <w:rFonts w:ascii="Times New Roman" w:hAnsi="Times New Roman" w:cs="Times New Roman"/>
          <w:sz w:val="28"/>
          <w:szCs w:val="28"/>
          <w:lang w:val="es-ES"/>
        </w:rPr>
        <w:t>cada una de ellas</w:t>
      </w:r>
      <w:r w:rsidRPr="00F2273F">
        <w:rPr>
          <w:rFonts w:ascii="Times New Roman" w:hAnsi="Times New Roman" w:cs="Times New Roman"/>
          <w:sz w:val="28"/>
          <w:szCs w:val="28"/>
          <w:lang w:val="es-ES"/>
        </w:rPr>
        <w:t xml:space="preserve">, para luego </w:t>
      </w:r>
      <w:r w:rsidRPr="00F2273F">
        <w:rPr>
          <w:rFonts w:ascii="Times New Roman" w:hAnsi="Times New Roman" w:cs="Times New Roman"/>
          <w:sz w:val="28"/>
          <w:szCs w:val="28"/>
          <w:lang w:val="es-ES"/>
        </w:rPr>
        <w:t>concluir</w:t>
      </w:r>
      <w:r w:rsidRPr="00F2273F">
        <w:rPr>
          <w:rFonts w:ascii="Times New Roman" w:hAnsi="Times New Roman" w:cs="Times New Roman"/>
          <w:sz w:val="28"/>
          <w:szCs w:val="28"/>
          <w:lang w:val="es-ES"/>
        </w:rPr>
        <w:t xml:space="preserve"> que </w:t>
      </w:r>
      <w:r w:rsidRPr="00F2273F">
        <w:rPr>
          <w:rFonts w:ascii="Times New Roman" w:hAnsi="Times New Roman" w:cs="Times New Roman"/>
          <w:sz w:val="28"/>
          <w:szCs w:val="28"/>
          <w:lang w:val="es-ES"/>
        </w:rPr>
        <w:t>tales</w:t>
      </w:r>
      <w:r w:rsidRPr="00F2273F">
        <w:rPr>
          <w:rFonts w:ascii="Times New Roman" w:hAnsi="Times New Roman" w:cs="Times New Roman"/>
          <w:sz w:val="28"/>
          <w:szCs w:val="28"/>
          <w:lang w:val="es-ES"/>
        </w:rPr>
        <w:t xml:space="preserve"> se negaron</w:t>
      </w:r>
      <w:r w:rsidRPr="00F2273F">
        <w:rPr>
          <w:rStyle w:val="Refdenotaalpie"/>
          <w:rFonts w:ascii="Times New Roman" w:hAnsi="Times New Roman" w:cs="Times New Roman"/>
          <w:sz w:val="28"/>
          <w:szCs w:val="28"/>
          <w:lang w:val="es-ES"/>
        </w:rPr>
        <w:footnoteReference w:id="125"/>
      </w:r>
      <w:r w:rsidRPr="00F2273F">
        <w:rPr>
          <w:rFonts w:ascii="Times New Roman" w:hAnsi="Times New Roman" w:cs="Times New Roman"/>
          <w:sz w:val="28"/>
          <w:szCs w:val="28"/>
          <w:lang w:val="es-ES"/>
        </w:rPr>
        <w:t xml:space="preserve">. </w:t>
      </w:r>
      <w:r w:rsidRPr="00F2273F">
        <w:rPr>
          <w:rFonts w:ascii="Times New Roman" w:hAnsi="Times New Roman" w:cs="Times New Roman"/>
          <w:sz w:val="28"/>
          <w:szCs w:val="28"/>
          <w:lang w:val="es-ES"/>
        </w:rPr>
        <w:t xml:space="preserve">En este </w:t>
      </w:r>
      <w:r w:rsidRPr="00F2273F">
        <w:rPr>
          <w:rFonts w:ascii="Times New Roman" w:hAnsi="Times New Roman" w:cs="Times New Roman"/>
          <w:sz w:val="28"/>
          <w:szCs w:val="28"/>
          <w:lang w:val="es-ES"/>
        </w:rPr>
        <w:t>trámite</w:t>
      </w:r>
      <w:r w:rsidRPr="00F2273F">
        <w:rPr>
          <w:rFonts w:ascii="Times New Roman" w:hAnsi="Times New Roman" w:cs="Times New Roman"/>
          <w:sz w:val="28"/>
          <w:szCs w:val="28"/>
          <w:lang w:val="es-ES"/>
        </w:rPr>
        <w:t>, sólo se leyó el objeto de dos proposiciones avaladas, ninguna de las cuales se refería al artículo 37</w:t>
      </w:r>
      <w:r w:rsidRPr="00F2273F">
        <w:rPr>
          <w:rFonts w:ascii="Times New Roman" w:hAnsi="Times New Roman" w:cs="Times New Roman"/>
          <w:sz w:val="28"/>
          <w:szCs w:val="28"/>
          <w:lang w:val="es-ES"/>
        </w:rPr>
        <w:t>3</w:t>
      </w:r>
      <w:r w:rsidRPr="00F2273F">
        <w:rPr>
          <w:rStyle w:val="Refdenotaalpie"/>
          <w:rFonts w:ascii="Times New Roman" w:hAnsi="Times New Roman" w:cs="Times New Roman"/>
          <w:sz w:val="28"/>
          <w:szCs w:val="28"/>
          <w:lang w:val="es-ES"/>
        </w:rPr>
        <w:footnoteReference w:id="126"/>
      </w:r>
      <w:r w:rsidRPr="00F2273F">
        <w:rPr>
          <w:rFonts w:ascii="Times New Roman" w:hAnsi="Times New Roman" w:cs="Times New Roman"/>
          <w:sz w:val="28"/>
          <w:szCs w:val="28"/>
          <w:lang w:val="es-ES"/>
        </w:rPr>
        <w:t xml:space="preserve">. </w:t>
      </w:r>
    </w:p>
    <w:p w:rsidR="00147A96" w:rsidRPr="00F2273F" w:rsidRDefault="00F2273F" w:rsidP="00147A96">
      <w:pPr>
        <w:pStyle w:val="Prrafodelista"/>
        <w:rPr>
          <w:rFonts w:ascii="Times New Roman" w:hAnsi="Times New Roman" w:cs="Times New Roman"/>
          <w:sz w:val="28"/>
          <w:szCs w:val="28"/>
        </w:rPr>
      </w:pPr>
    </w:p>
    <w:p w:rsidR="00CE61CD" w:rsidRPr="00F2273F" w:rsidRDefault="00F2273F" w:rsidP="00A56F43">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lang w:val="es-419" w:eastAsia="es-MX"/>
        </w:rPr>
      </w:pPr>
      <w:r w:rsidRPr="00F2273F">
        <w:rPr>
          <w:rFonts w:ascii="Times New Roman" w:hAnsi="Times New Roman" w:cs="Times New Roman"/>
          <w:sz w:val="28"/>
          <w:szCs w:val="28"/>
        </w:rPr>
        <w:t>Lo anterior resulta</w:t>
      </w:r>
      <w:r w:rsidRPr="00F2273F">
        <w:rPr>
          <w:rFonts w:ascii="Times New Roman" w:hAnsi="Times New Roman" w:cs="Times New Roman"/>
          <w:sz w:val="28"/>
          <w:szCs w:val="28"/>
        </w:rPr>
        <w:t xml:space="preserve"> relevante porque las proposiciones pretendían advertir la relación de </w:t>
      </w:r>
      <w:r w:rsidRPr="00F2273F">
        <w:rPr>
          <w:rFonts w:ascii="Times New Roman" w:hAnsi="Times New Roman" w:cs="Times New Roman"/>
          <w:sz w:val="28"/>
          <w:szCs w:val="28"/>
        </w:rPr>
        <w:t xml:space="preserve">las derogatorias y el artículo 197/218, así como advertir </w:t>
      </w:r>
      <w:r w:rsidRPr="00F2273F">
        <w:rPr>
          <w:rFonts w:ascii="Times New Roman" w:hAnsi="Times New Roman" w:cs="Times New Roman"/>
          <w:sz w:val="28"/>
          <w:szCs w:val="28"/>
        </w:rPr>
        <w:t>la incoherencia que suponía aprobar las derogatorias, a pesar de que la misma Cámara de Representantes y el Senado de la República no aprobaron el artículo 197/218, además de que el Senado no aprobó</w:t>
      </w:r>
      <w:r w:rsidRPr="00F2273F">
        <w:rPr>
          <w:rFonts w:ascii="Times New Roman" w:hAnsi="Times New Roman" w:cs="Times New Roman"/>
          <w:sz w:val="28"/>
          <w:szCs w:val="28"/>
        </w:rPr>
        <w:t xml:space="preserve"> la derogatoria acusada por </w:t>
      </w:r>
      <w:r w:rsidRPr="00F2273F">
        <w:rPr>
          <w:rFonts w:ascii="Times New Roman" w:hAnsi="Times New Roman" w:cs="Times New Roman"/>
          <w:sz w:val="28"/>
          <w:szCs w:val="28"/>
        </w:rPr>
        <w:t>inconveniente</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y por “revivir” </w:t>
      </w:r>
      <w:r w:rsidRPr="00F2273F">
        <w:rPr>
          <w:rFonts w:ascii="Times New Roman" w:hAnsi="Times New Roman" w:cs="Times New Roman"/>
          <w:sz w:val="28"/>
          <w:szCs w:val="28"/>
        </w:rPr>
        <w:t>la norma no aprobada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Además, </w:t>
      </w:r>
      <w:r w:rsidRPr="00F2273F">
        <w:rPr>
          <w:rFonts w:ascii="Times New Roman" w:hAnsi="Times New Roman" w:cs="Times New Roman"/>
          <w:sz w:val="28"/>
          <w:szCs w:val="28"/>
        </w:rPr>
        <w:t xml:space="preserve">el debate era necesario de cara a considerar que la derogatoria de los parágrafos suponían una modificación </w:t>
      </w:r>
      <w:r w:rsidRPr="00F2273F">
        <w:rPr>
          <w:rFonts w:ascii="Times New Roman" w:hAnsi="Times New Roman" w:cs="Times New Roman"/>
          <w:sz w:val="28"/>
          <w:szCs w:val="28"/>
        </w:rPr>
        <w:t>de</w:t>
      </w:r>
      <w:r w:rsidRPr="00F2273F">
        <w:rPr>
          <w:rFonts w:ascii="Times New Roman" w:hAnsi="Times New Roman" w:cs="Times New Roman"/>
          <w:sz w:val="28"/>
          <w:szCs w:val="28"/>
        </w:rPr>
        <w:t xml:space="preserve"> </w:t>
      </w:r>
      <w:r w:rsidRPr="00F2273F">
        <w:rPr>
          <w:rFonts w:ascii="Times New Roman" w:eastAsia="Times New Roman" w:hAnsi="Times New Roman" w:cs="Times New Roman"/>
          <w:sz w:val="28"/>
          <w:szCs w:val="28"/>
          <w:lang w:val="es-419" w:eastAsia="es-MX"/>
        </w:rPr>
        <w:t xml:space="preserve">la estructura normativa dispuesta en las leyes 142 y 143 </w:t>
      </w:r>
      <w:r w:rsidRPr="00F2273F">
        <w:rPr>
          <w:rFonts w:ascii="Times New Roman" w:eastAsia="Times New Roman" w:hAnsi="Times New Roman" w:cs="Times New Roman"/>
          <w:sz w:val="28"/>
          <w:szCs w:val="28"/>
          <w:lang w:val="es-419" w:eastAsia="es-MX"/>
        </w:rPr>
        <w:t>de 1994, situación a la que</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expresamente se opuso el Senado y la</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 xml:space="preserve">Cámara mediante la eliminación del </w:t>
      </w:r>
      <w:r w:rsidRPr="00F2273F">
        <w:rPr>
          <w:rFonts w:ascii="Times New Roman" w:eastAsia="Times New Roman" w:hAnsi="Times New Roman" w:cs="Times New Roman"/>
          <w:sz w:val="28"/>
          <w:szCs w:val="28"/>
          <w:lang w:val="es-419" w:eastAsia="es-MX"/>
        </w:rPr>
        <w:t>mencionado</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artículo 197/218 del</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proyecto de ley. </w:t>
      </w:r>
      <w:r w:rsidRPr="00F2273F">
        <w:rPr>
          <w:rFonts w:ascii="Times New Roman" w:eastAsia="Times New Roman" w:hAnsi="Times New Roman" w:cs="Times New Roman"/>
          <w:sz w:val="28"/>
          <w:szCs w:val="28"/>
          <w:lang w:val="es-419" w:eastAsia="es-MX"/>
        </w:rPr>
        <w:t>De otro lado y como</w:t>
      </w:r>
      <w:r w:rsidRPr="00F2273F">
        <w:rPr>
          <w:rFonts w:ascii="Times New Roman" w:eastAsia="Times New Roman" w:hAnsi="Times New Roman" w:cs="Times New Roman"/>
          <w:sz w:val="28"/>
          <w:szCs w:val="28"/>
          <w:lang w:val="es-419" w:eastAsia="es-MX"/>
        </w:rPr>
        <w:t xml:space="preserve"> </w:t>
      </w:r>
      <w:r w:rsidRPr="00F2273F">
        <w:rPr>
          <w:rStyle w:val="s1"/>
          <w:rFonts w:ascii="Times New Roman" w:hAnsi="Times New Roman" w:cs="Times New Roman"/>
          <w:sz w:val="28"/>
          <w:szCs w:val="28"/>
        </w:rPr>
        <w:t xml:space="preserve">ISA opera en el segmento de transmisión/interconexión —actividad asociada a </w:t>
      </w:r>
      <w:r w:rsidRPr="00F2273F">
        <w:rPr>
          <w:rStyle w:val="s1"/>
          <w:rFonts w:ascii="Times New Roman" w:hAnsi="Times New Roman" w:cs="Times New Roman"/>
          <w:sz w:val="28"/>
          <w:szCs w:val="28"/>
        </w:rPr>
        <w:t xml:space="preserve">riesgos </w:t>
      </w:r>
      <w:r w:rsidRPr="00F2273F">
        <w:rPr>
          <w:rStyle w:val="s1"/>
          <w:rFonts w:ascii="Times New Roman" w:hAnsi="Times New Roman" w:cs="Times New Roman"/>
          <w:sz w:val="28"/>
          <w:szCs w:val="28"/>
        </w:rPr>
        <w:t xml:space="preserve">de </w:t>
      </w:r>
      <w:r w:rsidRPr="00F2273F">
        <w:rPr>
          <w:rStyle w:val="s1"/>
          <w:rFonts w:ascii="Times New Roman" w:hAnsi="Times New Roman" w:cs="Times New Roman"/>
          <w:sz w:val="28"/>
          <w:szCs w:val="28"/>
        </w:rPr>
        <w:t xml:space="preserve">monopolio natural y funciones críticas del sistema—, </w:t>
      </w:r>
      <w:r w:rsidRPr="00F2273F">
        <w:rPr>
          <w:rStyle w:val="s1"/>
          <w:rFonts w:ascii="Times New Roman" w:hAnsi="Times New Roman" w:cs="Times New Roman"/>
          <w:sz w:val="28"/>
          <w:szCs w:val="28"/>
        </w:rPr>
        <w:t>resultaba esencial</w:t>
      </w:r>
      <w:r w:rsidRPr="00F2273F">
        <w:rPr>
          <w:rStyle w:val="s1"/>
          <w:rFonts w:ascii="Times New Roman" w:hAnsi="Times New Roman" w:cs="Times New Roman"/>
          <w:sz w:val="28"/>
          <w:szCs w:val="28"/>
        </w:rPr>
        <w:t xml:space="preserve"> considerar si la integración vertical </w:t>
      </w:r>
      <w:r w:rsidRPr="00F2273F">
        <w:rPr>
          <w:rStyle w:val="s1"/>
          <w:rFonts w:ascii="Times New Roman" w:hAnsi="Times New Roman" w:cs="Times New Roman"/>
          <w:sz w:val="28"/>
          <w:szCs w:val="28"/>
        </w:rPr>
        <w:t xml:space="preserve">propuesta </w:t>
      </w:r>
      <w:r w:rsidRPr="00F2273F">
        <w:rPr>
          <w:rStyle w:val="s1"/>
          <w:rFonts w:ascii="Times New Roman" w:hAnsi="Times New Roman" w:cs="Times New Roman"/>
          <w:sz w:val="28"/>
          <w:szCs w:val="28"/>
        </w:rPr>
        <w:t>podía intensificar riesgos estructurales en materia de competencia, conflictos de interés e incentivos</w:t>
      </w:r>
      <w:r w:rsidRPr="00F2273F">
        <w:rPr>
          <w:rStyle w:val="s1"/>
          <w:rFonts w:ascii="Times New Roman" w:hAnsi="Times New Roman" w:cs="Times New Roman"/>
          <w:sz w:val="28"/>
          <w:szCs w:val="28"/>
        </w:rPr>
        <w:t>, entre otros</w:t>
      </w:r>
      <w:r w:rsidRPr="00F2273F">
        <w:rPr>
          <w:rStyle w:val="s1"/>
          <w:rFonts w:ascii="Times New Roman" w:hAnsi="Times New Roman" w:cs="Times New Roman"/>
          <w:sz w:val="28"/>
          <w:szCs w:val="28"/>
        </w:rPr>
        <w:t>.</w:t>
      </w:r>
    </w:p>
    <w:p w:rsidR="00CE61CD" w:rsidRPr="00F2273F" w:rsidRDefault="00F2273F" w:rsidP="00CE61CD">
      <w:pPr>
        <w:pStyle w:val="Prrafodelista"/>
        <w:rPr>
          <w:rFonts w:ascii="Times New Roman" w:eastAsia="Times New Roman" w:hAnsi="Times New Roman" w:cs="Times New Roman"/>
          <w:sz w:val="28"/>
          <w:szCs w:val="28"/>
          <w:lang w:val="es-419" w:eastAsia="es-MX"/>
        </w:rPr>
      </w:pPr>
    </w:p>
    <w:p w:rsidR="00CE61CD" w:rsidRPr="00F2273F" w:rsidRDefault="00F2273F" w:rsidP="00CE61CD">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lang w:val="es-419" w:eastAsia="es-MX"/>
        </w:rPr>
      </w:pPr>
      <w:r w:rsidRPr="00F2273F">
        <w:rPr>
          <w:rFonts w:ascii="Times New Roman" w:eastAsia="Times New Roman" w:hAnsi="Times New Roman" w:cs="Times New Roman"/>
          <w:sz w:val="28"/>
          <w:szCs w:val="28"/>
          <w:lang w:val="es-419" w:eastAsia="es-MX"/>
        </w:rPr>
        <w:t xml:space="preserve">Finalmente, </w:t>
      </w:r>
      <w:r w:rsidRPr="00F2273F">
        <w:rPr>
          <w:rFonts w:ascii="Times New Roman" w:hAnsi="Times New Roman" w:cs="Times New Roman"/>
          <w:sz w:val="28"/>
          <w:szCs w:val="28"/>
        </w:rPr>
        <w:t xml:space="preserve">era </w:t>
      </w:r>
      <w:r w:rsidRPr="00F2273F">
        <w:rPr>
          <w:rFonts w:ascii="Times New Roman" w:hAnsi="Times New Roman" w:cs="Times New Roman"/>
          <w:sz w:val="28"/>
          <w:szCs w:val="28"/>
        </w:rPr>
        <w:t>preciso que</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tras las modificaciones </w:t>
      </w:r>
      <w:r w:rsidRPr="00F2273F">
        <w:rPr>
          <w:rFonts w:ascii="Times New Roman" w:eastAsia="Times New Roman" w:hAnsi="Times New Roman" w:cs="Times New Roman"/>
          <w:sz w:val="28"/>
          <w:szCs w:val="28"/>
          <w:lang w:val="es-419" w:eastAsia="es-MX"/>
        </w:rPr>
        <w:t>introducidas</w:t>
      </w:r>
      <w:r w:rsidRPr="00F2273F">
        <w:rPr>
          <w:rFonts w:ascii="Times New Roman" w:eastAsia="Times New Roman" w:hAnsi="Times New Roman" w:cs="Times New Roman"/>
          <w:sz w:val="28"/>
          <w:szCs w:val="28"/>
          <w:lang w:val="es-419" w:eastAsia="es-MX"/>
        </w:rPr>
        <w:t xml:space="preserve"> al proyecto de ley</w:t>
      </w:r>
      <w:r w:rsidRPr="00F2273F">
        <w:rPr>
          <w:rFonts w:ascii="Times New Roman" w:eastAsia="Times New Roman" w:hAnsi="Times New Roman" w:cs="Times New Roman"/>
          <w:sz w:val="28"/>
          <w:szCs w:val="28"/>
          <w:lang w:val="es-419" w:eastAsia="es-MX"/>
        </w:rPr>
        <w:t xml:space="preserve">, el asunto regresara a la comisión permanente en que se surtió el primer debate, por las serias discrepancias entre el artículo 197/218 aprobado en primer debate en sesión conjunta y las </w:t>
      </w:r>
      <w:r w:rsidRPr="00F2273F">
        <w:rPr>
          <w:rFonts w:ascii="Times New Roman" w:eastAsia="Times New Roman" w:hAnsi="Times New Roman" w:cs="Times New Roman"/>
          <w:sz w:val="28"/>
          <w:szCs w:val="28"/>
          <w:lang w:val="es-419" w:eastAsia="es-MX"/>
        </w:rPr>
        <w:t>derogatorias introducidas en el segundo debate</w:t>
      </w:r>
      <w:r w:rsidRPr="00F2273F">
        <w:rPr>
          <w:rFonts w:ascii="Times New Roman" w:eastAsia="Times New Roman" w:hAnsi="Times New Roman" w:cs="Times New Roman"/>
          <w:sz w:val="28"/>
          <w:szCs w:val="28"/>
          <w:lang w:val="es-419" w:eastAsia="es-MX"/>
        </w:rPr>
        <w:t xml:space="preserve"> de Cámara</w:t>
      </w:r>
      <w:r w:rsidRPr="00F2273F">
        <w:rPr>
          <w:rFonts w:ascii="Times New Roman" w:eastAsia="Times New Roman" w:hAnsi="Times New Roman" w:cs="Times New Roman"/>
          <w:sz w:val="28"/>
          <w:szCs w:val="28"/>
          <w:lang w:val="es-419" w:eastAsia="es-MX"/>
        </w:rPr>
        <w:t xml:space="preserve">, pese a la exclusión expresa </w:t>
      </w:r>
      <w:r w:rsidRPr="00F2273F">
        <w:rPr>
          <w:rFonts w:ascii="Times New Roman" w:eastAsia="Times New Roman" w:hAnsi="Times New Roman" w:cs="Times New Roman"/>
          <w:sz w:val="28"/>
          <w:szCs w:val="28"/>
          <w:lang w:val="es-419" w:eastAsia="es-MX"/>
        </w:rPr>
        <w:t>de aquel</w:t>
      </w:r>
      <w:r w:rsidRPr="00F2273F">
        <w:rPr>
          <w:rFonts w:ascii="Times New Roman" w:eastAsia="Times New Roman" w:hAnsi="Times New Roman" w:cs="Times New Roman"/>
          <w:sz w:val="28"/>
          <w:szCs w:val="28"/>
          <w:lang w:val="es-419" w:eastAsia="es-MX"/>
        </w:rPr>
        <w:t xml:space="preserve">.  </w:t>
      </w:r>
    </w:p>
    <w:p w:rsidR="00890D5F" w:rsidRPr="00F2273F" w:rsidRDefault="00F2273F" w:rsidP="00147A96">
      <w:pPr>
        <w:pStyle w:val="Prrafodelista"/>
        <w:shd w:val="clear" w:color="auto" w:fill="FFFFFF"/>
        <w:tabs>
          <w:tab w:val="left" w:pos="0"/>
        </w:tabs>
        <w:spacing w:after="0" w:line="240" w:lineRule="auto"/>
        <w:ind w:left="0" w:right="48"/>
        <w:jc w:val="both"/>
        <w:textAlignment w:val="baseline"/>
        <w:rPr>
          <w:rFonts w:ascii="Times New Roman" w:eastAsia="Times New Roman" w:hAnsi="Times New Roman" w:cs="Times New Roman"/>
          <w:sz w:val="28"/>
          <w:szCs w:val="28"/>
        </w:rPr>
      </w:pPr>
    </w:p>
    <w:p w:rsidR="006A4345" w:rsidRPr="00F2273F" w:rsidRDefault="00F2273F" w:rsidP="006A4345">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lang w:val="es-419" w:eastAsia="es-MX"/>
        </w:rPr>
      </w:pPr>
      <w:r w:rsidRPr="00F2273F">
        <w:rPr>
          <w:rFonts w:ascii="Times New Roman" w:hAnsi="Times New Roman" w:cs="Times New Roman"/>
          <w:i/>
          <w:iCs/>
          <w:sz w:val="28"/>
          <w:szCs w:val="28"/>
          <w:lang w:val="es-ES"/>
        </w:rPr>
        <w:t xml:space="preserve">El presidente de la Cámara de Representantes expresa y voluntariamente impidió el uso de la palabra para debatir sobre </w:t>
      </w:r>
      <w:r w:rsidRPr="00F2273F">
        <w:rPr>
          <w:rFonts w:ascii="Times New Roman" w:hAnsi="Times New Roman" w:cs="Times New Roman"/>
          <w:i/>
          <w:iCs/>
          <w:sz w:val="28"/>
          <w:szCs w:val="28"/>
          <w:lang w:val="es-ES"/>
        </w:rPr>
        <w:t>las proposiciones que se referían a la</w:t>
      </w:r>
      <w:r w:rsidRPr="00F2273F">
        <w:rPr>
          <w:rFonts w:ascii="Times New Roman" w:hAnsi="Times New Roman" w:cs="Times New Roman"/>
          <w:i/>
          <w:iCs/>
          <w:sz w:val="28"/>
          <w:szCs w:val="28"/>
          <w:lang w:val="es-ES"/>
        </w:rPr>
        <w:t>s derogatorias demandadas</w:t>
      </w:r>
      <w:r w:rsidRPr="00F2273F">
        <w:rPr>
          <w:rFonts w:ascii="Times New Roman" w:hAnsi="Times New Roman" w:cs="Times New Roman"/>
          <w:i/>
          <w:iCs/>
          <w:sz w:val="28"/>
          <w:szCs w:val="28"/>
          <w:lang w:val="es-ES"/>
        </w:rPr>
        <w:t xml:space="preserve">. </w:t>
      </w:r>
      <w:r w:rsidRPr="00F2273F">
        <w:rPr>
          <w:rFonts w:ascii="Times New Roman" w:hAnsi="Times New Roman" w:cs="Times New Roman"/>
          <w:sz w:val="28"/>
          <w:szCs w:val="28"/>
        </w:rPr>
        <w:t xml:space="preserve">En esta oportunidad, tal como lo precisó </w:t>
      </w:r>
      <w:r w:rsidRPr="00F2273F">
        <w:rPr>
          <w:rFonts w:ascii="Times New Roman" w:hAnsi="Times New Roman" w:cs="Times New Roman"/>
          <w:sz w:val="28"/>
          <w:szCs w:val="28"/>
        </w:rPr>
        <w:t xml:space="preserve">la </w:t>
      </w:r>
      <w:r w:rsidRPr="00F2273F">
        <w:rPr>
          <w:rFonts w:ascii="Times New Roman" w:hAnsi="Times New Roman" w:cs="Times New Roman"/>
          <w:sz w:val="28"/>
          <w:szCs w:val="28"/>
        </w:rPr>
        <w:t xml:space="preserve">Corte </w:t>
      </w:r>
      <w:r w:rsidRPr="00F2273F">
        <w:rPr>
          <w:rFonts w:ascii="Times New Roman" w:hAnsi="Times New Roman" w:cs="Times New Roman"/>
          <w:sz w:val="28"/>
          <w:szCs w:val="28"/>
        </w:rPr>
        <w:t xml:space="preserve">Constitucional </w:t>
      </w:r>
      <w:r w:rsidRPr="00F2273F">
        <w:rPr>
          <w:rFonts w:ascii="Times New Roman" w:hAnsi="Times New Roman" w:cs="Times New Roman"/>
          <w:sz w:val="28"/>
          <w:szCs w:val="28"/>
        </w:rPr>
        <w:t xml:space="preserve">en la </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entencia </w:t>
      </w:r>
      <w:r w:rsidRPr="00F2273F">
        <w:rPr>
          <w:rFonts w:ascii="Times New Roman" w:eastAsia="Times New Roman" w:hAnsi="Times New Roman" w:cs="Times New Roman"/>
          <w:sz w:val="28"/>
          <w:szCs w:val="28"/>
          <w:lang w:val="es-419" w:eastAsia="es-MX"/>
        </w:rPr>
        <w:t>C-143 de 2025, se configura el vicio de elusión del debate parlamentario por la omisión “</w:t>
      </w:r>
      <w:r w:rsidRPr="00F2273F">
        <w:rPr>
          <w:rFonts w:ascii="Times New Roman" w:eastAsia="Times New Roman" w:hAnsi="Times New Roman" w:cs="Times New Roman"/>
          <w:i/>
          <w:iCs/>
          <w:sz w:val="28"/>
          <w:szCs w:val="28"/>
          <w:lang w:val="es-419" w:eastAsia="es-MX"/>
        </w:rPr>
        <w:t>voluntaria y consciente</w:t>
      </w:r>
      <w:r w:rsidRPr="00F2273F">
        <w:rPr>
          <w:rFonts w:ascii="Times New Roman" w:eastAsia="Times New Roman" w:hAnsi="Times New Roman" w:cs="Times New Roman"/>
          <w:sz w:val="28"/>
          <w:szCs w:val="28"/>
          <w:lang w:val="es-419" w:eastAsia="es-MX"/>
        </w:rPr>
        <w:t xml:space="preserve">” de debatir un tema fundamental y estructural al régimen jurídico de prestación del servicio público domiciliario de energía eléctrica. </w:t>
      </w:r>
    </w:p>
    <w:p w:rsidR="006A4345" w:rsidRPr="00F2273F" w:rsidRDefault="00F2273F" w:rsidP="006A4345">
      <w:pPr>
        <w:pStyle w:val="Prrafodelista"/>
        <w:shd w:val="clear" w:color="auto" w:fill="FFFFFF"/>
        <w:tabs>
          <w:tab w:val="left" w:pos="0"/>
        </w:tabs>
        <w:spacing w:after="0" w:line="240" w:lineRule="auto"/>
        <w:ind w:left="0" w:right="48"/>
        <w:jc w:val="both"/>
        <w:textAlignment w:val="baseline"/>
        <w:rPr>
          <w:rFonts w:ascii="Times New Roman" w:eastAsia="Times New Roman" w:hAnsi="Times New Roman" w:cs="Times New Roman"/>
          <w:sz w:val="28"/>
          <w:szCs w:val="28"/>
          <w:lang w:val="es-419" w:eastAsia="es-MX"/>
        </w:rPr>
      </w:pPr>
    </w:p>
    <w:p w:rsidR="00A56F43" w:rsidRPr="00F2273F" w:rsidRDefault="00F2273F" w:rsidP="00890D5F">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lang w:val="es-419" w:eastAsia="es-MX"/>
        </w:rPr>
        <w:t>La ausencia voluntaria y consciente de</w:t>
      </w:r>
      <w:r w:rsidRPr="00F2273F">
        <w:rPr>
          <w:rFonts w:ascii="Times New Roman" w:eastAsia="Times New Roman" w:hAnsi="Times New Roman" w:cs="Times New Roman"/>
          <w:sz w:val="28"/>
          <w:szCs w:val="28"/>
          <w:lang w:val="es-419" w:eastAsia="es-MX"/>
        </w:rPr>
        <w:t>l</w:t>
      </w:r>
      <w:r w:rsidRPr="00F2273F">
        <w:rPr>
          <w:rFonts w:ascii="Times New Roman" w:eastAsia="Times New Roman" w:hAnsi="Times New Roman" w:cs="Times New Roman"/>
          <w:sz w:val="28"/>
          <w:szCs w:val="28"/>
          <w:lang w:val="es-419" w:eastAsia="es-MX"/>
        </w:rPr>
        <w:t xml:space="preserve"> debate se constata </w:t>
      </w:r>
      <w:r w:rsidRPr="00F2273F">
        <w:rPr>
          <w:rFonts w:ascii="Times New Roman" w:eastAsia="Times New Roman" w:hAnsi="Times New Roman" w:cs="Times New Roman"/>
          <w:sz w:val="28"/>
          <w:szCs w:val="28"/>
          <w:lang w:val="es-419" w:eastAsia="es-MX"/>
        </w:rPr>
        <w:t xml:space="preserve">al apreciar el </w:t>
      </w:r>
      <w:r w:rsidRPr="00F2273F">
        <w:rPr>
          <w:rFonts w:ascii="Times New Roman" w:eastAsia="Times New Roman" w:hAnsi="Times New Roman" w:cs="Times New Roman"/>
          <w:sz w:val="28"/>
          <w:szCs w:val="28"/>
          <w:lang w:val="es-419" w:eastAsia="es-MX"/>
        </w:rPr>
        <w:t xml:space="preserve">recuento del procedimiento legislativo, </w:t>
      </w:r>
      <w:r w:rsidRPr="00F2273F">
        <w:rPr>
          <w:rFonts w:ascii="Times New Roman" w:eastAsia="Times New Roman" w:hAnsi="Times New Roman" w:cs="Times New Roman"/>
          <w:sz w:val="28"/>
          <w:szCs w:val="28"/>
          <w:lang w:val="es-419" w:eastAsia="es-MX"/>
        </w:rPr>
        <w:t>seg</w:t>
      </w:r>
      <w:r w:rsidRPr="00F2273F">
        <w:rPr>
          <w:rFonts w:ascii="Times New Roman" w:eastAsia="Times New Roman" w:hAnsi="Times New Roman" w:cs="Times New Roman"/>
          <w:sz w:val="28"/>
          <w:szCs w:val="28"/>
          <w:lang w:val="es-419" w:eastAsia="es-MX"/>
        </w:rPr>
        <w:t>ún el cual</w:t>
      </w:r>
      <w:r w:rsidRPr="00F2273F">
        <w:rPr>
          <w:rFonts w:ascii="Times New Roman" w:eastAsia="Times New Roman" w:hAnsi="Times New Roman" w:cs="Times New Roman"/>
          <w:sz w:val="28"/>
          <w:szCs w:val="28"/>
          <w:lang w:val="es-419" w:eastAsia="es-MX"/>
        </w:rPr>
        <w:t xml:space="preserve"> el presidente de la </w:t>
      </w:r>
      <w:r w:rsidRPr="00F2273F">
        <w:rPr>
          <w:rFonts w:ascii="Times New Roman" w:eastAsia="Times New Roman" w:hAnsi="Times New Roman" w:cs="Times New Roman"/>
          <w:sz w:val="28"/>
          <w:szCs w:val="28"/>
          <w:lang w:val="es-419" w:eastAsia="es-MX"/>
        </w:rPr>
        <w:t>C</w:t>
      </w:r>
      <w:r w:rsidRPr="00F2273F">
        <w:rPr>
          <w:rFonts w:ascii="Times New Roman" w:eastAsia="Times New Roman" w:hAnsi="Times New Roman" w:cs="Times New Roman"/>
          <w:sz w:val="28"/>
          <w:szCs w:val="28"/>
          <w:lang w:val="es-419" w:eastAsia="es-MX"/>
        </w:rPr>
        <w:t xml:space="preserve">ámara de </w:t>
      </w:r>
      <w:r w:rsidRPr="00F2273F">
        <w:rPr>
          <w:rFonts w:ascii="Times New Roman" w:eastAsia="Times New Roman" w:hAnsi="Times New Roman" w:cs="Times New Roman"/>
          <w:sz w:val="28"/>
          <w:szCs w:val="28"/>
          <w:lang w:val="es-419" w:eastAsia="es-MX"/>
        </w:rPr>
        <w:t>R</w:t>
      </w:r>
      <w:r w:rsidRPr="00F2273F">
        <w:rPr>
          <w:rFonts w:ascii="Times New Roman" w:eastAsia="Times New Roman" w:hAnsi="Times New Roman" w:cs="Times New Roman"/>
          <w:sz w:val="28"/>
          <w:szCs w:val="28"/>
          <w:lang w:val="es-419" w:eastAsia="es-MX"/>
        </w:rPr>
        <w:t xml:space="preserve">epresentantes </w:t>
      </w:r>
      <w:r w:rsidRPr="00F2273F">
        <w:rPr>
          <w:rFonts w:ascii="Times New Roman" w:eastAsia="Times New Roman" w:hAnsi="Times New Roman" w:cs="Times New Roman"/>
          <w:sz w:val="28"/>
          <w:szCs w:val="28"/>
          <w:lang w:val="es-419" w:eastAsia="es-MX"/>
        </w:rPr>
        <w:t>dirigió el</w:t>
      </w:r>
      <w:r w:rsidRPr="00F2273F">
        <w:rPr>
          <w:rFonts w:ascii="Times New Roman" w:eastAsia="Times New Roman" w:hAnsi="Times New Roman" w:cs="Times New Roman"/>
          <w:sz w:val="28"/>
          <w:szCs w:val="28"/>
          <w:lang w:val="es-419" w:eastAsia="es-MX"/>
        </w:rPr>
        <w:t xml:space="preserve"> trámite legislativo </w:t>
      </w:r>
      <w:r w:rsidRPr="00F2273F">
        <w:rPr>
          <w:rFonts w:ascii="Times New Roman" w:eastAsia="Times New Roman" w:hAnsi="Times New Roman" w:cs="Times New Roman"/>
          <w:sz w:val="28"/>
          <w:szCs w:val="28"/>
          <w:lang w:val="es-419" w:eastAsia="es-MX"/>
        </w:rPr>
        <w:t>e</w:t>
      </w:r>
      <w:r w:rsidRPr="00F2273F">
        <w:rPr>
          <w:rFonts w:ascii="Times New Roman" w:eastAsia="Times New Roman" w:hAnsi="Times New Roman" w:cs="Times New Roman"/>
          <w:sz w:val="28"/>
          <w:szCs w:val="28"/>
          <w:lang w:val="es-419" w:eastAsia="es-MX"/>
        </w:rPr>
        <w:t xml:space="preserve"> impidió la discusión y deliberación </w:t>
      </w:r>
      <w:r w:rsidRPr="00F2273F">
        <w:rPr>
          <w:rFonts w:ascii="Times New Roman" w:eastAsia="Times New Roman" w:hAnsi="Times New Roman" w:cs="Times New Roman"/>
          <w:sz w:val="28"/>
          <w:szCs w:val="28"/>
          <w:lang w:val="es-419" w:eastAsia="es-MX"/>
        </w:rPr>
        <w:t xml:space="preserve">sobre </w:t>
      </w:r>
      <w:r w:rsidRPr="00F2273F">
        <w:rPr>
          <w:rFonts w:ascii="Times New Roman" w:eastAsia="Times New Roman" w:hAnsi="Times New Roman" w:cs="Times New Roman"/>
          <w:sz w:val="28"/>
          <w:szCs w:val="28"/>
          <w:lang w:val="es-419" w:eastAsia="es-MX"/>
        </w:rPr>
        <w:t xml:space="preserve">las proposiciones y el texto del artículo 372, pues decidió no abrir el debate </w:t>
      </w:r>
      <w:r w:rsidRPr="00F2273F">
        <w:rPr>
          <w:rFonts w:ascii="Times New Roman" w:eastAsia="Times New Roman" w:hAnsi="Times New Roman" w:cs="Times New Roman"/>
          <w:sz w:val="28"/>
          <w:szCs w:val="28"/>
          <w:lang w:val="es-419" w:eastAsia="es-MX"/>
        </w:rPr>
        <w:t>en relación con el tema que ahora se estudia</w:t>
      </w:r>
      <w:r w:rsidRPr="00F2273F">
        <w:rPr>
          <w:rFonts w:ascii="Times New Roman" w:eastAsia="Times New Roman" w:hAnsi="Times New Roman" w:cs="Times New Roman"/>
          <w:sz w:val="28"/>
          <w:szCs w:val="28"/>
          <w:lang w:val="es-419" w:eastAsia="es-MX"/>
        </w:rPr>
        <w:t xml:space="preserve">. </w:t>
      </w:r>
    </w:p>
    <w:p w:rsidR="00A56F43" w:rsidRPr="00F2273F" w:rsidRDefault="00F2273F" w:rsidP="00A56F43">
      <w:pPr>
        <w:pStyle w:val="Prrafodelista"/>
        <w:rPr>
          <w:rFonts w:ascii="Times New Roman" w:eastAsia="Times New Roman" w:hAnsi="Times New Roman" w:cs="Times New Roman"/>
          <w:sz w:val="28"/>
          <w:szCs w:val="28"/>
          <w:lang w:val="es-419" w:eastAsia="es-MX"/>
        </w:rPr>
      </w:pPr>
    </w:p>
    <w:p w:rsidR="00423D29" w:rsidRPr="00F2273F" w:rsidRDefault="00F2273F" w:rsidP="00423D29">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eastAsia="Times New Roman" w:hAnsi="Times New Roman" w:cs="Times New Roman"/>
          <w:sz w:val="28"/>
          <w:szCs w:val="28"/>
        </w:rPr>
      </w:pPr>
      <w:r w:rsidRPr="00F2273F">
        <w:rPr>
          <w:rFonts w:ascii="Times New Roman" w:eastAsia="Times New Roman" w:hAnsi="Times New Roman" w:cs="Times New Roman"/>
          <w:sz w:val="28"/>
          <w:szCs w:val="28"/>
          <w:lang w:val="es-419" w:eastAsia="es-MX"/>
        </w:rPr>
        <w:t xml:space="preserve">En efecto, el presidente de la </w:t>
      </w:r>
      <w:r w:rsidRPr="00F2273F">
        <w:rPr>
          <w:rFonts w:ascii="Times New Roman" w:eastAsia="Times New Roman" w:hAnsi="Times New Roman" w:cs="Times New Roman"/>
          <w:sz w:val="28"/>
          <w:szCs w:val="28"/>
          <w:lang w:val="es-419" w:eastAsia="es-MX"/>
        </w:rPr>
        <w:t>C</w:t>
      </w:r>
      <w:r w:rsidRPr="00F2273F">
        <w:rPr>
          <w:rFonts w:ascii="Times New Roman" w:eastAsia="Times New Roman" w:hAnsi="Times New Roman" w:cs="Times New Roman"/>
          <w:sz w:val="28"/>
          <w:szCs w:val="28"/>
          <w:lang w:val="es-419" w:eastAsia="es-MX"/>
        </w:rPr>
        <w:t xml:space="preserve">ámara se limitó a dar lectura del nombre del autor de las proposiciones, sin dar a conocer el alcance de su contenido ni permitir el uso de la palabra para el debate. </w:t>
      </w:r>
      <w:r w:rsidRPr="00F2273F">
        <w:rPr>
          <w:rFonts w:ascii="Times New Roman" w:eastAsia="Times New Roman" w:hAnsi="Times New Roman" w:cs="Times New Roman"/>
          <w:sz w:val="28"/>
          <w:szCs w:val="28"/>
          <w:lang w:val="es-419" w:eastAsia="es-MX"/>
        </w:rPr>
        <w:t xml:space="preserve">Expresamente </w:t>
      </w:r>
      <w:r w:rsidRPr="00F2273F">
        <w:rPr>
          <w:rFonts w:ascii="Times New Roman" w:eastAsia="Times New Roman" w:hAnsi="Times New Roman" w:cs="Times New Roman"/>
          <w:sz w:val="28"/>
          <w:szCs w:val="28"/>
          <w:lang w:val="es-419" w:eastAsia="es-MX"/>
        </w:rPr>
        <w:t>indicó que “</w:t>
      </w:r>
      <w:r w:rsidRPr="00F2273F">
        <w:rPr>
          <w:rFonts w:ascii="Times New Roman" w:eastAsia="Times New Roman" w:hAnsi="Times New Roman" w:cs="Times New Roman"/>
          <w:i/>
          <w:iCs/>
          <w:sz w:val="28"/>
          <w:szCs w:val="28"/>
          <w:lang w:val="es-419" w:eastAsia="es-MX"/>
        </w:rPr>
        <w:t xml:space="preserve">era simplemente para anunciar </w:t>
      </w:r>
      <w:r w:rsidRPr="00F2273F">
        <w:rPr>
          <w:rFonts w:ascii="Times New Roman" w:eastAsia="Times New Roman" w:hAnsi="Times New Roman" w:cs="Times New Roman"/>
          <w:i/>
          <w:iCs/>
          <w:sz w:val="28"/>
          <w:szCs w:val="28"/>
          <w:lang w:val="es-419" w:eastAsia="es-MX"/>
        </w:rPr>
        <w:t>y votar</w:t>
      </w:r>
      <w:r w:rsidRPr="00F2273F">
        <w:rPr>
          <w:rFonts w:ascii="Times New Roman" w:eastAsia="Times New Roman" w:hAnsi="Times New Roman" w:cs="Times New Roman"/>
          <w:sz w:val="28"/>
          <w:szCs w:val="28"/>
          <w:lang w:val="es-419" w:eastAsia="es-MX"/>
        </w:rPr>
        <w:t>” y la dinámica empleada fue “</w:t>
      </w:r>
      <w:r w:rsidRPr="00F2273F">
        <w:rPr>
          <w:rFonts w:ascii="Times New Roman" w:eastAsia="Times New Roman" w:hAnsi="Times New Roman" w:cs="Times New Roman"/>
          <w:i/>
          <w:iCs/>
          <w:sz w:val="28"/>
          <w:szCs w:val="28"/>
          <w:lang w:val="es-419" w:eastAsia="es-MX"/>
        </w:rPr>
        <w:t>damos a conocer y ya votamos</w:t>
      </w:r>
      <w:r w:rsidRPr="00F2273F">
        <w:rPr>
          <w:rFonts w:ascii="Times New Roman" w:eastAsia="Times New Roman" w:hAnsi="Times New Roman" w:cs="Times New Roman"/>
          <w:sz w:val="28"/>
          <w:szCs w:val="28"/>
          <w:lang w:val="es-419" w:eastAsia="es-MX"/>
        </w:rPr>
        <w:t>”</w:t>
      </w:r>
      <w:r w:rsidRPr="00F2273F">
        <w:rPr>
          <w:rFonts w:ascii="Times New Roman" w:eastAsia="Times New Roman" w:hAnsi="Times New Roman" w:cs="Times New Roman"/>
          <w:sz w:val="28"/>
          <w:szCs w:val="28"/>
          <w:lang w:val="es-419" w:eastAsia="es-MX"/>
        </w:rPr>
        <w:t>. N</w:t>
      </w:r>
      <w:r w:rsidRPr="00F2273F">
        <w:rPr>
          <w:rFonts w:ascii="Times New Roman" w:eastAsia="Times New Roman" w:hAnsi="Times New Roman" w:cs="Times New Roman"/>
          <w:sz w:val="28"/>
          <w:szCs w:val="28"/>
          <w:lang w:val="es-419" w:eastAsia="es-MX"/>
        </w:rPr>
        <w:t xml:space="preserve">o concedió el uso de la palabra </w:t>
      </w:r>
      <w:r w:rsidRPr="00F2273F">
        <w:rPr>
          <w:rFonts w:ascii="Times New Roman" w:eastAsia="Times New Roman" w:hAnsi="Times New Roman" w:cs="Times New Roman"/>
          <w:sz w:val="28"/>
          <w:szCs w:val="28"/>
          <w:lang w:val="es-419" w:eastAsia="es-MX"/>
        </w:rPr>
        <w:t xml:space="preserve">en esta instancia </w:t>
      </w:r>
      <w:r w:rsidRPr="00F2273F">
        <w:rPr>
          <w:rFonts w:ascii="Times New Roman" w:eastAsia="Times New Roman" w:hAnsi="Times New Roman" w:cs="Times New Roman"/>
          <w:sz w:val="28"/>
          <w:szCs w:val="28"/>
          <w:lang w:val="es-419" w:eastAsia="es-MX"/>
        </w:rPr>
        <w:t>pues indicó que “</w:t>
      </w:r>
      <w:r w:rsidRPr="00F2273F">
        <w:rPr>
          <w:rFonts w:ascii="Times New Roman" w:eastAsia="Times New Roman" w:hAnsi="Times New Roman" w:cs="Times New Roman"/>
          <w:i/>
          <w:iCs/>
          <w:sz w:val="28"/>
          <w:szCs w:val="28"/>
          <w:lang w:val="es-419" w:eastAsia="es-MX"/>
        </w:rPr>
        <w:t>es que volvemos otra vez, damos la palabra, ya es un tema de tiempo, no están avaladas, ya estamos en el cierre, ya entr</w:t>
      </w:r>
      <w:r w:rsidRPr="00F2273F">
        <w:rPr>
          <w:rFonts w:ascii="Times New Roman" w:eastAsia="Times New Roman" w:hAnsi="Times New Roman" w:cs="Times New Roman"/>
          <w:i/>
          <w:iCs/>
          <w:sz w:val="28"/>
          <w:szCs w:val="28"/>
          <w:lang w:val="es-419" w:eastAsia="es-MX"/>
        </w:rPr>
        <w:t>amos en la discusión de los artículos que eran el corazón. No quiero que se me vaya el quorum, de verdad</w:t>
      </w:r>
      <w:r w:rsidRPr="00F2273F">
        <w:rPr>
          <w:rFonts w:ascii="Times New Roman" w:eastAsia="Times New Roman" w:hAnsi="Times New Roman" w:cs="Times New Roman"/>
          <w:sz w:val="28"/>
          <w:szCs w:val="28"/>
          <w:lang w:val="es-419" w:eastAsia="es-MX"/>
        </w:rPr>
        <w:t>”. Seguido a ello, sostuvo que “</w:t>
      </w:r>
      <w:r w:rsidRPr="00F2273F">
        <w:rPr>
          <w:rFonts w:ascii="Times New Roman" w:eastAsia="Times New Roman" w:hAnsi="Times New Roman" w:cs="Times New Roman"/>
          <w:i/>
          <w:iCs/>
          <w:sz w:val="28"/>
          <w:szCs w:val="28"/>
          <w:lang w:val="es-419" w:eastAsia="es-MX"/>
        </w:rPr>
        <w:t>no le di la palabra a nadie, a nadie le di la palabra, no le di la palabra a nadie, por eso no quiero dar la oportunidad</w:t>
      </w:r>
      <w:r w:rsidRPr="00F2273F">
        <w:rPr>
          <w:rFonts w:ascii="Times New Roman" w:eastAsia="Times New Roman" w:hAnsi="Times New Roman" w:cs="Times New Roman"/>
          <w:i/>
          <w:iCs/>
          <w:sz w:val="28"/>
          <w:szCs w:val="28"/>
          <w:lang w:val="es-419" w:eastAsia="es-MX"/>
        </w:rPr>
        <w:t xml:space="preserve"> porque o sino no alcanzamos, ya a estas alturas de la discusión ya es imposible</w:t>
      </w:r>
      <w:r w:rsidRPr="00F2273F">
        <w:rPr>
          <w:rFonts w:ascii="Times New Roman" w:eastAsia="Times New Roman" w:hAnsi="Times New Roman" w:cs="Times New Roman"/>
          <w:sz w:val="28"/>
          <w:szCs w:val="28"/>
          <w:lang w:val="es-419" w:eastAsia="es-MX"/>
        </w:rPr>
        <w:t>”</w:t>
      </w:r>
      <w:r w:rsidRPr="00F2273F">
        <w:rPr>
          <w:rStyle w:val="Refdenotaalpie"/>
          <w:rFonts w:ascii="Times New Roman" w:eastAsia="Times New Roman" w:hAnsi="Times New Roman" w:cs="Times New Roman"/>
          <w:sz w:val="28"/>
          <w:szCs w:val="28"/>
          <w:lang w:val="es-419" w:eastAsia="es-MX"/>
        </w:rPr>
        <w:footnoteReference w:id="127"/>
      </w:r>
      <w:r w:rsidRPr="00F2273F">
        <w:rPr>
          <w:rFonts w:ascii="Times New Roman" w:eastAsia="Times New Roman" w:hAnsi="Times New Roman" w:cs="Times New Roman"/>
          <w:sz w:val="28"/>
          <w:szCs w:val="28"/>
          <w:lang w:val="es-419" w:eastAsia="es-MX"/>
        </w:rPr>
        <w:t>.</w:t>
      </w:r>
    </w:p>
    <w:p w:rsidR="00423D29" w:rsidRPr="00F2273F" w:rsidRDefault="00F2273F" w:rsidP="00423D29">
      <w:pPr>
        <w:pStyle w:val="Prrafodelista"/>
        <w:shd w:val="clear" w:color="auto" w:fill="FFFFFF"/>
        <w:tabs>
          <w:tab w:val="left" w:pos="0"/>
        </w:tabs>
        <w:spacing w:after="0" w:line="240" w:lineRule="auto"/>
        <w:ind w:left="0" w:right="48"/>
        <w:jc w:val="both"/>
        <w:textAlignment w:val="baseline"/>
        <w:rPr>
          <w:rFonts w:ascii="Times New Roman" w:eastAsia="Times New Roman" w:hAnsi="Times New Roman" w:cs="Times New Roman"/>
          <w:sz w:val="28"/>
          <w:szCs w:val="28"/>
        </w:rPr>
      </w:pPr>
    </w:p>
    <w:p w:rsidR="006A4345" w:rsidRPr="00F2273F" w:rsidRDefault="00F2273F" w:rsidP="00BD42A9">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En este punto, no </w:t>
      </w:r>
      <w:r w:rsidRPr="00F2273F">
        <w:rPr>
          <w:rFonts w:ascii="Times New Roman" w:hAnsi="Times New Roman" w:cs="Times New Roman"/>
          <w:sz w:val="28"/>
          <w:szCs w:val="28"/>
          <w:lang w:eastAsia="es-ES"/>
        </w:rPr>
        <w:t xml:space="preserve">puede perderse de vista la importancia </w:t>
      </w:r>
      <w:r w:rsidRPr="00F2273F">
        <w:rPr>
          <w:rFonts w:ascii="Times New Roman" w:hAnsi="Times New Roman" w:cs="Times New Roman"/>
          <w:sz w:val="28"/>
          <w:szCs w:val="28"/>
          <w:lang w:eastAsia="es-ES"/>
        </w:rPr>
        <w:t xml:space="preserve">en cuanto </w:t>
      </w:r>
      <w:r w:rsidRPr="00F2273F">
        <w:rPr>
          <w:rFonts w:ascii="Times New Roman" w:hAnsi="Times New Roman" w:cs="Times New Roman"/>
          <w:sz w:val="28"/>
          <w:szCs w:val="28"/>
          <w:lang w:eastAsia="es-ES"/>
        </w:rPr>
        <w:t xml:space="preserve">que la aprobación del plan </w:t>
      </w:r>
      <w:r w:rsidRPr="00F2273F">
        <w:rPr>
          <w:rFonts w:ascii="Times New Roman" w:hAnsi="Times New Roman" w:cs="Times New Roman"/>
          <w:sz w:val="28"/>
          <w:szCs w:val="28"/>
          <w:lang w:eastAsia="es-ES"/>
        </w:rPr>
        <w:t xml:space="preserve">nacional </w:t>
      </w:r>
      <w:r w:rsidRPr="00F2273F">
        <w:rPr>
          <w:rFonts w:ascii="Times New Roman" w:hAnsi="Times New Roman" w:cs="Times New Roman"/>
          <w:sz w:val="28"/>
          <w:szCs w:val="28"/>
          <w:lang w:eastAsia="es-ES"/>
        </w:rPr>
        <w:t>de desarrollo</w:t>
      </w:r>
      <w:r w:rsidRPr="00F2273F">
        <w:rPr>
          <w:rFonts w:ascii="Times New Roman" w:hAnsi="Times New Roman" w:cs="Times New Roman"/>
          <w:sz w:val="28"/>
          <w:szCs w:val="28"/>
          <w:lang w:eastAsia="es-ES"/>
        </w:rPr>
        <w:t>, en tanto ley multitemática,</w:t>
      </w:r>
      <w:r w:rsidRPr="00F2273F">
        <w:rPr>
          <w:rFonts w:ascii="Times New Roman" w:hAnsi="Times New Roman" w:cs="Times New Roman"/>
          <w:sz w:val="28"/>
          <w:szCs w:val="28"/>
          <w:lang w:eastAsia="es-ES"/>
        </w:rPr>
        <w:t xml:space="preserve"> esté precedida de un debate democrático y pleno </w:t>
      </w:r>
      <w:r w:rsidRPr="00F2273F">
        <w:rPr>
          <w:rFonts w:ascii="Times New Roman" w:hAnsi="Times New Roman" w:cs="Times New Roman"/>
          <w:sz w:val="28"/>
          <w:szCs w:val="28"/>
          <w:lang w:eastAsia="es-ES"/>
        </w:rPr>
        <w:t xml:space="preserve">en </w:t>
      </w:r>
      <w:r w:rsidRPr="00F2273F">
        <w:rPr>
          <w:rFonts w:ascii="Times New Roman" w:hAnsi="Times New Roman" w:cs="Times New Roman"/>
          <w:sz w:val="28"/>
          <w:szCs w:val="28"/>
          <w:lang w:eastAsia="es-ES"/>
        </w:rPr>
        <w:t>ejercicio la función constitucional a cargo del Congreso de la República</w:t>
      </w:r>
      <w:r w:rsidRPr="00F2273F">
        <w:rPr>
          <w:rStyle w:val="Refdenotaalpie"/>
          <w:rFonts w:ascii="Times New Roman" w:hAnsi="Times New Roman" w:cs="Times New Roman"/>
          <w:sz w:val="28"/>
          <w:szCs w:val="28"/>
          <w:lang w:eastAsia="es-ES"/>
        </w:rPr>
        <w:footnoteReference w:id="128"/>
      </w:r>
      <w:r w:rsidRPr="00F2273F">
        <w:rPr>
          <w:rFonts w:ascii="Times New Roman" w:hAnsi="Times New Roman" w:cs="Times New Roman"/>
          <w:sz w:val="28"/>
          <w:szCs w:val="28"/>
          <w:lang w:eastAsia="es-ES"/>
        </w:rPr>
        <w:t>, pues la planeación requiere una intervención responsable del órgano de representación popular, por la articulación que representa</w:t>
      </w:r>
      <w:r w:rsidRPr="00F2273F">
        <w:rPr>
          <w:rFonts w:ascii="Times New Roman" w:hAnsi="Times New Roman" w:cs="Times New Roman"/>
          <w:sz w:val="28"/>
          <w:szCs w:val="28"/>
          <w:lang w:eastAsia="es-ES"/>
        </w:rPr>
        <w:t xml:space="preserve"> en términos de lineamientos estratégicos </w:t>
      </w:r>
      <w:r w:rsidRPr="00F2273F">
        <w:rPr>
          <w:rFonts w:ascii="Times New Roman" w:hAnsi="Times New Roman" w:cs="Times New Roman"/>
          <w:sz w:val="28"/>
          <w:szCs w:val="28"/>
          <w:lang w:eastAsia="es-ES"/>
        </w:rPr>
        <w:t xml:space="preserve">en cuanto a </w:t>
      </w:r>
      <w:r w:rsidRPr="00F2273F">
        <w:rPr>
          <w:rFonts w:ascii="Times New Roman" w:hAnsi="Times New Roman" w:cs="Times New Roman"/>
          <w:sz w:val="28"/>
          <w:szCs w:val="28"/>
          <w:lang w:eastAsia="es-ES"/>
        </w:rPr>
        <w:t xml:space="preserve">las políticas públicas y objetivos de corto, mediano y largo plazo, así como </w:t>
      </w:r>
      <w:r w:rsidRPr="00F2273F">
        <w:rPr>
          <w:rFonts w:ascii="Times New Roman" w:hAnsi="Times New Roman" w:cs="Times New Roman"/>
          <w:sz w:val="28"/>
          <w:szCs w:val="28"/>
          <w:lang w:eastAsia="es-ES"/>
        </w:rPr>
        <w:t xml:space="preserve">respecto de </w:t>
      </w:r>
      <w:r w:rsidRPr="00F2273F">
        <w:rPr>
          <w:rFonts w:ascii="Times New Roman" w:hAnsi="Times New Roman" w:cs="Times New Roman"/>
          <w:sz w:val="28"/>
          <w:szCs w:val="28"/>
          <w:lang w:eastAsia="es-ES"/>
        </w:rPr>
        <w:t xml:space="preserve">los instrumentos financieros y presupuestales para alcanzar las metas que se ha propuesto alcanzar el </w:t>
      </w:r>
      <w:r w:rsidRPr="00F2273F">
        <w:rPr>
          <w:rFonts w:ascii="Times New Roman" w:hAnsi="Times New Roman" w:cs="Times New Roman"/>
          <w:sz w:val="28"/>
          <w:szCs w:val="28"/>
          <w:lang w:eastAsia="es-ES"/>
        </w:rPr>
        <w:t>G</w:t>
      </w:r>
      <w:r w:rsidRPr="00F2273F">
        <w:rPr>
          <w:rFonts w:ascii="Times New Roman" w:hAnsi="Times New Roman" w:cs="Times New Roman"/>
          <w:sz w:val="28"/>
          <w:szCs w:val="28"/>
          <w:lang w:eastAsia="es-ES"/>
        </w:rPr>
        <w:t xml:space="preserve">obierno. </w:t>
      </w:r>
      <w:r w:rsidRPr="00F2273F">
        <w:rPr>
          <w:rFonts w:ascii="Times New Roman" w:hAnsi="Times New Roman" w:cs="Times New Roman"/>
          <w:sz w:val="28"/>
          <w:szCs w:val="28"/>
          <w:lang w:eastAsia="es-ES"/>
        </w:rPr>
        <w:t>E</w:t>
      </w:r>
      <w:r w:rsidRPr="00F2273F">
        <w:rPr>
          <w:rFonts w:ascii="Times New Roman" w:hAnsi="Times New Roman" w:cs="Times New Roman"/>
          <w:sz w:val="28"/>
          <w:szCs w:val="28"/>
          <w:lang w:eastAsia="es-ES"/>
        </w:rPr>
        <w:t>l principio de consecut</w:t>
      </w:r>
      <w:r w:rsidRPr="00F2273F">
        <w:rPr>
          <w:rFonts w:ascii="Times New Roman" w:hAnsi="Times New Roman" w:cs="Times New Roman"/>
          <w:sz w:val="28"/>
          <w:szCs w:val="28"/>
          <w:lang w:eastAsia="es-ES"/>
        </w:rPr>
        <w:t>i</w:t>
      </w:r>
      <w:r w:rsidRPr="00F2273F">
        <w:rPr>
          <w:rFonts w:ascii="Times New Roman" w:hAnsi="Times New Roman" w:cs="Times New Roman"/>
          <w:sz w:val="28"/>
          <w:szCs w:val="28"/>
          <w:lang w:eastAsia="es-ES"/>
        </w:rPr>
        <w:t>vidad no se satisface c</w:t>
      </w:r>
      <w:r w:rsidRPr="00F2273F">
        <w:rPr>
          <w:rFonts w:ascii="Times New Roman" w:hAnsi="Times New Roman" w:cs="Times New Roman"/>
          <w:sz w:val="28"/>
          <w:szCs w:val="28"/>
        </w:rPr>
        <w:t xml:space="preserve">on la mera </w:t>
      </w:r>
      <w:r w:rsidRPr="00F2273F">
        <w:rPr>
          <w:rFonts w:ascii="Times New Roman" w:hAnsi="Times New Roman" w:cs="Times New Roman"/>
          <w:i/>
          <w:iCs/>
          <w:sz w:val="28"/>
          <w:szCs w:val="28"/>
        </w:rPr>
        <w:t>votación</w:t>
      </w:r>
      <w:r w:rsidRPr="00F2273F">
        <w:rPr>
          <w:rFonts w:ascii="Times New Roman" w:hAnsi="Times New Roman" w:cs="Times New Roman"/>
          <w:sz w:val="28"/>
          <w:szCs w:val="28"/>
        </w:rPr>
        <w:t xml:space="preserve"> de un texto, sino que exige que las discrepancias sustanciales </w:t>
      </w:r>
      <w:r w:rsidRPr="00F2273F">
        <w:rPr>
          <w:rFonts w:ascii="Times New Roman" w:eastAsia="Times New Roman" w:hAnsi="Times New Roman" w:cs="Times New Roman"/>
          <w:sz w:val="28"/>
          <w:szCs w:val="28"/>
          <w:lang w:val="es-419" w:eastAsia="es-MX"/>
        </w:rPr>
        <w:t xml:space="preserve">planteadas por cualquier congresista sean </w:t>
      </w:r>
      <w:r w:rsidRPr="00F2273F">
        <w:rPr>
          <w:rFonts w:ascii="Times New Roman" w:eastAsia="Times New Roman" w:hAnsi="Times New Roman" w:cs="Times New Roman"/>
          <w:i/>
          <w:iCs/>
          <w:sz w:val="28"/>
          <w:szCs w:val="28"/>
          <w:lang w:val="es-419" w:eastAsia="es-MX"/>
        </w:rPr>
        <w:t>debatidas</w:t>
      </w:r>
      <w:r w:rsidRPr="00F2273F">
        <w:rPr>
          <w:rFonts w:ascii="Times New Roman" w:eastAsia="Times New Roman" w:hAnsi="Times New Roman" w:cs="Times New Roman"/>
          <w:sz w:val="28"/>
          <w:szCs w:val="28"/>
          <w:lang w:val="es-419" w:eastAsia="es-MX"/>
        </w:rPr>
        <w:t>, para no vulnerar el principio democr</w:t>
      </w:r>
      <w:r w:rsidRPr="00F2273F">
        <w:rPr>
          <w:rFonts w:ascii="Times New Roman" w:eastAsia="Times New Roman" w:hAnsi="Times New Roman" w:cs="Times New Roman"/>
          <w:sz w:val="28"/>
          <w:szCs w:val="28"/>
          <w:lang w:val="es-419" w:eastAsia="es-MX"/>
        </w:rPr>
        <w:t>á</w:t>
      </w:r>
      <w:r w:rsidRPr="00F2273F">
        <w:rPr>
          <w:rFonts w:ascii="Times New Roman" w:eastAsia="Times New Roman" w:hAnsi="Times New Roman" w:cs="Times New Roman"/>
          <w:sz w:val="28"/>
          <w:szCs w:val="28"/>
          <w:lang w:val="es-419" w:eastAsia="es-MX"/>
        </w:rPr>
        <w:t xml:space="preserve">tico, como </w:t>
      </w:r>
      <w:r w:rsidRPr="00F2273F">
        <w:rPr>
          <w:rFonts w:ascii="Times New Roman" w:eastAsia="Times New Roman" w:hAnsi="Times New Roman" w:cs="Times New Roman"/>
          <w:sz w:val="28"/>
          <w:szCs w:val="28"/>
          <w:lang w:val="es-419" w:eastAsia="es-MX"/>
        </w:rPr>
        <w:t xml:space="preserve">terminó ocurriendo </w:t>
      </w:r>
      <w:r w:rsidRPr="00F2273F">
        <w:rPr>
          <w:rFonts w:ascii="Times New Roman" w:eastAsia="Times New Roman" w:hAnsi="Times New Roman" w:cs="Times New Roman"/>
          <w:sz w:val="28"/>
          <w:szCs w:val="28"/>
          <w:lang w:val="es-419" w:eastAsia="es-MX"/>
        </w:rPr>
        <w:t xml:space="preserve">en este caso. </w:t>
      </w:r>
    </w:p>
    <w:p w:rsidR="006A4345" w:rsidRPr="00F2273F" w:rsidRDefault="00F2273F" w:rsidP="006A4345">
      <w:pPr>
        <w:pStyle w:val="Prrafodelista"/>
        <w:rPr>
          <w:rFonts w:ascii="Times New Roman" w:hAnsi="Times New Roman" w:cs="Times New Roman"/>
          <w:sz w:val="28"/>
          <w:szCs w:val="28"/>
          <w:lang w:eastAsia="es-ES"/>
        </w:rPr>
      </w:pPr>
    </w:p>
    <w:p w:rsidR="00754093" w:rsidRPr="00F2273F" w:rsidRDefault="00F2273F" w:rsidP="0062610E">
      <w:pPr>
        <w:pStyle w:val="Prrafodelista"/>
        <w:keepNext/>
        <w:numPr>
          <w:ilvl w:val="0"/>
          <w:numId w:val="3"/>
        </w:numPr>
        <w:shd w:val="clear" w:color="auto" w:fill="FFFFFF"/>
        <w:tabs>
          <w:tab w:val="left" w:pos="0"/>
        </w:tabs>
        <w:spacing w:after="0" w:line="240" w:lineRule="auto"/>
        <w:ind w:left="0" w:right="48" w:firstLine="0"/>
        <w:mirrorIndents/>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Como se expuso, los </w:t>
      </w:r>
      <w:r w:rsidRPr="00F2273F">
        <w:rPr>
          <w:rFonts w:ascii="Times New Roman" w:hAnsi="Times New Roman" w:cs="Times New Roman"/>
          <w:i/>
          <w:iCs/>
          <w:sz w:val="28"/>
          <w:szCs w:val="28"/>
          <w:lang w:eastAsia="es-ES"/>
        </w:rPr>
        <w:t xml:space="preserve">principios de consecutividad e identidad flexible en el PND </w:t>
      </w:r>
      <w:r w:rsidRPr="00F2273F">
        <w:rPr>
          <w:rFonts w:ascii="Times New Roman" w:hAnsi="Times New Roman" w:cs="Times New Roman"/>
          <w:sz w:val="28"/>
          <w:szCs w:val="28"/>
          <w:lang w:eastAsia="es-ES"/>
        </w:rPr>
        <w:t xml:space="preserve">exigen que la temática introducida </w:t>
      </w:r>
      <w:r w:rsidRPr="00F2273F">
        <w:rPr>
          <w:rFonts w:ascii="Times New Roman" w:hAnsi="Times New Roman" w:cs="Times New Roman"/>
          <w:sz w:val="28"/>
          <w:szCs w:val="28"/>
          <w:u w:val="single"/>
          <w:lang w:eastAsia="es-ES"/>
        </w:rPr>
        <w:t>guarde una relación material con el proyecto, con lo debatido y con lo aprobado en comisiones</w:t>
      </w:r>
      <w:r w:rsidRPr="00F2273F">
        <w:rPr>
          <w:rStyle w:val="Refdenotaalpie"/>
          <w:rFonts w:ascii="Times New Roman" w:hAnsi="Times New Roman" w:cs="Times New Roman"/>
          <w:sz w:val="28"/>
          <w:szCs w:val="28"/>
          <w:lang w:eastAsia="es-ES"/>
        </w:rPr>
        <w:footnoteReference w:id="129"/>
      </w:r>
      <w:r w:rsidRPr="00F2273F">
        <w:rPr>
          <w:rFonts w:ascii="Times New Roman" w:hAnsi="Times New Roman" w:cs="Times New Roman"/>
          <w:sz w:val="28"/>
          <w:szCs w:val="28"/>
          <w:lang w:eastAsia="es-ES"/>
        </w:rPr>
        <w:t>. De manera que, no puede predi</w:t>
      </w:r>
      <w:r w:rsidRPr="00F2273F">
        <w:rPr>
          <w:rFonts w:ascii="Times New Roman" w:hAnsi="Times New Roman" w:cs="Times New Roman"/>
          <w:sz w:val="28"/>
          <w:szCs w:val="28"/>
          <w:lang w:eastAsia="es-ES"/>
        </w:rPr>
        <w:t xml:space="preserve">carse tal vínculo material de las expresiones acusadas </w:t>
      </w:r>
      <w:r w:rsidRPr="00F2273F">
        <w:rPr>
          <w:rFonts w:ascii="Times New Roman" w:hAnsi="Times New Roman" w:cs="Times New Roman"/>
          <w:sz w:val="28"/>
          <w:szCs w:val="28"/>
          <w:lang w:eastAsia="es-ES"/>
        </w:rPr>
        <w:t>frente al</w:t>
      </w:r>
      <w:r w:rsidRPr="00F2273F">
        <w:rPr>
          <w:rFonts w:ascii="Times New Roman" w:hAnsi="Times New Roman" w:cs="Times New Roman"/>
          <w:sz w:val="28"/>
          <w:szCs w:val="28"/>
          <w:lang w:eastAsia="es-ES"/>
        </w:rPr>
        <w:t xml:space="preserve"> proyecto radicado y el debate surtido, pues su contenido y efectos </w:t>
      </w:r>
      <w:r w:rsidRPr="00F2273F">
        <w:rPr>
          <w:rFonts w:ascii="Times New Roman" w:hAnsi="Times New Roman" w:cs="Times New Roman"/>
          <w:sz w:val="28"/>
          <w:szCs w:val="28"/>
          <w:lang w:eastAsia="es-ES"/>
        </w:rPr>
        <w:t xml:space="preserve">no </w:t>
      </w:r>
      <w:r w:rsidRPr="00F2273F">
        <w:rPr>
          <w:rFonts w:ascii="Times New Roman" w:hAnsi="Times New Roman" w:cs="Times New Roman"/>
          <w:sz w:val="28"/>
          <w:szCs w:val="28"/>
          <w:lang w:eastAsia="es-ES"/>
        </w:rPr>
        <w:t>se consideraron a la luz del</w:t>
      </w:r>
      <w:r w:rsidRPr="00F2273F">
        <w:rPr>
          <w:rFonts w:ascii="Times New Roman" w:hAnsi="Times New Roman" w:cs="Times New Roman"/>
          <w:sz w:val="28"/>
          <w:szCs w:val="28"/>
          <w:lang w:eastAsia="es-ES"/>
        </w:rPr>
        <w:t xml:space="preserve"> texto original </w:t>
      </w:r>
      <w:r w:rsidRPr="00F2273F">
        <w:rPr>
          <w:rFonts w:ascii="Times New Roman" w:hAnsi="Times New Roman" w:cs="Times New Roman"/>
          <w:sz w:val="28"/>
          <w:szCs w:val="28"/>
          <w:lang w:eastAsia="es-ES"/>
        </w:rPr>
        <w:t>ni en</w:t>
      </w:r>
      <w:r w:rsidRPr="00F2273F">
        <w:rPr>
          <w:rFonts w:ascii="Times New Roman" w:hAnsi="Times New Roman" w:cs="Times New Roman"/>
          <w:sz w:val="28"/>
          <w:szCs w:val="28"/>
          <w:lang w:eastAsia="es-ES"/>
        </w:rPr>
        <w:t xml:space="preserve"> las discusiones que se llevaron a cabo </w:t>
      </w:r>
      <w:r w:rsidRPr="00F2273F">
        <w:rPr>
          <w:rFonts w:ascii="Times New Roman" w:hAnsi="Times New Roman" w:cs="Times New Roman"/>
          <w:sz w:val="28"/>
          <w:szCs w:val="28"/>
          <w:lang w:eastAsia="es-ES"/>
        </w:rPr>
        <w:t xml:space="preserve">en primer debate o en aquellas que se dieron </w:t>
      </w:r>
      <w:r w:rsidRPr="00F2273F">
        <w:rPr>
          <w:rFonts w:ascii="Times New Roman" w:hAnsi="Times New Roman" w:cs="Times New Roman"/>
          <w:sz w:val="28"/>
          <w:szCs w:val="28"/>
          <w:lang w:eastAsia="es-ES"/>
        </w:rPr>
        <w:t xml:space="preserve">con ocasión de un artículo </w:t>
      </w:r>
      <w:r w:rsidRPr="00F2273F">
        <w:rPr>
          <w:rFonts w:ascii="Times New Roman" w:hAnsi="Times New Roman" w:cs="Times New Roman"/>
          <w:sz w:val="28"/>
          <w:szCs w:val="28"/>
          <w:lang w:eastAsia="es-ES"/>
        </w:rPr>
        <w:t xml:space="preserve">diferente, que </w:t>
      </w:r>
      <w:r w:rsidRPr="00F2273F">
        <w:rPr>
          <w:rFonts w:ascii="Times New Roman" w:hAnsi="Times New Roman" w:cs="Times New Roman"/>
          <w:sz w:val="28"/>
          <w:szCs w:val="28"/>
          <w:lang w:eastAsia="es-ES"/>
        </w:rPr>
        <w:t xml:space="preserve">posteriormente </w:t>
      </w:r>
      <w:r w:rsidRPr="00F2273F">
        <w:rPr>
          <w:rFonts w:ascii="Times New Roman" w:hAnsi="Times New Roman" w:cs="Times New Roman"/>
          <w:sz w:val="28"/>
          <w:szCs w:val="28"/>
          <w:lang w:eastAsia="es-ES"/>
        </w:rPr>
        <w:t xml:space="preserve">fue </w:t>
      </w:r>
      <w:r w:rsidRPr="00F2273F">
        <w:rPr>
          <w:rFonts w:ascii="Times New Roman" w:hAnsi="Times New Roman" w:cs="Times New Roman"/>
          <w:sz w:val="28"/>
          <w:szCs w:val="28"/>
          <w:lang w:eastAsia="es-ES"/>
        </w:rPr>
        <w:t>eliminado.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En el contexto descrito, l</w:t>
      </w:r>
      <w:r w:rsidRPr="00F2273F">
        <w:rPr>
          <w:rFonts w:ascii="Times New Roman" w:hAnsi="Times New Roman" w:cs="Times New Roman"/>
          <w:sz w:val="28"/>
          <w:szCs w:val="28"/>
          <w:lang w:eastAsia="es-ES"/>
        </w:rPr>
        <w:t xml:space="preserve">as disposiciones </w:t>
      </w:r>
      <w:r w:rsidRPr="00F2273F">
        <w:rPr>
          <w:rFonts w:ascii="Times New Roman" w:hAnsi="Times New Roman" w:cs="Times New Roman"/>
          <w:sz w:val="28"/>
          <w:szCs w:val="28"/>
          <w:lang w:eastAsia="es-ES"/>
        </w:rPr>
        <w:t>acusada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terminan siendo </w:t>
      </w:r>
      <w:r w:rsidRPr="00F2273F">
        <w:rPr>
          <w:rFonts w:ascii="Times New Roman" w:hAnsi="Times New Roman" w:cs="Times New Roman"/>
          <w:sz w:val="28"/>
          <w:szCs w:val="28"/>
          <w:lang w:eastAsia="es-ES"/>
        </w:rPr>
        <w:t xml:space="preserve">un elemento extraño </w:t>
      </w:r>
      <w:r w:rsidRPr="00F2273F">
        <w:rPr>
          <w:rFonts w:ascii="Times New Roman" w:hAnsi="Times New Roman" w:cs="Times New Roman"/>
          <w:sz w:val="28"/>
          <w:szCs w:val="28"/>
          <w:lang w:eastAsia="es-ES"/>
        </w:rPr>
        <w:t xml:space="preserve">o novedoso </w:t>
      </w:r>
      <w:r w:rsidRPr="00F2273F">
        <w:rPr>
          <w:rFonts w:ascii="Times New Roman" w:hAnsi="Times New Roman" w:cs="Times New Roman"/>
          <w:sz w:val="28"/>
          <w:szCs w:val="28"/>
          <w:lang w:eastAsia="es-ES"/>
        </w:rPr>
        <w:t>al proyecto de ley del pla</w:t>
      </w:r>
      <w:r w:rsidRPr="00F2273F">
        <w:rPr>
          <w:rFonts w:ascii="Times New Roman" w:hAnsi="Times New Roman" w:cs="Times New Roman"/>
          <w:sz w:val="28"/>
          <w:szCs w:val="28"/>
          <w:lang w:eastAsia="es-ES"/>
        </w:rPr>
        <w:t>n, aunque tuvi</w:t>
      </w:r>
      <w:r w:rsidRPr="00F2273F">
        <w:rPr>
          <w:rFonts w:ascii="Times New Roman" w:hAnsi="Times New Roman" w:cs="Times New Roman"/>
          <w:sz w:val="28"/>
          <w:szCs w:val="28"/>
          <w:lang w:eastAsia="es-ES"/>
        </w:rPr>
        <w:t xml:space="preserve">eran cierta relación con el debate de la integración vertical en otros sectores, que no se refirieron a ISA y que no consideraron el impacto de la eliminación del artículo 197/218. </w:t>
      </w:r>
    </w:p>
    <w:p w:rsidR="00754093" w:rsidRPr="00F2273F" w:rsidRDefault="00F2273F" w:rsidP="00754093">
      <w:pPr>
        <w:pStyle w:val="Prrafodelista"/>
        <w:rPr>
          <w:rFonts w:ascii="Times New Roman" w:hAnsi="Times New Roman" w:cs="Times New Roman"/>
          <w:sz w:val="28"/>
          <w:szCs w:val="28"/>
          <w:lang w:eastAsia="es-ES"/>
        </w:rPr>
      </w:pPr>
    </w:p>
    <w:p w:rsidR="00C8662C" w:rsidRPr="00F2273F" w:rsidRDefault="00F2273F" w:rsidP="00C8662C">
      <w:pPr>
        <w:pStyle w:val="Prrafodelista"/>
        <w:keepNext/>
        <w:numPr>
          <w:ilvl w:val="0"/>
          <w:numId w:val="3"/>
        </w:numPr>
        <w:shd w:val="clear" w:color="auto" w:fill="FFFFFF"/>
        <w:tabs>
          <w:tab w:val="left" w:pos="0"/>
        </w:tabs>
        <w:spacing w:after="0" w:line="240" w:lineRule="auto"/>
        <w:ind w:left="0" w:right="48" w:firstLine="0"/>
        <w:mirrorIndents/>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En conclusión, se constató que las expresiones acusadas </w:t>
      </w:r>
      <w:r w:rsidRPr="00F2273F">
        <w:rPr>
          <w:rFonts w:ascii="Times New Roman" w:hAnsi="Times New Roman" w:cs="Times New Roman"/>
          <w:sz w:val="28"/>
          <w:szCs w:val="28"/>
          <w:lang w:eastAsia="es-ES"/>
        </w:rPr>
        <w:t xml:space="preserve">solo </w:t>
      </w:r>
      <w:r w:rsidRPr="00F2273F">
        <w:rPr>
          <w:rFonts w:ascii="Times New Roman" w:hAnsi="Times New Roman" w:cs="Times New Roman"/>
          <w:sz w:val="28"/>
          <w:szCs w:val="28"/>
          <w:lang w:eastAsia="es-ES"/>
        </w:rPr>
        <w:t xml:space="preserve">fueron </w:t>
      </w:r>
      <w:r w:rsidRPr="00F2273F">
        <w:rPr>
          <w:rFonts w:ascii="Times New Roman" w:hAnsi="Times New Roman" w:cs="Times New Roman"/>
          <w:sz w:val="28"/>
          <w:szCs w:val="28"/>
          <w:lang w:eastAsia="es-ES"/>
        </w:rPr>
        <w:t>introducidas en el segundo debate del proceso legislativo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que no fueron debatidas y que no se consideró el impacto de la eliminación de un artículo del proyecto de ley radicado en el Congreso de la República en su operatividad. En este contexto, se tratab</w:t>
      </w:r>
      <w:r w:rsidRPr="00F2273F">
        <w:rPr>
          <w:rFonts w:ascii="Times New Roman" w:hAnsi="Times New Roman" w:cs="Times New Roman"/>
          <w:sz w:val="28"/>
          <w:szCs w:val="28"/>
          <w:lang w:eastAsia="es-ES"/>
        </w:rPr>
        <w:t xml:space="preserve">a de </w:t>
      </w:r>
      <w:r w:rsidRPr="00F2273F">
        <w:rPr>
          <w:rFonts w:ascii="Times New Roman" w:hAnsi="Times New Roman" w:cs="Times New Roman"/>
          <w:sz w:val="28"/>
          <w:szCs w:val="28"/>
          <w:lang w:eastAsia="es-ES"/>
        </w:rPr>
        <w:t xml:space="preserve">materias separables del contenido previsto en el artículo 197/218 – finalmente no aprobado-, </w:t>
      </w:r>
      <w:r w:rsidRPr="00F2273F">
        <w:rPr>
          <w:rFonts w:ascii="Times New Roman" w:hAnsi="Times New Roman" w:cs="Times New Roman"/>
          <w:sz w:val="28"/>
          <w:szCs w:val="28"/>
          <w:lang w:eastAsia="es-ES"/>
        </w:rPr>
        <w:t xml:space="preserve">que no solo era aplicable a ISA. Además, en el debate </w:t>
      </w:r>
      <w:r w:rsidRPr="00F2273F">
        <w:rPr>
          <w:rFonts w:ascii="Times New Roman" w:hAnsi="Times New Roman" w:cs="Times New Roman"/>
          <w:sz w:val="28"/>
          <w:szCs w:val="28"/>
          <w:lang w:eastAsia="es-ES"/>
        </w:rPr>
        <w:t xml:space="preserve">se privó conscientemente la discusión sobre </w:t>
      </w:r>
      <w:r w:rsidRPr="00F2273F">
        <w:rPr>
          <w:rFonts w:ascii="Times New Roman" w:hAnsi="Times New Roman" w:cs="Times New Roman"/>
          <w:sz w:val="28"/>
          <w:szCs w:val="28"/>
          <w:lang w:eastAsia="es-ES"/>
        </w:rPr>
        <w:t xml:space="preserve">la </w:t>
      </w:r>
      <w:r w:rsidRPr="00F2273F">
        <w:rPr>
          <w:rFonts w:ascii="Times New Roman" w:hAnsi="Times New Roman" w:cs="Times New Roman"/>
          <w:sz w:val="28"/>
          <w:szCs w:val="28"/>
          <w:lang w:eastAsia="es-ES"/>
        </w:rPr>
        <w:t>incoherencias</w:t>
      </w:r>
      <w:r w:rsidRPr="00F2273F">
        <w:rPr>
          <w:rFonts w:ascii="Times New Roman" w:hAnsi="Times New Roman" w:cs="Times New Roman"/>
          <w:sz w:val="28"/>
          <w:szCs w:val="28"/>
          <w:lang w:eastAsia="es-ES"/>
        </w:rPr>
        <w:t xml:space="preserve"> de eliminar el artículo sobre integración vertical </w:t>
      </w:r>
      <w:r w:rsidRPr="00F2273F">
        <w:rPr>
          <w:rFonts w:ascii="Times New Roman" w:hAnsi="Times New Roman" w:cs="Times New Roman"/>
          <w:sz w:val="28"/>
          <w:szCs w:val="28"/>
          <w:lang w:eastAsia="es-ES"/>
        </w:rPr>
        <w:t xml:space="preserve">por el Senado y la subsistencia de una disposición que hacía inoperante el levantamiento de la prohibición. Todo ello da cuenta del desconocimiento del principio de consecutividad </w:t>
      </w:r>
      <w:r w:rsidRPr="00F2273F">
        <w:rPr>
          <w:rFonts w:ascii="Times New Roman" w:hAnsi="Times New Roman" w:cs="Times New Roman"/>
          <w:sz w:val="28"/>
          <w:szCs w:val="28"/>
          <w:lang w:eastAsia="es-ES"/>
        </w:rPr>
        <w:t>y</w:t>
      </w:r>
      <w:r w:rsidRPr="00F2273F">
        <w:rPr>
          <w:rFonts w:ascii="Times New Roman" w:hAnsi="Times New Roman" w:cs="Times New Roman"/>
          <w:sz w:val="28"/>
          <w:szCs w:val="28"/>
          <w:lang w:eastAsia="es-ES"/>
        </w:rPr>
        <w:t xml:space="preserve"> de identidad flexible.</w:t>
      </w:r>
      <w:r w:rsidRPr="00F2273F">
        <w:rPr>
          <w:rFonts w:ascii="Times New Roman" w:hAnsi="Times New Roman" w:cs="Times New Roman"/>
          <w:sz w:val="28"/>
          <w:szCs w:val="28"/>
          <w:lang w:eastAsia="es-ES"/>
        </w:rPr>
        <w:t xml:space="preserve"> </w:t>
      </w:r>
    </w:p>
    <w:p w:rsidR="00BD42A9" w:rsidRPr="00F2273F" w:rsidRDefault="00F2273F" w:rsidP="00BD42A9">
      <w:pPr>
        <w:pStyle w:val="Prrafodelista"/>
        <w:keepNext/>
        <w:shd w:val="clear" w:color="auto" w:fill="FFFFFF"/>
        <w:tabs>
          <w:tab w:val="left" w:pos="0"/>
        </w:tabs>
        <w:spacing w:after="0" w:line="240" w:lineRule="auto"/>
        <w:ind w:left="0" w:right="48"/>
        <w:mirrorIndents/>
        <w:jc w:val="both"/>
        <w:textAlignment w:val="baseline"/>
        <w:rPr>
          <w:rFonts w:ascii="Times New Roman" w:hAnsi="Times New Roman" w:cs="Times New Roman"/>
          <w:sz w:val="28"/>
          <w:szCs w:val="28"/>
          <w:lang w:eastAsia="es-ES"/>
        </w:rPr>
      </w:pPr>
    </w:p>
    <w:p w:rsidR="001649AF" w:rsidRPr="00F2273F" w:rsidRDefault="00F2273F" w:rsidP="00464B12">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b/>
          <w:bCs/>
          <w:sz w:val="28"/>
          <w:szCs w:val="28"/>
          <w:u w:val="single"/>
          <w:lang w:eastAsia="es-ES"/>
        </w:rPr>
      </w:pPr>
      <w:r w:rsidRPr="00F2273F">
        <w:rPr>
          <w:rFonts w:ascii="Times New Roman" w:eastAsia="Arial Unicode MS" w:hAnsi="Times New Roman" w:cs="Times New Roman"/>
          <w:b/>
          <w:bCs/>
          <w:sz w:val="28"/>
          <w:szCs w:val="28"/>
          <w:u w:color="000000"/>
          <w:bdr w:val="nil"/>
          <w:lang w:val="es-MX"/>
        </w:rPr>
        <w:t xml:space="preserve">Segundo cargo: </w:t>
      </w:r>
      <w:r w:rsidRPr="00F2273F">
        <w:rPr>
          <w:rFonts w:ascii="Times New Roman" w:hAnsi="Times New Roman" w:cs="Times New Roman"/>
          <w:b/>
          <w:bCs/>
          <w:sz w:val="28"/>
          <w:szCs w:val="28"/>
          <w:lang w:eastAsia="es-ES"/>
        </w:rPr>
        <w:t xml:space="preserve">las derogatorias del </w:t>
      </w:r>
      <w:r w:rsidRPr="00F2273F">
        <w:rPr>
          <w:rFonts w:ascii="Times New Roman" w:hAnsi="Times New Roman" w:cs="Times New Roman"/>
          <w:b/>
          <w:bCs/>
          <w:iCs/>
          <w:sz w:val="28"/>
          <w:szCs w:val="28"/>
        </w:rPr>
        <w:t>parágrafo 3 del artículo 167 de la Ley 142 de 1994 y del parágrafo 3 del artículo 32 de la Ley 134 de 1994, ordenadas por el artículo 372 de la Ley 2294, desconocen el principio de unidad de materia</w:t>
      </w:r>
    </w:p>
    <w:p w:rsidR="001649AF" w:rsidRPr="00F2273F" w:rsidRDefault="00F2273F" w:rsidP="001649AF">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b/>
          <w:bCs/>
          <w:sz w:val="28"/>
          <w:szCs w:val="28"/>
          <w:u w:val="single"/>
          <w:lang w:eastAsia="es-ES"/>
        </w:rPr>
      </w:pPr>
    </w:p>
    <w:p w:rsidR="00545E65" w:rsidRPr="00F2273F" w:rsidRDefault="00F2273F" w:rsidP="00545E65">
      <w:pPr>
        <w:pStyle w:val="Sinespaciado"/>
        <w:numPr>
          <w:ilvl w:val="0"/>
          <w:numId w:val="3"/>
        </w:numPr>
        <w:ind w:left="0" w:firstLine="0"/>
        <w:jc w:val="both"/>
        <w:rPr>
          <w:rFonts w:ascii="Times New Roman" w:hAnsi="Times New Roman" w:cs="Times New Roman"/>
          <w:sz w:val="28"/>
          <w:szCs w:val="28"/>
          <w:lang w:eastAsia="es-ES"/>
        </w:rPr>
      </w:pPr>
      <w:r w:rsidRPr="00F2273F">
        <w:rPr>
          <w:rFonts w:ascii="Times New Roman" w:hAnsi="Times New Roman" w:cs="Times New Roman"/>
          <w:sz w:val="28"/>
          <w:szCs w:val="28"/>
          <w:lang w:eastAsia="es-ES"/>
        </w:rPr>
        <w:t>La</w:t>
      </w:r>
      <w:r w:rsidRPr="00F2273F">
        <w:rPr>
          <w:rFonts w:ascii="Times New Roman" w:hAnsi="Times New Roman" w:cs="Times New Roman"/>
          <w:sz w:val="28"/>
          <w:szCs w:val="28"/>
          <w:lang w:eastAsia="es-ES"/>
        </w:rPr>
        <w:t xml:space="preserve"> Sala se pronun</w:t>
      </w:r>
      <w:r w:rsidRPr="00F2273F">
        <w:rPr>
          <w:rFonts w:ascii="Times New Roman" w:hAnsi="Times New Roman" w:cs="Times New Roman"/>
          <w:sz w:val="28"/>
          <w:szCs w:val="28"/>
          <w:lang w:eastAsia="es-ES"/>
        </w:rPr>
        <w:t xml:space="preserve">ciará sobre el segundo cargo a pesar de que </w:t>
      </w:r>
      <w:r w:rsidRPr="00F2273F">
        <w:rPr>
          <w:rFonts w:ascii="Times New Roman" w:hAnsi="Times New Roman" w:cs="Times New Roman"/>
          <w:sz w:val="28"/>
          <w:szCs w:val="28"/>
          <w:lang w:eastAsia="es-ES"/>
        </w:rPr>
        <w:t>la primera censura</w:t>
      </w:r>
      <w:r w:rsidRPr="00F2273F">
        <w:rPr>
          <w:rFonts w:ascii="Times New Roman" w:hAnsi="Times New Roman" w:cs="Times New Roman"/>
          <w:sz w:val="28"/>
          <w:szCs w:val="28"/>
          <w:lang w:eastAsia="es-ES"/>
        </w:rPr>
        <w:t xml:space="preserve"> prosperó</w:t>
      </w:r>
      <w:r w:rsidRPr="00F2273F">
        <w:rPr>
          <w:rFonts w:ascii="Times New Roman" w:hAnsi="Times New Roman" w:cs="Times New Roman"/>
          <w:sz w:val="28"/>
          <w:szCs w:val="28"/>
          <w:lang w:eastAsia="es-ES"/>
        </w:rPr>
        <w:t xml:space="preserve">. Esto, </w:t>
      </w:r>
      <w:r w:rsidRPr="00F2273F">
        <w:rPr>
          <w:rFonts w:ascii="Times New Roman" w:hAnsi="Times New Roman" w:cs="Times New Roman"/>
          <w:sz w:val="28"/>
          <w:szCs w:val="28"/>
          <w:lang w:eastAsia="es-ES"/>
        </w:rPr>
        <w:t xml:space="preserve">en consideración </w:t>
      </w:r>
      <w:r w:rsidRPr="00F2273F">
        <w:rPr>
          <w:rFonts w:ascii="Times New Roman" w:hAnsi="Times New Roman" w:cs="Times New Roman"/>
          <w:sz w:val="28"/>
          <w:szCs w:val="28"/>
          <w:lang w:eastAsia="es-ES"/>
        </w:rPr>
        <w:t xml:space="preserve">a </w:t>
      </w:r>
      <w:r w:rsidRPr="00F2273F">
        <w:rPr>
          <w:rFonts w:ascii="Times New Roman" w:hAnsi="Times New Roman" w:cs="Times New Roman"/>
          <w:sz w:val="28"/>
          <w:szCs w:val="28"/>
        </w:rPr>
        <w:t>la cercanía conceptual que en este caso concreto tienen la identidad flexible y la unidad de materia,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pues las dos instituciones </w:t>
      </w:r>
      <w:r w:rsidRPr="00F2273F">
        <w:rPr>
          <w:rFonts w:ascii="Times New Roman" w:hAnsi="Times New Roman" w:cs="Times New Roman"/>
          <w:sz w:val="28"/>
          <w:szCs w:val="28"/>
        </w:rPr>
        <w:t xml:space="preserve">presentan elementos comunes. </w:t>
      </w:r>
      <w:r w:rsidRPr="00F2273F">
        <w:rPr>
          <w:rFonts w:ascii="Times New Roman" w:hAnsi="Times New Roman" w:cs="Times New Roman"/>
          <w:sz w:val="28"/>
          <w:szCs w:val="28"/>
        </w:rPr>
        <w:t>Además,</w:t>
      </w:r>
      <w:r w:rsidRPr="00F2273F">
        <w:rPr>
          <w:rFonts w:ascii="Times New Roman" w:hAnsi="Times New Roman" w:cs="Times New Roman"/>
          <w:sz w:val="28"/>
          <w:szCs w:val="28"/>
        </w:rPr>
        <w:t xml:space="preserve"> el pronunciamiento </w:t>
      </w:r>
      <w:r w:rsidRPr="00F2273F">
        <w:rPr>
          <w:rFonts w:ascii="Times New Roman" w:hAnsi="Times New Roman" w:cs="Times New Roman"/>
          <w:sz w:val="28"/>
          <w:szCs w:val="28"/>
        </w:rPr>
        <w:t xml:space="preserve">sobre este cargo </w:t>
      </w:r>
      <w:r w:rsidRPr="00F2273F">
        <w:rPr>
          <w:rFonts w:ascii="Times New Roman" w:hAnsi="Times New Roman" w:cs="Times New Roman"/>
          <w:sz w:val="28"/>
          <w:szCs w:val="28"/>
        </w:rPr>
        <w:t xml:space="preserve">está justificado en casos precedentes en los que la Corte </w:t>
      </w:r>
      <w:r w:rsidRPr="00F2273F">
        <w:rPr>
          <w:rFonts w:ascii="Times New Roman" w:hAnsi="Times New Roman" w:cs="Times New Roman"/>
          <w:sz w:val="28"/>
          <w:szCs w:val="28"/>
        </w:rPr>
        <w:t xml:space="preserve">Constitucional </w:t>
      </w:r>
      <w:r w:rsidRPr="00F2273F">
        <w:rPr>
          <w:rFonts w:ascii="Times New Roman" w:hAnsi="Times New Roman" w:cs="Times New Roman"/>
          <w:sz w:val="28"/>
          <w:szCs w:val="28"/>
        </w:rPr>
        <w:t xml:space="preserve">ha analizado el </w:t>
      </w:r>
      <w:r w:rsidRPr="00F2273F">
        <w:rPr>
          <w:rFonts w:ascii="Times New Roman" w:hAnsi="Times New Roman" w:cs="Times New Roman"/>
          <w:sz w:val="28"/>
          <w:szCs w:val="28"/>
        </w:rPr>
        <w:t xml:space="preserve">cuestionamiento </w:t>
      </w:r>
      <w:r w:rsidRPr="00F2273F">
        <w:rPr>
          <w:rFonts w:ascii="Times New Roman" w:hAnsi="Times New Roman" w:cs="Times New Roman"/>
          <w:sz w:val="28"/>
          <w:szCs w:val="28"/>
        </w:rPr>
        <w:t xml:space="preserve">por violación </w:t>
      </w:r>
      <w:r w:rsidRPr="00F2273F">
        <w:rPr>
          <w:rFonts w:ascii="Times New Roman" w:hAnsi="Times New Roman" w:cs="Times New Roman"/>
          <w:sz w:val="28"/>
          <w:szCs w:val="28"/>
        </w:rPr>
        <w:t>de la</w:t>
      </w:r>
      <w:r w:rsidRPr="00F2273F">
        <w:rPr>
          <w:rFonts w:ascii="Times New Roman" w:hAnsi="Times New Roman" w:cs="Times New Roman"/>
          <w:sz w:val="28"/>
          <w:szCs w:val="28"/>
        </w:rPr>
        <w:t xml:space="preserve"> unidad de materia</w:t>
      </w:r>
      <w:r w:rsidRPr="00F2273F">
        <w:rPr>
          <w:rFonts w:ascii="Times New Roman" w:hAnsi="Times New Roman" w:cs="Times New Roman"/>
          <w:sz w:val="28"/>
          <w:szCs w:val="28"/>
        </w:rPr>
        <w:t xml:space="preserve"> a pesar de la prosperidad del </w:t>
      </w:r>
      <w:r w:rsidRPr="00F2273F">
        <w:rPr>
          <w:rFonts w:ascii="Times New Roman" w:hAnsi="Times New Roman" w:cs="Times New Roman"/>
          <w:sz w:val="28"/>
          <w:szCs w:val="28"/>
        </w:rPr>
        <w:t>cargo por consecutividad</w:t>
      </w:r>
      <w:r w:rsidRPr="00F2273F">
        <w:rPr>
          <w:rFonts w:ascii="Times New Roman" w:hAnsi="Times New Roman" w:cs="Times New Roman"/>
          <w:sz w:val="28"/>
          <w:szCs w:val="28"/>
        </w:rPr>
        <w:t>, tal y como oc</w:t>
      </w:r>
      <w:r w:rsidRPr="00F2273F">
        <w:rPr>
          <w:rFonts w:ascii="Times New Roman" w:hAnsi="Times New Roman" w:cs="Times New Roman"/>
          <w:sz w:val="28"/>
          <w:szCs w:val="28"/>
        </w:rPr>
        <w:t>urrió en la</w:t>
      </w:r>
      <w:r w:rsidRPr="00F2273F">
        <w:rPr>
          <w:rFonts w:ascii="Times New Roman" w:hAnsi="Times New Roman" w:cs="Times New Roman"/>
          <w:sz w:val="28"/>
          <w:szCs w:val="28"/>
        </w:rPr>
        <w:t>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sentencias </w:t>
      </w:r>
      <w:r w:rsidRPr="00F2273F">
        <w:rPr>
          <w:rFonts w:ascii="Times New Roman" w:hAnsi="Times New Roman" w:cs="Times New Roman"/>
          <w:sz w:val="28"/>
          <w:szCs w:val="28"/>
        </w:rPr>
        <w:t>C-489 de 2024 y C-119 de 2025</w:t>
      </w:r>
      <w:r w:rsidRPr="00F2273F">
        <w:rPr>
          <w:rFonts w:ascii="Times New Roman" w:hAnsi="Times New Roman" w:cs="Times New Roman"/>
          <w:sz w:val="28"/>
          <w:szCs w:val="28"/>
        </w:rPr>
        <w:t>; ello</w:t>
      </w:r>
      <w:r w:rsidRPr="00F2273F">
        <w:rPr>
          <w:rFonts w:ascii="Times New Roman" w:hAnsi="Times New Roman" w:cs="Times New Roman"/>
          <w:sz w:val="28"/>
          <w:szCs w:val="28"/>
        </w:rPr>
        <w:t xml:space="preserve"> además por razones de pedagogía constitucional, en orden a contribuir al entendimiento sobre el alcance de la unidad de materia, especialmente en asuntos referidos a leyes del plan nacional de des</w:t>
      </w:r>
      <w:r w:rsidRPr="00F2273F">
        <w:rPr>
          <w:rFonts w:ascii="Times New Roman" w:hAnsi="Times New Roman" w:cs="Times New Roman"/>
          <w:sz w:val="28"/>
          <w:szCs w:val="28"/>
        </w:rPr>
        <w:t>arrollo</w:t>
      </w:r>
      <w:r w:rsidRPr="00F2273F">
        <w:rPr>
          <w:rFonts w:ascii="Times New Roman" w:hAnsi="Times New Roman" w:cs="Times New Roman"/>
          <w:sz w:val="28"/>
          <w:szCs w:val="28"/>
        </w:rPr>
        <w:t xml:space="preserve">. </w:t>
      </w:r>
    </w:p>
    <w:p w:rsidR="00545E65" w:rsidRPr="00F2273F" w:rsidRDefault="00F2273F" w:rsidP="00545E65">
      <w:pPr>
        <w:pStyle w:val="Sinespaciado"/>
        <w:jc w:val="both"/>
        <w:rPr>
          <w:rFonts w:ascii="Times New Roman" w:hAnsi="Times New Roman" w:cs="Times New Roman"/>
          <w:sz w:val="28"/>
          <w:szCs w:val="28"/>
          <w:lang w:eastAsia="es-ES"/>
        </w:rPr>
      </w:pPr>
    </w:p>
    <w:p w:rsidR="00C86F9E" w:rsidRPr="00F2273F" w:rsidRDefault="00F2273F" w:rsidP="00545E65">
      <w:pPr>
        <w:pStyle w:val="Sinespaciado"/>
        <w:numPr>
          <w:ilvl w:val="0"/>
          <w:numId w:val="3"/>
        </w:numPr>
        <w:ind w:left="0" w:firstLine="0"/>
        <w:jc w:val="both"/>
        <w:rPr>
          <w:rFonts w:ascii="Times New Roman" w:hAnsi="Times New Roman" w:cs="Times New Roman"/>
          <w:sz w:val="28"/>
          <w:szCs w:val="28"/>
          <w:lang w:eastAsia="es-ES"/>
        </w:rPr>
      </w:pPr>
      <w:r w:rsidRPr="00F2273F">
        <w:rPr>
          <w:rFonts w:ascii="Times New Roman" w:hAnsi="Times New Roman" w:cs="Times New Roman"/>
          <w:sz w:val="28"/>
          <w:szCs w:val="28"/>
        </w:rPr>
        <w:t xml:space="preserve">En estos términos, la Sala procede a analizar el </w:t>
      </w:r>
      <w:r w:rsidRPr="00F2273F">
        <w:rPr>
          <w:rFonts w:ascii="Times New Roman" w:hAnsi="Times New Roman" w:cs="Times New Roman"/>
          <w:sz w:val="28"/>
          <w:szCs w:val="28"/>
        </w:rPr>
        <w:t xml:space="preserve">segundo </w:t>
      </w:r>
      <w:r w:rsidRPr="00F2273F">
        <w:rPr>
          <w:rFonts w:ascii="Times New Roman" w:hAnsi="Times New Roman" w:cs="Times New Roman"/>
          <w:sz w:val="28"/>
          <w:szCs w:val="28"/>
        </w:rPr>
        <w:t xml:space="preserve">cargo </w:t>
      </w:r>
      <w:r w:rsidRPr="00F2273F">
        <w:rPr>
          <w:rFonts w:ascii="Times New Roman" w:hAnsi="Times New Roman" w:cs="Times New Roman"/>
          <w:sz w:val="28"/>
          <w:szCs w:val="28"/>
        </w:rPr>
        <w:t>dando aplicación a</w:t>
      </w:r>
      <w:r w:rsidRPr="00F2273F">
        <w:rPr>
          <w:rFonts w:ascii="Times New Roman" w:hAnsi="Times New Roman" w:cs="Times New Roman"/>
          <w:sz w:val="28"/>
          <w:szCs w:val="28"/>
        </w:rPr>
        <w:t xml:space="preserve"> la metodología unificada </w:t>
      </w:r>
      <w:r w:rsidRPr="00F2273F">
        <w:rPr>
          <w:rFonts w:ascii="Times New Roman" w:hAnsi="Times New Roman" w:cs="Times New Roman"/>
          <w:sz w:val="28"/>
          <w:szCs w:val="28"/>
        </w:rPr>
        <w:t>en la Sentencia C-244 de 2025</w:t>
      </w:r>
      <w:r w:rsidRPr="00F2273F">
        <w:rPr>
          <w:rFonts w:ascii="Times New Roman" w:hAnsi="Times New Roman" w:cs="Times New Roman"/>
          <w:sz w:val="28"/>
          <w:szCs w:val="28"/>
        </w:rPr>
        <w:t>, para lo cual</w:t>
      </w:r>
      <w:r w:rsidRPr="00F2273F">
        <w:rPr>
          <w:rFonts w:ascii="Times New Roman" w:hAnsi="Times New Roman" w:cs="Times New Roman"/>
          <w:sz w:val="28"/>
          <w:szCs w:val="28"/>
        </w:rPr>
        <w:t xml:space="preserve"> </w:t>
      </w:r>
      <w:r w:rsidRPr="00F2273F">
        <w:rPr>
          <w:rFonts w:ascii="Times New Roman" w:hAnsi="Times New Roman" w:cs="Times New Roman"/>
          <w:sz w:val="28"/>
          <w:szCs w:val="28"/>
          <w:lang w:eastAsia="es-ES"/>
        </w:rPr>
        <w:t xml:space="preserve">determinará la intensidad del test (fase 1) y luego </w:t>
      </w:r>
      <w:r w:rsidRPr="00F2273F">
        <w:rPr>
          <w:rFonts w:ascii="Times New Roman" w:hAnsi="Times New Roman" w:cs="Times New Roman"/>
          <w:sz w:val="28"/>
          <w:szCs w:val="28"/>
          <w:lang w:eastAsia="es-ES"/>
        </w:rPr>
        <w:t xml:space="preserve">lo </w:t>
      </w:r>
      <w:r w:rsidRPr="00F2273F">
        <w:rPr>
          <w:rFonts w:ascii="Times New Roman" w:hAnsi="Times New Roman" w:cs="Times New Roman"/>
          <w:sz w:val="28"/>
          <w:szCs w:val="28"/>
          <w:lang w:eastAsia="es-ES"/>
        </w:rPr>
        <w:t>aplicará a la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disposiciones </w:t>
      </w:r>
      <w:r w:rsidRPr="00F2273F">
        <w:rPr>
          <w:rFonts w:ascii="Times New Roman" w:hAnsi="Times New Roman" w:cs="Times New Roman"/>
          <w:sz w:val="28"/>
          <w:szCs w:val="28"/>
          <w:lang w:eastAsia="es-ES"/>
        </w:rPr>
        <w:t>acusada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(fase 2).</w:t>
      </w:r>
    </w:p>
    <w:p w:rsidR="00C86F9E" w:rsidRPr="00F2273F" w:rsidRDefault="00F2273F" w:rsidP="00C86F9E">
      <w:pPr>
        <w:pStyle w:val="Sinespaciado"/>
        <w:jc w:val="both"/>
        <w:rPr>
          <w:rFonts w:ascii="Times New Roman" w:hAnsi="Times New Roman" w:cs="Times New Roman"/>
          <w:sz w:val="28"/>
          <w:szCs w:val="28"/>
        </w:rPr>
      </w:pPr>
    </w:p>
    <w:p w:rsidR="005D3024" w:rsidRPr="00F2273F" w:rsidRDefault="00F2273F" w:rsidP="00C86F9E">
      <w:pPr>
        <w:pStyle w:val="Sinespaciado"/>
        <w:numPr>
          <w:ilvl w:val="0"/>
          <w:numId w:val="3"/>
        </w:numPr>
        <w:ind w:left="0" w:firstLine="0"/>
        <w:jc w:val="both"/>
        <w:rPr>
          <w:rFonts w:ascii="Times New Roman" w:hAnsi="Times New Roman" w:cs="Times New Roman"/>
          <w:sz w:val="28"/>
          <w:szCs w:val="28"/>
        </w:rPr>
      </w:pPr>
      <w:r w:rsidRPr="00F2273F">
        <w:rPr>
          <w:rFonts w:ascii="Times New Roman" w:hAnsi="Times New Roman" w:cs="Times New Roman"/>
          <w:sz w:val="28"/>
          <w:szCs w:val="28"/>
          <w:lang w:eastAsia="es-ES"/>
        </w:rPr>
        <w:t xml:space="preserve">En este caso, el test debe ser </w:t>
      </w:r>
      <w:r w:rsidRPr="00F2273F">
        <w:rPr>
          <w:rFonts w:ascii="Times New Roman" w:hAnsi="Times New Roman" w:cs="Times New Roman"/>
          <w:i/>
          <w:iCs/>
          <w:sz w:val="28"/>
          <w:szCs w:val="28"/>
          <w:lang w:eastAsia="es-ES"/>
        </w:rPr>
        <w:t>estricto</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porque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la vigencia de </w:t>
      </w:r>
      <w:r w:rsidRPr="00F2273F">
        <w:rPr>
          <w:rFonts w:ascii="Times New Roman" w:hAnsi="Times New Roman" w:cs="Times New Roman"/>
          <w:sz w:val="28"/>
          <w:szCs w:val="28"/>
          <w:lang w:eastAsia="es-ES"/>
        </w:rPr>
        <w:t xml:space="preserve">los enunciados </w:t>
      </w:r>
      <w:r w:rsidRPr="00F2273F">
        <w:rPr>
          <w:rFonts w:ascii="Times New Roman" w:hAnsi="Times New Roman" w:cs="Times New Roman"/>
          <w:sz w:val="28"/>
          <w:szCs w:val="28"/>
          <w:lang w:eastAsia="es-ES"/>
        </w:rPr>
        <w:t xml:space="preserve">normativos </w:t>
      </w:r>
      <w:r w:rsidRPr="00F2273F">
        <w:rPr>
          <w:rFonts w:ascii="Times New Roman" w:hAnsi="Times New Roman" w:cs="Times New Roman"/>
          <w:sz w:val="28"/>
          <w:szCs w:val="28"/>
          <w:lang w:eastAsia="es-ES"/>
        </w:rPr>
        <w:t xml:space="preserve">acusados exceden el lapso cuatrienal propio del PND e </w:t>
      </w:r>
      <w:r w:rsidRPr="00F2273F">
        <w:rPr>
          <w:rFonts w:ascii="Times New Roman" w:hAnsi="Times New Roman" w:cs="Times New Roman"/>
          <w:sz w:val="28"/>
          <w:szCs w:val="28"/>
          <w:lang w:eastAsia="es-ES"/>
        </w:rPr>
        <w:t xml:space="preserve">implican una modificación de normas legales adoptadas por el legislador en ejercicio de sus </w:t>
      </w:r>
      <w:r w:rsidRPr="00F2273F">
        <w:rPr>
          <w:rFonts w:ascii="Times New Roman" w:hAnsi="Times New Roman" w:cs="Times New Roman"/>
          <w:sz w:val="28"/>
          <w:szCs w:val="28"/>
          <w:lang w:eastAsia="es-ES"/>
        </w:rPr>
        <w:t>competencias constitucionales</w:t>
      </w:r>
      <w:r w:rsidRPr="00F2273F">
        <w:rPr>
          <w:rFonts w:ascii="Times New Roman" w:hAnsi="Times New Roman" w:cs="Times New Roman"/>
          <w:sz w:val="28"/>
          <w:szCs w:val="28"/>
          <w:lang w:eastAsia="es-ES"/>
        </w:rPr>
        <w:t xml:space="preserve"> ordinarias</w:t>
      </w:r>
      <w:r w:rsidRPr="00F2273F">
        <w:rPr>
          <w:rFonts w:ascii="Times New Roman" w:hAnsi="Times New Roman" w:cs="Times New Roman"/>
          <w:sz w:val="28"/>
          <w:szCs w:val="28"/>
          <w:lang w:eastAsia="es-ES"/>
        </w:rPr>
        <w:t xml:space="preserve">, por lo </w:t>
      </w:r>
      <w:r w:rsidRPr="00F2273F">
        <w:rPr>
          <w:rFonts w:ascii="Times New Roman" w:hAnsi="Times New Roman" w:cs="Times New Roman"/>
          <w:sz w:val="28"/>
          <w:szCs w:val="28"/>
          <w:lang w:eastAsia="es-ES"/>
        </w:rPr>
        <w:t xml:space="preserve">que </w:t>
      </w:r>
      <w:r w:rsidRPr="00F2273F">
        <w:rPr>
          <w:rFonts w:ascii="Times New Roman" w:hAnsi="Times New Roman" w:cs="Times New Roman"/>
          <w:sz w:val="28"/>
          <w:szCs w:val="28"/>
          <w:lang w:eastAsia="es-ES"/>
        </w:rPr>
        <w:t xml:space="preserve">tienen </w:t>
      </w:r>
      <w:r w:rsidRPr="00F2273F">
        <w:rPr>
          <w:rFonts w:ascii="Times New Roman" w:hAnsi="Times New Roman" w:cs="Times New Roman"/>
          <w:sz w:val="28"/>
          <w:szCs w:val="28"/>
          <w:lang w:eastAsia="es-ES"/>
        </w:rPr>
        <w:t>una vocación de permane</w:t>
      </w:r>
      <w:r w:rsidRPr="00F2273F">
        <w:rPr>
          <w:rFonts w:ascii="Times New Roman" w:hAnsi="Times New Roman" w:cs="Times New Roman"/>
          <w:sz w:val="28"/>
          <w:szCs w:val="28"/>
          <w:lang w:eastAsia="es-ES"/>
        </w:rPr>
        <w:t>n</w:t>
      </w:r>
      <w:r w:rsidRPr="00F2273F">
        <w:rPr>
          <w:rFonts w:ascii="Times New Roman" w:hAnsi="Times New Roman" w:cs="Times New Roman"/>
          <w:sz w:val="28"/>
          <w:szCs w:val="28"/>
          <w:lang w:eastAsia="es-ES"/>
        </w:rPr>
        <w:t>cia</w:t>
      </w:r>
      <w:r w:rsidRPr="00F2273F">
        <w:rPr>
          <w:rFonts w:ascii="Times New Roman" w:hAnsi="Times New Roman" w:cs="Times New Roman"/>
          <w:sz w:val="28"/>
          <w:szCs w:val="28"/>
          <w:lang w:eastAsia="es-ES"/>
        </w:rPr>
        <w:t>, como se muestra en el siguiente cuadro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p>
    <w:p w:rsidR="005D3024" w:rsidRPr="00F2273F" w:rsidRDefault="00F2273F" w:rsidP="005D3024">
      <w:pPr>
        <w:pStyle w:val="Prrafodelista"/>
        <w:shd w:val="clear" w:color="auto" w:fill="FFFFFF"/>
        <w:spacing w:after="0" w:line="240" w:lineRule="auto"/>
        <w:ind w:left="0" w:right="48"/>
        <w:jc w:val="both"/>
        <w:textAlignment w:val="baseline"/>
        <w:rPr>
          <w:rFonts w:ascii="Times New Roman" w:hAnsi="Times New Roman" w:cs="Times New Roman"/>
          <w:sz w:val="28"/>
          <w:szCs w:val="24"/>
          <w:lang w:eastAsia="es-ES"/>
        </w:rPr>
      </w:pPr>
    </w:p>
    <w:p w:rsidR="001649AF" w:rsidRPr="00F2273F" w:rsidRDefault="00F2273F" w:rsidP="001649AF">
      <w:pPr>
        <w:pStyle w:val="Prrafodelista"/>
        <w:keepNext/>
        <w:spacing w:after="0" w:line="240" w:lineRule="auto"/>
        <w:ind w:left="0"/>
        <w:mirrorIndents/>
        <w:jc w:val="center"/>
        <w:rPr>
          <w:rFonts w:ascii="Times New Roman" w:hAnsi="Times New Roman" w:cs="Times New Roman"/>
          <w:i/>
          <w:iCs/>
          <w:sz w:val="28"/>
          <w:szCs w:val="24"/>
          <w:lang w:eastAsia="es-ES"/>
        </w:rPr>
      </w:pPr>
      <w:r w:rsidRPr="00F2273F">
        <w:rPr>
          <w:rFonts w:ascii="Times New Roman" w:hAnsi="Times New Roman" w:cs="Times New Roman"/>
          <w:b/>
          <w:bCs/>
          <w:sz w:val="28"/>
          <w:szCs w:val="24"/>
          <w:lang w:eastAsia="es-ES"/>
        </w:rPr>
        <w:t xml:space="preserve">Tabla </w:t>
      </w:r>
      <w:r w:rsidRPr="00F2273F">
        <w:rPr>
          <w:rFonts w:ascii="Times New Roman" w:hAnsi="Times New Roman" w:cs="Times New Roman"/>
          <w:b/>
          <w:bCs/>
          <w:sz w:val="28"/>
          <w:szCs w:val="24"/>
          <w:lang w:eastAsia="es-ES"/>
        </w:rPr>
        <w:t>10</w:t>
      </w:r>
      <w:r w:rsidRPr="00F2273F">
        <w:rPr>
          <w:rFonts w:ascii="Times New Roman" w:hAnsi="Times New Roman" w:cs="Times New Roman"/>
          <w:b/>
          <w:bCs/>
          <w:sz w:val="28"/>
          <w:szCs w:val="24"/>
          <w:lang w:eastAsia="es-ES"/>
        </w:rPr>
        <w:t>.</w:t>
      </w:r>
      <w:r w:rsidRPr="00F2273F">
        <w:rPr>
          <w:rFonts w:ascii="Times New Roman" w:hAnsi="Times New Roman" w:cs="Times New Roman"/>
          <w:i/>
          <w:iCs/>
          <w:sz w:val="28"/>
          <w:szCs w:val="24"/>
          <w:lang w:eastAsia="es-ES"/>
        </w:rPr>
        <w:t xml:space="preserve"> Determinación de la intensidad del test </w:t>
      </w:r>
    </w:p>
    <w:tbl>
      <w:tblPr>
        <w:tblStyle w:val="Tablaconcuadrcula"/>
        <w:tblW w:w="0" w:type="auto"/>
        <w:jc w:val="center"/>
        <w:tblLook w:val="04A0" w:firstRow="1" w:lastRow="0" w:firstColumn="1" w:lastColumn="0" w:noHBand="0" w:noVBand="1"/>
      </w:tblPr>
      <w:tblGrid>
        <w:gridCol w:w="518"/>
        <w:gridCol w:w="2454"/>
        <w:gridCol w:w="5856"/>
      </w:tblGrid>
      <w:tr w:rsidR="00974547" w:rsidRPr="00F2273F" w:rsidTr="009A7E03">
        <w:trPr>
          <w:jc w:val="center"/>
        </w:trPr>
        <w:tc>
          <w:tcPr>
            <w:tcW w:w="518" w:type="dxa"/>
            <w:shd w:val="clear" w:color="auto" w:fill="B4C6E7" w:themeFill="accent1" w:themeFillTint="66"/>
            <w:textDirection w:val="btLr"/>
          </w:tcPr>
          <w:p w:rsidR="001649AF" w:rsidRPr="00F2273F" w:rsidRDefault="00F2273F" w:rsidP="009A7E03">
            <w:pPr>
              <w:ind w:left="113" w:right="113"/>
              <w:jc w:val="center"/>
              <w:rPr>
                <w:b/>
                <w:bCs/>
                <w:sz w:val="28"/>
                <w:szCs w:val="22"/>
              </w:rPr>
            </w:pPr>
          </w:p>
        </w:tc>
        <w:tc>
          <w:tcPr>
            <w:tcW w:w="2454" w:type="dxa"/>
            <w:shd w:val="clear" w:color="auto" w:fill="B4C6E7" w:themeFill="accent1" w:themeFillTint="66"/>
          </w:tcPr>
          <w:p w:rsidR="001649AF" w:rsidRPr="00F2273F" w:rsidRDefault="00F2273F" w:rsidP="009A7E03">
            <w:pPr>
              <w:jc w:val="center"/>
              <w:rPr>
                <w:b/>
                <w:bCs/>
                <w:sz w:val="28"/>
                <w:szCs w:val="22"/>
                <w:lang w:val="es-ES_tradnl"/>
              </w:rPr>
            </w:pPr>
            <w:r w:rsidRPr="00F2273F">
              <w:rPr>
                <w:b/>
                <w:bCs/>
                <w:sz w:val="28"/>
                <w:szCs w:val="22"/>
                <w:lang w:val="es-ES_tradnl"/>
              </w:rPr>
              <w:t>Criterio</w:t>
            </w:r>
          </w:p>
        </w:tc>
        <w:tc>
          <w:tcPr>
            <w:tcW w:w="5856" w:type="dxa"/>
            <w:shd w:val="clear" w:color="auto" w:fill="B4C6E7" w:themeFill="accent1" w:themeFillTint="66"/>
          </w:tcPr>
          <w:p w:rsidR="001649AF" w:rsidRPr="00F2273F" w:rsidRDefault="00F2273F" w:rsidP="009A7E03">
            <w:pPr>
              <w:jc w:val="center"/>
              <w:rPr>
                <w:b/>
                <w:bCs/>
                <w:sz w:val="28"/>
                <w:szCs w:val="22"/>
              </w:rPr>
            </w:pPr>
            <w:r w:rsidRPr="00F2273F">
              <w:rPr>
                <w:b/>
                <w:bCs/>
                <w:sz w:val="28"/>
                <w:szCs w:val="22"/>
              </w:rPr>
              <w:t>Análisis</w:t>
            </w:r>
          </w:p>
        </w:tc>
      </w:tr>
      <w:tr w:rsidR="00974547" w:rsidRPr="00F2273F" w:rsidTr="009A7E03">
        <w:trPr>
          <w:jc w:val="center"/>
        </w:trPr>
        <w:tc>
          <w:tcPr>
            <w:tcW w:w="518" w:type="dxa"/>
            <w:vMerge w:val="restart"/>
            <w:shd w:val="clear" w:color="auto" w:fill="B4C6E7" w:themeFill="accent1" w:themeFillTint="66"/>
            <w:textDirection w:val="btLr"/>
          </w:tcPr>
          <w:p w:rsidR="001649AF" w:rsidRPr="00F2273F" w:rsidRDefault="00F2273F" w:rsidP="009A7E03">
            <w:pPr>
              <w:ind w:left="113" w:right="113"/>
              <w:jc w:val="center"/>
              <w:rPr>
                <w:b/>
                <w:bCs/>
                <w:sz w:val="28"/>
                <w:szCs w:val="22"/>
              </w:rPr>
            </w:pPr>
            <w:r w:rsidRPr="00F2273F">
              <w:rPr>
                <w:b/>
                <w:bCs/>
                <w:sz w:val="28"/>
                <w:szCs w:val="22"/>
              </w:rPr>
              <w:t>FASE I</w:t>
            </w:r>
          </w:p>
        </w:tc>
        <w:tc>
          <w:tcPr>
            <w:tcW w:w="2454" w:type="dxa"/>
            <w:vAlign w:val="center"/>
          </w:tcPr>
          <w:p w:rsidR="001649AF" w:rsidRPr="00F2273F" w:rsidRDefault="00F2273F" w:rsidP="009A7E03">
            <w:pPr>
              <w:jc w:val="center"/>
              <w:rPr>
                <w:sz w:val="28"/>
                <w:szCs w:val="22"/>
              </w:rPr>
            </w:pPr>
            <w:r w:rsidRPr="00F2273F">
              <w:rPr>
                <w:sz w:val="28"/>
                <w:szCs w:val="22"/>
              </w:rPr>
              <w:t>Contenido de la medida</w:t>
            </w:r>
          </w:p>
        </w:tc>
        <w:tc>
          <w:tcPr>
            <w:tcW w:w="5856" w:type="dxa"/>
            <w:vAlign w:val="center"/>
          </w:tcPr>
          <w:p w:rsidR="001649AF" w:rsidRPr="00F2273F" w:rsidRDefault="00F2273F" w:rsidP="009A7E03">
            <w:pPr>
              <w:jc w:val="both"/>
              <w:rPr>
                <w:sz w:val="28"/>
                <w:szCs w:val="22"/>
              </w:rPr>
            </w:pPr>
            <w:r w:rsidRPr="00F2273F">
              <w:rPr>
                <w:sz w:val="28"/>
                <w:szCs w:val="22"/>
              </w:rPr>
              <w:t>Como se explicó, la</w:t>
            </w:r>
            <w:r w:rsidRPr="00F2273F">
              <w:rPr>
                <w:sz w:val="28"/>
                <w:szCs w:val="22"/>
              </w:rPr>
              <w:t>s</w:t>
            </w:r>
            <w:r w:rsidRPr="00F2273F">
              <w:rPr>
                <w:sz w:val="28"/>
                <w:szCs w:val="22"/>
              </w:rPr>
              <w:t xml:space="preserve"> derogatoria</w:t>
            </w:r>
            <w:r w:rsidRPr="00F2273F">
              <w:rPr>
                <w:sz w:val="28"/>
                <w:szCs w:val="22"/>
              </w:rPr>
              <w:t>s</w:t>
            </w:r>
            <w:r w:rsidRPr="00F2273F">
              <w:rPr>
                <w:sz w:val="28"/>
                <w:szCs w:val="22"/>
              </w:rPr>
              <w:t xml:space="preserve"> demandada</w:t>
            </w:r>
            <w:r w:rsidRPr="00F2273F">
              <w:rPr>
                <w:sz w:val="28"/>
                <w:szCs w:val="22"/>
              </w:rPr>
              <w:t>s</w:t>
            </w:r>
            <w:r w:rsidRPr="00F2273F">
              <w:rPr>
                <w:sz w:val="28"/>
                <w:szCs w:val="22"/>
              </w:rPr>
              <w:t xml:space="preserve"> y contenida</w:t>
            </w:r>
            <w:r w:rsidRPr="00F2273F">
              <w:rPr>
                <w:sz w:val="28"/>
                <w:szCs w:val="22"/>
              </w:rPr>
              <w:t>s</w:t>
            </w:r>
            <w:r w:rsidRPr="00F2273F">
              <w:rPr>
                <w:sz w:val="28"/>
                <w:szCs w:val="22"/>
              </w:rPr>
              <w:t xml:space="preserve"> en el artículo 372 de la Ley 2294 de 2023 </w:t>
            </w:r>
            <w:r w:rsidRPr="00F2273F">
              <w:rPr>
                <w:sz w:val="28"/>
                <w:szCs w:val="22"/>
              </w:rPr>
              <w:t xml:space="preserve">ordenaron </w:t>
            </w:r>
            <w:r w:rsidRPr="00F2273F">
              <w:rPr>
                <w:sz w:val="28"/>
                <w:szCs w:val="22"/>
              </w:rPr>
              <w:t>la supresión de una prohibición legal expresa contenida en el parágrafo 3° del artículo 167 y en el parágrafo 3° del artículo 32 de las leyes 142 y 143 de 1994, respe</w:t>
            </w:r>
            <w:r w:rsidRPr="00F2273F">
              <w:rPr>
                <w:sz w:val="28"/>
                <w:szCs w:val="22"/>
              </w:rPr>
              <w:t xml:space="preserve">ctivamente. Con </w:t>
            </w:r>
            <w:r w:rsidRPr="00F2273F">
              <w:rPr>
                <w:sz w:val="28"/>
                <w:szCs w:val="22"/>
              </w:rPr>
              <w:t xml:space="preserve">dichas </w:t>
            </w:r>
            <w:r w:rsidRPr="00F2273F">
              <w:rPr>
                <w:sz w:val="28"/>
                <w:szCs w:val="22"/>
              </w:rPr>
              <w:t>derogatoria</w:t>
            </w:r>
            <w:r w:rsidRPr="00F2273F">
              <w:rPr>
                <w:sz w:val="28"/>
                <w:szCs w:val="22"/>
              </w:rPr>
              <w:t>s</w:t>
            </w:r>
            <w:r w:rsidRPr="00F2273F">
              <w:rPr>
                <w:sz w:val="28"/>
                <w:szCs w:val="22"/>
              </w:rPr>
              <w:t xml:space="preserve"> </w:t>
            </w:r>
            <w:r w:rsidRPr="00F2273F">
              <w:rPr>
                <w:sz w:val="28"/>
                <w:szCs w:val="22"/>
              </w:rPr>
              <w:t>se pretendía</w:t>
            </w:r>
            <w:r w:rsidRPr="00F2273F">
              <w:rPr>
                <w:sz w:val="28"/>
                <w:szCs w:val="22"/>
              </w:rPr>
              <w:t xml:space="preserve"> </w:t>
            </w:r>
            <w:r w:rsidRPr="00F2273F">
              <w:rPr>
                <w:sz w:val="28"/>
                <w:szCs w:val="22"/>
              </w:rPr>
              <w:t>la</w:t>
            </w:r>
            <w:r w:rsidRPr="00F2273F">
              <w:rPr>
                <w:sz w:val="28"/>
                <w:szCs w:val="22"/>
              </w:rPr>
              <w:t xml:space="preserve"> integración vertical de las actividades de generación y transmisión para que la empresa ISA </w:t>
            </w:r>
            <w:r w:rsidRPr="00F2273F">
              <w:rPr>
                <w:sz w:val="28"/>
                <w:szCs w:val="22"/>
              </w:rPr>
              <w:t xml:space="preserve">pudiera </w:t>
            </w:r>
            <w:r w:rsidRPr="00F2273F">
              <w:rPr>
                <w:sz w:val="28"/>
                <w:szCs w:val="22"/>
              </w:rPr>
              <w:t>participar en el mercado de la generación de energía.</w:t>
            </w:r>
          </w:p>
        </w:tc>
      </w:tr>
      <w:tr w:rsidR="00974547" w:rsidRPr="00F2273F" w:rsidTr="009A7E03">
        <w:trPr>
          <w:jc w:val="center"/>
        </w:trPr>
        <w:tc>
          <w:tcPr>
            <w:tcW w:w="518" w:type="dxa"/>
            <w:vMerge/>
            <w:shd w:val="clear" w:color="auto" w:fill="B4C6E7" w:themeFill="accent1" w:themeFillTint="66"/>
          </w:tcPr>
          <w:p w:rsidR="001649AF" w:rsidRPr="00F2273F" w:rsidRDefault="00F2273F" w:rsidP="009A7E03">
            <w:pPr>
              <w:jc w:val="center"/>
              <w:rPr>
                <w:b/>
                <w:bCs/>
                <w:sz w:val="28"/>
                <w:szCs w:val="22"/>
              </w:rPr>
            </w:pPr>
          </w:p>
        </w:tc>
        <w:tc>
          <w:tcPr>
            <w:tcW w:w="2454" w:type="dxa"/>
            <w:vAlign w:val="center"/>
          </w:tcPr>
          <w:p w:rsidR="001649AF" w:rsidRPr="00F2273F" w:rsidRDefault="00F2273F" w:rsidP="009A7E03">
            <w:pPr>
              <w:jc w:val="center"/>
              <w:rPr>
                <w:sz w:val="28"/>
                <w:szCs w:val="22"/>
              </w:rPr>
            </w:pPr>
            <w:r w:rsidRPr="00F2273F">
              <w:rPr>
                <w:sz w:val="28"/>
                <w:szCs w:val="22"/>
                <w:lang w:val="es-ES_tradnl"/>
              </w:rPr>
              <w:t>Temporalidad de la disposición demandada</w:t>
            </w:r>
          </w:p>
        </w:tc>
        <w:tc>
          <w:tcPr>
            <w:tcW w:w="5856" w:type="dxa"/>
            <w:vAlign w:val="center"/>
          </w:tcPr>
          <w:p w:rsidR="001649AF" w:rsidRPr="00F2273F" w:rsidRDefault="00F2273F" w:rsidP="00F400DE">
            <w:pPr>
              <w:pStyle w:val="Prrafodelista"/>
              <w:shd w:val="clear" w:color="auto" w:fill="FFFFFF"/>
              <w:ind w:left="0" w:right="48"/>
              <w:jc w:val="both"/>
              <w:textAlignment w:val="baseline"/>
              <w:rPr>
                <w:sz w:val="28"/>
                <w:szCs w:val="22"/>
              </w:rPr>
            </w:pPr>
            <w:r w:rsidRPr="00F2273F">
              <w:rPr>
                <w:sz w:val="28"/>
                <w:szCs w:val="22"/>
              </w:rPr>
              <w:t xml:space="preserve">Los </w:t>
            </w:r>
            <w:r w:rsidRPr="00F2273F">
              <w:rPr>
                <w:sz w:val="28"/>
                <w:szCs w:val="22"/>
              </w:rPr>
              <w:t xml:space="preserve">parágrafos derogados hacían parte de las leyes 142 y 143 de 1994, que fueron proferidas por el legislador en uso de sus competencias constitucionales ordinarias por lo que, en consecuencia, su modificación tiene clara vocación de permanencia. Esto, porque </w:t>
            </w:r>
            <w:r w:rsidRPr="00F2273F">
              <w:rPr>
                <w:sz w:val="28"/>
                <w:szCs w:val="22"/>
              </w:rPr>
              <w:t>eliminar la prohibición</w:t>
            </w:r>
            <w:r w:rsidRPr="00F2273F">
              <w:rPr>
                <w:sz w:val="28"/>
                <w:szCs w:val="22"/>
              </w:rPr>
              <w:t xml:space="preserve">, </w:t>
            </w:r>
            <w:r w:rsidRPr="00F2273F">
              <w:rPr>
                <w:sz w:val="28"/>
                <w:szCs w:val="22"/>
              </w:rPr>
              <w:t>según la cual ISA, como empresa encargada del servicio de interconexión nacional, no podía integrarse en otros eslabones de la cadena de prestación del servicio de energía eléctrica, comporta un mandato cuya aplicación excede el la</w:t>
            </w:r>
            <w:r w:rsidRPr="00F2273F">
              <w:rPr>
                <w:sz w:val="28"/>
                <w:szCs w:val="22"/>
              </w:rPr>
              <w:t xml:space="preserve">pso cuatrienal del plan nacional de desarrollo. Por consiguiente, por medio de la ley del plan se varió, de manera permanente, el diseño y la estructura que el legislador dispuso para la prestación del aludido servicio. </w:t>
            </w:r>
          </w:p>
        </w:tc>
      </w:tr>
    </w:tbl>
    <w:p w:rsidR="001649AF" w:rsidRPr="00F2273F" w:rsidRDefault="00F2273F" w:rsidP="001649AF">
      <w:pPr>
        <w:spacing w:line="240" w:lineRule="auto"/>
        <w:rPr>
          <w:rFonts w:ascii="Times New Roman" w:hAnsi="Times New Roman" w:cs="Times New Roman"/>
          <w:sz w:val="28"/>
        </w:rPr>
      </w:pPr>
    </w:p>
    <w:p w:rsidR="001649AF" w:rsidRPr="00F2273F" w:rsidRDefault="00F2273F" w:rsidP="001649AF">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sz w:val="28"/>
          <w:szCs w:val="28"/>
        </w:rPr>
        <w:t>Dicho esto, se advierte que la co</w:t>
      </w:r>
      <w:r w:rsidRPr="00F2273F">
        <w:rPr>
          <w:rFonts w:ascii="Times New Roman" w:hAnsi="Times New Roman" w:cs="Times New Roman"/>
          <w:sz w:val="28"/>
          <w:szCs w:val="28"/>
        </w:rPr>
        <w:t>nformidad con la unidad de materia se analizará bajo una intensidad estricta</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para agotar la fase II del juicio</w:t>
      </w:r>
      <w:r w:rsidRPr="00F2273F">
        <w:rPr>
          <w:rFonts w:ascii="Times New Roman" w:hAnsi="Times New Roman" w:cs="Times New Roman"/>
          <w:sz w:val="28"/>
          <w:szCs w:val="28"/>
        </w:rPr>
        <w:t>. A</w:t>
      </w:r>
      <w:r w:rsidRPr="00F2273F">
        <w:rPr>
          <w:rFonts w:ascii="Times New Roman" w:hAnsi="Times New Roman" w:cs="Times New Roman"/>
          <w:sz w:val="28"/>
          <w:szCs w:val="28"/>
        </w:rPr>
        <w:t xml:space="preserve"> continuación</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la Sala </w:t>
      </w:r>
      <w:r w:rsidRPr="00F2273F">
        <w:rPr>
          <w:rFonts w:ascii="Times New Roman" w:hAnsi="Times New Roman" w:cs="Times New Roman"/>
          <w:sz w:val="28"/>
          <w:szCs w:val="28"/>
        </w:rPr>
        <w:t xml:space="preserve">procederá a </w:t>
      </w:r>
      <w:r w:rsidRPr="00F2273F">
        <w:rPr>
          <w:rFonts w:ascii="Times New Roman" w:hAnsi="Times New Roman" w:cs="Times New Roman"/>
          <w:sz w:val="28"/>
          <w:szCs w:val="28"/>
        </w:rPr>
        <w:t>realiza</w:t>
      </w:r>
      <w:r w:rsidRPr="00F2273F">
        <w:rPr>
          <w:rFonts w:ascii="Times New Roman" w:hAnsi="Times New Roman" w:cs="Times New Roman"/>
          <w:sz w:val="28"/>
          <w:szCs w:val="28"/>
        </w:rPr>
        <w:t>r</w:t>
      </w:r>
      <w:r w:rsidRPr="00F2273F">
        <w:rPr>
          <w:rFonts w:ascii="Times New Roman" w:hAnsi="Times New Roman" w:cs="Times New Roman"/>
          <w:sz w:val="28"/>
          <w:szCs w:val="28"/>
        </w:rPr>
        <w:t xml:space="preserve"> el examen correspondiente. </w:t>
      </w:r>
    </w:p>
    <w:p w:rsidR="001649AF" w:rsidRPr="00F2273F" w:rsidRDefault="00F2273F" w:rsidP="001649AF">
      <w:pPr>
        <w:pStyle w:val="Prrafodelista"/>
        <w:spacing w:after="0" w:line="240" w:lineRule="auto"/>
        <w:ind w:left="0" w:right="49"/>
        <w:jc w:val="both"/>
        <w:rPr>
          <w:rFonts w:ascii="Times New Roman" w:hAnsi="Times New Roman" w:cs="Times New Roman"/>
          <w:sz w:val="28"/>
          <w:szCs w:val="28"/>
        </w:rPr>
      </w:pPr>
    </w:p>
    <w:p w:rsidR="00AA0D3A" w:rsidRPr="00F2273F" w:rsidRDefault="00F2273F" w:rsidP="00545E65">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i/>
          <w:iCs/>
          <w:sz w:val="28"/>
          <w:szCs w:val="28"/>
          <w:u w:val="single"/>
        </w:rPr>
        <w:t>Primera etapa</w:t>
      </w:r>
      <w:r w:rsidRPr="00F2273F">
        <w:rPr>
          <w:rFonts w:ascii="Times New Roman" w:hAnsi="Times New Roman" w:cs="Times New Roman"/>
          <w:i/>
          <w:iCs/>
          <w:sz w:val="28"/>
          <w:szCs w:val="28"/>
        </w:rPr>
        <w:t xml:space="preserve">. </w:t>
      </w:r>
      <w:r w:rsidRPr="00F2273F">
        <w:rPr>
          <w:rFonts w:ascii="Times New Roman" w:hAnsi="Times New Roman" w:cs="Times New Roman"/>
          <w:sz w:val="28"/>
          <w:szCs w:val="28"/>
        </w:rPr>
        <w:t xml:space="preserve">En esta el juez constitucional debe establecer la ubicación y </w:t>
      </w:r>
      <w:r w:rsidRPr="00F2273F">
        <w:rPr>
          <w:rFonts w:ascii="Times New Roman" w:hAnsi="Times New Roman" w:cs="Times New Roman"/>
          <w:sz w:val="28"/>
          <w:szCs w:val="28"/>
        </w:rPr>
        <w:t xml:space="preserve">el </w:t>
      </w:r>
      <w:r w:rsidRPr="00F2273F">
        <w:rPr>
          <w:rFonts w:ascii="Times New Roman" w:hAnsi="Times New Roman" w:cs="Times New Roman"/>
          <w:sz w:val="28"/>
          <w:szCs w:val="28"/>
        </w:rPr>
        <w:t>alcance de la disposición demandada en la ley del plan para definir si se trata de una norma instrumental</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Encuentra </w:t>
      </w:r>
      <w:r w:rsidRPr="00F2273F">
        <w:rPr>
          <w:rFonts w:ascii="Times New Roman" w:hAnsi="Times New Roman" w:cs="Times New Roman"/>
          <w:sz w:val="28"/>
          <w:szCs w:val="28"/>
        </w:rPr>
        <w:t xml:space="preserve">la Sala </w:t>
      </w:r>
      <w:r w:rsidRPr="00F2273F">
        <w:rPr>
          <w:rFonts w:ascii="Times New Roman" w:hAnsi="Times New Roman" w:cs="Times New Roman"/>
          <w:sz w:val="28"/>
          <w:szCs w:val="28"/>
        </w:rPr>
        <w:t xml:space="preserve">que </w:t>
      </w:r>
      <w:r w:rsidRPr="00F2273F">
        <w:rPr>
          <w:rFonts w:ascii="Times New Roman" w:hAnsi="Times New Roman" w:cs="Times New Roman"/>
          <w:sz w:val="28"/>
          <w:szCs w:val="28"/>
        </w:rPr>
        <w:t>las expresiones acusadas están ubicadas en el artículo 372, de</w:t>
      </w:r>
      <w:r w:rsidRPr="00F2273F">
        <w:rPr>
          <w:rFonts w:ascii="Times New Roman" w:hAnsi="Times New Roman" w:cs="Times New Roman"/>
          <w:sz w:val="28"/>
          <w:szCs w:val="28"/>
        </w:rPr>
        <w:t>nominado vigencias y derogatorias de la Ley 2294 de 2023, por la cual se expide el Plan Nacional de Desarrollo 2022-2026 “Colombia Potencia Mundial de la Vida”.</w:t>
      </w:r>
    </w:p>
    <w:p w:rsidR="005332E0" w:rsidRPr="00F2273F" w:rsidRDefault="00F2273F" w:rsidP="009E69B9">
      <w:pPr>
        <w:pStyle w:val="Prrafodelista"/>
        <w:spacing w:after="0" w:line="240" w:lineRule="auto"/>
        <w:ind w:left="0" w:right="49"/>
        <w:jc w:val="both"/>
        <w:rPr>
          <w:rFonts w:ascii="Times New Roman" w:hAnsi="Times New Roman" w:cs="Times New Roman"/>
          <w:sz w:val="28"/>
          <w:szCs w:val="28"/>
        </w:rPr>
      </w:pPr>
      <w:r w:rsidRPr="00F2273F">
        <w:rPr>
          <w:rFonts w:ascii="Times New Roman" w:hAnsi="Times New Roman" w:cs="Times New Roman"/>
          <w:sz w:val="28"/>
          <w:szCs w:val="28"/>
        </w:rPr>
        <w:t xml:space="preserve"> </w:t>
      </w:r>
    </w:p>
    <w:p w:rsidR="005E4D84" w:rsidRPr="00F2273F" w:rsidRDefault="00F2273F" w:rsidP="005332E0">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bCs/>
          <w:sz w:val="28"/>
          <w:szCs w:val="28"/>
          <w:lang w:val="es-ES_tradnl"/>
        </w:rPr>
        <w:t>Sobre el artículo 372 de la Ley 2294 de 2023, la Sentencia C-119 de 2025, al analizar la cláu</w:t>
      </w:r>
      <w:r w:rsidRPr="00F2273F">
        <w:rPr>
          <w:rFonts w:ascii="Times New Roman" w:hAnsi="Times New Roman" w:cs="Times New Roman"/>
          <w:bCs/>
          <w:sz w:val="28"/>
          <w:szCs w:val="28"/>
          <w:lang w:val="es-ES_tradnl"/>
        </w:rPr>
        <w:t>sula de derogatorias del plan nacional de desarrollo</w:t>
      </w:r>
      <w:r w:rsidRPr="00F2273F">
        <w:rPr>
          <w:rFonts w:ascii="Times New Roman" w:hAnsi="Times New Roman" w:cs="Times New Roman"/>
          <w:bCs/>
          <w:sz w:val="28"/>
          <w:szCs w:val="28"/>
          <w:lang w:val="es-ES_tradnl"/>
        </w:rPr>
        <w:t>,</w:t>
      </w:r>
      <w:r w:rsidRPr="00F2273F">
        <w:rPr>
          <w:rFonts w:ascii="Times New Roman" w:hAnsi="Times New Roman" w:cs="Times New Roman"/>
          <w:bCs/>
          <w:sz w:val="28"/>
          <w:szCs w:val="28"/>
          <w:lang w:val="es-ES_tradnl"/>
        </w:rPr>
        <w:t xml:space="preserve"> encontró que </w:t>
      </w:r>
      <w:r w:rsidRPr="00F2273F">
        <w:rPr>
          <w:rFonts w:ascii="Times New Roman" w:hAnsi="Times New Roman" w:cs="Times New Roman"/>
          <w:sz w:val="28"/>
          <w:szCs w:val="28"/>
          <w:lang w:val="es-ES_tradnl"/>
        </w:rPr>
        <w:t xml:space="preserve">por su ubicación y alcance aquella es una norma de carácter instrumental </w:t>
      </w:r>
      <w:r w:rsidRPr="00F2273F">
        <w:rPr>
          <w:rFonts w:ascii="Times New Roman" w:hAnsi="Times New Roman" w:cs="Times New Roman"/>
          <w:i/>
          <w:iCs/>
          <w:sz w:val="28"/>
          <w:szCs w:val="28"/>
          <w:lang w:val="es-ES_tradnl"/>
        </w:rPr>
        <w:t>prima facie</w:t>
      </w:r>
      <w:r w:rsidRPr="00F2273F">
        <w:rPr>
          <w:rFonts w:ascii="Times New Roman" w:hAnsi="Times New Roman" w:cs="Times New Roman"/>
          <w:sz w:val="28"/>
          <w:szCs w:val="28"/>
          <w:lang w:val="es-ES_tradnl"/>
        </w:rPr>
        <w:t xml:space="preserve">, dado que integra el título correspondiente a los mecanismos de ejecución del plan. En ese misma </w:t>
      </w:r>
      <w:r w:rsidRPr="00F2273F">
        <w:rPr>
          <w:rFonts w:ascii="Times New Roman" w:hAnsi="Times New Roman" w:cs="Times New Roman"/>
          <w:sz w:val="28"/>
          <w:szCs w:val="28"/>
          <w:lang w:val="es-ES_tradnl"/>
        </w:rPr>
        <w:t>providencia se advirtió que dicho artículo es una norma constitutiva y</w:t>
      </w:r>
      <w:r w:rsidRPr="00F2273F">
        <w:rPr>
          <w:rFonts w:ascii="Times New Roman" w:hAnsi="Times New Roman" w:cs="Times New Roman"/>
          <w:sz w:val="28"/>
          <w:szCs w:val="28"/>
          <w:lang w:val="es-ES_tradnl"/>
        </w:rPr>
        <w:t>,</w:t>
      </w:r>
      <w:r w:rsidRPr="00F2273F">
        <w:rPr>
          <w:rFonts w:ascii="Times New Roman" w:hAnsi="Times New Roman" w:cs="Times New Roman"/>
          <w:sz w:val="28"/>
          <w:szCs w:val="28"/>
          <w:lang w:val="es-ES_tradnl"/>
        </w:rPr>
        <w:t xml:space="preserve"> en ese sentido, su “finalidad es suprimir disposiciones previas que aún tienen vigencia en el ordenamiento jurídico (…) Como lo ha señalado la Corte en sentencias como la C-440 de 2020</w:t>
      </w:r>
      <w:r w:rsidRPr="00F2273F">
        <w:rPr>
          <w:rFonts w:ascii="Times New Roman" w:hAnsi="Times New Roman" w:cs="Times New Roman"/>
          <w:sz w:val="28"/>
          <w:szCs w:val="28"/>
          <w:lang w:val="es-ES_tradnl"/>
        </w:rPr>
        <w:t>, este tipo de disposiciones busca articular una nueva regulación mediante la eliminación de normas incompatibles con el régimen jurídico introducido en una ley específica, como ocurre en este caso con la expedición del Plan Nacional de Desarrollo (PND)”</w:t>
      </w:r>
      <w:r w:rsidRPr="00F2273F">
        <w:rPr>
          <w:rStyle w:val="Refdenotaalpie"/>
          <w:rFonts w:ascii="Times New Roman" w:hAnsi="Times New Roman" w:cs="Times New Roman"/>
          <w:sz w:val="28"/>
          <w:szCs w:val="28"/>
          <w:lang w:val="es-ES_tradnl"/>
        </w:rPr>
        <w:footnoteReference w:id="130"/>
      </w:r>
      <w:r w:rsidRPr="00F2273F">
        <w:rPr>
          <w:rFonts w:ascii="Times New Roman" w:hAnsi="Times New Roman" w:cs="Times New Roman"/>
          <w:sz w:val="28"/>
          <w:szCs w:val="28"/>
          <w:lang w:val="es-ES_tradnl"/>
        </w:rPr>
        <w:t>.</w:t>
      </w:r>
      <w:r w:rsidRPr="00F2273F">
        <w:rPr>
          <w:rFonts w:ascii="Times New Roman" w:hAnsi="Times New Roman" w:cs="Times New Roman"/>
          <w:sz w:val="28"/>
          <w:szCs w:val="28"/>
          <w:vertAlign w:val="superscript"/>
          <w:lang w:val="es-ES_tradnl"/>
        </w:rPr>
        <w:t xml:space="preserve">  </w:t>
      </w:r>
    </w:p>
    <w:p w:rsidR="007A2469" w:rsidRPr="00F2273F" w:rsidRDefault="00F2273F" w:rsidP="007A2469">
      <w:pPr>
        <w:pStyle w:val="Prrafodelista"/>
        <w:rPr>
          <w:rFonts w:ascii="Times New Roman" w:hAnsi="Times New Roman" w:cs="Times New Roman"/>
          <w:sz w:val="28"/>
          <w:szCs w:val="28"/>
        </w:rPr>
      </w:pPr>
    </w:p>
    <w:p w:rsidR="00BE2ADE" w:rsidRPr="00F2273F" w:rsidRDefault="00F2273F" w:rsidP="00BE2ADE">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C</w:t>
      </w:r>
      <w:r w:rsidRPr="00F2273F">
        <w:rPr>
          <w:rFonts w:ascii="Times New Roman" w:hAnsi="Times New Roman" w:cs="Times New Roman"/>
          <w:sz w:val="28"/>
          <w:szCs w:val="28"/>
        </w:rPr>
        <w:t>onsiderando su ubicación</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la Sala constata que</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en principio </w:t>
      </w:r>
      <w:r w:rsidRPr="00F2273F">
        <w:rPr>
          <w:rFonts w:ascii="Times New Roman" w:hAnsi="Times New Roman" w:cs="Times New Roman"/>
          <w:sz w:val="28"/>
          <w:szCs w:val="28"/>
        </w:rPr>
        <w:t xml:space="preserve">los enunciados acusados </w:t>
      </w:r>
      <w:r w:rsidRPr="00F2273F">
        <w:rPr>
          <w:rFonts w:ascii="Times New Roman" w:hAnsi="Times New Roman" w:cs="Times New Roman"/>
          <w:sz w:val="28"/>
          <w:szCs w:val="28"/>
        </w:rPr>
        <w:t xml:space="preserve">tienen </w:t>
      </w:r>
      <w:r w:rsidRPr="00F2273F">
        <w:rPr>
          <w:rFonts w:ascii="Times New Roman" w:hAnsi="Times New Roman" w:cs="Times New Roman"/>
          <w:sz w:val="28"/>
          <w:szCs w:val="28"/>
        </w:rPr>
        <w:t xml:space="preserve">una función instrumental porque integran la cláusula de derogatorias, que </w:t>
      </w:r>
      <w:r w:rsidRPr="00F2273F">
        <w:rPr>
          <w:rFonts w:ascii="Times New Roman" w:hAnsi="Times New Roman" w:cs="Times New Roman"/>
          <w:sz w:val="28"/>
          <w:szCs w:val="28"/>
        </w:rPr>
        <w:t xml:space="preserve">hace </w:t>
      </w:r>
      <w:r w:rsidRPr="00F2273F">
        <w:rPr>
          <w:rFonts w:ascii="Times New Roman" w:hAnsi="Times New Roman" w:cs="Times New Roman"/>
          <w:sz w:val="28"/>
          <w:szCs w:val="28"/>
        </w:rPr>
        <w:t>parte de los mecanismos de ejecución del plan. No obstante, y como se explicó, el</w:t>
      </w:r>
      <w:r w:rsidRPr="00F2273F">
        <w:rPr>
          <w:rFonts w:ascii="Times New Roman" w:hAnsi="Times New Roman" w:cs="Times New Roman"/>
          <w:sz w:val="28"/>
          <w:szCs w:val="28"/>
        </w:rPr>
        <w:t xml:space="preserve"> artículo 197/218 contenía una estrategia que permitía la integración vertical de empresas</w:t>
      </w:r>
      <w:r w:rsidRPr="00F2273F">
        <w:rPr>
          <w:rFonts w:ascii="Times New Roman" w:hAnsi="Times New Roman" w:cs="Times New Roman"/>
          <w:sz w:val="28"/>
          <w:szCs w:val="28"/>
        </w:rPr>
        <w:t xml:space="preserve"> en el mercado de energía eléctrica</w:t>
      </w:r>
      <w:r w:rsidRPr="00F2273F">
        <w:rPr>
          <w:rFonts w:ascii="Times New Roman" w:hAnsi="Times New Roman" w:cs="Times New Roman"/>
          <w:sz w:val="28"/>
          <w:szCs w:val="28"/>
        </w:rPr>
        <w:t>, también las que desarrollaran actividades de transmisión, y establecía un régimen especial para aquellas que operaran desde antes</w:t>
      </w:r>
      <w:r w:rsidRPr="00F2273F">
        <w:rPr>
          <w:rFonts w:ascii="Times New Roman" w:hAnsi="Times New Roman" w:cs="Times New Roman"/>
          <w:sz w:val="28"/>
          <w:szCs w:val="28"/>
        </w:rPr>
        <w:t xml:space="preserve"> de la vigencia de las leyes 142 y 143 de 1994, en cuanto no las obligaba a la generación e integración a partir de FNCER. Esta excepción entonces </w:t>
      </w:r>
      <w:r w:rsidRPr="00F2273F">
        <w:rPr>
          <w:rFonts w:ascii="Times New Roman" w:hAnsi="Times New Roman" w:cs="Times New Roman"/>
          <w:sz w:val="28"/>
          <w:szCs w:val="28"/>
        </w:rPr>
        <w:t xml:space="preserve">resultaba </w:t>
      </w:r>
      <w:r w:rsidRPr="00F2273F">
        <w:rPr>
          <w:rFonts w:ascii="Times New Roman" w:hAnsi="Times New Roman" w:cs="Times New Roman"/>
          <w:sz w:val="28"/>
          <w:szCs w:val="28"/>
        </w:rPr>
        <w:t>aplicable a ISA</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por tratarse de una empresa que se constituyó antes de 1994 y que desarrolla la ac</w:t>
      </w:r>
      <w:r w:rsidRPr="00F2273F">
        <w:rPr>
          <w:rFonts w:ascii="Times New Roman" w:hAnsi="Times New Roman" w:cs="Times New Roman"/>
          <w:sz w:val="28"/>
          <w:szCs w:val="28"/>
        </w:rPr>
        <w:t>tividad de transmisión de energía</w:t>
      </w:r>
      <w:r w:rsidRPr="00F2273F">
        <w:rPr>
          <w:rFonts w:ascii="Times New Roman" w:hAnsi="Times New Roman" w:cs="Times New Roman"/>
          <w:sz w:val="28"/>
          <w:szCs w:val="28"/>
        </w:rPr>
        <w:t>.</w:t>
      </w:r>
    </w:p>
    <w:p w:rsidR="00BE2ADE" w:rsidRPr="00F2273F" w:rsidRDefault="00F2273F" w:rsidP="00BE2ADE">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rPr>
      </w:pPr>
    </w:p>
    <w:p w:rsidR="003C28BD" w:rsidRPr="00F2273F" w:rsidRDefault="00F2273F" w:rsidP="002A54E4">
      <w:pPr>
        <w:pStyle w:val="Prrafodelista"/>
        <w:numPr>
          <w:ilvl w:val="0"/>
          <w:numId w:val="3"/>
        </w:numPr>
        <w:shd w:val="clear" w:color="auto" w:fill="FFFFFF"/>
        <w:tabs>
          <w:tab w:val="left" w:pos="0"/>
        </w:tabs>
        <w:spacing w:after="0" w:line="240" w:lineRule="auto"/>
        <w:ind w:left="0" w:right="49"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 xml:space="preserve">Para la Sala, el hecho de que no se aprobara </w:t>
      </w:r>
      <w:r w:rsidRPr="00F2273F">
        <w:rPr>
          <w:rFonts w:ascii="Times New Roman" w:hAnsi="Times New Roman" w:cs="Times New Roman"/>
          <w:sz w:val="28"/>
          <w:szCs w:val="28"/>
        </w:rPr>
        <w:t xml:space="preserve">la referida </w:t>
      </w:r>
      <w:r w:rsidRPr="00F2273F">
        <w:rPr>
          <w:rFonts w:ascii="Times New Roman" w:hAnsi="Times New Roman" w:cs="Times New Roman"/>
          <w:sz w:val="28"/>
          <w:szCs w:val="28"/>
        </w:rPr>
        <w:t xml:space="preserve">disposición implica que las derogatorias acusadas quedaran desprovistas </w:t>
      </w:r>
      <w:r w:rsidRPr="00F2273F">
        <w:rPr>
          <w:rFonts w:ascii="Times New Roman" w:hAnsi="Times New Roman" w:cs="Times New Roman"/>
          <w:sz w:val="28"/>
          <w:szCs w:val="28"/>
        </w:rPr>
        <w:t>de una relación instrumental, a pesar de que integraban la cláusula de derogatorias</w:t>
      </w:r>
      <w:r w:rsidRPr="00F2273F">
        <w:rPr>
          <w:rFonts w:ascii="Times New Roman" w:hAnsi="Times New Roman" w:cs="Times New Roman"/>
          <w:sz w:val="28"/>
          <w:szCs w:val="28"/>
        </w:rPr>
        <w:t xml:space="preserve">. En </w:t>
      </w:r>
      <w:r w:rsidRPr="00F2273F">
        <w:rPr>
          <w:rFonts w:ascii="Times New Roman" w:hAnsi="Times New Roman" w:cs="Times New Roman"/>
          <w:sz w:val="28"/>
          <w:szCs w:val="28"/>
        </w:rPr>
        <w:t>efecto, las expresiones demandadas eliminaron la prohibici</w:t>
      </w:r>
      <w:r w:rsidRPr="00F2273F">
        <w:rPr>
          <w:rFonts w:ascii="Times New Roman" w:hAnsi="Times New Roman" w:cs="Times New Roman"/>
          <w:sz w:val="28"/>
          <w:szCs w:val="28"/>
        </w:rPr>
        <w:t>ón</w:t>
      </w:r>
      <w:r w:rsidRPr="00F2273F">
        <w:rPr>
          <w:rFonts w:ascii="Times New Roman" w:hAnsi="Times New Roman" w:cs="Times New Roman"/>
          <w:sz w:val="28"/>
          <w:szCs w:val="28"/>
        </w:rPr>
        <w:t xml:space="preserve"> </w:t>
      </w:r>
      <w:r w:rsidRPr="00F2273F">
        <w:rPr>
          <w:rFonts w:ascii="Times New Roman" w:eastAsia="Times New Roman" w:hAnsi="Times New Roman" w:cs="Times New Roman"/>
          <w:sz w:val="28"/>
          <w:szCs w:val="28"/>
          <w:lang w:val="es-419" w:eastAsia="es-MX"/>
        </w:rPr>
        <w:t>específica para que ISA participara en actividades diferentes a la transmisión de energía eléctrica, pero el artículo 74 de la Ley 143 de 1994 impide hacer integraciones verticales que incluyan l</w:t>
      </w:r>
      <w:r w:rsidRPr="00F2273F">
        <w:rPr>
          <w:rFonts w:ascii="Times New Roman" w:eastAsia="Times New Roman" w:hAnsi="Times New Roman" w:cs="Times New Roman"/>
          <w:sz w:val="28"/>
          <w:szCs w:val="28"/>
          <w:lang w:val="es-419" w:eastAsia="es-MX"/>
        </w:rPr>
        <w:t xml:space="preserve">a transmisión de energía, actividad que constituye el núcleo del objeto social de ISA. Esta norma resulta aplicable a ISA porque se trata de una empresa que presta el servicio de energía eléctrica y que administra y opera el </w:t>
      </w:r>
      <w:r w:rsidRPr="00F2273F">
        <w:rPr>
          <w:rFonts w:ascii="Times New Roman" w:eastAsia="Times New Roman" w:hAnsi="Times New Roman" w:cs="Times New Roman"/>
          <w:sz w:val="28"/>
          <w:szCs w:val="28"/>
          <w:lang w:val="es-419" w:eastAsia="es-MX"/>
        </w:rPr>
        <w:t xml:space="preserve">sistema </w:t>
      </w:r>
    </w:p>
    <w:p w:rsidR="003C28BD" w:rsidRPr="00F2273F" w:rsidRDefault="00F2273F" w:rsidP="003C28BD">
      <w:pPr>
        <w:pStyle w:val="Prrafodelista"/>
        <w:rPr>
          <w:rFonts w:ascii="Times New Roman" w:eastAsia="Times New Roman" w:hAnsi="Times New Roman" w:cs="Times New Roman"/>
          <w:sz w:val="28"/>
          <w:szCs w:val="28"/>
          <w:lang w:val="es-419" w:eastAsia="es-MX"/>
        </w:rPr>
      </w:pPr>
    </w:p>
    <w:p w:rsidR="002A54E4" w:rsidRPr="00F2273F" w:rsidRDefault="00F2273F" w:rsidP="002A54E4">
      <w:pPr>
        <w:pStyle w:val="Prrafodelista"/>
        <w:numPr>
          <w:ilvl w:val="0"/>
          <w:numId w:val="3"/>
        </w:numPr>
        <w:shd w:val="clear" w:color="auto" w:fill="FFFFFF"/>
        <w:tabs>
          <w:tab w:val="left" w:pos="0"/>
        </w:tabs>
        <w:spacing w:after="0" w:line="240" w:lineRule="auto"/>
        <w:ind w:left="0" w:right="49" w:firstLine="0"/>
        <w:jc w:val="both"/>
        <w:textAlignment w:val="baseline"/>
        <w:rPr>
          <w:rFonts w:ascii="Times New Roman" w:hAnsi="Times New Roman" w:cs="Times New Roman"/>
          <w:sz w:val="28"/>
          <w:szCs w:val="28"/>
        </w:rPr>
      </w:pPr>
      <w:r w:rsidRPr="00F2273F">
        <w:rPr>
          <w:rFonts w:ascii="Times New Roman" w:eastAsia="Times New Roman" w:hAnsi="Times New Roman" w:cs="Times New Roman"/>
          <w:sz w:val="28"/>
          <w:szCs w:val="28"/>
          <w:lang w:val="es-419" w:eastAsia="es-MX"/>
        </w:rPr>
        <w:t>interconectado</w:t>
      </w:r>
      <w:r w:rsidRPr="00F2273F">
        <w:rPr>
          <w:rFonts w:ascii="Times New Roman" w:eastAsia="Times New Roman" w:hAnsi="Times New Roman" w:cs="Times New Roman"/>
          <w:sz w:val="28"/>
          <w:szCs w:val="28"/>
          <w:lang w:val="es-419" w:eastAsia="es-MX"/>
        </w:rPr>
        <w:t xml:space="preserve"> nacion</w:t>
      </w:r>
      <w:r w:rsidRPr="00F2273F">
        <w:rPr>
          <w:rFonts w:ascii="Times New Roman" w:eastAsia="Times New Roman" w:hAnsi="Times New Roman" w:cs="Times New Roman"/>
          <w:sz w:val="28"/>
          <w:szCs w:val="28"/>
          <w:lang w:val="es-419" w:eastAsia="es-MX"/>
        </w:rPr>
        <w:t>al S</w:t>
      </w:r>
      <w:r w:rsidRPr="00F2273F">
        <w:rPr>
          <w:rFonts w:ascii="Times New Roman" w:eastAsia="Times New Roman" w:hAnsi="Times New Roman" w:cs="Times New Roman"/>
          <w:sz w:val="28"/>
          <w:szCs w:val="28"/>
          <w:lang w:val="es-419" w:eastAsia="es-MX"/>
        </w:rPr>
        <w:t xml:space="preserve">IN. </w:t>
      </w:r>
      <w:r w:rsidRPr="00F2273F">
        <w:rPr>
          <w:rFonts w:ascii="Times New Roman" w:eastAsia="Times New Roman" w:hAnsi="Times New Roman" w:cs="Times New Roman"/>
          <w:sz w:val="28"/>
          <w:szCs w:val="28"/>
          <w:lang w:val="es-419" w:eastAsia="es-MX"/>
        </w:rPr>
        <w:t>Tal situación hizo que las normas acusadas perdieran su alcance instrumental, pues con ellas no resulta posible lograr el fin perseguido en cuanto a participación en el sistema eléctrico nacional.</w:t>
      </w:r>
    </w:p>
    <w:p w:rsidR="00545E65" w:rsidRPr="00F2273F" w:rsidRDefault="00F2273F" w:rsidP="00545E65">
      <w:pPr>
        <w:pStyle w:val="Prrafodelista"/>
        <w:shd w:val="clear" w:color="auto" w:fill="FFFFFF"/>
        <w:tabs>
          <w:tab w:val="left" w:pos="0"/>
        </w:tabs>
        <w:spacing w:after="0" w:line="240" w:lineRule="auto"/>
        <w:ind w:left="0" w:right="49"/>
        <w:jc w:val="both"/>
        <w:textAlignment w:val="baseline"/>
        <w:rPr>
          <w:rFonts w:ascii="Times New Roman" w:hAnsi="Times New Roman" w:cs="Times New Roman"/>
          <w:sz w:val="28"/>
          <w:szCs w:val="28"/>
        </w:rPr>
      </w:pPr>
    </w:p>
    <w:p w:rsidR="005332E0" w:rsidRPr="00F2273F" w:rsidRDefault="00F2273F" w:rsidP="00B07FE6">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i/>
          <w:iCs/>
          <w:sz w:val="28"/>
          <w:szCs w:val="28"/>
          <w:u w:val="single"/>
        </w:rPr>
        <w:t>Segunda etapa</w:t>
      </w:r>
      <w:r w:rsidRPr="00F2273F">
        <w:rPr>
          <w:rFonts w:ascii="Times New Roman" w:hAnsi="Times New Roman" w:cs="Times New Roman"/>
          <w:sz w:val="28"/>
          <w:szCs w:val="28"/>
        </w:rPr>
        <w:t xml:space="preserve">. En esta etapa le corresponde al </w:t>
      </w:r>
      <w:r w:rsidRPr="00F2273F">
        <w:rPr>
          <w:rFonts w:ascii="Times New Roman" w:hAnsi="Times New Roman" w:cs="Times New Roman"/>
          <w:sz w:val="28"/>
          <w:szCs w:val="28"/>
        </w:rPr>
        <w:t>juez constitucional definir si en la parte general del plan y/o en el plan plurianual de inversiones existen objetivos, metas, planes o estrategias</w:t>
      </w:r>
      <w:r w:rsidRPr="00F2273F">
        <w:rPr>
          <w:rFonts w:ascii="Times New Roman" w:hAnsi="Times New Roman" w:cs="Times New Roman"/>
          <w:sz w:val="28"/>
          <w:szCs w:val="28"/>
        </w:rPr>
        <w:t>, así como asignación de inversiones,</w:t>
      </w:r>
      <w:r w:rsidRPr="00F2273F">
        <w:rPr>
          <w:rFonts w:ascii="Times New Roman" w:hAnsi="Times New Roman" w:cs="Times New Roman"/>
          <w:sz w:val="28"/>
          <w:szCs w:val="28"/>
        </w:rPr>
        <w:t xml:space="preserve"> que puedan relacionarse, al menos </w:t>
      </w:r>
      <w:r w:rsidRPr="00F2273F">
        <w:rPr>
          <w:rFonts w:ascii="Times New Roman" w:hAnsi="Times New Roman" w:cs="Times New Roman"/>
          <w:i/>
          <w:iCs/>
          <w:sz w:val="28"/>
          <w:szCs w:val="28"/>
        </w:rPr>
        <w:t>prima facie,</w:t>
      </w:r>
      <w:r w:rsidRPr="00F2273F">
        <w:rPr>
          <w:rFonts w:ascii="Times New Roman" w:hAnsi="Times New Roman" w:cs="Times New Roman"/>
          <w:sz w:val="28"/>
          <w:szCs w:val="28"/>
        </w:rPr>
        <w:t xml:space="preserve"> con las disposiciones ac</w:t>
      </w:r>
      <w:r w:rsidRPr="00F2273F">
        <w:rPr>
          <w:rFonts w:ascii="Times New Roman" w:hAnsi="Times New Roman" w:cs="Times New Roman"/>
          <w:sz w:val="28"/>
          <w:szCs w:val="28"/>
        </w:rPr>
        <w:t xml:space="preserve">usadas. </w:t>
      </w:r>
      <w:r w:rsidRPr="00F2273F">
        <w:rPr>
          <w:rFonts w:ascii="Times New Roman" w:hAnsi="Times New Roman" w:cs="Times New Roman"/>
          <w:sz w:val="28"/>
          <w:szCs w:val="28"/>
        </w:rPr>
        <w:t>Conviene precisar que la verificación de la conexidad directa e inmediata no se mide a partir de una mención textual en el documento de las Bases o en el Plan de Inversiones</w:t>
      </w:r>
      <w:r w:rsidRPr="00F2273F">
        <w:rPr>
          <w:rStyle w:val="Refdenotaalpie"/>
          <w:rFonts w:ascii="Times New Roman" w:hAnsi="Times New Roman" w:cs="Times New Roman"/>
          <w:sz w:val="28"/>
          <w:szCs w:val="28"/>
        </w:rPr>
        <w:footnoteReference w:id="131"/>
      </w:r>
      <w:r w:rsidRPr="00F2273F">
        <w:rPr>
          <w:rFonts w:ascii="Times New Roman" w:hAnsi="Times New Roman" w:cs="Times New Roman"/>
          <w:sz w:val="28"/>
          <w:szCs w:val="28"/>
        </w:rPr>
        <w:t xml:space="preserve">. </w:t>
      </w:r>
    </w:p>
    <w:p w:rsidR="00DF08DE" w:rsidRPr="00F2273F" w:rsidRDefault="00F2273F" w:rsidP="00DF08DE">
      <w:pPr>
        <w:pStyle w:val="Prrafodelista"/>
        <w:rPr>
          <w:rFonts w:ascii="Times New Roman" w:hAnsi="Times New Roman" w:cs="Times New Roman"/>
          <w:sz w:val="28"/>
          <w:szCs w:val="28"/>
        </w:rPr>
      </w:pPr>
    </w:p>
    <w:p w:rsidR="001649AF" w:rsidRPr="00F2273F" w:rsidRDefault="00F2273F" w:rsidP="00B97AE9">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sz w:val="28"/>
          <w:szCs w:val="28"/>
        </w:rPr>
        <w:t xml:space="preserve">Esta aproximación inicial tampoco puede realizarse en este caso. </w:t>
      </w:r>
      <w:r w:rsidRPr="00F2273F">
        <w:rPr>
          <w:rFonts w:ascii="Times New Roman" w:hAnsi="Times New Roman" w:cs="Times New Roman"/>
          <w:sz w:val="28"/>
          <w:szCs w:val="28"/>
        </w:rPr>
        <w:t>A</w:t>
      </w:r>
      <w:r w:rsidRPr="00F2273F">
        <w:rPr>
          <w:rFonts w:ascii="Times New Roman" w:hAnsi="Times New Roman" w:cs="Times New Roman"/>
          <w:sz w:val="28"/>
          <w:szCs w:val="28"/>
        </w:rPr>
        <w:t xml:space="preserve">lgunos intervinientes </w:t>
      </w:r>
      <w:r w:rsidRPr="00F2273F">
        <w:rPr>
          <w:rFonts w:ascii="Times New Roman" w:hAnsi="Times New Roman" w:cs="Times New Roman"/>
          <w:sz w:val="28"/>
          <w:szCs w:val="28"/>
        </w:rPr>
        <w:t xml:space="preserve">aducen una relación </w:t>
      </w:r>
      <w:r w:rsidRPr="00F2273F">
        <w:rPr>
          <w:rFonts w:ascii="Times New Roman" w:hAnsi="Times New Roman" w:cs="Times New Roman"/>
          <w:sz w:val="28"/>
          <w:szCs w:val="28"/>
        </w:rPr>
        <w:t xml:space="preserve">con </w:t>
      </w:r>
      <w:r w:rsidRPr="00F2273F">
        <w:rPr>
          <w:rFonts w:ascii="Times New Roman" w:hAnsi="Times New Roman" w:cs="Times New Roman"/>
          <w:sz w:val="28"/>
          <w:szCs w:val="28"/>
        </w:rPr>
        <w:t xml:space="preserve">la apuesta que, en términos de transición energética, se plantea en las Bases del Plan, puntualmente en el cuarto eje denominado </w:t>
      </w:r>
      <w:r w:rsidRPr="00F2273F">
        <w:rPr>
          <w:rFonts w:ascii="Times New Roman" w:hAnsi="Times New Roman" w:cs="Times New Roman"/>
          <w:i/>
          <w:iCs/>
          <w:sz w:val="28"/>
          <w:szCs w:val="28"/>
        </w:rPr>
        <w:t>Transformación productiva, internacionalización y acción climática</w:t>
      </w:r>
      <w:r w:rsidRPr="00F2273F">
        <w:rPr>
          <w:rFonts w:ascii="Times New Roman" w:hAnsi="Times New Roman" w:cs="Times New Roman"/>
          <w:sz w:val="28"/>
          <w:szCs w:val="28"/>
        </w:rPr>
        <w:t xml:space="preserve">, y con </w:t>
      </w:r>
      <w:r w:rsidRPr="00F2273F">
        <w:rPr>
          <w:rFonts w:ascii="Times New Roman" w:hAnsi="Times New Roman" w:cs="Times New Roman"/>
          <w:sz w:val="28"/>
          <w:szCs w:val="28"/>
          <w:lang w:eastAsia="es-ES"/>
        </w:rPr>
        <w:t>el cata</w:t>
      </w:r>
      <w:r w:rsidRPr="00F2273F">
        <w:rPr>
          <w:rFonts w:ascii="Times New Roman" w:hAnsi="Times New Roman" w:cs="Times New Roman"/>
          <w:sz w:val="28"/>
          <w:szCs w:val="28"/>
          <w:lang w:eastAsia="es-ES"/>
        </w:rPr>
        <w:t xml:space="preserve">lizador de </w:t>
      </w:r>
      <w:r w:rsidRPr="00F2273F">
        <w:rPr>
          <w:rFonts w:ascii="Times New Roman" w:hAnsi="Times New Roman" w:cs="Times New Roman"/>
          <w:i/>
          <w:iCs/>
          <w:sz w:val="28"/>
          <w:szCs w:val="28"/>
        </w:rPr>
        <w:t>eficiencia energética y del mercado como factor de desarrollo</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que </w:t>
      </w:r>
      <w:r w:rsidRPr="00F2273F">
        <w:rPr>
          <w:rFonts w:ascii="Times New Roman" w:hAnsi="Times New Roman" w:cs="Times New Roman"/>
          <w:sz w:val="28"/>
          <w:szCs w:val="28"/>
          <w:lang w:eastAsia="es-ES"/>
        </w:rPr>
        <w:t>propone la revisión general del mercado de energía eléctrica para impulsar la participación de tod</w:t>
      </w:r>
      <w:r w:rsidRPr="00F2273F">
        <w:rPr>
          <w:rFonts w:ascii="Times New Roman" w:hAnsi="Times New Roman" w:cs="Times New Roman"/>
          <w:sz w:val="28"/>
          <w:szCs w:val="28"/>
          <w:lang w:eastAsia="es-ES"/>
        </w:rPr>
        <w:t>o</w:t>
      </w:r>
      <w:r w:rsidRPr="00F2273F">
        <w:rPr>
          <w:rFonts w:ascii="Times New Roman" w:hAnsi="Times New Roman" w:cs="Times New Roman"/>
          <w:sz w:val="28"/>
          <w:szCs w:val="28"/>
          <w:lang w:eastAsia="es-ES"/>
        </w:rPr>
        <w:t>s los agentes en la generación de FNCER</w:t>
      </w:r>
      <w:r w:rsidRPr="00F2273F">
        <w:rPr>
          <w:rFonts w:ascii="Times New Roman" w:hAnsi="Times New Roman" w:cs="Times New Roman"/>
          <w:sz w:val="28"/>
          <w:szCs w:val="28"/>
          <w:lang w:eastAsia="es-ES"/>
        </w:rPr>
        <w:t xml:space="preserve">. Asimismo, </w:t>
      </w:r>
      <w:r w:rsidRPr="00F2273F">
        <w:rPr>
          <w:rFonts w:ascii="Times New Roman" w:hAnsi="Times New Roman" w:cs="Times New Roman"/>
          <w:sz w:val="28"/>
          <w:szCs w:val="28"/>
          <w:lang w:eastAsia="es-ES"/>
        </w:rPr>
        <w:t>se sostuvo que el</w:t>
      </w:r>
      <w:r w:rsidRPr="00F2273F">
        <w:rPr>
          <w:rFonts w:ascii="Times New Roman" w:hAnsi="Times New Roman" w:cs="Times New Roman"/>
          <w:sz w:val="28"/>
          <w:szCs w:val="28"/>
          <w:lang w:eastAsia="es-ES"/>
        </w:rPr>
        <w:t xml:space="preserve"> catalizado</w:t>
      </w:r>
      <w:r w:rsidRPr="00F2273F">
        <w:rPr>
          <w:rFonts w:ascii="Times New Roman" w:hAnsi="Times New Roman" w:cs="Times New Roman"/>
          <w:sz w:val="28"/>
          <w:szCs w:val="28"/>
          <w:lang w:eastAsia="es-ES"/>
        </w:rPr>
        <w:t xml:space="preserve">r denominado </w:t>
      </w:r>
      <w:r w:rsidRPr="00F2273F">
        <w:rPr>
          <w:rFonts w:ascii="Times New Roman" w:hAnsi="Times New Roman" w:cs="Times New Roman"/>
          <w:i/>
          <w:iCs/>
          <w:sz w:val="28"/>
          <w:szCs w:val="28"/>
          <w:lang w:eastAsia="es-ES"/>
        </w:rPr>
        <w:t>Transición energética justa, segura, confiable y eficiente</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pretende la ampliación </w:t>
      </w:r>
      <w:r w:rsidRPr="00F2273F">
        <w:rPr>
          <w:rFonts w:ascii="Times New Roman" w:hAnsi="Times New Roman" w:cs="Times New Roman"/>
          <w:sz w:val="28"/>
          <w:szCs w:val="28"/>
          <w:lang w:eastAsia="es-ES"/>
        </w:rPr>
        <w:t xml:space="preserve">de la cobertura del servicio público de energía eléctrica. La integración vertical contribuye a este propósito por tratarse de una medida fundada en la eficiencia- </w:t>
      </w:r>
    </w:p>
    <w:p w:rsidR="005414A0" w:rsidRPr="00F2273F" w:rsidRDefault="00F2273F" w:rsidP="005414A0">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lang w:eastAsia="es-ES"/>
        </w:rPr>
      </w:pPr>
    </w:p>
    <w:p w:rsidR="005414A0" w:rsidRPr="00F2273F" w:rsidRDefault="00F2273F" w:rsidP="00F27348">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R</w:t>
      </w:r>
      <w:r w:rsidRPr="00F2273F">
        <w:rPr>
          <w:rFonts w:ascii="Times New Roman" w:hAnsi="Times New Roman" w:cs="Times New Roman"/>
          <w:sz w:val="28"/>
          <w:szCs w:val="28"/>
        </w:rPr>
        <w:t xml:space="preserve">especto del </w:t>
      </w:r>
      <w:r w:rsidRPr="00F2273F">
        <w:rPr>
          <w:rFonts w:ascii="Times New Roman" w:hAnsi="Times New Roman" w:cs="Times New Roman"/>
          <w:sz w:val="28"/>
          <w:szCs w:val="28"/>
        </w:rPr>
        <w:t xml:space="preserve">plan plurianual </w:t>
      </w:r>
      <w:r w:rsidRPr="00F2273F">
        <w:rPr>
          <w:rFonts w:ascii="Times New Roman" w:hAnsi="Times New Roman" w:cs="Times New Roman"/>
          <w:sz w:val="28"/>
          <w:szCs w:val="28"/>
        </w:rPr>
        <w:t xml:space="preserve">de </w:t>
      </w:r>
      <w:r w:rsidRPr="00F2273F">
        <w:rPr>
          <w:rFonts w:ascii="Times New Roman" w:hAnsi="Times New Roman" w:cs="Times New Roman"/>
          <w:sz w:val="28"/>
          <w:szCs w:val="28"/>
        </w:rPr>
        <w:t>inversiones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este </w:t>
      </w:r>
      <w:r w:rsidRPr="00F2273F">
        <w:rPr>
          <w:rFonts w:ascii="Times New Roman" w:hAnsi="Times New Roman" w:cs="Times New Roman"/>
          <w:sz w:val="28"/>
          <w:szCs w:val="28"/>
        </w:rPr>
        <w:t xml:space="preserve">se refiere a la </w:t>
      </w:r>
      <w:r w:rsidRPr="00F2273F">
        <w:rPr>
          <w:rFonts w:ascii="Times New Roman" w:hAnsi="Times New Roman" w:cs="Times New Roman"/>
          <w:i/>
          <w:iCs/>
          <w:sz w:val="28"/>
          <w:szCs w:val="28"/>
        </w:rPr>
        <w:t xml:space="preserve">Transformación productiva, internacionalización y acción climática, </w:t>
      </w:r>
      <w:r w:rsidRPr="00F2273F">
        <w:rPr>
          <w:rFonts w:ascii="Times New Roman" w:hAnsi="Times New Roman" w:cs="Times New Roman"/>
          <w:sz w:val="28"/>
          <w:szCs w:val="28"/>
        </w:rPr>
        <w:t>que es el eje que contiene los catalizadores que guardan relación con las disposiciones acusadas</w:t>
      </w:r>
      <w:r w:rsidRPr="00F2273F">
        <w:rPr>
          <w:rFonts w:ascii="Times New Roman" w:hAnsi="Times New Roman" w:cs="Times New Roman"/>
          <w:sz w:val="28"/>
          <w:szCs w:val="28"/>
        </w:rPr>
        <w:t xml:space="preserve"> y que se acaban de enunciar</w:t>
      </w:r>
      <w:r w:rsidRPr="00F2273F">
        <w:rPr>
          <w:rFonts w:ascii="Times New Roman" w:hAnsi="Times New Roman" w:cs="Times New Roman"/>
          <w:sz w:val="28"/>
          <w:szCs w:val="28"/>
        </w:rPr>
        <w:t xml:space="preserve">. En dicho plan de inversiones se indica que se destina la suma </w:t>
      </w:r>
      <w:r w:rsidRPr="00F2273F">
        <w:rPr>
          <w:rFonts w:ascii="Times New Roman" w:hAnsi="Times New Roman" w:cs="Times New Roman"/>
          <w:sz w:val="28"/>
          <w:szCs w:val="28"/>
        </w:rPr>
        <w:t xml:space="preserve">de $114,3 billones de pesos a </w:t>
      </w:r>
      <w:r w:rsidRPr="00F2273F">
        <w:rPr>
          <w:rFonts w:ascii="Times New Roman" w:hAnsi="Times New Roman" w:cs="Times New Roman"/>
          <w:i/>
          <w:iCs/>
          <w:sz w:val="28"/>
          <w:szCs w:val="28"/>
        </w:rPr>
        <w:t>“</w:t>
      </w:r>
      <w:r w:rsidRPr="00F2273F">
        <w:rPr>
          <w:rFonts w:ascii="Times New Roman" w:hAnsi="Times New Roman" w:cs="Times New Roman"/>
          <w:sz w:val="28"/>
          <w:szCs w:val="28"/>
        </w:rPr>
        <w:t>actividades productivas diversificadas que aprovechen la biodiversidad y los servicios ecosistémicos, que sean intensivas en conocimiento e innovación, que respeten y garanticen los derechos humanos, y que aporten a la constr</w:t>
      </w:r>
      <w:r w:rsidRPr="00F2273F">
        <w:rPr>
          <w:rFonts w:ascii="Times New Roman" w:hAnsi="Times New Roman" w:cs="Times New Roman"/>
          <w:sz w:val="28"/>
          <w:szCs w:val="28"/>
        </w:rPr>
        <w:t>ucción de resiliencia ante los choques climáticos”</w:t>
      </w:r>
      <w:r w:rsidRPr="00F2273F">
        <w:rPr>
          <w:rStyle w:val="Refdenotaalpie"/>
          <w:rFonts w:ascii="Times New Roman" w:hAnsi="Times New Roman" w:cs="Times New Roman"/>
          <w:sz w:val="28"/>
          <w:szCs w:val="28"/>
        </w:rPr>
        <w:footnoteReference w:id="132"/>
      </w:r>
      <w:r w:rsidRPr="00F2273F">
        <w:rPr>
          <w:rFonts w:ascii="Times New Roman" w:hAnsi="Times New Roman" w:cs="Times New Roman"/>
          <w:sz w:val="28"/>
          <w:szCs w:val="28"/>
        </w:rPr>
        <w:t xml:space="preserve">. Más adelante, en </w:t>
      </w:r>
      <w:r w:rsidRPr="00F2273F">
        <w:rPr>
          <w:rFonts w:ascii="Times New Roman" w:hAnsi="Times New Roman" w:cs="Times New Roman"/>
          <w:sz w:val="28"/>
          <w:szCs w:val="28"/>
        </w:rPr>
        <w:t xml:space="preserve">dicho </w:t>
      </w:r>
      <w:r w:rsidRPr="00F2273F">
        <w:rPr>
          <w:rFonts w:ascii="Times New Roman" w:hAnsi="Times New Roman" w:cs="Times New Roman"/>
          <w:sz w:val="28"/>
          <w:szCs w:val="28"/>
        </w:rPr>
        <w:t xml:space="preserve">documento se afirma que en </w:t>
      </w:r>
      <w:r w:rsidRPr="00F2273F">
        <w:rPr>
          <w:rFonts w:ascii="Times New Roman" w:eastAsia="Times New Roman" w:hAnsi="Times New Roman" w:cs="Times New Roman"/>
          <w:sz w:val="28"/>
          <w:szCs w:val="28"/>
          <w:lang w:val="es-419" w:eastAsia="es-MX"/>
        </w:rPr>
        <w:t xml:space="preserve">lo que se refiere a </w:t>
      </w:r>
      <w:r w:rsidRPr="00F2273F">
        <w:rPr>
          <w:rFonts w:ascii="Times New Roman" w:eastAsia="Times New Roman" w:hAnsi="Times New Roman" w:cs="Times New Roman"/>
          <w:i/>
          <w:iCs/>
          <w:sz w:val="28"/>
          <w:szCs w:val="28"/>
          <w:lang w:val="es-419" w:eastAsia="es-MX"/>
        </w:rPr>
        <w:t>Transformación productiva, internacionalización y acción climática</w:t>
      </w:r>
      <w:r w:rsidRPr="00F2273F">
        <w:rPr>
          <w:rFonts w:ascii="Times New Roman" w:eastAsia="Times New Roman" w:hAnsi="Times New Roman" w:cs="Times New Roman"/>
          <w:sz w:val="28"/>
          <w:szCs w:val="28"/>
          <w:lang w:val="es-419" w:eastAsia="es-MX"/>
        </w:rPr>
        <w:t xml:space="preserve"> (2,8%) esta se asocia a la energización </w:t>
      </w:r>
      <w:r w:rsidRPr="00F2273F">
        <w:rPr>
          <w:rFonts w:ascii="Times New Roman" w:hAnsi="Times New Roman" w:cs="Times New Roman"/>
          <w:sz w:val="28"/>
          <w:szCs w:val="28"/>
        </w:rPr>
        <w:t xml:space="preserve">rural y </w:t>
      </w:r>
      <w:r w:rsidRPr="00F2273F">
        <w:rPr>
          <w:rFonts w:ascii="Times New Roman" w:hAnsi="Times New Roman" w:cs="Times New Roman"/>
          <w:sz w:val="28"/>
          <w:szCs w:val="28"/>
        </w:rPr>
        <w:t xml:space="preserve">a </w:t>
      </w:r>
      <w:r w:rsidRPr="00F2273F">
        <w:rPr>
          <w:rFonts w:ascii="Times New Roman" w:hAnsi="Times New Roman" w:cs="Times New Roman"/>
          <w:sz w:val="28"/>
          <w:szCs w:val="28"/>
        </w:rPr>
        <w:t xml:space="preserve">los programas de conservación y restauración ambiental. </w:t>
      </w:r>
    </w:p>
    <w:p w:rsidR="00A02EA3" w:rsidRPr="00F2273F" w:rsidRDefault="00F2273F" w:rsidP="00A02EA3">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rPr>
      </w:pPr>
    </w:p>
    <w:p w:rsidR="00AF387B" w:rsidRPr="00F2273F" w:rsidRDefault="00F2273F" w:rsidP="00AF387B">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sz w:val="28"/>
          <w:szCs w:val="28"/>
        </w:rPr>
        <w:t xml:space="preserve">Así las cosas, </w:t>
      </w:r>
      <w:r w:rsidRPr="00F2273F">
        <w:rPr>
          <w:rFonts w:ascii="Times New Roman" w:hAnsi="Times New Roman" w:cs="Times New Roman"/>
          <w:sz w:val="28"/>
          <w:szCs w:val="28"/>
        </w:rPr>
        <w:t xml:space="preserve">la Sala no encuentra una relación </w:t>
      </w:r>
      <w:r w:rsidRPr="00F2273F">
        <w:rPr>
          <w:rFonts w:ascii="Times New Roman" w:hAnsi="Times New Roman" w:cs="Times New Roman"/>
          <w:sz w:val="28"/>
          <w:szCs w:val="28"/>
        </w:rPr>
        <w:t>de las derogatorias acusadas con</w:t>
      </w:r>
      <w:r w:rsidRPr="00F2273F">
        <w:rPr>
          <w:rFonts w:ascii="Times New Roman" w:hAnsi="Times New Roman" w:cs="Times New Roman"/>
          <w:sz w:val="28"/>
          <w:szCs w:val="28"/>
        </w:rPr>
        <w:t xml:space="preserve"> los objetivos del plan </w:t>
      </w:r>
      <w:r w:rsidRPr="00F2273F">
        <w:rPr>
          <w:rFonts w:ascii="Times New Roman" w:hAnsi="Times New Roman" w:cs="Times New Roman"/>
          <w:sz w:val="28"/>
          <w:szCs w:val="28"/>
        </w:rPr>
        <w:t xml:space="preserve">ni con los programas del plan plurianual de inversiones, porque: (i) </w:t>
      </w:r>
      <w:r w:rsidRPr="00F2273F">
        <w:rPr>
          <w:rFonts w:ascii="Times New Roman" w:hAnsi="Times New Roman" w:cs="Times New Roman"/>
          <w:sz w:val="28"/>
          <w:szCs w:val="28"/>
        </w:rPr>
        <w:t>subsiste el artículo</w:t>
      </w:r>
      <w:r w:rsidRPr="00F2273F">
        <w:rPr>
          <w:rFonts w:ascii="Times New Roman" w:hAnsi="Times New Roman" w:cs="Times New Roman"/>
          <w:sz w:val="28"/>
          <w:szCs w:val="28"/>
        </w:rPr>
        <w:t xml:space="preserve"> 74 </w:t>
      </w:r>
      <w:r w:rsidRPr="00F2273F">
        <w:rPr>
          <w:rFonts w:ascii="Times New Roman" w:hAnsi="Times New Roman" w:cs="Times New Roman"/>
          <w:sz w:val="28"/>
          <w:szCs w:val="28"/>
        </w:rPr>
        <w:t xml:space="preserve">de la Ley 143 de 1994, </w:t>
      </w:r>
      <w:r w:rsidRPr="00F2273F">
        <w:rPr>
          <w:rFonts w:ascii="Times New Roman" w:hAnsi="Times New Roman" w:cs="Times New Roman"/>
          <w:sz w:val="28"/>
          <w:szCs w:val="28"/>
        </w:rPr>
        <w:t xml:space="preserve">pues no fue modificado finalmente por la ley del plan nacional de desarrollo para ajustar </w:t>
      </w:r>
      <w:r w:rsidRPr="00F2273F">
        <w:rPr>
          <w:rFonts w:ascii="Times New Roman" w:hAnsi="Times New Roman" w:cs="Times New Roman"/>
          <w:sz w:val="28"/>
          <w:szCs w:val="28"/>
        </w:rPr>
        <w:t xml:space="preserve">el modelo de integración vertical </w:t>
      </w:r>
      <w:r w:rsidRPr="00F2273F">
        <w:rPr>
          <w:rFonts w:ascii="Times New Roman" w:hAnsi="Times New Roman" w:cs="Times New Roman"/>
          <w:sz w:val="28"/>
          <w:szCs w:val="28"/>
        </w:rPr>
        <w:t xml:space="preserve">y </w:t>
      </w:r>
      <w:r w:rsidRPr="00F2273F">
        <w:rPr>
          <w:rFonts w:ascii="Times New Roman" w:hAnsi="Times New Roman" w:cs="Times New Roman"/>
          <w:sz w:val="28"/>
          <w:szCs w:val="28"/>
        </w:rPr>
        <w:t xml:space="preserve">permitir </w:t>
      </w:r>
      <w:r w:rsidRPr="00F2273F">
        <w:rPr>
          <w:rFonts w:ascii="Times New Roman" w:hAnsi="Times New Roman" w:cs="Times New Roman"/>
          <w:sz w:val="28"/>
          <w:szCs w:val="28"/>
        </w:rPr>
        <w:t>el ejercicio combinado</w:t>
      </w:r>
      <w:r w:rsidRPr="00F2273F">
        <w:rPr>
          <w:rFonts w:ascii="Times New Roman" w:hAnsi="Times New Roman" w:cs="Times New Roman"/>
          <w:sz w:val="28"/>
          <w:szCs w:val="28"/>
        </w:rPr>
        <w:t xml:space="preserve"> de la actividad de transmisión, como actividad relevante de ISA, </w:t>
      </w:r>
      <w:r w:rsidRPr="00F2273F">
        <w:rPr>
          <w:rFonts w:ascii="Times New Roman" w:hAnsi="Times New Roman" w:cs="Times New Roman"/>
          <w:sz w:val="28"/>
          <w:szCs w:val="28"/>
        </w:rPr>
        <w:t>con la gen</w:t>
      </w:r>
      <w:r w:rsidRPr="00F2273F">
        <w:rPr>
          <w:rFonts w:ascii="Times New Roman" w:hAnsi="Times New Roman" w:cs="Times New Roman"/>
          <w:sz w:val="28"/>
          <w:szCs w:val="28"/>
        </w:rPr>
        <w:t>eración</w:t>
      </w:r>
      <w:r w:rsidRPr="00F2273F">
        <w:rPr>
          <w:rFonts w:ascii="Times New Roman" w:hAnsi="Times New Roman" w:cs="Times New Roman"/>
          <w:sz w:val="28"/>
          <w:szCs w:val="28"/>
        </w:rPr>
        <w:t>; y (ii) las derogatorias no contenían un condicionamiento para el ejercicio de las actividades combinadas por medio de FNCER</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pues se limitaban a derogar las normas pertinentes de las leyes 142 y 143 sin otra consideración, e incluso la aplicación </w:t>
      </w:r>
      <w:r w:rsidRPr="00F2273F">
        <w:rPr>
          <w:rFonts w:ascii="Times New Roman" w:hAnsi="Times New Roman" w:cs="Times New Roman"/>
          <w:sz w:val="28"/>
          <w:szCs w:val="28"/>
        </w:rPr>
        <w:t xml:space="preserve">del artículo 197/218 permitía su realización sin dichas fuentes, lo que supone un obstáculo para establecer su relación </w:t>
      </w:r>
      <w:r w:rsidRPr="00F2273F">
        <w:rPr>
          <w:rFonts w:ascii="Times New Roman" w:hAnsi="Times New Roman" w:cs="Times New Roman"/>
          <w:sz w:val="28"/>
          <w:szCs w:val="28"/>
        </w:rPr>
        <w:t xml:space="preserve">específica </w:t>
      </w:r>
      <w:r w:rsidRPr="00F2273F">
        <w:rPr>
          <w:rFonts w:ascii="Times New Roman" w:hAnsi="Times New Roman" w:cs="Times New Roman"/>
          <w:sz w:val="28"/>
          <w:szCs w:val="28"/>
        </w:rPr>
        <w:t xml:space="preserve">con la transición energética como propósito transversal del PND. </w:t>
      </w:r>
    </w:p>
    <w:p w:rsidR="001649AF" w:rsidRPr="00F2273F" w:rsidRDefault="00F2273F" w:rsidP="001649AF">
      <w:pPr>
        <w:pStyle w:val="Prrafodelista"/>
        <w:spacing w:after="0" w:line="240" w:lineRule="auto"/>
        <w:ind w:left="0" w:right="49"/>
        <w:jc w:val="both"/>
        <w:rPr>
          <w:rFonts w:ascii="Times New Roman" w:hAnsi="Times New Roman" w:cs="Times New Roman"/>
          <w:sz w:val="28"/>
          <w:szCs w:val="28"/>
        </w:rPr>
      </w:pPr>
    </w:p>
    <w:p w:rsidR="00AF387B" w:rsidRPr="00F2273F" w:rsidRDefault="00F2273F" w:rsidP="00805979">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i/>
          <w:iCs/>
          <w:sz w:val="28"/>
          <w:szCs w:val="28"/>
          <w:u w:val="single"/>
        </w:rPr>
        <w:t>Tercera etapa</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La tercera y última etapa</w:t>
      </w:r>
      <w:r w:rsidRPr="00F2273F">
        <w:rPr>
          <w:rFonts w:ascii="Times New Roman" w:hAnsi="Times New Roman" w:cs="Times New Roman"/>
          <w:sz w:val="28"/>
          <w:szCs w:val="28"/>
        </w:rPr>
        <w:t xml:space="preserve"> de análisis</w:t>
      </w:r>
      <w:r w:rsidRPr="00F2273F">
        <w:rPr>
          <w:rFonts w:ascii="Times New Roman" w:hAnsi="Times New Roman" w:cs="Times New Roman"/>
          <w:sz w:val="28"/>
          <w:szCs w:val="28"/>
        </w:rPr>
        <w:t xml:space="preserve"> implica que el juez constitucional constate una conexidad estrecha, directa, inmediata y verificable</w:t>
      </w:r>
      <w:r w:rsidRPr="00F2273F">
        <w:rPr>
          <w:rFonts w:ascii="Times New Roman" w:hAnsi="Times New Roman" w:cs="Times New Roman"/>
          <w:sz w:val="28"/>
          <w:szCs w:val="28"/>
        </w:rPr>
        <w:t xml:space="preserve"> entre</w:t>
      </w:r>
      <w:r w:rsidRPr="00F2273F">
        <w:rPr>
          <w:rFonts w:ascii="Times New Roman" w:hAnsi="Times New Roman" w:cs="Times New Roman"/>
          <w:sz w:val="28"/>
          <w:szCs w:val="28"/>
        </w:rPr>
        <w:t xml:space="preserve"> las disposiciones acusadas </w:t>
      </w:r>
      <w:r w:rsidRPr="00F2273F">
        <w:rPr>
          <w:rFonts w:ascii="Times New Roman" w:hAnsi="Times New Roman" w:cs="Times New Roman"/>
          <w:sz w:val="28"/>
          <w:szCs w:val="28"/>
        </w:rPr>
        <w:t xml:space="preserve">y </w:t>
      </w:r>
      <w:r w:rsidRPr="00F2273F">
        <w:rPr>
          <w:rFonts w:ascii="Times New Roman" w:hAnsi="Times New Roman" w:cs="Times New Roman"/>
          <w:sz w:val="28"/>
          <w:szCs w:val="28"/>
        </w:rPr>
        <w:t xml:space="preserve">la parte general </w:t>
      </w:r>
      <w:r w:rsidRPr="00F2273F">
        <w:rPr>
          <w:rFonts w:ascii="Times New Roman" w:hAnsi="Times New Roman" w:cs="Times New Roman"/>
          <w:sz w:val="28"/>
          <w:szCs w:val="28"/>
        </w:rPr>
        <w:t xml:space="preserve">y las bases </w:t>
      </w:r>
      <w:r w:rsidRPr="00F2273F">
        <w:rPr>
          <w:rFonts w:ascii="Times New Roman" w:hAnsi="Times New Roman" w:cs="Times New Roman"/>
          <w:sz w:val="28"/>
          <w:szCs w:val="28"/>
        </w:rPr>
        <w:t>del plan nacional de desarrollo o el plan plurianual de inversiones. Ello significa que de</w:t>
      </w:r>
      <w:r w:rsidRPr="00F2273F">
        <w:rPr>
          <w:rFonts w:ascii="Times New Roman" w:hAnsi="Times New Roman" w:cs="Times New Roman"/>
          <w:sz w:val="28"/>
          <w:szCs w:val="28"/>
        </w:rPr>
        <w:t xml:space="preserve">be analizarse si las disposiciones instrumentales, es decir, aquellas que se relacionan con las bases del PND o del PPI, tienen una naturaleza planificadora y son </w:t>
      </w:r>
      <w:r w:rsidRPr="00F2273F">
        <w:rPr>
          <w:rFonts w:ascii="Times New Roman" w:hAnsi="Times New Roman" w:cs="Times New Roman"/>
          <w:i/>
          <w:iCs/>
          <w:sz w:val="28"/>
          <w:szCs w:val="28"/>
        </w:rPr>
        <w:t xml:space="preserve">efectivas y posibilitan </w:t>
      </w:r>
      <w:r w:rsidRPr="00F2273F">
        <w:rPr>
          <w:rFonts w:ascii="Times New Roman" w:hAnsi="Times New Roman" w:cs="Times New Roman"/>
          <w:sz w:val="28"/>
          <w:szCs w:val="28"/>
        </w:rPr>
        <w:t>el cumplimiento del propósito para el cual se incluyeron en la ley de</w:t>
      </w:r>
      <w:r w:rsidRPr="00F2273F">
        <w:rPr>
          <w:rFonts w:ascii="Times New Roman" w:hAnsi="Times New Roman" w:cs="Times New Roman"/>
          <w:sz w:val="28"/>
          <w:szCs w:val="28"/>
        </w:rPr>
        <w:t>l plan</w:t>
      </w:r>
      <w:r w:rsidRPr="00F2273F">
        <w:rPr>
          <w:rFonts w:ascii="Times New Roman" w:eastAsia="Times New Roman" w:hAnsi="Times New Roman" w:cs="Times New Roman"/>
          <w:sz w:val="28"/>
          <w:szCs w:val="28"/>
          <w:vertAlign w:val="superscript"/>
        </w:rPr>
        <w:t>128</w:t>
      </w:r>
      <w:r w:rsidRPr="00F2273F">
        <w:rPr>
          <w:rFonts w:ascii="Times New Roman" w:hAnsi="Times New Roman" w:cs="Times New Roman"/>
          <w:sz w:val="28"/>
          <w:szCs w:val="28"/>
        </w:rPr>
        <w:t>.</w:t>
      </w:r>
    </w:p>
    <w:p w:rsidR="003C28BD" w:rsidRPr="00F2273F" w:rsidRDefault="00F2273F" w:rsidP="003C28BD">
      <w:pPr>
        <w:pStyle w:val="Prrafodelista"/>
        <w:spacing w:after="0" w:line="240" w:lineRule="auto"/>
        <w:ind w:left="0" w:right="49"/>
        <w:jc w:val="both"/>
        <w:rPr>
          <w:rFonts w:ascii="Times New Roman" w:hAnsi="Times New Roman" w:cs="Times New Roman"/>
          <w:sz w:val="28"/>
          <w:szCs w:val="28"/>
        </w:rPr>
      </w:pPr>
    </w:p>
    <w:p w:rsidR="00AF387B" w:rsidRPr="00F2273F" w:rsidRDefault="00F2273F" w:rsidP="00AF387B">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eastAsia="Times New Roman" w:hAnsi="Times New Roman" w:cs="Times New Roman"/>
          <w:sz w:val="28"/>
          <w:szCs w:val="28"/>
          <w:lang w:val="es-419" w:eastAsia="es-MX"/>
        </w:rPr>
        <w:t xml:space="preserve">La aludida </w:t>
      </w:r>
      <w:r w:rsidRPr="00F2273F">
        <w:rPr>
          <w:rFonts w:ascii="Times New Roman" w:eastAsia="Times New Roman" w:hAnsi="Times New Roman" w:cs="Times New Roman"/>
          <w:sz w:val="28"/>
          <w:szCs w:val="28"/>
          <w:lang w:val="es-419" w:eastAsia="es-MX"/>
        </w:rPr>
        <w:t>no aprobación del artículo 197/218</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 xml:space="preserve">del proyecto de plan nacional de desarrollo generó </w:t>
      </w:r>
      <w:r w:rsidRPr="00F2273F">
        <w:rPr>
          <w:rFonts w:ascii="Times New Roman" w:eastAsia="Times New Roman" w:hAnsi="Times New Roman" w:cs="Times New Roman"/>
          <w:sz w:val="28"/>
          <w:szCs w:val="28"/>
          <w:lang w:val="es-419" w:eastAsia="es-MX"/>
        </w:rPr>
        <w:t xml:space="preserve">como efecto que las derogatorias </w:t>
      </w:r>
      <w:r w:rsidRPr="00F2273F">
        <w:rPr>
          <w:rFonts w:ascii="Times New Roman" w:eastAsia="Times New Roman" w:hAnsi="Times New Roman" w:cs="Times New Roman"/>
          <w:sz w:val="28"/>
          <w:szCs w:val="28"/>
          <w:lang w:val="es-419" w:eastAsia="es-MX"/>
        </w:rPr>
        <w:t>dejaran de tener</w:t>
      </w:r>
      <w:r w:rsidRPr="00F2273F">
        <w:rPr>
          <w:rFonts w:ascii="Times New Roman" w:eastAsia="Times New Roman" w:hAnsi="Times New Roman" w:cs="Times New Roman"/>
          <w:sz w:val="28"/>
          <w:szCs w:val="28"/>
          <w:lang w:val="es-419" w:eastAsia="es-MX"/>
        </w:rPr>
        <w:t xml:space="preserve"> operatividad alguna y, en consecuencia, que no </w:t>
      </w:r>
      <w:r w:rsidRPr="00F2273F">
        <w:rPr>
          <w:rFonts w:ascii="Times New Roman" w:eastAsia="Times New Roman" w:hAnsi="Times New Roman" w:cs="Times New Roman"/>
          <w:sz w:val="28"/>
          <w:szCs w:val="28"/>
          <w:lang w:val="es-419" w:eastAsia="es-MX"/>
        </w:rPr>
        <w:t xml:space="preserve">fueran </w:t>
      </w:r>
      <w:r w:rsidRPr="00F2273F">
        <w:rPr>
          <w:rFonts w:ascii="Times New Roman" w:eastAsia="Times New Roman" w:hAnsi="Times New Roman" w:cs="Times New Roman"/>
          <w:sz w:val="28"/>
          <w:szCs w:val="28"/>
          <w:lang w:val="es-419" w:eastAsia="es-MX"/>
        </w:rPr>
        <w:t xml:space="preserve">un instrumento eficaz para </w:t>
      </w:r>
      <w:r w:rsidRPr="00F2273F">
        <w:rPr>
          <w:rFonts w:ascii="Times New Roman" w:eastAsia="Times New Roman" w:hAnsi="Times New Roman" w:cs="Times New Roman"/>
          <w:sz w:val="28"/>
          <w:szCs w:val="28"/>
          <w:lang w:val="es-419" w:eastAsia="es-MX"/>
        </w:rPr>
        <w:t xml:space="preserve">lograr </w:t>
      </w:r>
      <w:r w:rsidRPr="00F2273F">
        <w:rPr>
          <w:rFonts w:ascii="Times New Roman" w:eastAsia="Times New Roman" w:hAnsi="Times New Roman" w:cs="Times New Roman"/>
          <w:sz w:val="28"/>
          <w:szCs w:val="28"/>
          <w:lang w:val="es-419" w:eastAsia="es-MX"/>
        </w:rPr>
        <w:t xml:space="preserve">los propósitos del plan, tales como: (i) impulsar la participación de todos los agentes en el </w:t>
      </w:r>
      <w:r w:rsidRPr="00F2273F">
        <w:rPr>
          <w:rFonts w:ascii="Times New Roman" w:eastAsia="Times New Roman" w:hAnsi="Times New Roman" w:cs="Times New Roman"/>
          <w:sz w:val="28"/>
          <w:szCs w:val="28"/>
          <w:lang w:val="es-419" w:eastAsia="es-MX"/>
        </w:rPr>
        <w:t>mercado</w:t>
      </w:r>
      <w:r w:rsidRPr="00F2273F">
        <w:rPr>
          <w:rFonts w:ascii="Times New Roman" w:eastAsia="Times New Roman" w:hAnsi="Times New Roman" w:cs="Times New Roman"/>
          <w:sz w:val="28"/>
          <w:szCs w:val="28"/>
          <w:lang w:val="es-419" w:eastAsia="es-MX"/>
        </w:rPr>
        <w:t xml:space="preserve"> de enrgía electirca</w:t>
      </w:r>
      <w:r w:rsidRPr="00F2273F">
        <w:rPr>
          <w:rStyle w:val="Refdenotaalpie"/>
          <w:rFonts w:ascii="Times New Roman" w:eastAsia="Times New Roman" w:hAnsi="Times New Roman" w:cs="Times New Roman"/>
          <w:sz w:val="28"/>
          <w:szCs w:val="28"/>
          <w:lang w:val="es-419" w:eastAsia="es-MX"/>
        </w:rPr>
        <w:footnoteReference w:id="133"/>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 xml:space="preserve">pues ISA no puede participar efectivamente </w:t>
      </w:r>
      <w:r w:rsidRPr="00F2273F">
        <w:rPr>
          <w:rFonts w:ascii="Times New Roman" w:eastAsia="Times New Roman" w:hAnsi="Times New Roman" w:cs="Times New Roman"/>
          <w:sz w:val="28"/>
          <w:szCs w:val="28"/>
          <w:lang w:val="es-419" w:eastAsia="es-MX"/>
        </w:rPr>
        <w:t>desarrol</w:t>
      </w:r>
      <w:r w:rsidRPr="00F2273F">
        <w:rPr>
          <w:rFonts w:ascii="Times New Roman" w:eastAsia="Times New Roman" w:hAnsi="Times New Roman" w:cs="Times New Roman"/>
          <w:sz w:val="28"/>
          <w:szCs w:val="28"/>
          <w:lang w:val="es-419" w:eastAsia="es-MX"/>
        </w:rPr>
        <w:t>l</w:t>
      </w:r>
      <w:r w:rsidRPr="00F2273F">
        <w:rPr>
          <w:rFonts w:ascii="Times New Roman" w:eastAsia="Times New Roman" w:hAnsi="Times New Roman" w:cs="Times New Roman"/>
          <w:sz w:val="28"/>
          <w:szCs w:val="28"/>
          <w:lang w:val="es-419" w:eastAsia="es-MX"/>
        </w:rPr>
        <w:t xml:space="preserve">ando de forma </w:t>
      </w:r>
      <w:r w:rsidRPr="00F2273F">
        <w:rPr>
          <w:rFonts w:ascii="Times New Roman" w:eastAsia="Times New Roman" w:hAnsi="Times New Roman" w:cs="Times New Roman"/>
          <w:sz w:val="28"/>
          <w:szCs w:val="28"/>
          <w:lang w:val="es-419" w:eastAsia="es-MX"/>
        </w:rPr>
        <w:t xml:space="preserve">combinada </w:t>
      </w:r>
      <w:r w:rsidRPr="00F2273F">
        <w:rPr>
          <w:rFonts w:ascii="Times New Roman" w:eastAsia="Times New Roman" w:hAnsi="Times New Roman" w:cs="Times New Roman"/>
          <w:sz w:val="28"/>
          <w:szCs w:val="28"/>
          <w:lang w:val="es-419" w:eastAsia="es-MX"/>
        </w:rPr>
        <w:t xml:space="preserve">la actividad de </w:t>
      </w:r>
      <w:r w:rsidRPr="00F2273F">
        <w:rPr>
          <w:rFonts w:ascii="Times New Roman" w:eastAsia="Times New Roman" w:hAnsi="Times New Roman" w:cs="Times New Roman"/>
          <w:sz w:val="28"/>
          <w:szCs w:val="28"/>
          <w:lang w:val="es-419" w:eastAsia="es-MX"/>
        </w:rPr>
        <w:t xml:space="preserve">transmisión </w:t>
      </w:r>
      <w:r w:rsidRPr="00F2273F">
        <w:rPr>
          <w:rFonts w:ascii="Times New Roman" w:eastAsia="Times New Roman" w:hAnsi="Times New Roman" w:cs="Times New Roman"/>
          <w:sz w:val="28"/>
          <w:szCs w:val="28"/>
          <w:lang w:val="es-419" w:eastAsia="es-MX"/>
        </w:rPr>
        <w:t xml:space="preserve">con </w:t>
      </w:r>
      <w:r w:rsidRPr="00F2273F">
        <w:rPr>
          <w:rFonts w:ascii="Times New Roman" w:eastAsia="Times New Roman" w:hAnsi="Times New Roman" w:cs="Times New Roman"/>
          <w:sz w:val="28"/>
          <w:szCs w:val="28"/>
          <w:lang w:val="es-419" w:eastAsia="es-MX"/>
        </w:rPr>
        <w:t xml:space="preserve">cualquier otra </w:t>
      </w:r>
      <w:r w:rsidRPr="00F2273F">
        <w:rPr>
          <w:rFonts w:ascii="Times New Roman" w:eastAsia="Times New Roman" w:hAnsi="Times New Roman" w:cs="Times New Roman"/>
          <w:sz w:val="28"/>
          <w:szCs w:val="28"/>
          <w:lang w:val="es-419" w:eastAsia="es-MX"/>
        </w:rPr>
        <w:t>de la cad</w:t>
      </w:r>
      <w:r w:rsidRPr="00F2273F">
        <w:rPr>
          <w:rFonts w:ascii="Times New Roman" w:eastAsia="Times New Roman" w:hAnsi="Times New Roman" w:cs="Times New Roman"/>
          <w:sz w:val="28"/>
          <w:szCs w:val="28"/>
          <w:lang w:val="es-419" w:eastAsia="es-MX"/>
        </w:rPr>
        <w:t xml:space="preserve">ena de valor del servicio de </w:t>
      </w:r>
      <w:r w:rsidRPr="00F2273F">
        <w:rPr>
          <w:rFonts w:ascii="Times New Roman" w:eastAsia="Times New Roman" w:hAnsi="Times New Roman" w:cs="Times New Roman"/>
          <w:sz w:val="28"/>
          <w:szCs w:val="28"/>
          <w:lang w:val="es-419" w:eastAsia="es-MX"/>
        </w:rPr>
        <w:t>energía</w:t>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(ii) cerrar brechas y  ampliar la cobertura, pues para ello se requiere, de acuerdo con las bases, que la actividad se prest</w:t>
      </w:r>
      <w:r w:rsidRPr="00F2273F">
        <w:rPr>
          <w:rFonts w:ascii="Times New Roman" w:eastAsia="Times New Roman" w:hAnsi="Times New Roman" w:cs="Times New Roman"/>
          <w:sz w:val="28"/>
          <w:szCs w:val="28"/>
          <w:lang w:val="es-419" w:eastAsia="es-MX"/>
        </w:rPr>
        <w:t>e</w:t>
      </w:r>
      <w:r w:rsidRPr="00F2273F">
        <w:rPr>
          <w:rFonts w:ascii="Times New Roman" w:eastAsia="Times New Roman" w:hAnsi="Times New Roman" w:cs="Times New Roman"/>
          <w:sz w:val="28"/>
          <w:szCs w:val="28"/>
          <w:lang w:val="es-419" w:eastAsia="es-MX"/>
        </w:rPr>
        <w:t xml:space="preserve"> de </w:t>
      </w:r>
      <w:r w:rsidRPr="00F2273F">
        <w:rPr>
          <w:rFonts w:ascii="Times New Roman" w:eastAsia="Times New Roman" w:hAnsi="Times New Roman" w:cs="Times New Roman"/>
          <w:sz w:val="28"/>
          <w:szCs w:val="28"/>
          <w:lang w:val="es-419" w:eastAsia="es-MX"/>
        </w:rPr>
        <w:t xml:space="preserve">forma </w:t>
      </w:r>
      <w:r w:rsidRPr="00F2273F">
        <w:rPr>
          <w:rFonts w:ascii="Times New Roman" w:eastAsia="Times New Roman" w:hAnsi="Times New Roman" w:cs="Times New Roman"/>
          <w:sz w:val="28"/>
          <w:szCs w:val="28"/>
          <w:lang w:val="es-419" w:eastAsia="es-MX"/>
        </w:rPr>
        <w:t>integrada</w:t>
      </w:r>
      <w:r w:rsidRPr="00F2273F">
        <w:rPr>
          <w:rStyle w:val="Refdenotaalpie"/>
          <w:rFonts w:ascii="Times New Roman" w:eastAsia="Times New Roman" w:hAnsi="Times New Roman" w:cs="Times New Roman"/>
          <w:sz w:val="28"/>
          <w:szCs w:val="28"/>
          <w:lang w:val="es-419" w:eastAsia="es-MX"/>
        </w:rPr>
        <w:footnoteReference w:id="134"/>
      </w:r>
      <w:r w:rsidRPr="00F2273F">
        <w:rPr>
          <w:rFonts w:ascii="Times New Roman" w:eastAsia="Times New Roman" w:hAnsi="Times New Roman" w:cs="Times New Roman"/>
          <w:sz w:val="28"/>
          <w:szCs w:val="28"/>
          <w:lang w:val="es-419" w:eastAsia="es-MX"/>
        </w:rPr>
        <w:t xml:space="preserve">; </w:t>
      </w:r>
      <w:r w:rsidRPr="00F2273F">
        <w:rPr>
          <w:rFonts w:ascii="Times New Roman" w:eastAsia="Times New Roman" w:hAnsi="Times New Roman" w:cs="Times New Roman"/>
          <w:sz w:val="28"/>
          <w:szCs w:val="28"/>
          <w:lang w:val="es-419" w:eastAsia="es-MX"/>
        </w:rPr>
        <w:t xml:space="preserve">(iii) </w:t>
      </w:r>
      <w:r w:rsidRPr="00F2273F">
        <w:rPr>
          <w:rFonts w:ascii="Times New Roman" w:hAnsi="Times New Roman" w:cs="Times New Roman"/>
          <w:sz w:val="28"/>
          <w:szCs w:val="28"/>
          <w:lang w:eastAsia="es-ES"/>
        </w:rPr>
        <w:t xml:space="preserve">el acceso a energías seguras y sostenibles a través del desarrollo, adopción y adaptación de tecnologías para la transición energética, </w:t>
      </w:r>
      <w:r w:rsidRPr="00F2273F">
        <w:rPr>
          <w:rFonts w:ascii="Times New Roman" w:hAnsi="Times New Roman" w:cs="Times New Roman"/>
          <w:sz w:val="28"/>
          <w:szCs w:val="28"/>
          <w:lang w:eastAsia="es-ES"/>
        </w:rPr>
        <w:t xml:space="preserve">pues ello también </w:t>
      </w:r>
      <w:r w:rsidRPr="00F2273F">
        <w:rPr>
          <w:rFonts w:ascii="Times New Roman" w:hAnsi="Times New Roman" w:cs="Times New Roman"/>
          <w:sz w:val="28"/>
          <w:szCs w:val="28"/>
          <w:lang w:eastAsia="es-ES"/>
        </w:rPr>
        <w:t xml:space="preserve">tiene como presupuesto que la integración </w:t>
      </w:r>
      <w:r w:rsidRPr="00F2273F">
        <w:rPr>
          <w:rFonts w:ascii="Times New Roman" w:hAnsi="Times New Roman" w:cs="Times New Roman"/>
          <w:sz w:val="28"/>
          <w:szCs w:val="28"/>
          <w:lang w:eastAsia="es-ES"/>
        </w:rPr>
        <w:t>opere materialmente</w:t>
      </w:r>
      <w:r w:rsidRPr="00F2273F">
        <w:rPr>
          <w:rFonts w:ascii="Times New Roman" w:hAnsi="Times New Roman" w:cs="Times New Roman"/>
          <w:sz w:val="28"/>
          <w:szCs w:val="28"/>
          <w:lang w:eastAsia="es-ES"/>
        </w:rPr>
        <w:t xml:space="preserve"> y que se hubiere condicionado la operaci</w:t>
      </w:r>
      <w:r w:rsidRPr="00F2273F">
        <w:rPr>
          <w:rFonts w:ascii="Times New Roman" w:hAnsi="Times New Roman" w:cs="Times New Roman"/>
          <w:sz w:val="28"/>
          <w:szCs w:val="28"/>
          <w:lang w:eastAsia="es-ES"/>
        </w:rPr>
        <w:t>ón de ISA a ese propósito</w:t>
      </w:r>
      <w:r w:rsidRPr="00F2273F">
        <w:rPr>
          <w:rFonts w:ascii="Times New Roman" w:hAnsi="Times New Roman" w:cs="Times New Roman"/>
          <w:sz w:val="28"/>
          <w:szCs w:val="28"/>
          <w:lang w:eastAsia="es-ES"/>
        </w:rPr>
        <w:t xml:space="preserve">; (iii) la regulación de la CREG, a la que alude el PND, y que es un presupuesto de control para la medida de integración, no tendría objeto alguno pues </w:t>
      </w:r>
      <w:r w:rsidRPr="00F2273F">
        <w:rPr>
          <w:rFonts w:ascii="Times New Roman" w:hAnsi="Times New Roman" w:cs="Times New Roman"/>
          <w:sz w:val="28"/>
          <w:szCs w:val="28"/>
          <w:lang w:eastAsia="es-ES"/>
        </w:rPr>
        <w:t xml:space="preserve">resulta </w:t>
      </w:r>
      <w:r w:rsidRPr="00F2273F">
        <w:rPr>
          <w:rFonts w:ascii="Times New Roman" w:hAnsi="Times New Roman" w:cs="Times New Roman"/>
          <w:sz w:val="28"/>
          <w:szCs w:val="28"/>
          <w:lang w:eastAsia="es-ES"/>
        </w:rPr>
        <w:t>puramente</w:t>
      </w:r>
      <w:r w:rsidRPr="00F2273F">
        <w:rPr>
          <w:rFonts w:ascii="Times New Roman" w:hAnsi="Times New Roman" w:cs="Times New Roman"/>
          <w:sz w:val="28"/>
          <w:szCs w:val="28"/>
          <w:lang w:eastAsia="es-ES"/>
        </w:rPr>
        <w:t xml:space="preserve"> nominal y carece de efecto práctic</w:t>
      </w:r>
      <w:r w:rsidRPr="00F2273F">
        <w:rPr>
          <w:rFonts w:ascii="Times New Roman" w:hAnsi="Times New Roman" w:cs="Times New Roman"/>
          <w:sz w:val="28"/>
          <w:szCs w:val="28"/>
          <w:lang w:eastAsia="es-ES"/>
        </w:rPr>
        <w:t>o</w:t>
      </w:r>
      <w:r w:rsidRPr="00F2273F">
        <w:rPr>
          <w:rFonts w:ascii="Times New Roman" w:hAnsi="Times New Roman" w:cs="Times New Roman"/>
          <w:sz w:val="28"/>
          <w:szCs w:val="28"/>
          <w:lang w:eastAsia="es-ES"/>
        </w:rPr>
        <w:t xml:space="preserve"> dado que la  </w:t>
      </w:r>
      <w:r w:rsidRPr="00F2273F">
        <w:rPr>
          <w:rFonts w:ascii="Times New Roman" w:hAnsi="Times New Roman" w:cs="Times New Roman"/>
          <w:sz w:val="28"/>
          <w:szCs w:val="28"/>
          <w:lang w:eastAsia="es-ES"/>
        </w:rPr>
        <w:t>integración</w:t>
      </w:r>
      <w:r w:rsidRPr="00F2273F">
        <w:rPr>
          <w:rFonts w:ascii="Times New Roman" w:hAnsi="Times New Roman" w:cs="Times New Roman"/>
          <w:sz w:val="28"/>
          <w:szCs w:val="28"/>
          <w:lang w:eastAsia="es-ES"/>
        </w:rPr>
        <w:t xml:space="preserve"> no se verifica operativamente</w:t>
      </w:r>
      <w:r w:rsidRPr="00F2273F">
        <w:rPr>
          <w:rFonts w:ascii="Times New Roman" w:hAnsi="Times New Roman" w:cs="Times New Roman"/>
          <w:sz w:val="28"/>
          <w:szCs w:val="28"/>
          <w:lang w:eastAsia="es-ES"/>
        </w:rPr>
        <w:t>.</w:t>
      </w:r>
    </w:p>
    <w:p w:rsidR="00AF387B" w:rsidRPr="00F2273F" w:rsidRDefault="00F2273F" w:rsidP="00AF387B">
      <w:pPr>
        <w:pStyle w:val="Prrafodelista"/>
        <w:spacing w:after="0" w:line="240" w:lineRule="auto"/>
        <w:ind w:left="0" w:right="49"/>
        <w:jc w:val="both"/>
        <w:rPr>
          <w:rFonts w:ascii="Times New Roman" w:hAnsi="Times New Roman" w:cs="Times New Roman"/>
          <w:sz w:val="28"/>
          <w:szCs w:val="28"/>
        </w:rPr>
      </w:pPr>
    </w:p>
    <w:p w:rsidR="008A30AB" w:rsidRPr="00F2273F" w:rsidRDefault="00F2273F" w:rsidP="00AF387B">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sz w:val="28"/>
          <w:szCs w:val="28"/>
          <w:lang w:eastAsia="es-ES"/>
        </w:rPr>
        <w:t>En conclusión,</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para que </w:t>
      </w:r>
      <w:r w:rsidRPr="00F2273F">
        <w:rPr>
          <w:rFonts w:ascii="Times New Roman" w:hAnsi="Times New Roman" w:cs="Times New Roman"/>
          <w:sz w:val="28"/>
          <w:szCs w:val="28"/>
          <w:lang w:eastAsia="es-ES"/>
        </w:rPr>
        <w:t>disposici</w:t>
      </w:r>
      <w:r w:rsidRPr="00F2273F">
        <w:rPr>
          <w:rFonts w:ascii="Times New Roman" w:hAnsi="Times New Roman" w:cs="Times New Roman"/>
          <w:sz w:val="28"/>
          <w:szCs w:val="28"/>
          <w:lang w:eastAsia="es-ES"/>
        </w:rPr>
        <w:t>ones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como la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demandada</w:t>
      </w:r>
      <w:r w:rsidRPr="00F2273F">
        <w:rPr>
          <w:rFonts w:ascii="Times New Roman" w:hAnsi="Times New Roman" w:cs="Times New Roman"/>
          <w:sz w:val="28"/>
          <w:szCs w:val="28"/>
          <w:lang w:eastAsia="es-ES"/>
        </w:rPr>
        <w:t>s</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materializaran </w:t>
      </w:r>
      <w:r w:rsidRPr="00F2273F">
        <w:rPr>
          <w:rFonts w:ascii="Times New Roman" w:hAnsi="Times New Roman" w:cs="Times New Roman"/>
          <w:sz w:val="28"/>
          <w:szCs w:val="28"/>
          <w:lang w:eastAsia="es-ES"/>
        </w:rPr>
        <w:t xml:space="preserve">una función planificadora, se </w:t>
      </w:r>
      <w:r w:rsidRPr="00F2273F">
        <w:rPr>
          <w:rFonts w:ascii="Times New Roman" w:hAnsi="Times New Roman" w:cs="Times New Roman"/>
          <w:sz w:val="28"/>
          <w:szCs w:val="28"/>
          <w:lang w:eastAsia="es-ES"/>
        </w:rPr>
        <w:t xml:space="preserve">requeriría </w:t>
      </w:r>
      <w:r w:rsidRPr="00F2273F">
        <w:rPr>
          <w:rFonts w:ascii="Times New Roman" w:hAnsi="Times New Roman" w:cs="Times New Roman"/>
          <w:sz w:val="28"/>
          <w:szCs w:val="28"/>
          <w:lang w:eastAsia="es-ES"/>
        </w:rPr>
        <w:t xml:space="preserve">entonces un desarrollo </w:t>
      </w:r>
      <w:r w:rsidRPr="00F2273F">
        <w:rPr>
          <w:rFonts w:ascii="Times New Roman" w:hAnsi="Times New Roman" w:cs="Times New Roman"/>
          <w:sz w:val="28"/>
          <w:szCs w:val="28"/>
          <w:lang w:eastAsia="es-ES"/>
        </w:rPr>
        <w:t xml:space="preserve">normativo </w:t>
      </w:r>
      <w:r w:rsidRPr="00F2273F">
        <w:rPr>
          <w:rFonts w:ascii="Times New Roman" w:hAnsi="Times New Roman" w:cs="Times New Roman"/>
          <w:sz w:val="28"/>
          <w:szCs w:val="28"/>
          <w:lang w:eastAsia="es-ES"/>
        </w:rPr>
        <w:t xml:space="preserve">posterior de cara a lograr la efectividad de las disposiciones acusadas. </w:t>
      </w:r>
    </w:p>
    <w:p w:rsidR="008A30AB" w:rsidRPr="00F2273F" w:rsidRDefault="00F2273F" w:rsidP="008A30AB">
      <w:pPr>
        <w:pStyle w:val="Prrafodelista"/>
        <w:rPr>
          <w:rFonts w:ascii="Times New Roman" w:hAnsi="Times New Roman" w:cs="Times New Roman"/>
          <w:sz w:val="28"/>
          <w:szCs w:val="28"/>
        </w:rPr>
      </w:pPr>
    </w:p>
    <w:p w:rsidR="0073076A" w:rsidRPr="00F2273F" w:rsidRDefault="00F2273F" w:rsidP="0073135C">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Ello es tan así, que en mayo de 2023, una vez negada la aprobación del artículo 197/218 del proyecto de PND, el senador José David Name Cardozo presentó a consideración del Congreso un proyecto de ley autónomo</w:t>
      </w:r>
      <w:r w:rsidRPr="00F2273F">
        <w:rPr>
          <w:rStyle w:val="Refdenotaalpie"/>
          <w:rFonts w:ascii="Times New Roman" w:hAnsi="Times New Roman" w:cs="Times New Roman"/>
          <w:sz w:val="28"/>
          <w:szCs w:val="28"/>
        </w:rPr>
        <w:footnoteReference w:id="135"/>
      </w:r>
      <w:r w:rsidRPr="00F2273F">
        <w:rPr>
          <w:rFonts w:ascii="Times New Roman" w:hAnsi="Times New Roman" w:cs="Times New Roman"/>
          <w:sz w:val="28"/>
          <w:szCs w:val="28"/>
        </w:rPr>
        <w:t>, al cual el Gobierno nacional solicitó impart</w:t>
      </w:r>
      <w:r w:rsidRPr="00F2273F">
        <w:rPr>
          <w:rFonts w:ascii="Times New Roman" w:hAnsi="Times New Roman" w:cs="Times New Roman"/>
          <w:sz w:val="28"/>
          <w:szCs w:val="28"/>
        </w:rPr>
        <w:t>irle el trámite de urgencia, mediante comunicación del 19 de mayo de 2023</w:t>
      </w:r>
      <w:r w:rsidRPr="00F2273F">
        <w:rPr>
          <w:rFonts w:ascii="Times New Roman" w:hAnsi="Times New Roman" w:cs="Times New Roman"/>
          <w:sz w:val="28"/>
          <w:szCs w:val="28"/>
        </w:rPr>
        <w:t xml:space="preserve">. El proyecto contenía la misma regulación del artículo eliminado </w:t>
      </w:r>
      <w:r w:rsidRPr="00F2273F">
        <w:rPr>
          <w:rFonts w:ascii="Times New Roman" w:hAnsi="Times New Roman" w:cs="Times New Roman"/>
          <w:sz w:val="28"/>
          <w:szCs w:val="28"/>
        </w:rPr>
        <w:t>en materia de integración vertical del sector eléctrico, justificándose en la imposibilidad de integración por la reg</w:t>
      </w:r>
      <w:r w:rsidRPr="00F2273F">
        <w:rPr>
          <w:rFonts w:ascii="Times New Roman" w:hAnsi="Times New Roman" w:cs="Times New Roman"/>
          <w:sz w:val="28"/>
          <w:szCs w:val="28"/>
        </w:rPr>
        <w:t>ulación del artículo 74 de la Ley 143 de 1994</w:t>
      </w:r>
      <w:r w:rsidRPr="00F2273F">
        <w:rPr>
          <w:rFonts w:ascii="Times New Roman" w:hAnsi="Times New Roman" w:cs="Times New Roman"/>
          <w:sz w:val="28"/>
          <w:szCs w:val="28"/>
        </w:rPr>
        <w:t xml:space="preserve"> de la actividad de transmisión con otras de la cadena de valor </w:t>
      </w:r>
      <w:r w:rsidRPr="00F2273F">
        <w:rPr>
          <w:rFonts w:ascii="Times New Roman" w:hAnsi="Times New Roman" w:cs="Times New Roman"/>
          <w:sz w:val="28"/>
          <w:szCs w:val="28"/>
        </w:rPr>
        <w:t xml:space="preserve">en la </w:t>
      </w:r>
      <w:r w:rsidRPr="00F2273F">
        <w:rPr>
          <w:rFonts w:ascii="Times New Roman" w:hAnsi="Times New Roman" w:cs="Times New Roman"/>
          <w:sz w:val="28"/>
          <w:szCs w:val="28"/>
        </w:rPr>
        <w:t>prestación del servicio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Aunque la iniciativa fue archivada, </w:t>
      </w:r>
      <w:r w:rsidRPr="00F2273F">
        <w:rPr>
          <w:rFonts w:ascii="Times New Roman" w:hAnsi="Times New Roman" w:cs="Times New Roman"/>
          <w:sz w:val="28"/>
          <w:szCs w:val="28"/>
        </w:rPr>
        <w:t xml:space="preserve">para </w:t>
      </w:r>
      <w:r w:rsidRPr="00F2273F">
        <w:rPr>
          <w:rFonts w:ascii="Times New Roman" w:hAnsi="Times New Roman" w:cs="Times New Roman"/>
          <w:sz w:val="28"/>
          <w:szCs w:val="28"/>
        </w:rPr>
        <w:t>la Sala lo anterior da cuenta de que la operatividad de las derogatoria con</w:t>
      </w:r>
      <w:r w:rsidRPr="00F2273F">
        <w:rPr>
          <w:rFonts w:ascii="Times New Roman" w:hAnsi="Times New Roman" w:cs="Times New Roman"/>
          <w:sz w:val="28"/>
          <w:szCs w:val="28"/>
        </w:rPr>
        <w:t xml:space="preserve">tenidas en el artículo 373 </w:t>
      </w:r>
      <w:r w:rsidRPr="00F2273F">
        <w:rPr>
          <w:rFonts w:ascii="Times New Roman" w:hAnsi="Times New Roman" w:cs="Times New Roman"/>
          <w:sz w:val="28"/>
          <w:szCs w:val="28"/>
        </w:rPr>
        <w:t xml:space="preserve">del PND </w:t>
      </w:r>
      <w:r w:rsidRPr="00F2273F">
        <w:rPr>
          <w:rFonts w:ascii="Times New Roman" w:hAnsi="Times New Roman" w:cs="Times New Roman"/>
          <w:sz w:val="28"/>
          <w:szCs w:val="28"/>
        </w:rPr>
        <w:t xml:space="preserve">estaba ciertamente supeditada a la aprobación del artículo 197/218, al punto de que el Gobierno </w:t>
      </w:r>
      <w:r w:rsidRPr="00F2273F">
        <w:rPr>
          <w:rFonts w:ascii="Times New Roman" w:hAnsi="Times New Roman" w:cs="Times New Roman"/>
          <w:sz w:val="28"/>
          <w:szCs w:val="28"/>
        </w:rPr>
        <w:t xml:space="preserve">avaló prioritariamente </w:t>
      </w:r>
      <w:r w:rsidRPr="00F2273F">
        <w:rPr>
          <w:rFonts w:ascii="Times New Roman" w:hAnsi="Times New Roman" w:cs="Times New Roman"/>
          <w:sz w:val="28"/>
          <w:szCs w:val="28"/>
        </w:rPr>
        <w:t xml:space="preserve">un proyecto con el mismo contenido normativo luego de </w:t>
      </w:r>
      <w:r w:rsidRPr="00F2273F">
        <w:rPr>
          <w:rFonts w:ascii="Times New Roman" w:hAnsi="Times New Roman" w:cs="Times New Roman"/>
          <w:sz w:val="28"/>
          <w:szCs w:val="28"/>
        </w:rPr>
        <w:t xml:space="preserve">la </w:t>
      </w:r>
      <w:r w:rsidRPr="00F2273F">
        <w:rPr>
          <w:rFonts w:ascii="Times New Roman" w:hAnsi="Times New Roman" w:cs="Times New Roman"/>
          <w:sz w:val="28"/>
          <w:szCs w:val="28"/>
        </w:rPr>
        <w:t xml:space="preserve">eliminación </w:t>
      </w:r>
      <w:r w:rsidRPr="00F2273F">
        <w:rPr>
          <w:rFonts w:ascii="Times New Roman" w:hAnsi="Times New Roman" w:cs="Times New Roman"/>
          <w:sz w:val="28"/>
          <w:szCs w:val="28"/>
        </w:rPr>
        <w:t xml:space="preserve">de aquel </w:t>
      </w:r>
      <w:r w:rsidRPr="00F2273F">
        <w:rPr>
          <w:rFonts w:ascii="Times New Roman" w:hAnsi="Times New Roman" w:cs="Times New Roman"/>
          <w:sz w:val="28"/>
          <w:szCs w:val="28"/>
        </w:rPr>
        <w:t>en el trámite legislativ</w:t>
      </w:r>
      <w:r w:rsidRPr="00F2273F">
        <w:rPr>
          <w:rFonts w:ascii="Times New Roman" w:hAnsi="Times New Roman" w:cs="Times New Roman"/>
          <w:sz w:val="28"/>
          <w:szCs w:val="28"/>
        </w:rPr>
        <w:t>o</w:t>
      </w:r>
      <w:r w:rsidRPr="00F2273F">
        <w:rPr>
          <w:rFonts w:ascii="Times New Roman" w:hAnsi="Times New Roman" w:cs="Times New Roman"/>
          <w:sz w:val="28"/>
          <w:szCs w:val="28"/>
        </w:rPr>
        <w:t xml:space="preserve"> del plan nacional de desarrollo</w:t>
      </w:r>
      <w:r w:rsidRPr="00F2273F">
        <w:rPr>
          <w:rFonts w:ascii="Times New Roman" w:hAnsi="Times New Roman" w:cs="Times New Roman"/>
          <w:sz w:val="28"/>
          <w:szCs w:val="28"/>
        </w:rPr>
        <w:t>.</w:t>
      </w:r>
    </w:p>
    <w:p w:rsidR="008D1822" w:rsidRPr="00F2273F" w:rsidRDefault="00F2273F" w:rsidP="002417CC">
      <w:pPr>
        <w:rPr>
          <w:rFonts w:ascii="Times New Roman" w:hAnsi="Times New Roman" w:cs="Times New Roman"/>
          <w:sz w:val="28"/>
        </w:rPr>
      </w:pPr>
    </w:p>
    <w:p w:rsidR="00207925" w:rsidRPr="00F2273F" w:rsidRDefault="00F2273F" w:rsidP="00251935">
      <w:pPr>
        <w:pStyle w:val="Prrafodelista"/>
        <w:numPr>
          <w:ilvl w:val="0"/>
          <w:numId w:val="3"/>
        </w:numPr>
        <w:spacing w:after="0" w:line="240" w:lineRule="auto"/>
        <w:ind w:left="0" w:right="49" w:firstLine="0"/>
        <w:jc w:val="both"/>
        <w:rPr>
          <w:rFonts w:ascii="Times New Roman" w:hAnsi="Times New Roman" w:cs="Times New Roman"/>
          <w:sz w:val="28"/>
          <w:szCs w:val="28"/>
        </w:rPr>
      </w:pPr>
      <w:r w:rsidRPr="00F2273F">
        <w:rPr>
          <w:rFonts w:ascii="Times New Roman" w:hAnsi="Times New Roman" w:cs="Times New Roman"/>
          <w:sz w:val="28"/>
          <w:szCs w:val="28"/>
        </w:rPr>
        <w:t xml:space="preserve">Por lo expuesto, la medida </w:t>
      </w:r>
      <w:r w:rsidRPr="00F2273F">
        <w:rPr>
          <w:rFonts w:ascii="Times New Roman" w:hAnsi="Times New Roman" w:cs="Times New Roman"/>
          <w:sz w:val="28"/>
          <w:szCs w:val="28"/>
        </w:rPr>
        <w:t>no supera ninguno de los pasos que componen el análisis</w:t>
      </w:r>
      <w:r w:rsidRPr="00F2273F">
        <w:rPr>
          <w:rFonts w:ascii="Times New Roman" w:hAnsi="Times New Roman" w:cs="Times New Roman"/>
          <w:sz w:val="28"/>
          <w:szCs w:val="28"/>
        </w:rPr>
        <w:t xml:space="preserve"> en cuanto a la censura por unidad de materia</w:t>
      </w:r>
      <w:r w:rsidRPr="00F2273F">
        <w:rPr>
          <w:rFonts w:ascii="Times New Roman" w:hAnsi="Times New Roman" w:cs="Times New Roman"/>
          <w:sz w:val="28"/>
          <w:szCs w:val="28"/>
        </w:rPr>
        <w:t xml:space="preserve">, dado que </w:t>
      </w:r>
      <w:r w:rsidRPr="00F2273F">
        <w:rPr>
          <w:rFonts w:ascii="Times New Roman" w:hAnsi="Times New Roman" w:cs="Times New Roman"/>
          <w:sz w:val="28"/>
          <w:szCs w:val="28"/>
        </w:rPr>
        <w:t xml:space="preserve">las derogatorias no </w:t>
      </w:r>
      <w:r w:rsidRPr="00F2273F">
        <w:rPr>
          <w:rFonts w:ascii="Times New Roman" w:hAnsi="Times New Roman" w:cs="Times New Roman"/>
          <w:sz w:val="28"/>
          <w:szCs w:val="28"/>
        </w:rPr>
        <w:t xml:space="preserve">cuentan con carácter </w:t>
      </w:r>
      <w:r w:rsidRPr="00F2273F">
        <w:rPr>
          <w:rFonts w:ascii="Times New Roman" w:hAnsi="Times New Roman" w:cs="Times New Roman"/>
          <w:sz w:val="28"/>
          <w:szCs w:val="28"/>
        </w:rPr>
        <w:t xml:space="preserve">instrumental, no tienen relación con los </w:t>
      </w:r>
      <w:r w:rsidRPr="00F2273F">
        <w:rPr>
          <w:rFonts w:ascii="Times New Roman" w:hAnsi="Times New Roman" w:cs="Times New Roman"/>
          <w:sz w:val="28"/>
          <w:szCs w:val="28"/>
        </w:rPr>
        <w:t>objetivos y programas del plan y del plan plurianual de inversiones y</w:t>
      </w:r>
      <w:r w:rsidRPr="00F2273F">
        <w:rPr>
          <w:rFonts w:ascii="Times New Roman" w:hAnsi="Times New Roman" w:cs="Times New Roman"/>
          <w:sz w:val="28"/>
          <w:szCs w:val="28"/>
        </w:rPr>
        <w:t xml:space="preserve"> no tiene</w:t>
      </w:r>
      <w:r w:rsidRPr="00F2273F">
        <w:rPr>
          <w:rFonts w:ascii="Times New Roman" w:hAnsi="Times New Roman" w:cs="Times New Roman"/>
          <w:sz w:val="28"/>
          <w:szCs w:val="28"/>
        </w:rPr>
        <w:t>n</w:t>
      </w:r>
      <w:r w:rsidRPr="00F2273F">
        <w:rPr>
          <w:rFonts w:ascii="Times New Roman" w:hAnsi="Times New Roman" w:cs="Times New Roman"/>
          <w:sz w:val="28"/>
          <w:szCs w:val="28"/>
        </w:rPr>
        <w:t xml:space="preserve"> alcance planificador</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 </w:t>
      </w:r>
    </w:p>
    <w:p w:rsidR="00211098" w:rsidRPr="00F2273F" w:rsidRDefault="00F2273F" w:rsidP="00211098">
      <w:pPr>
        <w:pStyle w:val="Prrafodelista"/>
        <w:spacing w:after="0" w:line="240" w:lineRule="auto"/>
        <w:ind w:left="0" w:right="49"/>
        <w:jc w:val="both"/>
        <w:rPr>
          <w:rFonts w:ascii="Times New Roman" w:hAnsi="Times New Roman" w:cs="Times New Roman"/>
          <w:sz w:val="28"/>
          <w:szCs w:val="28"/>
        </w:rPr>
      </w:pPr>
    </w:p>
    <w:p w:rsidR="00251935" w:rsidRPr="00F2273F" w:rsidRDefault="00F2273F" w:rsidP="008D1822">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 xml:space="preserve">Adicionalmente la Sala considera relevante </w:t>
      </w:r>
      <w:r w:rsidRPr="00F2273F">
        <w:rPr>
          <w:rFonts w:ascii="Times New Roman" w:hAnsi="Times New Roman" w:cs="Times New Roman"/>
          <w:sz w:val="28"/>
          <w:szCs w:val="28"/>
        </w:rPr>
        <w:t xml:space="preserve">precisar </w:t>
      </w:r>
      <w:r w:rsidRPr="00F2273F">
        <w:rPr>
          <w:rFonts w:ascii="Times New Roman" w:hAnsi="Times New Roman" w:cs="Times New Roman"/>
          <w:sz w:val="28"/>
          <w:szCs w:val="28"/>
        </w:rPr>
        <w:t>que</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de acuerdo con </w:t>
      </w:r>
      <w:r w:rsidRPr="00F2273F">
        <w:rPr>
          <w:rFonts w:ascii="Times New Roman" w:hAnsi="Times New Roman" w:cs="Times New Roman"/>
          <w:sz w:val="28"/>
          <w:szCs w:val="28"/>
        </w:rPr>
        <w:t>la Sentencia C-033 de 2026, en el análisis de la unidad de materia</w:t>
      </w:r>
      <w:r w:rsidRPr="00F2273F">
        <w:rPr>
          <w:rFonts w:ascii="Times New Roman" w:hAnsi="Times New Roman" w:cs="Times New Roman"/>
          <w:sz w:val="28"/>
          <w:szCs w:val="28"/>
        </w:rPr>
        <w:t xml:space="preserve"> frente a disposiciones contenidas en el plan nacional de desarrollo</w:t>
      </w:r>
      <w:r w:rsidRPr="00F2273F">
        <w:rPr>
          <w:rFonts w:ascii="Times New Roman" w:hAnsi="Times New Roman" w:cs="Times New Roman"/>
          <w:sz w:val="28"/>
          <w:szCs w:val="28"/>
        </w:rPr>
        <w:t xml:space="preserve"> también se debe </w:t>
      </w:r>
      <w:r w:rsidRPr="00F2273F">
        <w:rPr>
          <w:rFonts w:ascii="Times New Roman" w:hAnsi="Times New Roman" w:cs="Times New Roman"/>
          <w:sz w:val="28"/>
          <w:szCs w:val="28"/>
        </w:rPr>
        <w:t xml:space="preserve">analizar </w:t>
      </w:r>
      <w:r w:rsidRPr="00F2273F">
        <w:rPr>
          <w:rFonts w:ascii="Times New Roman" w:hAnsi="Times New Roman" w:cs="Times New Roman"/>
          <w:sz w:val="28"/>
          <w:szCs w:val="28"/>
        </w:rPr>
        <w:t>el debate</w:t>
      </w:r>
      <w:r w:rsidRPr="00F2273F">
        <w:rPr>
          <w:rFonts w:ascii="Times New Roman" w:hAnsi="Times New Roman" w:cs="Times New Roman"/>
          <w:sz w:val="28"/>
          <w:szCs w:val="28"/>
        </w:rPr>
        <w:t xml:space="preserve"> surtido para la aprobación de </w:t>
      </w:r>
      <w:r w:rsidRPr="00F2273F">
        <w:rPr>
          <w:rFonts w:ascii="Times New Roman" w:hAnsi="Times New Roman" w:cs="Times New Roman"/>
          <w:sz w:val="28"/>
          <w:szCs w:val="28"/>
        </w:rPr>
        <w:t xml:space="preserve">estas </w:t>
      </w:r>
      <w:r w:rsidRPr="00F2273F">
        <w:rPr>
          <w:rFonts w:ascii="Times New Roman" w:hAnsi="Times New Roman" w:cs="Times New Roman"/>
          <w:sz w:val="28"/>
          <w:szCs w:val="28"/>
        </w:rPr>
        <w:t xml:space="preserve">y la </w:t>
      </w:r>
      <w:r w:rsidRPr="00F2273F">
        <w:rPr>
          <w:rFonts w:ascii="Times New Roman" w:hAnsi="Times New Roman" w:cs="Times New Roman"/>
          <w:sz w:val="28"/>
          <w:szCs w:val="28"/>
        </w:rPr>
        <w:t>j</w:t>
      </w:r>
      <w:r w:rsidRPr="00F2273F">
        <w:rPr>
          <w:rFonts w:ascii="Times New Roman" w:hAnsi="Times New Roman" w:cs="Times New Roman"/>
          <w:sz w:val="28"/>
          <w:szCs w:val="28"/>
        </w:rPr>
        <w:t xml:space="preserve">ustificación presentada </w:t>
      </w:r>
      <w:r w:rsidRPr="00F2273F">
        <w:rPr>
          <w:rFonts w:ascii="Times New Roman" w:hAnsi="Times New Roman" w:cs="Times New Roman"/>
          <w:sz w:val="28"/>
          <w:szCs w:val="28"/>
        </w:rPr>
        <w:t>en el trámite legislativo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sobre la necesidad de </w:t>
      </w:r>
      <w:r w:rsidRPr="00F2273F">
        <w:rPr>
          <w:rFonts w:ascii="Times New Roman" w:hAnsi="Times New Roman" w:cs="Times New Roman"/>
          <w:sz w:val="28"/>
          <w:szCs w:val="28"/>
        </w:rPr>
        <w:t>su adopción</w:t>
      </w:r>
      <w:r w:rsidRPr="00F2273F">
        <w:rPr>
          <w:rFonts w:ascii="Times New Roman" w:hAnsi="Times New Roman" w:cs="Times New Roman"/>
          <w:sz w:val="28"/>
          <w:szCs w:val="28"/>
        </w:rPr>
        <w:t>.</w:t>
      </w:r>
    </w:p>
    <w:p w:rsidR="00251935" w:rsidRPr="00F2273F" w:rsidRDefault="00F2273F" w:rsidP="00251935">
      <w:pPr>
        <w:pStyle w:val="Prrafodelista"/>
        <w:rPr>
          <w:rFonts w:ascii="Times New Roman" w:hAnsi="Times New Roman" w:cs="Times New Roman"/>
          <w:sz w:val="28"/>
          <w:szCs w:val="28"/>
        </w:rPr>
      </w:pPr>
    </w:p>
    <w:p w:rsidR="00616E80" w:rsidRPr="00F2273F" w:rsidRDefault="00F2273F" w:rsidP="008D1822">
      <w:pPr>
        <w:pStyle w:val="Prrafodelista"/>
        <w:numPr>
          <w:ilvl w:val="0"/>
          <w:numId w:val="3"/>
        </w:numPr>
        <w:shd w:val="clear" w:color="auto" w:fill="FFFFFF"/>
        <w:tabs>
          <w:tab w:val="left" w:pos="0"/>
        </w:tabs>
        <w:spacing w:after="0" w:line="240" w:lineRule="auto"/>
        <w:ind w:left="0" w:right="48" w:firstLine="0"/>
        <w:jc w:val="both"/>
        <w:textAlignment w:val="baseline"/>
        <w:rPr>
          <w:rFonts w:ascii="Times New Roman" w:hAnsi="Times New Roman" w:cs="Times New Roman"/>
          <w:sz w:val="28"/>
          <w:szCs w:val="28"/>
        </w:rPr>
      </w:pPr>
      <w:r w:rsidRPr="00F2273F">
        <w:rPr>
          <w:rFonts w:ascii="Times New Roman" w:hAnsi="Times New Roman" w:cs="Times New Roman"/>
          <w:sz w:val="28"/>
          <w:szCs w:val="28"/>
        </w:rPr>
        <w:t>Conforme se expuso al co</w:t>
      </w:r>
      <w:r w:rsidRPr="00F2273F">
        <w:rPr>
          <w:rFonts w:ascii="Times New Roman" w:hAnsi="Times New Roman" w:cs="Times New Roman"/>
          <w:sz w:val="28"/>
          <w:szCs w:val="28"/>
        </w:rPr>
        <w:t>nstatar la vulneración del principio de consecutividad, el aparte demandado no hizo parte del proyecto inicialmente presentado por el Gobierno y tan solo se introdujo en el informe de ponencia para segundo debate. Una vez incorporada al trámite legislativo</w:t>
      </w:r>
      <w:r w:rsidRPr="00F2273F">
        <w:rPr>
          <w:rFonts w:ascii="Times New Roman" w:hAnsi="Times New Roman" w:cs="Times New Roman"/>
          <w:sz w:val="28"/>
          <w:szCs w:val="28"/>
        </w:rPr>
        <w:t xml:space="preserve"> a título de </w:t>
      </w:r>
      <w:r w:rsidRPr="00F2273F">
        <w:rPr>
          <w:rFonts w:ascii="Times New Roman" w:hAnsi="Times New Roman" w:cs="Times New Roman"/>
          <w:i/>
          <w:iCs/>
          <w:sz w:val="28"/>
          <w:szCs w:val="28"/>
        </w:rPr>
        <w:t>vigencia y derogatorias</w:t>
      </w:r>
      <w:r w:rsidRPr="00F2273F">
        <w:rPr>
          <w:rFonts w:ascii="Times New Roman" w:hAnsi="Times New Roman" w:cs="Times New Roman"/>
          <w:sz w:val="28"/>
          <w:szCs w:val="28"/>
        </w:rPr>
        <w:t xml:space="preserve">, el aparte demandado no fue objeto de un debate amplio y detallado, tal como se expuso a propósito del </w:t>
      </w:r>
      <w:r w:rsidRPr="00F2273F">
        <w:rPr>
          <w:rFonts w:ascii="Times New Roman" w:hAnsi="Times New Roman" w:cs="Times New Roman"/>
          <w:sz w:val="28"/>
          <w:szCs w:val="28"/>
        </w:rPr>
        <w:t xml:space="preserve">primer </w:t>
      </w:r>
      <w:r w:rsidRPr="00F2273F">
        <w:rPr>
          <w:rFonts w:ascii="Times New Roman" w:hAnsi="Times New Roman" w:cs="Times New Roman"/>
          <w:sz w:val="28"/>
          <w:szCs w:val="28"/>
        </w:rPr>
        <w:t xml:space="preserve">cargo </w:t>
      </w:r>
      <w:r w:rsidRPr="00F2273F">
        <w:rPr>
          <w:rFonts w:ascii="Times New Roman" w:hAnsi="Times New Roman" w:cs="Times New Roman"/>
          <w:sz w:val="28"/>
          <w:szCs w:val="28"/>
        </w:rPr>
        <w:t>antes resuelto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El </w:t>
      </w:r>
      <w:r w:rsidRPr="00F2273F">
        <w:rPr>
          <w:rFonts w:ascii="Times New Roman" w:hAnsi="Times New Roman" w:cs="Times New Roman"/>
          <w:sz w:val="28"/>
          <w:szCs w:val="28"/>
        </w:rPr>
        <w:t xml:space="preserve">Gobierno </w:t>
      </w:r>
      <w:r w:rsidRPr="00F2273F">
        <w:rPr>
          <w:rFonts w:ascii="Times New Roman" w:hAnsi="Times New Roman" w:cs="Times New Roman"/>
          <w:sz w:val="28"/>
          <w:szCs w:val="28"/>
        </w:rPr>
        <w:t>no</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ofreció</w:t>
      </w:r>
      <w:r w:rsidRPr="00F2273F">
        <w:rPr>
          <w:rFonts w:ascii="Times New Roman" w:hAnsi="Times New Roman" w:cs="Times New Roman"/>
          <w:sz w:val="28"/>
          <w:szCs w:val="28"/>
        </w:rPr>
        <w:t xml:space="preserve"> ni el Congreso deliberó sobre </w:t>
      </w:r>
      <w:r w:rsidRPr="00F2273F">
        <w:rPr>
          <w:rFonts w:ascii="Times New Roman" w:hAnsi="Times New Roman" w:cs="Times New Roman"/>
          <w:sz w:val="28"/>
          <w:szCs w:val="28"/>
        </w:rPr>
        <w:t xml:space="preserve">una justificación concreta </w:t>
      </w:r>
      <w:r w:rsidRPr="00F2273F">
        <w:rPr>
          <w:rFonts w:ascii="Times New Roman" w:hAnsi="Times New Roman" w:cs="Times New Roman"/>
          <w:sz w:val="28"/>
          <w:szCs w:val="28"/>
        </w:rPr>
        <w:t xml:space="preserve">en cuanto a </w:t>
      </w:r>
      <w:r w:rsidRPr="00F2273F">
        <w:rPr>
          <w:rFonts w:ascii="Times New Roman" w:hAnsi="Times New Roman" w:cs="Times New Roman"/>
          <w:sz w:val="28"/>
          <w:szCs w:val="28"/>
        </w:rPr>
        <w:t xml:space="preserve">la operatividad </w:t>
      </w:r>
      <w:r w:rsidRPr="00F2273F">
        <w:rPr>
          <w:rFonts w:ascii="Times New Roman" w:hAnsi="Times New Roman" w:cs="Times New Roman"/>
          <w:sz w:val="28"/>
          <w:szCs w:val="28"/>
        </w:rPr>
        <w:t xml:space="preserve">de las derogatorias luego de la </w:t>
      </w:r>
      <w:r w:rsidRPr="00F2273F">
        <w:rPr>
          <w:rFonts w:ascii="Times New Roman" w:hAnsi="Times New Roman" w:cs="Times New Roman"/>
          <w:sz w:val="28"/>
          <w:szCs w:val="28"/>
        </w:rPr>
        <w:t>eliminación</w:t>
      </w:r>
      <w:r w:rsidRPr="00F2273F">
        <w:rPr>
          <w:rFonts w:ascii="Times New Roman" w:hAnsi="Times New Roman" w:cs="Times New Roman"/>
          <w:sz w:val="28"/>
          <w:szCs w:val="28"/>
        </w:rPr>
        <w:t xml:space="preserve"> del artículo 197/218</w:t>
      </w:r>
      <w:r w:rsidRPr="00F2273F">
        <w:rPr>
          <w:rFonts w:ascii="Times New Roman" w:hAnsi="Times New Roman" w:cs="Times New Roman"/>
          <w:sz w:val="28"/>
          <w:szCs w:val="28"/>
        </w:rPr>
        <w:t xml:space="preserve"> del p</w:t>
      </w:r>
      <w:r w:rsidRPr="00F2273F">
        <w:rPr>
          <w:rFonts w:ascii="Times New Roman" w:hAnsi="Times New Roman" w:cs="Times New Roman"/>
          <w:sz w:val="28"/>
          <w:szCs w:val="28"/>
        </w:rPr>
        <w:t>royecto de plan</w:t>
      </w:r>
      <w:r w:rsidRPr="00F2273F">
        <w:rPr>
          <w:rFonts w:ascii="Times New Roman" w:hAnsi="Times New Roman" w:cs="Times New Roman"/>
          <w:sz w:val="28"/>
          <w:szCs w:val="28"/>
        </w:rPr>
        <w:t xml:space="preserve">. Asimismo, ni el </w:t>
      </w:r>
      <w:r w:rsidRPr="00F2273F">
        <w:rPr>
          <w:rFonts w:ascii="Times New Roman" w:hAnsi="Times New Roman" w:cs="Times New Roman"/>
          <w:sz w:val="28"/>
          <w:szCs w:val="28"/>
        </w:rPr>
        <w:t xml:space="preserve">Gobierno </w:t>
      </w:r>
      <w:r w:rsidRPr="00F2273F">
        <w:rPr>
          <w:rFonts w:ascii="Times New Roman" w:hAnsi="Times New Roman" w:cs="Times New Roman"/>
          <w:sz w:val="28"/>
          <w:szCs w:val="28"/>
        </w:rPr>
        <w:t>ni los ponentes</w:t>
      </w:r>
      <w:r w:rsidRPr="00F2273F">
        <w:rPr>
          <w:rFonts w:ascii="Times New Roman" w:hAnsi="Times New Roman" w:cs="Times New Roman"/>
          <w:sz w:val="28"/>
          <w:szCs w:val="28"/>
        </w:rPr>
        <w:t xml:space="preserve"> en segundo debate</w:t>
      </w:r>
      <w:r w:rsidRPr="00F2273F">
        <w:rPr>
          <w:rFonts w:ascii="Times New Roman" w:hAnsi="Times New Roman" w:cs="Times New Roman"/>
          <w:sz w:val="28"/>
          <w:szCs w:val="28"/>
        </w:rPr>
        <w:t xml:space="preserve"> sustentaron la inclusión de las medidas revisadas</w:t>
      </w:r>
      <w:r w:rsidRPr="00F2273F">
        <w:rPr>
          <w:rFonts w:ascii="Times New Roman" w:hAnsi="Times New Roman" w:cs="Times New Roman"/>
          <w:sz w:val="28"/>
          <w:szCs w:val="28"/>
        </w:rPr>
        <w:t xml:space="preserve">, así como tampoco </w:t>
      </w:r>
      <w:r w:rsidRPr="00F2273F">
        <w:rPr>
          <w:rFonts w:ascii="Times New Roman" w:hAnsi="Times New Roman" w:cs="Times New Roman"/>
          <w:sz w:val="28"/>
          <w:szCs w:val="28"/>
        </w:rPr>
        <w:t xml:space="preserve">en </w:t>
      </w:r>
      <w:r w:rsidRPr="00F2273F">
        <w:rPr>
          <w:rFonts w:ascii="Times New Roman" w:hAnsi="Times New Roman" w:cs="Times New Roman"/>
          <w:sz w:val="28"/>
          <w:szCs w:val="28"/>
        </w:rPr>
        <w:t xml:space="preserve">la proposición </w:t>
      </w:r>
      <w:r w:rsidRPr="00F2273F">
        <w:rPr>
          <w:rFonts w:ascii="Times New Roman" w:hAnsi="Times New Roman" w:cs="Times New Roman"/>
          <w:sz w:val="28"/>
          <w:szCs w:val="28"/>
        </w:rPr>
        <w:t>que sustentó la inclusión de las derogatorias demandadas</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se justificó </w:t>
      </w:r>
      <w:r w:rsidRPr="00F2273F">
        <w:rPr>
          <w:rFonts w:ascii="Times New Roman" w:hAnsi="Times New Roman" w:cs="Times New Roman"/>
          <w:sz w:val="28"/>
          <w:szCs w:val="28"/>
        </w:rPr>
        <w:t xml:space="preserve">siquiera mínimamente la introducción de </w:t>
      </w:r>
      <w:r w:rsidRPr="00F2273F">
        <w:rPr>
          <w:rFonts w:ascii="Times New Roman" w:hAnsi="Times New Roman" w:cs="Times New Roman"/>
          <w:sz w:val="28"/>
          <w:szCs w:val="28"/>
        </w:rPr>
        <w:t>estas en la ley del plan</w:t>
      </w:r>
      <w:r w:rsidRPr="00F2273F">
        <w:rPr>
          <w:rFonts w:ascii="Times New Roman" w:hAnsi="Times New Roman" w:cs="Times New Roman"/>
          <w:sz w:val="28"/>
          <w:szCs w:val="28"/>
        </w:rPr>
        <w:t>, ni hubo discusión parlamentaria sobre el particular</w:t>
      </w:r>
      <w:r w:rsidRPr="00F2273F">
        <w:rPr>
          <w:rFonts w:ascii="Times New Roman" w:hAnsi="Times New Roman" w:cs="Times New Roman"/>
          <w:sz w:val="28"/>
          <w:szCs w:val="28"/>
        </w:rPr>
        <w:t xml:space="preserve">. </w:t>
      </w:r>
      <w:r w:rsidRPr="00F2273F">
        <w:rPr>
          <w:rFonts w:ascii="Times New Roman" w:hAnsi="Times New Roman" w:cs="Times New Roman"/>
          <w:sz w:val="28"/>
          <w:szCs w:val="28"/>
        </w:rPr>
        <w:t xml:space="preserve">Se evidencia entonces que no se cumplió el estándar </w:t>
      </w:r>
      <w:r w:rsidRPr="00F2273F">
        <w:rPr>
          <w:rFonts w:ascii="Times New Roman" w:hAnsi="Times New Roman" w:cs="Times New Roman"/>
          <w:sz w:val="28"/>
          <w:szCs w:val="28"/>
        </w:rPr>
        <w:t>deliberativo mínimo para adoptar este tipo de disposiciones en el plan nacional de desarrollo, lo cual se aprecia con mayor rigor en tratándose de normas que afectan la estructura de un mercado de alta relevancia, encargado de proveer un servicio público d</w:t>
      </w:r>
      <w:r w:rsidRPr="00F2273F">
        <w:rPr>
          <w:rFonts w:ascii="Times New Roman" w:hAnsi="Times New Roman" w:cs="Times New Roman"/>
          <w:sz w:val="28"/>
          <w:szCs w:val="28"/>
        </w:rPr>
        <w:t>omiciliario.</w:t>
      </w:r>
    </w:p>
    <w:p w:rsidR="001649AF" w:rsidRPr="00F2273F" w:rsidRDefault="00F2273F" w:rsidP="00211098">
      <w:pPr>
        <w:pStyle w:val="Prrafodelista"/>
        <w:shd w:val="clear" w:color="auto" w:fill="FFFFFF"/>
        <w:tabs>
          <w:tab w:val="left" w:pos="0"/>
        </w:tabs>
        <w:spacing w:after="0" w:line="240" w:lineRule="auto"/>
        <w:ind w:left="0" w:right="48"/>
        <w:jc w:val="both"/>
        <w:textAlignment w:val="baseline"/>
        <w:rPr>
          <w:rFonts w:ascii="Times New Roman" w:hAnsi="Times New Roman" w:cs="Times New Roman"/>
          <w:sz w:val="28"/>
          <w:szCs w:val="28"/>
        </w:rPr>
      </w:pPr>
    </w:p>
    <w:p w:rsidR="007950AF" w:rsidRPr="00F2273F" w:rsidRDefault="00F2273F" w:rsidP="009F5BAE">
      <w:pPr>
        <w:pStyle w:val="Prrafodelista"/>
        <w:numPr>
          <w:ilvl w:val="0"/>
          <w:numId w:val="3"/>
        </w:numPr>
        <w:spacing w:after="0" w:line="240" w:lineRule="auto"/>
        <w:ind w:left="0" w:right="48" w:firstLine="0"/>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Bajo estas circunstancias y agotadas las fases del análisis</w:t>
      </w:r>
      <w:r w:rsidRPr="00F2273F">
        <w:rPr>
          <w:rFonts w:ascii="Times New Roman" w:hAnsi="Times New Roman" w:cs="Times New Roman"/>
          <w:sz w:val="28"/>
          <w:szCs w:val="28"/>
          <w:lang w:eastAsia="es-ES"/>
        </w:rPr>
        <w:t xml:space="preserve"> conforme la metodología empleada por la Corte Constitucional</w:t>
      </w:r>
      <w:r w:rsidRPr="00F2273F">
        <w:rPr>
          <w:rFonts w:ascii="Times New Roman" w:hAnsi="Times New Roman" w:cs="Times New Roman"/>
          <w:sz w:val="28"/>
          <w:szCs w:val="28"/>
          <w:lang w:eastAsia="es-ES"/>
        </w:rPr>
        <w:t>, la Sala también encuentra acreditado el desconocimiento del principio de unidad de materia</w:t>
      </w:r>
      <w:r w:rsidRPr="00F2273F">
        <w:rPr>
          <w:rFonts w:ascii="Times New Roman" w:hAnsi="Times New Roman" w:cs="Times New Roman"/>
          <w:sz w:val="28"/>
          <w:szCs w:val="28"/>
          <w:lang w:eastAsia="es-ES"/>
        </w:rPr>
        <w:t xml:space="preserve">, por lo cual se declarará la </w:t>
      </w:r>
      <w:r w:rsidRPr="00F2273F">
        <w:rPr>
          <w:rFonts w:ascii="Times New Roman" w:hAnsi="Times New Roman" w:cs="Times New Roman"/>
          <w:sz w:val="28"/>
          <w:szCs w:val="28"/>
          <w:lang w:eastAsia="es-ES"/>
        </w:rPr>
        <w:t>inexequibilidad de las expresiones “</w:t>
      </w:r>
      <w:r w:rsidRPr="00F2273F">
        <w:rPr>
          <w:rFonts w:ascii="Times New Roman" w:hAnsi="Times New Roman" w:cs="Times New Roman"/>
          <w:i/>
          <w:iCs/>
          <w:sz w:val="28"/>
          <w:szCs w:val="28"/>
          <w:lang w:eastAsia="es-ES"/>
        </w:rPr>
        <w:t xml:space="preserve">el parágrafo tercero del artículo 167 de la Ley 142 de 1994; el parágrafo tercero del artículo 32 de la Ley 143 de 1994;” </w:t>
      </w:r>
      <w:r w:rsidRPr="00F2273F">
        <w:rPr>
          <w:rFonts w:ascii="Times New Roman" w:hAnsi="Times New Roman" w:cs="Times New Roman"/>
          <w:sz w:val="28"/>
          <w:szCs w:val="28"/>
          <w:lang w:eastAsia="es-ES"/>
        </w:rPr>
        <w:t>contenidas en el artículo 372 de la Ley 2294 de 2023</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w:t>
      </w:r>
    </w:p>
    <w:p w:rsidR="00381BE7" w:rsidRPr="00F2273F" w:rsidRDefault="00F2273F" w:rsidP="00381BE7">
      <w:pPr>
        <w:pStyle w:val="Prrafodelista"/>
        <w:spacing w:after="0" w:line="240" w:lineRule="auto"/>
        <w:ind w:left="0" w:right="48"/>
        <w:jc w:val="both"/>
        <w:textAlignment w:val="baseline"/>
        <w:rPr>
          <w:rFonts w:ascii="Times New Roman" w:hAnsi="Times New Roman" w:cs="Times New Roman"/>
          <w:sz w:val="28"/>
          <w:szCs w:val="28"/>
          <w:lang w:eastAsia="es-ES"/>
        </w:rPr>
      </w:pPr>
    </w:p>
    <w:p w:rsidR="007950AF" w:rsidRPr="00F2273F" w:rsidRDefault="00F2273F" w:rsidP="007950AF">
      <w:pPr>
        <w:pStyle w:val="Prrafodelista"/>
        <w:keepNext/>
        <w:numPr>
          <w:ilvl w:val="0"/>
          <w:numId w:val="11"/>
        </w:numPr>
        <w:spacing w:after="0" w:line="240" w:lineRule="auto"/>
        <w:mirrorIndents/>
        <w:rPr>
          <w:rFonts w:ascii="Times New Roman" w:eastAsia="Arial Unicode MS" w:hAnsi="Times New Roman" w:cs="Times New Roman"/>
          <w:b/>
          <w:bCs/>
          <w:sz w:val="28"/>
          <w:szCs w:val="28"/>
          <w:bdr w:val="none" w:sz="0" w:space="0" w:color="auto" w:frame="1"/>
          <w:lang w:val="es-MX"/>
        </w:rPr>
      </w:pPr>
      <w:r w:rsidRPr="00F2273F">
        <w:rPr>
          <w:rFonts w:ascii="Times New Roman" w:eastAsia="Arial Unicode MS" w:hAnsi="Times New Roman" w:cs="Times New Roman"/>
          <w:b/>
          <w:bCs/>
          <w:sz w:val="28"/>
          <w:szCs w:val="28"/>
          <w:bdr w:val="none" w:sz="0" w:space="0" w:color="auto" w:frame="1"/>
          <w:lang w:val="es-MX"/>
        </w:rPr>
        <w:t xml:space="preserve">Efectos </w:t>
      </w:r>
      <w:r w:rsidRPr="00F2273F">
        <w:rPr>
          <w:rFonts w:ascii="Times New Roman" w:eastAsia="Arial Unicode MS" w:hAnsi="Times New Roman" w:cs="Times New Roman"/>
          <w:b/>
          <w:bCs/>
          <w:sz w:val="28"/>
          <w:szCs w:val="28"/>
          <w:bdr w:val="none" w:sz="0" w:space="0" w:color="auto" w:frame="1"/>
          <w:lang w:val="es-MX"/>
        </w:rPr>
        <w:t xml:space="preserve">temporales y materiales de la </w:t>
      </w:r>
      <w:r w:rsidRPr="00F2273F">
        <w:rPr>
          <w:rFonts w:ascii="Times New Roman" w:eastAsia="Arial Unicode MS" w:hAnsi="Times New Roman" w:cs="Times New Roman"/>
          <w:b/>
          <w:bCs/>
          <w:sz w:val="28"/>
          <w:szCs w:val="28"/>
          <w:bdr w:val="none" w:sz="0" w:space="0" w:color="auto" w:frame="1"/>
          <w:lang w:val="es-MX"/>
        </w:rPr>
        <w:t>decisión</w:t>
      </w:r>
    </w:p>
    <w:p w:rsidR="007950AF" w:rsidRPr="00F2273F" w:rsidRDefault="00F2273F" w:rsidP="007950AF">
      <w:pPr>
        <w:pStyle w:val="Prrafodelista"/>
        <w:rPr>
          <w:rFonts w:ascii="Times New Roman" w:hAnsi="Times New Roman" w:cs="Times New Roman"/>
          <w:sz w:val="28"/>
          <w:szCs w:val="28"/>
          <w:lang w:eastAsia="es-ES"/>
        </w:rPr>
      </w:pPr>
    </w:p>
    <w:p w:rsidR="007950AF" w:rsidRPr="00F2273F" w:rsidRDefault="00F2273F" w:rsidP="007950AF">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i/>
          <w:iCs/>
          <w:sz w:val="28"/>
          <w:szCs w:val="28"/>
          <w:bdr w:val="nil"/>
          <w:lang w:val="es-MX"/>
        </w:rPr>
        <w:t>Solicitud de efectos diferidos</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Sobre los efectos temporales de la sentencia, l</w:t>
      </w:r>
      <w:r w:rsidRPr="00F2273F">
        <w:rPr>
          <w:rFonts w:ascii="Times New Roman" w:eastAsia="Arial Unicode MS" w:hAnsi="Times New Roman" w:cs="Times New Roman"/>
          <w:sz w:val="28"/>
          <w:szCs w:val="28"/>
          <w:bdr w:val="nil"/>
          <w:lang w:val="es-MX"/>
        </w:rPr>
        <w:t>a Universidad Externado</w:t>
      </w:r>
      <w:r w:rsidRPr="00F2273F">
        <w:rPr>
          <w:rFonts w:ascii="Times New Roman" w:eastAsia="Arial Unicode MS" w:hAnsi="Times New Roman" w:cs="Times New Roman"/>
          <w:sz w:val="28"/>
          <w:szCs w:val="28"/>
          <w:bdr w:val="nil"/>
          <w:lang w:val="es-MX"/>
        </w:rPr>
        <w:t xml:space="preserve"> de Colombia</w:t>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 xml:space="preserve">solicitó que se declarara la exequibilidad de la norma acusada y, de manera subsidiaria, que se </w:t>
      </w:r>
      <w:r w:rsidRPr="00F2273F">
        <w:rPr>
          <w:rFonts w:ascii="Times New Roman" w:eastAsia="Arial Unicode MS" w:hAnsi="Times New Roman" w:cs="Times New Roman"/>
          <w:sz w:val="28"/>
          <w:szCs w:val="28"/>
          <w:bdr w:val="nil"/>
          <w:lang w:val="es-MX"/>
        </w:rPr>
        <w:t xml:space="preserve">declarara </w:t>
      </w:r>
      <w:r w:rsidRPr="00F2273F">
        <w:rPr>
          <w:rFonts w:ascii="Times New Roman" w:eastAsia="Arial Unicode MS" w:hAnsi="Times New Roman" w:cs="Times New Roman"/>
          <w:sz w:val="28"/>
          <w:szCs w:val="28"/>
          <w:bdr w:val="nil"/>
          <w:lang w:val="es-MX"/>
        </w:rPr>
        <w:t>inconstitucional “</w:t>
      </w:r>
      <w:r w:rsidRPr="00F2273F">
        <w:rPr>
          <w:rFonts w:ascii="Times New Roman" w:eastAsia="Arial Unicode MS" w:hAnsi="Times New Roman" w:cs="Times New Roman"/>
          <w:sz w:val="28"/>
          <w:szCs w:val="28"/>
          <w:bdr w:val="nil"/>
        </w:rPr>
        <w:t xml:space="preserve">con </w:t>
      </w:r>
      <w:r w:rsidRPr="00F2273F">
        <w:rPr>
          <w:rFonts w:ascii="Times New Roman" w:eastAsia="Arial Unicode MS" w:hAnsi="Times New Roman" w:cs="Times New Roman"/>
          <w:sz w:val="28"/>
          <w:szCs w:val="28"/>
          <w:bdr w:val="nil"/>
        </w:rPr>
        <w:t>efectos diferidos en el tiempo hasta que el Congreso expida una nueva ley con este mismo contenido, pero en cumplimiento del procedimiento formal previsto por la Constitución”</w:t>
      </w:r>
      <w:r w:rsidRPr="00F2273F">
        <w:rPr>
          <w:rStyle w:val="Refdenotaalpie"/>
          <w:rFonts w:ascii="Times New Roman" w:eastAsia="Arial Unicode MS" w:hAnsi="Times New Roman" w:cs="Times New Roman"/>
          <w:sz w:val="28"/>
          <w:szCs w:val="28"/>
          <w:bdr w:val="nil"/>
        </w:rPr>
        <w:footnoteReference w:id="136"/>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 xml:space="preserve">Aunque </w:t>
      </w:r>
      <w:r w:rsidRPr="00F2273F">
        <w:rPr>
          <w:rFonts w:ascii="Times New Roman" w:eastAsia="Arial Unicode MS" w:hAnsi="Times New Roman" w:cs="Times New Roman"/>
          <w:sz w:val="28"/>
          <w:szCs w:val="28"/>
          <w:bdr w:val="nil"/>
          <w:lang w:val="es-MX"/>
        </w:rPr>
        <w:t>el</w:t>
      </w:r>
      <w:r w:rsidRPr="00F2273F">
        <w:rPr>
          <w:rFonts w:ascii="Times New Roman" w:eastAsia="Arial Unicode MS" w:hAnsi="Times New Roman" w:cs="Times New Roman"/>
          <w:sz w:val="28"/>
          <w:szCs w:val="28"/>
          <w:bdr w:val="nil"/>
          <w:lang w:val="es-MX"/>
        </w:rPr>
        <w:t xml:space="preserve"> interviniente </w:t>
      </w:r>
      <w:r w:rsidRPr="00F2273F">
        <w:rPr>
          <w:rFonts w:ascii="Times New Roman" w:eastAsia="Arial Unicode MS" w:hAnsi="Times New Roman" w:cs="Times New Roman"/>
          <w:sz w:val="28"/>
          <w:szCs w:val="28"/>
          <w:bdr w:val="nil"/>
          <w:lang w:val="es-MX"/>
        </w:rPr>
        <w:t>no planteó un cargo autónomo, s</w:t>
      </w:r>
      <w:r w:rsidRPr="00F2273F">
        <w:rPr>
          <w:rFonts w:ascii="Times New Roman" w:eastAsia="Arial Unicode MS" w:hAnsi="Times New Roman" w:cs="Times New Roman"/>
          <w:sz w:val="28"/>
          <w:szCs w:val="28"/>
          <w:bdr w:val="nil"/>
          <w:lang w:val="es-MX"/>
        </w:rPr>
        <w:t>eñaló que los parágrafo</w:t>
      </w:r>
      <w:r w:rsidRPr="00F2273F">
        <w:rPr>
          <w:rFonts w:ascii="Times New Roman" w:eastAsia="Arial Unicode MS" w:hAnsi="Times New Roman" w:cs="Times New Roman"/>
          <w:sz w:val="28"/>
          <w:szCs w:val="28"/>
          <w:bdr w:val="nil"/>
          <w:lang w:val="es-MX"/>
        </w:rPr>
        <w:t>s derogados desconoc</w:t>
      </w:r>
      <w:r w:rsidRPr="00F2273F">
        <w:rPr>
          <w:rFonts w:ascii="Times New Roman" w:eastAsia="Arial Unicode MS" w:hAnsi="Times New Roman" w:cs="Times New Roman"/>
          <w:sz w:val="28"/>
          <w:szCs w:val="28"/>
          <w:bdr w:val="nil"/>
          <w:lang w:val="es-MX"/>
        </w:rPr>
        <w:t>ía</w:t>
      </w:r>
      <w:r w:rsidRPr="00F2273F">
        <w:rPr>
          <w:rFonts w:ascii="Times New Roman" w:eastAsia="Arial Unicode MS" w:hAnsi="Times New Roman" w:cs="Times New Roman"/>
          <w:sz w:val="28"/>
          <w:szCs w:val="28"/>
          <w:bdr w:val="nil"/>
          <w:lang w:val="es-MX"/>
        </w:rPr>
        <w:t>n el “derecho a la empresa e</w:t>
      </w:r>
      <w:r w:rsidRPr="00F2273F">
        <w:rPr>
          <w:rFonts w:ascii="Times New Roman" w:eastAsia="Arial Unicode MS" w:hAnsi="Times New Roman" w:cs="Times New Roman"/>
          <w:sz w:val="28"/>
          <w:szCs w:val="28"/>
          <w:bdr w:val="nil"/>
        </w:rPr>
        <w:t xml:space="preserve"> incumpliendo con el juicio de proporcionalidad y ponderación que debe seguirse cuando el Estado interviene en la economía</w:t>
      </w:r>
      <w:r w:rsidRPr="00F2273F">
        <w:rPr>
          <w:rFonts w:ascii="Times New Roman" w:eastAsia="Arial Unicode MS" w:hAnsi="Times New Roman" w:cs="Times New Roman"/>
          <w:sz w:val="28"/>
          <w:szCs w:val="28"/>
          <w:bdr w:val="nil"/>
          <w:lang w:val="es-MX"/>
        </w:rPr>
        <w:t>”</w:t>
      </w:r>
      <w:r w:rsidRPr="00F2273F">
        <w:rPr>
          <w:rStyle w:val="Refdenotaalpie"/>
          <w:rFonts w:ascii="Times New Roman" w:eastAsia="Arial Unicode MS" w:hAnsi="Times New Roman" w:cs="Times New Roman"/>
          <w:sz w:val="28"/>
          <w:szCs w:val="28"/>
          <w:bdr w:val="nil"/>
          <w:lang w:val="es-MX"/>
        </w:rPr>
        <w:footnoteReference w:id="137"/>
      </w:r>
      <w:r w:rsidRPr="00F2273F">
        <w:rPr>
          <w:rFonts w:ascii="Times New Roman" w:eastAsia="Arial Unicode MS" w:hAnsi="Times New Roman" w:cs="Times New Roman"/>
          <w:sz w:val="28"/>
          <w:szCs w:val="28"/>
          <w:bdr w:val="nil"/>
          <w:lang w:val="es-MX"/>
        </w:rPr>
        <w:t xml:space="preserve">. </w:t>
      </w:r>
      <w:r w:rsidRPr="00F2273F">
        <w:rPr>
          <w:rFonts w:ascii="Times New Roman" w:eastAsia="Arial Unicode MS" w:hAnsi="Times New Roman" w:cs="Times New Roman"/>
          <w:sz w:val="28"/>
          <w:szCs w:val="28"/>
          <w:bdr w:val="nil"/>
          <w:lang w:val="es-MX"/>
        </w:rPr>
        <w:t xml:space="preserve">Por ello </w:t>
      </w:r>
      <w:r w:rsidRPr="00F2273F">
        <w:rPr>
          <w:rFonts w:ascii="Times New Roman" w:eastAsia="Arial Unicode MS" w:hAnsi="Times New Roman" w:cs="Times New Roman"/>
          <w:sz w:val="28"/>
          <w:szCs w:val="28"/>
          <w:bdr w:val="nil"/>
          <w:lang w:val="es-MX"/>
        </w:rPr>
        <w:t xml:space="preserve">solicitó </w:t>
      </w:r>
      <w:r w:rsidRPr="00F2273F">
        <w:rPr>
          <w:rFonts w:ascii="Times New Roman" w:eastAsia="Arial Unicode MS" w:hAnsi="Times New Roman" w:cs="Times New Roman"/>
          <w:sz w:val="28"/>
          <w:szCs w:val="28"/>
          <w:bdr w:val="nil"/>
          <w:lang w:val="es-MX"/>
        </w:rPr>
        <w:t xml:space="preserve">diferir los efectos </w:t>
      </w:r>
      <w:r w:rsidRPr="00F2273F">
        <w:rPr>
          <w:rFonts w:ascii="Times New Roman" w:eastAsia="Arial Unicode MS" w:hAnsi="Times New Roman" w:cs="Times New Roman"/>
          <w:sz w:val="28"/>
          <w:szCs w:val="28"/>
          <w:bdr w:val="nil"/>
          <w:lang w:val="es-MX"/>
        </w:rPr>
        <w:t xml:space="preserve">de la declaratoria de inexequibilidad. </w:t>
      </w:r>
    </w:p>
    <w:p w:rsidR="007950AF" w:rsidRPr="00F2273F" w:rsidRDefault="00F2273F" w:rsidP="007950AF">
      <w:pPr>
        <w:pStyle w:val="Prrafodelista"/>
        <w:keepNext/>
        <w:spacing w:after="0" w:line="240" w:lineRule="auto"/>
        <w:ind w:left="0"/>
        <w:mirrorIndents/>
        <w:jc w:val="both"/>
        <w:rPr>
          <w:rFonts w:ascii="Times New Roman" w:eastAsia="Arial Unicode MS" w:hAnsi="Times New Roman" w:cs="Times New Roman"/>
          <w:sz w:val="28"/>
          <w:szCs w:val="28"/>
          <w:u w:color="000000"/>
          <w:bdr w:val="nil"/>
          <w:lang w:val="es-MX"/>
        </w:rPr>
      </w:pPr>
    </w:p>
    <w:p w:rsidR="007950AF" w:rsidRPr="00F2273F" w:rsidRDefault="00F2273F" w:rsidP="00853BC3">
      <w:pPr>
        <w:pStyle w:val="Prrafodelista"/>
        <w:keepNext/>
        <w:numPr>
          <w:ilvl w:val="0"/>
          <w:numId w:val="3"/>
        </w:numPr>
        <w:spacing w:after="0" w:line="240" w:lineRule="auto"/>
        <w:ind w:left="0" w:firstLine="0"/>
        <w:mirrorIndents/>
        <w:jc w:val="both"/>
        <w:rPr>
          <w:rFonts w:ascii="Times New Roman" w:hAnsi="Times New Roman" w:cs="Times New Roman"/>
          <w:sz w:val="28"/>
          <w:szCs w:val="28"/>
        </w:rPr>
      </w:pPr>
      <w:r w:rsidRPr="00F2273F">
        <w:rPr>
          <w:rFonts w:ascii="Times New Roman" w:hAnsi="Times New Roman" w:cs="Times New Roman"/>
          <w:i/>
          <w:iCs/>
          <w:sz w:val="28"/>
          <w:szCs w:val="28"/>
          <w:lang w:val="es-ES_tradnl"/>
        </w:rPr>
        <w:t>Posibilidad de adoptar una sentencia con efectos diferidos</w:t>
      </w:r>
      <w:r w:rsidRPr="00F2273F">
        <w:rPr>
          <w:rFonts w:ascii="Times New Roman" w:hAnsi="Times New Roman" w:cs="Times New Roman"/>
          <w:sz w:val="28"/>
          <w:szCs w:val="28"/>
          <w:lang w:val="es-ES_tradnl"/>
        </w:rPr>
        <w:t xml:space="preserve">. </w:t>
      </w:r>
      <w:r w:rsidRPr="00F2273F">
        <w:rPr>
          <w:rFonts w:ascii="Times New Roman" w:hAnsi="Times New Roman" w:cs="Times New Roman"/>
          <w:sz w:val="28"/>
          <w:szCs w:val="28"/>
        </w:rPr>
        <w:t>La Corte Constitucional ha reconocido que aunque por regla general la declaratoria de inexequibilidad de una norma tiene efectos inmediatos y hacia el futuro, existen casos precisos y excepcionale</w:t>
      </w:r>
      <w:r w:rsidRPr="00F2273F">
        <w:rPr>
          <w:rFonts w:ascii="Times New Roman" w:hAnsi="Times New Roman" w:cs="Times New Roman"/>
          <w:sz w:val="28"/>
          <w:szCs w:val="28"/>
        </w:rPr>
        <w:t>s en los que es posible diferir en el tiempo los efectos de la decisión. Recientemente la Sentencia C-393 de 2023</w:t>
      </w:r>
      <w:r w:rsidRPr="00F2273F">
        <w:rPr>
          <w:rStyle w:val="Refdenotaalpie"/>
          <w:rFonts w:ascii="Times New Roman" w:hAnsi="Times New Roman" w:cs="Times New Roman"/>
          <w:sz w:val="28"/>
          <w:szCs w:val="28"/>
        </w:rPr>
        <w:footnoteReference w:id="138"/>
      </w:r>
      <w:r w:rsidRPr="00F2273F">
        <w:rPr>
          <w:rFonts w:ascii="Times New Roman" w:hAnsi="Times New Roman" w:cs="Times New Roman"/>
          <w:sz w:val="28"/>
          <w:szCs w:val="28"/>
        </w:rPr>
        <w:t xml:space="preserve"> condensó los presupuestos para adoptar esta tipología de sentencias, según los cuales la Corte debe: </w:t>
      </w:r>
      <w:r w:rsidRPr="00F2273F">
        <w:rPr>
          <w:rFonts w:ascii="Times New Roman" w:hAnsi="Times New Roman" w:cs="Times New Roman"/>
          <w:i/>
          <w:iCs/>
          <w:sz w:val="28"/>
          <w:szCs w:val="28"/>
        </w:rPr>
        <w:t>(i)</w:t>
      </w:r>
      <w:r w:rsidRPr="00F2273F">
        <w:rPr>
          <w:rFonts w:ascii="Times New Roman" w:hAnsi="Times New Roman" w:cs="Times New Roman"/>
          <w:sz w:val="28"/>
          <w:szCs w:val="28"/>
        </w:rPr>
        <w:t xml:space="preserve">  justificar esa modalidad de </w:t>
      </w:r>
      <w:r w:rsidRPr="00F2273F">
        <w:rPr>
          <w:rFonts w:ascii="Times New Roman" w:hAnsi="Times New Roman" w:cs="Times New Roman"/>
          <w:sz w:val="28"/>
          <w:szCs w:val="28"/>
        </w:rPr>
        <w:t>decisión; </w:t>
      </w:r>
      <w:r w:rsidRPr="00F2273F">
        <w:rPr>
          <w:rFonts w:ascii="Times New Roman" w:hAnsi="Times New Roman" w:cs="Times New Roman"/>
          <w:i/>
          <w:iCs/>
          <w:sz w:val="28"/>
          <w:szCs w:val="28"/>
        </w:rPr>
        <w:t>(ii)</w:t>
      </w:r>
      <w:r w:rsidRPr="00F2273F">
        <w:rPr>
          <w:rFonts w:ascii="Times New Roman" w:hAnsi="Times New Roman" w:cs="Times New Roman"/>
          <w:sz w:val="28"/>
          <w:szCs w:val="28"/>
        </w:rPr>
        <w:t> referir claramente que la decisión de inconstitucionalidad inmediata genera una situación constitucionalmente peor que mantener temporalmente la norma inexequible en el ordenamiento; </w:t>
      </w:r>
      <w:r w:rsidRPr="00F2273F">
        <w:rPr>
          <w:rFonts w:ascii="Times New Roman" w:hAnsi="Times New Roman" w:cs="Times New Roman"/>
          <w:i/>
          <w:iCs/>
          <w:sz w:val="28"/>
          <w:szCs w:val="28"/>
        </w:rPr>
        <w:t>(iii)</w:t>
      </w:r>
      <w:r w:rsidRPr="00F2273F">
        <w:rPr>
          <w:rFonts w:ascii="Times New Roman" w:hAnsi="Times New Roman" w:cs="Times New Roman"/>
          <w:sz w:val="28"/>
          <w:szCs w:val="28"/>
        </w:rPr>
        <w:t> explicar por qué es más adecuado declarar la inexequ</w:t>
      </w:r>
      <w:r w:rsidRPr="00F2273F">
        <w:rPr>
          <w:rFonts w:ascii="Times New Roman" w:hAnsi="Times New Roman" w:cs="Times New Roman"/>
          <w:sz w:val="28"/>
          <w:szCs w:val="28"/>
        </w:rPr>
        <w:t>ibilidad diferida que proferir una sentencia integradora, valorando el ámbito de libertad de configuración legislativa en la materia, y la intensidad de la afectación de los principios y valores constitucionales derivada del mantenimiento de la disposición</w:t>
      </w:r>
      <w:r w:rsidRPr="00F2273F">
        <w:rPr>
          <w:rFonts w:ascii="Times New Roman" w:hAnsi="Times New Roman" w:cs="Times New Roman"/>
          <w:sz w:val="28"/>
          <w:szCs w:val="28"/>
        </w:rPr>
        <w:t xml:space="preserve"> acusada en el ordenamiento; y </w:t>
      </w:r>
      <w:r w:rsidRPr="00F2273F">
        <w:rPr>
          <w:rFonts w:ascii="Times New Roman" w:hAnsi="Times New Roman" w:cs="Times New Roman"/>
          <w:i/>
          <w:iCs/>
          <w:sz w:val="28"/>
          <w:szCs w:val="28"/>
        </w:rPr>
        <w:t>(iv)</w:t>
      </w:r>
      <w:r w:rsidRPr="00F2273F">
        <w:rPr>
          <w:rFonts w:ascii="Times New Roman" w:hAnsi="Times New Roman" w:cs="Times New Roman"/>
          <w:sz w:val="28"/>
          <w:szCs w:val="28"/>
        </w:rPr>
        <w:t xml:space="preserve"> justificar la extensión del plazo conferido al legislador, en función de la complejidad del tema y del posible impacto de la preservación de la regulación en la vigencia de los principios y derechos constitucionales.</w:t>
      </w:r>
    </w:p>
    <w:p w:rsidR="007950AF" w:rsidRPr="00F2273F" w:rsidRDefault="00F2273F" w:rsidP="007950AF">
      <w:pPr>
        <w:pStyle w:val="Prrafodelista"/>
        <w:keepNext/>
        <w:spacing w:after="0" w:line="240" w:lineRule="auto"/>
        <w:ind w:left="0"/>
        <w:mirrorIndents/>
        <w:jc w:val="both"/>
        <w:rPr>
          <w:rFonts w:ascii="Times New Roman" w:eastAsia="Times New Roman" w:hAnsi="Times New Roman" w:cs="Times New Roman"/>
          <w:sz w:val="28"/>
          <w:szCs w:val="28"/>
        </w:rPr>
      </w:pPr>
    </w:p>
    <w:p w:rsidR="00ED2243" w:rsidRPr="00F2273F" w:rsidRDefault="00F2273F" w:rsidP="00853BC3">
      <w:pPr>
        <w:pStyle w:val="Prrafodelista"/>
        <w:keepNext/>
        <w:numPr>
          <w:ilvl w:val="0"/>
          <w:numId w:val="3"/>
        </w:numPr>
        <w:spacing w:after="0" w:line="240" w:lineRule="auto"/>
        <w:ind w:left="0" w:firstLine="0"/>
        <w:mirrorIndents/>
        <w:jc w:val="both"/>
        <w:rPr>
          <w:rFonts w:ascii="Times New Roman" w:eastAsia="Arial Unicode MS" w:hAnsi="Times New Roman" w:cs="Times New Roman"/>
          <w:sz w:val="28"/>
          <w:szCs w:val="28"/>
          <w:u w:color="000000"/>
          <w:bdr w:val="nil"/>
        </w:rPr>
      </w:pPr>
      <w:r w:rsidRPr="00F2273F">
        <w:rPr>
          <w:rFonts w:ascii="Times New Roman" w:eastAsia="Arial Unicode MS" w:hAnsi="Times New Roman" w:cs="Times New Roman"/>
          <w:i/>
          <w:iCs/>
          <w:sz w:val="28"/>
          <w:szCs w:val="28"/>
          <w:u w:color="000000"/>
          <w:bdr w:val="nil"/>
        </w:rPr>
        <w:t>No</w:t>
      </w:r>
      <w:r w:rsidRPr="00F2273F">
        <w:rPr>
          <w:rFonts w:ascii="Times New Roman" w:eastAsia="Arial Unicode MS" w:hAnsi="Times New Roman" w:cs="Times New Roman"/>
          <w:i/>
          <w:iCs/>
          <w:sz w:val="28"/>
          <w:szCs w:val="28"/>
          <w:u w:color="000000"/>
          <w:bdr w:val="nil"/>
        </w:rPr>
        <w:t xml:space="preserve"> procede la adopción de una decisión con efectos diferidos</w:t>
      </w:r>
      <w:r w:rsidRPr="00F2273F">
        <w:rPr>
          <w:rFonts w:ascii="Times New Roman" w:eastAsia="Arial Unicode MS" w:hAnsi="Times New Roman" w:cs="Times New Roman"/>
          <w:i/>
          <w:iCs/>
          <w:sz w:val="28"/>
          <w:szCs w:val="28"/>
          <w:u w:color="000000"/>
          <w:bdr w:val="nil"/>
        </w:rPr>
        <w:t xml:space="preserve"> en el presente caso</w:t>
      </w:r>
      <w:r w:rsidRPr="00F2273F">
        <w:rPr>
          <w:rFonts w:ascii="Times New Roman" w:eastAsia="Arial Unicode MS" w:hAnsi="Times New Roman" w:cs="Times New Roman"/>
          <w:i/>
          <w:iCs/>
          <w:sz w:val="28"/>
          <w:szCs w:val="28"/>
          <w:u w:color="000000"/>
          <w:bdr w:val="nil"/>
        </w:rPr>
        <w:t>.</w:t>
      </w:r>
      <w:r w:rsidRPr="00F2273F">
        <w:rPr>
          <w:rFonts w:ascii="Times New Roman" w:eastAsia="Arial Unicode MS" w:hAnsi="Times New Roman" w:cs="Times New Roman"/>
          <w:sz w:val="28"/>
          <w:szCs w:val="28"/>
          <w:u w:color="000000"/>
          <w:bdr w:val="nil"/>
        </w:rPr>
        <w:t xml:space="preserve"> En </w:t>
      </w:r>
      <w:r w:rsidRPr="00F2273F">
        <w:rPr>
          <w:rFonts w:ascii="Times New Roman" w:eastAsia="Arial Unicode MS" w:hAnsi="Times New Roman" w:cs="Times New Roman"/>
          <w:sz w:val="28"/>
          <w:szCs w:val="28"/>
          <w:u w:color="000000"/>
          <w:bdr w:val="nil"/>
        </w:rPr>
        <w:t>este asunto</w:t>
      </w:r>
      <w:r w:rsidRPr="00F2273F">
        <w:rPr>
          <w:rFonts w:ascii="Times New Roman" w:eastAsia="Arial Unicode MS" w:hAnsi="Times New Roman" w:cs="Times New Roman"/>
          <w:sz w:val="28"/>
          <w:szCs w:val="28"/>
          <w:u w:color="000000"/>
          <w:bdr w:val="nil"/>
        </w:rPr>
        <w:t xml:space="preserve"> la Sala Plena considera que no resulta procedente </w:t>
      </w:r>
      <w:r w:rsidRPr="00F2273F">
        <w:rPr>
          <w:rFonts w:ascii="Times New Roman" w:eastAsia="Arial Unicode MS" w:hAnsi="Times New Roman" w:cs="Times New Roman"/>
          <w:sz w:val="28"/>
          <w:szCs w:val="28"/>
          <w:u w:color="000000"/>
          <w:bdr w:val="nil"/>
        </w:rPr>
        <w:t xml:space="preserve">establecer </w:t>
      </w:r>
      <w:r w:rsidRPr="00F2273F">
        <w:rPr>
          <w:rFonts w:ascii="Times New Roman" w:eastAsia="Arial Unicode MS" w:hAnsi="Times New Roman" w:cs="Times New Roman"/>
          <w:sz w:val="28"/>
          <w:szCs w:val="28"/>
          <w:u w:color="000000"/>
          <w:bdr w:val="nil"/>
        </w:rPr>
        <w:t xml:space="preserve">efectos </w:t>
      </w:r>
      <w:r w:rsidRPr="00F2273F">
        <w:rPr>
          <w:rFonts w:ascii="Times New Roman" w:eastAsia="Arial Unicode MS" w:hAnsi="Times New Roman" w:cs="Times New Roman"/>
          <w:sz w:val="28"/>
          <w:szCs w:val="28"/>
          <w:u w:color="000000"/>
          <w:bdr w:val="nil"/>
        </w:rPr>
        <w:t>temporales</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diferidos a la decisión de inexequibilidad</w:t>
      </w:r>
      <w:r w:rsidRPr="00F2273F">
        <w:rPr>
          <w:rFonts w:ascii="Times New Roman" w:eastAsia="Arial Unicode MS" w:hAnsi="Times New Roman" w:cs="Times New Roman"/>
          <w:sz w:val="28"/>
          <w:szCs w:val="28"/>
          <w:u w:color="000000"/>
          <w:bdr w:val="nil"/>
        </w:rPr>
        <w:t xml:space="preserve">, por dos razones. </w:t>
      </w:r>
      <w:r w:rsidRPr="00F2273F">
        <w:rPr>
          <w:rFonts w:ascii="Times New Roman" w:eastAsia="Arial Unicode MS" w:hAnsi="Times New Roman" w:cs="Times New Roman"/>
          <w:i/>
          <w:iCs/>
          <w:sz w:val="28"/>
          <w:szCs w:val="28"/>
          <w:u w:color="000000"/>
          <w:bdr w:val="nil"/>
        </w:rPr>
        <w:t>Primera</w:t>
      </w:r>
      <w:r w:rsidRPr="00F2273F">
        <w:rPr>
          <w:rFonts w:ascii="Times New Roman" w:eastAsia="Arial Unicode MS" w:hAnsi="Times New Roman" w:cs="Times New Roman"/>
          <w:i/>
          <w:iCs/>
          <w:sz w:val="28"/>
          <w:szCs w:val="28"/>
          <w:u w:color="000000"/>
          <w:bdr w:val="nil"/>
        </w:rPr>
        <w:t>,</w:t>
      </w:r>
      <w:r w:rsidRPr="00F2273F">
        <w:rPr>
          <w:rFonts w:ascii="Times New Roman" w:eastAsia="Arial Unicode MS" w:hAnsi="Times New Roman" w:cs="Times New Roman"/>
          <w:sz w:val="28"/>
          <w:szCs w:val="28"/>
          <w:u w:color="000000"/>
          <w:bdr w:val="nil"/>
        </w:rPr>
        <w:t xml:space="preserve"> porque la solicitud no es clara e incluso es contradictoria. El interviniente señala que los parágrafos objeto de derogatoria eran inconstitucional</w:t>
      </w:r>
      <w:r w:rsidRPr="00F2273F">
        <w:rPr>
          <w:rFonts w:ascii="Times New Roman" w:eastAsia="Arial Unicode MS" w:hAnsi="Times New Roman" w:cs="Times New Roman"/>
          <w:sz w:val="28"/>
          <w:szCs w:val="28"/>
          <w:u w:color="000000"/>
          <w:bdr w:val="nil"/>
        </w:rPr>
        <w:t>es</w:t>
      </w:r>
      <w:r w:rsidRPr="00F2273F">
        <w:rPr>
          <w:rFonts w:ascii="Times New Roman" w:eastAsia="Arial Unicode MS" w:hAnsi="Times New Roman" w:cs="Times New Roman"/>
          <w:sz w:val="28"/>
          <w:szCs w:val="28"/>
          <w:u w:color="000000"/>
          <w:bdr w:val="nil"/>
        </w:rPr>
        <w:t>,</w:t>
      </w:r>
      <w:r w:rsidRPr="00F2273F">
        <w:rPr>
          <w:rFonts w:ascii="Times New Roman" w:eastAsia="Arial Unicode MS" w:hAnsi="Times New Roman" w:cs="Times New Roman"/>
          <w:sz w:val="28"/>
          <w:szCs w:val="28"/>
          <w:u w:color="000000"/>
          <w:bdr w:val="nil"/>
        </w:rPr>
        <w:t xml:space="preserve"> para luego sostener que mantener las normas acusadas ocasiona más reparos que </w:t>
      </w:r>
      <w:r w:rsidRPr="00F2273F">
        <w:rPr>
          <w:rFonts w:ascii="Times New Roman" w:eastAsia="Arial Unicode MS" w:hAnsi="Times New Roman" w:cs="Times New Roman"/>
          <w:sz w:val="28"/>
          <w:szCs w:val="28"/>
          <w:u w:color="000000"/>
          <w:bdr w:val="nil"/>
        </w:rPr>
        <w:t>beneficios</w:t>
      </w:r>
      <w:r w:rsidRPr="00F2273F">
        <w:rPr>
          <w:rFonts w:ascii="Times New Roman" w:eastAsia="Arial Unicode MS" w:hAnsi="Times New Roman" w:cs="Times New Roman"/>
          <w:sz w:val="28"/>
          <w:szCs w:val="28"/>
          <w:u w:color="000000"/>
          <w:bdr w:val="nil"/>
        </w:rPr>
        <w:t xml:space="preserve">, lo que </w:t>
      </w:r>
      <w:r w:rsidRPr="00F2273F">
        <w:rPr>
          <w:rFonts w:ascii="Times New Roman" w:eastAsia="Arial Unicode MS" w:hAnsi="Times New Roman" w:cs="Times New Roman"/>
          <w:sz w:val="28"/>
          <w:szCs w:val="28"/>
          <w:u w:color="000000"/>
          <w:bdr w:val="nil"/>
        </w:rPr>
        <w:t xml:space="preserve">parece </w:t>
      </w:r>
      <w:r w:rsidRPr="00F2273F">
        <w:rPr>
          <w:rFonts w:ascii="Times New Roman" w:eastAsia="Arial Unicode MS" w:hAnsi="Times New Roman" w:cs="Times New Roman"/>
          <w:sz w:val="28"/>
          <w:szCs w:val="28"/>
          <w:u w:color="000000"/>
          <w:bdr w:val="nil"/>
        </w:rPr>
        <w:t>coincidir con una declaratoria de</w:t>
      </w:r>
      <w:r w:rsidRPr="00F2273F">
        <w:rPr>
          <w:rFonts w:ascii="Times New Roman" w:eastAsia="Arial Unicode MS" w:hAnsi="Times New Roman" w:cs="Times New Roman"/>
          <w:sz w:val="28"/>
          <w:szCs w:val="28"/>
          <w:u w:color="000000"/>
          <w:bdr w:val="nil"/>
        </w:rPr>
        <w:t xml:space="preserve"> una inexequibilidad </w:t>
      </w:r>
      <w:r w:rsidRPr="00F2273F">
        <w:rPr>
          <w:rFonts w:ascii="Times New Roman" w:eastAsia="Arial Unicode MS" w:hAnsi="Times New Roman" w:cs="Times New Roman"/>
          <w:sz w:val="28"/>
          <w:szCs w:val="28"/>
          <w:u w:color="000000"/>
          <w:bdr w:val="nil"/>
        </w:rPr>
        <w:t>pura y simple</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i/>
          <w:iCs/>
          <w:sz w:val="28"/>
          <w:szCs w:val="28"/>
          <w:u w:color="000000"/>
          <w:bdr w:val="nil"/>
        </w:rPr>
        <w:t>Segunda</w:t>
      </w:r>
      <w:r w:rsidRPr="00F2273F">
        <w:rPr>
          <w:rFonts w:ascii="Times New Roman" w:eastAsia="Arial Unicode MS" w:hAnsi="Times New Roman" w:cs="Times New Roman"/>
          <w:sz w:val="28"/>
          <w:szCs w:val="28"/>
          <w:u w:color="000000"/>
          <w:bdr w:val="nil"/>
        </w:rPr>
        <w:t xml:space="preserve">, porque la </w:t>
      </w:r>
      <w:r w:rsidRPr="00F2273F">
        <w:rPr>
          <w:rFonts w:ascii="Times New Roman" w:eastAsia="Arial Unicode MS" w:hAnsi="Times New Roman" w:cs="Times New Roman"/>
          <w:sz w:val="28"/>
          <w:szCs w:val="28"/>
          <w:u w:color="000000"/>
          <w:bdr w:val="nil"/>
        </w:rPr>
        <w:t>inexequibilidad</w:t>
      </w:r>
      <w:r w:rsidRPr="00F2273F">
        <w:rPr>
          <w:rFonts w:ascii="Times New Roman" w:eastAsia="Arial Unicode MS" w:hAnsi="Times New Roman" w:cs="Times New Roman"/>
          <w:sz w:val="28"/>
          <w:szCs w:val="28"/>
          <w:u w:color="000000"/>
          <w:bdr w:val="nil"/>
        </w:rPr>
        <w:t xml:space="preserve"> inmediata no genera un escenario constitucionalmente peor</w:t>
      </w:r>
      <w:r w:rsidRPr="00F2273F">
        <w:rPr>
          <w:rFonts w:ascii="Times New Roman" w:eastAsia="Arial Unicode MS" w:hAnsi="Times New Roman" w:cs="Times New Roman"/>
          <w:sz w:val="28"/>
          <w:szCs w:val="28"/>
          <w:u w:color="000000"/>
          <w:bdr w:val="nil"/>
        </w:rPr>
        <w:t xml:space="preserve"> al que </w:t>
      </w:r>
      <w:r w:rsidRPr="00F2273F">
        <w:rPr>
          <w:rFonts w:ascii="Times New Roman" w:eastAsia="Arial Unicode MS" w:hAnsi="Times New Roman" w:cs="Times New Roman"/>
          <w:sz w:val="28"/>
          <w:szCs w:val="28"/>
          <w:u w:color="000000"/>
          <w:bdr w:val="nil"/>
        </w:rPr>
        <w:t xml:space="preserve">se </w:t>
      </w:r>
      <w:r w:rsidRPr="00F2273F">
        <w:rPr>
          <w:rFonts w:ascii="Times New Roman" w:eastAsia="Arial Unicode MS" w:hAnsi="Times New Roman" w:cs="Times New Roman"/>
          <w:sz w:val="28"/>
          <w:szCs w:val="28"/>
          <w:u w:color="000000"/>
          <w:bdr w:val="nil"/>
        </w:rPr>
        <w:t xml:space="preserve">pretende </w:t>
      </w:r>
      <w:r w:rsidRPr="00F2273F">
        <w:rPr>
          <w:rFonts w:ascii="Times New Roman" w:eastAsia="Arial Unicode MS" w:hAnsi="Times New Roman" w:cs="Times New Roman"/>
          <w:sz w:val="28"/>
          <w:szCs w:val="28"/>
          <w:u w:color="000000"/>
          <w:bdr w:val="nil"/>
        </w:rPr>
        <w:t>evitar</w:t>
      </w:r>
      <w:r w:rsidRPr="00F2273F">
        <w:rPr>
          <w:rFonts w:ascii="Times New Roman" w:eastAsia="Arial Unicode MS" w:hAnsi="Times New Roman" w:cs="Times New Roman"/>
          <w:sz w:val="28"/>
          <w:szCs w:val="28"/>
          <w:u w:color="000000"/>
          <w:bdr w:val="nil"/>
        </w:rPr>
        <w:t xml:space="preserve">, por la sencilla razón de que las derogatorias no se materializaron </w:t>
      </w:r>
      <w:r w:rsidRPr="00F2273F">
        <w:rPr>
          <w:rFonts w:ascii="Times New Roman" w:eastAsia="Arial Unicode MS" w:hAnsi="Times New Roman" w:cs="Times New Roman"/>
          <w:sz w:val="28"/>
          <w:szCs w:val="28"/>
          <w:u w:color="000000"/>
          <w:bdr w:val="nil"/>
        </w:rPr>
        <w:t>y</w:t>
      </w:r>
      <w:r w:rsidRPr="00F2273F">
        <w:rPr>
          <w:rFonts w:ascii="Times New Roman" w:eastAsia="Arial Unicode MS" w:hAnsi="Times New Roman" w:cs="Times New Roman"/>
          <w:sz w:val="28"/>
          <w:szCs w:val="28"/>
          <w:u w:color="000000"/>
          <w:bdr w:val="nil"/>
        </w:rPr>
        <w:t xml:space="preserve">, en consecuencia, no hay un escenario para ponderar. </w:t>
      </w:r>
      <w:r w:rsidRPr="00F2273F">
        <w:rPr>
          <w:rFonts w:ascii="Times New Roman" w:eastAsia="Arial Unicode MS" w:hAnsi="Times New Roman" w:cs="Times New Roman"/>
          <w:sz w:val="28"/>
          <w:szCs w:val="28"/>
          <w:u w:color="000000"/>
          <w:bdr w:val="nil"/>
        </w:rPr>
        <w:t xml:space="preserve">En consecuencia, la Corte no ejercerá en este caso la facultad excepcional de </w:t>
      </w:r>
      <w:r w:rsidRPr="00F2273F">
        <w:rPr>
          <w:rFonts w:ascii="Times New Roman" w:eastAsia="Arial Unicode MS" w:hAnsi="Times New Roman" w:cs="Times New Roman"/>
          <w:sz w:val="28"/>
          <w:szCs w:val="28"/>
          <w:u w:color="000000"/>
          <w:bdr w:val="nil"/>
        </w:rPr>
        <w:t xml:space="preserve">modular </w:t>
      </w:r>
      <w:r w:rsidRPr="00F2273F">
        <w:rPr>
          <w:rFonts w:ascii="Times New Roman" w:eastAsia="Arial Unicode MS" w:hAnsi="Times New Roman" w:cs="Times New Roman"/>
          <w:sz w:val="28"/>
          <w:szCs w:val="28"/>
          <w:u w:color="000000"/>
          <w:bdr w:val="nil"/>
        </w:rPr>
        <w:t xml:space="preserve">los efectos temporales de la decisión de inexequibilidad </w:t>
      </w:r>
      <w:r w:rsidRPr="00F2273F">
        <w:rPr>
          <w:rFonts w:ascii="Times New Roman" w:eastAsia="Arial Unicode MS" w:hAnsi="Times New Roman" w:cs="Times New Roman"/>
          <w:sz w:val="28"/>
          <w:szCs w:val="28"/>
          <w:u w:color="000000"/>
          <w:bdr w:val="nil"/>
        </w:rPr>
        <w:t>que adopta</w:t>
      </w:r>
      <w:r w:rsidRPr="00F2273F">
        <w:rPr>
          <w:rFonts w:ascii="Times New Roman" w:eastAsia="Arial Unicode MS" w:hAnsi="Times New Roman" w:cs="Times New Roman"/>
          <w:sz w:val="28"/>
          <w:szCs w:val="28"/>
          <w:u w:color="000000"/>
          <w:bdr w:val="nil"/>
        </w:rPr>
        <w:t>.</w:t>
      </w:r>
    </w:p>
    <w:p w:rsidR="00ED2243" w:rsidRPr="00F2273F" w:rsidRDefault="00F2273F" w:rsidP="00ED2243">
      <w:pPr>
        <w:pStyle w:val="Prrafodelista"/>
        <w:rPr>
          <w:rFonts w:ascii="Times New Roman" w:eastAsia="Arial Unicode MS" w:hAnsi="Times New Roman" w:cs="Times New Roman"/>
          <w:sz w:val="28"/>
          <w:szCs w:val="28"/>
          <w:u w:color="000000"/>
          <w:bdr w:val="nil"/>
        </w:rPr>
      </w:pPr>
    </w:p>
    <w:p w:rsidR="00E83E1C" w:rsidRPr="00F2273F" w:rsidRDefault="00F2273F" w:rsidP="004968E6">
      <w:pPr>
        <w:pStyle w:val="Prrafodelista"/>
        <w:keepNext/>
        <w:numPr>
          <w:ilvl w:val="0"/>
          <w:numId w:val="3"/>
        </w:numPr>
        <w:spacing w:line="240" w:lineRule="auto"/>
        <w:ind w:left="0" w:firstLine="0"/>
        <w:mirrorIndents/>
        <w:jc w:val="both"/>
        <w:rPr>
          <w:rFonts w:ascii="Times New Roman" w:eastAsia="Arial Unicode MS" w:hAnsi="Times New Roman" w:cs="Times New Roman"/>
          <w:sz w:val="28"/>
          <w:szCs w:val="28"/>
          <w:u w:color="000000"/>
          <w:bdr w:val="nil"/>
        </w:rPr>
      </w:pPr>
      <w:r w:rsidRPr="00F2273F">
        <w:rPr>
          <w:rFonts w:ascii="Times New Roman" w:eastAsia="Arial Unicode MS" w:hAnsi="Times New Roman" w:cs="Times New Roman"/>
          <w:i/>
          <w:iCs/>
          <w:sz w:val="28"/>
          <w:szCs w:val="28"/>
          <w:u w:color="000000"/>
          <w:bdr w:val="nil"/>
        </w:rPr>
        <w:t>Reviviscencia.</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 xml:space="preserve">A propósito de los efectos </w:t>
      </w:r>
      <w:r w:rsidRPr="00F2273F">
        <w:rPr>
          <w:rFonts w:ascii="Times New Roman" w:eastAsia="Arial Unicode MS" w:hAnsi="Times New Roman" w:cs="Times New Roman"/>
          <w:sz w:val="28"/>
          <w:szCs w:val="28"/>
          <w:u w:color="000000"/>
          <w:bdr w:val="nil"/>
        </w:rPr>
        <w:t>materiales</w:t>
      </w:r>
      <w:r w:rsidRPr="00F2273F">
        <w:rPr>
          <w:rFonts w:ascii="Times New Roman" w:eastAsia="Arial Unicode MS" w:hAnsi="Times New Roman" w:cs="Times New Roman"/>
          <w:sz w:val="28"/>
          <w:szCs w:val="28"/>
          <w:u w:color="000000"/>
          <w:bdr w:val="nil"/>
        </w:rPr>
        <w:t xml:space="preserve"> de la decisión, </w:t>
      </w:r>
      <w:r w:rsidRPr="00F2273F">
        <w:rPr>
          <w:rFonts w:ascii="Times New Roman" w:eastAsia="Arial Unicode MS" w:hAnsi="Times New Roman" w:cs="Times New Roman"/>
          <w:sz w:val="28"/>
          <w:szCs w:val="28"/>
          <w:u w:color="000000"/>
          <w:bdr w:val="nil"/>
        </w:rPr>
        <w:t xml:space="preserve">la Sala considera necesario disponer la reviviscencia de los parágrafos objeto de derogatoria por la disposición parcialmente acusada. La </w:t>
      </w:r>
      <w:r w:rsidRPr="00F2273F">
        <w:rPr>
          <w:rFonts w:ascii="Times New Roman" w:eastAsia="Arial Unicode MS" w:hAnsi="Times New Roman" w:cs="Times New Roman"/>
          <w:sz w:val="28"/>
          <w:szCs w:val="28"/>
          <w:u w:color="000000"/>
          <w:bdr w:val="nil"/>
        </w:rPr>
        <w:t xml:space="preserve">Corte </w:t>
      </w:r>
      <w:r w:rsidRPr="00F2273F">
        <w:rPr>
          <w:rFonts w:ascii="Times New Roman" w:eastAsia="Arial Unicode MS" w:hAnsi="Times New Roman" w:cs="Times New Roman"/>
          <w:sz w:val="28"/>
          <w:szCs w:val="28"/>
          <w:u w:color="000000"/>
          <w:bdr w:val="nil"/>
        </w:rPr>
        <w:t xml:space="preserve">Constitucional </w:t>
      </w:r>
      <w:r w:rsidRPr="00F2273F">
        <w:rPr>
          <w:rFonts w:ascii="Times New Roman" w:eastAsia="Arial Unicode MS" w:hAnsi="Times New Roman" w:cs="Times New Roman"/>
          <w:sz w:val="28"/>
          <w:szCs w:val="28"/>
          <w:u w:color="000000"/>
          <w:bdr w:val="nil"/>
        </w:rPr>
        <w:t xml:space="preserve">ha </w:t>
      </w:r>
      <w:r w:rsidRPr="00F2273F">
        <w:rPr>
          <w:rFonts w:ascii="Times New Roman" w:eastAsia="Arial Unicode MS" w:hAnsi="Times New Roman" w:cs="Times New Roman"/>
          <w:sz w:val="28"/>
          <w:szCs w:val="28"/>
          <w:u w:color="000000"/>
          <w:bdr w:val="nil"/>
        </w:rPr>
        <w:t xml:space="preserve">sostenido que </w:t>
      </w:r>
      <w:r w:rsidRPr="00F2273F">
        <w:rPr>
          <w:rFonts w:ascii="Times New Roman" w:eastAsia="Arial Unicode MS" w:hAnsi="Times New Roman" w:cs="Times New Roman"/>
          <w:sz w:val="28"/>
          <w:szCs w:val="28"/>
          <w:u w:color="000000"/>
          <w:bdr w:val="nil"/>
        </w:rPr>
        <w:t>aquella</w:t>
      </w:r>
      <w:r w:rsidRPr="00F2273F">
        <w:rPr>
          <w:rFonts w:ascii="Times New Roman" w:eastAsia="Arial Unicode MS" w:hAnsi="Times New Roman" w:cs="Times New Roman"/>
          <w:sz w:val="28"/>
          <w:szCs w:val="28"/>
          <w:u w:color="000000"/>
          <w:bdr w:val="nil"/>
        </w:rPr>
        <w:t xml:space="preserve"> es un remedio ante la declaratoria de inexequibilidad de una norma que dispone una derogatoria. Esta figura tiene como finalidad “(…) g</w:t>
      </w:r>
      <w:r w:rsidRPr="00F2273F">
        <w:rPr>
          <w:rFonts w:ascii="Times New Roman" w:eastAsia="Times New Roman" w:hAnsi="Times New Roman" w:cs="Times New Roman"/>
          <w:sz w:val="28"/>
          <w:szCs w:val="28"/>
          <w:lang w:val="es-ES_tradnl"/>
        </w:rPr>
        <w:t>arantizar</w:t>
      </w:r>
      <w:r w:rsidRPr="00F2273F">
        <w:rPr>
          <w:rFonts w:ascii="Times New Roman" w:eastAsia="Times New Roman" w:hAnsi="Times New Roman" w:cs="Times New Roman"/>
          <w:sz w:val="28"/>
          <w:szCs w:val="28"/>
          <w:lang w:val="es-ES_tradnl"/>
        </w:rPr>
        <w:t xml:space="preserve"> la supremacía constitucional, en razón del impacto que tendría la inexequibilidad frente al ordenamiento juríd</w:t>
      </w:r>
      <w:r w:rsidRPr="00F2273F">
        <w:rPr>
          <w:rFonts w:ascii="Times New Roman" w:eastAsia="Times New Roman" w:hAnsi="Times New Roman" w:cs="Times New Roman"/>
          <w:sz w:val="28"/>
          <w:szCs w:val="28"/>
          <w:lang w:val="es-ES_tradnl"/>
        </w:rPr>
        <w:t>ico y respecto de los derechos de las personas”</w:t>
      </w:r>
      <w:r w:rsidRPr="00F2273F">
        <w:rPr>
          <w:rStyle w:val="Refdenotaalpie"/>
          <w:rFonts w:ascii="Times New Roman" w:eastAsia="Times New Roman" w:hAnsi="Times New Roman" w:cs="Times New Roman"/>
          <w:sz w:val="28"/>
          <w:szCs w:val="28"/>
          <w:lang w:val="es-ES_tradnl"/>
        </w:rPr>
        <w:footnoteReference w:id="139"/>
      </w:r>
      <w:r w:rsidRPr="00F2273F">
        <w:rPr>
          <w:rFonts w:ascii="Times New Roman" w:eastAsia="Times New Roman" w:hAnsi="Times New Roman" w:cs="Times New Roman"/>
          <w:sz w:val="28"/>
          <w:szCs w:val="28"/>
          <w:lang w:val="es-ES_tradnl"/>
        </w:rPr>
        <w:t>.</w:t>
      </w:r>
    </w:p>
    <w:p w:rsidR="00E83E1C" w:rsidRPr="00F2273F" w:rsidRDefault="00F2273F" w:rsidP="00E83E1C">
      <w:pPr>
        <w:pStyle w:val="Prrafodelista"/>
        <w:rPr>
          <w:rFonts w:ascii="Times New Roman" w:eastAsia="Arial Unicode MS" w:hAnsi="Times New Roman" w:cs="Times New Roman"/>
          <w:sz w:val="28"/>
          <w:szCs w:val="28"/>
          <w:u w:color="000000"/>
          <w:bdr w:val="nil"/>
        </w:rPr>
      </w:pPr>
    </w:p>
    <w:p w:rsidR="0079463A" w:rsidRPr="00F2273F" w:rsidRDefault="00F2273F" w:rsidP="0084647F">
      <w:pPr>
        <w:pStyle w:val="Prrafodelista"/>
        <w:keepNext/>
        <w:numPr>
          <w:ilvl w:val="0"/>
          <w:numId w:val="3"/>
        </w:numPr>
        <w:spacing w:line="240" w:lineRule="auto"/>
        <w:ind w:left="0" w:firstLine="0"/>
        <w:mirrorIndents/>
        <w:jc w:val="both"/>
        <w:rPr>
          <w:rFonts w:ascii="Times New Roman" w:eastAsia="Arial Unicode MS" w:hAnsi="Times New Roman" w:cs="Times New Roman"/>
          <w:sz w:val="28"/>
          <w:szCs w:val="28"/>
          <w:u w:color="000000"/>
          <w:bdr w:val="nil"/>
        </w:rPr>
      </w:pPr>
      <w:r w:rsidRPr="00F2273F">
        <w:rPr>
          <w:rFonts w:ascii="Times New Roman" w:eastAsia="Arial Unicode MS" w:hAnsi="Times New Roman" w:cs="Times New Roman"/>
          <w:sz w:val="28"/>
          <w:szCs w:val="28"/>
          <w:u w:color="000000"/>
          <w:bdr w:val="nil"/>
        </w:rPr>
        <w:t xml:space="preserve">Como se </w:t>
      </w:r>
      <w:r w:rsidRPr="00F2273F">
        <w:rPr>
          <w:rFonts w:ascii="Times New Roman" w:eastAsia="Arial Unicode MS" w:hAnsi="Times New Roman" w:cs="Times New Roman"/>
          <w:sz w:val="28"/>
          <w:szCs w:val="28"/>
          <w:u w:color="000000"/>
          <w:bdr w:val="nil"/>
        </w:rPr>
        <w:t>explicó</w:t>
      </w:r>
      <w:r w:rsidRPr="00F2273F">
        <w:rPr>
          <w:rFonts w:ascii="Times New Roman" w:hAnsi="Times New Roman" w:cs="Times New Roman"/>
          <w:sz w:val="28"/>
          <w:szCs w:val="28"/>
          <w:u w:color="000000"/>
          <w:bdr w:val="nil"/>
          <w:lang w:val="es-MX"/>
        </w:rPr>
        <w:t>, fue</w:t>
      </w:r>
      <w:r w:rsidRPr="00F2273F">
        <w:rPr>
          <w:rFonts w:ascii="Times New Roman" w:hAnsi="Times New Roman" w:cs="Times New Roman"/>
          <w:sz w:val="28"/>
          <w:szCs w:val="28"/>
        </w:rPr>
        <w:t xml:space="preserve"> el constituyente quien dispuso en los artículos 365 y 367 que la ley </w:t>
      </w:r>
      <w:r w:rsidRPr="00F2273F">
        <w:rPr>
          <w:rFonts w:ascii="Times New Roman" w:hAnsi="Times New Roman" w:cs="Times New Roman"/>
          <w:sz w:val="28"/>
          <w:szCs w:val="28"/>
        </w:rPr>
        <w:t xml:space="preserve">fijara </w:t>
      </w:r>
      <w:r w:rsidRPr="00F2273F">
        <w:rPr>
          <w:rFonts w:ascii="Times New Roman" w:hAnsi="Times New Roman" w:cs="Times New Roman"/>
          <w:sz w:val="28"/>
          <w:szCs w:val="28"/>
        </w:rPr>
        <w:t>el régimen de prestación de los servicios públicos domiciliarios</w:t>
      </w:r>
      <w:r w:rsidRPr="00F2273F">
        <w:rPr>
          <w:rFonts w:ascii="Times New Roman" w:hAnsi="Times New Roman" w:cs="Times New Roman"/>
          <w:sz w:val="28"/>
          <w:szCs w:val="28"/>
        </w:rPr>
        <w:t>.</w:t>
      </w:r>
      <w:r w:rsidRPr="00F2273F">
        <w:rPr>
          <w:rFonts w:ascii="Times New Roman" w:hAnsi="Times New Roman" w:cs="Times New Roman"/>
          <w:sz w:val="28"/>
          <w:szCs w:val="28"/>
        </w:rPr>
        <w:t xml:space="preserve"> </w:t>
      </w:r>
      <w:r w:rsidRPr="00F2273F">
        <w:rPr>
          <w:rFonts w:ascii="Times New Roman" w:hAnsi="Times New Roman" w:cs="Times New Roman"/>
          <w:sz w:val="28"/>
          <w:szCs w:val="28"/>
          <w:lang w:eastAsia="es-ES"/>
        </w:rPr>
        <w:t xml:space="preserve">Para desarrollar ese mandato, el </w:t>
      </w:r>
      <w:r w:rsidRPr="00F2273F">
        <w:rPr>
          <w:rFonts w:ascii="Times New Roman" w:hAnsi="Times New Roman" w:cs="Times New Roman"/>
          <w:sz w:val="28"/>
          <w:szCs w:val="28"/>
          <w:lang w:eastAsia="es-ES"/>
        </w:rPr>
        <w:t>legislador en ejercicio de sus competencias ordinarias expidió la Ley 142 de 1994, contentiva del régimen de prestación de los servicios públicos domiciliarios</w:t>
      </w:r>
      <w:r w:rsidRPr="00F2273F">
        <w:rPr>
          <w:rFonts w:ascii="Times New Roman" w:hAnsi="Times New Roman" w:cs="Times New Roman"/>
          <w:sz w:val="28"/>
          <w:szCs w:val="28"/>
          <w:lang w:eastAsia="es-ES"/>
        </w:rPr>
        <w:t>,</w:t>
      </w:r>
      <w:r w:rsidRPr="00F2273F">
        <w:rPr>
          <w:rFonts w:ascii="Times New Roman" w:hAnsi="Times New Roman" w:cs="Times New Roman"/>
          <w:sz w:val="28"/>
          <w:szCs w:val="28"/>
          <w:lang w:eastAsia="es-ES"/>
        </w:rPr>
        <w:t xml:space="preserve"> y la Ley 143 de 1994, que establece el régimen para la generación, interconexión, transmisión, </w:t>
      </w:r>
      <w:r w:rsidRPr="00F2273F">
        <w:rPr>
          <w:rFonts w:ascii="Times New Roman" w:hAnsi="Times New Roman" w:cs="Times New Roman"/>
          <w:sz w:val="28"/>
          <w:szCs w:val="28"/>
          <w:lang w:eastAsia="es-ES"/>
        </w:rPr>
        <w:t xml:space="preserve">distribución y comercialización de </w:t>
      </w:r>
      <w:r w:rsidRPr="00F2273F">
        <w:rPr>
          <w:rFonts w:ascii="Times New Roman" w:hAnsi="Times New Roman" w:cs="Times New Roman"/>
          <w:sz w:val="28"/>
          <w:szCs w:val="28"/>
          <w:lang w:eastAsia="es-ES"/>
        </w:rPr>
        <w:t>energía eléctrica</w:t>
      </w:r>
      <w:r w:rsidRPr="00F2273F">
        <w:rPr>
          <w:rFonts w:ascii="Times New Roman" w:hAnsi="Times New Roman" w:cs="Times New Roman"/>
          <w:sz w:val="28"/>
          <w:szCs w:val="28"/>
          <w:lang w:eastAsia="es-ES"/>
        </w:rPr>
        <w:t xml:space="preserve">. </w:t>
      </w:r>
      <w:r w:rsidRPr="00F2273F">
        <w:rPr>
          <w:rFonts w:ascii="Times New Roman" w:hAnsi="Times New Roman" w:cs="Times New Roman"/>
          <w:sz w:val="28"/>
          <w:szCs w:val="28"/>
          <w:lang w:eastAsia="es-ES"/>
        </w:rPr>
        <w:t xml:space="preserve">Con </w:t>
      </w:r>
      <w:r w:rsidRPr="00F2273F">
        <w:rPr>
          <w:rFonts w:ascii="Times New Roman" w:eastAsia="Arial Unicode MS" w:hAnsi="Times New Roman" w:cs="Times New Roman"/>
          <w:sz w:val="28"/>
          <w:szCs w:val="28"/>
          <w:u w:color="000000"/>
          <w:bdr w:val="nil"/>
        </w:rPr>
        <w:t>el fin de evitar un vac</w:t>
      </w:r>
      <w:r w:rsidRPr="00F2273F">
        <w:rPr>
          <w:rFonts w:ascii="Times New Roman" w:eastAsia="Arial Unicode MS" w:hAnsi="Times New Roman" w:cs="Times New Roman"/>
          <w:sz w:val="28"/>
          <w:szCs w:val="28"/>
          <w:u w:color="000000"/>
          <w:bdr w:val="nil"/>
        </w:rPr>
        <w:t>ío</w:t>
      </w:r>
      <w:r w:rsidRPr="00F2273F">
        <w:rPr>
          <w:rFonts w:ascii="Times New Roman" w:eastAsia="Arial Unicode MS" w:hAnsi="Times New Roman" w:cs="Times New Roman"/>
          <w:sz w:val="28"/>
          <w:szCs w:val="28"/>
          <w:u w:color="000000"/>
          <w:bdr w:val="nil"/>
        </w:rPr>
        <w:t xml:space="preserve"> normativo en la regulación</w:t>
      </w:r>
      <w:r w:rsidRPr="00F2273F">
        <w:rPr>
          <w:rFonts w:ascii="Times New Roman" w:eastAsia="Arial Unicode MS" w:hAnsi="Times New Roman" w:cs="Times New Roman"/>
          <w:sz w:val="28"/>
          <w:szCs w:val="28"/>
          <w:u w:color="000000"/>
          <w:bdr w:val="nil"/>
        </w:rPr>
        <w:t xml:space="preserve"> por la expulsión de los apartados demandados del artículo 372 de la Ley 2294 de 2023,</w:t>
      </w:r>
      <w:r w:rsidRPr="00F2273F">
        <w:rPr>
          <w:rFonts w:ascii="Times New Roman" w:eastAsia="Arial Unicode MS" w:hAnsi="Times New Roman" w:cs="Times New Roman"/>
          <w:sz w:val="28"/>
          <w:szCs w:val="28"/>
          <w:u w:color="000000"/>
          <w:bdr w:val="nil"/>
        </w:rPr>
        <w:t xml:space="preserve"> </w:t>
      </w:r>
      <w:r w:rsidRPr="00F2273F">
        <w:rPr>
          <w:rFonts w:ascii="Times New Roman" w:eastAsia="Arial Unicode MS" w:hAnsi="Times New Roman" w:cs="Times New Roman"/>
          <w:sz w:val="28"/>
          <w:szCs w:val="28"/>
          <w:u w:color="000000"/>
          <w:bdr w:val="nil"/>
        </w:rPr>
        <w:t>y con el prop</w:t>
      </w:r>
      <w:r w:rsidRPr="00F2273F">
        <w:rPr>
          <w:rFonts w:ascii="Times New Roman" w:eastAsia="Arial Unicode MS" w:hAnsi="Times New Roman" w:cs="Times New Roman"/>
          <w:sz w:val="28"/>
          <w:szCs w:val="28"/>
          <w:u w:color="000000"/>
          <w:bdr w:val="nil"/>
        </w:rPr>
        <w:t>ósito</w:t>
      </w:r>
      <w:r w:rsidRPr="00F2273F">
        <w:rPr>
          <w:rFonts w:ascii="Times New Roman" w:eastAsia="Arial Unicode MS" w:hAnsi="Times New Roman" w:cs="Times New Roman"/>
          <w:sz w:val="28"/>
          <w:szCs w:val="28"/>
          <w:u w:color="000000"/>
          <w:bdr w:val="nil"/>
        </w:rPr>
        <w:t xml:space="preserve"> de mantener el diseño legislativo </w:t>
      </w:r>
      <w:r w:rsidRPr="00F2273F">
        <w:rPr>
          <w:rFonts w:ascii="Times New Roman" w:eastAsia="Arial Unicode MS" w:hAnsi="Times New Roman" w:cs="Times New Roman"/>
          <w:sz w:val="28"/>
          <w:szCs w:val="28"/>
          <w:u w:color="000000"/>
          <w:bdr w:val="nil"/>
        </w:rPr>
        <w:t>origin</w:t>
      </w:r>
      <w:r w:rsidRPr="00F2273F">
        <w:rPr>
          <w:rFonts w:ascii="Times New Roman" w:eastAsia="Arial Unicode MS" w:hAnsi="Times New Roman" w:cs="Times New Roman"/>
          <w:sz w:val="28"/>
          <w:szCs w:val="28"/>
          <w:u w:color="000000"/>
          <w:bdr w:val="nil"/>
        </w:rPr>
        <w:t xml:space="preserve">al </w:t>
      </w:r>
      <w:r w:rsidRPr="00F2273F">
        <w:rPr>
          <w:rFonts w:ascii="Times New Roman" w:eastAsia="Arial Unicode MS" w:hAnsi="Times New Roman" w:cs="Times New Roman"/>
          <w:sz w:val="28"/>
          <w:szCs w:val="28"/>
          <w:u w:color="000000"/>
          <w:bdr w:val="nil"/>
        </w:rPr>
        <w:t xml:space="preserve">adoptado por el legislador en desarrollo de la Constitución, </w:t>
      </w:r>
      <w:r w:rsidRPr="00F2273F">
        <w:rPr>
          <w:rFonts w:ascii="Times New Roman" w:eastAsia="Arial Unicode MS" w:hAnsi="Times New Roman" w:cs="Times New Roman"/>
          <w:sz w:val="28"/>
          <w:szCs w:val="28"/>
          <w:u w:color="000000"/>
          <w:bdr w:val="nil"/>
        </w:rPr>
        <w:t xml:space="preserve">esta </w:t>
      </w:r>
      <w:r w:rsidRPr="00F2273F">
        <w:rPr>
          <w:rFonts w:ascii="Times New Roman" w:eastAsia="Arial Unicode MS" w:hAnsi="Times New Roman" w:cs="Times New Roman"/>
          <w:sz w:val="28"/>
          <w:szCs w:val="28"/>
          <w:u w:color="000000"/>
          <w:bdr w:val="nil"/>
        </w:rPr>
        <w:t xml:space="preserve">Corte encuentra justificado hacer uso de la figura de la </w:t>
      </w:r>
      <w:r w:rsidRPr="00F2273F">
        <w:rPr>
          <w:rFonts w:ascii="Times New Roman" w:eastAsia="Arial Unicode MS" w:hAnsi="Times New Roman" w:cs="Times New Roman"/>
          <w:sz w:val="28"/>
          <w:szCs w:val="28"/>
          <w:u w:color="000000"/>
          <w:bdr w:val="nil"/>
        </w:rPr>
        <w:t>reviviscencia</w:t>
      </w:r>
      <w:r w:rsidRPr="00F2273F">
        <w:rPr>
          <w:rFonts w:ascii="Times New Roman" w:eastAsia="Arial Unicode MS" w:hAnsi="Times New Roman" w:cs="Times New Roman"/>
          <w:sz w:val="28"/>
          <w:szCs w:val="28"/>
          <w:u w:color="000000"/>
          <w:bdr w:val="nil"/>
        </w:rPr>
        <w:t xml:space="preserve"> respecto </w:t>
      </w:r>
      <w:r w:rsidRPr="00F2273F">
        <w:rPr>
          <w:rFonts w:ascii="Times New Roman" w:eastAsia="Arial Unicode MS" w:hAnsi="Times New Roman" w:cs="Times New Roman"/>
          <w:sz w:val="28"/>
          <w:szCs w:val="28"/>
          <w:bdr w:val="nil"/>
        </w:rPr>
        <w:t>d</w:t>
      </w:r>
      <w:r w:rsidRPr="00F2273F">
        <w:rPr>
          <w:rFonts w:ascii="Times New Roman" w:hAnsi="Times New Roman" w:cs="Times New Roman"/>
          <w:sz w:val="28"/>
          <w:szCs w:val="28"/>
        </w:rPr>
        <w:t xml:space="preserve">el parágrafo tercero del artículo 167 de la Ley 142 de 1994 y del parágrafo tercero del artículo 32 de la </w:t>
      </w:r>
      <w:r w:rsidRPr="00F2273F">
        <w:rPr>
          <w:rFonts w:ascii="Times New Roman" w:hAnsi="Times New Roman" w:cs="Times New Roman"/>
          <w:sz w:val="28"/>
          <w:szCs w:val="28"/>
        </w:rPr>
        <w:t>Ley 143 de 1994</w:t>
      </w:r>
      <w:r w:rsidRPr="00F2273F">
        <w:rPr>
          <w:rFonts w:ascii="Times New Roman" w:hAnsi="Times New Roman" w:cs="Times New Roman"/>
          <w:sz w:val="28"/>
          <w:szCs w:val="28"/>
        </w:rPr>
        <w:t xml:space="preserve"> y así lo dispondrá en la parte resolutiva de esta sentencia</w:t>
      </w:r>
      <w:r w:rsidRPr="00F2273F">
        <w:rPr>
          <w:rFonts w:ascii="Times New Roman" w:hAnsi="Times New Roman" w:cs="Times New Roman"/>
          <w:sz w:val="28"/>
          <w:szCs w:val="28"/>
        </w:rPr>
        <w:t>.</w:t>
      </w:r>
      <w:r w:rsidRPr="00F2273F">
        <w:rPr>
          <w:rFonts w:ascii="Times New Roman" w:hAnsi="Times New Roman" w:cs="Times New Roman"/>
          <w:b/>
          <w:bCs/>
          <w:sz w:val="28"/>
          <w:szCs w:val="28"/>
          <w:u w:val="single"/>
        </w:rPr>
        <w:t xml:space="preserve"> </w:t>
      </w:r>
    </w:p>
    <w:p w:rsidR="0079463A" w:rsidRPr="00F2273F" w:rsidRDefault="00F2273F" w:rsidP="00A73051">
      <w:pPr>
        <w:spacing w:after="0" w:line="240" w:lineRule="auto"/>
        <w:ind w:right="48"/>
        <w:jc w:val="both"/>
        <w:textAlignment w:val="baseline"/>
        <w:rPr>
          <w:rFonts w:ascii="Times New Roman" w:hAnsi="Times New Roman" w:cs="Times New Roman"/>
          <w:sz w:val="28"/>
          <w:szCs w:val="28"/>
          <w:lang w:eastAsia="es-ES"/>
        </w:rPr>
      </w:pPr>
    </w:p>
    <w:p w:rsidR="00A73051" w:rsidRPr="00F2273F" w:rsidRDefault="00F2273F" w:rsidP="00A73051">
      <w:pPr>
        <w:pStyle w:val="Prrafodelista"/>
        <w:numPr>
          <w:ilvl w:val="0"/>
          <w:numId w:val="2"/>
        </w:numPr>
        <w:spacing w:after="0" w:line="240" w:lineRule="auto"/>
        <w:ind w:left="896" w:right="48" w:hanging="868"/>
        <w:jc w:val="both"/>
        <w:textAlignment w:val="baseline"/>
        <w:rPr>
          <w:rFonts w:ascii="Times New Roman" w:hAnsi="Times New Roman" w:cs="Times New Roman"/>
          <w:b/>
          <w:bCs/>
          <w:sz w:val="28"/>
          <w:szCs w:val="28"/>
          <w:lang w:eastAsia="es-ES"/>
        </w:rPr>
      </w:pPr>
      <w:r w:rsidRPr="00F2273F">
        <w:rPr>
          <w:rFonts w:ascii="Times New Roman" w:hAnsi="Times New Roman" w:cs="Times New Roman"/>
          <w:b/>
          <w:bCs/>
          <w:sz w:val="28"/>
          <w:szCs w:val="28"/>
          <w:lang w:eastAsia="es-ES"/>
        </w:rPr>
        <w:t xml:space="preserve">DECISIÓN </w:t>
      </w:r>
    </w:p>
    <w:p w:rsidR="00A73051" w:rsidRPr="00F2273F" w:rsidRDefault="00F2273F" w:rsidP="00A73051">
      <w:pPr>
        <w:spacing w:after="0" w:line="240" w:lineRule="auto"/>
        <w:ind w:left="708" w:right="48" w:hanging="708"/>
        <w:jc w:val="both"/>
        <w:textAlignment w:val="baseline"/>
        <w:rPr>
          <w:rFonts w:ascii="Times New Roman" w:hAnsi="Times New Roman" w:cs="Times New Roman"/>
          <w:sz w:val="28"/>
          <w:szCs w:val="28"/>
          <w:lang w:eastAsia="es-ES"/>
        </w:rPr>
      </w:pPr>
    </w:p>
    <w:p w:rsidR="00A73051" w:rsidRPr="00F2273F" w:rsidRDefault="00F2273F" w:rsidP="00A73051">
      <w:pPr>
        <w:spacing w:after="0" w:line="240" w:lineRule="auto"/>
        <w:ind w:right="48"/>
        <w:jc w:val="both"/>
        <w:textAlignment w:val="baseline"/>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En mérito de lo expuesto, la Sala Plena de la Corte Constitucional de la República de Colombia, administrando justicia en nombre del pueblo y por mandato de la Constitución, </w:t>
      </w:r>
    </w:p>
    <w:p w:rsidR="00A73051" w:rsidRPr="00F2273F" w:rsidRDefault="00F2273F" w:rsidP="00A73051">
      <w:pPr>
        <w:spacing w:after="0" w:line="240" w:lineRule="auto"/>
        <w:ind w:left="360" w:right="48"/>
        <w:jc w:val="center"/>
        <w:textAlignment w:val="baseline"/>
        <w:rPr>
          <w:rFonts w:ascii="Times New Roman" w:hAnsi="Times New Roman" w:cs="Times New Roman"/>
          <w:b/>
          <w:bCs/>
          <w:sz w:val="28"/>
          <w:szCs w:val="28"/>
          <w:lang w:eastAsia="es-ES"/>
        </w:rPr>
      </w:pPr>
    </w:p>
    <w:p w:rsidR="00A73051" w:rsidRPr="00F2273F" w:rsidRDefault="00F2273F" w:rsidP="00A73051">
      <w:pPr>
        <w:spacing w:after="0" w:line="240" w:lineRule="auto"/>
        <w:ind w:left="360" w:right="48"/>
        <w:jc w:val="center"/>
        <w:textAlignment w:val="baseline"/>
        <w:rPr>
          <w:rFonts w:ascii="Times New Roman" w:hAnsi="Times New Roman" w:cs="Times New Roman"/>
          <w:b/>
          <w:bCs/>
          <w:sz w:val="28"/>
          <w:szCs w:val="28"/>
          <w:lang w:eastAsia="es-ES"/>
        </w:rPr>
      </w:pPr>
      <w:r w:rsidRPr="00F2273F">
        <w:rPr>
          <w:rFonts w:ascii="Times New Roman" w:hAnsi="Times New Roman" w:cs="Times New Roman"/>
          <w:b/>
          <w:bCs/>
          <w:sz w:val="28"/>
          <w:szCs w:val="28"/>
          <w:lang w:eastAsia="es-ES"/>
        </w:rPr>
        <w:t>RESUELVE</w:t>
      </w:r>
    </w:p>
    <w:p w:rsidR="001B7349" w:rsidRPr="00F2273F" w:rsidRDefault="00F2273F" w:rsidP="00A73051">
      <w:pPr>
        <w:spacing w:after="0" w:line="240" w:lineRule="auto"/>
        <w:ind w:left="360" w:right="48"/>
        <w:jc w:val="center"/>
        <w:textAlignment w:val="baseline"/>
        <w:rPr>
          <w:rFonts w:ascii="Times New Roman" w:hAnsi="Times New Roman" w:cs="Times New Roman"/>
          <w:b/>
          <w:bCs/>
          <w:sz w:val="28"/>
          <w:szCs w:val="28"/>
          <w:lang w:eastAsia="es-ES"/>
        </w:rPr>
      </w:pPr>
    </w:p>
    <w:p w:rsidR="001B7349" w:rsidRPr="00F2273F" w:rsidRDefault="00F2273F" w:rsidP="0073076A">
      <w:pPr>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PRIMERO.</w:t>
      </w:r>
      <w:r w:rsidRPr="00F2273F">
        <w:rPr>
          <w:rFonts w:ascii="Times New Roman" w:hAnsi="Times New Roman" w:cs="Times New Roman"/>
          <w:sz w:val="28"/>
          <w:szCs w:val="28"/>
        </w:rPr>
        <w:t xml:space="preserve"> Declarar </w:t>
      </w:r>
      <w:r w:rsidRPr="00F2273F">
        <w:rPr>
          <w:rFonts w:ascii="Times New Roman" w:hAnsi="Times New Roman" w:cs="Times New Roman"/>
          <w:b/>
          <w:bCs/>
          <w:sz w:val="28"/>
          <w:szCs w:val="28"/>
        </w:rPr>
        <w:t>INEXEQUIBLES</w:t>
      </w:r>
      <w:r w:rsidRPr="00F2273F">
        <w:rPr>
          <w:rFonts w:ascii="Times New Roman" w:hAnsi="Times New Roman" w:cs="Times New Roman"/>
          <w:sz w:val="28"/>
          <w:szCs w:val="28"/>
        </w:rPr>
        <w:t xml:space="preserve"> las expresiones “el parágrafo tercero d</w:t>
      </w:r>
      <w:r w:rsidRPr="00F2273F">
        <w:rPr>
          <w:rFonts w:ascii="Times New Roman" w:hAnsi="Times New Roman" w:cs="Times New Roman"/>
          <w:sz w:val="28"/>
          <w:szCs w:val="28"/>
        </w:rPr>
        <w:t>el artículo 167 de la Ley 142 de 1994; el parágrafo tercero del artículo 32 de la Ley 143 de 1994;” contenidas en el artículo 372 de la Ley 2294 de 2023, “[p]or el cual se expide el Plan Nacional de Desarrollo 2022-2026 “Colombia Potencia Mundial de la Vid</w:t>
      </w:r>
      <w:r w:rsidRPr="00F2273F">
        <w:rPr>
          <w:rFonts w:ascii="Times New Roman" w:hAnsi="Times New Roman" w:cs="Times New Roman"/>
          <w:sz w:val="28"/>
          <w:szCs w:val="28"/>
        </w:rPr>
        <w:t>a”, por violación de los principios de consecutividad e identidad flexible y de unidad de materia.</w:t>
      </w:r>
    </w:p>
    <w:p w:rsidR="001B7349" w:rsidRPr="00F2273F" w:rsidRDefault="00F2273F" w:rsidP="0073076A">
      <w:pPr>
        <w:spacing w:after="0" w:line="240" w:lineRule="auto"/>
        <w:jc w:val="both"/>
        <w:rPr>
          <w:rFonts w:ascii="Times New Roman" w:hAnsi="Times New Roman" w:cs="Times New Roman"/>
          <w:sz w:val="28"/>
          <w:szCs w:val="28"/>
        </w:rPr>
      </w:pPr>
    </w:p>
    <w:p w:rsidR="001B7349" w:rsidRPr="00F2273F" w:rsidRDefault="00F2273F" w:rsidP="0073076A">
      <w:pPr>
        <w:spacing w:after="0" w:line="240" w:lineRule="auto"/>
        <w:jc w:val="both"/>
        <w:rPr>
          <w:rFonts w:ascii="Times New Roman" w:hAnsi="Times New Roman" w:cs="Times New Roman"/>
          <w:sz w:val="28"/>
          <w:szCs w:val="28"/>
        </w:rPr>
      </w:pPr>
      <w:r w:rsidRPr="00F2273F">
        <w:rPr>
          <w:rFonts w:ascii="Times New Roman" w:hAnsi="Times New Roman" w:cs="Times New Roman"/>
          <w:b/>
          <w:bCs/>
          <w:sz w:val="28"/>
          <w:szCs w:val="28"/>
        </w:rPr>
        <w:t>SEGUNDO.</w:t>
      </w:r>
      <w:r w:rsidRPr="00F2273F">
        <w:rPr>
          <w:rFonts w:ascii="Times New Roman" w:hAnsi="Times New Roman" w:cs="Times New Roman"/>
          <w:sz w:val="28"/>
          <w:szCs w:val="28"/>
        </w:rPr>
        <w:t xml:space="preserve"> En consecuencia, disponer la </w:t>
      </w:r>
      <w:r w:rsidRPr="00F2273F">
        <w:rPr>
          <w:rFonts w:ascii="Times New Roman" w:hAnsi="Times New Roman" w:cs="Times New Roman"/>
          <w:b/>
          <w:bCs/>
          <w:sz w:val="28"/>
          <w:szCs w:val="28"/>
        </w:rPr>
        <w:t xml:space="preserve">REVIVISCENCIA </w:t>
      </w:r>
      <w:r w:rsidRPr="00F2273F">
        <w:rPr>
          <w:rFonts w:ascii="Times New Roman" w:hAnsi="Times New Roman" w:cs="Times New Roman"/>
          <w:sz w:val="28"/>
          <w:szCs w:val="28"/>
        </w:rPr>
        <w:t xml:space="preserve">del parágrafo tercero del artículo 167 de la Ley 142 de 1994 y del parágrafo tercero del artículo 32 de </w:t>
      </w:r>
      <w:r w:rsidRPr="00F2273F">
        <w:rPr>
          <w:rFonts w:ascii="Times New Roman" w:hAnsi="Times New Roman" w:cs="Times New Roman"/>
          <w:sz w:val="28"/>
          <w:szCs w:val="28"/>
        </w:rPr>
        <w:t>la Ley 143 de 1994.</w:t>
      </w:r>
    </w:p>
    <w:p w:rsidR="001B7349" w:rsidRPr="00F2273F" w:rsidRDefault="00F2273F" w:rsidP="0073076A">
      <w:pPr>
        <w:spacing w:after="0" w:line="240" w:lineRule="auto"/>
        <w:ind w:right="48"/>
        <w:textAlignment w:val="baseline"/>
        <w:rPr>
          <w:rFonts w:ascii="Times New Roman" w:hAnsi="Times New Roman" w:cs="Times New Roman"/>
          <w:sz w:val="28"/>
          <w:szCs w:val="28"/>
          <w:lang w:eastAsia="es-ES"/>
        </w:rPr>
      </w:pPr>
    </w:p>
    <w:p w:rsidR="00BC2995" w:rsidRPr="00F2273F" w:rsidRDefault="00F2273F" w:rsidP="0084647F">
      <w:pPr>
        <w:spacing w:line="240" w:lineRule="auto"/>
        <w:jc w:val="both"/>
        <w:rPr>
          <w:rFonts w:ascii="Times New Roman" w:eastAsia="Arial Unicode MS" w:hAnsi="Times New Roman" w:cs="Times New Roman"/>
          <w:sz w:val="28"/>
          <w:szCs w:val="28"/>
          <w:u w:color="000000"/>
          <w:bdr w:val="nil"/>
          <w:lang w:val="es-MX"/>
        </w:rPr>
      </w:pPr>
      <w:r w:rsidRPr="00F2273F">
        <w:rPr>
          <w:rFonts w:ascii="Times New Roman" w:eastAsia="Arial Unicode MS" w:hAnsi="Times New Roman" w:cs="Times New Roman"/>
          <w:sz w:val="28"/>
          <w:szCs w:val="28"/>
          <w:u w:color="000000"/>
          <w:bdr w:val="nil"/>
          <w:lang w:val="es-MX"/>
        </w:rPr>
        <w:t>Notifíquese, comuníquese y cúmplase.</w:t>
      </w:r>
    </w:p>
    <w:p w:rsidR="006A2182"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PAOLA ANDREA MENESES MOSQUERA</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Presidenta</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NATALIA ÁNGEL CABO</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Magistrada</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CARLOS CAMARGO ASSIS</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HECTOR ALFONSO CARVAJAL LONDOÑO</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JUAN CARLOS CORTÉS GONZÁLEZ</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LINA MARCELA ESCOBAR MARTÍNEZ</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Magistrada</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VLADIMIR FERNÁNDEZ ANDRADE</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Con impedimento aceptado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 xml:space="preserve">JORGE ENRIQUE IBÁÑEZ NAJAR </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MIGUEL POLO ROSERO</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Magistrado</w:t>
      </w: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F227F2">
      <w:pPr>
        <w:spacing w:line="240" w:lineRule="auto"/>
        <w:rPr>
          <w:rFonts w:ascii="Times New Roman" w:hAnsi="Times New Roman" w:cs="Times New Roman"/>
          <w:sz w:val="28"/>
          <w:szCs w:val="28"/>
          <w:lang w:eastAsia="es-ES"/>
        </w:rPr>
      </w:pP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ANDREA LILIANA ROMERO LOPEZ</w:t>
      </w:r>
    </w:p>
    <w:p w:rsidR="00D07078" w:rsidRPr="00F2273F" w:rsidRDefault="00F2273F" w:rsidP="00D07078">
      <w:pPr>
        <w:spacing w:line="240" w:lineRule="auto"/>
        <w:jc w:val="center"/>
        <w:rPr>
          <w:rFonts w:ascii="Times New Roman" w:hAnsi="Times New Roman" w:cs="Times New Roman"/>
          <w:sz w:val="28"/>
          <w:szCs w:val="28"/>
          <w:lang w:eastAsia="es-ES"/>
        </w:rPr>
      </w:pPr>
      <w:r w:rsidRPr="00F2273F">
        <w:rPr>
          <w:rFonts w:ascii="Times New Roman" w:hAnsi="Times New Roman" w:cs="Times New Roman"/>
          <w:sz w:val="28"/>
          <w:szCs w:val="28"/>
          <w:lang w:eastAsia="es-ES"/>
        </w:rPr>
        <w:t>Secretaria General</w:t>
      </w:r>
    </w:p>
    <w:p w:rsidR="00D07078" w:rsidRPr="00F2273F" w:rsidRDefault="00F2273F" w:rsidP="00F227F2">
      <w:pPr>
        <w:spacing w:line="240" w:lineRule="auto"/>
        <w:rPr>
          <w:rFonts w:ascii="Times New Roman" w:hAnsi="Times New Roman" w:cs="Times New Roman"/>
          <w:sz w:val="28"/>
          <w:szCs w:val="28"/>
          <w:lang w:eastAsia="es-ES"/>
        </w:rPr>
      </w:pPr>
    </w:p>
    <w:sectPr w:rsidR="00D07078" w:rsidRPr="00F2273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2273F">
      <w:pPr>
        <w:spacing w:after="0" w:line="240" w:lineRule="auto"/>
      </w:pPr>
      <w:r>
        <w:separator/>
      </w:r>
    </w:p>
  </w:endnote>
  <w:endnote w:type="continuationSeparator" w:id="0">
    <w:p w:rsidR="00000000" w:rsidRDefault="00F2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2273F">
      <w:pPr>
        <w:spacing w:after="0" w:line="240" w:lineRule="auto"/>
      </w:pPr>
      <w:r>
        <w:separator/>
      </w:r>
    </w:p>
  </w:footnote>
  <w:footnote w:type="continuationSeparator" w:id="0">
    <w:p w:rsidR="00000000" w:rsidRDefault="00F2273F">
      <w:pPr>
        <w:spacing w:after="0" w:line="240" w:lineRule="auto"/>
      </w:pPr>
      <w:r>
        <w:continuationSeparator/>
      </w:r>
    </w:p>
  </w:footnote>
  <w:footnote w:id="1">
    <w:p w:rsidR="00D15AFF" w:rsidRPr="0059318D" w:rsidRDefault="00F2273F" w:rsidP="00E042D3">
      <w:pPr>
        <w:spacing w:after="0" w:line="240" w:lineRule="auto"/>
        <w:contextualSpacing/>
        <w:jc w:val="both"/>
        <w:rPr>
          <w:rFonts w:ascii="Times New Roman" w:hAnsi="Times New Roman" w:cs="Times New Roman"/>
          <w:sz w:val="20"/>
          <w:szCs w:val="20"/>
        </w:rPr>
      </w:pPr>
      <w:r w:rsidRPr="0059318D">
        <w:rPr>
          <w:rStyle w:val="Refdenotaalpie"/>
          <w:rFonts w:ascii="Times New Roman" w:hAnsi="Times New Roman" w:cs="Times New Roman"/>
          <w:sz w:val="20"/>
          <w:szCs w:val="20"/>
        </w:rPr>
        <w:footnoteRef/>
      </w:r>
      <w:r w:rsidRPr="0059318D">
        <w:rPr>
          <w:rFonts w:ascii="Times New Roman" w:hAnsi="Times New Roman" w:cs="Times New Roman"/>
          <w:sz w:val="20"/>
          <w:szCs w:val="20"/>
        </w:rPr>
        <w:t xml:space="preserve"> Se invitó a las siguientes entidades, instituciones y expertos: a Fedesarrollo, al Consejo Gremial Nacional, a la ANIF – Centro de Estudios Económicos, a la Asociación Nacional de Servicios Públicos y Comunicaciones  -Andesco-, y a la Asociación Nacional </w:t>
      </w:r>
      <w:r w:rsidRPr="0059318D">
        <w:rPr>
          <w:rFonts w:ascii="Times New Roman" w:hAnsi="Times New Roman" w:cs="Times New Roman"/>
          <w:sz w:val="20"/>
          <w:szCs w:val="20"/>
        </w:rPr>
        <w:t xml:space="preserve">de Empresarios de Colombia -ANDI-; también a las facultades de Derecho y Economía o de ciencias económicas de las Universidades Nacional de Colombia, de Antioquia, EAN, de los Andes, Javeriana, del Rosario, Pedagógica y Tecnológica de Colombia, Externado, </w:t>
      </w:r>
      <w:r w:rsidRPr="0059318D">
        <w:rPr>
          <w:rFonts w:ascii="Times New Roman" w:hAnsi="Times New Roman" w:cs="Times New Roman"/>
          <w:sz w:val="20"/>
          <w:szCs w:val="20"/>
        </w:rPr>
        <w:t xml:space="preserve">Libre, Santo Tomás y del Norte; y a los expertos Luis Ignacio Betancur Escobar y a Julián López-Murcia, para que en el término de diez (10) días hábiles, contados a partir de la comunicación del auto y si lo estimaban conveniente, emitieran concepto sobre </w:t>
      </w:r>
      <w:r w:rsidRPr="0059318D">
        <w:rPr>
          <w:rFonts w:ascii="Times New Roman" w:hAnsi="Times New Roman" w:cs="Times New Roman"/>
          <w:sz w:val="20"/>
          <w:szCs w:val="20"/>
        </w:rPr>
        <w:t xml:space="preserve">puntos relevantes para el fallo que solucione la controversia constitucional en este juicio. </w:t>
      </w:r>
    </w:p>
  </w:footnote>
  <w:footnote w:id="2">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Según da cuenta la constancia secretarial respectiva, disponible en: </w:t>
      </w:r>
      <w:hyperlink r:id="rId1" w:history="1">
        <w:r w:rsidRPr="0059318D">
          <w:rPr>
            <w:rStyle w:val="Hipervnculo"/>
            <w:rFonts w:cs="Times New Roman"/>
          </w:rPr>
          <w:t>http</w:t>
        </w:r>
        <w:r w:rsidRPr="0059318D">
          <w:rPr>
            <w:rStyle w:val="Hipervnculo"/>
            <w:rFonts w:cs="Times New Roman"/>
          </w:rPr>
          <w:t>s://www.corteconstitucional.gov.co/secretaria/archivo.php?id=78169</w:t>
        </w:r>
      </w:hyperlink>
      <w:r w:rsidRPr="0059318D">
        <w:rPr>
          <w:rFonts w:cs="Times New Roman"/>
        </w:rPr>
        <w:t xml:space="preserve">  </w:t>
      </w:r>
    </w:p>
  </w:footnote>
  <w:footnote w:id="3">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color w:val="4B4949"/>
        </w:rPr>
        <w:t xml:space="preserve"> Diario Oficial No. 52.400 de 19 de mayo de 2023.</w:t>
      </w:r>
    </w:p>
  </w:footnote>
  <w:footnote w:id="4">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Explica</w:t>
      </w:r>
      <w:r w:rsidRPr="0059318D">
        <w:rPr>
          <w:rFonts w:cs="Times New Roman"/>
        </w:rPr>
        <w:t>ron</w:t>
      </w:r>
      <w:r w:rsidRPr="0059318D">
        <w:rPr>
          <w:rFonts w:cs="Times New Roman"/>
        </w:rPr>
        <w:t xml:space="preserve"> que la disposición demandada elimina una restricción específica que había impuesto el legislador a la empresa Interconexión</w:t>
      </w:r>
      <w:r w:rsidRPr="0059318D">
        <w:rPr>
          <w:rFonts w:cs="Times New Roman"/>
        </w:rPr>
        <w:t xml:space="preserve"> Eléctrica S.A. E.S.P– ISA. – ISA, que desarrolla la actividad de transmisión e interconexión directa e indirectamente de interconexión de centro nacional de despacho mediante su filial XM S.A. E.S.P., y que según el artículo 167 de la Ley 142 y el parágra</w:t>
      </w:r>
      <w:r w:rsidRPr="0059318D">
        <w:rPr>
          <w:rFonts w:cs="Times New Roman"/>
        </w:rPr>
        <w:t>fo tercero del artículo 32 de la Ley 143 de 1994, no podía desarrollar las otras actividades de la cadena de generación, distribución y comercialización de electricidad.</w:t>
      </w:r>
    </w:p>
  </w:footnote>
  <w:footnote w:id="5">
    <w:p w:rsidR="00D15AFF" w:rsidRPr="0059318D" w:rsidRDefault="00F2273F" w:rsidP="00E042D3">
      <w:pPr>
        <w:pStyle w:val="Textonotapie"/>
        <w:rPr>
          <w:rFonts w:cs="Times New Roman"/>
          <w:lang w:val="es-ES" w:eastAsia="es-ES_tradnl"/>
        </w:rPr>
      </w:pPr>
      <w:r w:rsidRPr="0059318D">
        <w:rPr>
          <w:rStyle w:val="Refdenotaalpie"/>
          <w:rFonts w:cs="Times New Roman"/>
        </w:rPr>
        <w:footnoteRef/>
      </w:r>
      <w:r w:rsidRPr="0059318D">
        <w:rPr>
          <w:rFonts w:cs="Times New Roman"/>
        </w:rPr>
        <w:t xml:space="preserve"> Ib, folio 58.</w:t>
      </w:r>
    </w:p>
  </w:footnote>
  <w:footnote w:id="6">
    <w:p w:rsidR="00D15AFF" w:rsidRPr="0059318D" w:rsidRDefault="00F2273F" w:rsidP="00E042D3">
      <w:pPr>
        <w:pStyle w:val="Textonotapie"/>
        <w:rPr>
          <w:rFonts w:cs="Times New Roman"/>
          <w:lang w:val="es-ES"/>
        </w:rPr>
      </w:pPr>
      <w:r w:rsidRPr="0059318D">
        <w:rPr>
          <w:rStyle w:val="Refdenotaalpie"/>
          <w:rFonts w:cs="Times New Roman"/>
        </w:rPr>
        <w:footnoteRef/>
      </w:r>
      <w:r w:rsidRPr="0059318D">
        <w:rPr>
          <w:rFonts w:cs="Times New Roman"/>
        </w:rPr>
        <w:t xml:space="preserve"> </w:t>
      </w:r>
      <w:r w:rsidRPr="0059318D">
        <w:rPr>
          <w:rFonts w:cs="Times New Roman"/>
          <w:lang w:val="es-ES"/>
        </w:rPr>
        <w:t>Ib.</w:t>
      </w:r>
    </w:p>
  </w:footnote>
  <w:footnote w:id="7">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“Remisión de pruebas - Respuesta a</w:t>
      </w:r>
      <w:r w:rsidRPr="0059318D">
        <w:rPr>
          <w:rFonts w:cs="Times New Roman"/>
        </w:rPr>
        <w:t>l oficio No. OPC-242 de 2023.pdf”. Oficio número SLE-CS-978-2023 recibido el 23 de octubre de 2023, firmado por Gregorio Eljach Pacheco actuando como secretario general del Senado de la República.</w:t>
      </w:r>
    </w:p>
  </w:footnote>
  <w:footnote w:id="8">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“Respuesta al oficio - OPC-24</w:t>
      </w:r>
      <w:r w:rsidRPr="0059318D">
        <w:rPr>
          <w:rFonts w:cs="Times New Roman"/>
        </w:rPr>
        <w:t>2/23.pdf”. Oficio número SGE-CS-05682-2023 recibido el 14 de noviembre de 2023, y firmado por Gregorio Eljach Pacheco actuando como secretario general del Senado de la República.</w:t>
      </w:r>
    </w:p>
  </w:footnote>
  <w:footnote w:id="9">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 xml:space="preserve">rchivo “Remisión de pruebas – Respuesta al oficio No. </w:t>
      </w:r>
      <w:r w:rsidRPr="0059318D">
        <w:rPr>
          <w:rFonts w:cs="Times New Roman"/>
        </w:rPr>
        <w:t>OPC-244 de 2023.pdf”. Oficio N°. 20233240718401 recibido el 30 de octubre de 2023, firmado por Luis Fernando Hernández Betancur, actuando como abogado de la Oficina Jurídica del Departamento Nacional de Planeación.</w:t>
      </w:r>
    </w:p>
  </w:footnote>
  <w:footnote w:id="10">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w:t>
      </w:r>
      <w:r w:rsidRPr="0059318D">
        <w:rPr>
          <w:rFonts w:cs="Times New Roman"/>
        </w:rPr>
        <w:t>l, a</w:t>
      </w:r>
      <w:r w:rsidRPr="0059318D">
        <w:rPr>
          <w:rFonts w:cs="Times New Roman"/>
        </w:rPr>
        <w:t>rchivo “Remisión d</w:t>
      </w:r>
      <w:r w:rsidRPr="0059318D">
        <w:rPr>
          <w:rFonts w:cs="Times New Roman"/>
        </w:rPr>
        <w:t>e pruebas – Respuesta al oficio No. OPC-244 de 2023.pdf”. Oficio N°. OFI23-00203631 recibido el 30 de octubre de 2023, y firmado por Carolina Jiménez Bellicia, actuando como apoderada judicial del Departamento Administrativo de la Presidencia de la Repúbli</w:t>
      </w:r>
      <w:r w:rsidRPr="0059318D">
        <w:rPr>
          <w:rFonts w:cs="Times New Roman"/>
        </w:rPr>
        <w:t>ca.</w:t>
      </w:r>
    </w:p>
  </w:footnote>
  <w:footnote w:id="11">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“Remisión de pruebas – Respuesta al oficio No. OPC-242 de 2023.pdf”. Oficio N°. CCU-CS-1662-2023 recibido el 30 de octubre de 2023, firmado por Alfredo Rocha Rojas, actuando como Secretario de la Comisión Cuarta Constituci</w:t>
      </w:r>
      <w:r w:rsidRPr="0059318D">
        <w:rPr>
          <w:rFonts w:cs="Times New Roman"/>
        </w:rPr>
        <w:t>onal Permanente del Senado de la República.</w:t>
      </w:r>
    </w:p>
  </w:footnote>
  <w:footnote w:id="12">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“Remisión de pruebas – Respuesta al oficio No. OPC-244 de 2023.pdf”. Oficio recibido el 30 de octubre de 2023, firmado por Manuel Felipe Rodríguez Duarte asesor delegado del Ministro</w:t>
      </w:r>
      <w:r w:rsidRPr="0059318D">
        <w:rPr>
          <w:rFonts w:cs="Times New Roman"/>
        </w:rPr>
        <w:t xml:space="preserve"> de Hacienda y Crédito Público.</w:t>
      </w:r>
    </w:p>
  </w:footnote>
  <w:footnote w:id="13">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Ib, </w:t>
      </w:r>
      <w:r w:rsidRPr="0059318D">
        <w:rPr>
          <w:rFonts w:cs="Times New Roman"/>
        </w:rPr>
        <w:t>folio</w:t>
      </w:r>
      <w:r w:rsidRPr="0059318D">
        <w:rPr>
          <w:rFonts w:cs="Times New Roman"/>
        </w:rPr>
        <w:t xml:space="preserve"> 5.</w:t>
      </w:r>
    </w:p>
  </w:footnote>
  <w:footnote w:id="14">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Específicamente se refiere al numeral 1: “1. Transición energética justa, basada en el respeto a la naturaleza, la justicia social y la soberanía con seguridad, confiabilidad y eficiencia”, y su literal “b. </w:t>
      </w:r>
      <w:r w:rsidRPr="0059318D">
        <w:rPr>
          <w:rFonts w:cs="Times New Roman"/>
        </w:rPr>
        <w:t>Seguridad y confiabilidad energética” (</w:t>
      </w:r>
      <w:r w:rsidRPr="0059318D">
        <w:rPr>
          <w:rFonts w:cs="Times New Roman"/>
        </w:rPr>
        <w:t>fl</w:t>
      </w:r>
      <w:r w:rsidRPr="0059318D">
        <w:rPr>
          <w:rFonts w:cs="Times New Roman"/>
        </w:rPr>
        <w:t>. 154, Bases). Y al numeral 2: “2. Desarrollo económico a partir de eficiencia energética, nuevos energéticos y minerales estratégicos para la transición” (</w:t>
      </w:r>
      <w:r w:rsidRPr="0059318D">
        <w:rPr>
          <w:rFonts w:cs="Times New Roman"/>
        </w:rPr>
        <w:t>fl</w:t>
      </w:r>
      <w:r w:rsidRPr="0059318D">
        <w:rPr>
          <w:rFonts w:cs="Times New Roman"/>
        </w:rPr>
        <w:t>. 156, Bases), y su literal “b. Eficiencia energética y d</w:t>
      </w:r>
      <w:r w:rsidRPr="0059318D">
        <w:rPr>
          <w:rFonts w:cs="Times New Roman"/>
        </w:rPr>
        <w:t>el mercado como factor de desarrollo económico” (</w:t>
      </w:r>
      <w:r w:rsidRPr="0059318D">
        <w:rPr>
          <w:rFonts w:cs="Times New Roman"/>
        </w:rPr>
        <w:t>fl</w:t>
      </w:r>
      <w:r w:rsidRPr="0059318D">
        <w:rPr>
          <w:rFonts w:cs="Times New Roman"/>
        </w:rPr>
        <w:t>. 158, Bases).</w:t>
      </w:r>
    </w:p>
  </w:footnote>
  <w:footnote w:id="15">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“Remisión de pruebas – Respuesta al oficio N° OPC-243/23-Cámara de Representantes.pdf”. Oficio N°. SG.2-2012/2023 recibido el 8 de noviembre de 2023, firmado po</w:t>
      </w:r>
      <w:r w:rsidRPr="0059318D">
        <w:rPr>
          <w:rFonts w:cs="Times New Roman"/>
        </w:rPr>
        <w:t>r Jaime Luis Lacouture Peñaloza, secretario general de la Cámara de Representantes.</w:t>
      </w:r>
    </w:p>
  </w:footnote>
  <w:footnote w:id="16">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“Respuesta Oficio N° OPC-242/23-Cámara de Representantes.pdf”. Oficio N°. CTCP-3.3-378-C-2023 recibido el 9 de noviembre de 2023, y firmado po</w:t>
      </w:r>
      <w:r w:rsidRPr="0059318D">
        <w:rPr>
          <w:rFonts w:cs="Times New Roman"/>
        </w:rPr>
        <w:t>r Elizabeth Martínez Barrera, secretaria general de la Comisión Tercera Constitucional Permanente de la Cámara de Representantes.</w:t>
      </w:r>
    </w:p>
  </w:footnote>
  <w:footnote w:id="17">
    <w:p w:rsidR="006463E0"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S</w:t>
      </w:r>
      <w:r w:rsidRPr="0059318D">
        <w:rPr>
          <w:rFonts w:cs="Times New Roman"/>
        </w:rPr>
        <w:t>egún la respectiva constancia secretarial, s</w:t>
      </w:r>
      <w:r w:rsidRPr="0059318D">
        <w:rPr>
          <w:rFonts w:cs="Times New Roman"/>
        </w:rPr>
        <w:t xml:space="preserve">e recibieron tres </w:t>
      </w:r>
      <w:r w:rsidRPr="0059318D">
        <w:rPr>
          <w:rFonts w:cs="Times New Roman"/>
        </w:rPr>
        <w:t xml:space="preserve">escritos </w:t>
      </w:r>
      <w:r w:rsidRPr="0059318D">
        <w:rPr>
          <w:rFonts w:cs="Times New Roman"/>
        </w:rPr>
        <w:t xml:space="preserve">de manera extemporánea. El primero, </w:t>
      </w:r>
      <w:r w:rsidRPr="0059318D">
        <w:rPr>
          <w:rFonts w:cs="Times New Roman"/>
        </w:rPr>
        <w:t>proveniente de</w:t>
      </w:r>
      <w:r w:rsidRPr="0059318D">
        <w:rPr>
          <w:rFonts w:cs="Times New Roman"/>
        </w:rPr>
        <w:t xml:space="preserve">l </w:t>
      </w:r>
      <w:r w:rsidRPr="0059318D">
        <w:rPr>
          <w:rFonts w:cs="Times New Roman"/>
        </w:rPr>
        <w:t>Ministerio de Hacienda y Crédito Público</w:t>
      </w:r>
      <w:r w:rsidRPr="0059318D">
        <w:rPr>
          <w:rFonts w:cs="Times New Roman"/>
        </w:rPr>
        <w:t>,</w:t>
      </w:r>
      <w:r w:rsidRPr="0059318D">
        <w:rPr>
          <w:rFonts w:cs="Times New Roman"/>
        </w:rPr>
        <w:t xml:space="preserve"> que remitió la intervención el 20 de marzo de 2024 a las </w:t>
      </w:r>
      <w:r w:rsidRPr="0059318D">
        <w:rPr>
          <w:rFonts w:cs="Times New Roman"/>
        </w:rPr>
        <w:t>17:08 horas. El segundo, remitido por</w:t>
      </w:r>
      <w:r w:rsidRPr="0059318D">
        <w:rPr>
          <w:rFonts w:cs="Times New Roman"/>
        </w:rPr>
        <w:t xml:space="preserve"> l</w:t>
      </w:r>
      <w:r w:rsidRPr="0059318D">
        <w:rPr>
          <w:rFonts w:cs="Times New Roman"/>
        </w:rPr>
        <w:t xml:space="preserve">a Secretaría Jurídica de </w:t>
      </w:r>
      <w:r w:rsidRPr="0059318D">
        <w:rPr>
          <w:rFonts w:cs="Times New Roman"/>
        </w:rPr>
        <w:t xml:space="preserve">la Presidencia de la República </w:t>
      </w:r>
      <w:r w:rsidRPr="0059318D">
        <w:rPr>
          <w:rFonts w:cs="Times New Roman"/>
        </w:rPr>
        <w:t xml:space="preserve">el 20 de marzo de 2024 a las 17:22 horas. Y el tercero, </w:t>
      </w:r>
      <w:r w:rsidRPr="0059318D">
        <w:rPr>
          <w:rFonts w:cs="Times New Roman"/>
        </w:rPr>
        <w:t xml:space="preserve">proveniente </w:t>
      </w:r>
      <w:r w:rsidRPr="0059318D">
        <w:rPr>
          <w:rFonts w:cs="Times New Roman"/>
        </w:rPr>
        <w:t xml:space="preserve">de </w:t>
      </w:r>
      <w:r w:rsidRPr="0059318D">
        <w:rPr>
          <w:rFonts w:cs="Times New Roman"/>
        </w:rPr>
        <w:t>la Universidad Santo To</w:t>
      </w:r>
      <w:r w:rsidRPr="0059318D">
        <w:rPr>
          <w:rFonts w:cs="Times New Roman"/>
        </w:rPr>
        <w:t xml:space="preserve">más </w:t>
      </w:r>
      <w:r w:rsidRPr="0059318D">
        <w:rPr>
          <w:rFonts w:cs="Times New Roman"/>
        </w:rPr>
        <w:t>de Bogotá</w:t>
      </w:r>
      <w:r w:rsidRPr="0059318D">
        <w:rPr>
          <w:rFonts w:cs="Times New Roman"/>
        </w:rPr>
        <w:t xml:space="preserve">, recibido el </w:t>
      </w:r>
      <w:r w:rsidRPr="0059318D">
        <w:rPr>
          <w:rFonts w:cs="Times New Roman"/>
        </w:rPr>
        <w:t xml:space="preserve">21 de marzo de 2024 </w:t>
      </w:r>
      <w:r w:rsidRPr="0059318D">
        <w:rPr>
          <w:rFonts w:cs="Times New Roman"/>
        </w:rPr>
        <w:t xml:space="preserve">a las 15:33 horas. </w:t>
      </w:r>
    </w:p>
  </w:footnote>
  <w:footnote w:id="18">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 xml:space="preserve">rchivos “Intervención Universidad Externado de Colombia.pdf”, “Intervención Universidad Externado de Colombia.pdf”, y “Concepto </w:t>
      </w:r>
      <w:r w:rsidRPr="0059318D">
        <w:rPr>
          <w:rFonts w:cs="Times New Roman"/>
        </w:rPr>
        <w:t>Universidad Externado.pdf”. La primera fue recibida el 19 de marzo de 2024, y las dos restantes el día 20 del mismo mes.</w:t>
      </w:r>
    </w:p>
  </w:footnote>
  <w:footnote w:id="19">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“Intervención ciudadana.pdf”, recibido el 19 de marzo de 2024.</w:t>
      </w:r>
    </w:p>
  </w:footnote>
  <w:footnote w:id="20">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“Intervenció</w:t>
      </w:r>
      <w:r w:rsidRPr="0059318D">
        <w:rPr>
          <w:rFonts w:cs="Times New Roman"/>
        </w:rPr>
        <w:t>n-Departamento Nacional de Planeación.pdf”. Oficio N°.  recibido el 20 de marzo de 2024, firmado por Luis Fernando Hernández Betancur, actuando como abogado de la Oficina Jurídica del Departamento Nacional de Planeación.</w:t>
      </w:r>
    </w:p>
  </w:footnote>
  <w:footnote w:id="21">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Ib, </w:t>
      </w:r>
      <w:r w:rsidRPr="0059318D">
        <w:rPr>
          <w:rFonts w:cs="Times New Roman"/>
        </w:rPr>
        <w:t>folio</w:t>
      </w:r>
      <w:r w:rsidRPr="0059318D">
        <w:rPr>
          <w:rFonts w:cs="Times New Roman"/>
        </w:rPr>
        <w:t xml:space="preserve"> 1</w:t>
      </w:r>
      <w:r w:rsidRPr="0059318D">
        <w:rPr>
          <w:rFonts w:cs="Times New Roman"/>
        </w:rPr>
        <w:t>0</w:t>
      </w:r>
      <w:r w:rsidRPr="0059318D">
        <w:rPr>
          <w:rFonts w:cs="Times New Roman"/>
        </w:rPr>
        <w:t>.</w:t>
      </w:r>
    </w:p>
  </w:footnote>
  <w:footnote w:id="22">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w:t>
      </w:r>
      <w:r w:rsidRPr="0059318D">
        <w:rPr>
          <w:rFonts w:cs="Times New Roman"/>
        </w:rPr>
        <w:t>l</w:t>
      </w:r>
      <w:r w:rsidRPr="0059318D">
        <w:rPr>
          <w:rFonts w:cs="Times New Roman"/>
        </w:rPr>
        <w:t>, a</w:t>
      </w:r>
      <w:r w:rsidRPr="0059318D">
        <w:rPr>
          <w:rFonts w:cs="Times New Roman"/>
        </w:rPr>
        <w:t>rchivo “Intervención ciudadana.pdf”, recibido el 20 de marzo de 2024 y firmado por la ciudadana en su calidad de presidenta de la veeduría ciudadana del municipio de Pereira.</w:t>
      </w:r>
    </w:p>
  </w:footnote>
  <w:footnote w:id="23">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 xml:space="preserve">rchivo “Intervención Codisgen.pdf”, recibido el 20 de </w:t>
      </w:r>
      <w:r w:rsidRPr="0059318D">
        <w:rPr>
          <w:rFonts w:cs="Times New Roman"/>
        </w:rPr>
        <w:t>marzo de 2024 y firmado por Yulieth Porras Osorio, actuando como directora ejecutiva.</w:t>
      </w:r>
    </w:p>
  </w:footnote>
  <w:footnote w:id="24">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w:t>
      </w:r>
      <w:r w:rsidRPr="0059318D">
        <w:rPr>
          <w:rFonts w:cs="Times New Roman"/>
        </w:rPr>
        <w:t>, a</w:t>
      </w:r>
      <w:r w:rsidRPr="0059318D">
        <w:rPr>
          <w:rFonts w:cs="Times New Roman"/>
        </w:rPr>
        <w:t>rchivo “Ecopetrol S.A..pdf”. Escrito allegado el 20 de marzo de 2024 y suscrito por Luis Carlos Plata Prince, apoderado de la empresa.</w:t>
      </w:r>
    </w:p>
  </w:footnote>
  <w:footnote w:id="25">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Expediente</w:t>
      </w:r>
      <w:r w:rsidRPr="0059318D">
        <w:rPr>
          <w:rFonts w:cs="Times New Roman"/>
        </w:rPr>
        <w:t xml:space="preserve"> digital, archivo “Intervención - Agencia Nacional de Defensa Jurídica del Estado”. Escrito allegado el 20 de marzo de 2024, firmado por Jhon Jairo Camargo Motta, actuando como director encargado de la entidad.</w:t>
      </w:r>
    </w:p>
  </w:footnote>
  <w:footnote w:id="26">
    <w:p w:rsidR="00567CB5"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Expediente digital, archivo “Intervención -</w:t>
      </w:r>
      <w:r w:rsidRPr="0059318D">
        <w:rPr>
          <w:rFonts w:cs="Times New Roman"/>
        </w:rPr>
        <w:t xml:space="preserve"> Centro de Estudios de Derecho Procesal.pdf”. Escrito allegado el 20 de marzo de 2024, firmado por Daniel Díaz Rivera, actuando como miembro fundador. </w:t>
      </w:r>
    </w:p>
  </w:footnote>
  <w:footnote w:id="27">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 Ministerio de Minas y Energía.pdf”. Oficio número 2-2024-0</w:t>
      </w:r>
      <w:r w:rsidRPr="0059318D">
        <w:rPr>
          <w:rFonts w:cs="Times New Roman"/>
        </w:rPr>
        <w:t>07310 recibido el 20 de marzo de 2024 y firmado por William Sneyder Hernández Pinilla, actuando como apoderado del Grupo de Defensa Judicial, Extrajudicial y Asuntos Constitucionales.</w:t>
      </w:r>
    </w:p>
  </w:footnote>
  <w:footnote w:id="28">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 Interconexión Eléctrica S.</w:t>
      </w:r>
      <w:r w:rsidRPr="0059318D">
        <w:rPr>
          <w:rFonts w:cs="Times New Roman"/>
        </w:rPr>
        <w:t>A.  ESP ISA.pdf”. Oficio número 202488001238-1 recibido el 20 de marzo de 2024 y firmado por Sonia Margarita Abuchar Alemán, actuando como vicepresidenta jurídica de ISA.</w:t>
      </w:r>
    </w:p>
  </w:footnote>
  <w:footnote w:id="29">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 Asociación Colombiana de Generadores de</w:t>
      </w:r>
      <w:r w:rsidRPr="0059318D">
        <w:rPr>
          <w:rFonts w:cs="Times New Roman"/>
        </w:rPr>
        <w:t xml:space="preserve"> Energía Eléctrica – Acolgen -.pdf”. Escrito recibido el 20 de marzo de 2024 y firmado por Natalia Gutiérrez Jaramillo actuando como la presidente ejecutiva de la asociación.</w:t>
      </w:r>
    </w:p>
  </w:footnote>
  <w:footnote w:id="30">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 Universidad Pontificia Bolivariana.</w:t>
      </w:r>
      <w:r w:rsidRPr="0059318D">
        <w:rPr>
          <w:rFonts w:cs="Times New Roman"/>
        </w:rPr>
        <w:t>pdf”. Escrito recibido el 20 de marzo de 2024 y remitido por la Clínica Jurídica Grupo de Investigaciones en Derecho - A1 y el Grupo de Investigaciones en Sistema y Control Penal - A1 de la Facultad de Derecho Escuela de Derecho y Ciencias Políticas.</w:t>
      </w:r>
    </w:p>
  </w:footnote>
  <w:footnote w:id="31">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w:t>
      </w:r>
      <w:r w:rsidRPr="0059318D">
        <w:rPr>
          <w:rFonts w:cs="Times New Roman"/>
        </w:rPr>
        <w:t>ediente digital, archivo “Intervención - Amicus Curiae - Universidad Javeriana.pdf”. Escrito recibido el 20 de marzo de 2024 y remitido por Carlos Andrés Uribe Piedrahita, Alfonso Miranda Londoño y Paula Miranda Fernández, del Centro de Estudios de Derecho</w:t>
      </w:r>
      <w:r w:rsidRPr="0059318D">
        <w:rPr>
          <w:rFonts w:cs="Times New Roman"/>
        </w:rPr>
        <w:t xml:space="preserve"> de la Competencia – Línea de Investigación en Transformación Energética, perteneciente a la Facultad de Ciencias Jurídicas.</w:t>
      </w:r>
    </w:p>
  </w:footnote>
  <w:footnote w:id="32">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Citan la decisión del Consejo de Estado, adoptada por la Sala de lo Contencioso Administrativo, Sección Tercera, Sentencia del 2 </w:t>
      </w:r>
      <w:r w:rsidRPr="0059318D">
        <w:rPr>
          <w:rFonts w:cs="Times New Roman"/>
        </w:rPr>
        <w:t>de mayo de 2007, C.P.: Ruth Stella Correa Palacio, Radicación número: 11001-03-26-000-1998-05354-01(16257)</w:t>
      </w:r>
    </w:p>
  </w:footnote>
  <w:footnote w:id="33">
    <w:p w:rsidR="00D15A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ciudadana -.pdf”. Escrito recibido el 20 de marzo de 2024 y firmado por el ciudadano.</w:t>
      </w:r>
    </w:p>
  </w:footnote>
  <w:footnote w:id="34">
    <w:p w:rsidR="006D3779"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w:t>
      </w:r>
      <w:r w:rsidRPr="0059318D">
        <w:rPr>
          <w:rFonts w:cs="Times New Roman"/>
        </w:rPr>
        <w:t>l, archivo “Concepto de la Procuradora General de la Nación Dra. Margarita Cabello Blanco.pdf”, folio 3.</w:t>
      </w:r>
    </w:p>
  </w:footnote>
  <w:footnote w:id="35">
    <w:p w:rsidR="001277A3" w:rsidRPr="0059318D" w:rsidRDefault="00F2273F" w:rsidP="00E042D3">
      <w:pPr>
        <w:pStyle w:val="Textonotapie"/>
        <w:rPr>
          <w:rFonts w:eastAsia="SimSun" w:cs="Times New Roman"/>
        </w:rPr>
      </w:pPr>
      <w:r w:rsidRPr="0059318D">
        <w:rPr>
          <w:rStyle w:val="Refdenotaalpie"/>
          <w:rFonts w:cs="Times New Roman"/>
        </w:rPr>
        <w:footnoteRef/>
      </w:r>
      <w:r w:rsidRPr="0059318D">
        <w:rPr>
          <w:rFonts w:cs="Times New Roman"/>
        </w:rPr>
        <w:t xml:space="preserve"> Expediente digital, archivo “D0015499-Presentación Demanda-(2023-09-04 13-46-06).pdf”.</w:t>
      </w:r>
    </w:p>
  </w:footnote>
  <w:footnote w:id="36">
    <w:p w:rsidR="007F0775"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Sentencia C-1177 de 2004.</w:t>
      </w:r>
    </w:p>
  </w:footnote>
  <w:footnote w:id="37">
    <w:p w:rsidR="00FE2B86"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 xml:space="preserve">Corte Constitucional, </w:t>
      </w:r>
      <w:r w:rsidRPr="0059318D">
        <w:rPr>
          <w:rFonts w:cs="Times New Roman"/>
        </w:rPr>
        <w:t>Sentencias C-1177 de 2004, reiterada en las sentencias C-484 de 2020 y C-079 de 2025.</w:t>
      </w:r>
    </w:p>
  </w:footnote>
  <w:footnote w:id="38">
    <w:p w:rsidR="00A7564A" w:rsidRPr="0059318D" w:rsidRDefault="00F2273F" w:rsidP="00A7564A">
      <w:pPr>
        <w:pStyle w:val="Textonotapie"/>
        <w:rPr>
          <w:rFonts w:cs="Times New Roman"/>
        </w:rPr>
      </w:pPr>
      <w:r w:rsidRPr="0059318D">
        <w:rPr>
          <w:rStyle w:val="Refdenotaalpie"/>
          <w:rFonts w:cs="Times New Roman"/>
        </w:rPr>
        <w:footnoteRef/>
      </w:r>
      <w:r w:rsidRPr="0059318D">
        <w:rPr>
          <w:rFonts w:cs="Times New Roman"/>
        </w:rPr>
        <w:t xml:space="preserve"> Expediente digital, archivo “Intervención - Amicus Curiae - Universidad Javeriana.pdf”.</w:t>
      </w:r>
    </w:p>
  </w:footnote>
  <w:footnote w:id="39">
    <w:p w:rsidR="00A7564A" w:rsidRPr="0059318D" w:rsidRDefault="00F2273F" w:rsidP="00A7564A">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i/>
          <w:iCs/>
          <w:lang w:val="es-ES_tradnl"/>
        </w:rPr>
        <w:t>Cfr</w:t>
      </w:r>
      <w:r w:rsidRPr="0059318D">
        <w:rPr>
          <w:rFonts w:cs="Times New Roman"/>
          <w:lang w:val="es-ES_tradnl"/>
        </w:rPr>
        <w:t>. Sentencias C-271 de 2022, C-078 de 2023, C-050 de 2024 y C-052 de 2025, r</w:t>
      </w:r>
      <w:r w:rsidRPr="0059318D">
        <w:rPr>
          <w:rFonts w:cs="Times New Roman"/>
          <w:lang w:val="es-ES_tradnl"/>
        </w:rPr>
        <w:t xml:space="preserve">ecientemente citadas en la Sentencia C-265 de 2025. </w:t>
      </w:r>
    </w:p>
  </w:footnote>
  <w:footnote w:id="40">
    <w:p w:rsidR="00A7564A" w:rsidRPr="0059318D" w:rsidRDefault="00F2273F" w:rsidP="00A7564A">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Ib. </w:t>
      </w:r>
    </w:p>
  </w:footnote>
  <w:footnote w:id="41">
    <w:p w:rsidR="00A7564A" w:rsidRPr="0059318D" w:rsidRDefault="00F2273F" w:rsidP="00A7564A">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Sentencia C-052 de 2025, citada en la Sentencia C-265 de 2025. </w:t>
      </w:r>
    </w:p>
  </w:footnote>
  <w:footnote w:id="42">
    <w:p w:rsidR="00A7564A" w:rsidRPr="0059318D" w:rsidRDefault="00F2273F" w:rsidP="00A7564A">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Sentencias C-284 de 2014, C-091 de 2022, C-489 de 2023, C-488 de 2024 y C-052 de 2025. </w:t>
      </w:r>
    </w:p>
  </w:footnote>
  <w:footnote w:id="43">
    <w:p w:rsidR="00A7564A" w:rsidRPr="0059318D" w:rsidRDefault="00F2273F" w:rsidP="00A7564A">
      <w:pPr>
        <w:pStyle w:val="Textonotapie"/>
        <w:rPr>
          <w:rFonts w:cs="Times New Roman"/>
        </w:rPr>
      </w:pPr>
      <w:r w:rsidRPr="0059318D">
        <w:rPr>
          <w:rStyle w:val="Refdenotaalpie"/>
          <w:rFonts w:cs="Times New Roman"/>
        </w:rPr>
        <w:footnoteRef/>
      </w:r>
      <w:r w:rsidRPr="0059318D">
        <w:rPr>
          <w:rFonts w:cs="Times New Roman"/>
        </w:rPr>
        <w:t xml:space="preserve"> Tomado de la Sentencia C-488 de 2024, M.P. Paola Andrea Meneses Mosquera.</w:t>
      </w:r>
    </w:p>
  </w:footnote>
  <w:footnote w:id="44">
    <w:p w:rsidR="00A7564A" w:rsidRPr="0059318D" w:rsidRDefault="00F2273F" w:rsidP="00A7564A">
      <w:pPr>
        <w:pStyle w:val="Textonotapie"/>
        <w:rPr>
          <w:rFonts w:cs="Times New Roman"/>
        </w:rPr>
      </w:pPr>
      <w:r w:rsidRPr="0059318D">
        <w:rPr>
          <w:rStyle w:val="Refdenotaalpie"/>
          <w:rFonts w:cs="Times New Roman"/>
        </w:rPr>
        <w:footnoteRef/>
      </w:r>
      <w:r w:rsidRPr="0059318D">
        <w:rPr>
          <w:rFonts w:cs="Times New Roman"/>
        </w:rPr>
        <w:t xml:space="preserve"> Sentencia C-052 de 2025.</w:t>
      </w:r>
    </w:p>
  </w:footnote>
  <w:footnote w:id="45">
    <w:p w:rsidR="00BA5DB1" w:rsidRPr="0059318D" w:rsidRDefault="00F2273F">
      <w:pPr>
        <w:pStyle w:val="Textonotapie"/>
        <w:rPr>
          <w:lang w:val="es-ES_tradnl"/>
        </w:rPr>
      </w:pPr>
      <w:r w:rsidRPr="0059318D">
        <w:rPr>
          <w:rStyle w:val="Refdenotaalpie"/>
        </w:rPr>
        <w:footnoteRef/>
      </w:r>
      <w:r w:rsidRPr="0059318D">
        <w:t xml:space="preserve"> </w:t>
      </w:r>
      <w:r w:rsidRPr="0059318D">
        <w:rPr>
          <w:lang w:val="es-ES_tradnl"/>
        </w:rPr>
        <w:t xml:space="preserve">Cfr. Sentencia C-032 de 2025. </w:t>
      </w:r>
    </w:p>
  </w:footnote>
  <w:footnote w:id="46">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lang w:val="es-ES"/>
        </w:rPr>
        <w:t>S</w:t>
      </w:r>
      <w:r w:rsidRPr="0059318D">
        <w:rPr>
          <w:rFonts w:cs="Times New Roman"/>
          <w:lang w:val="es-ES"/>
        </w:rPr>
        <w:t>entencias C-489 de 2024</w:t>
      </w:r>
      <w:r w:rsidRPr="0059318D">
        <w:rPr>
          <w:rFonts w:cs="Times New Roman"/>
          <w:lang w:val="es-ES"/>
        </w:rPr>
        <w:t xml:space="preserve"> y</w:t>
      </w:r>
      <w:r w:rsidRPr="0059318D">
        <w:rPr>
          <w:rFonts w:cs="Times New Roman"/>
          <w:lang w:val="es-ES"/>
        </w:rPr>
        <w:t xml:space="preserve"> C-063 de 2021</w:t>
      </w:r>
      <w:r w:rsidRPr="0059318D">
        <w:rPr>
          <w:rFonts w:cs="Times New Roman"/>
          <w:lang w:val="es-ES"/>
        </w:rPr>
        <w:t>.</w:t>
      </w:r>
    </w:p>
  </w:footnote>
  <w:footnote w:id="47">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lang w:val="es-ES"/>
        </w:rPr>
        <w:t>Constitución Política</w:t>
      </w:r>
      <w:r w:rsidRPr="0059318D">
        <w:rPr>
          <w:rFonts w:cs="Times New Roman"/>
        </w:rPr>
        <w:t>, art. 341; Sentencia C-537 de 2023</w:t>
      </w:r>
    </w:p>
  </w:footnote>
  <w:footnote w:id="48">
    <w:p w:rsidR="007F0775"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C-427 de 2020.</w:t>
      </w:r>
    </w:p>
  </w:footnote>
  <w:footnote w:id="49">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C-126 de 2020.</w:t>
      </w:r>
    </w:p>
  </w:footnote>
  <w:footnote w:id="50">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C-126 de 2020.</w:t>
      </w:r>
    </w:p>
  </w:footnote>
  <w:footnote w:id="51">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C-489 de 2024.</w:t>
      </w:r>
    </w:p>
  </w:footnote>
  <w:footnote w:id="52">
    <w:p w:rsidR="001277A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Constitución Política, artículos 150, 200, y 189.12 y 25).</w:t>
      </w:r>
    </w:p>
  </w:footnote>
  <w:footnote w:id="53">
    <w:p w:rsidR="00823EC0"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Ley 2294 de 2023, artículo 1°.</w:t>
      </w:r>
    </w:p>
  </w:footnote>
  <w:footnote w:id="54">
    <w:p w:rsidR="00823EC0"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Ib, art. 3 y 4.</w:t>
      </w:r>
    </w:p>
  </w:footnote>
  <w:footnote w:id="55">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 xml:space="preserve">Sentencia </w:t>
      </w:r>
      <w:r w:rsidRPr="0059318D">
        <w:rPr>
          <w:rFonts w:cs="Times New Roman"/>
          <w:lang w:val="es-ES"/>
        </w:rPr>
        <w:t>C-816 de 2004.</w:t>
      </w:r>
    </w:p>
  </w:footnote>
  <w:footnote w:id="56">
    <w:p w:rsidR="00BE67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C-427 de 2020.</w:t>
      </w:r>
    </w:p>
  </w:footnote>
  <w:footnote w:id="57">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C</w:t>
      </w:r>
      <w:r w:rsidRPr="0059318D">
        <w:rPr>
          <w:rFonts w:cs="Times New Roman"/>
          <w:i/>
          <w:iCs/>
        </w:rPr>
        <w:t>fr</w:t>
      </w:r>
      <w:r w:rsidRPr="0059318D">
        <w:rPr>
          <w:rFonts w:cs="Times New Roman"/>
        </w:rPr>
        <w:t xml:space="preserve">. </w:t>
      </w:r>
      <w:r w:rsidRPr="0059318D">
        <w:rPr>
          <w:rFonts w:cs="Times New Roman"/>
        </w:rPr>
        <w:t>Sentencia C-489 de 2024, que reitera las sentencias C-294 de 2024, C-590 de 2019 y C-801 de 2003.</w:t>
      </w:r>
    </w:p>
  </w:footnote>
  <w:footnote w:id="58">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C-063 de 2021, entre otras.</w:t>
      </w:r>
    </w:p>
  </w:footnote>
  <w:footnote w:id="59">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C-219 de 2024.</w:t>
      </w:r>
    </w:p>
  </w:footnote>
  <w:footnote w:id="60">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 xml:space="preserve">Sentencia </w:t>
      </w:r>
      <w:r w:rsidRPr="0059318D">
        <w:rPr>
          <w:rFonts w:cs="Times New Roman"/>
          <w:lang w:val="es-ES"/>
        </w:rPr>
        <w:t>C-294 de 2024</w:t>
      </w:r>
      <w:r w:rsidRPr="0059318D">
        <w:rPr>
          <w:rFonts w:cs="Times New Roman"/>
          <w:lang w:val="es-ES"/>
        </w:rPr>
        <w:t>, en alusión al artículo 178 de la Ley 5ta. de 1992</w:t>
      </w:r>
      <w:r w:rsidRPr="0059318D">
        <w:rPr>
          <w:rFonts w:cs="Times New Roman"/>
          <w:lang w:val="es-ES"/>
        </w:rPr>
        <w:t>.</w:t>
      </w:r>
    </w:p>
  </w:footnote>
  <w:footnote w:id="61">
    <w:p w:rsidR="0005569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C-754 de 2004.</w:t>
      </w:r>
    </w:p>
  </w:footnote>
  <w:footnote w:id="62">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C-489 de 2024.</w:t>
      </w:r>
    </w:p>
  </w:footnote>
  <w:footnote w:id="63">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Sentencia C-489 de 2024.</w:t>
      </w:r>
    </w:p>
  </w:footnote>
  <w:footnote w:id="64">
    <w:p w:rsidR="00E21B1C"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 xml:space="preserve">Sentencia C-294 de 2024, reiterando las sentencias </w:t>
      </w:r>
      <w:r w:rsidRPr="0059318D">
        <w:rPr>
          <w:rFonts w:cs="Times New Roman"/>
          <w:lang w:val="es-ES_tradnl"/>
        </w:rPr>
        <w:t xml:space="preserve">C-440 de 2020, </w:t>
      </w:r>
      <w:r w:rsidRPr="0059318D">
        <w:rPr>
          <w:rFonts w:cs="Times New Roman"/>
          <w:color w:val="000000" w:themeColor="text1"/>
        </w:rPr>
        <w:t xml:space="preserve">C-427 de 2020, C-063 de 2021, C-133 de 2021, </w:t>
      </w:r>
      <w:r w:rsidRPr="0059318D">
        <w:rPr>
          <w:rFonts w:cs="Times New Roman"/>
          <w:lang w:val="es-ES_tradnl"/>
        </w:rPr>
        <w:t>entre otras.</w:t>
      </w:r>
    </w:p>
  </w:footnote>
  <w:footnote w:id="65">
    <w:p w:rsidR="00BE67FF"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C-427 de 2020.</w:t>
      </w:r>
    </w:p>
  </w:footnote>
  <w:footnote w:id="66">
    <w:p w:rsidR="005D2DB9"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 xml:space="preserve">Entre otras, sentencias </w:t>
      </w:r>
      <w:r w:rsidRPr="0059318D">
        <w:rPr>
          <w:rFonts w:cs="Times New Roman"/>
          <w:lang w:val="es-ES"/>
        </w:rPr>
        <w:t xml:space="preserve">C-394 de 2012 y </w:t>
      </w:r>
      <w:r w:rsidRPr="0059318D">
        <w:rPr>
          <w:rFonts w:cs="Times New Roman"/>
        </w:rPr>
        <w:t>C-016 de 2016.</w:t>
      </w:r>
    </w:p>
  </w:footnote>
  <w:footnote w:id="67">
    <w:p w:rsidR="005D2DB9"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color w:val="000000"/>
        </w:rPr>
        <w:t xml:space="preserve">Corte Constitucional, Sentencia C-489 de 2024, que cita las </w:t>
      </w:r>
      <w:r w:rsidRPr="0059318D">
        <w:rPr>
          <w:rFonts w:cs="Times New Roman"/>
        </w:rPr>
        <w:t>sentencias C-363 de 2012</w:t>
      </w:r>
      <w:r w:rsidRPr="0059318D">
        <w:rPr>
          <w:rFonts w:cs="Times New Roman"/>
        </w:rPr>
        <w:t>,</w:t>
      </w:r>
      <w:r w:rsidRPr="0059318D">
        <w:rPr>
          <w:rFonts w:cs="Times New Roman"/>
        </w:rPr>
        <w:t xml:space="preserve"> C-394 de 20</w:t>
      </w:r>
      <w:r w:rsidRPr="0059318D">
        <w:rPr>
          <w:rFonts w:cs="Times New Roman"/>
        </w:rPr>
        <w:t xml:space="preserve">12, C-016 de 2016 y C- 359 de 2016. </w:t>
      </w:r>
    </w:p>
  </w:footnote>
  <w:footnote w:id="68">
    <w:p w:rsidR="00544102"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C-415 de 2020.</w:t>
      </w:r>
    </w:p>
  </w:footnote>
  <w:footnote w:id="69">
    <w:p w:rsidR="00D2789B"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w:t>
      </w:r>
      <w:r w:rsidRPr="0059318D">
        <w:rPr>
          <w:rFonts w:cs="Times New Roman"/>
        </w:rPr>
        <w:t>Sentencia C-430 de 2024.</w:t>
      </w:r>
    </w:p>
  </w:footnote>
  <w:footnote w:id="70">
    <w:p w:rsidR="00D2789B"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71">
    <w:p w:rsidR="00FB6122"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i/>
          <w:iCs/>
          <w:lang w:val="es-ES_tradnl"/>
        </w:rPr>
        <w:t>Cfr</w:t>
      </w:r>
      <w:r w:rsidRPr="0059318D">
        <w:rPr>
          <w:rFonts w:cs="Times New Roman"/>
          <w:lang w:val="es-ES_tradnl"/>
        </w:rPr>
        <w:t>. Sentencia C-438 de 2024.</w:t>
      </w:r>
    </w:p>
  </w:footnote>
  <w:footnote w:id="72">
    <w:p w:rsidR="00A651F5" w:rsidRPr="0059318D" w:rsidRDefault="00F2273F" w:rsidP="00A651F5">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 C-405 de 2020, reiterada en la Sentencia C-489 de 2024.</w:t>
      </w:r>
    </w:p>
  </w:footnote>
  <w:footnote w:id="73">
    <w:p w:rsidR="00826B18" w:rsidRPr="0059318D" w:rsidRDefault="00F2273F" w:rsidP="00826B18">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 C-415 de 2020.</w:t>
      </w:r>
    </w:p>
  </w:footnote>
  <w:footnote w:id="74">
    <w:p w:rsidR="00AB6204"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Sentencia C-415 de 2020.</w:t>
      </w:r>
    </w:p>
  </w:footnote>
  <w:footnote w:id="75">
    <w:p w:rsidR="0021200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Sentencia C-415 de 2020.</w:t>
      </w:r>
    </w:p>
  </w:footnote>
  <w:footnote w:id="76">
    <w:p w:rsidR="00B155CD"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Ib.</w:t>
      </w:r>
      <w:r w:rsidRPr="0059318D">
        <w:rPr>
          <w:rFonts w:cs="Times New Roman"/>
        </w:rPr>
        <w:t>.</w:t>
      </w:r>
    </w:p>
  </w:footnote>
  <w:footnote w:id="77">
    <w:p w:rsidR="00212003"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Corte Constitucional, </w:t>
      </w:r>
      <w:r w:rsidRPr="0059318D">
        <w:rPr>
          <w:rFonts w:cs="Times New Roman"/>
        </w:rPr>
        <w:t>Sentencia C-244 de 2025.</w:t>
      </w:r>
    </w:p>
  </w:footnote>
  <w:footnote w:id="78">
    <w:p w:rsidR="00D64A77" w:rsidRPr="0059318D" w:rsidRDefault="00F2273F" w:rsidP="00D64A77">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Sentencias C-415 de 2020 y C-438 de 2024.</w:t>
      </w:r>
    </w:p>
  </w:footnote>
  <w:footnote w:id="79">
    <w:p w:rsidR="00D64A77" w:rsidRPr="0059318D" w:rsidRDefault="00F2273F" w:rsidP="00D64A77">
      <w:pPr>
        <w:pStyle w:val="Textonotapie"/>
        <w:rPr>
          <w:rFonts w:cs="Times New Roman"/>
        </w:rPr>
      </w:pPr>
      <w:r w:rsidRPr="0059318D">
        <w:rPr>
          <w:rStyle w:val="Refdenotaalpie"/>
          <w:rFonts w:cs="Times New Roman"/>
        </w:rPr>
        <w:footnoteRef/>
      </w:r>
      <w:r w:rsidRPr="0059318D">
        <w:rPr>
          <w:rFonts w:cs="Times New Roman"/>
        </w:rPr>
        <w:t xml:space="preserve"> Sentencia C-438 de 2024.</w:t>
      </w:r>
    </w:p>
  </w:footnote>
  <w:footnote w:id="80">
    <w:p w:rsidR="00D64A77" w:rsidRPr="0059318D" w:rsidRDefault="00F2273F" w:rsidP="00D64A77">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81">
    <w:p w:rsidR="00483867" w:rsidRPr="0059318D" w:rsidRDefault="00F2273F">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 xml:space="preserve">Cfr. </w:t>
      </w:r>
      <w:r w:rsidRPr="0059318D">
        <w:rPr>
          <w:rFonts w:cs="Times New Roman"/>
        </w:rPr>
        <w:t>Sentencia C-244 de 2025.</w:t>
      </w:r>
    </w:p>
  </w:footnote>
  <w:footnote w:id="82">
    <w:p w:rsidR="001F470C" w:rsidRPr="0059318D" w:rsidRDefault="00F2273F" w:rsidP="00E042D3">
      <w:pPr>
        <w:pStyle w:val="Textonotapie"/>
        <w:rPr>
          <w:rFonts w:cs="Times New Roman"/>
          <w:color w:val="000000" w:themeColor="text1"/>
          <w:lang w:val="es-ES"/>
        </w:rPr>
      </w:pPr>
      <w:r w:rsidRPr="0059318D">
        <w:rPr>
          <w:rStyle w:val="Refdenotaalpie"/>
          <w:rFonts w:cs="Times New Roman"/>
          <w:color w:val="000000" w:themeColor="text1"/>
        </w:rPr>
        <w:footnoteRef/>
      </w:r>
      <w:r w:rsidRPr="0059318D">
        <w:rPr>
          <w:rFonts w:cs="Times New Roman"/>
          <w:color w:val="000000" w:themeColor="text1"/>
        </w:rPr>
        <w:t xml:space="preserve"> Corte Constitucional, </w:t>
      </w:r>
      <w:r w:rsidRPr="0059318D">
        <w:rPr>
          <w:rFonts w:cs="Times New Roman"/>
          <w:color w:val="000000" w:themeColor="text1"/>
        </w:rPr>
        <w:t>S</w:t>
      </w:r>
      <w:r w:rsidRPr="0059318D">
        <w:rPr>
          <w:rFonts w:cs="Times New Roman"/>
          <w:color w:val="000000" w:themeColor="text1"/>
        </w:rPr>
        <w:t>entencia C-489 de 2024.</w:t>
      </w:r>
    </w:p>
  </w:footnote>
  <w:footnote w:id="83">
    <w:p w:rsidR="001F470C" w:rsidRPr="0059318D" w:rsidRDefault="00F2273F" w:rsidP="00E042D3">
      <w:pPr>
        <w:pStyle w:val="Textonotapie"/>
        <w:rPr>
          <w:rFonts w:cs="Times New Roman"/>
          <w:color w:val="000000" w:themeColor="text1"/>
          <w:lang w:val="es-ES"/>
        </w:rPr>
      </w:pPr>
      <w:r w:rsidRPr="0059318D">
        <w:rPr>
          <w:rStyle w:val="Refdenotaalpie"/>
          <w:rFonts w:cs="Times New Roman"/>
          <w:color w:val="000000" w:themeColor="text1"/>
        </w:rPr>
        <w:footnoteRef/>
      </w:r>
      <w:r w:rsidRPr="0059318D">
        <w:rPr>
          <w:rFonts w:cs="Times New Roman"/>
          <w:color w:val="000000" w:themeColor="text1"/>
        </w:rPr>
        <w:t xml:space="preserve"> </w:t>
      </w:r>
      <w:r w:rsidRPr="0059318D">
        <w:rPr>
          <w:rFonts w:cs="Times New Roman"/>
          <w:color w:val="000000" w:themeColor="text1"/>
          <w:lang w:val="es-ES"/>
        </w:rPr>
        <w:t xml:space="preserve">Ib. </w:t>
      </w:r>
    </w:p>
  </w:footnote>
  <w:footnote w:id="84">
    <w:p w:rsidR="001F470C" w:rsidRPr="0059318D" w:rsidRDefault="00F2273F" w:rsidP="00E042D3">
      <w:pPr>
        <w:pStyle w:val="Textonotapie"/>
        <w:rPr>
          <w:rFonts w:cs="Times New Roman"/>
          <w:color w:val="000000" w:themeColor="text1"/>
          <w:lang w:val="es-ES"/>
        </w:rPr>
      </w:pPr>
      <w:r w:rsidRPr="0059318D">
        <w:rPr>
          <w:rStyle w:val="Refdenotaalpie"/>
          <w:rFonts w:cs="Times New Roman"/>
          <w:color w:val="000000" w:themeColor="text1"/>
        </w:rPr>
        <w:footnoteRef/>
      </w:r>
      <w:r w:rsidRPr="0059318D">
        <w:rPr>
          <w:rFonts w:cs="Times New Roman"/>
          <w:color w:val="000000" w:themeColor="text1"/>
        </w:rPr>
        <w:t xml:space="preserve"> </w:t>
      </w:r>
      <w:r w:rsidRPr="0059318D">
        <w:rPr>
          <w:rFonts w:cs="Times New Roman"/>
          <w:color w:val="000000" w:themeColor="text1"/>
          <w:lang w:val="es-ES"/>
        </w:rPr>
        <w:t xml:space="preserve">Ib. </w:t>
      </w:r>
    </w:p>
  </w:footnote>
  <w:footnote w:id="85">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Ley 142 de 1994, artículo 14.25.</w:t>
      </w:r>
    </w:p>
  </w:footnote>
  <w:footnote w:id="86">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Ley 143 de 1994, artículos 6° y 11.</w:t>
      </w:r>
    </w:p>
  </w:footnote>
  <w:footnote w:id="87">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 C-056 de 2021.</w:t>
      </w:r>
    </w:p>
  </w:footnote>
  <w:footnote w:id="88">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En la Sentencia C-056 de 2021, y según lo dispuesto en el artículo 17 de la Ley 1715 de 2014, se indica que las</w:t>
      </w:r>
      <w:r w:rsidRPr="0059318D">
        <w:rPr>
          <w:rFonts w:cs="Times New Roman"/>
        </w:rPr>
        <w:t xml:space="preserve"> FNCER están compuestas por aquellos “recursos de energía renovable disponibles a nivel mundial que son ambientalmente sostenibles, pero que en el país no son empleados o son utilizados de manera marginal y no se comercializan ampliamente”. Agrega que se c</w:t>
      </w:r>
      <w:r w:rsidRPr="0059318D">
        <w:rPr>
          <w:rFonts w:cs="Times New Roman"/>
        </w:rPr>
        <w:t>onsideran FNCER la biomasa, los pequeños aprovechamientos hidroeléctricos, la eólica, la geotérmica, la solar y los mares. </w:t>
      </w:r>
    </w:p>
  </w:footnote>
  <w:footnote w:id="89">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Sentencia C-587 de 2014, citada en la Sentencia C-056 de 2021.</w:t>
      </w:r>
    </w:p>
  </w:footnote>
  <w:footnote w:id="90">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91">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Ley 143 de 1994, artículo 11.</w:t>
      </w:r>
    </w:p>
  </w:footnote>
  <w:footnote w:id="92">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Ley 143 de 1994, artículo 2</w:t>
      </w:r>
      <w:r w:rsidRPr="0059318D">
        <w:rPr>
          <w:rFonts w:cs="Times New Roman"/>
        </w:rPr>
        <w:t>0.</w:t>
      </w:r>
    </w:p>
  </w:footnote>
  <w:footnote w:id="93">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94">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i/>
          <w:iCs/>
        </w:rPr>
        <w:t>Cfr</w:t>
      </w:r>
      <w:r w:rsidRPr="0059318D">
        <w:rPr>
          <w:rFonts w:cs="Times New Roman"/>
        </w:rPr>
        <w:t xml:space="preserve">. Sentencia C-063 de 2021. </w:t>
      </w:r>
    </w:p>
  </w:footnote>
  <w:footnote w:id="95">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96">
    <w:p w:rsidR="0033146C" w:rsidRPr="0059318D" w:rsidRDefault="00F2273F" w:rsidP="0033146C">
      <w:pPr>
        <w:pStyle w:val="Textonotapie"/>
        <w:rPr>
          <w:rFonts w:cs="Times New Roman"/>
          <w:i/>
          <w:iCs/>
        </w:rPr>
      </w:pPr>
      <w:r w:rsidRPr="0059318D">
        <w:rPr>
          <w:rStyle w:val="Refdenotaalpie"/>
          <w:rFonts w:cs="Times New Roman"/>
        </w:rPr>
        <w:footnoteRef/>
      </w:r>
      <w:r w:rsidRPr="0059318D">
        <w:rPr>
          <w:rFonts w:cs="Times New Roman"/>
        </w:rPr>
        <w:t xml:space="preserve"> La redacción vigente del artículo 74 de la Ley 143 de 1994 es la siguiente: “</w:t>
      </w:r>
      <w:bookmarkStart w:id="7" w:name="74"/>
      <w:r w:rsidRPr="0059318D">
        <w:rPr>
          <w:rFonts w:cs="Times New Roman"/>
          <w:b/>
          <w:bCs/>
          <w:i/>
          <w:iCs/>
        </w:rPr>
        <w:t>ARTÍCULO 74.</w:t>
      </w:r>
      <w:bookmarkEnd w:id="7"/>
      <w:r w:rsidRPr="0059318D">
        <w:rPr>
          <w:rFonts w:cs="Times New Roman"/>
          <w:i/>
          <w:iCs/>
        </w:rPr>
        <w:t> &lt;Artículo sustituido por el artículo </w:t>
      </w:r>
      <w:hyperlink r:id="rId2" w:anchor="298" w:history="1">
        <w:r w:rsidRPr="0059318D">
          <w:rPr>
            <w:rStyle w:val="Hipervnculo"/>
            <w:rFonts w:cs="Times New Roman"/>
            <w:i/>
            <w:iCs/>
            <w:color w:val="auto"/>
            <w:u w:val="none"/>
          </w:rPr>
          <w:t>298</w:t>
        </w:r>
      </w:hyperlink>
      <w:r w:rsidRPr="0059318D">
        <w:rPr>
          <w:rFonts w:cs="Times New Roman"/>
          <w:i/>
          <w:iCs/>
        </w:rPr>
        <w:t xml:space="preserve"> de la Ley 1955 de 2019. El nuevo texto es el siguiente:&gt; Las Empresas de Servicios Públicos Domiciliarios que tengan por objeto la prestación del servicio </w:t>
      </w:r>
      <w:r w:rsidRPr="0059318D">
        <w:rPr>
          <w:rFonts w:cs="Times New Roman"/>
          <w:i/>
          <w:iCs/>
        </w:rPr>
        <w:t>público de energía eléctrica y que hagan parte del Sistema Interconectado Nacional, podrán desarrollar las actividades de generación, distribución y comercialización de energía de manera integrada. Esta disposición aplicará también para las empresas que te</w:t>
      </w:r>
      <w:r w:rsidRPr="0059318D">
        <w:rPr>
          <w:rFonts w:cs="Times New Roman"/>
          <w:i/>
          <w:iCs/>
        </w:rPr>
        <w:t>ngan el mismo controlante o entre las cuales exista situación de control en los términos del artículo </w:t>
      </w:r>
      <w:hyperlink r:id="rId3" w:anchor="260" w:history="1">
        <w:r w:rsidRPr="0059318D">
          <w:rPr>
            <w:rStyle w:val="Hipervnculo"/>
            <w:rFonts w:cs="Times New Roman"/>
            <w:i/>
            <w:iCs/>
            <w:color w:val="auto"/>
            <w:u w:val="none"/>
          </w:rPr>
          <w:t>260</w:t>
        </w:r>
      </w:hyperlink>
      <w:r w:rsidRPr="0059318D">
        <w:rPr>
          <w:rFonts w:cs="Times New Roman"/>
          <w:i/>
          <w:iCs/>
        </w:rPr>
        <w:t> del Código de Comercio y el artículo </w:t>
      </w:r>
      <w:hyperlink r:id="rId4" w:anchor="45" w:history="1">
        <w:r w:rsidRPr="0059318D">
          <w:rPr>
            <w:rStyle w:val="Hipervnculo"/>
            <w:rFonts w:cs="Times New Roman"/>
            <w:i/>
            <w:iCs/>
            <w:color w:val="auto"/>
            <w:u w:val="none"/>
          </w:rPr>
          <w:t>45</w:t>
        </w:r>
      </w:hyperlink>
      <w:r w:rsidRPr="0059318D">
        <w:rPr>
          <w:rFonts w:cs="Times New Roman"/>
          <w:i/>
          <w:iCs/>
        </w:rPr>
        <w:t> del Decreto 2153 de 1992, o las normas que las modifiquen o adicionen.</w:t>
      </w:r>
    </w:p>
    <w:p w:rsidR="0033146C" w:rsidRPr="0059318D" w:rsidRDefault="00F2273F" w:rsidP="0033146C">
      <w:pPr>
        <w:pStyle w:val="Textonotapie"/>
        <w:rPr>
          <w:rFonts w:cs="Times New Roman"/>
          <w:i/>
          <w:iCs/>
        </w:rPr>
      </w:pPr>
      <w:r w:rsidRPr="0059318D">
        <w:rPr>
          <w:rFonts w:cs="Times New Roman"/>
          <w:i/>
          <w:iCs/>
        </w:rPr>
        <w:t>La Comisión de Regulación de Energía y Gas establecerá la regulación diferencial que fuere pertinente pa</w:t>
      </w:r>
      <w:r w:rsidRPr="0059318D">
        <w:rPr>
          <w:rFonts w:cs="Times New Roman"/>
          <w:i/>
          <w:iCs/>
        </w:rPr>
        <w:t>ra la promoción de la competencia y la mitigación de los conflictos de interés en los casos de que trata el presente artículo y en los casos en que la integración existiere previamente a la expedición de la presente ley.</w:t>
      </w:r>
    </w:p>
    <w:p w:rsidR="0033146C" w:rsidRPr="0059318D" w:rsidRDefault="00F2273F" w:rsidP="0033146C">
      <w:pPr>
        <w:pStyle w:val="Textonotapie"/>
        <w:rPr>
          <w:rFonts w:cs="Times New Roman"/>
          <w:i/>
          <w:iCs/>
        </w:rPr>
      </w:pPr>
      <w:r w:rsidRPr="0059318D">
        <w:rPr>
          <w:rFonts w:cs="Times New Roman"/>
          <w:b/>
          <w:bCs/>
          <w:i/>
          <w:iCs/>
        </w:rPr>
        <w:t>PARÁGRAFO 1o.</w:t>
      </w:r>
      <w:r w:rsidRPr="0059318D">
        <w:rPr>
          <w:rFonts w:cs="Times New Roman"/>
          <w:i/>
          <w:iCs/>
        </w:rPr>
        <w:t> La Comisión de Regula</w:t>
      </w:r>
      <w:r w:rsidRPr="0059318D">
        <w:rPr>
          <w:rFonts w:cs="Times New Roman"/>
          <w:i/>
          <w:iCs/>
        </w:rPr>
        <w:t>ción de Energía y Gas deberá adoptar medidas para la adecuada implementación de lo dispuesto en el presente artículo, en relación con la concurrencia de actividades de comercialización, generación y distribución en una misma empresa o en empresas con el mi</w:t>
      </w:r>
      <w:r w:rsidRPr="0059318D">
        <w:rPr>
          <w:rFonts w:cs="Times New Roman"/>
          <w:i/>
          <w:iCs/>
        </w:rPr>
        <w:t>smo controlante o entre las cuales exista situación de control, incluyendo posibles conflictos de interés, conductas anticompetitivas y abusos de posición dominante y las demás condiciones que busquen proteger a los usuarios finales.</w:t>
      </w:r>
    </w:p>
    <w:p w:rsidR="0033146C" w:rsidRPr="0059318D" w:rsidRDefault="00F2273F" w:rsidP="0033146C">
      <w:pPr>
        <w:pStyle w:val="Textonotapie"/>
        <w:rPr>
          <w:rFonts w:cs="Times New Roman"/>
          <w:i/>
          <w:iCs/>
        </w:rPr>
      </w:pPr>
      <w:r w:rsidRPr="0059318D">
        <w:rPr>
          <w:rFonts w:cs="Times New Roman"/>
          <w:b/>
          <w:bCs/>
          <w:i/>
          <w:iCs/>
        </w:rPr>
        <w:t>PARÁGRAFO 2o.</w:t>
      </w:r>
      <w:r w:rsidRPr="0059318D">
        <w:rPr>
          <w:rFonts w:cs="Times New Roman"/>
          <w:i/>
          <w:iCs/>
        </w:rPr>
        <w:t xml:space="preserve"> Ninguna </w:t>
      </w:r>
      <w:r w:rsidRPr="0059318D">
        <w:rPr>
          <w:rFonts w:cs="Times New Roman"/>
          <w:i/>
          <w:iCs/>
        </w:rPr>
        <w:t xml:space="preserve">empresa de servicios públicos domiciliarios que desarrolle en forma combinada la actividad de generación de energía, y/o la de comercialización y/o la de distribución, que represente más del 25% del total de la demanda del Sistema Interconectado Nacional, </w:t>
      </w:r>
      <w:r w:rsidRPr="0059318D">
        <w:rPr>
          <w:rFonts w:cs="Times New Roman"/>
          <w:i/>
          <w:iCs/>
        </w:rPr>
        <w:t>podrá cubrir con energía propia o con energía de filiales o empresas controladas, más del 40% de la energía requerida para atender la demanda de su mercado regulado. Esta restricción no aplicará a los contratos bilaterales que sean asignados en procesos co</w:t>
      </w:r>
      <w:r w:rsidRPr="0059318D">
        <w:rPr>
          <w:rFonts w:cs="Times New Roman"/>
          <w:i/>
          <w:iCs/>
        </w:rPr>
        <w:t xml:space="preserve">mpetitivos en los que expresamente el Ministerio de Minas y Energía o la Comisión de Regulación de Energía y Gas en ejercicio de las funciones delegadas, dispongan que están exceptuados de esta restricción. El Gobierno nacional o la Comisión de Regulación </w:t>
      </w:r>
      <w:r w:rsidRPr="0059318D">
        <w:rPr>
          <w:rFonts w:cs="Times New Roman"/>
          <w:i/>
          <w:iCs/>
        </w:rPr>
        <w:t>de Energía y Gas en ejercicio de las funciones delegadas, podrá establecer un porcentaje inferior a este 40%.</w:t>
      </w:r>
    </w:p>
    <w:p w:rsidR="0033146C" w:rsidRPr="0059318D" w:rsidRDefault="00F2273F" w:rsidP="0033146C">
      <w:pPr>
        <w:pStyle w:val="Textonotapie"/>
        <w:rPr>
          <w:rFonts w:cs="Times New Roman"/>
        </w:rPr>
      </w:pPr>
      <w:r w:rsidRPr="0059318D">
        <w:rPr>
          <w:rFonts w:cs="Times New Roman"/>
          <w:b/>
          <w:bCs/>
          <w:i/>
          <w:iCs/>
        </w:rPr>
        <w:t>PARÁGRAFO 3o.</w:t>
      </w:r>
      <w:r w:rsidRPr="0059318D">
        <w:rPr>
          <w:rFonts w:cs="Times New Roman"/>
          <w:i/>
          <w:iCs/>
        </w:rPr>
        <w:t>  &lt;Parágrafo INEXEQUIBLE&gt;</w:t>
      </w:r>
      <w:r w:rsidRPr="0059318D">
        <w:rPr>
          <w:rFonts w:cs="Times New Roman"/>
        </w:rPr>
        <w:t>”.</w:t>
      </w:r>
    </w:p>
  </w:footnote>
  <w:footnote w:id="97">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 C-063 de 2021.</w:t>
      </w:r>
    </w:p>
  </w:footnote>
  <w:footnote w:id="98">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99">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100">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Artículo 32 de la Ley 143 de 1994. Por su parte, el artícul</w:t>
      </w:r>
      <w:r w:rsidRPr="0059318D">
        <w:rPr>
          <w:rFonts w:cs="Times New Roman"/>
        </w:rPr>
        <w:t>o 167 de la Ley 142 de 1994 establece como objeto de la empresa ISA el de “</w:t>
      </w:r>
      <w:r w:rsidRPr="0059318D">
        <w:rPr>
          <w:rFonts w:cs="Times New Roman"/>
          <w:lang w:val="es-MX"/>
        </w:rPr>
        <w:t>atender la operación y mantenimiento de la red de su propiedad, la expansión de la red nacional de interconexión y prestar servicios técnicos en actividades relacionadas con su obje</w:t>
      </w:r>
      <w:r w:rsidRPr="0059318D">
        <w:rPr>
          <w:rFonts w:cs="Times New Roman"/>
          <w:lang w:val="es-MX"/>
        </w:rPr>
        <w:t>to principal”.</w:t>
      </w:r>
      <w:r w:rsidRPr="0059318D">
        <w:rPr>
          <w:rFonts w:cs="Times New Roman"/>
        </w:rPr>
        <w:t xml:space="preserve"> </w:t>
      </w:r>
    </w:p>
  </w:footnote>
  <w:footnote w:id="101">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102">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A</w:t>
      </w:r>
      <w:r w:rsidRPr="0059318D">
        <w:rPr>
          <w:rFonts w:cs="Times New Roman"/>
        </w:rPr>
        <w:t xml:space="preserve"> diciembre de 2024, la composición accionaria de ISA corresponde a Ecopetrol (51,41 %)</w:t>
      </w:r>
      <w:r w:rsidRPr="0059318D">
        <w:rPr>
          <w:rFonts w:cs="Times New Roman"/>
        </w:rPr>
        <w:t>;</w:t>
      </w:r>
      <w:r w:rsidRPr="0059318D">
        <w:rPr>
          <w:rFonts w:cs="Times New Roman"/>
        </w:rPr>
        <w:t xml:space="preserve"> inversionistas institucionales (29,9 %)</w:t>
      </w:r>
      <w:r w:rsidRPr="0059318D">
        <w:rPr>
          <w:rFonts w:cs="Times New Roman"/>
        </w:rPr>
        <w:t>;</w:t>
      </w:r>
      <w:r w:rsidRPr="0059318D">
        <w:rPr>
          <w:rFonts w:cs="Times New Roman"/>
        </w:rPr>
        <w:t xml:space="preserve"> fondos de inversión extranjera (9,5 %)</w:t>
      </w:r>
      <w:r w:rsidRPr="0059318D">
        <w:rPr>
          <w:rFonts w:cs="Times New Roman"/>
        </w:rPr>
        <w:t>;</w:t>
      </w:r>
      <w:r w:rsidRPr="0059318D">
        <w:rPr>
          <w:rFonts w:cs="Times New Roman"/>
        </w:rPr>
        <w:t xml:space="preserve"> EPM (8,8 %) y personas naturales (3,4 %). Información consulta</w:t>
      </w:r>
      <w:r w:rsidRPr="0059318D">
        <w:rPr>
          <w:rFonts w:cs="Times New Roman"/>
        </w:rPr>
        <w:t xml:space="preserve">da el 1° de octubre de 2025 en el portal web de ISA, en </w:t>
      </w:r>
      <w:hyperlink r:id="rId5" w:history="1">
        <w:r w:rsidRPr="0059318D">
          <w:rPr>
            <w:rStyle w:val="Hipervnculo"/>
            <w:rFonts w:cs="Times New Roman"/>
          </w:rPr>
          <w:t>https://www.isa.co/es/nosotros/estructura-societaria/</w:t>
        </w:r>
      </w:hyperlink>
      <w:r w:rsidRPr="0059318D">
        <w:rPr>
          <w:rFonts w:cs="Times New Roman"/>
        </w:rPr>
        <w:t xml:space="preserve"> </w:t>
      </w:r>
    </w:p>
  </w:footnote>
  <w:footnote w:id="103">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Certificado de Existencia y Representación Legal de ISA expedido el 8 de </w:t>
      </w:r>
      <w:r w:rsidRPr="0059318D">
        <w:rPr>
          <w:rFonts w:cs="Times New Roman"/>
        </w:rPr>
        <w:t xml:space="preserve">septiembre de 2025. Información consultada el 1° de octubre de 2025 en el portal web de ISA, en </w:t>
      </w:r>
      <w:hyperlink r:id="rId6" w:history="1">
        <w:r w:rsidRPr="0059318D">
          <w:rPr>
            <w:rStyle w:val="Hipervnculo"/>
            <w:rFonts w:cs="Times New Roman"/>
          </w:rPr>
          <w:t>certificado-representacion.legal-isa-2025.pdf</w:t>
        </w:r>
      </w:hyperlink>
    </w:p>
  </w:footnote>
  <w:footnote w:id="104">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Expediente digital, intervención </w:t>
      </w:r>
      <w:r w:rsidRPr="0059318D">
        <w:rPr>
          <w:rFonts w:cs="Times New Roman"/>
        </w:rPr>
        <w:t>de la empresa Ecopetrol S.A., archivo “Ecopetrol S.A.pdf”, p. 2-3.</w:t>
      </w:r>
    </w:p>
  </w:footnote>
  <w:footnote w:id="105">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w:t>
      </w:r>
    </w:p>
  </w:footnote>
  <w:footnote w:id="106">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 p. 3.</w:t>
      </w:r>
    </w:p>
  </w:footnote>
  <w:footnote w:id="107">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Expediente digital, intervención de Interconexión Eléctrica S.A. E.S.P, archivo “Intervención - Interconexión Eléctrica S.A. ESP ISA.pdf”, p. 112.</w:t>
      </w:r>
    </w:p>
  </w:footnote>
  <w:footnote w:id="108">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Ib., p. 109-111.</w:t>
      </w:r>
    </w:p>
  </w:footnote>
  <w:footnote w:id="109">
    <w:p w:rsidR="0033146C" w:rsidRPr="0059318D" w:rsidRDefault="00F2273F" w:rsidP="0033146C">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rPr>
        <w:t>Información consultada el 27 de julio de 2025 en el portal web de ISA, en https://www.isaintercolombia.com/transmision-de-energia-electrica/</w:t>
      </w:r>
    </w:p>
  </w:footnote>
  <w:footnote w:id="110">
    <w:p w:rsidR="007D5F77"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Gaceta 388 de 2023, p. 9.</w:t>
      </w:r>
    </w:p>
  </w:footnote>
  <w:footnote w:id="111">
    <w:p w:rsidR="007D5F77"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Expediente digital, oficio “Respuesta Oficio N°. OPC-242/23 - Cámara de Representante</w:t>
      </w:r>
      <w:r w:rsidRPr="0059318D">
        <w:rPr>
          <w:rFonts w:cs="Times New Roman"/>
        </w:rPr>
        <w:t>s.pdf”.</w:t>
      </w:r>
    </w:p>
  </w:footnote>
  <w:footnote w:id="112">
    <w:p w:rsidR="007D5F77"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Sesión plenaria del 3 de mayo de 2023, </w:t>
      </w:r>
      <w:hyperlink r:id="rId7" w:history="1">
        <w:r w:rsidRPr="0059318D">
          <w:rPr>
            <w:rStyle w:val="Hipervnculo"/>
            <w:rFonts w:cs="Times New Roman"/>
          </w:rPr>
          <w:t>#PlenariaSenado - 03 de Mayo de 2023 - Parte V</w:t>
        </w:r>
      </w:hyperlink>
      <w:r w:rsidRPr="0059318D">
        <w:rPr>
          <w:rFonts w:cs="Times New Roman"/>
        </w:rPr>
        <w:t>, Minuto 47:45 a 48:50.</w:t>
      </w:r>
    </w:p>
  </w:footnote>
  <w:footnote w:id="113">
    <w:p w:rsidR="00EE7D1E"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Proposición presentada por la representante María del Mar Pizarro. Expedien</w:t>
      </w:r>
      <w:r w:rsidRPr="0059318D">
        <w:rPr>
          <w:rFonts w:cs="Times New Roman"/>
        </w:rPr>
        <w:t>te digital, oficio “Respuesta Oficio N°. OPC-242/23 - Cámara de Representantes.pdf”.</w:t>
      </w:r>
    </w:p>
  </w:footnote>
  <w:footnote w:id="114">
    <w:p w:rsidR="00EE7D1E"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Reseña que del documento Bases del Plan presenta el Departamento Nacional de Planeación. Expediente digital, archivo “Intervención - Departamento Nacional de Planeacion.</w:t>
      </w:r>
      <w:r w:rsidRPr="0059318D">
        <w:rPr>
          <w:rFonts w:cs="Times New Roman"/>
        </w:rPr>
        <w:t>pdf”, fl. 6, 8 y 11.</w:t>
      </w:r>
    </w:p>
  </w:footnote>
  <w:footnote w:id="115">
    <w:p w:rsidR="00560B91"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Gaceta 858 de 2023, Acta del 21 de marzo de 2023, p. 59.</w:t>
      </w:r>
    </w:p>
  </w:footnote>
  <w:footnote w:id="116">
    <w:p w:rsidR="0082182A"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Gaceta 274 de 2023.</w:t>
      </w:r>
    </w:p>
  </w:footnote>
  <w:footnote w:id="117">
    <w:p w:rsidR="00DA5B3D"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Gacetas 386 Senado y 388 Cámara de Representantes de 2023.</w:t>
      </w:r>
      <w:r w:rsidRPr="0059318D">
        <w:rPr>
          <w:rFonts w:cs="Times New Roman"/>
        </w:rPr>
        <w:t xml:space="preserve"> </w:t>
      </w:r>
    </w:p>
  </w:footnote>
  <w:footnote w:id="118">
    <w:p w:rsidR="00AB4716"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Gaceta 889 de 2023,</w:t>
      </w:r>
      <w:r w:rsidRPr="0059318D">
        <w:rPr>
          <w:rFonts w:cs="Times New Roman"/>
        </w:rPr>
        <w:t xml:space="preserve"> Ac</w:t>
      </w:r>
      <w:r w:rsidRPr="0059318D">
        <w:rPr>
          <w:rFonts w:cs="Times New Roman"/>
        </w:rPr>
        <w:t xml:space="preserve">ta </w:t>
      </w:r>
      <w:r w:rsidRPr="0059318D">
        <w:rPr>
          <w:rFonts w:cs="Times New Roman"/>
        </w:rPr>
        <w:t>46,</w:t>
      </w:r>
      <w:r w:rsidRPr="0059318D">
        <w:rPr>
          <w:rFonts w:cs="Times New Roman"/>
        </w:rPr>
        <w:t xml:space="preserve"> p. 166-168.</w:t>
      </w:r>
    </w:p>
  </w:footnote>
  <w:footnote w:id="119">
    <w:p w:rsidR="00BE1A62" w:rsidRPr="0059318D" w:rsidRDefault="00F2273F" w:rsidP="00E042D3">
      <w:pPr>
        <w:pStyle w:val="Textonotapie"/>
        <w:rPr>
          <w:rFonts w:cs="Times New Roman"/>
        </w:rPr>
      </w:pPr>
      <w:r w:rsidRPr="0059318D">
        <w:rPr>
          <w:rStyle w:val="Refdenotaalpie"/>
          <w:rFonts w:cs="Times New Roman"/>
        </w:rPr>
        <w:footnoteRef/>
      </w:r>
      <w:r w:rsidRPr="0059318D">
        <w:rPr>
          <w:rFonts w:cs="Times New Roman"/>
        </w:rPr>
        <w:t xml:space="preserve"> Sesión plenaria Cámara de Representantes del 3 de mayo de 2023. </w:t>
      </w:r>
      <w:hyperlink r:id="rId8" w:history="1">
        <w:r w:rsidRPr="0059318D">
          <w:rPr>
            <w:rStyle w:val="Hipervnculo"/>
            <w:rFonts w:cs="Times New Roman"/>
          </w:rPr>
          <w:t>Plenaria Cámara de Representantes: Discusión y Votación Plan Nal. de Desarrollo - 03/05/2023</w:t>
        </w:r>
      </w:hyperlink>
      <w:r w:rsidRPr="0059318D">
        <w:rPr>
          <w:rFonts w:cs="Times New Roman"/>
        </w:rPr>
        <w:t>. Minuto 9:06:54</w:t>
      </w:r>
    </w:p>
  </w:footnote>
  <w:footnote w:id="120">
    <w:p w:rsidR="007A3911"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De acuerdo con la co</w:t>
      </w:r>
      <w:r w:rsidRPr="0059318D">
        <w:rPr>
          <w:rFonts w:cs="Times New Roman"/>
          <w:lang w:val="es-ES_tradnl"/>
        </w:rPr>
        <w:t>pia del texto de la proposición que se encuentra en el anexo 11 de la demanda y que tiene fecha y sello de presentación.</w:t>
      </w:r>
    </w:p>
  </w:footnote>
  <w:footnote w:id="121">
    <w:p w:rsidR="00031A9E" w:rsidRPr="0059318D" w:rsidRDefault="00F2273F">
      <w:pPr>
        <w:pStyle w:val="Textonotapie"/>
        <w:rPr>
          <w:rFonts w:cs="Times New Roman"/>
          <w:lang w:val="pt-PT"/>
        </w:rPr>
      </w:pPr>
      <w:r w:rsidRPr="0059318D">
        <w:rPr>
          <w:rStyle w:val="Refdenotaalpie"/>
          <w:rFonts w:cs="Times New Roman"/>
        </w:rPr>
        <w:footnoteRef/>
      </w:r>
      <w:r w:rsidRPr="0059318D">
        <w:rPr>
          <w:rFonts w:cs="Times New Roman"/>
          <w:lang w:val="pt-PT"/>
        </w:rPr>
        <w:t xml:space="preserve"> Ib. </w:t>
      </w:r>
    </w:p>
  </w:footnote>
  <w:footnote w:id="122">
    <w:p w:rsidR="00BE1A62" w:rsidRPr="0059318D" w:rsidRDefault="00F2273F" w:rsidP="00E042D3">
      <w:pPr>
        <w:pStyle w:val="Textonotapie"/>
        <w:rPr>
          <w:rFonts w:cs="Times New Roman"/>
          <w:lang w:val="pt-PT"/>
        </w:rPr>
      </w:pPr>
      <w:r w:rsidRPr="0059318D">
        <w:rPr>
          <w:rStyle w:val="Refdenotaalpie"/>
          <w:rFonts w:cs="Times New Roman"/>
        </w:rPr>
        <w:footnoteRef/>
      </w:r>
      <w:r w:rsidRPr="0059318D">
        <w:rPr>
          <w:rFonts w:cs="Times New Roman"/>
          <w:lang w:val="pt-PT"/>
        </w:rPr>
        <w:t xml:space="preserve"> Ibidem, minuto 9:10:49.</w:t>
      </w:r>
    </w:p>
  </w:footnote>
  <w:footnote w:id="123">
    <w:p w:rsidR="00114105" w:rsidRPr="0059318D" w:rsidRDefault="00F2273F" w:rsidP="00E042D3">
      <w:pPr>
        <w:pStyle w:val="Textonotapie"/>
        <w:rPr>
          <w:rFonts w:cs="Times New Roman"/>
          <w:lang w:val="pt-PT"/>
        </w:rPr>
      </w:pPr>
      <w:r w:rsidRPr="0059318D">
        <w:rPr>
          <w:rStyle w:val="Refdenotaalpie"/>
          <w:rFonts w:cs="Times New Roman"/>
        </w:rPr>
        <w:footnoteRef/>
      </w:r>
      <w:r w:rsidRPr="0059318D">
        <w:rPr>
          <w:rFonts w:cs="Times New Roman"/>
          <w:lang w:val="pt-PT"/>
        </w:rPr>
        <w:t xml:space="preserve"> Gaceta 428 de 2023, p. 39.</w:t>
      </w:r>
    </w:p>
  </w:footnote>
  <w:footnote w:id="124">
    <w:p w:rsidR="00043414"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i/>
          <w:iCs/>
          <w:lang w:val="es-ES_tradnl"/>
        </w:rPr>
        <w:t>Cfr</w:t>
      </w:r>
      <w:r w:rsidRPr="0059318D">
        <w:rPr>
          <w:rFonts w:cs="Times New Roman"/>
          <w:lang w:val="es-ES_tradnl"/>
        </w:rPr>
        <w:t xml:space="preserve">. Gaceta 1311 de 2023, p. 100. </w:t>
      </w:r>
    </w:p>
  </w:footnote>
  <w:footnote w:id="125">
    <w:p w:rsidR="00A11BB7"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Según da cuenta </w:t>
      </w:r>
      <w:r w:rsidRPr="0059318D">
        <w:rPr>
          <w:rFonts w:cs="Times New Roman"/>
          <w:lang w:val="es-ES_tradnl"/>
        </w:rPr>
        <w:t xml:space="preserve">el video de la sesión de la Plenaria de la Cámara de Representantes del 4 de mayo de 2023, disponible en: </w:t>
      </w:r>
      <w:hyperlink r:id="rId9" w:history="1">
        <w:r w:rsidRPr="0059318D">
          <w:rPr>
            <w:rStyle w:val="Hipervnculo"/>
            <w:rFonts w:cs="Times New Roman"/>
            <w:lang w:val="es-ES_tradnl"/>
          </w:rPr>
          <w:t>https://www.youtube.com/watch?v=-17GnF1C5eA</w:t>
        </w:r>
      </w:hyperlink>
      <w:r w:rsidRPr="0059318D">
        <w:rPr>
          <w:rFonts w:cs="Times New Roman"/>
          <w:lang w:val="es-ES_tradnl"/>
        </w:rPr>
        <w:t xml:space="preserve">, minuto 9: </w:t>
      </w:r>
      <w:r w:rsidRPr="0059318D">
        <w:rPr>
          <w:rFonts w:cs="Times New Roman"/>
          <w:lang w:val="es-ES_tradnl"/>
        </w:rPr>
        <w:t>03.</w:t>
      </w:r>
    </w:p>
  </w:footnote>
  <w:footnote w:id="126">
    <w:p w:rsidR="00F403E7"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Ib. </w:t>
      </w:r>
    </w:p>
  </w:footnote>
  <w:footnote w:id="127">
    <w:p w:rsidR="006A4345"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Según da cuenta el video de la sesión de la Plenaria de la Cámara de Representantes del 4 de mayo de 2023, disponible en: </w:t>
      </w:r>
      <w:hyperlink r:id="rId10" w:history="1">
        <w:r w:rsidRPr="0059318D">
          <w:rPr>
            <w:rStyle w:val="Hipervnculo"/>
            <w:rFonts w:cs="Times New Roman"/>
            <w:lang w:val="es-ES_tradnl"/>
          </w:rPr>
          <w:t>https://www.youtube.com/watch?v=-17GnF1C5eA</w:t>
        </w:r>
      </w:hyperlink>
      <w:r w:rsidRPr="0059318D">
        <w:rPr>
          <w:rFonts w:cs="Times New Roman"/>
          <w:lang w:val="es-ES_tradnl"/>
        </w:rPr>
        <w:t xml:space="preserve">, minuto 9: 03. </w:t>
      </w:r>
    </w:p>
  </w:footnote>
  <w:footnote w:id="128">
    <w:p w:rsidR="00754093" w:rsidRPr="0059318D" w:rsidRDefault="00F2273F" w:rsidP="00D81F44">
      <w:pPr>
        <w:pStyle w:val="Textonotapie"/>
        <w:rPr>
          <w:rFonts w:cs="Times New Roman"/>
        </w:rPr>
      </w:pPr>
      <w:r w:rsidRPr="0059318D">
        <w:rPr>
          <w:rStyle w:val="Refdenotaalpie"/>
          <w:rFonts w:cs="Times New Roman"/>
        </w:rPr>
        <w:footnoteRef/>
      </w:r>
      <w:r w:rsidRPr="0059318D">
        <w:rPr>
          <w:rFonts w:cs="Times New Roman"/>
        </w:rPr>
        <w:t xml:space="preserve"> Sentencia C-</w:t>
      </w:r>
      <w:r w:rsidRPr="0059318D">
        <w:rPr>
          <w:rFonts w:cs="Times New Roman"/>
        </w:rPr>
        <w:t>415 de 2020.</w:t>
      </w:r>
    </w:p>
  </w:footnote>
  <w:footnote w:id="129">
    <w:p w:rsidR="00754093" w:rsidRPr="0059318D" w:rsidRDefault="00F2273F" w:rsidP="00754093">
      <w:pPr>
        <w:pStyle w:val="Textonotapie"/>
        <w:rPr>
          <w:rFonts w:cs="Times New Roman"/>
        </w:rPr>
      </w:pPr>
      <w:r w:rsidRPr="0059318D">
        <w:rPr>
          <w:rStyle w:val="Refdenotaalpie"/>
          <w:rFonts w:cs="Times New Roman"/>
        </w:rPr>
        <w:footnoteRef/>
      </w:r>
      <w:r w:rsidRPr="0059318D">
        <w:rPr>
          <w:rFonts w:cs="Times New Roman"/>
        </w:rPr>
        <w:t xml:space="preserve"> Sentencia C-294 de 2024.</w:t>
      </w:r>
    </w:p>
  </w:footnote>
  <w:footnote w:id="130">
    <w:p w:rsidR="005332E0" w:rsidRPr="0059318D" w:rsidRDefault="00F2273F" w:rsidP="005332E0">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Corte Constitucional, Sentencia C-119 de 2025. </w:t>
      </w:r>
    </w:p>
  </w:footnote>
  <w:footnote w:id="131">
    <w:p w:rsidR="00763288" w:rsidRPr="0059318D" w:rsidRDefault="00F2273F" w:rsidP="00763288">
      <w:pPr>
        <w:pStyle w:val="Textonotapie"/>
        <w:rPr>
          <w:rFonts w:cs="Times New Roman"/>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Sentencia C-119 de 2025.</w:t>
      </w:r>
    </w:p>
  </w:footnote>
  <w:footnote w:id="132">
    <w:p w:rsidR="005414A0" w:rsidRPr="0059318D" w:rsidRDefault="00F2273F" w:rsidP="005414A0">
      <w:pPr>
        <w:pStyle w:val="Textonotapie"/>
        <w:rPr>
          <w:rFonts w:cs="Times New Roman"/>
        </w:rPr>
      </w:pPr>
      <w:r w:rsidRPr="0059318D">
        <w:rPr>
          <w:rStyle w:val="Refdenotaalpie"/>
          <w:rFonts w:cs="Times New Roman"/>
        </w:rPr>
        <w:footnoteRef/>
      </w:r>
      <w:r w:rsidRPr="0059318D">
        <w:rPr>
          <w:rFonts w:cs="Times New Roman"/>
        </w:rPr>
        <w:t xml:space="preserve"> Plan Plurianual de Inversiones 2023-2026, p. 7. Disponible para consulta en </w:t>
      </w:r>
      <w:hyperlink r:id="rId11" w:history="1">
        <w:r w:rsidRPr="0059318D">
          <w:rPr>
            <w:rStyle w:val="Hipervnculo"/>
            <w:rFonts w:cs="Times New Roman"/>
            <w:color w:val="auto"/>
          </w:rPr>
          <w:t>2023-05-04-plan-plurianual-de-inversiones-2023-2026.pdf</w:t>
        </w:r>
      </w:hyperlink>
    </w:p>
  </w:footnote>
  <w:footnote w:id="133">
    <w:p w:rsidR="0041715F" w:rsidRPr="0059318D" w:rsidRDefault="00F2273F">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De acuerdo con la estrategia denominada “</w:t>
      </w:r>
      <w:r w:rsidRPr="0059318D">
        <w:rPr>
          <w:rFonts w:cs="Times New Roman"/>
          <w:i/>
          <w:iCs/>
        </w:rPr>
        <w:t>eficiencia energética y del merc</w:t>
      </w:r>
      <w:r w:rsidRPr="0059318D">
        <w:rPr>
          <w:rFonts w:cs="Times New Roman"/>
          <w:i/>
          <w:iCs/>
        </w:rPr>
        <w:t xml:space="preserve">ado como factor de desarrollo”. </w:t>
      </w:r>
      <w:r w:rsidRPr="0059318D">
        <w:rPr>
          <w:rFonts w:cs="Times New Roman"/>
        </w:rPr>
        <w:t>P. 164 del documento bases del plan.</w:t>
      </w:r>
      <w:r w:rsidRPr="0059318D">
        <w:rPr>
          <w:rFonts w:cs="Times New Roman"/>
          <w:i/>
          <w:iCs/>
        </w:rPr>
        <w:t xml:space="preserve"> </w:t>
      </w:r>
    </w:p>
  </w:footnote>
  <w:footnote w:id="134">
    <w:p w:rsidR="003E744B" w:rsidRPr="0059318D" w:rsidRDefault="00F2273F" w:rsidP="00790E36">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lang w:val="es-ES_tradnl"/>
        </w:rPr>
        <w:t xml:space="preserve">De acuerdo con la estrategia denominada </w:t>
      </w:r>
      <w:r w:rsidRPr="0059318D">
        <w:rPr>
          <w:rFonts w:cs="Times New Roman"/>
          <w:i/>
          <w:iCs/>
          <w:lang w:val="es-ES_tradnl"/>
        </w:rPr>
        <w:t>“</w:t>
      </w:r>
      <w:r w:rsidRPr="0059318D">
        <w:rPr>
          <w:rFonts w:cs="Times New Roman"/>
          <w:i/>
          <w:iCs/>
          <w:lang w:val="es-ES_tradnl"/>
        </w:rPr>
        <w:t xml:space="preserve">transición </w:t>
      </w:r>
      <w:r w:rsidRPr="0059318D">
        <w:rPr>
          <w:i/>
          <w:iCs/>
        </w:rPr>
        <w:t xml:space="preserve">energética justa, basada en el respeto a la naturaleza, la justicia social y la soberanía con seguridad, confiabilidad y </w:t>
      </w:r>
      <w:r w:rsidRPr="0059318D">
        <w:rPr>
          <w:i/>
          <w:iCs/>
        </w:rPr>
        <w:t>eficiencia”.</w:t>
      </w:r>
      <w:r w:rsidRPr="0059318D">
        <w:t xml:space="preserve"> </w:t>
      </w:r>
    </w:p>
  </w:footnote>
  <w:footnote w:id="135">
    <w:p w:rsidR="00292566" w:rsidRPr="0059318D" w:rsidRDefault="00F2273F" w:rsidP="00790E36">
      <w:pPr>
        <w:pStyle w:val="Textonotapie"/>
        <w:rPr>
          <w:rFonts w:cs="Times New Roman"/>
          <w:lang w:val="es-ES_tradnl"/>
        </w:rPr>
      </w:pPr>
      <w:r w:rsidRPr="0059318D">
        <w:rPr>
          <w:rStyle w:val="Refdenotaalpie"/>
          <w:rFonts w:cs="Times New Roman"/>
        </w:rPr>
        <w:footnoteRef/>
      </w:r>
      <w:r w:rsidRPr="0059318D">
        <w:rPr>
          <w:rFonts w:cs="Times New Roman"/>
        </w:rPr>
        <w:t xml:space="preserve"> </w:t>
      </w:r>
      <w:r w:rsidRPr="0059318D">
        <w:rPr>
          <w:rFonts w:cs="Times New Roman"/>
          <w:i/>
          <w:iCs/>
        </w:rPr>
        <w:t>Cfr</w:t>
      </w:r>
      <w:r w:rsidRPr="0059318D">
        <w:rPr>
          <w:rFonts w:cs="Times New Roman"/>
        </w:rPr>
        <w:t xml:space="preserve">. PL 320 de 2023 Senado, 415 de 2023 Cámara, según da cuenta la Gaceta 448 de 2023. </w:t>
      </w:r>
    </w:p>
  </w:footnote>
  <w:footnote w:id="136">
    <w:p w:rsidR="007950AF" w:rsidRPr="0059318D" w:rsidRDefault="00F2273F" w:rsidP="007950AF">
      <w:pPr>
        <w:pStyle w:val="Textonotapie"/>
        <w:rPr>
          <w:rFonts w:cs="Times New Roman"/>
        </w:rPr>
      </w:pPr>
      <w:r w:rsidRPr="0059318D">
        <w:rPr>
          <w:rStyle w:val="Refdenotaalpie"/>
          <w:rFonts w:cs="Times New Roman"/>
        </w:rPr>
        <w:footnoteRef/>
      </w:r>
      <w:r w:rsidRPr="0059318D">
        <w:rPr>
          <w:rFonts w:cs="Times New Roman"/>
        </w:rPr>
        <w:t xml:space="preserve"> Expediente digital, archivos “Intervención Universidad Externado de Colombia.pdf”, fl. 10.</w:t>
      </w:r>
    </w:p>
  </w:footnote>
  <w:footnote w:id="137">
    <w:p w:rsidR="007950AF" w:rsidRPr="0059318D" w:rsidRDefault="00F2273F" w:rsidP="007950AF">
      <w:pPr>
        <w:pStyle w:val="Textonotapie"/>
        <w:rPr>
          <w:rFonts w:cs="Times New Roman"/>
        </w:rPr>
      </w:pPr>
      <w:r w:rsidRPr="0059318D">
        <w:rPr>
          <w:rStyle w:val="Refdenotaalpie"/>
          <w:rFonts w:cs="Times New Roman"/>
        </w:rPr>
        <w:footnoteRef/>
      </w:r>
      <w:r w:rsidRPr="0059318D">
        <w:rPr>
          <w:rFonts w:cs="Times New Roman"/>
        </w:rPr>
        <w:t xml:space="preserve"> Ib, fl. 9.</w:t>
      </w:r>
    </w:p>
  </w:footnote>
  <w:footnote w:id="138">
    <w:p w:rsidR="007950AF" w:rsidRPr="0059318D" w:rsidRDefault="00F2273F" w:rsidP="007950AF">
      <w:pPr>
        <w:pStyle w:val="Textonotapie"/>
        <w:rPr>
          <w:rFonts w:cs="Times New Roman"/>
        </w:rPr>
      </w:pPr>
      <w:r w:rsidRPr="0059318D">
        <w:rPr>
          <w:rStyle w:val="Refdenotaalpie"/>
          <w:rFonts w:cs="Times New Roman"/>
        </w:rPr>
        <w:footnoteRef/>
      </w:r>
      <w:r w:rsidRPr="0059318D">
        <w:rPr>
          <w:rFonts w:cs="Times New Roman"/>
        </w:rPr>
        <w:t xml:space="preserve"> En esta decisión se refieren las sentencias </w:t>
      </w:r>
      <w:r w:rsidRPr="0059318D">
        <w:rPr>
          <w:rFonts w:cs="Times New Roman"/>
        </w:rPr>
        <w:t>C-737 de 2001, y se indica que los presupuestos también fueron aplicados en las Sentencias C-030 de 2019 y C-481 de 2019</w:t>
      </w:r>
    </w:p>
  </w:footnote>
  <w:footnote w:id="139">
    <w:p w:rsidR="00547FA5" w:rsidRPr="00D27896" w:rsidRDefault="00F2273F">
      <w:pPr>
        <w:pStyle w:val="Textonotapie"/>
        <w:rPr>
          <w:rFonts w:cs="Times New Roman"/>
          <w:lang w:val="es-ES"/>
        </w:rPr>
      </w:pPr>
      <w:r w:rsidRPr="0059318D">
        <w:rPr>
          <w:rStyle w:val="Refdenotaalpie"/>
          <w:rFonts w:cs="Times New Roman"/>
        </w:rPr>
        <w:footnoteRef/>
      </w:r>
      <w:r w:rsidRPr="0059318D">
        <w:rPr>
          <w:rFonts w:cs="Times New Roman"/>
        </w:rPr>
        <w:t xml:space="preserve"> </w:t>
      </w:r>
      <w:r w:rsidRPr="0059318D">
        <w:rPr>
          <w:rFonts w:cs="Times New Roman"/>
          <w:lang w:val="es-ES"/>
        </w:rPr>
        <w:t>Corte Constitucional, C-113 de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7777B"/>
    <w:multiLevelType w:val="hybridMultilevel"/>
    <w:tmpl w:val="E42C13C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6D15170"/>
    <w:multiLevelType w:val="multilevel"/>
    <w:tmpl w:val="D932FD32"/>
    <w:lvl w:ilvl="0">
      <w:start w:val="4"/>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2A3F73D1"/>
    <w:multiLevelType w:val="hybridMultilevel"/>
    <w:tmpl w:val="6DFCE20C"/>
    <w:lvl w:ilvl="0" w:tplc="64BABBE4">
      <w:start w:val="1"/>
      <w:numFmt w:val="decimal"/>
      <w:lvlText w:val="%1."/>
      <w:lvlJc w:val="left"/>
      <w:pPr>
        <w:ind w:left="360" w:hanging="360"/>
      </w:pPr>
      <w:rPr>
        <w:b w:val="0"/>
        <w:bCs w:val="0"/>
        <w:i w:val="0"/>
        <w:iCs w:val="0"/>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BF1885"/>
    <w:multiLevelType w:val="hybridMultilevel"/>
    <w:tmpl w:val="A25C4A60"/>
    <w:lvl w:ilvl="0" w:tplc="F2A8CA5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A8195E"/>
    <w:multiLevelType w:val="hybridMultilevel"/>
    <w:tmpl w:val="C8BA07BE"/>
    <w:lvl w:ilvl="0" w:tplc="7020D70A">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0F4305"/>
    <w:multiLevelType w:val="hybridMultilevel"/>
    <w:tmpl w:val="B7360A5A"/>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F366E1"/>
    <w:multiLevelType w:val="hybridMultilevel"/>
    <w:tmpl w:val="289898E6"/>
    <w:lvl w:ilvl="0" w:tplc="0362342E">
      <w:start w:val="4"/>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EB0F3F"/>
    <w:multiLevelType w:val="multilevel"/>
    <w:tmpl w:val="F394039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eastAsia="Arial Unicode MS" w:hint="default"/>
      </w:rPr>
    </w:lvl>
    <w:lvl w:ilvl="2">
      <w:start w:val="1"/>
      <w:numFmt w:val="decimal"/>
      <w:isLgl/>
      <w:lvlText w:val="%1.%2.%3."/>
      <w:lvlJc w:val="left"/>
      <w:pPr>
        <w:ind w:left="1080" w:hanging="720"/>
      </w:pPr>
      <w:rPr>
        <w:rFonts w:eastAsia="Arial Unicode MS" w:hint="default"/>
      </w:rPr>
    </w:lvl>
    <w:lvl w:ilvl="3">
      <w:start w:val="1"/>
      <w:numFmt w:val="decimal"/>
      <w:isLgl/>
      <w:lvlText w:val="%1.%2.%3.%4."/>
      <w:lvlJc w:val="left"/>
      <w:pPr>
        <w:ind w:left="1440" w:hanging="1080"/>
      </w:pPr>
      <w:rPr>
        <w:rFonts w:eastAsia="Arial Unicode MS" w:hint="default"/>
      </w:rPr>
    </w:lvl>
    <w:lvl w:ilvl="4">
      <w:start w:val="1"/>
      <w:numFmt w:val="decimal"/>
      <w:isLgl/>
      <w:lvlText w:val="%1.%2.%3.%4.%5."/>
      <w:lvlJc w:val="left"/>
      <w:pPr>
        <w:ind w:left="1440" w:hanging="1080"/>
      </w:pPr>
      <w:rPr>
        <w:rFonts w:eastAsia="Arial Unicode MS" w:hint="default"/>
      </w:rPr>
    </w:lvl>
    <w:lvl w:ilvl="5">
      <w:start w:val="1"/>
      <w:numFmt w:val="decimal"/>
      <w:isLgl/>
      <w:lvlText w:val="%1.%2.%3.%4.%5.%6."/>
      <w:lvlJc w:val="left"/>
      <w:pPr>
        <w:ind w:left="1800" w:hanging="1440"/>
      </w:pPr>
      <w:rPr>
        <w:rFonts w:eastAsia="Arial Unicode MS" w:hint="default"/>
      </w:rPr>
    </w:lvl>
    <w:lvl w:ilvl="6">
      <w:start w:val="1"/>
      <w:numFmt w:val="decimal"/>
      <w:isLgl/>
      <w:lvlText w:val="%1.%2.%3.%4.%5.%6.%7."/>
      <w:lvlJc w:val="left"/>
      <w:pPr>
        <w:ind w:left="2160" w:hanging="1800"/>
      </w:pPr>
      <w:rPr>
        <w:rFonts w:eastAsia="Arial Unicode MS" w:hint="default"/>
      </w:rPr>
    </w:lvl>
    <w:lvl w:ilvl="7">
      <w:start w:val="1"/>
      <w:numFmt w:val="decimal"/>
      <w:isLgl/>
      <w:lvlText w:val="%1.%2.%3.%4.%5.%6.%7.%8."/>
      <w:lvlJc w:val="left"/>
      <w:pPr>
        <w:ind w:left="2160" w:hanging="1800"/>
      </w:pPr>
      <w:rPr>
        <w:rFonts w:eastAsia="Arial Unicode MS" w:hint="default"/>
      </w:rPr>
    </w:lvl>
    <w:lvl w:ilvl="8">
      <w:start w:val="1"/>
      <w:numFmt w:val="decimal"/>
      <w:isLgl/>
      <w:lvlText w:val="%1.%2.%3.%4.%5.%6.%7.%8.%9."/>
      <w:lvlJc w:val="left"/>
      <w:pPr>
        <w:ind w:left="2520" w:hanging="2160"/>
      </w:pPr>
      <w:rPr>
        <w:rFonts w:eastAsia="Arial Unicode MS" w:hint="default"/>
      </w:rPr>
    </w:lvl>
  </w:abstractNum>
  <w:abstractNum w:abstractNumId="8" w15:restartNumberingAfterBreak="0">
    <w:nsid w:val="611D5491"/>
    <w:multiLevelType w:val="hybridMultilevel"/>
    <w:tmpl w:val="1270BF1E"/>
    <w:lvl w:ilvl="0" w:tplc="F2A8CA5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2150F66"/>
    <w:multiLevelType w:val="hybridMultilevel"/>
    <w:tmpl w:val="DF2AFF0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D836795"/>
    <w:multiLevelType w:val="multilevel"/>
    <w:tmpl w:val="37984F50"/>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7"/>
  </w:num>
  <w:num w:numId="3">
    <w:abstractNumId w:val="2"/>
  </w:num>
  <w:num w:numId="4">
    <w:abstractNumId w:val="4"/>
  </w:num>
  <w:num w:numId="5">
    <w:abstractNumId w:val="6"/>
  </w:num>
  <w:num w:numId="6">
    <w:abstractNumId w:val="1"/>
  </w:num>
  <w:num w:numId="7">
    <w:abstractNumId w:val="9"/>
  </w:num>
  <w:num w:numId="8">
    <w:abstractNumId w:val="5"/>
  </w:num>
  <w:num w:numId="9">
    <w:abstractNumId w:val="8"/>
  </w:num>
  <w:num w:numId="10">
    <w:abstractNumId w:val="3"/>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6458B4"/>
    <w:rsid w:val="001B3C06"/>
    <w:rsid w:val="006458B4"/>
    <w:rsid w:val="00F227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87D489B-1B46-458A-A2C2-891B59D2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6B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279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315A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9270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7435C4"/>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8315A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15A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15A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15A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unhideWhenUsed/>
    <w:qFormat/>
    <w:rsid w:val="00725ABD"/>
    <w:pPr>
      <w:spacing w:after="0" w:line="240" w:lineRule="auto"/>
      <w:jc w:val="both"/>
    </w:pPr>
    <w:rPr>
      <w:rFonts w:ascii="Times New Roman" w:eastAsia="Calibri" w:hAnsi="Times New Roman" w:cs="Microsoft Himalaya"/>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qFormat/>
    <w:rsid w:val="00725ABD"/>
    <w:rPr>
      <w:rFonts w:ascii="Times New Roman" w:eastAsia="Calibri" w:hAnsi="Times New Roman" w:cs="Microsoft Himalaya"/>
      <w:sz w:val="20"/>
      <w:szCs w:val="20"/>
    </w:rPr>
  </w:style>
  <w:style w:type="character" w:styleId="Refdenotaalpie">
    <w:name w:val="footnote reference"/>
    <w:aliases w:val="Texto de nota al pie,Footnotes refss,Appel note de bas de page,Ref. de nota al pie 2,referencia nota al pie,Fago Fu§notenzeichen,Footnote number,BVI fnr,f,4_G,16 Point,Superscript 6 Point,Texto nota al pie,Footnote Reference Char3,FC"/>
    <w:basedOn w:val="Fuentedeprrafopredeter"/>
    <w:link w:val="Refdenotaalpie2"/>
    <w:uiPriority w:val="99"/>
    <w:unhideWhenUsed/>
    <w:qFormat/>
    <w:rsid w:val="00725ABD"/>
    <w:rPr>
      <w:vertAlign w:val="superscript"/>
    </w:rPr>
  </w:style>
  <w:style w:type="paragraph" w:styleId="Prrafodelista">
    <w:name w:val="List Paragraph"/>
    <w:aliases w:val="Colorful List - Accent 11,Ha,List Paragraph1,lp1,List Paragraph2,Normal1,Footnote,List1,titulo 3,Párrafo de lista1,Bullets,Párrafo de lista2,Lista vistosa - Énfasis 11,Cuadrícula clara - Énfasis 31,Dot pt,F5 List Paragraph,No Spacing1,B"/>
    <w:basedOn w:val="Normal"/>
    <w:link w:val="PrrafodelistaCar"/>
    <w:uiPriority w:val="34"/>
    <w:qFormat/>
    <w:rsid w:val="00E72F0B"/>
    <w:pPr>
      <w:ind w:left="720"/>
      <w:contextualSpacing/>
    </w:pPr>
  </w:style>
  <w:style w:type="paragraph" w:styleId="Encabezado">
    <w:name w:val="header"/>
    <w:basedOn w:val="Normal"/>
    <w:link w:val="EncabezadoCar"/>
    <w:uiPriority w:val="99"/>
    <w:unhideWhenUsed/>
    <w:rsid w:val="00A53D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3D2B"/>
  </w:style>
  <w:style w:type="paragraph" w:styleId="Piedepgina">
    <w:name w:val="footer"/>
    <w:basedOn w:val="Normal"/>
    <w:link w:val="PiedepginaCar"/>
    <w:uiPriority w:val="99"/>
    <w:unhideWhenUsed/>
    <w:rsid w:val="00A53D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3D2B"/>
  </w:style>
  <w:style w:type="paragraph" w:styleId="Textoindependiente2">
    <w:name w:val="Body Text 2"/>
    <w:basedOn w:val="Normal"/>
    <w:link w:val="Textoindependiente2Car"/>
    <w:uiPriority w:val="99"/>
    <w:semiHidden/>
    <w:unhideWhenUsed/>
    <w:rsid w:val="00716F96"/>
    <w:pPr>
      <w:spacing w:after="120" w:line="480" w:lineRule="auto"/>
    </w:pPr>
  </w:style>
  <w:style w:type="character" w:customStyle="1" w:styleId="Textoindependiente2Car">
    <w:name w:val="Texto independiente 2 Car"/>
    <w:basedOn w:val="Fuentedeprrafopredeter"/>
    <w:link w:val="Textoindependiente2"/>
    <w:uiPriority w:val="99"/>
    <w:semiHidden/>
    <w:rsid w:val="00716F96"/>
  </w:style>
  <w:style w:type="character" w:styleId="Refdecomentario">
    <w:name w:val="annotation reference"/>
    <w:basedOn w:val="Fuentedeprrafopredeter"/>
    <w:uiPriority w:val="99"/>
    <w:semiHidden/>
    <w:unhideWhenUsed/>
    <w:rsid w:val="00F806A4"/>
    <w:rPr>
      <w:sz w:val="16"/>
      <w:szCs w:val="16"/>
    </w:rPr>
  </w:style>
  <w:style w:type="paragraph" w:styleId="Textocomentario">
    <w:name w:val="annotation text"/>
    <w:basedOn w:val="Normal"/>
    <w:link w:val="TextocomentarioCar"/>
    <w:uiPriority w:val="99"/>
    <w:unhideWhenUsed/>
    <w:qFormat/>
    <w:rsid w:val="00F806A4"/>
    <w:pPr>
      <w:spacing w:line="240" w:lineRule="auto"/>
    </w:pPr>
    <w:rPr>
      <w:sz w:val="20"/>
      <w:szCs w:val="20"/>
    </w:rPr>
  </w:style>
  <w:style w:type="character" w:customStyle="1" w:styleId="TextocomentarioCar">
    <w:name w:val="Texto comentario Car"/>
    <w:basedOn w:val="Fuentedeprrafopredeter"/>
    <w:link w:val="Textocomentario"/>
    <w:uiPriority w:val="99"/>
    <w:rsid w:val="00F806A4"/>
    <w:rPr>
      <w:sz w:val="20"/>
      <w:szCs w:val="20"/>
    </w:rPr>
  </w:style>
  <w:style w:type="paragraph" w:styleId="Asuntodelcomentario">
    <w:name w:val="annotation subject"/>
    <w:basedOn w:val="Textocomentario"/>
    <w:next w:val="Textocomentario"/>
    <w:link w:val="AsuntodelcomentarioCar"/>
    <w:uiPriority w:val="99"/>
    <w:semiHidden/>
    <w:unhideWhenUsed/>
    <w:rsid w:val="00F806A4"/>
    <w:rPr>
      <w:b/>
      <w:bCs/>
    </w:rPr>
  </w:style>
  <w:style w:type="character" w:customStyle="1" w:styleId="AsuntodelcomentarioCar">
    <w:name w:val="Asunto del comentario Car"/>
    <w:basedOn w:val="TextocomentarioCar"/>
    <w:link w:val="Asuntodelcomentario"/>
    <w:uiPriority w:val="99"/>
    <w:semiHidden/>
    <w:rsid w:val="00F806A4"/>
    <w:rPr>
      <w:b/>
      <w:bCs/>
      <w:sz w:val="20"/>
      <w:szCs w:val="20"/>
    </w:rPr>
  </w:style>
  <w:style w:type="paragraph" w:styleId="Textodeglobo">
    <w:name w:val="Balloon Text"/>
    <w:basedOn w:val="Normal"/>
    <w:link w:val="TextodegloboCar"/>
    <w:uiPriority w:val="99"/>
    <w:semiHidden/>
    <w:unhideWhenUsed/>
    <w:rsid w:val="00F806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06A4"/>
    <w:rPr>
      <w:rFonts w:ascii="Segoe UI" w:hAnsi="Segoe UI" w:cs="Segoe UI"/>
      <w:sz w:val="18"/>
      <w:szCs w:val="18"/>
    </w:rPr>
  </w:style>
  <w:style w:type="paragraph" w:customStyle="1" w:styleId="Refdenotaalpie2">
    <w:name w:val="Ref. de nota al pie2"/>
    <w:aliases w:val="Pie de pagina,Nota de pie"/>
    <w:basedOn w:val="Normal"/>
    <w:link w:val="Refdenotaalpie"/>
    <w:uiPriority w:val="99"/>
    <w:qFormat/>
    <w:rsid w:val="00DB2070"/>
    <w:pPr>
      <w:spacing w:line="240" w:lineRule="exact"/>
    </w:pPr>
    <w:rPr>
      <w:vertAlign w:val="superscript"/>
    </w:rPr>
  </w:style>
  <w:style w:type="character" w:styleId="Hipervnculo">
    <w:name w:val="Hyperlink"/>
    <w:basedOn w:val="Fuentedeprrafopredeter"/>
    <w:uiPriority w:val="99"/>
    <w:unhideWhenUsed/>
    <w:rsid w:val="000519D6"/>
    <w:rPr>
      <w:color w:val="0563C1" w:themeColor="hyperlink"/>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25882"/>
    <w:rPr>
      <w:rFonts w:ascii="Times New Roman" w:hAnsi="Times New Roman" w:cs="Times New Roman"/>
      <w:sz w:val="24"/>
      <w:szCs w:val="24"/>
    </w:rPr>
  </w:style>
  <w:style w:type="character" w:customStyle="1" w:styleId="Ttulo2Car">
    <w:name w:val="Título 2 Car"/>
    <w:basedOn w:val="Fuentedeprrafopredeter"/>
    <w:link w:val="Ttulo2"/>
    <w:uiPriority w:val="9"/>
    <w:rsid w:val="00A279EA"/>
    <w:rPr>
      <w:rFonts w:asciiTheme="majorHAnsi" w:eastAsiaTheme="majorEastAsia" w:hAnsiTheme="majorHAnsi" w:cstheme="majorBidi"/>
      <w:color w:val="2F5496" w:themeColor="accent1" w:themeShade="BF"/>
      <w:sz w:val="26"/>
      <w:szCs w:val="26"/>
    </w:rPr>
  </w:style>
  <w:style w:type="character" w:customStyle="1" w:styleId="Mencinsinresolver1">
    <w:name w:val="Mención sin resolver1"/>
    <w:basedOn w:val="Fuentedeprrafopredeter"/>
    <w:uiPriority w:val="99"/>
    <w:semiHidden/>
    <w:unhideWhenUsed/>
    <w:rsid w:val="002C7C6B"/>
    <w:rPr>
      <w:color w:val="605E5C"/>
      <w:shd w:val="clear" w:color="auto" w:fill="E1DFDD"/>
    </w:rPr>
  </w:style>
  <w:style w:type="paragraph" w:styleId="Sinespaciado">
    <w:name w:val="No Spacing"/>
    <w:link w:val="SinespaciadoCar"/>
    <w:uiPriority w:val="1"/>
    <w:qFormat/>
    <w:rsid w:val="002F3025"/>
    <w:pPr>
      <w:spacing w:after="0" w:line="240" w:lineRule="auto"/>
    </w:pPr>
  </w:style>
  <w:style w:type="character" w:styleId="Textoennegrita">
    <w:name w:val="Strong"/>
    <w:basedOn w:val="Fuentedeprrafopredeter"/>
    <w:uiPriority w:val="22"/>
    <w:qFormat/>
    <w:rsid w:val="002F3025"/>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0003F8"/>
    <w:pPr>
      <w:spacing w:after="0" w:line="240" w:lineRule="auto"/>
      <w:jc w:val="both"/>
    </w:pPr>
    <w:rPr>
      <w:rFonts w:ascii="Calibri" w:eastAsia="Times New Roman" w:hAnsi="Calibri" w:cs="Times New Roman"/>
      <w:iCs/>
      <w:sz w:val="24"/>
      <w:szCs w:val="24"/>
      <w:vertAlign w:val="superscript"/>
      <w:lang w:val="es-ES" w:eastAsia="pt-BR"/>
    </w:rPr>
  </w:style>
  <w:style w:type="character" w:styleId="nfasis">
    <w:name w:val="Emphasis"/>
    <w:basedOn w:val="Fuentedeprrafopredeter"/>
    <w:uiPriority w:val="20"/>
    <w:qFormat/>
    <w:rsid w:val="00C25664"/>
    <w:rPr>
      <w:i/>
      <w:iCs/>
    </w:rPr>
  </w:style>
  <w:style w:type="paragraph" w:styleId="Lista">
    <w:name w:val="List"/>
    <w:basedOn w:val="Normal"/>
    <w:uiPriority w:val="99"/>
    <w:unhideWhenUsed/>
    <w:rsid w:val="00C748D2"/>
    <w:pPr>
      <w:spacing w:after="200" w:line="276" w:lineRule="auto"/>
      <w:ind w:left="283" w:hanging="283"/>
      <w:contextualSpacing/>
    </w:pPr>
    <w:rPr>
      <w:rFonts w:ascii="Times New Roman" w:eastAsia="Times New Roman" w:hAnsi="Times New Roman" w:cs="Times New Roman"/>
      <w:sz w:val="28"/>
      <w:szCs w:val="24"/>
    </w:rPr>
  </w:style>
  <w:style w:type="paragraph" w:styleId="Textodebloque">
    <w:name w:val="Block Text"/>
    <w:basedOn w:val="Normal"/>
    <w:uiPriority w:val="99"/>
    <w:rsid w:val="005E5827"/>
    <w:pPr>
      <w:tabs>
        <w:tab w:val="left" w:pos="8789"/>
      </w:tabs>
      <w:spacing w:after="0" w:line="240" w:lineRule="atLeast"/>
      <w:ind w:left="3969" w:right="55"/>
      <w:jc w:val="both"/>
    </w:pPr>
    <w:rPr>
      <w:rFonts w:ascii="Arial" w:eastAsia="Times New Roman" w:hAnsi="Arial" w:cs="Times New Roman"/>
      <w:sz w:val="28"/>
      <w:szCs w:val="20"/>
      <w:lang w:val="es-ES_tradnl" w:eastAsia="es-ES"/>
    </w:rPr>
  </w:style>
  <w:style w:type="character" w:customStyle="1" w:styleId="SinespaciadoCar">
    <w:name w:val="Sin espaciado Car"/>
    <w:link w:val="Sinespaciado"/>
    <w:uiPriority w:val="1"/>
    <w:locked/>
    <w:rsid w:val="00DA26D7"/>
  </w:style>
  <w:style w:type="table" w:styleId="Tablaconcuadrcula">
    <w:name w:val="Table Grid"/>
    <w:basedOn w:val="Tablanormal"/>
    <w:uiPriority w:val="39"/>
    <w:qFormat/>
    <w:rsid w:val="001C4EA8"/>
    <w:pPr>
      <w:spacing w:after="0" w:line="240" w:lineRule="auto"/>
    </w:pPr>
    <w:rPr>
      <w:rFonts w:ascii="Times New Roman" w:eastAsia="Calibri"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lorful List - Accent 11 Car,Ha Car,List Paragraph1 Car,lp1 Car,List Paragraph2 Car,Normal1 Car,Footnote Car,List1 Car,titulo 3 Car,Párrafo de lista1 Car,Bullets Car,Párrafo de lista2 Car,Lista vistosa - Énfasis 11 Car,Dot pt Car"/>
    <w:link w:val="Prrafodelista"/>
    <w:uiPriority w:val="34"/>
    <w:qFormat/>
    <w:locked/>
    <w:rsid w:val="001C4EA8"/>
  </w:style>
  <w:style w:type="paragraph" w:styleId="Textonotaalfinal">
    <w:name w:val="endnote text"/>
    <w:basedOn w:val="Normal"/>
    <w:link w:val="TextonotaalfinalCar"/>
    <w:uiPriority w:val="99"/>
    <w:semiHidden/>
    <w:unhideWhenUsed/>
    <w:rsid w:val="001E075E"/>
    <w:pPr>
      <w:spacing w:after="0" w:line="240" w:lineRule="auto"/>
    </w:pPr>
    <w:rPr>
      <w:rFonts w:ascii="Times New Roman" w:eastAsia="Times New Roman" w:hAnsi="Times New Roman" w:cs="Times New Roman"/>
      <w:sz w:val="24"/>
      <w:szCs w:val="24"/>
      <w:lang w:val="es-ES" w:eastAsia="pt-BR"/>
    </w:rPr>
  </w:style>
  <w:style w:type="character" w:customStyle="1" w:styleId="TextonotaalfinalCar">
    <w:name w:val="Texto nota al final Car"/>
    <w:basedOn w:val="Fuentedeprrafopredeter"/>
    <w:link w:val="Textonotaalfinal"/>
    <w:uiPriority w:val="99"/>
    <w:semiHidden/>
    <w:rsid w:val="001E075E"/>
    <w:rPr>
      <w:rFonts w:ascii="Times New Roman" w:eastAsia="Times New Roman" w:hAnsi="Times New Roman" w:cs="Times New Roman"/>
      <w:sz w:val="24"/>
      <w:szCs w:val="24"/>
      <w:lang w:val="es-ES" w:eastAsia="pt-BR"/>
    </w:rPr>
  </w:style>
  <w:style w:type="character" w:customStyle="1" w:styleId="apple-converted-space">
    <w:name w:val="apple-converted-space"/>
    <w:basedOn w:val="Fuentedeprrafopredeter"/>
    <w:rsid w:val="00CB273E"/>
    <w:rPr>
      <w:rFonts w:cs="Times New Roman"/>
    </w:rPr>
  </w:style>
  <w:style w:type="character" w:customStyle="1" w:styleId="Ttulo1Car">
    <w:name w:val="Título 1 Car"/>
    <w:basedOn w:val="Fuentedeprrafopredeter"/>
    <w:link w:val="Ttulo1"/>
    <w:uiPriority w:val="9"/>
    <w:rsid w:val="006D6BA3"/>
    <w:rPr>
      <w:rFonts w:asciiTheme="majorHAnsi" w:eastAsiaTheme="majorEastAsia" w:hAnsiTheme="majorHAnsi" w:cstheme="majorBidi"/>
      <w:color w:val="2F5496" w:themeColor="accent1" w:themeShade="BF"/>
      <w:sz w:val="32"/>
      <w:szCs w:val="32"/>
    </w:rPr>
  </w:style>
  <w:style w:type="character" w:customStyle="1" w:styleId="Ttulo5Car">
    <w:name w:val="Título 5 Car"/>
    <w:basedOn w:val="Fuentedeprrafopredeter"/>
    <w:link w:val="Ttulo5"/>
    <w:uiPriority w:val="9"/>
    <w:rsid w:val="007435C4"/>
    <w:rPr>
      <w:rFonts w:asciiTheme="majorHAnsi" w:eastAsiaTheme="majorEastAsia" w:hAnsiTheme="majorHAnsi" w:cstheme="majorBidi"/>
      <w:color w:val="2F5496" w:themeColor="accent1" w:themeShade="BF"/>
    </w:rPr>
  </w:style>
  <w:style w:type="paragraph" w:styleId="HTMLconformatoprevio">
    <w:name w:val="HTML Preformatted"/>
    <w:basedOn w:val="Normal"/>
    <w:link w:val="HTMLconformatoprevioCar"/>
    <w:uiPriority w:val="99"/>
    <w:semiHidden/>
    <w:unhideWhenUsed/>
    <w:rsid w:val="00242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2427A6"/>
    <w:rPr>
      <w:rFonts w:ascii="Courier New" w:eastAsia="Times New Roman" w:hAnsi="Courier New" w:cs="Courier New"/>
      <w:sz w:val="20"/>
      <w:szCs w:val="20"/>
      <w:lang w:val="en-US"/>
    </w:rPr>
  </w:style>
  <w:style w:type="character" w:customStyle="1" w:styleId="y2iqfc">
    <w:name w:val="y2iqfc"/>
    <w:basedOn w:val="Fuentedeprrafopredeter"/>
    <w:rsid w:val="002427A6"/>
  </w:style>
  <w:style w:type="character" w:customStyle="1" w:styleId="xcontentpasted0">
    <w:name w:val="x_contentpasted0"/>
    <w:basedOn w:val="Fuentedeprrafopredeter"/>
    <w:rsid w:val="0053398A"/>
  </w:style>
  <w:style w:type="character" w:customStyle="1" w:styleId="Mencinsinresolver2">
    <w:name w:val="Mención sin resolver2"/>
    <w:basedOn w:val="Fuentedeprrafopredeter"/>
    <w:uiPriority w:val="99"/>
    <w:semiHidden/>
    <w:unhideWhenUsed/>
    <w:rsid w:val="004E6CD3"/>
    <w:rPr>
      <w:color w:val="605E5C"/>
      <w:shd w:val="clear" w:color="auto" w:fill="E1DFDD"/>
    </w:rPr>
  </w:style>
  <w:style w:type="character" w:styleId="Hipervnculovisitado">
    <w:name w:val="FollowedHyperlink"/>
    <w:basedOn w:val="Fuentedeprrafopredeter"/>
    <w:uiPriority w:val="99"/>
    <w:semiHidden/>
    <w:unhideWhenUsed/>
    <w:rsid w:val="00F41817"/>
    <w:rPr>
      <w:color w:val="954F72" w:themeColor="followedHyperlink"/>
      <w:u w:val="single"/>
    </w:rPr>
  </w:style>
  <w:style w:type="character" w:customStyle="1" w:styleId="cf01">
    <w:name w:val="cf01"/>
    <w:basedOn w:val="Fuentedeprrafopredeter"/>
    <w:rsid w:val="00775BFB"/>
    <w:rPr>
      <w:rFonts w:ascii="Segoe UI" w:hAnsi="Segoe UI" w:cs="Segoe UI" w:hint="default"/>
      <w:b/>
      <w:bCs/>
      <w:sz w:val="18"/>
      <w:szCs w:val="18"/>
      <w:shd w:val="clear" w:color="auto" w:fill="FFFFFF"/>
    </w:rPr>
  </w:style>
  <w:style w:type="character" w:styleId="Mencinsinresolver">
    <w:name w:val="Unresolved Mention"/>
    <w:basedOn w:val="Fuentedeprrafopredeter"/>
    <w:uiPriority w:val="99"/>
    <w:semiHidden/>
    <w:unhideWhenUsed/>
    <w:rsid w:val="00504ADA"/>
    <w:rPr>
      <w:color w:val="605E5C"/>
      <w:shd w:val="clear" w:color="auto" w:fill="E1DFDD"/>
    </w:rPr>
  </w:style>
  <w:style w:type="paragraph" w:customStyle="1" w:styleId="pf0">
    <w:name w:val="pf0"/>
    <w:basedOn w:val="Normal"/>
    <w:rsid w:val="00067073"/>
    <w:pPr>
      <w:spacing w:before="100" w:beforeAutospacing="1" w:after="100" w:afterAutospacing="1" w:line="240" w:lineRule="auto"/>
    </w:pPr>
    <w:rPr>
      <w:rFonts w:ascii="Times New Roman" w:eastAsia="Times New Roman" w:hAnsi="Times New Roman" w:cs="Times New Roman"/>
      <w:sz w:val="24"/>
      <w:szCs w:val="24"/>
    </w:rPr>
  </w:style>
  <w:style w:type="paragraph" w:styleId="Revisin">
    <w:name w:val="Revision"/>
    <w:hidden/>
    <w:uiPriority w:val="99"/>
    <w:semiHidden/>
    <w:rsid w:val="003706B5"/>
    <w:pPr>
      <w:spacing w:after="0" w:line="240" w:lineRule="auto"/>
    </w:pPr>
  </w:style>
  <w:style w:type="paragraph" w:styleId="Textoindependiente3">
    <w:name w:val="Body Text 3"/>
    <w:basedOn w:val="Normal"/>
    <w:link w:val="Textoindependiente3Car"/>
    <w:uiPriority w:val="99"/>
    <w:semiHidden/>
    <w:unhideWhenUsed/>
    <w:rsid w:val="0043552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5526"/>
    <w:rPr>
      <w:sz w:val="16"/>
      <w:szCs w:val="16"/>
    </w:rPr>
  </w:style>
  <w:style w:type="paragraph" w:styleId="Textoindependiente">
    <w:name w:val="Body Text"/>
    <w:basedOn w:val="Normal"/>
    <w:link w:val="TextoindependienteCar"/>
    <w:uiPriority w:val="99"/>
    <w:unhideWhenUsed/>
    <w:rsid w:val="005F2A53"/>
    <w:pPr>
      <w:spacing w:after="120"/>
    </w:pPr>
  </w:style>
  <w:style w:type="character" w:customStyle="1" w:styleId="TextoindependienteCar">
    <w:name w:val="Texto independiente Car"/>
    <w:basedOn w:val="Fuentedeprrafopredeter"/>
    <w:link w:val="Textoindependiente"/>
    <w:uiPriority w:val="99"/>
    <w:rsid w:val="005F2A53"/>
  </w:style>
  <w:style w:type="paragraph" w:customStyle="1" w:styleId="msonormal0">
    <w:name w:val="msonormal"/>
    <w:basedOn w:val="Normal"/>
    <w:rsid w:val="004704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eld">
    <w:name w:val="field"/>
    <w:basedOn w:val="Fuentedeprrafopredeter"/>
    <w:rsid w:val="00417379"/>
  </w:style>
  <w:style w:type="paragraph" w:customStyle="1" w:styleId="bodytext21">
    <w:name w:val="bodytext21"/>
    <w:basedOn w:val="Normal"/>
    <w:rsid w:val="000F74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vistosa-nfasis11">
    <w:name w:val="listavistosa-nfasis11"/>
    <w:basedOn w:val="Normal"/>
    <w:rsid w:val="006F0D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Car2CarCarCarCar">
    <w:name w:val="Car Car2 Car Car Car Car"/>
    <w:basedOn w:val="Normal"/>
    <w:rsid w:val="0049270B"/>
    <w:pPr>
      <w:spacing w:line="240" w:lineRule="exact"/>
    </w:pPr>
    <w:rPr>
      <w:rFonts w:ascii="Times New Roman" w:eastAsia="Times New Roman" w:hAnsi="Times New Roman" w:cs="Times New Roman"/>
      <w:noProof/>
      <w:color w:val="000000"/>
      <w:sz w:val="20"/>
      <w:szCs w:val="20"/>
      <w:lang w:val="es-ES" w:eastAsia="es-ES"/>
    </w:rPr>
  </w:style>
  <w:style w:type="character" w:customStyle="1" w:styleId="Ttulo4Car">
    <w:name w:val="Título 4 Car"/>
    <w:basedOn w:val="Fuentedeprrafopredeter"/>
    <w:link w:val="Ttulo4"/>
    <w:uiPriority w:val="9"/>
    <w:semiHidden/>
    <w:rsid w:val="0049270B"/>
    <w:rPr>
      <w:rFonts w:asciiTheme="majorHAnsi" w:eastAsiaTheme="majorEastAsia" w:hAnsiTheme="majorHAnsi" w:cstheme="majorBidi"/>
      <w:i/>
      <w:iCs/>
      <w:color w:val="2F5496" w:themeColor="accent1" w:themeShade="BF"/>
    </w:rPr>
  </w:style>
  <w:style w:type="character" w:customStyle="1" w:styleId="hgkelc">
    <w:name w:val="hgkelc"/>
    <w:basedOn w:val="Fuentedeprrafopredeter"/>
    <w:rsid w:val="00F31725"/>
  </w:style>
  <w:style w:type="character" w:customStyle="1" w:styleId="arboldoc">
    <w:name w:val="arbol_doc"/>
    <w:basedOn w:val="Fuentedeprrafopredeter"/>
    <w:rsid w:val="00922D16"/>
  </w:style>
  <w:style w:type="character" w:customStyle="1" w:styleId="baj">
    <w:name w:val="b_aj"/>
    <w:basedOn w:val="Fuentedeprrafopredeter"/>
    <w:rsid w:val="00922D16"/>
  </w:style>
  <w:style w:type="paragraph" w:customStyle="1" w:styleId="centrado">
    <w:name w:val="centrado"/>
    <w:basedOn w:val="Normal"/>
    <w:uiPriority w:val="99"/>
    <w:rsid w:val="00D91D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xxmsolistparagraph">
    <w:name w:val="x_x_x_x_msolistparagraph"/>
    <w:basedOn w:val="Normal"/>
    <w:rsid w:val="00986B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ser-highlighted-active">
    <w:name w:val="user-highlighted-active"/>
    <w:basedOn w:val="Fuentedeprrafopredeter"/>
    <w:rsid w:val="00917364"/>
  </w:style>
  <w:style w:type="character" w:customStyle="1" w:styleId="vcitation">
    <w:name w:val="vcitation"/>
    <w:basedOn w:val="Fuentedeprrafopredeter"/>
    <w:rsid w:val="005C2AD8"/>
  </w:style>
  <w:style w:type="paragraph" w:customStyle="1" w:styleId="Sinespaciado1">
    <w:name w:val="Sin espaciado1"/>
    <w:link w:val="NoSpacingChar"/>
    <w:qFormat/>
    <w:rsid w:val="00760D6E"/>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760D6E"/>
    <w:rPr>
      <w:rFonts w:ascii="Times New Roman" w:eastAsia="Times New Roman" w:hAnsi="Times New Roman" w:cs="Times New Roman"/>
      <w:sz w:val="24"/>
      <w:szCs w:val="24"/>
      <w:lang w:val="es-ES" w:eastAsia="es-ES"/>
    </w:rPr>
  </w:style>
  <w:style w:type="paragraph" w:customStyle="1" w:styleId="SingleTxtG">
    <w:name w:val="_ Single Txt_G"/>
    <w:basedOn w:val="Normal"/>
    <w:qFormat/>
    <w:rsid w:val="002354B3"/>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Bullet1G">
    <w:name w:val="_Bullet 1_G"/>
    <w:basedOn w:val="Normal"/>
    <w:qFormat/>
    <w:rsid w:val="009D4E5B"/>
    <w:pPr>
      <w:numPr>
        <w:numId w:val="1"/>
      </w:numPr>
      <w:spacing w:after="120" w:line="240" w:lineRule="atLeast"/>
      <w:ind w:right="1134"/>
      <w:jc w:val="both"/>
    </w:pPr>
    <w:rPr>
      <w:rFonts w:ascii="Times New Roman" w:eastAsia="Times New Roman" w:hAnsi="Times New Roman" w:cs="Times New Roman"/>
      <w:sz w:val="20"/>
      <w:szCs w:val="20"/>
      <w:lang w:val="es-ES"/>
    </w:rPr>
  </w:style>
  <w:style w:type="paragraph" w:styleId="Lista2">
    <w:name w:val="List 2"/>
    <w:basedOn w:val="Normal"/>
    <w:uiPriority w:val="99"/>
    <w:unhideWhenUsed/>
    <w:rsid w:val="00DB03DD"/>
    <w:pPr>
      <w:ind w:left="566" w:hanging="283"/>
      <w:contextualSpacing/>
    </w:pPr>
  </w:style>
  <w:style w:type="paragraph" w:styleId="Cierre">
    <w:name w:val="Closing"/>
    <w:basedOn w:val="Normal"/>
    <w:link w:val="CierreCar"/>
    <w:uiPriority w:val="99"/>
    <w:unhideWhenUsed/>
    <w:rsid w:val="00DB03DD"/>
    <w:pPr>
      <w:spacing w:after="0" w:line="240" w:lineRule="auto"/>
      <w:ind w:left="4252"/>
    </w:pPr>
  </w:style>
  <w:style w:type="character" w:customStyle="1" w:styleId="CierreCar">
    <w:name w:val="Cierre Car"/>
    <w:basedOn w:val="Fuentedeprrafopredeter"/>
    <w:link w:val="Cierre"/>
    <w:uiPriority w:val="99"/>
    <w:rsid w:val="00DB03DD"/>
  </w:style>
  <w:style w:type="paragraph" w:styleId="Descripcin">
    <w:name w:val="caption"/>
    <w:basedOn w:val="Normal"/>
    <w:next w:val="Normal"/>
    <w:uiPriority w:val="35"/>
    <w:unhideWhenUsed/>
    <w:qFormat/>
    <w:rsid w:val="00DB03DD"/>
    <w:pPr>
      <w:spacing w:after="200" w:line="240" w:lineRule="auto"/>
    </w:pPr>
    <w:rPr>
      <w:i/>
      <w:iCs/>
      <w:color w:val="44546A" w:themeColor="text2"/>
      <w:sz w:val="18"/>
      <w:szCs w:val="18"/>
    </w:rPr>
  </w:style>
  <w:style w:type="paragraph" w:styleId="Sangradetextonormal">
    <w:name w:val="Body Text Indent"/>
    <w:basedOn w:val="Normal"/>
    <w:link w:val="SangradetextonormalCar"/>
    <w:uiPriority w:val="99"/>
    <w:semiHidden/>
    <w:unhideWhenUsed/>
    <w:rsid w:val="00DB03DD"/>
    <w:pPr>
      <w:spacing w:after="120"/>
      <w:ind w:left="283"/>
    </w:pPr>
  </w:style>
  <w:style w:type="character" w:customStyle="1" w:styleId="SangradetextonormalCar">
    <w:name w:val="Sangría de texto normal Car"/>
    <w:basedOn w:val="Fuentedeprrafopredeter"/>
    <w:link w:val="Sangradetextonormal"/>
    <w:uiPriority w:val="99"/>
    <w:semiHidden/>
    <w:rsid w:val="00DB03DD"/>
  </w:style>
  <w:style w:type="paragraph" w:styleId="Textoindependienteprimerasangra2">
    <w:name w:val="Body Text First Indent 2"/>
    <w:basedOn w:val="Sangradetextonormal"/>
    <w:link w:val="Textoindependienteprimerasangra2Car"/>
    <w:uiPriority w:val="99"/>
    <w:unhideWhenUsed/>
    <w:rsid w:val="00DB03D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B03DD"/>
  </w:style>
  <w:style w:type="paragraph" w:customStyle="1" w:styleId="Default">
    <w:name w:val="Default"/>
    <w:rsid w:val="00174F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Paragraph3">
    <w:name w:val="List Paragraph3"/>
    <w:basedOn w:val="Normal"/>
    <w:rsid w:val="005E7046"/>
    <w:pPr>
      <w:spacing w:before="100" w:beforeAutospacing="1" w:after="100" w:afterAutospacing="1" w:line="240" w:lineRule="auto"/>
      <w:contextualSpacing/>
      <w:jc w:val="both"/>
    </w:pPr>
    <w:rPr>
      <w:rFonts w:ascii="Times New Roman" w:eastAsia="Times New Roman" w:hAnsi="Times New Roman" w:cs="Times New Roman"/>
      <w:sz w:val="24"/>
      <w:szCs w:val="24"/>
    </w:rPr>
  </w:style>
  <w:style w:type="character" w:customStyle="1" w:styleId="15">
    <w:name w:val="15"/>
    <w:basedOn w:val="Fuentedeprrafopredeter"/>
    <w:rsid w:val="005E7046"/>
    <w:rPr>
      <w:rFonts w:ascii="Calibri" w:hAnsi="Calibri" w:cs="Calibri" w:hint="default"/>
    </w:rPr>
  </w:style>
  <w:style w:type="character" w:customStyle="1" w:styleId="normaltextrun">
    <w:name w:val="normaltextrun"/>
    <w:basedOn w:val="Fuentedeprrafopredeter"/>
    <w:rsid w:val="00A73AEB"/>
  </w:style>
  <w:style w:type="paragraph" w:customStyle="1" w:styleId="paragraph">
    <w:name w:val="paragraph"/>
    <w:basedOn w:val="Normal"/>
    <w:rsid w:val="00606C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Fuentedeprrafopredeter"/>
    <w:rsid w:val="00606C5D"/>
  </w:style>
  <w:style w:type="paragraph" w:styleId="Textosinformato">
    <w:name w:val="Plain Text"/>
    <w:basedOn w:val="Normal"/>
    <w:link w:val="TextosinformatoCar"/>
    <w:uiPriority w:val="99"/>
    <w:semiHidden/>
    <w:unhideWhenUsed/>
    <w:rsid w:val="00EE0E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sinformatoCar">
    <w:name w:val="Texto sin formato Car"/>
    <w:basedOn w:val="Fuentedeprrafopredeter"/>
    <w:link w:val="Textosinformato"/>
    <w:uiPriority w:val="99"/>
    <w:semiHidden/>
    <w:rsid w:val="00EE0EA0"/>
    <w:rPr>
      <w:rFonts w:ascii="Times New Roman" w:eastAsia="Times New Roman" w:hAnsi="Times New Roman" w:cs="Times New Roman"/>
      <w:sz w:val="24"/>
      <w:szCs w:val="24"/>
      <w:lang w:eastAsia="es-CO"/>
    </w:rPr>
  </w:style>
  <w:style w:type="paragraph" w:customStyle="1" w:styleId="list-group-item">
    <w:name w:val="list-group-item"/>
    <w:basedOn w:val="Normal"/>
    <w:rsid w:val="00D079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df-link">
    <w:name w:val="pdf-link"/>
    <w:basedOn w:val="Fuentedeprrafopredeter"/>
    <w:rsid w:val="00A16F96"/>
  </w:style>
  <w:style w:type="character" w:customStyle="1" w:styleId="Ttulo3Car">
    <w:name w:val="Título 3 Car"/>
    <w:basedOn w:val="Fuentedeprrafopredeter"/>
    <w:link w:val="Ttulo3"/>
    <w:uiPriority w:val="9"/>
    <w:semiHidden/>
    <w:rsid w:val="008315A5"/>
    <w:rPr>
      <w:rFonts w:eastAsiaTheme="majorEastAsia" w:cstheme="majorBidi"/>
      <w:color w:val="2F5496" w:themeColor="accent1" w:themeShade="BF"/>
      <w:sz w:val="28"/>
      <w:szCs w:val="28"/>
    </w:rPr>
  </w:style>
  <w:style w:type="character" w:customStyle="1" w:styleId="Ttulo6Car">
    <w:name w:val="Título 6 Car"/>
    <w:basedOn w:val="Fuentedeprrafopredeter"/>
    <w:link w:val="Ttulo6"/>
    <w:uiPriority w:val="9"/>
    <w:semiHidden/>
    <w:rsid w:val="008315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15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15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15A5"/>
    <w:rPr>
      <w:rFonts w:eastAsiaTheme="majorEastAsia" w:cstheme="majorBidi"/>
      <w:color w:val="272727" w:themeColor="text1" w:themeTint="D8"/>
    </w:rPr>
  </w:style>
  <w:style w:type="paragraph" w:styleId="Ttulo">
    <w:name w:val="Title"/>
    <w:basedOn w:val="Normal"/>
    <w:next w:val="Normal"/>
    <w:link w:val="TtuloCar"/>
    <w:uiPriority w:val="10"/>
    <w:qFormat/>
    <w:rsid w:val="008315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15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15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15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15A5"/>
    <w:pPr>
      <w:spacing w:before="160"/>
      <w:jc w:val="center"/>
    </w:pPr>
    <w:rPr>
      <w:i/>
      <w:iCs/>
      <w:color w:val="404040" w:themeColor="text1" w:themeTint="BF"/>
    </w:rPr>
  </w:style>
  <w:style w:type="character" w:customStyle="1" w:styleId="CitaCar">
    <w:name w:val="Cita Car"/>
    <w:basedOn w:val="Fuentedeprrafopredeter"/>
    <w:link w:val="Cita"/>
    <w:uiPriority w:val="29"/>
    <w:rsid w:val="008315A5"/>
    <w:rPr>
      <w:i/>
      <w:iCs/>
      <w:color w:val="404040" w:themeColor="text1" w:themeTint="BF"/>
    </w:rPr>
  </w:style>
  <w:style w:type="character" w:styleId="nfasisintenso">
    <w:name w:val="Intense Emphasis"/>
    <w:basedOn w:val="Fuentedeprrafopredeter"/>
    <w:uiPriority w:val="21"/>
    <w:qFormat/>
    <w:rsid w:val="008315A5"/>
    <w:rPr>
      <w:i/>
      <w:iCs/>
      <w:color w:val="2F5496" w:themeColor="accent1" w:themeShade="BF"/>
    </w:rPr>
  </w:style>
  <w:style w:type="paragraph" w:styleId="Citadestacada">
    <w:name w:val="Intense Quote"/>
    <w:basedOn w:val="Normal"/>
    <w:next w:val="Normal"/>
    <w:link w:val="CitadestacadaCar"/>
    <w:uiPriority w:val="30"/>
    <w:qFormat/>
    <w:rsid w:val="008315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315A5"/>
    <w:rPr>
      <w:i/>
      <w:iCs/>
      <w:color w:val="2F5496" w:themeColor="accent1" w:themeShade="BF"/>
    </w:rPr>
  </w:style>
  <w:style w:type="character" w:styleId="Referenciaintensa">
    <w:name w:val="Intense Reference"/>
    <w:basedOn w:val="Fuentedeprrafopredeter"/>
    <w:uiPriority w:val="32"/>
    <w:qFormat/>
    <w:rsid w:val="008315A5"/>
    <w:rPr>
      <w:b/>
      <w:bCs/>
      <w:smallCaps/>
      <w:color w:val="2F5496" w:themeColor="accent1" w:themeShade="BF"/>
      <w:spacing w:val="5"/>
    </w:rPr>
  </w:style>
  <w:style w:type="table" w:styleId="Tabladelista3-nfasis1">
    <w:name w:val="List Table 3 Accent 1"/>
    <w:basedOn w:val="Tablanormal"/>
    <w:uiPriority w:val="48"/>
    <w:rsid w:val="00072917"/>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7concolores-nfasis1">
    <w:name w:val="List Table 7 Colorful Accent 1"/>
    <w:basedOn w:val="Tablanormal"/>
    <w:uiPriority w:val="52"/>
    <w:rsid w:val="005D1E8A"/>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1">
    <w:name w:val="p1"/>
    <w:basedOn w:val="Normal"/>
    <w:rsid w:val="00C75472"/>
    <w:pPr>
      <w:spacing w:after="0" w:line="240" w:lineRule="auto"/>
    </w:pPr>
    <w:rPr>
      <w:rFonts w:ascii="Helvetica" w:eastAsia="Times New Roman" w:hAnsi="Helvetica" w:cs="Times New Roman"/>
      <w:color w:val="000000"/>
      <w:sz w:val="18"/>
      <w:szCs w:val="18"/>
      <w:lang w:val="es-419" w:eastAsia="es-MX"/>
    </w:rPr>
  </w:style>
  <w:style w:type="paragraph" w:customStyle="1" w:styleId="p2">
    <w:name w:val="p2"/>
    <w:basedOn w:val="Normal"/>
    <w:rsid w:val="00461517"/>
    <w:pPr>
      <w:spacing w:after="0" w:line="240" w:lineRule="auto"/>
    </w:pPr>
    <w:rPr>
      <w:rFonts w:ascii="Helvetica" w:eastAsia="Times New Roman" w:hAnsi="Helvetica" w:cs="Times New Roman"/>
      <w:color w:val="000000"/>
      <w:sz w:val="18"/>
      <w:szCs w:val="18"/>
      <w:lang w:val="es-419" w:eastAsia="es-MX"/>
    </w:rPr>
  </w:style>
  <w:style w:type="character" w:customStyle="1" w:styleId="s1">
    <w:name w:val="s1"/>
    <w:basedOn w:val="Fuentedeprrafopredeter"/>
    <w:rsid w:val="00461517"/>
    <w:rPr>
      <w:rFonts w:ascii="Arial" w:hAnsi="Arial" w:cs="Arial" w:hint="default"/>
      <w:sz w:val="18"/>
      <w:szCs w:val="18"/>
    </w:rPr>
  </w:style>
  <w:style w:type="character" w:customStyle="1" w:styleId="s2">
    <w:name w:val="s2"/>
    <w:basedOn w:val="Fuentedeprrafopredeter"/>
    <w:rsid w:val="00212BA2"/>
    <w:rPr>
      <w:rFonts w:ascii="Times New Roman" w:hAnsi="Times New Roman" w:cs="Times New Roman"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142_1994_pr004.html" TargetMode="External"/><Relationship Id="rId13" Type="http://schemas.openxmlformats.org/officeDocument/2006/relationships/hyperlink" Target="http://www.secretariasenado.gov.co/senado/basedoc/ley_0143_1994.html" TargetMode="External"/><Relationship Id="rId18"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www.secretariasenado.gov.co/senado/basedoc/ley_0142_1994_pr004.html" TargetMode="External"/><Relationship Id="rId17"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0143_1994.html" TargetMode="External"/><Relationship Id="rId5" Type="http://schemas.openxmlformats.org/officeDocument/2006/relationships/footnotes" Target="footnotes.xml"/><Relationship Id="rId15" Type="http://schemas.openxmlformats.org/officeDocument/2006/relationships/diagramLayout" Target="diagrams/layout1.xml"/><Relationship Id="rId10" Type="http://schemas.openxmlformats.org/officeDocument/2006/relationships/hyperlink" Target="http://www.secretariasenado.gov.co/senado/basedoc/ley_0142_1994_pr004.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cretariasenado.gov.co/senado/basedoc/ley_0143_1994.html" TargetMode="External"/><Relationship Id="rId14" Type="http://schemas.openxmlformats.org/officeDocument/2006/relationships/diagramData" Target="diagrams/data1.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xu50IxkEHww" TargetMode="External"/><Relationship Id="rId3" Type="http://schemas.openxmlformats.org/officeDocument/2006/relationships/hyperlink" Target="http://secretariasenado.gov.co/senado/basedoc/codigo_comercio_pr007.html" TargetMode="External"/><Relationship Id="rId7" Type="http://schemas.openxmlformats.org/officeDocument/2006/relationships/hyperlink" Target="https://www.youtube.com/watch?v=jmxD05SRgoM" TargetMode="External"/><Relationship Id="rId2" Type="http://schemas.openxmlformats.org/officeDocument/2006/relationships/hyperlink" Target="http://secretariasenado.gov.co/senado/basedoc/ley_1955_2019_pr006.html" TargetMode="External"/><Relationship Id="rId1" Type="http://schemas.openxmlformats.org/officeDocument/2006/relationships/hyperlink" Target="https://www.corteconstitucional.gov.co/secretaria/archivo.php?id=78169" TargetMode="External"/><Relationship Id="rId6" Type="http://schemas.openxmlformats.org/officeDocument/2006/relationships/hyperlink" Target="https://isaasprods-d87a26cb809c1f43d1f1-endpoint.azureedge.net/blobisaasprods27f2ae9b77/wp-content/uploads/2025/09/certificado-representacion.legal-isa-2025.pdf" TargetMode="External"/><Relationship Id="rId11" Type="http://schemas.openxmlformats.org/officeDocument/2006/relationships/hyperlink" Target="https://colaboracion.dnp.gov.co/CDT/portalDNP/PND-2023/2023-05-04-plan-plurianual-de-inversiones-2023-2026.pdf" TargetMode="External"/><Relationship Id="rId5" Type="http://schemas.openxmlformats.org/officeDocument/2006/relationships/hyperlink" Target="https://www.isa.co/es/nosotros/estructura-societaria/" TargetMode="External"/><Relationship Id="rId10" Type="http://schemas.openxmlformats.org/officeDocument/2006/relationships/hyperlink" Target="https://www.youtube.com/watch?v=-17GnF1C5eA" TargetMode="External"/><Relationship Id="rId4" Type="http://schemas.openxmlformats.org/officeDocument/2006/relationships/hyperlink" Target="http://secretariasenado.gov.co/senado/basedoc/decreto_2153_1992.html" TargetMode="External"/><Relationship Id="rId9" Type="http://schemas.openxmlformats.org/officeDocument/2006/relationships/hyperlink" Target="https://www.youtube.com/watch?v=-17GnF1C5eA"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0F5138-F06C-4F95-B17F-451FA48B4511}"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s-CO"/>
        </a:p>
      </dgm:t>
    </dgm:pt>
    <dgm:pt modelId="{EC394C3D-0A53-48AC-95AC-BCD79B4B4C48}">
      <dgm:prSet phldrT="[Texto]" phldr="0" custT="1"/>
      <dgm:spPr/>
      <dgm:t>
        <a:bodyPr/>
        <a:lstStyle/>
        <a:p>
          <a:pPr algn="just"/>
          <a:r>
            <a:rPr lang="es-CO" sz="1100" dirty="0">
              <a:latin typeface="Times New Roman" panose="02020603050405020304" pitchFamily="18" charset="0"/>
              <a:cs typeface="Times New Roman" panose="02020603050405020304" pitchFamily="18" charset="0"/>
            </a:rPr>
            <a:t>Redacción original: disponía que las empresas constituidas después de la entrada en vigencia de la Ley 143 de 1994 y que hicieren parte del Sistema Interconectado Nacional (SIN), no podrán tener más actividades relacionadas. Excepción: comercialización combinada con generación y distribución.</a:t>
          </a:r>
        </a:p>
      </dgm:t>
    </dgm:pt>
    <dgm:pt modelId="{B5863F66-5150-47ED-B2DA-399DD2EF73C4}" type="parTrans" cxnId="{EFC9DDFA-EF53-4A0F-B38A-4BE183C411D8}">
      <dgm:prSet/>
      <dgm:spPr/>
      <dgm:t>
        <a:bodyPr/>
        <a:lstStyle/>
        <a:p>
          <a:endParaRPr lang="es-CO"/>
        </a:p>
      </dgm:t>
    </dgm:pt>
    <dgm:pt modelId="{33489067-DDB3-4F5A-A690-80DC9DB172AB}" type="sibTrans" cxnId="{EFC9DDFA-EF53-4A0F-B38A-4BE183C411D8}">
      <dgm:prSet/>
      <dgm:spPr/>
      <dgm:t>
        <a:bodyPr/>
        <a:lstStyle/>
        <a:p>
          <a:endParaRPr lang="es-CO"/>
        </a:p>
      </dgm:t>
    </dgm:pt>
    <dgm:pt modelId="{01FB2D58-71D4-43DF-99D4-0662F9E553E3}">
      <dgm:prSet phldrT="[Texto]" phldr="0" custT="1"/>
      <dgm:spPr/>
      <dgm:t>
        <a:bodyPr/>
        <a:lstStyle/>
        <a:p>
          <a:pPr algn="just"/>
          <a:r>
            <a:rPr lang="es-CO" sz="1100" dirty="0">
              <a:latin typeface="Times New Roman" panose="02020603050405020304" pitchFamily="18" charset="0"/>
              <a:cs typeface="Times New Roman" panose="02020603050405020304" pitchFamily="18" charset="0"/>
            </a:rPr>
            <a:t>Modificación introducida con la Ley 1955 de 2019 (ley del plan de desarrollo) y texto vigente: las empresas de servicios públicos domiciliarios cuyo objeto sea la prestación del servicio de energía eléctrica y que hagan parte del SIN podrán integrarse a la </a:t>
          </a:r>
          <a:r>
            <a:rPr lang="es-MX" sz="1100" b="0" i="0" dirty="0">
              <a:latin typeface="Times New Roman" panose="02020603050405020304" pitchFamily="18" charset="0"/>
              <a:cs typeface="Times New Roman" panose="02020603050405020304" pitchFamily="18" charset="0"/>
            </a:rPr>
            <a:t>generación, distribución y comercialización de energía. La CREG regulará lo pertinente en materia de competencia y conflictos de interés. Se fija la restricción porcentual de incidencia en el mercado (40%). </a:t>
          </a:r>
          <a:endParaRPr lang="es-CO" sz="1100" dirty="0">
            <a:latin typeface="Times New Roman" panose="02020603050405020304" pitchFamily="18" charset="0"/>
            <a:cs typeface="Times New Roman" panose="02020603050405020304" pitchFamily="18" charset="0"/>
          </a:endParaRPr>
        </a:p>
      </dgm:t>
    </dgm:pt>
    <dgm:pt modelId="{B6516229-170F-48A1-878F-9F31590FF96D}" type="parTrans" cxnId="{DBC080D6-E610-4A28-9CDD-E440A3D7E913}">
      <dgm:prSet/>
      <dgm:spPr/>
      <dgm:t>
        <a:bodyPr/>
        <a:lstStyle/>
        <a:p>
          <a:endParaRPr lang="es-CO"/>
        </a:p>
      </dgm:t>
    </dgm:pt>
    <dgm:pt modelId="{33D0527A-4757-4517-A07E-44C715A9D061}" type="sibTrans" cxnId="{DBC080D6-E610-4A28-9CDD-E440A3D7E913}">
      <dgm:prSet/>
      <dgm:spPr/>
      <dgm:t>
        <a:bodyPr/>
        <a:lstStyle/>
        <a:p>
          <a:endParaRPr lang="es-CO"/>
        </a:p>
      </dgm:t>
    </dgm:pt>
    <dgm:pt modelId="{DB595D0B-99C9-4DE8-AE2D-0CAC7C4C29C7}">
      <dgm:prSet phldrT="[Texto]" phldr="0" custT="1"/>
      <dgm:spPr/>
      <dgm:t>
        <a:bodyPr/>
        <a:lstStyle/>
        <a:p>
          <a:pPr algn="just"/>
          <a:r>
            <a:rPr lang="es-CO" sz="1100" dirty="0">
              <a:latin typeface="Times New Roman" panose="02020603050405020304" pitchFamily="18" charset="0"/>
              <a:cs typeface="Times New Roman" panose="02020603050405020304" pitchFamily="18" charset="0"/>
            </a:rPr>
            <a:t>Modificación del artículo 197/218 (proyecto de ley del plan, Gacetas 18, 180 y 274 de 2023): el proyecto de ley del plan presentado por el Gobierno nacional al Congreso de la República contenía una modificación al artículo 74 de la Ley 143 según la cual las empresas de servicios públicos domiciliarios de energía eléctrica podrán integrarse a la generación, transmisión, distribución y comercialización de energía, y a las nuevas actividades que la CREG cree o asimile. Las actividades integradas de generación y transmisión solo se permitirían si la energía se genera a partir de FNCER, salvo que se trate de empresas que ejercen la generación y transmisión desde antes de 1994. </a:t>
          </a:r>
        </a:p>
        <a:p>
          <a:pPr algn="just"/>
          <a:r>
            <a:rPr lang="es-CO" sz="1100" dirty="0">
              <a:latin typeface="Times New Roman" panose="02020603050405020304" pitchFamily="18" charset="0"/>
              <a:cs typeface="Times New Roman" panose="02020603050405020304" pitchFamily="18" charset="0"/>
            </a:rPr>
            <a:t>Mantiene en la CREG la competencia para regular el mercado y mantiene restricción del 40%.</a:t>
          </a:r>
        </a:p>
      </dgm:t>
    </dgm:pt>
    <dgm:pt modelId="{D8C387B1-A46D-4A72-9CED-7A5C4A831641}" type="parTrans" cxnId="{91C3BFC9-5703-4DF2-9883-176015B5E156}">
      <dgm:prSet/>
      <dgm:spPr/>
      <dgm:t>
        <a:bodyPr/>
        <a:lstStyle/>
        <a:p>
          <a:endParaRPr lang="es-CO"/>
        </a:p>
      </dgm:t>
    </dgm:pt>
    <dgm:pt modelId="{0EA810FE-23DD-42A2-B65F-2599BA247D8C}" type="sibTrans" cxnId="{91C3BFC9-5703-4DF2-9883-176015B5E156}">
      <dgm:prSet/>
      <dgm:spPr/>
      <dgm:t>
        <a:bodyPr/>
        <a:lstStyle/>
        <a:p>
          <a:endParaRPr lang="es-CO"/>
        </a:p>
      </dgm:t>
    </dgm:pt>
    <dgm:pt modelId="{8491C7DC-ED36-477F-8E7F-AC1037F7BEC2}" type="pres">
      <dgm:prSet presAssocID="{D40F5138-F06C-4F95-B17F-451FA48B4511}" presName="Name0" presStyleCnt="0">
        <dgm:presLayoutVars>
          <dgm:dir/>
          <dgm:resizeHandles val="exact"/>
        </dgm:presLayoutVars>
      </dgm:prSet>
      <dgm:spPr/>
    </dgm:pt>
    <dgm:pt modelId="{D0202CE8-BA78-4734-9635-3D8F75C7B31E}" type="pres">
      <dgm:prSet presAssocID="{EC394C3D-0A53-48AC-95AC-BCD79B4B4C48}" presName="composite" presStyleCnt="0"/>
      <dgm:spPr/>
    </dgm:pt>
    <dgm:pt modelId="{5C42123B-A3D2-4A8F-BCCE-F267DED3362A}" type="pres">
      <dgm:prSet presAssocID="{EC394C3D-0A53-48AC-95AC-BCD79B4B4C48}" presName="rect1" presStyleLbl="trAlignAcc1" presStyleIdx="0" presStyleCnt="3" custScaleX="120188" custScaleY="87454">
        <dgm:presLayoutVars>
          <dgm:bulletEnabled val="1"/>
        </dgm:presLayoutVars>
      </dgm:prSet>
      <dgm:spPr/>
    </dgm:pt>
    <dgm:pt modelId="{A3653118-E40A-4CCD-A8AF-39555CB2BCFC}" type="pres">
      <dgm:prSet presAssocID="{EC394C3D-0A53-48AC-95AC-BCD79B4B4C48}" presName="rect2" presStyleLbl="fgImgPlace1" presStyleIdx="0" presStyleCnt="3" custScaleX="55572" custScaleY="54568" custLinFactNeighborX="-59258" custLinFactNeighborY="-15305"/>
      <dgm:spPr>
        <a:blipFill>
          <a:blip xmlns:r="http://schemas.openxmlformats.org/officeDocument/2006/relationships">
            <a:extLst/>
          </a:blip>
          <a:srcRect/>
          <a:stretch>
            <a:fillRect l="-25000" r="-25000"/>
          </a:stretch>
        </a:blipFill>
      </dgm:spPr>
      <dgm:extLst>
        <a:ext uri="{E40237B7-FDA0-4F09-8148-C483321AD2D9}">
          <dgm14:cNvPr xmlns:dgm14="http://schemas.microsoft.com/office/drawing/2010/diagram" id="0" name="" descr="Insignia 1 con relleno sólido"/>
        </a:ext>
      </dgm:extLst>
    </dgm:pt>
    <dgm:pt modelId="{66964C41-D4C6-49F0-A149-E8BFA324B094}" type="pres">
      <dgm:prSet presAssocID="{33489067-DDB3-4F5A-A690-80DC9DB172AB}" presName="sibTrans" presStyleCnt="0"/>
      <dgm:spPr/>
    </dgm:pt>
    <dgm:pt modelId="{3B840FBB-358E-4B03-BFD1-1AF1D5B1F469}" type="pres">
      <dgm:prSet presAssocID="{01FB2D58-71D4-43DF-99D4-0662F9E553E3}" presName="composite" presStyleCnt="0"/>
      <dgm:spPr/>
    </dgm:pt>
    <dgm:pt modelId="{C5075EC7-65F6-42A9-AB8C-8D0154458889}" type="pres">
      <dgm:prSet presAssocID="{01FB2D58-71D4-43DF-99D4-0662F9E553E3}" presName="rect1" presStyleLbl="trAlignAcc1" presStyleIdx="1" presStyleCnt="3" custScaleX="120933" custLinFactNeighborX="238" custLinFactNeighborY="2338">
        <dgm:presLayoutVars>
          <dgm:bulletEnabled val="1"/>
        </dgm:presLayoutVars>
      </dgm:prSet>
      <dgm:spPr/>
    </dgm:pt>
    <dgm:pt modelId="{3F90653E-29B4-4DDD-892F-E552D2AFE309}" type="pres">
      <dgm:prSet presAssocID="{01FB2D58-71D4-43DF-99D4-0662F9E553E3}" presName="rect2" presStyleLbl="fgImgPlace1" presStyleIdx="1" presStyleCnt="3" custScaleX="55572" custScaleY="54568" custLinFactNeighborX="-62342" custLinFactNeighborY="-23466"/>
      <dgm:spPr>
        <a:blipFill>
          <a:blip xmlns:r="http://schemas.openxmlformats.org/officeDocument/2006/relationships">
            <a:extLst/>
          </a:blip>
          <a:srcRect/>
          <a:stretch>
            <a:fillRect l="-25000" r="-25000"/>
          </a:stretch>
        </a:blipFill>
      </dgm:spPr>
      <dgm:extLst>
        <a:ext uri="{E40237B7-FDA0-4F09-8148-C483321AD2D9}">
          <dgm14:cNvPr xmlns:dgm14="http://schemas.microsoft.com/office/drawing/2010/diagram" id="0" name="" descr="Insignia con relleno sólido"/>
        </a:ext>
      </dgm:extLst>
    </dgm:pt>
    <dgm:pt modelId="{D2C4E0D1-CECF-422E-B42D-97632990A5F7}" type="pres">
      <dgm:prSet presAssocID="{33D0527A-4757-4517-A07E-44C715A9D061}" presName="sibTrans" presStyleCnt="0"/>
      <dgm:spPr/>
    </dgm:pt>
    <dgm:pt modelId="{711F3378-BC53-4183-AC5E-7B0713745AEE}" type="pres">
      <dgm:prSet presAssocID="{DB595D0B-99C9-4DE8-AE2D-0CAC7C4C29C7}" presName="composite" presStyleCnt="0"/>
      <dgm:spPr/>
    </dgm:pt>
    <dgm:pt modelId="{866A2081-8DC3-4D5D-89D3-6D319FB2E895}" type="pres">
      <dgm:prSet presAssocID="{DB595D0B-99C9-4DE8-AE2D-0CAC7C4C29C7}" presName="rect1" presStyleLbl="trAlignAcc1" presStyleIdx="2" presStyleCnt="3" custScaleX="120836" custScaleY="135218" custLinFactNeighborX="316" custLinFactNeighborY="4587">
        <dgm:presLayoutVars>
          <dgm:bulletEnabled val="1"/>
        </dgm:presLayoutVars>
      </dgm:prSet>
      <dgm:spPr/>
    </dgm:pt>
    <dgm:pt modelId="{72CE69B9-4D47-41B2-9FB4-86385C9A31FE}" type="pres">
      <dgm:prSet presAssocID="{DB595D0B-99C9-4DE8-AE2D-0CAC7C4C29C7}" presName="rect2" presStyleLbl="fgImgPlace1" presStyleIdx="2" presStyleCnt="3" custScaleX="55572" custScaleY="54568" custLinFactNeighborX="-65488" custLinFactNeighborY="-35367"/>
      <dgm:spPr>
        <a:blipFill>
          <a:blip xmlns:r="http://schemas.openxmlformats.org/officeDocument/2006/relationships">
            <a:extLst/>
          </a:blip>
          <a:srcRect/>
          <a:stretch>
            <a:fillRect l="-25000" r="-25000"/>
          </a:stretch>
        </a:blipFill>
      </dgm:spPr>
      <dgm:extLst>
        <a:ext uri="{E40237B7-FDA0-4F09-8148-C483321AD2D9}">
          <dgm14:cNvPr xmlns:dgm14="http://schemas.microsoft.com/office/drawing/2010/diagram" id="0" name="" descr="Insignia 3 con relleno sólido"/>
        </a:ext>
      </dgm:extLst>
    </dgm:pt>
  </dgm:ptLst>
  <dgm:cxnLst>
    <dgm:cxn modelId="{EA3F3F6D-8F1D-4097-9C78-9367D3D14E09}" type="presOf" srcId="{EC394C3D-0A53-48AC-95AC-BCD79B4B4C48}" destId="{5C42123B-A3D2-4A8F-BCCE-F267DED3362A}" srcOrd="0" destOrd="0" presId="urn:microsoft.com/office/officeart/2008/layout/PictureStrips"/>
    <dgm:cxn modelId="{5C255C78-3213-4A78-A3AA-C57521994D80}" type="presOf" srcId="{D40F5138-F06C-4F95-B17F-451FA48B4511}" destId="{8491C7DC-ED36-477F-8E7F-AC1037F7BEC2}" srcOrd="0" destOrd="0" presId="urn:microsoft.com/office/officeart/2008/layout/PictureStrips"/>
    <dgm:cxn modelId="{B3807A87-05A0-46AD-9890-1D1E4F4563EF}" type="presOf" srcId="{DB595D0B-99C9-4DE8-AE2D-0CAC7C4C29C7}" destId="{866A2081-8DC3-4D5D-89D3-6D319FB2E895}" srcOrd="0" destOrd="0" presId="urn:microsoft.com/office/officeart/2008/layout/PictureStrips"/>
    <dgm:cxn modelId="{91C3BFC9-5703-4DF2-9883-176015B5E156}" srcId="{D40F5138-F06C-4F95-B17F-451FA48B4511}" destId="{DB595D0B-99C9-4DE8-AE2D-0CAC7C4C29C7}" srcOrd="2" destOrd="0" parTransId="{D8C387B1-A46D-4A72-9CED-7A5C4A831641}" sibTransId="{0EA810FE-23DD-42A2-B65F-2599BA247D8C}"/>
    <dgm:cxn modelId="{DBC080D6-E610-4A28-9CDD-E440A3D7E913}" srcId="{D40F5138-F06C-4F95-B17F-451FA48B4511}" destId="{01FB2D58-71D4-43DF-99D4-0662F9E553E3}" srcOrd="1" destOrd="0" parTransId="{B6516229-170F-48A1-878F-9F31590FF96D}" sibTransId="{33D0527A-4757-4517-A07E-44C715A9D061}"/>
    <dgm:cxn modelId="{09C2DAE0-6695-4692-A1D4-A73B340778CB}" type="presOf" srcId="{01FB2D58-71D4-43DF-99D4-0662F9E553E3}" destId="{C5075EC7-65F6-42A9-AB8C-8D0154458889}" srcOrd="0" destOrd="0" presId="urn:microsoft.com/office/officeart/2008/layout/PictureStrips"/>
    <dgm:cxn modelId="{EFC9DDFA-EF53-4A0F-B38A-4BE183C411D8}" srcId="{D40F5138-F06C-4F95-B17F-451FA48B4511}" destId="{EC394C3D-0A53-48AC-95AC-BCD79B4B4C48}" srcOrd="0" destOrd="0" parTransId="{B5863F66-5150-47ED-B2DA-399DD2EF73C4}" sibTransId="{33489067-DDB3-4F5A-A690-80DC9DB172AB}"/>
    <dgm:cxn modelId="{AE07AB58-DEB1-4ED9-AABF-68E1CBB7D695}" type="presParOf" srcId="{8491C7DC-ED36-477F-8E7F-AC1037F7BEC2}" destId="{D0202CE8-BA78-4734-9635-3D8F75C7B31E}" srcOrd="0" destOrd="0" presId="urn:microsoft.com/office/officeart/2008/layout/PictureStrips"/>
    <dgm:cxn modelId="{2415AFE6-5003-45DB-85F4-B6FC6D71CE97}" type="presParOf" srcId="{D0202CE8-BA78-4734-9635-3D8F75C7B31E}" destId="{5C42123B-A3D2-4A8F-BCCE-F267DED3362A}" srcOrd="0" destOrd="0" presId="urn:microsoft.com/office/officeart/2008/layout/PictureStrips"/>
    <dgm:cxn modelId="{8017FAA0-D534-4A95-9076-2B673EC7AC99}" type="presParOf" srcId="{D0202CE8-BA78-4734-9635-3D8F75C7B31E}" destId="{A3653118-E40A-4CCD-A8AF-39555CB2BCFC}" srcOrd="1" destOrd="0" presId="urn:microsoft.com/office/officeart/2008/layout/PictureStrips"/>
    <dgm:cxn modelId="{EE6036CB-4370-4115-BE60-09EBA0BB3149}" type="presParOf" srcId="{8491C7DC-ED36-477F-8E7F-AC1037F7BEC2}" destId="{66964C41-D4C6-49F0-A149-E8BFA324B094}" srcOrd="1" destOrd="0" presId="urn:microsoft.com/office/officeart/2008/layout/PictureStrips"/>
    <dgm:cxn modelId="{46A4CDB9-0F06-4A72-A6C7-EF7DB8C81592}" type="presParOf" srcId="{8491C7DC-ED36-477F-8E7F-AC1037F7BEC2}" destId="{3B840FBB-358E-4B03-BFD1-1AF1D5B1F469}" srcOrd="2" destOrd="0" presId="urn:microsoft.com/office/officeart/2008/layout/PictureStrips"/>
    <dgm:cxn modelId="{585B87FA-B650-44EB-A023-B3B019789188}" type="presParOf" srcId="{3B840FBB-358E-4B03-BFD1-1AF1D5B1F469}" destId="{C5075EC7-65F6-42A9-AB8C-8D0154458889}" srcOrd="0" destOrd="0" presId="urn:microsoft.com/office/officeart/2008/layout/PictureStrips"/>
    <dgm:cxn modelId="{B0ABF261-6D45-4F3F-B908-3F526222452D}" type="presParOf" srcId="{3B840FBB-358E-4B03-BFD1-1AF1D5B1F469}" destId="{3F90653E-29B4-4DDD-892F-E552D2AFE309}" srcOrd="1" destOrd="0" presId="urn:microsoft.com/office/officeart/2008/layout/PictureStrips"/>
    <dgm:cxn modelId="{296EFBE5-76A5-4AC6-8696-5A8F925F6B99}" type="presParOf" srcId="{8491C7DC-ED36-477F-8E7F-AC1037F7BEC2}" destId="{D2C4E0D1-CECF-422E-B42D-97632990A5F7}" srcOrd="3" destOrd="0" presId="urn:microsoft.com/office/officeart/2008/layout/PictureStrips"/>
    <dgm:cxn modelId="{424EE2B9-BAF1-4336-B2CA-2059897FAEA4}" type="presParOf" srcId="{8491C7DC-ED36-477F-8E7F-AC1037F7BEC2}" destId="{711F3378-BC53-4183-AC5E-7B0713745AEE}" srcOrd="4" destOrd="0" presId="urn:microsoft.com/office/officeart/2008/layout/PictureStrips"/>
    <dgm:cxn modelId="{3618253B-7814-4961-9FD8-873403903725}" type="presParOf" srcId="{711F3378-BC53-4183-AC5E-7B0713745AEE}" destId="{866A2081-8DC3-4D5D-89D3-6D319FB2E895}" srcOrd="0" destOrd="0" presId="urn:microsoft.com/office/officeart/2008/layout/PictureStrips"/>
    <dgm:cxn modelId="{B21384F7-6B32-4036-9D6D-01FA7171ACB3}" type="presParOf" srcId="{711F3378-BC53-4183-AC5E-7B0713745AEE}" destId="{72CE69B9-4D47-41B2-9FB4-86385C9A31FE}" srcOrd="1" destOrd="0" presId="urn:microsoft.com/office/officeart/2008/layout/PictureStrip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42123B-A3D2-4A8F-BCCE-F267DED3362A}">
      <dsp:nvSpPr>
        <dsp:cNvPr id="0" name=""/>
        <dsp:cNvSpPr/>
      </dsp:nvSpPr>
      <dsp:spPr>
        <a:xfrm>
          <a:off x="178635" y="272941"/>
          <a:ext cx="5254859" cy="1194894"/>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5449" tIns="41910" rIns="41910" bIns="41910" numCol="1" spcCol="1270" anchor="ctr" anchorCtr="0">
          <a:noAutofit/>
        </a:bodyPr>
        <a:lstStyle/>
        <a:p>
          <a:pPr marL="0" lvl="0" indent="0" algn="just" defTabSz="488950">
            <a:lnSpc>
              <a:spcPct val="90000"/>
            </a:lnSpc>
            <a:spcBef>
              <a:spcPct val="0"/>
            </a:spcBef>
            <a:spcAft>
              <a:spcPct val="35000"/>
            </a:spcAft>
            <a:buNone/>
          </a:pPr>
          <a:r>
            <a:rPr lang="es-CO" sz="1100" kern="1200" dirty="0">
              <a:latin typeface="Times New Roman" panose="02020603050405020304" pitchFamily="18" charset="0"/>
              <a:cs typeface="Times New Roman" panose="02020603050405020304" pitchFamily="18" charset="0"/>
            </a:rPr>
            <a:t>Redacción original: disponía que las empresas constituidas después de la entrada en vigencia de la Ley 143 de 1994 y que hicieren parte del Sistema Interconectado Nacional (SIN), no podrán tener más actividades relacionadas. Excepción: comercialización combinada con generación y distribución.</a:t>
          </a:r>
        </a:p>
      </dsp:txBody>
      <dsp:txXfrm>
        <a:off x="178635" y="272941"/>
        <a:ext cx="5254859" cy="1194894"/>
      </dsp:txXfrm>
    </dsp:sp>
    <dsp:sp modelId="{A3653118-E40A-4CCD-A8AF-39555CB2BCFC}">
      <dsp:nvSpPr>
        <dsp:cNvPr id="0" name=""/>
        <dsp:cNvSpPr/>
      </dsp:nvSpPr>
      <dsp:spPr>
        <a:xfrm>
          <a:off x="83494" y="96196"/>
          <a:ext cx="531501" cy="782847"/>
        </a:xfrm>
        <a:prstGeom prst="rect">
          <a:avLst/>
        </a:prstGeom>
        <a:blipFill>
          <a:blip xmlns:r="http://schemas.openxmlformats.org/officeDocument/2006/relationships">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075EC7-65F6-42A9-AB8C-8D0154458889}">
      <dsp:nvSpPr>
        <dsp:cNvPr id="0" name=""/>
        <dsp:cNvSpPr/>
      </dsp:nvSpPr>
      <dsp:spPr>
        <a:xfrm>
          <a:off x="172754" y="1656147"/>
          <a:ext cx="5287432" cy="1366312"/>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5449" tIns="41910" rIns="41910" bIns="41910" numCol="1" spcCol="1270" anchor="ctr" anchorCtr="0">
          <a:noAutofit/>
        </a:bodyPr>
        <a:lstStyle/>
        <a:p>
          <a:pPr marL="0" lvl="0" indent="0" algn="just" defTabSz="488950">
            <a:lnSpc>
              <a:spcPct val="90000"/>
            </a:lnSpc>
            <a:spcBef>
              <a:spcPct val="0"/>
            </a:spcBef>
            <a:spcAft>
              <a:spcPct val="35000"/>
            </a:spcAft>
            <a:buNone/>
          </a:pPr>
          <a:r>
            <a:rPr lang="es-CO" sz="1100" kern="1200" dirty="0">
              <a:latin typeface="Times New Roman" panose="02020603050405020304" pitchFamily="18" charset="0"/>
              <a:cs typeface="Times New Roman" panose="02020603050405020304" pitchFamily="18" charset="0"/>
            </a:rPr>
            <a:t>Modificación introducida con la Ley 1955 de 2019 (ley del plan de desarrollo) y texto vigente: las empresas de servicios públicos domiciliarios cuyo objeto sea la prestación del servicio de energía eléctrica y que hagan parte del SIN podrán integrarse a la </a:t>
          </a:r>
          <a:r>
            <a:rPr lang="es-MX" sz="1100" b="0" i="0" kern="1200" dirty="0">
              <a:latin typeface="Times New Roman" panose="02020603050405020304" pitchFamily="18" charset="0"/>
              <a:cs typeface="Times New Roman" panose="02020603050405020304" pitchFamily="18" charset="0"/>
            </a:rPr>
            <a:t>generación, distribución y comercialización de energía. La CREG regulará lo pertinente en materia de competencia y conflictos de interés. Se fija la restricción porcentual de incidencia en el mercado (40%). </a:t>
          </a:r>
          <a:endParaRPr lang="es-CO" sz="1100" kern="1200" dirty="0">
            <a:latin typeface="Times New Roman" panose="02020603050405020304" pitchFamily="18" charset="0"/>
            <a:cs typeface="Times New Roman" panose="02020603050405020304" pitchFamily="18" charset="0"/>
          </a:endParaRPr>
        </a:p>
      </dsp:txBody>
      <dsp:txXfrm>
        <a:off x="172754" y="1656147"/>
        <a:ext cx="5287432" cy="1366312"/>
      </dsp:txXfrm>
    </dsp:sp>
    <dsp:sp modelId="{3F90653E-29B4-4DDD-892F-E552D2AFE309}">
      <dsp:nvSpPr>
        <dsp:cNvPr id="0" name=""/>
        <dsp:cNvSpPr/>
      </dsp:nvSpPr>
      <dsp:spPr>
        <a:xfrm>
          <a:off x="53998" y="1416087"/>
          <a:ext cx="531501" cy="782847"/>
        </a:xfrm>
        <a:prstGeom prst="rect">
          <a:avLst/>
        </a:prstGeom>
        <a:blipFill>
          <a:blip xmlns:r="http://schemas.openxmlformats.org/officeDocument/2006/relationships">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66A2081-8DC3-4D5D-89D3-6D319FB2E895}">
      <dsp:nvSpPr>
        <dsp:cNvPr id="0" name=""/>
        <dsp:cNvSpPr/>
      </dsp:nvSpPr>
      <dsp:spPr>
        <a:xfrm>
          <a:off x="178285" y="3209555"/>
          <a:ext cx="5283191" cy="184750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5449" tIns="41910" rIns="41910" bIns="41910" numCol="1" spcCol="1270" anchor="ctr" anchorCtr="0">
          <a:noAutofit/>
        </a:bodyPr>
        <a:lstStyle/>
        <a:p>
          <a:pPr marL="0" lvl="0" indent="0" algn="just" defTabSz="488950">
            <a:lnSpc>
              <a:spcPct val="90000"/>
            </a:lnSpc>
            <a:spcBef>
              <a:spcPct val="0"/>
            </a:spcBef>
            <a:spcAft>
              <a:spcPct val="35000"/>
            </a:spcAft>
            <a:buNone/>
          </a:pPr>
          <a:r>
            <a:rPr lang="es-CO" sz="1100" kern="1200" dirty="0">
              <a:latin typeface="Times New Roman" panose="02020603050405020304" pitchFamily="18" charset="0"/>
              <a:cs typeface="Times New Roman" panose="02020603050405020304" pitchFamily="18" charset="0"/>
            </a:rPr>
            <a:t>Modificación del artículo 197/218 (proyecto de ley del plan, Gacetas 18, 180 y 274 de 2023): el proyecto de ley del plan presentado por el Gobierno nacional al Congreso de la República contenía una modificación al artículo 74 de la Ley 143 según la cual las empresas de servicios públicos domiciliarios de energía eléctrica podrán integrarse a la generación, transmisión, distribución y comercialización de energía, y a las nuevas actividades que la CREG cree o asimile. Las actividades integradas de generación y transmisión solo se permitirían si la energía se genera a partir de FNCER, salvo que se trate de empresas que ejercen la generación y transmisión desde antes de 1994. </a:t>
          </a:r>
        </a:p>
        <a:p>
          <a:pPr marL="0" lvl="0" indent="0" algn="just" defTabSz="488950">
            <a:lnSpc>
              <a:spcPct val="90000"/>
            </a:lnSpc>
            <a:spcBef>
              <a:spcPct val="0"/>
            </a:spcBef>
            <a:spcAft>
              <a:spcPct val="35000"/>
            </a:spcAft>
            <a:buNone/>
          </a:pPr>
          <a:r>
            <a:rPr lang="es-CO" sz="1100" kern="1200" dirty="0">
              <a:latin typeface="Times New Roman" panose="02020603050405020304" pitchFamily="18" charset="0"/>
              <a:cs typeface="Times New Roman" panose="02020603050405020304" pitchFamily="18" charset="0"/>
            </a:rPr>
            <a:t>Mantiene en la CREG la competencia para regular el mercado y mantiene restricción del 40%.</a:t>
          </a:r>
        </a:p>
      </dsp:txBody>
      <dsp:txXfrm>
        <a:off x="178285" y="3209555"/>
        <a:ext cx="5283191" cy="1847500"/>
      </dsp:txXfrm>
    </dsp:sp>
    <dsp:sp modelId="{72CE69B9-4D47-41B2-9FB4-86385C9A31FE}">
      <dsp:nvSpPr>
        <dsp:cNvPr id="0" name=""/>
        <dsp:cNvSpPr/>
      </dsp:nvSpPr>
      <dsp:spPr>
        <a:xfrm>
          <a:off x="23909" y="3008625"/>
          <a:ext cx="531501" cy="782847"/>
        </a:xfrm>
        <a:prstGeom prst="rect">
          <a:avLst/>
        </a:prstGeom>
        <a:blipFill>
          <a:blip xmlns:r="http://schemas.openxmlformats.org/officeDocument/2006/relationships">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26116</Words>
  <Characters>143644</Characters>
  <Application>Microsoft Office Word</Application>
  <DocSecurity>0</DocSecurity>
  <Lines>1197</Lines>
  <Paragraphs>338</Paragraphs>
  <ScaleCrop>false</ScaleCrop>
  <Company/>
  <LinksUpToDate>false</LinksUpToDate>
  <CharactersWithSpaces>169422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2026-08-20T16:04:00Z</dcterms:created>
  <dcterms:modified xsi:type="dcterms:W3CDTF">2026-08-20T16:04:00Z</dcterms:modified>
</cp:coreProperties>
</file>