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283C" w:rsidRPr="00C039F9" w:rsidRDefault="005E4398">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C039F9">
        <w:rPr>
          <w:rFonts w:ascii="Times New Roman" w:hAnsi="Times New Roman" w:cs="Times New Roman"/>
          <w:sz w:val="28"/>
          <w:szCs w:val="24"/>
        </w:rPr>
        <w:t xml:space="preserve"> </w:t>
      </w:r>
    </w:p>
    <w:p w:rsidR="0054283C" w:rsidRPr="00C039F9" w:rsidRDefault="0054283C">
      <w:pPr>
        <w:widowControl w:val="0"/>
        <w:autoSpaceDE w:val="0"/>
        <w:autoSpaceDN w:val="0"/>
        <w:adjustRightInd w:val="0"/>
        <w:spacing w:after="0" w:line="240" w:lineRule="auto"/>
        <w:rPr>
          <w:rFonts w:ascii="Times New Roman" w:hAnsi="Times New Roman" w:cs="Times New Roman"/>
          <w:sz w:val="28"/>
          <w:szCs w:val="28"/>
        </w:rPr>
      </w:pPr>
    </w:p>
    <w:p w:rsidR="0054283C" w:rsidRPr="00C039F9" w:rsidRDefault="005E4398">
      <w:pPr>
        <w:widowControl w:val="0"/>
        <w:autoSpaceDE w:val="0"/>
        <w:autoSpaceDN w:val="0"/>
        <w:adjustRightInd w:val="0"/>
        <w:spacing w:after="0" w:line="240" w:lineRule="auto"/>
        <w:jc w:val="center"/>
        <w:rPr>
          <w:rFonts w:ascii="Times New Roman" w:hAnsi="Times New Roman" w:cs="Times New Roman"/>
          <w:b/>
          <w:bCs/>
          <w:sz w:val="28"/>
          <w:szCs w:val="28"/>
        </w:rPr>
      </w:pPr>
      <w:r w:rsidRPr="00C039F9">
        <w:rPr>
          <w:rFonts w:ascii="Times New Roman" w:hAnsi="Times New Roman" w:cs="Times New Roman"/>
          <w:b/>
          <w:bCs/>
          <w:sz w:val="28"/>
          <w:szCs w:val="28"/>
        </w:rPr>
        <w:t xml:space="preserve">TEMAS-SUBTEMAS </w:t>
      </w:r>
    </w:p>
    <w:p w:rsidR="0054283C" w:rsidRPr="00C039F9" w:rsidRDefault="0054283C">
      <w:pPr>
        <w:widowControl w:val="0"/>
        <w:autoSpaceDE w:val="0"/>
        <w:autoSpaceDN w:val="0"/>
        <w:adjustRightInd w:val="0"/>
        <w:spacing w:after="0" w:line="240" w:lineRule="auto"/>
        <w:jc w:val="center"/>
        <w:rPr>
          <w:rFonts w:ascii="Times New Roman" w:hAnsi="Times New Roman" w:cs="Times New Roman"/>
          <w:b/>
          <w:bCs/>
          <w:sz w:val="28"/>
          <w:szCs w:val="28"/>
        </w:rPr>
      </w:pPr>
    </w:p>
    <w:p w:rsidR="0054283C" w:rsidRPr="00C039F9" w:rsidRDefault="005E4398">
      <w:pPr>
        <w:widowControl w:val="0"/>
        <w:autoSpaceDE w:val="0"/>
        <w:autoSpaceDN w:val="0"/>
        <w:adjustRightInd w:val="0"/>
        <w:spacing w:after="0" w:line="240" w:lineRule="auto"/>
        <w:jc w:val="center"/>
        <w:rPr>
          <w:rFonts w:ascii="Times New Roman" w:hAnsi="Times New Roman" w:cs="Times New Roman"/>
          <w:sz w:val="28"/>
          <w:szCs w:val="28"/>
        </w:rPr>
      </w:pPr>
      <w:r w:rsidRPr="00C039F9">
        <w:rPr>
          <w:rFonts w:ascii="Times New Roman" w:hAnsi="Times New Roman" w:cs="Times New Roman"/>
          <w:b/>
          <w:bCs/>
          <w:sz w:val="28"/>
          <w:szCs w:val="28"/>
        </w:rPr>
        <w:t xml:space="preserve">Sentencia C-055/24 </w:t>
      </w:r>
    </w:p>
    <w:p w:rsidR="0054283C" w:rsidRPr="00C039F9" w:rsidRDefault="0054283C">
      <w:pPr>
        <w:widowControl w:val="0"/>
        <w:autoSpaceDE w:val="0"/>
        <w:autoSpaceDN w:val="0"/>
        <w:adjustRightInd w:val="0"/>
        <w:spacing w:after="0" w:line="240" w:lineRule="auto"/>
        <w:jc w:val="both"/>
        <w:rPr>
          <w:rFonts w:ascii="Times New Roman" w:hAnsi="Times New Roman" w:cs="Times New Roman"/>
          <w:sz w:val="28"/>
          <w:szCs w:val="28"/>
        </w:rPr>
      </w:pPr>
    </w:p>
    <w:p w:rsidR="0054283C" w:rsidRPr="00C039F9" w:rsidRDefault="005E4398">
      <w:pPr>
        <w:widowControl w:val="0"/>
        <w:autoSpaceDE w:val="0"/>
        <w:autoSpaceDN w:val="0"/>
        <w:adjustRightInd w:val="0"/>
        <w:spacing w:after="0" w:line="240" w:lineRule="auto"/>
        <w:jc w:val="both"/>
        <w:rPr>
          <w:rFonts w:ascii="Times New Roman" w:hAnsi="Times New Roman" w:cs="Times New Roman"/>
          <w:sz w:val="28"/>
          <w:szCs w:val="28"/>
        </w:rPr>
      </w:pPr>
      <w:r w:rsidRPr="00C039F9">
        <w:rPr>
          <w:rFonts w:ascii="Times New Roman" w:hAnsi="Times New Roman" w:cs="Times New Roman"/>
          <w:b/>
          <w:bCs/>
          <w:sz w:val="28"/>
          <w:szCs w:val="28"/>
        </w:rPr>
        <w:t>PRINCIPIOS DE LEGALIDAD Y CERTEZA TRIBUTARIA</w:t>
      </w:r>
      <w:r w:rsidRPr="00C039F9">
        <w:rPr>
          <w:rFonts w:ascii="Times New Roman" w:hAnsi="Times New Roman" w:cs="Times New Roman"/>
          <w:sz w:val="28"/>
          <w:szCs w:val="28"/>
        </w:rPr>
        <w:t>-No se vulneran en la determinación de la tasa para la recuperación de los costos de los servicios prestados por la Dirección Nacional de Derecho de Autor</w:t>
      </w:r>
    </w:p>
    <w:p w:rsidR="0054283C" w:rsidRPr="00C039F9" w:rsidRDefault="0054283C">
      <w:pPr>
        <w:widowControl w:val="0"/>
        <w:autoSpaceDE w:val="0"/>
        <w:autoSpaceDN w:val="0"/>
        <w:adjustRightInd w:val="0"/>
        <w:spacing w:after="0" w:line="240" w:lineRule="auto"/>
        <w:jc w:val="both"/>
        <w:rPr>
          <w:rFonts w:ascii="Times New Roman" w:hAnsi="Times New Roman" w:cs="Times New Roman"/>
          <w:sz w:val="28"/>
          <w:szCs w:val="28"/>
        </w:rPr>
      </w:pPr>
    </w:p>
    <w:p w:rsidR="0054283C" w:rsidRPr="00C039F9" w:rsidRDefault="005E4398">
      <w:pPr>
        <w:widowControl w:val="0"/>
        <w:autoSpaceDE w:val="0"/>
        <w:autoSpaceDN w:val="0"/>
        <w:adjustRightInd w:val="0"/>
        <w:spacing w:after="0" w:line="240" w:lineRule="auto"/>
        <w:jc w:val="both"/>
        <w:rPr>
          <w:rFonts w:ascii="Times New Roman" w:hAnsi="Times New Roman" w:cs="Times New Roman"/>
          <w:sz w:val="28"/>
          <w:szCs w:val="28"/>
        </w:rPr>
      </w:pPr>
      <w:r w:rsidRPr="00C039F9">
        <w:rPr>
          <w:rFonts w:ascii="Times New Roman" w:hAnsi="Times New Roman" w:cs="Times New Roman"/>
          <w:i/>
          <w:iCs/>
          <w:sz w:val="28"/>
          <w:szCs w:val="28"/>
        </w:rPr>
        <w:t xml:space="preserve">En el presente caso el legislador definió de forma expresa que la base gravable Â«será el costo de los serviciosÂ» que corresponden a cada hecho generador del tributo y delegó al Gobierno nacional el diseño de la metodología de cálculo, lo cual es, por definición, un asunto técnico. Asimismo, definió parámetros generales que enmarcan la facultad reglamentaria del ejecutivo. Esto es así porque (i) señaló cuáles son los servicios cuyo costo debe calcular al identificar los hechos generadores y (ii) cuáles son los criterios que se deben emplear para calcularlo (numeral 1 del parágrafo 1). En conclusión, la delegación que el inciso 4º de la parte principal de la norma acusada otorga al Ministerio del Interior, para definir una metodología de cálculo de los costos de los servicios prestados por la DNDA, respeta los principios de certeza y legalidad tributarias y no contraviene el artículo 338 superior. </w:t>
      </w:r>
    </w:p>
    <w:p w:rsidR="0054283C" w:rsidRPr="00C039F9" w:rsidRDefault="0054283C">
      <w:pPr>
        <w:widowControl w:val="0"/>
        <w:autoSpaceDE w:val="0"/>
        <w:autoSpaceDN w:val="0"/>
        <w:adjustRightInd w:val="0"/>
        <w:spacing w:after="0" w:line="240" w:lineRule="auto"/>
        <w:jc w:val="both"/>
        <w:rPr>
          <w:rFonts w:ascii="Times New Roman" w:hAnsi="Times New Roman" w:cs="Times New Roman"/>
          <w:sz w:val="28"/>
          <w:szCs w:val="28"/>
        </w:rPr>
      </w:pPr>
    </w:p>
    <w:p w:rsidR="0054283C" w:rsidRPr="00C039F9" w:rsidRDefault="005E4398">
      <w:pPr>
        <w:widowControl w:val="0"/>
        <w:autoSpaceDE w:val="0"/>
        <w:autoSpaceDN w:val="0"/>
        <w:adjustRightInd w:val="0"/>
        <w:spacing w:after="0" w:line="240" w:lineRule="auto"/>
        <w:jc w:val="both"/>
        <w:rPr>
          <w:rFonts w:ascii="Times New Roman" w:hAnsi="Times New Roman" w:cs="Times New Roman"/>
          <w:sz w:val="28"/>
          <w:szCs w:val="28"/>
        </w:rPr>
      </w:pPr>
      <w:r w:rsidRPr="00C039F9">
        <w:rPr>
          <w:rFonts w:ascii="Times New Roman" w:hAnsi="Times New Roman" w:cs="Times New Roman"/>
          <w:b/>
          <w:bCs/>
          <w:sz w:val="28"/>
          <w:szCs w:val="28"/>
        </w:rPr>
        <w:t>TASA PARA LA RECUPERACIÓN DE LOS COSTOS DE LOS SERVICIOS PRESTADOS POR LA DIRECCIÓN NACIONAL DE DERECHO DE AUTOR</w:t>
      </w:r>
      <w:r w:rsidRPr="00C039F9">
        <w:rPr>
          <w:rFonts w:ascii="Times New Roman" w:hAnsi="Times New Roman" w:cs="Times New Roman"/>
          <w:sz w:val="28"/>
          <w:szCs w:val="28"/>
        </w:rPr>
        <w:t>-Facultad otorgada al Gobierno debe ejercerse en los términos del método y sistema definidos por el legislador</w:t>
      </w:r>
    </w:p>
    <w:p w:rsidR="0054283C" w:rsidRPr="00C039F9" w:rsidRDefault="0054283C">
      <w:pPr>
        <w:widowControl w:val="0"/>
        <w:autoSpaceDE w:val="0"/>
        <w:autoSpaceDN w:val="0"/>
        <w:adjustRightInd w:val="0"/>
        <w:spacing w:after="0" w:line="240" w:lineRule="auto"/>
        <w:jc w:val="both"/>
        <w:rPr>
          <w:rFonts w:ascii="Times New Roman" w:hAnsi="Times New Roman" w:cs="Times New Roman"/>
          <w:sz w:val="28"/>
          <w:szCs w:val="28"/>
        </w:rPr>
      </w:pPr>
    </w:p>
    <w:p w:rsidR="0054283C" w:rsidRPr="00C039F9" w:rsidRDefault="005E4398">
      <w:pPr>
        <w:widowControl w:val="0"/>
        <w:autoSpaceDE w:val="0"/>
        <w:autoSpaceDN w:val="0"/>
        <w:adjustRightInd w:val="0"/>
        <w:spacing w:after="0" w:line="240" w:lineRule="auto"/>
        <w:jc w:val="both"/>
        <w:rPr>
          <w:rFonts w:ascii="Times New Roman" w:hAnsi="Times New Roman" w:cs="Times New Roman"/>
          <w:sz w:val="28"/>
          <w:szCs w:val="28"/>
        </w:rPr>
      </w:pPr>
      <w:r w:rsidRPr="00C039F9">
        <w:rPr>
          <w:rFonts w:ascii="Times New Roman" w:hAnsi="Times New Roman" w:cs="Times New Roman"/>
          <w:i/>
          <w:iCs/>
          <w:sz w:val="28"/>
          <w:szCs w:val="28"/>
        </w:rPr>
        <w:t>Sin perjuicio de la exequibilidad pura y simple de la norma, la Sala precisa que la lectura constitucionalmente adecuada del parágrafo 2º del artículo 169 de la Ley 2294 de 2023, por la cual se expide el Plan Nacional de Desarrollo 2022-2026 Colombia Potencia Mundial de la Vida, es que la facultad allí otorgada al Gobierno nacional debe ejercerse en los términos del método y sistema definidos por el legislador, sin llegar a modificarlos. Es decir, sin apartarse de los procedimientos concretos de cálculo previstos en el parágrafo 1º de la disposición analizada.</w:t>
      </w:r>
    </w:p>
    <w:p w:rsidR="0054283C" w:rsidRPr="00C039F9" w:rsidRDefault="0054283C">
      <w:pPr>
        <w:widowControl w:val="0"/>
        <w:autoSpaceDE w:val="0"/>
        <w:autoSpaceDN w:val="0"/>
        <w:adjustRightInd w:val="0"/>
        <w:spacing w:after="0" w:line="240" w:lineRule="auto"/>
        <w:jc w:val="both"/>
        <w:rPr>
          <w:rFonts w:ascii="Times New Roman" w:hAnsi="Times New Roman" w:cs="Times New Roman"/>
          <w:sz w:val="28"/>
          <w:szCs w:val="28"/>
        </w:rPr>
      </w:pPr>
    </w:p>
    <w:p w:rsidR="0054283C" w:rsidRPr="00C039F9" w:rsidRDefault="005E4398">
      <w:pPr>
        <w:widowControl w:val="0"/>
        <w:autoSpaceDE w:val="0"/>
        <w:autoSpaceDN w:val="0"/>
        <w:adjustRightInd w:val="0"/>
        <w:spacing w:after="0" w:line="240" w:lineRule="auto"/>
        <w:jc w:val="both"/>
        <w:rPr>
          <w:rFonts w:ascii="Times New Roman" w:hAnsi="Times New Roman" w:cs="Times New Roman"/>
          <w:sz w:val="28"/>
          <w:szCs w:val="28"/>
        </w:rPr>
      </w:pPr>
      <w:r w:rsidRPr="00C039F9">
        <w:rPr>
          <w:rFonts w:ascii="Times New Roman" w:hAnsi="Times New Roman" w:cs="Times New Roman"/>
          <w:b/>
          <w:bCs/>
          <w:sz w:val="28"/>
          <w:szCs w:val="28"/>
        </w:rPr>
        <w:t>TRIBUTOS</w:t>
      </w:r>
      <w:r w:rsidRPr="00C039F9">
        <w:rPr>
          <w:rFonts w:ascii="Times New Roman" w:hAnsi="Times New Roman" w:cs="Times New Roman"/>
          <w:sz w:val="28"/>
          <w:szCs w:val="28"/>
        </w:rPr>
        <w:t>-Clasificación</w:t>
      </w:r>
    </w:p>
    <w:p w:rsidR="0054283C" w:rsidRPr="00C039F9" w:rsidRDefault="0054283C">
      <w:pPr>
        <w:widowControl w:val="0"/>
        <w:autoSpaceDE w:val="0"/>
        <w:autoSpaceDN w:val="0"/>
        <w:adjustRightInd w:val="0"/>
        <w:spacing w:after="0" w:line="240" w:lineRule="auto"/>
        <w:jc w:val="both"/>
        <w:rPr>
          <w:rFonts w:ascii="Times New Roman" w:hAnsi="Times New Roman" w:cs="Times New Roman"/>
          <w:sz w:val="28"/>
          <w:szCs w:val="28"/>
        </w:rPr>
      </w:pPr>
    </w:p>
    <w:p w:rsidR="0054283C" w:rsidRPr="00C039F9" w:rsidRDefault="005E4398">
      <w:pPr>
        <w:widowControl w:val="0"/>
        <w:autoSpaceDE w:val="0"/>
        <w:autoSpaceDN w:val="0"/>
        <w:adjustRightInd w:val="0"/>
        <w:spacing w:after="0" w:line="240" w:lineRule="auto"/>
        <w:jc w:val="both"/>
        <w:rPr>
          <w:rFonts w:ascii="Times New Roman" w:hAnsi="Times New Roman" w:cs="Times New Roman"/>
          <w:sz w:val="28"/>
          <w:szCs w:val="28"/>
        </w:rPr>
      </w:pPr>
      <w:r w:rsidRPr="00C039F9">
        <w:rPr>
          <w:rFonts w:ascii="Times New Roman" w:hAnsi="Times New Roman" w:cs="Times New Roman"/>
          <w:i/>
          <w:iCs/>
          <w:sz w:val="28"/>
          <w:szCs w:val="28"/>
        </w:rPr>
        <w:t xml:space="preserve">De los artículos 150 (numeral 12) y 338 de la Constitución se desprende que, dentro de la potestad impositiva del Estado, se encuentra la facultad de establecer cuatro modalidades tributarias; estas son: (i) los impuestos, (ii) las contribuciones parafiscales, (iii) las tasas y (iv) las contribuciones especiales </w:t>
      </w:r>
    </w:p>
    <w:p w:rsidR="0054283C" w:rsidRPr="00C039F9" w:rsidRDefault="0054283C">
      <w:pPr>
        <w:widowControl w:val="0"/>
        <w:autoSpaceDE w:val="0"/>
        <w:autoSpaceDN w:val="0"/>
        <w:adjustRightInd w:val="0"/>
        <w:spacing w:after="0" w:line="240" w:lineRule="auto"/>
        <w:jc w:val="both"/>
        <w:rPr>
          <w:rFonts w:ascii="Times New Roman" w:hAnsi="Times New Roman" w:cs="Times New Roman"/>
          <w:sz w:val="28"/>
          <w:szCs w:val="28"/>
        </w:rPr>
      </w:pPr>
    </w:p>
    <w:p w:rsidR="0054283C" w:rsidRPr="00C039F9" w:rsidRDefault="005E4398">
      <w:pPr>
        <w:widowControl w:val="0"/>
        <w:autoSpaceDE w:val="0"/>
        <w:autoSpaceDN w:val="0"/>
        <w:adjustRightInd w:val="0"/>
        <w:spacing w:after="0" w:line="240" w:lineRule="auto"/>
        <w:jc w:val="both"/>
        <w:rPr>
          <w:rFonts w:ascii="Times New Roman" w:hAnsi="Times New Roman" w:cs="Times New Roman"/>
          <w:sz w:val="28"/>
          <w:szCs w:val="28"/>
        </w:rPr>
      </w:pPr>
      <w:r w:rsidRPr="00C039F9">
        <w:rPr>
          <w:rFonts w:ascii="Times New Roman" w:hAnsi="Times New Roman" w:cs="Times New Roman"/>
          <w:b/>
          <w:bCs/>
          <w:sz w:val="28"/>
          <w:szCs w:val="28"/>
        </w:rPr>
        <w:t>IMPUESTOS, TASAS, CONTRIBUCIONES ESPECIALES Y CONTRIBUCIONES PARAFISCALES</w:t>
      </w:r>
      <w:r w:rsidRPr="00C039F9">
        <w:rPr>
          <w:rFonts w:ascii="Times New Roman" w:hAnsi="Times New Roman" w:cs="Times New Roman"/>
          <w:sz w:val="28"/>
          <w:szCs w:val="28"/>
        </w:rPr>
        <w:t xml:space="preserve">-Diferencias </w:t>
      </w:r>
    </w:p>
    <w:p w:rsidR="0054283C" w:rsidRPr="00C039F9" w:rsidRDefault="0054283C">
      <w:pPr>
        <w:widowControl w:val="0"/>
        <w:autoSpaceDE w:val="0"/>
        <w:autoSpaceDN w:val="0"/>
        <w:adjustRightInd w:val="0"/>
        <w:spacing w:after="0" w:line="240" w:lineRule="auto"/>
        <w:jc w:val="both"/>
        <w:rPr>
          <w:rFonts w:ascii="Times New Roman" w:hAnsi="Times New Roman" w:cs="Times New Roman"/>
          <w:sz w:val="28"/>
          <w:szCs w:val="28"/>
        </w:rPr>
      </w:pPr>
    </w:p>
    <w:p w:rsidR="0054283C" w:rsidRPr="00C039F9" w:rsidRDefault="005E4398">
      <w:pPr>
        <w:widowControl w:val="0"/>
        <w:autoSpaceDE w:val="0"/>
        <w:autoSpaceDN w:val="0"/>
        <w:adjustRightInd w:val="0"/>
        <w:spacing w:after="0" w:line="240" w:lineRule="auto"/>
        <w:jc w:val="both"/>
        <w:rPr>
          <w:rFonts w:ascii="Times New Roman" w:hAnsi="Times New Roman" w:cs="Times New Roman"/>
          <w:sz w:val="28"/>
          <w:szCs w:val="28"/>
        </w:rPr>
      </w:pPr>
      <w:r w:rsidRPr="00C039F9">
        <w:rPr>
          <w:rFonts w:ascii="Times New Roman" w:hAnsi="Times New Roman" w:cs="Times New Roman"/>
          <w:b/>
          <w:bCs/>
          <w:sz w:val="28"/>
          <w:szCs w:val="28"/>
        </w:rPr>
        <w:t>OBLIGACION TRIBUTARIA</w:t>
      </w:r>
      <w:r w:rsidRPr="00C039F9">
        <w:rPr>
          <w:rFonts w:ascii="Times New Roman" w:hAnsi="Times New Roman" w:cs="Times New Roman"/>
          <w:sz w:val="28"/>
          <w:szCs w:val="28"/>
        </w:rPr>
        <w:t>-Elementos</w:t>
      </w:r>
    </w:p>
    <w:p w:rsidR="0054283C" w:rsidRPr="00C039F9" w:rsidRDefault="0054283C">
      <w:pPr>
        <w:widowControl w:val="0"/>
        <w:autoSpaceDE w:val="0"/>
        <w:autoSpaceDN w:val="0"/>
        <w:adjustRightInd w:val="0"/>
        <w:spacing w:after="0" w:line="240" w:lineRule="auto"/>
        <w:jc w:val="both"/>
        <w:rPr>
          <w:rFonts w:ascii="Times New Roman" w:hAnsi="Times New Roman" w:cs="Times New Roman"/>
          <w:sz w:val="28"/>
          <w:szCs w:val="28"/>
        </w:rPr>
      </w:pPr>
    </w:p>
    <w:p w:rsidR="0054283C" w:rsidRPr="00C039F9" w:rsidRDefault="005E4398">
      <w:pPr>
        <w:widowControl w:val="0"/>
        <w:autoSpaceDE w:val="0"/>
        <w:autoSpaceDN w:val="0"/>
        <w:adjustRightInd w:val="0"/>
        <w:spacing w:after="0" w:line="240" w:lineRule="auto"/>
        <w:jc w:val="both"/>
        <w:rPr>
          <w:rFonts w:ascii="Times New Roman" w:hAnsi="Times New Roman" w:cs="Times New Roman"/>
          <w:sz w:val="28"/>
          <w:szCs w:val="28"/>
        </w:rPr>
      </w:pPr>
      <w:r w:rsidRPr="00C039F9">
        <w:rPr>
          <w:rFonts w:ascii="Times New Roman" w:hAnsi="Times New Roman" w:cs="Times New Roman"/>
          <w:i/>
          <w:iCs/>
          <w:sz w:val="28"/>
          <w:szCs w:val="28"/>
        </w:rPr>
        <w:t>(...) independientemente de la naturaleza de los tributos, estos deben contener los siguientes elementos esenciales: (i) el sujeto activo; (ii) el sujeto pasivo; iii) la base gravable; (iv) la tarifa; v) el hecho generador.</w:t>
      </w:r>
    </w:p>
    <w:p w:rsidR="0054283C" w:rsidRPr="00C039F9" w:rsidRDefault="0054283C">
      <w:pPr>
        <w:widowControl w:val="0"/>
        <w:autoSpaceDE w:val="0"/>
        <w:autoSpaceDN w:val="0"/>
        <w:adjustRightInd w:val="0"/>
        <w:spacing w:after="0" w:line="240" w:lineRule="auto"/>
        <w:jc w:val="both"/>
        <w:rPr>
          <w:rFonts w:ascii="Times New Roman" w:hAnsi="Times New Roman" w:cs="Times New Roman"/>
          <w:sz w:val="28"/>
          <w:szCs w:val="28"/>
        </w:rPr>
      </w:pPr>
    </w:p>
    <w:p w:rsidR="0054283C" w:rsidRPr="00C039F9" w:rsidRDefault="005E4398">
      <w:pPr>
        <w:widowControl w:val="0"/>
        <w:autoSpaceDE w:val="0"/>
        <w:autoSpaceDN w:val="0"/>
        <w:adjustRightInd w:val="0"/>
        <w:spacing w:after="0" w:line="240" w:lineRule="auto"/>
        <w:jc w:val="both"/>
        <w:rPr>
          <w:rFonts w:ascii="Times New Roman" w:hAnsi="Times New Roman" w:cs="Times New Roman"/>
          <w:sz w:val="28"/>
          <w:szCs w:val="28"/>
        </w:rPr>
      </w:pPr>
      <w:r w:rsidRPr="00C039F9">
        <w:rPr>
          <w:rFonts w:ascii="Times New Roman" w:hAnsi="Times New Roman" w:cs="Times New Roman"/>
          <w:b/>
          <w:bCs/>
          <w:sz w:val="28"/>
          <w:szCs w:val="28"/>
        </w:rPr>
        <w:t>PRINCIPIO DE LEGALIDAD Y CERTEZA DE LOS TRIBUTOS</w:t>
      </w:r>
      <w:r w:rsidRPr="00C039F9">
        <w:rPr>
          <w:rFonts w:ascii="Times New Roman" w:hAnsi="Times New Roman" w:cs="Times New Roman"/>
          <w:sz w:val="28"/>
          <w:szCs w:val="28"/>
        </w:rPr>
        <w:t xml:space="preserve">-Reiteración de Jurisprudencia </w:t>
      </w:r>
    </w:p>
    <w:p w:rsidR="0054283C" w:rsidRPr="00C039F9" w:rsidRDefault="0054283C">
      <w:pPr>
        <w:widowControl w:val="0"/>
        <w:autoSpaceDE w:val="0"/>
        <w:autoSpaceDN w:val="0"/>
        <w:adjustRightInd w:val="0"/>
        <w:spacing w:after="0" w:line="240" w:lineRule="auto"/>
        <w:jc w:val="both"/>
        <w:rPr>
          <w:rFonts w:ascii="Times New Roman" w:hAnsi="Times New Roman" w:cs="Times New Roman"/>
          <w:sz w:val="28"/>
          <w:szCs w:val="28"/>
        </w:rPr>
      </w:pPr>
    </w:p>
    <w:p w:rsidR="0054283C" w:rsidRPr="00C039F9" w:rsidRDefault="005E4398">
      <w:pPr>
        <w:widowControl w:val="0"/>
        <w:autoSpaceDE w:val="0"/>
        <w:autoSpaceDN w:val="0"/>
        <w:adjustRightInd w:val="0"/>
        <w:spacing w:after="0" w:line="240" w:lineRule="auto"/>
        <w:jc w:val="both"/>
        <w:rPr>
          <w:rFonts w:ascii="Times New Roman" w:hAnsi="Times New Roman" w:cs="Times New Roman"/>
          <w:sz w:val="28"/>
          <w:szCs w:val="28"/>
        </w:rPr>
      </w:pPr>
      <w:r w:rsidRPr="00C039F9">
        <w:rPr>
          <w:rFonts w:ascii="Times New Roman" w:hAnsi="Times New Roman" w:cs="Times New Roman"/>
          <w:b/>
          <w:bCs/>
          <w:sz w:val="28"/>
          <w:szCs w:val="28"/>
        </w:rPr>
        <w:t>PRINCIPIO DE CERTEZA EN MATERIA TRIBUTARIA</w:t>
      </w:r>
      <w:r w:rsidRPr="00C039F9">
        <w:rPr>
          <w:rFonts w:ascii="Times New Roman" w:hAnsi="Times New Roman" w:cs="Times New Roman"/>
          <w:sz w:val="28"/>
          <w:szCs w:val="28"/>
        </w:rPr>
        <w:t xml:space="preserve">-Obligación del legislador de definir claramente los elementos del tributo </w:t>
      </w:r>
    </w:p>
    <w:p w:rsidR="0054283C" w:rsidRPr="00C039F9" w:rsidRDefault="0054283C">
      <w:pPr>
        <w:widowControl w:val="0"/>
        <w:autoSpaceDE w:val="0"/>
        <w:autoSpaceDN w:val="0"/>
        <w:adjustRightInd w:val="0"/>
        <w:spacing w:after="0" w:line="240" w:lineRule="auto"/>
        <w:jc w:val="both"/>
        <w:rPr>
          <w:rFonts w:ascii="Times New Roman" w:hAnsi="Times New Roman" w:cs="Times New Roman"/>
          <w:sz w:val="28"/>
          <w:szCs w:val="28"/>
        </w:rPr>
      </w:pPr>
    </w:p>
    <w:p w:rsidR="0054283C" w:rsidRPr="00C039F9" w:rsidRDefault="005E4398">
      <w:pPr>
        <w:widowControl w:val="0"/>
        <w:autoSpaceDE w:val="0"/>
        <w:autoSpaceDN w:val="0"/>
        <w:adjustRightInd w:val="0"/>
        <w:spacing w:after="0" w:line="240" w:lineRule="auto"/>
        <w:jc w:val="both"/>
        <w:rPr>
          <w:rFonts w:ascii="Times New Roman" w:hAnsi="Times New Roman" w:cs="Times New Roman"/>
          <w:sz w:val="28"/>
          <w:szCs w:val="28"/>
        </w:rPr>
      </w:pPr>
      <w:r w:rsidRPr="00C039F9">
        <w:rPr>
          <w:rFonts w:ascii="Times New Roman" w:hAnsi="Times New Roman" w:cs="Times New Roman"/>
          <w:b/>
          <w:bCs/>
          <w:sz w:val="28"/>
          <w:szCs w:val="28"/>
        </w:rPr>
        <w:t>PRINCIPIO DE PREDETERMINACION DEL TRIBUTO</w:t>
      </w:r>
      <w:r w:rsidRPr="00C039F9">
        <w:rPr>
          <w:rFonts w:ascii="Times New Roman" w:hAnsi="Times New Roman" w:cs="Times New Roman"/>
          <w:sz w:val="28"/>
          <w:szCs w:val="28"/>
        </w:rPr>
        <w:t xml:space="preserve">-Alcance </w:t>
      </w:r>
    </w:p>
    <w:p w:rsidR="0054283C" w:rsidRPr="00C039F9" w:rsidRDefault="0054283C">
      <w:pPr>
        <w:widowControl w:val="0"/>
        <w:autoSpaceDE w:val="0"/>
        <w:autoSpaceDN w:val="0"/>
        <w:adjustRightInd w:val="0"/>
        <w:spacing w:after="0" w:line="240" w:lineRule="auto"/>
        <w:jc w:val="both"/>
        <w:rPr>
          <w:rFonts w:ascii="Times New Roman" w:hAnsi="Times New Roman" w:cs="Times New Roman"/>
          <w:sz w:val="28"/>
          <w:szCs w:val="28"/>
        </w:rPr>
      </w:pPr>
    </w:p>
    <w:p w:rsidR="0054283C" w:rsidRPr="00C039F9" w:rsidRDefault="005E4398">
      <w:pPr>
        <w:widowControl w:val="0"/>
        <w:autoSpaceDE w:val="0"/>
        <w:autoSpaceDN w:val="0"/>
        <w:adjustRightInd w:val="0"/>
        <w:spacing w:after="0" w:line="240" w:lineRule="auto"/>
        <w:jc w:val="both"/>
        <w:rPr>
          <w:rFonts w:ascii="Times New Roman" w:hAnsi="Times New Roman" w:cs="Times New Roman"/>
          <w:sz w:val="28"/>
          <w:szCs w:val="28"/>
        </w:rPr>
      </w:pPr>
      <w:r w:rsidRPr="00C039F9">
        <w:rPr>
          <w:rFonts w:ascii="Times New Roman" w:hAnsi="Times New Roman" w:cs="Times New Roman"/>
          <w:b/>
          <w:bCs/>
          <w:sz w:val="28"/>
          <w:szCs w:val="28"/>
        </w:rPr>
        <w:t>TASAS E IMPUESTOS</w:t>
      </w:r>
      <w:r w:rsidRPr="00C039F9">
        <w:rPr>
          <w:rFonts w:ascii="Times New Roman" w:hAnsi="Times New Roman" w:cs="Times New Roman"/>
          <w:sz w:val="28"/>
          <w:szCs w:val="28"/>
        </w:rPr>
        <w:t>-Diferencias</w:t>
      </w:r>
      <w:r w:rsidRPr="00C039F9">
        <w:rPr>
          <w:rFonts w:ascii="Times New Roman" w:hAnsi="Times New Roman" w:cs="Times New Roman"/>
          <w:b/>
          <w:bCs/>
          <w:sz w:val="28"/>
          <w:szCs w:val="28"/>
        </w:rPr>
        <w:t>/TARIFA DE TASAS Y CONTRIBUCIONES</w:t>
      </w:r>
      <w:r w:rsidRPr="00C039F9">
        <w:rPr>
          <w:rFonts w:ascii="Times New Roman" w:hAnsi="Times New Roman" w:cs="Times New Roman"/>
          <w:sz w:val="28"/>
          <w:szCs w:val="28"/>
        </w:rPr>
        <w:t>-Delegación de fijación</w:t>
      </w:r>
    </w:p>
    <w:p w:rsidR="0054283C" w:rsidRPr="00C039F9" w:rsidRDefault="0054283C">
      <w:pPr>
        <w:widowControl w:val="0"/>
        <w:autoSpaceDE w:val="0"/>
        <w:autoSpaceDN w:val="0"/>
        <w:adjustRightInd w:val="0"/>
        <w:spacing w:after="0" w:line="240" w:lineRule="auto"/>
        <w:jc w:val="both"/>
        <w:rPr>
          <w:rFonts w:ascii="Times New Roman" w:hAnsi="Times New Roman" w:cs="Times New Roman"/>
          <w:sz w:val="28"/>
          <w:szCs w:val="28"/>
        </w:rPr>
      </w:pPr>
    </w:p>
    <w:p w:rsidR="0054283C" w:rsidRPr="00C039F9" w:rsidRDefault="005E4398">
      <w:pPr>
        <w:widowControl w:val="0"/>
        <w:autoSpaceDE w:val="0"/>
        <w:autoSpaceDN w:val="0"/>
        <w:adjustRightInd w:val="0"/>
        <w:spacing w:after="0" w:line="240" w:lineRule="auto"/>
        <w:jc w:val="both"/>
        <w:rPr>
          <w:rFonts w:ascii="Times New Roman" w:hAnsi="Times New Roman" w:cs="Times New Roman"/>
          <w:sz w:val="28"/>
          <w:szCs w:val="28"/>
        </w:rPr>
      </w:pPr>
      <w:r w:rsidRPr="00C039F9">
        <w:rPr>
          <w:rFonts w:ascii="Times New Roman" w:hAnsi="Times New Roman" w:cs="Times New Roman"/>
          <w:i/>
          <w:iCs/>
          <w:sz w:val="28"/>
          <w:szCs w:val="28"/>
        </w:rPr>
        <w:t>(...) en lo que se refiere a las tasas y contribuciones, el inciso 2º del mismo artículo 338 superior flexibiliza la rigidez del mencionado principio de predeterminación. En efecto, a diferencia de los impuestos, la Constitución Política autoriza que el Congreso, las asambleas departamentales y los concejos municipales y distritales deleguen en otras autoridades la fijación de la tarifa de las tasas y contribuciones; esto, siempre y cuando el sistema y el método utilizados para definir los costos y beneficios de los correspondiente servicios, autorizaciones y obras, así como su repartición, sean directamente fijados por dichas corporaciones mediante ley nacional, ordenanza departamental o acuerdo municipal, según corresponda.</w:t>
      </w:r>
    </w:p>
    <w:p w:rsidR="0054283C" w:rsidRPr="00C039F9" w:rsidRDefault="0054283C">
      <w:pPr>
        <w:widowControl w:val="0"/>
        <w:autoSpaceDE w:val="0"/>
        <w:autoSpaceDN w:val="0"/>
        <w:adjustRightInd w:val="0"/>
        <w:spacing w:after="0" w:line="240" w:lineRule="auto"/>
        <w:jc w:val="both"/>
        <w:rPr>
          <w:rFonts w:ascii="Times New Roman" w:hAnsi="Times New Roman" w:cs="Times New Roman"/>
          <w:sz w:val="28"/>
          <w:szCs w:val="28"/>
        </w:rPr>
      </w:pPr>
    </w:p>
    <w:p w:rsidR="0054283C" w:rsidRPr="00C039F9" w:rsidRDefault="005E4398">
      <w:pPr>
        <w:widowControl w:val="0"/>
        <w:autoSpaceDE w:val="0"/>
        <w:autoSpaceDN w:val="0"/>
        <w:adjustRightInd w:val="0"/>
        <w:spacing w:after="0" w:line="240" w:lineRule="auto"/>
        <w:jc w:val="both"/>
        <w:rPr>
          <w:rFonts w:ascii="Times New Roman" w:hAnsi="Times New Roman" w:cs="Times New Roman"/>
          <w:sz w:val="28"/>
          <w:szCs w:val="28"/>
        </w:rPr>
      </w:pPr>
      <w:r w:rsidRPr="00C039F9">
        <w:rPr>
          <w:rFonts w:ascii="Times New Roman" w:hAnsi="Times New Roman" w:cs="Times New Roman"/>
          <w:b/>
          <w:bCs/>
          <w:sz w:val="28"/>
          <w:szCs w:val="28"/>
        </w:rPr>
        <w:t>CONFIGURACION LEGISLATIVA TRIBUTARIA EN OBLIGACIONES FORMALES</w:t>
      </w:r>
      <w:r w:rsidRPr="00C039F9">
        <w:rPr>
          <w:rFonts w:ascii="Times New Roman" w:hAnsi="Times New Roman" w:cs="Times New Roman"/>
          <w:sz w:val="28"/>
          <w:szCs w:val="28"/>
        </w:rPr>
        <w:t>-Condiciones para delegación en la administración</w:t>
      </w:r>
    </w:p>
    <w:p w:rsidR="0054283C" w:rsidRPr="00C039F9" w:rsidRDefault="0054283C">
      <w:pPr>
        <w:widowControl w:val="0"/>
        <w:autoSpaceDE w:val="0"/>
        <w:autoSpaceDN w:val="0"/>
        <w:adjustRightInd w:val="0"/>
        <w:spacing w:after="0" w:line="240" w:lineRule="auto"/>
        <w:jc w:val="both"/>
        <w:rPr>
          <w:rFonts w:ascii="Times New Roman" w:hAnsi="Times New Roman" w:cs="Times New Roman"/>
          <w:sz w:val="28"/>
          <w:szCs w:val="28"/>
        </w:rPr>
      </w:pPr>
    </w:p>
    <w:p w:rsidR="0054283C" w:rsidRPr="00C039F9" w:rsidRDefault="005E4398">
      <w:pPr>
        <w:widowControl w:val="0"/>
        <w:autoSpaceDE w:val="0"/>
        <w:autoSpaceDN w:val="0"/>
        <w:adjustRightInd w:val="0"/>
        <w:spacing w:after="0" w:line="240" w:lineRule="auto"/>
        <w:jc w:val="both"/>
        <w:rPr>
          <w:rFonts w:ascii="Times New Roman" w:hAnsi="Times New Roman" w:cs="Times New Roman"/>
          <w:sz w:val="28"/>
          <w:szCs w:val="28"/>
        </w:rPr>
      </w:pPr>
      <w:r w:rsidRPr="00C039F9">
        <w:rPr>
          <w:rFonts w:ascii="Times New Roman" w:hAnsi="Times New Roman" w:cs="Times New Roman"/>
          <w:i/>
          <w:iCs/>
          <w:sz w:val="28"/>
          <w:szCs w:val="28"/>
        </w:rPr>
        <w:t xml:space="preserve">(...) esta Corporación ha sostenido que en escenarios excepcionales es válido que el legislador delegue la definición de aspectos específicos del tributo a autoridades gubernamentales. Lo anterior, siempre que (i) se trate de aspectos que por su naturaleza técnica o condiciones particulares requieran de continua actualización que escapa a la naturaleza de la actividad legislativa, en tanto dichos elementos no pueden ser previstos de antemano y de manera precisa por la ley; y (ii) en todo caso existe un parámetro que defina el marco de acción de la actividad de la administración, bien sea definido de forma objetiva y verificable. </w:t>
      </w:r>
    </w:p>
    <w:p w:rsidR="0054283C" w:rsidRPr="00C039F9" w:rsidRDefault="0054283C">
      <w:pPr>
        <w:widowControl w:val="0"/>
        <w:autoSpaceDE w:val="0"/>
        <w:autoSpaceDN w:val="0"/>
        <w:adjustRightInd w:val="0"/>
        <w:spacing w:after="0" w:line="240" w:lineRule="auto"/>
        <w:jc w:val="both"/>
        <w:rPr>
          <w:rFonts w:ascii="Times New Roman" w:hAnsi="Times New Roman" w:cs="Times New Roman"/>
          <w:sz w:val="28"/>
          <w:szCs w:val="28"/>
        </w:rPr>
      </w:pPr>
    </w:p>
    <w:p w:rsidR="0054283C" w:rsidRPr="00C039F9" w:rsidRDefault="00C039F9">
      <w:pPr>
        <w:widowControl w:val="0"/>
        <w:autoSpaceDE w:val="0"/>
        <w:autoSpaceDN w:val="0"/>
        <w:adjustRightInd w:val="0"/>
        <w:spacing w:after="0" w:line="240" w:lineRule="auto"/>
        <w:jc w:val="both"/>
        <w:rPr>
          <w:rFonts w:ascii="Times New Roman" w:hAnsi="Times New Roman" w:cs="Times New Roman"/>
          <w:sz w:val="28"/>
        </w:rPr>
      </w:pPr>
      <w:r w:rsidRPr="00C039F9">
        <w:rPr>
          <w:rFonts w:ascii="Times New Roman" w:hAnsi="Times New Roman" w:cs="Times New Roman"/>
          <w:sz w:val="28"/>
          <w:szCs w:val="28"/>
        </w:rPr>
        <w:pict>
          <v:rect id="_x0000_i1025" style="width:0;height:1.5pt" o:hralign="center" o:hrstd="t" o:hr="t" fillcolor="#a0a0a0" stroked="f"/>
        </w:pict>
      </w:r>
    </w:p>
    <w:p w:rsidR="00D6280D" w:rsidRPr="00C039F9" w:rsidRDefault="00C039F9" w:rsidP="00BA0AEF">
      <w:pPr>
        <w:pStyle w:val="Ttulo1"/>
        <w:tabs>
          <w:tab w:val="clear" w:pos="709"/>
          <w:tab w:val="left" w:pos="284"/>
        </w:tabs>
        <w:ind w:left="0" w:firstLine="0"/>
        <w:contextualSpacing/>
        <w:rPr>
          <w:rFonts w:ascii="Times New Roman" w:hAnsi="Times New Roman" w:cs="Times New Roman"/>
          <w:sz w:val="28"/>
          <w:szCs w:val="28"/>
        </w:rPr>
      </w:pPr>
      <w:r w:rsidRPr="00C039F9">
        <w:rPr>
          <w:rFonts w:ascii="Times New Roman" w:hAnsi="Times New Roman" w:cs="Times New Roman"/>
          <w:sz w:val="28"/>
          <w:szCs w:val="28"/>
        </w:rPr>
        <w:t>REPÚBLICA DE COLOMBIA</w:t>
      </w:r>
    </w:p>
    <w:p w:rsidR="00D6280D" w:rsidRPr="00C039F9" w:rsidRDefault="00C039F9" w:rsidP="00BA0AEF">
      <w:pPr>
        <w:pStyle w:val="Ttulo"/>
        <w:tabs>
          <w:tab w:val="left" w:pos="284"/>
        </w:tabs>
        <w:ind w:right="51"/>
        <w:contextualSpacing/>
        <w:rPr>
          <w:rFonts w:ascii="Times New Roman" w:hAnsi="Times New Roman" w:cs="Times New Roman"/>
          <w:sz w:val="28"/>
          <w:szCs w:val="28"/>
        </w:rPr>
      </w:pPr>
      <w:r w:rsidRPr="00C039F9">
        <w:rPr>
          <w:rFonts w:ascii="Times New Roman" w:hAnsi="Times New Roman" w:cs="Times New Roman"/>
          <w:noProof/>
          <w:sz w:val="28"/>
          <w:szCs w:val="28"/>
        </w:rPr>
        <w:drawing>
          <wp:inline distT="0" distB="0" distL="0" distR="0" wp14:anchorId="1A037DCE" wp14:editId="12FDFBEA">
            <wp:extent cx="796290" cy="840105"/>
            <wp:effectExtent l="0" t="0" r="3810" b="0"/>
            <wp:docPr id="1" name="image2.png" descr="imagenes/logo.png"/>
            <wp:cNvGraphicFramePr/>
            <a:graphic xmlns:a="http://schemas.openxmlformats.org/drawingml/2006/main">
              <a:graphicData uri="http://schemas.openxmlformats.org/drawingml/2006/picture">
                <pic:pic xmlns:pic="http://schemas.openxmlformats.org/drawingml/2006/picture">
                  <pic:nvPicPr>
                    <pic:cNvPr id="1" name="image2.png" descr="imagenes/logo.png"/>
                    <pic:cNvPicPr/>
                  </pic:nvPicPr>
                  <pic:blipFill>
                    <a:blip r:embed="rId7"/>
                    <a:srcRect/>
                    <a:stretch>
                      <a:fillRect/>
                    </a:stretch>
                  </pic:blipFill>
                  <pic:spPr>
                    <a:xfrm>
                      <a:off x="0" y="0"/>
                      <a:ext cx="796290" cy="840105"/>
                    </a:xfrm>
                    <a:prstGeom prst="rect">
                      <a:avLst/>
                    </a:prstGeom>
                    <a:ln/>
                  </pic:spPr>
                </pic:pic>
              </a:graphicData>
            </a:graphic>
          </wp:inline>
        </w:drawing>
      </w:r>
    </w:p>
    <w:p w:rsidR="00D6280D" w:rsidRPr="00C039F9" w:rsidRDefault="00C039F9" w:rsidP="00D6280D">
      <w:pPr>
        <w:pStyle w:val="Ttulo1"/>
        <w:tabs>
          <w:tab w:val="clear" w:pos="709"/>
          <w:tab w:val="left" w:pos="284"/>
        </w:tabs>
        <w:ind w:left="0" w:firstLine="0"/>
        <w:contextualSpacing/>
        <w:rPr>
          <w:rFonts w:ascii="Times New Roman" w:hAnsi="Times New Roman" w:cs="Times New Roman"/>
          <w:sz w:val="28"/>
          <w:szCs w:val="28"/>
        </w:rPr>
      </w:pPr>
      <w:r w:rsidRPr="00C039F9">
        <w:rPr>
          <w:rFonts w:ascii="Times New Roman" w:hAnsi="Times New Roman" w:cs="Times New Roman"/>
          <w:sz w:val="28"/>
          <w:szCs w:val="28"/>
        </w:rPr>
        <w:t>CORTE CONSTITUCIONAL</w:t>
      </w:r>
    </w:p>
    <w:p w:rsidR="00D6280D" w:rsidRPr="00C039F9" w:rsidRDefault="00C039F9" w:rsidP="00D6280D">
      <w:pPr>
        <w:tabs>
          <w:tab w:val="left" w:pos="284"/>
        </w:tabs>
        <w:contextualSpacing/>
        <w:rPr>
          <w:rFonts w:ascii="Times New Roman" w:hAnsi="Times New Roman" w:cs="Times New Roman"/>
          <w:sz w:val="28"/>
          <w:szCs w:val="28"/>
        </w:rPr>
      </w:pPr>
    </w:p>
    <w:p w:rsidR="00D6280D" w:rsidRPr="00C039F9" w:rsidRDefault="00C039F9" w:rsidP="00D6280D">
      <w:pPr>
        <w:tabs>
          <w:tab w:val="left" w:pos="284"/>
        </w:tabs>
        <w:contextualSpacing/>
        <w:rPr>
          <w:rFonts w:ascii="Times New Roman" w:hAnsi="Times New Roman" w:cs="Times New Roman"/>
          <w:sz w:val="28"/>
          <w:szCs w:val="28"/>
        </w:rPr>
      </w:pPr>
    </w:p>
    <w:p w:rsidR="00D6280D" w:rsidRPr="00C039F9" w:rsidRDefault="00C039F9" w:rsidP="00D6280D">
      <w:pPr>
        <w:tabs>
          <w:tab w:val="left" w:pos="284"/>
        </w:tabs>
        <w:contextualSpacing/>
        <w:jc w:val="center"/>
        <w:rPr>
          <w:rFonts w:ascii="Times New Roman" w:hAnsi="Times New Roman" w:cs="Times New Roman"/>
          <w:b/>
          <w:bCs/>
          <w:sz w:val="28"/>
          <w:szCs w:val="28"/>
        </w:rPr>
      </w:pPr>
      <w:r w:rsidRPr="00C039F9">
        <w:rPr>
          <w:rFonts w:ascii="Times New Roman" w:hAnsi="Times New Roman" w:cs="Times New Roman"/>
          <w:b/>
          <w:bCs/>
          <w:sz w:val="28"/>
          <w:szCs w:val="28"/>
        </w:rPr>
        <w:t>Sentencia C-</w:t>
      </w:r>
      <w:r w:rsidRPr="00C039F9">
        <w:rPr>
          <w:rFonts w:ascii="Times New Roman" w:hAnsi="Times New Roman" w:cs="Times New Roman"/>
          <w:b/>
          <w:bCs/>
          <w:sz w:val="28"/>
          <w:szCs w:val="28"/>
        </w:rPr>
        <w:t>055</w:t>
      </w:r>
      <w:r w:rsidRPr="00C039F9">
        <w:rPr>
          <w:rFonts w:ascii="Times New Roman" w:hAnsi="Times New Roman" w:cs="Times New Roman"/>
          <w:b/>
          <w:bCs/>
          <w:sz w:val="28"/>
          <w:szCs w:val="28"/>
        </w:rPr>
        <w:t xml:space="preserve"> de </w:t>
      </w:r>
      <w:r w:rsidRPr="00C039F9">
        <w:rPr>
          <w:rFonts w:ascii="Times New Roman" w:hAnsi="Times New Roman" w:cs="Times New Roman"/>
          <w:b/>
          <w:bCs/>
          <w:sz w:val="28"/>
          <w:szCs w:val="28"/>
        </w:rPr>
        <w:t>2024</w:t>
      </w:r>
    </w:p>
    <w:p w:rsidR="00D6280D" w:rsidRPr="00C039F9" w:rsidRDefault="00C039F9" w:rsidP="00D6280D">
      <w:pPr>
        <w:tabs>
          <w:tab w:val="left" w:pos="284"/>
        </w:tabs>
        <w:contextualSpacing/>
        <w:jc w:val="center"/>
        <w:rPr>
          <w:rFonts w:ascii="Times New Roman" w:hAnsi="Times New Roman" w:cs="Times New Roman"/>
          <w:b/>
          <w:bCs/>
          <w:sz w:val="28"/>
          <w:szCs w:val="28"/>
        </w:rPr>
      </w:pPr>
    </w:p>
    <w:p w:rsidR="00D6280D" w:rsidRPr="00C039F9" w:rsidRDefault="00C039F9" w:rsidP="00D6280D">
      <w:pPr>
        <w:tabs>
          <w:tab w:val="left" w:pos="284"/>
        </w:tabs>
        <w:contextualSpacing/>
        <w:jc w:val="center"/>
        <w:rPr>
          <w:rFonts w:ascii="Times New Roman" w:hAnsi="Times New Roman" w:cs="Times New Roman"/>
          <w:b/>
          <w:bCs/>
          <w:sz w:val="28"/>
          <w:szCs w:val="28"/>
        </w:rPr>
      </w:pPr>
    </w:p>
    <w:p w:rsidR="00D6280D" w:rsidRPr="00C039F9" w:rsidRDefault="00C039F9" w:rsidP="00D6280D">
      <w:pPr>
        <w:tabs>
          <w:tab w:val="left" w:pos="284"/>
        </w:tabs>
        <w:ind w:left="3969" w:right="51"/>
        <w:contextualSpacing/>
        <w:rPr>
          <w:rFonts w:ascii="Times New Roman" w:hAnsi="Times New Roman" w:cs="Times New Roman"/>
          <w:sz w:val="28"/>
          <w:szCs w:val="28"/>
        </w:rPr>
      </w:pPr>
      <w:bookmarkStart w:id="1" w:name="_Hlk144392865"/>
      <w:r w:rsidRPr="00C039F9">
        <w:rPr>
          <w:rFonts w:ascii="Times New Roman" w:hAnsi="Times New Roman" w:cs="Times New Roman"/>
          <w:b/>
          <w:bCs/>
          <w:sz w:val="28"/>
          <w:szCs w:val="28"/>
        </w:rPr>
        <w:t>Expediente:</w:t>
      </w:r>
      <w:r w:rsidRPr="00C039F9">
        <w:rPr>
          <w:rFonts w:ascii="Times New Roman" w:hAnsi="Times New Roman" w:cs="Times New Roman"/>
          <w:sz w:val="28"/>
          <w:szCs w:val="28"/>
        </w:rPr>
        <w:t xml:space="preserve"> D-15</w:t>
      </w:r>
      <w:r w:rsidRPr="00C039F9">
        <w:rPr>
          <w:rFonts w:ascii="Times New Roman" w:hAnsi="Times New Roman" w:cs="Times New Roman"/>
          <w:sz w:val="28"/>
          <w:szCs w:val="28"/>
        </w:rPr>
        <w:t>.</w:t>
      </w:r>
      <w:r w:rsidRPr="00C039F9">
        <w:rPr>
          <w:rFonts w:ascii="Times New Roman" w:hAnsi="Times New Roman" w:cs="Times New Roman"/>
          <w:sz w:val="28"/>
          <w:szCs w:val="28"/>
        </w:rPr>
        <w:t>402</w:t>
      </w:r>
    </w:p>
    <w:p w:rsidR="00D6280D" w:rsidRPr="00C039F9" w:rsidRDefault="00C039F9" w:rsidP="00D6280D">
      <w:pPr>
        <w:pStyle w:val="centrado"/>
        <w:spacing w:before="0" w:beforeAutospacing="0" w:after="0" w:afterAutospacing="0"/>
        <w:ind w:left="3686"/>
        <w:jc w:val="both"/>
        <w:rPr>
          <w:rFonts w:ascii="Times New Roman" w:hAnsi="Times New Roman" w:cs="Times New Roman"/>
          <w:sz w:val="28"/>
          <w:szCs w:val="28"/>
        </w:rPr>
      </w:pPr>
    </w:p>
    <w:p w:rsidR="00D6280D" w:rsidRPr="00C039F9" w:rsidRDefault="00C039F9" w:rsidP="00D6280D">
      <w:pPr>
        <w:pStyle w:val="centrado"/>
        <w:spacing w:before="0" w:beforeAutospacing="0" w:after="0" w:afterAutospacing="0"/>
        <w:ind w:left="3969"/>
        <w:jc w:val="both"/>
        <w:rPr>
          <w:rFonts w:ascii="Times New Roman" w:hAnsi="Times New Roman" w:cs="Times New Roman"/>
          <w:sz w:val="28"/>
          <w:szCs w:val="28"/>
        </w:rPr>
      </w:pPr>
      <w:r w:rsidRPr="00C039F9">
        <w:rPr>
          <w:rFonts w:ascii="Times New Roman" w:hAnsi="Times New Roman" w:cs="Times New Roman"/>
          <w:sz w:val="28"/>
          <w:szCs w:val="28"/>
        </w:rPr>
        <w:t xml:space="preserve">Demanda de inconstitucionalidad contra el artículo 169 de la Ley 2294 de 2023, por la cual se expide el Plan Nacional de Desarrollo 2022-2026 «Colombia Potencia Mundial de la Vida» </w:t>
      </w:r>
    </w:p>
    <w:bookmarkEnd w:id="1"/>
    <w:p w:rsidR="00D6280D" w:rsidRPr="00C039F9" w:rsidRDefault="00C039F9" w:rsidP="00D6280D">
      <w:pPr>
        <w:tabs>
          <w:tab w:val="left" w:pos="284"/>
          <w:tab w:val="left" w:pos="2520"/>
        </w:tabs>
        <w:ind w:left="3969" w:right="51"/>
        <w:contextualSpacing/>
        <w:rPr>
          <w:rFonts w:ascii="Times New Roman" w:hAnsi="Times New Roman" w:cs="Times New Roman"/>
          <w:i/>
          <w:iCs/>
          <w:sz w:val="28"/>
          <w:szCs w:val="28"/>
        </w:rPr>
      </w:pPr>
    </w:p>
    <w:p w:rsidR="00D6280D" w:rsidRPr="00C039F9" w:rsidRDefault="00C039F9" w:rsidP="00D6280D">
      <w:pPr>
        <w:tabs>
          <w:tab w:val="left" w:pos="284"/>
          <w:tab w:val="left" w:pos="2520"/>
        </w:tabs>
        <w:ind w:left="3969" w:right="51"/>
        <w:contextualSpacing/>
        <w:rPr>
          <w:rFonts w:ascii="Times New Roman" w:hAnsi="Times New Roman" w:cs="Times New Roman"/>
          <w:sz w:val="28"/>
          <w:szCs w:val="28"/>
        </w:rPr>
      </w:pPr>
      <w:r w:rsidRPr="00C039F9">
        <w:rPr>
          <w:rFonts w:ascii="Times New Roman" w:hAnsi="Times New Roman" w:cs="Times New Roman"/>
          <w:sz w:val="28"/>
          <w:szCs w:val="28"/>
        </w:rPr>
        <w:t>Magistrada ponente:</w:t>
      </w:r>
    </w:p>
    <w:p w:rsidR="00D6280D" w:rsidRPr="00C039F9" w:rsidRDefault="00C039F9" w:rsidP="00D6280D">
      <w:pPr>
        <w:tabs>
          <w:tab w:val="left" w:pos="284"/>
          <w:tab w:val="left" w:pos="2520"/>
        </w:tabs>
        <w:ind w:left="3969" w:right="51"/>
        <w:contextualSpacing/>
        <w:rPr>
          <w:rFonts w:ascii="Times New Roman" w:hAnsi="Times New Roman" w:cs="Times New Roman"/>
          <w:b/>
          <w:sz w:val="28"/>
          <w:szCs w:val="28"/>
        </w:rPr>
      </w:pPr>
      <w:r w:rsidRPr="00C039F9">
        <w:rPr>
          <w:rFonts w:ascii="Times New Roman" w:hAnsi="Times New Roman" w:cs="Times New Roman"/>
          <w:b/>
          <w:sz w:val="28"/>
          <w:szCs w:val="28"/>
        </w:rPr>
        <w:t>Cristina Pardo Schlesinger</w:t>
      </w:r>
    </w:p>
    <w:p w:rsidR="00D6280D" w:rsidRPr="00C039F9" w:rsidRDefault="00C039F9" w:rsidP="00D6280D">
      <w:pPr>
        <w:tabs>
          <w:tab w:val="left" w:pos="284"/>
        </w:tabs>
        <w:ind w:right="51"/>
        <w:contextualSpacing/>
        <w:rPr>
          <w:rFonts w:ascii="Times New Roman" w:hAnsi="Times New Roman" w:cs="Times New Roman"/>
          <w:sz w:val="28"/>
          <w:szCs w:val="28"/>
        </w:rPr>
      </w:pPr>
    </w:p>
    <w:p w:rsidR="00D6280D" w:rsidRPr="00C039F9" w:rsidRDefault="00C039F9" w:rsidP="00D6280D">
      <w:pPr>
        <w:tabs>
          <w:tab w:val="left" w:pos="284"/>
        </w:tabs>
        <w:ind w:right="51"/>
        <w:contextualSpacing/>
        <w:rPr>
          <w:rFonts w:ascii="Times New Roman" w:hAnsi="Times New Roman" w:cs="Times New Roman"/>
          <w:sz w:val="28"/>
          <w:szCs w:val="28"/>
        </w:rPr>
      </w:pPr>
      <w:r w:rsidRPr="00C039F9">
        <w:rPr>
          <w:rFonts w:ascii="Times New Roman" w:hAnsi="Times New Roman" w:cs="Times New Roman"/>
          <w:sz w:val="28"/>
          <w:szCs w:val="28"/>
        </w:rPr>
        <w:t xml:space="preserve">Bogotá, D.C., </w:t>
      </w:r>
      <w:r w:rsidRPr="00C039F9">
        <w:rPr>
          <w:rFonts w:ascii="Times New Roman" w:hAnsi="Times New Roman" w:cs="Times New Roman"/>
          <w:sz w:val="28"/>
          <w:szCs w:val="28"/>
        </w:rPr>
        <w:t>veintidós</w:t>
      </w:r>
      <w:r w:rsidRPr="00C039F9">
        <w:rPr>
          <w:rFonts w:ascii="Times New Roman" w:hAnsi="Times New Roman" w:cs="Times New Roman"/>
          <w:sz w:val="28"/>
          <w:szCs w:val="28"/>
        </w:rPr>
        <w:t xml:space="preserve"> (</w:t>
      </w:r>
      <w:r w:rsidRPr="00C039F9">
        <w:rPr>
          <w:rFonts w:ascii="Times New Roman" w:hAnsi="Times New Roman" w:cs="Times New Roman"/>
          <w:sz w:val="28"/>
          <w:szCs w:val="28"/>
        </w:rPr>
        <w:t>22</w:t>
      </w:r>
      <w:r w:rsidRPr="00C039F9">
        <w:rPr>
          <w:rFonts w:ascii="Times New Roman" w:hAnsi="Times New Roman" w:cs="Times New Roman"/>
          <w:sz w:val="28"/>
          <w:szCs w:val="28"/>
        </w:rPr>
        <w:t xml:space="preserve">) de </w:t>
      </w:r>
      <w:r w:rsidRPr="00C039F9">
        <w:rPr>
          <w:rFonts w:ascii="Times New Roman" w:hAnsi="Times New Roman" w:cs="Times New Roman"/>
          <w:sz w:val="28"/>
          <w:szCs w:val="28"/>
        </w:rPr>
        <w:t>febrero</w:t>
      </w:r>
      <w:r w:rsidRPr="00C039F9">
        <w:rPr>
          <w:rFonts w:ascii="Times New Roman" w:hAnsi="Times New Roman" w:cs="Times New Roman"/>
          <w:sz w:val="28"/>
          <w:szCs w:val="28"/>
        </w:rPr>
        <w:t xml:space="preserve"> de dos mil veinti</w:t>
      </w:r>
      <w:r w:rsidRPr="00C039F9">
        <w:rPr>
          <w:rFonts w:ascii="Times New Roman" w:hAnsi="Times New Roman" w:cs="Times New Roman"/>
          <w:sz w:val="28"/>
          <w:szCs w:val="28"/>
        </w:rPr>
        <w:t>cuatro</w:t>
      </w:r>
      <w:r w:rsidRPr="00C039F9">
        <w:rPr>
          <w:rFonts w:ascii="Times New Roman" w:hAnsi="Times New Roman" w:cs="Times New Roman"/>
          <w:sz w:val="28"/>
          <w:szCs w:val="28"/>
        </w:rPr>
        <w:t xml:space="preserve"> (202</w:t>
      </w:r>
      <w:r w:rsidRPr="00C039F9">
        <w:rPr>
          <w:rFonts w:ascii="Times New Roman" w:hAnsi="Times New Roman" w:cs="Times New Roman"/>
          <w:sz w:val="28"/>
          <w:szCs w:val="28"/>
        </w:rPr>
        <w:t>4</w:t>
      </w:r>
      <w:r w:rsidRPr="00C039F9">
        <w:rPr>
          <w:rFonts w:ascii="Times New Roman" w:hAnsi="Times New Roman" w:cs="Times New Roman"/>
          <w:sz w:val="28"/>
          <w:szCs w:val="28"/>
        </w:rPr>
        <w:t>)</w:t>
      </w:r>
    </w:p>
    <w:p w:rsidR="00D6280D" w:rsidRPr="00C039F9" w:rsidRDefault="00C039F9" w:rsidP="00D6280D">
      <w:pPr>
        <w:tabs>
          <w:tab w:val="left" w:pos="284"/>
        </w:tabs>
        <w:ind w:right="51"/>
        <w:contextualSpacing/>
        <w:rPr>
          <w:rFonts w:ascii="Times New Roman" w:hAnsi="Times New Roman" w:cs="Times New Roman"/>
          <w:sz w:val="28"/>
          <w:szCs w:val="28"/>
        </w:rPr>
      </w:pPr>
    </w:p>
    <w:p w:rsidR="00D6280D" w:rsidRPr="00C039F9" w:rsidRDefault="00C039F9" w:rsidP="00D6280D">
      <w:pPr>
        <w:widowControl w:val="0"/>
        <w:tabs>
          <w:tab w:val="left" w:pos="284"/>
        </w:tabs>
        <w:suppressAutoHyphens/>
        <w:contextualSpacing/>
        <w:rPr>
          <w:rFonts w:ascii="Times New Roman" w:eastAsia="SimSun" w:hAnsi="Times New Roman" w:cs="Times New Roman"/>
          <w:kern w:val="2"/>
          <w:sz w:val="28"/>
          <w:szCs w:val="28"/>
          <w:lang w:eastAsia="hi-IN" w:bidi="hi-IN"/>
        </w:rPr>
      </w:pPr>
      <w:r w:rsidRPr="00C039F9">
        <w:rPr>
          <w:rFonts w:ascii="Times New Roman" w:eastAsia="SimSun" w:hAnsi="Times New Roman" w:cs="Times New Roman"/>
          <w:bCs/>
          <w:kern w:val="2"/>
          <w:sz w:val="28"/>
          <w:szCs w:val="28"/>
          <w:lang w:eastAsia="hi-IN" w:bidi="hi-IN"/>
        </w:rPr>
        <w:t>La Sala Plena de la Corte Constitucional</w:t>
      </w:r>
      <w:r w:rsidRPr="00C039F9">
        <w:rPr>
          <w:rFonts w:ascii="Times New Roman" w:eastAsia="SimSun" w:hAnsi="Times New Roman" w:cs="Times New Roman"/>
          <w:kern w:val="2"/>
          <w:sz w:val="28"/>
          <w:szCs w:val="28"/>
          <w:lang w:eastAsia="hi-IN" w:bidi="hi-IN"/>
        </w:rPr>
        <w:t xml:space="preserve">, en ejercicio de sus atribuciones constitucionales y en cumplimiento de los requisitos y trámites establecidos en el Decreto 2067 de 1991, profiere la siguiente </w:t>
      </w:r>
    </w:p>
    <w:p w:rsidR="00D6280D" w:rsidRPr="00C039F9" w:rsidRDefault="00C039F9" w:rsidP="00D6280D">
      <w:pPr>
        <w:widowControl w:val="0"/>
        <w:tabs>
          <w:tab w:val="left" w:pos="284"/>
        </w:tabs>
        <w:suppressAutoHyphens/>
        <w:contextualSpacing/>
        <w:rPr>
          <w:rFonts w:ascii="Times New Roman" w:eastAsia="SimSun" w:hAnsi="Times New Roman" w:cs="Times New Roman"/>
          <w:b/>
          <w:kern w:val="2"/>
          <w:sz w:val="28"/>
          <w:szCs w:val="28"/>
          <w:lang w:eastAsia="hi-IN" w:bidi="hi-IN"/>
        </w:rPr>
      </w:pPr>
    </w:p>
    <w:p w:rsidR="00D6280D" w:rsidRPr="00C039F9" w:rsidRDefault="00C039F9" w:rsidP="00D6280D">
      <w:pPr>
        <w:widowControl w:val="0"/>
        <w:tabs>
          <w:tab w:val="left" w:pos="284"/>
        </w:tabs>
        <w:suppressAutoHyphens/>
        <w:contextualSpacing/>
        <w:jc w:val="center"/>
        <w:rPr>
          <w:rFonts w:ascii="Times New Roman" w:eastAsia="SimSun" w:hAnsi="Times New Roman" w:cs="Times New Roman"/>
          <w:b/>
          <w:kern w:val="2"/>
          <w:sz w:val="28"/>
          <w:szCs w:val="28"/>
          <w:lang w:eastAsia="hi-IN" w:bidi="hi-IN"/>
        </w:rPr>
      </w:pPr>
      <w:r w:rsidRPr="00C039F9">
        <w:rPr>
          <w:rFonts w:ascii="Times New Roman" w:eastAsia="SimSun" w:hAnsi="Times New Roman" w:cs="Times New Roman"/>
          <w:b/>
          <w:kern w:val="2"/>
          <w:sz w:val="28"/>
          <w:szCs w:val="28"/>
          <w:lang w:eastAsia="hi-IN" w:bidi="hi-IN"/>
        </w:rPr>
        <w:t>SENTENCIA</w:t>
      </w:r>
    </w:p>
    <w:p w:rsidR="00D6280D" w:rsidRPr="00C039F9" w:rsidRDefault="00C039F9" w:rsidP="0002060B">
      <w:pPr>
        <w:widowControl w:val="0"/>
        <w:tabs>
          <w:tab w:val="left" w:pos="284"/>
        </w:tabs>
        <w:suppressAutoHyphens/>
        <w:contextualSpacing/>
        <w:rPr>
          <w:rFonts w:ascii="Times New Roman" w:eastAsia="SimSun" w:hAnsi="Times New Roman" w:cs="Times New Roman"/>
          <w:b/>
          <w:kern w:val="2"/>
          <w:sz w:val="28"/>
          <w:szCs w:val="28"/>
          <w:lang w:eastAsia="hi-IN" w:bidi="hi-IN"/>
        </w:rPr>
      </w:pPr>
    </w:p>
    <w:p w:rsidR="0002060B" w:rsidRPr="00C039F9" w:rsidRDefault="00C039F9" w:rsidP="0002060B">
      <w:pPr>
        <w:widowControl w:val="0"/>
        <w:tabs>
          <w:tab w:val="left" w:pos="284"/>
        </w:tabs>
        <w:suppressAutoHyphens/>
        <w:contextualSpacing/>
        <w:rPr>
          <w:rFonts w:ascii="Times New Roman" w:eastAsia="SimSun" w:hAnsi="Times New Roman" w:cs="Times New Roman"/>
          <w:b/>
          <w:kern w:val="2"/>
          <w:sz w:val="28"/>
          <w:szCs w:val="28"/>
          <w:lang w:eastAsia="hi-IN" w:bidi="hi-IN"/>
        </w:rPr>
      </w:pPr>
    </w:p>
    <w:tbl>
      <w:tblPr>
        <w:tblStyle w:val="Tablaconcuadrcula"/>
        <w:tblW w:w="0" w:type="auto"/>
        <w:tblLook w:val="04A0" w:firstRow="1" w:lastRow="0" w:firstColumn="1" w:lastColumn="0" w:noHBand="0" w:noVBand="1"/>
      </w:tblPr>
      <w:tblGrid>
        <w:gridCol w:w="8353"/>
      </w:tblGrid>
      <w:tr w:rsidR="0002060B" w:rsidRPr="00C039F9" w:rsidTr="0002060B">
        <w:tc>
          <w:tcPr>
            <w:tcW w:w="8353" w:type="dxa"/>
          </w:tcPr>
          <w:p w:rsidR="0002060B" w:rsidRPr="00C039F9" w:rsidRDefault="00C039F9" w:rsidP="0002060B">
            <w:pPr>
              <w:widowControl w:val="0"/>
              <w:tabs>
                <w:tab w:val="left" w:pos="284"/>
              </w:tabs>
              <w:suppressAutoHyphens/>
              <w:contextualSpacing/>
              <w:rPr>
                <w:rFonts w:ascii="Times New Roman" w:eastAsia="SimSun" w:hAnsi="Times New Roman" w:cs="Times New Roman"/>
                <w:b/>
                <w:kern w:val="2"/>
                <w:sz w:val="28"/>
                <w:szCs w:val="28"/>
                <w:lang w:eastAsia="hi-IN" w:bidi="hi-IN"/>
              </w:rPr>
            </w:pPr>
            <w:r w:rsidRPr="00C039F9">
              <w:rPr>
                <w:rFonts w:ascii="Times New Roman" w:eastAsia="SimSun" w:hAnsi="Times New Roman" w:cs="Times New Roman"/>
                <w:b/>
                <w:kern w:val="2"/>
                <w:sz w:val="28"/>
                <w:szCs w:val="28"/>
                <w:lang w:eastAsia="hi-IN" w:bidi="hi-IN"/>
              </w:rPr>
              <w:t>Síntesis de la decisión</w:t>
            </w:r>
          </w:p>
          <w:p w:rsidR="0002060B" w:rsidRPr="00C039F9" w:rsidRDefault="00C039F9" w:rsidP="0002060B">
            <w:pPr>
              <w:widowControl w:val="0"/>
              <w:tabs>
                <w:tab w:val="left" w:pos="284"/>
              </w:tabs>
              <w:suppressAutoHyphens/>
              <w:contextualSpacing/>
              <w:rPr>
                <w:rFonts w:ascii="Times New Roman" w:eastAsia="SimSun" w:hAnsi="Times New Roman" w:cs="Times New Roman"/>
                <w:kern w:val="2"/>
                <w:sz w:val="28"/>
                <w:szCs w:val="28"/>
                <w:lang w:eastAsia="hi-IN" w:bidi="hi-IN"/>
              </w:rPr>
            </w:pPr>
          </w:p>
          <w:p w:rsidR="00E966C6" w:rsidRPr="00C039F9" w:rsidRDefault="00C039F9" w:rsidP="0002060B">
            <w:pPr>
              <w:widowControl w:val="0"/>
              <w:tabs>
                <w:tab w:val="left" w:pos="284"/>
              </w:tabs>
              <w:suppressAutoHyphens/>
              <w:contextualSpacing/>
              <w:rPr>
                <w:rFonts w:ascii="Times New Roman" w:eastAsia="SimSun" w:hAnsi="Times New Roman" w:cs="Times New Roman"/>
                <w:kern w:val="2"/>
                <w:sz w:val="28"/>
                <w:szCs w:val="28"/>
                <w:lang w:eastAsia="hi-IN" w:bidi="hi-IN"/>
              </w:rPr>
            </w:pPr>
            <w:r w:rsidRPr="00C039F9">
              <w:rPr>
                <w:rFonts w:ascii="Times New Roman" w:eastAsia="SimSun" w:hAnsi="Times New Roman" w:cs="Times New Roman"/>
                <w:kern w:val="2"/>
                <w:sz w:val="28"/>
                <w:szCs w:val="28"/>
                <w:lang w:eastAsia="hi-IN" w:bidi="hi-IN"/>
              </w:rPr>
              <w:t xml:space="preserve">La Sala Plena de la Corte Constitucional abordó el estudio de una demanda de inconstitucionalidad contra el artículo 169 de la Ley 2294 de 2023, que reformó el artículo 206 de la Ley 23 de 1982 y que establece la </w:t>
            </w:r>
            <w:r w:rsidRPr="00C039F9">
              <w:rPr>
                <w:rFonts w:ascii="Times New Roman" w:eastAsia="SimSun" w:hAnsi="Times New Roman" w:cs="Times New Roman"/>
                <w:kern w:val="2"/>
                <w:sz w:val="28"/>
                <w:szCs w:val="28"/>
                <w:lang w:eastAsia="hi-IN" w:bidi="hi-IN"/>
              </w:rPr>
              <w:t>creación y determinación de la tasa para la recuperación de los costos de los servicios prestados por la Dirección Nacional de Derecho de Autor (DNDA). En lo fundamental, en el cargo se sostuvo que la tasa que crea la norma demandada vulnera los principios</w:t>
            </w:r>
            <w:r w:rsidRPr="00C039F9">
              <w:rPr>
                <w:rFonts w:ascii="Times New Roman" w:eastAsia="SimSun" w:hAnsi="Times New Roman" w:cs="Times New Roman"/>
                <w:kern w:val="2"/>
                <w:sz w:val="28"/>
                <w:szCs w:val="28"/>
                <w:lang w:eastAsia="hi-IN" w:bidi="hi-IN"/>
              </w:rPr>
              <w:t xml:space="preserve"> de legalidad y certeza tributaria que prevé el artículo 338 de la Constitución, pues su base gravable depende de una metodología de cálculo establecida por el Gobierno nacional y no directamente por el Legislador</w:t>
            </w:r>
            <w:r w:rsidRPr="00C039F9">
              <w:rPr>
                <w:rFonts w:ascii="Times New Roman" w:eastAsia="SimSun" w:hAnsi="Times New Roman" w:cs="Times New Roman"/>
                <w:kern w:val="2"/>
                <w:sz w:val="28"/>
                <w:szCs w:val="28"/>
                <w:lang w:eastAsia="hi-IN" w:bidi="hi-IN"/>
              </w:rPr>
              <w:t>.</w:t>
            </w:r>
            <w:r w:rsidRPr="00C039F9">
              <w:rPr>
                <w:rFonts w:ascii="Times New Roman" w:eastAsia="SimSun" w:hAnsi="Times New Roman" w:cs="Times New Roman"/>
                <w:kern w:val="2"/>
                <w:sz w:val="28"/>
                <w:szCs w:val="28"/>
                <w:lang w:eastAsia="hi-IN" w:bidi="hi-IN"/>
              </w:rPr>
              <w:t xml:space="preserve"> </w:t>
            </w:r>
          </w:p>
          <w:p w:rsidR="00E966C6" w:rsidRPr="00C039F9" w:rsidRDefault="00C039F9" w:rsidP="0002060B">
            <w:pPr>
              <w:widowControl w:val="0"/>
              <w:tabs>
                <w:tab w:val="left" w:pos="284"/>
              </w:tabs>
              <w:suppressAutoHyphens/>
              <w:contextualSpacing/>
              <w:rPr>
                <w:rFonts w:ascii="Times New Roman" w:eastAsia="SimSun" w:hAnsi="Times New Roman" w:cs="Times New Roman"/>
                <w:kern w:val="2"/>
                <w:sz w:val="28"/>
                <w:szCs w:val="28"/>
                <w:lang w:eastAsia="hi-IN" w:bidi="hi-IN"/>
              </w:rPr>
            </w:pPr>
          </w:p>
          <w:p w:rsidR="00E966C6" w:rsidRPr="00C039F9" w:rsidRDefault="00C039F9" w:rsidP="0002060B">
            <w:pPr>
              <w:widowControl w:val="0"/>
              <w:tabs>
                <w:tab w:val="left" w:pos="284"/>
              </w:tabs>
              <w:suppressAutoHyphens/>
              <w:contextualSpacing/>
              <w:rPr>
                <w:rFonts w:ascii="Times New Roman" w:eastAsia="SimSun" w:hAnsi="Times New Roman" w:cs="Times New Roman"/>
                <w:kern w:val="2"/>
                <w:sz w:val="28"/>
                <w:szCs w:val="28"/>
                <w:lang w:eastAsia="hi-IN" w:bidi="hi-IN"/>
              </w:rPr>
            </w:pPr>
            <w:r w:rsidRPr="00C039F9">
              <w:rPr>
                <w:rFonts w:ascii="Times New Roman" w:eastAsia="SimSun" w:hAnsi="Times New Roman" w:cs="Times New Roman"/>
                <w:kern w:val="2"/>
                <w:sz w:val="28"/>
                <w:szCs w:val="28"/>
                <w:lang w:eastAsia="hi-IN" w:bidi="hi-IN"/>
              </w:rPr>
              <w:t>La Sala estableció la aptitud de la dem</w:t>
            </w:r>
            <w:r w:rsidRPr="00C039F9">
              <w:rPr>
                <w:rFonts w:ascii="Times New Roman" w:eastAsia="SimSun" w:hAnsi="Times New Roman" w:cs="Times New Roman"/>
                <w:kern w:val="2"/>
                <w:sz w:val="28"/>
                <w:szCs w:val="28"/>
                <w:lang w:eastAsia="hi-IN" w:bidi="hi-IN"/>
              </w:rPr>
              <w:t>anda sobre la totalidad de la norma demandada. Para ello sostuvo que, si bien el cargo se fundaba en la trasgresión constitucional del principio de legalidad y certeza tributaria por cuanto la base gravable de la tasa supuestamente sería determinada por el</w:t>
            </w:r>
            <w:r w:rsidRPr="00C039F9">
              <w:rPr>
                <w:rFonts w:ascii="Times New Roman" w:eastAsia="SimSun" w:hAnsi="Times New Roman" w:cs="Times New Roman"/>
                <w:kern w:val="2"/>
                <w:sz w:val="28"/>
                <w:szCs w:val="28"/>
                <w:lang w:eastAsia="hi-IN" w:bidi="hi-IN"/>
              </w:rPr>
              <w:t xml:space="preserve"> Gobierno nacional y no directamente por el Legislador, cargo este que recaía específicamente sobre el inciso referente de manera particular a la base gravable, el resto del artículo, incluidos los cuatro (4) parágrafos, se refería al método y sistema para</w:t>
            </w:r>
            <w:r w:rsidRPr="00C039F9">
              <w:rPr>
                <w:rFonts w:ascii="Times New Roman" w:eastAsia="SimSun" w:hAnsi="Times New Roman" w:cs="Times New Roman"/>
                <w:kern w:val="2"/>
                <w:sz w:val="28"/>
                <w:szCs w:val="28"/>
                <w:lang w:eastAsia="hi-IN" w:bidi="hi-IN"/>
              </w:rPr>
              <w:t xml:space="preserve"> la determinación de sus tarifas; a la potestad del Gobierno nacional para revisar periódicamente los criterios para la determinación de las mismas tarifas y al recaudo y destinación de la tasa creada. En tal virtud, si el inciso referente a la base gravab</w:t>
            </w:r>
            <w:r w:rsidRPr="00C039F9">
              <w:rPr>
                <w:rFonts w:ascii="Times New Roman" w:eastAsia="SimSun" w:hAnsi="Times New Roman" w:cs="Times New Roman"/>
                <w:kern w:val="2"/>
                <w:sz w:val="28"/>
                <w:szCs w:val="28"/>
                <w:lang w:eastAsia="hi-IN" w:bidi="hi-IN"/>
              </w:rPr>
              <w:t xml:space="preserve">le resultara inexequible, la norma entera se vería afectada por dicha decisión. </w:t>
            </w:r>
          </w:p>
          <w:p w:rsidR="00E966C6" w:rsidRPr="00C039F9" w:rsidRDefault="00C039F9" w:rsidP="0002060B">
            <w:pPr>
              <w:widowControl w:val="0"/>
              <w:tabs>
                <w:tab w:val="left" w:pos="284"/>
              </w:tabs>
              <w:suppressAutoHyphens/>
              <w:contextualSpacing/>
              <w:rPr>
                <w:rFonts w:ascii="Times New Roman" w:eastAsia="SimSun" w:hAnsi="Times New Roman" w:cs="Times New Roman"/>
                <w:kern w:val="2"/>
                <w:sz w:val="28"/>
                <w:szCs w:val="28"/>
                <w:lang w:eastAsia="hi-IN" w:bidi="hi-IN"/>
              </w:rPr>
            </w:pPr>
          </w:p>
          <w:p w:rsidR="00E966C6" w:rsidRPr="00C039F9" w:rsidRDefault="00C039F9" w:rsidP="0002060B">
            <w:pPr>
              <w:widowControl w:val="0"/>
              <w:tabs>
                <w:tab w:val="left" w:pos="284"/>
              </w:tabs>
              <w:suppressAutoHyphens/>
              <w:contextualSpacing/>
              <w:rPr>
                <w:rFonts w:ascii="Times New Roman" w:eastAsia="SimSun" w:hAnsi="Times New Roman" w:cs="Times New Roman"/>
                <w:kern w:val="2"/>
                <w:sz w:val="28"/>
                <w:szCs w:val="28"/>
                <w:lang w:eastAsia="hi-IN" w:bidi="hi-IN"/>
              </w:rPr>
            </w:pPr>
            <w:r w:rsidRPr="00C039F9">
              <w:rPr>
                <w:rFonts w:ascii="Times New Roman" w:eastAsia="SimSun" w:hAnsi="Times New Roman" w:cs="Times New Roman"/>
                <w:kern w:val="2"/>
                <w:sz w:val="28"/>
                <w:szCs w:val="28"/>
                <w:lang w:eastAsia="hi-IN" w:bidi="hi-IN"/>
              </w:rPr>
              <w:t>Posteriormente, la Corte reiteró brevemente la jurisprudencia relativa a las distintas clases de tributos que prevé la Constitución Política, así como a los elementos esencia</w:t>
            </w:r>
            <w:r w:rsidRPr="00C039F9">
              <w:rPr>
                <w:rFonts w:ascii="Times New Roman" w:eastAsia="SimSun" w:hAnsi="Times New Roman" w:cs="Times New Roman"/>
                <w:kern w:val="2"/>
                <w:sz w:val="28"/>
                <w:szCs w:val="28"/>
                <w:lang w:eastAsia="hi-IN" w:bidi="hi-IN"/>
              </w:rPr>
              <w:t xml:space="preserve">les de las obligaciones tributarias. En último orden, la Sala hizo una somera explicación de (i) los sujetos activos, (ii) los sujetos pasivos, (iii) la base gravable y (iv) los hechos generadores de los distintos tributos. </w:t>
            </w:r>
          </w:p>
          <w:p w:rsidR="00E966C6" w:rsidRPr="00C039F9" w:rsidRDefault="00C039F9" w:rsidP="0002060B">
            <w:pPr>
              <w:widowControl w:val="0"/>
              <w:tabs>
                <w:tab w:val="left" w:pos="284"/>
              </w:tabs>
              <w:suppressAutoHyphens/>
              <w:contextualSpacing/>
              <w:rPr>
                <w:rFonts w:ascii="Times New Roman" w:eastAsia="SimSun" w:hAnsi="Times New Roman" w:cs="Times New Roman"/>
                <w:kern w:val="2"/>
                <w:sz w:val="28"/>
                <w:szCs w:val="28"/>
                <w:lang w:eastAsia="hi-IN" w:bidi="hi-IN"/>
              </w:rPr>
            </w:pPr>
          </w:p>
          <w:p w:rsidR="00E966C6" w:rsidRPr="00C039F9" w:rsidRDefault="00C039F9" w:rsidP="0002060B">
            <w:pPr>
              <w:widowControl w:val="0"/>
              <w:tabs>
                <w:tab w:val="left" w:pos="284"/>
              </w:tabs>
              <w:suppressAutoHyphens/>
              <w:contextualSpacing/>
              <w:rPr>
                <w:rFonts w:ascii="Times New Roman" w:eastAsia="SimSun" w:hAnsi="Times New Roman" w:cs="Times New Roman"/>
                <w:kern w:val="2"/>
                <w:sz w:val="28"/>
                <w:szCs w:val="28"/>
                <w:lang w:eastAsia="hi-IN" w:bidi="hi-IN"/>
              </w:rPr>
            </w:pPr>
            <w:r w:rsidRPr="00C039F9">
              <w:rPr>
                <w:rFonts w:ascii="Times New Roman" w:eastAsia="SimSun" w:hAnsi="Times New Roman" w:cs="Times New Roman"/>
                <w:kern w:val="2"/>
                <w:sz w:val="28"/>
                <w:szCs w:val="28"/>
                <w:lang w:eastAsia="hi-IN" w:bidi="hi-IN"/>
              </w:rPr>
              <w:t>Luego, la Sala se refirió a la</w:t>
            </w:r>
            <w:r w:rsidRPr="00C039F9">
              <w:rPr>
                <w:rFonts w:ascii="Times New Roman" w:eastAsia="SimSun" w:hAnsi="Times New Roman" w:cs="Times New Roman"/>
                <w:kern w:val="2"/>
                <w:sz w:val="28"/>
                <w:szCs w:val="28"/>
                <w:lang w:eastAsia="hi-IN" w:bidi="hi-IN"/>
              </w:rPr>
              <w:t xml:space="preserve"> regulación constitucional sobre la fijación de los elementos esenciales de las obligaciones tributarias. En este sentido, la Corte hizo una explicación del artículo 338 superior y se detuvo en que, de acuerdo con su inciso 2º, la determinación de la tarif</w:t>
            </w:r>
            <w:r w:rsidRPr="00C039F9">
              <w:rPr>
                <w:rFonts w:ascii="Times New Roman" w:eastAsia="SimSun" w:hAnsi="Times New Roman" w:cs="Times New Roman"/>
                <w:kern w:val="2"/>
                <w:sz w:val="28"/>
                <w:szCs w:val="28"/>
                <w:lang w:eastAsia="hi-IN" w:bidi="hi-IN"/>
              </w:rPr>
              <w:t>a de las tasas y contribuciones que establezcan el Congreso, las asambleas departamentales y los concejos municipales puede delegarse en otras autoridades administrativas, «siempre y cuando el sistema y el método utilizados para definir los costos y benefi</w:t>
            </w:r>
            <w:r w:rsidRPr="00C039F9">
              <w:rPr>
                <w:rFonts w:ascii="Times New Roman" w:eastAsia="SimSun" w:hAnsi="Times New Roman" w:cs="Times New Roman"/>
                <w:kern w:val="2"/>
                <w:sz w:val="28"/>
                <w:szCs w:val="28"/>
                <w:lang w:eastAsia="hi-IN" w:bidi="hi-IN"/>
              </w:rPr>
              <w:t>cios de los correspondiente servicios, autorizaciones y obras, así como su repartición, sean directamente fijados por dich</w:t>
            </w:r>
            <w:r w:rsidRPr="00C039F9">
              <w:rPr>
                <w:rFonts w:ascii="Times New Roman" w:eastAsia="SimSun" w:hAnsi="Times New Roman" w:cs="Times New Roman"/>
                <w:kern w:val="2"/>
                <w:sz w:val="28"/>
                <w:szCs w:val="28"/>
                <w:lang w:eastAsia="hi-IN" w:bidi="hi-IN"/>
              </w:rPr>
              <w:t>a</w:t>
            </w:r>
            <w:r w:rsidRPr="00C039F9">
              <w:rPr>
                <w:rFonts w:ascii="Times New Roman" w:eastAsia="SimSun" w:hAnsi="Times New Roman" w:cs="Times New Roman"/>
                <w:kern w:val="2"/>
                <w:sz w:val="28"/>
                <w:szCs w:val="28"/>
                <w:lang w:eastAsia="hi-IN" w:bidi="hi-IN"/>
              </w:rPr>
              <w:t xml:space="preserve">s </w:t>
            </w:r>
            <w:r w:rsidRPr="00C039F9">
              <w:rPr>
                <w:rFonts w:ascii="Times New Roman" w:eastAsia="SimSun" w:hAnsi="Times New Roman" w:cs="Times New Roman"/>
                <w:kern w:val="2"/>
                <w:sz w:val="28"/>
                <w:szCs w:val="28"/>
                <w:lang w:eastAsia="hi-IN" w:bidi="hi-IN"/>
              </w:rPr>
              <w:t>corporaciones</w:t>
            </w:r>
            <w:r w:rsidRPr="00C039F9">
              <w:rPr>
                <w:rFonts w:ascii="Times New Roman" w:eastAsia="SimSun" w:hAnsi="Times New Roman" w:cs="Times New Roman"/>
                <w:kern w:val="2"/>
                <w:sz w:val="28"/>
                <w:szCs w:val="28"/>
                <w:lang w:eastAsia="hi-IN" w:bidi="hi-IN"/>
              </w:rPr>
              <w:t xml:space="preserve"> y administrativos mediante ley nacional, ordenanza departamental o acuerdo municipal, según corresponda». </w:t>
            </w:r>
          </w:p>
          <w:p w:rsidR="00E966C6" w:rsidRPr="00C039F9" w:rsidRDefault="00C039F9" w:rsidP="0002060B">
            <w:pPr>
              <w:widowControl w:val="0"/>
              <w:tabs>
                <w:tab w:val="left" w:pos="284"/>
              </w:tabs>
              <w:suppressAutoHyphens/>
              <w:contextualSpacing/>
              <w:rPr>
                <w:rFonts w:ascii="Times New Roman" w:eastAsia="SimSun" w:hAnsi="Times New Roman" w:cs="Times New Roman"/>
                <w:kern w:val="2"/>
                <w:sz w:val="28"/>
                <w:szCs w:val="28"/>
                <w:lang w:eastAsia="hi-IN" w:bidi="hi-IN"/>
              </w:rPr>
            </w:pPr>
          </w:p>
          <w:p w:rsidR="00E966C6" w:rsidRPr="00C039F9" w:rsidRDefault="00C039F9" w:rsidP="0002060B">
            <w:pPr>
              <w:widowControl w:val="0"/>
              <w:tabs>
                <w:tab w:val="left" w:pos="284"/>
              </w:tabs>
              <w:suppressAutoHyphens/>
              <w:contextualSpacing/>
              <w:rPr>
                <w:rFonts w:ascii="Times New Roman" w:eastAsia="SimSun" w:hAnsi="Times New Roman" w:cs="Times New Roman"/>
                <w:kern w:val="2"/>
                <w:sz w:val="28"/>
                <w:szCs w:val="28"/>
                <w:lang w:eastAsia="hi-IN" w:bidi="hi-IN"/>
              </w:rPr>
            </w:pPr>
            <w:r w:rsidRPr="00C039F9">
              <w:rPr>
                <w:rFonts w:ascii="Times New Roman" w:eastAsia="SimSun" w:hAnsi="Times New Roman" w:cs="Times New Roman"/>
                <w:kern w:val="2"/>
                <w:sz w:val="28"/>
                <w:szCs w:val="28"/>
                <w:lang w:eastAsia="hi-IN" w:bidi="hi-IN"/>
              </w:rPr>
              <w:t>Posterior</w:t>
            </w:r>
            <w:r w:rsidRPr="00C039F9">
              <w:rPr>
                <w:rFonts w:ascii="Times New Roman" w:eastAsia="SimSun" w:hAnsi="Times New Roman" w:cs="Times New Roman"/>
                <w:kern w:val="2"/>
                <w:sz w:val="28"/>
                <w:szCs w:val="28"/>
                <w:lang w:eastAsia="hi-IN" w:bidi="hi-IN"/>
              </w:rPr>
              <w:t xml:space="preserve">mente, la Sala </w:t>
            </w:r>
            <w:r w:rsidRPr="00C039F9">
              <w:rPr>
                <w:rFonts w:ascii="Times New Roman" w:eastAsia="SimSun" w:hAnsi="Times New Roman" w:cs="Times New Roman"/>
                <w:kern w:val="2"/>
                <w:sz w:val="28"/>
                <w:szCs w:val="28"/>
                <w:lang w:eastAsia="hi-IN" w:bidi="hi-IN"/>
              </w:rPr>
              <w:t>resolvió</w:t>
            </w:r>
            <w:r w:rsidRPr="00C039F9">
              <w:rPr>
                <w:rFonts w:ascii="Times New Roman" w:eastAsia="SimSun" w:hAnsi="Times New Roman" w:cs="Times New Roman"/>
                <w:kern w:val="2"/>
                <w:sz w:val="28"/>
                <w:szCs w:val="28"/>
                <w:lang w:eastAsia="hi-IN" w:bidi="hi-IN"/>
              </w:rPr>
              <w:t xml:space="preserve"> </w:t>
            </w:r>
            <w:r w:rsidRPr="00C039F9">
              <w:rPr>
                <w:rFonts w:ascii="Times New Roman" w:eastAsia="SimSun" w:hAnsi="Times New Roman" w:cs="Times New Roman"/>
                <w:kern w:val="2"/>
                <w:sz w:val="28"/>
                <w:szCs w:val="28"/>
                <w:lang w:eastAsia="hi-IN" w:bidi="hi-IN"/>
              </w:rPr>
              <w:t>e</w:t>
            </w:r>
            <w:r w:rsidRPr="00C039F9">
              <w:rPr>
                <w:rFonts w:ascii="Times New Roman" w:eastAsia="SimSun" w:hAnsi="Times New Roman" w:cs="Times New Roman"/>
                <w:kern w:val="2"/>
                <w:sz w:val="28"/>
                <w:szCs w:val="28"/>
                <w:lang w:eastAsia="hi-IN" w:bidi="hi-IN"/>
              </w:rPr>
              <w:t>l caso concreto y</w:t>
            </w:r>
            <w:r w:rsidRPr="00C039F9">
              <w:rPr>
                <w:rFonts w:ascii="Times New Roman" w:eastAsia="SimSun" w:hAnsi="Times New Roman" w:cs="Times New Roman"/>
                <w:kern w:val="2"/>
                <w:sz w:val="28"/>
                <w:szCs w:val="28"/>
                <w:lang w:eastAsia="hi-IN" w:bidi="hi-IN"/>
              </w:rPr>
              <w:t>,</w:t>
            </w:r>
            <w:r w:rsidRPr="00C039F9">
              <w:rPr>
                <w:rFonts w:ascii="Times New Roman" w:eastAsia="SimSun" w:hAnsi="Times New Roman" w:cs="Times New Roman"/>
                <w:kern w:val="2"/>
                <w:sz w:val="28"/>
                <w:szCs w:val="28"/>
                <w:lang w:eastAsia="hi-IN" w:bidi="hi-IN"/>
              </w:rPr>
              <w:t xml:space="preserve"> tras estudiar cada uno de los incisos y parágrafos de la norma acusada, concluyó sobre la exequibilidad de dicha disposición. Para ello, primero reconoció que el último inciso de la parte principal del artículo 2</w:t>
            </w:r>
            <w:r w:rsidRPr="00C039F9">
              <w:rPr>
                <w:rFonts w:ascii="Times New Roman" w:eastAsia="SimSun" w:hAnsi="Times New Roman" w:cs="Times New Roman"/>
                <w:kern w:val="2"/>
                <w:sz w:val="28"/>
                <w:szCs w:val="28"/>
                <w:lang w:eastAsia="hi-IN" w:bidi="hi-IN"/>
              </w:rPr>
              <w:t xml:space="preserve">06 de la Ley 23 de 1982 (modificado por la norma demandada) prevé la equiparación </w:t>
            </w:r>
            <w:r w:rsidRPr="00C039F9">
              <w:rPr>
                <w:rFonts w:ascii="Times New Roman" w:eastAsia="SimSun" w:hAnsi="Times New Roman" w:cs="Times New Roman"/>
                <w:kern w:val="2"/>
                <w:sz w:val="28"/>
                <w:szCs w:val="28"/>
                <w:lang w:eastAsia="hi-IN" w:bidi="hi-IN"/>
              </w:rPr>
              <w:t xml:space="preserve">de </w:t>
            </w:r>
            <w:r w:rsidRPr="00C039F9">
              <w:rPr>
                <w:rFonts w:ascii="Times New Roman" w:eastAsia="SimSun" w:hAnsi="Times New Roman" w:cs="Times New Roman"/>
                <w:kern w:val="2"/>
                <w:sz w:val="28"/>
                <w:szCs w:val="28"/>
                <w:lang w:eastAsia="hi-IN" w:bidi="hi-IN"/>
              </w:rPr>
              <w:t>la base gravable de la tasa con el valor de los costos que mediante ella se pretenden recuperar. De esta manera, encontró que fue el legislador quien directamente señaló cuál es la base gravable de la tasa, dejando al Ministerio del Interior el señalamient</w:t>
            </w:r>
            <w:r w:rsidRPr="00C039F9">
              <w:rPr>
                <w:rFonts w:ascii="Times New Roman" w:eastAsia="SimSun" w:hAnsi="Times New Roman" w:cs="Times New Roman"/>
                <w:kern w:val="2"/>
                <w:sz w:val="28"/>
                <w:szCs w:val="28"/>
                <w:lang w:eastAsia="hi-IN" w:bidi="hi-IN"/>
              </w:rPr>
              <w:t xml:space="preserve">o de la metodología de cálculo para concretar el valor de dichos costos. </w:t>
            </w:r>
          </w:p>
          <w:p w:rsidR="00E966C6" w:rsidRPr="00C039F9" w:rsidRDefault="00C039F9" w:rsidP="0002060B">
            <w:pPr>
              <w:widowControl w:val="0"/>
              <w:tabs>
                <w:tab w:val="left" w:pos="284"/>
              </w:tabs>
              <w:suppressAutoHyphens/>
              <w:contextualSpacing/>
              <w:rPr>
                <w:rFonts w:ascii="Times New Roman" w:eastAsia="SimSun" w:hAnsi="Times New Roman" w:cs="Times New Roman"/>
                <w:kern w:val="2"/>
                <w:sz w:val="28"/>
                <w:szCs w:val="28"/>
                <w:lang w:eastAsia="hi-IN" w:bidi="hi-IN"/>
              </w:rPr>
            </w:pPr>
          </w:p>
          <w:p w:rsidR="00E966C6" w:rsidRPr="00C039F9" w:rsidRDefault="00C039F9" w:rsidP="0002060B">
            <w:pPr>
              <w:widowControl w:val="0"/>
              <w:tabs>
                <w:tab w:val="left" w:pos="284"/>
              </w:tabs>
              <w:suppressAutoHyphens/>
              <w:contextualSpacing/>
              <w:rPr>
                <w:rFonts w:ascii="Times New Roman" w:eastAsia="SimSun" w:hAnsi="Times New Roman" w:cs="Times New Roman"/>
                <w:kern w:val="2"/>
                <w:sz w:val="28"/>
                <w:szCs w:val="28"/>
                <w:lang w:eastAsia="hi-IN" w:bidi="hi-IN"/>
              </w:rPr>
            </w:pPr>
            <w:r w:rsidRPr="00C039F9">
              <w:rPr>
                <w:rFonts w:ascii="Times New Roman" w:eastAsia="SimSun" w:hAnsi="Times New Roman" w:cs="Times New Roman"/>
                <w:kern w:val="2"/>
                <w:sz w:val="28"/>
                <w:szCs w:val="28"/>
                <w:lang w:eastAsia="hi-IN" w:bidi="hi-IN"/>
              </w:rPr>
              <w:t>Lo anterior por cuanto (i) la norma demandada no delega en el Gobierno nacional la definición de la base gravable de la tasa pues esta corresponde a los costos de la prestación de l</w:t>
            </w:r>
            <w:r w:rsidRPr="00C039F9">
              <w:rPr>
                <w:rFonts w:ascii="Times New Roman" w:eastAsia="SimSun" w:hAnsi="Times New Roman" w:cs="Times New Roman"/>
                <w:kern w:val="2"/>
                <w:sz w:val="28"/>
                <w:szCs w:val="28"/>
                <w:lang w:eastAsia="hi-IN" w:bidi="hi-IN"/>
              </w:rPr>
              <w:t>os servicios prestados por la Dirección Nacional de Derecho de Autor</w:t>
            </w:r>
            <w:r w:rsidRPr="00C039F9">
              <w:rPr>
                <w:rFonts w:ascii="Times New Roman" w:eastAsia="SimSun" w:hAnsi="Times New Roman" w:cs="Times New Roman"/>
                <w:kern w:val="2"/>
                <w:sz w:val="28"/>
                <w:szCs w:val="28"/>
                <w:lang w:eastAsia="hi-IN" w:bidi="hi-IN"/>
              </w:rPr>
              <w:t>;</w:t>
            </w:r>
            <w:r w:rsidRPr="00C039F9">
              <w:rPr>
                <w:rFonts w:ascii="Times New Roman" w:eastAsia="SimSun" w:hAnsi="Times New Roman" w:cs="Times New Roman"/>
                <w:kern w:val="2"/>
                <w:sz w:val="28"/>
                <w:szCs w:val="28"/>
                <w:lang w:eastAsia="hi-IN" w:bidi="hi-IN"/>
              </w:rPr>
              <w:t xml:space="preserve"> (ii) la norma también prevé que la delegación al Gobierno nacional para la determinación de tales costos de prestación del servicio se hace dentro de unos parámetros técnicos concretos, </w:t>
            </w:r>
            <w:r w:rsidRPr="00C039F9">
              <w:rPr>
                <w:rFonts w:ascii="Times New Roman" w:eastAsia="SimSun" w:hAnsi="Times New Roman" w:cs="Times New Roman"/>
                <w:kern w:val="2"/>
                <w:sz w:val="28"/>
                <w:szCs w:val="28"/>
                <w:lang w:eastAsia="hi-IN" w:bidi="hi-IN"/>
              </w:rPr>
              <w:t>que denomina como sistema y método; (iii) los mencionados costos de la prestación de servicio por parte de la Dirección Nacional de Derecho de Autor son una variable económica fluctuante, que varía con el paso del tiempo y que, por ello, requieren de una a</w:t>
            </w:r>
            <w:r w:rsidRPr="00C039F9">
              <w:rPr>
                <w:rFonts w:ascii="Times New Roman" w:eastAsia="SimSun" w:hAnsi="Times New Roman" w:cs="Times New Roman"/>
                <w:kern w:val="2"/>
                <w:sz w:val="28"/>
                <w:szCs w:val="28"/>
                <w:lang w:eastAsia="hi-IN" w:bidi="hi-IN"/>
              </w:rPr>
              <w:t xml:space="preserve">ctualización continua; y (iv) de todos modos, la norma demandada dispuso de parámetros concretos para la fijación de los costos de la prestación del servicio. </w:t>
            </w:r>
          </w:p>
          <w:p w:rsidR="00E966C6" w:rsidRPr="00C039F9" w:rsidRDefault="00C039F9" w:rsidP="0002060B">
            <w:pPr>
              <w:widowControl w:val="0"/>
              <w:tabs>
                <w:tab w:val="left" w:pos="284"/>
              </w:tabs>
              <w:suppressAutoHyphens/>
              <w:contextualSpacing/>
              <w:rPr>
                <w:rFonts w:ascii="Times New Roman" w:eastAsia="SimSun" w:hAnsi="Times New Roman" w:cs="Times New Roman"/>
                <w:kern w:val="2"/>
                <w:sz w:val="28"/>
                <w:szCs w:val="28"/>
                <w:lang w:eastAsia="hi-IN" w:bidi="hi-IN"/>
              </w:rPr>
            </w:pPr>
          </w:p>
          <w:p w:rsidR="0002060B" w:rsidRPr="00C039F9" w:rsidRDefault="00C039F9" w:rsidP="0002060B">
            <w:pPr>
              <w:widowControl w:val="0"/>
              <w:tabs>
                <w:tab w:val="left" w:pos="284"/>
              </w:tabs>
              <w:suppressAutoHyphens/>
              <w:contextualSpacing/>
              <w:rPr>
                <w:rFonts w:ascii="Times New Roman" w:eastAsia="SimSun" w:hAnsi="Times New Roman" w:cs="Times New Roman"/>
                <w:kern w:val="2"/>
                <w:sz w:val="28"/>
                <w:szCs w:val="28"/>
                <w:lang w:eastAsia="hi-IN" w:bidi="hi-IN"/>
              </w:rPr>
            </w:pPr>
            <w:r w:rsidRPr="00C039F9">
              <w:rPr>
                <w:rFonts w:ascii="Times New Roman" w:eastAsia="SimSun" w:hAnsi="Times New Roman" w:cs="Times New Roman"/>
                <w:kern w:val="2"/>
                <w:sz w:val="28"/>
                <w:szCs w:val="28"/>
                <w:lang w:eastAsia="hi-IN" w:bidi="hi-IN"/>
              </w:rPr>
              <w:t>Finalmente, la Corporación reparó en que el parágrafo 2º de la norma demandada podría interpret</w:t>
            </w:r>
            <w:r w:rsidRPr="00C039F9">
              <w:rPr>
                <w:rFonts w:ascii="Times New Roman" w:eastAsia="SimSun" w:hAnsi="Times New Roman" w:cs="Times New Roman"/>
                <w:kern w:val="2"/>
                <w:sz w:val="28"/>
                <w:szCs w:val="28"/>
                <w:lang w:eastAsia="hi-IN" w:bidi="hi-IN"/>
              </w:rPr>
              <w:t>arse como una autorización legal para que el Gobierno nacional se apartara de los criterios técnicos para la determinación de las tarifas de la tasa. Sin embargo, sin perjuicio de la exequibilidad pura y simple de la norma, la Corte anotó que la lectura co</w:t>
            </w:r>
            <w:r w:rsidRPr="00C039F9">
              <w:rPr>
                <w:rFonts w:ascii="Times New Roman" w:eastAsia="SimSun" w:hAnsi="Times New Roman" w:cs="Times New Roman"/>
                <w:kern w:val="2"/>
                <w:sz w:val="28"/>
                <w:szCs w:val="28"/>
                <w:lang w:eastAsia="hi-IN" w:bidi="hi-IN"/>
              </w:rPr>
              <w:t>nstitucionalmente adecuada de la norma consiste en que, mediante ella, se habilita al Gobierno nacional para que, con la información disponible de la Dirección Nacional de Derecho de Autor, realice cambios en los criterios técnicos para determinar el valor</w:t>
            </w:r>
            <w:r w:rsidRPr="00C039F9">
              <w:rPr>
                <w:rFonts w:ascii="Times New Roman" w:eastAsia="SimSun" w:hAnsi="Times New Roman" w:cs="Times New Roman"/>
                <w:kern w:val="2"/>
                <w:sz w:val="28"/>
                <w:szCs w:val="28"/>
                <w:lang w:eastAsia="hi-IN" w:bidi="hi-IN"/>
              </w:rPr>
              <w:t xml:space="preserve"> de las tarifas, que repercutan positivamente en el menor costo de su prestación (por ejemplo, con ocasión de la disminución del número de empleados por virtud de la utilización de las tecnologías de la información; o la creciente demanda de los servicios </w:t>
            </w:r>
            <w:r w:rsidRPr="00C039F9">
              <w:rPr>
                <w:rFonts w:ascii="Times New Roman" w:eastAsia="SimSun" w:hAnsi="Times New Roman" w:cs="Times New Roman"/>
                <w:kern w:val="2"/>
                <w:sz w:val="28"/>
                <w:szCs w:val="28"/>
                <w:lang w:eastAsia="hi-IN" w:bidi="hi-IN"/>
              </w:rPr>
              <w:t>de la Dirección Nacional de Derecho de Autor que permitiría aprovechar los efectos de una economía de escala), pero siempre y cuando no se aparte de los procedimientos concretos de cálculo previstos en el parágrafo 1º de la disposición.</w:t>
            </w:r>
          </w:p>
          <w:p w:rsidR="0002060B" w:rsidRPr="00C039F9" w:rsidRDefault="00C039F9" w:rsidP="0002060B">
            <w:pPr>
              <w:widowControl w:val="0"/>
              <w:tabs>
                <w:tab w:val="left" w:pos="284"/>
              </w:tabs>
              <w:suppressAutoHyphens/>
              <w:contextualSpacing/>
              <w:rPr>
                <w:rFonts w:ascii="Times New Roman" w:eastAsia="SimSun" w:hAnsi="Times New Roman" w:cs="Times New Roman"/>
                <w:kern w:val="2"/>
                <w:sz w:val="28"/>
                <w:szCs w:val="28"/>
                <w:lang w:eastAsia="hi-IN" w:bidi="hi-IN"/>
              </w:rPr>
            </w:pPr>
          </w:p>
        </w:tc>
      </w:tr>
    </w:tbl>
    <w:p w:rsidR="0002060B" w:rsidRPr="00C039F9" w:rsidRDefault="00C039F9" w:rsidP="0002060B">
      <w:pPr>
        <w:widowControl w:val="0"/>
        <w:tabs>
          <w:tab w:val="left" w:pos="284"/>
        </w:tabs>
        <w:suppressAutoHyphens/>
        <w:contextualSpacing/>
        <w:rPr>
          <w:rFonts w:ascii="Times New Roman" w:eastAsia="SimSun" w:hAnsi="Times New Roman" w:cs="Times New Roman"/>
          <w:b/>
          <w:kern w:val="2"/>
          <w:sz w:val="28"/>
          <w:szCs w:val="28"/>
          <w:lang w:eastAsia="hi-IN" w:bidi="hi-IN"/>
        </w:rPr>
      </w:pPr>
    </w:p>
    <w:p w:rsidR="00D6280D" w:rsidRPr="00C039F9" w:rsidRDefault="00C039F9" w:rsidP="00D6280D">
      <w:pPr>
        <w:pStyle w:val="Prrafodelista"/>
        <w:numPr>
          <w:ilvl w:val="0"/>
          <w:numId w:val="1"/>
        </w:numPr>
        <w:ind w:left="709"/>
        <w:rPr>
          <w:rFonts w:ascii="Times New Roman" w:hAnsi="Times New Roman" w:cs="Times New Roman"/>
          <w:b/>
          <w:bCs/>
          <w:smallCaps/>
          <w:sz w:val="28"/>
          <w:szCs w:val="28"/>
        </w:rPr>
      </w:pPr>
      <w:r w:rsidRPr="00C039F9">
        <w:rPr>
          <w:rFonts w:ascii="Times New Roman" w:hAnsi="Times New Roman" w:cs="Times New Roman"/>
          <w:b/>
          <w:bCs/>
          <w:smallCaps/>
          <w:sz w:val="28"/>
          <w:szCs w:val="28"/>
        </w:rPr>
        <w:t>ANTECEDENTES</w:t>
      </w:r>
    </w:p>
    <w:p w:rsidR="00D6280D" w:rsidRPr="00C039F9" w:rsidRDefault="00C039F9" w:rsidP="00D6280D">
      <w:pPr>
        <w:pStyle w:val="centrado"/>
        <w:tabs>
          <w:tab w:val="left" w:pos="284"/>
        </w:tabs>
        <w:spacing w:before="0" w:beforeAutospacing="0" w:after="0" w:afterAutospacing="0"/>
        <w:contextualSpacing/>
        <w:jc w:val="both"/>
        <w:rPr>
          <w:rFonts w:ascii="Times New Roman" w:hAnsi="Times New Roman" w:cs="Times New Roman"/>
          <w:sz w:val="28"/>
          <w:szCs w:val="28"/>
        </w:rPr>
      </w:pPr>
    </w:p>
    <w:p w:rsidR="00D6280D" w:rsidRPr="00C039F9" w:rsidRDefault="00C039F9" w:rsidP="00D6280D">
      <w:pPr>
        <w:pStyle w:val="NormalWeb"/>
        <w:numPr>
          <w:ilvl w:val="3"/>
          <w:numId w:val="1"/>
        </w:numPr>
        <w:spacing w:before="0" w:beforeAutospacing="0" w:after="0" w:afterAutospacing="0"/>
        <w:ind w:left="0" w:firstLine="0"/>
        <w:jc w:val="both"/>
        <w:rPr>
          <w:rFonts w:ascii="Times New Roman" w:hAnsi="Times New Roman" w:cs="Times New Roman"/>
          <w:i/>
          <w:iCs/>
          <w:sz w:val="28"/>
          <w:szCs w:val="28"/>
        </w:rPr>
      </w:pPr>
      <w:r w:rsidRPr="00C039F9">
        <w:rPr>
          <w:rFonts w:ascii="Times New Roman" w:hAnsi="Times New Roman" w:cs="Times New Roman"/>
          <w:sz w:val="28"/>
          <w:szCs w:val="28"/>
        </w:rPr>
        <w:t>En</w:t>
      </w:r>
      <w:r w:rsidRPr="00C039F9">
        <w:rPr>
          <w:rFonts w:ascii="Times New Roman" w:hAnsi="Times New Roman" w:cs="Times New Roman"/>
          <w:sz w:val="28"/>
          <w:szCs w:val="28"/>
        </w:rPr>
        <w:t xml:space="preserve"> ejercicio de la acción pública de inconstitucionalidad, el ciudadano Juan Manuel López Molina solicitó la inexequibilidad del artículo 169 de la Ley 2294 de 2023,</w:t>
      </w:r>
      <w:r w:rsidRPr="00C039F9">
        <w:rPr>
          <w:rFonts w:ascii="Times New Roman" w:hAnsi="Times New Roman" w:cs="Times New Roman"/>
          <w:iCs/>
          <w:sz w:val="28"/>
          <w:szCs w:val="28"/>
        </w:rPr>
        <w:t xml:space="preserve"> por la cual se expide el Plan Nacional de Desarrollo 2022-2026 «Colombia Potencia Mundial de</w:t>
      </w:r>
      <w:r w:rsidRPr="00C039F9">
        <w:rPr>
          <w:rFonts w:ascii="Times New Roman" w:hAnsi="Times New Roman" w:cs="Times New Roman"/>
          <w:iCs/>
          <w:sz w:val="28"/>
          <w:szCs w:val="28"/>
        </w:rPr>
        <w:t xml:space="preserve"> la Vida»; artículo este mediante el cual se modificó el artículo 206 de la Ley 23 de 1982</w:t>
      </w:r>
      <w:r w:rsidRPr="00C039F9">
        <w:rPr>
          <w:rStyle w:val="Refdenotaalpie"/>
          <w:rFonts w:ascii="Times New Roman" w:hAnsi="Times New Roman" w:cs="Times New Roman"/>
          <w:iCs/>
          <w:sz w:val="28"/>
          <w:szCs w:val="28"/>
        </w:rPr>
        <w:footnoteReference w:id="1"/>
      </w:r>
      <w:r w:rsidRPr="00C039F9">
        <w:rPr>
          <w:rFonts w:ascii="Times New Roman" w:hAnsi="Times New Roman" w:cs="Times New Roman"/>
          <w:iCs/>
          <w:sz w:val="28"/>
          <w:szCs w:val="28"/>
        </w:rPr>
        <w:t>. El actor adujo la presunta violación del artículo 338 de la Constitución Política.</w:t>
      </w:r>
    </w:p>
    <w:p w:rsidR="00D6280D" w:rsidRPr="00C039F9" w:rsidRDefault="00C039F9" w:rsidP="00D6280D">
      <w:pPr>
        <w:pStyle w:val="NormalWeb"/>
        <w:spacing w:before="0" w:beforeAutospacing="0" w:after="0" w:afterAutospacing="0"/>
        <w:jc w:val="both"/>
        <w:rPr>
          <w:rFonts w:ascii="Times New Roman" w:hAnsi="Times New Roman" w:cs="Times New Roman"/>
          <w:i/>
          <w:iCs/>
          <w:sz w:val="28"/>
          <w:szCs w:val="28"/>
        </w:rPr>
      </w:pPr>
    </w:p>
    <w:p w:rsidR="00D6280D" w:rsidRPr="00C039F9" w:rsidRDefault="00C039F9" w:rsidP="00D6280D">
      <w:pPr>
        <w:pStyle w:val="NormalWeb"/>
        <w:numPr>
          <w:ilvl w:val="3"/>
          <w:numId w:val="1"/>
        </w:numPr>
        <w:spacing w:before="0" w:beforeAutospacing="0" w:after="0" w:afterAutospacing="0"/>
        <w:ind w:left="0" w:firstLine="0"/>
        <w:jc w:val="both"/>
        <w:rPr>
          <w:rFonts w:ascii="Times New Roman" w:hAnsi="Times New Roman" w:cs="Times New Roman"/>
          <w:i/>
          <w:iCs/>
          <w:sz w:val="28"/>
          <w:szCs w:val="28"/>
        </w:rPr>
      </w:pPr>
      <w:r w:rsidRPr="00C039F9">
        <w:rPr>
          <w:rFonts w:ascii="Times New Roman" w:hAnsi="Times New Roman" w:cs="Times New Roman"/>
          <w:sz w:val="28"/>
          <w:szCs w:val="28"/>
        </w:rPr>
        <w:t xml:space="preserve">El texto de la norma demandada es el siguiente, según fue publicada en el </w:t>
      </w:r>
      <w:r w:rsidRPr="00C039F9">
        <w:rPr>
          <w:rFonts w:ascii="Times New Roman" w:hAnsi="Times New Roman" w:cs="Times New Roman"/>
          <w:sz w:val="28"/>
          <w:szCs w:val="28"/>
        </w:rPr>
        <w:t>Diario Oficial No. 52.400 del 19 de mayo de 2023:</w:t>
      </w:r>
    </w:p>
    <w:p w:rsidR="00D6280D" w:rsidRPr="00C039F9" w:rsidRDefault="00C039F9" w:rsidP="00D6280D">
      <w:pPr>
        <w:pStyle w:val="NormalWeb"/>
        <w:spacing w:before="0" w:beforeAutospacing="0" w:after="0" w:afterAutospacing="0"/>
        <w:jc w:val="both"/>
        <w:rPr>
          <w:rFonts w:ascii="Times New Roman" w:hAnsi="Times New Roman" w:cs="Times New Roman"/>
          <w:i/>
          <w:iCs/>
          <w:sz w:val="28"/>
          <w:szCs w:val="28"/>
        </w:rPr>
      </w:pPr>
    </w:p>
    <w:p w:rsidR="00D6280D" w:rsidRPr="00C039F9" w:rsidRDefault="00C039F9" w:rsidP="00D6280D">
      <w:pPr>
        <w:pStyle w:val="centrado"/>
        <w:spacing w:before="0" w:beforeAutospacing="0" w:after="0" w:afterAutospacing="0"/>
        <w:ind w:left="851" w:right="709"/>
        <w:contextualSpacing/>
        <w:jc w:val="center"/>
        <w:rPr>
          <w:rFonts w:ascii="Times New Roman" w:hAnsi="Times New Roman" w:cs="Times New Roman"/>
          <w:sz w:val="28"/>
        </w:rPr>
      </w:pPr>
      <w:r w:rsidRPr="00C039F9">
        <w:rPr>
          <w:rStyle w:val="baj"/>
          <w:rFonts w:ascii="Times New Roman" w:hAnsi="Times New Roman" w:cs="Times New Roman"/>
          <w:b/>
          <w:bCs/>
          <w:sz w:val="28"/>
        </w:rPr>
        <w:t>«LEY 2294 DE 2023</w:t>
      </w:r>
    </w:p>
    <w:p w:rsidR="00D6280D" w:rsidRPr="00C039F9" w:rsidRDefault="00C039F9" w:rsidP="00D6280D">
      <w:pPr>
        <w:pStyle w:val="centrado"/>
        <w:spacing w:before="0" w:beforeAutospacing="0" w:after="0" w:afterAutospacing="0"/>
        <w:ind w:left="851" w:right="709"/>
        <w:contextualSpacing/>
        <w:jc w:val="center"/>
        <w:rPr>
          <w:rFonts w:ascii="Times New Roman" w:hAnsi="Times New Roman" w:cs="Times New Roman"/>
          <w:sz w:val="28"/>
        </w:rPr>
      </w:pPr>
      <w:r w:rsidRPr="00C039F9">
        <w:rPr>
          <w:rFonts w:ascii="Times New Roman" w:hAnsi="Times New Roman" w:cs="Times New Roman"/>
          <w:sz w:val="28"/>
        </w:rPr>
        <w:t>(mayo 19)</w:t>
      </w:r>
    </w:p>
    <w:p w:rsidR="00D6280D" w:rsidRPr="00C039F9" w:rsidRDefault="00C039F9" w:rsidP="00D6280D">
      <w:pPr>
        <w:pStyle w:val="centrado"/>
        <w:spacing w:before="0" w:beforeAutospacing="0" w:after="0" w:afterAutospacing="0"/>
        <w:ind w:left="851" w:right="709"/>
        <w:contextualSpacing/>
        <w:jc w:val="center"/>
        <w:rPr>
          <w:rFonts w:ascii="Times New Roman" w:hAnsi="Times New Roman" w:cs="Times New Roman"/>
          <w:sz w:val="28"/>
        </w:rPr>
      </w:pPr>
    </w:p>
    <w:p w:rsidR="00D6280D" w:rsidRPr="00C039F9" w:rsidRDefault="00C039F9" w:rsidP="00D6280D">
      <w:pPr>
        <w:pStyle w:val="centrado"/>
        <w:spacing w:before="0" w:beforeAutospacing="0" w:after="0" w:afterAutospacing="0"/>
        <w:ind w:left="851" w:right="709"/>
        <w:contextualSpacing/>
        <w:jc w:val="center"/>
        <w:rPr>
          <w:rFonts w:ascii="Times New Roman" w:hAnsi="Times New Roman" w:cs="Times New Roman"/>
          <w:sz w:val="28"/>
        </w:rPr>
      </w:pPr>
      <w:r w:rsidRPr="00C039F9">
        <w:rPr>
          <w:rFonts w:ascii="Times New Roman" w:hAnsi="Times New Roman" w:cs="Times New Roman"/>
          <w:sz w:val="28"/>
        </w:rPr>
        <w:t>Diario Oficial No. 52.400 de 19 de mayo de 2023</w:t>
      </w:r>
    </w:p>
    <w:p w:rsidR="00D6280D" w:rsidRPr="00C039F9" w:rsidRDefault="00C039F9" w:rsidP="00D6280D">
      <w:pPr>
        <w:pStyle w:val="centrado"/>
        <w:spacing w:before="0" w:beforeAutospacing="0" w:after="0" w:afterAutospacing="0"/>
        <w:ind w:left="851" w:right="709"/>
        <w:contextualSpacing/>
        <w:jc w:val="center"/>
        <w:rPr>
          <w:rStyle w:val="baj"/>
          <w:rFonts w:ascii="Times New Roman" w:hAnsi="Times New Roman" w:cs="Times New Roman"/>
          <w:b/>
          <w:bCs/>
          <w:sz w:val="28"/>
        </w:rPr>
      </w:pPr>
    </w:p>
    <w:p w:rsidR="00D6280D" w:rsidRPr="00C039F9" w:rsidRDefault="00C039F9" w:rsidP="00D6280D">
      <w:pPr>
        <w:pStyle w:val="centrado"/>
        <w:spacing w:before="0" w:beforeAutospacing="0" w:after="0" w:afterAutospacing="0"/>
        <w:ind w:left="851" w:right="709"/>
        <w:contextualSpacing/>
        <w:jc w:val="center"/>
        <w:rPr>
          <w:rFonts w:ascii="Times New Roman" w:hAnsi="Times New Roman" w:cs="Times New Roman"/>
          <w:sz w:val="28"/>
        </w:rPr>
      </w:pPr>
      <w:r w:rsidRPr="00C039F9">
        <w:rPr>
          <w:rStyle w:val="baj"/>
          <w:rFonts w:ascii="Times New Roman" w:hAnsi="Times New Roman" w:cs="Times New Roman"/>
          <w:b/>
          <w:bCs/>
          <w:sz w:val="28"/>
        </w:rPr>
        <w:t>PODER PÚBLICO - RAMA LEGISLATIVA</w:t>
      </w:r>
    </w:p>
    <w:p w:rsidR="00D6280D" w:rsidRPr="00C039F9" w:rsidRDefault="00C039F9" w:rsidP="00D6280D">
      <w:pPr>
        <w:pStyle w:val="centrado"/>
        <w:spacing w:before="0" w:beforeAutospacing="0" w:after="0" w:afterAutospacing="0"/>
        <w:ind w:left="851" w:right="709"/>
        <w:contextualSpacing/>
        <w:jc w:val="center"/>
        <w:rPr>
          <w:rFonts w:ascii="Times New Roman" w:hAnsi="Times New Roman" w:cs="Times New Roman"/>
          <w:sz w:val="28"/>
        </w:rPr>
      </w:pPr>
    </w:p>
    <w:p w:rsidR="00D6280D" w:rsidRPr="00C039F9" w:rsidRDefault="00C039F9" w:rsidP="00D6280D">
      <w:pPr>
        <w:pStyle w:val="centrado"/>
        <w:spacing w:before="0" w:beforeAutospacing="0" w:after="0" w:afterAutospacing="0"/>
        <w:ind w:left="851" w:right="709"/>
        <w:contextualSpacing/>
        <w:jc w:val="center"/>
        <w:rPr>
          <w:rFonts w:ascii="Times New Roman" w:hAnsi="Times New Roman" w:cs="Times New Roman"/>
          <w:sz w:val="28"/>
        </w:rPr>
      </w:pPr>
      <w:r w:rsidRPr="00C039F9">
        <w:rPr>
          <w:rFonts w:ascii="Times New Roman" w:hAnsi="Times New Roman" w:cs="Times New Roman"/>
          <w:sz w:val="28"/>
        </w:rPr>
        <w:t xml:space="preserve">Por el cual se expide el Plan Nacional de Desarrollo 2022-2026 “Colombia Potencia Mundial de </w:t>
      </w:r>
      <w:r w:rsidRPr="00C039F9">
        <w:rPr>
          <w:rFonts w:ascii="Times New Roman" w:hAnsi="Times New Roman" w:cs="Times New Roman"/>
          <w:sz w:val="28"/>
        </w:rPr>
        <w:t>la Vida”.</w:t>
      </w:r>
    </w:p>
    <w:p w:rsidR="00D6280D" w:rsidRPr="00C039F9" w:rsidRDefault="00C039F9" w:rsidP="00D6280D">
      <w:pPr>
        <w:pStyle w:val="centrado"/>
        <w:spacing w:before="0" w:beforeAutospacing="0" w:after="0" w:afterAutospacing="0"/>
        <w:ind w:left="851" w:right="709"/>
        <w:contextualSpacing/>
        <w:jc w:val="center"/>
        <w:rPr>
          <w:rStyle w:val="baj"/>
          <w:rFonts w:ascii="Times New Roman" w:hAnsi="Times New Roman" w:cs="Times New Roman"/>
          <w:b/>
          <w:bCs/>
          <w:sz w:val="28"/>
        </w:rPr>
      </w:pPr>
    </w:p>
    <w:p w:rsidR="00D6280D" w:rsidRPr="00C039F9" w:rsidRDefault="00C039F9" w:rsidP="00D6280D">
      <w:pPr>
        <w:pStyle w:val="centrado"/>
        <w:spacing w:before="0" w:beforeAutospacing="0" w:after="0" w:afterAutospacing="0"/>
        <w:ind w:left="851" w:right="709"/>
        <w:contextualSpacing/>
        <w:jc w:val="center"/>
        <w:rPr>
          <w:rFonts w:ascii="Times New Roman" w:hAnsi="Times New Roman" w:cs="Times New Roman"/>
          <w:sz w:val="28"/>
        </w:rPr>
      </w:pPr>
      <w:r w:rsidRPr="00C039F9">
        <w:rPr>
          <w:rStyle w:val="baj"/>
          <w:rFonts w:ascii="Times New Roman" w:hAnsi="Times New Roman" w:cs="Times New Roman"/>
          <w:b/>
          <w:bCs/>
          <w:sz w:val="28"/>
        </w:rPr>
        <w:t> EL CONGRESO DE COLOMBIA,</w:t>
      </w:r>
    </w:p>
    <w:p w:rsidR="00D6280D" w:rsidRPr="00C039F9" w:rsidRDefault="00C039F9" w:rsidP="00D6280D">
      <w:pPr>
        <w:pStyle w:val="centrado"/>
        <w:spacing w:before="0" w:beforeAutospacing="0" w:after="0" w:afterAutospacing="0"/>
        <w:ind w:left="851" w:right="709"/>
        <w:contextualSpacing/>
        <w:jc w:val="center"/>
        <w:rPr>
          <w:rFonts w:ascii="Times New Roman" w:hAnsi="Times New Roman" w:cs="Times New Roman"/>
          <w:sz w:val="28"/>
        </w:rPr>
      </w:pPr>
      <w:r w:rsidRPr="00C039F9">
        <w:rPr>
          <w:rStyle w:val="baj"/>
          <w:rFonts w:ascii="Times New Roman" w:hAnsi="Times New Roman" w:cs="Times New Roman"/>
          <w:b/>
          <w:bCs/>
          <w:sz w:val="28"/>
        </w:rPr>
        <w:t>DECRETA:</w:t>
      </w:r>
    </w:p>
    <w:p w:rsidR="00D6280D" w:rsidRPr="00C039F9" w:rsidRDefault="00C039F9" w:rsidP="00D6280D">
      <w:pPr>
        <w:ind w:left="851" w:right="709"/>
        <w:contextualSpacing/>
        <w:rPr>
          <w:rFonts w:ascii="Times New Roman" w:hAnsi="Times New Roman" w:cs="Times New Roman"/>
          <w:sz w:val="28"/>
          <w:szCs w:val="24"/>
        </w:rPr>
      </w:pPr>
      <w:r w:rsidRPr="00C039F9">
        <w:rPr>
          <w:rFonts w:ascii="Times New Roman" w:hAnsi="Times New Roman" w:cs="Times New Roman"/>
          <w:sz w:val="28"/>
          <w:szCs w:val="24"/>
        </w:rPr>
        <w:t>[…]</w:t>
      </w:r>
    </w:p>
    <w:p w:rsidR="00D6280D" w:rsidRPr="00C039F9" w:rsidRDefault="00C039F9" w:rsidP="00D6280D">
      <w:pPr>
        <w:ind w:left="851" w:right="709"/>
        <w:contextualSpacing/>
        <w:rPr>
          <w:rFonts w:ascii="Times New Roman" w:hAnsi="Times New Roman" w:cs="Times New Roman"/>
          <w:sz w:val="28"/>
          <w:szCs w:val="24"/>
        </w:rPr>
      </w:pPr>
    </w:p>
    <w:p w:rsidR="00D6280D" w:rsidRPr="00C039F9" w:rsidRDefault="00C039F9" w:rsidP="00D6280D">
      <w:pPr>
        <w:ind w:left="851" w:right="709"/>
        <w:contextualSpacing/>
        <w:jc w:val="center"/>
        <w:rPr>
          <w:rFonts w:ascii="Times New Roman" w:hAnsi="Times New Roman" w:cs="Times New Roman"/>
          <w:b/>
          <w:bCs/>
          <w:sz w:val="28"/>
          <w:szCs w:val="24"/>
        </w:rPr>
      </w:pPr>
      <w:r w:rsidRPr="00C039F9">
        <w:rPr>
          <w:rFonts w:ascii="Times New Roman" w:hAnsi="Times New Roman" w:cs="Times New Roman"/>
          <w:b/>
          <w:bCs/>
          <w:sz w:val="28"/>
          <w:szCs w:val="24"/>
        </w:rPr>
        <w:t>Título III</w:t>
      </w:r>
    </w:p>
    <w:p w:rsidR="00D6280D" w:rsidRPr="00C039F9" w:rsidRDefault="00C039F9" w:rsidP="00D6280D">
      <w:pPr>
        <w:ind w:left="851" w:right="709"/>
        <w:contextualSpacing/>
        <w:jc w:val="center"/>
        <w:rPr>
          <w:rFonts w:ascii="Times New Roman" w:hAnsi="Times New Roman" w:cs="Times New Roman"/>
          <w:sz w:val="28"/>
          <w:szCs w:val="24"/>
        </w:rPr>
      </w:pPr>
      <w:r w:rsidRPr="00C039F9">
        <w:rPr>
          <w:rFonts w:ascii="Times New Roman" w:hAnsi="Times New Roman" w:cs="Times New Roman"/>
          <w:b/>
          <w:bCs/>
          <w:sz w:val="28"/>
          <w:szCs w:val="24"/>
        </w:rPr>
        <w:t>Mecanismos de ejecución del plan</w:t>
      </w:r>
    </w:p>
    <w:p w:rsidR="00D6280D" w:rsidRPr="00C039F9" w:rsidRDefault="00C039F9" w:rsidP="00D6280D">
      <w:pPr>
        <w:ind w:left="851" w:right="709"/>
        <w:contextualSpacing/>
        <w:rPr>
          <w:rFonts w:ascii="Times New Roman" w:hAnsi="Times New Roman" w:cs="Times New Roman"/>
          <w:sz w:val="28"/>
          <w:szCs w:val="24"/>
        </w:rPr>
      </w:pPr>
    </w:p>
    <w:p w:rsidR="00D6280D" w:rsidRPr="00C039F9" w:rsidRDefault="00C039F9" w:rsidP="00D6280D">
      <w:pPr>
        <w:ind w:left="851" w:right="709"/>
        <w:contextualSpacing/>
        <w:rPr>
          <w:rFonts w:ascii="Times New Roman" w:hAnsi="Times New Roman" w:cs="Times New Roman"/>
          <w:sz w:val="28"/>
          <w:szCs w:val="24"/>
        </w:rPr>
      </w:pPr>
      <w:r w:rsidRPr="00C039F9">
        <w:rPr>
          <w:rFonts w:ascii="Times New Roman" w:hAnsi="Times New Roman" w:cs="Times New Roman"/>
          <w:sz w:val="28"/>
          <w:szCs w:val="24"/>
        </w:rPr>
        <w:t>[…]</w:t>
      </w:r>
    </w:p>
    <w:p w:rsidR="00D6280D" w:rsidRPr="00C039F9" w:rsidRDefault="00C039F9" w:rsidP="00D6280D">
      <w:pPr>
        <w:ind w:left="851" w:right="709"/>
        <w:contextualSpacing/>
        <w:rPr>
          <w:rFonts w:ascii="Times New Roman" w:hAnsi="Times New Roman" w:cs="Times New Roman"/>
          <w:sz w:val="28"/>
          <w:szCs w:val="24"/>
        </w:rPr>
      </w:pPr>
    </w:p>
    <w:p w:rsidR="00D6280D" w:rsidRPr="00C039F9" w:rsidRDefault="00C039F9" w:rsidP="00D6280D">
      <w:pPr>
        <w:pStyle w:val="NormalWeb"/>
        <w:spacing w:before="0" w:beforeAutospacing="0" w:after="0" w:afterAutospacing="0"/>
        <w:ind w:left="851" w:right="709"/>
        <w:contextualSpacing/>
        <w:jc w:val="both"/>
        <w:rPr>
          <w:rFonts w:ascii="Times New Roman" w:hAnsi="Times New Roman" w:cs="Times New Roman"/>
          <w:sz w:val="28"/>
        </w:rPr>
      </w:pPr>
      <w:bookmarkStart w:id="2" w:name="169"/>
      <w:bookmarkStart w:id="3" w:name="_Hlk144217152"/>
      <w:bookmarkStart w:id="4" w:name="_Hlk162855666"/>
      <w:r w:rsidRPr="00C039F9">
        <w:rPr>
          <w:rFonts w:ascii="Times New Roman" w:hAnsi="Times New Roman" w:cs="Times New Roman"/>
          <w:b/>
          <w:bCs/>
          <w:sz w:val="28"/>
        </w:rPr>
        <w:t>ARTÍCULO 169.</w:t>
      </w:r>
      <w:bookmarkEnd w:id="2"/>
      <w:r w:rsidRPr="00C039F9">
        <w:rPr>
          <w:rFonts w:ascii="Times New Roman" w:hAnsi="Times New Roman" w:cs="Times New Roman"/>
          <w:sz w:val="28"/>
        </w:rPr>
        <w:t xml:space="preserve"> Modifíquese el artículo 206 de la </w:t>
      </w:r>
      <w:bookmarkStart w:id="5" w:name="_Hlk140686047"/>
      <w:r w:rsidRPr="00C039F9">
        <w:rPr>
          <w:rFonts w:ascii="Times New Roman" w:hAnsi="Times New Roman" w:cs="Times New Roman"/>
          <w:sz w:val="28"/>
        </w:rPr>
        <w:t>Ley 23 de 1982</w:t>
      </w:r>
      <w:bookmarkEnd w:id="5"/>
      <w:r w:rsidRPr="00C039F9">
        <w:rPr>
          <w:rFonts w:ascii="Times New Roman" w:hAnsi="Times New Roman" w:cs="Times New Roman"/>
          <w:sz w:val="28"/>
        </w:rPr>
        <w:t>, el cual quedará así:</w:t>
      </w:r>
    </w:p>
    <w:p w:rsidR="00D6280D" w:rsidRPr="00C039F9" w:rsidRDefault="00C039F9" w:rsidP="00D6280D">
      <w:pPr>
        <w:pStyle w:val="NormalWeb"/>
        <w:spacing w:before="0" w:beforeAutospacing="0" w:after="0" w:afterAutospacing="0"/>
        <w:ind w:left="851" w:right="709"/>
        <w:contextualSpacing/>
        <w:jc w:val="both"/>
        <w:rPr>
          <w:rFonts w:ascii="Times New Roman" w:hAnsi="Times New Roman" w:cs="Times New Roman"/>
          <w:sz w:val="28"/>
        </w:rPr>
      </w:pPr>
    </w:p>
    <w:p w:rsidR="00D6280D" w:rsidRPr="00C039F9" w:rsidRDefault="00C039F9" w:rsidP="00D6280D">
      <w:pPr>
        <w:pStyle w:val="NormalWeb"/>
        <w:spacing w:before="0" w:beforeAutospacing="0" w:after="0" w:afterAutospacing="0"/>
        <w:ind w:left="851" w:right="709"/>
        <w:contextualSpacing/>
        <w:jc w:val="both"/>
        <w:rPr>
          <w:rFonts w:ascii="Times New Roman" w:hAnsi="Times New Roman" w:cs="Times New Roman"/>
          <w:sz w:val="28"/>
        </w:rPr>
      </w:pPr>
      <w:bookmarkStart w:id="6" w:name="TÍTULO_I"/>
      <w:r w:rsidRPr="00C039F9">
        <w:rPr>
          <w:rStyle w:val="baj"/>
          <w:rFonts w:ascii="Times New Roman" w:hAnsi="Times New Roman" w:cs="Times New Roman"/>
          <w:b/>
          <w:bCs/>
          <w:sz w:val="28"/>
        </w:rPr>
        <w:t>Artículo 206. </w:t>
      </w:r>
      <w:r w:rsidRPr="00C039F9">
        <w:rPr>
          <w:rFonts w:ascii="Times New Roman" w:hAnsi="Times New Roman" w:cs="Times New Roman"/>
          <w:sz w:val="28"/>
        </w:rPr>
        <w:t>Créase la tasa para la recuperación de los costos de lo</w:t>
      </w:r>
      <w:r w:rsidRPr="00C039F9">
        <w:rPr>
          <w:rFonts w:ascii="Times New Roman" w:hAnsi="Times New Roman" w:cs="Times New Roman"/>
          <w:sz w:val="28"/>
        </w:rPr>
        <w:t>s servicios prestados por la Dirección Nacional de Derecho de Autor, con criterios de progresividad y equidad, en ejercicio de su función misional, para proteger a los titulares del derecho de autor y derechos conexos y garantizar la creatividad productiva</w:t>
      </w:r>
      <w:r w:rsidRPr="00C039F9">
        <w:rPr>
          <w:rFonts w:ascii="Times New Roman" w:hAnsi="Times New Roman" w:cs="Times New Roman"/>
          <w:sz w:val="28"/>
        </w:rPr>
        <w:t xml:space="preserve"> que permita contribuir al desarrollo de las industrias culturales y la riqueza del país.</w:t>
      </w:r>
    </w:p>
    <w:bookmarkEnd w:id="3"/>
    <w:p w:rsidR="00D6280D" w:rsidRPr="00C039F9" w:rsidRDefault="00C039F9" w:rsidP="00D6280D">
      <w:pPr>
        <w:pStyle w:val="NormalWeb"/>
        <w:spacing w:before="0" w:beforeAutospacing="0" w:after="0" w:afterAutospacing="0"/>
        <w:ind w:left="851" w:right="709"/>
        <w:contextualSpacing/>
        <w:jc w:val="both"/>
        <w:rPr>
          <w:rFonts w:ascii="Times New Roman" w:hAnsi="Times New Roman" w:cs="Times New Roman"/>
          <w:sz w:val="28"/>
        </w:rPr>
      </w:pPr>
    </w:p>
    <w:p w:rsidR="00D6280D" w:rsidRPr="00C039F9" w:rsidRDefault="00C039F9" w:rsidP="00D6280D">
      <w:pPr>
        <w:pStyle w:val="NormalWeb"/>
        <w:spacing w:before="0" w:beforeAutospacing="0" w:after="0" w:afterAutospacing="0"/>
        <w:ind w:left="851" w:right="709"/>
        <w:contextualSpacing/>
        <w:jc w:val="both"/>
        <w:rPr>
          <w:rFonts w:ascii="Times New Roman" w:hAnsi="Times New Roman" w:cs="Times New Roman"/>
          <w:sz w:val="28"/>
        </w:rPr>
      </w:pPr>
      <w:r w:rsidRPr="00C039F9">
        <w:rPr>
          <w:rFonts w:ascii="Times New Roman" w:hAnsi="Times New Roman" w:cs="Times New Roman"/>
          <w:sz w:val="28"/>
        </w:rPr>
        <w:t>El sujeto activo de la tasa creada por la presente ley será la Dirección Nacional de Derecho de Autor. Tendrán la condición de sujeto pasivo de la tasa, las personas</w:t>
      </w:r>
      <w:r w:rsidRPr="00C039F9">
        <w:rPr>
          <w:rFonts w:ascii="Times New Roman" w:hAnsi="Times New Roman" w:cs="Times New Roman"/>
          <w:sz w:val="28"/>
        </w:rPr>
        <w:t xml:space="preserve"> naturales o jurídicas que soliciten cualquiera de los servicios prestados por la Dirección Nacional de Derecho de Autor, con excepción de los trámites de conciliación y los trámites relacionados con asuntos jurisdiccionales.</w:t>
      </w:r>
    </w:p>
    <w:p w:rsidR="00D6280D" w:rsidRPr="00C039F9" w:rsidRDefault="00C039F9" w:rsidP="00D6280D">
      <w:pPr>
        <w:pStyle w:val="NormalWeb"/>
        <w:spacing w:before="0" w:beforeAutospacing="0" w:after="0" w:afterAutospacing="0"/>
        <w:ind w:left="851" w:right="709"/>
        <w:contextualSpacing/>
        <w:jc w:val="both"/>
        <w:rPr>
          <w:rFonts w:ascii="Times New Roman" w:hAnsi="Times New Roman" w:cs="Times New Roman"/>
          <w:sz w:val="28"/>
        </w:rPr>
      </w:pPr>
    </w:p>
    <w:p w:rsidR="00D6280D" w:rsidRPr="00C039F9" w:rsidRDefault="00C039F9" w:rsidP="00D6280D">
      <w:pPr>
        <w:pStyle w:val="NormalWeb"/>
        <w:spacing w:before="0" w:beforeAutospacing="0" w:after="0" w:afterAutospacing="0"/>
        <w:ind w:left="851" w:right="709"/>
        <w:contextualSpacing/>
        <w:jc w:val="both"/>
        <w:rPr>
          <w:rFonts w:ascii="Times New Roman" w:hAnsi="Times New Roman" w:cs="Times New Roman"/>
          <w:sz w:val="28"/>
        </w:rPr>
      </w:pPr>
      <w:r w:rsidRPr="00C039F9">
        <w:rPr>
          <w:rFonts w:ascii="Times New Roman" w:hAnsi="Times New Roman" w:cs="Times New Roman"/>
          <w:sz w:val="28"/>
        </w:rPr>
        <w:t xml:space="preserve">Son hechos generadores de la </w:t>
      </w:r>
      <w:r w:rsidRPr="00C039F9">
        <w:rPr>
          <w:rFonts w:ascii="Times New Roman" w:hAnsi="Times New Roman" w:cs="Times New Roman"/>
          <w:sz w:val="28"/>
        </w:rPr>
        <w:t>tasa que se crea en la presente ley, los siguientes:</w:t>
      </w:r>
    </w:p>
    <w:p w:rsidR="00D6280D" w:rsidRPr="00C039F9" w:rsidRDefault="00C039F9" w:rsidP="00D6280D">
      <w:pPr>
        <w:pStyle w:val="NormalWeb"/>
        <w:spacing w:before="0" w:beforeAutospacing="0" w:after="0" w:afterAutospacing="0"/>
        <w:ind w:left="851" w:right="709"/>
        <w:contextualSpacing/>
        <w:jc w:val="both"/>
        <w:rPr>
          <w:rFonts w:ascii="Times New Roman" w:hAnsi="Times New Roman" w:cs="Times New Roman"/>
          <w:sz w:val="28"/>
        </w:rPr>
      </w:pPr>
    </w:p>
    <w:p w:rsidR="00D6280D" w:rsidRPr="00C039F9" w:rsidRDefault="00C039F9" w:rsidP="00D6280D">
      <w:pPr>
        <w:pStyle w:val="NormalWeb"/>
        <w:spacing w:before="0" w:beforeAutospacing="0" w:after="0" w:afterAutospacing="0"/>
        <w:ind w:left="851" w:right="709"/>
        <w:contextualSpacing/>
        <w:jc w:val="both"/>
        <w:rPr>
          <w:rFonts w:ascii="Times New Roman" w:hAnsi="Times New Roman" w:cs="Times New Roman"/>
          <w:sz w:val="28"/>
        </w:rPr>
      </w:pPr>
      <w:r w:rsidRPr="00C039F9">
        <w:rPr>
          <w:rFonts w:ascii="Times New Roman" w:hAnsi="Times New Roman" w:cs="Times New Roman"/>
          <w:sz w:val="28"/>
        </w:rPr>
        <w:t>1. Expedición de registros, certificados, inscripciones, modificaciones y cancelaciones de registros.</w:t>
      </w:r>
    </w:p>
    <w:p w:rsidR="00D6280D" w:rsidRPr="00C039F9" w:rsidRDefault="00C039F9" w:rsidP="00D6280D">
      <w:pPr>
        <w:pStyle w:val="NormalWeb"/>
        <w:spacing w:before="0" w:beforeAutospacing="0" w:after="0" w:afterAutospacing="0"/>
        <w:ind w:left="851" w:right="709"/>
        <w:contextualSpacing/>
        <w:jc w:val="both"/>
        <w:rPr>
          <w:rFonts w:ascii="Times New Roman" w:hAnsi="Times New Roman" w:cs="Times New Roman"/>
          <w:sz w:val="28"/>
        </w:rPr>
      </w:pPr>
    </w:p>
    <w:p w:rsidR="00D6280D" w:rsidRPr="00C039F9" w:rsidRDefault="00C039F9" w:rsidP="00D6280D">
      <w:pPr>
        <w:pStyle w:val="NormalWeb"/>
        <w:spacing w:before="0" w:beforeAutospacing="0" w:after="0" w:afterAutospacing="0"/>
        <w:ind w:left="851" w:right="709"/>
        <w:contextualSpacing/>
        <w:jc w:val="both"/>
        <w:rPr>
          <w:rFonts w:ascii="Times New Roman" w:hAnsi="Times New Roman" w:cs="Times New Roman"/>
          <w:sz w:val="28"/>
        </w:rPr>
      </w:pPr>
      <w:r w:rsidRPr="00C039F9">
        <w:rPr>
          <w:rFonts w:ascii="Times New Roman" w:hAnsi="Times New Roman" w:cs="Times New Roman"/>
          <w:sz w:val="28"/>
        </w:rPr>
        <w:t>2. Expedición de paz y salvos.</w:t>
      </w:r>
    </w:p>
    <w:p w:rsidR="00D6280D" w:rsidRPr="00C039F9" w:rsidRDefault="00C039F9" w:rsidP="00D6280D">
      <w:pPr>
        <w:pStyle w:val="NormalWeb"/>
        <w:spacing w:before="0" w:beforeAutospacing="0" w:after="0" w:afterAutospacing="0"/>
        <w:ind w:left="851" w:right="709"/>
        <w:contextualSpacing/>
        <w:jc w:val="both"/>
        <w:rPr>
          <w:rFonts w:ascii="Times New Roman" w:hAnsi="Times New Roman" w:cs="Times New Roman"/>
          <w:sz w:val="28"/>
        </w:rPr>
      </w:pPr>
    </w:p>
    <w:p w:rsidR="00D6280D" w:rsidRPr="00C039F9" w:rsidRDefault="00C039F9" w:rsidP="00D6280D">
      <w:pPr>
        <w:pStyle w:val="NormalWeb"/>
        <w:spacing w:before="0" w:beforeAutospacing="0" w:after="0" w:afterAutospacing="0"/>
        <w:ind w:left="851" w:right="709"/>
        <w:contextualSpacing/>
        <w:jc w:val="both"/>
        <w:rPr>
          <w:rFonts w:ascii="Times New Roman" w:hAnsi="Times New Roman" w:cs="Times New Roman"/>
          <w:sz w:val="28"/>
        </w:rPr>
      </w:pPr>
      <w:r w:rsidRPr="00C039F9">
        <w:rPr>
          <w:rFonts w:ascii="Times New Roman" w:hAnsi="Times New Roman" w:cs="Times New Roman"/>
          <w:sz w:val="28"/>
        </w:rPr>
        <w:t>3. Inscripción de dignatarios y control de legalidad de reformas es</w:t>
      </w:r>
      <w:r w:rsidRPr="00C039F9">
        <w:rPr>
          <w:rFonts w:ascii="Times New Roman" w:hAnsi="Times New Roman" w:cs="Times New Roman"/>
          <w:sz w:val="28"/>
        </w:rPr>
        <w:t>tatutarias y de presupuesto.</w:t>
      </w:r>
    </w:p>
    <w:p w:rsidR="00D6280D" w:rsidRPr="00C039F9" w:rsidRDefault="00C039F9" w:rsidP="00D6280D">
      <w:pPr>
        <w:pStyle w:val="NormalWeb"/>
        <w:spacing w:before="0" w:beforeAutospacing="0" w:after="0" w:afterAutospacing="0"/>
        <w:ind w:left="851" w:right="709"/>
        <w:contextualSpacing/>
        <w:jc w:val="both"/>
        <w:rPr>
          <w:rFonts w:ascii="Times New Roman" w:hAnsi="Times New Roman" w:cs="Times New Roman"/>
          <w:sz w:val="28"/>
        </w:rPr>
      </w:pPr>
    </w:p>
    <w:p w:rsidR="00D6280D" w:rsidRPr="00C039F9" w:rsidRDefault="00C039F9" w:rsidP="00D6280D">
      <w:pPr>
        <w:pStyle w:val="NormalWeb"/>
        <w:spacing w:before="0" w:beforeAutospacing="0" w:after="0" w:afterAutospacing="0"/>
        <w:ind w:left="851" w:right="709"/>
        <w:contextualSpacing/>
        <w:jc w:val="both"/>
        <w:rPr>
          <w:rFonts w:ascii="Times New Roman" w:hAnsi="Times New Roman" w:cs="Times New Roman"/>
          <w:sz w:val="28"/>
        </w:rPr>
      </w:pPr>
      <w:r w:rsidRPr="00C039F9">
        <w:rPr>
          <w:rFonts w:ascii="Times New Roman" w:hAnsi="Times New Roman" w:cs="Times New Roman"/>
          <w:sz w:val="28"/>
        </w:rPr>
        <w:t>4. Otorgamiento de personería jurídica y autorización de funcionamiento.</w:t>
      </w:r>
    </w:p>
    <w:p w:rsidR="00D6280D" w:rsidRPr="00C039F9" w:rsidRDefault="00C039F9" w:rsidP="00D6280D">
      <w:pPr>
        <w:pStyle w:val="NormalWeb"/>
        <w:spacing w:before="0" w:beforeAutospacing="0" w:after="0" w:afterAutospacing="0"/>
        <w:ind w:left="851" w:right="709"/>
        <w:contextualSpacing/>
        <w:jc w:val="both"/>
        <w:rPr>
          <w:rFonts w:ascii="Times New Roman" w:hAnsi="Times New Roman" w:cs="Times New Roman"/>
          <w:sz w:val="28"/>
        </w:rPr>
      </w:pPr>
    </w:p>
    <w:p w:rsidR="00D6280D" w:rsidRPr="00C039F9" w:rsidRDefault="00C039F9" w:rsidP="00D6280D">
      <w:pPr>
        <w:pStyle w:val="NormalWeb"/>
        <w:spacing w:before="0" w:beforeAutospacing="0" w:after="0" w:afterAutospacing="0"/>
        <w:ind w:left="851" w:right="709"/>
        <w:contextualSpacing/>
        <w:jc w:val="both"/>
        <w:rPr>
          <w:rFonts w:ascii="Times New Roman" w:hAnsi="Times New Roman" w:cs="Times New Roman"/>
          <w:sz w:val="28"/>
        </w:rPr>
      </w:pPr>
      <w:r w:rsidRPr="00C039F9">
        <w:rPr>
          <w:rFonts w:ascii="Times New Roman" w:hAnsi="Times New Roman" w:cs="Times New Roman"/>
          <w:sz w:val="28"/>
        </w:rPr>
        <w:t xml:space="preserve">La base para la liquidación de la tasa será el costo de los servicios correspondientes a cada uno de los hechos generadores establecidos en el presente </w:t>
      </w:r>
      <w:r w:rsidRPr="00C039F9">
        <w:rPr>
          <w:rFonts w:ascii="Times New Roman" w:hAnsi="Times New Roman" w:cs="Times New Roman"/>
          <w:sz w:val="28"/>
        </w:rPr>
        <w:t>artículo, conforme la metodología de cálculo que establezca el Gobierno Nacional a través del Ministerio del Interior.</w:t>
      </w:r>
    </w:p>
    <w:bookmarkEnd w:id="6"/>
    <w:p w:rsidR="00D6280D" w:rsidRPr="00C039F9" w:rsidRDefault="00C039F9" w:rsidP="00D6280D">
      <w:pPr>
        <w:pStyle w:val="NormalWeb"/>
        <w:spacing w:before="0" w:beforeAutospacing="0" w:after="0" w:afterAutospacing="0"/>
        <w:ind w:left="851" w:right="709"/>
        <w:contextualSpacing/>
        <w:jc w:val="both"/>
        <w:rPr>
          <w:rStyle w:val="baj"/>
          <w:rFonts w:ascii="Times New Roman" w:hAnsi="Times New Roman" w:cs="Times New Roman"/>
          <w:b/>
          <w:bCs/>
          <w:sz w:val="28"/>
        </w:rPr>
      </w:pPr>
    </w:p>
    <w:p w:rsidR="00D6280D" w:rsidRPr="00C039F9" w:rsidRDefault="00C039F9" w:rsidP="00D6280D">
      <w:pPr>
        <w:pStyle w:val="NormalWeb"/>
        <w:spacing w:before="0" w:beforeAutospacing="0" w:after="0" w:afterAutospacing="0"/>
        <w:ind w:left="851" w:right="709"/>
        <w:contextualSpacing/>
        <w:jc w:val="both"/>
        <w:rPr>
          <w:rFonts w:ascii="Times New Roman" w:hAnsi="Times New Roman" w:cs="Times New Roman"/>
          <w:sz w:val="28"/>
        </w:rPr>
      </w:pPr>
      <w:r w:rsidRPr="00C039F9">
        <w:rPr>
          <w:rStyle w:val="baj"/>
          <w:rFonts w:ascii="Times New Roman" w:hAnsi="Times New Roman" w:cs="Times New Roman"/>
          <w:b/>
          <w:bCs/>
          <w:sz w:val="28"/>
        </w:rPr>
        <w:t>PARÁGRAFO 1o. </w:t>
      </w:r>
      <w:r w:rsidRPr="00C039F9">
        <w:rPr>
          <w:rFonts w:ascii="Times New Roman" w:hAnsi="Times New Roman" w:cs="Times New Roman"/>
          <w:sz w:val="28"/>
        </w:rPr>
        <w:t>La Dirección Nacional de Derecho de Autor fijará y actualizará anualmente las tarifas de los servicios que preste, por cad</w:t>
      </w:r>
      <w:r w:rsidRPr="00C039F9">
        <w:rPr>
          <w:rFonts w:ascii="Times New Roman" w:hAnsi="Times New Roman" w:cs="Times New Roman"/>
          <w:sz w:val="28"/>
        </w:rPr>
        <w:t>a uno de los hechos generadores de la tasa. Las tarifas se fijarán en Unidades de Valor Tributario (UVT) vigentes y se cobrarán como recuperación de los costos de los servicios prestados por la entidad, para lo cual se utilizará el siguiente método y siste</w:t>
      </w:r>
      <w:r w:rsidRPr="00C039F9">
        <w:rPr>
          <w:rFonts w:ascii="Times New Roman" w:hAnsi="Times New Roman" w:cs="Times New Roman"/>
          <w:sz w:val="28"/>
        </w:rPr>
        <w:t>ma, teniendo en cuenta los costos administrativos, financieros, directos e indirectos y de operación:</w:t>
      </w:r>
    </w:p>
    <w:p w:rsidR="00D6280D" w:rsidRPr="00C039F9" w:rsidRDefault="00C039F9" w:rsidP="00D6280D">
      <w:pPr>
        <w:pStyle w:val="NormalWeb"/>
        <w:spacing w:before="0" w:beforeAutospacing="0" w:after="0" w:afterAutospacing="0"/>
        <w:ind w:left="851" w:right="709"/>
        <w:contextualSpacing/>
        <w:jc w:val="both"/>
        <w:rPr>
          <w:rFonts w:ascii="Times New Roman" w:hAnsi="Times New Roman" w:cs="Times New Roman"/>
          <w:sz w:val="28"/>
        </w:rPr>
      </w:pPr>
    </w:p>
    <w:p w:rsidR="00D6280D" w:rsidRPr="00C039F9" w:rsidRDefault="00C039F9" w:rsidP="00D6280D">
      <w:pPr>
        <w:pStyle w:val="NormalWeb"/>
        <w:numPr>
          <w:ilvl w:val="6"/>
          <w:numId w:val="1"/>
        </w:numPr>
        <w:spacing w:before="0" w:beforeAutospacing="0" w:after="0" w:afterAutospacing="0"/>
        <w:ind w:left="851" w:right="709" w:firstLine="0"/>
        <w:contextualSpacing/>
        <w:jc w:val="both"/>
        <w:rPr>
          <w:rFonts w:ascii="Times New Roman" w:hAnsi="Times New Roman" w:cs="Times New Roman"/>
          <w:sz w:val="28"/>
        </w:rPr>
      </w:pPr>
      <w:r w:rsidRPr="00C039F9">
        <w:rPr>
          <w:rFonts w:ascii="Times New Roman" w:hAnsi="Times New Roman" w:cs="Times New Roman"/>
          <w:sz w:val="28"/>
        </w:rPr>
        <w:t>Método:</w:t>
      </w:r>
    </w:p>
    <w:p w:rsidR="00D6280D" w:rsidRPr="00C039F9" w:rsidRDefault="00C039F9" w:rsidP="00D6280D">
      <w:pPr>
        <w:pStyle w:val="NormalWeb"/>
        <w:spacing w:before="0" w:beforeAutospacing="0" w:after="0" w:afterAutospacing="0"/>
        <w:ind w:left="851" w:right="709"/>
        <w:contextualSpacing/>
        <w:jc w:val="both"/>
        <w:rPr>
          <w:rFonts w:ascii="Times New Roman" w:hAnsi="Times New Roman" w:cs="Times New Roman"/>
          <w:sz w:val="28"/>
        </w:rPr>
      </w:pPr>
    </w:p>
    <w:p w:rsidR="00D6280D" w:rsidRPr="00C039F9" w:rsidRDefault="00C039F9" w:rsidP="00D6280D">
      <w:pPr>
        <w:pStyle w:val="NormalWeb"/>
        <w:spacing w:before="0" w:beforeAutospacing="0" w:after="0" w:afterAutospacing="0"/>
        <w:ind w:left="851" w:right="709"/>
        <w:contextualSpacing/>
        <w:jc w:val="both"/>
        <w:rPr>
          <w:rFonts w:ascii="Times New Roman" w:hAnsi="Times New Roman" w:cs="Times New Roman"/>
          <w:sz w:val="28"/>
        </w:rPr>
      </w:pPr>
      <w:r w:rsidRPr="00C039F9">
        <w:rPr>
          <w:rFonts w:ascii="Times New Roman" w:hAnsi="Times New Roman" w:cs="Times New Roman"/>
          <w:sz w:val="28"/>
        </w:rPr>
        <w:t>a) Elaboración y normalización de flujogramas para los diferentes procesos con el propósito de determinar sus rutinas;</w:t>
      </w:r>
    </w:p>
    <w:p w:rsidR="00D6280D" w:rsidRPr="00C039F9" w:rsidRDefault="00C039F9" w:rsidP="00D6280D">
      <w:pPr>
        <w:pStyle w:val="NormalWeb"/>
        <w:spacing w:before="0" w:beforeAutospacing="0" w:after="0" w:afterAutospacing="0"/>
        <w:ind w:left="851" w:right="709"/>
        <w:contextualSpacing/>
        <w:jc w:val="both"/>
        <w:rPr>
          <w:rFonts w:ascii="Times New Roman" w:hAnsi="Times New Roman" w:cs="Times New Roman"/>
          <w:sz w:val="28"/>
        </w:rPr>
      </w:pPr>
    </w:p>
    <w:p w:rsidR="00D6280D" w:rsidRPr="00C039F9" w:rsidRDefault="00C039F9" w:rsidP="00D6280D">
      <w:pPr>
        <w:pStyle w:val="NormalWeb"/>
        <w:spacing w:before="0" w:beforeAutospacing="0" w:after="0" w:afterAutospacing="0"/>
        <w:ind w:left="851" w:right="709"/>
        <w:contextualSpacing/>
        <w:jc w:val="both"/>
        <w:rPr>
          <w:rFonts w:ascii="Times New Roman" w:hAnsi="Times New Roman" w:cs="Times New Roman"/>
          <w:sz w:val="28"/>
        </w:rPr>
      </w:pPr>
      <w:r w:rsidRPr="00C039F9">
        <w:rPr>
          <w:rFonts w:ascii="Times New Roman" w:hAnsi="Times New Roman" w:cs="Times New Roman"/>
          <w:sz w:val="28"/>
        </w:rPr>
        <w:t>b) Cuantificación de los</w:t>
      </w:r>
      <w:r w:rsidRPr="00C039F9">
        <w:rPr>
          <w:rFonts w:ascii="Times New Roman" w:hAnsi="Times New Roman" w:cs="Times New Roman"/>
          <w:sz w:val="28"/>
        </w:rPr>
        <w:t xml:space="preserve"> materiales, suministros y los demás insumos tecnológicos y de recurso humano utilizados anualmente, en cada uno de los procesos y procedimientos definidos en el literal anterior. Estos insumos deben incluir unos porcentajes de los gastos de administración</w:t>
      </w:r>
      <w:r w:rsidRPr="00C039F9">
        <w:rPr>
          <w:rFonts w:ascii="Times New Roman" w:hAnsi="Times New Roman" w:cs="Times New Roman"/>
          <w:sz w:val="28"/>
        </w:rPr>
        <w:t xml:space="preserve"> general de la Dirección Nacional de Derecho de Autor cuantificados siguiendo las normas y principios aceptados de contabilidad de costos;</w:t>
      </w:r>
    </w:p>
    <w:p w:rsidR="00D6280D" w:rsidRPr="00C039F9" w:rsidRDefault="00C039F9" w:rsidP="00D6280D">
      <w:pPr>
        <w:pStyle w:val="NormalWeb"/>
        <w:spacing w:before="0" w:beforeAutospacing="0" w:after="0" w:afterAutospacing="0"/>
        <w:ind w:left="851" w:right="709"/>
        <w:contextualSpacing/>
        <w:jc w:val="both"/>
        <w:rPr>
          <w:rFonts w:ascii="Times New Roman" w:hAnsi="Times New Roman" w:cs="Times New Roman"/>
          <w:sz w:val="28"/>
        </w:rPr>
      </w:pPr>
    </w:p>
    <w:p w:rsidR="00D6280D" w:rsidRPr="00C039F9" w:rsidRDefault="00C039F9" w:rsidP="00D6280D">
      <w:pPr>
        <w:pStyle w:val="NormalWeb"/>
        <w:spacing w:before="0" w:beforeAutospacing="0" w:after="0" w:afterAutospacing="0"/>
        <w:ind w:left="851" w:right="709"/>
        <w:contextualSpacing/>
        <w:jc w:val="both"/>
        <w:rPr>
          <w:rFonts w:ascii="Times New Roman" w:hAnsi="Times New Roman" w:cs="Times New Roman"/>
          <w:sz w:val="28"/>
        </w:rPr>
      </w:pPr>
      <w:r w:rsidRPr="00C039F9">
        <w:rPr>
          <w:rFonts w:ascii="Times New Roman" w:hAnsi="Times New Roman" w:cs="Times New Roman"/>
          <w:sz w:val="28"/>
        </w:rPr>
        <w:t>c) Valoración a precios de mercado de los insumos descritos en el literal anterior para cada uno de los procesos y p</w:t>
      </w:r>
      <w:r w:rsidRPr="00C039F9">
        <w:rPr>
          <w:rFonts w:ascii="Times New Roman" w:hAnsi="Times New Roman" w:cs="Times New Roman"/>
          <w:sz w:val="28"/>
        </w:rPr>
        <w:t>rocedimientos, incluido lo relacionado con almacenamiento y custodia del documento físico y digital;</w:t>
      </w:r>
    </w:p>
    <w:p w:rsidR="00D6280D" w:rsidRPr="00C039F9" w:rsidRDefault="00C039F9" w:rsidP="00D6280D">
      <w:pPr>
        <w:pStyle w:val="NormalWeb"/>
        <w:spacing w:before="0" w:beforeAutospacing="0" w:after="0" w:afterAutospacing="0"/>
        <w:ind w:left="851" w:right="709"/>
        <w:contextualSpacing/>
        <w:jc w:val="both"/>
        <w:rPr>
          <w:rFonts w:ascii="Times New Roman" w:hAnsi="Times New Roman" w:cs="Times New Roman"/>
          <w:sz w:val="28"/>
        </w:rPr>
      </w:pPr>
    </w:p>
    <w:p w:rsidR="00D6280D" w:rsidRPr="00C039F9" w:rsidRDefault="00C039F9" w:rsidP="00D6280D">
      <w:pPr>
        <w:pStyle w:val="NormalWeb"/>
        <w:spacing w:before="0" w:beforeAutospacing="0" w:after="0" w:afterAutospacing="0"/>
        <w:ind w:left="851" w:right="709"/>
        <w:contextualSpacing/>
        <w:jc w:val="both"/>
        <w:rPr>
          <w:rFonts w:ascii="Times New Roman" w:hAnsi="Times New Roman" w:cs="Times New Roman"/>
          <w:sz w:val="28"/>
        </w:rPr>
      </w:pPr>
      <w:r w:rsidRPr="00C039F9">
        <w:rPr>
          <w:rFonts w:ascii="Times New Roman" w:hAnsi="Times New Roman" w:cs="Times New Roman"/>
          <w:sz w:val="28"/>
        </w:rPr>
        <w:t>d) Valoración del recurso humano utilizado directamente en la prestación del servicio, tomando como base los salarios y prestaciones de la planta de perso</w:t>
      </w:r>
      <w:r w:rsidRPr="00C039F9">
        <w:rPr>
          <w:rFonts w:ascii="Times New Roman" w:hAnsi="Times New Roman" w:cs="Times New Roman"/>
          <w:sz w:val="28"/>
        </w:rPr>
        <w:t>nal de la Dirección Nacional de Derecho de Autor, así como el valor de los contratos que se celebren para el efecto;</w:t>
      </w:r>
    </w:p>
    <w:p w:rsidR="00D6280D" w:rsidRPr="00C039F9" w:rsidRDefault="00C039F9" w:rsidP="00D6280D">
      <w:pPr>
        <w:pStyle w:val="NormalWeb"/>
        <w:spacing w:before="0" w:beforeAutospacing="0" w:after="0" w:afterAutospacing="0"/>
        <w:ind w:left="851" w:right="709"/>
        <w:contextualSpacing/>
        <w:jc w:val="both"/>
        <w:rPr>
          <w:rFonts w:ascii="Times New Roman" w:hAnsi="Times New Roman" w:cs="Times New Roman"/>
          <w:sz w:val="28"/>
        </w:rPr>
      </w:pPr>
    </w:p>
    <w:p w:rsidR="00D6280D" w:rsidRPr="00C039F9" w:rsidRDefault="00C039F9" w:rsidP="00D6280D">
      <w:pPr>
        <w:pStyle w:val="NormalWeb"/>
        <w:spacing w:before="0" w:beforeAutospacing="0" w:after="0" w:afterAutospacing="0"/>
        <w:ind w:left="851" w:right="709"/>
        <w:contextualSpacing/>
        <w:jc w:val="both"/>
        <w:rPr>
          <w:rFonts w:ascii="Times New Roman" w:hAnsi="Times New Roman" w:cs="Times New Roman"/>
          <w:sz w:val="28"/>
        </w:rPr>
      </w:pPr>
      <w:r w:rsidRPr="00C039F9">
        <w:rPr>
          <w:rFonts w:ascii="Times New Roman" w:hAnsi="Times New Roman" w:cs="Times New Roman"/>
          <w:sz w:val="28"/>
        </w:rPr>
        <w:t>e) Cuantificación de los costos en función de los equipos, técnicas y tecnologías disponibles para la operación de los servicios;</w:t>
      </w:r>
    </w:p>
    <w:p w:rsidR="00D6280D" w:rsidRPr="00C039F9" w:rsidRDefault="00C039F9" w:rsidP="00D6280D">
      <w:pPr>
        <w:pStyle w:val="NormalWeb"/>
        <w:spacing w:before="0" w:beforeAutospacing="0" w:after="0" w:afterAutospacing="0"/>
        <w:ind w:left="851" w:right="709"/>
        <w:contextualSpacing/>
        <w:jc w:val="both"/>
        <w:rPr>
          <w:rFonts w:ascii="Times New Roman" w:hAnsi="Times New Roman" w:cs="Times New Roman"/>
          <w:sz w:val="28"/>
        </w:rPr>
      </w:pPr>
    </w:p>
    <w:p w:rsidR="00D6280D" w:rsidRPr="00C039F9" w:rsidRDefault="00C039F9" w:rsidP="00D6280D">
      <w:pPr>
        <w:pStyle w:val="NormalWeb"/>
        <w:spacing w:before="0" w:beforeAutospacing="0" w:after="0" w:afterAutospacing="0"/>
        <w:ind w:left="851" w:right="709"/>
        <w:contextualSpacing/>
        <w:jc w:val="both"/>
        <w:rPr>
          <w:rFonts w:ascii="Times New Roman" w:hAnsi="Times New Roman" w:cs="Times New Roman"/>
          <w:sz w:val="28"/>
        </w:rPr>
      </w:pPr>
      <w:r w:rsidRPr="00C039F9">
        <w:rPr>
          <w:rFonts w:ascii="Times New Roman" w:hAnsi="Times New Roman" w:cs="Times New Roman"/>
          <w:sz w:val="28"/>
        </w:rPr>
        <w:t xml:space="preserve">f) </w:t>
      </w:r>
      <w:r w:rsidRPr="00C039F9">
        <w:rPr>
          <w:rFonts w:ascii="Times New Roman" w:hAnsi="Times New Roman" w:cs="Times New Roman"/>
          <w:sz w:val="28"/>
        </w:rPr>
        <w:t>Estimación de las frecuencias de utilización de los servicios. La frecuencia se entiende como el número de operaciones o ejecuciones de cada uno de los servicios prestados por la Dirección Nacional de Derecho de Autor.</w:t>
      </w:r>
    </w:p>
    <w:p w:rsidR="00D6280D" w:rsidRPr="00C039F9" w:rsidRDefault="00C039F9" w:rsidP="00D6280D">
      <w:pPr>
        <w:pStyle w:val="NormalWeb"/>
        <w:spacing w:before="0" w:beforeAutospacing="0" w:after="0" w:afterAutospacing="0"/>
        <w:ind w:left="851" w:right="709"/>
        <w:contextualSpacing/>
        <w:jc w:val="both"/>
        <w:rPr>
          <w:rFonts w:ascii="Times New Roman" w:hAnsi="Times New Roman" w:cs="Times New Roman"/>
          <w:sz w:val="28"/>
        </w:rPr>
      </w:pPr>
    </w:p>
    <w:p w:rsidR="00D6280D" w:rsidRPr="00C039F9" w:rsidRDefault="00C039F9" w:rsidP="00D6280D">
      <w:pPr>
        <w:pStyle w:val="NormalWeb"/>
        <w:numPr>
          <w:ilvl w:val="6"/>
          <w:numId w:val="1"/>
        </w:numPr>
        <w:spacing w:before="0" w:beforeAutospacing="0" w:after="0" w:afterAutospacing="0"/>
        <w:ind w:left="851" w:right="709" w:firstLine="0"/>
        <w:contextualSpacing/>
        <w:jc w:val="both"/>
        <w:rPr>
          <w:rFonts w:ascii="Times New Roman" w:hAnsi="Times New Roman" w:cs="Times New Roman"/>
          <w:sz w:val="28"/>
        </w:rPr>
      </w:pPr>
      <w:r w:rsidRPr="00C039F9">
        <w:rPr>
          <w:rFonts w:ascii="Times New Roman" w:hAnsi="Times New Roman" w:cs="Times New Roman"/>
          <w:sz w:val="28"/>
        </w:rPr>
        <w:t>Sistema de costos:</w:t>
      </w:r>
    </w:p>
    <w:p w:rsidR="00D6280D" w:rsidRPr="00C039F9" w:rsidRDefault="00C039F9" w:rsidP="00D6280D">
      <w:pPr>
        <w:pStyle w:val="NormalWeb"/>
        <w:spacing w:before="0" w:beforeAutospacing="0" w:after="0" w:afterAutospacing="0"/>
        <w:ind w:left="851" w:right="709"/>
        <w:contextualSpacing/>
        <w:jc w:val="both"/>
        <w:rPr>
          <w:rFonts w:ascii="Times New Roman" w:hAnsi="Times New Roman" w:cs="Times New Roman"/>
          <w:sz w:val="28"/>
        </w:rPr>
      </w:pPr>
    </w:p>
    <w:p w:rsidR="00D6280D" w:rsidRPr="00C039F9" w:rsidRDefault="00C039F9" w:rsidP="00D6280D">
      <w:pPr>
        <w:pStyle w:val="NormalWeb"/>
        <w:spacing w:before="0" w:beforeAutospacing="0" w:after="0" w:afterAutospacing="0"/>
        <w:ind w:left="851" w:right="709"/>
        <w:contextualSpacing/>
        <w:jc w:val="both"/>
        <w:rPr>
          <w:rFonts w:ascii="Times New Roman" w:hAnsi="Times New Roman" w:cs="Times New Roman"/>
          <w:sz w:val="28"/>
        </w:rPr>
      </w:pPr>
      <w:r w:rsidRPr="00C039F9">
        <w:rPr>
          <w:rFonts w:ascii="Times New Roman" w:hAnsi="Times New Roman" w:cs="Times New Roman"/>
          <w:sz w:val="28"/>
        </w:rPr>
        <w:t xml:space="preserve">El sistema para </w:t>
      </w:r>
      <w:r w:rsidRPr="00C039F9">
        <w:rPr>
          <w:rFonts w:ascii="Times New Roman" w:hAnsi="Times New Roman" w:cs="Times New Roman"/>
          <w:sz w:val="28"/>
        </w:rPr>
        <w:t>definir las tarifas es un sistema de costos estandarizables, en el que la valoración y ponderación de los factores que intervienen en su definición se realizará por medio de los procedimientos de costeo técnicamente aceptados.</w:t>
      </w:r>
    </w:p>
    <w:p w:rsidR="00D6280D" w:rsidRPr="00C039F9" w:rsidRDefault="00C039F9" w:rsidP="00D6280D">
      <w:pPr>
        <w:pStyle w:val="NormalWeb"/>
        <w:spacing w:before="0" w:beforeAutospacing="0" w:after="0" w:afterAutospacing="0"/>
        <w:ind w:left="851" w:right="709"/>
        <w:contextualSpacing/>
        <w:jc w:val="both"/>
        <w:rPr>
          <w:rFonts w:ascii="Times New Roman" w:hAnsi="Times New Roman" w:cs="Times New Roman"/>
          <w:sz w:val="28"/>
        </w:rPr>
      </w:pPr>
    </w:p>
    <w:p w:rsidR="00D6280D" w:rsidRPr="00C039F9" w:rsidRDefault="00C039F9" w:rsidP="00D6280D">
      <w:pPr>
        <w:pStyle w:val="NormalWeb"/>
        <w:spacing w:before="0" w:beforeAutospacing="0" w:after="0" w:afterAutospacing="0"/>
        <w:ind w:left="851" w:right="709"/>
        <w:contextualSpacing/>
        <w:jc w:val="both"/>
        <w:rPr>
          <w:rFonts w:ascii="Times New Roman" w:hAnsi="Times New Roman" w:cs="Times New Roman"/>
          <w:sz w:val="28"/>
        </w:rPr>
      </w:pPr>
      <w:r w:rsidRPr="00C039F9">
        <w:rPr>
          <w:rFonts w:ascii="Times New Roman" w:hAnsi="Times New Roman" w:cs="Times New Roman"/>
          <w:sz w:val="28"/>
        </w:rPr>
        <w:t>La tarifa para cada uno de l</w:t>
      </w:r>
      <w:r w:rsidRPr="00C039F9">
        <w:rPr>
          <w:rFonts w:ascii="Times New Roman" w:hAnsi="Times New Roman" w:cs="Times New Roman"/>
          <w:sz w:val="28"/>
        </w:rPr>
        <w:t>os servicios prestados por la Dirección Nacional de Derecho de Autor, será el resultado de sumar el valor de los insumos y de los recursos humanos utilizados, de conformidad con los literales c), d) y e) del presente parágrafo, divididos cada uno por la fr</w:t>
      </w:r>
      <w:r w:rsidRPr="00C039F9">
        <w:rPr>
          <w:rFonts w:ascii="Times New Roman" w:hAnsi="Times New Roman" w:cs="Times New Roman"/>
          <w:sz w:val="28"/>
        </w:rPr>
        <w:t>ecuencia de utilización de que trata el literal f) del presente artículo. El valor máximo de la tasa a cobrar por los hechos generadores 1 y 2 del presente artículo será de dos (2) unidades de valor tributario (UVT) vigente. El valor máximo de la tasa a co</w:t>
      </w:r>
      <w:r w:rsidRPr="00C039F9">
        <w:rPr>
          <w:rFonts w:ascii="Times New Roman" w:hAnsi="Times New Roman" w:cs="Times New Roman"/>
          <w:sz w:val="28"/>
        </w:rPr>
        <w:t>brar por los hechos generadores 3 y 4 del presente artículo será de diez (10) unidades de valor tributario (UVT) vigente.</w:t>
      </w:r>
    </w:p>
    <w:p w:rsidR="00D6280D" w:rsidRPr="00C039F9" w:rsidRDefault="00C039F9" w:rsidP="00D6280D">
      <w:pPr>
        <w:pStyle w:val="NormalWeb"/>
        <w:spacing w:before="0" w:beforeAutospacing="0" w:after="0" w:afterAutospacing="0"/>
        <w:ind w:left="851" w:right="709"/>
        <w:contextualSpacing/>
        <w:jc w:val="both"/>
        <w:rPr>
          <w:rStyle w:val="baj"/>
          <w:rFonts w:ascii="Times New Roman" w:hAnsi="Times New Roman" w:cs="Times New Roman"/>
          <w:b/>
          <w:bCs/>
          <w:sz w:val="28"/>
        </w:rPr>
      </w:pPr>
    </w:p>
    <w:p w:rsidR="00D6280D" w:rsidRPr="00C039F9" w:rsidRDefault="00C039F9" w:rsidP="00D6280D">
      <w:pPr>
        <w:pStyle w:val="NormalWeb"/>
        <w:spacing w:before="0" w:beforeAutospacing="0" w:after="0" w:afterAutospacing="0"/>
        <w:ind w:left="851" w:right="709"/>
        <w:contextualSpacing/>
        <w:jc w:val="both"/>
        <w:rPr>
          <w:rFonts w:ascii="Times New Roman" w:hAnsi="Times New Roman" w:cs="Times New Roman"/>
          <w:sz w:val="28"/>
        </w:rPr>
      </w:pPr>
      <w:r w:rsidRPr="00C039F9">
        <w:rPr>
          <w:rStyle w:val="baj"/>
          <w:rFonts w:ascii="Times New Roman" w:hAnsi="Times New Roman" w:cs="Times New Roman"/>
          <w:b/>
          <w:bCs/>
          <w:sz w:val="28"/>
        </w:rPr>
        <w:t>PARÁGRAFO 2o.</w:t>
      </w:r>
      <w:r w:rsidRPr="00C039F9">
        <w:rPr>
          <w:rFonts w:ascii="Times New Roman" w:hAnsi="Times New Roman" w:cs="Times New Roman"/>
          <w:sz w:val="28"/>
        </w:rPr>
        <w:t> El Gobierno Nacional podrá revisar periódicamente los criterios para la determinación de las tarifas considerando mejor</w:t>
      </w:r>
      <w:r w:rsidRPr="00C039F9">
        <w:rPr>
          <w:rFonts w:ascii="Times New Roman" w:hAnsi="Times New Roman" w:cs="Times New Roman"/>
          <w:sz w:val="28"/>
        </w:rPr>
        <w:t>as en eficiencia que puedan resultar en menores costos en la prestación de los servicios a cargo de la Dirección Nacional de Derecho de Autor.</w:t>
      </w:r>
    </w:p>
    <w:p w:rsidR="00D6280D" w:rsidRPr="00C039F9" w:rsidRDefault="00C039F9" w:rsidP="00D6280D">
      <w:pPr>
        <w:pStyle w:val="NormalWeb"/>
        <w:spacing w:before="0" w:beforeAutospacing="0" w:after="0" w:afterAutospacing="0"/>
        <w:ind w:left="851" w:right="709"/>
        <w:contextualSpacing/>
        <w:jc w:val="both"/>
        <w:rPr>
          <w:rStyle w:val="baj"/>
          <w:rFonts w:ascii="Times New Roman" w:hAnsi="Times New Roman" w:cs="Times New Roman"/>
          <w:b/>
          <w:bCs/>
          <w:sz w:val="28"/>
        </w:rPr>
      </w:pPr>
    </w:p>
    <w:p w:rsidR="00D6280D" w:rsidRPr="00C039F9" w:rsidRDefault="00C039F9" w:rsidP="00D6280D">
      <w:pPr>
        <w:pStyle w:val="NormalWeb"/>
        <w:spacing w:before="0" w:beforeAutospacing="0" w:after="0" w:afterAutospacing="0"/>
        <w:ind w:left="851" w:right="709"/>
        <w:contextualSpacing/>
        <w:jc w:val="both"/>
        <w:rPr>
          <w:rFonts w:ascii="Times New Roman" w:hAnsi="Times New Roman" w:cs="Times New Roman"/>
          <w:sz w:val="28"/>
        </w:rPr>
      </w:pPr>
      <w:r w:rsidRPr="00C039F9">
        <w:rPr>
          <w:rStyle w:val="baj"/>
          <w:rFonts w:ascii="Times New Roman" w:hAnsi="Times New Roman" w:cs="Times New Roman"/>
          <w:b/>
          <w:bCs/>
          <w:sz w:val="28"/>
        </w:rPr>
        <w:t>PARÁGRAFO 3o.</w:t>
      </w:r>
      <w:r w:rsidRPr="00C039F9">
        <w:rPr>
          <w:rFonts w:ascii="Times New Roman" w:hAnsi="Times New Roman" w:cs="Times New Roman"/>
          <w:sz w:val="28"/>
        </w:rPr>
        <w:t xml:space="preserve"> El sujeto pasivo o usuario deberá acreditar el pago de la tarifa correspondiente al momento de </w:t>
      </w:r>
      <w:r w:rsidRPr="00C039F9">
        <w:rPr>
          <w:rFonts w:ascii="Times New Roman" w:hAnsi="Times New Roman" w:cs="Times New Roman"/>
          <w:sz w:val="28"/>
        </w:rPr>
        <w:t xml:space="preserve">solicitar el servicio a la Dirección Nacional de Derecho de Autor. El recaudo de la tasa de que trata la presente ley estará a cargo de la Dirección Nacional de Derecho de Autor y tendrá una destinación específica encaminada a proteger a los titulares del </w:t>
      </w:r>
      <w:r w:rsidRPr="00C039F9">
        <w:rPr>
          <w:rFonts w:ascii="Times New Roman" w:hAnsi="Times New Roman" w:cs="Times New Roman"/>
          <w:sz w:val="28"/>
        </w:rPr>
        <w:t>derecho de autor y de los derechos conexos y garantizar la creatividad productiva que permita contribuir al desarrollo de las industrias culturales y la riqueza del país.</w:t>
      </w:r>
    </w:p>
    <w:p w:rsidR="00D6280D" w:rsidRPr="00C039F9" w:rsidRDefault="00C039F9" w:rsidP="00D6280D">
      <w:pPr>
        <w:pStyle w:val="NormalWeb"/>
        <w:spacing w:before="0" w:beforeAutospacing="0" w:after="0" w:afterAutospacing="0"/>
        <w:ind w:left="851" w:right="709"/>
        <w:contextualSpacing/>
        <w:jc w:val="both"/>
        <w:rPr>
          <w:rStyle w:val="baj"/>
          <w:rFonts w:ascii="Times New Roman" w:hAnsi="Times New Roman" w:cs="Times New Roman"/>
          <w:b/>
          <w:bCs/>
          <w:sz w:val="28"/>
        </w:rPr>
      </w:pPr>
    </w:p>
    <w:p w:rsidR="00D6280D" w:rsidRPr="00C039F9" w:rsidRDefault="00C039F9" w:rsidP="00D6280D">
      <w:pPr>
        <w:pStyle w:val="NormalWeb"/>
        <w:spacing w:before="0" w:beforeAutospacing="0" w:after="0" w:afterAutospacing="0"/>
        <w:ind w:left="851" w:right="709"/>
        <w:contextualSpacing/>
        <w:jc w:val="both"/>
        <w:rPr>
          <w:rFonts w:ascii="Times New Roman" w:hAnsi="Times New Roman" w:cs="Times New Roman"/>
          <w:sz w:val="28"/>
          <w:szCs w:val="18"/>
        </w:rPr>
      </w:pPr>
      <w:r w:rsidRPr="00C039F9">
        <w:rPr>
          <w:rStyle w:val="baj"/>
          <w:rFonts w:ascii="Times New Roman" w:hAnsi="Times New Roman" w:cs="Times New Roman"/>
          <w:b/>
          <w:bCs/>
          <w:sz w:val="28"/>
        </w:rPr>
        <w:t>PARÁGRAFO 4o.</w:t>
      </w:r>
      <w:r w:rsidRPr="00C039F9">
        <w:rPr>
          <w:rFonts w:ascii="Times New Roman" w:hAnsi="Times New Roman" w:cs="Times New Roman"/>
          <w:sz w:val="28"/>
        </w:rPr>
        <w:t> Los recursos serán incorporados en el presupuesto de la Dirección Naci</w:t>
      </w:r>
      <w:r w:rsidRPr="00C039F9">
        <w:rPr>
          <w:rFonts w:ascii="Times New Roman" w:hAnsi="Times New Roman" w:cs="Times New Roman"/>
          <w:sz w:val="28"/>
        </w:rPr>
        <w:t>onal de Derecho de Autor, de conformidad con lo previsto en la Ley Orgánica de Presupuesto y se destinarán a financiar los objetivos y programas, para el cumplimiento de las políticas gubernamentales en materia de derecho de autor y derechos conexos.»</w:t>
      </w:r>
    </w:p>
    <w:p w:rsidR="00D6280D" w:rsidRPr="00C039F9" w:rsidRDefault="00C039F9" w:rsidP="00D6280D">
      <w:pPr>
        <w:pStyle w:val="NormalWeb"/>
        <w:spacing w:before="0" w:beforeAutospacing="0" w:after="0" w:afterAutospacing="0"/>
        <w:contextualSpacing/>
        <w:jc w:val="both"/>
        <w:rPr>
          <w:rFonts w:ascii="Times New Roman" w:hAnsi="Times New Roman" w:cs="Times New Roman"/>
          <w:i/>
          <w:iCs/>
          <w:sz w:val="28"/>
          <w:szCs w:val="28"/>
        </w:rPr>
      </w:pPr>
      <w:bookmarkStart w:id="7" w:name="_Hlk132301813"/>
      <w:bookmarkEnd w:id="4"/>
    </w:p>
    <w:bookmarkEnd w:id="7"/>
    <w:p w:rsidR="00D6280D" w:rsidRPr="00C039F9" w:rsidRDefault="00C039F9" w:rsidP="00D6280D">
      <w:pPr>
        <w:pStyle w:val="NormalWeb"/>
        <w:numPr>
          <w:ilvl w:val="3"/>
          <w:numId w:val="1"/>
        </w:numPr>
        <w:spacing w:before="0" w:beforeAutospacing="0" w:after="0" w:afterAutospacing="0"/>
        <w:ind w:left="0" w:firstLine="0"/>
        <w:contextualSpacing/>
        <w:jc w:val="both"/>
        <w:rPr>
          <w:rFonts w:ascii="Times New Roman" w:hAnsi="Times New Roman" w:cs="Times New Roman"/>
          <w:i/>
          <w:iCs/>
          <w:sz w:val="28"/>
          <w:szCs w:val="28"/>
        </w:rPr>
      </w:pPr>
      <w:r w:rsidRPr="00C039F9">
        <w:rPr>
          <w:rFonts w:ascii="Times New Roman" w:hAnsi="Times New Roman" w:cs="Times New Roman"/>
          <w:sz w:val="28"/>
          <w:szCs w:val="28"/>
        </w:rPr>
        <w:t>Ini</w:t>
      </w:r>
      <w:r w:rsidRPr="00C039F9">
        <w:rPr>
          <w:rFonts w:ascii="Times New Roman" w:hAnsi="Times New Roman" w:cs="Times New Roman"/>
          <w:sz w:val="28"/>
          <w:szCs w:val="28"/>
        </w:rPr>
        <w:t xml:space="preserve">cialmente, tras señalar </w:t>
      </w:r>
      <w:r w:rsidRPr="00C039F9">
        <w:rPr>
          <w:rFonts w:ascii="Times New Roman" w:hAnsi="Times New Roman" w:cs="Times New Roman"/>
          <w:sz w:val="28"/>
          <w:szCs w:val="28"/>
        </w:rPr>
        <w:t>que, salvo</w:t>
      </w:r>
      <w:r w:rsidRPr="00C039F9">
        <w:rPr>
          <w:rFonts w:ascii="Times New Roman" w:hAnsi="Times New Roman" w:cs="Times New Roman"/>
          <w:sz w:val="28"/>
          <w:szCs w:val="28"/>
        </w:rPr>
        <w:t xml:space="preserve"> en lo tocante con el</w:t>
      </w:r>
      <w:r w:rsidRPr="00C039F9">
        <w:rPr>
          <w:rFonts w:ascii="Times New Roman" w:hAnsi="Times New Roman" w:cs="Times New Roman"/>
          <w:iCs/>
          <w:sz w:val="28"/>
          <w:szCs w:val="28"/>
          <w:lang w:val="es-ES_tradnl" w:eastAsia="es-MX"/>
        </w:rPr>
        <w:t xml:space="preserve"> último inciso de la parte principal del artículo 206 de la Ley 23 de 1982 que reformó el artículo 169 de la Ley 2294 de 2023</w:t>
      </w:r>
      <w:r w:rsidRPr="00C039F9">
        <w:rPr>
          <w:rStyle w:val="Refdenotaalpie"/>
          <w:rFonts w:ascii="Times New Roman" w:hAnsi="Times New Roman" w:cs="Times New Roman"/>
          <w:iCs/>
          <w:sz w:val="28"/>
          <w:szCs w:val="28"/>
          <w:lang w:val="es-ES_tradnl" w:eastAsia="es-MX"/>
        </w:rPr>
        <w:footnoteReference w:id="2"/>
      </w:r>
      <w:r w:rsidRPr="00C039F9">
        <w:rPr>
          <w:rFonts w:ascii="Times New Roman" w:hAnsi="Times New Roman" w:cs="Times New Roman"/>
          <w:iCs/>
          <w:sz w:val="28"/>
          <w:szCs w:val="28"/>
          <w:lang w:val="es-ES_tradnl" w:eastAsia="es-MX"/>
        </w:rPr>
        <w:t>,</w:t>
      </w:r>
      <w:r w:rsidRPr="00C039F9">
        <w:rPr>
          <w:rFonts w:ascii="Times New Roman" w:hAnsi="Times New Roman" w:cs="Times New Roman"/>
          <w:iCs/>
          <w:sz w:val="28"/>
          <w:szCs w:val="28"/>
          <w:lang w:val="es-ES_tradnl" w:eastAsia="es-MX"/>
        </w:rPr>
        <w:t xml:space="preserve"> la demanda no cuestionaba el resto de la norma atacada, el despacho susta</w:t>
      </w:r>
      <w:r w:rsidRPr="00C039F9">
        <w:rPr>
          <w:rFonts w:ascii="Times New Roman" w:hAnsi="Times New Roman" w:cs="Times New Roman"/>
          <w:iCs/>
          <w:sz w:val="28"/>
          <w:szCs w:val="28"/>
          <w:lang w:val="es-ES_tradnl" w:eastAsia="es-MX"/>
        </w:rPr>
        <w:t>nciador</w:t>
      </w:r>
      <w:r w:rsidRPr="00C039F9">
        <w:rPr>
          <w:rFonts w:ascii="Times New Roman" w:hAnsi="Times New Roman" w:cs="Times New Roman"/>
          <w:sz w:val="28"/>
          <w:szCs w:val="28"/>
        </w:rPr>
        <w:t xml:space="preserve"> inadmitió el cargo elevado contra la totalidad de </w:t>
      </w:r>
      <w:r w:rsidRPr="00C039F9">
        <w:rPr>
          <w:rFonts w:ascii="Times New Roman" w:hAnsi="Times New Roman" w:cs="Times New Roman"/>
          <w:sz w:val="28"/>
          <w:szCs w:val="28"/>
        </w:rPr>
        <w:t xml:space="preserve">la </w:t>
      </w:r>
      <w:r w:rsidRPr="00C039F9">
        <w:rPr>
          <w:rFonts w:ascii="Times New Roman" w:hAnsi="Times New Roman" w:cs="Times New Roman"/>
          <w:sz w:val="28"/>
          <w:szCs w:val="28"/>
        </w:rPr>
        <w:t>disposición legal y concedió el término de ley para su corrección. Ante su oportuna adecuación</w:t>
      </w:r>
      <w:r w:rsidRPr="00C039F9">
        <w:rPr>
          <w:rStyle w:val="Refdenotaalpie"/>
          <w:rFonts w:ascii="Times New Roman" w:hAnsi="Times New Roman" w:cs="Times New Roman"/>
          <w:sz w:val="28"/>
          <w:szCs w:val="28"/>
        </w:rPr>
        <w:footnoteReference w:id="3"/>
      </w:r>
      <w:r w:rsidRPr="00C039F9">
        <w:rPr>
          <w:rFonts w:ascii="Times New Roman" w:hAnsi="Times New Roman" w:cs="Times New Roman"/>
          <w:sz w:val="28"/>
          <w:szCs w:val="28"/>
        </w:rPr>
        <w:t xml:space="preserve">, mediante </w:t>
      </w:r>
      <w:bookmarkStart w:id="8" w:name="_Hlk132301951"/>
      <w:r w:rsidRPr="00C039F9">
        <w:rPr>
          <w:rFonts w:ascii="Times New Roman" w:hAnsi="Times New Roman" w:cs="Times New Roman"/>
          <w:sz w:val="28"/>
          <w:szCs w:val="28"/>
        </w:rPr>
        <w:t>Auto del 11 de agosto de 2023 el despacho admitió</w:t>
      </w:r>
      <w:bookmarkEnd w:id="8"/>
      <w:r w:rsidRPr="00C039F9">
        <w:rPr>
          <w:rFonts w:ascii="Times New Roman" w:hAnsi="Times New Roman" w:cs="Times New Roman"/>
          <w:sz w:val="28"/>
          <w:szCs w:val="28"/>
        </w:rPr>
        <w:t xml:space="preserve"> integralmente la demanda. Así, se dispu</w:t>
      </w:r>
      <w:r w:rsidRPr="00C039F9">
        <w:rPr>
          <w:rFonts w:ascii="Times New Roman" w:hAnsi="Times New Roman" w:cs="Times New Roman"/>
          <w:sz w:val="28"/>
          <w:szCs w:val="28"/>
        </w:rPr>
        <w:t xml:space="preserve">so la fijación en lista de la norma acusada para permitir la participación ciudadana y se ordenó la comunicación del proceso al presidente de la República, al presidente del Congreso, </w:t>
      </w:r>
      <w:r w:rsidRPr="00C039F9">
        <w:rPr>
          <w:rFonts w:ascii="Times New Roman" w:hAnsi="Times New Roman" w:cs="Times New Roman"/>
          <w:sz w:val="28"/>
          <w:szCs w:val="28"/>
          <w:lang w:eastAsia="es-ES"/>
        </w:rPr>
        <w:t xml:space="preserve">al Ministerio de Hacienda y Crédito Público, al Ministerio del Interior </w:t>
      </w:r>
      <w:r w:rsidRPr="00C039F9">
        <w:rPr>
          <w:rFonts w:ascii="Times New Roman" w:hAnsi="Times New Roman" w:cs="Times New Roman"/>
          <w:sz w:val="28"/>
          <w:szCs w:val="28"/>
          <w:lang w:eastAsia="es-ES"/>
        </w:rPr>
        <w:t>-Dirección Nacional de Derecho de Autor- y a la Dirección de Impuestos y Aduanas Nacionales - DIAN</w:t>
      </w:r>
      <w:r w:rsidRPr="00C039F9">
        <w:rPr>
          <w:rFonts w:ascii="Times New Roman" w:hAnsi="Times New Roman" w:cs="Times New Roman"/>
          <w:sz w:val="28"/>
          <w:szCs w:val="28"/>
        </w:rPr>
        <w:t xml:space="preserve"> para que, si lo estimaran conveniente, se pronunciaran sobre la respectiva controversia constitucional. También se invitó a varias entidades académicas para </w:t>
      </w:r>
      <w:r w:rsidRPr="00C039F9">
        <w:rPr>
          <w:rFonts w:ascii="Times New Roman" w:hAnsi="Times New Roman" w:cs="Times New Roman"/>
          <w:sz w:val="28"/>
          <w:szCs w:val="28"/>
        </w:rPr>
        <w:t>que intervinieran en el proceso</w:t>
      </w:r>
      <w:r w:rsidRPr="00C039F9">
        <w:rPr>
          <w:rStyle w:val="Refdenotaalpie"/>
          <w:rFonts w:ascii="Times New Roman" w:hAnsi="Times New Roman" w:cs="Times New Roman"/>
          <w:sz w:val="28"/>
          <w:szCs w:val="28"/>
        </w:rPr>
        <w:footnoteReference w:id="4"/>
      </w:r>
      <w:r w:rsidRPr="00C039F9">
        <w:rPr>
          <w:rFonts w:ascii="Times New Roman" w:hAnsi="Times New Roman" w:cs="Times New Roman"/>
          <w:sz w:val="28"/>
          <w:szCs w:val="28"/>
        </w:rPr>
        <w:t xml:space="preserve">. Finalmente, se dispuso el traslado a la procuradora general de la Nación para que rindiera el concepto de su competencia. </w:t>
      </w:r>
    </w:p>
    <w:p w:rsidR="00D6280D" w:rsidRPr="00C039F9" w:rsidRDefault="00C039F9" w:rsidP="00D6280D">
      <w:pPr>
        <w:pStyle w:val="NormalWeb"/>
        <w:spacing w:before="0" w:beforeAutospacing="0" w:after="0" w:afterAutospacing="0"/>
        <w:contextualSpacing/>
        <w:jc w:val="both"/>
        <w:rPr>
          <w:rFonts w:ascii="Times New Roman" w:hAnsi="Times New Roman" w:cs="Times New Roman"/>
          <w:i/>
          <w:iCs/>
          <w:sz w:val="28"/>
          <w:szCs w:val="28"/>
        </w:rPr>
      </w:pPr>
    </w:p>
    <w:p w:rsidR="00D6280D" w:rsidRPr="00C039F9" w:rsidRDefault="00C039F9" w:rsidP="00D6280D">
      <w:pPr>
        <w:pStyle w:val="NormalWeb"/>
        <w:numPr>
          <w:ilvl w:val="3"/>
          <w:numId w:val="1"/>
        </w:numPr>
        <w:spacing w:before="0" w:beforeAutospacing="0" w:after="0" w:afterAutospacing="0"/>
        <w:ind w:left="0" w:firstLine="0"/>
        <w:contextualSpacing/>
        <w:jc w:val="both"/>
        <w:rPr>
          <w:rFonts w:ascii="Times New Roman" w:hAnsi="Times New Roman" w:cs="Times New Roman"/>
          <w:i/>
          <w:iCs/>
          <w:sz w:val="28"/>
          <w:szCs w:val="28"/>
        </w:rPr>
      </w:pPr>
      <w:bookmarkStart w:id="9" w:name="_Hlk145924768"/>
      <w:r w:rsidRPr="00C039F9">
        <w:rPr>
          <w:rFonts w:ascii="Times New Roman" w:hAnsi="Times New Roman" w:cs="Times New Roman"/>
          <w:sz w:val="28"/>
          <w:szCs w:val="28"/>
        </w:rPr>
        <w:t>Una vez en firme el auto admisorio de la demanda,</w:t>
      </w:r>
      <w:r w:rsidRPr="00C039F9">
        <w:rPr>
          <w:rFonts w:ascii="Times New Roman" w:hAnsi="Times New Roman" w:cs="Times New Roman"/>
          <w:i/>
          <w:sz w:val="28"/>
          <w:szCs w:val="28"/>
        </w:rPr>
        <w:t xml:space="preserve"> </w:t>
      </w:r>
      <w:r w:rsidRPr="00C039F9">
        <w:rPr>
          <w:rFonts w:ascii="Times New Roman" w:hAnsi="Times New Roman" w:cs="Times New Roman"/>
          <w:sz w:val="28"/>
          <w:szCs w:val="28"/>
        </w:rPr>
        <w:t xml:space="preserve">intervinieron oportunamente la Unidad </w:t>
      </w:r>
      <w:r w:rsidRPr="00C039F9">
        <w:rPr>
          <w:rFonts w:ascii="Times New Roman" w:hAnsi="Times New Roman" w:cs="Times New Roman"/>
          <w:sz w:val="28"/>
          <w:szCs w:val="28"/>
        </w:rPr>
        <w:t>Administrativa Especial -Dirección Nacional de Derecho de Autor (DNDA), el Departamento Nacional de Planeación, la Secretaría Jurídica del Departamento Administrativo de la Presidencia de la República, el Ministerio del Interior y el Ministerio de Hacienda</w:t>
      </w:r>
      <w:r w:rsidRPr="00C039F9">
        <w:rPr>
          <w:rFonts w:ascii="Times New Roman" w:hAnsi="Times New Roman" w:cs="Times New Roman"/>
          <w:sz w:val="28"/>
          <w:szCs w:val="28"/>
        </w:rPr>
        <w:t xml:space="preserve"> y Crédito Público. También, pero por fuera del término legal, intervino el Instituto Colombiano de Derecho Tributario – ICDT</w:t>
      </w:r>
      <w:r w:rsidRPr="00C039F9">
        <w:rPr>
          <w:rFonts w:ascii="Times New Roman" w:hAnsi="Times New Roman" w:cs="Times New Roman"/>
          <w:sz w:val="28"/>
          <w:szCs w:val="28"/>
        </w:rPr>
        <w:t xml:space="preserve">. </w:t>
      </w:r>
      <w:r w:rsidRPr="00C039F9">
        <w:rPr>
          <w:rFonts w:ascii="Times New Roman" w:hAnsi="Times New Roman" w:cs="Times New Roman"/>
          <w:sz w:val="28"/>
          <w:szCs w:val="28"/>
        </w:rPr>
        <w:t>Finalmente, la procuradora general de la Nación emitió el concepto de su competencia.</w:t>
      </w:r>
    </w:p>
    <w:bookmarkEnd w:id="9"/>
    <w:p w:rsidR="00D6280D" w:rsidRPr="00C039F9" w:rsidRDefault="00C039F9" w:rsidP="00D6280D">
      <w:pPr>
        <w:pStyle w:val="Prrafodelista"/>
        <w:rPr>
          <w:rFonts w:ascii="Times New Roman" w:hAnsi="Times New Roman" w:cs="Times New Roman"/>
          <w:i/>
          <w:iCs/>
          <w:sz w:val="28"/>
          <w:szCs w:val="28"/>
        </w:rPr>
      </w:pPr>
    </w:p>
    <w:p w:rsidR="00D6280D" w:rsidRPr="00C039F9" w:rsidRDefault="00C039F9" w:rsidP="00D6280D">
      <w:pPr>
        <w:pStyle w:val="NormalWeb"/>
        <w:numPr>
          <w:ilvl w:val="0"/>
          <w:numId w:val="1"/>
        </w:numPr>
        <w:spacing w:before="0" w:beforeAutospacing="0" w:after="0" w:afterAutospacing="0"/>
        <w:ind w:left="709"/>
        <w:contextualSpacing/>
        <w:jc w:val="both"/>
        <w:rPr>
          <w:rFonts w:ascii="Times New Roman" w:hAnsi="Times New Roman" w:cs="Times New Roman"/>
          <w:b/>
          <w:bCs/>
          <w:sz w:val="28"/>
          <w:szCs w:val="28"/>
        </w:rPr>
      </w:pPr>
      <w:r w:rsidRPr="00C039F9">
        <w:rPr>
          <w:rFonts w:ascii="Times New Roman" w:hAnsi="Times New Roman" w:cs="Times New Roman"/>
          <w:b/>
          <w:bCs/>
          <w:sz w:val="28"/>
          <w:szCs w:val="28"/>
        </w:rPr>
        <w:t>LA DEMANDA</w:t>
      </w:r>
    </w:p>
    <w:p w:rsidR="00D6280D" w:rsidRPr="00C039F9" w:rsidRDefault="00C039F9" w:rsidP="00D6280D">
      <w:pPr>
        <w:pStyle w:val="Prrafodelista"/>
        <w:rPr>
          <w:rFonts w:ascii="Times New Roman" w:hAnsi="Times New Roman" w:cs="Times New Roman"/>
          <w:sz w:val="28"/>
          <w:szCs w:val="28"/>
        </w:rPr>
      </w:pPr>
    </w:p>
    <w:p w:rsidR="00DE30D7" w:rsidRPr="00C039F9" w:rsidRDefault="00C039F9" w:rsidP="00D6280D">
      <w:pPr>
        <w:pStyle w:val="Prrafodelista"/>
        <w:numPr>
          <w:ilvl w:val="0"/>
          <w:numId w:val="2"/>
        </w:numPr>
        <w:ind w:left="0" w:hanging="11"/>
        <w:rPr>
          <w:rFonts w:ascii="Times New Roman" w:hAnsi="Times New Roman" w:cs="Times New Roman"/>
          <w:sz w:val="28"/>
          <w:szCs w:val="28"/>
        </w:rPr>
      </w:pPr>
      <w:r w:rsidRPr="00C039F9">
        <w:rPr>
          <w:rFonts w:ascii="Times New Roman" w:hAnsi="Times New Roman" w:cs="Times New Roman"/>
          <w:sz w:val="28"/>
          <w:szCs w:val="28"/>
        </w:rPr>
        <w:t>En sustento de su único cargo,</w:t>
      </w:r>
      <w:r w:rsidRPr="00C039F9">
        <w:rPr>
          <w:rFonts w:ascii="Times New Roman" w:hAnsi="Times New Roman" w:cs="Times New Roman"/>
          <w:sz w:val="28"/>
          <w:szCs w:val="28"/>
        </w:rPr>
        <w:t xml:space="preserve"> la demanda inició haciendo un análisis del artículo demandado. En este orden, se aludió a los sujetos activos y pasivos de la tasa que prevé la disposición atacada; a sus hechos generadores; a su base gravable, en donde se resaltó que su metodología de cá</w:t>
      </w:r>
      <w:r w:rsidRPr="00C039F9">
        <w:rPr>
          <w:rFonts w:ascii="Times New Roman" w:hAnsi="Times New Roman" w:cs="Times New Roman"/>
          <w:sz w:val="28"/>
          <w:szCs w:val="28"/>
        </w:rPr>
        <w:t>lculo sería establecida por el Gobierno nacional a través del Ministerio del Interior; a la fijación de sus tarifas y el sistema de costos para su determinación; a la facultad del Gobierno nacional para revisar los criterios para la definición de las tarif</w:t>
      </w:r>
      <w:r w:rsidRPr="00C039F9">
        <w:rPr>
          <w:rFonts w:ascii="Times New Roman" w:hAnsi="Times New Roman" w:cs="Times New Roman"/>
          <w:sz w:val="28"/>
          <w:szCs w:val="28"/>
        </w:rPr>
        <w:t>as; a la acreditación del pago de las tarifas por el usuario y, finalmente, al recaudo de la tasa por la DNDA.</w:t>
      </w:r>
    </w:p>
    <w:p w:rsidR="00DE30D7" w:rsidRPr="00C039F9" w:rsidRDefault="00C039F9" w:rsidP="00DE30D7">
      <w:pPr>
        <w:pStyle w:val="Prrafodelista"/>
        <w:ind w:left="0"/>
        <w:rPr>
          <w:rFonts w:ascii="Times New Roman" w:hAnsi="Times New Roman" w:cs="Times New Roman"/>
          <w:sz w:val="28"/>
          <w:szCs w:val="28"/>
        </w:rPr>
      </w:pPr>
    </w:p>
    <w:p w:rsidR="00DE30D7" w:rsidRPr="00C039F9" w:rsidRDefault="00C039F9" w:rsidP="00D6280D">
      <w:pPr>
        <w:pStyle w:val="Prrafodelista"/>
        <w:numPr>
          <w:ilvl w:val="0"/>
          <w:numId w:val="2"/>
        </w:numPr>
        <w:ind w:left="0" w:hanging="11"/>
        <w:rPr>
          <w:rFonts w:ascii="Times New Roman" w:hAnsi="Times New Roman" w:cs="Times New Roman"/>
          <w:sz w:val="28"/>
          <w:szCs w:val="28"/>
        </w:rPr>
      </w:pPr>
      <w:r w:rsidRPr="00C039F9">
        <w:rPr>
          <w:rFonts w:ascii="Times New Roman" w:hAnsi="Times New Roman" w:cs="Times New Roman"/>
          <w:sz w:val="28"/>
          <w:szCs w:val="28"/>
        </w:rPr>
        <w:t xml:space="preserve">Dicho lo anterior, la demanda señaló que «llama la atención la </w:t>
      </w:r>
      <w:r w:rsidRPr="00C039F9">
        <w:rPr>
          <w:rFonts w:ascii="Times New Roman" w:hAnsi="Times New Roman" w:cs="Times New Roman"/>
          <w:b/>
          <w:bCs/>
          <w:sz w:val="28"/>
          <w:szCs w:val="28"/>
        </w:rPr>
        <w:t xml:space="preserve">falta de certeza en la base gravable </w:t>
      </w:r>
      <w:r w:rsidRPr="00C039F9">
        <w:rPr>
          <w:rFonts w:ascii="Times New Roman" w:hAnsi="Times New Roman" w:cs="Times New Roman"/>
          <w:sz w:val="28"/>
          <w:szCs w:val="28"/>
        </w:rPr>
        <w:t xml:space="preserve">de este tributo [pues] </w:t>
      </w:r>
      <w:r w:rsidRPr="00C039F9">
        <w:rPr>
          <w:rFonts w:ascii="Times New Roman" w:hAnsi="Times New Roman" w:cs="Times New Roman"/>
          <w:b/>
          <w:bCs/>
          <w:sz w:val="28"/>
          <w:szCs w:val="28"/>
        </w:rPr>
        <w:t>la norma establece qu</w:t>
      </w:r>
      <w:r w:rsidRPr="00C039F9">
        <w:rPr>
          <w:rFonts w:ascii="Times New Roman" w:hAnsi="Times New Roman" w:cs="Times New Roman"/>
          <w:b/>
          <w:bCs/>
          <w:sz w:val="28"/>
          <w:szCs w:val="28"/>
        </w:rPr>
        <w:t>e la base para la liquidación de la tasa será el costo de los servicios correspondientes a cada uno de los hechos generadores, pero no proporciona información detallada sobre cómo se determinarán esos costos</w:t>
      </w:r>
      <w:r w:rsidRPr="00C039F9">
        <w:rPr>
          <w:rFonts w:ascii="Times New Roman" w:hAnsi="Times New Roman" w:cs="Times New Roman"/>
          <w:sz w:val="28"/>
          <w:szCs w:val="28"/>
        </w:rPr>
        <w:t>» (el énfasis es del texto citado).  Luego, prosi</w:t>
      </w:r>
      <w:r w:rsidRPr="00C039F9">
        <w:rPr>
          <w:rFonts w:ascii="Times New Roman" w:hAnsi="Times New Roman" w:cs="Times New Roman"/>
          <w:sz w:val="28"/>
          <w:szCs w:val="28"/>
        </w:rPr>
        <w:t>guió indicando que los criterios para calcular los costos de los servicios son «un aspecto fundamental que debe estar claramente definido en la Ley tributaria, y [que estos] no [pueden] dejarse a la discreción de las autoridades administrativa[s]».</w:t>
      </w:r>
    </w:p>
    <w:p w:rsidR="00DE30D7" w:rsidRPr="00C039F9" w:rsidRDefault="00C039F9" w:rsidP="00DE30D7">
      <w:pPr>
        <w:pStyle w:val="Prrafodelista"/>
        <w:rPr>
          <w:rFonts w:ascii="Times New Roman" w:hAnsi="Times New Roman" w:cs="Times New Roman"/>
          <w:sz w:val="28"/>
          <w:szCs w:val="28"/>
        </w:rPr>
      </w:pPr>
    </w:p>
    <w:p w:rsidR="00DE30D7" w:rsidRPr="00C039F9" w:rsidRDefault="00C039F9" w:rsidP="00D6280D">
      <w:pPr>
        <w:pStyle w:val="Prrafodelista"/>
        <w:numPr>
          <w:ilvl w:val="0"/>
          <w:numId w:val="2"/>
        </w:numPr>
        <w:ind w:left="0" w:hanging="11"/>
        <w:rPr>
          <w:rFonts w:ascii="Times New Roman" w:hAnsi="Times New Roman" w:cs="Times New Roman"/>
          <w:sz w:val="28"/>
          <w:szCs w:val="28"/>
        </w:rPr>
      </w:pPr>
      <w:r w:rsidRPr="00C039F9">
        <w:rPr>
          <w:rFonts w:ascii="Times New Roman" w:hAnsi="Times New Roman" w:cs="Times New Roman"/>
          <w:sz w:val="28"/>
          <w:szCs w:val="28"/>
        </w:rPr>
        <w:t>Despué</w:t>
      </w:r>
      <w:r w:rsidRPr="00C039F9">
        <w:rPr>
          <w:rFonts w:ascii="Times New Roman" w:hAnsi="Times New Roman" w:cs="Times New Roman"/>
          <w:sz w:val="28"/>
          <w:szCs w:val="28"/>
        </w:rPr>
        <w:t xml:space="preserve">s, tras discurrir en torno a la historia y fines de los tributos, la demanda aludió al principio de legalidad o reserva de ley que le es propia a las normas tributarias y a la regulación constitucional que, sobre estas, contempla el artículo 338 superior. </w:t>
      </w:r>
      <w:r w:rsidRPr="00C039F9">
        <w:rPr>
          <w:rFonts w:ascii="Times New Roman" w:hAnsi="Times New Roman" w:cs="Times New Roman"/>
          <w:sz w:val="28"/>
          <w:szCs w:val="28"/>
        </w:rPr>
        <w:t>En este sentido se explicó que, de acuerdo con dicha disposición constitucional, la competencia legislativa de creación, modificación y/o eliminación tributaria del Estado está sujeta a que los elementos estructurales del tributo (sujetos activos y pasivos</w:t>
      </w:r>
      <w:r w:rsidRPr="00C039F9">
        <w:rPr>
          <w:rFonts w:ascii="Times New Roman" w:hAnsi="Times New Roman" w:cs="Times New Roman"/>
          <w:sz w:val="28"/>
          <w:szCs w:val="28"/>
        </w:rPr>
        <w:t>, hecho generador, base gravable y tarifa) sean expresamente determinados por la ley o, siquiera, puedan ser determinables a partir de esta; lo que garantiza la satisfacción de los principios de legalidad y certeza tributaria. Esto, sin perjuicio de que, «</w:t>
      </w:r>
      <w:r w:rsidRPr="00C039F9">
        <w:rPr>
          <w:rFonts w:ascii="Times New Roman" w:hAnsi="Times New Roman" w:cs="Times New Roman"/>
          <w:sz w:val="28"/>
          <w:szCs w:val="28"/>
        </w:rPr>
        <w:t xml:space="preserve">como señala el mismo artículo 338 superior, la Ley, las ordenanzas y los acuerdos pued[a]n permitir que las autoridades fijen la tarifa de las tasas y contribuciones que cobren a los contribuyentes, como recuperación de los costos de los servicios que les </w:t>
      </w:r>
      <w:r w:rsidRPr="00C039F9">
        <w:rPr>
          <w:rFonts w:ascii="Times New Roman" w:hAnsi="Times New Roman" w:cs="Times New Roman"/>
          <w:sz w:val="28"/>
          <w:szCs w:val="28"/>
        </w:rPr>
        <w:t>presten o participación en los beneficios que les proporcionen».</w:t>
      </w:r>
    </w:p>
    <w:p w:rsidR="00DE30D7" w:rsidRPr="00C039F9" w:rsidRDefault="00C039F9" w:rsidP="00DE30D7">
      <w:pPr>
        <w:pStyle w:val="Prrafodelista"/>
        <w:rPr>
          <w:rFonts w:ascii="Times New Roman" w:hAnsi="Times New Roman" w:cs="Times New Roman"/>
          <w:sz w:val="28"/>
          <w:szCs w:val="28"/>
        </w:rPr>
      </w:pPr>
    </w:p>
    <w:p w:rsidR="00DE30D7" w:rsidRPr="00C039F9" w:rsidRDefault="00C039F9" w:rsidP="00D6280D">
      <w:pPr>
        <w:pStyle w:val="Prrafodelista"/>
        <w:numPr>
          <w:ilvl w:val="0"/>
          <w:numId w:val="2"/>
        </w:numPr>
        <w:ind w:left="0" w:hanging="11"/>
        <w:rPr>
          <w:rFonts w:ascii="Times New Roman" w:hAnsi="Times New Roman" w:cs="Times New Roman"/>
          <w:sz w:val="28"/>
          <w:szCs w:val="28"/>
        </w:rPr>
      </w:pPr>
      <w:r w:rsidRPr="00C039F9">
        <w:rPr>
          <w:rFonts w:ascii="Times New Roman" w:hAnsi="Times New Roman" w:cs="Times New Roman"/>
          <w:sz w:val="28"/>
          <w:szCs w:val="28"/>
        </w:rPr>
        <w:t>Así, para explicar y justificar el principio de legalidad y la certeza tributaria, la demanda citó distintas sentencias de esta Corporación</w:t>
      </w:r>
      <w:r w:rsidRPr="00C039F9">
        <w:rPr>
          <w:rStyle w:val="Refdenotaalpie"/>
          <w:rFonts w:ascii="Times New Roman" w:hAnsi="Times New Roman" w:cs="Times New Roman"/>
          <w:sz w:val="28"/>
          <w:szCs w:val="28"/>
        </w:rPr>
        <w:footnoteReference w:id="5"/>
      </w:r>
      <w:r w:rsidRPr="00C039F9">
        <w:rPr>
          <w:rFonts w:ascii="Times New Roman" w:hAnsi="Times New Roman" w:cs="Times New Roman"/>
          <w:sz w:val="28"/>
          <w:szCs w:val="28"/>
        </w:rPr>
        <w:t xml:space="preserve"> y concluyó que «si bien el artículo 338 constituc</w:t>
      </w:r>
      <w:r w:rsidRPr="00C039F9">
        <w:rPr>
          <w:rFonts w:ascii="Times New Roman" w:hAnsi="Times New Roman" w:cs="Times New Roman"/>
          <w:sz w:val="28"/>
          <w:szCs w:val="28"/>
        </w:rPr>
        <w:t xml:space="preserve">ional autoriza que la autoridad administrativa pueda definir la tarifa de la prestación en las tasas y contribuciones, </w:t>
      </w:r>
      <w:r w:rsidRPr="00C039F9">
        <w:rPr>
          <w:rFonts w:ascii="Times New Roman" w:hAnsi="Times New Roman" w:cs="Times New Roman"/>
          <w:b/>
          <w:bCs/>
          <w:sz w:val="28"/>
          <w:szCs w:val="28"/>
        </w:rPr>
        <w:t>esta delegación no se puede extender a los otros elementos de la obligación tributaria, como la base gravable</w:t>
      </w:r>
      <w:r w:rsidRPr="00C039F9">
        <w:rPr>
          <w:rFonts w:ascii="Times New Roman" w:hAnsi="Times New Roman" w:cs="Times New Roman"/>
          <w:sz w:val="28"/>
          <w:szCs w:val="28"/>
        </w:rPr>
        <w:t>» (el énfasis es del texto c</w:t>
      </w:r>
      <w:r w:rsidRPr="00C039F9">
        <w:rPr>
          <w:rFonts w:ascii="Times New Roman" w:hAnsi="Times New Roman" w:cs="Times New Roman"/>
          <w:sz w:val="28"/>
          <w:szCs w:val="28"/>
        </w:rPr>
        <w:t>itado)</w:t>
      </w:r>
      <w:r w:rsidRPr="00C039F9">
        <w:rPr>
          <w:rFonts w:ascii="Times New Roman" w:hAnsi="Times New Roman" w:cs="Times New Roman"/>
          <w:sz w:val="28"/>
          <w:szCs w:val="28"/>
        </w:rPr>
        <w:t>.</w:t>
      </w:r>
    </w:p>
    <w:p w:rsidR="00DE30D7" w:rsidRPr="00C039F9" w:rsidRDefault="00C039F9" w:rsidP="00DE30D7">
      <w:pPr>
        <w:pStyle w:val="Prrafodelista"/>
        <w:rPr>
          <w:rFonts w:ascii="Times New Roman" w:hAnsi="Times New Roman" w:cs="Times New Roman"/>
          <w:sz w:val="28"/>
          <w:szCs w:val="28"/>
        </w:rPr>
      </w:pPr>
    </w:p>
    <w:p w:rsidR="00DE30D7" w:rsidRPr="00C039F9" w:rsidRDefault="00C039F9" w:rsidP="00D6280D">
      <w:pPr>
        <w:pStyle w:val="Prrafodelista"/>
        <w:numPr>
          <w:ilvl w:val="0"/>
          <w:numId w:val="2"/>
        </w:numPr>
        <w:ind w:left="0" w:hanging="11"/>
        <w:rPr>
          <w:rFonts w:ascii="Times New Roman" w:hAnsi="Times New Roman" w:cs="Times New Roman"/>
          <w:sz w:val="28"/>
          <w:szCs w:val="28"/>
        </w:rPr>
      </w:pPr>
      <w:r w:rsidRPr="00C039F9">
        <w:rPr>
          <w:rFonts w:ascii="Times New Roman" w:hAnsi="Times New Roman" w:cs="Times New Roman"/>
          <w:sz w:val="28"/>
          <w:szCs w:val="28"/>
        </w:rPr>
        <w:t>Posteriormente, descendiendo puntualmente al único cargo de la demanda, en esta se sostuvo que la tasa que crea el artículo 169 de la Ley 2294 de 2023 vulnera los principios de legalidad y certeza tributaria que prevé el artículo 338 de la Constit</w:t>
      </w:r>
      <w:r w:rsidRPr="00C039F9">
        <w:rPr>
          <w:rFonts w:ascii="Times New Roman" w:hAnsi="Times New Roman" w:cs="Times New Roman"/>
          <w:sz w:val="28"/>
          <w:szCs w:val="28"/>
        </w:rPr>
        <w:t>ución. Lo anterior, pues la mencionada tasa «contiene una indeterminación absoluta en la base gravable, lo cual está constitucionalmente prohibido en este tipo de prestaciones». En tal sentido, se indicó que: (i) «si bien la norma establece que la base par</w:t>
      </w:r>
      <w:r w:rsidRPr="00C039F9">
        <w:rPr>
          <w:rFonts w:ascii="Times New Roman" w:hAnsi="Times New Roman" w:cs="Times New Roman"/>
          <w:sz w:val="28"/>
          <w:szCs w:val="28"/>
        </w:rPr>
        <w:t xml:space="preserve">a la liquidación de la tasa será el costo de los servicios correspondientes a cada uno de los hechos generadores, </w:t>
      </w:r>
      <w:r w:rsidRPr="00C039F9">
        <w:rPr>
          <w:rFonts w:ascii="Times New Roman" w:hAnsi="Times New Roman" w:cs="Times New Roman"/>
          <w:b/>
          <w:bCs/>
          <w:sz w:val="28"/>
          <w:szCs w:val="28"/>
        </w:rPr>
        <w:t>no proporciona información detallada sobre cómo se determinarán estos costos</w:t>
      </w:r>
      <w:r w:rsidRPr="00C039F9">
        <w:rPr>
          <w:rFonts w:ascii="Times New Roman" w:hAnsi="Times New Roman" w:cs="Times New Roman"/>
          <w:sz w:val="28"/>
          <w:szCs w:val="28"/>
        </w:rPr>
        <w:t xml:space="preserve">» (el énfasis es del texto citado); (ii) «el Gobierno Nacional no </w:t>
      </w:r>
      <w:r w:rsidRPr="00C039F9">
        <w:rPr>
          <w:rFonts w:ascii="Times New Roman" w:hAnsi="Times New Roman" w:cs="Times New Roman"/>
          <w:sz w:val="28"/>
          <w:szCs w:val="28"/>
        </w:rPr>
        <w:t xml:space="preserve">puede ser el responsable de definir los criterios para calcular los costos de los servicios que determinan la base gravable, ya que este es un aspecto fundamental que debe estar claramente definido en la Ley tributaria, y no dejarse a la discreción de las </w:t>
      </w:r>
      <w:r w:rsidRPr="00C039F9">
        <w:rPr>
          <w:rFonts w:ascii="Times New Roman" w:hAnsi="Times New Roman" w:cs="Times New Roman"/>
          <w:sz w:val="28"/>
          <w:szCs w:val="28"/>
        </w:rPr>
        <w:t xml:space="preserve">autoridades administrativas  [por lo que] si bien el artículo 338 constitucional autoriza que la autoridad administrativa pueda definir la tarifa de la prestación en las tasas y contribuciones, </w:t>
      </w:r>
      <w:r w:rsidRPr="00C039F9">
        <w:rPr>
          <w:rFonts w:ascii="Times New Roman" w:hAnsi="Times New Roman" w:cs="Times New Roman"/>
          <w:b/>
          <w:bCs/>
          <w:sz w:val="28"/>
          <w:szCs w:val="28"/>
        </w:rPr>
        <w:t xml:space="preserve">esta delegación no se puede extender a los otros elementos de </w:t>
      </w:r>
      <w:r w:rsidRPr="00C039F9">
        <w:rPr>
          <w:rFonts w:ascii="Times New Roman" w:hAnsi="Times New Roman" w:cs="Times New Roman"/>
          <w:b/>
          <w:bCs/>
          <w:sz w:val="28"/>
          <w:szCs w:val="28"/>
        </w:rPr>
        <w:t>la obligación tributaria, como la base gravable</w:t>
      </w:r>
      <w:r w:rsidRPr="00C039F9">
        <w:rPr>
          <w:rFonts w:ascii="Times New Roman" w:hAnsi="Times New Roman" w:cs="Times New Roman"/>
          <w:sz w:val="28"/>
          <w:szCs w:val="28"/>
        </w:rPr>
        <w:t>» (él énfasis es del texto citado); (iii) «no se está ante variables técnicas o económicas que puedan ser válidamente adscritas para su definición a las autoridades administrativas. La misma base gravable de l</w:t>
      </w:r>
      <w:r w:rsidRPr="00C039F9">
        <w:rPr>
          <w:rFonts w:ascii="Times New Roman" w:hAnsi="Times New Roman" w:cs="Times New Roman"/>
          <w:sz w:val="28"/>
          <w:szCs w:val="28"/>
        </w:rPr>
        <w:t>a tasa no es algo que por su naturaleza o por su necesidad de continua actualización no pueda ser previsto de antemano y de manera precisa por la Ley tributaria (</w:t>
      </w:r>
      <w:r w:rsidRPr="00C039F9">
        <w:rPr>
          <w:rFonts w:ascii="Times New Roman" w:hAnsi="Times New Roman" w:cs="Times New Roman"/>
          <w:i/>
          <w:iCs/>
          <w:sz w:val="28"/>
          <w:szCs w:val="28"/>
        </w:rPr>
        <w:t>lex certa</w:t>
      </w:r>
      <w:r w:rsidRPr="00C039F9">
        <w:rPr>
          <w:rFonts w:ascii="Times New Roman" w:hAnsi="Times New Roman" w:cs="Times New Roman"/>
          <w:sz w:val="28"/>
          <w:szCs w:val="28"/>
        </w:rPr>
        <w:t xml:space="preserve">)»; (iv) «para el cumplimiento del </w:t>
      </w:r>
      <w:r w:rsidRPr="00C039F9">
        <w:rPr>
          <w:rFonts w:ascii="Times New Roman" w:hAnsi="Times New Roman" w:cs="Times New Roman"/>
          <w:i/>
          <w:iCs/>
          <w:sz w:val="28"/>
          <w:szCs w:val="28"/>
        </w:rPr>
        <w:t xml:space="preserve">principio de legalidad </w:t>
      </w:r>
      <w:r w:rsidRPr="00C039F9">
        <w:rPr>
          <w:rFonts w:ascii="Times New Roman" w:hAnsi="Times New Roman" w:cs="Times New Roman"/>
          <w:sz w:val="28"/>
          <w:szCs w:val="28"/>
        </w:rPr>
        <w:t xml:space="preserve">no basta con sugerir una </w:t>
      </w:r>
      <w:r w:rsidRPr="00C039F9">
        <w:rPr>
          <w:rFonts w:ascii="Times New Roman" w:hAnsi="Times New Roman" w:cs="Times New Roman"/>
          <w:sz w:val="28"/>
          <w:szCs w:val="28"/>
        </w:rPr>
        <w:t>“idea” de gravamen, ya que, por las características propias de la Ley tributaria, análogas a las de la Ley penal, la Constitución exige que la ley penetre en la definición de los elementos esenciales de la tasa y la forma en que nace la obligación sustanci</w:t>
      </w:r>
      <w:r w:rsidRPr="00C039F9">
        <w:rPr>
          <w:rFonts w:ascii="Times New Roman" w:hAnsi="Times New Roman" w:cs="Times New Roman"/>
          <w:sz w:val="28"/>
          <w:szCs w:val="28"/>
        </w:rPr>
        <w:t>al, lo cual no sucede en este caso»; y (v) «[no] resulta plausible,  […] la mera indicación de la existencia de un órgano administrativo responsable de definir los criterios para calcular los costos de los servicios que determinan la base gravable del trib</w:t>
      </w:r>
      <w:r w:rsidRPr="00C039F9">
        <w:rPr>
          <w:rFonts w:ascii="Times New Roman" w:hAnsi="Times New Roman" w:cs="Times New Roman"/>
          <w:sz w:val="28"/>
          <w:szCs w:val="28"/>
        </w:rPr>
        <w:t>uto, ya que por mandato constitucional la competencia para crear, modificar y eliminar tributos en Colombia, así como para fijar los elementos estructurales de este tipo de obligación, le corresponde al Congreso de la República».</w:t>
      </w:r>
    </w:p>
    <w:p w:rsidR="00DE30D7" w:rsidRPr="00C039F9" w:rsidRDefault="00C039F9" w:rsidP="00DE30D7">
      <w:pPr>
        <w:pStyle w:val="Prrafodelista"/>
        <w:ind w:left="0"/>
        <w:rPr>
          <w:rFonts w:ascii="Times New Roman" w:hAnsi="Times New Roman" w:cs="Times New Roman"/>
          <w:sz w:val="28"/>
          <w:szCs w:val="28"/>
        </w:rPr>
      </w:pPr>
    </w:p>
    <w:p w:rsidR="00D6280D" w:rsidRPr="00C039F9" w:rsidRDefault="00C039F9" w:rsidP="00D6280D">
      <w:pPr>
        <w:pStyle w:val="Prrafodelista"/>
        <w:numPr>
          <w:ilvl w:val="0"/>
          <w:numId w:val="2"/>
        </w:numPr>
        <w:ind w:left="0" w:hanging="11"/>
        <w:rPr>
          <w:rFonts w:ascii="Times New Roman" w:hAnsi="Times New Roman" w:cs="Times New Roman"/>
          <w:sz w:val="28"/>
          <w:szCs w:val="28"/>
        </w:rPr>
      </w:pPr>
      <w:r w:rsidRPr="00C039F9">
        <w:rPr>
          <w:rFonts w:ascii="Times New Roman" w:hAnsi="Times New Roman" w:cs="Times New Roman"/>
          <w:sz w:val="28"/>
          <w:szCs w:val="28"/>
        </w:rPr>
        <w:t>Finalmente, después de re</w:t>
      </w:r>
      <w:r w:rsidRPr="00C039F9">
        <w:rPr>
          <w:rFonts w:ascii="Times New Roman" w:hAnsi="Times New Roman" w:cs="Times New Roman"/>
          <w:sz w:val="28"/>
          <w:szCs w:val="28"/>
        </w:rPr>
        <w:t>ferirse a la competencia de la Corte para conocer de su demanda y del procedimiento que se debe seguir para ello, la demanda señaló la inexistencia de una cosa juzgada constitucional toda vez que «[h]asta la fecha [el] Tribunal Constitucional no se ha pron</w:t>
      </w:r>
      <w:r w:rsidRPr="00C039F9">
        <w:rPr>
          <w:rFonts w:ascii="Times New Roman" w:hAnsi="Times New Roman" w:cs="Times New Roman"/>
          <w:sz w:val="28"/>
          <w:szCs w:val="28"/>
        </w:rPr>
        <w:t>unciado sobre la constitucionalidad de las normas acusadas en los términos de esta demanda».</w:t>
      </w:r>
    </w:p>
    <w:p w:rsidR="00D6280D" w:rsidRPr="00C039F9" w:rsidRDefault="00C039F9" w:rsidP="00D6280D">
      <w:pPr>
        <w:pStyle w:val="Prrafodelista"/>
        <w:tabs>
          <w:tab w:val="left" w:pos="284"/>
        </w:tabs>
        <w:ind w:left="0"/>
        <w:rPr>
          <w:rFonts w:ascii="Times New Roman" w:hAnsi="Times New Roman" w:cs="Times New Roman"/>
          <w:bCs/>
          <w:sz w:val="28"/>
          <w:szCs w:val="28"/>
          <w:lang w:val="es-ES"/>
        </w:rPr>
      </w:pPr>
      <w:r w:rsidRPr="00C039F9">
        <w:rPr>
          <w:rFonts w:ascii="Times New Roman" w:hAnsi="Times New Roman" w:cs="Times New Roman"/>
          <w:sz w:val="28"/>
          <w:szCs w:val="28"/>
        </w:rPr>
        <w:t xml:space="preserve">                                                                                            </w:t>
      </w:r>
    </w:p>
    <w:p w:rsidR="00D6280D" w:rsidRPr="00C039F9" w:rsidRDefault="00C039F9" w:rsidP="00D6280D">
      <w:pPr>
        <w:pStyle w:val="Prrafodelista"/>
        <w:numPr>
          <w:ilvl w:val="0"/>
          <w:numId w:val="1"/>
        </w:numPr>
        <w:ind w:left="0" w:hanging="11"/>
        <w:rPr>
          <w:rFonts w:ascii="Times New Roman" w:hAnsi="Times New Roman" w:cs="Times New Roman"/>
          <w:b/>
          <w:smallCaps/>
          <w:sz w:val="28"/>
          <w:szCs w:val="28"/>
        </w:rPr>
      </w:pPr>
      <w:r w:rsidRPr="00C039F9">
        <w:rPr>
          <w:rFonts w:ascii="Times New Roman" w:hAnsi="Times New Roman" w:cs="Times New Roman"/>
          <w:b/>
          <w:smallCaps/>
          <w:sz w:val="28"/>
          <w:szCs w:val="28"/>
        </w:rPr>
        <w:t xml:space="preserve">INTERVENCIONES </w:t>
      </w:r>
    </w:p>
    <w:p w:rsidR="00D6280D" w:rsidRPr="00C039F9" w:rsidRDefault="00C039F9" w:rsidP="00D6280D">
      <w:pPr>
        <w:tabs>
          <w:tab w:val="left" w:pos="284"/>
        </w:tabs>
        <w:contextualSpacing/>
        <w:rPr>
          <w:rFonts w:ascii="Times New Roman" w:hAnsi="Times New Roman" w:cs="Times New Roman"/>
          <w:b/>
          <w:smallCaps/>
          <w:sz w:val="28"/>
          <w:szCs w:val="28"/>
        </w:rPr>
      </w:pPr>
    </w:p>
    <w:p w:rsidR="00D6280D" w:rsidRPr="00C039F9" w:rsidRDefault="00C039F9" w:rsidP="00D6280D">
      <w:pPr>
        <w:pStyle w:val="Prrafodelista"/>
        <w:numPr>
          <w:ilvl w:val="0"/>
          <w:numId w:val="2"/>
        </w:numPr>
        <w:ind w:left="0" w:hanging="11"/>
        <w:rPr>
          <w:rFonts w:ascii="Times New Roman" w:hAnsi="Times New Roman" w:cs="Times New Roman"/>
          <w:b/>
          <w:smallCaps/>
          <w:sz w:val="28"/>
          <w:szCs w:val="28"/>
        </w:rPr>
      </w:pPr>
      <w:r w:rsidRPr="00C039F9">
        <w:rPr>
          <w:rFonts w:ascii="Times New Roman" w:hAnsi="Times New Roman" w:cs="Times New Roman"/>
          <w:bCs/>
          <w:sz w:val="28"/>
          <w:szCs w:val="28"/>
        </w:rPr>
        <w:t xml:space="preserve">Las intervenciones ciudadanas que se presentaron </w:t>
      </w:r>
      <w:r w:rsidRPr="00C039F9">
        <w:rPr>
          <w:rFonts w:ascii="Times New Roman" w:hAnsi="Times New Roman" w:cs="Times New Roman"/>
          <w:bCs/>
          <w:sz w:val="28"/>
          <w:szCs w:val="28"/>
        </w:rPr>
        <w:t>dentro del asunto de la referencia se sintetizan en el cuadro que se expone a continuación:</w:t>
      </w:r>
    </w:p>
    <w:p w:rsidR="00D6280D" w:rsidRPr="00C039F9" w:rsidRDefault="00C039F9" w:rsidP="00D6280D">
      <w:pPr>
        <w:pStyle w:val="Prrafodelista"/>
        <w:ind w:left="0"/>
        <w:rPr>
          <w:rFonts w:ascii="Times New Roman" w:hAnsi="Times New Roman" w:cs="Times New Roman"/>
          <w:b/>
          <w:smallCaps/>
          <w:sz w:val="28"/>
          <w:szCs w:val="28"/>
        </w:rPr>
      </w:pPr>
    </w:p>
    <w:tbl>
      <w:tblPr>
        <w:tblStyle w:val="Tablaconcuadrcula"/>
        <w:tblW w:w="8359" w:type="dxa"/>
        <w:tblLayout w:type="fixed"/>
        <w:tblLook w:val="04A0" w:firstRow="1" w:lastRow="0" w:firstColumn="1" w:lastColumn="0" w:noHBand="0" w:noVBand="1"/>
      </w:tblPr>
      <w:tblGrid>
        <w:gridCol w:w="2122"/>
        <w:gridCol w:w="1417"/>
        <w:gridCol w:w="4820"/>
      </w:tblGrid>
      <w:tr w:rsidR="00D6280D" w:rsidRPr="00C039F9" w:rsidTr="00BA57CA">
        <w:tc>
          <w:tcPr>
            <w:tcW w:w="2122" w:type="dxa"/>
          </w:tcPr>
          <w:p w:rsidR="00D6280D" w:rsidRPr="00C039F9" w:rsidRDefault="00C039F9" w:rsidP="008438EE">
            <w:pPr>
              <w:pStyle w:val="Prrafodelista"/>
              <w:ind w:left="0"/>
              <w:jc w:val="center"/>
              <w:rPr>
                <w:rFonts w:ascii="Times New Roman" w:hAnsi="Times New Roman" w:cs="Times New Roman"/>
                <w:b/>
                <w:sz w:val="28"/>
              </w:rPr>
            </w:pPr>
          </w:p>
          <w:p w:rsidR="00D6280D" w:rsidRPr="00C039F9" w:rsidRDefault="00C039F9" w:rsidP="008438EE">
            <w:pPr>
              <w:pStyle w:val="Prrafodelista"/>
              <w:ind w:left="0"/>
              <w:jc w:val="center"/>
              <w:rPr>
                <w:rFonts w:ascii="Times New Roman" w:hAnsi="Times New Roman" w:cs="Times New Roman"/>
                <w:b/>
                <w:sz w:val="28"/>
              </w:rPr>
            </w:pPr>
            <w:r w:rsidRPr="00C039F9">
              <w:rPr>
                <w:rFonts w:ascii="Times New Roman" w:hAnsi="Times New Roman" w:cs="Times New Roman"/>
                <w:b/>
                <w:sz w:val="28"/>
              </w:rPr>
              <w:t>INTERVINIENTES</w:t>
            </w:r>
            <w:r w:rsidRPr="00C039F9">
              <w:rPr>
                <w:rStyle w:val="Refdenotaalpie"/>
                <w:rFonts w:ascii="Times New Roman" w:hAnsi="Times New Roman" w:cs="Times New Roman"/>
                <w:sz w:val="28"/>
              </w:rPr>
              <w:footnoteReference w:id="6"/>
            </w:r>
          </w:p>
        </w:tc>
        <w:tc>
          <w:tcPr>
            <w:tcW w:w="1417" w:type="dxa"/>
          </w:tcPr>
          <w:p w:rsidR="00D6280D" w:rsidRPr="00C039F9" w:rsidRDefault="00C039F9" w:rsidP="008438EE">
            <w:pPr>
              <w:pStyle w:val="Prrafodelista"/>
              <w:ind w:left="0"/>
              <w:jc w:val="center"/>
              <w:rPr>
                <w:rFonts w:ascii="Times New Roman" w:hAnsi="Times New Roman" w:cs="Times New Roman"/>
                <w:b/>
                <w:sz w:val="28"/>
              </w:rPr>
            </w:pPr>
          </w:p>
          <w:p w:rsidR="00D6280D" w:rsidRPr="00C039F9" w:rsidRDefault="00C039F9" w:rsidP="008438EE">
            <w:pPr>
              <w:pStyle w:val="Prrafodelista"/>
              <w:ind w:left="0"/>
              <w:jc w:val="center"/>
              <w:rPr>
                <w:rFonts w:ascii="Times New Roman" w:hAnsi="Times New Roman" w:cs="Times New Roman"/>
                <w:b/>
                <w:sz w:val="28"/>
              </w:rPr>
            </w:pPr>
            <w:r w:rsidRPr="00C039F9">
              <w:rPr>
                <w:rFonts w:ascii="Times New Roman" w:hAnsi="Times New Roman" w:cs="Times New Roman"/>
                <w:b/>
                <w:sz w:val="28"/>
              </w:rPr>
              <w:t>SOLICITUD</w:t>
            </w:r>
          </w:p>
        </w:tc>
        <w:tc>
          <w:tcPr>
            <w:tcW w:w="4820" w:type="dxa"/>
          </w:tcPr>
          <w:p w:rsidR="00D6280D" w:rsidRPr="00C039F9" w:rsidRDefault="00C039F9" w:rsidP="008438EE">
            <w:pPr>
              <w:pStyle w:val="Prrafodelista"/>
              <w:ind w:left="0"/>
              <w:jc w:val="center"/>
              <w:rPr>
                <w:rFonts w:ascii="Times New Roman" w:hAnsi="Times New Roman" w:cs="Times New Roman"/>
                <w:b/>
                <w:sz w:val="28"/>
              </w:rPr>
            </w:pPr>
          </w:p>
          <w:p w:rsidR="00D6280D" w:rsidRPr="00C039F9" w:rsidRDefault="00C039F9" w:rsidP="008438EE">
            <w:pPr>
              <w:pStyle w:val="Prrafodelista"/>
              <w:ind w:left="0"/>
              <w:jc w:val="center"/>
              <w:rPr>
                <w:rFonts w:ascii="Times New Roman" w:hAnsi="Times New Roman" w:cs="Times New Roman"/>
                <w:b/>
                <w:sz w:val="28"/>
              </w:rPr>
            </w:pPr>
            <w:r w:rsidRPr="00C039F9">
              <w:rPr>
                <w:rFonts w:ascii="Times New Roman" w:hAnsi="Times New Roman" w:cs="Times New Roman"/>
                <w:b/>
                <w:sz w:val="28"/>
              </w:rPr>
              <w:t>ARGUMENTOS</w:t>
            </w:r>
          </w:p>
          <w:p w:rsidR="00D6280D" w:rsidRPr="00C039F9" w:rsidRDefault="00C039F9" w:rsidP="008438EE">
            <w:pPr>
              <w:pStyle w:val="Prrafodelista"/>
              <w:ind w:left="0"/>
              <w:jc w:val="center"/>
              <w:rPr>
                <w:rFonts w:ascii="Times New Roman" w:hAnsi="Times New Roman" w:cs="Times New Roman"/>
                <w:b/>
                <w:sz w:val="28"/>
              </w:rPr>
            </w:pPr>
          </w:p>
        </w:tc>
      </w:tr>
      <w:tr w:rsidR="00D6280D" w:rsidRPr="00C039F9" w:rsidTr="00BA57CA">
        <w:tc>
          <w:tcPr>
            <w:tcW w:w="2122" w:type="dxa"/>
          </w:tcPr>
          <w:p w:rsidR="00D6280D" w:rsidRPr="00C039F9" w:rsidRDefault="00C039F9" w:rsidP="008438EE">
            <w:pPr>
              <w:pStyle w:val="Prrafodelista"/>
              <w:ind w:left="0"/>
              <w:rPr>
                <w:rFonts w:ascii="Times New Roman" w:hAnsi="Times New Roman" w:cs="Times New Roman"/>
                <w:bCs/>
                <w:sz w:val="28"/>
              </w:rPr>
            </w:pPr>
          </w:p>
          <w:p w:rsidR="00D6280D" w:rsidRPr="00C039F9" w:rsidRDefault="00C039F9" w:rsidP="008438EE">
            <w:pPr>
              <w:pStyle w:val="Prrafodelista"/>
              <w:ind w:left="0"/>
              <w:rPr>
                <w:rFonts w:ascii="Times New Roman" w:hAnsi="Times New Roman" w:cs="Times New Roman"/>
                <w:bCs/>
                <w:sz w:val="28"/>
              </w:rPr>
            </w:pPr>
          </w:p>
          <w:p w:rsidR="00D6280D" w:rsidRPr="00C039F9" w:rsidRDefault="00C039F9" w:rsidP="008438EE">
            <w:pPr>
              <w:pStyle w:val="Prrafodelista"/>
              <w:ind w:left="0"/>
              <w:rPr>
                <w:rFonts w:ascii="Times New Roman" w:hAnsi="Times New Roman" w:cs="Times New Roman"/>
                <w:bCs/>
                <w:sz w:val="28"/>
              </w:rPr>
            </w:pPr>
          </w:p>
          <w:p w:rsidR="00D6280D" w:rsidRPr="00C039F9" w:rsidRDefault="00C039F9" w:rsidP="008438EE">
            <w:pPr>
              <w:pStyle w:val="Prrafodelista"/>
              <w:ind w:left="0"/>
              <w:rPr>
                <w:rFonts w:ascii="Times New Roman" w:hAnsi="Times New Roman" w:cs="Times New Roman"/>
                <w:bCs/>
                <w:sz w:val="28"/>
              </w:rPr>
            </w:pPr>
          </w:p>
          <w:p w:rsidR="00D6280D" w:rsidRPr="00C039F9" w:rsidRDefault="00C039F9" w:rsidP="008438EE">
            <w:pPr>
              <w:pStyle w:val="Prrafodelista"/>
              <w:ind w:left="0"/>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
                <w:sz w:val="28"/>
              </w:rPr>
            </w:pPr>
            <w:r w:rsidRPr="00C039F9">
              <w:rPr>
                <w:rFonts w:ascii="Times New Roman" w:hAnsi="Times New Roman" w:cs="Times New Roman"/>
                <w:b/>
                <w:sz w:val="28"/>
              </w:rPr>
              <w:t>Unidad Administrativa Especial – Dirección Nacional de Derecho de Autor -DNDA</w:t>
            </w:r>
          </w:p>
          <w:p w:rsidR="00D6280D" w:rsidRPr="00C039F9" w:rsidRDefault="00C039F9" w:rsidP="008438EE">
            <w:pPr>
              <w:pStyle w:val="Prrafodelista"/>
              <w:ind w:left="0"/>
              <w:rPr>
                <w:rFonts w:ascii="Times New Roman" w:hAnsi="Times New Roman" w:cs="Times New Roman"/>
                <w:b/>
                <w:sz w:val="28"/>
              </w:rPr>
            </w:pPr>
          </w:p>
        </w:tc>
        <w:tc>
          <w:tcPr>
            <w:tcW w:w="1417" w:type="dxa"/>
          </w:tcPr>
          <w:p w:rsidR="00D6280D" w:rsidRPr="00C039F9" w:rsidRDefault="00C039F9" w:rsidP="008438EE">
            <w:pPr>
              <w:pStyle w:val="Prrafodelista"/>
              <w:ind w:left="0"/>
              <w:rPr>
                <w:rFonts w:ascii="Times New Roman" w:hAnsi="Times New Roman" w:cs="Times New Roman"/>
                <w:bCs/>
                <w:sz w:val="28"/>
              </w:rPr>
            </w:pPr>
          </w:p>
          <w:p w:rsidR="00D6280D" w:rsidRPr="00C039F9" w:rsidRDefault="00C039F9" w:rsidP="008438EE">
            <w:pPr>
              <w:pStyle w:val="Prrafodelista"/>
              <w:ind w:left="0"/>
              <w:rPr>
                <w:rFonts w:ascii="Times New Roman" w:hAnsi="Times New Roman" w:cs="Times New Roman"/>
                <w:bCs/>
                <w:sz w:val="28"/>
              </w:rPr>
            </w:pPr>
          </w:p>
          <w:p w:rsidR="00D6280D" w:rsidRPr="00C039F9" w:rsidRDefault="00C039F9" w:rsidP="008438EE">
            <w:pPr>
              <w:pStyle w:val="Prrafodelista"/>
              <w:ind w:left="0"/>
              <w:rPr>
                <w:rFonts w:ascii="Times New Roman" w:hAnsi="Times New Roman" w:cs="Times New Roman"/>
                <w:bCs/>
                <w:sz w:val="28"/>
              </w:rPr>
            </w:pPr>
          </w:p>
          <w:p w:rsidR="00D6280D" w:rsidRPr="00C039F9" w:rsidRDefault="00C039F9" w:rsidP="008438EE">
            <w:pPr>
              <w:pStyle w:val="Prrafodelista"/>
              <w:ind w:left="0"/>
              <w:rPr>
                <w:rFonts w:ascii="Times New Roman" w:hAnsi="Times New Roman" w:cs="Times New Roman"/>
                <w:bCs/>
                <w:sz w:val="28"/>
              </w:rPr>
            </w:pPr>
          </w:p>
          <w:p w:rsidR="00D6280D" w:rsidRPr="00C039F9" w:rsidRDefault="00C039F9" w:rsidP="008438EE">
            <w:pPr>
              <w:pStyle w:val="Prrafodelista"/>
              <w:ind w:left="0"/>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
                <w:sz w:val="28"/>
              </w:rPr>
            </w:pPr>
            <w:r w:rsidRPr="00C039F9">
              <w:rPr>
                <w:rFonts w:ascii="Times New Roman" w:hAnsi="Times New Roman" w:cs="Times New Roman"/>
                <w:b/>
                <w:sz w:val="28"/>
              </w:rPr>
              <w:t>Exequible</w:t>
            </w:r>
          </w:p>
        </w:tc>
        <w:tc>
          <w:tcPr>
            <w:tcW w:w="4820" w:type="dxa"/>
          </w:tcPr>
          <w:p w:rsidR="00D6280D" w:rsidRPr="00C039F9" w:rsidRDefault="00C039F9" w:rsidP="008438EE">
            <w:pPr>
              <w:pStyle w:val="NormalWeb"/>
              <w:spacing w:before="0" w:beforeAutospacing="0" w:after="0" w:afterAutospacing="0"/>
              <w:jc w:val="both"/>
              <w:rPr>
                <w:rFonts w:ascii="Times New Roman" w:hAnsi="Times New Roman" w:cs="Times New Roman"/>
                <w:color w:val="000000"/>
                <w:sz w:val="28"/>
                <w:szCs w:val="20"/>
              </w:rPr>
            </w:pPr>
          </w:p>
          <w:p w:rsidR="00D6280D" w:rsidRPr="00C039F9" w:rsidRDefault="00C039F9" w:rsidP="008438EE">
            <w:pPr>
              <w:pStyle w:val="NormalWeb"/>
              <w:spacing w:before="0" w:beforeAutospacing="0" w:after="0" w:afterAutospacing="0"/>
              <w:jc w:val="both"/>
              <w:rPr>
                <w:rFonts w:ascii="Times New Roman" w:hAnsi="Times New Roman" w:cs="Times New Roman"/>
                <w:color w:val="000000"/>
                <w:sz w:val="28"/>
                <w:szCs w:val="20"/>
              </w:rPr>
            </w:pPr>
            <w:r w:rsidRPr="00C039F9">
              <w:rPr>
                <w:rFonts w:ascii="Times New Roman" w:hAnsi="Times New Roman" w:cs="Times New Roman"/>
                <w:color w:val="000000"/>
                <w:sz w:val="28"/>
                <w:szCs w:val="20"/>
              </w:rPr>
              <w:t>La DNDA expuso que el Plan Nacional de Desarrollo 2022-2026 establece el objetivo de diseñar acuerdos y leyes para la protección de los derechos personales y colectivos de los creadores. Así, tal objetivo ayudaría a promover la generación de empleo en el s</w:t>
            </w:r>
            <w:r w:rsidRPr="00C039F9">
              <w:rPr>
                <w:rFonts w:ascii="Times New Roman" w:hAnsi="Times New Roman" w:cs="Times New Roman"/>
                <w:color w:val="000000"/>
                <w:sz w:val="28"/>
                <w:szCs w:val="20"/>
              </w:rPr>
              <w:t xml:space="preserve">ector y a su vez mejorar la gestión en fortalecer los canales físicos y digitales que permitan «monetizar las creaciones en canales diferentes a los tradicionales», mejorando la calidad de vida patrimonial de los autores. </w:t>
            </w:r>
          </w:p>
          <w:p w:rsidR="00D6280D" w:rsidRPr="00C039F9" w:rsidRDefault="00C039F9" w:rsidP="008438EE">
            <w:pPr>
              <w:pStyle w:val="NormalWeb"/>
              <w:spacing w:before="0" w:beforeAutospacing="0" w:after="0" w:afterAutospacing="0"/>
              <w:jc w:val="both"/>
              <w:rPr>
                <w:rFonts w:ascii="Times New Roman" w:hAnsi="Times New Roman" w:cs="Times New Roman"/>
                <w:color w:val="000000"/>
                <w:sz w:val="28"/>
                <w:szCs w:val="20"/>
              </w:rPr>
            </w:pPr>
          </w:p>
          <w:p w:rsidR="00D6280D" w:rsidRPr="00C039F9" w:rsidRDefault="00C039F9" w:rsidP="008438EE">
            <w:pPr>
              <w:pStyle w:val="NormalWeb"/>
              <w:spacing w:before="0" w:beforeAutospacing="0" w:after="0" w:afterAutospacing="0"/>
              <w:jc w:val="both"/>
              <w:rPr>
                <w:rFonts w:ascii="Times New Roman" w:hAnsi="Times New Roman" w:cs="Times New Roman"/>
                <w:color w:val="000000"/>
                <w:sz w:val="28"/>
                <w:szCs w:val="20"/>
              </w:rPr>
            </w:pPr>
            <w:r w:rsidRPr="00C039F9">
              <w:rPr>
                <w:rFonts w:ascii="Times New Roman" w:hAnsi="Times New Roman" w:cs="Times New Roman"/>
                <w:color w:val="000000"/>
                <w:sz w:val="28"/>
                <w:szCs w:val="20"/>
              </w:rPr>
              <w:t xml:space="preserve">Se añadió que la creación de la </w:t>
            </w:r>
            <w:r w:rsidRPr="00C039F9">
              <w:rPr>
                <w:rFonts w:ascii="Times New Roman" w:hAnsi="Times New Roman" w:cs="Times New Roman"/>
                <w:color w:val="000000"/>
                <w:sz w:val="28"/>
                <w:szCs w:val="20"/>
              </w:rPr>
              <w:t>tasa permitirá mejorar la calidad y cobertura para la prestación del servicio en el cumplimiento de las políticas de protección a los titulares del derecho de autor y derechos conexos, garantizando «la creatividad productiva que permita contribuir al desar</w:t>
            </w:r>
            <w:r w:rsidRPr="00C039F9">
              <w:rPr>
                <w:rFonts w:ascii="Times New Roman" w:hAnsi="Times New Roman" w:cs="Times New Roman"/>
                <w:color w:val="000000"/>
                <w:sz w:val="28"/>
                <w:szCs w:val="20"/>
              </w:rPr>
              <w:t>rollo de las industrias culturales y la riqueza del país» en cumplimiento de las obligaciones contenidas en el Documento CONPES 4062 de 2021 sobre la Política Nacional de Propiedad Intelectual.</w:t>
            </w:r>
          </w:p>
          <w:p w:rsidR="00D6280D" w:rsidRPr="00C039F9" w:rsidRDefault="00C039F9" w:rsidP="008438EE">
            <w:pPr>
              <w:pStyle w:val="NormalWeb"/>
              <w:spacing w:before="0" w:beforeAutospacing="0" w:after="0" w:afterAutospacing="0"/>
              <w:jc w:val="both"/>
              <w:rPr>
                <w:rFonts w:ascii="Times New Roman" w:hAnsi="Times New Roman" w:cs="Times New Roman"/>
                <w:color w:val="000000"/>
                <w:sz w:val="28"/>
                <w:szCs w:val="20"/>
              </w:rPr>
            </w:pPr>
          </w:p>
          <w:p w:rsidR="00D6280D" w:rsidRPr="00C039F9" w:rsidRDefault="00C039F9" w:rsidP="008438EE">
            <w:pPr>
              <w:pStyle w:val="NormalWeb"/>
              <w:spacing w:before="0" w:beforeAutospacing="0" w:after="0" w:afterAutospacing="0"/>
              <w:jc w:val="both"/>
              <w:rPr>
                <w:rFonts w:ascii="Times New Roman" w:hAnsi="Times New Roman" w:cs="Times New Roman"/>
                <w:color w:val="000000"/>
                <w:sz w:val="28"/>
                <w:szCs w:val="20"/>
              </w:rPr>
            </w:pPr>
            <w:r w:rsidRPr="00C039F9">
              <w:rPr>
                <w:rFonts w:ascii="Times New Roman" w:hAnsi="Times New Roman" w:cs="Times New Roman"/>
                <w:color w:val="000000"/>
                <w:sz w:val="28"/>
                <w:szCs w:val="20"/>
              </w:rPr>
              <w:t>Se prosiguió indicando que la descripción de los lineamientos</w:t>
            </w:r>
            <w:r w:rsidRPr="00C039F9">
              <w:rPr>
                <w:rFonts w:ascii="Times New Roman" w:hAnsi="Times New Roman" w:cs="Times New Roman"/>
                <w:color w:val="000000"/>
                <w:sz w:val="28"/>
                <w:szCs w:val="20"/>
              </w:rPr>
              <w:t xml:space="preserve"> sobre la forma en cómo se deben determinar los costos administrativos, financieros, directos e indirectos y de operación del servicio es clara y precisa para estimar la base gravable que determina el artículo 169 de la Ley 2294 de 2023.</w:t>
            </w:r>
          </w:p>
          <w:p w:rsidR="00D6280D" w:rsidRPr="00C039F9" w:rsidRDefault="00C039F9" w:rsidP="008438EE">
            <w:pPr>
              <w:pStyle w:val="NormalWeb"/>
              <w:spacing w:before="0" w:beforeAutospacing="0" w:after="0" w:afterAutospacing="0"/>
              <w:jc w:val="both"/>
              <w:rPr>
                <w:rFonts w:ascii="Times New Roman" w:hAnsi="Times New Roman" w:cs="Times New Roman"/>
                <w:color w:val="000000"/>
                <w:sz w:val="28"/>
                <w:szCs w:val="20"/>
              </w:rPr>
            </w:pPr>
          </w:p>
          <w:p w:rsidR="00D6280D" w:rsidRPr="00C039F9" w:rsidRDefault="00C039F9" w:rsidP="008438EE">
            <w:pPr>
              <w:pStyle w:val="NormalWeb"/>
              <w:spacing w:before="0" w:beforeAutospacing="0" w:after="0" w:afterAutospacing="0"/>
              <w:jc w:val="both"/>
              <w:rPr>
                <w:rFonts w:ascii="Times New Roman" w:hAnsi="Times New Roman" w:cs="Times New Roman"/>
                <w:color w:val="000000"/>
                <w:sz w:val="28"/>
                <w:szCs w:val="20"/>
              </w:rPr>
            </w:pPr>
            <w:r w:rsidRPr="00C039F9">
              <w:rPr>
                <w:rFonts w:ascii="Times New Roman" w:hAnsi="Times New Roman" w:cs="Times New Roman"/>
                <w:color w:val="000000"/>
                <w:sz w:val="28"/>
                <w:szCs w:val="20"/>
              </w:rPr>
              <w:t xml:space="preserve">Luego se señaló </w:t>
            </w:r>
            <w:r w:rsidRPr="00C039F9">
              <w:rPr>
                <w:rFonts w:ascii="Times New Roman" w:hAnsi="Times New Roman" w:cs="Times New Roman"/>
                <w:color w:val="000000"/>
                <w:sz w:val="28"/>
                <w:szCs w:val="20"/>
              </w:rPr>
              <w:t>que, conforme con la jurisprudencia constitucional, «no puede pretender el accionante que el legislador haga una descripción detallada del sistema y método», de tal forma que solo sea suficiente la descripción clara y precisa de los elementos esenciales, t</w:t>
            </w:r>
            <w:r w:rsidRPr="00C039F9">
              <w:rPr>
                <w:rFonts w:ascii="Times New Roman" w:hAnsi="Times New Roman" w:cs="Times New Roman"/>
                <w:color w:val="000000"/>
                <w:sz w:val="28"/>
                <w:szCs w:val="20"/>
              </w:rPr>
              <w:t>al como lo establece el artículo 338 de la Constitución Política. Por lo tanto, se concluyó que no hubo una delegación por parte del Legislador al Gobierno nacional para establecer los elementos esenciales de la tasa, pues el parágrafo 1 del artículo 169 d</w:t>
            </w:r>
            <w:r w:rsidRPr="00C039F9">
              <w:rPr>
                <w:rFonts w:ascii="Times New Roman" w:hAnsi="Times New Roman" w:cs="Times New Roman"/>
                <w:color w:val="000000"/>
                <w:sz w:val="28"/>
                <w:szCs w:val="20"/>
              </w:rPr>
              <w:t>e la Ley 2294 de 2023, establece la forma en cómo serán fijadas las tarifas de los servicios que prestará la DNDA a los usuarios; las cuales, a su vez constituyen la base gravable de la tasa correspondiente.</w:t>
            </w:r>
          </w:p>
          <w:p w:rsidR="00D6280D" w:rsidRPr="00C039F9" w:rsidRDefault="00C039F9" w:rsidP="008438EE">
            <w:pPr>
              <w:pStyle w:val="NormalWeb"/>
              <w:spacing w:before="0" w:beforeAutospacing="0" w:after="0" w:afterAutospacing="0"/>
              <w:jc w:val="both"/>
              <w:rPr>
                <w:rFonts w:ascii="Times New Roman" w:hAnsi="Times New Roman" w:cs="Times New Roman"/>
                <w:color w:val="000000"/>
                <w:sz w:val="28"/>
                <w:szCs w:val="20"/>
              </w:rPr>
            </w:pPr>
          </w:p>
        </w:tc>
      </w:tr>
      <w:tr w:rsidR="00D6280D" w:rsidRPr="00C039F9" w:rsidTr="00BA57CA">
        <w:tc>
          <w:tcPr>
            <w:tcW w:w="2122" w:type="dxa"/>
          </w:tcPr>
          <w:p w:rsidR="00D6280D" w:rsidRPr="00C039F9" w:rsidRDefault="00C039F9" w:rsidP="008438EE">
            <w:pPr>
              <w:pStyle w:val="Prrafodelista"/>
              <w:ind w:left="0"/>
              <w:jc w:val="center"/>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
                <w:sz w:val="28"/>
              </w:rPr>
            </w:pPr>
            <w:r w:rsidRPr="00C039F9">
              <w:rPr>
                <w:rFonts w:ascii="Times New Roman" w:hAnsi="Times New Roman" w:cs="Times New Roman"/>
                <w:b/>
                <w:sz w:val="28"/>
              </w:rPr>
              <w:t>Ministerio del Interior</w:t>
            </w:r>
          </w:p>
        </w:tc>
        <w:tc>
          <w:tcPr>
            <w:tcW w:w="1417" w:type="dxa"/>
          </w:tcPr>
          <w:p w:rsidR="00D6280D" w:rsidRPr="00C039F9" w:rsidRDefault="00C039F9" w:rsidP="008438EE">
            <w:pPr>
              <w:pStyle w:val="Prrafodelista"/>
              <w:ind w:left="0"/>
              <w:jc w:val="center"/>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
                <w:sz w:val="28"/>
              </w:rPr>
            </w:pPr>
            <w:r w:rsidRPr="00C039F9">
              <w:rPr>
                <w:rFonts w:ascii="Times New Roman" w:hAnsi="Times New Roman" w:cs="Times New Roman"/>
                <w:b/>
                <w:sz w:val="28"/>
              </w:rPr>
              <w:t>Exequible</w:t>
            </w:r>
          </w:p>
          <w:p w:rsidR="00D6280D" w:rsidRPr="00C039F9" w:rsidRDefault="00C039F9" w:rsidP="008438EE">
            <w:pPr>
              <w:pStyle w:val="Prrafodelista"/>
              <w:ind w:left="0"/>
              <w:jc w:val="center"/>
              <w:rPr>
                <w:rFonts w:ascii="Times New Roman" w:hAnsi="Times New Roman" w:cs="Times New Roman"/>
                <w:b/>
                <w:sz w:val="28"/>
              </w:rPr>
            </w:pPr>
            <w:r w:rsidRPr="00C039F9">
              <w:rPr>
                <w:rFonts w:ascii="Times New Roman" w:hAnsi="Times New Roman" w:cs="Times New Roman"/>
                <w:b/>
                <w:sz w:val="28"/>
              </w:rPr>
              <w:t>/</w:t>
            </w:r>
          </w:p>
          <w:p w:rsidR="00D6280D" w:rsidRPr="00C039F9" w:rsidRDefault="00C039F9" w:rsidP="008438EE">
            <w:pPr>
              <w:pStyle w:val="Prrafodelista"/>
              <w:ind w:left="0"/>
              <w:jc w:val="center"/>
              <w:rPr>
                <w:rFonts w:ascii="Times New Roman" w:hAnsi="Times New Roman" w:cs="Times New Roman"/>
                <w:bCs/>
                <w:sz w:val="28"/>
              </w:rPr>
            </w:pPr>
            <w:r w:rsidRPr="00C039F9">
              <w:rPr>
                <w:rFonts w:ascii="Times New Roman" w:hAnsi="Times New Roman" w:cs="Times New Roman"/>
                <w:b/>
                <w:sz w:val="28"/>
              </w:rPr>
              <w:t>Ineptitud de la demanda</w:t>
            </w:r>
          </w:p>
        </w:tc>
        <w:tc>
          <w:tcPr>
            <w:tcW w:w="4820" w:type="dxa"/>
          </w:tcPr>
          <w:p w:rsidR="00D6280D" w:rsidRPr="00C039F9" w:rsidRDefault="00C039F9" w:rsidP="008438EE">
            <w:pPr>
              <w:pStyle w:val="NormalWeb"/>
              <w:spacing w:before="0" w:beforeAutospacing="0" w:after="0" w:afterAutospacing="0"/>
              <w:jc w:val="both"/>
              <w:rPr>
                <w:rFonts w:ascii="Times New Roman" w:hAnsi="Times New Roman" w:cs="Times New Roman"/>
                <w:color w:val="000000"/>
                <w:sz w:val="28"/>
                <w:szCs w:val="20"/>
              </w:rPr>
            </w:pPr>
          </w:p>
          <w:p w:rsidR="00D6280D" w:rsidRPr="00C039F9" w:rsidRDefault="00C039F9" w:rsidP="008438EE">
            <w:pPr>
              <w:pStyle w:val="NormalWeb"/>
              <w:spacing w:before="0" w:beforeAutospacing="0" w:after="0" w:afterAutospacing="0"/>
              <w:jc w:val="both"/>
              <w:rPr>
                <w:rFonts w:ascii="Times New Roman" w:hAnsi="Times New Roman" w:cs="Times New Roman"/>
                <w:color w:val="000000"/>
                <w:sz w:val="28"/>
                <w:szCs w:val="20"/>
              </w:rPr>
            </w:pPr>
            <w:r w:rsidRPr="00C039F9">
              <w:rPr>
                <w:rFonts w:ascii="Times New Roman" w:hAnsi="Times New Roman" w:cs="Times New Roman"/>
                <w:color w:val="000000"/>
                <w:sz w:val="28"/>
                <w:szCs w:val="20"/>
              </w:rPr>
              <w:t xml:space="preserve">El Ministerio del Interior indicó que, conforme con la jurisprudencia de la Corte «no puede pretender el accionante que el legislador haga una descripción detallada del sistema y método». Consideró que la forma en como </w:t>
            </w:r>
            <w:r w:rsidRPr="00C039F9">
              <w:rPr>
                <w:rFonts w:ascii="Times New Roman" w:hAnsi="Times New Roman" w:cs="Times New Roman"/>
                <w:color w:val="000000"/>
                <w:sz w:val="28"/>
                <w:szCs w:val="20"/>
              </w:rPr>
              <w:t>están descritos los elementos de la tasa en el artículo 169 de la Ley 2294 de 2023 es clara y precisa, por lo que no hubo una delegación del Legislador al Gobierno nacional para la determinación de los elementos esenciales de la tasa, entonces la norma deb</w:t>
            </w:r>
            <w:r w:rsidRPr="00C039F9">
              <w:rPr>
                <w:rFonts w:ascii="Times New Roman" w:hAnsi="Times New Roman" w:cs="Times New Roman"/>
                <w:color w:val="000000"/>
                <w:sz w:val="28"/>
                <w:szCs w:val="20"/>
              </w:rPr>
              <w:t>e ser considerada exequible.</w:t>
            </w:r>
          </w:p>
          <w:p w:rsidR="00D6280D" w:rsidRPr="00C039F9" w:rsidRDefault="00C039F9" w:rsidP="008438EE">
            <w:pPr>
              <w:pStyle w:val="NormalWeb"/>
              <w:spacing w:before="0" w:beforeAutospacing="0" w:after="0" w:afterAutospacing="0"/>
              <w:jc w:val="both"/>
              <w:rPr>
                <w:rFonts w:ascii="Times New Roman" w:hAnsi="Times New Roman" w:cs="Times New Roman"/>
                <w:color w:val="000000"/>
                <w:sz w:val="28"/>
                <w:szCs w:val="20"/>
              </w:rPr>
            </w:pPr>
          </w:p>
          <w:p w:rsidR="00D6280D" w:rsidRPr="00C039F9" w:rsidRDefault="00C039F9" w:rsidP="008438EE">
            <w:pPr>
              <w:pStyle w:val="NormalWeb"/>
              <w:spacing w:before="0" w:beforeAutospacing="0" w:after="0" w:afterAutospacing="0"/>
              <w:jc w:val="both"/>
              <w:rPr>
                <w:rFonts w:ascii="Times New Roman" w:hAnsi="Times New Roman" w:cs="Times New Roman"/>
                <w:color w:val="000000"/>
                <w:sz w:val="28"/>
                <w:szCs w:val="20"/>
              </w:rPr>
            </w:pPr>
            <w:r w:rsidRPr="00C039F9">
              <w:rPr>
                <w:rFonts w:ascii="Times New Roman" w:hAnsi="Times New Roman" w:cs="Times New Roman"/>
                <w:color w:val="000000"/>
                <w:sz w:val="28"/>
                <w:szCs w:val="20"/>
              </w:rPr>
              <w:t xml:space="preserve">Sin perjuicio de lo anterior, el Ministerio consideró que, en todo caso, la demanda sería inepta. En tal orden indicó que el cargo no cumpliría con los requisitos de claridad, especificidad y pertinencia. Así, primero sostuvo </w:t>
            </w:r>
            <w:r w:rsidRPr="00C039F9">
              <w:rPr>
                <w:rFonts w:ascii="Times New Roman" w:hAnsi="Times New Roman" w:cs="Times New Roman"/>
                <w:color w:val="000000"/>
                <w:sz w:val="28"/>
                <w:szCs w:val="20"/>
              </w:rPr>
              <w:t xml:space="preserve">que el cargo carecería de claridad porque en la demanda no se presentó una argumentación o análisis jurídico para demostrar la violación del artículo 338 de la Constitución por parte de la norma atacada. También adujo que el cargo no sería pertinente pues </w:t>
            </w:r>
            <w:r w:rsidRPr="00C039F9">
              <w:rPr>
                <w:rFonts w:ascii="Times New Roman" w:hAnsi="Times New Roman" w:cs="Times New Roman"/>
                <w:color w:val="000000"/>
                <w:sz w:val="28"/>
                <w:szCs w:val="20"/>
              </w:rPr>
              <w:t>se habrían presentado argumentos «de mera oportunidad, conveniencia o mérito de la norma (...) pero sin asidero constitucional». Así mismo, se sostuvo que el cargo sería suficiente pues no generaría «un margen de duda en cuanto a la constitucionalidad» del</w:t>
            </w:r>
            <w:r w:rsidRPr="00C039F9">
              <w:rPr>
                <w:rFonts w:ascii="Times New Roman" w:hAnsi="Times New Roman" w:cs="Times New Roman"/>
                <w:color w:val="000000"/>
                <w:sz w:val="28"/>
                <w:szCs w:val="20"/>
              </w:rPr>
              <w:t xml:space="preserve"> artículo 169 de la Ley 2294 de 2023.</w:t>
            </w:r>
          </w:p>
          <w:p w:rsidR="00D6280D" w:rsidRPr="00C039F9" w:rsidRDefault="00C039F9" w:rsidP="008438EE">
            <w:pPr>
              <w:pStyle w:val="NormalWeb"/>
              <w:spacing w:before="0" w:beforeAutospacing="0" w:after="0" w:afterAutospacing="0"/>
              <w:jc w:val="both"/>
              <w:rPr>
                <w:rFonts w:ascii="Times New Roman" w:hAnsi="Times New Roman" w:cs="Times New Roman"/>
                <w:color w:val="000000"/>
                <w:sz w:val="28"/>
                <w:szCs w:val="20"/>
              </w:rPr>
            </w:pPr>
          </w:p>
        </w:tc>
      </w:tr>
      <w:tr w:rsidR="00D6280D" w:rsidRPr="00C039F9" w:rsidTr="00BA57CA">
        <w:tc>
          <w:tcPr>
            <w:tcW w:w="2122" w:type="dxa"/>
          </w:tcPr>
          <w:p w:rsidR="00D6280D" w:rsidRPr="00C039F9" w:rsidRDefault="00C039F9" w:rsidP="008438EE">
            <w:pPr>
              <w:pStyle w:val="Prrafodelista"/>
              <w:ind w:left="0"/>
              <w:rPr>
                <w:rFonts w:ascii="Times New Roman" w:hAnsi="Times New Roman" w:cs="Times New Roman"/>
                <w:bCs/>
                <w:sz w:val="28"/>
              </w:rPr>
            </w:pPr>
          </w:p>
          <w:p w:rsidR="00D6280D" w:rsidRPr="00C039F9" w:rsidRDefault="00C039F9" w:rsidP="008438EE">
            <w:pPr>
              <w:pStyle w:val="Prrafodelista"/>
              <w:ind w:left="0"/>
              <w:rPr>
                <w:rFonts w:ascii="Times New Roman" w:hAnsi="Times New Roman" w:cs="Times New Roman"/>
                <w:bCs/>
                <w:sz w:val="28"/>
              </w:rPr>
            </w:pPr>
          </w:p>
          <w:p w:rsidR="00D6280D" w:rsidRPr="00C039F9" w:rsidRDefault="00C039F9" w:rsidP="008438EE">
            <w:pPr>
              <w:pStyle w:val="Prrafodelista"/>
              <w:ind w:left="0"/>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
                <w:sz w:val="28"/>
              </w:rPr>
            </w:pPr>
            <w:r w:rsidRPr="00C039F9">
              <w:rPr>
                <w:rFonts w:ascii="Times New Roman" w:hAnsi="Times New Roman" w:cs="Times New Roman"/>
                <w:b/>
                <w:sz w:val="28"/>
              </w:rPr>
              <w:t>Departamento Nacional de Planeación - DNP</w:t>
            </w:r>
          </w:p>
          <w:p w:rsidR="00D6280D" w:rsidRPr="00C039F9" w:rsidRDefault="00C039F9" w:rsidP="008438EE">
            <w:pPr>
              <w:pStyle w:val="Prrafodelista"/>
              <w:ind w:left="0"/>
              <w:rPr>
                <w:rFonts w:ascii="Times New Roman" w:hAnsi="Times New Roman" w:cs="Times New Roman"/>
                <w:b/>
                <w:sz w:val="28"/>
              </w:rPr>
            </w:pPr>
          </w:p>
        </w:tc>
        <w:tc>
          <w:tcPr>
            <w:tcW w:w="1417" w:type="dxa"/>
          </w:tcPr>
          <w:p w:rsidR="00D6280D" w:rsidRPr="00C039F9" w:rsidRDefault="00C039F9" w:rsidP="008438EE">
            <w:pPr>
              <w:pStyle w:val="Prrafodelista"/>
              <w:ind w:left="0"/>
              <w:rPr>
                <w:rFonts w:ascii="Times New Roman" w:hAnsi="Times New Roman" w:cs="Times New Roman"/>
                <w:bCs/>
                <w:sz w:val="28"/>
              </w:rPr>
            </w:pPr>
          </w:p>
          <w:p w:rsidR="00D6280D" w:rsidRPr="00C039F9" w:rsidRDefault="00C039F9" w:rsidP="008438EE">
            <w:pPr>
              <w:pStyle w:val="Prrafodelista"/>
              <w:ind w:left="0"/>
              <w:rPr>
                <w:rFonts w:ascii="Times New Roman" w:hAnsi="Times New Roman" w:cs="Times New Roman"/>
                <w:bCs/>
                <w:sz w:val="28"/>
              </w:rPr>
            </w:pPr>
          </w:p>
          <w:p w:rsidR="00D6280D" w:rsidRPr="00C039F9" w:rsidRDefault="00C039F9" w:rsidP="008438EE">
            <w:pPr>
              <w:pStyle w:val="Prrafodelista"/>
              <w:ind w:left="0"/>
              <w:rPr>
                <w:rFonts w:ascii="Times New Roman" w:hAnsi="Times New Roman" w:cs="Times New Roman"/>
                <w:bCs/>
                <w:sz w:val="28"/>
              </w:rPr>
            </w:pPr>
          </w:p>
          <w:p w:rsidR="00D6280D" w:rsidRPr="00C039F9" w:rsidRDefault="00C039F9" w:rsidP="008438EE">
            <w:pPr>
              <w:pStyle w:val="Prrafodelista"/>
              <w:ind w:left="0"/>
              <w:rPr>
                <w:rFonts w:ascii="Times New Roman" w:hAnsi="Times New Roman" w:cs="Times New Roman"/>
                <w:bCs/>
                <w:sz w:val="28"/>
              </w:rPr>
            </w:pPr>
          </w:p>
          <w:p w:rsidR="00D6280D" w:rsidRPr="00C039F9" w:rsidRDefault="00C039F9" w:rsidP="008438EE">
            <w:pPr>
              <w:pStyle w:val="Prrafodelista"/>
              <w:ind w:left="0"/>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
                <w:sz w:val="28"/>
              </w:rPr>
            </w:pPr>
            <w:r w:rsidRPr="00C039F9">
              <w:rPr>
                <w:rFonts w:ascii="Times New Roman" w:hAnsi="Times New Roman" w:cs="Times New Roman"/>
                <w:b/>
                <w:sz w:val="28"/>
              </w:rPr>
              <w:t>Exequible</w:t>
            </w:r>
          </w:p>
        </w:tc>
        <w:tc>
          <w:tcPr>
            <w:tcW w:w="4820" w:type="dxa"/>
          </w:tcPr>
          <w:p w:rsidR="00D6280D" w:rsidRPr="00C039F9" w:rsidRDefault="00C039F9" w:rsidP="008438EE">
            <w:pPr>
              <w:rPr>
                <w:rFonts w:ascii="Times New Roman" w:hAnsi="Times New Roman" w:cs="Times New Roman"/>
                <w:color w:val="000000" w:themeColor="text1"/>
                <w:sz w:val="28"/>
              </w:rPr>
            </w:pPr>
          </w:p>
          <w:p w:rsidR="00D6280D" w:rsidRPr="00C039F9" w:rsidRDefault="00C039F9" w:rsidP="008438EE">
            <w:pPr>
              <w:rPr>
                <w:rFonts w:ascii="Times New Roman" w:hAnsi="Times New Roman" w:cs="Times New Roman"/>
                <w:color w:val="000000" w:themeColor="text1"/>
                <w:sz w:val="28"/>
              </w:rPr>
            </w:pPr>
            <w:r w:rsidRPr="00C039F9">
              <w:rPr>
                <w:rFonts w:ascii="Times New Roman" w:hAnsi="Times New Roman" w:cs="Times New Roman"/>
                <w:color w:val="000000" w:themeColor="text1"/>
                <w:sz w:val="28"/>
              </w:rPr>
              <w:t>El DNP indicó que, actualmente, la DNDA presta sus servicios en forma gratuita y que ello «</w:t>
            </w:r>
            <w:r w:rsidRPr="00C039F9">
              <w:rPr>
                <w:rFonts w:ascii="Times New Roman" w:hAnsi="Times New Roman" w:cs="Times New Roman"/>
                <w:sz w:val="28"/>
              </w:rPr>
              <w:t xml:space="preserve">ha generado una inequidad entre aquellos que tienen </w:t>
            </w:r>
            <w:r w:rsidRPr="00C039F9">
              <w:rPr>
                <w:rFonts w:ascii="Times New Roman" w:hAnsi="Times New Roman" w:cs="Times New Roman"/>
                <w:sz w:val="28"/>
              </w:rPr>
              <w:t>una gran capacidad económica, y demandan gran volumen de los servicios de la entidad, y aquellos que no tienen suficientes recursos, y que demandan en menor medida los servicios de la Entidad»</w:t>
            </w:r>
            <w:r w:rsidRPr="00C039F9">
              <w:rPr>
                <w:rFonts w:ascii="Times New Roman" w:hAnsi="Times New Roman" w:cs="Times New Roman"/>
                <w:color w:val="000000" w:themeColor="text1"/>
                <w:sz w:val="28"/>
              </w:rPr>
              <w:t>. Por lo anterior, se manifestó que la tasa creada pretende la o</w:t>
            </w:r>
            <w:r w:rsidRPr="00C039F9">
              <w:rPr>
                <w:rFonts w:ascii="Times New Roman" w:hAnsi="Times New Roman" w:cs="Times New Roman"/>
                <w:color w:val="000000" w:themeColor="text1"/>
                <w:sz w:val="28"/>
              </w:rPr>
              <w:t>btención de recursos adicionales para «</w:t>
            </w:r>
            <w:r w:rsidRPr="00C039F9">
              <w:rPr>
                <w:rFonts w:ascii="Times New Roman" w:hAnsi="Times New Roman" w:cs="Times New Roman"/>
                <w:sz w:val="28"/>
              </w:rPr>
              <w:t>mejorar y optimizar la infraestructura y el talento humano que destina la DNDA a la prestación de sus servicios»</w:t>
            </w:r>
            <w:r w:rsidRPr="00C039F9">
              <w:rPr>
                <w:rFonts w:ascii="Times New Roman" w:hAnsi="Times New Roman" w:cs="Times New Roman"/>
                <w:color w:val="000000" w:themeColor="text1"/>
                <w:sz w:val="28"/>
              </w:rPr>
              <w:t>.</w:t>
            </w:r>
          </w:p>
          <w:p w:rsidR="00D6280D" w:rsidRPr="00C039F9" w:rsidRDefault="00C039F9" w:rsidP="008438EE">
            <w:pPr>
              <w:rPr>
                <w:rFonts w:ascii="Times New Roman" w:hAnsi="Times New Roman" w:cs="Times New Roman"/>
                <w:color w:val="000000" w:themeColor="text1"/>
                <w:sz w:val="28"/>
              </w:rPr>
            </w:pPr>
          </w:p>
          <w:p w:rsidR="00D6280D" w:rsidRPr="00C039F9" w:rsidRDefault="00C039F9" w:rsidP="008438EE">
            <w:pPr>
              <w:rPr>
                <w:rFonts w:ascii="Times New Roman" w:hAnsi="Times New Roman" w:cs="Times New Roman"/>
                <w:color w:val="000000" w:themeColor="text1"/>
                <w:sz w:val="28"/>
              </w:rPr>
            </w:pPr>
            <w:r w:rsidRPr="00C039F9">
              <w:rPr>
                <w:rFonts w:ascii="Times New Roman" w:hAnsi="Times New Roman" w:cs="Times New Roman"/>
                <w:color w:val="000000" w:themeColor="text1"/>
                <w:sz w:val="28"/>
              </w:rPr>
              <w:t>Así mismo, el DNP precisó que el reproche del demandante sobre la forma en cómo serían determinados lo</w:t>
            </w:r>
            <w:r w:rsidRPr="00C039F9">
              <w:rPr>
                <w:rFonts w:ascii="Times New Roman" w:hAnsi="Times New Roman" w:cs="Times New Roman"/>
                <w:color w:val="000000" w:themeColor="text1"/>
                <w:sz w:val="28"/>
              </w:rPr>
              <w:t xml:space="preserve">s costos de cada uno de los servicios - que a su vez sirven de fundamento para la base gravable de la tasa - es una argumentación contradictoria y carente de sentido. En este sentido se </w:t>
            </w:r>
            <w:r w:rsidRPr="00C039F9">
              <w:rPr>
                <w:rFonts w:ascii="Times New Roman" w:hAnsi="Times New Roman" w:cs="Times New Roman"/>
                <w:color w:val="000000" w:themeColor="text1"/>
                <w:sz w:val="28"/>
              </w:rPr>
              <w:t>indicó</w:t>
            </w:r>
            <w:r w:rsidRPr="00C039F9">
              <w:rPr>
                <w:rFonts w:ascii="Times New Roman" w:hAnsi="Times New Roman" w:cs="Times New Roman"/>
                <w:color w:val="000000" w:themeColor="text1"/>
                <w:sz w:val="28"/>
              </w:rPr>
              <w:t xml:space="preserve"> que, de acuerdo con la Corte, «</w:t>
            </w:r>
            <w:r w:rsidRPr="00C039F9">
              <w:rPr>
                <w:rFonts w:ascii="Times New Roman" w:hAnsi="Times New Roman" w:cs="Times New Roman"/>
                <w:sz w:val="28"/>
              </w:rPr>
              <w:t xml:space="preserve">la entidad administrativa tiene </w:t>
            </w:r>
            <w:r w:rsidRPr="00C039F9">
              <w:rPr>
                <w:rFonts w:ascii="Times New Roman" w:hAnsi="Times New Roman" w:cs="Times New Roman"/>
                <w:sz w:val="28"/>
              </w:rPr>
              <w:t>una facultad derivada, esta facultad se extiende para determinar ciertos aspectos de la obligación tributaria, teniendo en cuenta la autorización legal»</w:t>
            </w:r>
            <w:r w:rsidRPr="00C039F9">
              <w:rPr>
                <w:rFonts w:ascii="Times New Roman" w:hAnsi="Times New Roman" w:cs="Times New Roman"/>
                <w:color w:val="000000" w:themeColor="text1"/>
                <w:sz w:val="28"/>
              </w:rPr>
              <w:t>; lo que, en otras palabras consiste en que el Legislador no tendría que hacer una descripción detallada</w:t>
            </w:r>
            <w:r w:rsidRPr="00C039F9">
              <w:rPr>
                <w:rFonts w:ascii="Times New Roman" w:hAnsi="Times New Roman" w:cs="Times New Roman"/>
                <w:color w:val="000000" w:themeColor="text1"/>
                <w:sz w:val="28"/>
              </w:rPr>
              <w:t xml:space="preserve"> de su sistema y método, sino que, por el contrario, puede entregar la facultad de «fijar costos y beneficios de los servicios que presta la [DNDA], así como la forma de hacer la distribución</w:t>
            </w:r>
            <w:r w:rsidRPr="00C039F9">
              <w:rPr>
                <w:rFonts w:ascii="Times New Roman" w:hAnsi="Times New Roman" w:cs="Times New Roman"/>
                <w:sz w:val="28"/>
              </w:rPr>
              <w:t>»</w:t>
            </w:r>
            <w:r w:rsidRPr="00C039F9">
              <w:rPr>
                <w:rFonts w:ascii="Times New Roman" w:hAnsi="Times New Roman" w:cs="Times New Roman"/>
                <w:color w:val="000000" w:themeColor="text1"/>
                <w:sz w:val="28"/>
              </w:rPr>
              <w:t>.</w:t>
            </w:r>
          </w:p>
          <w:p w:rsidR="00D6280D" w:rsidRPr="00C039F9" w:rsidRDefault="00C039F9" w:rsidP="008438EE">
            <w:pPr>
              <w:rPr>
                <w:rFonts w:ascii="Times New Roman" w:hAnsi="Times New Roman" w:cs="Times New Roman"/>
                <w:color w:val="000000" w:themeColor="text1"/>
                <w:sz w:val="28"/>
              </w:rPr>
            </w:pPr>
          </w:p>
          <w:p w:rsidR="00D6280D" w:rsidRPr="00C039F9" w:rsidRDefault="00C039F9" w:rsidP="008438EE">
            <w:pPr>
              <w:rPr>
                <w:rFonts w:ascii="Times New Roman" w:hAnsi="Times New Roman" w:cs="Times New Roman"/>
                <w:color w:val="000000" w:themeColor="text1"/>
                <w:sz w:val="28"/>
              </w:rPr>
            </w:pPr>
            <w:r w:rsidRPr="00C039F9">
              <w:rPr>
                <w:rFonts w:ascii="Times New Roman" w:hAnsi="Times New Roman" w:cs="Times New Roman"/>
                <w:color w:val="000000" w:themeColor="text1"/>
                <w:sz w:val="28"/>
              </w:rPr>
              <w:t>En conclusión, el DNP manifestó que con la norma demandada no</w:t>
            </w:r>
            <w:r w:rsidRPr="00C039F9">
              <w:rPr>
                <w:rFonts w:ascii="Times New Roman" w:hAnsi="Times New Roman" w:cs="Times New Roman"/>
                <w:color w:val="000000" w:themeColor="text1"/>
                <w:sz w:val="28"/>
              </w:rPr>
              <w:t xml:space="preserve"> se habría delegado en el Gobierno nacional la determinación de los elementos esenciales de la tasa y que, por ende, no existe una contravención del artículo 338 de la Constitución Política.</w:t>
            </w:r>
          </w:p>
          <w:p w:rsidR="00D6280D" w:rsidRPr="00C039F9" w:rsidRDefault="00C039F9" w:rsidP="008438EE">
            <w:pPr>
              <w:rPr>
                <w:rFonts w:ascii="Times New Roman" w:hAnsi="Times New Roman" w:cs="Times New Roman"/>
                <w:color w:val="000000" w:themeColor="text1"/>
                <w:sz w:val="28"/>
                <w:szCs w:val="28"/>
              </w:rPr>
            </w:pPr>
          </w:p>
        </w:tc>
      </w:tr>
      <w:tr w:rsidR="00D6280D" w:rsidRPr="00C039F9" w:rsidTr="00BA57CA">
        <w:tc>
          <w:tcPr>
            <w:tcW w:w="2122" w:type="dxa"/>
          </w:tcPr>
          <w:p w:rsidR="00D6280D" w:rsidRPr="00C039F9" w:rsidRDefault="00C039F9" w:rsidP="008438EE">
            <w:pPr>
              <w:pStyle w:val="Prrafodelista"/>
              <w:ind w:left="0"/>
              <w:jc w:val="center"/>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
                <w:sz w:val="28"/>
              </w:rPr>
            </w:pPr>
          </w:p>
          <w:p w:rsidR="00D6280D" w:rsidRPr="00C039F9" w:rsidRDefault="00C039F9" w:rsidP="008438EE">
            <w:pPr>
              <w:pStyle w:val="Prrafodelista"/>
              <w:ind w:left="0"/>
              <w:jc w:val="center"/>
              <w:rPr>
                <w:rFonts w:ascii="Times New Roman" w:hAnsi="Times New Roman" w:cs="Times New Roman"/>
                <w:b/>
                <w:sz w:val="28"/>
              </w:rPr>
            </w:pPr>
          </w:p>
          <w:p w:rsidR="00D6280D" w:rsidRPr="00C039F9" w:rsidRDefault="00C039F9" w:rsidP="008438EE">
            <w:pPr>
              <w:pStyle w:val="Prrafodelista"/>
              <w:ind w:left="0"/>
              <w:jc w:val="center"/>
              <w:rPr>
                <w:rFonts w:ascii="Times New Roman" w:hAnsi="Times New Roman" w:cs="Times New Roman"/>
                <w:b/>
                <w:sz w:val="28"/>
              </w:rPr>
            </w:pPr>
          </w:p>
          <w:p w:rsidR="00D6280D" w:rsidRPr="00C039F9" w:rsidRDefault="00C039F9" w:rsidP="008438EE">
            <w:pPr>
              <w:pStyle w:val="Prrafodelista"/>
              <w:ind w:left="0"/>
              <w:jc w:val="center"/>
              <w:rPr>
                <w:rFonts w:ascii="Times New Roman" w:hAnsi="Times New Roman" w:cs="Times New Roman"/>
                <w:b/>
                <w:sz w:val="28"/>
              </w:rPr>
            </w:pPr>
          </w:p>
          <w:p w:rsidR="00D6280D" w:rsidRPr="00C039F9" w:rsidRDefault="00C039F9" w:rsidP="008438EE">
            <w:pPr>
              <w:pStyle w:val="Prrafodelista"/>
              <w:ind w:left="0"/>
              <w:jc w:val="center"/>
              <w:rPr>
                <w:rFonts w:ascii="Times New Roman" w:hAnsi="Times New Roman" w:cs="Times New Roman"/>
                <w:b/>
                <w:sz w:val="28"/>
              </w:rPr>
            </w:pPr>
            <w:r w:rsidRPr="00C039F9">
              <w:rPr>
                <w:rFonts w:ascii="Times New Roman" w:hAnsi="Times New Roman" w:cs="Times New Roman"/>
                <w:b/>
                <w:sz w:val="28"/>
              </w:rPr>
              <w:t xml:space="preserve">Secretaría Jurídica del Departamento Administrativo </w:t>
            </w:r>
            <w:r w:rsidRPr="00C039F9">
              <w:rPr>
                <w:rFonts w:ascii="Times New Roman" w:hAnsi="Times New Roman" w:cs="Times New Roman"/>
                <w:b/>
                <w:sz w:val="28"/>
              </w:rPr>
              <w:t>de la Presidencia de la República</w:t>
            </w:r>
          </w:p>
          <w:p w:rsidR="00D6280D" w:rsidRPr="00C039F9" w:rsidRDefault="00C039F9" w:rsidP="008438EE">
            <w:pPr>
              <w:pStyle w:val="Prrafodelista"/>
              <w:ind w:left="0"/>
              <w:jc w:val="center"/>
              <w:rPr>
                <w:rFonts w:ascii="Times New Roman" w:hAnsi="Times New Roman" w:cs="Times New Roman"/>
                <w:b/>
                <w:sz w:val="28"/>
              </w:rPr>
            </w:pPr>
          </w:p>
          <w:p w:rsidR="00D6280D" w:rsidRPr="00C039F9" w:rsidRDefault="00C039F9" w:rsidP="008438EE">
            <w:pPr>
              <w:pStyle w:val="Prrafodelista"/>
              <w:ind w:left="0"/>
              <w:jc w:val="center"/>
              <w:rPr>
                <w:rFonts w:ascii="Times New Roman" w:hAnsi="Times New Roman" w:cs="Times New Roman"/>
                <w:b/>
                <w:sz w:val="28"/>
              </w:rPr>
            </w:pPr>
          </w:p>
          <w:p w:rsidR="00D6280D" w:rsidRPr="00C039F9" w:rsidRDefault="00C039F9" w:rsidP="008438EE">
            <w:pPr>
              <w:pStyle w:val="Prrafodelista"/>
              <w:ind w:left="0"/>
              <w:jc w:val="center"/>
              <w:rPr>
                <w:rFonts w:ascii="Times New Roman" w:hAnsi="Times New Roman" w:cs="Times New Roman"/>
                <w:b/>
                <w:sz w:val="28"/>
              </w:rPr>
            </w:pPr>
          </w:p>
          <w:p w:rsidR="00D6280D" w:rsidRPr="00C039F9" w:rsidRDefault="00C039F9" w:rsidP="008438EE">
            <w:pPr>
              <w:pStyle w:val="Prrafodelista"/>
              <w:ind w:left="0"/>
              <w:jc w:val="center"/>
              <w:rPr>
                <w:rFonts w:ascii="Times New Roman" w:hAnsi="Times New Roman" w:cs="Times New Roman"/>
                <w:b/>
                <w:sz w:val="28"/>
              </w:rPr>
            </w:pPr>
          </w:p>
          <w:p w:rsidR="00D6280D" w:rsidRPr="00C039F9" w:rsidRDefault="00C039F9" w:rsidP="008438EE">
            <w:pPr>
              <w:pStyle w:val="Prrafodelista"/>
              <w:ind w:left="0"/>
              <w:jc w:val="center"/>
              <w:rPr>
                <w:rFonts w:ascii="Times New Roman" w:hAnsi="Times New Roman" w:cs="Times New Roman"/>
                <w:b/>
                <w:sz w:val="28"/>
              </w:rPr>
            </w:pPr>
          </w:p>
        </w:tc>
        <w:tc>
          <w:tcPr>
            <w:tcW w:w="1417" w:type="dxa"/>
          </w:tcPr>
          <w:p w:rsidR="00D6280D" w:rsidRPr="00C039F9" w:rsidRDefault="00C039F9" w:rsidP="008438EE">
            <w:pPr>
              <w:pStyle w:val="Prrafodelista"/>
              <w:ind w:left="0"/>
              <w:jc w:val="center"/>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
                <w:sz w:val="28"/>
              </w:rPr>
            </w:pPr>
          </w:p>
          <w:p w:rsidR="00D6280D" w:rsidRPr="00C039F9" w:rsidRDefault="00C039F9" w:rsidP="008438EE">
            <w:pPr>
              <w:pStyle w:val="Prrafodelista"/>
              <w:ind w:left="0"/>
              <w:jc w:val="center"/>
              <w:rPr>
                <w:rFonts w:ascii="Times New Roman" w:hAnsi="Times New Roman" w:cs="Times New Roman"/>
                <w:b/>
                <w:sz w:val="28"/>
              </w:rPr>
            </w:pPr>
          </w:p>
          <w:p w:rsidR="00D6280D" w:rsidRPr="00C039F9" w:rsidRDefault="00C039F9" w:rsidP="008438EE">
            <w:pPr>
              <w:pStyle w:val="Prrafodelista"/>
              <w:ind w:left="0"/>
              <w:jc w:val="center"/>
              <w:rPr>
                <w:rFonts w:ascii="Times New Roman" w:hAnsi="Times New Roman" w:cs="Times New Roman"/>
                <w:b/>
                <w:sz w:val="28"/>
              </w:rPr>
            </w:pPr>
          </w:p>
          <w:p w:rsidR="00D6280D" w:rsidRPr="00C039F9" w:rsidRDefault="00C039F9" w:rsidP="008438EE">
            <w:pPr>
              <w:pStyle w:val="Prrafodelista"/>
              <w:ind w:left="0"/>
              <w:jc w:val="center"/>
              <w:rPr>
                <w:rFonts w:ascii="Times New Roman" w:hAnsi="Times New Roman" w:cs="Times New Roman"/>
                <w:b/>
                <w:sz w:val="28"/>
              </w:rPr>
            </w:pPr>
          </w:p>
          <w:p w:rsidR="00D6280D" w:rsidRPr="00C039F9" w:rsidRDefault="00C039F9" w:rsidP="008438EE">
            <w:pPr>
              <w:pStyle w:val="Prrafodelista"/>
              <w:ind w:left="0"/>
              <w:jc w:val="center"/>
              <w:rPr>
                <w:rFonts w:ascii="Times New Roman" w:hAnsi="Times New Roman" w:cs="Times New Roman"/>
                <w:b/>
                <w:sz w:val="28"/>
              </w:rPr>
            </w:pPr>
            <w:r w:rsidRPr="00C039F9">
              <w:rPr>
                <w:rFonts w:ascii="Times New Roman" w:hAnsi="Times New Roman" w:cs="Times New Roman"/>
                <w:b/>
                <w:sz w:val="28"/>
              </w:rPr>
              <w:t>Exequible</w:t>
            </w:r>
          </w:p>
        </w:tc>
        <w:tc>
          <w:tcPr>
            <w:tcW w:w="4820" w:type="dxa"/>
          </w:tcPr>
          <w:p w:rsidR="00D6280D" w:rsidRPr="00C039F9" w:rsidRDefault="00C039F9" w:rsidP="008438EE">
            <w:pPr>
              <w:rPr>
                <w:rFonts w:ascii="Times New Roman" w:hAnsi="Times New Roman" w:cs="Times New Roman"/>
                <w:color w:val="000000" w:themeColor="text1"/>
                <w:sz w:val="28"/>
              </w:rPr>
            </w:pPr>
          </w:p>
          <w:p w:rsidR="00D6280D" w:rsidRPr="00C039F9" w:rsidRDefault="00C039F9" w:rsidP="008438EE">
            <w:pPr>
              <w:rPr>
                <w:rFonts w:ascii="Times New Roman" w:hAnsi="Times New Roman" w:cs="Times New Roman"/>
                <w:color w:val="000000" w:themeColor="text1"/>
                <w:sz w:val="28"/>
              </w:rPr>
            </w:pPr>
            <w:r w:rsidRPr="00C039F9">
              <w:rPr>
                <w:rFonts w:ascii="Times New Roman" w:hAnsi="Times New Roman" w:cs="Times New Roman"/>
                <w:color w:val="000000" w:themeColor="text1"/>
                <w:sz w:val="28"/>
              </w:rPr>
              <w:t>La Secretaría de la Presidencia de la República manifestó que la norma demandada debe ser declarada exequible porque con esta se determinó que la base gravable de la tasa sería «</w:t>
            </w:r>
            <w:r w:rsidRPr="00C039F9">
              <w:rPr>
                <w:rFonts w:ascii="Times New Roman" w:hAnsi="Times New Roman" w:cs="Times New Roman"/>
                <w:sz w:val="28"/>
              </w:rPr>
              <w:t xml:space="preserve">el costo de los </w:t>
            </w:r>
            <w:r w:rsidRPr="00C039F9">
              <w:rPr>
                <w:rFonts w:ascii="Times New Roman" w:hAnsi="Times New Roman" w:cs="Times New Roman"/>
                <w:sz w:val="28"/>
              </w:rPr>
              <w:t>servicios correspondientes a cada uno de los hechos generadores»</w:t>
            </w:r>
            <w:r w:rsidRPr="00C039F9">
              <w:rPr>
                <w:rFonts w:ascii="Times New Roman" w:hAnsi="Times New Roman" w:cs="Times New Roman"/>
                <w:color w:val="000000" w:themeColor="text1"/>
                <w:sz w:val="28"/>
              </w:rPr>
              <w:t>; y que la metodología para determinar tales costos estará a cargo de la delegación que efectúa el Legislador en cabeza del Gobierno nacional. Frente de lo anterior, se expresó que la menciona</w:t>
            </w:r>
            <w:r w:rsidRPr="00C039F9">
              <w:rPr>
                <w:rFonts w:ascii="Times New Roman" w:hAnsi="Times New Roman" w:cs="Times New Roman"/>
                <w:color w:val="000000" w:themeColor="text1"/>
                <w:sz w:val="28"/>
              </w:rPr>
              <w:t xml:space="preserve">da delegación no implicaría una indefinición absoluta de los elementos de la tasa puesto que, por el contrario, la norma definió el sujeto pasivo de la obligación, sus hechos generadores y su base gravable con fundamento en los costos de los servicios que </w:t>
            </w:r>
            <w:r w:rsidRPr="00C039F9">
              <w:rPr>
                <w:rFonts w:ascii="Times New Roman" w:hAnsi="Times New Roman" w:cs="Times New Roman"/>
                <w:color w:val="000000" w:themeColor="text1"/>
                <w:sz w:val="28"/>
              </w:rPr>
              <w:t>ofrece la entidad; elementos que, a su vez, constituyen los hechos generadores.</w:t>
            </w:r>
          </w:p>
          <w:p w:rsidR="00D6280D" w:rsidRPr="00C039F9" w:rsidRDefault="00C039F9" w:rsidP="008438EE">
            <w:pPr>
              <w:rPr>
                <w:rFonts w:ascii="Times New Roman" w:hAnsi="Times New Roman" w:cs="Times New Roman"/>
                <w:color w:val="000000" w:themeColor="text1"/>
                <w:sz w:val="28"/>
              </w:rPr>
            </w:pPr>
          </w:p>
          <w:p w:rsidR="00D6280D" w:rsidRPr="00C039F9" w:rsidRDefault="00C039F9" w:rsidP="008438EE">
            <w:pPr>
              <w:rPr>
                <w:rFonts w:ascii="Times New Roman" w:hAnsi="Times New Roman" w:cs="Times New Roman"/>
                <w:sz w:val="28"/>
              </w:rPr>
            </w:pPr>
            <w:r w:rsidRPr="00C039F9">
              <w:rPr>
                <w:rFonts w:ascii="Times New Roman" w:hAnsi="Times New Roman" w:cs="Times New Roman"/>
                <w:color w:val="000000" w:themeColor="text1"/>
                <w:sz w:val="28"/>
              </w:rPr>
              <w:t>De igual forma, la Secretaría resaltó que la delegación al Gobierno nacional para definir la metodología de cálculo del costo de los servicios es una práctica ajustada a la ju</w:t>
            </w:r>
            <w:r w:rsidRPr="00C039F9">
              <w:rPr>
                <w:rFonts w:ascii="Times New Roman" w:hAnsi="Times New Roman" w:cs="Times New Roman"/>
                <w:color w:val="000000" w:themeColor="text1"/>
                <w:sz w:val="28"/>
              </w:rPr>
              <w:t>risprudencia de la Corte Constitucional. Al respecto indicó que, en la sentencia C-155 de 2003, se consideró que el artículo 338 superior no exige que tenga que hacerse una</w:t>
            </w:r>
            <w:r w:rsidRPr="00C039F9">
              <w:rPr>
                <w:rFonts w:ascii="Times New Roman" w:hAnsi="Times New Roman" w:cs="Times New Roman"/>
                <w:sz w:val="28"/>
              </w:rPr>
              <w:t xml:space="preserve"> </w:t>
            </w:r>
            <w:r w:rsidRPr="00C039F9">
              <w:rPr>
                <w:rFonts w:ascii="Times New Roman" w:hAnsi="Times New Roman" w:cs="Times New Roman"/>
                <w:color w:val="000000" w:themeColor="text1"/>
                <w:sz w:val="28"/>
              </w:rPr>
              <w:t>«</w:t>
            </w:r>
            <w:r w:rsidRPr="00C039F9">
              <w:rPr>
                <w:rFonts w:ascii="Times New Roman" w:hAnsi="Times New Roman" w:cs="Times New Roman"/>
                <w:sz w:val="28"/>
              </w:rPr>
              <w:t>descripción detallada o rigurosa de cada uno de los elementos y procedimientos a t</w:t>
            </w:r>
            <w:r w:rsidRPr="00C039F9">
              <w:rPr>
                <w:rFonts w:ascii="Times New Roman" w:hAnsi="Times New Roman" w:cs="Times New Roman"/>
                <w:sz w:val="28"/>
              </w:rPr>
              <w:t xml:space="preserve">ener en cuenta para fijar la tarifa de las tasas o contribuciones, pues en tal caso la facultad constitucional de las autoridades administrativas perdería por completo su razón de ser». </w:t>
            </w:r>
          </w:p>
          <w:p w:rsidR="00D6280D" w:rsidRPr="00C039F9" w:rsidRDefault="00C039F9" w:rsidP="008438EE">
            <w:pPr>
              <w:rPr>
                <w:rFonts w:ascii="Times New Roman" w:hAnsi="Times New Roman" w:cs="Times New Roman"/>
                <w:sz w:val="28"/>
              </w:rPr>
            </w:pPr>
          </w:p>
          <w:p w:rsidR="00D6280D" w:rsidRPr="00C039F9" w:rsidRDefault="00C039F9" w:rsidP="008438EE">
            <w:pPr>
              <w:rPr>
                <w:rFonts w:ascii="Times New Roman" w:hAnsi="Times New Roman" w:cs="Times New Roman"/>
                <w:color w:val="000000" w:themeColor="text1"/>
                <w:sz w:val="28"/>
              </w:rPr>
            </w:pPr>
            <w:r w:rsidRPr="00C039F9">
              <w:rPr>
                <w:rFonts w:ascii="Times New Roman" w:hAnsi="Times New Roman" w:cs="Times New Roman"/>
                <w:color w:val="000000" w:themeColor="text1"/>
                <w:sz w:val="28"/>
              </w:rPr>
              <w:t>En conclusión, se adujo que la norma demandada no conlleva una vulne</w:t>
            </w:r>
            <w:r w:rsidRPr="00C039F9">
              <w:rPr>
                <w:rFonts w:ascii="Times New Roman" w:hAnsi="Times New Roman" w:cs="Times New Roman"/>
                <w:color w:val="000000" w:themeColor="text1"/>
                <w:sz w:val="28"/>
              </w:rPr>
              <w:t>ración de los principios de legalidad y de certeza tributaria; sino que, más bien, se trata de «</w:t>
            </w:r>
            <w:r w:rsidRPr="00C039F9">
              <w:rPr>
                <w:rFonts w:ascii="Times New Roman" w:hAnsi="Times New Roman" w:cs="Times New Roman"/>
                <w:sz w:val="28"/>
              </w:rPr>
              <w:t>una medida que permite una mayor flexibilidad en la administración tributaria y la adaptación a circunstancias cambiantes»</w:t>
            </w:r>
            <w:r w:rsidRPr="00C039F9">
              <w:rPr>
                <w:rFonts w:ascii="Times New Roman" w:hAnsi="Times New Roman" w:cs="Times New Roman"/>
                <w:color w:val="000000" w:themeColor="text1"/>
                <w:sz w:val="28"/>
              </w:rPr>
              <w:t>.</w:t>
            </w:r>
          </w:p>
          <w:p w:rsidR="00D6280D" w:rsidRPr="00C039F9" w:rsidRDefault="00C039F9" w:rsidP="008438EE">
            <w:pPr>
              <w:rPr>
                <w:rFonts w:ascii="Times New Roman" w:hAnsi="Times New Roman" w:cs="Times New Roman"/>
                <w:color w:val="000000" w:themeColor="text1"/>
                <w:sz w:val="28"/>
              </w:rPr>
            </w:pPr>
          </w:p>
        </w:tc>
      </w:tr>
      <w:tr w:rsidR="00D6280D" w:rsidRPr="00C039F9" w:rsidTr="00BA57CA">
        <w:tc>
          <w:tcPr>
            <w:tcW w:w="2122" w:type="dxa"/>
          </w:tcPr>
          <w:p w:rsidR="00D6280D" w:rsidRPr="00C039F9" w:rsidRDefault="00C039F9" w:rsidP="008438EE">
            <w:pPr>
              <w:pStyle w:val="Prrafodelista"/>
              <w:ind w:left="0"/>
              <w:rPr>
                <w:rFonts w:ascii="Times New Roman" w:hAnsi="Times New Roman" w:cs="Times New Roman"/>
                <w:sz w:val="28"/>
              </w:rPr>
            </w:pPr>
          </w:p>
          <w:p w:rsidR="00D6280D" w:rsidRPr="00C039F9" w:rsidRDefault="00C039F9" w:rsidP="008438EE">
            <w:pPr>
              <w:pStyle w:val="Prrafodelista"/>
              <w:ind w:left="0"/>
              <w:rPr>
                <w:rFonts w:ascii="Times New Roman" w:hAnsi="Times New Roman" w:cs="Times New Roman"/>
                <w:sz w:val="28"/>
              </w:rPr>
            </w:pPr>
          </w:p>
          <w:p w:rsidR="00D6280D" w:rsidRPr="00C039F9" w:rsidRDefault="00C039F9" w:rsidP="008438EE">
            <w:pPr>
              <w:pStyle w:val="Prrafodelista"/>
              <w:ind w:left="0"/>
              <w:rPr>
                <w:rFonts w:ascii="Times New Roman" w:hAnsi="Times New Roman" w:cs="Times New Roman"/>
                <w:sz w:val="28"/>
              </w:rPr>
            </w:pPr>
          </w:p>
          <w:p w:rsidR="00D6280D" w:rsidRPr="00C039F9" w:rsidRDefault="00C039F9" w:rsidP="008438EE">
            <w:pPr>
              <w:pStyle w:val="Prrafodelista"/>
              <w:ind w:left="0"/>
              <w:rPr>
                <w:rFonts w:ascii="Times New Roman" w:hAnsi="Times New Roman" w:cs="Times New Roman"/>
                <w:sz w:val="28"/>
              </w:rPr>
            </w:pPr>
          </w:p>
          <w:p w:rsidR="00D6280D" w:rsidRPr="00C039F9" w:rsidRDefault="00C039F9" w:rsidP="008438EE">
            <w:pPr>
              <w:pStyle w:val="Prrafodelista"/>
              <w:ind w:left="0"/>
              <w:jc w:val="center"/>
              <w:rPr>
                <w:rFonts w:ascii="Times New Roman" w:hAnsi="Times New Roman" w:cs="Times New Roman"/>
                <w:sz w:val="28"/>
              </w:rPr>
            </w:pPr>
          </w:p>
          <w:p w:rsidR="00D6280D" w:rsidRPr="00C039F9" w:rsidRDefault="00C039F9" w:rsidP="008438EE">
            <w:pPr>
              <w:pStyle w:val="Prrafodelista"/>
              <w:ind w:left="0"/>
              <w:jc w:val="center"/>
              <w:rPr>
                <w:rFonts w:ascii="Times New Roman" w:hAnsi="Times New Roman" w:cs="Times New Roman"/>
                <w:sz w:val="28"/>
              </w:rPr>
            </w:pPr>
          </w:p>
          <w:p w:rsidR="00D6280D" w:rsidRPr="00C039F9" w:rsidRDefault="00C039F9" w:rsidP="008438EE">
            <w:pPr>
              <w:pStyle w:val="Prrafodelista"/>
              <w:ind w:left="0"/>
              <w:jc w:val="center"/>
              <w:rPr>
                <w:rFonts w:ascii="Times New Roman" w:hAnsi="Times New Roman" w:cs="Times New Roman"/>
                <w:b/>
                <w:bCs/>
                <w:sz w:val="28"/>
              </w:rPr>
            </w:pPr>
            <w:r w:rsidRPr="00C039F9">
              <w:rPr>
                <w:rFonts w:ascii="Times New Roman" w:hAnsi="Times New Roman" w:cs="Times New Roman"/>
                <w:b/>
                <w:bCs/>
                <w:sz w:val="28"/>
              </w:rPr>
              <w:t xml:space="preserve">Ministerio de Hacienda y </w:t>
            </w:r>
            <w:r w:rsidRPr="00C039F9">
              <w:rPr>
                <w:rFonts w:ascii="Times New Roman" w:hAnsi="Times New Roman" w:cs="Times New Roman"/>
                <w:b/>
                <w:bCs/>
                <w:sz w:val="28"/>
              </w:rPr>
              <w:t>Crédito Público</w:t>
            </w:r>
          </w:p>
        </w:tc>
        <w:tc>
          <w:tcPr>
            <w:tcW w:w="1417" w:type="dxa"/>
          </w:tcPr>
          <w:p w:rsidR="00D6280D" w:rsidRPr="00C039F9" w:rsidRDefault="00C039F9" w:rsidP="008438EE">
            <w:pPr>
              <w:pStyle w:val="Prrafodelista"/>
              <w:ind w:left="0"/>
              <w:rPr>
                <w:rFonts w:ascii="Times New Roman" w:hAnsi="Times New Roman" w:cs="Times New Roman"/>
                <w:bCs/>
                <w:sz w:val="28"/>
              </w:rPr>
            </w:pPr>
          </w:p>
          <w:p w:rsidR="00D6280D" w:rsidRPr="00C039F9" w:rsidRDefault="00C039F9" w:rsidP="008438EE">
            <w:pPr>
              <w:pStyle w:val="Prrafodelista"/>
              <w:ind w:left="0"/>
              <w:rPr>
                <w:rFonts w:ascii="Times New Roman" w:hAnsi="Times New Roman" w:cs="Times New Roman"/>
                <w:bCs/>
                <w:sz w:val="28"/>
              </w:rPr>
            </w:pPr>
          </w:p>
          <w:p w:rsidR="00D6280D" w:rsidRPr="00C039F9" w:rsidRDefault="00C039F9" w:rsidP="008438EE">
            <w:pPr>
              <w:pStyle w:val="Prrafodelista"/>
              <w:ind w:left="0"/>
              <w:rPr>
                <w:rFonts w:ascii="Times New Roman" w:hAnsi="Times New Roman" w:cs="Times New Roman"/>
                <w:bCs/>
                <w:sz w:val="28"/>
              </w:rPr>
            </w:pPr>
          </w:p>
          <w:p w:rsidR="00D6280D" w:rsidRPr="00C039F9" w:rsidRDefault="00C039F9" w:rsidP="008438EE">
            <w:pPr>
              <w:pStyle w:val="Prrafodelista"/>
              <w:ind w:left="0"/>
              <w:rPr>
                <w:rFonts w:ascii="Times New Roman" w:hAnsi="Times New Roman" w:cs="Times New Roman"/>
                <w:bCs/>
                <w:sz w:val="28"/>
              </w:rPr>
            </w:pPr>
          </w:p>
          <w:p w:rsidR="00D6280D" w:rsidRPr="00C039F9" w:rsidRDefault="00C039F9" w:rsidP="008438EE">
            <w:pPr>
              <w:pStyle w:val="Prrafodelista"/>
              <w:ind w:left="0"/>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Cs/>
                <w:sz w:val="28"/>
              </w:rPr>
            </w:pPr>
          </w:p>
          <w:p w:rsidR="00D6280D" w:rsidRPr="00C039F9" w:rsidRDefault="00C039F9" w:rsidP="008438EE">
            <w:pPr>
              <w:pStyle w:val="Prrafodelista"/>
              <w:ind w:left="0"/>
              <w:jc w:val="center"/>
              <w:rPr>
                <w:rFonts w:ascii="Times New Roman" w:hAnsi="Times New Roman" w:cs="Times New Roman"/>
                <w:b/>
                <w:sz w:val="28"/>
              </w:rPr>
            </w:pPr>
            <w:r w:rsidRPr="00C039F9">
              <w:rPr>
                <w:rFonts w:ascii="Times New Roman" w:hAnsi="Times New Roman" w:cs="Times New Roman"/>
                <w:b/>
                <w:sz w:val="28"/>
              </w:rPr>
              <w:t>Exequible</w:t>
            </w:r>
          </w:p>
          <w:p w:rsidR="00D6280D" w:rsidRPr="00C039F9" w:rsidRDefault="00C039F9" w:rsidP="008438EE">
            <w:pPr>
              <w:pStyle w:val="Prrafodelista"/>
              <w:ind w:left="0"/>
              <w:rPr>
                <w:rFonts w:ascii="Times New Roman" w:hAnsi="Times New Roman" w:cs="Times New Roman"/>
                <w:b/>
                <w:sz w:val="28"/>
              </w:rPr>
            </w:pPr>
          </w:p>
          <w:p w:rsidR="00D6280D" w:rsidRPr="00C039F9" w:rsidRDefault="00C039F9" w:rsidP="008438EE">
            <w:pPr>
              <w:pStyle w:val="Prrafodelista"/>
              <w:ind w:left="0"/>
              <w:rPr>
                <w:rFonts w:ascii="Times New Roman" w:hAnsi="Times New Roman" w:cs="Times New Roman"/>
                <w:b/>
                <w:sz w:val="28"/>
              </w:rPr>
            </w:pPr>
          </w:p>
          <w:p w:rsidR="00D6280D" w:rsidRPr="00C039F9" w:rsidRDefault="00C039F9" w:rsidP="008438EE">
            <w:pPr>
              <w:pStyle w:val="Prrafodelista"/>
              <w:ind w:left="0"/>
              <w:rPr>
                <w:rFonts w:ascii="Times New Roman" w:hAnsi="Times New Roman" w:cs="Times New Roman"/>
                <w:b/>
                <w:sz w:val="28"/>
              </w:rPr>
            </w:pPr>
          </w:p>
          <w:p w:rsidR="00D6280D" w:rsidRPr="00C039F9" w:rsidRDefault="00C039F9" w:rsidP="008438EE">
            <w:pPr>
              <w:pStyle w:val="Prrafodelista"/>
              <w:ind w:left="0"/>
              <w:rPr>
                <w:rFonts w:ascii="Times New Roman" w:hAnsi="Times New Roman" w:cs="Times New Roman"/>
                <w:b/>
                <w:sz w:val="28"/>
              </w:rPr>
            </w:pPr>
          </w:p>
          <w:p w:rsidR="00D6280D" w:rsidRPr="00C039F9" w:rsidRDefault="00C039F9" w:rsidP="008438EE">
            <w:pPr>
              <w:pStyle w:val="Prrafodelista"/>
              <w:ind w:left="0"/>
              <w:rPr>
                <w:rFonts w:ascii="Times New Roman" w:hAnsi="Times New Roman" w:cs="Times New Roman"/>
                <w:b/>
                <w:sz w:val="28"/>
              </w:rPr>
            </w:pPr>
          </w:p>
          <w:p w:rsidR="00D6280D" w:rsidRPr="00C039F9" w:rsidRDefault="00C039F9" w:rsidP="008438EE">
            <w:pPr>
              <w:pStyle w:val="Prrafodelista"/>
              <w:ind w:left="0"/>
              <w:rPr>
                <w:rFonts w:ascii="Times New Roman" w:hAnsi="Times New Roman" w:cs="Times New Roman"/>
                <w:b/>
                <w:sz w:val="28"/>
              </w:rPr>
            </w:pPr>
          </w:p>
          <w:p w:rsidR="00D6280D" w:rsidRPr="00C039F9" w:rsidRDefault="00C039F9" w:rsidP="008438EE">
            <w:pPr>
              <w:pStyle w:val="Prrafodelista"/>
              <w:ind w:left="0"/>
              <w:rPr>
                <w:rFonts w:ascii="Times New Roman" w:hAnsi="Times New Roman" w:cs="Times New Roman"/>
                <w:b/>
                <w:sz w:val="28"/>
              </w:rPr>
            </w:pPr>
          </w:p>
          <w:p w:rsidR="00D6280D" w:rsidRPr="00C039F9" w:rsidRDefault="00C039F9" w:rsidP="008438EE">
            <w:pPr>
              <w:pStyle w:val="Prrafodelista"/>
              <w:ind w:left="0"/>
              <w:rPr>
                <w:rFonts w:ascii="Times New Roman" w:hAnsi="Times New Roman" w:cs="Times New Roman"/>
                <w:b/>
                <w:sz w:val="28"/>
              </w:rPr>
            </w:pPr>
          </w:p>
        </w:tc>
        <w:tc>
          <w:tcPr>
            <w:tcW w:w="4820" w:type="dxa"/>
          </w:tcPr>
          <w:p w:rsidR="00D6280D" w:rsidRPr="00C039F9" w:rsidRDefault="00C039F9" w:rsidP="008438EE">
            <w:pPr>
              <w:rPr>
                <w:rFonts w:ascii="Times New Roman" w:hAnsi="Times New Roman" w:cs="Times New Roman"/>
                <w:color w:val="000000" w:themeColor="text1"/>
                <w:sz w:val="28"/>
              </w:rPr>
            </w:pPr>
          </w:p>
          <w:p w:rsidR="00D6280D" w:rsidRPr="00C039F9" w:rsidRDefault="00C039F9" w:rsidP="008438EE">
            <w:pPr>
              <w:rPr>
                <w:rFonts w:ascii="Times New Roman" w:hAnsi="Times New Roman" w:cs="Times New Roman"/>
                <w:color w:val="000000" w:themeColor="text1"/>
                <w:sz w:val="28"/>
              </w:rPr>
            </w:pPr>
            <w:r w:rsidRPr="00C039F9">
              <w:rPr>
                <w:rFonts w:ascii="Times New Roman" w:hAnsi="Times New Roman" w:cs="Times New Roman"/>
                <w:color w:val="000000" w:themeColor="text1"/>
                <w:sz w:val="28"/>
              </w:rPr>
              <w:t>El Ministerio de Hacienda indicó que la jurisprudencia constitucional ha establecido que «</w:t>
            </w:r>
            <w:r w:rsidRPr="00C039F9">
              <w:rPr>
                <w:rFonts w:ascii="Times New Roman" w:hAnsi="Times New Roman" w:cs="Times New Roman"/>
                <w:sz w:val="28"/>
              </w:rPr>
              <w:t xml:space="preserve">el principio de certeza no exige una definición legal absoluta de los elementos del tributo, sino la prohibición de su </w:t>
            </w:r>
            <w:r w:rsidRPr="00C039F9">
              <w:rPr>
                <w:rFonts w:ascii="Times New Roman" w:hAnsi="Times New Roman" w:cs="Times New Roman"/>
                <w:sz w:val="28"/>
              </w:rPr>
              <w:t>indefinición insuperable»</w:t>
            </w:r>
            <w:r w:rsidRPr="00C039F9">
              <w:rPr>
                <w:rFonts w:ascii="Times New Roman" w:hAnsi="Times New Roman" w:cs="Times New Roman"/>
                <w:color w:val="000000" w:themeColor="text1"/>
                <w:sz w:val="28"/>
              </w:rPr>
              <w:t xml:space="preserve">. Por lo tanto, manifestó que no se violarían los principios de legalidad y certeza del tributo cuando uno de los elementos de la tasa no se encuentra determinado en la norma, pero es determinable. </w:t>
            </w:r>
          </w:p>
          <w:p w:rsidR="00D6280D" w:rsidRPr="00C039F9" w:rsidRDefault="00C039F9" w:rsidP="008438EE">
            <w:pPr>
              <w:rPr>
                <w:rFonts w:ascii="Times New Roman" w:hAnsi="Times New Roman" w:cs="Times New Roman"/>
                <w:color w:val="000000" w:themeColor="text1"/>
                <w:sz w:val="28"/>
              </w:rPr>
            </w:pPr>
          </w:p>
          <w:p w:rsidR="00D6280D" w:rsidRPr="00C039F9" w:rsidRDefault="00C039F9" w:rsidP="008438EE">
            <w:pPr>
              <w:rPr>
                <w:rFonts w:ascii="Times New Roman" w:hAnsi="Times New Roman" w:cs="Times New Roman"/>
                <w:color w:val="000000" w:themeColor="text1"/>
                <w:sz w:val="28"/>
              </w:rPr>
            </w:pPr>
            <w:r w:rsidRPr="00C039F9">
              <w:rPr>
                <w:rFonts w:ascii="Times New Roman" w:hAnsi="Times New Roman" w:cs="Times New Roman"/>
                <w:color w:val="000000" w:themeColor="text1"/>
                <w:sz w:val="28"/>
              </w:rPr>
              <w:t>En el anterior orden, el Minist</w:t>
            </w:r>
            <w:r w:rsidRPr="00C039F9">
              <w:rPr>
                <w:rFonts w:ascii="Times New Roman" w:hAnsi="Times New Roman" w:cs="Times New Roman"/>
                <w:color w:val="000000" w:themeColor="text1"/>
                <w:sz w:val="28"/>
              </w:rPr>
              <w:t>erio precisó que la base gravable del tributo se encuentra determinada por la tarifa de los costos de los servicios que se encuentran enlistados como los hechos generadores de la tasa. Indicó también que, ocasionalmente, existen asuntos técnicos que se aso</w:t>
            </w:r>
            <w:r w:rsidRPr="00C039F9">
              <w:rPr>
                <w:rFonts w:ascii="Times New Roman" w:hAnsi="Times New Roman" w:cs="Times New Roman"/>
                <w:color w:val="000000" w:themeColor="text1"/>
                <w:sz w:val="28"/>
              </w:rPr>
              <w:t>cian a los elementos del tributo que no puede fijar el legislador en razón al carácter general de las leyes, pero que las entidades gubernamentales pueden establecer una metodología para determinar la base gravable de la tasa que debe comprender «</w:t>
            </w:r>
            <w:r w:rsidRPr="00C039F9">
              <w:rPr>
                <w:rFonts w:ascii="Times New Roman" w:hAnsi="Times New Roman" w:cs="Times New Roman"/>
                <w:sz w:val="28"/>
              </w:rPr>
              <w:t>los costo</w:t>
            </w:r>
            <w:r w:rsidRPr="00C039F9">
              <w:rPr>
                <w:rFonts w:ascii="Times New Roman" w:hAnsi="Times New Roman" w:cs="Times New Roman"/>
                <w:sz w:val="28"/>
              </w:rPr>
              <w:t>s administrativos, financieros, directos e indirectos y de operación de cada actividad o hecho generador, en los términos y criterios desarrollados en el método definido por el legislador»</w:t>
            </w:r>
            <w:r w:rsidRPr="00C039F9">
              <w:rPr>
                <w:rFonts w:ascii="Times New Roman" w:hAnsi="Times New Roman" w:cs="Times New Roman"/>
                <w:color w:val="000000" w:themeColor="text1"/>
                <w:sz w:val="28"/>
              </w:rPr>
              <w:t>.</w:t>
            </w:r>
          </w:p>
          <w:p w:rsidR="00D6280D" w:rsidRPr="00C039F9" w:rsidRDefault="00C039F9" w:rsidP="008438EE">
            <w:pPr>
              <w:rPr>
                <w:rFonts w:ascii="Times New Roman" w:hAnsi="Times New Roman" w:cs="Times New Roman"/>
                <w:color w:val="000000" w:themeColor="text1"/>
                <w:sz w:val="28"/>
              </w:rPr>
            </w:pPr>
          </w:p>
          <w:p w:rsidR="00D6280D" w:rsidRPr="00C039F9" w:rsidRDefault="00C039F9" w:rsidP="008438EE">
            <w:pPr>
              <w:rPr>
                <w:rFonts w:ascii="Times New Roman" w:hAnsi="Times New Roman" w:cs="Times New Roman"/>
                <w:color w:val="000000" w:themeColor="text1"/>
                <w:sz w:val="28"/>
              </w:rPr>
            </w:pPr>
            <w:r w:rsidRPr="00C039F9">
              <w:rPr>
                <w:rFonts w:ascii="Times New Roman" w:hAnsi="Times New Roman" w:cs="Times New Roman"/>
                <w:color w:val="000000" w:themeColor="text1"/>
                <w:sz w:val="28"/>
              </w:rPr>
              <w:t>El Ministerio concluyó que el Gobierno nacional no sería quien de</w:t>
            </w:r>
            <w:r w:rsidRPr="00C039F9">
              <w:rPr>
                <w:rFonts w:ascii="Times New Roman" w:hAnsi="Times New Roman" w:cs="Times New Roman"/>
                <w:color w:val="000000" w:themeColor="text1"/>
                <w:sz w:val="28"/>
              </w:rPr>
              <w:t>finiría los elementos esenciales de la tasa pues el Legislador ya habría definido sus elementos y la forma en cómo estos estarían determinados. Así, en el caso de la base gravable, se sostuvo que esta equivaldría a los costos que el Ministerio del Interior</w:t>
            </w:r>
            <w:r w:rsidRPr="00C039F9">
              <w:rPr>
                <w:rFonts w:ascii="Times New Roman" w:hAnsi="Times New Roman" w:cs="Times New Roman"/>
                <w:color w:val="000000" w:themeColor="text1"/>
                <w:sz w:val="28"/>
              </w:rPr>
              <w:t xml:space="preserve"> definiera con arreglo a lo previsto en el parágrafo 1º de la norma demandada.</w:t>
            </w:r>
          </w:p>
          <w:p w:rsidR="00D6280D" w:rsidRPr="00C039F9" w:rsidRDefault="00C039F9" w:rsidP="008438EE">
            <w:pPr>
              <w:rPr>
                <w:rFonts w:ascii="Times New Roman" w:hAnsi="Times New Roman" w:cs="Times New Roman"/>
                <w:color w:val="000000" w:themeColor="text1"/>
                <w:sz w:val="28"/>
              </w:rPr>
            </w:pPr>
          </w:p>
        </w:tc>
      </w:tr>
      <w:tr w:rsidR="00D6280D" w:rsidRPr="00C039F9" w:rsidTr="00BA57CA">
        <w:tc>
          <w:tcPr>
            <w:tcW w:w="2122" w:type="dxa"/>
          </w:tcPr>
          <w:p w:rsidR="00D6280D" w:rsidRPr="00C039F9" w:rsidRDefault="00C039F9" w:rsidP="008438EE">
            <w:pPr>
              <w:pStyle w:val="Prrafodelista"/>
              <w:ind w:left="0"/>
              <w:jc w:val="center"/>
              <w:rPr>
                <w:rFonts w:ascii="Times New Roman" w:hAnsi="Times New Roman" w:cs="Times New Roman"/>
                <w:sz w:val="28"/>
              </w:rPr>
            </w:pPr>
          </w:p>
          <w:p w:rsidR="00D6280D" w:rsidRPr="00C039F9" w:rsidRDefault="00C039F9" w:rsidP="008438EE">
            <w:pPr>
              <w:pStyle w:val="Prrafodelista"/>
              <w:ind w:left="0"/>
              <w:jc w:val="center"/>
              <w:rPr>
                <w:rFonts w:ascii="Times New Roman" w:hAnsi="Times New Roman" w:cs="Times New Roman"/>
                <w:sz w:val="28"/>
              </w:rPr>
            </w:pPr>
          </w:p>
          <w:p w:rsidR="00D6280D" w:rsidRPr="00C039F9" w:rsidRDefault="00C039F9" w:rsidP="008438EE">
            <w:pPr>
              <w:pStyle w:val="Prrafodelista"/>
              <w:ind w:left="0"/>
              <w:jc w:val="center"/>
              <w:rPr>
                <w:rFonts w:ascii="Times New Roman" w:hAnsi="Times New Roman" w:cs="Times New Roman"/>
                <w:sz w:val="28"/>
              </w:rPr>
            </w:pPr>
          </w:p>
          <w:p w:rsidR="00D6280D" w:rsidRPr="00C039F9" w:rsidRDefault="00C039F9" w:rsidP="008438EE">
            <w:pPr>
              <w:pStyle w:val="Prrafodelista"/>
              <w:ind w:left="0"/>
              <w:jc w:val="center"/>
              <w:rPr>
                <w:rFonts w:ascii="Times New Roman" w:hAnsi="Times New Roman" w:cs="Times New Roman"/>
                <w:sz w:val="28"/>
              </w:rPr>
            </w:pPr>
          </w:p>
          <w:p w:rsidR="00D6280D" w:rsidRPr="00C039F9" w:rsidRDefault="00C039F9" w:rsidP="008438EE">
            <w:pPr>
              <w:pStyle w:val="Prrafodelista"/>
              <w:ind w:left="0"/>
              <w:jc w:val="center"/>
              <w:rPr>
                <w:rFonts w:ascii="Times New Roman" w:hAnsi="Times New Roman" w:cs="Times New Roman"/>
                <w:sz w:val="28"/>
              </w:rPr>
            </w:pPr>
          </w:p>
          <w:p w:rsidR="00D6280D" w:rsidRPr="00C039F9" w:rsidRDefault="00C039F9" w:rsidP="008438EE">
            <w:pPr>
              <w:pStyle w:val="Prrafodelista"/>
              <w:ind w:left="0"/>
              <w:jc w:val="center"/>
              <w:rPr>
                <w:rFonts w:ascii="Times New Roman" w:hAnsi="Times New Roman" w:cs="Times New Roman"/>
                <w:sz w:val="28"/>
              </w:rPr>
            </w:pPr>
          </w:p>
          <w:p w:rsidR="00D6280D" w:rsidRPr="00C039F9" w:rsidRDefault="00C039F9" w:rsidP="008438EE">
            <w:pPr>
              <w:pStyle w:val="Prrafodelista"/>
              <w:ind w:left="0"/>
              <w:jc w:val="center"/>
              <w:rPr>
                <w:rFonts w:ascii="Times New Roman" w:hAnsi="Times New Roman" w:cs="Times New Roman"/>
                <w:sz w:val="28"/>
              </w:rPr>
            </w:pPr>
          </w:p>
          <w:p w:rsidR="00D6280D" w:rsidRPr="00C039F9" w:rsidRDefault="00C039F9" w:rsidP="008438EE">
            <w:pPr>
              <w:pStyle w:val="Prrafodelista"/>
              <w:ind w:left="0"/>
              <w:jc w:val="center"/>
              <w:rPr>
                <w:rFonts w:ascii="Times New Roman" w:hAnsi="Times New Roman" w:cs="Times New Roman"/>
                <w:sz w:val="28"/>
              </w:rPr>
            </w:pPr>
          </w:p>
          <w:p w:rsidR="00D6280D" w:rsidRPr="00C039F9" w:rsidRDefault="00C039F9" w:rsidP="008438EE">
            <w:pPr>
              <w:pStyle w:val="Prrafodelista"/>
              <w:ind w:left="0"/>
              <w:jc w:val="center"/>
              <w:rPr>
                <w:rFonts w:ascii="Times New Roman" w:hAnsi="Times New Roman" w:cs="Times New Roman"/>
                <w:sz w:val="28"/>
              </w:rPr>
            </w:pPr>
          </w:p>
          <w:p w:rsidR="00D6280D" w:rsidRPr="00C039F9" w:rsidRDefault="00C039F9" w:rsidP="008438EE">
            <w:pPr>
              <w:pStyle w:val="Prrafodelista"/>
              <w:ind w:left="0"/>
              <w:jc w:val="center"/>
              <w:rPr>
                <w:rFonts w:ascii="Times New Roman" w:hAnsi="Times New Roman" w:cs="Times New Roman"/>
                <w:sz w:val="28"/>
              </w:rPr>
            </w:pPr>
          </w:p>
          <w:p w:rsidR="00D6280D" w:rsidRPr="00C039F9" w:rsidRDefault="00C039F9" w:rsidP="008438EE">
            <w:pPr>
              <w:pStyle w:val="Prrafodelista"/>
              <w:ind w:left="0"/>
              <w:jc w:val="center"/>
              <w:rPr>
                <w:rFonts w:ascii="Times New Roman" w:hAnsi="Times New Roman" w:cs="Times New Roman"/>
                <w:b/>
                <w:bCs/>
                <w:sz w:val="28"/>
              </w:rPr>
            </w:pPr>
            <w:r w:rsidRPr="00C039F9">
              <w:rPr>
                <w:rFonts w:ascii="Times New Roman" w:hAnsi="Times New Roman" w:cs="Times New Roman"/>
                <w:b/>
                <w:bCs/>
                <w:sz w:val="28"/>
              </w:rPr>
              <w:t>Instituto Colombiano de Derecho Tributario - ICDT</w:t>
            </w:r>
          </w:p>
        </w:tc>
        <w:tc>
          <w:tcPr>
            <w:tcW w:w="1417" w:type="dxa"/>
          </w:tcPr>
          <w:p w:rsidR="00D6280D" w:rsidRPr="00C039F9" w:rsidRDefault="00C039F9" w:rsidP="008438EE">
            <w:pPr>
              <w:pStyle w:val="Prrafodelista"/>
              <w:ind w:left="0"/>
              <w:rPr>
                <w:rFonts w:ascii="Times New Roman" w:hAnsi="Times New Roman" w:cs="Times New Roman"/>
                <w:bCs/>
                <w:sz w:val="28"/>
              </w:rPr>
            </w:pPr>
          </w:p>
          <w:p w:rsidR="00D6280D" w:rsidRPr="00C039F9" w:rsidRDefault="00C039F9" w:rsidP="008438EE">
            <w:pPr>
              <w:pStyle w:val="Prrafodelista"/>
              <w:ind w:left="0"/>
              <w:rPr>
                <w:rFonts w:ascii="Times New Roman" w:hAnsi="Times New Roman" w:cs="Times New Roman"/>
                <w:bCs/>
                <w:sz w:val="28"/>
              </w:rPr>
            </w:pPr>
          </w:p>
          <w:p w:rsidR="00D6280D" w:rsidRPr="00C039F9" w:rsidRDefault="00C039F9" w:rsidP="008438EE">
            <w:pPr>
              <w:pStyle w:val="Prrafodelista"/>
              <w:ind w:left="0"/>
              <w:rPr>
                <w:rFonts w:ascii="Times New Roman" w:hAnsi="Times New Roman" w:cs="Times New Roman"/>
                <w:bCs/>
                <w:sz w:val="28"/>
              </w:rPr>
            </w:pPr>
          </w:p>
          <w:p w:rsidR="00D6280D" w:rsidRPr="00C039F9" w:rsidRDefault="00C039F9" w:rsidP="008438EE">
            <w:pPr>
              <w:pStyle w:val="Prrafodelista"/>
              <w:ind w:left="0"/>
              <w:rPr>
                <w:rFonts w:ascii="Times New Roman" w:hAnsi="Times New Roman" w:cs="Times New Roman"/>
                <w:bCs/>
                <w:sz w:val="28"/>
              </w:rPr>
            </w:pPr>
          </w:p>
          <w:p w:rsidR="00D6280D" w:rsidRPr="00C039F9" w:rsidRDefault="00C039F9" w:rsidP="008438EE">
            <w:pPr>
              <w:pStyle w:val="Prrafodelista"/>
              <w:ind w:left="0"/>
              <w:rPr>
                <w:rFonts w:ascii="Times New Roman" w:hAnsi="Times New Roman" w:cs="Times New Roman"/>
                <w:bCs/>
                <w:sz w:val="28"/>
              </w:rPr>
            </w:pPr>
          </w:p>
          <w:p w:rsidR="00D6280D" w:rsidRPr="00C039F9" w:rsidRDefault="00C039F9" w:rsidP="008438EE">
            <w:pPr>
              <w:pStyle w:val="Prrafodelista"/>
              <w:ind w:left="0"/>
              <w:rPr>
                <w:rFonts w:ascii="Times New Roman" w:hAnsi="Times New Roman" w:cs="Times New Roman"/>
                <w:bCs/>
                <w:sz w:val="28"/>
              </w:rPr>
            </w:pPr>
          </w:p>
          <w:p w:rsidR="00D6280D" w:rsidRPr="00C039F9" w:rsidRDefault="00C039F9" w:rsidP="008438EE">
            <w:pPr>
              <w:pStyle w:val="Prrafodelista"/>
              <w:ind w:left="0"/>
              <w:rPr>
                <w:rFonts w:ascii="Times New Roman" w:hAnsi="Times New Roman" w:cs="Times New Roman"/>
                <w:bCs/>
                <w:sz w:val="28"/>
              </w:rPr>
            </w:pPr>
          </w:p>
          <w:p w:rsidR="00D6280D" w:rsidRPr="00C039F9" w:rsidRDefault="00C039F9" w:rsidP="008438EE">
            <w:pPr>
              <w:pStyle w:val="Prrafodelista"/>
              <w:ind w:left="0"/>
              <w:rPr>
                <w:rFonts w:ascii="Times New Roman" w:hAnsi="Times New Roman" w:cs="Times New Roman"/>
                <w:bCs/>
                <w:sz w:val="28"/>
              </w:rPr>
            </w:pPr>
          </w:p>
          <w:p w:rsidR="00D6280D" w:rsidRPr="00C039F9" w:rsidRDefault="00C039F9" w:rsidP="008438EE">
            <w:pPr>
              <w:pStyle w:val="Prrafodelista"/>
              <w:ind w:left="0"/>
              <w:rPr>
                <w:rFonts w:ascii="Times New Roman" w:hAnsi="Times New Roman" w:cs="Times New Roman"/>
                <w:bCs/>
                <w:sz w:val="28"/>
              </w:rPr>
            </w:pPr>
          </w:p>
          <w:p w:rsidR="00D6280D" w:rsidRPr="00C039F9" w:rsidRDefault="00C039F9" w:rsidP="008438EE">
            <w:pPr>
              <w:pStyle w:val="Prrafodelista"/>
              <w:ind w:left="0"/>
              <w:rPr>
                <w:rFonts w:ascii="Times New Roman" w:hAnsi="Times New Roman" w:cs="Times New Roman"/>
                <w:bCs/>
                <w:sz w:val="28"/>
              </w:rPr>
            </w:pPr>
          </w:p>
          <w:p w:rsidR="00D6280D" w:rsidRPr="00C039F9" w:rsidRDefault="00C039F9" w:rsidP="008438EE">
            <w:pPr>
              <w:pStyle w:val="Prrafodelista"/>
              <w:ind w:left="0"/>
              <w:rPr>
                <w:rFonts w:ascii="Times New Roman" w:hAnsi="Times New Roman" w:cs="Times New Roman"/>
                <w:bCs/>
                <w:sz w:val="28"/>
              </w:rPr>
            </w:pPr>
          </w:p>
          <w:p w:rsidR="00D6280D" w:rsidRPr="00C039F9" w:rsidRDefault="00C039F9" w:rsidP="008438EE">
            <w:pPr>
              <w:pStyle w:val="Prrafodelista"/>
              <w:ind w:left="0"/>
              <w:rPr>
                <w:rFonts w:ascii="Times New Roman" w:hAnsi="Times New Roman" w:cs="Times New Roman"/>
                <w:b/>
                <w:sz w:val="28"/>
              </w:rPr>
            </w:pPr>
            <w:r w:rsidRPr="00C039F9">
              <w:rPr>
                <w:rFonts w:ascii="Times New Roman" w:hAnsi="Times New Roman" w:cs="Times New Roman"/>
                <w:b/>
                <w:sz w:val="28"/>
              </w:rPr>
              <w:t>Exequible</w:t>
            </w:r>
          </w:p>
          <w:p w:rsidR="00D6280D" w:rsidRPr="00C039F9" w:rsidRDefault="00C039F9" w:rsidP="008438EE">
            <w:pPr>
              <w:pStyle w:val="Prrafodelista"/>
              <w:ind w:left="0"/>
              <w:rPr>
                <w:rFonts w:ascii="Times New Roman" w:hAnsi="Times New Roman" w:cs="Times New Roman"/>
                <w:b/>
                <w:sz w:val="28"/>
              </w:rPr>
            </w:pPr>
          </w:p>
          <w:p w:rsidR="00D6280D" w:rsidRPr="00C039F9" w:rsidRDefault="00C039F9" w:rsidP="008438EE">
            <w:pPr>
              <w:pStyle w:val="Prrafodelista"/>
              <w:ind w:left="0"/>
              <w:rPr>
                <w:rFonts w:ascii="Times New Roman" w:hAnsi="Times New Roman" w:cs="Times New Roman"/>
                <w:b/>
                <w:sz w:val="28"/>
              </w:rPr>
            </w:pPr>
          </w:p>
          <w:p w:rsidR="00D6280D" w:rsidRPr="00C039F9" w:rsidRDefault="00C039F9" w:rsidP="008438EE">
            <w:pPr>
              <w:pStyle w:val="Prrafodelista"/>
              <w:ind w:left="0"/>
              <w:rPr>
                <w:rFonts w:ascii="Times New Roman" w:hAnsi="Times New Roman" w:cs="Times New Roman"/>
                <w:b/>
                <w:sz w:val="28"/>
              </w:rPr>
            </w:pPr>
          </w:p>
        </w:tc>
        <w:tc>
          <w:tcPr>
            <w:tcW w:w="4820" w:type="dxa"/>
          </w:tcPr>
          <w:p w:rsidR="00D6280D" w:rsidRPr="00C039F9" w:rsidRDefault="00C039F9" w:rsidP="008438EE">
            <w:pPr>
              <w:tabs>
                <w:tab w:val="left" w:pos="1341"/>
              </w:tabs>
              <w:rPr>
                <w:rFonts w:ascii="Times New Roman" w:hAnsi="Times New Roman" w:cs="Times New Roman"/>
                <w:sz w:val="28"/>
              </w:rPr>
            </w:pPr>
          </w:p>
          <w:p w:rsidR="00D6280D" w:rsidRPr="00C039F9" w:rsidRDefault="00C039F9" w:rsidP="008438EE">
            <w:pPr>
              <w:tabs>
                <w:tab w:val="left" w:pos="1341"/>
              </w:tabs>
              <w:rPr>
                <w:rFonts w:ascii="Times New Roman" w:hAnsi="Times New Roman" w:cs="Times New Roman"/>
                <w:sz w:val="28"/>
              </w:rPr>
            </w:pPr>
            <w:r w:rsidRPr="00C039F9">
              <w:rPr>
                <w:rFonts w:ascii="Times New Roman" w:hAnsi="Times New Roman" w:cs="Times New Roman"/>
                <w:sz w:val="28"/>
              </w:rPr>
              <w:t>El ICDT adujo que «</w:t>
            </w:r>
            <w:r w:rsidRPr="00C039F9">
              <w:rPr>
                <w:rFonts w:ascii="Times New Roman" w:hAnsi="Times New Roman" w:cs="Times New Roman"/>
                <w:sz w:val="28"/>
              </w:rPr>
              <w:t xml:space="preserve">si bien la norma establece que la base gravable para la liquidación de </w:t>
            </w:r>
            <w:r w:rsidRPr="00C039F9">
              <w:rPr>
                <w:rFonts w:ascii="Times New Roman" w:hAnsi="Times New Roman" w:cs="Times New Roman"/>
                <w:sz w:val="28"/>
              </w:rPr>
              <w:t>la tasa será el costo de los servicios correspondientes a cada uno de los hechos generadores y delega en cabeza del Ministerio del Interior el establecimiento de la metodología para su cálculo, esta delegación no corresponde a una función propiamente legis</w:t>
            </w:r>
            <w:r w:rsidRPr="00C039F9">
              <w:rPr>
                <w:rFonts w:ascii="Times New Roman" w:hAnsi="Times New Roman" w:cs="Times New Roman"/>
                <w:sz w:val="28"/>
              </w:rPr>
              <w:t>lativa para que esta autoridad fije autónomamente la base gravable, sino más bien una “función técnica de certificación” que facilita el cálculo y la prueba de dichos costos.»</w:t>
            </w:r>
          </w:p>
          <w:p w:rsidR="00D6280D" w:rsidRPr="00C039F9" w:rsidRDefault="00C039F9" w:rsidP="008438EE">
            <w:pPr>
              <w:tabs>
                <w:tab w:val="left" w:pos="1341"/>
              </w:tabs>
              <w:rPr>
                <w:rFonts w:ascii="Times New Roman" w:hAnsi="Times New Roman" w:cs="Times New Roman"/>
                <w:sz w:val="28"/>
              </w:rPr>
            </w:pPr>
          </w:p>
          <w:p w:rsidR="00D6280D" w:rsidRPr="00C039F9" w:rsidRDefault="00C039F9" w:rsidP="008438EE">
            <w:pPr>
              <w:tabs>
                <w:tab w:val="left" w:pos="1341"/>
              </w:tabs>
              <w:rPr>
                <w:rFonts w:ascii="Times New Roman" w:hAnsi="Times New Roman" w:cs="Times New Roman"/>
                <w:sz w:val="28"/>
              </w:rPr>
            </w:pPr>
            <w:r w:rsidRPr="00C039F9">
              <w:rPr>
                <w:rFonts w:ascii="Times New Roman" w:hAnsi="Times New Roman" w:cs="Times New Roman"/>
                <w:sz w:val="28"/>
              </w:rPr>
              <w:t xml:space="preserve">También señaló que el parágrafo 1º del artículo 169 «proporciona los criterios </w:t>
            </w:r>
            <w:r w:rsidRPr="00C039F9">
              <w:rPr>
                <w:rFonts w:ascii="Times New Roman" w:hAnsi="Times New Roman" w:cs="Times New Roman"/>
                <w:sz w:val="28"/>
              </w:rPr>
              <w:t>o pautas que deben seguirse para calcular tales costos, detallando el método y el sistema que la Dirección Nacional de Derecho de Autor debe tener en cuenta para fijar y actualizar anualmente las tarifas de los servicios que presta por cada uno de los hech</w:t>
            </w:r>
            <w:r w:rsidRPr="00C039F9">
              <w:rPr>
                <w:rFonts w:ascii="Times New Roman" w:hAnsi="Times New Roman" w:cs="Times New Roman"/>
                <w:sz w:val="28"/>
              </w:rPr>
              <w:t>os generadores de la tasa, en función precisamente de los costos en que incurre al prestar los mismos, los cuales pueden ser observados igualmente por el Ministerio del Interior a efectos de establecer la metodología para el cálculo de los costos en funció</w:t>
            </w:r>
            <w:r w:rsidRPr="00C039F9">
              <w:rPr>
                <w:rFonts w:ascii="Times New Roman" w:hAnsi="Times New Roman" w:cs="Times New Roman"/>
                <w:sz w:val="28"/>
              </w:rPr>
              <w:t>n de la gravable de la tasa»; por lo que «la competencia delegada por la Ley al Ministerio del Interior no supone el ejercicio discrecional de una facultad para definir el costo de los servicios y, con ello, la base gravable o la tasa del tributo y, por es</w:t>
            </w:r>
            <w:r w:rsidRPr="00C039F9">
              <w:rPr>
                <w:rFonts w:ascii="Times New Roman" w:hAnsi="Times New Roman" w:cs="Times New Roman"/>
                <w:sz w:val="28"/>
              </w:rPr>
              <w:t>ta misma razón, no se está ante una insuperable indeterminación de la norma que viole los principios de legalidad y certeza tributaria.»</w:t>
            </w:r>
          </w:p>
          <w:p w:rsidR="00D6280D" w:rsidRPr="00C039F9" w:rsidRDefault="00C039F9" w:rsidP="008438EE">
            <w:pPr>
              <w:tabs>
                <w:tab w:val="left" w:pos="1341"/>
              </w:tabs>
              <w:rPr>
                <w:rFonts w:ascii="Times New Roman" w:hAnsi="Times New Roman" w:cs="Times New Roman"/>
                <w:sz w:val="28"/>
              </w:rPr>
            </w:pPr>
          </w:p>
        </w:tc>
      </w:tr>
    </w:tbl>
    <w:p w:rsidR="00D6280D" w:rsidRPr="00C039F9" w:rsidRDefault="00C039F9" w:rsidP="00D6280D">
      <w:pPr>
        <w:pStyle w:val="Prrafodelista"/>
        <w:ind w:left="0"/>
        <w:rPr>
          <w:rFonts w:ascii="Times New Roman" w:hAnsi="Times New Roman" w:cs="Times New Roman"/>
          <w:b/>
          <w:smallCaps/>
          <w:sz w:val="28"/>
          <w:szCs w:val="28"/>
        </w:rPr>
      </w:pPr>
    </w:p>
    <w:p w:rsidR="00D6280D" w:rsidRPr="00C039F9" w:rsidRDefault="00C039F9" w:rsidP="00D6280D">
      <w:pPr>
        <w:pStyle w:val="Prrafodelista"/>
        <w:numPr>
          <w:ilvl w:val="0"/>
          <w:numId w:val="1"/>
        </w:numPr>
        <w:ind w:left="0" w:firstLine="0"/>
        <w:rPr>
          <w:rFonts w:ascii="Times New Roman" w:hAnsi="Times New Roman" w:cs="Times New Roman"/>
          <w:b/>
          <w:smallCaps/>
          <w:sz w:val="28"/>
          <w:szCs w:val="28"/>
        </w:rPr>
      </w:pPr>
      <w:r w:rsidRPr="00C039F9">
        <w:rPr>
          <w:rFonts w:ascii="Times New Roman" w:hAnsi="Times New Roman" w:cs="Times New Roman"/>
          <w:b/>
          <w:smallCaps/>
          <w:sz w:val="28"/>
          <w:szCs w:val="28"/>
        </w:rPr>
        <w:t>CONCEPTO DEL MINISTERIO PÚBLICO</w:t>
      </w:r>
    </w:p>
    <w:p w:rsidR="00D6280D" w:rsidRPr="00C039F9" w:rsidRDefault="00C039F9" w:rsidP="00D6280D">
      <w:pPr>
        <w:pStyle w:val="Prrafodelista"/>
        <w:tabs>
          <w:tab w:val="left" w:pos="284"/>
        </w:tabs>
        <w:ind w:left="0"/>
        <w:rPr>
          <w:rFonts w:ascii="Times New Roman" w:hAnsi="Times New Roman" w:cs="Times New Roman"/>
          <w:b/>
          <w:smallCaps/>
          <w:sz w:val="28"/>
          <w:szCs w:val="28"/>
        </w:rPr>
      </w:pPr>
    </w:p>
    <w:p w:rsidR="00DE30D7" w:rsidRPr="00C039F9" w:rsidRDefault="00C039F9" w:rsidP="00D6280D">
      <w:pPr>
        <w:pStyle w:val="Prrafodelista"/>
        <w:numPr>
          <w:ilvl w:val="0"/>
          <w:numId w:val="2"/>
        </w:numPr>
        <w:ind w:left="0" w:hanging="11"/>
        <w:rPr>
          <w:rFonts w:ascii="Times New Roman" w:hAnsi="Times New Roman" w:cs="Times New Roman"/>
          <w:sz w:val="28"/>
          <w:szCs w:val="28"/>
        </w:rPr>
      </w:pPr>
      <w:r w:rsidRPr="00C039F9">
        <w:rPr>
          <w:rFonts w:ascii="Times New Roman" w:hAnsi="Times New Roman" w:cs="Times New Roman"/>
          <w:sz w:val="28"/>
          <w:szCs w:val="28"/>
        </w:rPr>
        <w:t xml:space="preserve">La procuradora general de la Nación emitió oportunamente el concepto de su </w:t>
      </w:r>
      <w:r w:rsidRPr="00C039F9">
        <w:rPr>
          <w:rFonts w:ascii="Times New Roman" w:hAnsi="Times New Roman" w:cs="Times New Roman"/>
          <w:sz w:val="28"/>
          <w:szCs w:val="28"/>
        </w:rPr>
        <w:t>competencia y pidió la exequibilidad de la disposición demandada.</w:t>
      </w:r>
    </w:p>
    <w:p w:rsidR="00DE30D7" w:rsidRPr="00C039F9" w:rsidRDefault="00C039F9" w:rsidP="00DE30D7">
      <w:pPr>
        <w:pStyle w:val="Prrafodelista"/>
        <w:ind w:left="0"/>
        <w:rPr>
          <w:rFonts w:ascii="Times New Roman" w:hAnsi="Times New Roman" w:cs="Times New Roman"/>
          <w:sz w:val="28"/>
          <w:szCs w:val="28"/>
        </w:rPr>
      </w:pPr>
    </w:p>
    <w:p w:rsidR="00DE30D7" w:rsidRPr="00C039F9" w:rsidRDefault="00C039F9" w:rsidP="00DE30D7">
      <w:pPr>
        <w:pStyle w:val="Prrafodelista"/>
        <w:numPr>
          <w:ilvl w:val="0"/>
          <w:numId w:val="2"/>
        </w:numPr>
        <w:ind w:left="0" w:hanging="11"/>
        <w:rPr>
          <w:rFonts w:ascii="Times New Roman" w:hAnsi="Times New Roman" w:cs="Times New Roman"/>
          <w:sz w:val="28"/>
          <w:szCs w:val="28"/>
        </w:rPr>
      </w:pPr>
      <w:r w:rsidRPr="00C039F9">
        <w:rPr>
          <w:rFonts w:ascii="Times New Roman" w:hAnsi="Times New Roman" w:cs="Times New Roman"/>
          <w:sz w:val="28"/>
          <w:szCs w:val="28"/>
        </w:rPr>
        <w:t>En fundamento de su solicitud, la jefe del Ministerio Público sostuvo que: «(i) [l]a base gravable de la tasa […] será un “precio”, pues [la norma] indicó que el valor sobre el cual se apli</w:t>
      </w:r>
      <w:r w:rsidRPr="00C039F9">
        <w:rPr>
          <w:rFonts w:ascii="Times New Roman" w:hAnsi="Times New Roman" w:cs="Times New Roman"/>
          <w:sz w:val="28"/>
          <w:szCs w:val="28"/>
        </w:rPr>
        <w:t xml:space="preserve">ca la tarifa del tributo será “el costo de los [distintos] servicios” prestados por la [DNDA] […]»; y «(ii) [e]l Ministerio del Interior será la autoridad encargada de fijar la metodología de concreción del referido precio, lo cual resulta razonable si se </w:t>
      </w:r>
      <w:r w:rsidRPr="00C039F9">
        <w:rPr>
          <w:rFonts w:ascii="Times New Roman" w:hAnsi="Times New Roman" w:cs="Times New Roman"/>
          <w:sz w:val="28"/>
          <w:szCs w:val="28"/>
        </w:rPr>
        <w:t xml:space="preserve">tiene en cuenta que los costos de los servicios prestados dependen del valor variable de los insumos requeridos para la elaboración de los documentos y el mantenimiento de los sistemas correspondientes». </w:t>
      </w:r>
    </w:p>
    <w:p w:rsidR="00DE30D7" w:rsidRPr="00C039F9" w:rsidRDefault="00C039F9" w:rsidP="00DE30D7">
      <w:pPr>
        <w:pStyle w:val="Prrafodelista"/>
        <w:rPr>
          <w:rFonts w:ascii="Times New Roman" w:hAnsi="Times New Roman" w:cs="Times New Roman"/>
          <w:sz w:val="28"/>
          <w:szCs w:val="28"/>
        </w:rPr>
      </w:pPr>
    </w:p>
    <w:p w:rsidR="00DE30D7" w:rsidRPr="00C039F9" w:rsidRDefault="00C039F9" w:rsidP="00DE30D7">
      <w:pPr>
        <w:pStyle w:val="Prrafodelista"/>
        <w:numPr>
          <w:ilvl w:val="0"/>
          <w:numId w:val="2"/>
        </w:numPr>
        <w:ind w:left="0" w:hanging="11"/>
        <w:rPr>
          <w:rFonts w:ascii="Times New Roman" w:hAnsi="Times New Roman" w:cs="Times New Roman"/>
          <w:sz w:val="28"/>
          <w:szCs w:val="28"/>
        </w:rPr>
      </w:pPr>
      <w:r w:rsidRPr="00C039F9">
        <w:rPr>
          <w:rFonts w:ascii="Times New Roman" w:hAnsi="Times New Roman" w:cs="Times New Roman"/>
          <w:sz w:val="28"/>
          <w:szCs w:val="28"/>
        </w:rPr>
        <w:t>Dicho lo anterior, la procuradora general de la Na</w:t>
      </w:r>
      <w:r w:rsidRPr="00C039F9">
        <w:rPr>
          <w:rFonts w:ascii="Times New Roman" w:hAnsi="Times New Roman" w:cs="Times New Roman"/>
          <w:sz w:val="28"/>
          <w:szCs w:val="28"/>
        </w:rPr>
        <w:t>ción indicó que cuando la norma dispuso que la tarifa de la tasa estuviera ligada a los costos de los servicios prestados por la DNDA, igualmente señaló una serie de criterios orientadores para la definición de dichos costos; tales como lo serían los gasto</w:t>
      </w:r>
      <w:r w:rsidRPr="00C039F9">
        <w:rPr>
          <w:rFonts w:ascii="Times New Roman" w:hAnsi="Times New Roman" w:cs="Times New Roman"/>
          <w:sz w:val="28"/>
          <w:szCs w:val="28"/>
        </w:rPr>
        <w:t>s referidos «al talento “humano”, a los “materiales” y los “suministros”, al “almacenamiento y custodia de documentos en físico y digital”, así como a los “equipos, técnicas y tecnologías disponibles para la operación”».</w:t>
      </w:r>
    </w:p>
    <w:p w:rsidR="00DE30D7" w:rsidRPr="00C039F9" w:rsidRDefault="00C039F9" w:rsidP="00DE30D7">
      <w:pPr>
        <w:pStyle w:val="Prrafodelista"/>
        <w:rPr>
          <w:rFonts w:ascii="Times New Roman" w:hAnsi="Times New Roman" w:cs="Times New Roman"/>
          <w:sz w:val="28"/>
          <w:szCs w:val="28"/>
        </w:rPr>
      </w:pPr>
    </w:p>
    <w:p w:rsidR="00D6280D" w:rsidRPr="00C039F9" w:rsidRDefault="00C039F9" w:rsidP="00DE30D7">
      <w:pPr>
        <w:pStyle w:val="Prrafodelista"/>
        <w:numPr>
          <w:ilvl w:val="0"/>
          <w:numId w:val="2"/>
        </w:numPr>
        <w:ind w:left="0" w:hanging="11"/>
        <w:rPr>
          <w:rFonts w:ascii="Times New Roman" w:hAnsi="Times New Roman" w:cs="Times New Roman"/>
          <w:sz w:val="28"/>
          <w:szCs w:val="28"/>
        </w:rPr>
      </w:pPr>
      <w:r w:rsidRPr="00C039F9">
        <w:rPr>
          <w:rFonts w:ascii="Times New Roman" w:hAnsi="Times New Roman" w:cs="Times New Roman"/>
          <w:sz w:val="28"/>
          <w:szCs w:val="28"/>
        </w:rPr>
        <w:t xml:space="preserve">Con fundamento en lo expuesto, el </w:t>
      </w:r>
      <w:r w:rsidRPr="00C039F9">
        <w:rPr>
          <w:rFonts w:ascii="Times New Roman" w:hAnsi="Times New Roman" w:cs="Times New Roman"/>
          <w:sz w:val="28"/>
          <w:szCs w:val="28"/>
        </w:rPr>
        <w:t>Ministerio Público dijo compartir la solicitud de exequibilidad de los distintos intervinientes luego de reiterar que «el Congreso de la República no delegó en la administración la definición de la base gravable de la tasa, en tanto indicó expresamente que</w:t>
      </w:r>
      <w:r w:rsidRPr="00C039F9">
        <w:rPr>
          <w:rFonts w:ascii="Times New Roman" w:hAnsi="Times New Roman" w:cs="Times New Roman"/>
          <w:sz w:val="28"/>
          <w:szCs w:val="28"/>
        </w:rPr>
        <w:t xml:space="preserve"> la misma será el costo del servicio, pero sí facultó a  esta última para fijar la metodología de concreción del precio correspondiente con base en unos criterios señalados en la ley»; facultad que resultaría válida «en tanto el legislador puede apoyarse e</w:t>
      </w:r>
      <w:r w:rsidRPr="00C039F9">
        <w:rPr>
          <w:rFonts w:ascii="Times New Roman" w:hAnsi="Times New Roman" w:cs="Times New Roman"/>
          <w:sz w:val="28"/>
          <w:szCs w:val="28"/>
        </w:rPr>
        <w:t>n la administración para regular aspectos puntuales de los tributos que dependen de variables propias de la economía de mercado».</w:t>
      </w:r>
    </w:p>
    <w:p w:rsidR="00D6280D" w:rsidRPr="00C039F9" w:rsidRDefault="00C039F9" w:rsidP="00D6280D">
      <w:pPr>
        <w:tabs>
          <w:tab w:val="left" w:pos="284"/>
        </w:tabs>
        <w:rPr>
          <w:rFonts w:ascii="Times New Roman" w:hAnsi="Times New Roman" w:cs="Times New Roman"/>
          <w:sz w:val="28"/>
          <w:szCs w:val="28"/>
        </w:rPr>
      </w:pPr>
    </w:p>
    <w:p w:rsidR="00D6280D" w:rsidRPr="00C039F9" w:rsidRDefault="00C039F9" w:rsidP="00D6280D">
      <w:pPr>
        <w:pStyle w:val="Prrafodelista"/>
        <w:numPr>
          <w:ilvl w:val="0"/>
          <w:numId w:val="1"/>
        </w:numPr>
        <w:ind w:left="0" w:hanging="11"/>
        <w:rPr>
          <w:rFonts w:ascii="Times New Roman" w:hAnsi="Times New Roman" w:cs="Times New Roman"/>
          <w:b/>
          <w:smallCaps/>
          <w:sz w:val="28"/>
          <w:szCs w:val="28"/>
        </w:rPr>
      </w:pPr>
      <w:r w:rsidRPr="00C039F9">
        <w:rPr>
          <w:rFonts w:ascii="Times New Roman" w:hAnsi="Times New Roman" w:cs="Times New Roman"/>
          <w:b/>
          <w:smallCaps/>
          <w:sz w:val="28"/>
          <w:szCs w:val="28"/>
        </w:rPr>
        <w:t>CONSIDERACIONES PREVIAS</w:t>
      </w:r>
    </w:p>
    <w:p w:rsidR="00D6280D" w:rsidRPr="00C039F9" w:rsidRDefault="00C039F9" w:rsidP="00D6280D">
      <w:pPr>
        <w:tabs>
          <w:tab w:val="left" w:pos="284"/>
        </w:tabs>
        <w:ind w:right="51"/>
        <w:contextualSpacing/>
        <w:rPr>
          <w:rFonts w:ascii="Times New Roman" w:hAnsi="Times New Roman" w:cs="Times New Roman"/>
          <w:sz w:val="28"/>
          <w:szCs w:val="28"/>
        </w:rPr>
      </w:pPr>
    </w:p>
    <w:p w:rsidR="00D6280D" w:rsidRPr="00C039F9" w:rsidRDefault="00C039F9" w:rsidP="00D6280D">
      <w:pPr>
        <w:widowControl w:val="0"/>
        <w:tabs>
          <w:tab w:val="left" w:pos="284"/>
        </w:tabs>
        <w:suppressAutoHyphens/>
        <w:contextualSpacing/>
        <w:rPr>
          <w:rFonts w:ascii="Times New Roman" w:eastAsia="SimSun" w:hAnsi="Times New Roman" w:cs="Times New Roman"/>
          <w:b/>
          <w:kern w:val="2"/>
          <w:sz w:val="28"/>
          <w:szCs w:val="28"/>
          <w:lang w:eastAsia="hi-IN" w:bidi="hi-IN"/>
        </w:rPr>
      </w:pPr>
      <w:r w:rsidRPr="00C039F9">
        <w:rPr>
          <w:rFonts w:ascii="Times New Roman" w:eastAsia="SimSun" w:hAnsi="Times New Roman" w:cs="Times New Roman"/>
          <w:b/>
          <w:kern w:val="2"/>
          <w:sz w:val="28"/>
          <w:szCs w:val="28"/>
          <w:lang w:eastAsia="hi-IN" w:bidi="hi-IN"/>
        </w:rPr>
        <w:t>Competencia</w:t>
      </w:r>
    </w:p>
    <w:p w:rsidR="00D6280D" w:rsidRPr="00C039F9" w:rsidRDefault="00C039F9" w:rsidP="00D6280D">
      <w:pPr>
        <w:widowControl w:val="0"/>
        <w:tabs>
          <w:tab w:val="left" w:pos="284"/>
        </w:tabs>
        <w:suppressAutoHyphens/>
        <w:contextualSpacing/>
        <w:rPr>
          <w:rFonts w:ascii="Times New Roman" w:eastAsia="SimSun" w:hAnsi="Times New Roman" w:cs="Times New Roman"/>
          <w:kern w:val="2"/>
          <w:sz w:val="28"/>
          <w:szCs w:val="28"/>
          <w:lang w:eastAsia="hi-IN" w:bidi="hi-IN"/>
        </w:rPr>
      </w:pPr>
    </w:p>
    <w:p w:rsidR="00D6280D" w:rsidRPr="00C039F9" w:rsidRDefault="00C039F9" w:rsidP="00D6280D">
      <w:pPr>
        <w:pStyle w:val="Prrafodelista"/>
        <w:widowControl w:val="0"/>
        <w:numPr>
          <w:ilvl w:val="0"/>
          <w:numId w:val="2"/>
        </w:numPr>
        <w:suppressAutoHyphens/>
        <w:ind w:left="0" w:hanging="11"/>
        <w:rPr>
          <w:rFonts w:ascii="Times New Roman" w:hAnsi="Times New Roman" w:cs="Times New Roman"/>
          <w:sz w:val="28"/>
          <w:szCs w:val="28"/>
        </w:rPr>
      </w:pPr>
      <w:r w:rsidRPr="00C039F9">
        <w:rPr>
          <w:rFonts w:ascii="Times New Roman" w:hAnsi="Times New Roman" w:cs="Times New Roman"/>
          <w:sz w:val="28"/>
          <w:szCs w:val="28"/>
        </w:rPr>
        <w:t xml:space="preserve">De conformidad con lo dispuesto en el numeral 4º del artículo 241 de la Constitución </w:t>
      </w:r>
      <w:r w:rsidRPr="00C039F9">
        <w:rPr>
          <w:rFonts w:ascii="Times New Roman" w:hAnsi="Times New Roman" w:cs="Times New Roman"/>
          <w:sz w:val="28"/>
          <w:szCs w:val="28"/>
        </w:rPr>
        <w:t>Política, la Corte Constitucional es competente para pronunciarse sobre la demanda de inconstitucionalidad de la referencia.</w:t>
      </w:r>
    </w:p>
    <w:p w:rsidR="00D6280D" w:rsidRPr="00C039F9" w:rsidRDefault="00C039F9" w:rsidP="00D6280D">
      <w:pPr>
        <w:widowControl w:val="0"/>
        <w:suppressAutoHyphens/>
        <w:contextualSpacing/>
        <w:rPr>
          <w:rFonts w:ascii="Times New Roman" w:hAnsi="Times New Roman" w:cs="Times New Roman"/>
          <w:b/>
          <w:bCs/>
          <w:sz w:val="28"/>
          <w:szCs w:val="28"/>
        </w:rPr>
      </w:pPr>
    </w:p>
    <w:p w:rsidR="00D6280D" w:rsidRPr="00C039F9" w:rsidRDefault="00C039F9" w:rsidP="00D6280D">
      <w:pPr>
        <w:widowControl w:val="0"/>
        <w:suppressAutoHyphens/>
        <w:contextualSpacing/>
        <w:rPr>
          <w:rFonts w:ascii="Times New Roman" w:hAnsi="Times New Roman" w:cs="Times New Roman"/>
          <w:b/>
          <w:bCs/>
          <w:sz w:val="28"/>
          <w:szCs w:val="28"/>
        </w:rPr>
      </w:pPr>
      <w:r w:rsidRPr="00C039F9">
        <w:rPr>
          <w:rFonts w:ascii="Times New Roman" w:hAnsi="Times New Roman" w:cs="Times New Roman"/>
          <w:b/>
          <w:bCs/>
          <w:sz w:val="28"/>
          <w:szCs w:val="28"/>
        </w:rPr>
        <w:t xml:space="preserve">Aptitud de la demanda </w:t>
      </w:r>
    </w:p>
    <w:p w:rsidR="00D6280D" w:rsidRPr="00C039F9" w:rsidRDefault="00C039F9" w:rsidP="00D6280D">
      <w:pPr>
        <w:widowControl w:val="0"/>
        <w:suppressAutoHyphens/>
        <w:contextualSpacing/>
        <w:rPr>
          <w:rFonts w:ascii="Times New Roman" w:hAnsi="Times New Roman" w:cs="Times New Roman"/>
          <w:sz w:val="28"/>
          <w:szCs w:val="28"/>
        </w:rPr>
      </w:pPr>
    </w:p>
    <w:p w:rsidR="00DE30D7" w:rsidRPr="00C039F9" w:rsidRDefault="00C039F9" w:rsidP="00DE30D7">
      <w:pPr>
        <w:pStyle w:val="Prrafodelista"/>
        <w:widowControl w:val="0"/>
        <w:numPr>
          <w:ilvl w:val="0"/>
          <w:numId w:val="2"/>
        </w:numPr>
        <w:suppressAutoHyphens/>
        <w:ind w:left="0" w:hanging="11"/>
        <w:rPr>
          <w:rFonts w:ascii="Times New Roman" w:hAnsi="Times New Roman" w:cs="Times New Roman"/>
          <w:sz w:val="28"/>
          <w:szCs w:val="28"/>
        </w:rPr>
      </w:pPr>
      <w:r w:rsidRPr="00C039F9">
        <w:rPr>
          <w:rFonts w:ascii="Times New Roman" w:hAnsi="Times New Roman" w:cs="Times New Roman"/>
          <w:sz w:val="28"/>
          <w:szCs w:val="28"/>
        </w:rPr>
        <w:t>En cuanto toca con la aptitud de la demanda, la Sala observa que, inicialmente, el despacho sustanciador l</w:t>
      </w:r>
      <w:r w:rsidRPr="00C039F9">
        <w:rPr>
          <w:rFonts w:ascii="Times New Roman" w:hAnsi="Times New Roman" w:cs="Times New Roman"/>
          <w:sz w:val="28"/>
          <w:szCs w:val="28"/>
        </w:rPr>
        <w:t xml:space="preserve">a inadmitió y le otorgó al actor el término de ley para su corrección. Esto por cuanto que, para el mencionado despacho, a diferencia de </w:t>
      </w:r>
      <w:r w:rsidRPr="00C039F9">
        <w:rPr>
          <w:rFonts w:ascii="Times New Roman" w:hAnsi="Times New Roman" w:cs="Times New Roman"/>
          <w:sz w:val="28"/>
          <w:szCs w:val="28"/>
          <w:lang w:val="es-ES_tradnl" w:eastAsia="es-MX"/>
        </w:rPr>
        <w:t>la argumentación encaminada a lograr la inexequibilidad del último inciso del texto principal del artículo</w:t>
      </w:r>
      <w:r w:rsidRPr="00C039F9">
        <w:rPr>
          <w:rFonts w:ascii="Times New Roman" w:hAnsi="Times New Roman" w:cs="Times New Roman"/>
          <w:sz w:val="28"/>
        </w:rPr>
        <w:t xml:space="preserve"> </w:t>
      </w:r>
      <w:r w:rsidRPr="00C039F9">
        <w:rPr>
          <w:rFonts w:ascii="Times New Roman" w:hAnsi="Times New Roman" w:cs="Times New Roman"/>
          <w:sz w:val="28"/>
          <w:szCs w:val="28"/>
        </w:rPr>
        <w:t>206 de la Le</w:t>
      </w:r>
      <w:r w:rsidRPr="00C039F9">
        <w:rPr>
          <w:rFonts w:ascii="Times New Roman" w:hAnsi="Times New Roman" w:cs="Times New Roman"/>
          <w:sz w:val="28"/>
          <w:szCs w:val="28"/>
        </w:rPr>
        <w:t>y 23 de 1982 como este quedó reformado por el artículo 169 de la Ley 2294 de 2023</w:t>
      </w:r>
      <w:r w:rsidRPr="00C039F9">
        <w:rPr>
          <w:rStyle w:val="Refdenotaalpie"/>
          <w:rFonts w:ascii="Times New Roman" w:hAnsi="Times New Roman" w:cs="Times New Roman"/>
          <w:sz w:val="28"/>
          <w:szCs w:val="28"/>
        </w:rPr>
        <w:footnoteReference w:id="7"/>
      </w:r>
      <w:r w:rsidRPr="00C039F9">
        <w:rPr>
          <w:rFonts w:ascii="Times New Roman" w:hAnsi="Times New Roman" w:cs="Times New Roman"/>
          <w:sz w:val="28"/>
          <w:szCs w:val="28"/>
        </w:rPr>
        <w:t xml:space="preserve">, la demanda no atacaba el resto de la disposición demandada. </w:t>
      </w:r>
    </w:p>
    <w:p w:rsidR="00DE30D7" w:rsidRPr="00C039F9" w:rsidRDefault="00C039F9" w:rsidP="00DE30D7">
      <w:pPr>
        <w:pStyle w:val="Prrafodelista"/>
        <w:widowControl w:val="0"/>
        <w:suppressAutoHyphens/>
        <w:ind w:left="0"/>
        <w:rPr>
          <w:rFonts w:ascii="Times New Roman" w:hAnsi="Times New Roman" w:cs="Times New Roman"/>
          <w:sz w:val="28"/>
          <w:szCs w:val="28"/>
        </w:rPr>
      </w:pPr>
    </w:p>
    <w:p w:rsidR="00DE30D7" w:rsidRPr="00C039F9" w:rsidRDefault="00C039F9" w:rsidP="00D6280D">
      <w:pPr>
        <w:pStyle w:val="Prrafodelista"/>
        <w:widowControl w:val="0"/>
        <w:numPr>
          <w:ilvl w:val="0"/>
          <w:numId w:val="2"/>
        </w:numPr>
        <w:suppressAutoHyphens/>
        <w:ind w:left="0" w:hanging="11"/>
        <w:rPr>
          <w:rFonts w:ascii="Times New Roman" w:hAnsi="Times New Roman" w:cs="Times New Roman"/>
          <w:sz w:val="28"/>
          <w:szCs w:val="28"/>
        </w:rPr>
      </w:pPr>
      <w:r w:rsidRPr="00C039F9">
        <w:rPr>
          <w:rFonts w:ascii="Times New Roman" w:hAnsi="Times New Roman" w:cs="Times New Roman"/>
          <w:sz w:val="28"/>
          <w:szCs w:val="28"/>
        </w:rPr>
        <w:t>No obstante, en su escrito de subsanación, el actor explicó suficientemente por qué debía aceptarse el cuestio</w:t>
      </w:r>
      <w:r w:rsidRPr="00C039F9">
        <w:rPr>
          <w:rFonts w:ascii="Times New Roman" w:hAnsi="Times New Roman" w:cs="Times New Roman"/>
          <w:sz w:val="28"/>
          <w:szCs w:val="28"/>
        </w:rPr>
        <w:t xml:space="preserve">namiento elevado contra la integridad del artículo atacado, dando lugar a la admisión de la demanda. En sustento de tal admisión, el despacho sustanciador sostuvo que, como lo comparte ahora la Sala, el cargo de la demanda: (i) es </w:t>
      </w:r>
      <w:r w:rsidRPr="00C039F9">
        <w:rPr>
          <w:rFonts w:ascii="Times New Roman" w:hAnsi="Times New Roman" w:cs="Times New Roman"/>
          <w:i/>
          <w:sz w:val="28"/>
          <w:szCs w:val="28"/>
        </w:rPr>
        <w:t>claro,</w:t>
      </w:r>
      <w:r w:rsidRPr="00C039F9">
        <w:rPr>
          <w:rFonts w:ascii="Times New Roman" w:hAnsi="Times New Roman" w:cs="Times New Roman"/>
          <w:sz w:val="28"/>
          <w:szCs w:val="28"/>
        </w:rPr>
        <w:t xml:space="preserve"> pues sigue un hilo</w:t>
      </w:r>
      <w:r w:rsidRPr="00C039F9">
        <w:rPr>
          <w:rFonts w:ascii="Times New Roman" w:hAnsi="Times New Roman" w:cs="Times New Roman"/>
          <w:sz w:val="28"/>
          <w:szCs w:val="28"/>
        </w:rPr>
        <w:t xml:space="preserve"> lógico que permite comprender su sentido; (ii) también es </w:t>
      </w:r>
      <w:r w:rsidRPr="00C039F9">
        <w:rPr>
          <w:rFonts w:ascii="Times New Roman" w:hAnsi="Times New Roman" w:cs="Times New Roman"/>
          <w:i/>
          <w:sz w:val="28"/>
          <w:szCs w:val="28"/>
        </w:rPr>
        <w:t>cierto,</w:t>
      </w:r>
      <w:r w:rsidRPr="00C039F9">
        <w:rPr>
          <w:rFonts w:ascii="Times New Roman" w:hAnsi="Times New Roman" w:cs="Times New Roman"/>
          <w:sz w:val="28"/>
          <w:szCs w:val="28"/>
        </w:rPr>
        <w:t xml:space="preserve"> toda vez que lo que se demanda es, precisamente, lo que se desprende de una parte de la norma: el que la base gravable de la tasa que se crea dependa de una metodología de cálculo estableci</w:t>
      </w:r>
      <w:r w:rsidRPr="00C039F9">
        <w:rPr>
          <w:rFonts w:ascii="Times New Roman" w:hAnsi="Times New Roman" w:cs="Times New Roman"/>
          <w:sz w:val="28"/>
          <w:szCs w:val="28"/>
        </w:rPr>
        <w:t xml:space="preserve">da por el Gobierno nacional y no directamente por el Legislador, como lo señala el último inciso de la parte principal de la norma demandada; (iii) es igualmente </w:t>
      </w:r>
      <w:r w:rsidRPr="00C039F9">
        <w:rPr>
          <w:rFonts w:ascii="Times New Roman" w:hAnsi="Times New Roman" w:cs="Times New Roman"/>
          <w:i/>
          <w:sz w:val="28"/>
          <w:szCs w:val="28"/>
        </w:rPr>
        <w:t>específico,</w:t>
      </w:r>
      <w:r w:rsidRPr="00C039F9">
        <w:rPr>
          <w:rFonts w:ascii="Times New Roman" w:hAnsi="Times New Roman" w:cs="Times New Roman"/>
          <w:sz w:val="28"/>
          <w:szCs w:val="28"/>
        </w:rPr>
        <w:t xml:space="preserve"> pues la argumentación desplegada por el actor se encamina a cuestionar el que la base gravable de la tasa que prevé la norma demandada haya sido delegada en el Gobierno nacional en violación de lo que prevé el artículo 338 superior; y (iv) es así mismo </w:t>
      </w:r>
      <w:r w:rsidRPr="00C039F9">
        <w:rPr>
          <w:rFonts w:ascii="Times New Roman" w:hAnsi="Times New Roman" w:cs="Times New Roman"/>
          <w:i/>
          <w:iCs/>
          <w:sz w:val="28"/>
          <w:szCs w:val="28"/>
        </w:rPr>
        <w:t>pe</w:t>
      </w:r>
      <w:r w:rsidRPr="00C039F9">
        <w:rPr>
          <w:rFonts w:ascii="Times New Roman" w:hAnsi="Times New Roman" w:cs="Times New Roman"/>
          <w:i/>
          <w:iCs/>
          <w:sz w:val="28"/>
          <w:szCs w:val="28"/>
        </w:rPr>
        <w:t>rtinente,</w:t>
      </w:r>
      <w:r w:rsidRPr="00C039F9">
        <w:rPr>
          <w:rFonts w:ascii="Times New Roman" w:hAnsi="Times New Roman" w:cs="Times New Roman"/>
          <w:sz w:val="28"/>
          <w:szCs w:val="28"/>
        </w:rPr>
        <w:t xml:space="preserve"> pues el fundamento de la demanda permite contrastar la norma legal con el texto del artículo 338 superior. </w:t>
      </w:r>
    </w:p>
    <w:p w:rsidR="00DE30D7" w:rsidRPr="00C039F9" w:rsidRDefault="00C039F9" w:rsidP="00DE30D7">
      <w:pPr>
        <w:pStyle w:val="Prrafodelista"/>
        <w:widowControl w:val="0"/>
        <w:suppressAutoHyphens/>
        <w:ind w:left="0"/>
        <w:rPr>
          <w:rFonts w:ascii="Times New Roman" w:hAnsi="Times New Roman" w:cs="Times New Roman"/>
          <w:sz w:val="28"/>
          <w:szCs w:val="28"/>
        </w:rPr>
      </w:pPr>
    </w:p>
    <w:p w:rsidR="00D6280D" w:rsidRPr="00C039F9" w:rsidRDefault="00C039F9" w:rsidP="00D6280D">
      <w:pPr>
        <w:pStyle w:val="Prrafodelista"/>
        <w:widowControl w:val="0"/>
        <w:numPr>
          <w:ilvl w:val="0"/>
          <w:numId w:val="2"/>
        </w:numPr>
        <w:suppressAutoHyphens/>
        <w:ind w:left="0" w:hanging="11"/>
        <w:rPr>
          <w:rFonts w:ascii="Times New Roman" w:hAnsi="Times New Roman" w:cs="Times New Roman"/>
          <w:sz w:val="28"/>
          <w:szCs w:val="28"/>
        </w:rPr>
      </w:pPr>
      <w:r w:rsidRPr="00C039F9">
        <w:rPr>
          <w:rFonts w:ascii="Times New Roman" w:hAnsi="Times New Roman" w:cs="Times New Roman"/>
          <w:sz w:val="28"/>
          <w:szCs w:val="28"/>
        </w:rPr>
        <w:t>Por las razones anteriores, dada la simplicidad del problema jurídico que el actor plantea y que se expone a continuación, la Sala encuen</w:t>
      </w:r>
      <w:r w:rsidRPr="00C039F9">
        <w:rPr>
          <w:rFonts w:ascii="Times New Roman" w:hAnsi="Times New Roman" w:cs="Times New Roman"/>
          <w:sz w:val="28"/>
          <w:szCs w:val="28"/>
        </w:rPr>
        <w:t xml:space="preserve">tra que la demanda también cumple con el requisito de suficiencia. </w:t>
      </w:r>
    </w:p>
    <w:p w:rsidR="00D6280D" w:rsidRPr="00C039F9" w:rsidRDefault="00C039F9" w:rsidP="00D6280D">
      <w:pPr>
        <w:rPr>
          <w:rFonts w:ascii="Times New Roman" w:hAnsi="Times New Roman" w:cs="Times New Roman"/>
          <w:sz w:val="28"/>
          <w:szCs w:val="28"/>
        </w:rPr>
      </w:pPr>
    </w:p>
    <w:p w:rsidR="00D6280D" w:rsidRPr="00C039F9" w:rsidRDefault="00C039F9" w:rsidP="00D6280D">
      <w:pPr>
        <w:widowControl w:val="0"/>
        <w:tabs>
          <w:tab w:val="left" w:pos="284"/>
        </w:tabs>
        <w:suppressAutoHyphens/>
        <w:contextualSpacing/>
        <w:rPr>
          <w:rFonts w:ascii="Times New Roman" w:eastAsia="SimSun" w:hAnsi="Times New Roman" w:cs="Times New Roman"/>
          <w:b/>
          <w:kern w:val="2"/>
          <w:sz w:val="28"/>
          <w:szCs w:val="28"/>
          <w:lang w:eastAsia="hi-IN" w:bidi="hi-IN"/>
        </w:rPr>
      </w:pPr>
      <w:r w:rsidRPr="00C039F9">
        <w:rPr>
          <w:rFonts w:ascii="Times New Roman" w:eastAsia="SimSun" w:hAnsi="Times New Roman" w:cs="Times New Roman"/>
          <w:b/>
          <w:kern w:val="2"/>
          <w:sz w:val="28"/>
          <w:szCs w:val="28"/>
          <w:lang w:eastAsia="hi-IN" w:bidi="hi-IN"/>
        </w:rPr>
        <w:t xml:space="preserve">Problema jurídico </w:t>
      </w:r>
    </w:p>
    <w:p w:rsidR="00D6280D" w:rsidRPr="00C039F9" w:rsidRDefault="00C039F9" w:rsidP="00D6280D">
      <w:pPr>
        <w:widowControl w:val="0"/>
        <w:tabs>
          <w:tab w:val="left" w:pos="284"/>
        </w:tabs>
        <w:suppressAutoHyphens/>
        <w:contextualSpacing/>
        <w:rPr>
          <w:rFonts w:ascii="Times New Roman" w:eastAsia="SimSun" w:hAnsi="Times New Roman" w:cs="Times New Roman"/>
          <w:kern w:val="2"/>
          <w:sz w:val="28"/>
          <w:szCs w:val="28"/>
          <w:lang w:eastAsia="hi-IN" w:bidi="hi-IN"/>
        </w:rPr>
      </w:pPr>
    </w:p>
    <w:p w:rsidR="00D6280D" w:rsidRPr="00C039F9" w:rsidRDefault="00C039F9" w:rsidP="00DE30D7">
      <w:pPr>
        <w:pStyle w:val="Prrafodelista"/>
        <w:widowControl w:val="0"/>
        <w:numPr>
          <w:ilvl w:val="0"/>
          <w:numId w:val="2"/>
        </w:numPr>
        <w:suppressAutoHyphens/>
        <w:ind w:left="0" w:hanging="11"/>
        <w:rPr>
          <w:rFonts w:ascii="Times New Roman" w:hAnsi="Times New Roman" w:cs="Times New Roman"/>
          <w:sz w:val="28"/>
          <w:szCs w:val="28"/>
        </w:rPr>
      </w:pPr>
      <w:r w:rsidRPr="00C039F9">
        <w:rPr>
          <w:rFonts w:ascii="Times New Roman" w:hAnsi="Times New Roman" w:cs="Times New Roman"/>
          <w:sz w:val="28"/>
          <w:szCs w:val="28"/>
        </w:rPr>
        <w:t>Visto lo anterior, la Sala constata que el problema jurídico a resolver consiste en determinar si cuando la norma demandada estipuló que la base gravable de la tasa qu</w:t>
      </w:r>
      <w:r w:rsidRPr="00C039F9">
        <w:rPr>
          <w:rFonts w:ascii="Times New Roman" w:hAnsi="Times New Roman" w:cs="Times New Roman"/>
          <w:sz w:val="28"/>
          <w:szCs w:val="28"/>
        </w:rPr>
        <w:t>e creó el artículo 169 de la Ley 2294 de 2023 sería el costo de los servicios correspondientes a cada uno de los hechos generadores de dicha tasa, de conformidad con la metodología de cálculo que establezca el Gobierno nacional, el Legislativo habría trans</w:t>
      </w:r>
      <w:r w:rsidRPr="00C039F9">
        <w:rPr>
          <w:rFonts w:ascii="Times New Roman" w:hAnsi="Times New Roman" w:cs="Times New Roman"/>
          <w:sz w:val="28"/>
          <w:szCs w:val="28"/>
        </w:rPr>
        <w:t xml:space="preserve">gredido el artículo 338 de la Constitución. </w:t>
      </w:r>
    </w:p>
    <w:p w:rsidR="00D6280D" w:rsidRPr="00C039F9" w:rsidRDefault="00C039F9" w:rsidP="00D6280D">
      <w:pPr>
        <w:pStyle w:val="NormalWeb"/>
        <w:spacing w:before="0" w:beforeAutospacing="0" w:after="0" w:afterAutospacing="0"/>
        <w:ind w:right="-1"/>
        <w:contextualSpacing/>
        <w:jc w:val="both"/>
        <w:rPr>
          <w:rFonts w:ascii="Times New Roman" w:hAnsi="Times New Roman" w:cs="Times New Roman"/>
          <w:sz w:val="28"/>
          <w:szCs w:val="28"/>
        </w:rPr>
      </w:pPr>
    </w:p>
    <w:p w:rsidR="00D6280D" w:rsidRPr="00C039F9" w:rsidRDefault="00C039F9" w:rsidP="00D6280D">
      <w:pPr>
        <w:tabs>
          <w:tab w:val="left" w:pos="284"/>
        </w:tabs>
        <w:ind w:right="51"/>
        <w:contextualSpacing/>
        <w:rPr>
          <w:rFonts w:ascii="Times New Roman" w:hAnsi="Times New Roman" w:cs="Times New Roman"/>
          <w:b/>
          <w:bCs/>
          <w:sz w:val="28"/>
          <w:szCs w:val="28"/>
        </w:rPr>
      </w:pPr>
      <w:r w:rsidRPr="00C039F9">
        <w:rPr>
          <w:rFonts w:ascii="Times New Roman" w:hAnsi="Times New Roman" w:cs="Times New Roman"/>
          <w:b/>
          <w:bCs/>
          <w:sz w:val="28"/>
          <w:szCs w:val="28"/>
        </w:rPr>
        <w:t>Plan de la sentencia</w:t>
      </w:r>
    </w:p>
    <w:p w:rsidR="00D6280D" w:rsidRPr="00C039F9" w:rsidRDefault="00C039F9" w:rsidP="00D6280D">
      <w:pPr>
        <w:tabs>
          <w:tab w:val="left" w:pos="284"/>
        </w:tabs>
        <w:ind w:right="51"/>
        <w:contextualSpacing/>
        <w:rPr>
          <w:rFonts w:ascii="Times New Roman" w:hAnsi="Times New Roman" w:cs="Times New Roman"/>
          <w:b/>
          <w:bCs/>
          <w:sz w:val="28"/>
          <w:szCs w:val="28"/>
        </w:rPr>
      </w:pPr>
    </w:p>
    <w:p w:rsidR="00D6280D" w:rsidRPr="00C039F9" w:rsidRDefault="00C039F9" w:rsidP="00DE30D7">
      <w:pPr>
        <w:pStyle w:val="Prrafodelista"/>
        <w:widowControl w:val="0"/>
        <w:numPr>
          <w:ilvl w:val="0"/>
          <w:numId w:val="2"/>
        </w:numPr>
        <w:suppressAutoHyphens/>
        <w:ind w:left="0" w:hanging="11"/>
        <w:rPr>
          <w:rFonts w:ascii="Times New Roman" w:hAnsi="Times New Roman" w:cs="Times New Roman"/>
          <w:sz w:val="28"/>
          <w:szCs w:val="28"/>
        </w:rPr>
      </w:pPr>
      <w:bookmarkStart w:id="10" w:name="_Hlk145932583"/>
      <w:r w:rsidRPr="00C039F9">
        <w:rPr>
          <w:rFonts w:ascii="Times New Roman" w:hAnsi="Times New Roman" w:cs="Times New Roman"/>
          <w:sz w:val="28"/>
          <w:szCs w:val="28"/>
        </w:rPr>
        <w:t xml:space="preserve">Para resolver el problema jurídico, la Sala primero se referirá </w:t>
      </w:r>
      <w:r w:rsidRPr="00C039F9">
        <w:rPr>
          <w:rFonts w:ascii="Times New Roman" w:hAnsi="Times New Roman" w:cs="Times New Roman"/>
          <w:sz w:val="28"/>
          <w:szCs w:val="28"/>
        </w:rPr>
        <w:t>brevemente</w:t>
      </w:r>
      <w:r w:rsidRPr="00C039F9">
        <w:rPr>
          <w:rFonts w:ascii="Times New Roman" w:hAnsi="Times New Roman" w:cs="Times New Roman"/>
          <w:sz w:val="28"/>
          <w:szCs w:val="28"/>
        </w:rPr>
        <w:t xml:space="preserve"> a las distintas clases de tributos que prevé el ordenamiento superior (i). Después, se reseñarán someramente los distintos elementos esenciales de las obligaciones tributarias (ii). Luego, la Sala se detendrá a explicar cómo el artículo 338 superior deter</w:t>
      </w:r>
      <w:r w:rsidRPr="00C039F9">
        <w:rPr>
          <w:rFonts w:ascii="Times New Roman" w:hAnsi="Times New Roman" w:cs="Times New Roman"/>
          <w:sz w:val="28"/>
          <w:szCs w:val="28"/>
        </w:rPr>
        <w:t xml:space="preserve">mina cómo </w:t>
      </w:r>
      <w:r w:rsidRPr="00C039F9">
        <w:rPr>
          <w:rFonts w:ascii="Times New Roman" w:hAnsi="Times New Roman" w:cs="Times New Roman"/>
          <w:sz w:val="28"/>
          <w:szCs w:val="28"/>
        </w:rPr>
        <w:t xml:space="preserve">debe </w:t>
      </w:r>
      <w:r w:rsidRPr="00C039F9">
        <w:rPr>
          <w:rFonts w:ascii="Times New Roman" w:hAnsi="Times New Roman" w:cs="Times New Roman"/>
          <w:sz w:val="28"/>
          <w:szCs w:val="28"/>
        </w:rPr>
        <w:t>el legislador fijar los distintos elementos esenciales de las normas tributarias (iii). Posteriormente se abordará el examen de la norma demandada y se le dará solución al problema jurídico (iv). Finalmente, se hará una síntesis de la senten</w:t>
      </w:r>
      <w:r w:rsidRPr="00C039F9">
        <w:rPr>
          <w:rFonts w:ascii="Times New Roman" w:hAnsi="Times New Roman" w:cs="Times New Roman"/>
          <w:sz w:val="28"/>
          <w:szCs w:val="28"/>
        </w:rPr>
        <w:t>cia (v).</w:t>
      </w:r>
    </w:p>
    <w:bookmarkEnd w:id="10"/>
    <w:p w:rsidR="00D6280D" w:rsidRPr="00C039F9" w:rsidRDefault="00C039F9" w:rsidP="00D6280D">
      <w:pPr>
        <w:pStyle w:val="Prrafodelista"/>
        <w:tabs>
          <w:tab w:val="left" w:pos="284"/>
        </w:tabs>
        <w:overflowPunct w:val="0"/>
        <w:autoSpaceDE w:val="0"/>
        <w:autoSpaceDN w:val="0"/>
        <w:adjustRightInd w:val="0"/>
        <w:ind w:left="284" w:hanging="284"/>
        <w:textAlignment w:val="baseline"/>
        <w:rPr>
          <w:rFonts w:ascii="Times New Roman" w:hAnsi="Times New Roman" w:cs="Times New Roman"/>
          <w:b/>
          <w:bCs/>
          <w:i/>
          <w:iCs/>
          <w:sz w:val="28"/>
          <w:szCs w:val="28"/>
          <w:lang w:eastAsia="es-MX"/>
        </w:rPr>
      </w:pPr>
    </w:p>
    <w:p w:rsidR="00D6280D" w:rsidRPr="00C039F9" w:rsidRDefault="00C039F9" w:rsidP="00D6280D">
      <w:pPr>
        <w:pStyle w:val="Prrafodelista"/>
        <w:numPr>
          <w:ilvl w:val="0"/>
          <w:numId w:val="1"/>
        </w:numPr>
        <w:ind w:left="709" w:right="51"/>
        <w:rPr>
          <w:rFonts w:ascii="Times New Roman" w:hAnsi="Times New Roman" w:cs="Times New Roman"/>
          <w:b/>
          <w:bCs/>
          <w:sz w:val="28"/>
          <w:szCs w:val="28"/>
        </w:rPr>
      </w:pPr>
      <w:r w:rsidRPr="00C039F9">
        <w:rPr>
          <w:rFonts w:ascii="Times New Roman" w:hAnsi="Times New Roman" w:cs="Times New Roman"/>
          <w:b/>
          <w:bCs/>
          <w:sz w:val="28"/>
          <w:szCs w:val="28"/>
        </w:rPr>
        <w:t>FUNDAMENTOS JURÍDICOS DE LA SENTENCIA</w:t>
      </w:r>
      <w:r w:rsidRPr="00C039F9">
        <w:rPr>
          <w:rFonts w:ascii="Times New Roman" w:hAnsi="Times New Roman" w:cs="Times New Roman"/>
          <w:b/>
          <w:bCs/>
          <w:sz w:val="28"/>
          <w:szCs w:val="28"/>
        </w:rPr>
        <w:tab/>
      </w:r>
    </w:p>
    <w:p w:rsidR="00D6280D" w:rsidRPr="00C039F9" w:rsidRDefault="00C039F9" w:rsidP="00D6280D">
      <w:pPr>
        <w:ind w:right="51"/>
        <w:contextualSpacing/>
        <w:rPr>
          <w:rFonts w:ascii="Times New Roman" w:hAnsi="Times New Roman" w:cs="Times New Roman"/>
          <w:b/>
          <w:bCs/>
          <w:smallCaps/>
          <w:sz w:val="28"/>
          <w:szCs w:val="28"/>
        </w:rPr>
      </w:pPr>
    </w:p>
    <w:p w:rsidR="00D6280D" w:rsidRPr="00C039F9" w:rsidRDefault="00C039F9" w:rsidP="00D6280D">
      <w:pPr>
        <w:ind w:right="51"/>
        <w:contextualSpacing/>
        <w:rPr>
          <w:rFonts w:ascii="Times New Roman" w:hAnsi="Times New Roman" w:cs="Times New Roman"/>
          <w:b/>
          <w:bCs/>
          <w:sz w:val="28"/>
          <w:szCs w:val="28"/>
        </w:rPr>
      </w:pPr>
      <w:r w:rsidRPr="00C039F9">
        <w:rPr>
          <w:rFonts w:ascii="Times New Roman" w:hAnsi="Times New Roman" w:cs="Times New Roman"/>
          <w:b/>
          <w:bCs/>
          <w:sz w:val="28"/>
          <w:szCs w:val="28"/>
        </w:rPr>
        <w:t>VI.I</w:t>
      </w:r>
      <w:r w:rsidRPr="00C039F9">
        <w:rPr>
          <w:rFonts w:ascii="Times New Roman" w:hAnsi="Times New Roman" w:cs="Times New Roman"/>
          <w:b/>
          <w:bCs/>
          <w:sz w:val="28"/>
          <w:szCs w:val="28"/>
        </w:rPr>
        <w:tab/>
        <w:t>Los tributos en la Constitución de 1991. Reiteración de jurisprudencia</w:t>
      </w:r>
    </w:p>
    <w:p w:rsidR="00D6280D" w:rsidRPr="00C039F9" w:rsidRDefault="00C039F9" w:rsidP="00D6280D">
      <w:pPr>
        <w:ind w:right="51"/>
        <w:contextualSpacing/>
        <w:rPr>
          <w:rFonts w:ascii="Times New Roman" w:hAnsi="Times New Roman" w:cs="Times New Roman"/>
          <w:b/>
          <w:bCs/>
          <w:sz w:val="28"/>
          <w:szCs w:val="28"/>
        </w:rPr>
      </w:pPr>
    </w:p>
    <w:p w:rsidR="00DE30D7" w:rsidRPr="00C039F9" w:rsidRDefault="00C039F9" w:rsidP="00DE30D7">
      <w:pPr>
        <w:pStyle w:val="Prrafodelista"/>
        <w:widowControl w:val="0"/>
        <w:numPr>
          <w:ilvl w:val="0"/>
          <w:numId w:val="2"/>
        </w:numPr>
        <w:suppressAutoHyphens/>
        <w:ind w:left="0" w:hanging="11"/>
        <w:rPr>
          <w:rFonts w:ascii="Times New Roman" w:hAnsi="Times New Roman" w:cs="Times New Roman"/>
          <w:sz w:val="28"/>
          <w:szCs w:val="28"/>
        </w:rPr>
      </w:pPr>
      <w:r w:rsidRPr="00C039F9">
        <w:rPr>
          <w:rFonts w:ascii="Times New Roman" w:hAnsi="Times New Roman" w:cs="Times New Roman"/>
          <w:sz w:val="28"/>
          <w:szCs w:val="28"/>
        </w:rPr>
        <w:t xml:space="preserve">De los artículos 150 (numeral 12) y 338 de la Constitución se desprende que, dentro de la potestad impositiva del Estado, se </w:t>
      </w:r>
      <w:r w:rsidRPr="00C039F9">
        <w:rPr>
          <w:rFonts w:ascii="Times New Roman" w:hAnsi="Times New Roman" w:cs="Times New Roman"/>
          <w:sz w:val="28"/>
          <w:szCs w:val="28"/>
        </w:rPr>
        <w:t>encuentra la facultad de establecer cuatro modalidades tributarias</w:t>
      </w:r>
      <w:r w:rsidRPr="00C039F9">
        <w:rPr>
          <w:rStyle w:val="Refdenotaalpie"/>
          <w:rFonts w:ascii="Times New Roman" w:hAnsi="Times New Roman" w:cs="Times New Roman"/>
          <w:sz w:val="28"/>
          <w:szCs w:val="28"/>
        </w:rPr>
        <w:footnoteReference w:id="8"/>
      </w:r>
      <w:r w:rsidRPr="00C039F9">
        <w:rPr>
          <w:rFonts w:ascii="Times New Roman" w:hAnsi="Times New Roman" w:cs="Times New Roman"/>
          <w:sz w:val="28"/>
          <w:szCs w:val="28"/>
        </w:rPr>
        <w:t>; estas son: (i) los impuestos, (ii) las contribuciones parafiscales, (iii) las tasas y (iv) las contribuciones especiales.</w:t>
      </w:r>
      <w:r w:rsidRPr="00C039F9">
        <w:rPr>
          <w:rStyle w:val="Refdenotaalpie"/>
          <w:rFonts w:ascii="Times New Roman" w:hAnsi="Times New Roman" w:cs="Times New Roman"/>
          <w:sz w:val="28"/>
          <w:szCs w:val="28"/>
        </w:rPr>
        <w:footnoteReference w:id="9"/>
      </w:r>
      <w:r w:rsidRPr="00C039F9">
        <w:rPr>
          <w:rFonts w:ascii="Times New Roman" w:hAnsi="Times New Roman" w:cs="Times New Roman"/>
          <w:sz w:val="28"/>
          <w:szCs w:val="28"/>
        </w:rPr>
        <w:t xml:space="preserve"> </w:t>
      </w:r>
    </w:p>
    <w:p w:rsidR="00DE30D7" w:rsidRPr="00C039F9" w:rsidRDefault="00C039F9" w:rsidP="00DE30D7">
      <w:pPr>
        <w:pStyle w:val="Prrafodelista"/>
        <w:widowControl w:val="0"/>
        <w:suppressAutoHyphens/>
        <w:ind w:left="0"/>
        <w:rPr>
          <w:rFonts w:ascii="Times New Roman" w:hAnsi="Times New Roman" w:cs="Times New Roman"/>
          <w:sz w:val="28"/>
          <w:szCs w:val="28"/>
        </w:rPr>
      </w:pPr>
    </w:p>
    <w:p w:rsidR="00D6280D" w:rsidRPr="00C039F9" w:rsidRDefault="00C039F9" w:rsidP="00DE30D7">
      <w:pPr>
        <w:pStyle w:val="Prrafodelista"/>
        <w:widowControl w:val="0"/>
        <w:numPr>
          <w:ilvl w:val="0"/>
          <w:numId w:val="2"/>
        </w:numPr>
        <w:suppressAutoHyphens/>
        <w:ind w:left="0" w:hanging="11"/>
        <w:rPr>
          <w:rFonts w:ascii="Times New Roman" w:hAnsi="Times New Roman" w:cs="Times New Roman"/>
          <w:sz w:val="28"/>
          <w:szCs w:val="28"/>
        </w:rPr>
      </w:pPr>
      <w:r w:rsidRPr="00C039F9">
        <w:rPr>
          <w:rFonts w:ascii="Times New Roman" w:hAnsi="Times New Roman" w:cs="Times New Roman"/>
          <w:sz w:val="28"/>
          <w:szCs w:val="28"/>
        </w:rPr>
        <w:t>La jurisprudencia se ha ocupado de las particularidades propia</w:t>
      </w:r>
      <w:r w:rsidRPr="00C039F9">
        <w:rPr>
          <w:rFonts w:ascii="Times New Roman" w:hAnsi="Times New Roman" w:cs="Times New Roman"/>
          <w:sz w:val="28"/>
          <w:szCs w:val="28"/>
        </w:rPr>
        <w:t xml:space="preserve">s de cada una de tales modalidades fiscales. </w:t>
      </w:r>
    </w:p>
    <w:p w:rsidR="00D6280D" w:rsidRPr="00C039F9" w:rsidRDefault="00C039F9" w:rsidP="00D6280D">
      <w:pPr>
        <w:shd w:val="clear" w:color="auto" w:fill="FFFFFF"/>
        <w:ind w:right="51"/>
        <w:rPr>
          <w:rFonts w:ascii="Times New Roman" w:hAnsi="Times New Roman" w:cs="Times New Roman"/>
          <w:sz w:val="28"/>
          <w:szCs w:val="28"/>
        </w:rPr>
      </w:pPr>
    </w:p>
    <w:p w:rsidR="00DE30D7" w:rsidRPr="00C039F9" w:rsidRDefault="00C039F9" w:rsidP="00DE30D7">
      <w:pPr>
        <w:pStyle w:val="Prrafodelista"/>
        <w:widowControl w:val="0"/>
        <w:numPr>
          <w:ilvl w:val="0"/>
          <w:numId w:val="2"/>
        </w:numPr>
        <w:suppressAutoHyphens/>
        <w:ind w:left="0" w:hanging="11"/>
        <w:rPr>
          <w:rFonts w:ascii="Times New Roman" w:hAnsi="Times New Roman" w:cs="Times New Roman"/>
          <w:sz w:val="28"/>
          <w:szCs w:val="28"/>
          <w:bdr w:val="none" w:sz="0" w:space="0" w:color="auto" w:frame="1"/>
        </w:rPr>
      </w:pPr>
      <w:r w:rsidRPr="00C039F9">
        <w:rPr>
          <w:rFonts w:ascii="Times New Roman" w:hAnsi="Times New Roman" w:cs="Times New Roman"/>
          <w:sz w:val="28"/>
          <w:szCs w:val="28"/>
        </w:rPr>
        <w:t xml:space="preserve"> </w:t>
      </w:r>
      <w:r w:rsidRPr="00C039F9">
        <w:rPr>
          <w:rFonts w:ascii="Times New Roman" w:hAnsi="Times New Roman" w:cs="Times New Roman"/>
          <w:b/>
          <w:bCs/>
          <w:i/>
          <w:iCs/>
          <w:sz w:val="28"/>
          <w:szCs w:val="28"/>
        </w:rPr>
        <w:t>(i)</w:t>
      </w:r>
      <w:r w:rsidRPr="00C039F9">
        <w:rPr>
          <w:rFonts w:ascii="Times New Roman" w:hAnsi="Times New Roman" w:cs="Times New Roman"/>
          <w:sz w:val="28"/>
          <w:szCs w:val="28"/>
        </w:rPr>
        <w:tab/>
        <w:t xml:space="preserve">Así, por una parte, están </w:t>
      </w:r>
      <w:r w:rsidRPr="00C039F9">
        <w:rPr>
          <w:rFonts w:ascii="Times New Roman" w:hAnsi="Times New Roman" w:cs="Times New Roman"/>
          <w:sz w:val="28"/>
          <w:szCs w:val="28"/>
          <w:shd w:val="clear" w:color="auto" w:fill="FFFFFF"/>
        </w:rPr>
        <w:t>los</w:t>
      </w:r>
      <w:r w:rsidRPr="00C039F9">
        <w:rPr>
          <w:rFonts w:ascii="Times New Roman" w:hAnsi="Times New Roman" w:cs="Times New Roman"/>
          <w:b/>
          <w:bCs/>
          <w:sz w:val="28"/>
          <w:szCs w:val="28"/>
          <w:shd w:val="clear" w:color="auto" w:fill="FFFFFF"/>
        </w:rPr>
        <w:t> </w:t>
      </w:r>
      <w:r w:rsidRPr="00C039F9">
        <w:rPr>
          <w:rFonts w:ascii="Times New Roman" w:hAnsi="Times New Roman" w:cs="Times New Roman"/>
          <w:b/>
          <w:bCs/>
          <w:i/>
          <w:iCs/>
          <w:sz w:val="28"/>
          <w:szCs w:val="28"/>
          <w:shd w:val="clear" w:color="auto" w:fill="FFFFFF"/>
        </w:rPr>
        <w:t>impuestos</w:t>
      </w:r>
      <w:r w:rsidRPr="00C039F9">
        <w:rPr>
          <w:rFonts w:ascii="Times New Roman" w:hAnsi="Times New Roman" w:cs="Times New Roman"/>
          <w:sz w:val="28"/>
          <w:szCs w:val="28"/>
          <w:shd w:val="clear" w:color="auto" w:fill="FFFFFF"/>
        </w:rPr>
        <w:t>. Estos son tributos</w:t>
      </w:r>
      <w:r w:rsidRPr="00C039F9">
        <w:rPr>
          <w:rFonts w:ascii="Times New Roman" w:hAnsi="Times New Roman" w:cs="Times New Roman"/>
          <w:b/>
          <w:bCs/>
          <w:sz w:val="28"/>
          <w:szCs w:val="28"/>
          <w:shd w:val="clear" w:color="auto" w:fill="FFFFFF"/>
        </w:rPr>
        <w:t xml:space="preserve"> </w:t>
      </w:r>
      <w:r w:rsidRPr="00C039F9">
        <w:rPr>
          <w:rFonts w:ascii="Times New Roman" w:hAnsi="Times New Roman" w:cs="Times New Roman"/>
          <w:sz w:val="28"/>
          <w:szCs w:val="28"/>
          <w:shd w:val="clear" w:color="auto" w:fill="FFFFFF"/>
        </w:rPr>
        <w:t>obligatorios</w:t>
      </w:r>
      <w:r w:rsidRPr="00C039F9">
        <w:rPr>
          <w:rFonts w:ascii="Times New Roman" w:hAnsi="Times New Roman" w:cs="Times New Roman"/>
          <w:b/>
          <w:bCs/>
          <w:sz w:val="28"/>
          <w:szCs w:val="28"/>
          <w:shd w:val="clear" w:color="auto" w:fill="FFFFFF"/>
        </w:rPr>
        <w:t xml:space="preserve"> </w:t>
      </w:r>
      <w:r w:rsidRPr="00C039F9">
        <w:rPr>
          <w:rFonts w:ascii="Times New Roman" w:hAnsi="Times New Roman" w:cs="Times New Roman"/>
          <w:sz w:val="28"/>
          <w:szCs w:val="28"/>
          <w:shd w:val="clear" w:color="auto" w:fill="FFFFFF"/>
        </w:rPr>
        <w:t>que gravan</w:t>
      </w:r>
      <w:r w:rsidRPr="00C039F9">
        <w:rPr>
          <w:rFonts w:ascii="Times New Roman" w:hAnsi="Times New Roman" w:cs="Times New Roman"/>
          <w:sz w:val="28"/>
          <w:szCs w:val="28"/>
          <w:bdr w:val="none" w:sz="0" w:space="0" w:color="auto" w:frame="1"/>
        </w:rPr>
        <w:t xml:space="preserve"> a todos los ciudadanos, no poseen una relación directa e inmediata con un beneficio derivado para el contribuyente y, </w:t>
      </w:r>
      <w:r w:rsidRPr="00C039F9">
        <w:rPr>
          <w:rFonts w:ascii="Times New Roman" w:hAnsi="Times New Roman" w:cs="Times New Roman"/>
          <w:sz w:val="28"/>
          <w:szCs w:val="28"/>
          <w:bdr w:val="none" w:sz="0" w:space="0" w:color="auto" w:frame="1"/>
        </w:rPr>
        <w:t>una vez pagados, se destinan según los criterios y a las prioridades que fijen las autoridades correspondientes</w:t>
      </w:r>
      <w:bookmarkStart w:id="11" w:name="_ftnref34"/>
      <w:bookmarkEnd w:id="11"/>
      <w:r w:rsidRPr="00C039F9">
        <w:rPr>
          <w:rFonts w:ascii="Times New Roman" w:hAnsi="Times New Roman" w:cs="Times New Roman"/>
          <w:sz w:val="28"/>
          <w:szCs w:val="28"/>
          <w:bdr w:val="none" w:sz="0" w:space="0" w:color="auto" w:frame="1"/>
        </w:rPr>
        <w:t>.</w:t>
      </w:r>
      <w:r w:rsidRPr="00C039F9">
        <w:rPr>
          <w:rStyle w:val="Refdenotaalpie"/>
          <w:rFonts w:ascii="Times New Roman" w:hAnsi="Times New Roman" w:cs="Times New Roman"/>
          <w:sz w:val="28"/>
          <w:szCs w:val="28"/>
          <w:bdr w:val="none" w:sz="0" w:space="0" w:color="auto" w:frame="1"/>
        </w:rPr>
        <w:footnoteReference w:id="10"/>
      </w:r>
      <w:r w:rsidRPr="00C039F9">
        <w:rPr>
          <w:rFonts w:ascii="Times New Roman" w:hAnsi="Times New Roman" w:cs="Times New Roman"/>
          <w:sz w:val="28"/>
          <w:szCs w:val="28"/>
          <w:bdr w:val="none" w:sz="0" w:space="0" w:color="auto" w:frame="1"/>
        </w:rPr>
        <w:t xml:space="preserve"> </w:t>
      </w:r>
    </w:p>
    <w:p w:rsidR="00DE30D7" w:rsidRPr="00C039F9" w:rsidRDefault="00C039F9" w:rsidP="00DE30D7">
      <w:pPr>
        <w:pStyle w:val="Prrafodelista"/>
        <w:rPr>
          <w:rFonts w:ascii="Times New Roman" w:hAnsi="Times New Roman" w:cs="Times New Roman"/>
          <w:b/>
          <w:bCs/>
          <w:i/>
          <w:iCs/>
          <w:sz w:val="28"/>
          <w:szCs w:val="28"/>
          <w:bdr w:val="none" w:sz="0" w:space="0" w:color="auto" w:frame="1"/>
        </w:rPr>
      </w:pPr>
    </w:p>
    <w:p w:rsidR="00DE30D7" w:rsidRPr="00C039F9" w:rsidRDefault="00C039F9" w:rsidP="00DE30D7">
      <w:pPr>
        <w:pStyle w:val="Prrafodelista"/>
        <w:widowControl w:val="0"/>
        <w:numPr>
          <w:ilvl w:val="0"/>
          <w:numId w:val="2"/>
        </w:numPr>
        <w:suppressAutoHyphens/>
        <w:ind w:left="0" w:hanging="11"/>
        <w:rPr>
          <w:rFonts w:ascii="Times New Roman" w:hAnsi="Times New Roman" w:cs="Times New Roman"/>
          <w:sz w:val="28"/>
          <w:szCs w:val="28"/>
          <w:bdr w:val="none" w:sz="0" w:space="0" w:color="auto" w:frame="1"/>
        </w:rPr>
      </w:pPr>
      <w:r w:rsidRPr="00C039F9">
        <w:rPr>
          <w:rFonts w:ascii="Times New Roman" w:hAnsi="Times New Roman" w:cs="Times New Roman"/>
          <w:b/>
          <w:bCs/>
          <w:i/>
          <w:iCs/>
          <w:sz w:val="28"/>
          <w:szCs w:val="28"/>
          <w:bdr w:val="none" w:sz="0" w:space="0" w:color="auto" w:frame="1"/>
        </w:rPr>
        <w:t>(ii)</w:t>
      </w:r>
      <w:r w:rsidRPr="00C039F9">
        <w:rPr>
          <w:rFonts w:ascii="Times New Roman" w:hAnsi="Times New Roman" w:cs="Times New Roman"/>
          <w:sz w:val="28"/>
          <w:szCs w:val="28"/>
          <w:bdr w:val="none" w:sz="0" w:space="0" w:color="auto" w:frame="1"/>
        </w:rPr>
        <w:t xml:space="preserve"> </w:t>
      </w:r>
      <w:r w:rsidRPr="00C039F9">
        <w:rPr>
          <w:rFonts w:ascii="Times New Roman" w:hAnsi="Times New Roman" w:cs="Times New Roman"/>
          <w:sz w:val="28"/>
          <w:szCs w:val="28"/>
          <w:bdr w:val="none" w:sz="0" w:space="0" w:color="auto" w:frame="1"/>
        </w:rPr>
        <w:t xml:space="preserve">Por otra parte, están </w:t>
      </w:r>
      <w:r w:rsidRPr="00C039F9">
        <w:rPr>
          <w:rFonts w:ascii="Times New Roman" w:hAnsi="Times New Roman" w:cs="Times New Roman"/>
          <w:sz w:val="28"/>
          <w:szCs w:val="28"/>
          <w:shd w:val="clear" w:color="auto" w:fill="FFFFFF"/>
        </w:rPr>
        <w:t>las </w:t>
      </w:r>
      <w:r w:rsidRPr="00C039F9">
        <w:rPr>
          <w:rFonts w:ascii="Times New Roman" w:hAnsi="Times New Roman" w:cs="Times New Roman"/>
          <w:b/>
          <w:bCs/>
          <w:i/>
          <w:iCs/>
          <w:sz w:val="28"/>
          <w:szCs w:val="28"/>
          <w:shd w:val="clear" w:color="auto" w:fill="FFFFFF"/>
        </w:rPr>
        <w:t>contribuciones parafiscales</w:t>
      </w:r>
      <w:r w:rsidRPr="00C039F9">
        <w:rPr>
          <w:rFonts w:ascii="Times New Roman" w:hAnsi="Times New Roman" w:cs="Times New Roman"/>
          <w:b/>
          <w:bCs/>
          <w:sz w:val="28"/>
          <w:szCs w:val="28"/>
          <w:shd w:val="clear" w:color="auto" w:fill="FFFFFF"/>
        </w:rPr>
        <w:t xml:space="preserve">. </w:t>
      </w:r>
      <w:r w:rsidRPr="00C039F9">
        <w:rPr>
          <w:rFonts w:ascii="Times New Roman" w:hAnsi="Times New Roman" w:cs="Times New Roman"/>
          <w:sz w:val="28"/>
          <w:szCs w:val="28"/>
          <w:shd w:val="clear" w:color="auto" w:fill="FFFFFF"/>
        </w:rPr>
        <w:t>Estas,</w:t>
      </w:r>
      <w:r w:rsidRPr="00C039F9">
        <w:rPr>
          <w:rFonts w:ascii="Times New Roman" w:hAnsi="Times New Roman" w:cs="Times New Roman"/>
          <w:b/>
          <w:bCs/>
          <w:sz w:val="28"/>
          <w:szCs w:val="28"/>
          <w:shd w:val="clear" w:color="auto" w:fill="FFFFFF"/>
        </w:rPr>
        <w:t xml:space="preserve"> </w:t>
      </w:r>
      <w:r w:rsidRPr="00C039F9">
        <w:rPr>
          <w:rFonts w:ascii="Times New Roman" w:hAnsi="Times New Roman" w:cs="Times New Roman"/>
          <w:sz w:val="28"/>
          <w:szCs w:val="28"/>
          <w:shd w:val="clear" w:color="auto" w:fill="FFFFFF"/>
        </w:rPr>
        <w:t xml:space="preserve">también son obligatorias, pero gravan a unos sectores económicos. Por </w:t>
      </w:r>
      <w:r w:rsidRPr="00C039F9">
        <w:rPr>
          <w:rFonts w:ascii="Times New Roman" w:hAnsi="Times New Roman" w:cs="Times New Roman"/>
          <w:sz w:val="28"/>
          <w:szCs w:val="28"/>
          <w:shd w:val="clear" w:color="auto" w:fill="FFFFFF"/>
        </w:rPr>
        <w:t>ello, los recursos respectivamente recaudados redundan en exclusivo beneficio</w:t>
      </w:r>
      <w:bookmarkStart w:id="12" w:name="_ftnref35"/>
      <w:bookmarkEnd w:id="12"/>
      <w:r w:rsidRPr="00C039F9">
        <w:rPr>
          <w:rFonts w:ascii="Times New Roman" w:hAnsi="Times New Roman" w:cs="Times New Roman"/>
          <w:sz w:val="28"/>
          <w:szCs w:val="28"/>
          <w:shd w:val="clear" w:color="auto" w:fill="FFFFFF"/>
        </w:rPr>
        <w:t xml:space="preserve"> de los sectores gravados</w:t>
      </w:r>
      <w:r w:rsidRPr="00C039F9">
        <w:rPr>
          <w:rStyle w:val="Refdenotaalpie"/>
          <w:rFonts w:ascii="Times New Roman" w:hAnsi="Times New Roman" w:cs="Times New Roman"/>
          <w:sz w:val="28"/>
          <w:szCs w:val="28"/>
          <w:shd w:val="clear" w:color="auto" w:fill="FFFFFF"/>
        </w:rPr>
        <w:footnoteReference w:id="11"/>
      </w:r>
      <w:r w:rsidRPr="00C039F9">
        <w:rPr>
          <w:rFonts w:ascii="Times New Roman" w:hAnsi="Times New Roman" w:cs="Times New Roman"/>
          <w:sz w:val="28"/>
          <w:szCs w:val="28"/>
          <w:shd w:val="clear" w:color="auto" w:fill="FFFFFF"/>
        </w:rPr>
        <w:t xml:space="preserve">. </w:t>
      </w:r>
    </w:p>
    <w:p w:rsidR="00DE30D7" w:rsidRPr="00C039F9" w:rsidRDefault="00C039F9" w:rsidP="00DE30D7">
      <w:pPr>
        <w:pStyle w:val="Prrafodelista"/>
        <w:rPr>
          <w:rFonts w:ascii="Times New Roman" w:hAnsi="Times New Roman" w:cs="Times New Roman"/>
          <w:b/>
          <w:bCs/>
          <w:i/>
          <w:iCs/>
          <w:sz w:val="28"/>
          <w:szCs w:val="28"/>
          <w:shd w:val="clear" w:color="auto" w:fill="FFFFFF"/>
        </w:rPr>
      </w:pPr>
    </w:p>
    <w:p w:rsidR="00DE30D7" w:rsidRPr="00C039F9" w:rsidRDefault="00C039F9" w:rsidP="00DE30D7">
      <w:pPr>
        <w:pStyle w:val="Prrafodelista"/>
        <w:widowControl w:val="0"/>
        <w:numPr>
          <w:ilvl w:val="0"/>
          <w:numId w:val="2"/>
        </w:numPr>
        <w:suppressAutoHyphens/>
        <w:ind w:left="0" w:hanging="11"/>
        <w:rPr>
          <w:rFonts w:ascii="Times New Roman" w:hAnsi="Times New Roman" w:cs="Times New Roman"/>
          <w:sz w:val="28"/>
          <w:szCs w:val="28"/>
          <w:bdr w:val="none" w:sz="0" w:space="0" w:color="auto" w:frame="1"/>
        </w:rPr>
      </w:pPr>
      <w:r w:rsidRPr="00C039F9">
        <w:rPr>
          <w:rFonts w:ascii="Times New Roman" w:hAnsi="Times New Roman" w:cs="Times New Roman"/>
          <w:b/>
          <w:bCs/>
          <w:i/>
          <w:iCs/>
          <w:sz w:val="28"/>
          <w:szCs w:val="28"/>
          <w:shd w:val="clear" w:color="auto" w:fill="FFFFFF"/>
        </w:rPr>
        <w:t>(iii)</w:t>
      </w:r>
      <w:r w:rsidRPr="00C039F9">
        <w:rPr>
          <w:rFonts w:ascii="Times New Roman" w:hAnsi="Times New Roman" w:cs="Times New Roman"/>
          <w:sz w:val="28"/>
          <w:szCs w:val="28"/>
          <w:shd w:val="clear" w:color="auto" w:fill="FFFFFF"/>
        </w:rPr>
        <w:t xml:space="preserve"> </w:t>
      </w:r>
      <w:r w:rsidRPr="00C039F9">
        <w:rPr>
          <w:rFonts w:ascii="Times New Roman" w:hAnsi="Times New Roman" w:cs="Times New Roman"/>
          <w:sz w:val="28"/>
          <w:szCs w:val="28"/>
          <w:shd w:val="clear" w:color="auto" w:fill="FFFFFF"/>
        </w:rPr>
        <w:t>Así mismo están las </w:t>
      </w:r>
      <w:r w:rsidRPr="00C039F9">
        <w:rPr>
          <w:rFonts w:ascii="Times New Roman" w:hAnsi="Times New Roman" w:cs="Times New Roman"/>
          <w:b/>
          <w:bCs/>
          <w:i/>
          <w:iCs/>
          <w:sz w:val="28"/>
          <w:szCs w:val="28"/>
          <w:shd w:val="clear" w:color="auto" w:fill="FFFFFF"/>
        </w:rPr>
        <w:t>tasas</w:t>
      </w:r>
      <w:r w:rsidRPr="00C039F9">
        <w:rPr>
          <w:rFonts w:ascii="Times New Roman" w:hAnsi="Times New Roman" w:cs="Times New Roman"/>
          <w:sz w:val="28"/>
          <w:szCs w:val="28"/>
          <w:shd w:val="clear" w:color="auto" w:fill="FFFFFF"/>
        </w:rPr>
        <w:t>, cuyo objeto</w:t>
      </w:r>
      <w:r w:rsidRPr="00C039F9">
        <w:rPr>
          <w:rFonts w:ascii="Times New Roman" w:hAnsi="Times New Roman" w:cs="Times New Roman"/>
          <w:b/>
          <w:bCs/>
          <w:sz w:val="28"/>
          <w:szCs w:val="28"/>
          <w:shd w:val="clear" w:color="auto" w:fill="FFFFFF"/>
        </w:rPr>
        <w:t xml:space="preserve"> </w:t>
      </w:r>
      <w:r w:rsidRPr="00C039F9">
        <w:rPr>
          <w:rFonts w:ascii="Times New Roman" w:hAnsi="Times New Roman" w:cs="Times New Roman"/>
          <w:sz w:val="28"/>
          <w:szCs w:val="28"/>
          <w:shd w:val="clear" w:color="auto" w:fill="FFFFFF"/>
        </w:rPr>
        <w:t>consiste en la recuperación de los costos que implica para el Estado la prestación de unos servicios o a</w:t>
      </w:r>
      <w:r w:rsidRPr="00C039F9">
        <w:rPr>
          <w:rFonts w:ascii="Times New Roman" w:hAnsi="Times New Roman" w:cs="Times New Roman"/>
          <w:sz w:val="28"/>
          <w:szCs w:val="28"/>
          <w:shd w:val="clear" w:color="auto" w:fill="FFFFFF"/>
        </w:rPr>
        <w:t>utorizaciones de uso de los bienes de dominio público. De este modo, las tasas están directamente relacionadas con los beneficios que se derivan del uso del bien o del servicio ofrecido. Por ello, esta modalidad tributaria surge de la voluntad de los parti</w:t>
      </w:r>
      <w:r w:rsidRPr="00C039F9">
        <w:rPr>
          <w:rFonts w:ascii="Times New Roman" w:hAnsi="Times New Roman" w:cs="Times New Roman"/>
          <w:sz w:val="28"/>
          <w:szCs w:val="28"/>
          <w:shd w:val="clear" w:color="auto" w:fill="FFFFFF"/>
        </w:rPr>
        <w:t>culares que soliciten al Estado la prestación de un determinado servicio o autorización de uso</w:t>
      </w:r>
      <w:bookmarkStart w:id="13" w:name="_ftnref36"/>
      <w:bookmarkEnd w:id="13"/>
      <w:r w:rsidRPr="00C039F9">
        <w:rPr>
          <w:rStyle w:val="Refdenotaalpie"/>
          <w:rFonts w:ascii="Times New Roman" w:hAnsi="Times New Roman" w:cs="Times New Roman"/>
          <w:sz w:val="28"/>
          <w:szCs w:val="28"/>
          <w:shd w:val="clear" w:color="auto" w:fill="FFFFFF"/>
        </w:rPr>
        <w:footnoteReference w:id="12"/>
      </w:r>
      <w:r w:rsidRPr="00C039F9">
        <w:rPr>
          <w:rFonts w:ascii="Times New Roman" w:hAnsi="Times New Roman" w:cs="Times New Roman"/>
          <w:sz w:val="28"/>
          <w:szCs w:val="28"/>
          <w:shd w:val="clear" w:color="auto" w:fill="FFFFFF"/>
        </w:rPr>
        <w:t xml:space="preserve">. </w:t>
      </w:r>
    </w:p>
    <w:p w:rsidR="00DE30D7" w:rsidRPr="00C039F9" w:rsidRDefault="00C039F9" w:rsidP="00DE30D7">
      <w:pPr>
        <w:pStyle w:val="Prrafodelista"/>
        <w:rPr>
          <w:rFonts w:ascii="Times New Roman" w:hAnsi="Times New Roman" w:cs="Times New Roman"/>
          <w:b/>
          <w:bCs/>
          <w:i/>
          <w:iCs/>
          <w:sz w:val="28"/>
          <w:szCs w:val="28"/>
          <w:shd w:val="clear" w:color="auto" w:fill="FFFFFF"/>
        </w:rPr>
      </w:pPr>
    </w:p>
    <w:p w:rsidR="00D6280D" w:rsidRPr="00C039F9" w:rsidRDefault="00C039F9" w:rsidP="00DE30D7">
      <w:pPr>
        <w:pStyle w:val="Prrafodelista"/>
        <w:widowControl w:val="0"/>
        <w:numPr>
          <w:ilvl w:val="0"/>
          <w:numId w:val="2"/>
        </w:numPr>
        <w:suppressAutoHyphens/>
        <w:ind w:left="0" w:hanging="11"/>
        <w:rPr>
          <w:rFonts w:ascii="Times New Roman" w:hAnsi="Times New Roman" w:cs="Times New Roman"/>
          <w:sz w:val="28"/>
          <w:szCs w:val="28"/>
          <w:bdr w:val="none" w:sz="0" w:space="0" w:color="auto" w:frame="1"/>
        </w:rPr>
      </w:pPr>
      <w:r w:rsidRPr="00C039F9">
        <w:rPr>
          <w:rFonts w:ascii="Times New Roman" w:hAnsi="Times New Roman" w:cs="Times New Roman"/>
          <w:b/>
          <w:bCs/>
          <w:i/>
          <w:iCs/>
          <w:sz w:val="28"/>
          <w:szCs w:val="28"/>
          <w:shd w:val="clear" w:color="auto" w:fill="FFFFFF"/>
        </w:rPr>
        <w:t xml:space="preserve">(iv) </w:t>
      </w:r>
      <w:r w:rsidRPr="00C039F9">
        <w:rPr>
          <w:rFonts w:ascii="Times New Roman" w:hAnsi="Times New Roman" w:cs="Times New Roman"/>
          <w:sz w:val="28"/>
          <w:szCs w:val="28"/>
          <w:shd w:val="clear" w:color="auto" w:fill="FFFFFF"/>
        </w:rPr>
        <w:t>Finalmente, están las </w:t>
      </w:r>
      <w:r w:rsidRPr="00C039F9">
        <w:rPr>
          <w:rFonts w:ascii="Times New Roman" w:hAnsi="Times New Roman" w:cs="Times New Roman"/>
          <w:b/>
          <w:bCs/>
          <w:i/>
          <w:iCs/>
          <w:sz w:val="28"/>
          <w:szCs w:val="28"/>
          <w:shd w:val="clear" w:color="auto" w:fill="FFFFFF"/>
        </w:rPr>
        <w:t>contribuciones especiales</w:t>
      </w:r>
      <w:r w:rsidRPr="00C039F9">
        <w:rPr>
          <w:rFonts w:ascii="Times New Roman" w:hAnsi="Times New Roman" w:cs="Times New Roman"/>
          <w:b/>
          <w:bCs/>
          <w:sz w:val="28"/>
          <w:szCs w:val="28"/>
          <w:shd w:val="clear" w:color="auto" w:fill="FFFFFF"/>
        </w:rPr>
        <w:t xml:space="preserve">, </w:t>
      </w:r>
      <w:r w:rsidRPr="00C039F9">
        <w:rPr>
          <w:rFonts w:ascii="Times New Roman" w:hAnsi="Times New Roman" w:cs="Times New Roman"/>
          <w:sz w:val="28"/>
          <w:szCs w:val="28"/>
          <w:shd w:val="clear" w:color="auto" w:fill="FFFFFF"/>
        </w:rPr>
        <w:t>cuyo</w:t>
      </w:r>
      <w:r w:rsidRPr="00C039F9">
        <w:rPr>
          <w:rFonts w:ascii="Times New Roman" w:hAnsi="Times New Roman" w:cs="Times New Roman"/>
          <w:sz w:val="28"/>
          <w:szCs w:val="28"/>
          <w:bdr w:val="none" w:sz="0" w:space="0" w:color="auto" w:frame="1"/>
        </w:rPr>
        <w:t xml:space="preserve"> pago compensa el beneficio directo que algunos particulares obtienen a consecuencia de un servicio u obra realizado por una entidad pública. En este orden, las contribuciones especiales, al tiempo que reconocen que los mencionados servicios u obras genera</w:t>
      </w:r>
      <w:r w:rsidRPr="00C039F9">
        <w:rPr>
          <w:rFonts w:ascii="Times New Roman" w:hAnsi="Times New Roman" w:cs="Times New Roman"/>
          <w:sz w:val="28"/>
          <w:szCs w:val="28"/>
          <w:bdr w:val="none" w:sz="0" w:space="0" w:color="auto" w:frame="1"/>
        </w:rPr>
        <w:t xml:space="preserve">n unas externalidades económicas positivas en beneficio de algunos particulares, tienen por objeto evitar su indebido y exclusivo aprovechamiento </w:t>
      </w:r>
      <w:bookmarkStart w:id="14" w:name="_ftnref37"/>
      <w:bookmarkEnd w:id="14"/>
      <w:r w:rsidRPr="00C039F9">
        <w:rPr>
          <w:rFonts w:ascii="Times New Roman" w:hAnsi="Times New Roman" w:cs="Times New Roman"/>
          <w:sz w:val="28"/>
          <w:szCs w:val="28"/>
          <w:bdr w:val="none" w:sz="0" w:space="0" w:color="auto" w:frame="1"/>
        </w:rPr>
        <w:t>por parte de dichas personas</w:t>
      </w:r>
      <w:r w:rsidRPr="00C039F9">
        <w:rPr>
          <w:rStyle w:val="Refdenotaalpie"/>
          <w:rFonts w:ascii="Times New Roman" w:hAnsi="Times New Roman" w:cs="Times New Roman"/>
          <w:sz w:val="28"/>
          <w:szCs w:val="28"/>
          <w:bdr w:val="none" w:sz="0" w:space="0" w:color="auto" w:frame="1"/>
        </w:rPr>
        <w:footnoteReference w:id="13"/>
      </w:r>
      <w:r w:rsidRPr="00C039F9">
        <w:rPr>
          <w:rFonts w:ascii="Times New Roman" w:hAnsi="Times New Roman" w:cs="Times New Roman"/>
          <w:sz w:val="28"/>
          <w:szCs w:val="28"/>
          <w:bdr w:val="none" w:sz="0" w:space="0" w:color="auto" w:frame="1"/>
        </w:rPr>
        <w:t xml:space="preserve"> y de este modo, amparan el principio de equidad ante las cargas públicas.</w:t>
      </w:r>
    </w:p>
    <w:p w:rsidR="00D6280D" w:rsidRPr="00C039F9" w:rsidRDefault="00C039F9" w:rsidP="00D6280D">
      <w:pPr>
        <w:shd w:val="clear" w:color="auto" w:fill="FFFFFF"/>
        <w:ind w:right="51"/>
        <w:rPr>
          <w:rFonts w:ascii="Times New Roman" w:hAnsi="Times New Roman" w:cs="Times New Roman"/>
          <w:sz w:val="28"/>
          <w:szCs w:val="28"/>
        </w:rPr>
      </w:pPr>
    </w:p>
    <w:p w:rsidR="00D6280D" w:rsidRPr="00C039F9" w:rsidRDefault="00C039F9" w:rsidP="00D6280D">
      <w:pPr>
        <w:ind w:right="51"/>
        <w:contextualSpacing/>
        <w:rPr>
          <w:rFonts w:ascii="Times New Roman" w:hAnsi="Times New Roman" w:cs="Times New Roman"/>
          <w:b/>
          <w:bCs/>
          <w:sz w:val="28"/>
          <w:szCs w:val="28"/>
        </w:rPr>
      </w:pPr>
      <w:r w:rsidRPr="00C039F9">
        <w:rPr>
          <w:rFonts w:ascii="Times New Roman" w:hAnsi="Times New Roman" w:cs="Times New Roman"/>
          <w:b/>
          <w:bCs/>
          <w:sz w:val="28"/>
          <w:szCs w:val="28"/>
        </w:rPr>
        <w:t>VI.II</w:t>
      </w:r>
      <w:r w:rsidRPr="00C039F9">
        <w:rPr>
          <w:rFonts w:ascii="Times New Roman" w:hAnsi="Times New Roman" w:cs="Times New Roman"/>
          <w:b/>
          <w:bCs/>
          <w:sz w:val="28"/>
          <w:szCs w:val="28"/>
        </w:rPr>
        <w:tab/>
      </w:r>
      <w:r w:rsidRPr="00C039F9">
        <w:rPr>
          <w:rFonts w:ascii="Times New Roman" w:hAnsi="Times New Roman" w:cs="Times New Roman"/>
          <w:b/>
          <w:bCs/>
          <w:sz w:val="28"/>
          <w:szCs w:val="28"/>
        </w:rPr>
        <w:tab/>
        <w:t>Los elementos esenciales de las obligaciones tributarias</w:t>
      </w:r>
      <w:r w:rsidRPr="00C039F9">
        <w:rPr>
          <w:rFonts w:ascii="Times New Roman" w:hAnsi="Times New Roman" w:cs="Times New Roman"/>
          <w:b/>
          <w:bCs/>
          <w:sz w:val="28"/>
          <w:szCs w:val="28"/>
        </w:rPr>
        <w:tab/>
      </w:r>
    </w:p>
    <w:p w:rsidR="00D6280D" w:rsidRPr="00C039F9" w:rsidRDefault="00C039F9" w:rsidP="00DE30D7">
      <w:pPr>
        <w:pStyle w:val="Prrafodelista"/>
        <w:widowControl w:val="0"/>
        <w:numPr>
          <w:ilvl w:val="0"/>
          <w:numId w:val="2"/>
        </w:numPr>
        <w:suppressAutoHyphens/>
        <w:ind w:left="0" w:hanging="11"/>
        <w:rPr>
          <w:rFonts w:ascii="Times New Roman" w:hAnsi="Times New Roman" w:cs="Times New Roman"/>
          <w:sz w:val="28"/>
          <w:szCs w:val="28"/>
          <w:lang w:val="es-ES"/>
        </w:rPr>
      </w:pPr>
      <w:r w:rsidRPr="00C039F9">
        <w:rPr>
          <w:rFonts w:ascii="Times New Roman" w:hAnsi="Times New Roman" w:cs="Times New Roman"/>
          <w:sz w:val="28"/>
          <w:szCs w:val="28"/>
          <w:lang w:val="es-ES"/>
        </w:rPr>
        <w:t>Conforme se reiteró en Sentencia C-315 de 2022</w:t>
      </w:r>
      <w:r w:rsidRPr="00C039F9">
        <w:rPr>
          <w:rStyle w:val="Refdenotaalpie"/>
          <w:rFonts w:ascii="Times New Roman" w:hAnsi="Times New Roman" w:cs="Times New Roman"/>
          <w:sz w:val="28"/>
          <w:szCs w:val="28"/>
          <w:lang w:val="es-ES"/>
        </w:rPr>
        <w:footnoteReference w:id="14"/>
      </w:r>
      <w:r w:rsidRPr="00C039F9">
        <w:rPr>
          <w:rFonts w:ascii="Times New Roman" w:hAnsi="Times New Roman" w:cs="Times New Roman"/>
          <w:sz w:val="28"/>
          <w:szCs w:val="28"/>
          <w:lang w:val="es-ES"/>
        </w:rPr>
        <w:t>, independientemente de la naturaleza de los tributos, estos deben contener los siguientes elementos esenciales:</w:t>
      </w:r>
    </w:p>
    <w:p w:rsidR="00D6280D" w:rsidRPr="00C039F9" w:rsidRDefault="00C039F9" w:rsidP="00D6280D">
      <w:pPr>
        <w:pStyle w:val="NormalWeb"/>
        <w:spacing w:before="0" w:beforeAutospacing="0" w:after="0" w:afterAutospacing="0"/>
        <w:ind w:left="1080"/>
        <w:contextualSpacing/>
        <w:jc w:val="both"/>
        <w:rPr>
          <w:rFonts w:ascii="Times New Roman" w:hAnsi="Times New Roman" w:cs="Times New Roman"/>
          <w:sz w:val="28"/>
          <w:szCs w:val="28"/>
          <w:lang w:val="es-ES"/>
        </w:rPr>
      </w:pPr>
    </w:p>
    <w:p w:rsidR="00D6280D" w:rsidRPr="00C039F9" w:rsidRDefault="00C039F9" w:rsidP="00D6280D">
      <w:pPr>
        <w:pStyle w:val="NormalWeb"/>
        <w:spacing w:before="0" w:beforeAutospacing="0" w:after="0" w:afterAutospacing="0"/>
        <w:ind w:left="567" w:right="708"/>
        <w:contextualSpacing/>
        <w:jc w:val="both"/>
        <w:rPr>
          <w:rFonts w:ascii="Times New Roman" w:hAnsi="Times New Roman" w:cs="Times New Roman"/>
          <w:sz w:val="28"/>
          <w:lang w:val="es-ES"/>
        </w:rPr>
      </w:pPr>
      <w:r w:rsidRPr="00C039F9">
        <w:rPr>
          <w:rFonts w:ascii="Times New Roman" w:hAnsi="Times New Roman" w:cs="Times New Roman"/>
          <w:b/>
          <w:bCs/>
          <w:sz w:val="28"/>
          <w:lang w:val="es-ES"/>
        </w:rPr>
        <w:t xml:space="preserve">«(i) </w:t>
      </w:r>
      <w:r w:rsidRPr="00C039F9">
        <w:rPr>
          <w:rFonts w:ascii="Times New Roman" w:hAnsi="Times New Roman" w:cs="Times New Roman"/>
          <w:b/>
          <w:bCs/>
          <w:sz w:val="28"/>
          <w:lang w:val="es-ES"/>
        </w:rPr>
        <w:tab/>
        <w:t>El</w:t>
      </w:r>
      <w:r w:rsidRPr="00C039F9">
        <w:rPr>
          <w:rFonts w:ascii="Times New Roman" w:hAnsi="Times New Roman" w:cs="Times New Roman"/>
          <w:sz w:val="28"/>
          <w:lang w:val="es-ES"/>
        </w:rPr>
        <w:t xml:space="preserve"> </w:t>
      </w:r>
      <w:r w:rsidRPr="00C039F9">
        <w:rPr>
          <w:rFonts w:ascii="Times New Roman" w:hAnsi="Times New Roman" w:cs="Times New Roman"/>
          <w:b/>
          <w:bCs/>
          <w:sz w:val="28"/>
          <w:lang w:val="es-ES"/>
        </w:rPr>
        <w:t>sujeto activo</w:t>
      </w:r>
      <w:r w:rsidRPr="00C039F9">
        <w:rPr>
          <w:rFonts w:ascii="Times New Roman" w:hAnsi="Times New Roman" w:cs="Times New Roman"/>
          <w:sz w:val="28"/>
          <w:lang w:val="es-ES"/>
        </w:rPr>
        <w:t xml:space="preserve">, esto es: </w:t>
      </w:r>
      <w:r w:rsidRPr="00C039F9">
        <w:rPr>
          <w:rFonts w:ascii="Times New Roman" w:hAnsi="Times New Roman" w:cs="Times New Roman"/>
          <w:sz w:val="28"/>
          <w:lang w:val="es-ES"/>
        </w:rPr>
        <w:t>(i) quien tiene la potestad de crear y regular un impuesto determinado; (ii) quien tiene la facultad de exigir la prestación económica materializada en el tributo, o (iii) el beneficiario que puede disponer de los recursos recaudados</w:t>
      </w:r>
      <w:r w:rsidRPr="00C039F9">
        <w:rPr>
          <w:rFonts w:ascii="Times New Roman" w:hAnsi="Times New Roman" w:cs="Times New Roman"/>
          <w:sz w:val="28"/>
          <w:vertAlign w:val="superscript"/>
          <w:lang w:val="es-ES"/>
        </w:rPr>
        <w:footnoteReference w:id="15"/>
      </w:r>
      <w:r w:rsidRPr="00C039F9">
        <w:rPr>
          <w:rFonts w:ascii="Times New Roman" w:hAnsi="Times New Roman" w:cs="Times New Roman"/>
          <w:sz w:val="28"/>
          <w:lang w:val="es-ES"/>
        </w:rPr>
        <w:t>.</w:t>
      </w:r>
    </w:p>
    <w:p w:rsidR="00D6280D" w:rsidRPr="00C039F9" w:rsidRDefault="00C039F9" w:rsidP="00D6280D">
      <w:pPr>
        <w:pStyle w:val="NormalWeb"/>
        <w:spacing w:before="0" w:beforeAutospacing="0" w:after="0" w:afterAutospacing="0"/>
        <w:ind w:left="567" w:right="708"/>
        <w:contextualSpacing/>
        <w:jc w:val="both"/>
        <w:rPr>
          <w:rFonts w:ascii="Times New Roman" w:hAnsi="Times New Roman" w:cs="Times New Roman"/>
          <w:sz w:val="28"/>
          <w:lang w:val="es-ES"/>
        </w:rPr>
      </w:pPr>
    </w:p>
    <w:p w:rsidR="00D6280D" w:rsidRPr="00C039F9" w:rsidRDefault="00C039F9" w:rsidP="00D6280D">
      <w:pPr>
        <w:pStyle w:val="NormalWeb"/>
        <w:spacing w:before="0" w:beforeAutospacing="0" w:after="0" w:afterAutospacing="0"/>
        <w:ind w:left="567" w:right="708"/>
        <w:contextualSpacing/>
        <w:jc w:val="both"/>
        <w:rPr>
          <w:rFonts w:ascii="Times New Roman" w:hAnsi="Times New Roman" w:cs="Times New Roman"/>
          <w:sz w:val="28"/>
          <w:lang w:val="es-ES"/>
        </w:rPr>
      </w:pPr>
      <w:r w:rsidRPr="00C039F9">
        <w:rPr>
          <w:rFonts w:ascii="Times New Roman" w:hAnsi="Times New Roman" w:cs="Times New Roman"/>
          <w:b/>
          <w:bCs/>
          <w:sz w:val="28"/>
          <w:lang w:val="es-ES"/>
        </w:rPr>
        <w:t>(ii)</w:t>
      </w:r>
      <w:r w:rsidRPr="00C039F9">
        <w:rPr>
          <w:rFonts w:ascii="Times New Roman" w:hAnsi="Times New Roman" w:cs="Times New Roman"/>
          <w:sz w:val="28"/>
          <w:lang w:val="es-ES"/>
        </w:rPr>
        <w:tab/>
      </w:r>
      <w:r w:rsidRPr="00C039F9">
        <w:rPr>
          <w:rFonts w:ascii="Times New Roman" w:hAnsi="Times New Roman" w:cs="Times New Roman"/>
          <w:b/>
          <w:bCs/>
          <w:sz w:val="28"/>
          <w:lang w:val="es-ES"/>
        </w:rPr>
        <w:t>El sujeto pasi</w:t>
      </w:r>
      <w:r w:rsidRPr="00C039F9">
        <w:rPr>
          <w:rFonts w:ascii="Times New Roman" w:hAnsi="Times New Roman" w:cs="Times New Roman"/>
          <w:b/>
          <w:bCs/>
          <w:sz w:val="28"/>
          <w:lang w:val="es-ES"/>
        </w:rPr>
        <w:t>vo</w:t>
      </w:r>
      <w:r w:rsidRPr="00C039F9">
        <w:rPr>
          <w:rFonts w:ascii="Times New Roman" w:hAnsi="Times New Roman" w:cs="Times New Roman"/>
          <w:sz w:val="28"/>
          <w:lang w:val="es-ES"/>
        </w:rPr>
        <w:t>, es decir: (i) quien paga formalmente el impuesto, o (ii) quien debe soportar las consecuencias económicas del tributo</w:t>
      </w:r>
      <w:r w:rsidRPr="00C039F9">
        <w:rPr>
          <w:rFonts w:ascii="Times New Roman" w:hAnsi="Times New Roman" w:cs="Times New Roman"/>
          <w:sz w:val="28"/>
          <w:vertAlign w:val="superscript"/>
          <w:lang w:val="es-ES"/>
        </w:rPr>
        <w:footnoteReference w:id="16"/>
      </w:r>
      <w:r w:rsidRPr="00C039F9">
        <w:rPr>
          <w:rFonts w:ascii="Times New Roman" w:hAnsi="Times New Roman" w:cs="Times New Roman"/>
          <w:sz w:val="28"/>
          <w:lang w:val="es-ES"/>
        </w:rPr>
        <w:t>.</w:t>
      </w:r>
    </w:p>
    <w:p w:rsidR="00D6280D" w:rsidRPr="00C039F9" w:rsidRDefault="00C039F9" w:rsidP="00D6280D">
      <w:pPr>
        <w:pStyle w:val="NormalWeb"/>
        <w:spacing w:before="0" w:beforeAutospacing="0" w:after="0" w:afterAutospacing="0"/>
        <w:ind w:left="567" w:right="708"/>
        <w:contextualSpacing/>
        <w:jc w:val="both"/>
        <w:rPr>
          <w:rFonts w:ascii="Times New Roman" w:hAnsi="Times New Roman" w:cs="Times New Roman"/>
          <w:sz w:val="28"/>
          <w:lang w:val="es-ES"/>
        </w:rPr>
      </w:pPr>
    </w:p>
    <w:p w:rsidR="00D6280D" w:rsidRPr="00C039F9" w:rsidRDefault="00C039F9" w:rsidP="00D6280D">
      <w:pPr>
        <w:pStyle w:val="NormalWeb"/>
        <w:spacing w:before="0" w:beforeAutospacing="0" w:after="0" w:afterAutospacing="0"/>
        <w:ind w:left="567" w:right="708"/>
        <w:contextualSpacing/>
        <w:jc w:val="both"/>
        <w:rPr>
          <w:rFonts w:ascii="Times New Roman" w:hAnsi="Times New Roman" w:cs="Times New Roman"/>
          <w:sz w:val="28"/>
          <w:lang w:val="es-ES"/>
        </w:rPr>
      </w:pPr>
      <w:r w:rsidRPr="00C039F9">
        <w:rPr>
          <w:rFonts w:ascii="Times New Roman" w:hAnsi="Times New Roman" w:cs="Times New Roman"/>
          <w:b/>
          <w:bCs/>
          <w:sz w:val="28"/>
          <w:lang w:val="es-ES"/>
        </w:rPr>
        <w:t>(iii)</w:t>
      </w:r>
      <w:r w:rsidRPr="00C039F9">
        <w:rPr>
          <w:rFonts w:ascii="Times New Roman" w:hAnsi="Times New Roman" w:cs="Times New Roman"/>
          <w:sz w:val="28"/>
          <w:lang w:val="es-ES"/>
        </w:rPr>
        <w:t xml:space="preserve"> </w:t>
      </w:r>
      <w:r w:rsidRPr="00C039F9">
        <w:rPr>
          <w:rFonts w:ascii="Times New Roman" w:hAnsi="Times New Roman" w:cs="Times New Roman"/>
          <w:b/>
          <w:bCs/>
          <w:sz w:val="28"/>
          <w:lang w:val="es-ES"/>
        </w:rPr>
        <w:t>La base gravable</w:t>
      </w:r>
      <w:r w:rsidRPr="00C039F9">
        <w:rPr>
          <w:rFonts w:ascii="Times New Roman" w:hAnsi="Times New Roman" w:cs="Times New Roman"/>
          <w:sz w:val="28"/>
          <w:lang w:val="es-ES"/>
        </w:rPr>
        <w:t>, esto es, “la cuantificación del hecho gravable sobre el que se aplica la tarifa”</w:t>
      </w:r>
      <w:r w:rsidRPr="00C039F9">
        <w:rPr>
          <w:rFonts w:ascii="Times New Roman" w:hAnsi="Times New Roman" w:cs="Times New Roman"/>
          <w:sz w:val="28"/>
          <w:vertAlign w:val="superscript"/>
          <w:lang w:val="es-ES"/>
        </w:rPr>
        <w:footnoteReference w:id="17"/>
      </w:r>
      <w:r w:rsidRPr="00C039F9">
        <w:rPr>
          <w:rFonts w:ascii="Times New Roman" w:hAnsi="Times New Roman" w:cs="Times New Roman"/>
          <w:sz w:val="28"/>
          <w:lang w:val="es-ES"/>
        </w:rPr>
        <w:t>.</w:t>
      </w:r>
    </w:p>
    <w:p w:rsidR="00D6280D" w:rsidRPr="00C039F9" w:rsidRDefault="00C039F9" w:rsidP="00D6280D">
      <w:pPr>
        <w:pStyle w:val="NormalWeb"/>
        <w:spacing w:before="0" w:beforeAutospacing="0" w:after="0" w:afterAutospacing="0"/>
        <w:ind w:left="567" w:right="708"/>
        <w:contextualSpacing/>
        <w:jc w:val="both"/>
        <w:rPr>
          <w:rFonts w:ascii="Times New Roman" w:hAnsi="Times New Roman" w:cs="Times New Roman"/>
          <w:sz w:val="28"/>
          <w:lang w:val="es-ES"/>
        </w:rPr>
      </w:pPr>
    </w:p>
    <w:p w:rsidR="00D6280D" w:rsidRPr="00C039F9" w:rsidRDefault="00C039F9" w:rsidP="00D6280D">
      <w:pPr>
        <w:pStyle w:val="NormalWeb"/>
        <w:spacing w:before="0" w:beforeAutospacing="0" w:after="0" w:afterAutospacing="0"/>
        <w:ind w:left="567" w:right="708"/>
        <w:contextualSpacing/>
        <w:jc w:val="both"/>
        <w:rPr>
          <w:rFonts w:ascii="Times New Roman" w:hAnsi="Times New Roman" w:cs="Times New Roman"/>
          <w:sz w:val="28"/>
          <w:lang w:val="es-ES"/>
        </w:rPr>
      </w:pPr>
      <w:r w:rsidRPr="00C039F9">
        <w:rPr>
          <w:rFonts w:ascii="Times New Roman" w:hAnsi="Times New Roman" w:cs="Times New Roman"/>
          <w:b/>
          <w:bCs/>
          <w:sz w:val="28"/>
          <w:lang w:val="es-ES"/>
        </w:rPr>
        <w:t>(iv)</w:t>
      </w:r>
      <w:r w:rsidRPr="00C039F9">
        <w:rPr>
          <w:rFonts w:ascii="Times New Roman" w:hAnsi="Times New Roman" w:cs="Times New Roman"/>
          <w:sz w:val="28"/>
          <w:lang w:val="es-ES"/>
        </w:rPr>
        <w:t xml:space="preserve"> </w:t>
      </w:r>
      <w:r w:rsidRPr="00C039F9">
        <w:rPr>
          <w:rFonts w:ascii="Times New Roman" w:hAnsi="Times New Roman" w:cs="Times New Roman"/>
          <w:b/>
          <w:bCs/>
          <w:sz w:val="28"/>
          <w:lang w:val="es-ES"/>
        </w:rPr>
        <w:t>La</w:t>
      </w:r>
      <w:r w:rsidRPr="00C039F9">
        <w:rPr>
          <w:rFonts w:ascii="Times New Roman" w:hAnsi="Times New Roman" w:cs="Times New Roman"/>
          <w:sz w:val="28"/>
          <w:lang w:val="es-ES"/>
        </w:rPr>
        <w:t xml:space="preserve"> </w:t>
      </w:r>
      <w:r w:rsidRPr="00C039F9">
        <w:rPr>
          <w:rFonts w:ascii="Times New Roman" w:hAnsi="Times New Roman" w:cs="Times New Roman"/>
          <w:b/>
          <w:bCs/>
          <w:sz w:val="28"/>
          <w:lang w:val="es-ES"/>
        </w:rPr>
        <w:t>tarifa</w:t>
      </w:r>
      <w:r w:rsidRPr="00C039F9">
        <w:rPr>
          <w:rFonts w:ascii="Times New Roman" w:hAnsi="Times New Roman" w:cs="Times New Roman"/>
          <w:sz w:val="28"/>
          <w:lang w:val="es-ES"/>
        </w:rPr>
        <w:t xml:space="preserve">, que se </w:t>
      </w:r>
      <w:r w:rsidRPr="00C039F9">
        <w:rPr>
          <w:rFonts w:ascii="Times New Roman" w:hAnsi="Times New Roman" w:cs="Times New Roman"/>
          <w:sz w:val="28"/>
          <w:lang w:val="es-ES"/>
        </w:rPr>
        <w:t>refiere al monto que se aplica a la base gravable y determina el valor final del tributo que debe pagar el contribuyente</w:t>
      </w:r>
      <w:r w:rsidRPr="00C039F9">
        <w:rPr>
          <w:rFonts w:ascii="Times New Roman" w:hAnsi="Times New Roman" w:cs="Times New Roman"/>
          <w:sz w:val="28"/>
          <w:vertAlign w:val="superscript"/>
          <w:lang w:val="es-ES"/>
        </w:rPr>
        <w:footnoteReference w:id="18"/>
      </w:r>
      <w:r w:rsidRPr="00C039F9">
        <w:rPr>
          <w:rFonts w:ascii="Times New Roman" w:hAnsi="Times New Roman" w:cs="Times New Roman"/>
          <w:sz w:val="28"/>
          <w:lang w:val="es-ES"/>
        </w:rPr>
        <w:t>. Se precisa que este elemento, en el caso de las tasas y contribuciones, puede ser fijado por las autoridades, pero “el sistema y el m</w:t>
      </w:r>
      <w:r w:rsidRPr="00C039F9">
        <w:rPr>
          <w:rFonts w:ascii="Times New Roman" w:hAnsi="Times New Roman" w:cs="Times New Roman"/>
          <w:sz w:val="28"/>
          <w:lang w:val="es-ES"/>
        </w:rPr>
        <w:t>étodo para definir tales costos y beneficios, y la forma de hacer su reparto, deben ser fijados por la ley, las ordenanzas o los acuerdos.”</w:t>
      </w:r>
      <w:r w:rsidRPr="00C039F9">
        <w:rPr>
          <w:rFonts w:ascii="Times New Roman" w:hAnsi="Times New Roman" w:cs="Times New Roman"/>
          <w:sz w:val="28"/>
          <w:vertAlign w:val="superscript"/>
          <w:lang w:val="es-ES"/>
        </w:rPr>
        <w:footnoteReference w:id="19"/>
      </w:r>
    </w:p>
    <w:p w:rsidR="00D6280D" w:rsidRPr="00C039F9" w:rsidRDefault="00C039F9" w:rsidP="00D6280D">
      <w:pPr>
        <w:pStyle w:val="NormalWeb"/>
        <w:spacing w:before="0" w:beforeAutospacing="0" w:after="0" w:afterAutospacing="0"/>
        <w:ind w:left="567" w:right="708"/>
        <w:contextualSpacing/>
        <w:jc w:val="both"/>
        <w:rPr>
          <w:rFonts w:ascii="Times New Roman" w:hAnsi="Times New Roman" w:cs="Times New Roman"/>
          <w:sz w:val="28"/>
          <w:lang w:val="es-ES"/>
        </w:rPr>
      </w:pPr>
    </w:p>
    <w:p w:rsidR="00D6280D" w:rsidRPr="00C039F9" w:rsidRDefault="00C039F9" w:rsidP="00D6280D">
      <w:pPr>
        <w:pStyle w:val="NormalWeb"/>
        <w:spacing w:before="0" w:beforeAutospacing="0" w:after="0" w:afterAutospacing="0"/>
        <w:ind w:left="567" w:right="708"/>
        <w:contextualSpacing/>
        <w:jc w:val="both"/>
        <w:rPr>
          <w:rFonts w:ascii="Times New Roman" w:hAnsi="Times New Roman" w:cs="Times New Roman"/>
          <w:sz w:val="28"/>
          <w:lang w:val="es-ES"/>
        </w:rPr>
      </w:pPr>
      <w:r w:rsidRPr="00C039F9">
        <w:rPr>
          <w:rFonts w:ascii="Times New Roman" w:hAnsi="Times New Roman" w:cs="Times New Roman"/>
          <w:b/>
          <w:bCs/>
          <w:sz w:val="28"/>
          <w:lang w:val="es-ES"/>
        </w:rPr>
        <w:t>(iv)</w:t>
      </w:r>
      <w:r w:rsidRPr="00C039F9">
        <w:rPr>
          <w:rFonts w:ascii="Times New Roman" w:hAnsi="Times New Roman" w:cs="Times New Roman"/>
          <w:sz w:val="28"/>
          <w:lang w:val="es-ES"/>
        </w:rPr>
        <w:t xml:space="preserve"> </w:t>
      </w:r>
      <w:r w:rsidRPr="00C039F9">
        <w:rPr>
          <w:rFonts w:ascii="Times New Roman" w:hAnsi="Times New Roman" w:cs="Times New Roman"/>
          <w:b/>
          <w:bCs/>
          <w:sz w:val="28"/>
          <w:lang w:val="es-ES"/>
        </w:rPr>
        <w:t>El</w:t>
      </w:r>
      <w:r w:rsidRPr="00C039F9">
        <w:rPr>
          <w:rFonts w:ascii="Times New Roman" w:hAnsi="Times New Roman" w:cs="Times New Roman"/>
          <w:sz w:val="28"/>
          <w:lang w:val="es-ES"/>
        </w:rPr>
        <w:t xml:space="preserve"> </w:t>
      </w:r>
      <w:r w:rsidRPr="00C039F9">
        <w:rPr>
          <w:rFonts w:ascii="Times New Roman" w:hAnsi="Times New Roman" w:cs="Times New Roman"/>
          <w:b/>
          <w:bCs/>
          <w:sz w:val="28"/>
          <w:lang w:val="es-ES"/>
        </w:rPr>
        <w:t xml:space="preserve">hecho generador, </w:t>
      </w:r>
      <w:r w:rsidRPr="00C039F9">
        <w:rPr>
          <w:rFonts w:ascii="Times New Roman" w:hAnsi="Times New Roman" w:cs="Times New Roman"/>
          <w:bCs/>
          <w:sz w:val="28"/>
          <w:lang w:val="es-ES"/>
        </w:rPr>
        <w:t>que se refiere</w:t>
      </w:r>
      <w:r w:rsidRPr="00C039F9">
        <w:rPr>
          <w:rFonts w:ascii="Times New Roman" w:hAnsi="Times New Roman" w:cs="Times New Roman"/>
          <w:b/>
          <w:bCs/>
          <w:sz w:val="28"/>
          <w:lang w:val="es-ES"/>
        </w:rPr>
        <w:t xml:space="preserve"> </w:t>
      </w:r>
      <w:r w:rsidRPr="00C039F9">
        <w:rPr>
          <w:rFonts w:ascii="Times New Roman" w:hAnsi="Times New Roman" w:cs="Times New Roman"/>
          <w:sz w:val="28"/>
          <w:lang w:val="es-ES"/>
        </w:rPr>
        <w:t xml:space="preserve">a la situación de hecho indicadora de una capacidad contributiva, que la </w:t>
      </w:r>
      <w:r w:rsidRPr="00C039F9">
        <w:rPr>
          <w:rFonts w:ascii="Times New Roman" w:hAnsi="Times New Roman" w:cs="Times New Roman"/>
          <w:sz w:val="28"/>
          <w:lang w:val="es-ES"/>
        </w:rPr>
        <w:t>Ley establece en abstracto como una situación susceptible de generar la obligación tributaria</w:t>
      </w:r>
      <w:r w:rsidRPr="00C039F9">
        <w:rPr>
          <w:rFonts w:ascii="Times New Roman" w:hAnsi="Times New Roman" w:cs="Times New Roman"/>
          <w:sz w:val="28"/>
          <w:vertAlign w:val="superscript"/>
          <w:lang w:val="es-ES"/>
        </w:rPr>
        <w:footnoteReference w:id="20"/>
      </w:r>
      <w:r w:rsidRPr="00C039F9">
        <w:rPr>
          <w:rFonts w:ascii="Times New Roman" w:hAnsi="Times New Roman" w:cs="Times New Roman"/>
          <w:sz w:val="28"/>
          <w:lang w:val="es-ES"/>
        </w:rPr>
        <w:t>. En este sentido, si se realiza de forma concreta el presupuesto fáctico, nace al mundo jurídico la correspondiente obligación fiscal</w:t>
      </w:r>
      <w:r w:rsidRPr="00C039F9">
        <w:rPr>
          <w:rFonts w:ascii="Times New Roman" w:hAnsi="Times New Roman" w:cs="Times New Roman"/>
          <w:sz w:val="28"/>
          <w:vertAlign w:val="superscript"/>
          <w:lang w:val="es-ES"/>
        </w:rPr>
        <w:footnoteReference w:id="21"/>
      </w:r>
      <w:r w:rsidRPr="00C039F9">
        <w:rPr>
          <w:rFonts w:ascii="Times New Roman" w:hAnsi="Times New Roman" w:cs="Times New Roman"/>
          <w:sz w:val="28"/>
          <w:lang w:val="es-ES"/>
        </w:rPr>
        <w:t>»,</w:t>
      </w:r>
    </w:p>
    <w:p w:rsidR="00D6280D" w:rsidRPr="00C039F9" w:rsidRDefault="00C039F9" w:rsidP="00D6280D">
      <w:pPr>
        <w:ind w:right="51"/>
        <w:contextualSpacing/>
        <w:rPr>
          <w:rFonts w:ascii="Times New Roman" w:hAnsi="Times New Roman" w:cs="Times New Roman"/>
          <w:b/>
          <w:bCs/>
          <w:sz w:val="28"/>
          <w:szCs w:val="28"/>
        </w:rPr>
      </w:pPr>
    </w:p>
    <w:p w:rsidR="00D6280D" w:rsidRPr="00C039F9" w:rsidRDefault="00C039F9" w:rsidP="00DE30D7">
      <w:pPr>
        <w:pStyle w:val="Prrafodelista"/>
        <w:widowControl w:val="0"/>
        <w:numPr>
          <w:ilvl w:val="0"/>
          <w:numId w:val="2"/>
        </w:numPr>
        <w:suppressAutoHyphens/>
        <w:ind w:left="0" w:hanging="11"/>
        <w:rPr>
          <w:rFonts w:ascii="Times New Roman" w:hAnsi="Times New Roman" w:cs="Times New Roman"/>
          <w:b/>
          <w:bCs/>
          <w:sz w:val="28"/>
          <w:szCs w:val="28"/>
        </w:rPr>
      </w:pPr>
      <w:r w:rsidRPr="00C039F9">
        <w:rPr>
          <w:rFonts w:ascii="Times New Roman" w:hAnsi="Times New Roman" w:cs="Times New Roman"/>
          <w:sz w:val="28"/>
          <w:szCs w:val="28"/>
        </w:rPr>
        <w:t>Con arreglo a los princ</w:t>
      </w:r>
      <w:r w:rsidRPr="00C039F9">
        <w:rPr>
          <w:rFonts w:ascii="Times New Roman" w:hAnsi="Times New Roman" w:cs="Times New Roman"/>
          <w:sz w:val="28"/>
          <w:szCs w:val="28"/>
        </w:rPr>
        <w:t xml:space="preserve">ipios de legalidad y certeza fiscal, la totalidad de los elementos esenciales de los distintos tributos </w:t>
      </w:r>
      <w:r w:rsidRPr="00C039F9">
        <w:rPr>
          <w:rFonts w:ascii="Times New Roman" w:hAnsi="Times New Roman" w:cs="Times New Roman"/>
          <w:sz w:val="28"/>
          <w:szCs w:val="28"/>
        </w:rPr>
        <w:t xml:space="preserve">nacionales </w:t>
      </w:r>
      <w:r w:rsidRPr="00C039F9">
        <w:rPr>
          <w:rFonts w:ascii="Times New Roman" w:hAnsi="Times New Roman" w:cs="Times New Roman"/>
          <w:sz w:val="28"/>
          <w:szCs w:val="28"/>
        </w:rPr>
        <w:t>deben ser definidos con precisión por el legislador</w:t>
      </w:r>
      <w:r w:rsidRPr="00C039F9">
        <w:rPr>
          <w:rStyle w:val="Refdenotaalpie"/>
          <w:rFonts w:ascii="Times New Roman" w:hAnsi="Times New Roman" w:cs="Times New Roman"/>
          <w:sz w:val="28"/>
          <w:szCs w:val="28"/>
        </w:rPr>
        <w:footnoteReference w:id="22"/>
      </w:r>
      <w:r w:rsidRPr="00C039F9">
        <w:rPr>
          <w:rFonts w:ascii="Times New Roman" w:hAnsi="Times New Roman" w:cs="Times New Roman"/>
          <w:sz w:val="28"/>
          <w:szCs w:val="28"/>
        </w:rPr>
        <w:t xml:space="preserve">. No obstante, como se verá a continuación, la Constitución excepcionalmente permite que </w:t>
      </w:r>
      <w:r w:rsidRPr="00C039F9">
        <w:rPr>
          <w:rFonts w:ascii="Times New Roman" w:hAnsi="Times New Roman" w:cs="Times New Roman"/>
          <w:sz w:val="28"/>
          <w:szCs w:val="28"/>
        </w:rPr>
        <w:t>esta exigencia se vea atenuada parcialmente, en lo que toca con la determinación de las tarifas de algunos tributos.</w:t>
      </w:r>
    </w:p>
    <w:p w:rsidR="0019526E" w:rsidRPr="00C039F9" w:rsidRDefault="00C039F9" w:rsidP="00FB5479">
      <w:pPr>
        <w:ind w:right="51"/>
        <w:contextualSpacing/>
        <w:rPr>
          <w:rFonts w:ascii="Times New Roman" w:hAnsi="Times New Roman" w:cs="Times New Roman"/>
          <w:b/>
          <w:bCs/>
          <w:sz w:val="28"/>
          <w:szCs w:val="28"/>
        </w:rPr>
      </w:pPr>
    </w:p>
    <w:p w:rsidR="006646E9" w:rsidRPr="00C039F9" w:rsidRDefault="00C039F9" w:rsidP="00FB5479">
      <w:pPr>
        <w:ind w:right="51"/>
        <w:contextualSpacing/>
        <w:rPr>
          <w:rFonts w:ascii="Times New Roman" w:hAnsi="Times New Roman" w:cs="Times New Roman"/>
          <w:b/>
          <w:bCs/>
          <w:sz w:val="28"/>
          <w:szCs w:val="28"/>
        </w:rPr>
      </w:pPr>
      <w:r w:rsidRPr="00C039F9">
        <w:rPr>
          <w:rFonts w:ascii="Times New Roman" w:hAnsi="Times New Roman" w:cs="Times New Roman"/>
          <w:b/>
          <w:bCs/>
          <w:sz w:val="28"/>
          <w:szCs w:val="28"/>
        </w:rPr>
        <w:t>VI.II</w:t>
      </w:r>
      <w:r w:rsidRPr="00C039F9">
        <w:rPr>
          <w:rFonts w:ascii="Times New Roman" w:hAnsi="Times New Roman" w:cs="Times New Roman"/>
          <w:b/>
          <w:bCs/>
          <w:sz w:val="28"/>
          <w:szCs w:val="28"/>
        </w:rPr>
        <w:t>I</w:t>
      </w:r>
      <w:r w:rsidRPr="00C039F9">
        <w:rPr>
          <w:rFonts w:ascii="Times New Roman" w:hAnsi="Times New Roman" w:cs="Times New Roman"/>
          <w:b/>
          <w:bCs/>
          <w:sz w:val="28"/>
          <w:szCs w:val="28"/>
        </w:rPr>
        <w:tab/>
      </w:r>
      <w:r w:rsidRPr="00C039F9">
        <w:rPr>
          <w:rFonts w:ascii="Times New Roman" w:hAnsi="Times New Roman" w:cs="Times New Roman"/>
          <w:b/>
          <w:bCs/>
          <w:sz w:val="28"/>
          <w:szCs w:val="28"/>
        </w:rPr>
        <w:tab/>
      </w:r>
      <w:r w:rsidRPr="00C039F9">
        <w:rPr>
          <w:rFonts w:ascii="Times New Roman" w:hAnsi="Times New Roman" w:cs="Times New Roman"/>
          <w:b/>
          <w:bCs/>
          <w:sz w:val="28"/>
          <w:szCs w:val="28"/>
        </w:rPr>
        <w:t>La regulación constitucional sobre la fijación de</w:t>
      </w:r>
      <w:r w:rsidRPr="00C039F9">
        <w:rPr>
          <w:rFonts w:ascii="Times New Roman" w:hAnsi="Times New Roman" w:cs="Times New Roman"/>
          <w:b/>
          <w:bCs/>
          <w:sz w:val="28"/>
          <w:szCs w:val="28"/>
        </w:rPr>
        <w:t xml:space="preserve"> los elementos esenciales</w:t>
      </w:r>
      <w:r w:rsidRPr="00C039F9">
        <w:rPr>
          <w:rFonts w:ascii="Times New Roman" w:hAnsi="Times New Roman" w:cs="Times New Roman"/>
          <w:b/>
          <w:bCs/>
          <w:sz w:val="28"/>
          <w:szCs w:val="28"/>
        </w:rPr>
        <w:t xml:space="preserve"> de los tributos</w:t>
      </w:r>
      <w:r w:rsidRPr="00C039F9">
        <w:rPr>
          <w:rFonts w:ascii="Times New Roman" w:hAnsi="Times New Roman" w:cs="Times New Roman"/>
          <w:b/>
          <w:bCs/>
          <w:sz w:val="28"/>
          <w:szCs w:val="28"/>
        </w:rPr>
        <w:t xml:space="preserve"> </w:t>
      </w:r>
    </w:p>
    <w:p w:rsidR="00C143A6" w:rsidRPr="00C039F9" w:rsidRDefault="00C039F9" w:rsidP="00FB5479">
      <w:pPr>
        <w:ind w:right="51"/>
        <w:contextualSpacing/>
        <w:rPr>
          <w:rFonts w:ascii="Times New Roman" w:hAnsi="Times New Roman" w:cs="Times New Roman"/>
          <w:sz w:val="28"/>
          <w:szCs w:val="28"/>
        </w:rPr>
      </w:pPr>
    </w:p>
    <w:p w:rsidR="00DE30D7" w:rsidRPr="00C039F9" w:rsidRDefault="00C039F9" w:rsidP="00DE30D7">
      <w:pPr>
        <w:pStyle w:val="Prrafodelista"/>
        <w:widowControl w:val="0"/>
        <w:numPr>
          <w:ilvl w:val="0"/>
          <w:numId w:val="2"/>
        </w:numPr>
        <w:suppressAutoHyphens/>
        <w:ind w:left="0" w:hanging="11"/>
        <w:rPr>
          <w:rFonts w:ascii="Times New Roman" w:hAnsi="Times New Roman" w:cs="Times New Roman"/>
          <w:sz w:val="28"/>
          <w:szCs w:val="28"/>
        </w:rPr>
      </w:pPr>
      <w:r w:rsidRPr="00C039F9">
        <w:rPr>
          <w:rFonts w:ascii="Times New Roman" w:hAnsi="Times New Roman" w:cs="Times New Roman"/>
          <w:sz w:val="28"/>
          <w:szCs w:val="28"/>
        </w:rPr>
        <w:t>El artículo 338 superior prevé</w:t>
      </w:r>
      <w:r w:rsidRPr="00C039F9">
        <w:rPr>
          <w:rFonts w:ascii="Times New Roman" w:hAnsi="Times New Roman" w:cs="Times New Roman"/>
          <w:sz w:val="28"/>
          <w:szCs w:val="28"/>
        </w:rPr>
        <w:t xml:space="preserve"> en su </w:t>
      </w:r>
      <w:r w:rsidRPr="00C039F9">
        <w:rPr>
          <w:rFonts w:ascii="Times New Roman" w:hAnsi="Times New Roman" w:cs="Times New Roman"/>
          <w:sz w:val="28"/>
          <w:szCs w:val="28"/>
        </w:rPr>
        <w:t>inciso 1º</w:t>
      </w:r>
      <w:r w:rsidRPr="00C039F9">
        <w:rPr>
          <w:rFonts w:ascii="Times New Roman" w:hAnsi="Times New Roman" w:cs="Times New Roman"/>
          <w:sz w:val="28"/>
          <w:szCs w:val="28"/>
        </w:rPr>
        <w:t xml:space="preserve"> que</w:t>
      </w:r>
      <w:r w:rsidRPr="00C039F9">
        <w:rPr>
          <w:rFonts w:ascii="Times New Roman" w:hAnsi="Times New Roman" w:cs="Times New Roman"/>
          <w:sz w:val="28"/>
          <w:szCs w:val="28"/>
        </w:rPr>
        <w:t>,</w:t>
      </w:r>
      <w:r w:rsidRPr="00C039F9">
        <w:rPr>
          <w:rFonts w:ascii="Times New Roman" w:hAnsi="Times New Roman" w:cs="Times New Roman"/>
          <w:sz w:val="28"/>
          <w:szCs w:val="28"/>
        </w:rPr>
        <w:t xml:space="preserve"> </w:t>
      </w:r>
      <w:r w:rsidRPr="00C039F9">
        <w:rPr>
          <w:rFonts w:ascii="Times New Roman" w:hAnsi="Times New Roman" w:cs="Times New Roman"/>
          <w:sz w:val="28"/>
          <w:szCs w:val="28"/>
        </w:rPr>
        <w:t>de ordinario</w:t>
      </w:r>
      <w:r w:rsidRPr="00C039F9">
        <w:rPr>
          <w:rFonts w:ascii="Times New Roman" w:hAnsi="Times New Roman" w:cs="Times New Roman"/>
          <w:sz w:val="28"/>
          <w:szCs w:val="28"/>
        </w:rPr>
        <w:t>, «el Congreso, las asambleas departamentales y los concejos distritales y municipales [pue</w:t>
      </w:r>
      <w:r w:rsidRPr="00C039F9">
        <w:rPr>
          <w:rFonts w:ascii="Times New Roman" w:hAnsi="Times New Roman" w:cs="Times New Roman"/>
          <w:sz w:val="28"/>
          <w:szCs w:val="28"/>
        </w:rPr>
        <w:t>de</w:t>
      </w:r>
      <w:r w:rsidRPr="00C039F9">
        <w:rPr>
          <w:rFonts w:ascii="Times New Roman" w:hAnsi="Times New Roman" w:cs="Times New Roman"/>
          <w:sz w:val="28"/>
          <w:szCs w:val="28"/>
        </w:rPr>
        <w:t>n] imponer contribuciones fiscales o parafiscales»</w:t>
      </w:r>
      <w:r w:rsidRPr="00C039F9">
        <w:rPr>
          <w:rFonts w:ascii="Times New Roman" w:hAnsi="Times New Roman" w:cs="Times New Roman"/>
          <w:sz w:val="28"/>
          <w:szCs w:val="28"/>
        </w:rPr>
        <w:t>.</w:t>
      </w:r>
      <w:bookmarkStart w:id="15" w:name="_Ref55313561"/>
      <w:r w:rsidRPr="00C039F9">
        <w:rPr>
          <w:rFonts w:ascii="Times New Roman" w:hAnsi="Times New Roman" w:cs="Times New Roman"/>
          <w:sz w:val="28"/>
          <w:szCs w:val="28"/>
        </w:rPr>
        <w:t xml:space="preserve"> </w:t>
      </w:r>
      <w:bookmarkEnd w:id="15"/>
      <w:r w:rsidRPr="00C039F9">
        <w:rPr>
          <w:rFonts w:ascii="Times New Roman" w:hAnsi="Times New Roman" w:cs="Times New Roman"/>
          <w:sz w:val="28"/>
          <w:szCs w:val="28"/>
        </w:rPr>
        <w:t xml:space="preserve">Dicha norma constitucional también </w:t>
      </w:r>
      <w:r w:rsidRPr="00C039F9">
        <w:rPr>
          <w:rFonts w:ascii="Times New Roman" w:hAnsi="Times New Roman" w:cs="Times New Roman"/>
          <w:sz w:val="28"/>
          <w:szCs w:val="28"/>
        </w:rPr>
        <w:t>señala</w:t>
      </w:r>
      <w:r w:rsidRPr="00C039F9">
        <w:rPr>
          <w:rFonts w:ascii="Times New Roman" w:hAnsi="Times New Roman" w:cs="Times New Roman"/>
          <w:sz w:val="28"/>
          <w:szCs w:val="28"/>
        </w:rPr>
        <w:t xml:space="preserve"> </w:t>
      </w:r>
      <w:r w:rsidRPr="00C039F9">
        <w:rPr>
          <w:rFonts w:ascii="Times New Roman" w:hAnsi="Times New Roman" w:cs="Times New Roman"/>
          <w:sz w:val="28"/>
          <w:szCs w:val="28"/>
        </w:rPr>
        <w:t>que, por</w:t>
      </w:r>
      <w:r w:rsidRPr="00C039F9">
        <w:rPr>
          <w:rFonts w:ascii="Times New Roman" w:hAnsi="Times New Roman" w:cs="Times New Roman"/>
          <w:sz w:val="28"/>
          <w:szCs w:val="28"/>
        </w:rPr>
        <w:t xml:space="preserve"> </w:t>
      </w:r>
      <w:r w:rsidRPr="00C039F9">
        <w:rPr>
          <w:rFonts w:ascii="Times New Roman" w:hAnsi="Times New Roman" w:cs="Times New Roman"/>
          <w:sz w:val="28"/>
          <w:szCs w:val="28"/>
        </w:rPr>
        <w:t>lo general</w:t>
      </w:r>
      <w:r w:rsidRPr="00C039F9">
        <w:rPr>
          <w:rFonts w:ascii="Times New Roman" w:hAnsi="Times New Roman" w:cs="Times New Roman"/>
          <w:sz w:val="28"/>
          <w:szCs w:val="28"/>
        </w:rPr>
        <w:t xml:space="preserve">, </w:t>
      </w:r>
      <w:r w:rsidRPr="00C039F9">
        <w:rPr>
          <w:rFonts w:ascii="Times New Roman" w:hAnsi="Times New Roman" w:cs="Times New Roman"/>
          <w:sz w:val="28"/>
          <w:szCs w:val="28"/>
        </w:rPr>
        <w:t>sean</w:t>
      </w:r>
      <w:r w:rsidRPr="00C039F9">
        <w:rPr>
          <w:rFonts w:ascii="Times New Roman" w:hAnsi="Times New Roman" w:cs="Times New Roman"/>
          <w:sz w:val="28"/>
          <w:szCs w:val="28"/>
        </w:rPr>
        <w:t xml:space="preserve"> </w:t>
      </w:r>
      <w:r w:rsidRPr="00C039F9">
        <w:rPr>
          <w:rFonts w:ascii="Times New Roman" w:hAnsi="Times New Roman" w:cs="Times New Roman"/>
          <w:sz w:val="28"/>
          <w:szCs w:val="28"/>
        </w:rPr>
        <w:t>est</w:t>
      </w:r>
      <w:r w:rsidRPr="00C039F9">
        <w:rPr>
          <w:rFonts w:ascii="Times New Roman" w:hAnsi="Times New Roman" w:cs="Times New Roman"/>
          <w:sz w:val="28"/>
          <w:szCs w:val="28"/>
        </w:rPr>
        <w:t>a</w:t>
      </w:r>
      <w:r w:rsidRPr="00C039F9">
        <w:rPr>
          <w:rFonts w:ascii="Times New Roman" w:hAnsi="Times New Roman" w:cs="Times New Roman"/>
          <w:sz w:val="28"/>
          <w:szCs w:val="28"/>
        </w:rPr>
        <w:t>s</w:t>
      </w:r>
      <w:r w:rsidRPr="00C039F9">
        <w:rPr>
          <w:rFonts w:ascii="Times New Roman" w:hAnsi="Times New Roman" w:cs="Times New Roman"/>
          <w:sz w:val="28"/>
          <w:szCs w:val="28"/>
        </w:rPr>
        <w:t xml:space="preserve"> </w:t>
      </w:r>
      <w:r w:rsidRPr="00C039F9">
        <w:rPr>
          <w:rFonts w:ascii="Times New Roman" w:hAnsi="Times New Roman" w:cs="Times New Roman"/>
          <w:sz w:val="28"/>
          <w:szCs w:val="28"/>
        </w:rPr>
        <w:t>corporaciones</w:t>
      </w:r>
      <w:r w:rsidRPr="00C039F9">
        <w:rPr>
          <w:rFonts w:ascii="Times New Roman" w:hAnsi="Times New Roman" w:cs="Times New Roman"/>
          <w:sz w:val="28"/>
          <w:szCs w:val="28"/>
        </w:rPr>
        <w:t xml:space="preserve"> l</w:t>
      </w:r>
      <w:r w:rsidRPr="00C039F9">
        <w:rPr>
          <w:rFonts w:ascii="Times New Roman" w:hAnsi="Times New Roman" w:cs="Times New Roman"/>
          <w:sz w:val="28"/>
          <w:szCs w:val="28"/>
        </w:rPr>
        <w:t>a</w:t>
      </w:r>
      <w:r w:rsidRPr="00C039F9">
        <w:rPr>
          <w:rFonts w:ascii="Times New Roman" w:hAnsi="Times New Roman" w:cs="Times New Roman"/>
          <w:sz w:val="28"/>
          <w:szCs w:val="28"/>
        </w:rPr>
        <w:t xml:space="preserve">s que </w:t>
      </w:r>
      <w:r w:rsidRPr="00C039F9">
        <w:rPr>
          <w:rFonts w:ascii="Times New Roman" w:hAnsi="Times New Roman" w:cs="Times New Roman"/>
          <w:sz w:val="28"/>
          <w:szCs w:val="28"/>
        </w:rPr>
        <w:t>fijen</w:t>
      </w:r>
      <w:r w:rsidRPr="00C039F9">
        <w:rPr>
          <w:rFonts w:ascii="Times New Roman" w:hAnsi="Times New Roman" w:cs="Times New Roman"/>
          <w:sz w:val="28"/>
          <w:szCs w:val="28"/>
        </w:rPr>
        <w:t>,</w:t>
      </w:r>
      <w:r w:rsidRPr="00C039F9">
        <w:rPr>
          <w:rFonts w:ascii="Times New Roman" w:hAnsi="Times New Roman" w:cs="Times New Roman"/>
          <w:sz w:val="28"/>
          <w:szCs w:val="28"/>
        </w:rPr>
        <w:t xml:space="preserve"> directamente</w:t>
      </w:r>
      <w:r w:rsidRPr="00C039F9">
        <w:rPr>
          <w:rFonts w:ascii="Times New Roman" w:hAnsi="Times New Roman" w:cs="Times New Roman"/>
          <w:sz w:val="28"/>
          <w:szCs w:val="28"/>
        </w:rPr>
        <w:t>,</w:t>
      </w:r>
      <w:r w:rsidRPr="00C039F9">
        <w:rPr>
          <w:rFonts w:ascii="Times New Roman" w:hAnsi="Times New Roman" w:cs="Times New Roman"/>
          <w:sz w:val="28"/>
          <w:szCs w:val="28"/>
        </w:rPr>
        <w:t xml:space="preserve"> </w:t>
      </w:r>
      <w:r w:rsidRPr="00C039F9">
        <w:rPr>
          <w:rFonts w:ascii="Times New Roman" w:hAnsi="Times New Roman" w:cs="Times New Roman"/>
          <w:sz w:val="28"/>
          <w:szCs w:val="28"/>
        </w:rPr>
        <w:t>los</w:t>
      </w:r>
      <w:r w:rsidRPr="00C039F9">
        <w:rPr>
          <w:rFonts w:ascii="Times New Roman" w:hAnsi="Times New Roman" w:cs="Times New Roman"/>
          <w:sz w:val="28"/>
          <w:szCs w:val="28"/>
        </w:rPr>
        <w:t xml:space="preserve"> distintos elementos esenciales</w:t>
      </w:r>
      <w:r w:rsidRPr="00C039F9">
        <w:rPr>
          <w:rFonts w:ascii="Times New Roman" w:hAnsi="Times New Roman" w:cs="Times New Roman"/>
          <w:sz w:val="28"/>
          <w:szCs w:val="28"/>
        </w:rPr>
        <w:t xml:space="preserve"> de los </w:t>
      </w:r>
      <w:r w:rsidRPr="00C039F9">
        <w:rPr>
          <w:rFonts w:ascii="Times New Roman" w:hAnsi="Times New Roman" w:cs="Times New Roman"/>
          <w:i/>
          <w:iCs/>
          <w:sz w:val="28"/>
          <w:szCs w:val="28"/>
        </w:rPr>
        <w:t>impuestos</w:t>
      </w:r>
      <w:r w:rsidRPr="00C039F9">
        <w:rPr>
          <w:rFonts w:ascii="Times New Roman" w:hAnsi="Times New Roman" w:cs="Times New Roman"/>
          <w:sz w:val="28"/>
          <w:szCs w:val="28"/>
        </w:rPr>
        <w:t xml:space="preserve"> que crean</w:t>
      </w:r>
      <w:r w:rsidRPr="00C039F9">
        <w:rPr>
          <w:rFonts w:ascii="Times New Roman" w:hAnsi="Times New Roman" w:cs="Times New Roman"/>
          <w:sz w:val="28"/>
          <w:szCs w:val="28"/>
        </w:rPr>
        <w:t xml:space="preserve">; esto es, la fijación directa de </w:t>
      </w:r>
      <w:r w:rsidRPr="00C039F9">
        <w:rPr>
          <w:rFonts w:ascii="Times New Roman" w:hAnsi="Times New Roman" w:cs="Times New Roman"/>
          <w:sz w:val="28"/>
          <w:szCs w:val="28"/>
        </w:rPr>
        <w:t>sus</w:t>
      </w:r>
      <w:r w:rsidRPr="00C039F9">
        <w:rPr>
          <w:rFonts w:ascii="Times New Roman" w:hAnsi="Times New Roman" w:cs="Times New Roman"/>
          <w:sz w:val="28"/>
          <w:szCs w:val="28"/>
        </w:rPr>
        <w:t xml:space="preserve"> sujetos activos y pasivos, hechos gravados</w:t>
      </w:r>
      <w:r w:rsidRPr="00C039F9">
        <w:rPr>
          <w:rStyle w:val="Refdenotaalpie"/>
          <w:rFonts w:ascii="Times New Roman" w:hAnsi="Times New Roman" w:cs="Times New Roman"/>
          <w:sz w:val="28"/>
          <w:szCs w:val="28"/>
        </w:rPr>
        <w:footnoteReference w:id="23"/>
      </w:r>
      <w:r w:rsidRPr="00C039F9">
        <w:rPr>
          <w:rFonts w:ascii="Times New Roman" w:hAnsi="Times New Roman" w:cs="Times New Roman"/>
          <w:sz w:val="28"/>
          <w:szCs w:val="28"/>
        </w:rPr>
        <w:t>, bases gravables y tarifas</w:t>
      </w:r>
      <w:r w:rsidRPr="00C039F9">
        <w:rPr>
          <w:rFonts w:ascii="Times New Roman" w:hAnsi="Times New Roman" w:cs="Times New Roman"/>
          <w:sz w:val="28"/>
          <w:szCs w:val="28"/>
        </w:rPr>
        <w:t xml:space="preserve">. </w:t>
      </w:r>
      <w:r w:rsidRPr="00C039F9">
        <w:rPr>
          <w:rFonts w:ascii="Times New Roman" w:hAnsi="Times New Roman" w:cs="Times New Roman"/>
          <w:sz w:val="28"/>
          <w:szCs w:val="28"/>
        </w:rPr>
        <w:t>Se trata de</w:t>
      </w:r>
      <w:r w:rsidRPr="00C039F9">
        <w:rPr>
          <w:rFonts w:ascii="Times New Roman" w:hAnsi="Times New Roman" w:cs="Times New Roman"/>
          <w:sz w:val="28"/>
          <w:szCs w:val="28"/>
        </w:rPr>
        <w:t xml:space="preserve"> lo que la jurisprudencia </w:t>
      </w:r>
      <w:r w:rsidRPr="00C039F9">
        <w:rPr>
          <w:rFonts w:ascii="Times New Roman" w:hAnsi="Times New Roman" w:cs="Times New Roman"/>
          <w:sz w:val="28"/>
          <w:szCs w:val="28"/>
        </w:rPr>
        <w:t>conoce com</w:t>
      </w:r>
      <w:r w:rsidRPr="00C039F9">
        <w:rPr>
          <w:rFonts w:ascii="Times New Roman" w:hAnsi="Times New Roman" w:cs="Times New Roman"/>
          <w:sz w:val="28"/>
          <w:szCs w:val="28"/>
        </w:rPr>
        <w:t>o</w:t>
      </w:r>
      <w:r w:rsidRPr="00C039F9">
        <w:rPr>
          <w:rFonts w:ascii="Times New Roman" w:hAnsi="Times New Roman" w:cs="Times New Roman"/>
          <w:i/>
          <w:iCs/>
          <w:sz w:val="28"/>
          <w:szCs w:val="28"/>
          <w:shd w:val="clear" w:color="auto" w:fill="FFFFFF"/>
        </w:rPr>
        <w:t xml:space="preserve"> </w:t>
      </w:r>
      <w:r w:rsidRPr="00C039F9">
        <w:rPr>
          <w:rFonts w:ascii="Times New Roman" w:hAnsi="Times New Roman" w:cs="Times New Roman"/>
          <w:sz w:val="28"/>
          <w:szCs w:val="28"/>
          <w:shd w:val="clear" w:color="auto" w:fill="FFFFFF"/>
        </w:rPr>
        <w:t xml:space="preserve">el principio de la </w:t>
      </w:r>
      <w:r w:rsidRPr="00C039F9">
        <w:rPr>
          <w:rFonts w:ascii="Times New Roman" w:hAnsi="Times New Roman" w:cs="Times New Roman"/>
          <w:sz w:val="28"/>
          <w:szCs w:val="28"/>
          <w:shd w:val="clear" w:color="auto" w:fill="FFFFFF"/>
        </w:rPr>
        <w:t>«</w:t>
      </w:r>
      <w:r w:rsidRPr="00C039F9">
        <w:rPr>
          <w:rFonts w:ascii="Times New Roman" w:hAnsi="Times New Roman" w:cs="Times New Roman"/>
          <w:sz w:val="28"/>
          <w:szCs w:val="28"/>
          <w:shd w:val="clear" w:color="auto" w:fill="FFFFFF"/>
        </w:rPr>
        <w:t>predeterminación de los tributos</w:t>
      </w:r>
      <w:r w:rsidRPr="00C039F9">
        <w:rPr>
          <w:rFonts w:ascii="Times New Roman" w:hAnsi="Times New Roman" w:cs="Times New Roman"/>
          <w:sz w:val="28"/>
          <w:szCs w:val="28"/>
          <w:shd w:val="clear" w:color="auto" w:fill="FFFFFF"/>
        </w:rPr>
        <w:t>»</w:t>
      </w:r>
      <w:r w:rsidRPr="00C039F9">
        <w:rPr>
          <w:rFonts w:ascii="Times New Roman" w:hAnsi="Times New Roman" w:cs="Times New Roman"/>
          <w:sz w:val="28"/>
          <w:szCs w:val="28"/>
          <w:shd w:val="clear" w:color="auto" w:fill="FFFFFF"/>
        </w:rPr>
        <w:t xml:space="preserve">, </w:t>
      </w:r>
      <w:r w:rsidRPr="00C039F9">
        <w:rPr>
          <w:rFonts w:ascii="Times New Roman" w:hAnsi="Times New Roman" w:cs="Times New Roman"/>
          <w:sz w:val="28"/>
          <w:szCs w:val="28"/>
          <w:shd w:val="clear" w:color="auto" w:fill="FFFFFF"/>
        </w:rPr>
        <w:t>según e</w:t>
      </w:r>
      <w:r w:rsidRPr="00C039F9">
        <w:rPr>
          <w:rFonts w:ascii="Times New Roman" w:hAnsi="Times New Roman" w:cs="Times New Roman"/>
          <w:sz w:val="28"/>
          <w:szCs w:val="28"/>
          <w:shd w:val="clear" w:color="auto" w:fill="FFFFFF"/>
        </w:rPr>
        <w:t>l</w:t>
      </w:r>
      <w:r w:rsidRPr="00C039F9">
        <w:rPr>
          <w:rFonts w:ascii="Times New Roman" w:hAnsi="Times New Roman" w:cs="Times New Roman"/>
          <w:sz w:val="28"/>
          <w:szCs w:val="28"/>
          <w:shd w:val="clear" w:color="auto" w:fill="FFFFFF"/>
        </w:rPr>
        <w:t xml:space="preserve"> cual el legislador tributario debe «[fija[r]</w:t>
      </w:r>
      <w:r w:rsidRPr="00C039F9">
        <w:rPr>
          <w:rFonts w:ascii="Times New Roman" w:hAnsi="Times New Roman" w:cs="Times New Roman"/>
          <w:sz w:val="28"/>
          <w:szCs w:val="28"/>
          <w:shd w:val="clear" w:color="auto" w:fill="FFFFFF"/>
        </w:rPr>
        <w:t xml:space="preserve"> los elementos mínimos que debe contener el acto jurídico que impone la contribución para poder ser válido, puesto que ordena que tal acto debe señalar los sujetos activo y pasivo de la obligación tributaria, así como los hechos, las bases gravables y las </w:t>
      </w:r>
      <w:r w:rsidRPr="00C039F9">
        <w:rPr>
          <w:rFonts w:ascii="Times New Roman" w:hAnsi="Times New Roman" w:cs="Times New Roman"/>
          <w:sz w:val="28"/>
          <w:szCs w:val="28"/>
          <w:shd w:val="clear" w:color="auto" w:fill="FFFFFF"/>
        </w:rPr>
        <w:t>tarifas»</w:t>
      </w:r>
      <w:r w:rsidRPr="00C039F9">
        <w:rPr>
          <w:rStyle w:val="Refdenotaalpie"/>
          <w:rFonts w:ascii="Times New Roman" w:hAnsi="Times New Roman" w:cs="Times New Roman"/>
          <w:sz w:val="28"/>
          <w:szCs w:val="28"/>
          <w:shd w:val="clear" w:color="auto" w:fill="FFFFFF"/>
        </w:rPr>
        <w:footnoteReference w:id="24"/>
      </w:r>
      <w:r w:rsidRPr="00C039F9">
        <w:rPr>
          <w:rFonts w:ascii="Times New Roman" w:hAnsi="Times New Roman" w:cs="Times New Roman"/>
          <w:sz w:val="28"/>
          <w:szCs w:val="28"/>
          <w:shd w:val="clear" w:color="auto" w:fill="FFFFFF"/>
        </w:rPr>
        <w:t>.</w:t>
      </w:r>
    </w:p>
    <w:p w:rsidR="00DE30D7" w:rsidRPr="00C039F9" w:rsidRDefault="00C039F9" w:rsidP="00DE30D7">
      <w:pPr>
        <w:pStyle w:val="Prrafodelista"/>
        <w:widowControl w:val="0"/>
        <w:suppressAutoHyphens/>
        <w:ind w:left="0"/>
        <w:rPr>
          <w:rFonts w:ascii="Times New Roman" w:hAnsi="Times New Roman" w:cs="Times New Roman"/>
          <w:sz w:val="28"/>
          <w:szCs w:val="28"/>
        </w:rPr>
      </w:pPr>
    </w:p>
    <w:p w:rsidR="00DE30D7" w:rsidRPr="00C039F9" w:rsidRDefault="00C039F9" w:rsidP="00DE30D7">
      <w:pPr>
        <w:pStyle w:val="Prrafodelista"/>
        <w:widowControl w:val="0"/>
        <w:numPr>
          <w:ilvl w:val="0"/>
          <w:numId w:val="2"/>
        </w:numPr>
        <w:suppressAutoHyphens/>
        <w:ind w:left="0" w:hanging="11"/>
        <w:rPr>
          <w:rFonts w:ascii="Times New Roman" w:hAnsi="Times New Roman" w:cs="Times New Roman"/>
          <w:sz w:val="28"/>
          <w:szCs w:val="28"/>
        </w:rPr>
      </w:pPr>
      <w:r w:rsidRPr="00C039F9">
        <w:rPr>
          <w:rFonts w:ascii="Times New Roman" w:hAnsi="Times New Roman" w:cs="Times New Roman"/>
          <w:sz w:val="28"/>
          <w:szCs w:val="28"/>
        </w:rPr>
        <w:t>No obstante</w:t>
      </w:r>
      <w:r w:rsidRPr="00C039F9">
        <w:rPr>
          <w:rFonts w:ascii="Times New Roman" w:hAnsi="Times New Roman" w:cs="Times New Roman"/>
          <w:sz w:val="28"/>
          <w:szCs w:val="28"/>
        </w:rPr>
        <w:t xml:space="preserve">, </w:t>
      </w:r>
      <w:r w:rsidRPr="00C039F9">
        <w:rPr>
          <w:rFonts w:ascii="Times New Roman" w:hAnsi="Times New Roman" w:cs="Times New Roman"/>
          <w:sz w:val="28"/>
          <w:szCs w:val="28"/>
        </w:rPr>
        <w:t xml:space="preserve">en lo que </w:t>
      </w:r>
      <w:r w:rsidRPr="00C039F9">
        <w:rPr>
          <w:rFonts w:ascii="Times New Roman" w:hAnsi="Times New Roman" w:cs="Times New Roman"/>
          <w:sz w:val="28"/>
          <w:szCs w:val="28"/>
        </w:rPr>
        <w:t xml:space="preserve">se </w:t>
      </w:r>
      <w:r w:rsidRPr="00C039F9">
        <w:rPr>
          <w:rFonts w:ascii="Times New Roman" w:hAnsi="Times New Roman" w:cs="Times New Roman"/>
          <w:sz w:val="28"/>
          <w:szCs w:val="28"/>
        </w:rPr>
        <w:t>refiere a</w:t>
      </w:r>
      <w:r w:rsidRPr="00C039F9">
        <w:rPr>
          <w:rFonts w:ascii="Times New Roman" w:hAnsi="Times New Roman" w:cs="Times New Roman"/>
          <w:sz w:val="28"/>
          <w:szCs w:val="28"/>
        </w:rPr>
        <w:t xml:space="preserve"> las tasas</w:t>
      </w:r>
      <w:r w:rsidRPr="00C039F9">
        <w:rPr>
          <w:rFonts w:ascii="Times New Roman" w:hAnsi="Times New Roman" w:cs="Times New Roman"/>
          <w:sz w:val="28"/>
          <w:szCs w:val="28"/>
        </w:rPr>
        <w:t xml:space="preserve"> </w:t>
      </w:r>
      <w:r w:rsidRPr="00C039F9">
        <w:rPr>
          <w:rFonts w:ascii="Times New Roman" w:hAnsi="Times New Roman" w:cs="Times New Roman"/>
          <w:sz w:val="28"/>
          <w:szCs w:val="28"/>
        </w:rPr>
        <w:t xml:space="preserve">y </w:t>
      </w:r>
      <w:r w:rsidRPr="00C039F9">
        <w:rPr>
          <w:rFonts w:ascii="Times New Roman" w:hAnsi="Times New Roman" w:cs="Times New Roman"/>
          <w:sz w:val="28"/>
          <w:szCs w:val="28"/>
          <w:shd w:val="clear" w:color="auto" w:fill="FFFFFF"/>
        </w:rPr>
        <w:t>contribuciones</w:t>
      </w:r>
      <w:r w:rsidRPr="00C039F9">
        <w:rPr>
          <w:rFonts w:ascii="Times New Roman" w:hAnsi="Times New Roman" w:cs="Times New Roman"/>
          <w:sz w:val="28"/>
          <w:szCs w:val="28"/>
          <w:shd w:val="clear" w:color="auto" w:fill="FFFFFF"/>
        </w:rPr>
        <w:t xml:space="preserve">, </w:t>
      </w:r>
      <w:r w:rsidRPr="00C039F9">
        <w:rPr>
          <w:rFonts w:ascii="Times New Roman" w:hAnsi="Times New Roman" w:cs="Times New Roman"/>
          <w:sz w:val="28"/>
          <w:szCs w:val="28"/>
          <w:bdr w:val="none" w:sz="0" w:space="0" w:color="auto" w:frame="1"/>
        </w:rPr>
        <w:t>el</w:t>
      </w:r>
      <w:r w:rsidRPr="00C039F9">
        <w:rPr>
          <w:rFonts w:ascii="Times New Roman" w:hAnsi="Times New Roman" w:cs="Times New Roman"/>
          <w:sz w:val="28"/>
          <w:szCs w:val="28"/>
          <w:bdr w:val="none" w:sz="0" w:space="0" w:color="auto" w:frame="1"/>
        </w:rPr>
        <w:t xml:space="preserve"> inciso 2º del mismo artículo 338 </w:t>
      </w:r>
      <w:r w:rsidRPr="00C039F9">
        <w:rPr>
          <w:rFonts w:ascii="Times New Roman" w:hAnsi="Times New Roman" w:cs="Times New Roman"/>
          <w:sz w:val="28"/>
          <w:szCs w:val="28"/>
          <w:bdr w:val="none" w:sz="0" w:space="0" w:color="auto" w:frame="1"/>
        </w:rPr>
        <w:t>superior</w:t>
      </w:r>
      <w:r w:rsidRPr="00C039F9">
        <w:rPr>
          <w:rFonts w:ascii="Times New Roman" w:hAnsi="Times New Roman" w:cs="Times New Roman"/>
          <w:sz w:val="28"/>
          <w:szCs w:val="28"/>
          <w:bdr w:val="none" w:sz="0" w:space="0" w:color="auto" w:frame="1"/>
        </w:rPr>
        <w:t xml:space="preserve"> flexibiliza la rigidez </w:t>
      </w:r>
      <w:r w:rsidRPr="00C039F9">
        <w:rPr>
          <w:rFonts w:ascii="Times New Roman" w:hAnsi="Times New Roman" w:cs="Times New Roman"/>
          <w:sz w:val="28"/>
          <w:szCs w:val="28"/>
          <w:bdr w:val="none" w:sz="0" w:space="0" w:color="auto" w:frame="1"/>
        </w:rPr>
        <w:t>del mencionado principio de predeterminación</w:t>
      </w:r>
      <w:r w:rsidRPr="00C039F9">
        <w:rPr>
          <w:rStyle w:val="Refdenotaalpie"/>
          <w:rFonts w:ascii="Times New Roman" w:hAnsi="Times New Roman" w:cs="Times New Roman"/>
          <w:sz w:val="28"/>
          <w:szCs w:val="28"/>
          <w:bdr w:val="none" w:sz="0" w:space="0" w:color="auto" w:frame="1"/>
        </w:rPr>
        <w:footnoteReference w:id="25"/>
      </w:r>
      <w:r w:rsidRPr="00C039F9">
        <w:rPr>
          <w:rFonts w:ascii="Times New Roman" w:hAnsi="Times New Roman" w:cs="Times New Roman"/>
          <w:sz w:val="28"/>
          <w:szCs w:val="28"/>
          <w:bdr w:val="none" w:sz="0" w:space="0" w:color="auto" w:frame="1"/>
        </w:rPr>
        <w:t>. En efecto, a diferencia de</w:t>
      </w:r>
      <w:r w:rsidRPr="00C039F9">
        <w:rPr>
          <w:rFonts w:ascii="Times New Roman" w:hAnsi="Times New Roman" w:cs="Times New Roman"/>
          <w:sz w:val="28"/>
          <w:szCs w:val="28"/>
          <w:bdr w:val="none" w:sz="0" w:space="0" w:color="auto" w:frame="1"/>
        </w:rPr>
        <w:t xml:space="preserve"> </w:t>
      </w:r>
      <w:r w:rsidRPr="00C039F9">
        <w:rPr>
          <w:rFonts w:ascii="Times New Roman" w:hAnsi="Times New Roman" w:cs="Times New Roman"/>
          <w:sz w:val="28"/>
          <w:szCs w:val="28"/>
          <w:bdr w:val="none" w:sz="0" w:space="0" w:color="auto" w:frame="1"/>
        </w:rPr>
        <w:t>los impuestos</w:t>
      </w:r>
      <w:r w:rsidRPr="00C039F9">
        <w:rPr>
          <w:rFonts w:ascii="Times New Roman" w:hAnsi="Times New Roman" w:cs="Times New Roman"/>
          <w:sz w:val="28"/>
          <w:szCs w:val="28"/>
          <w:bdr w:val="none" w:sz="0" w:space="0" w:color="auto" w:frame="1"/>
        </w:rPr>
        <w:t>, la Constitución</w:t>
      </w:r>
      <w:r w:rsidRPr="00C039F9">
        <w:rPr>
          <w:rFonts w:ascii="Times New Roman" w:hAnsi="Times New Roman" w:cs="Times New Roman"/>
          <w:sz w:val="28"/>
          <w:szCs w:val="28"/>
          <w:bdr w:val="none" w:sz="0" w:space="0" w:color="auto" w:frame="1"/>
        </w:rPr>
        <w:t xml:space="preserve"> Política</w:t>
      </w:r>
      <w:r w:rsidRPr="00C039F9">
        <w:rPr>
          <w:rFonts w:ascii="Times New Roman" w:hAnsi="Times New Roman" w:cs="Times New Roman"/>
          <w:sz w:val="28"/>
          <w:szCs w:val="28"/>
          <w:bdr w:val="none" w:sz="0" w:space="0" w:color="auto" w:frame="1"/>
        </w:rPr>
        <w:t xml:space="preserve"> </w:t>
      </w:r>
      <w:r w:rsidRPr="00C039F9">
        <w:rPr>
          <w:rFonts w:ascii="Times New Roman" w:hAnsi="Times New Roman" w:cs="Times New Roman"/>
          <w:sz w:val="28"/>
          <w:szCs w:val="28"/>
          <w:bdr w:val="none" w:sz="0" w:space="0" w:color="auto" w:frame="1"/>
        </w:rPr>
        <w:t xml:space="preserve">autoriza </w:t>
      </w:r>
      <w:r w:rsidRPr="00C039F9">
        <w:rPr>
          <w:rFonts w:ascii="Times New Roman" w:hAnsi="Times New Roman" w:cs="Times New Roman"/>
          <w:sz w:val="28"/>
          <w:szCs w:val="28"/>
          <w:bdr w:val="none" w:sz="0" w:space="0" w:color="auto" w:frame="1"/>
        </w:rPr>
        <w:t>que el</w:t>
      </w:r>
      <w:r w:rsidRPr="00C039F9">
        <w:rPr>
          <w:rFonts w:ascii="Times New Roman" w:hAnsi="Times New Roman" w:cs="Times New Roman"/>
          <w:sz w:val="28"/>
          <w:szCs w:val="28"/>
          <w:bdr w:val="none" w:sz="0" w:space="0" w:color="auto" w:frame="1"/>
        </w:rPr>
        <w:t xml:space="preserve"> Congreso, las asambleas departamentales y</w:t>
      </w:r>
      <w:r w:rsidRPr="00C039F9">
        <w:rPr>
          <w:rFonts w:ascii="Times New Roman" w:hAnsi="Times New Roman" w:cs="Times New Roman"/>
          <w:sz w:val="28"/>
          <w:szCs w:val="28"/>
          <w:bdr w:val="none" w:sz="0" w:space="0" w:color="auto" w:frame="1"/>
        </w:rPr>
        <w:t xml:space="preserve"> los</w:t>
      </w:r>
      <w:r w:rsidRPr="00C039F9">
        <w:rPr>
          <w:rFonts w:ascii="Times New Roman" w:hAnsi="Times New Roman" w:cs="Times New Roman"/>
          <w:sz w:val="28"/>
          <w:szCs w:val="28"/>
          <w:bdr w:val="none" w:sz="0" w:space="0" w:color="auto" w:frame="1"/>
        </w:rPr>
        <w:t xml:space="preserve"> concejos municipales y distritales </w:t>
      </w:r>
      <w:r w:rsidRPr="00C039F9">
        <w:rPr>
          <w:rFonts w:ascii="Times New Roman" w:hAnsi="Times New Roman" w:cs="Times New Roman"/>
          <w:sz w:val="28"/>
          <w:szCs w:val="28"/>
          <w:bdr w:val="none" w:sz="0" w:space="0" w:color="auto" w:frame="1"/>
        </w:rPr>
        <w:t>deleguen en otras autoridades la fijación de</w:t>
      </w:r>
      <w:r w:rsidRPr="00C039F9">
        <w:rPr>
          <w:rFonts w:ascii="Times New Roman" w:hAnsi="Times New Roman" w:cs="Times New Roman"/>
          <w:sz w:val="28"/>
          <w:szCs w:val="28"/>
          <w:bdr w:val="none" w:sz="0" w:space="0" w:color="auto" w:frame="1"/>
        </w:rPr>
        <w:t xml:space="preserve"> la</w:t>
      </w:r>
      <w:r w:rsidRPr="00C039F9">
        <w:rPr>
          <w:rFonts w:ascii="Times New Roman" w:hAnsi="Times New Roman" w:cs="Times New Roman"/>
          <w:sz w:val="28"/>
          <w:szCs w:val="28"/>
          <w:bdr w:val="none" w:sz="0" w:space="0" w:color="auto" w:frame="1"/>
        </w:rPr>
        <w:t xml:space="preserve"> </w:t>
      </w:r>
      <w:r w:rsidRPr="00C039F9">
        <w:rPr>
          <w:rFonts w:ascii="Times New Roman" w:hAnsi="Times New Roman" w:cs="Times New Roman"/>
          <w:sz w:val="28"/>
          <w:szCs w:val="28"/>
          <w:bdr w:val="none" w:sz="0" w:space="0" w:color="auto" w:frame="1"/>
        </w:rPr>
        <w:t>tarifa de las tasas y contribuciones</w:t>
      </w:r>
      <w:r w:rsidRPr="00C039F9">
        <w:rPr>
          <w:rFonts w:ascii="Times New Roman" w:hAnsi="Times New Roman" w:cs="Times New Roman"/>
          <w:sz w:val="28"/>
          <w:szCs w:val="28"/>
          <w:bdr w:val="none" w:sz="0" w:space="0" w:color="auto" w:frame="1"/>
        </w:rPr>
        <w:t>; esto,</w:t>
      </w:r>
      <w:r w:rsidRPr="00C039F9">
        <w:rPr>
          <w:rFonts w:ascii="Times New Roman" w:hAnsi="Times New Roman" w:cs="Times New Roman"/>
          <w:sz w:val="28"/>
          <w:szCs w:val="28"/>
          <w:bdr w:val="none" w:sz="0" w:space="0" w:color="auto" w:frame="1"/>
        </w:rPr>
        <w:t xml:space="preserve"> </w:t>
      </w:r>
      <w:r w:rsidRPr="00C039F9">
        <w:rPr>
          <w:rFonts w:ascii="Times New Roman" w:hAnsi="Times New Roman" w:cs="Times New Roman"/>
          <w:sz w:val="28"/>
          <w:szCs w:val="28"/>
          <w:bdr w:val="none" w:sz="0" w:space="0" w:color="auto" w:frame="1"/>
        </w:rPr>
        <w:t xml:space="preserve">siempre y cuando el </w:t>
      </w:r>
      <w:r w:rsidRPr="00C039F9">
        <w:rPr>
          <w:rFonts w:ascii="Times New Roman" w:hAnsi="Times New Roman" w:cs="Times New Roman"/>
          <w:b/>
          <w:bCs/>
          <w:sz w:val="28"/>
          <w:szCs w:val="28"/>
          <w:bdr w:val="none" w:sz="0" w:space="0" w:color="auto" w:frame="1"/>
        </w:rPr>
        <w:t>sistema</w:t>
      </w:r>
      <w:r w:rsidRPr="00C039F9">
        <w:rPr>
          <w:rFonts w:ascii="Times New Roman" w:hAnsi="Times New Roman" w:cs="Times New Roman"/>
          <w:sz w:val="28"/>
          <w:szCs w:val="28"/>
          <w:bdr w:val="none" w:sz="0" w:space="0" w:color="auto" w:frame="1"/>
        </w:rPr>
        <w:t xml:space="preserve"> y el </w:t>
      </w:r>
      <w:r w:rsidRPr="00C039F9">
        <w:rPr>
          <w:rFonts w:ascii="Times New Roman" w:hAnsi="Times New Roman" w:cs="Times New Roman"/>
          <w:b/>
          <w:bCs/>
          <w:sz w:val="28"/>
          <w:szCs w:val="28"/>
          <w:bdr w:val="none" w:sz="0" w:space="0" w:color="auto" w:frame="1"/>
        </w:rPr>
        <w:t>método</w:t>
      </w:r>
      <w:r w:rsidRPr="00C039F9">
        <w:rPr>
          <w:rFonts w:ascii="Times New Roman" w:hAnsi="Times New Roman" w:cs="Times New Roman"/>
          <w:sz w:val="28"/>
          <w:szCs w:val="28"/>
          <w:bdr w:val="none" w:sz="0" w:space="0" w:color="auto" w:frame="1"/>
        </w:rPr>
        <w:t xml:space="preserve"> utilizados para definir los costos y beneficios</w:t>
      </w:r>
      <w:r w:rsidRPr="00C039F9">
        <w:rPr>
          <w:rFonts w:ascii="Times New Roman" w:hAnsi="Times New Roman" w:cs="Times New Roman"/>
          <w:sz w:val="28"/>
          <w:szCs w:val="28"/>
          <w:bdr w:val="none" w:sz="0" w:space="0" w:color="auto" w:frame="1"/>
        </w:rPr>
        <w:t xml:space="preserve"> de los correspondiente servicios, autorizaciones y obras, así como su repartición, sea</w:t>
      </w:r>
      <w:r w:rsidRPr="00C039F9">
        <w:rPr>
          <w:rFonts w:ascii="Times New Roman" w:hAnsi="Times New Roman" w:cs="Times New Roman"/>
          <w:sz w:val="28"/>
          <w:szCs w:val="28"/>
          <w:bdr w:val="none" w:sz="0" w:space="0" w:color="auto" w:frame="1"/>
        </w:rPr>
        <w:t>n</w:t>
      </w:r>
      <w:r w:rsidRPr="00C039F9">
        <w:rPr>
          <w:rFonts w:ascii="Times New Roman" w:hAnsi="Times New Roman" w:cs="Times New Roman"/>
          <w:sz w:val="28"/>
          <w:szCs w:val="28"/>
          <w:bdr w:val="none" w:sz="0" w:space="0" w:color="auto" w:frame="1"/>
        </w:rPr>
        <w:t xml:space="preserve"> directamente fijado</w:t>
      </w:r>
      <w:r w:rsidRPr="00C039F9">
        <w:rPr>
          <w:rFonts w:ascii="Times New Roman" w:hAnsi="Times New Roman" w:cs="Times New Roman"/>
          <w:sz w:val="28"/>
          <w:szCs w:val="28"/>
          <w:bdr w:val="none" w:sz="0" w:space="0" w:color="auto" w:frame="1"/>
        </w:rPr>
        <w:t>s</w:t>
      </w:r>
      <w:r w:rsidRPr="00C039F9">
        <w:rPr>
          <w:rFonts w:ascii="Times New Roman" w:hAnsi="Times New Roman" w:cs="Times New Roman"/>
          <w:sz w:val="28"/>
          <w:szCs w:val="28"/>
          <w:bdr w:val="none" w:sz="0" w:space="0" w:color="auto" w:frame="1"/>
        </w:rPr>
        <w:t xml:space="preserve"> por </w:t>
      </w:r>
      <w:r w:rsidRPr="00C039F9">
        <w:rPr>
          <w:rFonts w:ascii="Times New Roman" w:hAnsi="Times New Roman" w:cs="Times New Roman"/>
          <w:sz w:val="28"/>
          <w:szCs w:val="28"/>
          <w:bdr w:val="none" w:sz="0" w:space="0" w:color="auto" w:frame="1"/>
        </w:rPr>
        <w:t>dich</w:t>
      </w:r>
      <w:r w:rsidRPr="00C039F9">
        <w:rPr>
          <w:rFonts w:ascii="Times New Roman" w:hAnsi="Times New Roman" w:cs="Times New Roman"/>
          <w:sz w:val="28"/>
          <w:szCs w:val="28"/>
          <w:bdr w:val="none" w:sz="0" w:space="0" w:color="auto" w:frame="1"/>
        </w:rPr>
        <w:t>a</w:t>
      </w:r>
      <w:r w:rsidRPr="00C039F9">
        <w:rPr>
          <w:rFonts w:ascii="Times New Roman" w:hAnsi="Times New Roman" w:cs="Times New Roman"/>
          <w:sz w:val="28"/>
          <w:szCs w:val="28"/>
          <w:bdr w:val="none" w:sz="0" w:space="0" w:color="auto" w:frame="1"/>
        </w:rPr>
        <w:t xml:space="preserve">s </w:t>
      </w:r>
      <w:r w:rsidRPr="00C039F9">
        <w:rPr>
          <w:rFonts w:ascii="Times New Roman" w:hAnsi="Times New Roman" w:cs="Times New Roman"/>
          <w:sz w:val="28"/>
          <w:szCs w:val="28"/>
          <w:bdr w:val="none" w:sz="0" w:space="0" w:color="auto" w:frame="1"/>
        </w:rPr>
        <w:t>corporaciones</w:t>
      </w:r>
      <w:r w:rsidRPr="00C039F9">
        <w:rPr>
          <w:rFonts w:ascii="Times New Roman" w:hAnsi="Times New Roman" w:cs="Times New Roman"/>
          <w:sz w:val="28"/>
          <w:szCs w:val="28"/>
          <w:bdr w:val="none" w:sz="0" w:space="0" w:color="auto" w:frame="1"/>
        </w:rPr>
        <w:t xml:space="preserve"> </w:t>
      </w:r>
      <w:r w:rsidRPr="00C039F9">
        <w:rPr>
          <w:rFonts w:ascii="Times New Roman" w:hAnsi="Times New Roman" w:cs="Times New Roman"/>
          <w:sz w:val="28"/>
          <w:szCs w:val="28"/>
          <w:bdr w:val="none" w:sz="0" w:space="0" w:color="auto" w:frame="1"/>
        </w:rPr>
        <w:t xml:space="preserve">mediante ley nacional, ordenanza departamental </w:t>
      </w:r>
      <w:r w:rsidRPr="00C039F9">
        <w:rPr>
          <w:rFonts w:ascii="Times New Roman" w:hAnsi="Times New Roman" w:cs="Times New Roman"/>
          <w:sz w:val="28"/>
          <w:szCs w:val="28"/>
          <w:bdr w:val="none" w:sz="0" w:space="0" w:color="auto" w:frame="1"/>
        </w:rPr>
        <w:t>o acuerdo municipal, según</w:t>
      </w:r>
      <w:r w:rsidRPr="00C039F9">
        <w:rPr>
          <w:rFonts w:ascii="Times New Roman" w:hAnsi="Times New Roman" w:cs="Times New Roman"/>
          <w:sz w:val="28"/>
          <w:szCs w:val="28"/>
          <w:bdr w:val="none" w:sz="0" w:space="0" w:color="auto" w:frame="1"/>
        </w:rPr>
        <w:t xml:space="preserve"> corresponda.</w:t>
      </w:r>
      <w:r w:rsidRPr="00C039F9">
        <w:rPr>
          <w:rFonts w:ascii="Times New Roman" w:hAnsi="Times New Roman" w:cs="Times New Roman"/>
          <w:sz w:val="28"/>
          <w:szCs w:val="28"/>
          <w:bdr w:val="none" w:sz="0" w:space="0" w:color="auto" w:frame="1"/>
        </w:rPr>
        <w:t xml:space="preserve"> </w:t>
      </w:r>
      <w:r w:rsidRPr="00C039F9">
        <w:rPr>
          <w:rFonts w:ascii="Times New Roman" w:hAnsi="Times New Roman" w:cs="Times New Roman"/>
          <w:sz w:val="28"/>
          <w:szCs w:val="28"/>
          <w:bdr w:val="none" w:sz="0" w:space="0" w:color="auto" w:frame="1"/>
        </w:rPr>
        <w:t xml:space="preserve">Sobre este punto, la Corte ha enfatizado que </w:t>
      </w:r>
      <w:r w:rsidRPr="00C039F9">
        <w:rPr>
          <w:rFonts w:ascii="Times New Roman" w:hAnsi="Times New Roman" w:cs="Times New Roman"/>
          <w:sz w:val="28"/>
          <w:szCs w:val="28"/>
          <w:bdr w:val="none" w:sz="0" w:space="0" w:color="auto" w:frame="1"/>
        </w:rPr>
        <w:t>«e</w:t>
      </w:r>
      <w:r w:rsidRPr="00C039F9">
        <w:rPr>
          <w:rFonts w:ascii="Times New Roman" w:hAnsi="Times New Roman" w:cs="Times New Roman"/>
          <w:sz w:val="28"/>
          <w:szCs w:val="28"/>
          <w:shd w:val="clear" w:color="auto" w:fill="FFFFFF"/>
        </w:rPr>
        <w:t xml:space="preserve">l Constituyente tuvo buen cuidado en determinar que el sistema y el método para definir los expresados costos y beneficios, con base en los cuales habrán de ser fijadas las tarifas, así como la </w:t>
      </w:r>
      <w:r w:rsidRPr="00C039F9">
        <w:rPr>
          <w:rFonts w:ascii="Times New Roman" w:hAnsi="Times New Roman" w:cs="Times New Roman"/>
          <w:sz w:val="28"/>
          <w:szCs w:val="28"/>
          <w:shd w:val="clear" w:color="auto" w:fill="FFFFFF"/>
        </w:rPr>
        <w:t>forma de hacer su reparto, deb</w:t>
      </w:r>
      <w:r w:rsidRPr="00C039F9">
        <w:rPr>
          <w:rFonts w:ascii="Times New Roman" w:hAnsi="Times New Roman" w:cs="Times New Roman"/>
          <w:sz w:val="28"/>
          <w:szCs w:val="28"/>
          <w:shd w:val="clear" w:color="auto" w:fill="FFFFFF"/>
        </w:rPr>
        <w:t>[a]</w:t>
      </w:r>
      <w:r w:rsidRPr="00C039F9">
        <w:rPr>
          <w:rFonts w:ascii="Times New Roman" w:hAnsi="Times New Roman" w:cs="Times New Roman"/>
          <w:sz w:val="28"/>
          <w:szCs w:val="28"/>
          <w:shd w:val="clear" w:color="auto" w:fill="FFFFFF"/>
        </w:rPr>
        <w:t>n ser fijados por la ley, las ordenanzas o los acuerdos</w:t>
      </w:r>
      <w:r w:rsidRPr="00C039F9">
        <w:rPr>
          <w:rFonts w:ascii="Times New Roman" w:hAnsi="Times New Roman" w:cs="Times New Roman"/>
          <w:sz w:val="28"/>
          <w:szCs w:val="28"/>
          <w:shd w:val="clear" w:color="auto" w:fill="FFFFFF"/>
        </w:rPr>
        <w:t>»</w:t>
      </w:r>
      <w:r w:rsidRPr="00C039F9">
        <w:rPr>
          <w:rStyle w:val="Refdenotaalpie"/>
          <w:rFonts w:ascii="Times New Roman" w:hAnsi="Times New Roman" w:cs="Times New Roman"/>
          <w:sz w:val="28"/>
          <w:szCs w:val="28"/>
          <w:shd w:val="clear" w:color="auto" w:fill="FFFFFF"/>
        </w:rPr>
        <w:footnoteReference w:id="26"/>
      </w:r>
      <w:r w:rsidRPr="00C039F9">
        <w:rPr>
          <w:rFonts w:ascii="Times New Roman" w:hAnsi="Times New Roman" w:cs="Times New Roman"/>
          <w:sz w:val="28"/>
          <w:szCs w:val="28"/>
        </w:rPr>
        <w:t>.</w:t>
      </w:r>
      <w:r w:rsidRPr="00C039F9">
        <w:rPr>
          <w:rFonts w:ascii="Times New Roman" w:hAnsi="Times New Roman" w:cs="Times New Roman"/>
          <w:sz w:val="28"/>
          <w:szCs w:val="28"/>
        </w:rPr>
        <w:t xml:space="preserve"> Dicho de otro modo, «c</w:t>
      </w:r>
      <w:r w:rsidRPr="00C039F9">
        <w:rPr>
          <w:rFonts w:ascii="Times New Roman" w:hAnsi="Times New Roman" w:cs="Times New Roman"/>
          <w:sz w:val="28"/>
          <w:szCs w:val="28"/>
        </w:rPr>
        <w:t>uando el Congreso, las asambleas y</w:t>
      </w:r>
      <w:r w:rsidRPr="00C039F9">
        <w:rPr>
          <w:rFonts w:ascii="Times New Roman" w:hAnsi="Times New Roman" w:cs="Times New Roman"/>
          <w:sz w:val="28"/>
          <w:szCs w:val="28"/>
        </w:rPr>
        <w:t>/o</w:t>
      </w:r>
      <w:r w:rsidRPr="00C039F9">
        <w:rPr>
          <w:rFonts w:ascii="Times New Roman" w:hAnsi="Times New Roman" w:cs="Times New Roman"/>
          <w:sz w:val="28"/>
          <w:szCs w:val="28"/>
        </w:rPr>
        <w:t xml:space="preserve"> los concejos hacen uso del expediente previsto en el inciso segundo del artículo 338 de la Carta, están c</w:t>
      </w:r>
      <w:r w:rsidRPr="00C039F9">
        <w:rPr>
          <w:rFonts w:ascii="Times New Roman" w:hAnsi="Times New Roman" w:cs="Times New Roman"/>
          <w:sz w:val="28"/>
          <w:szCs w:val="28"/>
        </w:rPr>
        <w:t>ondicionados por la misma preceptiva superior y, por ende, no les es dado traspasar a otra autoridad de manera absoluta e incontrolada la competencia para fijar tarifas de tasas y contribuciones</w:t>
      </w:r>
      <w:r w:rsidRPr="00C039F9">
        <w:rPr>
          <w:rFonts w:ascii="Times New Roman" w:hAnsi="Times New Roman" w:cs="Times New Roman"/>
          <w:sz w:val="28"/>
          <w:szCs w:val="28"/>
        </w:rPr>
        <w:t>»</w:t>
      </w:r>
      <w:r w:rsidRPr="00C039F9">
        <w:rPr>
          <w:rStyle w:val="Refdenotaalpie"/>
          <w:rFonts w:ascii="Times New Roman" w:hAnsi="Times New Roman" w:cs="Times New Roman"/>
          <w:sz w:val="28"/>
          <w:szCs w:val="28"/>
        </w:rPr>
        <w:footnoteReference w:id="27"/>
      </w:r>
      <w:r w:rsidRPr="00C039F9">
        <w:rPr>
          <w:rFonts w:ascii="Times New Roman" w:hAnsi="Times New Roman" w:cs="Times New Roman"/>
          <w:sz w:val="28"/>
          <w:szCs w:val="28"/>
        </w:rPr>
        <w:t>; de lo que se desprende que</w:t>
      </w:r>
      <w:r w:rsidRPr="00C039F9">
        <w:rPr>
          <w:rFonts w:ascii="Times New Roman" w:hAnsi="Times New Roman" w:cs="Times New Roman"/>
          <w:sz w:val="28"/>
          <w:szCs w:val="28"/>
        </w:rPr>
        <w:t> </w:t>
      </w:r>
      <w:r w:rsidRPr="00C039F9">
        <w:rPr>
          <w:rFonts w:ascii="Times New Roman" w:hAnsi="Times New Roman" w:cs="Times New Roman"/>
          <w:sz w:val="28"/>
          <w:szCs w:val="28"/>
        </w:rPr>
        <w:t>«</w:t>
      </w:r>
      <w:r w:rsidRPr="00C039F9">
        <w:rPr>
          <w:rFonts w:ascii="Times New Roman" w:hAnsi="Times New Roman" w:cs="Times New Roman"/>
          <w:sz w:val="28"/>
          <w:szCs w:val="28"/>
        </w:rPr>
        <w:t xml:space="preserve">la falta de cualquiera de los </w:t>
      </w:r>
      <w:r w:rsidRPr="00C039F9">
        <w:rPr>
          <w:rFonts w:ascii="Times New Roman" w:hAnsi="Times New Roman" w:cs="Times New Roman"/>
          <w:sz w:val="28"/>
          <w:szCs w:val="28"/>
        </w:rPr>
        <w:t>enunciados requisitos implica la inconstitucionalidad del acto mediante el cual se otorgó a una autoridad específica tal atribución, pues en ese evento se estaría reasignando una facultad propia del respectivo cuerpo colegiado por fuera de los límites seña</w:t>
      </w:r>
      <w:r w:rsidRPr="00C039F9">
        <w:rPr>
          <w:rFonts w:ascii="Times New Roman" w:hAnsi="Times New Roman" w:cs="Times New Roman"/>
          <w:sz w:val="28"/>
          <w:szCs w:val="28"/>
        </w:rPr>
        <w:t>lados en el Ordenamiento Fundamental»</w:t>
      </w:r>
      <w:r w:rsidRPr="00C039F9">
        <w:rPr>
          <w:rStyle w:val="Refdenotaalpie"/>
          <w:rFonts w:ascii="Times New Roman" w:hAnsi="Times New Roman" w:cs="Times New Roman"/>
          <w:sz w:val="28"/>
          <w:szCs w:val="28"/>
        </w:rPr>
        <w:footnoteReference w:id="28"/>
      </w:r>
      <w:r w:rsidRPr="00C039F9">
        <w:rPr>
          <w:rFonts w:ascii="Times New Roman" w:hAnsi="Times New Roman" w:cs="Times New Roman"/>
          <w:sz w:val="28"/>
          <w:szCs w:val="28"/>
        </w:rPr>
        <w:t>.</w:t>
      </w:r>
    </w:p>
    <w:p w:rsidR="00DE30D7" w:rsidRPr="00C039F9" w:rsidRDefault="00C039F9" w:rsidP="00DE30D7">
      <w:pPr>
        <w:pStyle w:val="Prrafodelista"/>
        <w:widowControl w:val="0"/>
        <w:suppressAutoHyphens/>
        <w:ind w:left="0"/>
        <w:rPr>
          <w:rFonts w:ascii="Times New Roman" w:hAnsi="Times New Roman" w:cs="Times New Roman"/>
          <w:sz w:val="28"/>
          <w:szCs w:val="28"/>
        </w:rPr>
      </w:pPr>
    </w:p>
    <w:p w:rsidR="00C342C8" w:rsidRPr="00C039F9" w:rsidRDefault="00C039F9" w:rsidP="00DE30D7">
      <w:pPr>
        <w:pStyle w:val="Prrafodelista"/>
        <w:widowControl w:val="0"/>
        <w:numPr>
          <w:ilvl w:val="0"/>
          <w:numId w:val="2"/>
        </w:numPr>
        <w:suppressAutoHyphens/>
        <w:ind w:left="0" w:hanging="11"/>
        <w:rPr>
          <w:rFonts w:ascii="Times New Roman" w:hAnsi="Times New Roman" w:cs="Times New Roman"/>
          <w:sz w:val="28"/>
          <w:szCs w:val="28"/>
        </w:rPr>
      </w:pPr>
      <w:r w:rsidRPr="00C039F9">
        <w:rPr>
          <w:rFonts w:ascii="Times New Roman" w:hAnsi="Times New Roman" w:cs="Times New Roman"/>
          <w:sz w:val="28"/>
          <w:szCs w:val="28"/>
        </w:rPr>
        <w:t xml:space="preserve">Por ejemplo, en Sentencia </w:t>
      </w:r>
      <w:r w:rsidRPr="00C039F9">
        <w:rPr>
          <w:rFonts w:ascii="Times New Roman" w:hAnsi="Times New Roman" w:cs="Times New Roman"/>
          <w:b/>
          <w:bCs/>
          <w:sz w:val="28"/>
          <w:szCs w:val="28"/>
        </w:rPr>
        <w:t>C-816 de 1999</w:t>
      </w:r>
      <w:r w:rsidRPr="00C039F9">
        <w:rPr>
          <w:rStyle w:val="Refdenotaalpie"/>
          <w:rFonts w:ascii="Times New Roman" w:hAnsi="Times New Roman" w:cs="Times New Roman"/>
          <w:sz w:val="28"/>
          <w:szCs w:val="28"/>
        </w:rPr>
        <w:footnoteReference w:id="29"/>
      </w:r>
      <w:r w:rsidRPr="00C039F9">
        <w:rPr>
          <w:rFonts w:ascii="Times New Roman" w:hAnsi="Times New Roman" w:cs="Times New Roman"/>
          <w:sz w:val="28"/>
          <w:szCs w:val="28"/>
        </w:rPr>
        <w:t xml:space="preserve">, esta Corporación reiteró que: «como algo excepcional, el Constituyente ha permitido que, en lo relativo a tasas y contribuciones (no en lo referente a impuestos), puedan el </w:t>
      </w:r>
      <w:r w:rsidRPr="00C039F9">
        <w:rPr>
          <w:rFonts w:ascii="Times New Roman" w:hAnsi="Times New Roman" w:cs="Times New Roman"/>
          <w:sz w:val="28"/>
          <w:szCs w:val="28"/>
        </w:rPr>
        <w:t xml:space="preserve">Congreso, las asambleas y los concejos dejar en cabeza de autoridades o entidades administrativas la </w:t>
      </w:r>
      <w:r w:rsidRPr="00C039F9">
        <w:rPr>
          <w:rFonts w:ascii="Times New Roman" w:hAnsi="Times New Roman" w:cs="Times New Roman"/>
          <w:b/>
          <w:bCs/>
          <w:sz w:val="28"/>
          <w:szCs w:val="28"/>
        </w:rPr>
        <w:t>fijación de las tarifas».</w:t>
      </w:r>
      <w:r w:rsidRPr="00C039F9">
        <w:rPr>
          <w:rFonts w:ascii="Times New Roman" w:hAnsi="Times New Roman" w:cs="Times New Roman"/>
          <w:sz w:val="28"/>
          <w:szCs w:val="28"/>
        </w:rPr>
        <w:t xml:space="preserve"> En sustento de la anterior afirmación, en dicha providencia se citó lo dicho en anterior Sentencia </w:t>
      </w:r>
      <w:r w:rsidRPr="00C039F9">
        <w:rPr>
          <w:rFonts w:ascii="Times New Roman" w:hAnsi="Times New Roman" w:cs="Times New Roman"/>
          <w:b/>
          <w:bCs/>
          <w:sz w:val="28"/>
          <w:szCs w:val="28"/>
        </w:rPr>
        <w:t>C-455 de 1994</w:t>
      </w:r>
      <w:r w:rsidRPr="00C039F9">
        <w:rPr>
          <w:rStyle w:val="Refdenotaalpie"/>
          <w:rFonts w:ascii="Times New Roman" w:hAnsi="Times New Roman" w:cs="Times New Roman"/>
          <w:sz w:val="28"/>
          <w:szCs w:val="28"/>
        </w:rPr>
        <w:footnoteReference w:id="30"/>
      </w:r>
      <w:r w:rsidRPr="00C039F9">
        <w:rPr>
          <w:rFonts w:ascii="Times New Roman" w:hAnsi="Times New Roman" w:cs="Times New Roman"/>
          <w:sz w:val="28"/>
          <w:szCs w:val="28"/>
        </w:rPr>
        <w:t>, en donde ya se</w:t>
      </w:r>
      <w:r w:rsidRPr="00C039F9">
        <w:rPr>
          <w:rFonts w:ascii="Times New Roman" w:hAnsi="Times New Roman" w:cs="Times New Roman"/>
          <w:sz w:val="28"/>
          <w:szCs w:val="28"/>
        </w:rPr>
        <w:t xml:space="preserve"> había explicado que:</w:t>
      </w:r>
    </w:p>
    <w:p w:rsidR="00C342C8" w:rsidRPr="00C039F9" w:rsidRDefault="00C039F9" w:rsidP="00C342C8">
      <w:pPr>
        <w:pStyle w:val="NormalWeb"/>
        <w:spacing w:before="0" w:beforeAutospacing="0" w:after="0" w:afterAutospacing="0"/>
        <w:ind w:left="567" w:right="708"/>
        <w:contextualSpacing/>
        <w:jc w:val="both"/>
        <w:rPr>
          <w:rFonts w:ascii="Times New Roman" w:hAnsi="Times New Roman" w:cs="Times New Roman"/>
          <w:sz w:val="28"/>
        </w:rPr>
      </w:pPr>
    </w:p>
    <w:p w:rsidR="00C342C8" w:rsidRPr="00C039F9" w:rsidRDefault="00C039F9" w:rsidP="00C342C8">
      <w:pPr>
        <w:pStyle w:val="NormalWeb"/>
        <w:spacing w:before="0" w:beforeAutospacing="0" w:after="0" w:afterAutospacing="0"/>
        <w:ind w:left="567" w:right="709"/>
        <w:contextualSpacing/>
        <w:jc w:val="both"/>
        <w:rPr>
          <w:rFonts w:ascii="Times New Roman" w:hAnsi="Times New Roman" w:cs="Times New Roman"/>
          <w:sz w:val="28"/>
        </w:rPr>
      </w:pPr>
      <w:r w:rsidRPr="00C039F9">
        <w:rPr>
          <w:rFonts w:ascii="Times New Roman" w:hAnsi="Times New Roman" w:cs="Times New Roman"/>
          <w:sz w:val="28"/>
        </w:rPr>
        <w:t>«[</w:t>
      </w:r>
      <w:r w:rsidRPr="00C039F9">
        <w:rPr>
          <w:rFonts w:ascii="Times New Roman" w:hAnsi="Times New Roman" w:cs="Times New Roman"/>
          <w:b/>
          <w:bCs/>
          <w:sz w:val="28"/>
        </w:rPr>
        <w:t>e]xcepcionalmente, la Constitución ha previsto que la ley, las ordenanzas y los acuerdos puedan permitir que las autoridades fijen la tarifa de las tasas y contribuciones</w:t>
      </w:r>
      <w:r w:rsidRPr="00C039F9">
        <w:rPr>
          <w:rFonts w:ascii="Times New Roman" w:hAnsi="Times New Roman" w:cs="Times New Roman"/>
          <w:sz w:val="28"/>
        </w:rPr>
        <w:t xml:space="preserve"> que cobren a los contribuyentes, como recuperación de los co</w:t>
      </w:r>
      <w:r w:rsidRPr="00C039F9">
        <w:rPr>
          <w:rFonts w:ascii="Times New Roman" w:hAnsi="Times New Roman" w:cs="Times New Roman"/>
          <w:sz w:val="28"/>
        </w:rPr>
        <w:t>stos de los servicios que les presten o participación en los beneficios que les proporcionen.</w:t>
      </w:r>
    </w:p>
    <w:p w:rsidR="00C342C8" w:rsidRPr="00C039F9" w:rsidRDefault="00C039F9" w:rsidP="00C342C8">
      <w:pPr>
        <w:shd w:val="clear" w:color="auto" w:fill="FFFFFF"/>
        <w:ind w:left="567" w:right="709"/>
        <w:rPr>
          <w:rFonts w:ascii="Times New Roman" w:hAnsi="Times New Roman" w:cs="Times New Roman"/>
          <w:sz w:val="28"/>
          <w:szCs w:val="24"/>
        </w:rPr>
      </w:pPr>
      <w:r w:rsidRPr="00C039F9">
        <w:rPr>
          <w:rFonts w:ascii="Times New Roman" w:hAnsi="Times New Roman" w:cs="Times New Roman"/>
          <w:b/>
          <w:bCs/>
          <w:sz w:val="28"/>
          <w:szCs w:val="24"/>
        </w:rPr>
        <w:t> </w:t>
      </w:r>
    </w:p>
    <w:p w:rsidR="00C342C8" w:rsidRPr="00C039F9" w:rsidRDefault="00C039F9" w:rsidP="00C342C8">
      <w:pPr>
        <w:shd w:val="clear" w:color="auto" w:fill="FFFFFF"/>
        <w:ind w:left="567" w:right="709"/>
        <w:rPr>
          <w:rFonts w:ascii="Times New Roman" w:hAnsi="Times New Roman" w:cs="Times New Roman"/>
          <w:b/>
          <w:bCs/>
          <w:sz w:val="28"/>
          <w:szCs w:val="24"/>
        </w:rPr>
      </w:pPr>
      <w:r w:rsidRPr="00C039F9">
        <w:rPr>
          <w:rFonts w:ascii="Times New Roman" w:hAnsi="Times New Roman" w:cs="Times New Roman"/>
          <w:b/>
          <w:bCs/>
          <w:sz w:val="28"/>
          <w:szCs w:val="24"/>
        </w:rPr>
        <w:t xml:space="preserve">Tal posibilidad, por ser extraordinaria, es de interpretación restrictiva y, por tanto, para que pueda tener realización, requiere del exacto y pleno </w:t>
      </w:r>
      <w:r w:rsidRPr="00C039F9">
        <w:rPr>
          <w:rFonts w:ascii="Times New Roman" w:hAnsi="Times New Roman" w:cs="Times New Roman"/>
          <w:b/>
          <w:bCs/>
          <w:sz w:val="28"/>
          <w:szCs w:val="24"/>
        </w:rPr>
        <w:t>cumplimiento de perentorias exigencias constitucionales.</w:t>
      </w:r>
    </w:p>
    <w:p w:rsidR="00C342C8" w:rsidRPr="00C039F9" w:rsidRDefault="00C039F9" w:rsidP="00C342C8">
      <w:pPr>
        <w:shd w:val="clear" w:color="auto" w:fill="FFFFFF"/>
        <w:ind w:left="567" w:right="709"/>
        <w:rPr>
          <w:rFonts w:ascii="Times New Roman" w:hAnsi="Times New Roman" w:cs="Times New Roman"/>
          <w:sz w:val="28"/>
          <w:szCs w:val="24"/>
        </w:rPr>
      </w:pPr>
      <w:r w:rsidRPr="00C039F9">
        <w:rPr>
          <w:rFonts w:ascii="Times New Roman" w:hAnsi="Times New Roman" w:cs="Times New Roman"/>
          <w:sz w:val="28"/>
          <w:szCs w:val="24"/>
        </w:rPr>
        <w:t> </w:t>
      </w:r>
    </w:p>
    <w:p w:rsidR="00C342C8" w:rsidRPr="00C039F9" w:rsidRDefault="00C039F9" w:rsidP="00C342C8">
      <w:pPr>
        <w:shd w:val="clear" w:color="auto" w:fill="FFFFFF"/>
        <w:ind w:left="567" w:right="709"/>
        <w:rPr>
          <w:rFonts w:ascii="Times New Roman" w:hAnsi="Times New Roman" w:cs="Times New Roman"/>
          <w:sz w:val="28"/>
          <w:szCs w:val="24"/>
        </w:rPr>
      </w:pPr>
      <w:r w:rsidRPr="00C039F9">
        <w:rPr>
          <w:rFonts w:ascii="Times New Roman" w:hAnsi="Times New Roman" w:cs="Times New Roman"/>
          <w:sz w:val="28"/>
          <w:szCs w:val="24"/>
        </w:rPr>
        <w:t>Repárese, ante todo, en que el inciso segundo del artículo 338 de la Constitución únicamente es aplicable a las tasas y contribuciones, de lo cual se concluye que el Constituyente ha querido exclui</w:t>
      </w:r>
      <w:r w:rsidRPr="00C039F9">
        <w:rPr>
          <w:rFonts w:ascii="Times New Roman" w:hAnsi="Times New Roman" w:cs="Times New Roman"/>
          <w:sz w:val="28"/>
          <w:szCs w:val="24"/>
        </w:rPr>
        <w:t>r a los impuestos de toda posible delegación de la potestad exclusivamente radicada en los aludidos órganos representativos.</w:t>
      </w:r>
    </w:p>
    <w:p w:rsidR="00C342C8" w:rsidRPr="00C039F9" w:rsidRDefault="00C039F9" w:rsidP="00C342C8">
      <w:pPr>
        <w:shd w:val="clear" w:color="auto" w:fill="FFFFFF"/>
        <w:ind w:left="567" w:right="709"/>
        <w:rPr>
          <w:rFonts w:ascii="Times New Roman" w:hAnsi="Times New Roman" w:cs="Times New Roman"/>
          <w:sz w:val="28"/>
          <w:szCs w:val="24"/>
        </w:rPr>
      </w:pPr>
      <w:r w:rsidRPr="00C039F9">
        <w:rPr>
          <w:rFonts w:ascii="Times New Roman" w:hAnsi="Times New Roman" w:cs="Times New Roman"/>
          <w:sz w:val="28"/>
          <w:szCs w:val="24"/>
        </w:rPr>
        <w:t> </w:t>
      </w:r>
    </w:p>
    <w:p w:rsidR="00C342C8" w:rsidRPr="00C039F9" w:rsidRDefault="00C039F9" w:rsidP="00C342C8">
      <w:pPr>
        <w:shd w:val="clear" w:color="auto" w:fill="FFFFFF"/>
        <w:ind w:left="567" w:right="709"/>
        <w:rPr>
          <w:rFonts w:ascii="Times New Roman" w:hAnsi="Times New Roman" w:cs="Times New Roman"/>
          <w:b/>
          <w:bCs/>
          <w:sz w:val="28"/>
          <w:szCs w:val="24"/>
        </w:rPr>
      </w:pPr>
      <w:r w:rsidRPr="00C039F9">
        <w:rPr>
          <w:rFonts w:ascii="Times New Roman" w:hAnsi="Times New Roman" w:cs="Times New Roman"/>
          <w:sz w:val="28"/>
          <w:szCs w:val="24"/>
        </w:rPr>
        <w:t xml:space="preserve">Pero, además, aun tratándose de tasas y contribuciones, </w:t>
      </w:r>
      <w:r w:rsidRPr="00C039F9">
        <w:rPr>
          <w:rFonts w:ascii="Times New Roman" w:hAnsi="Times New Roman" w:cs="Times New Roman"/>
          <w:b/>
          <w:bCs/>
          <w:sz w:val="28"/>
          <w:szCs w:val="24"/>
        </w:rPr>
        <w:t xml:space="preserve">la oportunidad legal de autoridades distintas está limitada única y </w:t>
      </w:r>
      <w:r w:rsidRPr="00C039F9">
        <w:rPr>
          <w:rFonts w:ascii="Times New Roman" w:hAnsi="Times New Roman" w:cs="Times New Roman"/>
          <w:b/>
          <w:bCs/>
          <w:sz w:val="28"/>
          <w:szCs w:val="24"/>
        </w:rPr>
        <w:t>exclusivamente a la fijación de las tarifas de aquéllas</w:t>
      </w:r>
      <w:r w:rsidRPr="00C039F9">
        <w:rPr>
          <w:rFonts w:ascii="Times New Roman" w:hAnsi="Times New Roman" w:cs="Times New Roman"/>
          <w:sz w:val="28"/>
          <w:szCs w:val="24"/>
        </w:rPr>
        <w:t xml:space="preserve">. </w:t>
      </w:r>
      <w:r w:rsidRPr="00C039F9">
        <w:rPr>
          <w:rFonts w:ascii="Times New Roman" w:hAnsi="Times New Roman" w:cs="Times New Roman"/>
          <w:b/>
          <w:bCs/>
          <w:sz w:val="28"/>
          <w:szCs w:val="24"/>
        </w:rPr>
        <w:t>Está eliminada de plano toda posibilidad de que dichas autoridades puedan establecer los demás elementos tributarios, es decir, los sujetos activos y pasivos, los hechos y las bases gravables.</w:t>
      </w:r>
    </w:p>
    <w:p w:rsidR="00C342C8" w:rsidRPr="00C039F9" w:rsidRDefault="00C039F9" w:rsidP="00C342C8">
      <w:pPr>
        <w:shd w:val="clear" w:color="auto" w:fill="FFFFFF"/>
        <w:ind w:left="567" w:right="709"/>
        <w:rPr>
          <w:rFonts w:ascii="Times New Roman" w:hAnsi="Times New Roman" w:cs="Times New Roman"/>
          <w:sz w:val="28"/>
          <w:szCs w:val="24"/>
        </w:rPr>
      </w:pPr>
      <w:r w:rsidRPr="00C039F9">
        <w:rPr>
          <w:rFonts w:ascii="Times New Roman" w:hAnsi="Times New Roman" w:cs="Times New Roman"/>
          <w:sz w:val="28"/>
          <w:szCs w:val="24"/>
        </w:rPr>
        <w:t> </w:t>
      </w:r>
    </w:p>
    <w:p w:rsidR="00C342C8" w:rsidRPr="00C039F9" w:rsidRDefault="00C039F9" w:rsidP="00C342C8">
      <w:pPr>
        <w:shd w:val="clear" w:color="auto" w:fill="FFFFFF"/>
        <w:ind w:left="567" w:right="709"/>
        <w:rPr>
          <w:rFonts w:ascii="Times New Roman" w:hAnsi="Times New Roman" w:cs="Times New Roman"/>
          <w:sz w:val="28"/>
          <w:szCs w:val="24"/>
        </w:rPr>
      </w:pPr>
      <w:r w:rsidRPr="00C039F9">
        <w:rPr>
          <w:rFonts w:ascii="Times New Roman" w:hAnsi="Times New Roman" w:cs="Times New Roman"/>
          <w:sz w:val="28"/>
          <w:szCs w:val="24"/>
        </w:rPr>
        <w:t xml:space="preserve">Por </w:t>
      </w:r>
      <w:r w:rsidRPr="00C039F9">
        <w:rPr>
          <w:rFonts w:ascii="Times New Roman" w:hAnsi="Times New Roman" w:cs="Times New Roman"/>
          <w:sz w:val="28"/>
          <w:szCs w:val="24"/>
        </w:rPr>
        <w:t>otra parte, las autoridades que sean facultadas por ley, ordenanza o acuerdo para fijar las tarifas de tasas y contribuciones tan sólo pueden hacerlo con el objeto de recuperar los costos de los servicios que presten a los contribuyentes o de obtener retri</w:t>
      </w:r>
      <w:r w:rsidRPr="00C039F9">
        <w:rPr>
          <w:rFonts w:ascii="Times New Roman" w:hAnsi="Times New Roman" w:cs="Times New Roman"/>
          <w:sz w:val="28"/>
          <w:szCs w:val="24"/>
        </w:rPr>
        <w:t>bución por los beneficios que les proporcionen.</w:t>
      </w:r>
    </w:p>
    <w:p w:rsidR="00C342C8" w:rsidRPr="00C039F9" w:rsidRDefault="00C039F9" w:rsidP="00C342C8">
      <w:pPr>
        <w:shd w:val="clear" w:color="auto" w:fill="FFFFFF"/>
        <w:ind w:left="567" w:right="709"/>
        <w:rPr>
          <w:rFonts w:ascii="Times New Roman" w:hAnsi="Times New Roman" w:cs="Times New Roman"/>
          <w:sz w:val="28"/>
          <w:szCs w:val="24"/>
        </w:rPr>
      </w:pPr>
      <w:r w:rsidRPr="00C039F9">
        <w:rPr>
          <w:rFonts w:ascii="Times New Roman" w:hAnsi="Times New Roman" w:cs="Times New Roman"/>
          <w:sz w:val="28"/>
          <w:szCs w:val="24"/>
        </w:rPr>
        <w:t> </w:t>
      </w:r>
    </w:p>
    <w:p w:rsidR="00C342C8" w:rsidRPr="00C039F9" w:rsidRDefault="00C039F9" w:rsidP="00C342C8">
      <w:pPr>
        <w:shd w:val="clear" w:color="auto" w:fill="FFFFFF"/>
        <w:ind w:left="567" w:right="709"/>
        <w:rPr>
          <w:rFonts w:ascii="Times New Roman" w:hAnsi="Times New Roman" w:cs="Times New Roman"/>
          <w:sz w:val="28"/>
          <w:szCs w:val="24"/>
        </w:rPr>
      </w:pPr>
      <w:r w:rsidRPr="00C039F9">
        <w:rPr>
          <w:rFonts w:ascii="Times New Roman" w:hAnsi="Times New Roman" w:cs="Times New Roman"/>
          <w:sz w:val="28"/>
          <w:szCs w:val="24"/>
        </w:rPr>
        <w:t>Dentro de la filosofía que inspira la normatividad constitucional al respecto, no hubiera podido entenderse que la atribución de competencia para la fijación de tarifas de tasas y contribuciones implicara l</w:t>
      </w:r>
      <w:r w:rsidRPr="00C039F9">
        <w:rPr>
          <w:rFonts w:ascii="Times New Roman" w:hAnsi="Times New Roman" w:cs="Times New Roman"/>
          <w:sz w:val="28"/>
          <w:szCs w:val="24"/>
        </w:rPr>
        <w:t>a transferencia de un poder absoluto e ilimitado a manos de las autoridades encargadas de prestar los servicios, facultadas a la vez para su percepción y cobro y claramente interesadas en la captación de recursos por esta vía.</w:t>
      </w:r>
    </w:p>
    <w:p w:rsidR="00C342C8" w:rsidRPr="00C039F9" w:rsidRDefault="00C039F9" w:rsidP="00C342C8">
      <w:pPr>
        <w:shd w:val="clear" w:color="auto" w:fill="FFFFFF"/>
        <w:ind w:left="567" w:right="709"/>
        <w:rPr>
          <w:rFonts w:ascii="Times New Roman" w:hAnsi="Times New Roman" w:cs="Times New Roman"/>
          <w:sz w:val="28"/>
          <w:szCs w:val="24"/>
        </w:rPr>
      </w:pPr>
      <w:r w:rsidRPr="00C039F9">
        <w:rPr>
          <w:rFonts w:ascii="Times New Roman" w:hAnsi="Times New Roman" w:cs="Times New Roman"/>
          <w:sz w:val="28"/>
          <w:szCs w:val="24"/>
        </w:rPr>
        <w:t> </w:t>
      </w:r>
    </w:p>
    <w:p w:rsidR="00C342C8" w:rsidRPr="00C039F9" w:rsidRDefault="00C039F9" w:rsidP="00C342C8">
      <w:pPr>
        <w:shd w:val="clear" w:color="auto" w:fill="FFFFFF"/>
        <w:ind w:left="567" w:right="709"/>
        <w:rPr>
          <w:rFonts w:ascii="Times New Roman" w:hAnsi="Times New Roman" w:cs="Times New Roman"/>
          <w:sz w:val="28"/>
          <w:szCs w:val="24"/>
        </w:rPr>
      </w:pPr>
      <w:r w:rsidRPr="00C039F9">
        <w:rPr>
          <w:rFonts w:ascii="Times New Roman" w:hAnsi="Times New Roman" w:cs="Times New Roman"/>
          <w:sz w:val="28"/>
          <w:szCs w:val="24"/>
        </w:rPr>
        <w:t>En consecuencia, el Constit</w:t>
      </w:r>
      <w:r w:rsidRPr="00C039F9">
        <w:rPr>
          <w:rFonts w:ascii="Times New Roman" w:hAnsi="Times New Roman" w:cs="Times New Roman"/>
          <w:sz w:val="28"/>
          <w:szCs w:val="24"/>
        </w:rPr>
        <w:t>uyente tuvo buen cuidado en determinar que el sistema y el método para definir los expresados costos y beneficios, con base en los cuales habrán de ser fijadas las tarifas, así como la forma de hacer su reparto, deben ser fijados por la ley, las ordenanzas</w:t>
      </w:r>
      <w:r w:rsidRPr="00C039F9">
        <w:rPr>
          <w:rFonts w:ascii="Times New Roman" w:hAnsi="Times New Roman" w:cs="Times New Roman"/>
          <w:sz w:val="28"/>
          <w:szCs w:val="24"/>
        </w:rPr>
        <w:t xml:space="preserve"> o los acuerdos". </w:t>
      </w:r>
    </w:p>
    <w:p w:rsidR="00C342C8" w:rsidRPr="00C039F9" w:rsidRDefault="00C039F9" w:rsidP="00C342C8">
      <w:pPr>
        <w:shd w:val="clear" w:color="auto" w:fill="FFFFFF"/>
        <w:ind w:left="567" w:right="709"/>
        <w:rPr>
          <w:rFonts w:ascii="Times New Roman" w:hAnsi="Times New Roman" w:cs="Times New Roman"/>
          <w:sz w:val="28"/>
          <w:szCs w:val="24"/>
        </w:rPr>
      </w:pPr>
      <w:r w:rsidRPr="00C039F9">
        <w:rPr>
          <w:rFonts w:ascii="Times New Roman" w:hAnsi="Times New Roman" w:cs="Times New Roman"/>
          <w:sz w:val="28"/>
          <w:szCs w:val="24"/>
        </w:rPr>
        <w:t> </w:t>
      </w:r>
    </w:p>
    <w:p w:rsidR="00C342C8" w:rsidRPr="00C039F9" w:rsidRDefault="00C039F9" w:rsidP="00C342C8">
      <w:pPr>
        <w:shd w:val="clear" w:color="auto" w:fill="FFFFFF"/>
        <w:ind w:left="567" w:right="709"/>
        <w:rPr>
          <w:rFonts w:ascii="Times New Roman" w:hAnsi="Times New Roman" w:cs="Times New Roman"/>
          <w:b/>
          <w:bCs/>
          <w:sz w:val="28"/>
          <w:szCs w:val="24"/>
        </w:rPr>
      </w:pPr>
      <w:r w:rsidRPr="00C039F9">
        <w:rPr>
          <w:rFonts w:ascii="Times New Roman" w:hAnsi="Times New Roman" w:cs="Times New Roman"/>
          <w:b/>
          <w:bCs/>
          <w:sz w:val="28"/>
          <w:szCs w:val="24"/>
        </w:rPr>
        <w:t>Tal delegación no es posible en cuanto toca con los demás elementos de tales tributos, cuyo señalamiento debe estar contenido en las leyes, ordenanzas o acuerdos». (énfasis fuera de texto)</w:t>
      </w:r>
    </w:p>
    <w:p w:rsidR="00C342C8" w:rsidRPr="00C039F9" w:rsidRDefault="00C039F9" w:rsidP="00C342C8">
      <w:pPr>
        <w:shd w:val="clear" w:color="auto" w:fill="FFFFFF"/>
        <w:ind w:left="567" w:right="709"/>
        <w:rPr>
          <w:rFonts w:ascii="Times New Roman" w:hAnsi="Times New Roman" w:cs="Times New Roman"/>
          <w:sz w:val="28"/>
          <w:szCs w:val="24"/>
        </w:rPr>
      </w:pPr>
      <w:r w:rsidRPr="00C039F9">
        <w:rPr>
          <w:rFonts w:ascii="Times New Roman" w:hAnsi="Times New Roman" w:cs="Times New Roman"/>
          <w:sz w:val="28"/>
          <w:szCs w:val="24"/>
        </w:rPr>
        <w:t> </w:t>
      </w:r>
    </w:p>
    <w:p w:rsidR="00DE30D7" w:rsidRPr="00C039F9" w:rsidRDefault="00C039F9" w:rsidP="00DE30D7">
      <w:pPr>
        <w:pStyle w:val="Prrafodelista"/>
        <w:widowControl w:val="0"/>
        <w:numPr>
          <w:ilvl w:val="0"/>
          <w:numId w:val="2"/>
        </w:numPr>
        <w:suppressAutoHyphens/>
        <w:ind w:left="0" w:hanging="11"/>
        <w:rPr>
          <w:rFonts w:ascii="Times New Roman" w:hAnsi="Times New Roman" w:cs="Times New Roman"/>
          <w:sz w:val="28"/>
          <w:szCs w:val="28"/>
        </w:rPr>
      </w:pPr>
      <w:r w:rsidRPr="00C039F9">
        <w:rPr>
          <w:rFonts w:ascii="Times New Roman" w:hAnsi="Times New Roman" w:cs="Times New Roman"/>
          <w:sz w:val="28"/>
          <w:szCs w:val="28"/>
        </w:rPr>
        <w:t>Por</w:t>
      </w:r>
      <w:r w:rsidRPr="00C039F9">
        <w:rPr>
          <w:rFonts w:ascii="Times New Roman" w:hAnsi="Times New Roman" w:cs="Times New Roman"/>
          <w:sz w:val="28"/>
          <w:szCs w:val="28"/>
        </w:rPr>
        <w:t xml:space="preserve"> tales razones, en dicha Sentencia </w:t>
      </w:r>
      <w:r w:rsidRPr="00C039F9">
        <w:rPr>
          <w:rFonts w:ascii="Times New Roman" w:hAnsi="Times New Roman" w:cs="Times New Roman"/>
          <w:b/>
          <w:bCs/>
          <w:sz w:val="28"/>
          <w:szCs w:val="28"/>
        </w:rPr>
        <w:t xml:space="preserve">C-816 </w:t>
      </w:r>
      <w:r w:rsidRPr="00C039F9">
        <w:rPr>
          <w:rFonts w:ascii="Times New Roman" w:hAnsi="Times New Roman" w:cs="Times New Roman"/>
          <w:b/>
          <w:bCs/>
          <w:sz w:val="28"/>
          <w:szCs w:val="28"/>
        </w:rPr>
        <w:t>de 1999</w:t>
      </w:r>
      <w:r w:rsidRPr="00C039F9">
        <w:rPr>
          <w:rFonts w:ascii="Times New Roman" w:hAnsi="Times New Roman" w:cs="Times New Roman"/>
          <w:sz w:val="28"/>
          <w:szCs w:val="28"/>
        </w:rPr>
        <w:t>, la Corte concluyó que «únicamente las tarifas de tasas y contribuciones pueden ser objeto de la especial autorización prevista en el inciso segundo del artículo 338 de la Constitución.»</w:t>
      </w:r>
    </w:p>
    <w:p w:rsidR="00DE30D7" w:rsidRPr="00C039F9" w:rsidRDefault="00C039F9" w:rsidP="00DE30D7">
      <w:pPr>
        <w:pStyle w:val="Prrafodelista"/>
        <w:widowControl w:val="0"/>
        <w:suppressAutoHyphens/>
        <w:ind w:left="0"/>
        <w:rPr>
          <w:rFonts w:ascii="Times New Roman" w:hAnsi="Times New Roman" w:cs="Times New Roman"/>
          <w:sz w:val="28"/>
          <w:szCs w:val="28"/>
        </w:rPr>
      </w:pPr>
    </w:p>
    <w:p w:rsidR="00DE30D7" w:rsidRPr="00C039F9" w:rsidRDefault="00C039F9" w:rsidP="00DE30D7">
      <w:pPr>
        <w:pStyle w:val="Prrafodelista"/>
        <w:widowControl w:val="0"/>
        <w:numPr>
          <w:ilvl w:val="0"/>
          <w:numId w:val="2"/>
        </w:numPr>
        <w:suppressAutoHyphens/>
        <w:ind w:left="0" w:hanging="11"/>
        <w:rPr>
          <w:rFonts w:ascii="Times New Roman" w:hAnsi="Times New Roman" w:cs="Times New Roman"/>
          <w:sz w:val="28"/>
          <w:szCs w:val="28"/>
        </w:rPr>
      </w:pPr>
      <w:r w:rsidRPr="00C039F9">
        <w:rPr>
          <w:rFonts w:ascii="Times New Roman" w:hAnsi="Times New Roman" w:cs="Times New Roman"/>
          <w:sz w:val="28"/>
          <w:szCs w:val="28"/>
        </w:rPr>
        <w:t xml:space="preserve">Similarmente, en Sentencia </w:t>
      </w:r>
      <w:r w:rsidRPr="00C039F9">
        <w:rPr>
          <w:rFonts w:ascii="Times New Roman" w:hAnsi="Times New Roman" w:cs="Times New Roman"/>
          <w:b/>
          <w:bCs/>
          <w:sz w:val="28"/>
          <w:szCs w:val="28"/>
        </w:rPr>
        <w:t>C-278 de 2019</w:t>
      </w:r>
      <w:r w:rsidRPr="00C039F9">
        <w:rPr>
          <w:rStyle w:val="Refdenotaalpie"/>
          <w:rFonts w:ascii="Times New Roman" w:hAnsi="Times New Roman" w:cs="Times New Roman"/>
          <w:sz w:val="28"/>
          <w:szCs w:val="28"/>
        </w:rPr>
        <w:footnoteReference w:id="31"/>
      </w:r>
      <w:r w:rsidRPr="00C039F9">
        <w:rPr>
          <w:rFonts w:ascii="Times New Roman" w:hAnsi="Times New Roman" w:cs="Times New Roman"/>
          <w:sz w:val="28"/>
          <w:szCs w:val="28"/>
        </w:rPr>
        <w:t>, se indicó que «</w:t>
      </w:r>
      <w:r w:rsidRPr="00C039F9">
        <w:rPr>
          <w:rFonts w:ascii="Times New Roman" w:hAnsi="Times New Roman" w:cs="Times New Roman"/>
          <w:b/>
          <w:bCs/>
          <w:sz w:val="28"/>
          <w:szCs w:val="28"/>
          <w:shd w:val="clear" w:color="auto" w:fill="FFFFFF"/>
        </w:rPr>
        <w:t>en</w:t>
      </w:r>
      <w:r w:rsidRPr="00C039F9">
        <w:rPr>
          <w:rFonts w:ascii="Times New Roman" w:hAnsi="Times New Roman" w:cs="Times New Roman"/>
          <w:b/>
          <w:bCs/>
          <w:sz w:val="28"/>
          <w:szCs w:val="28"/>
          <w:shd w:val="clear" w:color="auto" w:fill="FFFFFF"/>
        </w:rPr>
        <w:t xml:space="preserve"> el caso de las tasas y contribuciones, las corporaciones públicas mencionadas pueden permitir a las autoridades gubernamentales fijar la tarifa de las mismas, a condición [de] que aquellas hayan definido el método y el sistema para su cálculo</w:t>
      </w:r>
      <w:r w:rsidRPr="00C039F9">
        <w:rPr>
          <w:rFonts w:ascii="Times New Roman" w:hAnsi="Times New Roman" w:cs="Times New Roman"/>
          <w:sz w:val="28"/>
          <w:szCs w:val="28"/>
          <w:shd w:val="clear" w:color="auto" w:fill="FFFFFF"/>
        </w:rPr>
        <w:t xml:space="preserve">». </w:t>
      </w:r>
      <w:r w:rsidRPr="00C039F9">
        <w:rPr>
          <w:rFonts w:ascii="Times New Roman" w:hAnsi="Times New Roman" w:cs="Times New Roman"/>
          <w:sz w:val="28"/>
          <w:szCs w:val="28"/>
          <w:shd w:val="clear" w:color="auto" w:fill="FFFFFF"/>
        </w:rPr>
        <w:t xml:space="preserve">(énfasis </w:t>
      </w:r>
      <w:r w:rsidRPr="00C039F9">
        <w:rPr>
          <w:rFonts w:ascii="Times New Roman" w:hAnsi="Times New Roman" w:cs="Times New Roman"/>
          <w:sz w:val="28"/>
          <w:szCs w:val="28"/>
          <w:shd w:val="clear" w:color="auto" w:fill="FFFFFF"/>
        </w:rPr>
        <w:t>fuera de texto)</w:t>
      </w:r>
      <w:r w:rsidRPr="00C039F9">
        <w:rPr>
          <w:rFonts w:ascii="Times New Roman" w:hAnsi="Times New Roman" w:cs="Times New Roman"/>
          <w:sz w:val="28"/>
          <w:szCs w:val="28"/>
          <w:shd w:val="clear" w:color="auto" w:fill="FFFFFF"/>
        </w:rPr>
        <w:t>.</w:t>
      </w:r>
    </w:p>
    <w:p w:rsidR="00DE30D7" w:rsidRPr="00C039F9" w:rsidRDefault="00C039F9" w:rsidP="00DE30D7">
      <w:pPr>
        <w:pStyle w:val="Prrafodelista"/>
        <w:rPr>
          <w:rFonts w:ascii="Times New Roman" w:hAnsi="Times New Roman" w:cs="Times New Roman"/>
          <w:sz w:val="28"/>
          <w:szCs w:val="28"/>
          <w:shd w:val="clear" w:color="auto" w:fill="FFFFFF"/>
        </w:rPr>
      </w:pPr>
    </w:p>
    <w:p w:rsidR="00DE30D7" w:rsidRPr="00C039F9" w:rsidRDefault="00C039F9" w:rsidP="00DE30D7">
      <w:pPr>
        <w:pStyle w:val="Prrafodelista"/>
        <w:widowControl w:val="0"/>
        <w:numPr>
          <w:ilvl w:val="0"/>
          <w:numId w:val="2"/>
        </w:numPr>
        <w:suppressAutoHyphens/>
        <w:ind w:left="0" w:hanging="11"/>
        <w:rPr>
          <w:rFonts w:ascii="Times New Roman" w:hAnsi="Times New Roman" w:cs="Times New Roman"/>
          <w:sz w:val="28"/>
          <w:szCs w:val="28"/>
        </w:rPr>
      </w:pPr>
      <w:r w:rsidRPr="00C039F9">
        <w:rPr>
          <w:rFonts w:ascii="Times New Roman" w:hAnsi="Times New Roman" w:cs="Times New Roman"/>
          <w:sz w:val="28"/>
          <w:szCs w:val="28"/>
          <w:shd w:val="clear" w:color="auto" w:fill="FFFFFF"/>
        </w:rPr>
        <w:t>Del mismo modo</w:t>
      </w:r>
      <w:r w:rsidRPr="00C039F9">
        <w:rPr>
          <w:rFonts w:ascii="Times New Roman" w:hAnsi="Times New Roman" w:cs="Times New Roman"/>
          <w:sz w:val="28"/>
          <w:szCs w:val="28"/>
          <w:shd w:val="clear" w:color="auto" w:fill="FFFFFF"/>
        </w:rPr>
        <w:t>, en Sentencia</w:t>
      </w:r>
      <w:r w:rsidRPr="00C039F9">
        <w:rPr>
          <w:rFonts w:ascii="Times New Roman" w:hAnsi="Times New Roman" w:cs="Times New Roman"/>
          <w:sz w:val="28"/>
          <w:szCs w:val="28"/>
        </w:rPr>
        <w:t xml:space="preserve"> </w:t>
      </w:r>
      <w:r w:rsidRPr="00C039F9">
        <w:rPr>
          <w:rFonts w:ascii="Times New Roman" w:hAnsi="Times New Roman" w:cs="Times New Roman"/>
          <w:b/>
          <w:bCs/>
          <w:sz w:val="28"/>
          <w:szCs w:val="28"/>
        </w:rPr>
        <w:t>C-304 de 2019</w:t>
      </w:r>
      <w:r w:rsidRPr="00C039F9">
        <w:rPr>
          <w:rStyle w:val="Refdenotaalpie"/>
          <w:rFonts w:ascii="Times New Roman" w:hAnsi="Times New Roman" w:cs="Times New Roman"/>
          <w:sz w:val="28"/>
          <w:szCs w:val="28"/>
        </w:rPr>
        <w:footnoteReference w:id="32"/>
      </w:r>
      <w:r w:rsidRPr="00C039F9">
        <w:rPr>
          <w:rFonts w:ascii="Times New Roman" w:hAnsi="Times New Roman" w:cs="Times New Roman"/>
          <w:sz w:val="28"/>
          <w:szCs w:val="28"/>
        </w:rPr>
        <w:t>, se señaló que «</w:t>
      </w:r>
      <w:r w:rsidRPr="00C039F9">
        <w:rPr>
          <w:rFonts w:ascii="Times New Roman" w:hAnsi="Times New Roman" w:cs="Times New Roman"/>
          <w:sz w:val="28"/>
          <w:szCs w:val="28"/>
          <w:shd w:val="clear" w:color="auto" w:fill="FFFFFF"/>
        </w:rPr>
        <w:t>[d]e acuerdo con lo dispuesto en los artículos 150.12 y 338 del Texto Superior, es función del Congreso de la República desarrollar la política tributaria del Estado y establecer</w:t>
      </w:r>
      <w:r w:rsidRPr="00C039F9">
        <w:rPr>
          <w:rFonts w:ascii="Times New Roman" w:hAnsi="Times New Roman" w:cs="Times New Roman"/>
          <w:sz w:val="28"/>
          <w:szCs w:val="28"/>
          <w:shd w:val="clear" w:color="auto" w:fill="FFFFFF"/>
        </w:rPr>
        <w:t xml:space="preserve"> contribuciones fiscales y parafiscales a través de las leyes. En ejercicio de esta atribución, […], le corresponde al legislador crear los tributos […] y </w:t>
      </w:r>
      <w:r w:rsidRPr="00C039F9">
        <w:rPr>
          <w:rFonts w:ascii="Times New Roman" w:hAnsi="Times New Roman" w:cs="Times New Roman"/>
          <w:b/>
          <w:bCs/>
          <w:sz w:val="28"/>
          <w:szCs w:val="28"/>
          <w:shd w:val="clear" w:color="auto" w:fill="FFFFFF"/>
        </w:rPr>
        <w:t>deferir a las autoridades administrativas, en caso de estimarlo conveniente, el señalamiento de las t</w:t>
      </w:r>
      <w:r w:rsidRPr="00C039F9">
        <w:rPr>
          <w:rFonts w:ascii="Times New Roman" w:hAnsi="Times New Roman" w:cs="Times New Roman"/>
          <w:b/>
          <w:bCs/>
          <w:sz w:val="28"/>
          <w:szCs w:val="28"/>
          <w:shd w:val="clear" w:color="auto" w:fill="FFFFFF"/>
        </w:rPr>
        <w:t>arifas de las tasas y contribuciones</w:t>
      </w:r>
      <w:r w:rsidRPr="00C039F9">
        <w:rPr>
          <w:rFonts w:ascii="Times New Roman" w:hAnsi="Times New Roman" w:cs="Times New Roman"/>
          <w:sz w:val="28"/>
          <w:szCs w:val="28"/>
          <w:shd w:val="clear" w:color="auto" w:fill="FFFFFF"/>
        </w:rPr>
        <w:t xml:space="preserve">, previo cumplimiento de los requisitos previstos en la Constitución y la ley» (énfasis fuera de texto). </w:t>
      </w:r>
    </w:p>
    <w:p w:rsidR="00DE30D7" w:rsidRPr="00C039F9" w:rsidRDefault="00C039F9" w:rsidP="00DE30D7">
      <w:pPr>
        <w:pStyle w:val="Prrafodelista"/>
        <w:rPr>
          <w:rFonts w:ascii="Times New Roman" w:hAnsi="Times New Roman" w:cs="Times New Roman"/>
          <w:color w:val="2D2D2D"/>
          <w:sz w:val="28"/>
          <w:szCs w:val="28"/>
          <w:shd w:val="clear" w:color="auto" w:fill="FFFFFF"/>
        </w:rPr>
      </w:pPr>
    </w:p>
    <w:p w:rsidR="00DE30D7" w:rsidRPr="00C039F9" w:rsidRDefault="00C039F9" w:rsidP="00DE30D7">
      <w:pPr>
        <w:pStyle w:val="Prrafodelista"/>
        <w:widowControl w:val="0"/>
        <w:numPr>
          <w:ilvl w:val="0"/>
          <w:numId w:val="2"/>
        </w:numPr>
        <w:suppressAutoHyphens/>
        <w:ind w:left="0" w:hanging="11"/>
        <w:rPr>
          <w:rFonts w:ascii="Times New Roman" w:hAnsi="Times New Roman" w:cs="Times New Roman"/>
          <w:sz w:val="28"/>
          <w:szCs w:val="28"/>
        </w:rPr>
      </w:pPr>
      <w:r w:rsidRPr="00C039F9">
        <w:rPr>
          <w:rFonts w:ascii="Times New Roman" w:hAnsi="Times New Roman" w:cs="Times New Roman"/>
          <w:color w:val="2D2D2D"/>
          <w:sz w:val="28"/>
          <w:szCs w:val="28"/>
          <w:shd w:val="clear" w:color="auto" w:fill="FFFFFF"/>
        </w:rPr>
        <w:t>También</w:t>
      </w:r>
      <w:r w:rsidRPr="00C039F9">
        <w:rPr>
          <w:rFonts w:ascii="Times New Roman" w:hAnsi="Times New Roman" w:cs="Times New Roman"/>
          <w:color w:val="2D2D2D"/>
          <w:sz w:val="28"/>
          <w:szCs w:val="28"/>
          <w:shd w:val="clear" w:color="auto" w:fill="FFFFFF"/>
        </w:rPr>
        <w:t xml:space="preserve">, en reciente Sentencia </w:t>
      </w:r>
      <w:r w:rsidRPr="00C039F9">
        <w:rPr>
          <w:rFonts w:ascii="Times New Roman" w:hAnsi="Times New Roman" w:cs="Times New Roman"/>
          <w:b/>
          <w:bCs/>
          <w:color w:val="2D2D2D"/>
          <w:sz w:val="28"/>
          <w:szCs w:val="28"/>
          <w:shd w:val="clear" w:color="auto" w:fill="FFFFFF"/>
        </w:rPr>
        <w:t>C-101 de 2022</w:t>
      </w:r>
      <w:r w:rsidRPr="00C039F9">
        <w:rPr>
          <w:rStyle w:val="Refdenotaalpie"/>
          <w:rFonts w:ascii="Times New Roman" w:hAnsi="Times New Roman" w:cs="Times New Roman"/>
          <w:color w:val="2D2D2D"/>
          <w:sz w:val="28"/>
          <w:szCs w:val="28"/>
          <w:shd w:val="clear" w:color="auto" w:fill="FFFFFF"/>
        </w:rPr>
        <w:footnoteReference w:id="33"/>
      </w:r>
      <w:r w:rsidRPr="00C039F9">
        <w:rPr>
          <w:rFonts w:ascii="Times New Roman" w:hAnsi="Times New Roman" w:cs="Times New Roman"/>
          <w:color w:val="2D2D2D"/>
          <w:sz w:val="28"/>
          <w:szCs w:val="28"/>
          <w:shd w:val="clear" w:color="auto" w:fill="FFFFFF"/>
        </w:rPr>
        <w:t>, esta Corporación indicó que</w:t>
      </w:r>
      <w:r w:rsidRPr="00C039F9">
        <w:rPr>
          <w:rFonts w:ascii="Times New Roman" w:hAnsi="Times New Roman" w:cs="Times New Roman"/>
          <w:sz w:val="28"/>
          <w:shd w:val="clear" w:color="auto" w:fill="FFFFFF"/>
        </w:rPr>
        <w:t> </w:t>
      </w:r>
      <w:r w:rsidRPr="00C039F9">
        <w:rPr>
          <w:rFonts w:ascii="Times New Roman" w:hAnsi="Times New Roman" w:cs="Times New Roman"/>
          <w:sz w:val="28"/>
          <w:szCs w:val="28"/>
          <w:shd w:val="clear" w:color="auto" w:fill="FFFFFF"/>
        </w:rPr>
        <w:t xml:space="preserve">«en el caso de las tasas y contribuciones, las corporaciones públicas mencionadas [hace referencia al Congreso, las asambleas departamentales y los consejos municipales o distritales] </w:t>
      </w:r>
      <w:r w:rsidRPr="00C039F9">
        <w:rPr>
          <w:rFonts w:ascii="Times New Roman" w:hAnsi="Times New Roman" w:cs="Times New Roman"/>
          <w:b/>
          <w:bCs/>
          <w:sz w:val="28"/>
          <w:szCs w:val="28"/>
          <w:shd w:val="clear" w:color="auto" w:fill="FFFFFF"/>
        </w:rPr>
        <w:t>pueden permitir a las autoridades gubernamentales fijar la tarifa de las</w:t>
      </w:r>
      <w:r w:rsidRPr="00C039F9">
        <w:rPr>
          <w:rFonts w:ascii="Times New Roman" w:hAnsi="Times New Roman" w:cs="Times New Roman"/>
          <w:b/>
          <w:bCs/>
          <w:sz w:val="28"/>
          <w:szCs w:val="28"/>
          <w:shd w:val="clear" w:color="auto" w:fill="FFFFFF"/>
        </w:rPr>
        <w:t xml:space="preserve"> mismas</w:t>
      </w:r>
      <w:r w:rsidRPr="00C039F9">
        <w:rPr>
          <w:rFonts w:ascii="Times New Roman" w:hAnsi="Times New Roman" w:cs="Times New Roman"/>
          <w:sz w:val="28"/>
          <w:szCs w:val="28"/>
          <w:shd w:val="clear" w:color="auto" w:fill="FFFFFF"/>
        </w:rPr>
        <w:t xml:space="preserve">, siempre que las primeras hayan definido el método y el sistema para su cálculo». (énfasis fuera de texto). </w:t>
      </w:r>
    </w:p>
    <w:p w:rsidR="00DE30D7" w:rsidRPr="00C039F9" w:rsidRDefault="00C039F9" w:rsidP="00DE30D7">
      <w:pPr>
        <w:pStyle w:val="Prrafodelista"/>
        <w:rPr>
          <w:rFonts w:ascii="Times New Roman" w:hAnsi="Times New Roman" w:cs="Times New Roman"/>
          <w:sz w:val="28"/>
          <w:szCs w:val="28"/>
          <w:shd w:val="clear" w:color="auto" w:fill="FFFFFF"/>
        </w:rPr>
      </w:pPr>
    </w:p>
    <w:p w:rsidR="00C342C8" w:rsidRPr="00C039F9" w:rsidRDefault="00C039F9" w:rsidP="00DE30D7">
      <w:pPr>
        <w:pStyle w:val="Prrafodelista"/>
        <w:widowControl w:val="0"/>
        <w:numPr>
          <w:ilvl w:val="0"/>
          <w:numId w:val="2"/>
        </w:numPr>
        <w:suppressAutoHyphens/>
        <w:ind w:left="0" w:hanging="11"/>
        <w:rPr>
          <w:rFonts w:ascii="Times New Roman" w:hAnsi="Times New Roman" w:cs="Times New Roman"/>
          <w:sz w:val="28"/>
          <w:szCs w:val="28"/>
        </w:rPr>
      </w:pPr>
      <w:r w:rsidRPr="00C039F9">
        <w:rPr>
          <w:rFonts w:ascii="Times New Roman" w:hAnsi="Times New Roman" w:cs="Times New Roman"/>
          <w:sz w:val="28"/>
          <w:szCs w:val="28"/>
          <w:shd w:val="clear" w:color="auto" w:fill="FFFFFF"/>
        </w:rPr>
        <w:t>Finalmente, e</w:t>
      </w:r>
      <w:r w:rsidRPr="00C039F9">
        <w:rPr>
          <w:rFonts w:ascii="Times New Roman" w:hAnsi="Times New Roman" w:cs="Times New Roman"/>
          <w:sz w:val="28"/>
          <w:szCs w:val="28"/>
          <w:shd w:val="clear" w:color="auto" w:fill="FFFFFF"/>
        </w:rPr>
        <w:t xml:space="preserve">n </w:t>
      </w:r>
      <w:r w:rsidRPr="00C039F9">
        <w:rPr>
          <w:rFonts w:ascii="Times New Roman" w:hAnsi="Times New Roman" w:cs="Times New Roman"/>
          <w:sz w:val="28"/>
          <w:szCs w:val="28"/>
          <w:shd w:val="clear" w:color="auto" w:fill="FFFFFF"/>
        </w:rPr>
        <w:t>también</w:t>
      </w:r>
      <w:r w:rsidRPr="00C039F9">
        <w:rPr>
          <w:rFonts w:ascii="Times New Roman" w:hAnsi="Times New Roman" w:cs="Times New Roman"/>
          <w:sz w:val="28"/>
          <w:szCs w:val="28"/>
          <w:shd w:val="clear" w:color="auto" w:fill="FFFFFF"/>
        </w:rPr>
        <w:t xml:space="preserve"> reciente Sentencia </w:t>
      </w:r>
      <w:r w:rsidRPr="00C039F9">
        <w:rPr>
          <w:rFonts w:ascii="Times New Roman" w:hAnsi="Times New Roman" w:cs="Times New Roman"/>
          <w:b/>
          <w:bCs/>
          <w:sz w:val="28"/>
          <w:szCs w:val="28"/>
          <w:shd w:val="clear" w:color="auto" w:fill="FFFFFF"/>
        </w:rPr>
        <w:t>C-019 de 2022</w:t>
      </w:r>
      <w:r w:rsidRPr="00C039F9">
        <w:rPr>
          <w:rStyle w:val="Refdenotaalpie"/>
          <w:rFonts w:ascii="Times New Roman" w:hAnsi="Times New Roman" w:cs="Times New Roman"/>
          <w:sz w:val="28"/>
          <w:szCs w:val="28"/>
          <w:shd w:val="clear" w:color="auto" w:fill="FFFFFF"/>
        </w:rPr>
        <w:footnoteReference w:id="34"/>
      </w:r>
      <w:r w:rsidRPr="00C039F9">
        <w:rPr>
          <w:rFonts w:ascii="Times New Roman" w:hAnsi="Times New Roman" w:cs="Times New Roman"/>
          <w:sz w:val="28"/>
          <w:szCs w:val="28"/>
          <w:shd w:val="clear" w:color="auto" w:fill="FFFFFF"/>
        </w:rPr>
        <w:t>, para determinar la inexequibilidad de una disposición que señalaba que</w:t>
      </w:r>
      <w:r w:rsidRPr="00C039F9">
        <w:rPr>
          <w:rFonts w:ascii="Times New Roman" w:hAnsi="Times New Roman" w:cs="Times New Roman"/>
          <w:sz w:val="28"/>
          <w:szCs w:val="28"/>
          <w:shd w:val="clear" w:color="auto" w:fill="FFFFFF"/>
          <w:lang w:val="es-ES"/>
        </w:rPr>
        <w:t xml:space="preserve"> la base gravable de una cuota de fomento agrícola sería</w:t>
      </w:r>
      <w:r w:rsidRPr="00C039F9">
        <w:rPr>
          <w:rFonts w:ascii="Times New Roman" w:hAnsi="Times New Roman" w:cs="Times New Roman"/>
          <w:sz w:val="28"/>
          <w:szCs w:val="28"/>
          <w:shd w:val="clear" w:color="auto" w:fill="FFFFFF"/>
        </w:rPr>
        <w:t xml:space="preserve"> el precio de cada kilogramo del respectivo producto liquidada con base en los “</w:t>
      </w:r>
      <w:r w:rsidRPr="00C039F9">
        <w:rPr>
          <w:rFonts w:ascii="Times New Roman" w:hAnsi="Times New Roman" w:cs="Times New Roman"/>
          <w:i/>
          <w:iCs/>
          <w:sz w:val="28"/>
          <w:szCs w:val="28"/>
          <w:shd w:val="clear" w:color="auto" w:fill="FFFFFF"/>
        </w:rPr>
        <w:t>precios de referencia</w:t>
      </w:r>
      <w:r w:rsidRPr="00C039F9">
        <w:rPr>
          <w:rFonts w:ascii="Times New Roman" w:hAnsi="Times New Roman" w:cs="Times New Roman"/>
          <w:sz w:val="28"/>
          <w:szCs w:val="28"/>
          <w:shd w:val="clear" w:color="auto" w:fill="FFFFFF"/>
        </w:rPr>
        <w:t>” que el Ministerio de Agricultura y Desarrollo sostenible señalara para cada semestre</w:t>
      </w:r>
      <w:r w:rsidRPr="00C039F9">
        <w:rPr>
          <w:rStyle w:val="Refdenotaalpie"/>
          <w:rFonts w:ascii="Times New Roman" w:hAnsi="Times New Roman" w:cs="Times New Roman"/>
          <w:sz w:val="28"/>
          <w:szCs w:val="28"/>
          <w:shd w:val="clear" w:color="auto" w:fill="FFFFFF"/>
        </w:rPr>
        <w:footnoteReference w:id="35"/>
      </w:r>
      <w:r w:rsidRPr="00C039F9">
        <w:rPr>
          <w:rFonts w:ascii="Times New Roman" w:hAnsi="Times New Roman" w:cs="Times New Roman"/>
          <w:sz w:val="28"/>
          <w:szCs w:val="28"/>
          <w:shd w:val="clear" w:color="auto" w:fill="FFFFFF"/>
        </w:rPr>
        <w:t>, la Sala co</w:t>
      </w:r>
      <w:r w:rsidRPr="00C039F9">
        <w:rPr>
          <w:rFonts w:ascii="Times New Roman" w:hAnsi="Times New Roman" w:cs="Times New Roman"/>
          <w:sz w:val="28"/>
          <w:szCs w:val="28"/>
          <w:shd w:val="clear" w:color="auto" w:fill="FFFFFF"/>
        </w:rPr>
        <w:t xml:space="preserve">nsideró que </w:t>
      </w:r>
      <w:r w:rsidRPr="00C039F9">
        <w:rPr>
          <w:rFonts w:ascii="Times New Roman" w:hAnsi="Times New Roman" w:cs="Times New Roman"/>
          <w:sz w:val="28"/>
          <w:szCs w:val="28"/>
          <w:shd w:val="clear" w:color="auto" w:fill="FFFFFF"/>
          <w:lang w:val="es-ES"/>
        </w:rPr>
        <w:t>«la Constitución permite que el legislador </w:t>
      </w:r>
      <w:r w:rsidRPr="00C039F9">
        <w:rPr>
          <w:rFonts w:ascii="Times New Roman" w:hAnsi="Times New Roman" w:cs="Times New Roman"/>
          <w:sz w:val="28"/>
          <w:szCs w:val="28"/>
          <w:shd w:val="clear" w:color="auto" w:fill="FFFFFF"/>
        </w:rPr>
        <w:t>establezca que la base gravable de un tributo es el “</w:t>
      </w:r>
      <w:r w:rsidRPr="00C039F9">
        <w:rPr>
          <w:rFonts w:ascii="Times New Roman" w:hAnsi="Times New Roman" w:cs="Times New Roman"/>
          <w:i/>
          <w:iCs/>
          <w:sz w:val="28"/>
          <w:szCs w:val="28"/>
          <w:shd w:val="clear" w:color="auto" w:fill="FFFFFF"/>
        </w:rPr>
        <w:t>precio</w:t>
      </w:r>
      <w:r w:rsidRPr="00C039F9">
        <w:rPr>
          <w:rFonts w:ascii="Times New Roman" w:hAnsi="Times New Roman" w:cs="Times New Roman"/>
          <w:sz w:val="28"/>
          <w:szCs w:val="28"/>
          <w:shd w:val="clear" w:color="auto" w:fill="FFFFFF"/>
        </w:rPr>
        <w:t>” de un bien o servicio y delegue a la administración la función de establecer el mecanismo para concretarlo o certificarlo de forma periódica</w:t>
      </w:r>
      <w:r w:rsidRPr="00C039F9">
        <w:rPr>
          <w:rFonts w:ascii="Times New Roman" w:hAnsi="Times New Roman" w:cs="Times New Roman"/>
          <w:sz w:val="28"/>
          <w:szCs w:val="28"/>
          <w:shd w:val="clear" w:color="auto" w:fill="FFFFFF"/>
        </w:rPr>
        <w:t>»</w:t>
      </w:r>
      <w:r w:rsidRPr="00C039F9">
        <w:rPr>
          <w:rFonts w:ascii="Times New Roman" w:hAnsi="Times New Roman" w:cs="Times New Roman"/>
          <w:sz w:val="28"/>
          <w:szCs w:val="28"/>
          <w:shd w:val="clear" w:color="auto" w:fill="FFFFFF"/>
        </w:rPr>
        <w:t>,</w:t>
      </w:r>
      <w:r w:rsidRPr="00C039F9">
        <w:rPr>
          <w:rFonts w:ascii="Times New Roman" w:hAnsi="Times New Roman" w:cs="Times New Roman"/>
          <w:sz w:val="28"/>
          <w:szCs w:val="28"/>
          <w:shd w:val="clear" w:color="auto" w:fill="FFFFFF"/>
        </w:rPr>
        <w:t xml:space="preserve"> pero que</w:t>
      </w:r>
      <w:r w:rsidRPr="00C039F9">
        <w:rPr>
          <w:rFonts w:ascii="Times New Roman" w:hAnsi="Times New Roman" w:cs="Times New Roman"/>
          <w:sz w:val="28"/>
          <w:szCs w:val="28"/>
          <w:shd w:val="clear" w:color="auto" w:fill="FFFFFF"/>
        </w:rPr>
        <w:t xml:space="preserve"> el legislador debe definir los «</w:t>
      </w:r>
      <w:r w:rsidRPr="00C039F9">
        <w:rPr>
          <w:rFonts w:ascii="Times New Roman" w:hAnsi="Times New Roman" w:cs="Times New Roman"/>
          <w:sz w:val="28"/>
          <w:szCs w:val="28"/>
          <w:shd w:val="clear" w:color="auto" w:fill="FFFFFF"/>
          <w:lang w:val="es-ES_tradnl"/>
        </w:rPr>
        <w:t>criterios, pautas o estándares </w:t>
      </w:r>
      <w:r w:rsidRPr="00C039F9">
        <w:rPr>
          <w:rFonts w:ascii="Times New Roman" w:hAnsi="Times New Roman" w:cs="Times New Roman"/>
          <w:sz w:val="28"/>
          <w:szCs w:val="28"/>
          <w:shd w:val="clear" w:color="auto" w:fill="FFFFFF"/>
        </w:rPr>
        <w:t>que orienten la forma en que la administración debe regular el mecanismo de cálculo para concretar, certificar o liquidar dicho precio</w:t>
      </w:r>
      <w:r w:rsidRPr="00C039F9">
        <w:rPr>
          <w:rFonts w:ascii="Times New Roman" w:hAnsi="Times New Roman" w:cs="Times New Roman"/>
          <w:sz w:val="28"/>
          <w:szCs w:val="28"/>
          <w:shd w:val="clear" w:color="auto" w:fill="FFFFFF"/>
          <w:lang w:val="es-ES_tradnl"/>
        </w:rPr>
        <w:t>».</w:t>
      </w:r>
    </w:p>
    <w:p w:rsidR="00C342C8" w:rsidRPr="00C039F9" w:rsidRDefault="00C039F9" w:rsidP="00FB5479">
      <w:pPr>
        <w:ind w:right="51"/>
        <w:contextualSpacing/>
        <w:rPr>
          <w:rFonts w:ascii="Times New Roman" w:hAnsi="Times New Roman" w:cs="Times New Roman"/>
          <w:sz w:val="28"/>
          <w:szCs w:val="28"/>
          <w:bdr w:val="none" w:sz="0" w:space="0" w:color="auto" w:frame="1"/>
        </w:rPr>
      </w:pPr>
    </w:p>
    <w:p w:rsidR="0094709B" w:rsidRPr="00C039F9" w:rsidRDefault="00C039F9" w:rsidP="00FB5479">
      <w:pPr>
        <w:ind w:right="51"/>
        <w:contextualSpacing/>
        <w:rPr>
          <w:rFonts w:ascii="Times New Roman" w:hAnsi="Times New Roman" w:cs="Times New Roman"/>
          <w:b/>
          <w:bCs/>
          <w:sz w:val="28"/>
          <w:szCs w:val="28"/>
        </w:rPr>
      </w:pPr>
      <w:r w:rsidRPr="00C039F9">
        <w:rPr>
          <w:rFonts w:ascii="Times New Roman" w:hAnsi="Times New Roman" w:cs="Times New Roman"/>
          <w:b/>
          <w:bCs/>
          <w:sz w:val="28"/>
          <w:szCs w:val="28"/>
        </w:rPr>
        <w:t>VI.I</w:t>
      </w:r>
      <w:r w:rsidRPr="00C039F9">
        <w:rPr>
          <w:rFonts w:ascii="Times New Roman" w:hAnsi="Times New Roman" w:cs="Times New Roman"/>
          <w:b/>
          <w:bCs/>
          <w:sz w:val="28"/>
          <w:szCs w:val="28"/>
        </w:rPr>
        <w:t>V</w:t>
      </w:r>
      <w:r w:rsidRPr="00C039F9">
        <w:rPr>
          <w:rFonts w:ascii="Times New Roman" w:hAnsi="Times New Roman" w:cs="Times New Roman"/>
          <w:b/>
          <w:bCs/>
          <w:sz w:val="28"/>
          <w:szCs w:val="28"/>
        </w:rPr>
        <w:t xml:space="preserve"> </w:t>
      </w:r>
      <w:r w:rsidRPr="00C039F9">
        <w:rPr>
          <w:rFonts w:ascii="Times New Roman" w:hAnsi="Times New Roman" w:cs="Times New Roman"/>
          <w:b/>
          <w:bCs/>
          <w:sz w:val="28"/>
          <w:szCs w:val="28"/>
        </w:rPr>
        <w:tab/>
      </w:r>
      <w:r w:rsidRPr="00C039F9">
        <w:rPr>
          <w:rFonts w:ascii="Times New Roman" w:hAnsi="Times New Roman" w:cs="Times New Roman"/>
          <w:b/>
          <w:bCs/>
          <w:sz w:val="28"/>
          <w:szCs w:val="28"/>
        </w:rPr>
        <w:t>El caso concreto</w:t>
      </w:r>
    </w:p>
    <w:p w:rsidR="00394762" w:rsidRPr="00C039F9" w:rsidRDefault="00C039F9" w:rsidP="00FB5479">
      <w:pPr>
        <w:pStyle w:val="NormalWeb"/>
        <w:shd w:val="clear" w:color="auto" w:fill="FFFFFF"/>
        <w:spacing w:before="0" w:beforeAutospacing="0" w:after="0" w:afterAutospacing="0"/>
        <w:contextualSpacing/>
        <w:jc w:val="both"/>
        <w:rPr>
          <w:rFonts w:ascii="Times New Roman" w:hAnsi="Times New Roman" w:cs="Times New Roman"/>
          <w:sz w:val="28"/>
          <w:szCs w:val="28"/>
        </w:rPr>
      </w:pPr>
    </w:p>
    <w:p w:rsidR="00DE30D7" w:rsidRPr="00C039F9" w:rsidRDefault="00C039F9" w:rsidP="00DE30D7">
      <w:pPr>
        <w:pStyle w:val="Prrafodelista"/>
        <w:widowControl w:val="0"/>
        <w:numPr>
          <w:ilvl w:val="0"/>
          <w:numId w:val="2"/>
        </w:numPr>
        <w:suppressAutoHyphens/>
        <w:ind w:left="0" w:hanging="11"/>
        <w:rPr>
          <w:rFonts w:ascii="Times New Roman" w:hAnsi="Times New Roman" w:cs="Times New Roman"/>
          <w:sz w:val="28"/>
          <w:szCs w:val="28"/>
        </w:rPr>
      </w:pPr>
      <w:r w:rsidRPr="00C039F9">
        <w:rPr>
          <w:rFonts w:ascii="Times New Roman" w:hAnsi="Times New Roman" w:cs="Times New Roman"/>
          <w:sz w:val="28"/>
          <w:szCs w:val="28"/>
        </w:rPr>
        <w:t xml:space="preserve">En la demanda se </w:t>
      </w:r>
      <w:r w:rsidRPr="00C039F9">
        <w:rPr>
          <w:rFonts w:ascii="Times New Roman" w:hAnsi="Times New Roman" w:cs="Times New Roman"/>
          <w:sz w:val="28"/>
          <w:szCs w:val="28"/>
        </w:rPr>
        <w:t>acus</w:t>
      </w:r>
      <w:r w:rsidRPr="00C039F9">
        <w:rPr>
          <w:rFonts w:ascii="Times New Roman" w:hAnsi="Times New Roman" w:cs="Times New Roman"/>
          <w:sz w:val="28"/>
          <w:szCs w:val="28"/>
        </w:rPr>
        <w:t>ó</w:t>
      </w:r>
      <w:r w:rsidRPr="00C039F9">
        <w:rPr>
          <w:rFonts w:ascii="Times New Roman" w:hAnsi="Times New Roman" w:cs="Times New Roman"/>
          <w:sz w:val="28"/>
          <w:szCs w:val="28"/>
        </w:rPr>
        <w:t xml:space="preserve"> que</w:t>
      </w:r>
      <w:r w:rsidRPr="00C039F9">
        <w:rPr>
          <w:rFonts w:ascii="Times New Roman" w:hAnsi="Times New Roman" w:cs="Times New Roman"/>
          <w:sz w:val="28"/>
          <w:szCs w:val="28"/>
        </w:rPr>
        <w:t>,</w:t>
      </w:r>
      <w:r w:rsidRPr="00C039F9">
        <w:rPr>
          <w:rFonts w:ascii="Times New Roman" w:hAnsi="Times New Roman" w:cs="Times New Roman"/>
          <w:sz w:val="28"/>
          <w:szCs w:val="28"/>
        </w:rPr>
        <w:t xml:space="preserve"> cuando la disposición demandada deleg</w:t>
      </w:r>
      <w:r w:rsidRPr="00C039F9">
        <w:rPr>
          <w:rFonts w:ascii="Times New Roman" w:hAnsi="Times New Roman" w:cs="Times New Roman"/>
          <w:sz w:val="28"/>
          <w:szCs w:val="28"/>
        </w:rPr>
        <w:t>ó</w:t>
      </w:r>
      <w:r w:rsidRPr="00C039F9">
        <w:rPr>
          <w:rFonts w:ascii="Times New Roman" w:hAnsi="Times New Roman" w:cs="Times New Roman"/>
          <w:sz w:val="28"/>
          <w:szCs w:val="28"/>
        </w:rPr>
        <w:t xml:space="preserve"> en el Gobierno nacional </w:t>
      </w:r>
      <w:r w:rsidRPr="00C039F9">
        <w:rPr>
          <w:rFonts w:ascii="Times New Roman" w:hAnsi="Times New Roman" w:cs="Times New Roman"/>
          <w:sz w:val="28"/>
          <w:szCs w:val="28"/>
        </w:rPr>
        <w:t xml:space="preserve">(a través del </w:t>
      </w:r>
      <w:r w:rsidRPr="00C039F9">
        <w:rPr>
          <w:rFonts w:ascii="Times New Roman" w:hAnsi="Times New Roman" w:cs="Times New Roman"/>
          <w:sz w:val="28"/>
          <w:szCs w:val="28"/>
        </w:rPr>
        <w:t>Ministerio del Interior</w:t>
      </w:r>
      <w:r w:rsidRPr="00C039F9">
        <w:rPr>
          <w:rFonts w:ascii="Times New Roman" w:hAnsi="Times New Roman" w:cs="Times New Roman"/>
          <w:sz w:val="28"/>
          <w:szCs w:val="28"/>
        </w:rPr>
        <w:t>)</w:t>
      </w:r>
      <w:r w:rsidRPr="00C039F9">
        <w:rPr>
          <w:rFonts w:ascii="Times New Roman" w:hAnsi="Times New Roman" w:cs="Times New Roman"/>
          <w:sz w:val="28"/>
          <w:szCs w:val="28"/>
        </w:rPr>
        <w:t xml:space="preserve"> la metodología de cálculo del costo de los servicios prestados por la Dirección Nacional de Derecho de Autor</w:t>
      </w:r>
      <w:r w:rsidRPr="00C039F9">
        <w:rPr>
          <w:rFonts w:ascii="Times New Roman" w:hAnsi="Times New Roman" w:cs="Times New Roman"/>
          <w:sz w:val="28"/>
          <w:szCs w:val="28"/>
        </w:rPr>
        <w:t xml:space="preserve"> (D</w:t>
      </w:r>
      <w:r w:rsidRPr="00C039F9">
        <w:rPr>
          <w:rFonts w:ascii="Times New Roman" w:hAnsi="Times New Roman" w:cs="Times New Roman"/>
          <w:sz w:val="28"/>
          <w:szCs w:val="28"/>
        </w:rPr>
        <w:t>N</w:t>
      </w:r>
      <w:r w:rsidRPr="00C039F9">
        <w:rPr>
          <w:rFonts w:ascii="Times New Roman" w:hAnsi="Times New Roman" w:cs="Times New Roman"/>
          <w:sz w:val="28"/>
          <w:szCs w:val="28"/>
        </w:rPr>
        <w:t>DA)</w:t>
      </w:r>
      <w:r w:rsidRPr="00C039F9">
        <w:rPr>
          <w:rFonts w:ascii="Times New Roman" w:hAnsi="Times New Roman" w:cs="Times New Roman"/>
          <w:sz w:val="28"/>
          <w:szCs w:val="28"/>
        </w:rPr>
        <w:t xml:space="preserve"> -costos estos que </w:t>
      </w:r>
      <w:r w:rsidRPr="00C039F9">
        <w:rPr>
          <w:rFonts w:ascii="Times New Roman" w:hAnsi="Times New Roman" w:cs="Times New Roman"/>
          <w:sz w:val="28"/>
          <w:szCs w:val="28"/>
        </w:rPr>
        <w:t>equivalen</w:t>
      </w:r>
      <w:r w:rsidRPr="00C039F9">
        <w:rPr>
          <w:rFonts w:ascii="Times New Roman" w:hAnsi="Times New Roman" w:cs="Times New Roman"/>
          <w:sz w:val="28"/>
          <w:szCs w:val="28"/>
        </w:rPr>
        <w:t xml:space="preserve"> </w:t>
      </w:r>
      <w:r w:rsidRPr="00C039F9">
        <w:rPr>
          <w:rFonts w:ascii="Times New Roman" w:hAnsi="Times New Roman" w:cs="Times New Roman"/>
          <w:sz w:val="28"/>
          <w:szCs w:val="28"/>
        </w:rPr>
        <w:t xml:space="preserve">a </w:t>
      </w:r>
      <w:r w:rsidRPr="00C039F9">
        <w:rPr>
          <w:rFonts w:ascii="Times New Roman" w:hAnsi="Times New Roman" w:cs="Times New Roman"/>
          <w:sz w:val="28"/>
          <w:szCs w:val="28"/>
        </w:rPr>
        <w:t xml:space="preserve">la base gravable de la tasa que la norma </w:t>
      </w:r>
      <w:r w:rsidRPr="00C039F9">
        <w:rPr>
          <w:rFonts w:ascii="Times New Roman" w:hAnsi="Times New Roman" w:cs="Times New Roman"/>
          <w:sz w:val="28"/>
          <w:szCs w:val="28"/>
        </w:rPr>
        <w:t xml:space="preserve">mencionada </w:t>
      </w:r>
      <w:r w:rsidRPr="00C039F9">
        <w:rPr>
          <w:rFonts w:ascii="Times New Roman" w:hAnsi="Times New Roman" w:cs="Times New Roman"/>
          <w:sz w:val="28"/>
          <w:szCs w:val="28"/>
        </w:rPr>
        <w:t>crea</w:t>
      </w:r>
      <w:r w:rsidRPr="00C039F9">
        <w:rPr>
          <w:rStyle w:val="Refdenotaalpie"/>
          <w:rFonts w:ascii="Times New Roman" w:hAnsi="Times New Roman" w:cs="Times New Roman"/>
          <w:sz w:val="28"/>
          <w:szCs w:val="28"/>
        </w:rPr>
        <w:footnoteReference w:id="36"/>
      </w:r>
      <w:r w:rsidRPr="00C039F9">
        <w:rPr>
          <w:rFonts w:ascii="Times New Roman" w:hAnsi="Times New Roman" w:cs="Times New Roman"/>
          <w:sz w:val="28"/>
          <w:szCs w:val="28"/>
        </w:rPr>
        <w:t>-</w:t>
      </w:r>
      <w:r w:rsidRPr="00C039F9">
        <w:rPr>
          <w:rFonts w:ascii="Times New Roman" w:hAnsi="Times New Roman" w:cs="Times New Roman"/>
          <w:sz w:val="28"/>
          <w:szCs w:val="28"/>
        </w:rPr>
        <w:t>,</w:t>
      </w:r>
      <w:r w:rsidRPr="00C039F9">
        <w:rPr>
          <w:rFonts w:ascii="Times New Roman" w:hAnsi="Times New Roman" w:cs="Times New Roman"/>
          <w:sz w:val="28"/>
          <w:szCs w:val="28"/>
        </w:rPr>
        <w:t xml:space="preserve"> el Legislador</w:t>
      </w:r>
      <w:r w:rsidRPr="00C039F9">
        <w:rPr>
          <w:rFonts w:ascii="Times New Roman" w:hAnsi="Times New Roman" w:cs="Times New Roman"/>
          <w:sz w:val="28"/>
          <w:szCs w:val="28"/>
        </w:rPr>
        <w:t xml:space="preserve"> habría</w:t>
      </w:r>
      <w:r w:rsidRPr="00C039F9">
        <w:rPr>
          <w:rFonts w:ascii="Times New Roman" w:hAnsi="Times New Roman" w:cs="Times New Roman"/>
          <w:sz w:val="28"/>
          <w:szCs w:val="28"/>
        </w:rPr>
        <w:t xml:space="preserve"> vio</w:t>
      </w:r>
      <w:r w:rsidRPr="00C039F9">
        <w:rPr>
          <w:rFonts w:ascii="Times New Roman" w:hAnsi="Times New Roman" w:cs="Times New Roman"/>
          <w:sz w:val="28"/>
          <w:szCs w:val="28"/>
        </w:rPr>
        <w:t>l</w:t>
      </w:r>
      <w:r w:rsidRPr="00C039F9">
        <w:rPr>
          <w:rFonts w:ascii="Times New Roman" w:hAnsi="Times New Roman" w:cs="Times New Roman"/>
          <w:sz w:val="28"/>
          <w:szCs w:val="28"/>
        </w:rPr>
        <w:t>ado</w:t>
      </w:r>
      <w:r w:rsidRPr="00C039F9">
        <w:rPr>
          <w:rFonts w:ascii="Times New Roman" w:hAnsi="Times New Roman" w:cs="Times New Roman"/>
          <w:sz w:val="28"/>
          <w:szCs w:val="28"/>
        </w:rPr>
        <w:t xml:space="preserve"> el artículo 338 de la Constitución. </w:t>
      </w:r>
    </w:p>
    <w:p w:rsidR="00DE30D7" w:rsidRPr="00C039F9" w:rsidRDefault="00C039F9" w:rsidP="00DE30D7">
      <w:pPr>
        <w:pStyle w:val="Prrafodelista"/>
        <w:widowControl w:val="0"/>
        <w:suppressAutoHyphens/>
        <w:ind w:left="0"/>
        <w:rPr>
          <w:rFonts w:ascii="Times New Roman" w:hAnsi="Times New Roman" w:cs="Times New Roman"/>
          <w:sz w:val="28"/>
          <w:szCs w:val="28"/>
        </w:rPr>
      </w:pPr>
    </w:p>
    <w:p w:rsidR="004D2233" w:rsidRPr="00C039F9" w:rsidRDefault="00C039F9" w:rsidP="004D2233">
      <w:pPr>
        <w:pStyle w:val="Prrafodelista"/>
        <w:widowControl w:val="0"/>
        <w:numPr>
          <w:ilvl w:val="0"/>
          <w:numId w:val="2"/>
        </w:numPr>
        <w:suppressAutoHyphens/>
        <w:ind w:left="0" w:hanging="11"/>
        <w:rPr>
          <w:rFonts w:ascii="Times New Roman" w:hAnsi="Times New Roman" w:cs="Times New Roman"/>
          <w:sz w:val="28"/>
          <w:szCs w:val="28"/>
        </w:rPr>
      </w:pPr>
      <w:r w:rsidRPr="00C039F9">
        <w:rPr>
          <w:rFonts w:ascii="Times New Roman" w:hAnsi="Times New Roman" w:cs="Times New Roman"/>
          <w:sz w:val="28"/>
          <w:szCs w:val="28"/>
        </w:rPr>
        <w:t xml:space="preserve">En fundamento de </w:t>
      </w:r>
      <w:r w:rsidRPr="00C039F9">
        <w:rPr>
          <w:rFonts w:ascii="Times New Roman" w:hAnsi="Times New Roman" w:cs="Times New Roman"/>
          <w:sz w:val="28"/>
          <w:szCs w:val="28"/>
        </w:rPr>
        <w:t>su</w:t>
      </w:r>
      <w:r w:rsidRPr="00C039F9">
        <w:rPr>
          <w:rFonts w:ascii="Times New Roman" w:hAnsi="Times New Roman" w:cs="Times New Roman"/>
          <w:sz w:val="28"/>
          <w:szCs w:val="28"/>
        </w:rPr>
        <w:t xml:space="preserve"> </w:t>
      </w:r>
      <w:r w:rsidRPr="00C039F9">
        <w:rPr>
          <w:rFonts w:ascii="Times New Roman" w:hAnsi="Times New Roman" w:cs="Times New Roman"/>
          <w:sz w:val="28"/>
          <w:szCs w:val="28"/>
        </w:rPr>
        <w:t xml:space="preserve">acusación </w:t>
      </w:r>
      <w:r w:rsidRPr="00C039F9">
        <w:rPr>
          <w:rFonts w:ascii="Times New Roman" w:hAnsi="Times New Roman" w:cs="Times New Roman"/>
          <w:sz w:val="28"/>
          <w:szCs w:val="28"/>
        </w:rPr>
        <w:t>el actor sost</w:t>
      </w:r>
      <w:r w:rsidRPr="00C039F9">
        <w:rPr>
          <w:rFonts w:ascii="Times New Roman" w:hAnsi="Times New Roman" w:cs="Times New Roman"/>
          <w:sz w:val="28"/>
          <w:szCs w:val="28"/>
        </w:rPr>
        <w:t>uvo</w:t>
      </w:r>
      <w:r w:rsidRPr="00C039F9">
        <w:rPr>
          <w:rFonts w:ascii="Times New Roman" w:hAnsi="Times New Roman" w:cs="Times New Roman"/>
          <w:sz w:val="28"/>
          <w:szCs w:val="28"/>
        </w:rPr>
        <w:t xml:space="preserve"> que</w:t>
      </w:r>
      <w:r w:rsidRPr="00C039F9">
        <w:rPr>
          <w:rFonts w:ascii="Times New Roman" w:hAnsi="Times New Roman" w:cs="Times New Roman"/>
          <w:sz w:val="28"/>
          <w:szCs w:val="28"/>
        </w:rPr>
        <w:t>,</w:t>
      </w:r>
      <w:r w:rsidRPr="00C039F9">
        <w:rPr>
          <w:rFonts w:ascii="Times New Roman" w:hAnsi="Times New Roman" w:cs="Times New Roman"/>
          <w:sz w:val="28"/>
          <w:szCs w:val="28"/>
        </w:rPr>
        <w:t xml:space="preserve"> </w:t>
      </w:r>
      <w:r w:rsidRPr="00C039F9">
        <w:rPr>
          <w:rFonts w:ascii="Times New Roman" w:hAnsi="Times New Roman" w:cs="Times New Roman"/>
          <w:sz w:val="28"/>
          <w:szCs w:val="28"/>
        </w:rPr>
        <w:t>aunque la</w:t>
      </w:r>
      <w:r w:rsidRPr="00C039F9">
        <w:rPr>
          <w:rFonts w:ascii="Times New Roman" w:hAnsi="Times New Roman" w:cs="Times New Roman"/>
          <w:sz w:val="28"/>
          <w:szCs w:val="28"/>
        </w:rPr>
        <w:t xml:space="preserve"> antedicha</w:t>
      </w:r>
      <w:r w:rsidRPr="00C039F9">
        <w:rPr>
          <w:rFonts w:ascii="Times New Roman" w:hAnsi="Times New Roman" w:cs="Times New Roman"/>
          <w:sz w:val="28"/>
          <w:szCs w:val="28"/>
        </w:rPr>
        <w:t xml:space="preserve"> norma constitucional permite que el Congreso, las asambleas departamentales y los concejos deleguen en otras autoridades administrativas la definición de la tarifa </w:t>
      </w:r>
      <w:r w:rsidRPr="00C039F9">
        <w:rPr>
          <w:rFonts w:ascii="Times New Roman" w:hAnsi="Times New Roman" w:cs="Times New Roman"/>
          <w:sz w:val="28"/>
          <w:szCs w:val="28"/>
        </w:rPr>
        <w:t xml:space="preserve">de las tasas y contribuciones que </w:t>
      </w:r>
      <w:r w:rsidRPr="00C039F9">
        <w:rPr>
          <w:rFonts w:ascii="Times New Roman" w:hAnsi="Times New Roman" w:cs="Times New Roman"/>
          <w:sz w:val="28"/>
          <w:szCs w:val="28"/>
        </w:rPr>
        <w:t>dichas corporaciones</w:t>
      </w:r>
      <w:r w:rsidRPr="00C039F9">
        <w:rPr>
          <w:rFonts w:ascii="Times New Roman" w:hAnsi="Times New Roman" w:cs="Times New Roman"/>
          <w:sz w:val="28"/>
          <w:szCs w:val="28"/>
        </w:rPr>
        <w:t xml:space="preserve"> crean, </w:t>
      </w:r>
      <w:r w:rsidRPr="00C039F9">
        <w:rPr>
          <w:rFonts w:ascii="Times New Roman" w:hAnsi="Times New Roman" w:cs="Times New Roman"/>
          <w:sz w:val="28"/>
          <w:szCs w:val="28"/>
        </w:rPr>
        <w:t>esta</w:t>
      </w:r>
      <w:r w:rsidRPr="00C039F9">
        <w:rPr>
          <w:rFonts w:ascii="Times New Roman" w:hAnsi="Times New Roman" w:cs="Times New Roman"/>
          <w:sz w:val="28"/>
          <w:szCs w:val="28"/>
        </w:rPr>
        <w:t xml:space="preserve"> delegación no podría ext</w:t>
      </w:r>
      <w:r w:rsidRPr="00C039F9">
        <w:rPr>
          <w:rFonts w:ascii="Times New Roman" w:hAnsi="Times New Roman" w:cs="Times New Roman"/>
          <w:sz w:val="28"/>
          <w:szCs w:val="28"/>
        </w:rPr>
        <w:t xml:space="preserve">enderse a los demás elementos esenciales de </w:t>
      </w:r>
      <w:r w:rsidRPr="00C039F9">
        <w:rPr>
          <w:rFonts w:ascii="Times New Roman" w:hAnsi="Times New Roman" w:cs="Times New Roman"/>
          <w:sz w:val="28"/>
          <w:szCs w:val="28"/>
        </w:rPr>
        <w:t>tales</w:t>
      </w:r>
      <w:r w:rsidRPr="00C039F9">
        <w:rPr>
          <w:rFonts w:ascii="Times New Roman" w:hAnsi="Times New Roman" w:cs="Times New Roman"/>
          <w:sz w:val="28"/>
          <w:szCs w:val="28"/>
        </w:rPr>
        <w:t xml:space="preserve"> tributos, como lo </w:t>
      </w:r>
      <w:r w:rsidRPr="00C039F9">
        <w:rPr>
          <w:rFonts w:ascii="Times New Roman" w:hAnsi="Times New Roman" w:cs="Times New Roman"/>
          <w:sz w:val="28"/>
          <w:szCs w:val="28"/>
        </w:rPr>
        <w:t>es</w:t>
      </w:r>
      <w:r w:rsidRPr="00C039F9">
        <w:rPr>
          <w:rFonts w:ascii="Times New Roman" w:hAnsi="Times New Roman" w:cs="Times New Roman"/>
          <w:sz w:val="28"/>
          <w:szCs w:val="28"/>
        </w:rPr>
        <w:t>, efectivame</w:t>
      </w:r>
      <w:r w:rsidRPr="00C039F9">
        <w:rPr>
          <w:rFonts w:ascii="Times New Roman" w:hAnsi="Times New Roman" w:cs="Times New Roman"/>
          <w:sz w:val="28"/>
          <w:szCs w:val="28"/>
        </w:rPr>
        <w:t>n</w:t>
      </w:r>
      <w:r w:rsidRPr="00C039F9">
        <w:rPr>
          <w:rFonts w:ascii="Times New Roman" w:hAnsi="Times New Roman" w:cs="Times New Roman"/>
          <w:sz w:val="28"/>
          <w:szCs w:val="28"/>
        </w:rPr>
        <w:t>te</w:t>
      </w:r>
      <w:r w:rsidRPr="00C039F9">
        <w:rPr>
          <w:rFonts w:ascii="Times New Roman" w:hAnsi="Times New Roman" w:cs="Times New Roman"/>
          <w:sz w:val="28"/>
          <w:szCs w:val="28"/>
        </w:rPr>
        <w:t>,</w:t>
      </w:r>
      <w:r w:rsidRPr="00C039F9">
        <w:rPr>
          <w:rFonts w:ascii="Times New Roman" w:hAnsi="Times New Roman" w:cs="Times New Roman"/>
          <w:sz w:val="28"/>
          <w:szCs w:val="28"/>
        </w:rPr>
        <w:t xml:space="preserve"> su base gravable. Así mismo indicó que</w:t>
      </w:r>
      <w:r w:rsidRPr="00C039F9">
        <w:rPr>
          <w:rFonts w:ascii="Times New Roman" w:hAnsi="Times New Roman" w:cs="Times New Roman"/>
          <w:sz w:val="28"/>
          <w:szCs w:val="28"/>
        </w:rPr>
        <w:t>,</w:t>
      </w:r>
      <w:r w:rsidRPr="00C039F9">
        <w:rPr>
          <w:rFonts w:ascii="Times New Roman" w:hAnsi="Times New Roman" w:cs="Times New Roman"/>
          <w:sz w:val="28"/>
          <w:szCs w:val="28"/>
        </w:rPr>
        <w:t xml:space="preserve"> «si bien la norma [acusada] establece que la base para la liquidación de la tasa será el costo de los servicios correspondientes </w:t>
      </w:r>
      <w:r w:rsidRPr="00C039F9">
        <w:rPr>
          <w:rFonts w:ascii="Times New Roman" w:hAnsi="Times New Roman" w:cs="Times New Roman"/>
          <w:sz w:val="28"/>
          <w:szCs w:val="28"/>
        </w:rPr>
        <w:t>a cada uno de los hechos generadores, no proporciona información detallada sobre cómo se determinarán estos costos».</w:t>
      </w:r>
    </w:p>
    <w:p w:rsidR="004D2233" w:rsidRPr="00C039F9" w:rsidRDefault="00C039F9" w:rsidP="009A7667">
      <w:pPr>
        <w:rPr>
          <w:rFonts w:ascii="Times New Roman" w:hAnsi="Times New Roman" w:cs="Times New Roman"/>
          <w:sz w:val="28"/>
          <w:szCs w:val="28"/>
        </w:rPr>
      </w:pPr>
    </w:p>
    <w:p w:rsidR="004D2233" w:rsidRPr="00C039F9" w:rsidRDefault="00C039F9" w:rsidP="004D2233">
      <w:pPr>
        <w:pStyle w:val="Prrafodelista"/>
        <w:widowControl w:val="0"/>
        <w:numPr>
          <w:ilvl w:val="0"/>
          <w:numId w:val="2"/>
        </w:numPr>
        <w:suppressAutoHyphens/>
        <w:ind w:left="0" w:hanging="11"/>
        <w:rPr>
          <w:rFonts w:ascii="Times New Roman" w:hAnsi="Times New Roman" w:cs="Times New Roman"/>
          <w:sz w:val="28"/>
          <w:szCs w:val="28"/>
        </w:rPr>
      </w:pPr>
      <w:r w:rsidRPr="00C039F9">
        <w:rPr>
          <w:rFonts w:ascii="Times New Roman" w:hAnsi="Times New Roman" w:cs="Times New Roman"/>
          <w:sz w:val="28"/>
          <w:szCs w:val="28"/>
        </w:rPr>
        <w:t xml:space="preserve">Para resolver el problema jurídico, esta Corporación reitera que el texto del inciso 2º del artículo 338 de la Constitución indica que la </w:t>
      </w:r>
      <w:r w:rsidRPr="00C039F9">
        <w:rPr>
          <w:rFonts w:ascii="Times New Roman" w:hAnsi="Times New Roman" w:cs="Times New Roman"/>
          <w:sz w:val="28"/>
          <w:szCs w:val="28"/>
        </w:rPr>
        <w:t>excepción a la regla general de predeterminación tributaria que asegura el principio de legalidad de los tributos sólo se predica de la tarifa de las tasas y contribuciones; nunca de cualquier otro elemento esencial de los tributos como lo es, efectivament</w:t>
      </w:r>
      <w:r w:rsidRPr="00C039F9">
        <w:rPr>
          <w:rFonts w:ascii="Times New Roman" w:hAnsi="Times New Roman" w:cs="Times New Roman"/>
          <w:sz w:val="28"/>
          <w:szCs w:val="28"/>
        </w:rPr>
        <w:t>e, su base gravable. Esta interpretación textual del inciso constitucional en mención podría sugerir la inexequibilidad de una norma que delega en el Gobierno nacional el establecimiento de la base gravable de una tasa cuando, se repite, dicha delegación s</w:t>
      </w:r>
      <w:r w:rsidRPr="00C039F9">
        <w:rPr>
          <w:rFonts w:ascii="Times New Roman" w:hAnsi="Times New Roman" w:cs="Times New Roman"/>
          <w:sz w:val="28"/>
          <w:szCs w:val="28"/>
        </w:rPr>
        <w:t>olo podría hacerse para la determinación de su tarifa.</w:t>
      </w:r>
      <w:r w:rsidRPr="00C039F9">
        <w:rPr>
          <w:rStyle w:val="Refdenotaalpie"/>
          <w:rFonts w:ascii="Times New Roman" w:hAnsi="Times New Roman" w:cs="Times New Roman"/>
          <w:sz w:val="28"/>
          <w:szCs w:val="28"/>
        </w:rPr>
        <w:footnoteReference w:id="37"/>
      </w:r>
    </w:p>
    <w:p w:rsidR="004D2233" w:rsidRPr="00C039F9" w:rsidRDefault="00C039F9" w:rsidP="004D2233">
      <w:pPr>
        <w:pStyle w:val="Prrafodelista"/>
        <w:rPr>
          <w:rFonts w:ascii="Times New Roman" w:hAnsi="Times New Roman" w:cs="Times New Roman"/>
          <w:color w:val="2D2D2D"/>
          <w:sz w:val="28"/>
          <w:szCs w:val="28"/>
          <w:shd w:val="clear" w:color="auto" w:fill="FFFFFF"/>
        </w:rPr>
      </w:pPr>
    </w:p>
    <w:p w:rsidR="004D2233" w:rsidRPr="00C039F9" w:rsidRDefault="00C039F9" w:rsidP="004D2233">
      <w:pPr>
        <w:pStyle w:val="Prrafodelista"/>
        <w:widowControl w:val="0"/>
        <w:numPr>
          <w:ilvl w:val="0"/>
          <w:numId w:val="2"/>
        </w:numPr>
        <w:suppressAutoHyphens/>
        <w:ind w:left="0" w:hanging="11"/>
        <w:rPr>
          <w:rFonts w:ascii="Times New Roman" w:hAnsi="Times New Roman" w:cs="Times New Roman"/>
          <w:sz w:val="28"/>
          <w:szCs w:val="28"/>
        </w:rPr>
      </w:pPr>
      <w:r w:rsidRPr="00C039F9">
        <w:rPr>
          <w:rFonts w:ascii="Times New Roman" w:hAnsi="Times New Roman" w:cs="Times New Roman"/>
          <w:color w:val="2D2D2D"/>
          <w:sz w:val="28"/>
          <w:szCs w:val="28"/>
          <w:shd w:val="clear" w:color="auto" w:fill="FFFFFF"/>
        </w:rPr>
        <w:t>No obstante, para la Corte es claro que, a diferencia de lo que se acusa en la demanda, pero en consonancia con varios de los intervinientes y el Ministerio Público, el diseño de la norma demandada p</w:t>
      </w:r>
      <w:r w:rsidRPr="00C039F9">
        <w:rPr>
          <w:rFonts w:ascii="Times New Roman" w:hAnsi="Times New Roman" w:cs="Times New Roman"/>
          <w:color w:val="2D2D2D"/>
          <w:sz w:val="28"/>
          <w:szCs w:val="28"/>
          <w:shd w:val="clear" w:color="auto" w:fill="FFFFFF"/>
        </w:rPr>
        <w:t xml:space="preserve">ermite entender que, en realidad, el establecimiento de la base gravable de la tasa fue efectivamente señalado por la </w:t>
      </w:r>
      <w:r w:rsidRPr="00C039F9">
        <w:rPr>
          <w:rFonts w:ascii="Times New Roman" w:hAnsi="Times New Roman" w:cs="Times New Roman"/>
          <w:color w:val="2D2D2D"/>
          <w:sz w:val="28"/>
          <w:szCs w:val="28"/>
          <w:shd w:val="clear" w:color="auto" w:fill="FFFFFF"/>
        </w:rPr>
        <w:t xml:space="preserve">disposición legal </w:t>
      </w:r>
      <w:r w:rsidRPr="00C039F9">
        <w:rPr>
          <w:rFonts w:ascii="Times New Roman" w:hAnsi="Times New Roman" w:cs="Times New Roman"/>
          <w:color w:val="2D2D2D"/>
          <w:sz w:val="28"/>
          <w:szCs w:val="28"/>
          <w:shd w:val="clear" w:color="auto" w:fill="FFFFFF"/>
        </w:rPr>
        <w:t>en cuestión</w:t>
      </w:r>
      <w:r w:rsidRPr="00C039F9">
        <w:rPr>
          <w:rFonts w:ascii="Times New Roman" w:hAnsi="Times New Roman" w:cs="Times New Roman"/>
          <w:color w:val="2D2D2D"/>
          <w:sz w:val="28"/>
          <w:szCs w:val="28"/>
          <w:shd w:val="clear" w:color="auto" w:fill="FFFFFF"/>
        </w:rPr>
        <w:t>, así como los demás elementos del tributo</w:t>
      </w:r>
      <w:r w:rsidRPr="00C039F9">
        <w:rPr>
          <w:rFonts w:ascii="Times New Roman" w:hAnsi="Times New Roman" w:cs="Times New Roman"/>
          <w:color w:val="2D2D2D"/>
          <w:sz w:val="28"/>
          <w:szCs w:val="28"/>
          <w:shd w:val="clear" w:color="auto" w:fill="FFFFFF"/>
        </w:rPr>
        <w:t xml:space="preserve">. </w:t>
      </w:r>
    </w:p>
    <w:p w:rsidR="009C7049" w:rsidRPr="00C039F9" w:rsidRDefault="00C039F9" w:rsidP="00E253DD">
      <w:pPr>
        <w:rPr>
          <w:rFonts w:ascii="Times New Roman" w:hAnsi="Times New Roman" w:cs="Times New Roman"/>
          <w:i/>
          <w:iCs/>
          <w:sz w:val="28"/>
          <w:szCs w:val="28"/>
        </w:rPr>
      </w:pPr>
    </w:p>
    <w:p w:rsidR="009C7049" w:rsidRPr="00C039F9" w:rsidRDefault="00C039F9" w:rsidP="003B2D91">
      <w:pPr>
        <w:pStyle w:val="Prrafodelista"/>
        <w:widowControl w:val="0"/>
        <w:numPr>
          <w:ilvl w:val="0"/>
          <w:numId w:val="2"/>
        </w:numPr>
        <w:suppressAutoHyphens/>
        <w:ind w:left="0" w:hanging="11"/>
        <w:rPr>
          <w:rFonts w:ascii="Times New Roman" w:hAnsi="Times New Roman" w:cs="Times New Roman"/>
          <w:i/>
          <w:iCs/>
          <w:sz w:val="28"/>
          <w:szCs w:val="28"/>
        </w:rPr>
      </w:pPr>
      <w:r w:rsidRPr="00C039F9">
        <w:rPr>
          <w:rFonts w:ascii="Times New Roman" w:hAnsi="Times New Roman" w:cs="Times New Roman"/>
          <w:sz w:val="28"/>
          <w:szCs w:val="28"/>
        </w:rPr>
        <w:t xml:space="preserve">En efecto, la tasa creada presenta las siguientes </w:t>
      </w:r>
      <w:r w:rsidRPr="00C039F9">
        <w:rPr>
          <w:rFonts w:ascii="Times New Roman" w:hAnsi="Times New Roman" w:cs="Times New Roman"/>
          <w:sz w:val="28"/>
          <w:szCs w:val="28"/>
        </w:rPr>
        <w:t>características:</w:t>
      </w:r>
    </w:p>
    <w:p w:rsidR="009C7049" w:rsidRPr="00C039F9" w:rsidRDefault="00C039F9" w:rsidP="009C7049">
      <w:pPr>
        <w:pStyle w:val="Prrafodelista"/>
        <w:widowControl w:val="0"/>
        <w:suppressAutoHyphens/>
        <w:ind w:left="0"/>
        <w:rPr>
          <w:rFonts w:ascii="Times New Roman" w:hAnsi="Times New Roman" w:cs="Times New Roman"/>
          <w:i/>
          <w:iCs/>
          <w:sz w:val="28"/>
          <w:szCs w:val="28"/>
        </w:rPr>
      </w:pPr>
    </w:p>
    <w:p w:rsidR="009C7049" w:rsidRPr="00C039F9" w:rsidRDefault="00C039F9" w:rsidP="00934F8C">
      <w:pPr>
        <w:pStyle w:val="Prrafodelista"/>
        <w:widowControl w:val="0"/>
        <w:numPr>
          <w:ilvl w:val="0"/>
          <w:numId w:val="2"/>
        </w:numPr>
        <w:suppressAutoHyphens/>
        <w:ind w:left="0" w:hanging="11"/>
        <w:rPr>
          <w:rFonts w:ascii="Times New Roman" w:hAnsi="Times New Roman" w:cs="Times New Roman"/>
          <w:sz w:val="28"/>
          <w:szCs w:val="28"/>
        </w:rPr>
      </w:pPr>
      <w:r w:rsidRPr="00C039F9">
        <w:rPr>
          <w:rFonts w:ascii="Times New Roman" w:hAnsi="Times New Roman" w:cs="Times New Roman"/>
          <w:i/>
          <w:iCs/>
          <w:sz w:val="28"/>
          <w:szCs w:val="28"/>
        </w:rPr>
        <w:t xml:space="preserve">Los </w:t>
      </w:r>
      <w:r w:rsidRPr="00C039F9">
        <w:rPr>
          <w:rFonts w:ascii="Times New Roman" w:hAnsi="Times New Roman" w:cs="Times New Roman"/>
          <w:i/>
          <w:iCs/>
          <w:sz w:val="28"/>
          <w:szCs w:val="28"/>
        </w:rPr>
        <w:t>hechos generadores</w:t>
      </w:r>
      <w:r w:rsidRPr="00C039F9">
        <w:rPr>
          <w:rFonts w:ascii="Times New Roman" w:hAnsi="Times New Roman" w:cs="Times New Roman"/>
          <w:i/>
          <w:iCs/>
          <w:sz w:val="28"/>
          <w:szCs w:val="28"/>
        </w:rPr>
        <w:t xml:space="preserve"> de la tasa</w:t>
      </w:r>
      <w:r w:rsidRPr="00C039F9">
        <w:rPr>
          <w:rFonts w:ascii="Times New Roman" w:hAnsi="Times New Roman" w:cs="Times New Roman"/>
          <w:i/>
          <w:iCs/>
          <w:sz w:val="28"/>
          <w:szCs w:val="28"/>
        </w:rPr>
        <w:t>:</w:t>
      </w:r>
      <w:r w:rsidRPr="00C039F9">
        <w:rPr>
          <w:rFonts w:ascii="Times New Roman" w:hAnsi="Times New Roman" w:cs="Times New Roman"/>
          <w:sz w:val="28"/>
          <w:szCs w:val="28"/>
        </w:rPr>
        <w:t xml:space="preserve"> el artículo 169 de la Ley 2294 de 2023 cre</w:t>
      </w:r>
      <w:r w:rsidRPr="00C039F9">
        <w:rPr>
          <w:rFonts w:ascii="Times New Roman" w:hAnsi="Times New Roman" w:cs="Times New Roman"/>
          <w:sz w:val="28"/>
          <w:szCs w:val="28"/>
        </w:rPr>
        <w:t>ó</w:t>
      </w:r>
      <w:r w:rsidRPr="00C039F9">
        <w:rPr>
          <w:rFonts w:ascii="Times New Roman" w:hAnsi="Times New Roman" w:cs="Times New Roman"/>
          <w:sz w:val="28"/>
          <w:szCs w:val="28"/>
        </w:rPr>
        <w:t xml:space="preserve"> una tasa cuya finalidad es recuperar los costos de los servicios prestados por la Dirección Nacional de Derecho de Autor. </w:t>
      </w:r>
    </w:p>
    <w:p w:rsidR="009C7049" w:rsidRPr="00C039F9" w:rsidRDefault="00C039F9" w:rsidP="009C7049">
      <w:pPr>
        <w:pStyle w:val="Prrafodelista"/>
        <w:rPr>
          <w:rFonts w:ascii="Times New Roman" w:hAnsi="Times New Roman" w:cs="Times New Roman"/>
          <w:sz w:val="28"/>
          <w:szCs w:val="28"/>
        </w:rPr>
      </w:pPr>
    </w:p>
    <w:p w:rsidR="00934F8C" w:rsidRPr="00C039F9" w:rsidRDefault="00C039F9" w:rsidP="00934F8C">
      <w:pPr>
        <w:pStyle w:val="Prrafodelista"/>
        <w:widowControl w:val="0"/>
        <w:numPr>
          <w:ilvl w:val="0"/>
          <w:numId w:val="2"/>
        </w:numPr>
        <w:suppressAutoHyphens/>
        <w:ind w:left="0" w:hanging="11"/>
        <w:rPr>
          <w:rFonts w:ascii="Times New Roman" w:hAnsi="Times New Roman" w:cs="Times New Roman"/>
          <w:sz w:val="28"/>
          <w:szCs w:val="28"/>
        </w:rPr>
      </w:pPr>
      <w:r w:rsidRPr="00C039F9">
        <w:rPr>
          <w:rFonts w:ascii="Times New Roman" w:hAnsi="Times New Roman" w:cs="Times New Roman"/>
          <w:sz w:val="28"/>
          <w:szCs w:val="28"/>
        </w:rPr>
        <w:t xml:space="preserve">Los hechos generadores del tributo </w:t>
      </w:r>
      <w:r w:rsidRPr="00C039F9">
        <w:rPr>
          <w:rFonts w:ascii="Times New Roman" w:hAnsi="Times New Roman" w:cs="Times New Roman"/>
          <w:sz w:val="28"/>
          <w:szCs w:val="28"/>
        </w:rPr>
        <w:t>se circunscriben a cuatro servicios prestados por esa entidad: (</w:t>
      </w:r>
      <w:r w:rsidRPr="00C039F9">
        <w:rPr>
          <w:rFonts w:ascii="Times New Roman" w:hAnsi="Times New Roman" w:cs="Times New Roman"/>
          <w:sz w:val="28"/>
          <w:szCs w:val="28"/>
        </w:rPr>
        <w:t>1</w:t>
      </w:r>
      <w:r w:rsidRPr="00C039F9">
        <w:rPr>
          <w:rFonts w:ascii="Times New Roman" w:hAnsi="Times New Roman" w:cs="Times New Roman"/>
          <w:sz w:val="28"/>
          <w:szCs w:val="28"/>
        </w:rPr>
        <w:t>) la expedición de registros, certificados, inscripciones, modificaciones y cancelaciones de registros; (</w:t>
      </w:r>
      <w:r w:rsidRPr="00C039F9">
        <w:rPr>
          <w:rFonts w:ascii="Times New Roman" w:hAnsi="Times New Roman" w:cs="Times New Roman"/>
          <w:sz w:val="28"/>
          <w:szCs w:val="28"/>
        </w:rPr>
        <w:t>2</w:t>
      </w:r>
      <w:r w:rsidRPr="00C039F9">
        <w:rPr>
          <w:rFonts w:ascii="Times New Roman" w:hAnsi="Times New Roman" w:cs="Times New Roman"/>
          <w:sz w:val="28"/>
          <w:szCs w:val="28"/>
        </w:rPr>
        <w:t>) la expedición de paz y salvos; (</w:t>
      </w:r>
      <w:r w:rsidRPr="00C039F9">
        <w:rPr>
          <w:rFonts w:ascii="Times New Roman" w:hAnsi="Times New Roman" w:cs="Times New Roman"/>
          <w:sz w:val="28"/>
          <w:szCs w:val="28"/>
        </w:rPr>
        <w:t>3</w:t>
      </w:r>
      <w:r w:rsidRPr="00C039F9">
        <w:rPr>
          <w:rFonts w:ascii="Times New Roman" w:hAnsi="Times New Roman" w:cs="Times New Roman"/>
          <w:sz w:val="28"/>
          <w:szCs w:val="28"/>
        </w:rPr>
        <w:t>) la inscripción de dignatarios y control de legal</w:t>
      </w:r>
      <w:r w:rsidRPr="00C039F9">
        <w:rPr>
          <w:rFonts w:ascii="Times New Roman" w:hAnsi="Times New Roman" w:cs="Times New Roman"/>
          <w:sz w:val="28"/>
          <w:szCs w:val="28"/>
        </w:rPr>
        <w:t>idad de reformas estatutarias y de presupuesto; y (</w:t>
      </w:r>
      <w:r w:rsidRPr="00C039F9">
        <w:rPr>
          <w:rFonts w:ascii="Times New Roman" w:hAnsi="Times New Roman" w:cs="Times New Roman"/>
          <w:sz w:val="28"/>
          <w:szCs w:val="28"/>
        </w:rPr>
        <w:t>4</w:t>
      </w:r>
      <w:r w:rsidRPr="00C039F9">
        <w:rPr>
          <w:rFonts w:ascii="Times New Roman" w:hAnsi="Times New Roman" w:cs="Times New Roman"/>
          <w:sz w:val="28"/>
          <w:szCs w:val="28"/>
        </w:rPr>
        <w:t>) el otorgamiento de personería jurídica y autorización de funcionamiento.</w:t>
      </w:r>
    </w:p>
    <w:p w:rsidR="00934F8C" w:rsidRPr="00C039F9" w:rsidRDefault="00C039F9" w:rsidP="00934F8C">
      <w:pPr>
        <w:pStyle w:val="Prrafodelista"/>
        <w:rPr>
          <w:rFonts w:ascii="Times New Roman" w:hAnsi="Times New Roman" w:cs="Times New Roman"/>
          <w:i/>
          <w:iCs/>
          <w:sz w:val="28"/>
          <w:szCs w:val="28"/>
        </w:rPr>
      </w:pPr>
    </w:p>
    <w:p w:rsidR="00934F8C" w:rsidRPr="00C039F9" w:rsidRDefault="00C039F9" w:rsidP="00934F8C">
      <w:pPr>
        <w:pStyle w:val="Prrafodelista"/>
        <w:widowControl w:val="0"/>
        <w:numPr>
          <w:ilvl w:val="0"/>
          <w:numId w:val="2"/>
        </w:numPr>
        <w:suppressAutoHyphens/>
        <w:ind w:left="0" w:hanging="11"/>
        <w:rPr>
          <w:rFonts w:ascii="Times New Roman" w:hAnsi="Times New Roman" w:cs="Times New Roman"/>
          <w:sz w:val="28"/>
          <w:szCs w:val="28"/>
        </w:rPr>
      </w:pPr>
      <w:r w:rsidRPr="00C039F9">
        <w:rPr>
          <w:rFonts w:ascii="Times New Roman" w:hAnsi="Times New Roman" w:cs="Times New Roman"/>
          <w:i/>
          <w:iCs/>
          <w:sz w:val="28"/>
          <w:szCs w:val="28"/>
        </w:rPr>
        <w:t>Sujeto</w:t>
      </w:r>
      <w:r w:rsidRPr="00C039F9">
        <w:rPr>
          <w:rFonts w:ascii="Times New Roman" w:hAnsi="Times New Roman" w:cs="Times New Roman"/>
          <w:i/>
          <w:iCs/>
          <w:sz w:val="28"/>
          <w:szCs w:val="28"/>
        </w:rPr>
        <w:t>s de la obligación tributaria:</w:t>
      </w:r>
      <w:r w:rsidRPr="00C039F9">
        <w:rPr>
          <w:rFonts w:ascii="Times New Roman" w:hAnsi="Times New Roman" w:cs="Times New Roman"/>
          <w:i/>
          <w:iCs/>
          <w:sz w:val="28"/>
          <w:szCs w:val="28"/>
        </w:rPr>
        <w:t xml:space="preserve"> </w:t>
      </w:r>
      <w:r w:rsidRPr="00C039F9">
        <w:rPr>
          <w:rFonts w:ascii="Times New Roman" w:hAnsi="Times New Roman" w:cs="Times New Roman"/>
          <w:sz w:val="28"/>
          <w:szCs w:val="28"/>
        </w:rPr>
        <w:t>la disposición demandada dispone que el sujeto activo</w:t>
      </w:r>
      <w:r w:rsidRPr="00C039F9">
        <w:rPr>
          <w:rFonts w:ascii="Times New Roman" w:hAnsi="Times New Roman" w:cs="Times New Roman"/>
          <w:sz w:val="28"/>
          <w:szCs w:val="28"/>
        </w:rPr>
        <w:t xml:space="preserve"> de la tasa será la Dirección Nacional de Derecho de Autor. Mientras que la condición de sujeto pasivo la tienen las personas </w:t>
      </w:r>
      <w:r w:rsidRPr="00C039F9">
        <w:rPr>
          <w:rFonts w:ascii="Times New Roman" w:hAnsi="Times New Roman" w:cs="Times New Roman"/>
          <w:sz w:val="28"/>
          <w:szCs w:val="28"/>
        </w:rPr>
        <w:t xml:space="preserve">naturales o jurídicas que solicitan cualquiera de los servicios prestados por la </w:t>
      </w:r>
      <w:r w:rsidRPr="00C039F9">
        <w:rPr>
          <w:rFonts w:ascii="Times New Roman" w:hAnsi="Times New Roman" w:cs="Times New Roman"/>
          <w:sz w:val="28"/>
          <w:szCs w:val="28"/>
        </w:rPr>
        <w:t>DNDA</w:t>
      </w:r>
      <w:r w:rsidRPr="00C039F9">
        <w:rPr>
          <w:rFonts w:ascii="Times New Roman" w:hAnsi="Times New Roman" w:cs="Times New Roman"/>
          <w:sz w:val="28"/>
          <w:szCs w:val="28"/>
        </w:rPr>
        <w:t>, con excepción de los trámites de conciliaci</w:t>
      </w:r>
      <w:r w:rsidRPr="00C039F9">
        <w:rPr>
          <w:rFonts w:ascii="Times New Roman" w:hAnsi="Times New Roman" w:cs="Times New Roman"/>
          <w:sz w:val="28"/>
          <w:szCs w:val="28"/>
        </w:rPr>
        <w:t>ón y los trámites relacionados con asuntos jurisdiccionales.</w:t>
      </w:r>
    </w:p>
    <w:p w:rsidR="00934F8C" w:rsidRPr="00C039F9" w:rsidRDefault="00C039F9" w:rsidP="00934F8C">
      <w:pPr>
        <w:pStyle w:val="Prrafodelista"/>
        <w:rPr>
          <w:rFonts w:ascii="Times New Roman" w:hAnsi="Times New Roman" w:cs="Times New Roman"/>
          <w:i/>
          <w:iCs/>
          <w:sz w:val="28"/>
          <w:szCs w:val="28"/>
        </w:rPr>
      </w:pPr>
    </w:p>
    <w:p w:rsidR="00934F8C" w:rsidRPr="00C039F9" w:rsidRDefault="00C039F9" w:rsidP="00934F8C">
      <w:pPr>
        <w:pStyle w:val="Prrafodelista"/>
        <w:widowControl w:val="0"/>
        <w:numPr>
          <w:ilvl w:val="0"/>
          <w:numId w:val="2"/>
        </w:numPr>
        <w:suppressAutoHyphens/>
        <w:ind w:left="0" w:hanging="11"/>
        <w:rPr>
          <w:rFonts w:ascii="Times New Roman" w:hAnsi="Times New Roman" w:cs="Times New Roman"/>
          <w:sz w:val="28"/>
          <w:szCs w:val="28"/>
        </w:rPr>
      </w:pPr>
      <w:r w:rsidRPr="00C039F9">
        <w:rPr>
          <w:rFonts w:ascii="Times New Roman" w:hAnsi="Times New Roman" w:cs="Times New Roman"/>
          <w:i/>
          <w:iCs/>
          <w:sz w:val="28"/>
          <w:szCs w:val="28"/>
        </w:rPr>
        <w:t>Base gravable</w:t>
      </w:r>
      <w:r w:rsidRPr="00C039F9">
        <w:rPr>
          <w:rFonts w:ascii="Times New Roman" w:hAnsi="Times New Roman" w:cs="Times New Roman"/>
          <w:i/>
          <w:iCs/>
          <w:sz w:val="28"/>
          <w:szCs w:val="28"/>
        </w:rPr>
        <w:t xml:space="preserve"> de la tasa</w:t>
      </w:r>
      <w:r w:rsidRPr="00C039F9">
        <w:rPr>
          <w:rFonts w:ascii="Times New Roman" w:hAnsi="Times New Roman" w:cs="Times New Roman"/>
          <w:sz w:val="28"/>
          <w:szCs w:val="28"/>
        </w:rPr>
        <w:t xml:space="preserve">: de acuerdo con el último inciso de la parte principal del artículo demandado, «[l]a base para la liquidación </w:t>
      </w:r>
      <w:r w:rsidRPr="00C039F9">
        <w:rPr>
          <w:rFonts w:ascii="Times New Roman" w:hAnsi="Times New Roman" w:cs="Times New Roman"/>
          <w:sz w:val="28"/>
          <w:szCs w:val="28"/>
        </w:rPr>
        <w:t xml:space="preserve">de la tasa será el costo de los servicios correspondientes </w:t>
      </w:r>
      <w:r w:rsidRPr="00C039F9">
        <w:rPr>
          <w:rFonts w:ascii="Times New Roman" w:hAnsi="Times New Roman" w:cs="Times New Roman"/>
          <w:sz w:val="28"/>
          <w:szCs w:val="28"/>
        </w:rPr>
        <w:t>a cada uno de los hechos generadores» definidos con anterioridad, «conforme la metodología de cálculo que establezca el Gobierno nacional a través del Ministerio del Interior».</w:t>
      </w:r>
    </w:p>
    <w:p w:rsidR="00934F8C" w:rsidRPr="00C039F9" w:rsidRDefault="00C039F9" w:rsidP="00934F8C">
      <w:pPr>
        <w:pStyle w:val="Prrafodelista"/>
        <w:rPr>
          <w:rFonts w:ascii="Times New Roman" w:hAnsi="Times New Roman" w:cs="Times New Roman"/>
          <w:sz w:val="28"/>
          <w:szCs w:val="28"/>
        </w:rPr>
      </w:pPr>
    </w:p>
    <w:p w:rsidR="00934F8C" w:rsidRPr="00C039F9" w:rsidRDefault="00C039F9" w:rsidP="00934F8C">
      <w:pPr>
        <w:pStyle w:val="Prrafodelista"/>
        <w:widowControl w:val="0"/>
        <w:numPr>
          <w:ilvl w:val="0"/>
          <w:numId w:val="2"/>
        </w:numPr>
        <w:suppressAutoHyphens/>
        <w:ind w:left="0" w:hanging="11"/>
        <w:rPr>
          <w:rFonts w:ascii="Times New Roman" w:hAnsi="Times New Roman" w:cs="Times New Roman"/>
          <w:sz w:val="28"/>
          <w:szCs w:val="28"/>
        </w:rPr>
      </w:pPr>
      <w:r w:rsidRPr="00C039F9">
        <w:rPr>
          <w:rFonts w:ascii="Times New Roman" w:hAnsi="Times New Roman" w:cs="Times New Roman"/>
          <w:sz w:val="28"/>
          <w:szCs w:val="28"/>
        </w:rPr>
        <w:t>De</w:t>
      </w:r>
      <w:r w:rsidRPr="00C039F9">
        <w:rPr>
          <w:rFonts w:ascii="Times New Roman" w:hAnsi="Times New Roman" w:cs="Times New Roman"/>
          <w:sz w:val="28"/>
          <w:szCs w:val="28"/>
        </w:rPr>
        <w:t xml:space="preserve"> conformidad con el parágrafo 1 de la norma acusada, la DNDA es la encargada</w:t>
      </w:r>
      <w:r w:rsidRPr="00C039F9">
        <w:rPr>
          <w:rFonts w:ascii="Times New Roman" w:hAnsi="Times New Roman" w:cs="Times New Roman"/>
          <w:sz w:val="28"/>
          <w:szCs w:val="28"/>
        </w:rPr>
        <w:t xml:space="preserve"> de fijar y actualizar anualmente la tarifa de los servicios que preste, por cada hecho generador de la tasa. </w:t>
      </w:r>
    </w:p>
    <w:p w:rsidR="00934F8C" w:rsidRPr="00C039F9" w:rsidRDefault="00C039F9" w:rsidP="00934F8C">
      <w:pPr>
        <w:pStyle w:val="Prrafodelista"/>
        <w:rPr>
          <w:rFonts w:ascii="Times New Roman" w:hAnsi="Times New Roman" w:cs="Times New Roman"/>
          <w:sz w:val="28"/>
          <w:szCs w:val="28"/>
        </w:rPr>
      </w:pPr>
    </w:p>
    <w:p w:rsidR="00934F8C" w:rsidRPr="00C039F9" w:rsidRDefault="00C039F9" w:rsidP="00934F8C">
      <w:pPr>
        <w:pStyle w:val="Prrafodelista"/>
        <w:widowControl w:val="0"/>
        <w:numPr>
          <w:ilvl w:val="0"/>
          <w:numId w:val="2"/>
        </w:numPr>
        <w:suppressAutoHyphens/>
        <w:ind w:left="0" w:hanging="11"/>
        <w:rPr>
          <w:rFonts w:ascii="Times New Roman" w:hAnsi="Times New Roman" w:cs="Times New Roman"/>
          <w:sz w:val="28"/>
          <w:szCs w:val="28"/>
        </w:rPr>
      </w:pPr>
      <w:r w:rsidRPr="00C039F9">
        <w:rPr>
          <w:rFonts w:ascii="Times New Roman" w:hAnsi="Times New Roman" w:cs="Times New Roman"/>
          <w:i/>
          <w:iCs/>
          <w:sz w:val="28"/>
          <w:szCs w:val="28"/>
        </w:rPr>
        <w:t xml:space="preserve">Criterios para identificar los costos y </w:t>
      </w:r>
      <w:r w:rsidRPr="00C039F9">
        <w:rPr>
          <w:rFonts w:ascii="Times New Roman" w:hAnsi="Times New Roman" w:cs="Times New Roman"/>
          <w:i/>
          <w:iCs/>
          <w:sz w:val="28"/>
          <w:szCs w:val="28"/>
        </w:rPr>
        <w:t xml:space="preserve">definir la tarifa. </w:t>
      </w:r>
      <w:r w:rsidRPr="00C039F9">
        <w:rPr>
          <w:rFonts w:ascii="Times New Roman" w:hAnsi="Times New Roman" w:cs="Times New Roman"/>
          <w:sz w:val="28"/>
          <w:szCs w:val="28"/>
        </w:rPr>
        <w:t xml:space="preserve">Según </w:t>
      </w:r>
      <w:r w:rsidRPr="00C039F9">
        <w:rPr>
          <w:rFonts w:ascii="Times New Roman" w:hAnsi="Times New Roman" w:cs="Times New Roman"/>
          <w:sz w:val="28"/>
          <w:szCs w:val="28"/>
        </w:rPr>
        <w:t>el mismo parágrafo 1</w:t>
      </w:r>
      <w:r w:rsidRPr="00C039F9">
        <w:rPr>
          <w:rFonts w:ascii="Times New Roman" w:hAnsi="Times New Roman" w:cs="Times New Roman"/>
          <w:sz w:val="28"/>
          <w:szCs w:val="28"/>
        </w:rPr>
        <w:t xml:space="preserve"> </w:t>
      </w:r>
      <w:r w:rsidRPr="00C039F9">
        <w:rPr>
          <w:rFonts w:ascii="Times New Roman" w:hAnsi="Times New Roman" w:cs="Times New Roman"/>
          <w:sz w:val="28"/>
          <w:szCs w:val="28"/>
        </w:rPr>
        <w:t>del artículo acusado</w:t>
      </w:r>
      <w:r w:rsidRPr="00C039F9">
        <w:rPr>
          <w:rFonts w:ascii="Times New Roman" w:hAnsi="Times New Roman" w:cs="Times New Roman"/>
          <w:sz w:val="28"/>
          <w:szCs w:val="28"/>
        </w:rPr>
        <w:t>, las tarifas deben ser fijadas en uni</w:t>
      </w:r>
      <w:r w:rsidRPr="00C039F9">
        <w:rPr>
          <w:rFonts w:ascii="Times New Roman" w:hAnsi="Times New Roman" w:cs="Times New Roman"/>
          <w:sz w:val="28"/>
          <w:szCs w:val="28"/>
        </w:rPr>
        <w:t xml:space="preserve">dades de valor tributario (UVT) vigentes, «y se cobrarán como recuperación de los costos de los servicios prestados por la entidad». Enseguida, la norma establece el método para identificar los costos y el sistema para definir la tarifa. </w:t>
      </w:r>
    </w:p>
    <w:p w:rsidR="00934F8C" w:rsidRPr="00C039F9" w:rsidRDefault="00C039F9" w:rsidP="00934F8C">
      <w:pPr>
        <w:pStyle w:val="Prrafodelista"/>
        <w:rPr>
          <w:rFonts w:ascii="Times New Roman" w:hAnsi="Times New Roman" w:cs="Times New Roman"/>
          <w:sz w:val="28"/>
          <w:szCs w:val="28"/>
        </w:rPr>
      </w:pPr>
    </w:p>
    <w:p w:rsidR="00934F8C" w:rsidRPr="00C039F9" w:rsidRDefault="00C039F9" w:rsidP="00934F8C">
      <w:pPr>
        <w:pStyle w:val="Prrafodelista"/>
        <w:widowControl w:val="0"/>
        <w:numPr>
          <w:ilvl w:val="0"/>
          <w:numId w:val="2"/>
        </w:numPr>
        <w:suppressAutoHyphens/>
        <w:ind w:left="0" w:hanging="11"/>
        <w:rPr>
          <w:rFonts w:ascii="Times New Roman" w:hAnsi="Times New Roman" w:cs="Times New Roman"/>
          <w:sz w:val="28"/>
          <w:szCs w:val="28"/>
        </w:rPr>
      </w:pPr>
      <w:r w:rsidRPr="00C039F9">
        <w:rPr>
          <w:rFonts w:ascii="Times New Roman" w:hAnsi="Times New Roman" w:cs="Times New Roman"/>
          <w:sz w:val="28"/>
          <w:szCs w:val="28"/>
        </w:rPr>
        <w:t xml:space="preserve">Los literales </w:t>
      </w:r>
      <w:r w:rsidRPr="00C039F9">
        <w:rPr>
          <w:rFonts w:ascii="Times New Roman" w:hAnsi="Times New Roman" w:cs="Times New Roman"/>
          <w:i/>
          <w:iCs/>
          <w:sz w:val="28"/>
          <w:szCs w:val="28"/>
        </w:rPr>
        <w:t>(a</w:t>
      </w:r>
      <w:r w:rsidRPr="00C039F9">
        <w:rPr>
          <w:rFonts w:ascii="Times New Roman" w:hAnsi="Times New Roman" w:cs="Times New Roman"/>
          <w:i/>
          <w:iCs/>
          <w:sz w:val="28"/>
          <w:szCs w:val="28"/>
        </w:rPr>
        <w:t>)</w:t>
      </w:r>
      <w:r w:rsidRPr="00C039F9">
        <w:rPr>
          <w:rFonts w:ascii="Times New Roman" w:hAnsi="Times New Roman" w:cs="Times New Roman"/>
          <w:sz w:val="28"/>
          <w:szCs w:val="28"/>
        </w:rPr>
        <w:t xml:space="preserve"> a </w:t>
      </w:r>
      <w:r w:rsidRPr="00C039F9">
        <w:rPr>
          <w:rFonts w:ascii="Times New Roman" w:hAnsi="Times New Roman" w:cs="Times New Roman"/>
          <w:i/>
          <w:iCs/>
          <w:sz w:val="28"/>
          <w:szCs w:val="28"/>
        </w:rPr>
        <w:t xml:space="preserve">(f) </w:t>
      </w:r>
      <w:r w:rsidRPr="00C039F9">
        <w:rPr>
          <w:rFonts w:ascii="Times New Roman" w:hAnsi="Times New Roman" w:cs="Times New Roman"/>
          <w:sz w:val="28"/>
          <w:szCs w:val="28"/>
        </w:rPr>
        <w:t>del numeral 1 del parágrafo 1 describen el</w:t>
      </w:r>
      <w:r w:rsidRPr="00C039F9">
        <w:rPr>
          <w:rFonts w:ascii="Times New Roman" w:hAnsi="Times New Roman" w:cs="Times New Roman"/>
          <w:sz w:val="28"/>
          <w:szCs w:val="28"/>
        </w:rPr>
        <w:t xml:space="preserve"> </w:t>
      </w:r>
      <w:r w:rsidRPr="00C039F9">
        <w:rPr>
          <w:rFonts w:ascii="Times New Roman" w:hAnsi="Times New Roman" w:cs="Times New Roman"/>
          <w:i/>
          <w:iCs/>
          <w:sz w:val="28"/>
          <w:szCs w:val="28"/>
        </w:rPr>
        <w:t>método</w:t>
      </w:r>
      <w:r w:rsidRPr="00C039F9">
        <w:rPr>
          <w:rFonts w:ascii="Times New Roman" w:hAnsi="Times New Roman" w:cs="Times New Roman"/>
          <w:sz w:val="28"/>
          <w:szCs w:val="28"/>
        </w:rPr>
        <w:t xml:space="preserve"> para establecer los costos de los servicios prestados por DND</w:t>
      </w:r>
      <w:r w:rsidRPr="00C039F9">
        <w:rPr>
          <w:rFonts w:ascii="Times New Roman" w:hAnsi="Times New Roman" w:cs="Times New Roman"/>
          <w:sz w:val="28"/>
          <w:szCs w:val="28"/>
        </w:rPr>
        <w:t>A, así</w:t>
      </w:r>
      <w:r w:rsidRPr="00C039F9">
        <w:rPr>
          <w:rFonts w:ascii="Times New Roman" w:hAnsi="Times New Roman" w:cs="Times New Roman"/>
          <w:sz w:val="28"/>
          <w:szCs w:val="28"/>
        </w:rPr>
        <w:t xml:space="preserve">: primero deben </w:t>
      </w:r>
      <w:r w:rsidRPr="00C039F9">
        <w:rPr>
          <w:rFonts w:ascii="Times New Roman" w:hAnsi="Times New Roman" w:cs="Times New Roman"/>
          <w:b/>
          <w:bCs/>
          <w:sz w:val="28"/>
          <w:szCs w:val="28"/>
        </w:rPr>
        <w:t>(a)</w:t>
      </w:r>
      <w:r w:rsidRPr="00C039F9">
        <w:rPr>
          <w:rFonts w:ascii="Times New Roman" w:hAnsi="Times New Roman" w:cs="Times New Roman"/>
          <w:sz w:val="28"/>
          <w:szCs w:val="28"/>
        </w:rPr>
        <w:t xml:space="preserve"> </w:t>
      </w:r>
      <w:r w:rsidRPr="00C039F9">
        <w:rPr>
          <w:rFonts w:ascii="Times New Roman" w:hAnsi="Times New Roman" w:cs="Times New Roman"/>
          <w:sz w:val="28"/>
          <w:szCs w:val="28"/>
        </w:rPr>
        <w:t xml:space="preserve">elaborarse los flujogramas de procesos y procedimientos con el fin de identificar cómo la entidad presta cada servicio. Luego, </w:t>
      </w:r>
      <w:r w:rsidRPr="00C039F9">
        <w:rPr>
          <w:rFonts w:ascii="Times New Roman" w:hAnsi="Times New Roman" w:cs="Times New Roman"/>
          <w:sz w:val="28"/>
          <w:szCs w:val="28"/>
        </w:rPr>
        <w:t xml:space="preserve">deben </w:t>
      </w:r>
      <w:r w:rsidRPr="00C039F9">
        <w:rPr>
          <w:rFonts w:ascii="Times New Roman" w:hAnsi="Times New Roman" w:cs="Times New Roman"/>
          <w:b/>
          <w:bCs/>
          <w:sz w:val="28"/>
          <w:szCs w:val="28"/>
        </w:rPr>
        <w:t>(b)</w:t>
      </w:r>
      <w:r w:rsidRPr="00C039F9">
        <w:rPr>
          <w:rFonts w:ascii="Times New Roman" w:hAnsi="Times New Roman" w:cs="Times New Roman"/>
          <w:sz w:val="28"/>
          <w:szCs w:val="28"/>
        </w:rPr>
        <w:t xml:space="preserve"> cuantificarse </w:t>
      </w:r>
      <w:r w:rsidRPr="00C039F9">
        <w:rPr>
          <w:rFonts w:ascii="Times New Roman" w:hAnsi="Times New Roman" w:cs="Times New Roman"/>
          <w:sz w:val="28"/>
          <w:szCs w:val="28"/>
        </w:rPr>
        <w:t>los materiales, suministros</w:t>
      </w:r>
      <w:r w:rsidRPr="00C039F9">
        <w:rPr>
          <w:rFonts w:ascii="Times New Roman" w:hAnsi="Times New Roman" w:cs="Times New Roman"/>
          <w:sz w:val="28"/>
          <w:szCs w:val="28"/>
        </w:rPr>
        <w:t xml:space="preserve"> y demás </w:t>
      </w:r>
      <w:r w:rsidRPr="00C039F9">
        <w:rPr>
          <w:rFonts w:ascii="Times New Roman" w:hAnsi="Times New Roman" w:cs="Times New Roman"/>
          <w:sz w:val="28"/>
          <w:szCs w:val="28"/>
        </w:rPr>
        <w:t>insumos</w:t>
      </w:r>
      <w:r w:rsidRPr="00C039F9">
        <w:rPr>
          <w:rFonts w:ascii="Times New Roman" w:hAnsi="Times New Roman" w:cs="Times New Roman"/>
          <w:sz w:val="28"/>
          <w:szCs w:val="28"/>
        </w:rPr>
        <w:t xml:space="preserve"> </w:t>
      </w:r>
      <w:r w:rsidRPr="00C039F9">
        <w:rPr>
          <w:rFonts w:ascii="Times New Roman" w:hAnsi="Times New Roman" w:cs="Times New Roman"/>
          <w:sz w:val="28"/>
          <w:szCs w:val="28"/>
        </w:rPr>
        <w:t xml:space="preserve">tecnológicos y </w:t>
      </w:r>
      <w:r w:rsidRPr="00C039F9">
        <w:rPr>
          <w:rFonts w:ascii="Times New Roman" w:hAnsi="Times New Roman" w:cs="Times New Roman"/>
          <w:sz w:val="28"/>
          <w:szCs w:val="28"/>
        </w:rPr>
        <w:t xml:space="preserve">de </w:t>
      </w:r>
      <w:r w:rsidRPr="00C039F9">
        <w:rPr>
          <w:rFonts w:ascii="Times New Roman" w:hAnsi="Times New Roman" w:cs="Times New Roman"/>
          <w:sz w:val="28"/>
          <w:szCs w:val="28"/>
        </w:rPr>
        <w:t>recurso humano utilizado</w:t>
      </w:r>
      <w:r w:rsidRPr="00C039F9">
        <w:rPr>
          <w:rFonts w:ascii="Times New Roman" w:hAnsi="Times New Roman" w:cs="Times New Roman"/>
          <w:sz w:val="28"/>
          <w:szCs w:val="28"/>
        </w:rPr>
        <w:t>s</w:t>
      </w:r>
      <w:r w:rsidRPr="00C039F9">
        <w:rPr>
          <w:rFonts w:ascii="Times New Roman" w:hAnsi="Times New Roman" w:cs="Times New Roman"/>
          <w:sz w:val="28"/>
          <w:szCs w:val="28"/>
        </w:rPr>
        <w:t xml:space="preserve"> anualmente en cad</w:t>
      </w:r>
      <w:r w:rsidRPr="00C039F9">
        <w:rPr>
          <w:rFonts w:ascii="Times New Roman" w:hAnsi="Times New Roman" w:cs="Times New Roman"/>
          <w:sz w:val="28"/>
          <w:szCs w:val="28"/>
        </w:rPr>
        <w:t xml:space="preserve">a proceso y procedimiento. </w:t>
      </w:r>
      <w:r w:rsidRPr="00C039F9">
        <w:rPr>
          <w:rFonts w:ascii="Times New Roman" w:hAnsi="Times New Roman" w:cs="Times New Roman"/>
          <w:sz w:val="28"/>
          <w:szCs w:val="28"/>
        </w:rPr>
        <w:t>Los insumos «deben incluir un</w:t>
      </w:r>
      <w:r w:rsidRPr="00C039F9">
        <w:rPr>
          <w:rFonts w:ascii="Times New Roman" w:hAnsi="Times New Roman" w:cs="Times New Roman"/>
          <w:sz w:val="28"/>
          <w:szCs w:val="28"/>
        </w:rPr>
        <w:t>os</w:t>
      </w:r>
      <w:r w:rsidRPr="00C039F9">
        <w:rPr>
          <w:rFonts w:ascii="Times New Roman" w:hAnsi="Times New Roman" w:cs="Times New Roman"/>
          <w:sz w:val="28"/>
          <w:szCs w:val="28"/>
        </w:rPr>
        <w:t xml:space="preserve"> porcentaje</w:t>
      </w:r>
      <w:r w:rsidRPr="00C039F9">
        <w:rPr>
          <w:rFonts w:ascii="Times New Roman" w:hAnsi="Times New Roman" w:cs="Times New Roman"/>
          <w:sz w:val="28"/>
          <w:szCs w:val="28"/>
        </w:rPr>
        <w:t xml:space="preserve">s de los gastos de administración general de la Dirección Nacional de Derecho de Autor cuantificados siguiendo las normas y principios aceptados de contabilidad de costos». </w:t>
      </w:r>
    </w:p>
    <w:p w:rsidR="00934F8C" w:rsidRPr="00C039F9" w:rsidRDefault="00C039F9" w:rsidP="00934F8C">
      <w:pPr>
        <w:pStyle w:val="Prrafodelista"/>
        <w:rPr>
          <w:rFonts w:ascii="Times New Roman" w:hAnsi="Times New Roman" w:cs="Times New Roman"/>
          <w:b/>
          <w:bCs/>
          <w:sz w:val="28"/>
          <w:szCs w:val="28"/>
        </w:rPr>
      </w:pPr>
    </w:p>
    <w:p w:rsidR="00934F8C" w:rsidRPr="00C039F9" w:rsidRDefault="00C039F9" w:rsidP="00934F8C">
      <w:pPr>
        <w:pStyle w:val="Prrafodelista"/>
        <w:widowControl w:val="0"/>
        <w:numPr>
          <w:ilvl w:val="0"/>
          <w:numId w:val="2"/>
        </w:numPr>
        <w:suppressAutoHyphens/>
        <w:ind w:left="0" w:hanging="11"/>
        <w:rPr>
          <w:rFonts w:ascii="Times New Roman" w:hAnsi="Times New Roman" w:cs="Times New Roman"/>
          <w:sz w:val="28"/>
          <w:szCs w:val="28"/>
        </w:rPr>
      </w:pPr>
      <w:r w:rsidRPr="00C039F9">
        <w:rPr>
          <w:rFonts w:ascii="Times New Roman" w:hAnsi="Times New Roman" w:cs="Times New Roman"/>
          <w:b/>
          <w:bCs/>
          <w:sz w:val="28"/>
          <w:szCs w:val="28"/>
        </w:rPr>
        <w:t xml:space="preserve">(c) </w:t>
      </w:r>
      <w:r w:rsidRPr="00C039F9">
        <w:rPr>
          <w:rFonts w:ascii="Times New Roman" w:hAnsi="Times New Roman" w:cs="Times New Roman"/>
          <w:sz w:val="28"/>
          <w:szCs w:val="28"/>
        </w:rPr>
        <w:t>Los</w:t>
      </w:r>
      <w:r w:rsidRPr="00C039F9">
        <w:rPr>
          <w:rFonts w:ascii="Times New Roman" w:hAnsi="Times New Roman" w:cs="Times New Roman"/>
          <w:sz w:val="28"/>
          <w:szCs w:val="28"/>
        </w:rPr>
        <w:t xml:space="preserve"> insu</w:t>
      </w:r>
      <w:r w:rsidRPr="00C039F9">
        <w:rPr>
          <w:rFonts w:ascii="Times New Roman" w:hAnsi="Times New Roman" w:cs="Times New Roman"/>
          <w:sz w:val="28"/>
          <w:szCs w:val="28"/>
        </w:rPr>
        <w:t>mo</w:t>
      </w:r>
      <w:r w:rsidRPr="00C039F9">
        <w:rPr>
          <w:rFonts w:ascii="Times New Roman" w:hAnsi="Times New Roman" w:cs="Times New Roman"/>
          <w:sz w:val="28"/>
          <w:szCs w:val="28"/>
        </w:rPr>
        <w:t>s</w:t>
      </w:r>
      <w:r w:rsidRPr="00C039F9">
        <w:rPr>
          <w:rFonts w:ascii="Times New Roman" w:hAnsi="Times New Roman" w:cs="Times New Roman"/>
          <w:sz w:val="28"/>
          <w:szCs w:val="28"/>
        </w:rPr>
        <w:t xml:space="preserve"> </w:t>
      </w:r>
      <w:r w:rsidRPr="00C039F9">
        <w:rPr>
          <w:rFonts w:ascii="Times New Roman" w:hAnsi="Times New Roman" w:cs="Times New Roman"/>
          <w:sz w:val="28"/>
          <w:szCs w:val="28"/>
        </w:rPr>
        <w:t>mencionados debe ser valorados a precios de mercado</w:t>
      </w:r>
      <w:r w:rsidRPr="00C039F9">
        <w:rPr>
          <w:rFonts w:ascii="Times New Roman" w:hAnsi="Times New Roman" w:cs="Times New Roman"/>
          <w:sz w:val="28"/>
          <w:szCs w:val="28"/>
        </w:rPr>
        <w:t>, «incluido lo relacionado con almacenamiento y custodia del documento físico y digital»</w:t>
      </w:r>
      <w:r w:rsidRPr="00C039F9">
        <w:rPr>
          <w:rFonts w:ascii="Times New Roman" w:hAnsi="Times New Roman" w:cs="Times New Roman"/>
          <w:sz w:val="28"/>
          <w:szCs w:val="28"/>
        </w:rPr>
        <w:t>.</w:t>
      </w:r>
    </w:p>
    <w:p w:rsidR="00934F8C" w:rsidRPr="00C039F9" w:rsidRDefault="00C039F9" w:rsidP="00934F8C">
      <w:pPr>
        <w:pStyle w:val="Prrafodelista"/>
        <w:rPr>
          <w:rFonts w:ascii="Times New Roman" w:hAnsi="Times New Roman" w:cs="Times New Roman"/>
          <w:b/>
          <w:bCs/>
          <w:sz w:val="28"/>
          <w:szCs w:val="28"/>
        </w:rPr>
      </w:pPr>
    </w:p>
    <w:p w:rsidR="00934F8C" w:rsidRPr="00C039F9" w:rsidRDefault="00C039F9" w:rsidP="00934F8C">
      <w:pPr>
        <w:pStyle w:val="Prrafodelista"/>
        <w:widowControl w:val="0"/>
        <w:numPr>
          <w:ilvl w:val="0"/>
          <w:numId w:val="2"/>
        </w:numPr>
        <w:suppressAutoHyphens/>
        <w:ind w:left="0" w:hanging="11"/>
        <w:rPr>
          <w:rFonts w:ascii="Times New Roman" w:hAnsi="Times New Roman" w:cs="Times New Roman"/>
          <w:sz w:val="28"/>
          <w:szCs w:val="28"/>
        </w:rPr>
      </w:pPr>
      <w:r w:rsidRPr="00C039F9">
        <w:rPr>
          <w:rFonts w:ascii="Times New Roman" w:hAnsi="Times New Roman" w:cs="Times New Roman"/>
          <w:b/>
          <w:bCs/>
          <w:sz w:val="28"/>
          <w:szCs w:val="28"/>
        </w:rPr>
        <w:t xml:space="preserve">(d) </w:t>
      </w:r>
      <w:r w:rsidRPr="00C039F9">
        <w:rPr>
          <w:rFonts w:ascii="Times New Roman" w:hAnsi="Times New Roman" w:cs="Times New Roman"/>
          <w:sz w:val="28"/>
          <w:szCs w:val="28"/>
        </w:rPr>
        <w:t xml:space="preserve"> </w:t>
      </w:r>
      <w:r w:rsidRPr="00C039F9">
        <w:rPr>
          <w:rFonts w:ascii="Times New Roman" w:hAnsi="Times New Roman" w:cs="Times New Roman"/>
          <w:sz w:val="28"/>
          <w:szCs w:val="28"/>
        </w:rPr>
        <w:t>El valor del recurso humano usado en la prestación del servicio se calcula «tomando como base los salario</w:t>
      </w:r>
      <w:r w:rsidRPr="00C039F9">
        <w:rPr>
          <w:rFonts w:ascii="Times New Roman" w:hAnsi="Times New Roman" w:cs="Times New Roman"/>
          <w:sz w:val="28"/>
          <w:szCs w:val="28"/>
        </w:rPr>
        <w:t>s y prestaciones de la planta de personal» de la DNDA, así como el valor de los contratos que se celebren para efectos de prestar el servicio.</w:t>
      </w:r>
    </w:p>
    <w:p w:rsidR="00934F8C" w:rsidRPr="00C039F9" w:rsidRDefault="00C039F9" w:rsidP="00934F8C">
      <w:pPr>
        <w:pStyle w:val="Prrafodelista"/>
        <w:rPr>
          <w:rFonts w:ascii="Times New Roman" w:hAnsi="Times New Roman" w:cs="Times New Roman"/>
          <w:b/>
          <w:bCs/>
          <w:sz w:val="28"/>
          <w:szCs w:val="28"/>
        </w:rPr>
      </w:pPr>
    </w:p>
    <w:p w:rsidR="00934F8C" w:rsidRPr="00C039F9" w:rsidRDefault="00C039F9" w:rsidP="00934F8C">
      <w:pPr>
        <w:pStyle w:val="Prrafodelista"/>
        <w:widowControl w:val="0"/>
        <w:numPr>
          <w:ilvl w:val="0"/>
          <w:numId w:val="2"/>
        </w:numPr>
        <w:suppressAutoHyphens/>
        <w:ind w:left="0" w:hanging="11"/>
        <w:rPr>
          <w:rFonts w:ascii="Times New Roman" w:hAnsi="Times New Roman" w:cs="Times New Roman"/>
          <w:sz w:val="28"/>
          <w:szCs w:val="28"/>
        </w:rPr>
      </w:pPr>
      <w:r w:rsidRPr="00C039F9">
        <w:rPr>
          <w:rFonts w:ascii="Times New Roman" w:hAnsi="Times New Roman" w:cs="Times New Roman"/>
          <w:b/>
          <w:bCs/>
          <w:sz w:val="28"/>
          <w:szCs w:val="28"/>
        </w:rPr>
        <w:t xml:space="preserve">(e) </w:t>
      </w:r>
      <w:r w:rsidRPr="00C039F9">
        <w:rPr>
          <w:rFonts w:ascii="Times New Roman" w:hAnsi="Times New Roman" w:cs="Times New Roman"/>
          <w:sz w:val="28"/>
          <w:szCs w:val="28"/>
        </w:rPr>
        <w:t xml:space="preserve">Enseguida, se cuantifican </w:t>
      </w:r>
      <w:r w:rsidRPr="00C039F9">
        <w:rPr>
          <w:rFonts w:ascii="Times New Roman" w:hAnsi="Times New Roman" w:cs="Times New Roman"/>
          <w:sz w:val="28"/>
          <w:szCs w:val="28"/>
        </w:rPr>
        <w:t>«</w:t>
      </w:r>
      <w:r w:rsidRPr="00C039F9">
        <w:rPr>
          <w:rFonts w:ascii="Times New Roman" w:hAnsi="Times New Roman" w:cs="Times New Roman"/>
          <w:sz w:val="28"/>
          <w:szCs w:val="28"/>
        </w:rPr>
        <w:t xml:space="preserve">los costos en función de los equipos, técnicas y tecnologías disponibles para la </w:t>
      </w:r>
      <w:r w:rsidRPr="00C039F9">
        <w:rPr>
          <w:rFonts w:ascii="Times New Roman" w:hAnsi="Times New Roman" w:cs="Times New Roman"/>
          <w:sz w:val="28"/>
          <w:szCs w:val="28"/>
        </w:rPr>
        <w:t>operación de los servicios</w:t>
      </w:r>
      <w:r w:rsidRPr="00C039F9">
        <w:rPr>
          <w:rFonts w:ascii="Times New Roman" w:hAnsi="Times New Roman" w:cs="Times New Roman"/>
          <w:sz w:val="28"/>
          <w:szCs w:val="28"/>
        </w:rPr>
        <w:t>»</w:t>
      </w:r>
      <w:r w:rsidRPr="00C039F9">
        <w:rPr>
          <w:rFonts w:ascii="Times New Roman" w:hAnsi="Times New Roman" w:cs="Times New Roman"/>
          <w:sz w:val="28"/>
          <w:szCs w:val="28"/>
        </w:rPr>
        <w:t>.</w:t>
      </w:r>
    </w:p>
    <w:p w:rsidR="00934F8C" w:rsidRPr="00C039F9" w:rsidRDefault="00C039F9" w:rsidP="00934F8C">
      <w:pPr>
        <w:pStyle w:val="Prrafodelista"/>
        <w:rPr>
          <w:rFonts w:ascii="Times New Roman" w:hAnsi="Times New Roman" w:cs="Times New Roman"/>
          <w:b/>
          <w:bCs/>
          <w:sz w:val="28"/>
          <w:szCs w:val="28"/>
        </w:rPr>
      </w:pPr>
    </w:p>
    <w:p w:rsidR="00934F8C" w:rsidRPr="00C039F9" w:rsidRDefault="00C039F9" w:rsidP="00934F8C">
      <w:pPr>
        <w:pStyle w:val="Prrafodelista"/>
        <w:widowControl w:val="0"/>
        <w:numPr>
          <w:ilvl w:val="0"/>
          <w:numId w:val="2"/>
        </w:numPr>
        <w:suppressAutoHyphens/>
        <w:ind w:left="0" w:hanging="11"/>
        <w:rPr>
          <w:rFonts w:ascii="Times New Roman" w:hAnsi="Times New Roman" w:cs="Times New Roman"/>
          <w:sz w:val="28"/>
          <w:szCs w:val="28"/>
        </w:rPr>
      </w:pPr>
      <w:r w:rsidRPr="00C039F9">
        <w:rPr>
          <w:rFonts w:ascii="Times New Roman" w:hAnsi="Times New Roman" w:cs="Times New Roman"/>
          <w:b/>
          <w:bCs/>
          <w:sz w:val="28"/>
          <w:szCs w:val="28"/>
        </w:rPr>
        <w:t>(</w:t>
      </w:r>
      <w:r w:rsidRPr="00C039F9">
        <w:rPr>
          <w:rFonts w:ascii="Times New Roman" w:hAnsi="Times New Roman" w:cs="Times New Roman"/>
          <w:b/>
          <w:bCs/>
          <w:sz w:val="28"/>
          <w:szCs w:val="28"/>
        </w:rPr>
        <w:t>f</w:t>
      </w:r>
      <w:r w:rsidRPr="00C039F9">
        <w:rPr>
          <w:rFonts w:ascii="Times New Roman" w:hAnsi="Times New Roman" w:cs="Times New Roman"/>
          <w:b/>
          <w:bCs/>
          <w:sz w:val="28"/>
          <w:szCs w:val="28"/>
        </w:rPr>
        <w:t xml:space="preserve">) </w:t>
      </w:r>
      <w:r w:rsidRPr="00C039F9">
        <w:rPr>
          <w:rFonts w:ascii="Times New Roman" w:hAnsi="Times New Roman" w:cs="Times New Roman"/>
          <w:sz w:val="28"/>
          <w:szCs w:val="28"/>
        </w:rPr>
        <w:t>Finalmente, deben estimarse las frecuencias de utilización del servicio. Esto quiere decir, «el número de operaciones o ejecuciones de cada uno de los servicios prestados» por la DNDA.</w:t>
      </w:r>
    </w:p>
    <w:p w:rsidR="00934F8C" w:rsidRPr="00C039F9" w:rsidRDefault="00C039F9" w:rsidP="00934F8C">
      <w:pPr>
        <w:pStyle w:val="Prrafodelista"/>
        <w:rPr>
          <w:rFonts w:ascii="Times New Roman" w:hAnsi="Times New Roman" w:cs="Times New Roman"/>
          <w:sz w:val="28"/>
          <w:szCs w:val="28"/>
        </w:rPr>
      </w:pPr>
    </w:p>
    <w:p w:rsidR="00934F8C" w:rsidRPr="00C039F9" w:rsidRDefault="00C039F9" w:rsidP="004936AD">
      <w:pPr>
        <w:pStyle w:val="Prrafodelista"/>
        <w:widowControl w:val="0"/>
        <w:numPr>
          <w:ilvl w:val="0"/>
          <w:numId w:val="2"/>
        </w:numPr>
        <w:suppressAutoHyphens/>
        <w:ind w:left="0" w:hanging="11"/>
        <w:rPr>
          <w:rFonts w:ascii="Times New Roman" w:hAnsi="Times New Roman" w:cs="Times New Roman"/>
          <w:sz w:val="28"/>
          <w:szCs w:val="28"/>
        </w:rPr>
      </w:pPr>
      <w:r w:rsidRPr="00C039F9">
        <w:rPr>
          <w:rFonts w:ascii="Times New Roman" w:hAnsi="Times New Roman" w:cs="Times New Roman"/>
          <w:sz w:val="28"/>
          <w:szCs w:val="28"/>
        </w:rPr>
        <w:t xml:space="preserve">En lo que toca al </w:t>
      </w:r>
      <w:r w:rsidRPr="00C039F9">
        <w:rPr>
          <w:rFonts w:ascii="Times New Roman" w:hAnsi="Times New Roman" w:cs="Times New Roman"/>
          <w:i/>
          <w:iCs/>
          <w:sz w:val="28"/>
          <w:szCs w:val="28"/>
        </w:rPr>
        <w:t>sistema</w:t>
      </w:r>
      <w:r w:rsidRPr="00C039F9">
        <w:rPr>
          <w:rFonts w:ascii="Times New Roman" w:hAnsi="Times New Roman" w:cs="Times New Roman"/>
          <w:sz w:val="28"/>
          <w:szCs w:val="28"/>
        </w:rPr>
        <w:t xml:space="preserve"> para defin</w:t>
      </w:r>
      <w:r w:rsidRPr="00C039F9">
        <w:rPr>
          <w:rFonts w:ascii="Times New Roman" w:hAnsi="Times New Roman" w:cs="Times New Roman"/>
          <w:sz w:val="28"/>
          <w:szCs w:val="28"/>
        </w:rPr>
        <w:t xml:space="preserve">ir la tarifa, el </w:t>
      </w:r>
      <w:r w:rsidRPr="00C039F9">
        <w:rPr>
          <w:rFonts w:ascii="Times New Roman" w:hAnsi="Times New Roman" w:cs="Times New Roman"/>
          <w:sz w:val="28"/>
          <w:szCs w:val="28"/>
        </w:rPr>
        <w:t xml:space="preserve">numeral 2 del </w:t>
      </w:r>
      <w:r w:rsidRPr="00C039F9">
        <w:rPr>
          <w:rFonts w:ascii="Times New Roman" w:hAnsi="Times New Roman" w:cs="Times New Roman"/>
          <w:sz w:val="28"/>
          <w:szCs w:val="28"/>
        </w:rPr>
        <w:t>parágrafo 1º</w:t>
      </w:r>
      <w:r w:rsidRPr="00C039F9">
        <w:rPr>
          <w:rFonts w:ascii="Times New Roman" w:hAnsi="Times New Roman" w:cs="Times New Roman"/>
          <w:sz w:val="28"/>
          <w:szCs w:val="28"/>
        </w:rPr>
        <w:t xml:space="preserve"> </w:t>
      </w:r>
      <w:r w:rsidRPr="00C039F9">
        <w:rPr>
          <w:rFonts w:ascii="Times New Roman" w:hAnsi="Times New Roman" w:cs="Times New Roman"/>
          <w:sz w:val="28"/>
          <w:szCs w:val="28"/>
        </w:rPr>
        <w:t>de la disposición acusada lo describe así: «La tarifa para cada uno de los servicios prestados por la Dirección Nacional de Derecho de Autor, será el resultado de sumar el valor de los insumos y de los recursos h</w:t>
      </w:r>
      <w:r w:rsidRPr="00C039F9">
        <w:rPr>
          <w:rFonts w:ascii="Times New Roman" w:hAnsi="Times New Roman" w:cs="Times New Roman"/>
          <w:sz w:val="28"/>
          <w:szCs w:val="28"/>
        </w:rPr>
        <w:t>umanos utilizados</w:t>
      </w:r>
      <w:r w:rsidRPr="00C039F9">
        <w:rPr>
          <w:rFonts w:ascii="Times New Roman" w:hAnsi="Times New Roman" w:cs="Times New Roman"/>
          <w:sz w:val="28"/>
          <w:szCs w:val="28"/>
        </w:rPr>
        <w:t>, de conformidad con los literales c), d) y e) […], divididos cada uno por la frecuencia de utilización de que trata el literal f) del presente artículo».</w:t>
      </w:r>
      <w:r w:rsidRPr="00C039F9">
        <w:rPr>
          <w:rFonts w:ascii="Times New Roman" w:hAnsi="Times New Roman" w:cs="Times New Roman"/>
          <w:sz w:val="28"/>
          <w:szCs w:val="28"/>
        </w:rPr>
        <w:t xml:space="preserve"> </w:t>
      </w:r>
    </w:p>
    <w:p w:rsidR="00146A3E" w:rsidRPr="00C039F9" w:rsidRDefault="00C039F9" w:rsidP="00146A3E">
      <w:pPr>
        <w:pStyle w:val="Prrafodelista"/>
        <w:widowControl w:val="0"/>
        <w:numPr>
          <w:ilvl w:val="0"/>
          <w:numId w:val="2"/>
        </w:numPr>
        <w:suppressAutoHyphens/>
        <w:ind w:left="0" w:hanging="11"/>
        <w:rPr>
          <w:rFonts w:ascii="Times New Roman" w:hAnsi="Times New Roman" w:cs="Times New Roman"/>
          <w:sz w:val="28"/>
          <w:szCs w:val="28"/>
        </w:rPr>
      </w:pPr>
      <w:r w:rsidRPr="00C039F9">
        <w:rPr>
          <w:rFonts w:ascii="Times New Roman" w:hAnsi="Times New Roman" w:cs="Times New Roman"/>
          <w:i/>
          <w:iCs/>
          <w:sz w:val="28"/>
          <w:szCs w:val="28"/>
        </w:rPr>
        <w:t xml:space="preserve">Tarifa de la tasa: </w:t>
      </w:r>
      <w:r w:rsidRPr="00C039F9">
        <w:rPr>
          <w:rFonts w:ascii="Times New Roman" w:hAnsi="Times New Roman" w:cs="Times New Roman"/>
          <w:sz w:val="28"/>
          <w:szCs w:val="28"/>
        </w:rPr>
        <w:t xml:space="preserve">en el inciso segundo del mismo numeral 2 del parágrafo 1º, el </w:t>
      </w:r>
      <w:r w:rsidRPr="00C039F9">
        <w:rPr>
          <w:rFonts w:ascii="Times New Roman" w:hAnsi="Times New Roman" w:cs="Times New Roman"/>
          <w:sz w:val="28"/>
          <w:szCs w:val="28"/>
        </w:rPr>
        <w:t>legislador incluyó el valor máximo de la tasa a cobrar según cada hecho generador. Para los hechos generadores 1 y 2 será de dos (2) unidades de valor tributario; y para los hechos generadores 3 y 4 será de diez (10) unidades de valor tributario.</w:t>
      </w:r>
    </w:p>
    <w:p w:rsidR="00934F8C" w:rsidRPr="00C039F9" w:rsidRDefault="00C039F9" w:rsidP="00B76C8B">
      <w:pPr>
        <w:rPr>
          <w:rFonts w:ascii="Times New Roman" w:hAnsi="Times New Roman" w:cs="Times New Roman"/>
          <w:sz w:val="28"/>
          <w:szCs w:val="28"/>
        </w:rPr>
      </w:pPr>
    </w:p>
    <w:p w:rsidR="00D60068" w:rsidRPr="00C039F9" w:rsidRDefault="00C039F9" w:rsidP="00934F8C">
      <w:pPr>
        <w:pStyle w:val="Prrafodelista"/>
        <w:widowControl w:val="0"/>
        <w:numPr>
          <w:ilvl w:val="0"/>
          <w:numId w:val="2"/>
        </w:numPr>
        <w:suppressAutoHyphens/>
        <w:ind w:left="0" w:hanging="11"/>
        <w:rPr>
          <w:rFonts w:ascii="Times New Roman" w:hAnsi="Times New Roman" w:cs="Times New Roman"/>
          <w:sz w:val="28"/>
          <w:szCs w:val="28"/>
        </w:rPr>
      </w:pPr>
      <w:r w:rsidRPr="00C039F9">
        <w:rPr>
          <w:rFonts w:ascii="Times New Roman" w:hAnsi="Times New Roman" w:cs="Times New Roman"/>
          <w:sz w:val="28"/>
          <w:szCs w:val="28"/>
        </w:rPr>
        <w:t>De la de</w:t>
      </w:r>
      <w:r w:rsidRPr="00C039F9">
        <w:rPr>
          <w:rFonts w:ascii="Times New Roman" w:hAnsi="Times New Roman" w:cs="Times New Roman"/>
          <w:sz w:val="28"/>
          <w:szCs w:val="28"/>
        </w:rPr>
        <w:t>scripción de la norma</w:t>
      </w:r>
      <w:r w:rsidRPr="00C039F9">
        <w:rPr>
          <w:rFonts w:ascii="Times New Roman" w:hAnsi="Times New Roman" w:cs="Times New Roman"/>
          <w:sz w:val="28"/>
          <w:szCs w:val="28"/>
        </w:rPr>
        <w:t xml:space="preserve"> </w:t>
      </w:r>
      <w:r w:rsidRPr="00C039F9">
        <w:rPr>
          <w:rFonts w:ascii="Times New Roman" w:hAnsi="Times New Roman" w:cs="Times New Roman"/>
          <w:sz w:val="28"/>
          <w:szCs w:val="28"/>
        </w:rPr>
        <w:t xml:space="preserve">puede </w:t>
      </w:r>
      <w:r w:rsidRPr="00C039F9">
        <w:rPr>
          <w:rFonts w:ascii="Times New Roman" w:hAnsi="Times New Roman" w:cs="Times New Roman"/>
          <w:sz w:val="28"/>
          <w:szCs w:val="28"/>
        </w:rPr>
        <w:t xml:space="preserve">concluirse que el </w:t>
      </w:r>
      <w:r w:rsidRPr="00C039F9">
        <w:rPr>
          <w:rFonts w:ascii="Times New Roman" w:hAnsi="Times New Roman" w:cs="Times New Roman"/>
          <w:i/>
          <w:iCs/>
          <w:sz w:val="28"/>
          <w:szCs w:val="28"/>
        </w:rPr>
        <w:t>método</w:t>
      </w:r>
      <w:r w:rsidRPr="00C039F9">
        <w:rPr>
          <w:rFonts w:ascii="Times New Roman" w:hAnsi="Times New Roman" w:cs="Times New Roman"/>
          <w:sz w:val="28"/>
          <w:szCs w:val="28"/>
        </w:rPr>
        <w:t xml:space="preserve"> descrito en el numeral 1 del parágrafo 1, literales (a) a (f), prevé criterios exclusivamente orientados a la determinación de los costos de los servicios prestados por la DNDA</w:t>
      </w:r>
      <w:r w:rsidRPr="00C039F9">
        <w:rPr>
          <w:rFonts w:ascii="Times New Roman" w:hAnsi="Times New Roman" w:cs="Times New Roman"/>
          <w:sz w:val="28"/>
          <w:szCs w:val="28"/>
        </w:rPr>
        <w:t xml:space="preserve"> los cuales, a su vez, cons</w:t>
      </w:r>
      <w:r w:rsidRPr="00C039F9">
        <w:rPr>
          <w:rFonts w:ascii="Times New Roman" w:hAnsi="Times New Roman" w:cs="Times New Roman"/>
          <w:sz w:val="28"/>
          <w:szCs w:val="28"/>
        </w:rPr>
        <w:t>tituyen la base gravable del tributo</w:t>
      </w:r>
      <w:r w:rsidRPr="00C039F9">
        <w:rPr>
          <w:rFonts w:ascii="Times New Roman" w:hAnsi="Times New Roman" w:cs="Times New Roman"/>
          <w:sz w:val="28"/>
          <w:szCs w:val="28"/>
        </w:rPr>
        <w:t xml:space="preserve">. Mientras que el numeral 2 del mismo parágrafo, referido al </w:t>
      </w:r>
      <w:r w:rsidRPr="00C039F9">
        <w:rPr>
          <w:rFonts w:ascii="Times New Roman" w:hAnsi="Times New Roman" w:cs="Times New Roman"/>
          <w:i/>
          <w:iCs/>
          <w:sz w:val="28"/>
          <w:szCs w:val="28"/>
        </w:rPr>
        <w:t>sistema</w:t>
      </w:r>
      <w:r w:rsidRPr="00C039F9">
        <w:rPr>
          <w:rFonts w:ascii="Times New Roman" w:hAnsi="Times New Roman" w:cs="Times New Roman"/>
          <w:sz w:val="28"/>
          <w:szCs w:val="28"/>
        </w:rPr>
        <w:t xml:space="preserve">, establece criterios destinados únicamente para </w:t>
      </w:r>
      <w:r w:rsidRPr="00C039F9">
        <w:rPr>
          <w:rFonts w:ascii="Times New Roman" w:hAnsi="Times New Roman" w:cs="Times New Roman"/>
          <w:sz w:val="28"/>
          <w:szCs w:val="28"/>
        </w:rPr>
        <w:t xml:space="preserve">definir </w:t>
      </w:r>
      <w:r w:rsidRPr="00C039F9">
        <w:rPr>
          <w:rFonts w:ascii="Times New Roman" w:hAnsi="Times New Roman" w:cs="Times New Roman"/>
          <w:sz w:val="28"/>
          <w:szCs w:val="28"/>
        </w:rPr>
        <w:t xml:space="preserve">la tarifa de la tasa. </w:t>
      </w:r>
    </w:p>
    <w:p w:rsidR="00934F8C" w:rsidRPr="00C039F9" w:rsidRDefault="00C039F9" w:rsidP="00ED476A">
      <w:pPr>
        <w:rPr>
          <w:rFonts w:ascii="Times New Roman" w:hAnsi="Times New Roman" w:cs="Times New Roman"/>
          <w:sz w:val="28"/>
          <w:szCs w:val="28"/>
        </w:rPr>
      </w:pPr>
    </w:p>
    <w:p w:rsidR="00F5452E" w:rsidRPr="00C039F9" w:rsidRDefault="00C039F9" w:rsidP="00934F8C">
      <w:pPr>
        <w:pStyle w:val="Prrafodelista"/>
        <w:widowControl w:val="0"/>
        <w:numPr>
          <w:ilvl w:val="0"/>
          <w:numId w:val="2"/>
        </w:numPr>
        <w:suppressAutoHyphens/>
        <w:ind w:left="0" w:hanging="11"/>
        <w:rPr>
          <w:rFonts w:ascii="Times New Roman" w:hAnsi="Times New Roman" w:cs="Times New Roman"/>
          <w:sz w:val="28"/>
          <w:szCs w:val="28"/>
        </w:rPr>
      </w:pPr>
      <w:r w:rsidRPr="00C039F9">
        <w:rPr>
          <w:rFonts w:ascii="Times New Roman" w:hAnsi="Times New Roman" w:cs="Times New Roman"/>
          <w:sz w:val="28"/>
          <w:szCs w:val="28"/>
        </w:rPr>
        <w:t>Ahora bien, cuando inciso 4º de la norma cuestionada señala que la base</w:t>
      </w:r>
      <w:r w:rsidRPr="00C039F9">
        <w:rPr>
          <w:rFonts w:ascii="Times New Roman" w:hAnsi="Times New Roman" w:cs="Times New Roman"/>
          <w:sz w:val="28"/>
          <w:szCs w:val="28"/>
        </w:rPr>
        <w:t xml:space="preserve"> para la liquidación de la tasa será el costo de los servicios que corresponde a cada uno de los hechos generadores gravados, «conforme</w:t>
      </w:r>
      <w:r w:rsidRPr="00C039F9">
        <w:rPr>
          <w:rFonts w:ascii="Times New Roman" w:hAnsi="Times New Roman" w:cs="Times New Roman"/>
          <w:sz w:val="28"/>
          <w:szCs w:val="28"/>
        </w:rPr>
        <w:t xml:space="preserve"> </w:t>
      </w:r>
      <w:r w:rsidRPr="00C039F9">
        <w:rPr>
          <w:rFonts w:ascii="Times New Roman" w:hAnsi="Times New Roman" w:cs="Times New Roman"/>
          <w:sz w:val="28"/>
          <w:szCs w:val="28"/>
        </w:rPr>
        <w:t>la metodología de cálcul</w:t>
      </w:r>
      <w:r w:rsidRPr="00C039F9">
        <w:rPr>
          <w:rFonts w:ascii="Times New Roman" w:hAnsi="Times New Roman" w:cs="Times New Roman"/>
          <w:sz w:val="28"/>
          <w:szCs w:val="28"/>
        </w:rPr>
        <w:t>o que establezca el Gobierno nacional a través del Ministerio del Interior», no quiere decir que</w:t>
      </w:r>
      <w:r w:rsidRPr="00C039F9">
        <w:rPr>
          <w:rFonts w:ascii="Times New Roman" w:hAnsi="Times New Roman" w:cs="Times New Roman"/>
          <w:sz w:val="28"/>
          <w:szCs w:val="28"/>
        </w:rPr>
        <w:t xml:space="preserve"> el legislador delegó la tarea de definir la base gravable en una autoridad administrativa</w:t>
      </w:r>
      <w:r w:rsidRPr="00C039F9">
        <w:rPr>
          <w:rFonts w:ascii="Times New Roman" w:hAnsi="Times New Roman" w:cs="Times New Roman"/>
          <w:sz w:val="28"/>
          <w:szCs w:val="28"/>
        </w:rPr>
        <w:t xml:space="preserve"> y que la norma no contenga los criterios que </w:t>
      </w:r>
      <w:r w:rsidRPr="00C039F9">
        <w:rPr>
          <w:rFonts w:ascii="Times New Roman" w:hAnsi="Times New Roman" w:cs="Times New Roman"/>
          <w:sz w:val="28"/>
          <w:szCs w:val="28"/>
        </w:rPr>
        <w:t xml:space="preserve">la </w:t>
      </w:r>
      <w:r w:rsidRPr="00C039F9">
        <w:rPr>
          <w:rFonts w:ascii="Times New Roman" w:hAnsi="Times New Roman" w:cs="Times New Roman"/>
          <w:sz w:val="28"/>
          <w:szCs w:val="28"/>
        </w:rPr>
        <w:t>hagan determinable</w:t>
      </w:r>
      <w:r w:rsidRPr="00C039F9">
        <w:rPr>
          <w:rFonts w:ascii="Times New Roman" w:hAnsi="Times New Roman" w:cs="Times New Roman"/>
          <w:sz w:val="28"/>
          <w:szCs w:val="28"/>
        </w:rPr>
        <w:t>.</w:t>
      </w:r>
      <w:r w:rsidRPr="00C039F9">
        <w:rPr>
          <w:rFonts w:ascii="Times New Roman" w:hAnsi="Times New Roman" w:cs="Times New Roman"/>
          <w:sz w:val="28"/>
          <w:szCs w:val="28"/>
        </w:rPr>
        <w:t xml:space="preserve"> </w:t>
      </w:r>
    </w:p>
    <w:p w:rsidR="00F5452E" w:rsidRPr="00C039F9" w:rsidRDefault="00C039F9" w:rsidP="00F5452E">
      <w:pPr>
        <w:pStyle w:val="Prrafodelista"/>
        <w:rPr>
          <w:rFonts w:ascii="Times New Roman" w:hAnsi="Times New Roman" w:cs="Times New Roman"/>
          <w:sz w:val="28"/>
          <w:szCs w:val="28"/>
        </w:rPr>
      </w:pPr>
    </w:p>
    <w:p w:rsidR="00F5452E" w:rsidRPr="00C039F9" w:rsidRDefault="00C039F9" w:rsidP="00934F8C">
      <w:pPr>
        <w:pStyle w:val="Prrafodelista"/>
        <w:widowControl w:val="0"/>
        <w:numPr>
          <w:ilvl w:val="0"/>
          <w:numId w:val="2"/>
        </w:numPr>
        <w:suppressAutoHyphens/>
        <w:ind w:left="0" w:hanging="11"/>
        <w:rPr>
          <w:rFonts w:ascii="Times New Roman" w:hAnsi="Times New Roman" w:cs="Times New Roman"/>
          <w:sz w:val="28"/>
          <w:szCs w:val="28"/>
        </w:rPr>
      </w:pPr>
      <w:r w:rsidRPr="00C039F9">
        <w:rPr>
          <w:rFonts w:ascii="Times New Roman" w:hAnsi="Times New Roman" w:cs="Times New Roman"/>
          <w:sz w:val="28"/>
          <w:szCs w:val="28"/>
        </w:rPr>
        <w:t xml:space="preserve">La base gravable de la tasa es determinable según los parámetros que el legislador mismo </w:t>
      </w:r>
      <w:r w:rsidRPr="00C039F9">
        <w:rPr>
          <w:rFonts w:ascii="Times New Roman" w:hAnsi="Times New Roman" w:cs="Times New Roman"/>
          <w:sz w:val="28"/>
          <w:szCs w:val="28"/>
        </w:rPr>
        <w:t>precis</w:t>
      </w:r>
      <w:r w:rsidRPr="00C039F9">
        <w:rPr>
          <w:rFonts w:ascii="Times New Roman" w:hAnsi="Times New Roman" w:cs="Times New Roman"/>
          <w:sz w:val="28"/>
          <w:szCs w:val="28"/>
        </w:rPr>
        <w:t>ó</w:t>
      </w:r>
      <w:r w:rsidRPr="00C039F9">
        <w:rPr>
          <w:rFonts w:ascii="Times New Roman" w:hAnsi="Times New Roman" w:cs="Times New Roman"/>
          <w:sz w:val="28"/>
          <w:szCs w:val="28"/>
        </w:rPr>
        <w:t xml:space="preserve"> en el parágrafo 1º del artículo acusado, en donde estableció un </w:t>
      </w:r>
      <w:r w:rsidRPr="00C039F9">
        <w:rPr>
          <w:rFonts w:ascii="Times New Roman" w:hAnsi="Times New Roman" w:cs="Times New Roman"/>
          <w:i/>
          <w:iCs/>
          <w:sz w:val="28"/>
          <w:szCs w:val="28"/>
        </w:rPr>
        <w:t>método</w:t>
      </w:r>
      <w:r w:rsidRPr="00C039F9">
        <w:rPr>
          <w:rFonts w:ascii="Times New Roman" w:hAnsi="Times New Roman" w:cs="Times New Roman"/>
          <w:sz w:val="28"/>
          <w:szCs w:val="28"/>
        </w:rPr>
        <w:t xml:space="preserve"> para identificar el costo de los servicios prestados por la DNDA.  </w:t>
      </w:r>
      <w:r w:rsidRPr="00C039F9">
        <w:rPr>
          <w:rFonts w:ascii="Times New Roman" w:hAnsi="Times New Roman" w:cs="Times New Roman"/>
          <w:sz w:val="28"/>
          <w:szCs w:val="28"/>
        </w:rPr>
        <w:t>C</w:t>
      </w:r>
      <w:r w:rsidRPr="00C039F9">
        <w:rPr>
          <w:rFonts w:ascii="Times New Roman" w:hAnsi="Times New Roman" w:cs="Times New Roman"/>
          <w:sz w:val="28"/>
          <w:szCs w:val="28"/>
        </w:rPr>
        <w:t xml:space="preserve">osto </w:t>
      </w:r>
      <w:r w:rsidRPr="00C039F9">
        <w:rPr>
          <w:rFonts w:ascii="Times New Roman" w:hAnsi="Times New Roman" w:cs="Times New Roman"/>
          <w:sz w:val="28"/>
          <w:szCs w:val="28"/>
        </w:rPr>
        <w:t xml:space="preserve">que </w:t>
      </w:r>
      <w:r w:rsidRPr="00C039F9">
        <w:rPr>
          <w:rFonts w:ascii="Times New Roman" w:hAnsi="Times New Roman" w:cs="Times New Roman"/>
          <w:sz w:val="28"/>
          <w:szCs w:val="28"/>
        </w:rPr>
        <w:t>equivale</w:t>
      </w:r>
      <w:r w:rsidRPr="00C039F9">
        <w:rPr>
          <w:rFonts w:ascii="Times New Roman" w:hAnsi="Times New Roman" w:cs="Times New Roman"/>
          <w:sz w:val="28"/>
          <w:szCs w:val="28"/>
        </w:rPr>
        <w:t xml:space="preserve"> a</w:t>
      </w:r>
      <w:r w:rsidRPr="00C039F9">
        <w:rPr>
          <w:rFonts w:ascii="Times New Roman" w:hAnsi="Times New Roman" w:cs="Times New Roman"/>
          <w:sz w:val="28"/>
          <w:szCs w:val="28"/>
        </w:rPr>
        <w:t xml:space="preserve"> la base gravable. Lo que sucede es que para poder establecer con precisión la base gravable deb</w:t>
      </w:r>
      <w:r w:rsidRPr="00C039F9">
        <w:rPr>
          <w:rFonts w:ascii="Times New Roman" w:hAnsi="Times New Roman" w:cs="Times New Roman"/>
          <w:sz w:val="28"/>
          <w:szCs w:val="28"/>
        </w:rPr>
        <w:t>e acudir</w:t>
      </w:r>
      <w:r w:rsidRPr="00C039F9">
        <w:rPr>
          <w:rFonts w:ascii="Times New Roman" w:hAnsi="Times New Roman" w:cs="Times New Roman"/>
          <w:sz w:val="28"/>
          <w:szCs w:val="28"/>
        </w:rPr>
        <w:t>se</w:t>
      </w:r>
      <w:r w:rsidRPr="00C039F9">
        <w:rPr>
          <w:rFonts w:ascii="Times New Roman" w:hAnsi="Times New Roman" w:cs="Times New Roman"/>
          <w:sz w:val="28"/>
          <w:szCs w:val="28"/>
        </w:rPr>
        <w:t xml:space="preserve"> al método allí descrito.</w:t>
      </w:r>
    </w:p>
    <w:p w:rsidR="00F5452E" w:rsidRPr="00C039F9" w:rsidRDefault="00C039F9" w:rsidP="00F5452E">
      <w:pPr>
        <w:pStyle w:val="Prrafodelista"/>
        <w:rPr>
          <w:rFonts w:ascii="Times New Roman" w:hAnsi="Times New Roman" w:cs="Times New Roman"/>
          <w:sz w:val="28"/>
          <w:szCs w:val="28"/>
        </w:rPr>
      </w:pPr>
    </w:p>
    <w:p w:rsidR="00434754" w:rsidRPr="00C039F9" w:rsidRDefault="00C039F9" w:rsidP="00EE5995">
      <w:pPr>
        <w:pStyle w:val="Prrafodelista"/>
        <w:widowControl w:val="0"/>
        <w:numPr>
          <w:ilvl w:val="0"/>
          <w:numId w:val="2"/>
        </w:numPr>
        <w:suppressAutoHyphens/>
        <w:ind w:left="0" w:hanging="11"/>
        <w:rPr>
          <w:rFonts w:ascii="Times New Roman" w:hAnsi="Times New Roman" w:cs="Times New Roman"/>
          <w:sz w:val="28"/>
          <w:szCs w:val="28"/>
        </w:rPr>
      </w:pPr>
      <w:r w:rsidRPr="00C039F9">
        <w:rPr>
          <w:rFonts w:ascii="Times New Roman" w:hAnsi="Times New Roman" w:cs="Times New Roman"/>
          <w:sz w:val="28"/>
          <w:szCs w:val="28"/>
        </w:rPr>
        <w:t xml:space="preserve"> </w:t>
      </w:r>
      <w:r w:rsidRPr="00C039F9">
        <w:rPr>
          <w:rFonts w:ascii="Times New Roman" w:hAnsi="Times New Roman" w:cs="Times New Roman"/>
          <w:sz w:val="28"/>
          <w:szCs w:val="28"/>
        </w:rPr>
        <w:t>L</w:t>
      </w:r>
      <w:r w:rsidRPr="00C039F9">
        <w:rPr>
          <w:rFonts w:ascii="Times New Roman" w:hAnsi="Times New Roman" w:cs="Times New Roman"/>
          <w:sz w:val="28"/>
          <w:szCs w:val="28"/>
        </w:rPr>
        <w:t xml:space="preserve">a delegación que el inciso 4º de la norma hace al Gobierno nacional se circunscribe únicamente a la posibilidad de </w:t>
      </w:r>
      <w:r w:rsidRPr="00C039F9">
        <w:rPr>
          <w:rFonts w:ascii="Times New Roman" w:hAnsi="Times New Roman" w:cs="Times New Roman"/>
          <w:sz w:val="28"/>
          <w:szCs w:val="28"/>
        </w:rPr>
        <w:t xml:space="preserve">reglamentar la metodología de </w:t>
      </w:r>
      <w:r w:rsidRPr="00C039F9">
        <w:rPr>
          <w:rFonts w:ascii="Times New Roman" w:hAnsi="Times New Roman" w:cs="Times New Roman"/>
          <w:sz w:val="28"/>
          <w:szCs w:val="28"/>
        </w:rPr>
        <w:t xml:space="preserve">cálculo para concretar el valor de dichos costos, </w:t>
      </w:r>
      <w:r w:rsidRPr="00C039F9">
        <w:rPr>
          <w:rFonts w:ascii="Times New Roman" w:hAnsi="Times New Roman" w:cs="Times New Roman"/>
          <w:sz w:val="28"/>
          <w:szCs w:val="28"/>
        </w:rPr>
        <w:t>facultad que debe ejer</w:t>
      </w:r>
      <w:r w:rsidRPr="00C039F9">
        <w:rPr>
          <w:rFonts w:ascii="Times New Roman" w:hAnsi="Times New Roman" w:cs="Times New Roman"/>
          <w:sz w:val="28"/>
          <w:szCs w:val="28"/>
        </w:rPr>
        <w:t xml:space="preserve">cer en el marco del procedimiento </w:t>
      </w:r>
      <w:r w:rsidRPr="00C039F9">
        <w:rPr>
          <w:rFonts w:ascii="Times New Roman" w:hAnsi="Times New Roman" w:cs="Times New Roman"/>
          <w:sz w:val="28"/>
          <w:szCs w:val="28"/>
        </w:rPr>
        <w:t xml:space="preserve">fijado </w:t>
      </w:r>
      <w:r w:rsidRPr="00C039F9">
        <w:rPr>
          <w:rFonts w:ascii="Times New Roman" w:hAnsi="Times New Roman" w:cs="Times New Roman"/>
          <w:sz w:val="28"/>
          <w:szCs w:val="28"/>
        </w:rPr>
        <w:t xml:space="preserve">en el </w:t>
      </w:r>
      <w:r w:rsidRPr="00C039F9">
        <w:rPr>
          <w:rFonts w:ascii="Times New Roman" w:hAnsi="Times New Roman" w:cs="Times New Roman"/>
          <w:i/>
          <w:iCs/>
          <w:sz w:val="28"/>
          <w:szCs w:val="28"/>
        </w:rPr>
        <w:t>método</w:t>
      </w:r>
      <w:r w:rsidRPr="00C039F9">
        <w:rPr>
          <w:rFonts w:ascii="Times New Roman" w:hAnsi="Times New Roman" w:cs="Times New Roman"/>
          <w:sz w:val="28"/>
          <w:szCs w:val="28"/>
        </w:rPr>
        <w:t xml:space="preserve">. </w:t>
      </w:r>
      <w:r w:rsidRPr="00C039F9">
        <w:rPr>
          <w:rFonts w:ascii="Times New Roman" w:hAnsi="Times New Roman" w:cs="Times New Roman"/>
          <w:sz w:val="28"/>
          <w:szCs w:val="28"/>
        </w:rPr>
        <w:t xml:space="preserve">Pero no lo habilita parar fijar un </w:t>
      </w:r>
      <w:r w:rsidRPr="00C039F9">
        <w:rPr>
          <w:rFonts w:ascii="Times New Roman" w:hAnsi="Times New Roman" w:cs="Times New Roman"/>
          <w:i/>
          <w:iCs/>
          <w:sz w:val="28"/>
          <w:szCs w:val="28"/>
        </w:rPr>
        <w:t>método</w:t>
      </w:r>
      <w:r w:rsidRPr="00C039F9">
        <w:rPr>
          <w:rFonts w:ascii="Times New Roman" w:hAnsi="Times New Roman" w:cs="Times New Roman"/>
          <w:sz w:val="28"/>
          <w:szCs w:val="28"/>
        </w:rPr>
        <w:t xml:space="preserve"> distinto de determinación de costos ni para utilizar criterios diferentes.</w:t>
      </w:r>
    </w:p>
    <w:p w:rsidR="00434754" w:rsidRPr="00C039F9" w:rsidRDefault="00C039F9" w:rsidP="00434754">
      <w:pPr>
        <w:pStyle w:val="Prrafodelista"/>
        <w:rPr>
          <w:rFonts w:ascii="Times New Roman" w:hAnsi="Times New Roman" w:cs="Times New Roman"/>
          <w:sz w:val="28"/>
          <w:szCs w:val="28"/>
        </w:rPr>
      </w:pPr>
    </w:p>
    <w:p w:rsidR="00934F8C" w:rsidRPr="00C039F9" w:rsidRDefault="00C039F9" w:rsidP="00434754">
      <w:pPr>
        <w:pStyle w:val="Prrafodelista"/>
        <w:widowControl w:val="0"/>
        <w:numPr>
          <w:ilvl w:val="0"/>
          <w:numId w:val="2"/>
        </w:numPr>
        <w:suppressAutoHyphens/>
        <w:ind w:left="0" w:hanging="11"/>
        <w:rPr>
          <w:rFonts w:ascii="Times New Roman" w:hAnsi="Times New Roman" w:cs="Times New Roman"/>
          <w:sz w:val="28"/>
          <w:szCs w:val="28"/>
        </w:rPr>
      </w:pPr>
      <w:r w:rsidRPr="00C039F9">
        <w:rPr>
          <w:rFonts w:ascii="Times New Roman" w:hAnsi="Times New Roman" w:cs="Times New Roman"/>
          <w:sz w:val="28"/>
          <w:szCs w:val="28"/>
        </w:rPr>
        <w:t xml:space="preserve">De </w:t>
      </w:r>
      <w:r w:rsidRPr="00C039F9">
        <w:rPr>
          <w:rFonts w:ascii="Times New Roman" w:hAnsi="Times New Roman" w:cs="Times New Roman"/>
          <w:sz w:val="28"/>
          <w:szCs w:val="28"/>
        </w:rPr>
        <w:t>modo tal que</w:t>
      </w:r>
      <w:r w:rsidRPr="00C039F9">
        <w:rPr>
          <w:rFonts w:ascii="Times New Roman" w:hAnsi="Times New Roman" w:cs="Times New Roman"/>
          <w:sz w:val="28"/>
          <w:szCs w:val="28"/>
        </w:rPr>
        <w:t xml:space="preserve"> el Ministerio del Interior puede precisar con detalle los conceptos que corresponden a los rubros mencionados</w:t>
      </w:r>
      <w:r w:rsidRPr="00C039F9">
        <w:rPr>
          <w:rFonts w:ascii="Times New Roman" w:hAnsi="Times New Roman" w:cs="Times New Roman"/>
          <w:sz w:val="28"/>
          <w:szCs w:val="28"/>
        </w:rPr>
        <w:t xml:space="preserve"> </w:t>
      </w:r>
      <w:r w:rsidRPr="00C039F9">
        <w:rPr>
          <w:rFonts w:ascii="Times New Roman" w:hAnsi="Times New Roman" w:cs="Times New Roman"/>
          <w:sz w:val="28"/>
          <w:szCs w:val="28"/>
        </w:rPr>
        <w:t xml:space="preserve">en el </w:t>
      </w:r>
      <w:r w:rsidRPr="00C039F9">
        <w:rPr>
          <w:rFonts w:ascii="Times New Roman" w:hAnsi="Times New Roman" w:cs="Times New Roman"/>
          <w:i/>
          <w:iCs/>
          <w:sz w:val="28"/>
          <w:szCs w:val="28"/>
        </w:rPr>
        <w:t>método</w:t>
      </w:r>
      <w:r w:rsidRPr="00C039F9">
        <w:rPr>
          <w:rFonts w:ascii="Times New Roman" w:hAnsi="Times New Roman" w:cs="Times New Roman"/>
          <w:sz w:val="28"/>
          <w:szCs w:val="28"/>
        </w:rPr>
        <w:t xml:space="preserve"> los </w:t>
      </w:r>
      <w:r w:rsidRPr="00C039F9">
        <w:rPr>
          <w:rFonts w:ascii="Times New Roman" w:hAnsi="Times New Roman" w:cs="Times New Roman"/>
          <w:sz w:val="28"/>
          <w:szCs w:val="28"/>
        </w:rPr>
        <w:t>que, en últimas</w:t>
      </w:r>
      <w:r w:rsidRPr="00C039F9">
        <w:rPr>
          <w:rFonts w:ascii="Times New Roman" w:hAnsi="Times New Roman" w:cs="Times New Roman"/>
          <w:sz w:val="28"/>
          <w:szCs w:val="28"/>
        </w:rPr>
        <w:t>,</w:t>
      </w:r>
      <w:r w:rsidRPr="00C039F9">
        <w:rPr>
          <w:rFonts w:ascii="Times New Roman" w:hAnsi="Times New Roman" w:cs="Times New Roman"/>
          <w:sz w:val="28"/>
          <w:szCs w:val="28"/>
        </w:rPr>
        <w:t xml:space="preserve"> están referidos a los insumos que se usan para pres</w:t>
      </w:r>
      <w:r w:rsidRPr="00C039F9">
        <w:rPr>
          <w:rFonts w:ascii="Times New Roman" w:hAnsi="Times New Roman" w:cs="Times New Roman"/>
          <w:sz w:val="28"/>
          <w:szCs w:val="28"/>
        </w:rPr>
        <w:t>t</w:t>
      </w:r>
      <w:r w:rsidRPr="00C039F9">
        <w:rPr>
          <w:rFonts w:ascii="Times New Roman" w:hAnsi="Times New Roman" w:cs="Times New Roman"/>
          <w:sz w:val="28"/>
          <w:szCs w:val="28"/>
        </w:rPr>
        <w:t>ar el servicio</w:t>
      </w:r>
      <w:r w:rsidRPr="00C039F9">
        <w:rPr>
          <w:rFonts w:ascii="Times New Roman" w:hAnsi="Times New Roman" w:cs="Times New Roman"/>
          <w:sz w:val="28"/>
          <w:szCs w:val="28"/>
        </w:rPr>
        <w:t xml:space="preserve">. </w:t>
      </w:r>
      <w:r w:rsidRPr="00C039F9">
        <w:rPr>
          <w:rFonts w:ascii="Times New Roman" w:hAnsi="Times New Roman" w:cs="Times New Roman"/>
          <w:sz w:val="28"/>
          <w:szCs w:val="28"/>
        </w:rPr>
        <w:t>Esto es así porque l</w:t>
      </w:r>
      <w:r w:rsidRPr="00C039F9">
        <w:rPr>
          <w:rFonts w:ascii="Times New Roman" w:hAnsi="Times New Roman" w:cs="Times New Roman"/>
          <w:sz w:val="28"/>
          <w:szCs w:val="28"/>
        </w:rPr>
        <w:t>os costos de la prestac</w:t>
      </w:r>
      <w:r w:rsidRPr="00C039F9">
        <w:rPr>
          <w:rFonts w:ascii="Times New Roman" w:hAnsi="Times New Roman" w:cs="Times New Roman"/>
          <w:sz w:val="28"/>
          <w:szCs w:val="28"/>
        </w:rPr>
        <w:t xml:space="preserve">ión del servicio por parte de la </w:t>
      </w:r>
      <w:r w:rsidRPr="00C039F9">
        <w:rPr>
          <w:rFonts w:ascii="Times New Roman" w:hAnsi="Times New Roman" w:cs="Times New Roman"/>
          <w:sz w:val="28"/>
          <w:szCs w:val="28"/>
        </w:rPr>
        <w:t xml:space="preserve">DNDA </w:t>
      </w:r>
      <w:r w:rsidRPr="00C039F9">
        <w:rPr>
          <w:rFonts w:ascii="Times New Roman" w:hAnsi="Times New Roman" w:cs="Times New Roman"/>
          <w:sz w:val="28"/>
          <w:szCs w:val="28"/>
        </w:rPr>
        <w:t>constituyen</w:t>
      </w:r>
      <w:r w:rsidRPr="00C039F9">
        <w:rPr>
          <w:rFonts w:ascii="Times New Roman" w:hAnsi="Times New Roman" w:cs="Times New Roman"/>
          <w:sz w:val="28"/>
          <w:szCs w:val="28"/>
        </w:rPr>
        <w:t xml:space="preserve"> una variable fluctuante </w:t>
      </w:r>
      <w:r w:rsidRPr="00C039F9">
        <w:rPr>
          <w:rFonts w:ascii="Times New Roman" w:hAnsi="Times New Roman" w:cs="Times New Roman"/>
          <w:sz w:val="28"/>
          <w:szCs w:val="28"/>
        </w:rPr>
        <w:t xml:space="preserve">que </w:t>
      </w:r>
      <w:r w:rsidRPr="00C039F9">
        <w:rPr>
          <w:rFonts w:ascii="Times New Roman" w:hAnsi="Times New Roman" w:cs="Times New Roman"/>
          <w:sz w:val="28"/>
          <w:szCs w:val="28"/>
        </w:rPr>
        <w:t xml:space="preserve">cambian </w:t>
      </w:r>
      <w:r w:rsidRPr="00C039F9">
        <w:rPr>
          <w:rFonts w:ascii="Times New Roman" w:hAnsi="Times New Roman" w:cs="Times New Roman"/>
          <w:sz w:val="28"/>
          <w:szCs w:val="28"/>
        </w:rPr>
        <w:t>con el paso del tiempo y requieren actualizaciones continuas.</w:t>
      </w:r>
      <w:r w:rsidRPr="00C039F9">
        <w:rPr>
          <w:rFonts w:ascii="Times New Roman" w:hAnsi="Times New Roman" w:cs="Times New Roman"/>
          <w:sz w:val="28"/>
          <w:szCs w:val="28"/>
        </w:rPr>
        <w:t xml:space="preserve"> </w:t>
      </w:r>
      <w:r w:rsidRPr="00C039F9">
        <w:rPr>
          <w:rFonts w:ascii="Times New Roman" w:hAnsi="Times New Roman" w:cs="Times New Roman"/>
          <w:sz w:val="28"/>
          <w:szCs w:val="28"/>
        </w:rPr>
        <w:t xml:space="preserve">Lo cual significa que </w:t>
      </w:r>
      <w:r w:rsidRPr="00C039F9">
        <w:rPr>
          <w:rFonts w:ascii="Times New Roman" w:hAnsi="Times New Roman" w:cs="Times New Roman"/>
          <w:sz w:val="28"/>
          <w:szCs w:val="28"/>
        </w:rPr>
        <w:t>la facultad asignada al Ministerio del Interior, consistente en establecer una metodol</w:t>
      </w:r>
      <w:r w:rsidRPr="00C039F9">
        <w:rPr>
          <w:rFonts w:ascii="Times New Roman" w:hAnsi="Times New Roman" w:cs="Times New Roman"/>
          <w:sz w:val="28"/>
          <w:szCs w:val="28"/>
        </w:rPr>
        <w:t>ogía de c</w:t>
      </w:r>
      <w:r w:rsidRPr="00C039F9">
        <w:rPr>
          <w:rFonts w:ascii="Times New Roman" w:hAnsi="Times New Roman" w:cs="Times New Roman"/>
          <w:sz w:val="28"/>
          <w:szCs w:val="28"/>
        </w:rPr>
        <w:t>á</w:t>
      </w:r>
      <w:r w:rsidRPr="00C039F9">
        <w:rPr>
          <w:rFonts w:ascii="Times New Roman" w:hAnsi="Times New Roman" w:cs="Times New Roman"/>
          <w:sz w:val="28"/>
          <w:szCs w:val="28"/>
        </w:rPr>
        <w:t>lculo</w:t>
      </w:r>
      <w:r w:rsidRPr="00C039F9">
        <w:rPr>
          <w:rFonts w:ascii="Times New Roman" w:hAnsi="Times New Roman" w:cs="Times New Roman"/>
          <w:sz w:val="28"/>
          <w:szCs w:val="28"/>
        </w:rPr>
        <w:t xml:space="preserve"> para definir los costos,</w:t>
      </w:r>
      <w:r w:rsidRPr="00C039F9">
        <w:rPr>
          <w:rFonts w:ascii="Times New Roman" w:hAnsi="Times New Roman" w:cs="Times New Roman"/>
          <w:sz w:val="28"/>
          <w:szCs w:val="28"/>
        </w:rPr>
        <w:t xml:space="preserve"> no es sinónimo de </w:t>
      </w:r>
      <w:r w:rsidRPr="00C039F9">
        <w:rPr>
          <w:rFonts w:ascii="Times New Roman" w:hAnsi="Times New Roman" w:cs="Times New Roman"/>
          <w:sz w:val="28"/>
          <w:szCs w:val="28"/>
        </w:rPr>
        <w:t xml:space="preserve">que el legislador le haya </w:t>
      </w:r>
      <w:r w:rsidRPr="00C039F9">
        <w:rPr>
          <w:rFonts w:ascii="Times New Roman" w:hAnsi="Times New Roman" w:cs="Times New Roman"/>
          <w:sz w:val="28"/>
          <w:szCs w:val="28"/>
        </w:rPr>
        <w:t xml:space="preserve">asignado la potestad de </w:t>
      </w:r>
      <w:r w:rsidRPr="00C039F9">
        <w:rPr>
          <w:rFonts w:ascii="Times New Roman" w:hAnsi="Times New Roman" w:cs="Times New Roman"/>
          <w:sz w:val="28"/>
          <w:szCs w:val="28"/>
        </w:rPr>
        <w:t xml:space="preserve">establecer </w:t>
      </w:r>
      <w:r w:rsidRPr="00C039F9">
        <w:rPr>
          <w:rFonts w:ascii="Times New Roman" w:hAnsi="Times New Roman" w:cs="Times New Roman"/>
          <w:sz w:val="28"/>
          <w:szCs w:val="28"/>
        </w:rPr>
        <w:t xml:space="preserve">la base gravable.  </w:t>
      </w:r>
    </w:p>
    <w:p w:rsidR="00B42A22" w:rsidRPr="00C039F9" w:rsidRDefault="00C039F9" w:rsidP="00B42A22">
      <w:pPr>
        <w:rPr>
          <w:rFonts w:ascii="Times New Roman" w:hAnsi="Times New Roman" w:cs="Times New Roman"/>
          <w:sz w:val="28"/>
          <w:szCs w:val="28"/>
        </w:rPr>
      </w:pPr>
    </w:p>
    <w:p w:rsidR="00934F8C" w:rsidRPr="00C039F9" w:rsidRDefault="00C039F9" w:rsidP="00434754">
      <w:pPr>
        <w:pStyle w:val="Prrafodelista"/>
        <w:widowControl w:val="0"/>
        <w:numPr>
          <w:ilvl w:val="0"/>
          <w:numId w:val="2"/>
        </w:numPr>
        <w:suppressAutoHyphens/>
        <w:ind w:left="0" w:hanging="11"/>
        <w:rPr>
          <w:rFonts w:ascii="Times New Roman" w:hAnsi="Times New Roman" w:cs="Times New Roman"/>
          <w:sz w:val="28"/>
          <w:szCs w:val="28"/>
        </w:rPr>
      </w:pPr>
      <w:r w:rsidRPr="00C039F9">
        <w:rPr>
          <w:rFonts w:ascii="Times New Roman" w:hAnsi="Times New Roman" w:cs="Times New Roman"/>
          <w:sz w:val="28"/>
          <w:szCs w:val="28"/>
        </w:rPr>
        <w:t>L</w:t>
      </w:r>
      <w:r w:rsidRPr="00C039F9">
        <w:rPr>
          <w:rFonts w:ascii="Times New Roman" w:hAnsi="Times New Roman" w:cs="Times New Roman"/>
          <w:sz w:val="28"/>
          <w:szCs w:val="28"/>
        </w:rPr>
        <w:t xml:space="preserve">a forma en que </w:t>
      </w:r>
      <w:r w:rsidRPr="00C039F9">
        <w:rPr>
          <w:rFonts w:ascii="Times New Roman" w:hAnsi="Times New Roman" w:cs="Times New Roman"/>
          <w:sz w:val="28"/>
          <w:szCs w:val="28"/>
        </w:rPr>
        <w:t xml:space="preserve">la norma acusada consagra </w:t>
      </w:r>
      <w:r w:rsidRPr="00C039F9">
        <w:rPr>
          <w:rFonts w:ascii="Times New Roman" w:hAnsi="Times New Roman" w:cs="Times New Roman"/>
          <w:sz w:val="28"/>
          <w:szCs w:val="28"/>
        </w:rPr>
        <w:t>la base gravable es acorde con la jurisprudencia constitucional relaciona</w:t>
      </w:r>
      <w:r w:rsidRPr="00C039F9">
        <w:rPr>
          <w:rFonts w:ascii="Times New Roman" w:hAnsi="Times New Roman" w:cs="Times New Roman"/>
          <w:sz w:val="28"/>
          <w:szCs w:val="28"/>
        </w:rPr>
        <w:t>da con la interpretación del contenido y alcance del artículo 338 superior. Al respecto</w:t>
      </w:r>
      <w:r w:rsidRPr="00C039F9">
        <w:rPr>
          <w:rFonts w:ascii="Times New Roman" w:hAnsi="Times New Roman" w:cs="Times New Roman"/>
          <w:sz w:val="28"/>
          <w:szCs w:val="28"/>
        </w:rPr>
        <w:t xml:space="preserve"> esta Corporación ha sostenido que en escenarios excepcionales es válido que el legislador delegue la definición de aspectos específicos del tributo a autoridades gubern</w:t>
      </w:r>
      <w:r w:rsidRPr="00C039F9">
        <w:rPr>
          <w:rFonts w:ascii="Times New Roman" w:hAnsi="Times New Roman" w:cs="Times New Roman"/>
          <w:sz w:val="28"/>
          <w:szCs w:val="28"/>
        </w:rPr>
        <w:t>amentales. Lo anterior, «siempre que (i) se trate de aspectos que por su naturaleza técnica o condiciones particulares requieran de continua actualización que escapa a la naturaleza de la actividad legislativa, en tanto dichos elementos no pueden ser previ</w:t>
      </w:r>
      <w:r w:rsidRPr="00C039F9">
        <w:rPr>
          <w:rFonts w:ascii="Times New Roman" w:hAnsi="Times New Roman" w:cs="Times New Roman"/>
          <w:sz w:val="28"/>
          <w:szCs w:val="28"/>
        </w:rPr>
        <w:t>stos de antemano y de manera precisa por la ley; y (ii) en todo caso existe un parámetro que defina el marco de acción de la actividad de la administración, bien sea definido de forma objetiva y verificable</w:t>
      </w:r>
      <w:r w:rsidRPr="00C039F9">
        <w:rPr>
          <w:rFonts w:ascii="Times New Roman" w:hAnsi="Times New Roman" w:cs="Times New Roman"/>
          <w:sz w:val="28"/>
          <w:szCs w:val="28"/>
        </w:rPr>
        <w:t>»</w:t>
      </w:r>
      <w:r w:rsidRPr="00C039F9">
        <w:rPr>
          <w:rStyle w:val="Refdenotaalpie"/>
          <w:rFonts w:ascii="Times New Roman" w:hAnsi="Times New Roman" w:cs="Times New Roman"/>
          <w:sz w:val="28"/>
          <w:szCs w:val="28"/>
        </w:rPr>
        <w:footnoteReference w:id="38"/>
      </w:r>
      <w:r w:rsidRPr="00C039F9">
        <w:rPr>
          <w:rFonts w:ascii="Times New Roman" w:hAnsi="Times New Roman" w:cs="Times New Roman"/>
          <w:sz w:val="28"/>
          <w:szCs w:val="28"/>
        </w:rPr>
        <w:t xml:space="preserve">. </w:t>
      </w:r>
    </w:p>
    <w:p w:rsidR="00934F8C" w:rsidRPr="00C039F9" w:rsidRDefault="00C039F9" w:rsidP="00934F8C">
      <w:pPr>
        <w:pStyle w:val="Prrafodelista"/>
        <w:rPr>
          <w:rFonts w:ascii="Times New Roman" w:hAnsi="Times New Roman" w:cs="Times New Roman"/>
          <w:sz w:val="28"/>
          <w:szCs w:val="28"/>
        </w:rPr>
      </w:pPr>
    </w:p>
    <w:p w:rsidR="00934F8C" w:rsidRPr="00C039F9" w:rsidRDefault="00C039F9" w:rsidP="00934F8C">
      <w:pPr>
        <w:pStyle w:val="Prrafodelista"/>
        <w:widowControl w:val="0"/>
        <w:numPr>
          <w:ilvl w:val="0"/>
          <w:numId w:val="2"/>
        </w:numPr>
        <w:suppressAutoHyphens/>
        <w:ind w:left="0" w:hanging="11"/>
        <w:rPr>
          <w:rFonts w:ascii="Times New Roman" w:hAnsi="Times New Roman" w:cs="Times New Roman"/>
          <w:sz w:val="28"/>
          <w:szCs w:val="28"/>
        </w:rPr>
      </w:pPr>
      <w:r w:rsidRPr="00C039F9">
        <w:rPr>
          <w:rFonts w:ascii="Times New Roman" w:hAnsi="Times New Roman" w:cs="Times New Roman"/>
          <w:sz w:val="28"/>
          <w:szCs w:val="28"/>
        </w:rPr>
        <w:t xml:space="preserve">También </w:t>
      </w:r>
      <w:r w:rsidRPr="00C039F9">
        <w:rPr>
          <w:rFonts w:ascii="Times New Roman" w:hAnsi="Times New Roman" w:cs="Times New Roman"/>
          <w:sz w:val="28"/>
          <w:szCs w:val="28"/>
        </w:rPr>
        <w:t>ha precisa</w:t>
      </w:r>
      <w:r w:rsidRPr="00C039F9">
        <w:rPr>
          <w:rFonts w:ascii="Times New Roman" w:hAnsi="Times New Roman" w:cs="Times New Roman"/>
          <w:sz w:val="28"/>
          <w:szCs w:val="28"/>
        </w:rPr>
        <w:t xml:space="preserve">do </w:t>
      </w:r>
      <w:r w:rsidRPr="00C039F9">
        <w:rPr>
          <w:rFonts w:ascii="Times New Roman" w:hAnsi="Times New Roman" w:cs="Times New Roman"/>
          <w:sz w:val="28"/>
          <w:szCs w:val="28"/>
        </w:rPr>
        <w:t>que, salvo por lo</w:t>
      </w:r>
      <w:r w:rsidRPr="00C039F9">
        <w:rPr>
          <w:rFonts w:ascii="Times New Roman" w:hAnsi="Times New Roman" w:cs="Times New Roman"/>
          <w:sz w:val="28"/>
          <w:szCs w:val="28"/>
        </w:rPr>
        <w:t xml:space="preserve">s </w:t>
      </w:r>
      <w:r w:rsidRPr="00C039F9">
        <w:rPr>
          <w:rFonts w:ascii="Times New Roman" w:hAnsi="Times New Roman" w:cs="Times New Roman"/>
          <w:sz w:val="28"/>
          <w:szCs w:val="28"/>
        </w:rPr>
        <w:t>eventos mencionados</w:t>
      </w:r>
      <w:r w:rsidRPr="00C039F9">
        <w:rPr>
          <w:rFonts w:ascii="Times New Roman" w:hAnsi="Times New Roman" w:cs="Times New Roman"/>
          <w:sz w:val="28"/>
          <w:szCs w:val="28"/>
        </w:rPr>
        <w:t xml:space="preserve">, en ningún </w:t>
      </w:r>
      <w:r w:rsidRPr="00C039F9">
        <w:rPr>
          <w:rFonts w:ascii="Times New Roman" w:hAnsi="Times New Roman" w:cs="Times New Roman"/>
          <w:sz w:val="28"/>
          <w:szCs w:val="28"/>
        </w:rPr>
        <w:t xml:space="preserve">otro </w:t>
      </w:r>
      <w:r w:rsidRPr="00C039F9">
        <w:rPr>
          <w:rFonts w:ascii="Times New Roman" w:hAnsi="Times New Roman" w:cs="Times New Roman"/>
          <w:sz w:val="28"/>
          <w:szCs w:val="28"/>
        </w:rPr>
        <w:t>caso «puede darse tal delegación sobre los elementos esenciales del tributo, o del método y el sistema de las tasas y contribuciones, el cual recae en la órbita exclusiva de los cuerpos de representación popular, y en pa</w:t>
      </w:r>
      <w:r w:rsidRPr="00C039F9">
        <w:rPr>
          <w:rFonts w:ascii="Times New Roman" w:hAnsi="Times New Roman" w:cs="Times New Roman"/>
          <w:sz w:val="28"/>
          <w:szCs w:val="28"/>
        </w:rPr>
        <w:t>rticular, del Legislador»</w:t>
      </w:r>
      <w:r w:rsidRPr="00C039F9">
        <w:rPr>
          <w:rStyle w:val="Refdenotaalpie"/>
          <w:rFonts w:ascii="Times New Roman" w:hAnsi="Times New Roman" w:cs="Times New Roman"/>
          <w:sz w:val="28"/>
          <w:szCs w:val="28"/>
        </w:rPr>
        <w:footnoteReference w:id="39"/>
      </w:r>
      <w:r w:rsidRPr="00C039F9">
        <w:rPr>
          <w:rFonts w:ascii="Times New Roman" w:hAnsi="Times New Roman" w:cs="Times New Roman"/>
          <w:sz w:val="28"/>
          <w:szCs w:val="28"/>
        </w:rPr>
        <w:t>.</w:t>
      </w:r>
    </w:p>
    <w:p w:rsidR="00434754" w:rsidRPr="00C039F9" w:rsidRDefault="00C039F9" w:rsidP="00434754">
      <w:pPr>
        <w:pStyle w:val="Prrafodelista"/>
        <w:rPr>
          <w:rFonts w:ascii="Times New Roman" w:hAnsi="Times New Roman" w:cs="Times New Roman"/>
          <w:sz w:val="28"/>
          <w:szCs w:val="28"/>
        </w:rPr>
      </w:pPr>
    </w:p>
    <w:p w:rsidR="00434754" w:rsidRPr="00C039F9" w:rsidRDefault="00C039F9" w:rsidP="00434754">
      <w:pPr>
        <w:pStyle w:val="Prrafodelista"/>
        <w:widowControl w:val="0"/>
        <w:numPr>
          <w:ilvl w:val="0"/>
          <w:numId w:val="2"/>
        </w:numPr>
        <w:suppressAutoHyphens/>
        <w:ind w:left="0" w:hanging="11"/>
        <w:rPr>
          <w:rFonts w:ascii="Times New Roman" w:hAnsi="Times New Roman" w:cs="Times New Roman"/>
          <w:sz w:val="28"/>
          <w:szCs w:val="28"/>
        </w:rPr>
      </w:pPr>
      <w:r w:rsidRPr="00C039F9">
        <w:rPr>
          <w:rFonts w:ascii="Times New Roman" w:hAnsi="Times New Roman" w:cs="Times New Roman"/>
          <w:sz w:val="28"/>
          <w:szCs w:val="28"/>
        </w:rPr>
        <w:t xml:space="preserve">Así, la Sala reitera, en el presente caso el legislador definió de forma expresa que la base gravable «será el costo de los servicios» que corresponden a cada hecho generador del tributo y delegó al Gobierno nacional el diseño </w:t>
      </w:r>
      <w:r w:rsidRPr="00C039F9">
        <w:rPr>
          <w:rFonts w:ascii="Times New Roman" w:hAnsi="Times New Roman" w:cs="Times New Roman"/>
          <w:sz w:val="28"/>
          <w:szCs w:val="28"/>
        </w:rPr>
        <w:t>de la metodología de cálculo, lo cual es, por definición, un asunto técnico. Asimismo, definió parámetros generales que enmarcan la facultad reglamentaria del ejecutivo. Esto es así porque (i) señaló cuáles son los servicios cuyo costo debe calcular al ide</w:t>
      </w:r>
      <w:r w:rsidRPr="00C039F9">
        <w:rPr>
          <w:rFonts w:ascii="Times New Roman" w:hAnsi="Times New Roman" w:cs="Times New Roman"/>
          <w:sz w:val="28"/>
          <w:szCs w:val="28"/>
        </w:rPr>
        <w:t>ntificar los hechos generadores y (ii) cuáles son los criterios que se deben emplear para calcularlo (numeral 1 del parágrafo 1).</w:t>
      </w:r>
    </w:p>
    <w:p w:rsidR="000A0D98" w:rsidRPr="00C039F9" w:rsidRDefault="00C039F9" w:rsidP="000A0D98">
      <w:pPr>
        <w:pStyle w:val="Prrafodelista"/>
        <w:rPr>
          <w:rFonts w:ascii="Times New Roman" w:hAnsi="Times New Roman" w:cs="Times New Roman"/>
          <w:sz w:val="28"/>
          <w:szCs w:val="28"/>
        </w:rPr>
      </w:pPr>
    </w:p>
    <w:p w:rsidR="000A0D98" w:rsidRPr="00C039F9" w:rsidRDefault="00C039F9" w:rsidP="00934F8C">
      <w:pPr>
        <w:pStyle w:val="Prrafodelista"/>
        <w:widowControl w:val="0"/>
        <w:numPr>
          <w:ilvl w:val="0"/>
          <w:numId w:val="2"/>
        </w:numPr>
        <w:suppressAutoHyphens/>
        <w:ind w:left="0" w:hanging="11"/>
        <w:rPr>
          <w:rFonts w:ascii="Times New Roman" w:hAnsi="Times New Roman" w:cs="Times New Roman"/>
          <w:sz w:val="28"/>
          <w:szCs w:val="28"/>
        </w:rPr>
      </w:pPr>
      <w:r w:rsidRPr="00C039F9">
        <w:rPr>
          <w:rFonts w:ascii="Times New Roman" w:hAnsi="Times New Roman" w:cs="Times New Roman"/>
          <w:sz w:val="28"/>
          <w:szCs w:val="28"/>
        </w:rPr>
        <w:t xml:space="preserve">En </w:t>
      </w:r>
      <w:r w:rsidRPr="00C039F9">
        <w:rPr>
          <w:rFonts w:ascii="Times New Roman" w:hAnsi="Times New Roman" w:cs="Times New Roman"/>
          <w:sz w:val="28"/>
          <w:szCs w:val="28"/>
        </w:rPr>
        <w:t>conclusión</w:t>
      </w:r>
      <w:r w:rsidRPr="00C039F9">
        <w:rPr>
          <w:rFonts w:ascii="Times New Roman" w:hAnsi="Times New Roman" w:cs="Times New Roman"/>
          <w:sz w:val="28"/>
          <w:szCs w:val="28"/>
        </w:rPr>
        <w:t xml:space="preserve">, la </w:t>
      </w:r>
      <w:r w:rsidRPr="00C039F9">
        <w:rPr>
          <w:rFonts w:ascii="Times New Roman" w:hAnsi="Times New Roman" w:cs="Times New Roman"/>
          <w:sz w:val="28"/>
          <w:szCs w:val="28"/>
        </w:rPr>
        <w:t xml:space="preserve">delegación </w:t>
      </w:r>
      <w:r w:rsidRPr="00C039F9">
        <w:rPr>
          <w:rFonts w:ascii="Times New Roman" w:hAnsi="Times New Roman" w:cs="Times New Roman"/>
          <w:sz w:val="28"/>
          <w:szCs w:val="28"/>
        </w:rPr>
        <w:t xml:space="preserve">que el inciso </w:t>
      </w:r>
      <w:r w:rsidRPr="00C039F9">
        <w:rPr>
          <w:rFonts w:ascii="Times New Roman" w:hAnsi="Times New Roman" w:cs="Times New Roman"/>
          <w:sz w:val="28"/>
          <w:szCs w:val="28"/>
        </w:rPr>
        <w:t xml:space="preserve">4º </w:t>
      </w:r>
      <w:r w:rsidRPr="00C039F9">
        <w:rPr>
          <w:rFonts w:ascii="Times New Roman" w:hAnsi="Times New Roman" w:cs="Times New Roman"/>
          <w:sz w:val="28"/>
          <w:szCs w:val="28"/>
        </w:rPr>
        <w:t xml:space="preserve">de la parte principal de la norma acusada otorga al Ministerio del Interior, para definir una metodología de cálculo de los costos de los servicios prestados por la DNDA, </w:t>
      </w:r>
      <w:r w:rsidRPr="00C039F9">
        <w:rPr>
          <w:rFonts w:ascii="Times New Roman" w:hAnsi="Times New Roman" w:cs="Times New Roman"/>
          <w:sz w:val="28"/>
          <w:szCs w:val="28"/>
        </w:rPr>
        <w:t xml:space="preserve">respeta los principios de certeza y legalidad tributarias y </w:t>
      </w:r>
      <w:r w:rsidRPr="00C039F9">
        <w:rPr>
          <w:rFonts w:ascii="Times New Roman" w:hAnsi="Times New Roman" w:cs="Times New Roman"/>
          <w:sz w:val="28"/>
          <w:szCs w:val="28"/>
        </w:rPr>
        <w:t xml:space="preserve">no contraviene </w:t>
      </w:r>
      <w:r w:rsidRPr="00C039F9">
        <w:rPr>
          <w:rFonts w:ascii="Times New Roman" w:hAnsi="Times New Roman" w:cs="Times New Roman"/>
          <w:sz w:val="28"/>
          <w:szCs w:val="28"/>
        </w:rPr>
        <w:t>el artícul</w:t>
      </w:r>
      <w:r w:rsidRPr="00C039F9">
        <w:rPr>
          <w:rFonts w:ascii="Times New Roman" w:hAnsi="Times New Roman" w:cs="Times New Roman"/>
          <w:sz w:val="28"/>
          <w:szCs w:val="28"/>
        </w:rPr>
        <w:t>o 338 superior</w:t>
      </w:r>
      <w:r w:rsidRPr="00C039F9">
        <w:rPr>
          <w:rFonts w:ascii="Times New Roman" w:hAnsi="Times New Roman" w:cs="Times New Roman"/>
          <w:sz w:val="28"/>
          <w:szCs w:val="28"/>
        </w:rPr>
        <w:t>. Por ello,</w:t>
      </w:r>
      <w:r w:rsidRPr="00C039F9">
        <w:rPr>
          <w:rFonts w:ascii="Times New Roman" w:hAnsi="Times New Roman" w:cs="Times New Roman"/>
          <w:sz w:val="28"/>
          <w:szCs w:val="28"/>
        </w:rPr>
        <w:t xml:space="preserve"> </w:t>
      </w:r>
      <w:r w:rsidRPr="00C039F9">
        <w:rPr>
          <w:rFonts w:ascii="Times New Roman" w:hAnsi="Times New Roman" w:cs="Times New Roman"/>
          <w:sz w:val="28"/>
          <w:szCs w:val="28"/>
        </w:rPr>
        <w:t xml:space="preserve">la Sala declarará </w:t>
      </w:r>
      <w:r w:rsidRPr="00C039F9">
        <w:rPr>
          <w:rFonts w:ascii="Times New Roman" w:hAnsi="Times New Roman" w:cs="Times New Roman"/>
          <w:sz w:val="28"/>
          <w:szCs w:val="28"/>
        </w:rPr>
        <w:t xml:space="preserve">su </w:t>
      </w:r>
      <w:r w:rsidRPr="00C039F9">
        <w:rPr>
          <w:rFonts w:ascii="Times New Roman" w:hAnsi="Times New Roman" w:cs="Times New Roman"/>
          <w:sz w:val="28"/>
          <w:szCs w:val="28"/>
        </w:rPr>
        <w:t>exequib</w:t>
      </w:r>
      <w:r w:rsidRPr="00C039F9">
        <w:rPr>
          <w:rFonts w:ascii="Times New Roman" w:hAnsi="Times New Roman" w:cs="Times New Roman"/>
          <w:sz w:val="28"/>
          <w:szCs w:val="28"/>
        </w:rPr>
        <w:t>ilidad</w:t>
      </w:r>
      <w:r w:rsidRPr="00C039F9">
        <w:rPr>
          <w:rFonts w:ascii="Times New Roman" w:hAnsi="Times New Roman" w:cs="Times New Roman"/>
          <w:sz w:val="28"/>
          <w:szCs w:val="28"/>
        </w:rPr>
        <w:t>.</w:t>
      </w:r>
    </w:p>
    <w:p w:rsidR="00C24778" w:rsidRPr="00C039F9" w:rsidRDefault="00C039F9" w:rsidP="00FB5479">
      <w:pPr>
        <w:pStyle w:val="NormalWeb"/>
        <w:spacing w:before="0" w:beforeAutospacing="0" w:after="0" w:afterAutospacing="0"/>
        <w:ind w:right="-1"/>
        <w:contextualSpacing/>
        <w:jc w:val="both"/>
        <w:rPr>
          <w:rFonts w:ascii="Times New Roman" w:hAnsi="Times New Roman" w:cs="Times New Roman"/>
          <w:sz w:val="28"/>
          <w:szCs w:val="28"/>
        </w:rPr>
      </w:pPr>
    </w:p>
    <w:p w:rsidR="00C24778" w:rsidRPr="00C039F9" w:rsidRDefault="00C039F9" w:rsidP="00FB5479">
      <w:pPr>
        <w:pStyle w:val="NormalWeb"/>
        <w:spacing w:before="0" w:beforeAutospacing="0" w:after="0" w:afterAutospacing="0"/>
        <w:ind w:right="-1"/>
        <w:contextualSpacing/>
        <w:jc w:val="both"/>
        <w:rPr>
          <w:rFonts w:ascii="Times New Roman" w:hAnsi="Times New Roman" w:cs="Times New Roman"/>
          <w:sz w:val="28"/>
          <w:szCs w:val="28"/>
        </w:rPr>
      </w:pPr>
      <w:r w:rsidRPr="00C039F9">
        <w:rPr>
          <w:rFonts w:ascii="Times New Roman" w:hAnsi="Times New Roman" w:cs="Times New Roman"/>
          <w:b/>
          <w:bCs/>
          <w:sz w:val="28"/>
          <w:szCs w:val="28"/>
        </w:rPr>
        <w:t xml:space="preserve">Sobre la </w:t>
      </w:r>
      <w:r w:rsidRPr="00C039F9">
        <w:rPr>
          <w:rFonts w:ascii="Times New Roman" w:hAnsi="Times New Roman" w:cs="Times New Roman"/>
          <w:b/>
          <w:bCs/>
          <w:sz w:val="28"/>
          <w:szCs w:val="28"/>
        </w:rPr>
        <w:t>interpretación</w:t>
      </w:r>
      <w:r w:rsidRPr="00C039F9">
        <w:rPr>
          <w:rFonts w:ascii="Times New Roman" w:hAnsi="Times New Roman" w:cs="Times New Roman"/>
          <w:b/>
          <w:bCs/>
          <w:sz w:val="28"/>
          <w:szCs w:val="28"/>
        </w:rPr>
        <w:t xml:space="preserve"> del parágrafo 2º de</w:t>
      </w:r>
      <w:r w:rsidRPr="00C039F9">
        <w:rPr>
          <w:rFonts w:ascii="Times New Roman" w:hAnsi="Times New Roman" w:cs="Times New Roman"/>
          <w:b/>
          <w:bCs/>
          <w:sz w:val="28"/>
          <w:szCs w:val="28"/>
        </w:rPr>
        <w:t xml:space="preserve"> la norma demandada</w:t>
      </w:r>
    </w:p>
    <w:p w:rsidR="000A0D98" w:rsidRPr="00C039F9" w:rsidRDefault="00C039F9" w:rsidP="00FB5479">
      <w:pPr>
        <w:pStyle w:val="NormalWeb"/>
        <w:spacing w:before="0" w:beforeAutospacing="0" w:after="0" w:afterAutospacing="0"/>
        <w:ind w:right="-1"/>
        <w:contextualSpacing/>
        <w:jc w:val="both"/>
        <w:rPr>
          <w:rFonts w:ascii="Times New Roman" w:hAnsi="Times New Roman" w:cs="Times New Roman"/>
          <w:sz w:val="28"/>
          <w:szCs w:val="28"/>
        </w:rPr>
      </w:pPr>
    </w:p>
    <w:p w:rsidR="009F03CF" w:rsidRPr="00C039F9" w:rsidRDefault="00C039F9" w:rsidP="009F03CF">
      <w:pPr>
        <w:pStyle w:val="Prrafodelista"/>
        <w:widowControl w:val="0"/>
        <w:numPr>
          <w:ilvl w:val="0"/>
          <w:numId w:val="2"/>
        </w:numPr>
        <w:suppressAutoHyphens/>
        <w:ind w:left="0" w:hanging="11"/>
        <w:rPr>
          <w:rFonts w:ascii="Times New Roman" w:hAnsi="Times New Roman" w:cs="Times New Roman"/>
          <w:sz w:val="28"/>
          <w:szCs w:val="28"/>
        </w:rPr>
      </w:pPr>
      <w:r w:rsidRPr="00C039F9">
        <w:rPr>
          <w:rFonts w:ascii="Times New Roman" w:hAnsi="Times New Roman" w:cs="Times New Roman"/>
          <w:sz w:val="28"/>
          <w:szCs w:val="28"/>
        </w:rPr>
        <w:t xml:space="preserve">Ahora bien, </w:t>
      </w:r>
      <w:r w:rsidRPr="00C039F9">
        <w:rPr>
          <w:rFonts w:ascii="Times New Roman" w:hAnsi="Times New Roman" w:cs="Times New Roman"/>
          <w:sz w:val="28"/>
          <w:szCs w:val="28"/>
        </w:rPr>
        <w:t xml:space="preserve">comoquiera que el demandante acusó de inconstitucional la totalidad del artículo 169 de la Ley 2294 de 2023, </w:t>
      </w:r>
      <w:r w:rsidRPr="00C039F9">
        <w:rPr>
          <w:rFonts w:ascii="Times New Roman" w:hAnsi="Times New Roman" w:cs="Times New Roman"/>
          <w:sz w:val="28"/>
          <w:szCs w:val="28"/>
        </w:rPr>
        <w:t xml:space="preserve">la Sala </w:t>
      </w:r>
      <w:r w:rsidRPr="00C039F9">
        <w:rPr>
          <w:rFonts w:ascii="Times New Roman" w:hAnsi="Times New Roman" w:cs="Times New Roman"/>
          <w:sz w:val="28"/>
          <w:szCs w:val="28"/>
        </w:rPr>
        <w:t xml:space="preserve">advierte que </w:t>
      </w:r>
      <w:r w:rsidRPr="00C039F9">
        <w:rPr>
          <w:rFonts w:ascii="Times New Roman" w:hAnsi="Times New Roman" w:cs="Times New Roman"/>
          <w:sz w:val="28"/>
          <w:szCs w:val="28"/>
        </w:rPr>
        <w:t xml:space="preserve">el </w:t>
      </w:r>
      <w:r w:rsidRPr="00C039F9">
        <w:rPr>
          <w:rFonts w:ascii="Times New Roman" w:hAnsi="Times New Roman" w:cs="Times New Roman"/>
          <w:sz w:val="28"/>
          <w:szCs w:val="28"/>
        </w:rPr>
        <w:t xml:space="preserve">parágrafo 2º </w:t>
      </w:r>
      <w:r w:rsidRPr="00C039F9">
        <w:rPr>
          <w:rFonts w:ascii="Times New Roman" w:hAnsi="Times New Roman" w:cs="Times New Roman"/>
          <w:sz w:val="28"/>
          <w:szCs w:val="28"/>
        </w:rPr>
        <w:t>de la norma demandad</w:t>
      </w:r>
      <w:r w:rsidRPr="00C039F9">
        <w:rPr>
          <w:rFonts w:ascii="Times New Roman" w:hAnsi="Times New Roman" w:cs="Times New Roman"/>
          <w:sz w:val="28"/>
          <w:szCs w:val="28"/>
        </w:rPr>
        <w:t>a</w:t>
      </w:r>
      <w:r w:rsidRPr="00C039F9">
        <w:rPr>
          <w:rFonts w:ascii="Times New Roman" w:hAnsi="Times New Roman" w:cs="Times New Roman"/>
          <w:sz w:val="28"/>
          <w:szCs w:val="28"/>
        </w:rPr>
        <w:t xml:space="preserve"> </w:t>
      </w:r>
      <w:r w:rsidRPr="00C039F9">
        <w:rPr>
          <w:rFonts w:ascii="Times New Roman" w:hAnsi="Times New Roman" w:cs="Times New Roman"/>
          <w:sz w:val="28"/>
          <w:szCs w:val="28"/>
        </w:rPr>
        <w:t xml:space="preserve">puede generar </w:t>
      </w:r>
      <w:r w:rsidRPr="00C039F9">
        <w:rPr>
          <w:rFonts w:ascii="Times New Roman" w:hAnsi="Times New Roman" w:cs="Times New Roman"/>
          <w:sz w:val="28"/>
          <w:szCs w:val="28"/>
        </w:rPr>
        <w:t xml:space="preserve">un </w:t>
      </w:r>
      <w:r w:rsidRPr="00C039F9">
        <w:rPr>
          <w:rFonts w:ascii="Times New Roman" w:hAnsi="Times New Roman" w:cs="Times New Roman"/>
          <w:sz w:val="28"/>
          <w:szCs w:val="28"/>
        </w:rPr>
        <w:t xml:space="preserve">problema de constitucionalidad </w:t>
      </w:r>
      <w:r w:rsidRPr="00C039F9">
        <w:rPr>
          <w:rFonts w:ascii="Times New Roman" w:hAnsi="Times New Roman" w:cs="Times New Roman"/>
          <w:sz w:val="28"/>
          <w:szCs w:val="28"/>
        </w:rPr>
        <w:t xml:space="preserve">similar al </w:t>
      </w:r>
      <w:r w:rsidRPr="00C039F9">
        <w:rPr>
          <w:rFonts w:ascii="Times New Roman" w:hAnsi="Times New Roman" w:cs="Times New Roman"/>
          <w:sz w:val="28"/>
          <w:szCs w:val="28"/>
        </w:rPr>
        <w:t xml:space="preserve">que </w:t>
      </w:r>
      <w:r w:rsidRPr="00C039F9">
        <w:rPr>
          <w:rFonts w:ascii="Times New Roman" w:hAnsi="Times New Roman" w:cs="Times New Roman"/>
          <w:sz w:val="28"/>
          <w:szCs w:val="28"/>
        </w:rPr>
        <w:t>é</w:t>
      </w:r>
      <w:r w:rsidRPr="00C039F9">
        <w:rPr>
          <w:rFonts w:ascii="Times New Roman" w:hAnsi="Times New Roman" w:cs="Times New Roman"/>
          <w:sz w:val="28"/>
          <w:szCs w:val="28"/>
        </w:rPr>
        <w:t xml:space="preserve">l atribuye </w:t>
      </w:r>
      <w:r w:rsidRPr="00C039F9">
        <w:rPr>
          <w:rFonts w:ascii="Times New Roman" w:hAnsi="Times New Roman" w:cs="Times New Roman"/>
          <w:sz w:val="28"/>
          <w:szCs w:val="28"/>
        </w:rPr>
        <w:t>a</w:t>
      </w:r>
      <w:r w:rsidRPr="00C039F9">
        <w:rPr>
          <w:rFonts w:ascii="Times New Roman" w:hAnsi="Times New Roman" w:cs="Times New Roman"/>
          <w:sz w:val="28"/>
          <w:szCs w:val="28"/>
        </w:rPr>
        <w:t xml:space="preserve">l inciso </w:t>
      </w:r>
      <w:r w:rsidRPr="00C039F9">
        <w:rPr>
          <w:rFonts w:ascii="Times New Roman" w:hAnsi="Times New Roman" w:cs="Times New Roman"/>
          <w:sz w:val="28"/>
          <w:szCs w:val="28"/>
        </w:rPr>
        <w:t xml:space="preserve">4º </w:t>
      </w:r>
      <w:r w:rsidRPr="00C039F9">
        <w:rPr>
          <w:rFonts w:ascii="Times New Roman" w:hAnsi="Times New Roman" w:cs="Times New Roman"/>
          <w:sz w:val="28"/>
          <w:szCs w:val="28"/>
        </w:rPr>
        <w:t>de la parte principal</w:t>
      </w:r>
      <w:r w:rsidRPr="00C039F9">
        <w:rPr>
          <w:rFonts w:ascii="Times New Roman" w:hAnsi="Times New Roman" w:cs="Times New Roman"/>
          <w:sz w:val="28"/>
          <w:szCs w:val="28"/>
        </w:rPr>
        <w:t>,</w:t>
      </w:r>
      <w:r w:rsidRPr="00C039F9">
        <w:rPr>
          <w:rFonts w:ascii="Times New Roman" w:hAnsi="Times New Roman" w:cs="Times New Roman"/>
          <w:sz w:val="28"/>
          <w:szCs w:val="28"/>
        </w:rPr>
        <w:t xml:space="preserve"> </w:t>
      </w:r>
      <w:r w:rsidRPr="00C039F9">
        <w:rPr>
          <w:rFonts w:ascii="Times New Roman" w:hAnsi="Times New Roman" w:cs="Times New Roman"/>
          <w:sz w:val="28"/>
          <w:szCs w:val="28"/>
        </w:rPr>
        <w:t xml:space="preserve">ya analizado. Por tanto, </w:t>
      </w:r>
      <w:r w:rsidRPr="00C039F9">
        <w:rPr>
          <w:rFonts w:ascii="Times New Roman" w:hAnsi="Times New Roman" w:cs="Times New Roman"/>
          <w:sz w:val="28"/>
          <w:szCs w:val="28"/>
        </w:rPr>
        <w:t xml:space="preserve">es preciso establecer el sentido en </w:t>
      </w:r>
      <w:r w:rsidRPr="00C039F9">
        <w:rPr>
          <w:rFonts w:ascii="Times New Roman" w:hAnsi="Times New Roman" w:cs="Times New Roman"/>
          <w:sz w:val="28"/>
          <w:szCs w:val="28"/>
        </w:rPr>
        <w:t xml:space="preserve">que </w:t>
      </w:r>
      <w:r w:rsidRPr="00C039F9">
        <w:rPr>
          <w:rFonts w:ascii="Times New Roman" w:hAnsi="Times New Roman" w:cs="Times New Roman"/>
          <w:sz w:val="28"/>
          <w:szCs w:val="28"/>
        </w:rPr>
        <w:t xml:space="preserve">debe interpretarse ese parágrafo </w:t>
      </w:r>
      <w:r w:rsidRPr="00C039F9">
        <w:rPr>
          <w:rFonts w:ascii="Times New Roman" w:hAnsi="Times New Roman" w:cs="Times New Roman"/>
          <w:sz w:val="28"/>
          <w:szCs w:val="28"/>
        </w:rPr>
        <w:t>porque su contenido puede incidir en la determinación de la base gravable.</w:t>
      </w:r>
    </w:p>
    <w:p w:rsidR="00EF7B0B" w:rsidRPr="00C039F9" w:rsidRDefault="00C039F9" w:rsidP="00EF7B0B">
      <w:pPr>
        <w:pStyle w:val="Prrafodelista"/>
        <w:widowControl w:val="0"/>
        <w:suppressAutoHyphens/>
        <w:ind w:left="0"/>
        <w:rPr>
          <w:rFonts w:ascii="Times New Roman" w:hAnsi="Times New Roman" w:cs="Times New Roman"/>
          <w:sz w:val="28"/>
          <w:szCs w:val="28"/>
        </w:rPr>
      </w:pPr>
    </w:p>
    <w:p w:rsidR="00EF7B0B" w:rsidRPr="00C039F9" w:rsidRDefault="00C039F9" w:rsidP="00EF7B0B">
      <w:pPr>
        <w:pStyle w:val="Prrafodelista"/>
        <w:widowControl w:val="0"/>
        <w:numPr>
          <w:ilvl w:val="0"/>
          <w:numId w:val="2"/>
        </w:numPr>
        <w:suppressAutoHyphens/>
        <w:ind w:left="0" w:hanging="11"/>
        <w:rPr>
          <w:rFonts w:ascii="Times New Roman" w:hAnsi="Times New Roman" w:cs="Times New Roman"/>
          <w:sz w:val="28"/>
          <w:szCs w:val="28"/>
        </w:rPr>
      </w:pPr>
      <w:r w:rsidRPr="00C039F9">
        <w:rPr>
          <w:rFonts w:ascii="Times New Roman" w:hAnsi="Times New Roman" w:cs="Times New Roman"/>
          <w:sz w:val="28"/>
          <w:szCs w:val="28"/>
        </w:rPr>
        <w:t>El parágrafo 2º de la norma demandada dispone: «El Gobierno Nacional podrá revisar periódicamente los criterios para la determinación de las tarifa</w:t>
      </w:r>
      <w:r w:rsidRPr="00C039F9">
        <w:rPr>
          <w:rFonts w:ascii="Times New Roman" w:hAnsi="Times New Roman" w:cs="Times New Roman"/>
          <w:sz w:val="28"/>
          <w:szCs w:val="28"/>
        </w:rPr>
        <w:t>s considerando mejoras en eficiencia que puedan resultar en menores costos en la prestación de los servicios a cargo de la Dirección Nacional de Derecho de Autor».</w:t>
      </w:r>
    </w:p>
    <w:p w:rsidR="009F03CF" w:rsidRPr="00C039F9" w:rsidRDefault="00C039F9" w:rsidP="009F03CF">
      <w:pPr>
        <w:pStyle w:val="Prrafodelista"/>
        <w:widowControl w:val="0"/>
        <w:suppressAutoHyphens/>
        <w:ind w:left="0"/>
        <w:rPr>
          <w:rFonts w:ascii="Times New Roman" w:hAnsi="Times New Roman" w:cs="Times New Roman"/>
          <w:sz w:val="28"/>
          <w:szCs w:val="28"/>
        </w:rPr>
      </w:pPr>
    </w:p>
    <w:p w:rsidR="009F03CF" w:rsidRPr="00C039F9" w:rsidRDefault="00C039F9" w:rsidP="00EF7B0B">
      <w:pPr>
        <w:pStyle w:val="Prrafodelista"/>
        <w:widowControl w:val="0"/>
        <w:numPr>
          <w:ilvl w:val="0"/>
          <w:numId w:val="2"/>
        </w:numPr>
        <w:suppressAutoHyphens/>
        <w:ind w:left="0" w:hanging="11"/>
        <w:rPr>
          <w:rFonts w:ascii="Times New Roman" w:hAnsi="Times New Roman" w:cs="Times New Roman"/>
          <w:sz w:val="28"/>
          <w:szCs w:val="28"/>
        </w:rPr>
      </w:pPr>
      <w:r w:rsidRPr="00C039F9">
        <w:rPr>
          <w:rFonts w:ascii="Times New Roman" w:hAnsi="Times New Roman" w:cs="Times New Roman"/>
          <w:sz w:val="28"/>
          <w:szCs w:val="28"/>
        </w:rPr>
        <w:t>P</w:t>
      </w:r>
      <w:r w:rsidRPr="00C039F9">
        <w:rPr>
          <w:rFonts w:ascii="Times New Roman" w:hAnsi="Times New Roman" w:cs="Times New Roman"/>
          <w:sz w:val="28"/>
          <w:szCs w:val="28"/>
        </w:rPr>
        <w:t>ese a que el parágrafo 2º parece referirse únicamente a los criterios para determinar la t</w:t>
      </w:r>
      <w:r w:rsidRPr="00C039F9">
        <w:rPr>
          <w:rFonts w:ascii="Times New Roman" w:hAnsi="Times New Roman" w:cs="Times New Roman"/>
          <w:sz w:val="28"/>
          <w:szCs w:val="28"/>
        </w:rPr>
        <w:t>arifa, la interpretación de su contenido afecta el cálculo de los costos de los servicios que presta la DNDA y esto, a su vez, impacta la base gravable.</w:t>
      </w:r>
    </w:p>
    <w:p w:rsidR="00EF7B0B" w:rsidRPr="00C039F9" w:rsidRDefault="00C039F9" w:rsidP="00EF7B0B">
      <w:pPr>
        <w:pStyle w:val="Prrafodelista"/>
        <w:rPr>
          <w:rFonts w:ascii="Times New Roman" w:hAnsi="Times New Roman" w:cs="Times New Roman"/>
          <w:sz w:val="28"/>
          <w:szCs w:val="28"/>
        </w:rPr>
      </w:pPr>
    </w:p>
    <w:p w:rsidR="00FB3ADF" w:rsidRPr="00C039F9" w:rsidRDefault="00C039F9" w:rsidP="00382570">
      <w:pPr>
        <w:pStyle w:val="Prrafodelista"/>
        <w:widowControl w:val="0"/>
        <w:numPr>
          <w:ilvl w:val="0"/>
          <w:numId w:val="2"/>
        </w:numPr>
        <w:suppressAutoHyphens/>
        <w:ind w:left="0" w:hanging="11"/>
        <w:rPr>
          <w:rFonts w:ascii="Times New Roman" w:hAnsi="Times New Roman" w:cs="Times New Roman"/>
          <w:sz w:val="28"/>
          <w:szCs w:val="28"/>
        </w:rPr>
      </w:pPr>
      <w:r w:rsidRPr="00C039F9">
        <w:rPr>
          <w:rFonts w:ascii="Times New Roman" w:hAnsi="Times New Roman" w:cs="Times New Roman"/>
          <w:sz w:val="28"/>
          <w:szCs w:val="28"/>
        </w:rPr>
        <w:t>Entonces, la citada norma permite interpretar que el legislador habilitó al Gobierno nacional para rev</w:t>
      </w:r>
      <w:r w:rsidRPr="00C039F9">
        <w:rPr>
          <w:rFonts w:ascii="Times New Roman" w:hAnsi="Times New Roman" w:cs="Times New Roman"/>
          <w:sz w:val="28"/>
          <w:szCs w:val="28"/>
        </w:rPr>
        <w:t>isar los criterios que son centrales en la fijación de la base gravable y la tarifa, es decir, lo</w:t>
      </w:r>
      <w:r w:rsidRPr="00C039F9">
        <w:rPr>
          <w:rFonts w:ascii="Times New Roman" w:hAnsi="Times New Roman" w:cs="Times New Roman"/>
          <w:sz w:val="28"/>
          <w:szCs w:val="28"/>
        </w:rPr>
        <w:t>s</w:t>
      </w:r>
      <w:r w:rsidRPr="00C039F9">
        <w:rPr>
          <w:rFonts w:ascii="Times New Roman" w:hAnsi="Times New Roman" w:cs="Times New Roman"/>
          <w:sz w:val="28"/>
          <w:szCs w:val="28"/>
        </w:rPr>
        <w:t xml:space="preserve"> que define el </w:t>
      </w:r>
      <w:r w:rsidRPr="00C039F9">
        <w:rPr>
          <w:rFonts w:ascii="Times New Roman" w:hAnsi="Times New Roman" w:cs="Times New Roman"/>
          <w:i/>
          <w:iCs/>
          <w:sz w:val="28"/>
          <w:szCs w:val="28"/>
        </w:rPr>
        <w:t>método y sistema</w:t>
      </w:r>
      <w:r w:rsidRPr="00C039F9">
        <w:rPr>
          <w:rFonts w:ascii="Times New Roman" w:hAnsi="Times New Roman" w:cs="Times New Roman"/>
          <w:sz w:val="28"/>
          <w:szCs w:val="28"/>
        </w:rPr>
        <w:t xml:space="preserve"> contenido en su parágrafo 1º. Esto, en principio, sería inconstitucional</w:t>
      </w:r>
      <w:r w:rsidRPr="00C039F9">
        <w:rPr>
          <w:rFonts w:ascii="Times New Roman" w:hAnsi="Times New Roman" w:cs="Times New Roman"/>
          <w:sz w:val="28"/>
          <w:szCs w:val="28"/>
        </w:rPr>
        <w:t xml:space="preserve"> porque contravendría el artículo 338 superior.</w:t>
      </w:r>
    </w:p>
    <w:p w:rsidR="00FB3ADF" w:rsidRPr="00C039F9" w:rsidRDefault="00C039F9" w:rsidP="00FB3ADF">
      <w:pPr>
        <w:pStyle w:val="Prrafodelista"/>
        <w:widowControl w:val="0"/>
        <w:suppressAutoHyphens/>
        <w:ind w:left="0"/>
        <w:rPr>
          <w:rFonts w:ascii="Times New Roman" w:hAnsi="Times New Roman" w:cs="Times New Roman"/>
          <w:sz w:val="28"/>
          <w:szCs w:val="28"/>
        </w:rPr>
      </w:pPr>
    </w:p>
    <w:p w:rsidR="00CC0AE2" w:rsidRPr="00C039F9" w:rsidRDefault="00C039F9" w:rsidP="009F03CF">
      <w:pPr>
        <w:pStyle w:val="Prrafodelista"/>
        <w:widowControl w:val="0"/>
        <w:numPr>
          <w:ilvl w:val="0"/>
          <w:numId w:val="2"/>
        </w:numPr>
        <w:suppressAutoHyphens/>
        <w:ind w:left="0" w:hanging="11"/>
        <w:rPr>
          <w:rFonts w:ascii="Times New Roman" w:hAnsi="Times New Roman" w:cs="Times New Roman"/>
          <w:sz w:val="28"/>
          <w:szCs w:val="28"/>
        </w:rPr>
      </w:pPr>
      <w:r w:rsidRPr="00C039F9">
        <w:rPr>
          <w:rFonts w:ascii="Times New Roman" w:hAnsi="Times New Roman" w:cs="Times New Roman"/>
          <w:sz w:val="28"/>
          <w:szCs w:val="28"/>
        </w:rPr>
        <w:t xml:space="preserve">No obstante, la Sala considera que </w:t>
      </w:r>
      <w:r w:rsidRPr="00C039F9">
        <w:rPr>
          <w:rFonts w:ascii="Times New Roman" w:hAnsi="Times New Roman" w:cs="Times New Roman"/>
          <w:sz w:val="28"/>
          <w:szCs w:val="28"/>
        </w:rPr>
        <w:t xml:space="preserve">la facultad que el parágrafo </w:t>
      </w:r>
      <w:r w:rsidRPr="00C039F9">
        <w:rPr>
          <w:rFonts w:ascii="Times New Roman" w:hAnsi="Times New Roman" w:cs="Times New Roman"/>
          <w:sz w:val="28"/>
          <w:szCs w:val="28"/>
        </w:rPr>
        <w:t>2º de la norma acusada otorga al Gobierno nacional no equivale necesariamente al abandono de los criterios fijados por el legislador</w:t>
      </w:r>
      <w:r w:rsidRPr="00C039F9">
        <w:rPr>
          <w:rFonts w:ascii="Times New Roman" w:hAnsi="Times New Roman" w:cs="Times New Roman"/>
          <w:sz w:val="28"/>
          <w:szCs w:val="28"/>
        </w:rPr>
        <w:t xml:space="preserve"> en </w:t>
      </w:r>
      <w:r w:rsidRPr="00C039F9">
        <w:rPr>
          <w:rFonts w:ascii="Times New Roman" w:hAnsi="Times New Roman" w:cs="Times New Roman"/>
          <w:sz w:val="28"/>
          <w:szCs w:val="28"/>
        </w:rPr>
        <w:t>el parágrafo 1º de la misma disposición</w:t>
      </w:r>
      <w:r w:rsidRPr="00C039F9">
        <w:rPr>
          <w:rFonts w:ascii="Times New Roman" w:hAnsi="Times New Roman" w:cs="Times New Roman"/>
          <w:sz w:val="28"/>
          <w:szCs w:val="28"/>
        </w:rPr>
        <w:t xml:space="preserve">.  </w:t>
      </w:r>
    </w:p>
    <w:p w:rsidR="00810F85" w:rsidRPr="00C039F9" w:rsidRDefault="00C039F9" w:rsidP="00810F85">
      <w:pPr>
        <w:pStyle w:val="Prrafodelista"/>
        <w:rPr>
          <w:rFonts w:ascii="Times New Roman" w:hAnsi="Times New Roman" w:cs="Times New Roman"/>
          <w:sz w:val="28"/>
          <w:szCs w:val="28"/>
        </w:rPr>
      </w:pPr>
    </w:p>
    <w:p w:rsidR="00552512" w:rsidRPr="00C039F9" w:rsidRDefault="00C039F9" w:rsidP="009F03CF">
      <w:pPr>
        <w:pStyle w:val="Prrafodelista"/>
        <w:widowControl w:val="0"/>
        <w:numPr>
          <w:ilvl w:val="0"/>
          <w:numId w:val="2"/>
        </w:numPr>
        <w:suppressAutoHyphens/>
        <w:ind w:left="0" w:hanging="11"/>
        <w:rPr>
          <w:rFonts w:ascii="Times New Roman" w:hAnsi="Times New Roman" w:cs="Times New Roman"/>
          <w:sz w:val="28"/>
          <w:szCs w:val="28"/>
        </w:rPr>
      </w:pPr>
      <w:r w:rsidRPr="00C039F9">
        <w:rPr>
          <w:rFonts w:ascii="Times New Roman" w:hAnsi="Times New Roman" w:cs="Times New Roman"/>
          <w:sz w:val="28"/>
          <w:szCs w:val="28"/>
        </w:rPr>
        <w:t xml:space="preserve">Esa </w:t>
      </w:r>
      <w:r w:rsidRPr="00C039F9">
        <w:rPr>
          <w:rFonts w:ascii="Times New Roman" w:hAnsi="Times New Roman" w:cs="Times New Roman"/>
          <w:sz w:val="28"/>
          <w:szCs w:val="28"/>
        </w:rPr>
        <w:t xml:space="preserve">facultad </w:t>
      </w:r>
      <w:r w:rsidRPr="00C039F9">
        <w:rPr>
          <w:rFonts w:ascii="Times New Roman" w:hAnsi="Times New Roman" w:cs="Times New Roman"/>
          <w:sz w:val="28"/>
          <w:szCs w:val="28"/>
        </w:rPr>
        <w:t xml:space="preserve">puede interpretarse de tal forma que esté acorde con el artículo 338 superior. La Sala encuentra que la posibilidad de que el Gobierno nacional revise los criterios </w:t>
      </w:r>
      <w:r w:rsidRPr="00C039F9">
        <w:rPr>
          <w:rFonts w:ascii="Times New Roman" w:hAnsi="Times New Roman" w:cs="Times New Roman"/>
          <w:sz w:val="28"/>
          <w:szCs w:val="28"/>
        </w:rPr>
        <w:t>debe entenderse en el sentido de que puede advertir</w:t>
      </w:r>
      <w:r w:rsidRPr="00C039F9">
        <w:rPr>
          <w:rFonts w:ascii="Times New Roman" w:hAnsi="Times New Roman" w:cs="Times New Roman"/>
          <w:sz w:val="28"/>
          <w:szCs w:val="28"/>
        </w:rPr>
        <w:t>,</w:t>
      </w:r>
      <w:r w:rsidRPr="00C039F9">
        <w:rPr>
          <w:rFonts w:ascii="Times New Roman" w:hAnsi="Times New Roman" w:cs="Times New Roman"/>
          <w:sz w:val="28"/>
          <w:szCs w:val="28"/>
        </w:rPr>
        <w:t xml:space="preserve"> con la información disponible</w:t>
      </w:r>
      <w:r w:rsidRPr="00C039F9">
        <w:rPr>
          <w:rFonts w:ascii="Times New Roman" w:hAnsi="Times New Roman" w:cs="Times New Roman"/>
          <w:sz w:val="28"/>
          <w:szCs w:val="28"/>
        </w:rPr>
        <w:t xml:space="preserve"> de la DNDA</w:t>
      </w:r>
      <w:r w:rsidRPr="00C039F9">
        <w:rPr>
          <w:rFonts w:ascii="Times New Roman" w:hAnsi="Times New Roman" w:cs="Times New Roman"/>
          <w:sz w:val="28"/>
          <w:szCs w:val="28"/>
        </w:rPr>
        <w:t>,</w:t>
      </w:r>
      <w:r w:rsidRPr="00C039F9">
        <w:rPr>
          <w:rFonts w:ascii="Times New Roman" w:hAnsi="Times New Roman" w:cs="Times New Roman"/>
          <w:sz w:val="28"/>
          <w:szCs w:val="28"/>
        </w:rPr>
        <w:t xml:space="preserve"> </w:t>
      </w:r>
      <w:r w:rsidRPr="00C039F9">
        <w:rPr>
          <w:rFonts w:ascii="Times New Roman" w:hAnsi="Times New Roman" w:cs="Times New Roman"/>
          <w:sz w:val="28"/>
          <w:szCs w:val="28"/>
        </w:rPr>
        <w:t xml:space="preserve">la necesidad de hacer </w:t>
      </w:r>
      <w:r w:rsidRPr="00C039F9">
        <w:rPr>
          <w:rFonts w:ascii="Times New Roman" w:hAnsi="Times New Roman" w:cs="Times New Roman"/>
          <w:sz w:val="28"/>
          <w:szCs w:val="28"/>
        </w:rPr>
        <w:t xml:space="preserve">cambios en la forma </w:t>
      </w:r>
      <w:r w:rsidRPr="00C039F9">
        <w:rPr>
          <w:rFonts w:ascii="Times New Roman" w:hAnsi="Times New Roman" w:cs="Times New Roman"/>
          <w:sz w:val="28"/>
          <w:szCs w:val="28"/>
        </w:rPr>
        <w:t xml:space="preserve">en </w:t>
      </w:r>
      <w:r w:rsidRPr="00C039F9">
        <w:rPr>
          <w:rFonts w:ascii="Times New Roman" w:hAnsi="Times New Roman" w:cs="Times New Roman"/>
          <w:sz w:val="28"/>
          <w:szCs w:val="28"/>
        </w:rPr>
        <w:t>c</w:t>
      </w:r>
      <w:r w:rsidRPr="00C039F9">
        <w:rPr>
          <w:rFonts w:ascii="Times New Roman" w:hAnsi="Times New Roman" w:cs="Times New Roman"/>
          <w:sz w:val="28"/>
          <w:szCs w:val="28"/>
        </w:rPr>
        <w:t>ó</w:t>
      </w:r>
      <w:r w:rsidRPr="00C039F9">
        <w:rPr>
          <w:rFonts w:ascii="Times New Roman" w:hAnsi="Times New Roman" w:cs="Times New Roman"/>
          <w:sz w:val="28"/>
          <w:szCs w:val="28"/>
        </w:rPr>
        <w:t xml:space="preserve">mo se presta el servicio, </w:t>
      </w:r>
      <w:r w:rsidRPr="00C039F9">
        <w:rPr>
          <w:rFonts w:ascii="Times New Roman" w:hAnsi="Times New Roman" w:cs="Times New Roman"/>
          <w:sz w:val="28"/>
          <w:szCs w:val="28"/>
        </w:rPr>
        <w:t xml:space="preserve">de tal manera que en su prestación se incurran en menores costos. Entonces, lo que realmente autoriza el parágrafo 2º es a revisar </w:t>
      </w:r>
      <w:r w:rsidRPr="00C039F9">
        <w:rPr>
          <w:rFonts w:ascii="Times New Roman" w:hAnsi="Times New Roman" w:cs="Times New Roman"/>
          <w:sz w:val="28"/>
          <w:szCs w:val="28"/>
        </w:rPr>
        <w:t>los procedimientos concretos de cálculo</w:t>
      </w:r>
      <w:r w:rsidRPr="00C039F9">
        <w:rPr>
          <w:rFonts w:ascii="Times New Roman" w:hAnsi="Times New Roman" w:cs="Times New Roman"/>
          <w:sz w:val="28"/>
          <w:szCs w:val="28"/>
        </w:rPr>
        <w:t xml:space="preserve"> sin llegar a ajustar o cambiar el </w:t>
      </w:r>
      <w:r w:rsidRPr="00C039F9">
        <w:rPr>
          <w:rFonts w:ascii="Times New Roman" w:hAnsi="Times New Roman" w:cs="Times New Roman"/>
          <w:i/>
          <w:iCs/>
          <w:sz w:val="28"/>
          <w:szCs w:val="28"/>
        </w:rPr>
        <w:t xml:space="preserve">método </w:t>
      </w:r>
      <w:r w:rsidRPr="00C039F9">
        <w:rPr>
          <w:rFonts w:ascii="Times New Roman" w:hAnsi="Times New Roman" w:cs="Times New Roman"/>
          <w:sz w:val="28"/>
          <w:szCs w:val="28"/>
        </w:rPr>
        <w:t xml:space="preserve">y el </w:t>
      </w:r>
      <w:r w:rsidRPr="00C039F9">
        <w:rPr>
          <w:rFonts w:ascii="Times New Roman" w:hAnsi="Times New Roman" w:cs="Times New Roman"/>
          <w:i/>
          <w:iCs/>
          <w:sz w:val="28"/>
          <w:szCs w:val="28"/>
        </w:rPr>
        <w:t>sistema</w:t>
      </w:r>
      <w:r w:rsidRPr="00C039F9">
        <w:rPr>
          <w:rFonts w:ascii="Times New Roman" w:hAnsi="Times New Roman" w:cs="Times New Roman"/>
          <w:sz w:val="28"/>
          <w:szCs w:val="28"/>
        </w:rPr>
        <w:t xml:space="preserve">. </w:t>
      </w:r>
    </w:p>
    <w:p w:rsidR="00552512" w:rsidRPr="00C039F9" w:rsidRDefault="00C039F9" w:rsidP="00552512">
      <w:pPr>
        <w:pStyle w:val="Prrafodelista"/>
        <w:rPr>
          <w:rFonts w:ascii="Times New Roman" w:hAnsi="Times New Roman" w:cs="Times New Roman"/>
          <w:sz w:val="28"/>
          <w:szCs w:val="28"/>
        </w:rPr>
      </w:pPr>
    </w:p>
    <w:p w:rsidR="00C72FE8" w:rsidRPr="00C039F9" w:rsidRDefault="00C039F9" w:rsidP="00C72FE8">
      <w:pPr>
        <w:pStyle w:val="Prrafodelista"/>
        <w:widowControl w:val="0"/>
        <w:numPr>
          <w:ilvl w:val="0"/>
          <w:numId w:val="2"/>
        </w:numPr>
        <w:suppressAutoHyphens/>
        <w:ind w:left="0" w:hanging="11"/>
        <w:rPr>
          <w:rFonts w:ascii="Times New Roman" w:hAnsi="Times New Roman" w:cs="Times New Roman"/>
          <w:sz w:val="28"/>
          <w:szCs w:val="28"/>
        </w:rPr>
      </w:pPr>
      <w:r w:rsidRPr="00C039F9">
        <w:rPr>
          <w:rFonts w:ascii="Times New Roman" w:hAnsi="Times New Roman" w:cs="Times New Roman"/>
          <w:sz w:val="28"/>
          <w:szCs w:val="28"/>
        </w:rPr>
        <w:t>Por ejemplo, el parágrafo 2</w:t>
      </w:r>
      <w:r w:rsidRPr="00C039F9">
        <w:rPr>
          <w:rFonts w:ascii="Times New Roman" w:hAnsi="Times New Roman" w:cs="Times New Roman"/>
          <w:sz w:val="28"/>
          <w:szCs w:val="28"/>
        </w:rPr>
        <w:t>º</w:t>
      </w:r>
      <w:r w:rsidRPr="00C039F9">
        <w:rPr>
          <w:rFonts w:ascii="Times New Roman" w:hAnsi="Times New Roman" w:cs="Times New Roman"/>
          <w:sz w:val="28"/>
          <w:szCs w:val="28"/>
        </w:rPr>
        <w:t xml:space="preserve"> de la norma acusada permitiría al Gobierno nacional identificar que para la prestación de un servicio por parte de la DNDA ya no se requieren diez trabajadores sino cinc</w:t>
      </w:r>
      <w:r w:rsidRPr="00C039F9">
        <w:rPr>
          <w:rFonts w:ascii="Times New Roman" w:hAnsi="Times New Roman" w:cs="Times New Roman"/>
          <w:sz w:val="28"/>
          <w:szCs w:val="28"/>
        </w:rPr>
        <w:t xml:space="preserve">o. De modo que, tal revisión no </w:t>
      </w:r>
      <w:r w:rsidRPr="00C039F9">
        <w:rPr>
          <w:rFonts w:ascii="Times New Roman" w:hAnsi="Times New Roman" w:cs="Times New Roman"/>
          <w:sz w:val="28"/>
          <w:szCs w:val="28"/>
        </w:rPr>
        <w:t xml:space="preserve">tendría por qué afectar </w:t>
      </w:r>
      <w:r w:rsidRPr="00C039F9">
        <w:rPr>
          <w:rFonts w:ascii="Times New Roman" w:hAnsi="Times New Roman" w:cs="Times New Roman"/>
          <w:sz w:val="28"/>
          <w:szCs w:val="28"/>
        </w:rPr>
        <w:t xml:space="preserve">la variable </w:t>
      </w:r>
      <w:r w:rsidRPr="00C039F9">
        <w:rPr>
          <w:rFonts w:ascii="Times New Roman" w:hAnsi="Times New Roman" w:cs="Times New Roman"/>
          <w:i/>
          <w:iCs/>
          <w:sz w:val="28"/>
          <w:szCs w:val="28"/>
        </w:rPr>
        <w:t xml:space="preserve">recurso humano </w:t>
      </w:r>
      <w:r w:rsidRPr="00C039F9">
        <w:rPr>
          <w:rFonts w:ascii="Times New Roman" w:hAnsi="Times New Roman" w:cs="Times New Roman"/>
          <w:sz w:val="28"/>
          <w:szCs w:val="28"/>
        </w:rPr>
        <w:t>definida por el legislador en el método</w:t>
      </w:r>
      <w:r w:rsidRPr="00C039F9">
        <w:rPr>
          <w:rFonts w:ascii="Times New Roman" w:hAnsi="Times New Roman" w:cs="Times New Roman"/>
          <w:sz w:val="28"/>
          <w:szCs w:val="28"/>
        </w:rPr>
        <w:t xml:space="preserve"> (literal a) del parágrafo 1º</w:t>
      </w:r>
      <w:r w:rsidRPr="00C039F9">
        <w:rPr>
          <w:rFonts w:ascii="Times New Roman" w:hAnsi="Times New Roman" w:cs="Times New Roman"/>
          <w:sz w:val="28"/>
          <w:szCs w:val="28"/>
        </w:rPr>
        <w:t xml:space="preserve">. </w:t>
      </w:r>
      <w:r w:rsidRPr="00C039F9">
        <w:rPr>
          <w:rFonts w:ascii="Times New Roman" w:hAnsi="Times New Roman" w:cs="Times New Roman"/>
          <w:sz w:val="28"/>
          <w:szCs w:val="28"/>
        </w:rPr>
        <w:t>E</w:t>
      </w:r>
      <w:r w:rsidRPr="00C039F9">
        <w:rPr>
          <w:rFonts w:ascii="Times New Roman" w:hAnsi="Times New Roman" w:cs="Times New Roman"/>
          <w:sz w:val="28"/>
          <w:szCs w:val="28"/>
        </w:rPr>
        <w:t xml:space="preserve">l Gobierno nacional no </w:t>
      </w:r>
      <w:r w:rsidRPr="00C039F9">
        <w:rPr>
          <w:rFonts w:ascii="Times New Roman" w:hAnsi="Times New Roman" w:cs="Times New Roman"/>
          <w:sz w:val="28"/>
          <w:szCs w:val="28"/>
        </w:rPr>
        <w:t xml:space="preserve">podría </w:t>
      </w:r>
      <w:r w:rsidRPr="00C039F9">
        <w:rPr>
          <w:rFonts w:ascii="Times New Roman" w:hAnsi="Times New Roman" w:cs="Times New Roman"/>
          <w:sz w:val="28"/>
          <w:szCs w:val="28"/>
        </w:rPr>
        <w:t xml:space="preserve">agregar o </w:t>
      </w:r>
      <w:r w:rsidRPr="00C039F9">
        <w:rPr>
          <w:rFonts w:ascii="Times New Roman" w:hAnsi="Times New Roman" w:cs="Times New Roman"/>
          <w:sz w:val="28"/>
          <w:szCs w:val="28"/>
        </w:rPr>
        <w:t>prescindir</w:t>
      </w:r>
      <w:r w:rsidRPr="00C039F9">
        <w:rPr>
          <w:rFonts w:ascii="Times New Roman" w:hAnsi="Times New Roman" w:cs="Times New Roman"/>
          <w:sz w:val="28"/>
          <w:szCs w:val="28"/>
        </w:rPr>
        <w:t xml:space="preserve"> de</w:t>
      </w:r>
      <w:r w:rsidRPr="00C039F9">
        <w:rPr>
          <w:rFonts w:ascii="Times New Roman" w:hAnsi="Times New Roman" w:cs="Times New Roman"/>
          <w:sz w:val="28"/>
          <w:szCs w:val="28"/>
        </w:rPr>
        <w:t xml:space="preserve"> </w:t>
      </w:r>
      <w:r w:rsidRPr="00C039F9">
        <w:rPr>
          <w:rFonts w:ascii="Times New Roman" w:hAnsi="Times New Roman" w:cs="Times New Roman"/>
          <w:sz w:val="28"/>
          <w:szCs w:val="28"/>
        </w:rPr>
        <w:t xml:space="preserve">alguna de </w:t>
      </w:r>
      <w:r w:rsidRPr="00C039F9">
        <w:rPr>
          <w:rFonts w:ascii="Times New Roman" w:hAnsi="Times New Roman" w:cs="Times New Roman"/>
          <w:sz w:val="28"/>
          <w:szCs w:val="28"/>
        </w:rPr>
        <w:t xml:space="preserve">las </w:t>
      </w:r>
      <w:r w:rsidRPr="00C039F9">
        <w:rPr>
          <w:rFonts w:ascii="Times New Roman" w:hAnsi="Times New Roman" w:cs="Times New Roman"/>
          <w:sz w:val="28"/>
          <w:szCs w:val="28"/>
        </w:rPr>
        <w:t xml:space="preserve">variables </w:t>
      </w:r>
      <w:r w:rsidRPr="00C039F9">
        <w:rPr>
          <w:rFonts w:ascii="Times New Roman" w:hAnsi="Times New Roman" w:cs="Times New Roman"/>
          <w:sz w:val="28"/>
          <w:szCs w:val="28"/>
        </w:rPr>
        <w:t xml:space="preserve">allí </w:t>
      </w:r>
      <w:r w:rsidRPr="00C039F9">
        <w:rPr>
          <w:rFonts w:ascii="Times New Roman" w:hAnsi="Times New Roman" w:cs="Times New Roman"/>
          <w:sz w:val="28"/>
          <w:szCs w:val="28"/>
        </w:rPr>
        <w:t>descritas. S</w:t>
      </w:r>
      <w:r w:rsidRPr="00C039F9">
        <w:rPr>
          <w:rFonts w:ascii="Times New Roman" w:hAnsi="Times New Roman" w:cs="Times New Roman"/>
          <w:sz w:val="28"/>
          <w:szCs w:val="28"/>
        </w:rPr>
        <w:t>ó</w:t>
      </w:r>
      <w:r w:rsidRPr="00C039F9">
        <w:rPr>
          <w:rFonts w:ascii="Times New Roman" w:hAnsi="Times New Roman" w:cs="Times New Roman"/>
          <w:sz w:val="28"/>
          <w:szCs w:val="28"/>
        </w:rPr>
        <w:t>lo pod</w:t>
      </w:r>
      <w:r w:rsidRPr="00C039F9">
        <w:rPr>
          <w:rFonts w:ascii="Times New Roman" w:hAnsi="Times New Roman" w:cs="Times New Roman"/>
          <w:sz w:val="28"/>
          <w:szCs w:val="28"/>
        </w:rPr>
        <w:t xml:space="preserve">ría establecer fórmulas </w:t>
      </w:r>
      <w:r w:rsidRPr="00C039F9">
        <w:rPr>
          <w:rFonts w:ascii="Times New Roman" w:hAnsi="Times New Roman" w:cs="Times New Roman"/>
          <w:sz w:val="28"/>
          <w:szCs w:val="28"/>
        </w:rPr>
        <w:t xml:space="preserve">para </w:t>
      </w:r>
      <w:r w:rsidRPr="00C039F9">
        <w:rPr>
          <w:rFonts w:ascii="Times New Roman" w:hAnsi="Times New Roman" w:cs="Times New Roman"/>
          <w:sz w:val="28"/>
          <w:szCs w:val="28"/>
        </w:rPr>
        <w:t>cuantifica</w:t>
      </w:r>
      <w:r w:rsidRPr="00C039F9">
        <w:rPr>
          <w:rFonts w:ascii="Times New Roman" w:hAnsi="Times New Roman" w:cs="Times New Roman"/>
          <w:sz w:val="28"/>
          <w:szCs w:val="28"/>
        </w:rPr>
        <w:t>rlas</w:t>
      </w:r>
      <w:r w:rsidRPr="00C039F9">
        <w:rPr>
          <w:rFonts w:ascii="Times New Roman" w:hAnsi="Times New Roman" w:cs="Times New Roman"/>
          <w:sz w:val="28"/>
          <w:szCs w:val="28"/>
        </w:rPr>
        <w:t xml:space="preserve"> </w:t>
      </w:r>
      <w:r w:rsidRPr="00C039F9">
        <w:rPr>
          <w:rFonts w:ascii="Times New Roman" w:hAnsi="Times New Roman" w:cs="Times New Roman"/>
          <w:sz w:val="28"/>
          <w:szCs w:val="28"/>
        </w:rPr>
        <w:t>de acuerdo con la necesidad de su uso. Esto</w:t>
      </w:r>
      <w:r w:rsidRPr="00C039F9">
        <w:rPr>
          <w:rFonts w:ascii="Times New Roman" w:hAnsi="Times New Roman" w:cs="Times New Roman"/>
          <w:sz w:val="28"/>
          <w:szCs w:val="28"/>
        </w:rPr>
        <w:t xml:space="preserve"> </w:t>
      </w:r>
      <w:r w:rsidRPr="00C039F9">
        <w:rPr>
          <w:rFonts w:ascii="Times New Roman" w:hAnsi="Times New Roman" w:cs="Times New Roman"/>
          <w:sz w:val="28"/>
          <w:szCs w:val="28"/>
        </w:rPr>
        <w:t xml:space="preserve">repercutiría </w:t>
      </w:r>
      <w:r w:rsidRPr="00C039F9">
        <w:rPr>
          <w:rFonts w:ascii="Times New Roman" w:hAnsi="Times New Roman" w:cs="Times New Roman"/>
          <w:sz w:val="28"/>
          <w:szCs w:val="28"/>
        </w:rPr>
        <w:t xml:space="preserve">en la eficiencia en la prestación del servicio y en la eventual disminución de la tarifa, </w:t>
      </w:r>
      <w:r w:rsidRPr="00C039F9">
        <w:rPr>
          <w:rFonts w:ascii="Times New Roman" w:hAnsi="Times New Roman" w:cs="Times New Roman"/>
          <w:sz w:val="28"/>
          <w:szCs w:val="28"/>
        </w:rPr>
        <w:t>en tanto la entidad podría incurrir en menores gastos en la prest</w:t>
      </w:r>
      <w:r w:rsidRPr="00C039F9">
        <w:rPr>
          <w:rFonts w:ascii="Times New Roman" w:hAnsi="Times New Roman" w:cs="Times New Roman"/>
          <w:sz w:val="28"/>
          <w:szCs w:val="28"/>
        </w:rPr>
        <w:t>ación del servicio gravado</w:t>
      </w:r>
      <w:r w:rsidRPr="00C039F9">
        <w:rPr>
          <w:rFonts w:ascii="Times New Roman" w:hAnsi="Times New Roman" w:cs="Times New Roman"/>
          <w:sz w:val="28"/>
          <w:szCs w:val="28"/>
        </w:rPr>
        <w:t>.</w:t>
      </w:r>
    </w:p>
    <w:p w:rsidR="00C72FE8" w:rsidRPr="00C039F9" w:rsidRDefault="00C039F9" w:rsidP="00C72FE8">
      <w:pPr>
        <w:pStyle w:val="Prrafodelista"/>
        <w:rPr>
          <w:rFonts w:ascii="Times New Roman" w:hAnsi="Times New Roman" w:cs="Times New Roman"/>
          <w:sz w:val="28"/>
          <w:szCs w:val="28"/>
        </w:rPr>
      </w:pPr>
    </w:p>
    <w:p w:rsidR="00552512" w:rsidRPr="00C039F9" w:rsidRDefault="00C039F9" w:rsidP="00C72FE8">
      <w:pPr>
        <w:pStyle w:val="Prrafodelista"/>
        <w:widowControl w:val="0"/>
        <w:numPr>
          <w:ilvl w:val="0"/>
          <w:numId w:val="2"/>
        </w:numPr>
        <w:suppressAutoHyphens/>
        <w:ind w:left="0" w:hanging="11"/>
        <w:rPr>
          <w:rFonts w:ascii="Times New Roman" w:hAnsi="Times New Roman" w:cs="Times New Roman"/>
          <w:sz w:val="28"/>
          <w:szCs w:val="28"/>
        </w:rPr>
      </w:pPr>
      <w:r w:rsidRPr="00C039F9">
        <w:rPr>
          <w:rFonts w:ascii="Times New Roman" w:hAnsi="Times New Roman" w:cs="Times New Roman"/>
          <w:sz w:val="28"/>
          <w:szCs w:val="28"/>
        </w:rPr>
        <w:t xml:space="preserve">En consecuencia, </w:t>
      </w:r>
      <w:r w:rsidRPr="00C039F9">
        <w:rPr>
          <w:rFonts w:ascii="Times New Roman" w:hAnsi="Times New Roman" w:cs="Times New Roman"/>
          <w:sz w:val="28"/>
          <w:szCs w:val="28"/>
        </w:rPr>
        <w:t xml:space="preserve">sin perjuicio de la exequibilidad pura y simple </w:t>
      </w:r>
      <w:r w:rsidRPr="00C039F9">
        <w:rPr>
          <w:rFonts w:ascii="Times New Roman" w:hAnsi="Times New Roman" w:cs="Times New Roman"/>
          <w:sz w:val="28"/>
          <w:szCs w:val="28"/>
        </w:rPr>
        <w:t>de</w:t>
      </w:r>
      <w:r w:rsidRPr="00C039F9">
        <w:rPr>
          <w:rFonts w:ascii="Times New Roman" w:hAnsi="Times New Roman" w:cs="Times New Roman"/>
          <w:sz w:val="28"/>
          <w:szCs w:val="28"/>
        </w:rPr>
        <w:t xml:space="preserve"> la norma, </w:t>
      </w:r>
      <w:r w:rsidRPr="00C039F9">
        <w:rPr>
          <w:rFonts w:ascii="Times New Roman" w:hAnsi="Times New Roman" w:cs="Times New Roman"/>
          <w:sz w:val="28"/>
          <w:szCs w:val="28"/>
        </w:rPr>
        <w:t xml:space="preserve">la Sala </w:t>
      </w:r>
      <w:r w:rsidRPr="00C039F9">
        <w:rPr>
          <w:rFonts w:ascii="Times New Roman" w:hAnsi="Times New Roman" w:cs="Times New Roman"/>
          <w:sz w:val="28"/>
          <w:szCs w:val="28"/>
        </w:rPr>
        <w:t xml:space="preserve">precisa que </w:t>
      </w:r>
      <w:r w:rsidRPr="00C039F9">
        <w:rPr>
          <w:rFonts w:ascii="Times New Roman" w:hAnsi="Times New Roman" w:cs="Times New Roman"/>
          <w:sz w:val="28"/>
          <w:szCs w:val="28"/>
        </w:rPr>
        <w:t>la lectura constitucionalmente adecuada d</w:t>
      </w:r>
      <w:r w:rsidRPr="00C039F9">
        <w:rPr>
          <w:rFonts w:ascii="Times New Roman" w:hAnsi="Times New Roman" w:cs="Times New Roman"/>
          <w:sz w:val="28"/>
          <w:szCs w:val="28"/>
        </w:rPr>
        <w:t xml:space="preserve">el parágrafo 2º del </w:t>
      </w:r>
      <w:r w:rsidRPr="00C039F9">
        <w:rPr>
          <w:rFonts w:ascii="Times New Roman" w:hAnsi="Times New Roman" w:cs="Times New Roman"/>
          <w:sz w:val="28"/>
          <w:szCs w:val="28"/>
        </w:rPr>
        <w:t xml:space="preserve">artículo </w:t>
      </w:r>
      <w:r w:rsidRPr="00C039F9">
        <w:rPr>
          <w:rFonts w:ascii="Times New Roman" w:hAnsi="Times New Roman" w:cs="Times New Roman"/>
          <w:sz w:val="28"/>
          <w:szCs w:val="28"/>
        </w:rPr>
        <w:t xml:space="preserve">169 de la Ley 2294 de 2023, por la cual se expide el Plan Nacional de Desarrollo 2022-2026 «Colombia Potencia Mundial de la Vida», </w:t>
      </w:r>
      <w:r w:rsidRPr="00C039F9">
        <w:rPr>
          <w:rFonts w:ascii="Times New Roman" w:hAnsi="Times New Roman" w:cs="Times New Roman"/>
          <w:sz w:val="28"/>
          <w:szCs w:val="28"/>
        </w:rPr>
        <w:t>es que la faculta</w:t>
      </w:r>
      <w:r w:rsidRPr="00C039F9">
        <w:rPr>
          <w:rFonts w:ascii="Times New Roman" w:hAnsi="Times New Roman" w:cs="Times New Roman"/>
          <w:sz w:val="28"/>
          <w:szCs w:val="28"/>
        </w:rPr>
        <w:t>d</w:t>
      </w:r>
      <w:r w:rsidRPr="00C039F9">
        <w:rPr>
          <w:rFonts w:ascii="Times New Roman" w:hAnsi="Times New Roman" w:cs="Times New Roman"/>
          <w:sz w:val="28"/>
          <w:szCs w:val="28"/>
        </w:rPr>
        <w:t xml:space="preserve"> allí otorgada al Gobierno nacional </w:t>
      </w:r>
      <w:r w:rsidRPr="00C039F9">
        <w:rPr>
          <w:rFonts w:ascii="Times New Roman" w:hAnsi="Times New Roman" w:cs="Times New Roman"/>
          <w:sz w:val="28"/>
          <w:szCs w:val="28"/>
        </w:rPr>
        <w:t xml:space="preserve">debe </w:t>
      </w:r>
      <w:r w:rsidRPr="00C039F9">
        <w:rPr>
          <w:rFonts w:ascii="Times New Roman" w:hAnsi="Times New Roman" w:cs="Times New Roman"/>
          <w:sz w:val="28"/>
          <w:szCs w:val="28"/>
        </w:rPr>
        <w:t>ejercerse en los términos del método y sistema definidos por el le</w:t>
      </w:r>
      <w:r w:rsidRPr="00C039F9">
        <w:rPr>
          <w:rFonts w:ascii="Times New Roman" w:hAnsi="Times New Roman" w:cs="Times New Roman"/>
          <w:sz w:val="28"/>
          <w:szCs w:val="28"/>
        </w:rPr>
        <w:t xml:space="preserve">gislador, sin llegar a modificarlos. </w:t>
      </w:r>
      <w:r w:rsidRPr="00C039F9">
        <w:rPr>
          <w:rFonts w:ascii="Times New Roman" w:hAnsi="Times New Roman" w:cs="Times New Roman"/>
          <w:sz w:val="28"/>
          <w:szCs w:val="28"/>
        </w:rPr>
        <w:t>Es decir, sin apartarse de los procedimientos concretos de cálculo previstos en el parágrafo 1º de la disposición analizada.</w:t>
      </w:r>
    </w:p>
    <w:p w:rsidR="00DA7645" w:rsidRPr="00C039F9" w:rsidRDefault="00C039F9" w:rsidP="00BC0C58">
      <w:pPr>
        <w:tabs>
          <w:tab w:val="left" w:pos="284"/>
        </w:tabs>
        <w:ind w:right="51"/>
        <w:contextualSpacing/>
        <w:rPr>
          <w:rFonts w:ascii="Times New Roman" w:hAnsi="Times New Roman" w:cs="Times New Roman"/>
          <w:b/>
          <w:bCs/>
          <w:sz w:val="28"/>
          <w:szCs w:val="28"/>
        </w:rPr>
      </w:pPr>
    </w:p>
    <w:p w:rsidR="006B7C54" w:rsidRPr="00C039F9" w:rsidRDefault="00C039F9" w:rsidP="00FB5479">
      <w:pPr>
        <w:pStyle w:val="Textonotapie"/>
        <w:tabs>
          <w:tab w:val="left" w:pos="284"/>
        </w:tabs>
        <w:contextualSpacing/>
        <w:rPr>
          <w:rFonts w:ascii="Times New Roman" w:hAnsi="Times New Roman" w:cs="Times New Roman"/>
          <w:sz w:val="28"/>
          <w:szCs w:val="28"/>
          <w:lang w:val="es-ES_tradnl"/>
        </w:rPr>
      </w:pPr>
      <w:r w:rsidRPr="00C039F9">
        <w:rPr>
          <w:rFonts w:ascii="Times New Roman" w:hAnsi="Times New Roman" w:cs="Times New Roman"/>
          <w:b/>
          <w:bCs/>
          <w:smallCaps/>
          <w:sz w:val="28"/>
          <w:szCs w:val="28"/>
          <w:shd w:val="clear" w:color="auto" w:fill="FFFFFF"/>
        </w:rPr>
        <w:t>DECISIÓN</w:t>
      </w:r>
    </w:p>
    <w:p w:rsidR="006B7C54" w:rsidRPr="00C039F9" w:rsidRDefault="00C039F9" w:rsidP="00FB5479">
      <w:pPr>
        <w:pStyle w:val="Textonotapie"/>
        <w:tabs>
          <w:tab w:val="left" w:pos="284"/>
        </w:tabs>
        <w:contextualSpacing/>
        <w:rPr>
          <w:rFonts w:ascii="Times New Roman" w:hAnsi="Times New Roman" w:cs="Times New Roman"/>
          <w:sz w:val="28"/>
          <w:szCs w:val="28"/>
          <w:lang w:val="es-ES_tradnl"/>
        </w:rPr>
      </w:pPr>
    </w:p>
    <w:p w:rsidR="00D01A48" w:rsidRPr="00C039F9" w:rsidRDefault="00C039F9" w:rsidP="00FB5479">
      <w:pPr>
        <w:tabs>
          <w:tab w:val="left" w:pos="284"/>
        </w:tabs>
        <w:contextualSpacing/>
        <w:rPr>
          <w:rFonts w:ascii="Times New Roman" w:hAnsi="Times New Roman" w:cs="Times New Roman"/>
          <w:sz w:val="28"/>
          <w:szCs w:val="28"/>
          <w:shd w:val="clear" w:color="auto" w:fill="FFFFFF"/>
        </w:rPr>
      </w:pPr>
      <w:r w:rsidRPr="00C039F9">
        <w:rPr>
          <w:rFonts w:ascii="Times New Roman" w:hAnsi="Times New Roman" w:cs="Times New Roman"/>
          <w:sz w:val="28"/>
          <w:szCs w:val="28"/>
          <w:shd w:val="clear" w:color="auto" w:fill="FFFFFF"/>
        </w:rPr>
        <w:t xml:space="preserve">En mérito de lo expuesto, la Sala Plena de la Corte Constitucional de la República </w:t>
      </w:r>
      <w:r w:rsidRPr="00C039F9">
        <w:rPr>
          <w:rFonts w:ascii="Times New Roman" w:hAnsi="Times New Roman" w:cs="Times New Roman"/>
          <w:sz w:val="28"/>
          <w:szCs w:val="28"/>
          <w:shd w:val="clear" w:color="auto" w:fill="FFFFFF"/>
        </w:rPr>
        <w:t>de Colombia, administrando justicia en nombre del pueblo y por mandato de la Constitución,</w:t>
      </w:r>
    </w:p>
    <w:p w:rsidR="006B7C54" w:rsidRPr="00C039F9" w:rsidRDefault="00C039F9" w:rsidP="00FB5479">
      <w:pPr>
        <w:tabs>
          <w:tab w:val="left" w:pos="284"/>
        </w:tabs>
        <w:contextualSpacing/>
        <w:rPr>
          <w:rFonts w:ascii="Times New Roman" w:hAnsi="Times New Roman" w:cs="Times New Roman"/>
          <w:sz w:val="28"/>
          <w:szCs w:val="28"/>
        </w:rPr>
      </w:pPr>
    </w:p>
    <w:p w:rsidR="00D01A48" w:rsidRPr="00C039F9" w:rsidRDefault="00C039F9" w:rsidP="00FB5479">
      <w:pPr>
        <w:pStyle w:val="Ttulo1"/>
        <w:tabs>
          <w:tab w:val="clear" w:pos="709"/>
          <w:tab w:val="left" w:pos="284"/>
        </w:tabs>
        <w:ind w:left="0" w:firstLine="0"/>
        <w:contextualSpacing/>
        <w:rPr>
          <w:rFonts w:ascii="Times New Roman" w:hAnsi="Times New Roman" w:cs="Times New Roman"/>
          <w:sz w:val="28"/>
          <w:szCs w:val="28"/>
        </w:rPr>
      </w:pPr>
      <w:r w:rsidRPr="00C039F9">
        <w:rPr>
          <w:rFonts w:ascii="Times New Roman" w:hAnsi="Times New Roman" w:cs="Times New Roman"/>
          <w:sz w:val="28"/>
          <w:szCs w:val="28"/>
        </w:rPr>
        <w:t>RESUELVE</w:t>
      </w:r>
    </w:p>
    <w:p w:rsidR="00D01A48" w:rsidRPr="00C039F9" w:rsidRDefault="00C039F9" w:rsidP="00FB5479">
      <w:pPr>
        <w:tabs>
          <w:tab w:val="left" w:pos="284"/>
        </w:tabs>
        <w:ind w:right="51"/>
        <w:contextualSpacing/>
        <w:rPr>
          <w:rFonts w:ascii="Times New Roman" w:hAnsi="Times New Roman" w:cs="Times New Roman"/>
          <w:sz w:val="28"/>
          <w:szCs w:val="28"/>
        </w:rPr>
      </w:pPr>
    </w:p>
    <w:p w:rsidR="00D16880" w:rsidRPr="00C039F9" w:rsidRDefault="00C039F9" w:rsidP="00FB5479">
      <w:pPr>
        <w:tabs>
          <w:tab w:val="left" w:pos="284"/>
        </w:tabs>
        <w:contextualSpacing/>
        <w:rPr>
          <w:rFonts w:ascii="Times New Roman" w:hAnsi="Times New Roman" w:cs="Times New Roman"/>
          <w:sz w:val="28"/>
          <w:szCs w:val="28"/>
        </w:rPr>
      </w:pPr>
      <w:r w:rsidRPr="00C039F9">
        <w:rPr>
          <w:rFonts w:ascii="Times New Roman" w:hAnsi="Times New Roman" w:cs="Times New Roman"/>
          <w:b/>
          <w:sz w:val="28"/>
          <w:szCs w:val="28"/>
        </w:rPr>
        <w:t>Único.</w:t>
      </w:r>
      <w:r w:rsidRPr="00C039F9">
        <w:rPr>
          <w:rFonts w:ascii="Times New Roman" w:hAnsi="Times New Roman" w:cs="Times New Roman"/>
          <w:sz w:val="28"/>
          <w:szCs w:val="28"/>
        </w:rPr>
        <w:t xml:space="preserve"> </w:t>
      </w:r>
      <w:r w:rsidRPr="00C039F9">
        <w:rPr>
          <w:rFonts w:ascii="Times New Roman" w:hAnsi="Times New Roman" w:cs="Times New Roman"/>
          <w:sz w:val="28"/>
          <w:szCs w:val="28"/>
        </w:rPr>
        <w:t xml:space="preserve">Declarar la </w:t>
      </w:r>
      <w:r w:rsidRPr="00C039F9">
        <w:rPr>
          <w:rFonts w:ascii="Times New Roman" w:hAnsi="Times New Roman" w:cs="Times New Roman"/>
          <w:b/>
          <w:sz w:val="28"/>
          <w:szCs w:val="28"/>
        </w:rPr>
        <w:t>EXEQUIBILIDAD</w:t>
      </w:r>
      <w:r w:rsidRPr="00C039F9">
        <w:rPr>
          <w:rFonts w:ascii="Times New Roman" w:hAnsi="Times New Roman" w:cs="Times New Roman"/>
          <w:sz w:val="28"/>
          <w:szCs w:val="28"/>
        </w:rPr>
        <w:t xml:space="preserve"> del artículo 169 de la Ley 2294 de 2023, por la cual se expide el Plan Nacional de Desarrollo 2022-2026 «Colombia Potencia Mundial de la Vida», que reformó el artículo 206 de la Ley 23 de 1982, por el cargo </w:t>
      </w:r>
      <w:r w:rsidRPr="00C039F9">
        <w:rPr>
          <w:rFonts w:ascii="Times New Roman" w:hAnsi="Times New Roman" w:cs="Times New Roman"/>
          <w:sz w:val="28"/>
          <w:szCs w:val="28"/>
        </w:rPr>
        <w:t>analizado</w:t>
      </w:r>
      <w:r w:rsidRPr="00C039F9">
        <w:rPr>
          <w:rFonts w:ascii="Times New Roman" w:hAnsi="Times New Roman" w:cs="Times New Roman"/>
          <w:sz w:val="28"/>
          <w:szCs w:val="28"/>
        </w:rPr>
        <w:t xml:space="preserve"> basado en la violación del artículo 33</w:t>
      </w:r>
      <w:r w:rsidRPr="00C039F9">
        <w:rPr>
          <w:rFonts w:ascii="Times New Roman" w:hAnsi="Times New Roman" w:cs="Times New Roman"/>
          <w:sz w:val="28"/>
          <w:szCs w:val="28"/>
        </w:rPr>
        <w:t xml:space="preserve">8 de la Constitución Política y de acuerdo con las razones expuestas en esta providencia. </w:t>
      </w:r>
    </w:p>
    <w:p w:rsidR="00C70B4E" w:rsidRPr="00C039F9" w:rsidRDefault="00C039F9" w:rsidP="00FB5479">
      <w:pPr>
        <w:tabs>
          <w:tab w:val="left" w:pos="284"/>
        </w:tabs>
        <w:contextualSpacing/>
        <w:rPr>
          <w:rFonts w:ascii="Times New Roman" w:hAnsi="Times New Roman" w:cs="Times New Roman"/>
          <w:sz w:val="28"/>
          <w:szCs w:val="28"/>
          <w:shd w:val="clear" w:color="auto" w:fill="FFFFFF"/>
        </w:rPr>
      </w:pPr>
    </w:p>
    <w:p w:rsidR="00D01A48" w:rsidRPr="00C039F9" w:rsidRDefault="00C039F9" w:rsidP="00FB5479">
      <w:pPr>
        <w:tabs>
          <w:tab w:val="left" w:pos="284"/>
        </w:tabs>
        <w:ind w:right="51"/>
        <w:contextualSpacing/>
        <w:rPr>
          <w:rFonts w:ascii="Times New Roman" w:hAnsi="Times New Roman" w:cs="Times New Roman"/>
          <w:b/>
          <w:sz w:val="28"/>
          <w:szCs w:val="28"/>
        </w:rPr>
      </w:pPr>
      <w:r w:rsidRPr="00C039F9">
        <w:rPr>
          <w:rFonts w:ascii="Times New Roman" w:hAnsi="Times New Roman" w:cs="Times New Roman"/>
          <w:sz w:val="28"/>
          <w:szCs w:val="28"/>
        </w:rPr>
        <w:t>Notifíquese y cúmplase.</w:t>
      </w:r>
    </w:p>
    <w:p w:rsidR="00B174EA" w:rsidRPr="00C039F9" w:rsidRDefault="00C039F9" w:rsidP="00001245">
      <w:pPr>
        <w:tabs>
          <w:tab w:val="left" w:pos="284"/>
          <w:tab w:val="left" w:pos="3420"/>
        </w:tabs>
        <w:ind w:right="51"/>
        <w:contextualSpacing/>
        <w:rPr>
          <w:rFonts w:ascii="Times New Roman" w:hAnsi="Times New Roman" w:cs="Times New Roman"/>
          <w:b/>
          <w:sz w:val="28"/>
          <w:szCs w:val="28"/>
        </w:rPr>
      </w:pPr>
      <w:r w:rsidRPr="00C039F9">
        <w:rPr>
          <w:rFonts w:ascii="Times New Roman" w:hAnsi="Times New Roman" w:cs="Times New Roman"/>
          <w:b/>
          <w:sz w:val="28"/>
          <w:szCs w:val="28"/>
        </w:rPr>
        <w:tab/>
      </w:r>
    </w:p>
    <w:p w:rsidR="00D01A48" w:rsidRPr="00C039F9" w:rsidRDefault="00C039F9" w:rsidP="00B174EA">
      <w:pPr>
        <w:tabs>
          <w:tab w:val="left" w:pos="284"/>
          <w:tab w:val="left" w:pos="3420"/>
        </w:tabs>
        <w:ind w:right="51"/>
        <w:contextualSpacing/>
        <w:rPr>
          <w:rFonts w:ascii="Times New Roman" w:hAnsi="Times New Roman" w:cs="Times New Roman"/>
          <w:b/>
          <w:iCs/>
          <w:sz w:val="28"/>
          <w:szCs w:val="28"/>
        </w:rPr>
      </w:pPr>
    </w:p>
    <w:p w:rsidR="007D7360" w:rsidRPr="00C039F9" w:rsidRDefault="00C039F9" w:rsidP="00B174EA">
      <w:pPr>
        <w:tabs>
          <w:tab w:val="left" w:pos="284"/>
          <w:tab w:val="left" w:pos="3420"/>
        </w:tabs>
        <w:ind w:right="51"/>
        <w:contextualSpacing/>
        <w:rPr>
          <w:rFonts w:ascii="Times New Roman" w:hAnsi="Times New Roman" w:cs="Times New Roman"/>
          <w:b/>
          <w:iCs/>
          <w:sz w:val="28"/>
          <w:szCs w:val="28"/>
        </w:rPr>
      </w:pPr>
    </w:p>
    <w:p w:rsidR="007D7360" w:rsidRPr="00C039F9" w:rsidRDefault="00C039F9" w:rsidP="00B174EA">
      <w:pPr>
        <w:tabs>
          <w:tab w:val="left" w:pos="284"/>
          <w:tab w:val="left" w:pos="3420"/>
        </w:tabs>
        <w:ind w:right="51"/>
        <w:contextualSpacing/>
        <w:rPr>
          <w:rFonts w:ascii="Times New Roman" w:hAnsi="Times New Roman" w:cs="Times New Roman"/>
          <w:b/>
          <w:iCs/>
          <w:sz w:val="28"/>
          <w:szCs w:val="28"/>
        </w:rPr>
      </w:pP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r w:rsidRPr="00C039F9">
        <w:rPr>
          <w:rFonts w:ascii="Times New Roman" w:hAnsi="Times New Roman" w:cs="Times New Roman"/>
          <w:iCs/>
          <w:sz w:val="28"/>
          <w:szCs w:val="28"/>
        </w:rPr>
        <w:t>JOSE FERNANDO REYES CUARTAS</w:t>
      </w: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r w:rsidRPr="00C039F9">
        <w:rPr>
          <w:rFonts w:ascii="Times New Roman" w:hAnsi="Times New Roman" w:cs="Times New Roman"/>
          <w:iCs/>
          <w:sz w:val="28"/>
          <w:szCs w:val="28"/>
        </w:rPr>
        <w:t>Presidente</w:t>
      </w: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r w:rsidRPr="00C039F9">
        <w:rPr>
          <w:rFonts w:ascii="Times New Roman" w:hAnsi="Times New Roman" w:cs="Times New Roman"/>
          <w:iCs/>
          <w:sz w:val="28"/>
          <w:szCs w:val="28"/>
        </w:rPr>
        <w:t>NATALIA ÁNGEL CABO</w:t>
      </w: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r w:rsidRPr="00C039F9">
        <w:rPr>
          <w:rFonts w:ascii="Times New Roman" w:hAnsi="Times New Roman" w:cs="Times New Roman"/>
          <w:iCs/>
          <w:sz w:val="28"/>
          <w:szCs w:val="28"/>
        </w:rPr>
        <w:t>Magistrada</w:t>
      </w: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r w:rsidRPr="00C039F9">
        <w:rPr>
          <w:rFonts w:ascii="Times New Roman" w:hAnsi="Times New Roman" w:cs="Times New Roman"/>
          <w:iCs/>
          <w:sz w:val="28"/>
          <w:szCs w:val="28"/>
        </w:rPr>
        <w:t>JUAN CARLOS CORTÉS GONZÁLEZ</w:t>
      </w: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r w:rsidRPr="00C039F9">
        <w:rPr>
          <w:rFonts w:ascii="Times New Roman" w:hAnsi="Times New Roman" w:cs="Times New Roman"/>
          <w:iCs/>
          <w:sz w:val="28"/>
          <w:szCs w:val="28"/>
        </w:rPr>
        <w:t>Magistrado</w:t>
      </w: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r w:rsidRPr="00C039F9">
        <w:rPr>
          <w:rFonts w:ascii="Times New Roman" w:hAnsi="Times New Roman" w:cs="Times New Roman"/>
          <w:iCs/>
          <w:sz w:val="28"/>
          <w:szCs w:val="28"/>
        </w:rPr>
        <w:t xml:space="preserve">DIANA FAJARDO </w:t>
      </w:r>
      <w:r w:rsidRPr="00C039F9">
        <w:rPr>
          <w:rFonts w:ascii="Times New Roman" w:hAnsi="Times New Roman" w:cs="Times New Roman"/>
          <w:iCs/>
          <w:sz w:val="28"/>
          <w:szCs w:val="28"/>
        </w:rPr>
        <w:t>RIVERA</w:t>
      </w: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r w:rsidRPr="00C039F9">
        <w:rPr>
          <w:rFonts w:ascii="Times New Roman" w:hAnsi="Times New Roman" w:cs="Times New Roman"/>
          <w:iCs/>
          <w:sz w:val="28"/>
          <w:szCs w:val="28"/>
        </w:rPr>
        <w:t>Magistrada</w:t>
      </w: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r w:rsidRPr="00C039F9">
        <w:rPr>
          <w:rFonts w:ascii="Times New Roman" w:hAnsi="Times New Roman" w:cs="Times New Roman"/>
          <w:iCs/>
          <w:sz w:val="28"/>
          <w:szCs w:val="28"/>
        </w:rPr>
        <w:t>VLADIMIR FERNÁNDEZ ANDRADE</w:t>
      </w: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r w:rsidRPr="00C039F9">
        <w:rPr>
          <w:rFonts w:ascii="Times New Roman" w:hAnsi="Times New Roman" w:cs="Times New Roman"/>
          <w:iCs/>
          <w:sz w:val="28"/>
          <w:szCs w:val="28"/>
        </w:rPr>
        <w:t>Magistrado</w:t>
      </w: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r w:rsidRPr="00C039F9">
        <w:rPr>
          <w:rFonts w:ascii="Times New Roman" w:hAnsi="Times New Roman" w:cs="Times New Roman"/>
          <w:iCs/>
          <w:sz w:val="28"/>
          <w:szCs w:val="28"/>
        </w:rPr>
        <w:t>Con impedimento aceptado</w:t>
      </w: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r w:rsidRPr="00C039F9">
        <w:rPr>
          <w:rFonts w:ascii="Times New Roman" w:hAnsi="Times New Roman" w:cs="Times New Roman"/>
          <w:iCs/>
          <w:sz w:val="28"/>
          <w:szCs w:val="28"/>
        </w:rPr>
        <w:t xml:space="preserve">JORGE ENRIQUE IBÁÑEZ NAJAR </w:t>
      </w: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r w:rsidRPr="00C039F9">
        <w:rPr>
          <w:rFonts w:ascii="Times New Roman" w:hAnsi="Times New Roman" w:cs="Times New Roman"/>
          <w:iCs/>
          <w:sz w:val="28"/>
          <w:szCs w:val="28"/>
        </w:rPr>
        <w:t>Magistrado</w:t>
      </w: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r w:rsidRPr="00C039F9">
        <w:rPr>
          <w:rFonts w:ascii="Times New Roman" w:hAnsi="Times New Roman" w:cs="Times New Roman"/>
          <w:iCs/>
          <w:sz w:val="28"/>
          <w:szCs w:val="28"/>
        </w:rPr>
        <w:t>ANTONIO JOSÉ LIZARAZO OCAMPO</w:t>
      </w: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r w:rsidRPr="00C039F9">
        <w:rPr>
          <w:rFonts w:ascii="Times New Roman" w:hAnsi="Times New Roman" w:cs="Times New Roman"/>
          <w:iCs/>
          <w:sz w:val="28"/>
          <w:szCs w:val="28"/>
        </w:rPr>
        <w:t>Magistrado</w:t>
      </w: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r w:rsidRPr="00C039F9">
        <w:rPr>
          <w:rFonts w:ascii="Times New Roman" w:hAnsi="Times New Roman" w:cs="Times New Roman"/>
          <w:iCs/>
          <w:sz w:val="28"/>
          <w:szCs w:val="28"/>
        </w:rPr>
        <w:t>Con aclaración de voto</w:t>
      </w: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r w:rsidRPr="00C039F9">
        <w:rPr>
          <w:rFonts w:ascii="Times New Roman" w:hAnsi="Times New Roman" w:cs="Times New Roman"/>
          <w:iCs/>
          <w:sz w:val="28"/>
          <w:szCs w:val="28"/>
        </w:rPr>
        <w:t>PAOLA ANDREA MENESES MOSQUERA</w:t>
      </w: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r w:rsidRPr="00C039F9">
        <w:rPr>
          <w:rFonts w:ascii="Times New Roman" w:hAnsi="Times New Roman" w:cs="Times New Roman"/>
          <w:iCs/>
          <w:sz w:val="28"/>
          <w:szCs w:val="28"/>
        </w:rPr>
        <w:t>Magistrada</w:t>
      </w: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r w:rsidRPr="00C039F9">
        <w:rPr>
          <w:rFonts w:ascii="Times New Roman" w:hAnsi="Times New Roman" w:cs="Times New Roman"/>
          <w:iCs/>
          <w:sz w:val="28"/>
          <w:szCs w:val="28"/>
        </w:rPr>
        <w:t xml:space="preserve">CRISTINA PARDO </w:t>
      </w:r>
      <w:r w:rsidRPr="00C039F9">
        <w:rPr>
          <w:rFonts w:ascii="Times New Roman" w:hAnsi="Times New Roman" w:cs="Times New Roman"/>
          <w:iCs/>
          <w:sz w:val="28"/>
          <w:szCs w:val="28"/>
        </w:rPr>
        <w:t>SCHLESINGER</w:t>
      </w: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r w:rsidRPr="00C039F9">
        <w:rPr>
          <w:rFonts w:ascii="Times New Roman" w:hAnsi="Times New Roman" w:cs="Times New Roman"/>
          <w:iCs/>
          <w:sz w:val="28"/>
          <w:szCs w:val="28"/>
        </w:rPr>
        <w:t>Magistrada</w:t>
      </w: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r w:rsidRPr="00C039F9">
        <w:rPr>
          <w:rFonts w:ascii="Times New Roman" w:hAnsi="Times New Roman" w:cs="Times New Roman"/>
          <w:iCs/>
          <w:sz w:val="28"/>
          <w:szCs w:val="28"/>
        </w:rPr>
        <w:t>ANDREA LILIANA ROMERO LOPEZ</w:t>
      </w: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r w:rsidRPr="00C039F9">
        <w:rPr>
          <w:rFonts w:ascii="Times New Roman" w:hAnsi="Times New Roman" w:cs="Times New Roman"/>
          <w:iCs/>
          <w:sz w:val="28"/>
          <w:szCs w:val="28"/>
        </w:rPr>
        <w:t>Secretaria General</w:t>
      </w: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p>
    <w:p w:rsidR="007D7360" w:rsidRPr="00C039F9" w:rsidRDefault="00C039F9" w:rsidP="007D7360">
      <w:pPr>
        <w:tabs>
          <w:tab w:val="left" w:pos="284"/>
          <w:tab w:val="left" w:pos="3420"/>
        </w:tabs>
        <w:ind w:right="51"/>
        <w:contextualSpacing/>
        <w:jc w:val="center"/>
        <w:rPr>
          <w:rFonts w:ascii="Times New Roman" w:hAnsi="Times New Roman" w:cs="Times New Roman"/>
          <w:iCs/>
          <w:sz w:val="28"/>
          <w:szCs w:val="28"/>
        </w:rPr>
      </w:pPr>
    </w:p>
    <w:p w:rsidR="00C931DD" w:rsidRPr="00C039F9" w:rsidRDefault="00C039F9" w:rsidP="00174FE0">
      <w:pPr>
        <w:ind w:left="-142"/>
        <w:jc w:val="center"/>
        <w:rPr>
          <w:rFonts w:ascii="Times New Roman" w:hAnsi="Times New Roman" w:cs="Times New Roman"/>
          <w:b/>
          <w:sz w:val="28"/>
          <w:szCs w:val="28"/>
          <w:lang w:eastAsia="es-ES_tradnl"/>
        </w:rPr>
      </w:pPr>
      <w:r w:rsidRPr="00C039F9">
        <w:rPr>
          <w:rFonts w:ascii="Times New Roman" w:hAnsi="Times New Roman" w:cs="Times New Roman"/>
          <w:b/>
          <w:sz w:val="28"/>
          <w:szCs w:val="28"/>
          <w:lang w:eastAsia="es-ES_tradnl"/>
        </w:rPr>
        <w:t>ACLARACIÓN</w:t>
      </w:r>
      <w:r w:rsidRPr="00C039F9">
        <w:rPr>
          <w:rFonts w:ascii="Times New Roman" w:hAnsi="Times New Roman" w:cs="Times New Roman"/>
          <w:b/>
          <w:sz w:val="28"/>
          <w:szCs w:val="28"/>
          <w:lang w:eastAsia="es-ES_tradnl"/>
        </w:rPr>
        <w:t xml:space="preserve"> DE VOTO</w:t>
      </w:r>
      <w:r w:rsidRPr="00C039F9">
        <w:rPr>
          <w:rFonts w:ascii="Times New Roman" w:hAnsi="Times New Roman" w:cs="Times New Roman"/>
          <w:b/>
          <w:sz w:val="28"/>
          <w:szCs w:val="28"/>
          <w:lang w:eastAsia="es-ES_tradnl"/>
        </w:rPr>
        <w:t xml:space="preserve"> </w:t>
      </w:r>
      <w:r w:rsidRPr="00C039F9">
        <w:rPr>
          <w:rFonts w:ascii="Times New Roman" w:hAnsi="Times New Roman" w:cs="Times New Roman"/>
          <w:b/>
          <w:sz w:val="28"/>
          <w:szCs w:val="28"/>
          <w:lang w:eastAsia="es-ES_tradnl"/>
        </w:rPr>
        <w:t>DEL MAGISTRADO</w:t>
      </w:r>
      <w:r w:rsidRPr="00C039F9">
        <w:rPr>
          <w:rFonts w:ascii="Times New Roman" w:hAnsi="Times New Roman" w:cs="Times New Roman"/>
          <w:b/>
          <w:sz w:val="28"/>
          <w:szCs w:val="28"/>
          <w:lang w:eastAsia="es-ES_tradnl"/>
        </w:rPr>
        <w:t xml:space="preserve"> </w:t>
      </w:r>
    </w:p>
    <w:p w:rsidR="00FE2352" w:rsidRPr="00C039F9" w:rsidRDefault="00C039F9" w:rsidP="00174FE0">
      <w:pPr>
        <w:ind w:left="-142"/>
        <w:jc w:val="center"/>
        <w:rPr>
          <w:rFonts w:ascii="Times New Roman" w:hAnsi="Times New Roman" w:cs="Times New Roman"/>
          <w:b/>
          <w:sz w:val="28"/>
          <w:szCs w:val="28"/>
          <w:lang w:eastAsia="es-ES_tradnl"/>
        </w:rPr>
      </w:pPr>
      <w:r w:rsidRPr="00C039F9">
        <w:rPr>
          <w:rFonts w:ascii="Times New Roman" w:hAnsi="Times New Roman" w:cs="Times New Roman"/>
          <w:b/>
          <w:sz w:val="28"/>
          <w:szCs w:val="28"/>
          <w:lang w:eastAsia="es-ES_tradnl"/>
        </w:rPr>
        <w:t>ANTONIO JOSÉ LIZARAZO OCAMPO</w:t>
      </w:r>
    </w:p>
    <w:p w:rsidR="00FE2352" w:rsidRPr="00C039F9" w:rsidRDefault="00C039F9" w:rsidP="00174FE0">
      <w:pPr>
        <w:tabs>
          <w:tab w:val="left" w:pos="2270"/>
          <w:tab w:val="center" w:pos="4419"/>
        </w:tabs>
        <w:ind w:left="-142"/>
        <w:jc w:val="center"/>
        <w:rPr>
          <w:rFonts w:ascii="Times New Roman" w:hAnsi="Times New Roman" w:cs="Times New Roman"/>
          <w:b/>
          <w:sz w:val="28"/>
          <w:szCs w:val="28"/>
          <w:lang w:eastAsia="es-ES_tradnl"/>
        </w:rPr>
      </w:pPr>
      <w:r w:rsidRPr="00C039F9">
        <w:rPr>
          <w:rFonts w:ascii="Times New Roman" w:hAnsi="Times New Roman" w:cs="Times New Roman"/>
          <w:b/>
          <w:sz w:val="28"/>
          <w:szCs w:val="28"/>
          <w:lang w:eastAsia="es-ES_tradnl"/>
        </w:rPr>
        <w:t xml:space="preserve">A LA SENTENCIA </w:t>
      </w:r>
      <w:r w:rsidRPr="00C039F9">
        <w:rPr>
          <w:rFonts w:ascii="Times New Roman" w:hAnsi="Times New Roman" w:cs="Times New Roman"/>
          <w:b/>
          <w:sz w:val="28"/>
          <w:szCs w:val="28"/>
          <w:lang w:eastAsia="es-ES_tradnl"/>
        </w:rPr>
        <w:t>C-055</w:t>
      </w:r>
      <w:r w:rsidRPr="00C039F9">
        <w:rPr>
          <w:rFonts w:ascii="Times New Roman" w:hAnsi="Times New Roman" w:cs="Times New Roman"/>
          <w:b/>
          <w:sz w:val="28"/>
          <w:szCs w:val="28"/>
          <w:lang w:eastAsia="es-ES_tradnl"/>
        </w:rPr>
        <w:t>/</w:t>
      </w:r>
      <w:r w:rsidRPr="00C039F9">
        <w:rPr>
          <w:rFonts w:ascii="Times New Roman" w:hAnsi="Times New Roman" w:cs="Times New Roman"/>
          <w:b/>
          <w:sz w:val="28"/>
          <w:szCs w:val="28"/>
          <w:lang w:eastAsia="es-ES_tradnl"/>
        </w:rPr>
        <w:t>24</w:t>
      </w:r>
    </w:p>
    <w:p w:rsidR="00FE2352" w:rsidRPr="00C039F9" w:rsidRDefault="00C039F9" w:rsidP="00174FE0">
      <w:pPr>
        <w:ind w:left="-142"/>
        <w:jc w:val="center"/>
        <w:rPr>
          <w:rFonts w:ascii="Times New Roman" w:hAnsi="Times New Roman" w:cs="Times New Roman"/>
          <w:sz w:val="28"/>
          <w:szCs w:val="28"/>
          <w:lang w:eastAsia="es-ES_tradnl"/>
        </w:rPr>
      </w:pPr>
    </w:p>
    <w:p w:rsidR="00FE2352" w:rsidRPr="00C039F9" w:rsidRDefault="00C039F9" w:rsidP="00FE2352">
      <w:pPr>
        <w:jc w:val="center"/>
        <w:rPr>
          <w:rFonts w:ascii="Times New Roman" w:hAnsi="Times New Roman" w:cs="Times New Roman"/>
          <w:sz w:val="28"/>
          <w:szCs w:val="28"/>
          <w:lang w:eastAsia="es-ES_tradnl"/>
        </w:rPr>
      </w:pPr>
    </w:p>
    <w:p w:rsidR="00FE2352" w:rsidRPr="00C039F9" w:rsidRDefault="00C039F9" w:rsidP="0040073D">
      <w:pPr>
        <w:ind w:left="3969"/>
        <w:rPr>
          <w:rFonts w:ascii="Times New Roman" w:hAnsi="Times New Roman" w:cs="Times New Roman"/>
          <w:sz w:val="28"/>
          <w:szCs w:val="28"/>
          <w:lang w:eastAsia="es-ES_tradnl"/>
        </w:rPr>
      </w:pPr>
      <w:r w:rsidRPr="00C039F9">
        <w:rPr>
          <w:rFonts w:ascii="Times New Roman" w:hAnsi="Times New Roman" w:cs="Times New Roman"/>
          <w:sz w:val="28"/>
          <w:szCs w:val="28"/>
          <w:lang w:eastAsia="es-ES_tradnl"/>
        </w:rPr>
        <w:t>Expediente: D-</w:t>
      </w:r>
      <w:r w:rsidRPr="00C039F9">
        <w:rPr>
          <w:rFonts w:ascii="Times New Roman" w:hAnsi="Times New Roman" w:cs="Times New Roman"/>
          <w:sz w:val="28"/>
          <w:szCs w:val="28"/>
          <w:lang w:eastAsia="es-ES_tradnl"/>
        </w:rPr>
        <w:t>15</w:t>
      </w:r>
      <w:r w:rsidRPr="00C039F9">
        <w:rPr>
          <w:rFonts w:ascii="Times New Roman" w:hAnsi="Times New Roman" w:cs="Times New Roman"/>
          <w:sz w:val="28"/>
          <w:szCs w:val="28"/>
          <w:lang w:eastAsia="es-ES_tradnl"/>
        </w:rPr>
        <w:t>.</w:t>
      </w:r>
      <w:r w:rsidRPr="00C039F9">
        <w:rPr>
          <w:rFonts w:ascii="Times New Roman" w:hAnsi="Times New Roman" w:cs="Times New Roman"/>
          <w:sz w:val="28"/>
          <w:szCs w:val="28"/>
          <w:lang w:eastAsia="es-ES_tradnl"/>
        </w:rPr>
        <w:t>402</w:t>
      </w:r>
    </w:p>
    <w:p w:rsidR="00FE2352" w:rsidRPr="00C039F9" w:rsidRDefault="00C039F9" w:rsidP="0040073D">
      <w:pPr>
        <w:ind w:left="3969"/>
        <w:rPr>
          <w:rFonts w:ascii="Times New Roman" w:hAnsi="Times New Roman" w:cs="Times New Roman"/>
          <w:sz w:val="28"/>
          <w:szCs w:val="28"/>
          <w:lang w:eastAsia="es-ES_tradnl"/>
        </w:rPr>
      </w:pPr>
    </w:p>
    <w:p w:rsidR="00FE2352" w:rsidRPr="00C039F9" w:rsidRDefault="00C039F9" w:rsidP="0040073D">
      <w:pPr>
        <w:ind w:left="3969"/>
        <w:rPr>
          <w:rFonts w:ascii="Times New Roman" w:hAnsi="Times New Roman" w:cs="Times New Roman"/>
          <w:iCs/>
          <w:sz w:val="28"/>
          <w:szCs w:val="28"/>
          <w:lang w:eastAsia="es-ES_tradnl"/>
        </w:rPr>
      </w:pPr>
      <w:r w:rsidRPr="00C039F9">
        <w:rPr>
          <w:rFonts w:ascii="Times New Roman" w:hAnsi="Times New Roman" w:cs="Times New Roman"/>
          <w:iCs/>
          <w:sz w:val="28"/>
          <w:szCs w:val="28"/>
          <w:lang w:eastAsia="es-ES_tradnl"/>
        </w:rPr>
        <w:t xml:space="preserve">Demanda de inconstitucionalidad contra el artículo 169 de la Ley </w:t>
      </w:r>
      <w:r w:rsidRPr="00C039F9">
        <w:rPr>
          <w:rFonts w:ascii="Times New Roman" w:hAnsi="Times New Roman" w:cs="Times New Roman"/>
          <w:iCs/>
          <w:sz w:val="28"/>
          <w:szCs w:val="28"/>
          <w:lang w:eastAsia="es-ES_tradnl"/>
        </w:rPr>
        <w:t>2294 de 2023, por la cual se expide el Plan Nacional de Desarrollo 2022-2026 «</w:t>
      </w:r>
      <w:r w:rsidRPr="00C039F9">
        <w:rPr>
          <w:rFonts w:ascii="Times New Roman" w:hAnsi="Times New Roman" w:cs="Times New Roman"/>
          <w:i/>
          <w:sz w:val="28"/>
          <w:szCs w:val="28"/>
          <w:lang w:eastAsia="es-ES_tradnl"/>
        </w:rPr>
        <w:t>Colombia Potencia Mundial de la Vida»</w:t>
      </w:r>
      <w:r w:rsidRPr="00C039F9">
        <w:rPr>
          <w:rFonts w:ascii="Times New Roman" w:hAnsi="Times New Roman" w:cs="Times New Roman"/>
          <w:iCs/>
          <w:sz w:val="28"/>
          <w:szCs w:val="28"/>
          <w:lang w:eastAsia="es-ES_tradnl"/>
        </w:rPr>
        <w:t>.</w:t>
      </w:r>
    </w:p>
    <w:p w:rsidR="00FE2352" w:rsidRPr="00C039F9" w:rsidRDefault="00C039F9">
      <w:pPr>
        <w:rPr>
          <w:rFonts w:ascii="Times New Roman" w:hAnsi="Times New Roman" w:cs="Times New Roman"/>
          <w:sz w:val="28"/>
          <w:szCs w:val="28"/>
        </w:rPr>
      </w:pPr>
    </w:p>
    <w:p w:rsidR="001A1361" w:rsidRPr="00C039F9" w:rsidRDefault="00C039F9">
      <w:pPr>
        <w:rPr>
          <w:rFonts w:ascii="Times New Roman" w:hAnsi="Times New Roman" w:cs="Times New Roman"/>
          <w:sz w:val="28"/>
          <w:szCs w:val="28"/>
        </w:rPr>
      </w:pPr>
    </w:p>
    <w:p w:rsidR="00ED24DE" w:rsidRPr="00C039F9" w:rsidRDefault="00C039F9" w:rsidP="00ED24DE">
      <w:pPr>
        <w:rPr>
          <w:rFonts w:ascii="Times New Roman" w:hAnsi="Times New Roman" w:cs="Times New Roman"/>
          <w:sz w:val="28"/>
          <w:szCs w:val="28"/>
        </w:rPr>
      </w:pPr>
      <w:r w:rsidRPr="00C039F9">
        <w:rPr>
          <w:rFonts w:ascii="Times New Roman" w:hAnsi="Times New Roman" w:cs="Times New Roman"/>
          <w:sz w:val="28"/>
          <w:szCs w:val="28"/>
        </w:rPr>
        <w:t>Con el debido respeto por las decisiones de la mayoría, me permito aclarar mi</w:t>
      </w:r>
      <w:r w:rsidRPr="00C039F9">
        <w:rPr>
          <w:rFonts w:ascii="Times New Roman" w:hAnsi="Times New Roman" w:cs="Times New Roman"/>
          <w:sz w:val="28"/>
          <w:szCs w:val="28"/>
        </w:rPr>
        <w:t xml:space="preserve"> voto</w:t>
      </w:r>
      <w:r w:rsidRPr="00C039F9">
        <w:rPr>
          <w:rFonts w:ascii="Times New Roman" w:hAnsi="Times New Roman" w:cs="Times New Roman"/>
          <w:sz w:val="28"/>
          <w:szCs w:val="28"/>
        </w:rPr>
        <w:t xml:space="preserve"> en el presente caso</w:t>
      </w:r>
      <w:r w:rsidRPr="00C039F9">
        <w:rPr>
          <w:rFonts w:ascii="Times New Roman" w:hAnsi="Times New Roman" w:cs="Times New Roman"/>
          <w:sz w:val="28"/>
          <w:szCs w:val="28"/>
        </w:rPr>
        <w:t xml:space="preserve"> </w:t>
      </w:r>
      <w:r w:rsidRPr="00C039F9">
        <w:rPr>
          <w:rFonts w:ascii="Times New Roman" w:hAnsi="Times New Roman" w:cs="Times New Roman"/>
          <w:sz w:val="28"/>
          <w:szCs w:val="28"/>
        </w:rPr>
        <w:t>p</w:t>
      </w:r>
      <w:r w:rsidRPr="00C039F9">
        <w:rPr>
          <w:rFonts w:ascii="Times New Roman" w:hAnsi="Times New Roman" w:cs="Times New Roman"/>
          <w:sz w:val="28"/>
          <w:szCs w:val="28"/>
        </w:rPr>
        <w:t>ara resaltar que</w:t>
      </w:r>
      <w:r w:rsidRPr="00C039F9">
        <w:rPr>
          <w:rFonts w:ascii="Times New Roman" w:hAnsi="Times New Roman" w:cs="Times New Roman"/>
          <w:sz w:val="28"/>
          <w:szCs w:val="28"/>
        </w:rPr>
        <w:t xml:space="preserve"> </w:t>
      </w:r>
      <w:r w:rsidRPr="00C039F9">
        <w:rPr>
          <w:rFonts w:ascii="Times New Roman" w:hAnsi="Times New Roman" w:cs="Times New Roman"/>
          <w:sz w:val="28"/>
          <w:szCs w:val="28"/>
        </w:rPr>
        <w:t xml:space="preserve">la </w:t>
      </w:r>
      <w:r w:rsidRPr="00C039F9">
        <w:rPr>
          <w:rFonts w:ascii="Times New Roman" w:hAnsi="Times New Roman" w:cs="Times New Roman"/>
          <w:sz w:val="28"/>
          <w:szCs w:val="28"/>
        </w:rPr>
        <w:t>C</w:t>
      </w:r>
      <w:r w:rsidRPr="00C039F9">
        <w:rPr>
          <w:rFonts w:ascii="Times New Roman" w:hAnsi="Times New Roman" w:cs="Times New Roman"/>
          <w:sz w:val="28"/>
          <w:szCs w:val="28"/>
        </w:rPr>
        <w:t xml:space="preserve">orte debió </w:t>
      </w:r>
      <w:r w:rsidRPr="00C039F9">
        <w:rPr>
          <w:rFonts w:ascii="Times New Roman" w:hAnsi="Times New Roman" w:cs="Times New Roman"/>
          <w:sz w:val="28"/>
          <w:szCs w:val="28"/>
        </w:rPr>
        <w:t>estudiar de oficio</w:t>
      </w:r>
      <w:r w:rsidRPr="00C039F9">
        <w:rPr>
          <w:rFonts w:ascii="Times New Roman" w:hAnsi="Times New Roman" w:cs="Times New Roman"/>
          <w:sz w:val="28"/>
          <w:szCs w:val="28"/>
        </w:rPr>
        <w:t>, bajo el amparo del artículo 22 del Decreto Ley 2067 de 1991,</w:t>
      </w:r>
      <w:r w:rsidRPr="00C039F9">
        <w:rPr>
          <w:rFonts w:ascii="Times New Roman" w:hAnsi="Times New Roman" w:cs="Times New Roman"/>
          <w:sz w:val="28"/>
          <w:szCs w:val="28"/>
        </w:rPr>
        <w:t xml:space="preserve"> la violación de</w:t>
      </w:r>
      <w:r w:rsidRPr="00C039F9">
        <w:rPr>
          <w:rFonts w:ascii="Times New Roman" w:hAnsi="Times New Roman" w:cs="Times New Roman"/>
          <w:sz w:val="28"/>
          <w:szCs w:val="28"/>
        </w:rPr>
        <w:t>l principio</w:t>
      </w:r>
      <w:r w:rsidRPr="00C039F9">
        <w:rPr>
          <w:rFonts w:ascii="Times New Roman" w:hAnsi="Times New Roman" w:cs="Times New Roman"/>
          <w:sz w:val="28"/>
          <w:szCs w:val="28"/>
        </w:rPr>
        <w:t xml:space="preserve"> </w:t>
      </w:r>
      <w:r w:rsidRPr="00C039F9">
        <w:rPr>
          <w:rFonts w:ascii="Times New Roman" w:hAnsi="Times New Roman" w:cs="Times New Roman"/>
          <w:sz w:val="28"/>
          <w:szCs w:val="28"/>
        </w:rPr>
        <w:t>de</w:t>
      </w:r>
      <w:r w:rsidRPr="00C039F9">
        <w:rPr>
          <w:rFonts w:ascii="Times New Roman" w:hAnsi="Times New Roman" w:cs="Times New Roman"/>
          <w:sz w:val="28"/>
          <w:szCs w:val="28"/>
        </w:rPr>
        <w:t xml:space="preserve"> unidad de materia por tratarse de un vicio evidente</w:t>
      </w:r>
      <w:r w:rsidRPr="00C039F9">
        <w:rPr>
          <w:rFonts w:ascii="Times New Roman" w:hAnsi="Times New Roman" w:cs="Times New Roman"/>
          <w:sz w:val="28"/>
          <w:szCs w:val="28"/>
        </w:rPr>
        <w:t>.</w:t>
      </w:r>
      <w:r w:rsidRPr="00C039F9">
        <w:rPr>
          <w:rFonts w:ascii="Times New Roman" w:hAnsi="Times New Roman" w:cs="Times New Roman"/>
          <w:sz w:val="28"/>
          <w:szCs w:val="28"/>
        </w:rPr>
        <w:t xml:space="preserve"> </w:t>
      </w:r>
    </w:p>
    <w:p w:rsidR="00ED24DE" w:rsidRPr="00C039F9" w:rsidRDefault="00C039F9" w:rsidP="00ED24DE">
      <w:pPr>
        <w:shd w:val="clear" w:color="auto" w:fill="FFFFFF"/>
        <w:ind w:right="20"/>
        <w:rPr>
          <w:rFonts w:ascii="Times New Roman" w:hAnsi="Times New Roman" w:cs="Times New Roman"/>
          <w:color w:val="000000"/>
          <w:sz w:val="28"/>
          <w:szCs w:val="28"/>
        </w:rPr>
      </w:pPr>
      <w:r w:rsidRPr="00C039F9">
        <w:rPr>
          <w:rFonts w:ascii="Times New Roman" w:hAnsi="Times New Roman" w:cs="Times New Roman"/>
          <w:color w:val="000000"/>
          <w:sz w:val="28"/>
          <w:szCs w:val="28"/>
        </w:rPr>
        <w:t> </w:t>
      </w:r>
    </w:p>
    <w:p w:rsidR="00ED24DE" w:rsidRPr="00C039F9" w:rsidRDefault="00C039F9" w:rsidP="00ED24DE">
      <w:pPr>
        <w:shd w:val="clear" w:color="auto" w:fill="FFFFFF"/>
        <w:ind w:right="20"/>
        <w:rPr>
          <w:rFonts w:ascii="Times New Roman" w:hAnsi="Times New Roman" w:cs="Times New Roman"/>
          <w:color w:val="000000"/>
          <w:sz w:val="28"/>
          <w:szCs w:val="28"/>
        </w:rPr>
      </w:pPr>
      <w:r w:rsidRPr="00C039F9">
        <w:rPr>
          <w:rFonts w:ascii="Times New Roman" w:hAnsi="Times New Roman" w:cs="Times New Roman"/>
          <w:color w:val="000000"/>
          <w:sz w:val="28"/>
          <w:szCs w:val="28"/>
          <w:lang w:val="es-ES_tradnl"/>
        </w:rPr>
        <w:t>Por la particular regulación constitucional y orgánica </w:t>
      </w:r>
      <w:r w:rsidRPr="00C039F9">
        <w:rPr>
          <w:rFonts w:ascii="Times New Roman" w:hAnsi="Times New Roman" w:cs="Times New Roman"/>
          <w:color w:val="000000"/>
          <w:sz w:val="28"/>
          <w:szCs w:val="28"/>
          <w:shd w:val="clear" w:color="auto" w:fill="FFFFFF"/>
        </w:rPr>
        <w:t>de la ley aprobatoria del Plan Nac</w:t>
      </w:r>
      <w:r w:rsidRPr="00C039F9">
        <w:rPr>
          <w:rFonts w:ascii="Times New Roman" w:hAnsi="Times New Roman" w:cs="Times New Roman"/>
          <w:color w:val="000000"/>
          <w:sz w:val="28"/>
          <w:szCs w:val="28"/>
          <w:shd w:val="clear" w:color="auto" w:fill="FFFFFF"/>
        </w:rPr>
        <w:t>ional de Desarrollo,</w:t>
      </w:r>
      <w:r w:rsidRPr="00C039F9">
        <w:rPr>
          <w:rFonts w:ascii="Times New Roman" w:hAnsi="Times New Roman" w:cs="Times New Roman"/>
          <w:color w:val="000000"/>
          <w:sz w:val="28"/>
          <w:szCs w:val="28"/>
          <w:lang w:val="es-ES_tradnl"/>
        </w:rPr>
        <w:t> el principio de unidad de materia como parámetro de constitucionalidad de las disposiciones que </w:t>
      </w:r>
      <w:r w:rsidRPr="00C039F9">
        <w:rPr>
          <w:rFonts w:ascii="Times New Roman" w:hAnsi="Times New Roman" w:cs="Times New Roman"/>
          <w:sz w:val="28"/>
          <w:szCs w:val="28"/>
        </w:rPr>
        <w:t>la integran tiene un carácter “estricto”</w:t>
      </w:r>
      <w:r w:rsidRPr="00C039F9">
        <w:rPr>
          <w:rFonts w:ascii="Times New Roman" w:hAnsi="Times New Roman" w:cs="Times New Roman"/>
          <w:sz w:val="28"/>
          <w:szCs w:val="28"/>
          <w:vertAlign w:val="superscript"/>
        </w:rPr>
        <w:footnoteReference w:id="40"/>
      </w:r>
      <w:r w:rsidRPr="00C039F9">
        <w:rPr>
          <w:rFonts w:ascii="Times New Roman" w:hAnsi="Times New Roman" w:cs="Times New Roman"/>
          <w:sz w:val="28"/>
          <w:szCs w:val="28"/>
        </w:rPr>
        <w:t>. </w:t>
      </w:r>
      <w:r w:rsidRPr="00C039F9">
        <w:rPr>
          <w:rFonts w:ascii="Times New Roman" w:hAnsi="Times New Roman" w:cs="Times New Roman"/>
          <w:sz w:val="28"/>
          <w:szCs w:val="28"/>
          <w:lang w:val="es-ES_tradnl"/>
        </w:rPr>
        <w:t>En la Sentencia C-415 de 2020, </w:t>
      </w:r>
      <w:r w:rsidRPr="00C039F9">
        <w:rPr>
          <w:rFonts w:ascii="Times New Roman" w:hAnsi="Times New Roman" w:cs="Times New Roman"/>
          <w:sz w:val="28"/>
          <w:szCs w:val="28"/>
        </w:rPr>
        <w:t xml:space="preserve">la Corte Constitucional avanzó en la definición del estándar </w:t>
      </w:r>
      <w:r w:rsidRPr="00C039F9">
        <w:rPr>
          <w:rFonts w:ascii="Times New Roman" w:hAnsi="Times New Roman" w:cs="Times New Roman"/>
          <w:sz w:val="28"/>
          <w:szCs w:val="28"/>
        </w:rPr>
        <w:t>aplicable para la valorar la exigencia de unidad de materia en las disposiciones de la ley aprobatoria del plan nacional de desarrollo, </w:t>
      </w:r>
      <w:r w:rsidRPr="00C039F9">
        <w:rPr>
          <w:rFonts w:ascii="Times New Roman" w:hAnsi="Times New Roman" w:cs="Times New Roman"/>
          <w:color w:val="000000"/>
          <w:sz w:val="28"/>
          <w:szCs w:val="28"/>
          <w:shd w:val="clear" w:color="auto" w:fill="FFFFFF"/>
        </w:rPr>
        <w:t>y precisó que dichas disposiciones deben ser expresión de la función de planeación, tener por objeto impulsar el plan de</w:t>
      </w:r>
      <w:r w:rsidRPr="00C039F9">
        <w:rPr>
          <w:rFonts w:ascii="Times New Roman" w:hAnsi="Times New Roman" w:cs="Times New Roman"/>
          <w:color w:val="000000"/>
          <w:sz w:val="28"/>
          <w:szCs w:val="28"/>
          <w:shd w:val="clear" w:color="auto" w:fill="FFFFFF"/>
        </w:rPr>
        <w:t xml:space="preserve"> desarrollo y corresponder a la competencia específica relacionada con la aprobación del plan.</w:t>
      </w:r>
    </w:p>
    <w:p w:rsidR="00ED24DE" w:rsidRPr="00C039F9" w:rsidRDefault="00C039F9" w:rsidP="00ED24DE">
      <w:pPr>
        <w:shd w:val="clear" w:color="auto" w:fill="FFFFFF"/>
        <w:ind w:right="20"/>
        <w:rPr>
          <w:rFonts w:ascii="Times New Roman" w:hAnsi="Times New Roman" w:cs="Times New Roman"/>
          <w:color w:val="000000"/>
          <w:sz w:val="28"/>
          <w:szCs w:val="28"/>
        </w:rPr>
      </w:pPr>
      <w:r w:rsidRPr="00C039F9">
        <w:rPr>
          <w:rFonts w:ascii="Times New Roman" w:hAnsi="Times New Roman" w:cs="Times New Roman"/>
          <w:color w:val="000000"/>
          <w:sz w:val="28"/>
          <w:szCs w:val="28"/>
        </w:rPr>
        <w:t> </w:t>
      </w:r>
    </w:p>
    <w:p w:rsidR="00ED24DE" w:rsidRPr="00C039F9" w:rsidRDefault="00C039F9" w:rsidP="00ED24DE">
      <w:pPr>
        <w:shd w:val="clear" w:color="auto" w:fill="FFFFFF"/>
        <w:ind w:right="20"/>
        <w:rPr>
          <w:rFonts w:ascii="Times New Roman" w:hAnsi="Times New Roman" w:cs="Times New Roman"/>
          <w:sz w:val="28"/>
          <w:szCs w:val="28"/>
          <w:lang w:val="es-ES_tradnl"/>
        </w:rPr>
      </w:pPr>
      <w:r w:rsidRPr="00C039F9">
        <w:rPr>
          <w:rFonts w:ascii="Times New Roman" w:hAnsi="Times New Roman" w:cs="Times New Roman"/>
          <w:sz w:val="28"/>
          <w:szCs w:val="28"/>
          <w:lang w:val="es-ES_tradnl"/>
        </w:rPr>
        <w:t xml:space="preserve">A partir de este estándar, no se acredita la unidad de materia del artículo demandado ya que la disposición </w:t>
      </w:r>
      <w:r w:rsidRPr="00C039F9">
        <w:rPr>
          <w:rFonts w:ascii="Times New Roman" w:hAnsi="Times New Roman" w:cs="Times New Roman"/>
          <w:i/>
          <w:iCs/>
          <w:sz w:val="28"/>
          <w:szCs w:val="28"/>
          <w:lang w:val="es-ES_tradnl"/>
        </w:rPr>
        <w:t>(i)</w:t>
      </w:r>
      <w:r w:rsidRPr="00C039F9">
        <w:rPr>
          <w:rFonts w:ascii="Times New Roman" w:hAnsi="Times New Roman" w:cs="Times New Roman"/>
          <w:sz w:val="28"/>
          <w:szCs w:val="28"/>
          <w:lang w:val="es-ES_tradnl"/>
        </w:rPr>
        <w:t xml:space="preserve"> introduce una modificación </w:t>
      </w:r>
      <w:r w:rsidRPr="00C039F9">
        <w:rPr>
          <w:rFonts w:ascii="Times New Roman" w:hAnsi="Times New Roman" w:cs="Times New Roman"/>
          <w:i/>
          <w:iCs/>
          <w:sz w:val="28"/>
          <w:szCs w:val="28"/>
          <w:lang w:val="es-ES_tradnl"/>
        </w:rPr>
        <w:t>estructural y perman</w:t>
      </w:r>
      <w:r w:rsidRPr="00C039F9">
        <w:rPr>
          <w:rFonts w:ascii="Times New Roman" w:hAnsi="Times New Roman" w:cs="Times New Roman"/>
          <w:i/>
          <w:iCs/>
          <w:sz w:val="28"/>
          <w:szCs w:val="28"/>
          <w:lang w:val="es-ES_tradnl"/>
        </w:rPr>
        <w:t>ente</w:t>
      </w:r>
      <w:r w:rsidRPr="00C039F9">
        <w:rPr>
          <w:rFonts w:ascii="Times New Roman" w:hAnsi="Times New Roman" w:cs="Times New Roman"/>
          <w:sz w:val="28"/>
          <w:szCs w:val="28"/>
          <w:lang w:val="es-ES_tradnl"/>
        </w:rPr>
        <w:t xml:space="preserve"> a la normativa fundamental del </w:t>
      </w:r>
      <w:r w:rsidRPr="00C039F9">
        <w:rPr>
          <w:rFonts w:ascii="Times New Roman" w:hAnsi="Times New Roman" w:cs="Times New Roman"/>
          <w:sz w:val="28"/>
          <w:szCs w:val="28"/>
          <w:lang w:val="es-ES_tradnl"/>
        </w:rPr>
        <w:t xml:space="preserve">régimen de </w:t>
      </w:r>
      <w:r w:rsidRPr="00C039F9">
        <w:rPr>
          <w:rFonts w:ascii="Times New Roman" w:hAnsi="Times New Roman" w:cs="Times New Roman"/>
          <w:sz w:val="28"/>
          <w:szCs w:val="28"/>
          <w:lang w:val="es-ES_tradnl"/>
        </w:rPr>
        <w:t>derechos de autor</w:t>
      </w:r>
      <w:r w:rsidRPr="00C039F9">
        <w:rPr>
          <w:rFonts w:ascii="Times New Roman" w:hAnsi="Times New Roman" w:cs="Times New Roman"/>
          <w:sz w:val="28"/>
          <w:szCs w:val="28"/>
          <w:lang w:val="es-ES_tradnl"/>
        </w:rPr>
        <w:t xml:space="preserve">, </w:t>
      </w:r>
      <w:r w:rsidRPr="00C039F9">
        <w:rPr>
          <w:rFonts w:ascii="Times New Roman" w:hAnsi="Times New Roman" w:cs="Times New Roman"/>
          <w:i/>
          <w:iCs/>
          <w:sz w:val="28"/>
          <w:szCs w:val="28"/>
          <w:lang w:val="es-ES_tradnl"/>
        </w:rPr>
        <w:t>(ii)</w:t>
      </w:r>
      <w:r w:rsidRPr="00C039F9">
        <w:rPr>
          <w:rFonts w:ascii="Times New Roman" w:hAnsi="Times New Roman" w:cs="Times New Roman"/>
          <w:sz w:val="28"/>
          <w:szCs w:val="28"/>
          <w:lang w:val="es-ES_tradnl"/>
        </w:rPr>
        <w:t xml:space="preserve"> no puede adscribirse a una finalidad relacionada con la planificación y, muy por el contrario, </w:t>
      </w:r>
      <w:r w:rsidRPr="00C039F9">
        <w:rPr>
          <w:rFonts w:ascii="Times New Roman" w:hAnsi="Times New Roman" w:cs="Times New Roman"/>
          <w:i/>
          <w:iCs/>
          <w:sz w:val="28"/>
          <w:szCs w:val="28"/>
          <w:lang w:val="es-ES_tradnl"/>
        </w:rPr>
        <w:t>(iii)</w:t>
      </w:r>
      <w:r w:rsidRPr="00C039F9">
        <w:rPr>
          <w:rFonts w:ascii="Times New Roman" w:hAnsi="Times New Roman" w:cs="Times New Roman"/>
          <w:sz w:val="28"/>
          <w:szCs w:val="28"/>
          <w:lang w:val="es-ES_tradnl"/>
        </w:rPr>
        <w:t xml:space="preserve"> se trata de una materia </w:t>
      </w:r>
      <w:r w:rsidRPr="00C039F9">
        <w:rPr>
          <w:rFonts w:ascii="Times New Roman" w:hAnsi="Times New Roman" w:cs="Times New Roman"/>
          <w:sz w:val="28"/>
          <w:szCs w:val="28"/>
          <w:lang w:val="es-ES_tradnl"/>
        </w:rPr>
        <w:t xml:space="preserve">que corresponde regular al legislador mediate </w:t>
      </w:r>
      <w:r w:rsidRPr="00C039F9">
        <w:rPr>
          <w:rFonts w:ascii="Times New Roman" w:hAnsi="Times New Roman" w:cs="Times New Roman"/>
          <w:sz w:val="28"/>
          <w:szCs w:val="28"/>
          <w:lang w:val="es-ES_tradnl"/>
        </w:rPr>
        <w:t>el procedimien</w:t>
      </w:r>
      <w:r w:rsidRPr="00C039F9">
        <w:rPr>
          <w:rFonts w:ascii="Times New Roman" w:hAnsi="Times New Roman" w:cs="Times New Roman"/>
          <w:sz w:val="28"/>
          <w:szCs w:val="28"/>
          <w:lang w:val="es-ES_tradnl"/>
        </w:rPr>
        <w:t xml:space="preserve">to legislativo ordinario, escenario idóneo para garantizar </w:t>
      </w:r>
      <w:r w:rsidRPr="00C039F9">
        <w:rPr>
          <w:rFonts w:ascii="Times New Roman" w:hAnsi="Times New Roman" w:cs="Times New Roman"/>
          <w:sz w:val="28"/>
          <w:szCs w:val="28"/>
          <w:lang w:val="es-ES_tradnl"/>
        </w:rPr>
        <w:t>la deliberación y las competencias del Congreso en materia de configuración del ordenamiento jurídico</w:t>
      </w:r>
      <w:r w:rsidRPr="00C039F9">
        <w:rPr>
          <w:rFonts w:ascii="Times New Roman" w:hAnsi="Times New Roman" w:cs="Times New Roman"/>
          <w:sz w:val="28"/>
          <w:szCs w:val="28"/>
          <w:lang w:val="es-ES_tradnl"/>
        </w:rPr>
        <w:t>.</w:t>
      </w:r>
    </w:p>
    <w:p w:rsidR="00ED24DE" w:rsidRPr="00C039F9" w:rsidRDefault="00C039F9" w:rsidP="00ED24DE">
      <w:pPr>
        <w:shd w:val="clear" w:color="auto" w:fill="FFFFFF"/>
        <w:ind w:right="20"/>
        <w:rPr>
          <w:rFonts w:ascii="Times New Roman" w:hAnsi="Times New Roman" w:cs="Times New Roman"/>
          <w:color w:val="000000"/>
          <w:sz w:val="28"/>
          <w:szCs w:val="28"/>
        </w:rPr>
      </w:pPr>
      <w:r w:rsidRPr="00C039F9">
        <w:rPr>
          <w:rFonts w:ascii="Times New Roman" w:hAnsi="Times New Roman" w:cs="Times New Roman"/>
          <w:sz w:val="28"/>
          <w:szCs w:val="28"/>
          <w:lang w:val="es-ES_tradnl"/>
        </w:rPr>
        <w:t> </w:t>
      </w:r>
    </w:p>
    <w:p w:rsidR="00ED24DE" w:rsidRPr="00C039F9" w:rsidRDefault="00C039F9" w:rsidP="00ED24DE">
      <w:pPr>
        <w:shd w:val="clear" w:color="auto" w:fill="FFFFFF"/>
        <w:ind w:right="20"/>
        <w:rPr>
          <w:rFonts w:ascii="Times New Roman" w:hAnsi="Times New Roman" w:cs="Times New Roman"/>
          <w:color w:val="000000"/>
          <w:sz w:val="28"/>
          <w:szCs w:val="28"/>
        </w:rPr>
      </w:pPr>
      <w:r w:rsidRPr="00C039F9">
        <w:rPr>
          <w:rFonts w:ascii="Times New Roman" w:hAnsi="Times New Roman" w:cs="Times New Roman"/>
          <w:color w:val="000000"/>
          <w:sz w:val="28"/>
          <w:szCs w:val="28"/>
        </w:rPr>
        <w:t xml:space="preserve">En relación con el primer aspecto, la disposición </w:t>
      </w:r>
      <w:r w:rsidRPr="00C039F9">
        <w:rPr>
          <w:rFonts w:ascii="Times New Roman" w:hAnsi="Times New Roman" w:cs="Times New Roman"/>
          <w:color w:val="000000"/>
          <w:sz w:val="28"/>
          <w:szCs w:val="28"/>
        </w:rPr>
        <w:t xml:space="preserve">altera de manera </w:t>
      </w:r>
      <w:r w:rsidRPr="00C039F9">
        <w:rPr>
          <w:rFonts w:ascii="Times New Roman" w:hAnsi="Times New Roman" w:cs="Times New Roman"/>
          <w:sz w:val="28"/>
          <w:szCs w:val="28"/>
          <w:lang w:val="es-ES_tradnl"/>
        </w:rPr>
        <w:t>estructural</w:t>
      </w:r>
      <w:r w:rsidRPr="00C039F9">
        <w:rPr>
          <w:rFonts w:ascii="Times New Roman" w:hAnsi="Times New Roman" w:cs="Times New Roman"/>
          <w:i/>
          <w:iCs/>
          <w:sz w:val="28"/>
          <w:szCs w:val="28"/>
          <w:lang w:val="es-ES_tradnl"/>
        </w:rPr>
        <w:t xml:space="preserve"> </w:t>
      </w:r>
      <w:r w:rsidRPr="00C039F9">
        <w:rPr>
          <w:rFonts w:ascii="Times New Roman" w:hAnsi="Times New Roman" w:cs="Times New Roman"/>
          <w:color w:val="000000"/>
          <w:sz w:val="28"/>
          <w:szCs w:val="28"/>
        </w:rPr>
        <w:t>y permanente</w:t>
      </w:r>
      <w:r w:rsidRPr="00C039F9">
        <w:rPr>
          <w:rFonts w:ascii="Times New Roman" w:hAnsi="Times New Roman" w:cs="Times New Roman"/>
          <w:color w:val="000000"/>
          <w:sz w:val="28"/>
          <w:szCs w:val="28"/>
        </w:rPr>
        <w:t xml:space="preserve"> </w:t>
      </w:r>
      <w:r w:rsidRPr="00C039F9">
        <w:rPr>
          <w:rFonts w:ascii="Times New Roman" w:hAnsi="Times New Roman" w:cs="Times New Roman"/>
          <w:color w:val="000000"/>
          <w:sz w:val="28"/>
          <w:szCs w:val="28"/>
        </w:rPr>
        <w:t>el tributo</w:t>
      </w:r>
      <w:r w:rsidRPr="00C039F9">
        <w:rPr>
          <w:rFonts w:ascii="Times New Roman" w:hAnsi="Times New Roman" w:cs="Times New Roman"/>
          <w:color w:val="000000"/>
          <w:sz w:val="28"/>
          <w:szCs w:val="28"/>
        </w:rPr>
        <w:t xml:space="preserve"> que tenían a su cargo aquellos usuarios que requerían la expedición de “cualquier otro </w:t>
      </w:r>
      <w:r w:rsidRPr="00C039F9">
        <w:rPr>
          <w:rFonts w:ascii="Times New Roman" w:hAnsi="Times New Roman" w:cs="Times New Roman"/>
          <w:color w:val="000000"/>
          <w:sz w:val="28"/>
          <w:szCs w:val="28"/>
        </w:rPr>
        <w:t>certificado, copia o extracto que necesitaren</w:t>
      </w:r>
      <w:r w:rsidRPr="00C039F9">
        <w:rPr>
          <w:rFonts w:ascii="Times New Roman" w:hAnsi="Times New Roman" w:cs="Times New Roman"/>
          <w:color w:val="000000"/>
          <w:sz w:val="28"/>
          <w:szCs w:val="28"/>
        </w:rPr>
        <w:t>” que no fuera</w:t>
      </w:r>
      <w:r w:rsidRPr="00C039F9">
        <w:rPr>
          <w:rFonts w:ascii="Times New Roman" w:hAnsi="Times New Roman" w:cs="Times New Roman"/>
          <w:color w:val="000000"/>
          <w:sz w:val="28"/>
          <w:szCs w:val="28"/>
        </w:rPr>
        <w:t xml:space="preserve"> “el primer extracto o certificado de registro de una obra”</w:t>
      </w:r>
      <w:r w:rsidRPr="00C039F9">
        <w:rPr>
          <w:rFonts w:ascii="Times New Roman" w:hAnsi="Times New Roman" w:cs="Times New Roman"/>
          <w:color w:val="000000"/>
          <w:sz w:val="28"/>
          <w:szCs w:val="28"/>
        </w:rPr>
        <w:t xml:space="preserve"> que señalaba el artículo 206</w:t>
      </w:r>
      <w:r w:rsidRPr="00C039F9">
        <w:rPr>
          <w:rFonts w:ascii="Times New Roman" w:hAnsi="Times New Roman" w:cs="Times New Roman"/>
          <w:color w:val="000000"/>
          <w:sz w:val="28"/>
          <w:szCs w:val="28"/>
        </w:rPr>
        <w:t>. En consec</w:t>
      </w:r>
      <w:r w:rsidRPr="00C039F9">
        <w:rPr>
          <w:rFonts w:ascii="Times New Roman" w:hAnsi="Times New Roman" w:cs="Times New Roman"/>
          <w:color w:val="000000"/>
          <w:sz w:val="28"/>
          <w:szCs w:val="28"/>
        </w:rPr>
        <w:t>uencia, la Sala ha debido seguir el precedente de la Sentencia C-415 de 2020 que, entre otras cosas, fortalece </w:t>
      </w:r>
      <w:r w:rsidRPr="00C039F9">
        <w:rPr>
          <w:rFonts w:ascii="Times New Roman" w:hAnsi="Times New Roman" w:cs="Times New Roman"/>
          <w:i/>
          <w:iCs/>
          <w:color w:val="000000"/>
          <w:sz w:val="28"/>
          <w:szCs w:val="28"/>
        </w:rPr>
        <w:t>“la severidad del control estricto”</w:t>
      </w:r>
      <w:r w:rsidRPr="00C039F9">
        <w:rPr>
          <w:rFonts w:ascii="Times New Roman" w:hAnsi="Times New Roman" w:cs="Times New Roman"/>
          <w:color w:val="000000"/>
          <w:sz w:val="28"/>
          <w:szCs w:val="28"/>
        </w:rPr>
        <w:t>, </w:t>
      </w:r>
      <w:r w:rsidRPr="00C039F9">
        <w:rPr>
          <w:rFonts w:ascii="Times New Roman" w:hAnsi="Times New Roman" w:cs="Times New Roman"/>
          <w:i/>
          <w:iCs/>
          <w:color w:val="000000"/>
          <w:sz w:val="28"/>
          <w:szCs w:val="28"/>
        </w:rPr>
        <w:t>“Tratándose de la modificación de la legislación ordinaria y permanente </w:t>
      </w:r>
      <w:r w:rsidRPr="00C039F9">
        <w:rPr>
          <w:rFonts w:ascii="Times New Roman" w:hAnsi="Times New Roman" w:cs="Times New Roman"/>
          <w:color w:val="000000"/>
          <w:sz w:val="28"/>
          <w:szCs w:val="28"/>
        </w:rPr>
        <w:t>[…]</w:t>
      </w:r>
      <w:r w:rsidRPr="00C039F9">
        <w:rPr>
          <w:rFonts w:ascii="Times New Roman" w:hAnsi="Times New Roman" w:cs="Times New Roman"/>
          <w:i/>
          <w:iCs/>
          <w:color w:val="000000"/>
          <w:sz w:val="28"/>
          <w:szCs w:val="28"/>
        </w:rPr>
        <w:t> cuando se alega la vulneración d</w:t>
      </w:r>
      <w:r w:rsidRPr="00C039F9">
        <w:rPr>
          <w:rFonts w:ascii="Times New Roman" w:hAnsi="Times New Roman" w:cs="Times New Roman"/>
          <w:i/>
          <w:iCs/>
          <w:color w:val="000000"/>
          <w:sz w:val="28"/>
          <w:szCs w:val="28"/>
        </w:rPr>
        <w:t>el principio de unidad de materia”.</w:t>
      </w:r>
    </w:p>
    <w:p w:rsidR="00ED24DE" w:rsidRPr="00C039F9" w:rsidRDefault="00C039F9" w:rsidP="00ED24DE">
      <w:pPr>
        <w:shd w:val="clear" w:color="auto" w:fill="FFFFFF"/>
        <w:ind w:right="20"/>
        <w:rPr>
          <w:rFonts w:ascii="Times New Roman" w:hAnsi="Times New Roman" w:cs="Times New Roman"/>
          <w:color w:val="000000"/>
          <w:sz w:val="28"/>
          <w:szCs w:val="28"/>
        </w:rPr>
      </w:pPr>
      <w:r w:rsidRPr="00C039F9">
        <w:rPr>
          <w:rFonts w:ascii="Times New Roman" w:hAnsi="Times New Roman" w:cs="Times New Roman"/>
          <w:color w:val="000000"/>
          <w:sz w:val="28"/>
          <w:szCs w:val="28"/>
        </w:rPr>
        <w:t> </w:t>
      </w:r>
    </w:p>
    <w:p w:rsidR="00ED24DE" w:rsidRPr="00C039F9" w:rsidRDefault="00C039F9" w:rsidP="00ED24DE">
      <w:pPr>
        <w:shd w:val="clear" w:color="auto" w:fill="FFFFFF"/>
        <w:rPr>
          <w:rFonts w:ascii="Times New Roman" w:hAnsi="Times New Roman" w:cs="Times New Roman"/>
          <w:color w:val="2D2D2D"/>
          <w:sz w:val="28"/>
          <w:szCs w:val="28"/>
        </w:rPr>
      </w:pPr>
      <w:r w:rsidRPr="00C039F9">
        <w:rPr>
          <w:rFonts w:ascii="Times New Roman" w:hAnsi="Times New Roman" w:cs="Times New Roman"/>
          <w:color w:val="2D2D2D"/>
          <w:sz w:val="28"/>
          <w:szCs w:val="28"/>
        </w:rPr>
        <w:t xml:space="preserve">En relación con el segundo aspecto, dado que la disposición modifica de manera </w:t>
      </w:r>
      <w:r w:rsidRPr="00C039F9">
        <w:rPr>
          <w:rFonts w:ascii="Times New Roman" w:hAnsi="Times New Roman" w:cs="Times New Roman"/>
          <w:color w:val="2D2D2D"/>
          <w:sz w:val="28"/>
          <w:szCs w:val="28"/>
        </w:rPr>
        <w:t>permanente una disposición de carácter tributario</w:t>
      </w:r>
      <w:r w:rsidRPr="00C039F9">
        <w:rPr>
          <w:rFonts w:ascii="Times New Roman" w:hAnsi="Times New Roman" w:cs="Times New Roman"/>
          <w:color w:val="2D2D2D"/>
          <w:sz w:val="28"/>
          <w:szCs w:val="28"/>
        </w:rPr>
        <w:t>, no es posible inferir que contribuya al fin </w:t>
      </w:r>
      <w:r w:rsidRPr="00C039F9">
        <w:rPr>
          <w:rFonts w:ascii="Times New Roman" w:hAnsi="Times New Roman" w:cs="Times New Roman"/>
          <w:color w:val="2D2D2D"/>
          <w:sz w:val="28"/>
          <w:szCs w:val="28"/>
          <w:shd w:val="clear" w:color="auto" w:fill="FFFFFF"/>
        </w:rPr>
        <w:t>planificador y de impulso a la ejecución del</w:t>
      </w:r>
      <w:r w:rsidRPr="00C039F9">
        <w:rPr>
          <w:rFonts w:ascii="Times New Roman" w:hAnsi="Times New Roman" w:cs="Times New Roman"/>
          <w:color w:val="2D2D2D"/>
          <w:sz w:val="28"/>
          <w:szCs w:val="28"/>
          <w:shd w:val="clear" w:color="auto" w:fill="FFFFFF"/>
        </w:rPr>
        <w:t xml:space="preserve"> plan cuatrienal que debe caracterizar las disposiciones que lo integran. </w:t>
      </w:r>
      <w:r w:rsidRPr="00C039F9">
        <w:rPr>
          <w:rFonts w:ascii="Times New Roman" w:hAnsi="Times New Roman" w:cs="Times New Roman"/>
          <w:color w:val="2D2D2D"/>
          <w:sz w:val="28"/>
          <w:szCs w:val="28"/>
        </w:rPr>
        <w:t>Lo dicho es coherente con una de las razones a partir de las cuales en la Sentencia C-415 de 2020 la Corte justificó la declaratoria de inexequibilidad de la expresión </w:t>
      </w:r>
      <w:r w:rsidRPr="00C039F9">
        <w:rPr>
          <w:rFonts w:ascii="Times New Roman" w:hAnsi="Times New Roman" w:cs="Times New Roman"/>
          <w:i/>
          <w:iCs/>
          <w:color w:val="2D2D2D"/>
          <w:sz w:val="28"/>
          <w:szCs w:val="28"/>
        </w:rPr>
        <w:t>“el artículo 1</w:t>
      </w:r>
      <w:r w:rsidRPr="00C039F9">
        <w:rPr>
          <w:rFonts w:ascii="Times New Roman" w:hAnsi="Times New Roman" w:cs="Times New Roman"/>
          <w:i/>
          <w:iCs/>
          <w:color w:val="2D2D2D"/>
          <w:sz w:val="28"/>
          <w:szCs w:val="28"/>
        </w:rPr>
        <w:t>10 de la Ley 1943 de 2018”</w:t>
      </w:r>
      <w:r w:rsidRPr="00C039F9">
        <w:rPr>
          <w:rFonts w:ascii="Times New Roman" w:hAnsi="Times New Roman" w:cs="Times New Roman"/>
          <w:color w:val="2D2D2D"/>
          <w:sz w:val="28"/>
          <w:szCs w:val="28"/>
        </w:rPr>
        <w:t>, prevista en el artículo 336 de la Ley 1955 de 2019, al introducir una modificación permanente al ordenamiento jurídico:</w:t>
      </w:r>
    </w:p>
    <w:p w:rsidR="00ED24DE" w:rsidRPr="00C039F9" w:rsidRDefault="00C039F9" w:rsidP="00ED24DE">
      <w:pPr>
        <w:shd w:val="clear" w:color="auto" w:fill="FFFFFF"/>
        <w:rPr>
          <w:rFonts w:ascii="Times New Roman" w:hAnsi="Times New Roman" w:cs="Times New Roman"/>
          <w:color w:val="2D2D2D"/>
          <w:sz w:val="28"/>
          <w:szCs w:val="28"/>
        </w:rPr>
      </w:pPr>
      <w:r w:rsidRPr="00C039F9">
        <w:rPr>
          <w:rFonts w:ascii="Times New Roman" w:hAnsi="Times New Roman" w:cs="Times New Roman"/>
          <w:color w:val="2D2D2D"/>
          <w:sz w:val="28"/>
          <w:szCs w:val="28"/>
        </w:rPr>
        <w:t> </w:t>
      </w:r>
    </w:p>
    <w:p w:rsidR="00ED24DE" w:rsidRPr="00C039F9" w:rsidRDefault="00C039F9" w:rsidP="00ED24DE">
      <w:pPr>
        <w:shd w:val="clear" w:color="auto" w:fill="FFFFFF"/>
        <w:ind w:left="567" w:right="618"/>
        <w:rPr>
          <w:rFonts w:ascii="Times New Roman" w:hAnsi="Times New Roman" w:cs="Times New Roman"/>
          <w:color w:val="2D2D2D"/>
          <w:sz w:val="28"/>
          <w:szCs w:val="24"/>
        </w:rPr>
      </w:pPr>
      <w:r w:rsidRPr="00C039F9">
        <w:rPr>
          <w:rFonts w:ascii="Times New Roman" w:hAnsi="Times New Roman" w:cs="Times New Roman"/>
          <w:i/>
          <w:iCs/>
          <w:color w:val="2D2D2D"/>
          <w:sz w:val="28"/>
          <w:szCs w:val="24"/>
        </w:rPr>
        <w:t>“211. Ahora bien, el artículo 336 de la Ley 1955 de 2019, deroga el artículo 110 de la Ley 1943 de 2018, p</w:t>
      </w:r>
      <w:r w:rsidRPr="00C039F9">
        <w:rPr>
          <w:rFonts w:ascii="Times New Roman" w:hAnsi="Times New Roman" w:cs="Times New Roman"/>
          <w:i/>
          <w:iCs/>
          <w:color w:val="2D2D2D"/>
          <w:sz w:val="28"/>
          <w:szCs w:val="24"/>
        </w:rPr>
        <w:t>or lo tanto, </w:t>
      </w:r>
      <w:r w:rsidRPr="00C039F9">
        <w:rPr>
          <w:rFonts w:ascii="Times New Roman" w:hAnsi="Times New Roman" w:cs="Times New Roman"/>
          <w:b/>
          <w:bCs/>
          <w:i/>
          <w:iCs/>
          <w:color w:val="2D2D2D"/>
          <w:sz w:val="28"/>
          <w:szCs w:val="24"/>
        </w:rPr>
        <w:t>modifica una legislación ordinaria comprometiendo la vocación de transitoriedad de la ley del plan</w:t>
      </w:r>
      <w:r w:rsidRPr="00C039F9">
        <w:rPr>
          <w:rFonts w:ascii="Times New Roman" w:hAnsi="Times New Roman" w:cs="Times New Roman"/>
          <w:i/>
          <w:iCs/>
          <w:color w:val="2D2D2D"/>
          <w:sz w:val="28"/>
          <w:szCs w:val="24"/>
        </w:rPr>
        <w:t>. Por lo tanto, se ha desplazado la competencia ordinaria del Congreso de la República, sin que se pueda identificar que con ello se busca materi</w:t>
      </w:r>
      <w:r w:rsidRPr="00C039F9">
        <w:rPr>
          <w:rFonts w:ascii="Times New Roman" w:hAnsi="Times New Roman" w:cs="Times New Roman"/>
          <w:i/>
          <w:iCs/>
          <w:color w:val="2D2D2D"/>
          <w:sz w:val="28"/>
          <w:szCs w:val="24"/>
        </w:rPr>
        <w:t>alizar de manera inexorable una política de largo plazo conexa (de forma directa e inmediata) con la ley o las Bases del plan, si no, por el contrario, corregir un problema normativo de legislación permanente preexistente”</w:t>
      </w:r>
      <w:r w:rsidRPr="00C039F9">
        <w:rPr>
          <w:rFonts w:ascii="Times New Roman" w:hAnsi="Times New Roman" w:cs="Times New Roman"/>
          <w:color w:val="2D2D2D"/>
          <w:sz w:val="28"/>
          <w:szCs w:val="24"/>
        </w:rPr>
        <w:t> (negrillas del original)</w:t>
      </w:r>
      <w:r w:rsidRPr="00C039F9">
        <w:rPr>
          <w:rFonts w:ascii="Times New Roman" w:hAnsi="Times New Roman" w:cs="Times New Roman"/>
          <w:color w:val="2D2D2D"/>
          <w:sz w:val="28"/>
          <w:szCs w:val="24"/>
          <w:vertAlign w:val="superscript"/>
        </w:rPr>
        <w:footnoteReference w:id="41"/>
      </w:r>
      <w:r w:rsidRPr="00C039F9">
        <w:rPr>
          <w:rFonts w:ascii="Times New Roman" w:hAnsi="Times New Roman" w:cs="Times New Roman"/>
          <w:color w:val="2D2D2D"/>
          <w:sz w:val="28"/>
          <w:szCs w:val="24"/>
        </w:rPr>
        <w:t>.</w:t>
      </w:r>
    </w:p>
    <w:p w:rsidR="00ED24DE" w:rsidRPr="00C039F9" w:rsidRDefault="00C039F9" w:rsidP="00ED24DE">
      <w:pPr>
        <w:shd w:val="clear" w:color="auto" w:fill="FFFFFF"/>
        <w:ind w:right="20"/>
        <w:rPr>
          <w:rFonts w:ascii="Times New Roman" w:hAnsi="Times New Roman" w:cs="Times New Roman"/>
          <w:color w:val="000000"/>
          <w:sz w:val="28"/>
          <w:szCs w:val="28"/>
        </w:rPr>
      </w:pPr>
      <w:r w:rsidRPr="00C039F9">
        <w:rPr>
          <w:rFonts w:ascii="Times New Roman" w:hAnsi="Times New Roman" w:cs="Times New Roman"/>
          <w:color w:val="000000"/>
          <w:sz w:val="28"/>
          <w:szCs w:val="28"/>
        </w:rPr>
        <w:t> </w:t>
      </w:r>
    </w:p>
    <w:p w:rsidR="00ED24DE" w:rsidRPr="00C039F9" w:rsidRDefault="00C039F9" w:rsidP="00ED24DE">
      <w:pPr>
        <w:shd w:val="clear" w:color="auto" w:fill="FFFFFF"/>
        <w:ind w:right="20"/>
        <w:rPr>
          <w:rFonts w:ascii="Times New Roman" w:hAnsi="Times New Roman" w:cs="Times New Roman"/>
          <w:color w:val="000000"/>
          <w:sz w:val="28"/>
          <w:szCs w:val="28"/>
        </w:rPr>
      </w:pPr>
      <w:r w:rsidRPr="00C039F9">
        <w:rPr>
          <w:rFonts w:ascii="Times New Roman" w:hAnsi="Times New Roman" w:cs="Times New Roman"/>
          <w:color w:val="000000"/>
          <w:sz w:val="28"/>
          <w:szCs w:val="28"/>
        </w:rPr>
        <w:t xml:space="preserve">En relación con el tercer aspecto, </w:t>
      </w:r>
      <w:r w:rsidRPr="00C039F9">
        <w:rPr>
          <w:rFonts w:ascii="Times New Roman" w:hAnsi="Times New Roman" w:cs="Times New Roman"/>
          <w:color w:val="000000"/>
          <w:sz w:val="28"/>
          <w:szCs w:val="28"/>
        </w:rPr>
        <w:t>dijo la Corte en la Sentencia C-415 de 2020:</w:t>
      </w:r>
    </w:p>
    <w:p w:rsidR="009C426B" w:rsidRPr="00C039F9" w:rsidRDefault="00C039F9" w:rsidP="00ED24DE">
      <w:pPr>
        <w:shd w:val="clear" w:color="auto" w:fill="FFFFFF"/>
        <w:ind w:right="20"/>
        <w:rPr>
          <w:rFonts w:ascii="Times New Roman" w:hAnsi="Times New Roman" w:cs="Times New Roman"/>
          <w:color w:val="000000"/>
          <w:sz w:val="28"/>
          <w:szCs w:val="28"/>
        </w:rPr>
      </w:pPr>
    </w:p>
    <w:p w:rsidR="009C426B" w:rsidRPr="00C039F9" w:rsidRDefault="00C039F9" w:rsidP="009C426B">
      <w:pPr>
        <w:ind w:left="720"/>
        <w:rPr>
          <w:rFonts w:ascii="Times New Roman" w:hAnsi="Times New Roman" w:cs="Times New Roman"/>
          <w:i/>
          <w:iCs/>
          <w:sz w:val="28"/>
          <w:szCs w:val="24"/>
        </w:rPr>
      </w:pPr>
      <w:r w:rsidRPr="00C039F9">
        <w:rPr>
          <w:rFonts w:ascii="Times New Roman" w:hAnsi="Times New Roman" w:cs="Times New Roman"/>
          <w:i/>
          <w:iCs/>
          <w:sz w:val="28"/>
          <w:szCs w:val="24"/>
        </w:rPr>
        <w:t>102. Ello le permitió al Tribunal afirmar que el plan “no es una herramienta para subsanar vacíos normativos existentes en otras leyes ordinarias. Es decir, si una política es</w:t>
      </w:r>
      <w:r w:rsidRPr="00C039F9">
        <w:rPr>
          <w:rFonts w:ascii="Times New Roman" w:hAnsi="Times New Roman" w:cs="Times New Roman"/>
          <w:i/>
          <w:iCs/>
          <w:sz w:val="28"/>
          <w:szCs w:val="24"/>
        </w:rPr>
        <w:t>tatal enfrenta una falencia estructural, cuya naturaleza excede la órbita de acción de un Gobierno, la medida legislativa adoptada para solucionar dicha falencia debe ser, por su naturaleza, de carácter permanente. De lo contrario se desconocería la vocaci</w:t>
      </w:r>
      <w:r w:rsidRPr="00C039F9">
        <w:rPr>
          <w:rFonts w:ascii="Times New Roman" w:hAnsi="Times New Roman" w:cs="Times New Roman"/>
          <w:i/>
          <w:iCs/>
          <w:sz w:val="28"/>
          <w:szCs w:val="24"/>
        </w:rPr>
        <w:t>ón de temporalidad del plan, las medidas normativas del plan excederían la función constitucional de impulsar su cumplimiento, y el plan se convertiría en un mecanismo para llenar vacíos legales que indudablemente corresponde tramitar al legislador, pero m</w:t>
      </w:r>
      <w:r w:rsidRPr="00C039F9">
        <w:rPr>
          <w:rFonts w:ascii="Times New Roman" w:hAnsi="Times New Roman" w:cs="Times New Roman"/>
          <w:i/>
          <w:iCs/>
          <w:sz w:val="28"/>
          <w:szCs w:val="24"/>
        </w:rPr>
        <w:t>ediante el procedimiento legislativo propio de las leyes que los contengan”.</w:t>
      </w:r>
    </w:p>
    <w:p w:rsidR="009C426B" w:rsidRPr="00C039F9" w:rsidRDefault="00C039F9" w:rsidP="009C426B">
      <w:pPr>
        <w:ind w:left="720"/>
        <w:rPr>
          <w:rFonts w:ascii="Times New Roman" w:hAnsi="Times New Roman" w:cs="Times New Roman"/>
          <w:i/>
          <w:iCs/>
          <w:sz w:val="28"/>
          <w:szCs w:val="24"/>
        </w:rPr>
      </w:pPr>
    </w:p>
    <w:p w:rsidR="009C426B" w:rsidRPr="00C039F9" w:rsidRDefault="00C039F9" w:rsidP="009C426B">
      <w:pPr>
        <w:ind w:left="720"/>
        <w:rPr>
          <w:rFonts w:ascii="Times New Roman" w:hAnsi="Times New Roman" w:cs="Times New Roman"/>
          <w:i/>
          <w:iCs/>
          <w:sz w:val="28"/>
          <w:szCs w:val="24"/>
        </w:rPr>
      </w:pPr>
      <w:r w:rsidRPr="00C039F9">
        <w:rPr>
          <w:rFonts w:ascii="Times New Roman" w:hAnsi="Times New Roman" w:cs="Times New Roman"/>
          <w:i/>
          <w:iCs/>
          <w:sz w:val="28"/>
          <w:szCs w:val="24"/>
        </w:rPr>
        <w:t>103. El principio de unidad de materia en la ley del plan proscribe de manera general la aprobación de reglas que modifiquen normas de carácter permanente o impliquen reformas es</w:t>
      </w:r>
      <w:r w:rsidRPr="00C039F9">
        <w:rPr>
          <w:rFonts w:ascii="Times New Roman" w:hAnsi="Times New Roman" w:cs="Times New Roman"/>
          <w:i/>
          <w:iCs/>
          <w:sz w:val="28"/>
          <w:szCs w:val="24"/>
        </w:rPr>
        <w:t>tructurales, aunque no impide la modificación de leyes ordinarias de carácter permanente, siempre que la modificación tenga un fin planificador y de impulso a la ejecución del plan cuatrienal, entre otros presupuestos. La ley que aprueba el PND para un cua</w:t>
      </w:r>
      <w:r w:rsidRPr="00C039F9">
        <w:rPr>
          <w:rFonts w:ascii="Times New Roman" w:hAnsi="Times New Roman" w:cs="Times New Roman"/>
          <w:i/>
          <w:iCs/>
          <w:sz w:val="28"/>
          <w:szCs w:val="24"/>
        </w:rPr>
        <w:t xml:space="preserve">trienio presidencial no puede contener una regulación sobre todas las materias que al Congreso de la República corresponden en el ejercicio de sus atribuciones. No podría incluir cualquier normativa legal, ya que ello implicaría que la atribución asignada </w:t>
      </w:r>
      <w:r w:rsidRPr="00C039F9">
        <w:rPr>
          <w:rFonts w:ascii="Times New Roman" w:hAnsi="Times New Roman" w:cs="Times New Roman"/>
          <w:i/>
          <w:iCs/>
          <w:sz w:val="28"/>
          <w:szCs w:val="24"/>
        </w:rPr>
        <w:t>al Congreso de la República por el numeral 3 del art.150 de la Carta, termine por subsumir, suprimir o reducir las demás funciones constitucionales del legislador (24 restantes).</w:t>
      </w:r>
    </w:p>
    <w:p w:rsidR="00D61F8F" w:rsidRPr="00C039F9" w:rsidRDefault="00C039F9" w:rsidP="00D61F8F">
      <w:pPr>
        <w:rPr>
          <w:rFonts w:ascii="Times New Roman" w:hAnsi="Times New Roman" w:cs="Times New Roman"/>
          <w:sz w:val="28"/>
          <w:szCs w:val="28"/>
        </w:rPr>
      </w:pPr>
    </w:p>
    <w:p w:rsidR="000301D0" w:rsidRPr="00C039F9" w:rsidRDefault="00C039F9">
      <w:pPr>
        <w:rPr>
          <w:rFonts w:ascii="Times New Roman" w:hAnsi="Times New Roman" w:cs="Times New Roman"/>
          <w:sz w:val="28"/>
          <w:szCs w:val="28"/>
        </w:rPr>
      </w:pPr>
      <w:r w:rsidRPr="00C039F9">
        <w:rPr>
          <w:rFonts w:ascii="Times New Roman" w:hAnsi="Times New Roman" w:cs="Times New Roman"/>
          <w:sz w:val="28"/>
          <w:szCs w:val="28"/>
        </w:rPr>
        <w:t xml:space="preserve">Por </w:t>
      </w:r>
      <w:r w:rsidRPr="00C039F9">
        <w:rPr>
          <w:rFonts w:ascii="Times New Roman" w:hAnsi="Times New Roman" w:cs="Times New Roman"/>
          <w:sz w:val="28"/>
          <w:szCs w:val="28"/>
        </w:rPr>
        <w:t>tratarse de un vicio evidente</w:t>
      </w:r>
      <w:r w:rsidRPr="00C039F9">
        <w:rPr>
          <w:rFonts w:ascii="Times New Roman" w:hAnsi="Times New Roman" w:cs="Times New Roman"/>
          <w:sz w:val="28"/>
          <w:szCs w:val="28"/>
        </w:rPr>
        <w:t>,</w:t>
      </w:r>
      <w:r w:rsidRPr="00C039F9">
        <w:rPr>
          <w:rFonts w:ascii="Times New Roman" w:hAnsi="Times New Roman" w:cs="Times New Roman"/>
          <w:sz w:val="28"/>
          <w:szCs w:val="28"/>
        </w:rPr>
        <w:t xml:space="preserve"> la Corte debió estudiar de oficio, bajo e</w:t>
      </w:r>
      <w:r w:rsidRPr="00C039F9">
        <w:rPr>
          <w:rFonts w:ascii="Times New Roman" w:hAnsi="Times New Roman" w:cs="Times New Roman"/>
          <w:sz w:val="28"/>
          <w:szCs w:val="28"/>
        </w:rPr>
        <w:t xml:space="preserve">l amparo del artículo 22 del Decreto Ley 2067 de 1991, la violación del principio </w:t>
      </w:r>
      <w:r w:rsidRPr="00C039F9">
        <w:rPr>
          <w:rFonts w:ascii="Times New Roman" w:hAnsi="Times New Roman" w:cs="Times New Roman"/>
          <w:sz w:val="28"/>
          <w:szCs w:val="28"/>
        </w:rPr>
        <w:t>de</w:t>
      </w:r>
      <w:r w:rsidRPr="00C039F9">
        <w:rPr>
          <w:rFonts w:ascii="Times New Roman" w:hAnsi="Times New Roman" w:cs="Times New Roman"/>
          <w:sz w:val="28"/>
          <w:szCs w:val="28"/>
        </w:rPr>
        <w:t xml:space="preserve"> unidad de materia</w:t>
      </w:r>
      <w:r w:rsidRPr="00C039F9">
        <w:rPr>
          <w:rFonts w:ascii="Times New Roman" w:hAnsi="Times New Roman" w:cs="Times New Roman"/>
          <w:sz w:val="28"/>
          <w:szCs w:val="28"/>
        </w:rPr>
        <w:t>.</w:t>
      </w:r>
    </w:p>
    <w:p w:rsidR="002A5B79" w:rsidRPr="00C039F9" w:rsidRDefault="00C039F9">
      <w:pPr>
        <w:rPr>
          <w:rFonts w:ascii="Times New Roman" w:hAnsi="Times New Roman" w:cs="Times New Roman"/>
          <w:sz w:val="28"/>
          <w:szCs w:val="28"/>
        </w:rPr>
      </w:pPr>
    </w:p>
    <w:p w:rsidR="002A5B79" w:rsidRPr="00C039F9" w:rsidRDefault="00C039F9">
      <w:pPr>
        <w:rPr>
          <w:rFonts w:ascii="Times New Roman" w:hAnsi="Times New Roman" w:cs="Times New Roman"/>
          <w:sz w:val="28"/>
          <w:szCs w:val="28"/>
        </w:rPr>
      </w:pPr>
    </w:p>
    <w:p w:rsidR="002A5B79" w:rsidRPr="00C039F9" w:rsidRDefault="00C039F9" w:rsidP="002A5B79">
      <w:pPr>
        <w:jc w:val="center"/>
        <w:rPr>
          <w:rFonts w:ascii="Times New Roman" w:hAnsi="Times New Roman" w:cs="Times New Roman"/>
          <w:b/>
          <w:bCs/>
          <w:sz w:val="28"/>
          <w:szCs w:val="28"/>
        </w:rPr>
      </w:pPr>
      <w:r w:rsidRPr="00C039F9">
        <w:rPr>
          <w:rFonts w:ascii="Times New Roman" w:hAnsi="Times New Roman" w:cs="Times New Roman"/>
          <w:b/>
          <w:bCs/>
          <w:sz w:val="28"/>
          <w:szCs w:val="28"/>
        </w:rPr>
        <w:t>ANTONIO JOSÉ LIZARAZO OCAMPO</w:t>
      </w:r>
    </w:p>
    <w:p w:rsidR="002A5B79" w:rsidRPr="00C039F9" w:rsidRDefault="00C039F9" w:rsidP="002A5B79">
      <w:pPr>
        <w:jc w:val="center"/>
        <w:rPr>
          <w:rFonts w:ascii="Times New Roman" w:hAnsi="Times New Roman" w:cs="Times New Roman"/>
          <w:b/>
          <w:bCs/>
          <w:sz w:val="28"/>
          <w:szCs w:val="28"/>
        </w:rPr>
      </w:pPr>
      <w:r w:rsidRPr="00C039F9">
        <w:rPr>
          <w:rFonts w:ascii="Times New Roman" w:hAnsi="Times New Roman" w:cs="Times New Roman"/>
          <w:b/>
          <w:bCs/>
          <w:sz w:val="28"/>
          <w:szCs w:val="28"/>
        </w:rPr>
        <w:t>Magistrado</w:t>
      </w:r>
    </w:p>
    <w:sectPr w:rsidR="002A5B79" w:rsidRPr="00C039F9">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C039F9">
      <w:pPr>
        <w:spacing w:after="0" w:line="240" w:lineRule="auto"/>
      </w:pPr>
      <w:r>
        <w:separator/>
      </w:r>
    </w:p>
  </w:endnote>
  <w:endnote w:type="continuationSeparator" w:id="0">
    <w:p w:rsidR="00000000" w:rsidRDefault="00C039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Work Sans">
    <w:altName w:val="Calibri"/>
    <w:charset w:val="00"/>
    <w:family w:val="auto"/>
    <w:pitch w:val="variable"/>
    <w:sig w:usb0="A00000FF" w:usb1="5000E07B" w:usb2="00000000" w:usb3="00000000" w:csb0="00000193"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C039F9">
      <w:pPr>
        <w:spacing w:after="0" w:line="240" w:lineRule="auto"/>
      </w:pPr>
      <w:r>
        <w:separator/>
      </w:r>
    </w:p>
  </w:footnote>
  <w:footnote w:type="continuationSeparator" w:id="0">
    <w:p w:rsidR="00000000" w:rsidRDefault="00C039F9">
      <w:pPr>
        <w:spacing w:after="0" w:line="240" w:lineRule="auto"/>
      </w:pPr>
      <w:r>
        <w:continuationSeparator/>
      </w:r>
    </w:p>
  </w:footnote>
  <w:footnote w:id="1">
    <w:p w:rsidR="00D6280D" w:rsidRPr="00944F16" w:rsidRDefault="00C039F9" w:rsidP="00D6280D">
      <w:pPr>
        <w:pStyle w:val="Textonotapie"/>
        <w:tabs>
          <w:tab w:val="left" w:pos="4395"/>
        </w:tabs>
      </w:pPr>
      <w:r w:rsidRPr="00944F16">
        <w:rPr>
          <w:rStyle w:val="Refdenotaalpie"/>
        </w:rPr>
        <w:footnoteRef/>
      </w:r>
      <w:r w:rsidRPr="00944F16">
        <w:t xml:space="preserve"> La norma modificada originalmente señalaba que</w:t>
      </w:r>
      <w:r w:rsidRPr="00944F16">
        <w:rPr>
          <w:rFonts w:ascii="Work Sans" w:hAnsi="Work Sans"/>
          <w:shd w:val="clear" w:color="auto" w:fill="FFFFFF"/>
        </w:rPr>
        <w:t xml:space="preserve"> </w:t>
      </w:r>
      <w:r w:rsidRPr="00944F16">
        <w:rPr>
          <w:shd w:val="clear" w:color="auto" w:fill="FFFFFF"/>
        </w:rPr>
        <w:t xml:space="preserve">«Los solicitantes no pagarán derecho alguno por el primer </w:t>
      </w:r>
      <w:r w:rsidRPr="00944F16">
        <w:rPr>
          <w:shd w:val="clear" w:color="auto" w:fill="FFFFFF"/>
        </w:rPr>
        <w:t>extracto o certificado de registro de una obra; pero por cualquier otro certificado, copia o extracto que necesitaren cubrirán los derechos que se establezcan para la expedición de cada uno de esos documentos.»</w:t>
      </w:r>
    </w:p>
  </w:footnote>
  <w:footnote w:id="2">
    <w:p w:rsidR="00D6280D" w:rsidRPr="00944F16" w:rsidRDefault="00C039F9" w:rsidP="00D6280D">
      <w:pPr>
        <w:pStyle w:val="Textonotapie"/>
        <w:rPr>
          <w:lang w:val="es-ES"/>
        </w:rPr>
      </w:pPr>
      <w:r w:rsidRPr="00944F16">
        <w:rPr>
          <w:rStyle w:val="Refdenotaalpie"/>
        </w:rPr>
        <w:footnoteRef/>
      </w:r>
      <w:r w:rsidRPr="00944F16">
        <w:t xml:space="preserve"> </w:t>
      </w:r>
      <w:r w:rsidRPr="00944F16">
        <w:rPr>
          <w:lang w:val="es-ES"/>
        </w:rPr>
        <w:t>El inciso mencionado estipula</w:t>
      </w:r>
      <w:r w:rsidRPr="00944F16">
        <w:rPr>
          <w:iCs/>
          <w:lang w:val="es-ES_tradnl" w:eastAsia="es-MX"/>
        </w:rPr>
        <w:t xml:space="preserve"> que </w:t>
      </w:r>
      <w:r w:rsidRPr="00944F16">
        <w:rPr>
          <w:lang w:val="es-ES_tradnl" w:eastAsia="es-MX"/>
        </w:rPr>
        <w:t>«</w:t>
      </w:r>
      <w:r w:rsidRPr="00944F16">
        <w:t>[l]a bas</w:t>
      </w:r>
      <w:r w:rsidRPr="00944F16">
        <w:t>e para la liquidación de la tasa será el costo de los servicios correspondientes a cada uno de los hechos generadores establecidos en el presente artículo, conforme la metodología de cálculo que establezca el Gobierno Nacional a través del Ministerio del I</w:t>
      </w:r>
      <w:r w:rsidRPr="00944F16">
        <w:t>nterior»</w:t>
      </w:r>
      <w:r w:rsidRPr="00944F16">
        <w:t>.</w:t>
      </w:r>
    </w:p>
  </w:footnote>
  <w:footnote w:id="3">
    <w:p w:rsidR="00234850" w:rsidRPr="00944F16" w:rsidRDefault="00C039F9" w:rsidP="00234850">
      <w:pPr>
        <w:pStyle w:val="Textonotapie"/>
        <w:tabs>
          <w:tab w:val="left" w:pos="4536"/>
        </w:tabs>
      </w:pPr>
      <w:r w:rsidRPr="00944F16">
        <w:rPr>
          <w:rStyle w:val="Refdenotaalpie"/>
        </w:rPr>
        <w:footnoteRef/>
      </w:r>
      <w:r w:rsidRPr="00944F16">
        <w:t xml:space="preserve"> En lo fundamental, en su escrito de corrección, el demandante sostuvo que «la base gravable es uno de los elementos esenciales de la obligación tributaria, razón por la cual: Sí a la tasa por vía judicial se le anula uno de sus elementos esenci</w:t>
      </w:r>
      <w:r w:rsidRPr="00944F16">
        <w:t>ales, la consecuencia lógica es que esta pierda su naturaleza tributaria y necesariamente su efecto impositivo</w:t>
      </w:r>
      <w:r w:rsidRPr="00944F16">
        <w:t xml:space="preserve"> (sic)</w:t>
      </w:r>
      <w:r w:rsidRPr="00944F16">
        <w:t>»</w:t>
      </w:r>
      <w:r w:rsidRPr="00944F16">
        <w:t>.</w:t>
      </w:r>
      <w:r w:rsidRPr="00944F16">
        <w:t xml:space="preserve"> En otras palabras, la inconstitucionalidad de la base afecta a todo el resto del artículo. </w:t>
      </w:r>
    </w:p>
  </w:footnote>
  <w:footnote w:id="4">
    <w:p w:rsidR="00D6280D" w:rsidRPr="00944F16" w:rsidRDefault="00C039F9" w:rsidP="00D6280D">
      <w:pPr>
        <w:pStyle w:val="Textonotapie"/>
      </w:pPr>
      <w:r w:rsidRPr="00944F16">
        <w:rPr>
          <w:rStyle w:val="Refdenotaalpie"/>
        </w:rPr>
        <w:footnoteRef/>
      </w:r>
      <w:r w:rsidRPr="00944F16">
        <w:t xml:space="preserve"> Se invitó al Instituto Colombiano de Derech</w:t>
      </w:r>
      <w:r w:rsidRPr="00944F16">
        <w:t xml:space="preserve">o Tributario -ICDT, al </w:t>
      </w:r>
      <w:r w:rsidRPr="00944F16">
        <w:rPr>
          <w:lang w:eastAsia="es-ES"/>
        </w:rPr>
        <w:t>Grupo de Acciones Públicas de la Universidad del Rosario y a las facultades de Derecho de las Universidades Externado de Colombia, Nacional de Colombia (sede Bogotá), Libre de Colombia (Seccional Bogotá), del Norte, Javeriana, de los</w:t>
      </w:r>
      <w:r w:rsidRPr="00944F16">
        <w:rPr>
          <w:lang w:eastAsia="es-ES"/>
        </w:rPr>
        <w:t xml:space="preserve"> Andes e ICESI de Cali.</w:t>
      </w:r>
    </w:p>
  </w:footnote>
  <w:footnote w:id="5">
    <w:p w:rsidR="00D6280D" w:rsidRPr="00944F16" w:rsidRDefault="00C039F9" w:rsidP="00D6280D">
      <w:pPr>
        <w:pStyle w:val="Textonotapie"/>
        <w:rPr>
          <w:lang w:val="es-ES"/>
        </w:rPr>
      </w:pPr>
      <w:r w:rsidRPr="00944F16">
        <w:rPr>
          <w:rStyle w:val="Refdenotaalpie"/>
        </w:rPr>
        <w:footnoteRef/>
      </w:r>
      <w:r w:rsidRPr="00944F16">
        <w:t xml:space="preserve"> </w:t>
      </w:r>
      <w:r w:rsidRPr="00944F16">
        <w:rPr>
          <w:lang w:val="es-ES"/>
        </w:rPr>
        <w:t>La demanda dijo aludir a las sentencias C-060 de 2018, C-585 de 2015 y C-586 de 2019</w:t>
      </w:r>
    </w:p>
  </w:footnote>
  <w:footnote w:id="6">
    <w:p w:rsidR="00D6280D" w:rsidRPr="00944F16" w:rsidRDefault="00C039F9" w:rsidP="00D6280D">
      <w:pPr>
        <w:pStyle w:val="Textonotapie"/>
      </w:pPr>
      <w:r w:rsidRPr="00944F16">
        <w:rPr>
          <w:rStyle w:val="Refdenotaalpie"/>
        </w:rPr>
        <w:footnoteRef/>
      </w:r>
      <w:r w:rsidRPr="00944F16">
        <w:t xml:space="preserve"> La DNDA intervino a través de su apoderada especial para la demanda de la referencia, Francy Liseth Aparicio Zambrano; el Departamento Nacional de Planeación, a través de su apoderado especial, Luis Carlos Vergel Hernández; la Secretaría Jurídica del Depa</w:t>
      </w:r>
      <w:r w:rsidRPr="00944F16">
        <w:t>rtamento Administrativo de la Presidencia de la República mediante el titular de dicha dependencia, Vladimir Fernández Andrade; el Ministerio de Hacienda y Crédito Público, a través de la jefe de su oficina jurídica, Juanita Castro Romero; el Ministerio de</w:t>
      </w:r>
      <w:r w:rsidRPr="00944F16">
        <w:t>l Interior, mediante la jefe de su oficina asesora jurídica, Luz Yolima Herrera Martínez; y el Instituto Colombiano de Derecho Tributario, ICDT, mediante escrito elaborado por el ciudadano Juan Carlos Vinasco Escarria y presentado por su presidente, Juan P</w:t>
      </w:r>
      <w:r w:rsidRPr="00944F16">
        <w:t>ablo Godoy Fajardo.  La Universidad de los Andes y la Dirección de Impuestos y de Aduanas -DIAN presentaron escrito anunciado que no intervendrían en el proceso de la referencia.</w:t>
      </w:r>
    </w:p>
    <w:p w:rsidR="00D6280D" w:rsidRPr="00944F16" w:rsidRDefault="00C039F9" w:rsidP="00D6280D">
      <w:pPr>
        <w:pStyle w:val="Textonotapie"/>
      </w:pPr>
    </w:p>
    <w:p w:rsidR="00D6280D" w:rsidRPr="00944F16" w:rsidRDefault="00C039F9" w:rsidP="00D6280D">
      <w:pPr>
        <w:pStyle w:val="Textonotapie"/>
      </w:pPr>
    </w:p>
  </w:footnote>
  <w:footnote w:id="7">
    <w:p w:rsidR="00D6280D" w:rsidRPr="00944F16" w:rsidRDefault="00C039F9" w:rsidP="00D6280D">
      <w:pPr>
        <w:pStyle w:val="Textonotapie"/>
        <w:rPr>
          <w:lang w:val="es-ES"/>
        </w:rPr>
      </w:pPr>
      <w:r w:rsidRPr="00944F16">
        <w:rPr>
          <w:rStyle w:val="Refdenotaalpie"/>
        </w:rPr>
        <w:footnoteRef/>
      </w:r>
      <w:r w:rsidRPr="00944F16">
        <w:t xml:space="preserve"> </w:t>
      </w:r>
      <w:r w:rsidRPr="00944F16">
        <w:rPr>
          <w:lang w:val="es-ES_tradnl" w:eastAsia="es-MX"/>
        </w:rPr>
        <w:t>Inciso según el cual «</w:t>
      </w:r>
      <w:r w:rsidRPr="00944F16">
        <w:t>[l]a base para la liquidación de la tasa será el co</w:t>
      </w:r>
      <w:r w:rsidRPr="00944F16">
        <w:t>sto de los servicios correspondientes a cada uno de los hechos generadores establecidos en el presente artículo, conforme la metodología de cálculo que establezca el Gobierno Nacional a través del Ministerio del Interior».</w:t>
      </w:r>
    </w:p>
  </w:footnote>
  <w:footnote w:id="8">
    <w:p w:rsidR="00D6280D" w:rsidRPr="00944F16" w:rsidRDefault="00C039F9" w:rsidP="00D6280D">
      <w:pPr>
        <w:pStyle w:val="Textonotapie"/>
        <w:rPr>
          <w:lang w:val="es-ES"/>
        </w:rPr>
      </w:pPr>
      <w:r w:rsidRPr="00944F16">
        <w:rPr>
          <w:rStyle w:val="Refdenotaalpie"/>
        </w:rPr>
        <w:footnoteRef/>
      </w:r>
      <w:r w:rsidRPr="00944F16">
        <w:t xml:space="preserve"> </w:t>
      </w:r>
      <w:r w:rsidRPr="00944F16">
        <w:rPr>
          <w:shd w:val="clear" w:color="auto" w:fill="FFFFFF"/>
        </w:rPr>
        <w:t xml:space="preserve">“(…) el concepto de tributo en </w:t>
      </w:r>
      <w:r w:rsidRPr="00944F16">
        <w:rPr>
          <w:shd w:val="clear" w:color="auto" w:fill="FFFFFF"/>
        </w:rPr>
        <w:t>la Constitución y como ha sido entendido por la Corte, comprende: i) un sentido amplio y genérico, pues en su definición están contenidos los impuestos, tasas y contribuciones; ii) constituye un ingreso público destinado al financiamiento de la satisfacció</w:t>
      </w:r>
      <w:r w:rsidRPr="00944F16">
        <w:rPr>
          <w:shd w:val="clear" w:color="auto" w:fill="FFFFFF"/>
        </w:rPr>
        <w:t>n de las necesidades por parte del Estado a través del gasto; iii) tiene origen en la ley como expresión de la “potestad tributaria” derivada del “poder de imperio”, además de ser una manifestación del principio de representación popular; y iv) su naturale</w:t>
      </w:r>
      <w:r w:rsidRPr="00944F16">
        <w:rPr>
          <w:shd w:val="clear" w:color="auto" w:fill="FFFFFF"/>
        </w:rPr>
        <w:t>za es coactiva.”  (Sentencia C-260 de 2015, MP Gloria Stella Ortiz Delgado).</w:t>
      </w:r>
    </w:p>
  </w:footnote>
  <w:footnote w:id="9">
    <w:p w:rsidR="00D6280D" w:rsidRPr="00944F16" w:rsidRDefault="00C039F9" w:rsidP="00D6280D">
      <w:pPr>
        <w:pStyle w:val="Textonotapie"/>
        <w:rPr>
          <w:lang w:val="es-ES"/>
        </w:rPr>
      </w:pPr>
      <w:r w:rsidRPr="00944F16">
        <w:rPr>
          <w:rStyle w:val="Refdenotaalpie"/>
        </w:rPr>
        <w:footnoteRef/>
      </w:r>
      <w:r w:rsidRPr="00944F16">
        <w:t xml:space="preserve"> </w:t>
      </w:r>
      <w:r w:rsidRPr="00944F16">
        <w:rPr>
          <w:lang w:val="es-ES"/>
        </w:rPr>
        <w:t>Cfr. Sentencia C-485 de 2020 (MP Cristina Pardo Schlesinger).</w:t>
      </w:r>
    </w:p>
  </w:footnote>
  <w:footnote w:id="10">
    <w:p w:rsidR="00D6280D" w:rsidRPr="00944F16" w:rsidRDefault="00C039F9" w:rsidP="00D6280D">
      <w:pPr>
        <w:pStyle w:val="Textonotapie"/>
      </w:pPr>
      <w:r w:rsidRPr="00944F16">
        <w:rPr>
          <w:rStyle w:val="Refdenotaalpie"/>
        </w:rPr>
        <w:footnoteRef/>
      </w:r>
      <w:r w:rsidRPr="00944F16">
        <w:t xml:space="preserve"> Cfr. Sentencia C-577 de 1995 (MP Eduardo Cifuentes Muñoz).</w:t>
      </w:r>
    </w:p>
  </w:footnote>
  <w:footnote w:id="11">
    <w:p w:rsidR="00D6280D" w:rsidRPr="00944F16" w:rsidRDefault="00C039F9" w:rsidP="00D6280D">
      <w:pPr>
        <w:pStyle w:val="Textonotapie"/>
        <w:tabs>
          <w:tab w:val="left" w:pos="2324"/>
        </w:tabs>
        <w:rPr>
          <w:lang w:val="es-ES"/>
        </w:rPr>
      </w:pPr>
      <w:r w:rsidRPr="00944F16">
        <w:rPr>
          <w:rStyle w:val="Refdenotaalpie"/>
        </w:rPr>
        <w:footnoteRef/>
      </w:r>
      <w:r w:rsidRPr="00944F16">
        <w:t xml:space="preserve"> En Sentencia C-485 de 2020 (MP Cristina Pardo Schles</w:t>
      </w:r>
      <w:r w:rsidRPr="00944F16">
        <w:t>inger), la Corte explicó que «</w:t>
      </w:r>
      <w:r w:rsidRPr="00944F16">
        <w:rPr>
          <w:bdr w:val="none" w:sz="0" w:space="0" w:color="auto" w:frame="1"/>
        </w:rPr>
        <w:t>el elemento sectorial de la destinación parafiscal puede ser amplio o estrecho, según el caso. Así, aun a pesar de la limitación de los sectores llamados a beneficiarse de las rentas […] la destinación sectorial de esa misma c</w:t>
      </w:r>
      <w:r w:rsidRPr="00944F16">
        <w:rPr>
          <w:bdr w:val="none" w:sz="0" w:space="0" w:color="auto" w:frame="1"/>
        </w:rPr>
        <w:t>lase de tributos se amplía cuando el caso a estudiar permite que la estrecha noción de ‘sector’ se reemplace por el más ensanchado concepto de ‘grupo socio-económico’.»</w:t>
      </w:r>
    </w:p>
  </w:footnote>
  <w:footnote w:id="12">
    <w:p w:rsidR="00D6280D" w:rsidRPr="00944F16" w:rsidRDefault="00C039F9" w:rsidP="00D6280D">
      <w:pPr>
        <w:pStyle w:val="Textonotapie"/>
        <w:rPr>
          <w:lang w:val="es-ES"/>
        </w:rPr>
      </w:pPr>
      <w:r w:rsidRPr="00944F16">
        <w:rPr>
          <w:rStyle w:val="Refdenotaalpie"/>
        </w:rPr>
        <w:footnoteRef/>
      </w:r>
      <w:r w:rsidRPr="00944F16">
        <w:t xml:space="preserve"> Cfr. S</w:t>
      </w:r>
      <w:r w:rsidRPr="00944F16">
        <w:rPr>
          <w:shd w:val="clear" w:color="auto" w:fill="FFFFFF"/>
        </w:rPr>
        <w:t>entencia C-528 de 2013.</w:t>
      </w:r>
    </w:p>
  </w:footnote>
  <w:footnote w:id="13">
    <w:p w:rsidR="00D6280D" w:rsidRPr="00944F16" w:rsidRDefault="00C039F9" w:rsidP="00D6280D">
      <w:pPr>
        <w:pStyle w:val="Textonotapie"/>
        <w:rPr>
          <w:lang w:val="es-ES"/>
        </w:rPr>
      </w:pPr>
      <w:r w:rsidRPr="00944F16">
        <w:rPr>
          <w:rStyle w:val="Refdenotaalpie"/>
        </w:rPr>
        <w:footnoteRef/>
      </w:r>
      <w:r w:rsidRPr="00944F16">
        <w:t xml:space="preserve"> Cfr. S</w:t>
      </w:r>
      <w:r w:rsidRPr="00944F16">
        <w:rPr>
          <w:shd w:val="clear" w:color="auto" w:fill="FFFFFF"/>
        </w:rPr>
        <w:t>entencia C-155 de 2016.</w:t>
      </w:r>
    </w:p>
  </w:footnote>
  <w:footnote w:id="14">
    <w:p w:rsidR="00D6280D" w:rsidRPr="00944F16" w:rsidRDefault="00C039F9" w:rsidP="00D6280D">
      <w:pPr>
        <w:pStyle w:val="Textonotapie"/>
        <w:rPr>
          <w:lang w:val="es-ES"/>
        </w:rPr>
      </w:pPr>
      <w:r w:rsidRPr="00944F16">
        <w:rPr>
          <w:rStyle w:val="Refdenotaalpie"/>
        </w:rPr>
        <w:footnoteRef/>
      </w:r>
      <w:r w:rsidRPr="00944F16">
        <w:t xml:space="preserve"> </w:t>
      </w:r>
      <w:r w:rsidRPr="00944F16">
        <w:rPr>
          <w:lang w:val="es-ES"/>
        </w:rPr>
        <w:t>MP Natalia Ángel Cabo</w:t>
      </w:r>
      <w:r w:rsidRPr="00944F16">
        <w:rPr>
          <w:lang w:val="es-ES"/>
        </w:rPr>
        <w:t>.</w:t>
      </w:r>
    </w:p>
  </w:footnote>
  <w:footnote w:id="15">
    <w:p w:rsidR="00D6280D" w:rsidRPr="00944F16" w:rsidRDefault="00C039F9" w:rsidP="00D6280D">
      <w:pPr>
        <w:pStyle w:val="Textonotapie"/>
      </w:pPr>
      <w:r w:rsidRPr="00944F16">
        <w:rPr>
          <w:vertAlign w:val="superscript"/>
        </w:rPr>
        <w:footnoteRef/>
      </w:r>
      <w:r w:rsidRPr="00944F16">
        <w:t xml:space="preserve"> </w:t>
      </w:r>
      <w:r w:rsidRPr="00944F16">
        <w:rPr>
          <w:lang w:val="es-ES"/>
        </w:rPr>
        <w:t xml:space="preserve">Sentencia C-074 de 2018. </w:t>
      </w:r>
    </w:p>
  </w:footnote>
  <w:footnote w:id="16">
    <w:p w:rsidR="00D6280D" w:rsidRPr="00944F16" w:rsidRDefault="00C039F9" w:rsidP="00D6280D">
      <w:pPr>
        <w:pStyle w:val="Textonotapie"/>
      </w:pPr>
      <w:r w:rsidRPr="00944F16">
        <w:rPr>
          <w:vertAlign w:val="superscript"/>
        </w:rPr>
        <w:footnoteRef/>
      </w:r>
      <w:r w:rsidRPr="00944F16">
        <w:t xml:space="preserve"> </w:t>
      </w:r>
      <w:r w:rsidRPr="00944F16">
        <w:rPr>
          <w:lang w:val="es-ES"/>
        </w:rPr>
        <w:t>Ibid.</w:t>
      </w:r>
    </w:p>
  </w:footnote>
  <w:footnote w:id="17">
    <w:p w:rsidR="00D6280D" w:rsidRPr="00944F16" w:rsidRDefault="00C039F9" w:rsidP="00D6280D">
      <w:pPr>
        <w:pStyle w:val="Textonotapie"/>
      </w:pPr>
      <w:r w:rsidRPr="00944F16">
        <w:rPr>
          <w:vertAlign w:val="superscript"/>
        </w:rPr>
        <w:footnoteRef/>
      </w:r>
      <w:r w:rsidRPr="00944F16">
        <w:t xml:space="preserve"> </w:t>
      </w:r>
      <w:r w:rsidRPr="00944F16">
        <w:rPr>
          <w:lang w:val="es-ES"/>
        </w:rPr>
        <w:t xml:space="preserve">Ibid. </w:t>
      </w:r>
    </w:p>
  </w:footnote>
  <w:footnote w:id="18">
    <w:p w:rsidR="00D6280D" w:rsidRPr="00944F16" w:rsidRDefault="00C039F9" w:rsidP="00D6280D">
      <w:pPr>
        <w:pStyle w:val="Textonotapie"/>
      </w:pPr>
      <w:r w:rsidRPr="00944F16">
        <w:rPr>
          <w:vertAlign w:val="superscript"/>
        </w:rPr>
        <w:footnoteRef/>
      </w:r>
      <w:r w:rsidRPr="00944F16">
        <w:t xml:space="preserve"> </w:t>
      </w:r>
      <w:r w:rsidRPr="00944F16">
        <w:rPr>
          <w:lang w:val="es-ES"/>
        </w:rPr>
        <w:t xml:space="preserve">Ibid. </w:t>
      </w:r>
    </w:p>
  </w:footnote>
  <w:footnote w:id="19">
    <w:p w:rsidR="00D6280D" w:rsidRPr="00944F16" w:rsidRDefault="00C039F9" w:rsidP="00D6280D">
      <w:pPr>
        <w:pStyle w:val="Textonotapie"/>
      </w:pPr>
      <w:r w:rsidRPr="00944F16">
        <w:rPr>
          <w:vertAlign w:val="superscript"/>
        </w:rPr>
        <w:footnoteRef/>
      </w:r>
      <w:r w:rsidRPr="00944F16">
        <w:t xml:space="preserve"> Inc.2, Art. 338, Constitución Política.</w:t>
      </w:r>
    </w:p>
  </w:footnote>
  <w:footnote w:id="20">
    <w:p w:rsidR="00D6280D" w:rsidRPr="00944F16" w:rsidRDefault="00C039F9" w:rsidP="00D6280D">
      <w:pPr>
        <w:pStyle w:val="Textonotapie"/>
      </w:pPr>
      <w:r w:rsidRPr="00944F16">
        <w:rPr>
          <w:vertAlign w:val="superscript"/>
        </w:rPr>
        <w:footnoteRef/>
      </w:r>
      <w:r w:rsidRPr="00944F16">
        <w:t xml:space="preserve"> </w:t>
      </w:r>
      <w:r w:rsidRPr="00944F16">
        <w:rPr>
          <w:lang w:val="es-ES"/>
        </w:rPr>
        <w:t xml:space="preserve">Ibid. </w:t>
      </w:r>
    </w:p>
  </w:footnote>
  <w:footnote w:id="21">
    <w:p w:rsidR="00D6280D" w:rsidRPr="00944F16" w:rsidRDefault="00C039F9" w:rsidP="00D6280D">
      <w:pPr>
        <w:pStyle w:val="Textonotapie"/>
      </w:pPr>
      <w:r w:rsidRPr="00944F16">
        <w:rPr>
          <w:vertAlign w:val="superscript"/>
        </w:rPr>
        <w:footnoteRef/>
      </w:r>
      <w:r w:rsidRPr="00944F16">
        <w:t xml:space="preserve"> </w:t>
      </w:r>
      <w:r w:rsidRPr="00944F16">
        <w:rPr>
          <w:lang w:val="es-ES"/>
        </w:rPr>
        <w:t xml:space="preserve">Ibid. </w:t>
      </w:r>
    </w:p>
  </w:footnote>
  <w:footnote w:id="22">
    <w:p w:rsidR="00D6280D" w:rsidRPr="00944F16" w:rsidRDefault="00C039F9" w:rsidP="00D6280D">
      <w:pPr>
        <w:pStyle w:val="Textonotapie"/>
      </w:pPr>
      <w:r w:rsidRPr="00944F16">
        <w:rPr>
          <w:rStyle w:val="Refdenotaalpie"/>
        </w:rPr>
        <w:footnoteRef/>
      </w:r>
      <w:r w:rsidRPr="00944F16">
        <w:t xml:space="preserve"> Ver, entre otras, las sentencias C-155 de 2003 (MP Eduardo Montealegre Lynett), C-891 de 2012 (MP Jorge Ignacio Pretelt Chaljub) C-278 de 2019 (MP Gloria Stella Ortiz Delgado y C-019 de 2022 (MP Paola Andrea Meneses Mosquera).</w:t>
      </w:r>
    </w:p>
  </w:footnote>
  <w:footnote w:id="23">
    <w:p w:rsidR="009705AC" w:rsidRPr="00944F16" w:rsidRDefault="00C039F9">
      <w:pPr>
        <w:pStyle w:val="Textonotapie"/>
      </w:pPr>
      <w:r w:rsidRPr="00944F16">
        <w:rPr>
          <w:rStyle w:val="Refdenotaalpie"/>
        </w:rPr>
        <w:footnoteRef/>
      </w:r>
      <w:r w:rsidRPr="00944F16">
        <w:t xml:space="preserve"> L</w:t>
      </w:r>
      <w:r w:rsidRPr="00944F16">
        <w:rPr>
          <w:rStyle w:val="cf01"/>
          <w:rFonts w:ascii="Times New Roman" w:hAnsi="Times New Roman" w:cs="Times New Roman"/>
          <w:sz w:val="20"/>
          <w:szCs w:val="20"/>
        </w:rPr>
        <w:t>a jurisprudencia constitu</w:t>
      </w:r>
      <w:r w:rsidRPr="00944F16">
        <w:rPr>
          <w:rStyle w:val="cf01"/>
          <w:rFonts w:ascii="Times New Roman" w:hAnsi="Times New Roman" w:cs="Times New Roman"/>
          <w:sz w:val="20"/>
          <w:szCs w:val="20"/>
        </w:rPr>
        <w:t>cional ha dicho que el hecho gravado debe ser fijado por el Congreso de la República, incluso para los gravámenes territoriales</w:t>
      </w:r>
      <w:r w:rsidRPr="00944F16">
        <w:rPr>
          <w:rStyle w:val="cf01"/>
          <w:rFonts w:ascii="Times New Roman" w:hAnsi="Times New Roman" w:cs="Times New Roman"/>
          <w:sz w:val="20"/>
          <w:szCs w:val="20"/>
        </w:rPr>
        <w:t xml:space="preserve"> (Ver, entre otras, las sentencia</w:t>
      </w:r>
      <w:r w:rsidRPr="00944F16">
        <w:rPr>
          <w:rStyle w:val="cf01"/>
          <w:rFonts w:ascii="Times New Roman" w:hAnsi="Times New Roman" w:cs="Times New Roman"/>
          <w:sz w:val="20"/>
          <w:szCs w:val="20"/>
        </w:rPr>
        <w:t xml:space="preserve"> C-101 de 2022, MP Gloria Stella Ortiz Delgado; y </w:t>
      </w:r>
      <w:r w:rsidRPr="00944F16">
        <w:rPr>
          <w:rStyle w:val="cf01"/>
          <w:rFonts w:ascii="Times New Roman" w:hAnsi="Times New Roman" w:cs="Times New Roman"/>
          <w:sz w:val="20"/>
          <w:szCs w:val="20"/>
        </w:rPr>
        <w:t>C-269 de 2019, MP Carlos Bernal Pulido).</w:t>
      </w:r>
    </w:p>
  </w:footnote>
  <w:footnote w:id="24">
    <w:p w:rsidR="00DE223C" w:rsidRPr="00944F16" w:rsidRDefault="00C039F9">
      <w:pPr>
        <w:pStyle w:val="Textonotapie"/>
        <w:rPr>
          <w:lang w:val="es-ES"/>
        </w:rPr>
      </w:pPr>
      <w:r w:rsidRPr="00944F16">
        <w:rPr>
          <w:rStyle w:val="Refdenotaalpie"/>
        </w:rPr>
        <w:footnoteRef/>
      </w:r>
      <w:r w:rsidRPr="00944F16">
        <w:t xml:space="preserve"> </w:t>
      </w:r>
      <w:r w:rsidRPr="00944F16">
        <w:rPr>
          <w:lang w:val="es-ES"/>
        </w:rPr>
        <w:t>Sentencia</w:t>
      </w:r>
      <w:r w:rsidRPr="00944F16">
        <w:rPr>
          <w:lang w:val="es-ES"/>
        </w:rPr>
        <w:t xml:space="preserve"> C-987 de 1999 (MP Alejandro Martínez Caballero)</w:t>
      </w:r>
      <w:r w:rsidRPr="00944F16">
        <w:rPr>
          <w:lang w:val="es-ES"/>
        </w:rPr>
        <w:t>, Sobre el particular también pueden confrontarse las</w:t>
      </w:r>
      <w:r w:rsidRPr="00944F16">
        <w:rPr>
          <w:lang w:val="es-ES"/>
        </w:rPr>
        <w:t xml:space="preserve"> sentencias </w:t>
      </w:r>
      <w:r w:rsidRPr="00944F16">
        <w:rPr>
          <w:lang w:val="es-ES"/>
        </w:rPr>
        <w:t xml:space="preserve">C-084 de 1995 (MP Alejandro Martínez Caballero), </w:t>
      </w:r>
      <w:r w:rsidRPr="00944F16">
        <w:rPr>
          <w:lang w:val="es-ES"/>
        </w:rPr>
        <w:t>C-597 de 2000 (MP Álvaro Tafur Galvis)</w:t>
      </w:r>
      <w:r w:rsidRPr="00944F16">
        <w:rPr>
          <w:lang w:val="es-ES"/>
        </w:rPr>
        <w:t xml:space="preserve">, </w:t>
      </w:r>
      <w:r w:rsidRPr="00944F16">
        <w:rPr>
          <w:lang w:val="es-ES"/>
        </w:rPr>
        <w:t>C</w:t>
      </w:r>
      <w:r w:rsidRPr="00944F16">
        <w:rPr>
          <w:lang w:val="es-ES"/>
        </w:rPr>
        <w:t>-1063 de 2003 (MP Jaime Araujo Rentería), C-</w:t>
      </w:r>
      <w:r w:rsidRPr="00944F16">
        <w:rPr>
          <w:lang w:val="es-ES"/>
        </w:rPr>
        <w:t>891 de 2012 (MP Jorge Ignacio Pretelt Chaljub) y C-101 de 2022 (MP Gloria Stella Ortiz Delgado).</w:t>
      </w:r>
    </w:p>
  </w:footnote>
  <w:footnote w:id="25">
    <w:p w:rsidR="00996FA0" w:rsidRPr="00944F16" w:rsidRDefault="00C039F9" w:rsidP="00D44C02">
      <w:pPr>
        <w:shd w:val="clear" w:color="auto" w:fill="FFFFFF"/>
        <w:tabs>
          <w:tab w:val="left" w:pos="5103"/>
          <w:tab w:val="left" w:pos="5245"/>
        </w:tabs>
      </w:pPr>
      <w:r w:rsidRPr="00944F16">
        <w:rPr>
          <w:rStyle w:val="Refdenotaalpie"/>
        </w:rPr>
        <w:footnoteRef/>
      </w:r>
      <w:r w:rsidRPr="00944F16">
        <w:t xml:space="preserve"> La posibilidad de delegar en el Gobierno nacional la determinación de las tarifas de las contribuciones fiscales y/o parafiscales, encuentra soporte en algun</w:t>
      </w:r>
      <w:r w:rsidRPr="00944F16">
        <w:t>as sentencias. Por ejemplo, en sentencia C-1067 de 2002 (MP Jaime Córdoba Triviño), la Corte indicó que «</w:t>
      </w:r>
      <w:r w:rsidRPr="00944F16">
        <w:rPr>
          <w:b/>
          <w:bCs/>
        </w:rPr>
        <w:t>[e]l sistema y el método deben ser claramente definidos en la ley respectiva y si dentro del texto legal que crea una contribución parafiscal no se est</w:t>
      </w:r>
      <w:r w:rsidRPr="00944F16">
        <w:rPr>
          <w:b/>
          <w:bCs/>
        </w:rPr>
        <w:t>ablecen en forma clara, la misma resulta a todas luces inconstitucional.» (</w:t>
      </w:r>
      <w:r w:rsidRPr="00944F16">
        <w:t>énfasis fuera de texto). Sin embargo, en otras sentencias se sugiere que la mencionada posibilidad de delegación solo opera para las tarifas de las tasas y las contribuciones especi</w:t>
      </w:r>
      <w:r w:rsidRPr="00944F16">
        <w:t>ales. En este último sentido, en sentencia C-155 de 2003 (MP Eduardo Montealegre Lynett), reiterada en sentencia C-1063 de 2003 (MP Jaime Araujo Rentería), se señaló que: «</w:t>
      </w:r>
      <w:r w:rsidRPr="00944F16">
        <w:rPr>
          <w:shd w:val="clear" w:color="auto" w:fill="FFFFFF"/>
        </w:rPr>
        <w:t xml:space="preserve">17.- </w:t>
      </w:r>
      <w:r w:rsidRPr="00944F16">
        <w:rPr>
          <w:b/>
          <w:bCs/>
          <w:shd w:val="clear" w:color="auto" w:fill="FFFFFF"/>
        </w:rPr>
        <w:t>[f]rente a las tasas y contribuciones especiales</w:t>
      </w:r>
      <w:r w:rsidRPr="00944F16">
        <w:rPr>
          <w:shd w:val="clear" w:color="auto" w:fill="FFFFFF"/>
        </w:rPr>
        <w:t xml:space="preserve"> la Corte considera que tanto e</w:t>
      </w:r>
      <w:r w:rsidRPr="00944F16">
        <w:rPr>
          <w:shd w:val="clear" w:color="auto" w:fill="FFFFFF"/>
        </w:rPr>
        <w:t>l “sistema” como el “método”, referidos en el artículo 338 de la Constitución, deben ser lo suficientemente claros y precisos a fin de evitar que los órganos de representación popular desatiendan un expreso mandato Superior, mas no por ello tienen que hace</w:t>
      </w:r>
      <w:r w:rsidRPr="00944F16">
        <w:rPr>
          <w:shd w:val="clear" w:color="auto" w:fill="FFFFFF"/>
        </w:rPr>
        <w:t>r una descripción detallada o rigurosa de cada uno de los elementos y procedimientos a tener en cuenta para fijar la tarifa, pues en tal caso la facultad constitucional de las autoridades administrativas perdería por completo su razón de ser» (énfasis fuer</w:t>
      </w:r>
      <w:r w:rsidRPr="00944F16">
        <w:rPr>
          <w:shd w:val="clear" w:color="auto" w:fill="FFFFFF"/>
        </w:rPr>
        <w:t xml:space="preserve">a de texto). Esta última posición es defendida, por lo menos, por un sector de la doctrina especializada. En efecto, se ha dicho que «el principio derivado de certeza […] no es óbice para que, respecto de los </w:t>
      </w:r>
      <w:r w:rsidRPr="00944F16">
        <w:rPr>
          <w:i/>
          <w:iCs/>
          <w:shd w:val="clear" w:color="auto" w:fill="FFFFFF"/>
        </w:rPr>
        <w:t>tributos vinculados</w:t>
      </w:r>
      <w:r w:rsidRPr="00944F16">
        <w:rPr>
          <w:shd w:val="clear" w:color="auto" w:fill="FFFFFF"/>
        </w:rPr>
        <w:t xml:space="preserve"> [esto es, las tasas y contr</w:t>
      </w:r>
      <w:r w:rsidRPr="00944F16">
        <w:rPr>
          <w:shd w:val="clear" w:color="auto" w:fill="FFFFFF"/>
        </w:rPr>
        <w:t xml:space="preserve">ibuciones especiales], se autorice al legislador para habilitar a las autoridades administrativas en lo relacionado con la determinación de las tarifas […]» (Plazas Vega, Mauricio. </w:t>
      </w:r>
      <w:r w:rsidRPr="00944F16">
        <w:rPr>
          <w:i/>
          <w:iCs/>
          <w:shd w:val="clear" w:color="auto" w:fill="FFFFFF"/>
        </w:rPr>
        <w:t>Derecho de la Hacienda Pública y Derecho Tributario.</w:t>
      </w:r>
      <w:r w:rsidRPr="00944F16">
        <w:rPr>
          <w:shd w:val="clear" w:color="auto" w:fill="FFFFFF"/>
        </w:rPr>
        <w:t xml:space="preserve"> Tomo II (Derecho Tribu</w:t>
      </w:r>
      <w:r w:rsidRPr="00944F16">
        <w:rPr>
          <w:shd w:val="clear" w:color="auto" w:fill="FFFFFF"/>
        </w:rPr>
        <w:t xml:space="preserve">tario). Temis, Segunda edición. 2005. Pág. 445). </w:t>
      </w:r>
    </w:p>
  </w:footnote>
  <w:footnote w:id="26">
    <w:p w:rsidR="007B5BF6" w:rsidRPr="00944F16" w:rsidRDefault="00C039F9">
      <w:pPr>
        <w:pStyle w:val="Textonotapie"/>
        <w:rPr>
          <w:lang w:val="es-ES"/>
        </w:rPr>
      </w:pPr>
      <w:r w:rsidRPr="00944F16">
        <w:rPr>
          <w:rStyle w:val="Refdenotaalpie"/>
        </w:rPr>
        <w:footnoteRef/>
      </w:r>
      <w:r w:rsidRPr="00944F16">
        <w:t xml:space="preserve"> </w:t>
      </w:r>
      <w:r w:rsidRPr="00944F16">
        <w:rPr>
          <w:lang w:val="es-ES"/>
        </w:rPr>
        <w:t>Sentencia C-455 de 1994 (MP José Gregorio Hernández Galindo).</w:t>
      </w:r>
    </w:p>
  </w:footnote>
  <w:footnote w:id="27">
    <w:p w:rsidR="00A7666E" w:rsidRPr="00944F16" w:rsidRDefault="00C039F9" w:rsidP="00A7666E">
      <w:pPr>
        <w:pStyle w:val="Textonotapie"/>
        <w:rPr>
          <w:lang w:val="es-ES"/>
        </w:rPr>
      </w:pPr>
      <w:r w:rsidRPr="00944F16">
        <w:rPr>
          <w:rStyle w:val="Refdenotaalpie"/>
        </w:rPr>
        <w:footnoteRef/>
      </w:r>
      <w:r w:rsidRPr="00944F16">
        <w:t xml:space="preserve"> </w:t>
      </w:r>
      <w:r w:rsidRPr="00944F16">
        <w:rPr>
          <w:lang w:val="es-ES"/>
        </w:rPr>
        <w:t>Sentencias C-455 de 1994 (MP José Gregorio Hernández Galindo) y C-545 de 1994, MP Alejandro Martínez Caballero.</w:t>
      </w:r>
    </w:p>
  </w:footnote>
  <w:footnote w:id="28">
    <w:p w:rsidR="00A7666E" w:rsidRPr="00944F16" w:rsidRDefault="00C039F9">
      <w:pPr>
        <w:pStyle w:val="Textonotapie"/>
      </w:pPr>
      <w:r w:rsidRPr="00944F16">
        <w:rPr>
          <w:rStyle w:val="Refdenotaalpie"/>
        </w:rPr>
        <w:footnoteRef/>
      </w:r>
      <w:r w:rsidRPr="00944F16">
        <w:t xml:space="preserve"> Ibid.</w:t>
      </w:r>
    </w:p>
  </w:footnote>
  <w:footnote w:id="29">
    <w:p w:rsidR="00C342C8" w:rsidRPr="00944F16" w:rsidRDefault="00C039F9" w:rsidP="00C342C8">
      <w:pPr>
        <w:pStyle w:val="Textonotapie"/>
        <w:rPr>
          <w:lang w:val="es-ES"/>
        </w:rPr>
      </w:pPr>
      <w:r w:rsidRPr="00944F16">
        <w:rPr>
          <w:rStyle w:val="Refdenotaalpie"/>
        </w:rPr>
        <w:footnoteRef/>
      </w:r>
      <w:r w:rsidRPr="00944F16">
        <w:t xml:space="preserve"> </w:t>
      </w:r>
      <w:r w:rsidRPr="00944F16">
        <w:rPr>
          <w:lang w:val="es-ES"/>
        </w:rPr>
        <w:t xml:space="preserve">MP José Gregorio </w:t>
      </w:r>
      <w:r w:rsidRPr="00944F16">
        <w:rPr>
          <w:lang w:val="es-ES"/>
        </w:rPr>
        <w:t>Hernández Galindo.</w:t>
      </w:r>
    </w:p>
  </w:footnote>
  <w:footnote w:id="30">
    <w:p w:rsidR="00C342C8" w:rsidRPr="00944F16" w:rsidRDefault="00C039F9" w:rsidP="00C342C8">
      <w:pPr>
        <w:pStyle w:val="Textonotapie"/>
        <w:rPr>
          <w:lang w:val="es-ES"/>
        </w:rPr>
      </w:pPr>
      <w:r w:rsidRPr="00944F16">
        <w:rPr>
          <w:rStyle w:val="Refdenotaalpie"/>
        </w:rPr>
        <w:footnoteRef/>
      </w:r>
      <w:r w:rsidRPr="00944F16">
        <w:t xml:space="preserve"> </w:t>
      </w:r>
      <w:r w:rsidRPr="00944F16">
        <w:rPr>
          <w:lang w:val="es-ES"/>
        </w:rPr>
        <w:t xml:space="preserve">Ibid. </w:t>
      </w:r>
    </w:p>
  </w:footnote>
  <w:footnote w:id="31">
    <w:p w:rsidR="00C342C8" w:rsidRPr="00944F16" w:rsidRDefault="00C039F9" w:rsidP="00C342C8">
      <w:pPr>
        <w:pStyle w:val="Textonotapie"/>
      </w:pPr>
      <w:r w:rsidRPr="00944F16">
        <w:rPr>
          <w:rStyle w:val="Refdenotaalpie"/>
        </w:rPr>
        <w:footnoteRef/>
      </w:r>
      <w:r w:rsidRPr="00944F16">
        <w:t xml:space="preserve"> MP Gloria Stella Ortiz Delgado.</w:t>
      </w:r>
    </w:p>
  </w:footnote>
  <w:footnote w:id="32">
    <w:p w:rsidR="00C342C8" w:rsidRPr="00944F16" w:rsidRDefault="00C039F9" w:rsidP="00C342C8">
      <w:pPr>
        <w:pStyle w:val="Textonotapie"/>
      </w:pPr>
      <w:r w:rsidRPr="00944F16">
        <w:rPr>
          <w:rStyle w:val="Refdenotaalpie"/>
        </w:rPr>
        <w:footnoteRef/>
      </w:r>
      <w:r w:rsidRPr="00944F16">
        <w:t xml:space="preserve"> MP Luis Guillermo Guerrero Pérez.</w:t>
      </w:r>
    </w:p>
  </w:footnote>
  <w:footnote w:id="33">
    <w:p w:rsidR="00C342C8" w:rsidRPr="00944F16" w:rsidRDefault="00C039F9" w:rsidP="00C342C8">
      <w:pPr>
        <w:pStyle w:val="Textonotapie"/>
        <w:rPr>
          <w:lang w:val="es-ES"/>
        </w:rPr>
      </w:pPr>
      <w:r w:rsidRPr="00944F16">
        <w:rPr>
          <w:rStyle w:val="Refdenotaalpie"/>
        </w:rPr>
        <w:footnoteRef/>
      </w:r>
      <w:r w:rsidRPr="00944F16">
        <w:t xml:space="preserve"> </w:t>
      </w:r>
      <w:r w:rsidRPr="00944F16">
        <w:rPr>
          <w:lang w:val="es-ES"/>
        </w:rPr>
        <w:t>Ibid.</w:t>
      </w:r>
    </w:p>
  </w:footnote>
  <w:footnote w:id="34">
    <w:p w:rsidR="00C342C8" w:rsidRPr="00944F16" w:rsidRDefault="00C039F9" w:rsidP="00C342C8">
      <w:pPr>
        <w:pStyle w:val="Textonotapie"/>
      </w:pPr>
      <w:r w:rsidRPr="00944F16">
        <w:rPr>
          <w:rStyle w:val="Refdenotaalpie"/>
        </w:rPr>
        <w:footnoteRef/>
      </w:r>
      <w:r w:rsidRPr="00944F16">
        <w:t xml:space="preserve"> MP Paola Andrea Meneses Mosquera.</w:t>
      </w:r>
    </w:p>
  </w:footnote>
  <w:footnote w:id="35">
    <w:p w:rsidR="00C342C8" w:rsidRPr="00944F16" w:rsidRDefault="00C039F9" w:rsidP="00C342C8">
      <w:pPr>
        <w:pStyle w:val="Textonotapie"/>
      </w:pPr>
      <w:r w:rsidRPr="00944F16">
        <w:rPr>
          <w:rStyle w:val="Refdenotaalpie"/>
        </w:rPr>
        <w:footnoteRef/>
      </w:r>
      <w:r w:rsidRPr="00944F16">
        <w:t xml:space="preserve"> Se trató del parágrafo 1º del artículo 5 de la Ley 138 de 1994, según el cual</w:t>
      </w:r>
      <w:r w:rsidRPr="00944F16">
        <w:rPr>
          <w:shd w:val="clear" w:color="auto" w:fill="FFFFFF"/>
        </w:rPr>
        <w:t xml:space="preserve"> «La cuota sobre el palmiste y el aceite crudo de palma extraídos se liquidará con base en los precios de referencia que para el semestre siguiente señale antes del 30 de junio y del 31 de diciembre de cada año el Ministerio de Agricultura.»</w:t>
      </w:r>
    </w:p>
  </w:footnote>
  <w:footnote w:id="36">
    <w:p w:rsidR="00646358" w:rsidRPr="00944F16" w:rsidRDefault="00C039F9" w:rsidP="00646358">
      <w:pPr>
        <w:pStyle w:val="NormalWeb"/>
        <w:tabs>
          <w:tab w:val="left" w:pos="4395"/>
        </w:tabs>
        <w:spacing w:before="0" w:beforeAutospacing="0" w:after="0" w:afterAutospacing="0"/>
        <w:ind w:right="-1"/>
        <w:contextualSpacing/>
        <w:jc w:val="both"/>
        <w:rPr>
          <w:sz w:val="20"/>
          <w:szCs w:val="20"/>
        </w:rPr>
      </w:pPr>
      <w:r w:rsidRPr="00944F16">
        <w:rPr>
          <w:rStyle w:val="Refdenotaalpie"/>
          <w:sz w:val="20"/>
          <w:szCs w:val="20"/>
        </w:rPr>
        <w:footnoteRef/>
      </w:r>
      <w:r w:rsidRPr="00944F16">
        <w:rPr>
          <w:sz w:val="20"/>
          <w:szCs w:val="20"/>
        </w:rPr>
        <w:t xml:space="preserve"> La norma dem</w:t>
      </w:r>
      <w:r w:rsidRPr="00944F16">
        <w:rPr>
          <w:sz w:val="20"/>
          <w:szCs w:val="20"/>
        </w:rPr>
        <w:t>andada señala, en el último inciso de su parte principal, que: «La base para la liquidación de la tasa será el costo de los servicios correspondientes a cada uno de los hechos generadores establecidos en el presente artículo, conforme la metodología de cál</w:t>
      </w:r>
      <w:r w:rsidRPr="00944F16">
        <w:rPr>
          <w:sz w:val="20"/>
          <w:szCs w:val="20"/>
        </w:rPr>
        <w:t>culo que establezca el Gobierno Nacional a través del Ministerio del Interior».</w:t>
      </w:r>
    </w:p>
  </w:footnote>
  <w:footnote w:id="37">
    <w:p w:rsidR="004D2233" w:rsidRPr="00944F16" w:rsidRDefault="00C039F9" w:rsidP="004D2233">
      <w:pPr>
        <w:pStyle w:val="NormalWeb"/>
        <w:spacing w:before="0" w:beforeAutospacing="0" w:after="0" w:afterAutospacing="0"/>
        <w:ind w:right="-1"/>
        <w:contextualSpacing/>
        <w:jc w:val="both"/>
        <w:rPr>
          <w:sz w:val="20"/>
          <w:szCs w:val="20"/>
          <w:shd w:val="clear" w:color="auto" w:fill="FFFFFF"/>
        </w:rPr>
      </w:pPr>
      <w:r w:rsidRPr="00944F16">
        <w:rPr>
          <w:rStyle w:val="Refdenotaalpie"/>
          <w:sz w:val="20"/>
          <w:szCs w:val="20"/>
        </w:rPr>
        <w:footnoteRef/>
      </w:r>
      <w:r w:rsidRPr="00944F16">
        <w:rPr>
          <w:sz w:val="20"/>
          <w:szCs w:val="20"/>
        </w:rPr>
        <w:t xml:space="preserve"> Sin embargo, </w:t>
      </w:r>
      <w:r w:rsidRPr="00944F16">
        <w:rPr>
          <w:sz w:val="20"/>
          <w:szCs w:val="20"/>
          <w:shd w:val="clear" w:color="auto" w:fill="FFFFFF"/>
          <w:lang w:val="es-CO" w:eastAsia="es-CO"/>
        </w:rPr>
        <w:t>excepcionalmente, existen situaciones que permite que la determinación de la base gravable de algunos tributos pueda ser definida por las autoridades administrat</w:t>
      </w:r>
      <w:r w:rsidRPr="00944F16">
        <w:rPr>
          <w:sz w:val="20"/>
          <w:szCs w:val="20"/>
          <w:shd w:val="clear" w:color="auto" w:fill="FFFFFF"/>
          <w:lang w:val="es-CO" w:eastAsia="es-CO"/>
        </w:rPr>
        <w:t>ivas. Por ejemplo, e</w:t>
      </w:r>
      <w:r w:rsidRPr="00944F16">
        <w:rPr>
          <w:sz w:val="20"/>
          <w:szCs w:val="20"/>
          <w:shd w:val="clear" w:color="auto" w:fill="FFFFFF"/>
          <w:lang w:val="es-ES_tradnl"/>
        </w:rPr>
        <w:t>n las sentencias </w:t>
      </w:r>
      <w:r w:rsidRPr="00944F16">
        <w:rPr>
          <w:sz w:val="20"/>
          <w:szCs w:val="20"/>
          <w:shd w:val="clear" w:color="auto" w:fill="FFFFFF"/>
        </w:rPr>
        <w:t>C-480 de 2007 y</w:t>
      </w:r>
      <w:r w:rsidRPr="00944F16">
        <w:rPr>
          <w:sz w:val="20"/>
          <w:szCs w:val="20"/>
          <w:shd w:val="clear" w:color="auto" w:fill="FFFFFF"/>
          <w:lang w:val="es-ES_tradnl"/>
        </w:rPr>
        <w:t xml:space="preserve"> C-511 de 2019, la Corte admitió que </w:t>
      </w:r>
      <w:r w:rsidRPr="00944F16">
        <w:rPr>
          <w:sz w:val="20"/>
          <w:szCs w:val="20"/>
          <w:shd w:val="clear" w:color="auto" w:fill="FFFFFF"/>
        </w:rPr>
        <w:t>que la base gravable del impuesto al consumo de cigarrillos y tabaco y el impuesto al consumo de licores, vinos, aperitivo, debía ser liquidado con base en el precio d</w:t>
      </w:r>
      <w:r w:rsidRPr="00944F16">
        <w:rPr>
          <w:sz w:val="20"/>
          <w:szCs w:val="20"/>
          <w:shd w:val="clear" w:color="auto" w:fill="FFFFFF"/>
        </w:rPr>
        <w:t>e “</w:t>
      </w:r>
      <w:r w:rsidRPr="00944F16">
        <w:rPr>
          <w:i/>
          <w:iCs/>
          <w:sz w:val="20"/>
          <w:szCs w:val="20"/>
          <w:shd w:val="clear" w:color="auto" w:fill="FFFFFF"/>
        </w:rPr>
        <w:t>venta al público</w:t>
      </w:r>
      <w:r w:rsidRPr="00944F16">
        <w:rPr>
          <w:sz w:val="20"/>
          <w:szCs w:val="20"/>
          <w:shd w:val="clear" w:color="auto" w:fill="FFFFFF"/>
        </w:rPr>
        <w:t xml:space="preserve">” de estos productos, certificados por el DANE. Lo anterior toda vez que, como se resumió en la Sentencia C-019 de 2022, las normas entonces demandadas «no contrariaban el principio de certeza tributaria porque, a pesar de que la norma </w:t>
      </w:r>
      <w:r w:rsidRPr="00944F16">
        <w:rPr>
          <w:sz w:val="20"/>
          <w:szCs w:val="20"/>
          <w:shd w:val="clear" w:color="auto" w:fill="FFFFFF"/>
        </w:rPr>
        <w:t>no determinaba la forma en que estos precios debían liquidarse, el DANE debía aplicar</w:t>
      </w:r>
      <w:r w:rsidRPr="00944F16">
        <w:rPr>
          <w:i/>
          <w:iCs/>
          <w:sz w:val="20"/>
          <w:szCs w:val="20"/>
          <w:shd w:val="clear" w:color="auto" w:fill="FFFFFF"/>
        </w:rPr>
        <w:t> </w:t>
      </w:r>
      <w:r w:rsidRPr="00944F16">
        <w:rPr>
          <w:sz w:val="20"/>
          <w:szCs w:val="20"/>
          <w:shd w:val="clear" w:color="auto" w:fill="FFFFFF"/>
        </w:rPr>
        <w:t>“métodos objetivos propios de su función institucional como responsable de las estadísticas”», pudiendo la Corte constatar que «en la ley existían </w:t>
      </w:r>
      <w:r w:rsidRPr="00944F16">
        <w:rPr>
          <w:i/>
          <w:iCs/>
          <w:sz w:val="20"/>
          <w:szCs w:val="20"/>
          <w:shd w:val="clear" w:color="auto" w:fill="FFFFFF"/>
        </w:rPr>
        <w:t>métodos objetivos</w:t>
      </w:r>
      <w:r w:rsidRPr="00944F16">
        <w:rPr>
          <w:sz w:val="20"/>
          <w:szCs w:val="20"/>
          <w:shd w:val="clear" w:color="auto" w:fill="FFFFFF"/>
        </w:rPr>
        <w:t> propi</w:t>
      </w:r>
      <w:r w:rsidRPr="00944F16">
        <w:rPr>
          <w:sz w:val="20"/>
          <w:szCs w:val="20"/>
          <w:shd w:val="clear" w:color="auto" w:fill="FFFFFF"/>
        </w:rPr>
        <w:t>os de la funciones legales e institucionales del DANE que garantizaban que la certificación del precio no era llevada a cabo de forma autónoma por una autoridad administrativa. Sin embargo, en el asunto de la referencia, si se entiende que la norma demanda</w:t>
      </w:r>
      <w:r w:rsidRPr="00944F16">
        <w:rPr>
          <w:sz w:val="20"/>
          <w:szCs w:val="20"/>
          <w:shd w:val="clear" w:color="auto" w:fill="FFFFFF"/>
        </w:rPr>
        <w:t xml:space="preserve">da defiere en el Ministerio del Interior la definición de la metodología de cálculo </w:t>
      </w:r>
      <w:r w:rsidRPr="00944F16">
        <w:rPr>
          <w:sz w:val="20"/>
          <w:szCs w:val="20"/>
        </w:rPr>
        <w:t>de los costos de los servicios prestados por la DNDA que determinan, a su vez, el valor de la base gravable que la misma norma establece,</w:t>
      </w:r>
      <w:r w:rsidRPr="00944F16">
        <w:rPr>
          <w:sz w:val="20"/>
          <w:szCs w:val="20"/>
          <w:shd w:val="clear" w:color="auto" w:fill="FFFFFF"/>
          <w:lang w:val="es-CO" w:eastAsia="es-CO"/>
        </w:rPr>
        <w:t xml:space="preserve"> la ley dejaría la fijación de dich</w:t>
      </w:r>
      <w:r w:rsidRPr="00944F16">
        <w:rPr>
          <w:sz w:val="20"/>
          <w:szCs w:val="20"/>
          <w:shd w:val="clear" w:color="auto" w:fill="FFFFFF"/>
          <w:lang w:val="es-CO" w:eastAsia="es-CO"/>
        </w:rPr>
        <w:t>os costos al arbitrio de una dependencia del Gobierno nacional (el Ministerio del Interior) que -a diferencia del DANE- no tiene ni la misión ni el conocimiento necesario para el establecimiento de una metodología de costos.</w:t>
      </w:r>
    </w:p>
  </w:footnote>
  <w:footnote w:id="38">
    <w:p w:rsidR="00E35918" w:rsidRPr="00944F16" w:rsidRDefault="00C039F9">
      <w:pPr>
        <w:pStyle w:val="Textonotapie"/>
      </w:pPr>
      <w:r w:rsidRPr="00944F16">
        <w:rPr>
          <w:rStyle w:val="Refdenotaalpie"/>
        </w:rPr>
        <w:footnoteRef/>
      </w:r>
      <w:r w:rsidRPr="00944F16">
        <w:t xml:space="preserve"> Sentencia C-484 de 2020, M.P.</w:t>
      </w:r>
      <w:r w:rsidRPr="00944F16">
        <w:t xml:space="preserve"> Alejandro Linares Cantillo.</w:t>
      </w:r>
    </w:p>
  </w:footnote>
  <w:footnote w:id="39">
    <w:p w:rsidR="00E35918" w:rsidRPr="00944F16" w:rsidRDefault="00C039F9">
      <w:pPr>
        <w:pStyle w:val="Textonotapie"/>
      </w:pPr>
      <w:r w:rsidRPr="00944F16">
        <w:rPr>
          <w:rStyle w:val="Refdenotaalpie"/>
        </w:rPr>
        <w:footnoteRef/>
      </w:r>
      <w:r w:rsidRPr="00944F16">
        <w:t xml:space="preserve"> Ibid.</w:t>
      </w:r>
    </w:p>
  </w:footnote>
  <w:footnote w:id="40">
    <w:p w:rsidR="0054283C" w:rsidRDefault="00C039F9" w:rsidP="00ED24DE">
      <w:pPr>
        <w:pStyle w:val="Textonotapie"/>
      </w:pPr>
      <w:r>
        <w:rPr>
          <w:rStyle w:val="Refdenotaalpie"/>
        </w:rPr>
        <w:footnoteRef/>
      </w:r>
      <w:r>
        <w:t xml:space="preserve"> </w:t>
      </w:r>
      <w:r w:rsidRPr="00B018D1">
        <w:t>En relación con este estándar, cfr., en particular, las sentencias </w:t>
      </w:r>
      <w:r w:rsidRPr="00B018D1">
        <w:rPr>
          <w:lang w:val="es-419"/>
        </w:rPr>
        <w:t>C-305 de 2004, C-795 de 2004, C-377 de 2008</w:t>
      </w:r>
      <w:r w:rsidRPr="00B018D1">
        <w:t>, C-714 de 2008, C-1062 de 2008, </w:t>
      </w:r>
      <w:r w:rsidRPr="00B018D1">
        <w:rPr>
          <w:lang w:val="es-419"/>
        </w:rPr>
        <w:t>C-747 de 2012, C-016 de 2016, C-453 de 2016, C-008 de 2018, C-068 de 2020</w:t>
      </w:r>
      <w:r w:rsidRPr="00B018D1">
        <w:t>, </w:t>
      </w:r>
      <w:r w:rsidRPr="00B018D1">
        <w:rPr>
          <w:lang w:val="es-419"/>
        </w:rPr>
        <w:t>C-415 de 2020, C-440 de 2020 y C-030 de 2021.</w:t>
      </w:r>
    </w:p>
  </w:footnote>
  <w:footnote w:id="41">
    <w:p w:rsidR="0054283C" w:rsidRDefault="00C039F9" w:rsidP="00ED24DE">
      <w:pPr>
        <w:pStyle w:val="Textonotapie"/>
      </w:pPr>
      <w:r>
        <w:rPr>
          <w:rStyle w:val="Refdenotaalpie"/>
        </w:rPr>
        <w:footnoteRef/>
      </w:r>
      <w:r>
        <w:t xml:space="preserve"> </w:t>
      </w:r>
      <w:r>
        <w:rPr>
          <w:color w:val="000000"/>
          <w:shd w:val="clear" w:color="auto" w:fill="FFFFFF"/>
          <w:lang w:val="es-MX"/>
        </w:rPr>
        <w:t>A partir de razones semejantes, en la Sentencia C-440 de 2020 </w:t>
      </w:r>
      <w:r>
        <w:rPr>
          <w:color w:val="000000"/>
          <w:bdr w:val="none" w:sz="0" w:space="0" w:color="auto" w:frame="1"/>
          <w:shd w:val="clear" w:color="auto" w:fill="FFFFFF"/>
          <w:lang w:val="es-ES_tradnl"/>
        </w:rPr>
        <w:t>la Sala justificó la inexequibilidad de la expresión </w:t>
      </w:r>
      <w:r>
        <w:rPr>
          <w:i/>
          <w:iCs/>
          <w:color w:val="000000"/>
          <w:bdr w:val="none" w:sz="0" w:space="0" w:color="auto" w:frame="1"/>
          <w:shd w:val="clear" w:color="auto" w:fill="FFFFFF"/>
          <w:lang w:val="es-ES_tradnl"/>
        </w:rPr>
        <w:t>“el artículo 167 de la Ley 769 de 2002”</w:t>
      </w:r>
      <w:r>
        <w:rPr>
          <w:color w:val="000000"/>
          <w:bdr w:val="none" w:sz="0" w:space="0" w:color="auto" w:frame="1"/>
          <w:shd w:val="clear" w:color="auto" w:fill="FFFFFF"/>
          <w:lang w:val="es-ES_tradnl"/>
        </w:rPr>
        <w:t xml:space="preserve">, contenida en el artículo 336 de la Ley 1955 de </w:t>
      </w:r>
      <w:r>
        <w:rPr>
          <w:color w:val="000000"/>
          <w:bdr w:val="none" w:sz="0" w:space="0" w:color="auto" w:frame="1"/>
          <w:shd w:val="clear" w:color="auto" w:fill="FFFFFF"/>
          <w:lang w:val="es-ES_tradnl"/>
        </w:rPr>
        <w:t>2019, así: </w:t>
      </w:r>
      <w:r>
        <w:rPr>
          <w:i/>
          <w:iCs/>
          <w:color w:val="000000"/>
          <w:bdr w:val="none" w:sz="0" w:space="0" w:color="auto" w:frame="1"/>
          <w:shd w:val="clear" w:color="auto" w:fill="FFFFFF"/>
          <w:lang w:val="es-ES_tradnl"/>
        </w:rPr>
        <w:t>“</w:t>
      </w:r>
      <w:r>
        <w:rPr>
          <w:i/>
          <w:iCs/>
          <w:color w:val="000000"/>
          <w:shd w:val="clear" w:color="auto" w:fill="FFFFFF"/>
          <w:lang w:val="es-ES_tradnl"/>
        </w:rPr>
        <w:t>Además, la Corte advierte que, dada la materia que regula la disposición acusada, esta tiene por objeto llenar las inconsistencias que presentan leyes anteriores, en este caso la Ley 769 de 2002 y, además, tiene vocación de permanencia, lo cual</w:t>
      </w:r>
      <w:r>
        <w:rPr>
          <w:i/>
          <w:iCs/>
          <w:color w:val="000000"/>
          <w:shd w:val="clear" w:color="auto" w:fill="FFFFFF"/>
          <w:lang w:val="es-ES_tradnl"/>
        </w:rPr>
        <w:t xml:space="preserve"> desconoce la potestad legislativa general reconocida al Congreso de la República. En efecto, la derogatoria del artículo 167 de la Ley 769 de 2002, que otorga responsabilidades de administración a la Dirección Ejecutiva de la Rama Judicial sobre los parqu</w:t>
      </w:r>
      <w:r>
        <w:rPr>
          <w:i/>
          <w:iCs/>
          <w:color w:val="000000"/>
          <w:shd w:val="clear" w:color="auto" w:fill="FFFFFF"/>
          <w:lang w:val="es-ES_tradnl"/>
        </w:rPr>
        <w:t>eaderos destinados a vehículos inmovilizados por orden judicial, genera un cambio de responsable, lo cual implica que otra autoridad deba asumir el costo y compromiso de dicha guarda de vehículos. De ahí que, para la Corte, la derogatoria mencionada no ten</w:t>
      </w:r>
      <w:r>
        <w:rPr>
          <w:i/>
          <w:iCs/>
          <w:color w:val="000000"/>
          <w:shd w:val="clear" w:color="auto" w:fill="FFFFFF"/>
          <w:lang w:val="es-ES_tradnl"/>
        </w:rPr>
        <w:t>ga por efecto únicamente articular el nuevo orden jurídico que impone la regulación introducida por la Ley 1955 de 2019, sino regular un asunto particular, que es inconexo al Plan Nacional de Desarrollo y excede la regulación propia del cuatrienio”</w:t>
      </w:r>
      <w:r>
        <w:rPr>
          <w:color w:val="000000"/>
          <w:shd w:val="clear" w:color="auto" w:fill="FFFFFF"/>
          <w:lang w:val="es-ES_tradnl"/>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AF2A74"/>
    <w:multiLevelType w:val="hybridMultilevel"/>
    <w:tmpl w:val="A44A2736"/>
    <w:lvl w:ilvl="0" w:tplc="C82A9136">
      <w:start w:val="5"/>
      <w:numFmt w:val="decimal"/>
      <w:lvlText w:val="%1."/>
      <w:lvlJc w:val="left"/>
      <w:pPr>
        <w:ind w:left="720" w:hanging="360"/>
      </w:pPr>
      <w:rPr>
        <w:rFonts w:hint="default"/>
        <w:b w:val="0"/>
        <w:bCs w:val="0"/>
        <w:i w:val="0"/>
        <w:i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B7B1EE7"/>
    <w:multiLevelType w:val="multilevel"/>
    <w:tmpl w:val="7A941738"/>
    <w:lvl w:ilvl="0">
      <w:start w:val="1"/>
      <w:numFmt w:val="upperRoman"/>
      <w:lvlText w:val="%1."/>
      <w:lvlJc w:val="left"/>
      <w:pPr>
        <w:ind w:left="1004" w:hanging="720"/>
      </w:pPr>
      <w:rPr>
        <w:rFonts w:ascii="Times New Roman" w:eastAsia="Times New Roman" w:hAnsi="Times New Roman" w:cs="Times New Roman"/>
        <w:b/>
        <w:bCs/>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rPr>
        <w:rFonts w:ascii="Times New Roman" w:eastAsia="Times New Roman" w:hAnsi="Times New Roman" w:cs="Times New Roman"/>
        <w:b w:val="0"/>
        <w:bCs/>
        <w:i w:val="0"/>
      </w:r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4398"/>
    <w:rsid w:val="0054283C"/>
    <w:rsid w:val="005E4398"/>
    <w:rsid w:val="00C039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72EDBF90-7932-46D4-82BB-18FCB5CEE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pPr>
      <w:tabs>
        <w:tab w:val="left" w:pos="709"/>
      </w:tabs>
      <w:ind w:left="709" w:right="51" w:hanging="709"/>
      <w:jc w:val="center"/>
      <w:outlineLvl w:val="0"/>
    </w:pPr>
    <w:rPr>
      <w:b/>
      <w:sz w:val="32"/>
      <w:szCs w:val="32"/>
    </w:rPr>
  </w:style>
  <w:style w:type="paragraph" w:styleId="Ttulo2">
    <w:name w:val="heading 2"/>
    <w:basedOn w:val="Normal"/>
    <w:next w:val="Normal"/>
    <w:link w:val="Ttulo2Car"/>
    <w:pPr>
      <w:keepNext/>
      <w:keepLines/>
      <w:spacing w:before="40"/>
      <w:outlineLvl w:val="1"/>
    </w:pPr>
    <w:rPr>
      <w:rFonts w:ascii="Calibri" w:eastAsia="Calibri" w:hAnsi="Calibri" w:cs="Calibri"/>
      <w:color w:val="2E75B5"/>
      <w:sz w:val="26"/>
      <w:szCs w:val="26"/>
    </w:rPr>
  </w:style>
  <w:style w:type="paragraph" w:styleId="Ttulo3">
    <w:name w:val="heading 3"/>
    <w:basedOn w:val="Normal"/>
    <w:next w:val="Normal"/>
    <w:link w:val="Ttulo3Car"/>
    <w:pPr>
      <w:keepNext/>
      <w:tabs>
        <w:tab w:val="left" w:pos="567"/>
        <w:tab w:val="left" w:pos="709"/>
      </w:tabs>
      <w:ind w:right="51"/>
      <w:outlineLvl w:val="2"/>
    </w:pPr>
    <w:rPr>
      <w:b/>
      <w:sz w:val="28"/>
      <w:szCs w:val="28"/>
    </w:rPr>
  </w:style>
  <w:style w:type="paragraph" w:styleId="Ttulo4">
    <w:name w:val="heading 4"/>
    <w:basedOn w:val="Normal"/>
    <w:next w:val="Normal"/>
    <w:link w:val="Ttulo4Car"/>
    <w:pPr>
      <w:keepNext/>
      <w:keepLines/>
      <w:spacing w:before="240" w:after="40"/>
      <w:outlineLvl w:val="3"/>
    </w:pPr>
    <w:rPr>
      <w:b/>
      <w:sz w:val="24"/>
      <w:szCs w:val="24"/>
    </w:rPr>
  </w:style>
  <w:style w:type="paragraph" w:styleId="Ttulo5">
    <w:name w:val="heading 5"/>
    <w:basedOn w:val="Normal"/>
    <w:next w:val="Normal"/>
    <w:link w:val="Ttulo5Car"/>
    <w:pPr>
      <w:keepNext/>
      <w:keepLines/>
      <w:spacing w:before="220" w:after="40"/>
      <w:outlineLvl w:val="4"/>
    </w:pPr>
    <w:rPr>
      <w:b/>
    </w:rPr>
  </w:style>
  <w:style w:type="paragraph" w:styleId="Ttulo6">
    <w:name w:val="heading 6"/>
    <w:basedOn w:val="Normal"/>
    <w:next w:val="Normal"/>
    <w:link w:val="Ttulo6Car"/>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pPr>
      <w:jc w:val="center"/>
    </w:pPr>
    <w:rPr>
      <w:b/>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paragraph" w:customStyle="1" w:styleId="unico">
    <w:name w:val="unico"/>
    <w:basedOn w:val="Normal"/>
    <w:rsid w:val="005469F4"/>
    <w:pPr>
      <w:spacing w:before="100" w:beforeAutospacing="1" w:after="100" w:afterAutospacing="1"/>
    </w:pPr>
    <w:rPr>
      <w:sz w:val="24"/>
      <w:szCs w:val="24"/>
    </w:rPr>
  </w:style>
  <w:style w:type="paragraph" w:styleId="Piedepgina">
    <w:name w:val="footer"/>
    <w:basedOn w:val="Normal"/>
    <w:link w:val="PiedepginaCar"/>
    <w:uiPriority w:val="99"/>
    <w:unhideWhenUsed/>
    <w:rsid w:val="000475F2"/>
    <w:pPr>
      <w:tabs>
        <w:tab w:val="center" w:pos="4419"/>
        <w:tab w:val="right" w:pos="8838"/>
      </w:tabs>
    </w:pPr>
  </w:style>
  <w:style w:type="character" w:customStyle="1" w:styleId="PiedepginaCar">
    <w:name w:val="Pie de página Car"/>
    <w:basedOn w:val="Fuentedeprrafopredeter"/>
    <w:link w:val="Piedepgina"/>
    <w:uiPriority w:val="99"/>
    <w:rsid w:val="000475F2"/>
  </w:style>
  <w:style w:type="paragraph" w:styleId="Encabezado">
    <w:name w:val="header"/>
    <w:basedOn w:val="Normal"/>
    <w:link w:val="EncabezadoCar"/>
    <w:uiPriority w:val="99"/>
    <w:unhideWhenUsed/>
    <w:rsid w:val="000475F2"/>
    <w:pPr>
      <w:tabs>
        <w:tab w:val="center" w:pos="4419"/>
        <w:tab w:val="right" w:pos="8838"/>
      </w:tabs>
    </w:pPr>
  </w:style>
  <w:style w:type="character" w:customStyle="1" w:styleId="EncabezadoCar">
    <w:name w:val="Encabezado Car"/>
    <w:basedOn w:val="Fuentedeprrafopredeter"/>
    <w:link w:val="Encabezado"/>
    <w:uiPriority w:val="99"/>
    <w:rsid w:val="000475F2"/>
  </w:style>
  <w:style w:type="paragraph" w:styleId="Prrafodelista">
    <w:name w:val="List Paragraph"/>
    <w:aliases w:val="Colorful List - Accent 11,Ha,List Paragraph1,lp1"/>
    <w:basedOn w:val="Normal"/>
    <w:link w:val="PrrafodelistaCar"/>
    <w:uiPriority w:val="34"/>
    <w:qFormat/>
    <w:rsid w:val="009E2606"/>
    <w:pPr>
      <w:ind w:left="720"/>
      <w:contextualSpacing/>
    </w:pPr>
  </w:style>
  <w:style w:type="paragraph" w:styleId="Textonotapie">
    <w:name w:val="footnote text"/>
    <w:aliases w:val="Footnote Text Char Char Char Char Char,Footnote Text Char Char Char Char,Footnote reference,FA Fu,texto de nota al pie,Ref. de nota al pie1,Footnote Text Char Char Char,Footnote Text Char,Footnote Text Char Char Char Char Char Char1,ft"/>
    <w:basedOn w:val="Normal"/>
    <w:link w:val="TextonotapieCar"/>
    <w:uiPriority w:val="99"/>
    <w:unhideWhenUsed/>
    <w:qFormat/>
    <w:rsid w:val="007F17AC"/>
  </w:style>
  <w:style w:type="character" w:customStyle="1" w:styleId="TextonotapieCar">
    <w:name w:val="Texto nota pie Car"/>
    <w:aliases w:val="Footnote Text Char Char Char Char Char Car,Footnote Text Char Char Char Char Car,Footnote reference Car,FA Fu Car1,texto de nota al pie Car,Ref. de nota al pie1 Car,Footnote Text Char Char Char Car,Footnote Text Char Car,ft Car"/>
    <w:basedOn w:val="Fuentedeprrafopredeter"/>
    <w:link w:val="Textonotapie"/>
    <w:uiPriority w:val="99"/>
    <w:qFormat/>
    <w:rsid w:val="007F17AC"/>
  </w:style>
  <w:style w:type="character" w:styleId="Refdenotaalpie">
    <w:name w:val="footnote reference"/>
    <w:aliases w:val="Texto de nota al pie,referencia nota al pie,Footnotes refss,Appel note de bas de page,Footnote number,BVI fnr,f,Ref. de nota al pie 2,Fago Fußnotenzeichen,texto de nota al pie Car Car,Texto nota pie Car Car Car,4_G,16 Point,FC,F,R,f1"/>
    <w:basedOn w:val="Fuentedeprrafopredeter"/>
    <w:link w:val="4GChar"/>
    <w:uiPriority w:val="99"/>
    <w:unhideWhenUsed/>
    <w:qFormat/>
    <w:rsid w:val="007F17AC"/>
    <w:rPr>
      <w:vertAlign w:val="superscript"/>
    </w:rPr>
  </w:style>
  <w:style w:type="paragraph" w:customStyle="1" w:styleId="codigo-9">
    <w:name w:val="codigo-9"/>
    <w:basedOn w:val="Normal"/>
    <w:rsid w:val="00DD1517"/>
    <w:pPr>
      <w:spacing w:before="100" w:beforeAutospacing="1" w:after="100" w:afterAutospacing="1"/>
    </w:pPr>
    <w:rPr>
      <w:sz w:val="24"/>
      <w:szCs w:val="24"/>
    </w:rPr>
  </w:style>
  <w:style w:type="paragraph" w:customStyle="1" w:styleId="nueve">
    <w:name w:val="nueve"/>
    <w:basedOn w:val="Normal"/>
    <w:rsid w:val="00DD1517"/>
    <w:pPr>
      <w:spacing w:before="100" w:beforeAutospacing="1" w:after="100" w:afterAutospacing="1"/>
    </w:pPr>
    <w:rPr>
      <w:sz w:val="24"/>
      <w:szCs w:val="24"/>
    </w:rPr>
  </w:style>
  <w:style w:type="character" w:customStyle="1" w:styleId="lphit">
    <w:name w:val="lphit"/>
    <w:basedOn w:val="Fuentedeprrafopredeter"/>
    <w:rsid w:val="00DD1517"/>
  </w:style>
  <w:style w:type="character" w:customStyle="1" w:styleId="blast">
    <w:name w:val="blast"/>
    <w:basedOn w:val="Fuentedeprrafopredeter"/>
    <w:rsid w:val="00A24D9B"/>
  </w:style>
  <w:style w:type="character" w:styleId="Hipervnculo">
    <w:name w:val="Hyperlink"/>
    <w:basedOn w:val="Fuentedeprrafopredeter"/>
    <w:uiPriority w:val="99"/>
    <w:unhideWhenUsed/>
    <w:rsid w:val="00A24D9B"/>
    <w:rPr>
      <w:color w:val="0000FF"/>
      <w:u w:val="single"/>
    </w:rPr>
  </w:style>
  <w:style w:type="paragraph" w:styleId="Textodeglobo">
    <w:name w:val="Balloon Text"/>
    <w:basedOn w:val="Normal"/>
    <w:link w:val="TextodegloboCar"/>
    <w:uiPriority w:val="99"/>
    <w:semiHidden/>
    <w:unhideWhenUsed/>
    <w:rsid w:val="00724EE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24EEB"/>
    <w:rPr>
      <w:rFonts w:ascii="Segoe UI" w:hAnsi="Segoe UI" w:cs="Segoe UI"/>
      <w:sz w:val="18"/>
      <w:szCs w:val="18"/>
    </w:rPr>
  </w:style>
  <w:style w:type="paragraph" w:customStyle="1" w:styleId="Sangradetindependiente">
    <w:name w:val="Sangría de t. independiente"/>
    <w:basedOn w:val="Normal"/>
    <w:uiPriority w:val="99"/>
    <w:rsid w:val="00F1357A"/>
    <w:pPr>
      <w:overflowPunct w:val="0"/>
      <w:autoSpaceDE w:val="0"/>
      <w:autoSpaceDN w:val="0"/>
      <w:adjustRightInd w:val="0"/>
      <w:textAlignment w:val="baseline"/>
    </w:pPr>
    <w:rPr>
      <w:sz w:val="28"/>
      <w:szCs w:val="28"/>
      <w:lang w:val="es-ES_tradnl" w:eastAsia="es-ES"/>
    </w:rPr>
  </w:style>
  <w:style w:type="character" w:styleId="Refdecomentario">
    <w:name w:val="annotation reference"/>
    <w:basedOn w:val="Fuentedeprrafopredeter"/>
    <w:uiPriority w:val="99"/>
    <w:semiHidden/>
    <w:unhideWhenUsed/>
    <w:rsid w:val="00D660E9"/>
    <w:rPr>
      <w:sz w:val="16"/>
      <w:szCs w:val="16"/>
    </w:rPr>
  </w:style>
  <w:style w:type="paragraph" w:styleId="Textocomentario">
    <w:name w:val="annotation text"/>
    <w:basedOn w:val="Normal"/>
    <w:link w:val="TextocomentarioCar"/>
    <w:uiPriority w:val="99"/>
    <w:unhideWhenUsed/>
    <w:rsid w:val="00D660E9"/>
  </w:style>
  <w:style w:type="character" w:customStyle="1" w:styleId="TextocomentarioCar">
    <w:name w:val="Texto comentario Car"/>
    <w:basedOn w:val="Fuentedeprrafopredeter"/>
    <w:link w:val="Textocomentario"/>
    <w:uiPriority w:val="99"/>
    <w:rsid w:val="00D660E9"/>
  </w:style>
  <w:style w:type="paragraph" w:styleId="Asuntodelcomentario">
    <w:name w:val="annotation subject"/>
    <w:basedOn w:val="Textocomentario"/>
    <w:next w:val="Textocomentario"/>
    <w:link w:val="AsuntodelcomentarioCar"/>
    <w:uiPriority w:val="99"/>
    <w:semiHidden/>
    <w:unhideWhenUsed/>
    <w:rsid w:val="00D660E9"/>
    <w:rPr>
      <w:b/>
      <w:bCs/>
    </w:rPr>
  </w:style>
  <w:style w:type="character" w:customStyle="1" w:styleId="AsuntodelcomentarioCar">
    <w:name w:val="Asunto del comentario Car"/>
    <w:basedOn w:val="TextocomentarioCar"/>
    <w:link w:val="Asuntodelcomentario"/>
    <w:uiPriority w:val="99"/>
    <w:semiHidden/>
    <w:rsid w:val="00D660E9"/>
    <w:rPr>
      <w:b/>
      <w:bCs/>
    </w:rPr>
  </w:style>
  <w:style w:type="character" w:styleId="nfasis">
    <w:name w:val="Emphasis"/>
    <w:basedOn w:val="Fuentedeprrafopredeter"/>
    <w:uiPriority w:val="20"/>
    <w:qFormat/>
    <w:rsid w:val="00C432B3"/>
    <w:rPr>
      <w:i/>
      <w:iCs/>
    </w:rPr>
  </w:style>
  <w:style w:type="character" w:customStyle="1" w:styleId="TextonotapieCar1">
    <w:name w:val="Texto nota pie Car1"/>
    <w:aliases w:val="Texto nota pie Car Car1,Footnote Text Char Char Char Char Char Car1,Footnote Text Char Char Char Char Car1,Footnote reference Car1,FA Fu Car,texto de nota al pie Car1"/>
    <w:rsid w:val="004D262F"/>
    <w:rPr>
      <w:lang w:val="es-ES_tradnl" w:eastAsia="es-ES"/>
    </w:rPr>
  </w:style>
  <w:style w:type="paragraph" w:customStyle="1" w:styleId="centrado">
    <w:name w:val="centrado"/>
    <w:basedOn w:val="Normal"/>
    <w:rsid w:val="003A232F"/>
    <w:pPr>
      <w:spacing w:before="100" w:beforeAutospacing="1" w:after="100" w:afterAutospacing="1"/>
    </w:pPr>
    <w:rPr>
      <w:sz w:val="24"/>
      <w:szCs w:val="24"/>
    </w:rPr>
  </w:style>
  <w:style w:type="character" w:customStyle="1" w:styleId="baj">
    <w:name w:val="b_aj"/>
    <w:basedOn w:val="Fuentedeprrafopredeter"/>
    <w:rsid w:val="003A232F"/>
  </w:style>
  <w:style w:type="paragraph" w:styleId="NormalWeb">
    <w:name w:val="Normal (Web)"/>
    <w:basedOn w:val="Normal"/>
    <w:uiPriority w:val="99"/>
    <w:unhideWhenUsed/>
    <w:rsid w:val="001C2C41"/>
    <w:pPr>
      <w:spacing w:before="100" w:beforeAutospacing="1" w:after="100" w:afterAutospacing="1"/>
    </w:pPr>
    <w:rPr>
      <w:sz w:val="24"/>
      <w:szCs w:val="24"/>
      <w:lang w:val="es-AR" w:eastAsia="es-AR"/>
    </w:rPr>
  </w:style>
  <w:style w:type="character" w:styleId="Textoennegrita">
    <w:name w:val="Strong"/>
    <w:basedOn w:val="Fuentedeprrafopredeter"/>
    <w:uiPriority w:val="22"/>
    <w:qFormat/>
    <w:rsid w:val="001C2C41"/>
    <w:rPr>
      <w:b/>
      <w:bCs/>
    </w:rPr>
  </w:style>
  <w:style w:type="character" w:styleId="Hipervnculovisitado">
    <w:name w:val="FollowedHyperlink"/>
    <w:basedOn w:val="Fuentedeprrafopredeter"/>
    <w:uiPriority w:val="99"/>
    <w:semiHidden/>
    <w:unhideWhenUsed/>
    <w:rsid w:val="001C2C41"/>
    <w:rPr>
      <w:color w:val="954F72" w:themeColor="followedHyperlink"/>
      <w:u w:val="single"/>
    </w:rPr>
  </w:style>
  <w:style w:type="paragraph" w:styleId="Revisin">
    <w:name w:val="Revision"/>
    <w:hidden/>
    <w:uiPriority w:val="99"/>
    <w:semiHidden/>
    <w:rsid w:val="00E4313C"/>
  </w:style>
  <w:style w:type="character" w:customStyle="1" w:styleId="plxtitulo">
    <w:name w:val="plxtitulo"/>
    <w:basedOn w:val="Fuentedeprrafopredeter"/>
    <w:rsid w:val="001E798E"/>
  </w:style>
  <w:style w:type="character" w:customStyle="1" w:styleId="Ttulo1Car">
    <w:name w:val="Título 1 Car"/>
    <w:basedOn w:val="Fuentedeprrafopredeter"/>
    <w:link w:val="Ttulo1"/>
    <w:rsid w:val="00072AFB"/>
    <w:rPr>
      <w:b/>
      <w:sz w:val="32"/>
      <w:szCs w:val="32"/>
    </w:rPr>
  </w:style>
  <w:style w:type="table" w:styleId="Tablaconcuadrcula">
    <w:name w:val="Table Grid"/>
    <w:basedOn w:val="Tablanormal"/>
    <w:uiPriority w:val="39"/>
    <w:rsid w:val="00DD0D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Colorful List - Accent 11 Car,Ha Car,List Paragraph1 Car,lp1 Car"/>
    <w:link w:val="Prrafodelista"/>
    <w:uiPriority w:val="34"/>
    <w:locked/>
    <w:rsid w:val="001A5978"/>
  </w:style>
  <w:style w:type="paragraph" w:styleId="Textoindependiente">
    <w:name w:val="Body Text"/>
    <w:basedOn w:val="Normal"/>
    <w:link w:val="TextoindependienteCar"/>
    <w:uiPriority w:val="99"/>
    <w:unhideWhenUsed/>
    <w:rsid w:val="006B2460"/>
    <w:pPr>
      <w:spacing w:before="100" w:beforeAutospacing="1" w:after="100" w:afterAutospacing="1"/>
    </w:pPr>
    <w:rPr>
      <w:sz w:val="24"/>
      <w:szCs w:val="24"/>
      <w:lang w:val="en-GB" w:eastAsia="en-GB"/>
    </w:rPr>
  </w:style>
  <w:style w:type="character" w:customStyle="1" w:styleId="TextoindependienteCar">
    <w:name w:val="Texto independiente Car"/>
    <w:basedOn w:val="Fuentedeprrafopredeter"/>
    <w:link w:val="Textoindependiente"/>
    <w:uiPriority w:val="99"/>
    <w:rsid w:val="006B2460"/>
    <w:rPr>
      <w:color w:val="auto"/>
      <w:sz w:val="24"/>
      <w:szCs w:val="24"/>
      <w:lang w:val="en-GB" w:eastAsia="en-GB"/>
    </w:rPr>
  </w:style>
  <w:style w:type="paragraph" w:customStyle="1" w:styleId="h3">
    <w:name w:val="h3"/>
    <w:basedOn w:val="Normal"/>
    <w:rsid w:val="00D01A48"/>
    <w:pPr>
      <w:spacing w:before="100" w:beforeAutospacing="1" w:after="100" w:afterAutospacing="1"/>
    </w:pPr>
    <w:rPr>
      <w:sz w:val="24"/>
      <w:szCs w:val="24"/>
    </w:rPr>
  </w:style>
  <w:style w:type="paragraph" w:customStyle="1" w:styleId="cuadrculaclara-nfasis41">
    <w:name w:val="cuadrculaclara-nfasis41"/>
    <w:basedOn w:val="Normal"/>
    <w:rsid w:val="00D01A48"/>
    <w:pPr>
      <w:spacing w:before="100" w:beforeAutospacing="1" w:after="100" w:afterAutospacing="1"/>
    </w:pPr>
    <w:rPr>
      <w:sz w:val="24"/>
      <w:szCs w:val="24"/>
      <w:lang w:val="en-GB" w:eastAsia="en-GB"/>
    </w:rPr>
  </w:style>
  <w:style w:type="paragraph" w:styleId="Textonotaalfinal">
    <w:name w:val="endnote text"/>
    <w:basedOn w:val="Normal"/>
    <w:link w:val="TextonotaalfinalCar"/>
    <w:uiPriority w:val="99"/>
    <w:semiHidden/>
    <w:unhideWhenUsed/>
    <w:rsid w:val="008046ED"/>
  </w:style>
  <w:style w:type="character" w:customStyle="1" w:styleId="TextonotaalfinalCar">
    <w:name w:val="Texto nota al final Car"/>
    <w:basedOn w:val="Fuentedeprrafopredeter"/>
    <w:link w:val="Textonotaalfinal"/>
    <w:uiPriority w:val="99"/>
    <w:semiHidden/>
    <w:rsid w:val="008046ED"/>
  </w:style>
  <w:style w:type="character" w:styleId="Refdenotaalfinal">
    <w:name w:val="endnote reference"/>
    <w:basedOn w:val="Fuentedeprrafopredeter"/>
    <w:uiPriority w:val="99"/>
    <w:semiHidden/>
    <w:unhideWhenUsed/>
    <w:rsid w:val="008046ED"/>
    <w:rPr>
      <w:vertAlign w:val="superscript"/>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4B262E"/>
    <w:rPr>
      <w:vertAlign w:val="superscript"/>
    </w:rPr>
  </w:style>
  <w:style w:type="paragraph" w:customStyle="1" w:styleId="footnotetex">
    <w:name w:val="footnote tex"/>
    <w:basedOn w:val="Normal"/>
    <w:rsid w:val="004B262E"/>
    <w:pPr>
      <w:overflowPunct w:val="0"/>
      <w:autoSpaceDE w:val="0"/>
      <w:autoSpaceDN w:val="0"/>
      <w:adjustRightInd w:val="0"/>
      <w:textAlignment w:val="baseline"/>
    </w:pPr>
    <w:rPr>
      <w:rFonts w:ascii="Courier" w:hAnsi="Courier"/>
      <w:sz w:val="24"/>
      <w:lang w:val="es-ES_tradnl" w:eastAsia="es-ES"/>
    </w:rPr>
  </w:style>
  <w:style w:type="character" w:customStyle="1" w:styleId="Ttulo3Car">
    <w:name w:val="Título 3 Car"/>
    <w:basedOn w:val="Fuentedeprrafopredeter"/>
    <w:link w:val="Ttulo3"/>
    <w:rsid w:val="00603EC1"/>
    <w:rPr>
      <w:b/>
      <w:sz w:val="28"/>
      <w:szCs w:val="28"/>
    </w:rPr>
  </w:style>
  <w:style w:type="paragraph" w:styleId="Sinespaciado">
    <w:name w:val="No Spacing"/>
    <w:basedOn w:val="Normal"/>
    <w:link w:val="SinespaciadoCar"/>
    <w:uiPriority w:val="1"/>
    <w:qFormat/>
    <w:rsid w:val="00D53683"/>
    <w:pPr>
      <w:spacing w:before="100" w:beforeAutospacing="1" w:after="100" w:afterAutospacing="1"/>
    </w:pPr>
    <w:rPr>
      <w:sz w:val="24"/>
      <w:szCs w:val="24"/>
    </w:rPr>
  </w:style>
  <w:style w:type="character" w:customStyle="1" w:styleId="fontstyle32">
    <w:name w:val="fontstyle32"/>
    <w:basedOn w:val="Fuentedeprrafopredeter"/>
    <w:rsid w:val="005B09A9"/>
  </w:style>
  <w:style w:type="character" w:customStyle="1" w:styleId="fontstyle33">
    <w:name w:val="fontstyle33"/>
    <w:basedOn w:val="Fuentedeprrafopredeter"/>
    <w:rsid w:val="005B09A9"/>
  </w:style>
  <w:style w:type="character" w:customStyle="1" w:styleId="apple-converted-space">
    <w:name w:val="apple-converted-space"/>
    <w:basedOn w:val="Fuentedeprrafopredeter"/>
    <w:rsid w:val="00653C7F"/>
  </w:style>
  <w:style w:type="character" w:customStyle="1" w:styleId="SinespaciadoCar">
    <w:name w:val="Sin espaciado Car"/>
    <w:link w:val="Sinespaciado"/>
    <w:uiPriority w:val="1"/>
    <w:locked/>
    <w:rsid w:val="0075174B"/>
    <w:rPr>
      <w:color w:val="auto"/>
      <w:sz w:val="24"/>
      <w:szCs w:val="24"/>
    </w:rPr>
  </w:style>
  <w:style w:type="character" w:customStyle="1" w:styleId="Ttulo2Car">
    <w:name w:val="Título 2 Car"/>
    <w:basedOn w:val="Fuentedeprrafopredeter"/>
    <w:link w:val="Ttulo2"/>
    <w:rsid w:val="00D6280D"/>
    <w:rPr>
      <w:rFonts w:ascii="Calibri" w:eastAsia="Calibri" w:hAnsi="Calibri" w:cs="Calibri"/>
      <w:color w:val="2E75B5"/>
      <w:sz w:val="26"/>
      <w:szCs w:val="26"/>
    </w:rPr>
  </w:style>
  <w:style w:type="character" w:customStyle="1" w:styleId="Ttulo4Car">
    <w:name w:val="Título 4 Car"/>
    <w:basedOn w:val="Fuentedeprrafopredeter"/>
    <w:link w:val="Ttulo4"/>
    <w:rsid w:val="00D6280D"/>
    <w:rPr>
      <w:b/>
      <w:sz w:val="24"/>
      <w:szCs w:val="24"/>
    </w:rPr>
  </w:style>
  <w:style w:type="character" w:customStyle="1" w:styleId="Ttulo5Car">
    <w:name w:val="Título 5 Car"/>
    <w:basedOn w:val="Fuentedeprrafopredeter"/>
    <w:link w:val="Ttulo5"/>
    <w:rsid w:val="00D6280D"/>
    <w:rPr>
      <w:b/>
      <w:sz w:val="22"/>
      <w:szCs w:val="22"/>
    </w:rPr>
  </w:style>
  <w:style w:type="character" w:customStyle="1" w:styleId="Ttulo6Car">
    <w:name w:val="Título 6 Car"/>
    <w:basedOn w:val="Fuentedeprrafopredeter"/>
    <w:link w:val="Ttulo6"/>
    <w:rsid w:val="00D6280D"/>
    <w:rPr>
      <w:b/>
    </w:rPr>
  </w:style>
  <w:style w:type="character" w:customStyle="1" w:styleId="TtuloCar">
    <w:name w:val="Título Car"/>
    <w:basedOn w:val="Fuentedeprrafopredeter"/>
    <w:link w:val="Ttulo"/>
    <w:rsid w:val="00D6280D"/>
    <w:rPr>
      <w:b/>
    </w:rPr>
  </w:style>
  <w:style w:type="character" w:customStyle="1" w:styleId="SubttuloCar">
    <w:name w:val="Subtítulo Car"/>
    <w:basedOn w:val="Fuentedeprrafopredeter"/>
    <w:link w:val="Subttulo"/>
    <w:rsid w:val="00D6280D"/>
    <w:rPr>
      <w:rFonts w:ascii="Georgia" w:eastAsia="Georgia" w:hAnsi="Georgia" w:cs="Georgia"/>
      <w:i/>
      <w:color w:val="666666"/>
      <w:sz w:val="48"/>
      <w:szCs w:val="48"/>
    </w:rPr>
  </w:style>
  <w:style w:type="character" w:customStyle="1" w:styleId="cf01">
    <w:name w:val="cf01"/>
    <w:basedOn w:val="Fuentedeprrafopredeter"/>
    <w:rsid w:val="009705AC"/>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11376</Words>
  <Characters>62569</Characters>
  <Application>Microsoft Office Word</Application>
  <DocSecurity>0</DocSecurity>
  <Lines>521</Lines>
  <Paragraphs>147</Paragraphs>
  <ScaleCrop>false</ScaleCrop>
  <Company/>
  <LinksUpToDate>false</LinksUpToDate>
  <CharactersWithSpaces>73798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2024-07-31T15:25:00Z</dcterms:created>
  <dcterms:modified xsi:type="dcterms:W3CDTF">2024-07-31T15:25:00Z</dcterms:modified>
</cp:coreProperties>
</file>