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5D96" w:rsidRPr="00D00D14" w:rsidRDefault="008534B4">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D00D14">
        <w:rPr>
          <w:rFonts w:ascii="Times New Roman" w:hAnsi="Times New Roman" w:cs="Times New Roman"/>
          <w:sz w:val="28"/>
          <w:szCs w:val="24"/>
        </w:rPr>
        <w:t xml:space="preserve"> </w:t>
      </w:r>
    </w:p>
    <w:p w:rsidR="00CA5D96" w:rsidRPr="00D00D14" w:rsidRDefault="00CA5D96">
      <w:pPr>
        <w:widowControl w:val="0"/>
        <w:autoSpaceDE w:val="0"/>
        <w:autoSpaceDN w:val="0"/>
        <w:adjustRightInd w:val="0"/>
        <w:spacing w:after="0" w:line="240" w:lineRule="auto"/>
        <w:rPr>
          <w:rFonts w:ascii="Times New Roman" w:hAnsi="Times New Roman" w:cs="Times New Roman"/>
          <w:sz w:val="28"/>
          <w:szCs w:val="28"/>
        </w:rPr>
      </w:pPr>
    </w:p>
    <w:p w:rsidR="00CA5D96" w:rsidRPr="00D00D14" w:rsidRDefault="008534B4">
      <w:pPr>
        <w:widowControl w:val="0"/>
        <w:autoSpaceDE w:val="0"/>
        <w:autoSpaceDN w:val="0"/>
        <w:adjustRightInd w:val="0"/>
        <w:spacing w:after="0" w:line="240" w:lineRule="auto"/>
        <w:jc w:val="center"/>
        <w:rPr>
          <w:rFonts w:ascii="Times New Roman" w:hAnsi="Times New Roman" w:cs="Times New Roman"/>
          <w:b/>
          <w:bCs/>
          <w:sz w:val="28"/>
          <w:szCs w:val="28"/>
        </w:rPr>
      </w:pPr>
      <w:r w:rsidRPr="00D00D14">
        <w:rPr>
          <w:rFonts w:ascii="Times New Roman" w:hAnsi="Times New Roman" w:cs="Times New Roman"/>
          <w:b/>
          <w:bCs/>
          <w:sz w:val="28"/>
          <w:szCs w:val="28"/>
        </w:rPr>
        <w:t xml:space="preserve">TEMAS-SUBTEMAS </w:t>
      </w:r>
    </w:p>
    <w:p w:rsidR="00CA5D96" w:rsidRPr="00D00D14" w:rsidRDefault="00CA5D96">
      <w:pPr>
        <w:widowControl w:val="0"/>
        <w:autoSpaceDE w:val="0"/>
        <w:autoSpaceDN w:val="0"/>
        <w:adjustRightInd w:val="0"/>
        <w:spacing w:after="0" w:line="240" w:lineRule="auto"/>
        <w:jc w:val="center"/>
        <w:rPr>
          <w:rFonts w:ascii="Times New Roman" w:hAnsi="Times New Roman" w:cs="Times New Roman"/>
          <w:b/>
          <w:bCs/>
          <w:sz w:val="28"/>
          <w:szCs w:val="28"/>
        </w:rPr>
      </w:pPr>
    </w:p>
    <w:p w:rsidR="00CA5D96" w:rsidRPr="00D00D14" w:rsidRDefault="008534B4">
      <w:pPr>
        <w:widowControl w:val="0"/>
        <w:autoSpaceDE w:val="0"/>
        <w:autoSpaceDN w:val="0"/>
        <w:adjustRightInd w:val="0"/>
        <w:spacing w:after="0" w:line="240" w:lineRule="auto"/>
        <w:jc w:val="center"/>
        <w:rPr>
          <w:rFonts w:ascii="Times New Roman" w:hAnsi="Times New Roman" w:cs="Times New Roman"/>
          <w:sz w:val="28"/>
          <w:szCs w:val="28"/>
        </w:rPr>
      </w:pPr>
      <w:r w:rsidRPr="00D00D14">
        <w:rPr>
          <w:rFonts w:ascii="Times New Roman" w:hAnsi="Times New Roman" w:cs="Times New Roman"/>
          <w:b/>
          <w:bCs/>
          <w:sz w:val="28"/>
          <w:szCs w:val="28"/>
        </w:rPr>
        <w:t xml:space="preserve">Sentencia C-064/26 </w:t>
      </w:r>
    </w:p>
    <w:p w:rsidR="00CA5D96" w:rsidRPr="00D00D14" w:rsidRDefault="00CA5D96">
      <w:pPr>
        <w:widowControl w:val="0"/>
        <w:autoSpaceDE w:val="0"/>
        <w:autoSpaceDN w:val="0"/>
        <w:adjustRightInd w:val="0"/>
        <w:spacing w:after="0" w:line="240" w:lineRule="auto"/>
        <w:jc w:val="both"/>
        <w:rPr>
          <w:rFonts w:ascii="Times New Roman" w:hAnsi="Times New Roman" w:cs="Times New Roman"/>
          <w:sz w:val="28"/>
          <w:szCs w:val="28"/>
        </w:rPr>
      </w:pPr>
    </w:p>
    <w:p w:rsidR="00CA5D96" w:rsidRPr="00D00D14" w:rsidRDefault="008534B4">
      <w:pPr>
        <w:widowControl w:val="0"/>
        <w:autoSpaceDE w:val="0"/>
        <w:autoSpaceDN w:val="0"/>
        <w:adjustRightInd w:val="0"/>
        <w:spacing w:after="0" w:line="240" w:lineRule="auto"/>
        <w:jc w:val="both"/>
        <w:rPr>
          <w:rFonts w:ascii="Times New Roman" w:hAnsi="Times New Roman" w:cs="Times New Roman"/>
          <w:sz w:val="28"/>
          <w:szCs w:val="28"/>
        </w:rPr>
      </w:pPr>
      <w:r w:rsidRPr="00D00D14">
        <w:rPr>
          <w:rFonts w:ascii="Times New Roman" w:hAnsi="Times New Roman" w:cs="Times New Roman"/>
          <w:b/>
          <w:bCs/>
          <w:sz w:val="28"/>
          <w:szCs w:val="28"/>
        </w:rPr>
        <w:t>CONCEPTO DE VIOLACION EN DEMANDA DE INCONSTITUCIONALIDAD</w:t>
      </w:r>
      <w:r w:rsidRPr="00D00D14">
        <w:rPr>
          <w:rFonts w:ascii="Times New Roman" w:hAnsi="Times New Roman" w:cs="Times New Roman"/>
          <w:sz w:val="28"/>
          <w:szCs w:val="28"/>
        </w:rPr>
        <w:t xml:space="preserve">-Razones claras, ciertas, específicas, pertinentes y suficientes </w:t>
      </w:r>
    </w:p>
    <w:p w:rsidR="00CA5D96" w:rsidRPr="00D00D14" w:rsidRDefault="00CA5D96">
      <w:pPr>
        <w:widowControl w:val="0"/>
        <w:autoSpaceDE w:val="0"/>
        <w:autoSpaceDN w:val="0"/>
        <w:adjustRightInd w:val="0"/>
        <w:spacing w:after="0" w:line="240" w:lineRule="auto"/>
        <w:jc w:val="both"/>
        <w:rPr>
          <w:rFonts w:ascii="Times New Roman" w:hAnsi="Times New Roman" w:cs="Times New Roman"/>
          <w:sz w:val="28"/>
          <w:szCs w:val="28"/>
        </w:rPr>
      </w:pPr>
    </w:p>
    <w:p w:rsidR="00CA5D96" w:rsidRPr="00D00D14" w:rsidRDefault="008534B4">
      <w:pPr>
        <w:widowControl w:val="0"/>
        <w:autoSpaceDE w:val="0"/>
        <w:autoSpaceDN w:val="0"/>
        <w:adjustRightInd w:val="0"/>
        <w:spacing w:after="0" w:line="240" w:lineRule="auto"/>
        <w:jc w:val="both"/>
        <w:rPr>
          <w:rFonts w:ascii="Times New Roman" w:hAnsi="Times New Roman" w:cs="Times New Roman"/>
          <w:sz w:val="28"/>
          <w:szCs w:val="28"/>
        </w:rPr>
      </w:pPr>
      <w:r w:rsidRPr="00D00D14">
        <w:rPr>
          <w:rFonts w:ascii="Times New Roman" w:hAnsi="Times New Roman" w:cs="Times New Roman"/>
          <w:b/>
          <w:bCs/>
          <w:sz w:val="28"/>
          <w:szCs w:val="28"/>
        </w:rPr>
        <w:t>INHIBICION DE LA CORTE CONSTITUCIONAL POR INEPTITUD SUSTANTIVA DE LA DEMANDA</w:t>
      </w:r>
      <w:r w:rsidRPr="00D00D14">
        <w:rPr>
          <w:rFonts w:ascii="Times New Roman" w:hAnsi="Times New Roman" w:cs="Times New Roman"/>
          <w:sz w:val="28"/>
          <w:szCs w:val="28"/>
        </w:rPr>
        <w:t xml:space="preserve">-Incumplimiento de requisitos de certeza, especificidad y suficiencia en los cargos </w:t>
      </w:r>
    </w:p>
    <w:p w:rsidR="00CA5D96" w:rsidRPr="00D00D14" w:rsidRDefault="00CA5D96">
      <w:pPr>
        <w:widowControl w:val="0"/>
        <w:autoSpaceDE w:val="0"/>
        <w:autoSpaceDN w:val="0"/>
        <w:adjustRightInd w:val="0"/>
        <w:spacing w:after="0" w:line="240" w:lineRule="auto"/>
        <w:jc w:val="both"/>
        <w:rPr>
          <w:rFonts w:ascii="Times New Roman" w:hAnsi="Times New Roman" w:cs="Times New Roman"/>
          <w:sz w:val="28"/>
          <w:szCs w:val="28"/>
        </w:rPr>
      </w:pPr>
    </w:p>
    <w:p w:rsidR="00CA5D96" w:rsidRPr="00D00D14" w:rsidRDefault="008534B4">
      <w:pPr>
        <w:widowControl w:val="0"/>
        <w:autoSpaceDE w:val="0"/>
        <w:autoSpaceDN w:val="0"/>
        <w:adjustRightInd w:val="0"/>
        <w:spacing w:after="0" w:line="240" w:lineRule="auto"/>
        <w:jc w:val="both"/>
        <w:rPr>
          <w:rFonts w:ascii="Times New Roman" w:hAnsi="Times New Roman" w:cs="Times New Roman"/>
          <w:sz w:val="28"/>
          <w:szCs w:val="28"/>
        </w:rPr>
      </w:pPr>
      <w:r w:rsidRPr="00D00D14">
        <w:rPr>
          <w:rFonts w:ascii="Times New Roman" w:hAnsi="Times New Roman" w:cs="Times New Roman"/>
          <w:b/>
          <w:bCs/>
          <w:sz w:val="28"/>
          <w:szCs w:val="28"/>
        </w:rPr>
        <w:t>INHIBICION DE LA CORTE CONSTITUCIONAL POR INEPTITUD SUSTANTIVA DE LA DEMANDA</w:t>
      </w:r>
      <w:r w:rsidRPr="00D00D14">
        <w:rPr>
          <w:rFonts w:ascii="Times New Roman" w:hAnsi="Times New Roman" w:cs="Times New Roman"/>
          <w:sz w:val="28"/>
          <w:szCs w:val="28"/>
        </w:rPr>
        <w:t>-Cargos se estructuran a partir de una interpretación subjetiva del precepto demandado y no guardan relación con su contenido</w:t>
      </w:r>
    </w:p>
    <w:p w:rsidR="00CA5D96" w:rsidRPr="00D00D14" w:rsidRDefault="00CA5D96">
      <w:pPr>
        <w:widowControl w:val="0"/>
        <w:autoSpaceDE w:val="0"/>
        <w:autoSpaceDN w:val="0"/>
        <w:adjustRightInd w:val="0"/>
        <w:spacing w:after="0" w:line="240" w:lineRule="auto"/>
        <w:jc w:val="both"/>
        <w:rPr>
          <w:rFonts w:ascii="Times New Roman" w:hAnsi="Times New Roman" w:cs="Times New Roman"/>
          <w:sz w:val="28"/>
          <w:szCs w:val="28"/>
        </w:rPr>
      </w:pPr>
    </w:p>
    <w:p w:rsidR="00CA5D96" w:rsidRPr="00D00D14" w:rsidRDefault="008534B4">
      <w:pPr>
        <w:widowControl w:val="0"/>
        <w:autoSpaceDE w:val="0"/>
        <w:autoSpaceDN w:val="0"/>
        <w:adjustRightInd w:val="0"/>
        <w:spacing w:after="0" w:line="240" w:lineRule="auto"/>
        <w:jc w:val="both"/>
        <w:rPr>
          <w:rFonts w:ascii="Times New Roman" w:hAnsi="Times New Roman" w:cs="Times New Roman"/>
          <w:sz w:val="28"/>
          <w:szCs w:val="28"/>
        </w:rPr>
      </w:pPr>
      <w:r w:rsidRPr="00D00D14">
        <w:rPr>
          <w:rFonts w:ascii="Times New Roman" w:hAnsi="Times New Roman" w:cs="Times New Roman"/>
          <w:i/>
          <w:iCs/>
          <w:sz w:val="28"/>
          <w:szCs w:val="28"/>
        </w:rPr>
        <w:t>(...) el contraste propuesto por el demandante no se entabla entre una proposición jurídica real y existente y una norma constitucional, sino entre el artículo 110 de la Constitución y una hipótesis normativa construida por el propio actor, a partir de inferencias sobre eventuales escenarios fácticos de aplicación futura de la norma legal. Esta circunstancia impide afirmar que el cargo recaiga sobre un contenido normativo verificable, en los términos exigidos por la jurisprudencia constitucional.</w:t>
      </w:r>
    </w:p>
    <w:p w:rsidR="00CA5D96" w:rsidRPr="00D00D14" w:rsidRDefault="00CA5D96">
      <w:pPr>
        <w:widowControl w:val="0"/>
        <w:autoSpaceDE w:val="0"/>
        <w:autoSpaceDN w:val="0"/>
        <w:adjustRightInd w:val="0"/>
        <w:spacing w:after="0" w:line="240" w:lineRule="auto"/>
        <w:jc w:val="both"/>
        <w:rPr>
          <w:rFonts w:ascii="Times New Roman" w:hAnsi="Times New Roman" w:cs="Times New Roman"/>
          <w:sz w:val="28"/>
          <w:szCs w:val="28"/>
        </w:rPr>
      </w:pPr>
    </w:p>
    <w:p w:rsidR="00CA5D96" w:rsidRPr="00D00D14" w:rsidRDefault="008534B4">
      <w:pPr>
        <w:widowControl w:val="0"/>
        <w:autoSpaceDE w:val="0"/>
        <w:autoSpaceDN w:val="0"/>
        <w:adjustRightInd w:val="0"/>
        <w:spacing w:after="0" w:line="240" w:lineRule="auto"/>
        <w:jc w:val="both"/>
        <w:rPr>
          <w:rFonts w:ascii="Times New Roman" w:hAnsi="Times New Roman" w:cs="Times New Roman"/>
          <w:sz w:val="28"/>
          <w:szCs w:val="28"/>
        </w:rPr>
      </w:pPr>
      <w:r w:rsidRPr="00D00D14">
        <w:rPr>
          <w:rFonts w:ascii="Times New Roman" w:hAnsi="Times New Roman" w:cs="Times New Roman"/>
          <w:b/>
          <w:bCs/>
          <w:sz w:val="28"/>
          <w:szCs w:val="28"/>
        </w:rPr>
        <w:t>INHIBICION DE LA CORTE CONSTITUCIONAL</w:t>
      </w:r>
      <w:r w:rsidRPr="00D00D14">
        <w:rPr>
          <w:rFonts w:ascii="Times New Roman" w:hAnsi="Times New Roman" w:cs="Times New Roman"/>
          <w:sz w:val="28"/>
          <w:szCs w:val="28"/>
        </w:rPr>
        <w:t>-No señalamiento de contradicción de una norma legal con la constitucional</w:t>
      </w:r>
    </w:p>
    <w:p w:rsidR="00CA5D96" w:rsidRPr="00D00D14" w:rsidRDefault="00CA5D96">
      <w:pPr>
        <w:widowControl w:val="0"/>
        <w:autoSpaceDE w:val="0"/>
        <w:autoSpaceDN w:val="0"/>
        <w:adjustRightInd w:val="0"/>
        <w:spacing w:after="0" w:line="240" w:lineRule="auto"/>
        <w:jc w:val="both"/>
        <w:rPr>
          <w:rFonts w:ascii="Times New Roman" w:hAnsi="Times New Roman" w:cs="Times New Roman"/>
          <w:sz w:val="28"/>
          <w:szCs w:val="28"/>
        </w:rPr>
      </w:pPr>
    </w:p>
    <w:p w:rsidR="00CA5D96" w:rsidRPr="00D00D14" w:rsidRDefault="008534B4">
      <w:pPr>
        <w:widowControl w:val="0"/>
        <w:autoSpaceDE w:val="0"/>
        <w:autoSpaceDN w:val="0"/>
        <w:adjustRightInd w:val="0"/>
        <w:spacing w:after="0" w:line="240" w:lineRule="auto"/>
        <w:jc w:val="both"/>
        <w:rPr>
          <w:rFonts w:ascii="Times New Roman" w:hAnsi="Times New Roman" w:cs="Times New Roman"/>
          <w:sz w:val="28"/>
          <w:szCs w:val="28"/>
        </w:rPr>
      </w:pPr>
      <w:r w:rsidRPr="00D00D14">
        <w:rPr>
          <w:rFonts w:ascii="Times New Roman" w:hAnsi="Times New Roman" w:cs="Times New Roman"/>
          <w:i/>
          <w:iCs/>
          <w:sz w:val="28"/>
          <w:szCs w:val="28"/>
        </w:rPr>
        <w:t>(...) el demandante no individualiza los destinatarios de una y otra norma, no precisa el momento normativo en el que se produciría la supuesta colisión constitucional y no desarrolla una argumentación que permita advertir, de forma directa y verificable, la manera en que las expresiones demandadas desconocen el artículo 110 de la Constitución</w:t>
      </w:r>
    </w:p>
    <w:p w:rsidR="00CA5D96" w:rsidRPr="00D00D14" w:rsidRDefault="00CA5D96">
      <w:pPr>
        <w:widowControl w:val="0"/>
        <w:autoSpaceDE w:val="0"/>
        <w:autoSpaceDN w:val="0"/>
        <w:adjustRightInd w:val="0"/>
        <w:spacing w:after="0" w:line="240" w:lineRule="auto"/>
        <w:jc w:val="both"/>
        <w:rPr>
          <w:rFonts w:ascii="Times New Roman" w:hAnsi="Times New Roman" w:cs="Times New Roman"/>
          <w:sz w:val="28"/>
          <w:szCs w:val="28"/>
        </w:rPr>
      </w:pPr>
    </w:p>
    <w:p w:rsidR="00CA5D96" w:rsidRPr="00D00D14" w:rsidRDefault="00D00D14">
      <w:pPr>
        <w:widowControl w:val="0"/>
        <w:autoSpaceDE w:val="0"/>
        <w:autoSpaceDN w:val="0"/>
        <w:adjustRightInd w:val="0"/>
        <w:spacing w:after="0" w:line="240" w:lineRule="auto"/>
        <w:jc w:val="both"/>
        <w:rPr>
          <w:rFonts w:ascii="Times New Roman" w:hAnsi="Times New Roman" w:cs="Times New Roman"/>
          <w:sz w:val="28"/>
        </w:rPr>
      </w:pPr>
      <w:r w:rsidRPr="00D00D14">
        <w:rPr>
          <w:rFonts w:ascii="Times New Roman" w:hAnsi="Times New Roman" w:cs="Times New Roman"/>
          <w:sz w:val="28"/>
          <w:szCs w:val="28"/>
        </w:rPr>
        <w:pict>
          <v:rect id="_x0000_i1025" style="width:0;height:1.5pt" o:hralign="center" o:hrstd="t" o:hr="t" fillcolor="#a0a0a0" stroked="f"/>
        </w:pict>
      </w:r>
    </w:p>
    <w:p w:rsidR="008F4D0B" w:rsidRPr="00D00D14" w:rsidRDefault="00D00D14" w:rsidP="003B59D1">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8"/>
          <w:lang w:val="es-ES_tradnl" w:eastAsia="es-ES"/>
        </w:rPr>
      </w:pPr>
      <w:r w:rsidRPr="00D00D14">
        <w:rPr>
          <w:rFonts w:ascii="Times New Roman" w:eastAsia="Times New Roman" w:hAnsi="Times New Roman" w:cs="Times New Roman"/>
          <w:b/>
          <w:sz w:val="28"/>
          <w:szCs w:val="28"/>
          <w:lang w:val="es-ES_tradnl" w:eastAsia="es-ES"/>
        </w:rPr>
        <w:t>REPÚBLICA DE COLOMBIA</w:t>
      </w:r>
    </w:p>
    <w:p w:rsidR="008F4D0B" w:rsidRPr="00D00D14" w:rsidRDefault="00D00D14" w:rsidP="003B59D1">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8"/>
          <w:lang w:val="es-ES_tradnl" w:eastAsia="es-MX"/>
        </w:rPr>
      </w:pPr>
      <w:r w:rsidRPr="00D00D14">
        <w:rPr>
          <w:rFonts w:ascii="Times New Roman" w:eastAsia="Times New Roman" w:hAnsi="Times New Roman" w:cs="Times New Roman"/>
          <w:b/>
          <w:noProof/>
          <w:sz w:val="28"/>
          <w:szCs w:val="28"/>
          <w:lang w:val="es-ES_tradnl" w:eastAsia="es-MX"/>
        </w:rPr>
        <w:drawing>
          <wp:inline distT="0" distB="0" distL="0" distR="0" wp14:anchorId="23356BD2" wp14:editId="58BB8528">
            <wp:extent cx="762000" cy="7683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 cy="768350"/>
                    </a:xfrm>
                    <a:prstGeom prst="rect">
                      <a:avLst/>
                    </a:prstGeom>
                    <a:noFill/>
                  </pic:spPr>
                </pic:pic>
              </a:graphicData>
            </a:graphic>
          </wp:inline>
        </w:drawing>
      </w:r>
    </w:p>
    <w:p w:rsidR="008F4D0B" w:rsidRPr="00D00D14" w:rsidRDefault="00D00D14" w:rsidP="003B59D1">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8"/>
          <w:lang w:val="es-ES_tradnl" w:eastAsia="es-MX"/>
        </w:rPr>
      </w:pPr>
      <w:r w:rsidRPr="00D00D14">
        <w:rPr>
          <w:rFonts w:ascii="Times New Roman" w:eastAsia="Times New Roman" w:hAnsi="Times New Roman" w:cs="Times New Roman"/>
          <w:b/>
          <w:sz w:val="28"/>
          <w:szCs w:val="28"/>
          <w:lang w:val="es-ES_tradnl" w:eastAsia="es-MX"/>
        </w:rPr>
        <w:t>CORTE CONSTITUCIONAL</w:t>
      </w:r>
    </w:p>
    <w:p w:rsidR="008F4D0B" w:rsidRPr="00D00D14" w:rsidRDefault="00D00D14" w:rsidP="009B30FB">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8"/>
          <w:lang w:val="es-ES_tradnl" w:eastAsia="es-MX"/>
        </w:rPr>
      </w:pPr>
    </w:p>
    <w:p w:rsidR="008F4D0B" w:rsidRPr="00D00D14" w:rsidRDefault="00D00D14" w:rsidP="009B30FB">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8"/>
          <w:lang w:val="es-ES_tradnl" w:eastAsia="es-ES"/>
        </w:rPr>
      </w:pPr>
      <w:r w:rsidRPr="00D00D14">
        <w:rPr>
          <w:rFonts w:ascii="Times New Roman" w:eastAsia="Times New Roman" w:hAnsi="Times New Roman" w:cs="Times New Roman"/>
          <w:b/>
          <w:sz w:val="28"/>
          <w:szCs w:val="28"/>
          <w:lang w:val="es-ES_tradnl" w:eastAsia="es-ES"/>
        </w:rPr>
        <w:t xml:space="preserve">SENTENCIA </w:t>
      </w:r>
      <w:r w:rsidRPr="00D00D14">
        <w:rPr>
          <w:rFonts w:ascii="Times New Roman" w:eastAsia="Times New Roman" w:hAnsi="Times New Roman" w:cs="Times New Roman"/>
          <w:b/>
          <w:sz w:val="28"/>
          <w:szCs w:val="28"/>
          <w:lang w:val="es-ES_tradnl" w:eastAsia="es-ES"/>
        </w:rPr>
        <w:t xml:space="preserve">C-064 </w:t>
      </w:r>
      <w:r w:rsidRPr="00D00D14">
        <w:rPr>
          <w:rFonts w:ascii="Times New Roman" w:eastAsia="Times New Roman" w:hAnsi="Times New Roman" w:cs="Times New Roman"/>
          <w:b/>
          <w:sz w:val="28"/>
          <w:szCs w:val="28"/>
          <w:lang w:val="es-ES_tradnl" w:eastAsia="es-ES"/>
        </w:rPr>
        <w:t>DE 2026</w:t>
      </w:r>
    </w:p>
    <w:p w:rsidR="00407FE2" w:rsidRPr="00D00D14" w:rsidRDefault="00D00D14" w:rsidP="009B30FB">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8"/>
          <w:lang w:val="es-ES_tradnl" w:eastAsia="es-ES"/>
        </w:rPr>
      </w:pPr>
    </w:p>
    <w:p w:rsidR="00D346EE" w:rsidRPr="00D00D14" w:rsidRDefault="00D00D14" w:rsidP="00D346EE">
      <w:pPr>
        <w:tabs>
          <w:tab w:val="left" w:pos="748"/>
          <w:tab w:val="left" w:pos="3366"/>
        </w:tabs>
        <w:overflowPunct w:val="0"/>
        <w:autoSpaceDE w:val="0"/>
        <w:autoSpaceDN w:val="0"/>
        <w:adjustRightInd w:val="0"/>
        <w:spacing w:after="0" w:line="240" w:lineRule="auto"/>
        <w:ind w:left="2832"/>
        <w:jc w:val="both"/>
        <w:textAlignment w:val="baseline"/>
        <w:rPr>
          <w:rFonts w:ascii="Times New Roman" w:eastAsia="Times New Roman" w:hAnsi="Times New Roman" w:cs="Times New Roman"/>
          <w:sz w:val="28"/>
          <w:szCs w:val="28"/>
          <w:lang w:val="es-ES_tradnl" w:eastAsia="es-MX"/>
        </w:rPr>
      </w:pPr>
      <w:r w:rsidRPr="00D00D14">
        <w:rPr>
          <w:rFonts w:ascii="Times New Roman" w:eastAsia="Times New Roman" w:hAnsi="Times New Roman" w:cs="Times New Roman"/>
          <w:sz w:val="28"/>
          <w:szCs w:val="28"/>
          <w:lang w:val="es-ES_tradnl" w:eastAsia="es-MX"/>
        </w:rPr>
        <w:t>Ref.: Expediente D-16729</w:t>
      </w:r>
    </w:p>
    <w:p w:rsidR="00D346EE" w:rsidRPr="00D00D14" w:rsidRDefault="00D00D14" w:rsidP="00D346EE">
      <w:pPr>
        <w:tabs>
          <w:tab w:val="left" w:pos="748"/>
          <w:tab w:val="left" w:pos="3960"/>
        </w:tabs>
        <w:overflowPunct w:val="0"/>
        <w:autoSpaceDE w:val="0"/>
        <w:autoSpaceDN w:val="0"/>
        <w:adjustRightInd w:val="0"/>
        <w:spacing w:after="0" w:line="240" w:lineRule="auto"/>
        <w:ind w:left="2832"/>
        <w:jc w:val="both"/>
        <w:textAlignment w:val="baseline"/>
        <w:rPr>
          <w:rFonts w:ascii="Times New Roman" w:eastAsia="Times New Roman" w:hAnsi="Times New Roman" w:cs="Times New Roman"/>
          <w:sz w:val="28"/>
          <w:szCs w:val="28"/>
          <w:lang w:val="es-ES_tradnl" w:eastAsia="es-MX"/>
        </w:rPr>
      </w:pPr>
    </w:p>
    <w:p w:rsidR="00D346EE" w:rsidRPr="00D00D14" w:rsidRDefault="00D00D14" w:rsidP="00D346EE">
      <w:pPr>
        <w:spacing w:after="0" w:line="240" w:lineRule="auto"/>
        <w:ind w:left="2832"/>
        <w:jc w:val="both"/>
        <w:rPr>
          <w:rFonts w:ascii="Times New Roman" w:eastAsia="Times New Roman" w:hAnsi="Times New Roman" w:cs="Times New Roman"/>
          <w:sz w:val="28"/>
          <w:szCs w:val="28"/>
          <w:lang w:val="es-ES_tradnl" w:eastAsia="es-MX"/>
        </w:rPr>
      </w:pPr>
      <w:r w:rsidRPr="00D00D14">
        <w:rPr>
          <w:rFonts w:ascii="Times New Roman" w:eastAsia="Times New Roman" w:hAnsi="Times New Roman" w:cs="Times New Roman"/>
          <w:sz w:val="28"/>
          <w:szCs w:val="28"/>
          <w:lang w:val="es-ES_tradnl" w:eastAsia="es-MX"/>
        </w:rPr>
        <w:t xml:space="preserve">Demanda de inconstitucionalidad contra el artículo 33 de la Ley 1778 de 2016 (parcial) “Por la cual se dictan normas sobre la responsabilidad de las personas jurídicas por actos de </w:t>
      </w:r>
      <w:r w:rsidRPr="00D00D14">
        <w:rPr>
          <w:rFonts w:ascii="Times New Roman" w:eastAsia="Times New Roman" w:hAnsi="Times New Roman" w:cs="Times New Roman"/>
          <w:sz w:val="28"/>
          <w:szCs w:val="28"/>
          <w:lang w:val="es-ES_tradnl" w:eastAsia="es-MX"/>
        </w:rPr>
        <w:t>corrupción transnacional y se dictan otras disposiciones en materia de lucha contra la corrupción”.</w:t>
      </w:r>
    </w:p>
    <w:p w:rsidR="00D346EE" w:rsidRPr="00D00D14" w:rsidRDefault="00D00D14" w:rsidP="00D346EE">
      <w:pPr>
        <w:spacing w:after="0" w:line="240" w:lineRule="auto"/>
        <w:ind w:left="2832"/>
        <w:jc w:val="both"/>
        <w:rPr>
          <w:rFonts w:ascii="Times New Roman" w:hAnsi="Times New Roman" w:cs="Times New Roman"/>
          <w:sz w:val="28"/>
          <w:szCs w:val="28"/>
          <w:lang w:val="es-ES_tradnl" w:eastAsia="es-MX"/>
        </w:rPr>
      </w:pPr>
      <w:r w:rsidRPr="00D00D14">
        <w:rPr>
          <w:rFonts w:ascii="Times New Roman" w:hAnsi="Times New Roman" w:cs="Times New Roman"/>
          <w:sz w:val="28"/>
          <w:szCs w:val="28"/>
          <w:lang w:val="es-ES_tradnl" w:eastAsia="es-MX"/>
        </w:rPr>
        <w:tab/>
        <w:t xml:space="preserve"> </w:t>
      </w:r>
    </w:p>
    <w:p w:rsidR="00D346EE" w:rsidRPr="00D00D14" w:rsidRDefault="00D00D14" w:rsidP="00D346EE">
      <w:pPr>
        <w:tabs>
          <w:tab w:val="left" w:pos="748"/>
          <w:tab w:val="left" w:pos="2520"/>
        </w:tabs>
        <w:overflowPunct w:val="0"/>
        <w:autoSpaceDE w:val="0"/>
        <w:autoSpaceDN w:val="0"/>
        <w:adjustRightInd w:val="0"/>
        <w:spacing w:after="0" w:line="240" w:lineRule="auto"/>
        <w:ind w:left="2832"/>
        <w:textAlignment w:val="baseline"/>
        <w:rPr>
          <w:rFonts w:ascii="Times New Roman" w:eastAsia="Times New Roman" w:hAnsi="Times New Roman" w:cs="Times New Roman"/>
          <w:sz w:val="28"/>
          <w:szCs w:val="28"/>
          <w:lang w:val="es-ES_tradnl" w:eastAsia="es-MX"/>
        </w:rPr>
      </w:pPr>
      <w:r w:rsidRPr="00D00D14">
        <w:rPr>
          <w:rFonts w:ascii="Times New Roman" w:eastAsia="Times New Roman" w:hAnsi="Times New Roman" w:cs="Times New Roman"/>
          <w:sz w:val="28"/>
          <w:szCs w:val="28"/>
          <w:lang w:val="es-ES_tradnl" w:eastAsia="es-MX"/>
        </w:rPr>
        <w:t>Magistrado ponente:</w:t>
      </w:r>
    </w:p>
    <w:p w:rsidR="00D346EE" w:rsidRPr="00D00D14" w:rsidRDefault="00D00D14" w:rsidP="00D346EE">
      <w:pPr>
        <w:overflowPunct w:val="0"/>
        <w:autoSpaceDE w:val="0"/>
        <w:autoSpaceDN w:val="0"/>
        <w:adjustRightInd w:val="0"/>
        <w:spacing w:after="0" w:line="240" w:lineRule="auto"/>
        <w:ind w:left="2832"/>
        <w:textAlignment w:val="baseline"/>
        <w:rPr>
          <w:rFonts w:ascii="Times New Roman" w:eastAsia="Times New Roman" w:hAnsi="Times New Roman" w:cs="Times New Roman"/>
          <w:sz w:val="28"/>
          <w:szCs w:val="28"/>
          <w:lang w:val="es-ES_tradnl" w:eastAsia="es-MX"/>
        </w:rPr>
      </w:pPr>
      <w:r w:rsidRPr="00D00D14">
        <w:rPr>
          <w:rFonts w:ascii="Times New Roman" w:eastAsia="Times New Roman" w:hAnsi="Times New Roman" w:cs="Times New Roman"/>
          <w:sz w:val="28"/>
          <w:szCs w:val="28"/>
          <w:lang w:val="es-ES_tradnl" w:eastAsia="es-MX"/>
        </w:rPr>
        <w:t>Héctor Alfonso Carvajal Londoño.</w:t>
      </w:r>
    </w:p>
    <w:p w:rsidR="00D346EE" w:rsidRPr="00D00D14" w:rsidRDefault="00D00D14" w:rsidP="00D346EE">
      <w:pPr>
        <w:overflowPunct w:val="0"/>
        <w:autoSpaceDE w:val="0"/>
        <w:autoSpaceDN w:val="0"/>
        <w:adjustRightInd w:val="0"/>
        <w:spacing w:after="0" w:line="240" w:lineRule="auto"/>
        <w:textAlignment w:val="baseline"/>
        <w:rPr>
          <w:rFonts w:ascii="Times New Roman" w:eastAsia="Times New Roman" w:hAnsi="Times New Roman" w:cs="Times New Roman"/>
          <w:sz w:val="28"/>
          <w:szCs w:val="28"/>
          <w:lang w:val="es-ES_tradnl" w:eastAsia="es-MX"/>
        </w:rPr>
      </w:pPr>
    </w:p>
    <w:p w:rsidR="00D346EE" w:rsidRPr="00D00D14" w:rsidRDefault="00D00D14" w:rsidP="00D346EE">
      <w:pPr>
        <w:overflowPunct w:val="0"/>
        <w:autoSpaceDE w:val="0"/>
        <w:autoSpaceDN w:val="0"/>
        <w:adjustRightInd w:val="0"/>
        <w:spacing w:after="0" w:line="240" w:lineRule="auto"/>
        <w:textAlignment w:val="baseline"/>
        <w:rPr>
          <w:rFonts w:ascii="Times New Roman" w:eastAsia="Times New Roman" w:hAnsi="Times New Roman" w:cs="Times New Roman"/>
          <w:sz w:val="28"/>
          <w:szCs w:val="28"/>
          <w:lang w:val="es-ES_tradnl" w:eastAsia="es-MX"/>
        </w:rPr>
      </w:pPr>
      <w:r w:rsidRPr="00D00D14">
        <w:rPr>
          <w:rFonts w:ascii="Times New Roman" w:eastAsia="Times New Roman" w:hAnsi="Times New Roman" w:cs="Times New Roman"/>
          <w:sz w:val="28"/>
          <w:szCs w:val="28"/>
          <w:lang w:val="es-ES_tradnl" w:eastAsia="es-MX"/>
        </w:rPr>
        <w:t xml:space="preserve">Bogotá, D.C., </w:t>
      </w:r>
      <w:r w:rsidRPr="00D00D14">
        <w:rPr>
          <w:rFonts w:ascii="Times New Roman" w:eastAsia="Times New Roman" w:hAnsi="Times New Roman" w:cs="Times New Roman"/>
          <w:sz w:val="28"/>
          <w:szCs w:val="28"/>
          <w:lang w:val="es-ES_tradnl" w:eastAsia="es-MX"/>
        </w:rPr>
        <w:t>veinticinco</w:t>
      </w:r>
      <w:r w:rsidRPr="00D00D14">
        <w:rPr>
          <w:rFonts w:ascii="Times New Roman" w:eastAsia="Times New Roman" w:hAnsi="Times New Roman" w:cs="Times New Roman"/>
          <w:sz w:val="28"/>
          <w:szCs w:val="28"/>
          <w:lang w:val="es-ES_tradnl" w:eastAsia="es-MX"/>
        </w:rPr>
        <w:t xml:space="preserve"> (</w:t>
      </w:r>
      <w:r w:rsidRPr="00D00D14">
        <w:rPr>
          <w:rFonts w:ascii="Times New Roman" w:eastAsia="Times New Roman" w:hAnsi="Times New Roman" w:cs="Times New Roman"/>
          <w:sz w:val="28"/>
          <w:szCs w:val="28"/>
          <w:lang w:val="es-ES_tradnl" w:eastAsia="es-MX"/>
        </w:rPr>
        <w:t>25</w:t>
      </w:r>
      <w:r w:rsidRPr="00D00D14">
        <w:rPr>
          <w:rFonts w:ascii="Times New Roman" w:eastAsia="Times New Roman" w:hAnsi="Times New Roman" w:cs="Times New Roman"/>
          <w:sz w:val="28"/>
          <w:szCs w:val="28"/>
          <w:lang w:val="es-ES_tradnl" w:eastAsia="es-MX"/>
        </w:rPr>
        <w:t>) de marzo de dos mil veintiséis (2026)</w:t>
      </w:r>
    </w:p>
    <w:p w:rsidR="00D346EE" w:rsidRPr="00D00D14" w:rsidRDefault="00D00D14" w:rsidP="00D346EE">
      <w:pPr>
        <w:overflowPunct w:val="0"/>
        <w:autoSpaceDE w:val="0"/>
        <w:autoSpaceDN w:val="0"/>
        <w:adjustRightInd w:val="0"/>
        <w:spacing w:after="0" w:line="240" w:lineRule="auto"/>
        <w:textAlignment w:val="baseline"/>
        <w:rPr>
          <w:rFonts w:ascii="Times New Roman" w:eastAsia="Times New Roman" w:hAnsi="Times New Roman" w:cs="Times New Roman"/>
          <w:sz w:val="28"/>
          <w:szCs w:val="28"/>
          <w:lang w:val="es-ES_tradnl" w:eastAsia="es-MX"/>
        </w:rPr>
      </w:pPr>
    </w:p>
    <w:p w:rsidR="00C13CB2" w:rsidRPr="00D00D14" w:rsidRDefault="00D00D14" w:rsidP="00D346EE">
      <w:pPr>
        <w:tabs>
          <w:tab w:val="left" w:pos="748"/>
          <w:tab w:val="left" w:pos="3366"/>
        </w:tabs>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val="es-ES_tradnl" w:eastAsia="es-MX"/>
        </w:rPr>
      </w:pPr>
      <w:r w:rsidRPr="00D00D14">
        <w:rPr>
          <w:rFonts w:ascii="Times New Roman" w:eastAsia="Times New Roman" w:hAnsi="Times New Roman" w:cs="Times New Roman"/>
          <w:sz w:val="28"/>
          <w:szCs w:val="28"/>
          <w:lang w:val="es-ES_tradnl" w:eastAsia="es-MX"/>
        </w:rPr>
        <w:t xml:space="preserve">La Sala Plena de la Corte </w:t>
      </w:r>
      <w:r w:rsidRPr="00D00D14">
        <w:rPr>
          <w:rFonts w:ascii="Times New Roman" w:eastAsia="Times New Roman" w:hAnsi="Times New Roman" w:cs="Times New Roman"/>
          <w:sz w:val="28"/>
          <w:szCs w:val="28"/>
          <w:lang w:val="es-ES_tradnl" w:eastAsia="es-MX"/>
        </w:rPr>
        <w:t>Constitucional, en ejercicio de sus atribuciones constitucionales y legales, en especial de la prevista en el artículo 241.4 de la Constitución Política, cumplidos todos los trámites y requisitos contemplados en el Decreto 2067 de 1991, ha proferido la sig</w:t>
      </w:r>
      <w:r w:rsidRPr="00D00D14">
        <w:rPr>
          <w:rFonts w:ascii="Times New Roman" w:eastAsia="Times New Roman" w:hAnsi="Times New Roman" w:cs="Times New Roman"/>
          <w:sz w:val="28"/>
          <w:szCs w:val="28"/>
          <w:lang w:val="es-ES_tradnl" w:eastAsia="es-MX"/>
        </w:rPr>
        <w:t>uiente:</w:t>
      </w:r>
    </w:p>
    <w:p w:rsidR="00805B5D" w:rsidRPr="00D00D14" w:rsidRDefault="00D00D14" w:rsidP="00D346EE">
      <w:pPr>
        <w:tabs>
          <w:tab w:val="left" w:pos="748"/>
          <w:tab w:val="left" w:pos="3366"/>
        </w:tabs>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val="es-ES_tradnl" w:eastAsia="es-MX"/>
        </w:rPr>
      </w:pPr>
    </w:p>
    <w:p w:rsidR="008F4D0B" w:rsidRPr="00D00D14" w:rsidRDefault="00D00D14" w:rsidP="009B30FB">
      <w:pPr>
        <w:spacing w:after="0" w:line="240" w:lineRule="auto"/>
        <w:jc w:val="center"/>
        <w:rPr>
          <w:rFonts w:ascii="Times New Roman" w:hAnsi="Times New Roman" w:cs="Times New Roman"/>
          <w:b/>
          <w:bCs/>
          <w:sz w:val="28"/>
          <w:szCs w:val="28"/>
        </w:rPr>
      </w:pPr>
      <w:r w:rsidRPr="00D00D14">
        <w:rPr>
          <w:rFonts w:ascii="Times New Roman" w:hAnsi="Times New Roman" w:cs="Times New Roman"/>
          <w:b/>
          <w:bCs/>
          <w:sz w:val="28"/>
          <w:szCs w:val="28"/>
        </w:rPr>
        <w:t>SENTENCIA</w:t>
      </w:r>
    </w:p>
    <w:p w:rsidR="001C2DD3" w:rsidRPr="00D00D14" w:rsidRDefault="00D00D14" w:rsidP="009B30FB">
      <w:pPr>
        <w:spacing w:after="0" w:line="240" w:lineRule="auto"/>
        <w:rPr>
          <w:rFonts w:ascii="Times New Roman" w:hAnsi="Times New Roman" w:cs="Times New Roman"/>
          <w:b/>
          <w:bCs/>
          <w:sz w:val="28"/>
          <w:szCs w:val="28"/>
        </w:rPr>
      </w:pPr>
    </w:p>
    <w:p w:rsidR="001C2DD3" w:rsidRPr="00D00D14" w:rsidRDefault="00D00D14" w:rsidP="009B30FB">
      <w:pPr>
        <w:keepNext/>
        <w:tabs>
          <w:tab w:val="left" w:pos="284"/>
        </w:tabs>
        <w:overflowPunct w:val="0"/>
        <w:autoSpaceDE w:val="0"/>
        <w:autoSpaceDN w:val="0"/>
        <w:adjustRightInd w:val="0"/>
        <w:spacing w:after="0" w:line="240" w:lineRule="auto"/>
        <w:jc w:val="both"/>
        <w:textAlignment w:val="baseline"/>
        <w:outlineLvl w:val="2"/>
        <w:rPr>
          <w:rFonts w:ascii="Times New Roman" w:eastAsia="Calibri" w:hAnsi="Times New Roman" w:cs="Times New Roman"/>
          <w:b/>
          <w:i/>
          <w:iCs/>
          <w:sz w:val="28"/>
          <w:szCs w:val="28"/>
          <w:lang w:eastAsia="es-ES"/>
        </w:rPr>
      </w:pPr>
      <w:r w:rsidRPr="00D00D14">
        <w:rPr>
          <w:rFonts w:ascii="Times New Roman" w:eastAsia="Calibri" w:hAnsi="Times New Roman" w:cs="Times New Roman"/>
          <w:b/>
          <w:i/>
          <w:iCs/>
          <w:sz w:val="28"/>
          <w:szCs w:val="28"/>
          <w:lang w:eastAsia="es-ES"/>
        </w:rPr>
        <w:t>Síntesis de la decisión</w:t>
      </w:r>
    </w:p>
    <w:p w:rsidR="00163703" w:rsidRPr="00D00D14" w:rsidRDefault="00D00D14" w:rsidP="009B30FB">
      <w:pPr>
        <w:keepNext/>
        <w:tabs>
          <w:tab w:val="left" w:pos="284"/>
        </w:tabs>
        <w:overflowPunct w:val="0"/>
        <w:autoSpaceDE w:val="0"/>
        <w:autoSpaceDN w:val="0"/>
        <w:adjustRightInd w:val="0"/>
        <w:spacing w:after="0" w:line="240" w:lineRule="auto"/>
        <w:jc w:val="both"/>
        <w:textAlignment w:val="baseline"/>
        <w:outlineLvl w:val="2"/>
        <w:rPr>
          <w:rFonts w:ascii="Times New Roman" w:eastAsia="Calibri" w:hAnsi="Times New Roman" w:cs="Times New Roman"/>
          <w:bCs/>
          <w:sz w:val="28"/>
          <w:szCs w:val="28"/>
          <w:lang w:eastAsia="es-ES"/>
        </w:rPr>
      </w:pPr>
    </w:p>
    <w:p w:rsidR="00163703" w:rsidRPr="00D00D14" w:rsidRDefault="00D00D14" w:rsidP="00163703">
      <w:pPr>
        <w:keepNext/>
        <w:tabs>
          <w:tab w:val="left" w:pos="284"/>
        </w:tabs>
        <w:overflowPunct w:val="0"/>
        <w:autoSpaceDE w:val="0"/>
        <w:autoSpaceDN w:val="0"/>
        <w:adjustRightInd w:val="0"/>
        <w:spacing w:after="0" w:line="240" w:lineRule="auto"/>
        <w:jc w:val="both"/>
        <w:textAlignment w:val="baseline"/>
        <w:outlineLvl w:val="2"/>
        <w:rPr>
          <w:rFonts w:ascii="Times New Roman" w:eastAsia="Calibri" w:hAnsi="Times New Roman" w:cs="Times New Roman"/>
          <w:bCs/>
          <w:sz w:val="28"/>
          <w:szCs w:val="28"/>
          <w:lang w:eastAsia="es-ES"/>
        </w:rPr>
      </w:pPr>
      <w:r w:rsidRPr="00D00D14">
        <w:rPr>
          <w:rFonts w:ascii="Times New Roman" w:eastAsia="Calibri" w:hAnsi="Times New Roman" w:cs="Times New Roman"/>
          <w:bCs/>
          <w:sz w:val="28"/>
          <w:szCs w:val="28"/>
          <w:lang w:eastAsia="es-ES"/>
        </w:rPr>
        <w:t xml:space="preserve">La Sala Plena estudió la acción pública de inconstitucionalidad promovida por el ciudadano Iván Felipe Unigarro Dorado contra dos expresiones del artículo 33 de la Ley 1778 de 2016, referidas al umbral del dos </w:t>
      </w:r>
      <w:r w:rsidRPr="00D00D14">
        <w:rPr>
          <w:rFonts w:ascii="Times New Roman" w:eastAsia="Calibri" w:hAnsi="Times New Roman" w:cs="Times New Roman"/>
          <w:bCs/>
          <w:sz w:val="28"/>
          <w:szCs w:val="28"/>
          <w:lang w:eastAsia="es-ES"/>
        </w:rPr>
        <w:t>por ciento (2 %) de aportes a campañas políticas y a la exclusión de los contratos de prestación de servicios profesionales de la inhabilidad para contratar con el Estado. A juicio del demandante, tales expresiones vulneran el artículo 110 de la Constituci</w:t>
      </w:r>
      <w:r w:rsidRPr="00D00D14">
        <w:rPr>
          <w:rFonts w:ascii="Times New Roman" w:eastAsia="Calibri" w:hAnsi="Times New Roman" w:cs="Times New Roman"/>
          <w:bCs/>
          <w:sz w:val="28"/>
          <w:szCs w:val="28"/>
          <w:lang w:eastAsia="es-ES"/>
        </w:rPr>
        <w:t xml:space="preserve">ón Política, en la medida en que permitirían que personas que desempeñan funciones públicas, particularmente contratistas estatales, financien campañas políticas, con lo cual se desvirtuaría la prohibición constitucional y se generarían riesgos de captura </w:t>
      </w:r>
      <w:r w:rsidRPr="00D00D14">
        <w:rPr>
          <w:rFonts w:ascii="Times New Roman" w:eastAsia="Calibri" w:hAnsi="Times New Roman" w:cs="Times New Roman"/>
          <w:bCs/>
          <w:sz w:val="28"/>
          <w:szCs w:val="28"/>
          <w:lang w:eastAsia="es-ES"/>
        </w:rPr>
        <w:t>del Estado e interferencias indebidas en el proceso democrático.</w:t>
      </w:r>
    </w:p>
    <w:p w:rsidR="00163703" w:rsidRPr="00D00D14" w:rsidRDefault="00D00D14" w:rsidP="00163703">
      <w:pPr>
        <w:keepNext/>
        <w:tabs>
          <w:tab w:val="left" w:pos="284"/>
        </w:tabs>
        <w:overflowPunct w:val="0"/>
        <w:autoSpaceDE w:val="0"/>
        <w:autoSpaceDN w:val="0"/>
        <w:adjustRightInd w:val="0"/>
        <w:spacing w:after="0" w:line="240" w:lineRule="auto"/>
        <w:jc w:val="both"/>
        <w:textAlignment w:val="baseline"/>
        <w:outlineLvl w:val="2"/>
        <w:rPr>
          <w:rFonts w:ascii="Times New Roman" w:eastAsia="Calibri" w:hAnsi="Times New Roman" w:cs="Times New Roman"/>
          <w:bCs/>
          <w:sz w:val="28"/>
          <w:szCs w:val="28"/>
          <w:lang w:eastAsia="es-ES"/>
        </w:rPr>
      </w:pPr>
    </w:p>
    <w:p w:rsidR="00163703" w:rsidRPr="00D00D14" w:rsidRDefault="00D00D14" w:rsidP="00163703">
      <w:pPr>
        <w:keepNext/>
        <w:tabs>
          <w:tab w:val="left" w:pos="284"/>
        </w:tabs>
        <w:overflowPunct w:val="0"/>
        <w:autoSpaceDE w:val="0"/>
        <w:autoSpaceDN w:val="0"/>
        <w:adjustRightInd w:val="0"/>
        <w:spacing w:after="0" w:line="240" w:lineRule="auto"/>
        <w:jc w:val="both"/>
        <w:textAlignment w:val="baseline"/>
        <w:outlineLvl w:val="2"/>
        <w:rPr>
          <w:rFonts w:ascii="Times New Roman" w:eastAsia="Calibri" w:hAnsi="Times New Roman" w:cs="Times New Roman"/>
          <w:bCs/>
          <w:sz w:val="28"/>
          <w:szCs w:val="28"/>
          <w:lang w:eastAsia="es-ES"/>
        </w:rPr>
      </w:pPr>
      <w:r w:rsidRPr="00D00D14">
        <w:rPr>
          <w:rFonts w:ascii="Times New Roman" w:eastAsia="Calibri" w:hAnsi="Times New Roman" w:cs="Times New Roman"/>
          <w:bCs/>
          <w:sz w:val="28"/>
          <w:szCs w:val="28"/>
          <w:lang w:eastAsia="es-ES"/>
        </w:rPr>
        <w:t xml:space="preserve">El actor sostuvo que, aunque el artículo 110 superior autoriza al legislador a establecer excepciones a la prohibición de financiar campañas políticas, estas deben ser objetivas, razonables </w:t>
      </w:r>
      <w:r w:rsidRPr="00D00D14">
        <w:rPr>
          <w:rFonts w:ascii="Times New Roman" w:eastAsia="Calibri" w:hAnsi="Times New Roman" w:cs="Times New Roman"/>
          <w:bCs/>
          <w:sz w:val="28"/>
          <w:szCs w:val="28"/>
          <w:lang w:eastAsia="es-ES"/>
        </w:rPr>
        <w:t xml:space="preserve">y proporcionales. En su criterio, ni la fijación de un umbral porcentual para la configuración de la inhabilidad ni la exclusión general de los contratos de prestación de servicios profesionales satisfacen dichos criterios, pues reposan en consideraciones </w:t>
      </w:r>
      <w:r w:rsidRPr="00D00D14">
        <w:rPr>
          <w:rFonts w:ascii="Times New Roman" w:eastAsia="Calibri" w:hAnsi="Times New Roman" w:cs="Times New Roman"/>
          <w:bCs/>
          <w:sz w:val="28"/>
          <w:szCs w:val="28"/>
          <w:lang w:eastAsia="es-ES"/>
        </w:rPr>
        <w:t>meramente formales o cuantitativas que desconocen el alcance material del concepto constitucional de función pública. Por esa razón, solicitó la declaratoria de inexequibilidad de las expresiones demandadas o, de manera subsidiaria, su exequibilidad condic</w:t>
      </w:r>
      <w:r w:rsidRPr="00D00D14">
        <w:rPr>
          <w:rFonts w:ascii="Times New Roman" w:eastAsia="Calibri" w:hAnsi="Times New Roman" w:cs="Times New Roman"/>
          <w:bCs/>
          <w:sz w:val="28"/>
          <w:szCs w:val="28"/>
          <w:lang w:eastAsia="es-ES"/>
        </w:rPr>
        <w:t>ionada.</w:t>
      </w:r>
    </w:p>
    <w:p w:rsidR="00163703" w:rsidRPr="00D00D14" w:rsidRDefault="00D00D14" w:rsidP="00163703">
      <w:pPr>
        <w:keepNext/>
        <w:tabs>
          <w:tab w:val="left" w:pos="284"/>
        </w:tabs>
        <w:overflowPunct w:val="0"/>
        <w:autoSpaceDE w:val="0"/>
        <w:autoSpaceDN w:val="0"/>
        <w:adjustRightInd w:val="0"/>
        <w:spacing w:after="0" w:line="240" w:lineRule="auto"/>
        <w:jc w:val="both"/>
        <w:textAlignment w:val="baseline"/>
        <w:outlineLvl w:val="2"/>
        <w:rPr>
          <w:rFonts w:ascii="Times New Roman" w:eastAsia="Calibri" w:hAnsi="Times New Roman" w:cs="Times New Roman"/>
          <w:bCs/>
          <w:sz w:val="28"/>
          <w:szCs w:val="28"/>
          <w:lang w:eastAsia="es-ES"/>
        </w:rPr>
      </w:pPr>
    </w:p>
    <w:p w:rsidR="00163703" w:rsidRPr="00D00D14" w:rsidRDefault="00D00D14" w:rsidP="00163703">
      <w:pPr>
        <w:keepNext/>
        <w:tabs>
          <w:tab w:val="left" w:pos="284"/>
        </w:tabs>
        <w:overflowPunct w:val="0"/>
        <w:autoSpaceDE w:val="0"/>
        <w:autoSpaceDN w:val="0"/>
        <w:adjustRightInd w:val="0"/>
        <w:spacing w:after="0" w:line="240" w:lineRule="auto"/>
        <w:jc w:val="both"/>
        <w:textAlignment w:val="baseline"/>
        <w:outlineLvl w:val="2"/>
        <w:rPr>
          <w:rFonts w:ascii="Times New Roman" w:eastAsia="Calibri" w:hAnsi="Times New Roman" w:cs="Times New Roman"/>
          <w:bCs/>
          <w:sz w:val="28"/>
          <w:szCs w:val="28"/>
          <w:lang w:eastAsia="es-ES"/>
        </w:rPr>
      </w:pPr>
      <w:r w:rsidRPr="00D00D14">
        <w:rPr>
          <w:rFonts w:ascii="Times New Roman" w:eastAsia="Calibri" w:hAnsi="Times New Roman" w:cs="Times New Roman"/>
          <w:bCs/>
          <w:sz w:val="28"/>
          <w:szCs w:val="28"/>
          <w:lang w:eastAsia="es-ES"/>
        </w:rPr>
        <w:t>Antes de abordar el estudio de fondo del cargo planteado, la Corte examinó, como cuestión preliminar, la aptitud sustantiva de la demanda. Con ese propósito, delimitó el alcance del artículo 110 de la Constitución, que consagra una prohibición dir</w:t>
      </w:r>
      <w:r w:rsidRPr="00D00D14">
        <w:rPr>
          <w:rFonts w:ascii="Times New Roman" w:eastAsia="Calibri" w:hAnsi="Times New Roman" w:cs="Times New Roman"/>
          <w:bCs/>
          <w:sz w:val="28"/>
          <w:szCs w:val="28"/>
          <w:lang w:eastAsia="es-ES"/>
        </w:rPr>
        <w:t xml:space="preserve">igida a quienes desempeñan funciones públicas durante el ejercicio de tales funciones, y precisó </w:t>
      </w:r>
      <w:r w:rsidRPr="00D00D14">
        <w:rPr>
          <w:rFonts w:ascii="Times New Roman" w:eastAsia="Calibri" w:hAnsi="Times New Roman" w:cs="Times New Roman"/>
          <w:bCs/>
          <w:sz w:val="28"/>
          <w:szCs w:val="28"/>
          <w:lang w:eastAsia="es-ES"/>
        </w:rPr>
        <w:t xml:space="preserve">que </w:t>
      </w:r>
      <w:r w:rsidRPr="00D00D14">
        <w:rPr>
          <w:rFonts w:ascii="Times New Roman" w:eastAsia="Calibri" w:hAnsi="Times New Roman" w:cs="Times New Roman"/>
          <w:bCs/>
          <w:sz w:val="28"/>
          <w:szCs w:val="28"/>
          <w:lang w:eastAsia="es-ES"/>
        </w:rPr>
        <w:t>el artículo 33 de la Ley 1778 de 2016, establece una inhabilidad precontractual dirigida a particulares que hayan financiado campañas políticas y pretendan</w:t>
      </w:r>
      <w:r w:rsidRPr="00D00D14">
        <w:rPr>
          <w:rFonts w:ascii="Times New Roman" w:eastAsia="Calibri" w:hAnsi="Times New Roman" w:cs="Times New Roman"/>
          <w:bCs/>
          <w:sz w:val="28"/>
          <w:szCs w:val="28"/>
          <w:lang w:eastAsia="es-ES"/>
        </w:rPr>
        <w:t xml:space="preserve"> celebrar contratos con el Estado con posterioridad a dichos aportes.</w:t>
      </w:r>
    </w:p>
    <w:p w:rsidR="00163703" w:rsidRPr="00D00D14" w:rsidRDefault="00D00D14" w:rsidP="00163703">
      <w:pPr>
        <w:keepNext/>
        <w:tabs>
          <w:tab w:val="left" w:pos="284"/>
        </w:tabs>
        <w:overflowPunct w:val="0"/>
        <w:autoSpaceDE w:val="0"/>
        <w:autoSpaceDN w:val="0"/>
        <w:adjustRightInd w:val="0"/>
        <w:spacing w:after="0" w:line="240" w:lineRule="auto"/>
        <w:jc w:val="both"/>
        <w:textAlignment w:val="baseline"/>
        <w:outlineLvl w:val="2"/>
        <w:rPr>
          <w:rFonts w:ascii="Times New Roman" w:eastAsia="Calibri" w:hAnsi="Times New Roman" w:cs="Times New Roman"/>
          <w:bCs/>
          <w:sz w:val="28"/>
          <w:szCs w:val="28"/>
          <w:lang w:eastAsia="es-ES"/>
        </w:rPr>
      </w:pPr>
    </w:p>
    <w:p w:rsidR="00163703" w:rsidRPr="00D00D14" w:rsidRDefault="00D00D14" w:rsidP="00163703">
      <w:pPr>
        <w:keepNext/>
        <w:tabs>
          <w:tab w:val="left" w:pos="284"/>
        </w:tabs>
        <w:overflowPunct w:val="0"/>
        <w:autoSpaceDE w:val="0"/>
        <w:autoSpaceDN w:val="0"/>
        <w:adjustRightInd w:val="0"/>
        <w:spacing w:after="0" w:line="240" w:lineRule="auto"/>
        <w:jc w:val="both"/>
        <w:textAlignment w:val="baseline"/>
        <w:outlineLvl w:val="2"/>
        <w:rPr>
          <w:rFonts w:ascii="Times New Roman" w:eastAsia="Calibri" w:hAnsi="Times New Roman" w:cs="Times New Roman"/>
          <w:bCs/>
          <w:sz w:val="28"/>
          <w:szCs w:val="28"/>
          <w:lang w:eastAsia="es-ES"/>
        </w:rPr>
      </w:pPr>
      <w:r w:rsidRPr="00D00D14">
        <w:rPr>
          <w:rFonts w:ascii="Times New Roman" w:eastAsia="Calibri" w:hAnsi="Times New Roman" w:cs="Times New Roman"/>
          <w:bCs/>
          <w:sz w:val="28"/>
          <w:szCs w:val="28"/>
          <w:lang w:eastAsia="es-ES"/>
        </w:rPr>
        <w:t>A partir de esa delimitación normativa, la Sala constató que el reproche formulado por el demandante no se construye sobre el contenido jurídico real de la norma legal demandada. En par</w:t>
      </w:r>
      <w:r w:rsidRPr="00D00D14">
        <w:rPr>
          <w:rFonts w:ascii="Times New Roman" w:eastAsia="Calibri" w:hAnsi="Times New Roman" w:cs="Times New Roman"/>
          <w:bCs/>
          <w:sz w:val="28"/>
          <w:szCs w:val="28"/>
          <w:lang w:eastAsia="es-ES"/>
        </w:rPr>
        <w:t>ticular, advirtió que el artículo 33 de la Ley 1778 de 2016 no regula la financiación política por parte de quienes ejercen funciones públicas ni introduce excepciones a la prohibición constitucional del artículo 110</w:t>
      </w:r>
      <w:r w:rsidRPr="00D00D14">
        <w:rPr>
          <w:rFonts w:ascii="Times New Roman" w:eastAsia="Calibri" w:hAnsi="Times New Roman" w:cs="Times New Roman"/>
          <w:bCs/>
          <w:sz w:val="28"/>
          <w:szCs w:val="28"/>
          <w:lang w:eastAsia="es-ES"/>
        </w:rPr>
        <w:t xml:space="preserve"> superior</w:t>
      </w:r>
      <w:r w:rsidRPr="00D00D14">
        <w:rPr>
          <w:rFonts w:ascii="Times New Roman" w:eastAsia="Calibri" w:hAnsi="Times New Roman" w:cs="Times New Roman"/>
          <w:bCs/>
          <w:sz w:val="28"/>
          <w:szCs w:val="28"/>
          <w:lang w:eastAsia="es-ES"/>
        </w:rPr>
        <w:t>, sino que define las condicion</w:t>
      </w:r>
      <w:r w:rsidRPr="00D00D14">
        <w:rPr>
          <w:rFonts w:ascii="Times New Roman" w:eastAsia="Calibri" w:hAnsi="Times New Roman" w:cs="Times New Roman"/>
          <w:bCs/>
          <w:sz w:val="28"/>
          <w:szCs w:val="28"/>
          <w:lang w:eastAsia="es-ES"/>
        </w:rPr>
        <w:t>es bajo las cuales determinados financiadores de campañas quedan o no inhabilitados para contratar con el Estado, en un momento previo a la configuración de cualquier vínculo contractual. En consecuencia, la presunta contradicción constitucional alegada se</w:t>
      </w:r>
      <w:r w:rsidRPr="00D00D14">
        <w:rPr>
          <w:rFonts w:ascii="Times New Roman" w:eastAsia="Calibri" w:hAnsi="Times New Roman" w:cs="Times New Roman"/>
          <w:bCs/>
          <w:sz w:val="28"/>
          <w:szCs w:val="28"/>
          <w:lang w:eastAsia="es-ES"/>
        </w:rPr>
        <w:t xml:space="preserve"> funda en una lectura que no se desprende del tenor ni del alcance objetivo de las expresiones acusadas.</w:t>
      </w:r>
    </w:p>
    <w:p w:rsidR="00163703" w:rsidRPr="00D00D14" w:rsidRDefault="00D00D14" w:rsidP="00163703">
      <w:pPr>
        <w:keepNext/>
        <w:tabs>
          <w:tab w:val="left" w:pos="284"/>
        </w:tabs>
        <w:overflowPunct w:val="0"/>
        <w:autoSpaceDE w:val="0"/>
        <w:autoSpaceDN w:val="0"/>
        <w:adjustRightInd w:val="0"/>
        <w:spacing w:after="0" w:line="240" w:lineRule="auto"/>
        <w:jc w:val="both"/>
        <w:textAlignment w:val="baseline"/>
        <w:outlineLvl w:val="2"/>
        <w:rPr>
          <w:rFonts w:ascii="Times New Roman" w:eastAsia="Calibri" w:hAnsi="Times New Roman" w:cs="Times New Roman"/>
          <w:bCs/>
          <w:sz w:val="28"/>
          <w:szCs w:val="28"/>
          <w:lang w:eastAsia="es-ES"/>
        </w:rPr>
      </w:pPr>
    </w:p>
    <w:p w:rsidR="00344D9C" w:rsidRPr="00D00D14" w:rsidRDefault="00D00D14" w:rsidP="00163703">
      <w:pPr>
        <w:keepNext/>
        <w:tabs>
          <w:tab w:val="left" w:pos="284"/>
        </w:tabs>
        <w:overflowPunct w:val="0"/>
        <w:autoSpaceDE w:val="0"/>
        <w:autoSpaceDN w:val="0"/>
        <w:adjustRightInd w:val="0"/>
        <w:spacing w:after="0" w:line="240" w:lineRule="auto"/>
        <w:jc w:val="both"/>
        <w:textAlignment w:val="baseline"/>
        <w:outlineLvl w:val="2"/>
        <w:rPr>
          <w:rFonts w:ascii="Times New Roman" w:eastAsia="Calibri" w:hAnsi="Times New Roman" w:cs="Times New Roman"/>
          <w:bCs/>
          <w:sz w:val="28"/>
          <w:szCs w:val="28"/>
          <w:lang w:eastAsia="es-ES"/>
        </w:rPr>
      </w:pPr>
      <w:r w:rsidRPr="00D00D14">
        <w:rPr>
          <w:rFonts w:ascii="Times New Roman" w:eastAsia="Calibri" w:hAnsi="Times New Roman" w:cs="Times New Roman"/>
          <w:bCs/>
          <w:sz w:val="28"/>
          <w:szCs w:val="28"/>
          <w:lang w:eastAsia="es-ES"/>
        </w:rPr>
        <w:t xml:space="preserve">Con base en lo anterior, la Corte concluyó que el cargo no satisface los requisitos de certeza ni de especificidad, pues no se funda en una proposición jurídica real y verificable ni desarrolla una confrontación normativa concreta entre la ley demandada y </w:t>
      </w:r>
      <w:r w:rsidRPr="00D00D14">
        <w:rPr>
          <w:rFonts w:ascii="Times New Roman" w:eastAsia="Calibri" w:hAnsi="Times New Roman" w:cs="Times New Roman"/>
          <w:bCs/>
          <w:sz w:val="28"/>
          <w:szCs w:val="28"/>
          <w:lang w:eastAsia="es-ES"/>
        </w:rPr>
        <w:t xml:space="preserve">el artículo 110 de la Constitución. </w:t>
      </w:r>
      <w:r w:rsidRPr="00D00D14">
        <w:rPr>
          <w:rFonts w:ascii="Times New Roman" w:eastAsia="Calibri" w:hAnsi="Times New Roman" w:cs="Times New Roman"/>
          <w:bCs/>
          <w:sz w:val="28"/>
          <w:szCs w:val="28"/>
          <w:lang w:eastAsia="es-ES"/>
        </w:rPr>
        <w:t>Adicionalmente, la Sala determinó que la demanda tampoco cumple el presupuesto de suficiencia, en la medida en que no aporta una argumentación mínima capaz de suscitar una duda razonable de inconstitucionalidad ni desarr</w:t>
      </w:r>
      <w:r w:rsidRPr="00D00D14">
        <w:rPr>
          <w:rFonts w:ascii="Times New Roman" w:eastAsia="Calibri" w:hAnsi="Times New Roman" w:cs="Times New Roman"/>
          <w:bCs/>
          <w:sz w:val="28"/>
          <w:szCs w:val="28"/>
          <w:lang w:eastAsia="es-ES"/>
        </w:rPr>
        <w:t>olla razones persuasivas que habiliten un juicio abstracto de constitucionalidad.</w:t>
      </w:r>
    </w:p>
    <w:p w:rsidR="00344D9C" w:rsidRPr="00D00D14" w:rsidRDefault="00D00D14" w:rsidP="00163703">
      <w:pPr>
        <w:keepNext/>
        <w:tabs>
          <w:tab w:val="left" w:pos="284"/>
        </w:tabs>
        <w:overflowPunct w:val="0"/>
        <w:autoSpaceDE w:val="0"/>
        <w:autoSpaceDN w:val="0"/>
        <w:adjustRightInd w:val="0"/>
        <w:spacing w:after="0" w:line="240" w:lineRule="auto"/>
        <w:jc w:val="both"/>
        <w:textAlignment w:val="baseline"/>
        <w:outlineLvl w:val="2"/>
        <w:rPr>
          <w:rFonts w:ascii="Times New Roman" w:eastAsia="Calibri" w:hAnsi="Times New Roman" w:cs="Times New Roman"/>
          <w:bCs/>
          <w:sz w:val="28"/>
          <w:szCs w:val="28"/>
          <w:lang w:eastAsia="es-ES"/>
        </w:rPr>
      </w:pPr>
    </w:p>
    <w:p w:rsidR="00163703" w:rsidRPr="00D00D14" w:rsidRDefault="00D00D14" w:rsidP="00163703">
      <w:pPr>
        <w:keepNext/>
        <w:tabs>
          <w:tab w:val="left" w:pos="284"/>
        </w:tabs>
        <w:overflowPunct w:val="0"/>
        <w:autoSpaceDE w:val="0"/>
        <w:autoSpaceDN w:val="0"/>
        <w:adjustRightInd w:val="0"/>
        <w:spacing w:after="0" w:line="240" w:lineRule="auto"/>
        <w:jc w:val="both"/>
        <w:textAlignment w:val="baseline"/>
        <w:outlineLvl w:val="2"/>
        <w:rPr>
          <w:rFonts w:ascii="Times New Roman" w:eastAsia="Calibri" w:hAnsi="Times New Roman" w:cs="Times New Roman"/>
          <w:bCs/>
          <w:sz w:val="28"/>
          <w:szCs w:val="28"/>
          <w:lang w:eastAsia="es-ES"/>
        </w:rPr>
      </w:pPr>
      <w:r w:rsidRPr="00D00D14">
        <w:rPr>
          <w:rFonts w:ascii="Times New Roman" w:eastAsia="Calibri" w:hAnsi="Times New Roman" w:cs="Times New Roman"/>
          <w:bCs/>
          <w:sz w:val="28"/>
          <w:szCs w:val="28"/>
          <w:lang w:eastAsia="es-ES"/>
        </w:rPr>
        <w:t xml:space="preserve">En esa medida, la Sala Plena decidió inhibirse de emitir un pronunciamiento de fondo respecto de las dos expresiones demandadas del artículo 33 de la Ley 1778 de 2016, por </w:t>
      </w:r>
      <w:r w:rsidRPr="00D00D14">
        <w:rPr>
          <w:rFonts w:ascii="Times New Roman" w:eastAsia="Calibri" w:hAnsi="Times New Roman" w:cs="Times New Roman"/>
          <w:bCs/>
          <w:sz w:val="28"/>
          <w:szCs w:val="28"/>
          <w:lang w:eastAsia="es-ES"/>
        </w:rPr>
        <w:t>ineptitud sustantiva de la demanda en relación con el cargo analizado.</w:t>
      </w:r>
    </w:p>
    <w:p w:rsidR="00163703" w:rsidRPr="00D00D14" w:rsidRDefault="00D00D14" w:rsidP="009B30FB">
      <w:pPr>
        <w:keepNext/>
        <w:tabs>
          <w:tab w:val="left" w:pos="284"/>
        </w:tabs>
        <w:overflowPunct w:val="0"/>
        <w:autoSpaceDE w:val="0"/>
        <w:autoSpaceDN w:val="0"/>
        <w:adjustRightInd w:val="0"/>
        <w:spacing w:after="0" w:line="240" w:lineRule="auto"/>
        <w:jc w:val="both"/>
        <w:textAlignment w:val="baseline"/>
        <w:outlineLvl w:val="2"/>
        <w:rPr>
          <w:rFonts w:ascii="Times New Roman" w:eastAsia="Calibri" w:hAnsi="Times New Roman" w:cs="Times New Roman"/>
          <w:bCs/>
          <w:sz w:val="28"/>
          <w:szCs w:val="28"/>
          <w:lang w:eastAsia="es-ES"/>
        </w:rPr>
      </w:pPr>
    </w:p>
    <w:p w:rsidR="008F4D0B" w:rsidRPr="00D00D14" w:rsidRDefault="00D00D14" w:rsidP="009B30FB">
      <w:pPr>
        <w:keepNext/>
        <w:numPr>
          <w:ilvl w:val="0"/>
          <w:numId w:val="1"/>
        </w:numPr>
        <w:tabs>
          <w:tab w:val="left" w:pos="284"/>
        </w:tabs>
        <w:overflowPunct w:val="0"/>
        <w:autoSpaceDE w:val="0"/>
        <w:autoSpaceDN w:val="0"/>
        <w:adjustRightInd w:val="0"/>
        <w:spacing w:after="0" w:line="240" w:lineRule="auto"/>
        <w:ind w:left="0" w:firstLine="0"/>
        <w:jc w:val="both"/>
        <w:textAlignment w:val="baseline"/>
        <w:outlineLvl w:val="2"/>
        <w:rPr>
          <w:rFonts w:ascii="Times New Roman" w:eastAsia="Times New Roman" w:hAnsi="Times New Roman" w:cs="Times New Roman"/>
          <w:b/>
          <w:spacing w:val="30"/>
          <w:sz w:val="28"/>
          <w:szCs w:val="28"/>
          <w:lang w:val="es-ES_tradnl" w:eastAsia="es-MX"/>
        </w:rPr>
      </w:pPr>
      <w:r w:rsidRPr="00D00D14">
        <w:rPr>
          <w:rFonts w:ascii="Times New Roman" w:eastAsia="Times New Roman" w:hAnsi="Times New Roman" w:cs="Times New Roman"/>
          <w:b/>
          <w:spacing w:val="30"/>
          <w:sz w:val="28"/>
          <w:szCs w:val="28"/>
          <w:lang w:val="es-ES_tradnl" w:eastAsia="es-MX"/>
        </w:rPr>
        <w:t>ANTECEDENTES</w:t>
      </w:r>
    </w:p>
    <w:p w:rsidR="008F4D0B" w:rsidRPr="00D00D14" w:rsidRDefault="00D00D14" w:rsidP="009B30FB">
      <w:pPr>
        <w:tabs>
          <w:tab w:val="num" w:pos="-3261"/>
          <w:tab w:val="left" w:pos="709"/>
        </w:tabs>
        <w:overflowPunct w:val="0"/>
        <w:autoSpaceDE w:val="0"/>
        <w:autoSpaceDN w:val="0"/>
        <w:adjustRightInd w:val="0"/>
        <w:spacing w:after="0" w:line="240" w:lineRule="auto"/>
        <w:ind w:hanging="533"/>
        <w:jc w:val="both"/>
        <w:textAlignment w:val="baseline"/>
        <w:rPr>
          <w:rFonts w:ascii="Times New Roman" w:eastAsia="Times New Roman" w:hAnsi="Times New Roman" w:cs="Times New Roman"/>
          <w:sz w:val="28"/>
          <w:szCs w:val="28"/>
          <w:lang w:val="es-ES_tradnl" w:eastAsia="es-MX"/>
        </w:rPr>
      </w:pPr>
    </w:p>
    <w:p w:rsidR="008F4D0B" w:rsidRPr="00D00D14" w:rsidRDefault="00D00D14" w:rsidP="009B30FB">
      <w:pPr>
        <w:numPr>
          <w:ilvl w:val="0"/>
          <w:numId w:val="2"/>
        </w:numPr>
        <w:tabs>
          <w:tab w:val="left" w:pos="0"/>
          <w:tab w:val="num" w:pos="284"/>
          <w:tab w:val="num" w:pos="360"/>
          <w:tab w:val="num"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8"/>
          <w:szCs w:val="28"/>
          <w:lang w:val="es-ES_tradnl" w:eastAsia="es-MX"/>
        </w:rPr>
      </w:pPr>
      <w:r w:rsidRPr="00D00D14">
        <w:rPr>
          <w:rFonts w:ascii="Times New Roman" w:eastAsia="Times New Roman" w:hAnsi="Times New Roman" w:cs="Times New Roman"/>
          <w:sz w:val="28"/>
          <w:szCs w:val="28"/>
          <w:lang w:val="es-ES_tradnl" w:eastAsia="es-MX"/>
        </w:rPr>
        <w:t>En ejercicio de la acción pública de inconstitucionalidad, el ciudadano Iván Felipe Unigarro Dorado demand</w:t>
      </w:r>
      <w:r w:rsidRPr="00D00D14">
        <w:rPr>
          <w:rFonts w:ascii="Times New Roman" w:eastAsia="Times New Roman" w:hAnsi="Times New Roman" w:cs="Times New Roman"/>
          <w:sz w:val="28"/>
          <w:szCs w:val="28"/>
          <w:lang w:val="es-ES_tradnl" w:eastAsia="es-MX"/>
        </w:rPr>
        <w:t>ó</w:t>
      </w:r>
      <w:r w:rsidRPr="00D00D14">
        <w:rPr>
          <w:rFonts w:ascii="Times New Roman" w:eastAsia="Times New Roman" w:hAnsi="Times New Roman" w:cs="Times New Roman"/>
          <w:sz w:val="28"/>
          <w:szCs w:val="28"/>
          <w:lang w:val="es-ES_tradnl" w:eastAsia="es-MX"/>
        </w:rPr>
        <w:t xml:space="preserve"> parcialmente el numeral  7º del artículo 27 de la Ley 1475 de </w:t>
      </w:r>
      <w:r w:rsidRPr="00D00D14">
        <w:rPr>
          <w:rFonts w:ascii="Times New Roman" w:eastAsia="Times New Roman" w:hAnsi="Times New Roman" w:cs="Times New Roman"/>
          <w:sz w:val="28"/>
          <w:szCs w:val="28"/>
          <w:lang w:val="es-ES_tradnl" w:eastAsia="es-MX"/>
        </w:rPr>
        <w:t>2011 “</w:t>
      </w:r>
      <w:r w:rsidRPr="00D00D14">
        <w:rPr>
          <w:rFonts w:ascii="Times New Roman" w:hAnsi="Times New Roman" w:cs="Times New Roman"/>
          <w:sz w:val="28"/>
          <w:szCs w:val="28"/>
        </w:rPr>
        <w:t xml:space="preserve">Por la cual se adoptan reglas de organización y funcionamiento de los partidos y movimientos políticos, de los procesos electorales y se dictan otras disposiciones” y </w:t>
      </w:r>
      <w:r w:rsidRPr="00D00D14">
        <w:rPr>
          <w:rFonts w:ascii="Times New Roman" w:eastAsia="Times New Roman" w:hAnsi="Times New Roman" w:cs="Times New Roman"/>
          <w:sz w:val="28"/>
          <w:szCs w:val="28"/>
          <w:lang w:val="es-ES_tradnl" w:eastAsia="es-MX"/>
        </w:rPr>
        <w:t>el artículo 33</w:t>
      </w:r>
      <w:r w:rsidRPr="00D00D14">
        <w:rPr>
          <w:rFonts w:ascii="Times New Roman" w:eastAsia="Times New Roman" w:hAnsi="Times New Roman" w:cs="Times New Roman"/>
          <w:sz w:val="28"/>
          <w:szCs w:val="28"/>
          <w:lang w:val="es-ES_tradnl" w:eastAsia="es-MX"/>
        </w:rPr>
        <w:t xml:space="preserve"> (parcial)</w:t>
      </w:r>
      <w:r w:rsidRPr="00D00D14">
        <w:rPr>
          <w:rFonts w:ascii="Times New Roman" w:eastAsia="Times New Roman" w:hAnsi="Times New Roman" w:cs="Times New Roman"/>
          <w:sz w:val="28"/>
          <w:szCs w:val="28"/>
          <w:lang w:val="es-ES_tradnl" w:eastAsia="es-MX"/>
        </w:rPr>
        <w:t xml:space="preserve"> de la Ley 1778 de 2016 “Por la cual se dictan normas sobre la responsabilidad de las personas jurídicas por actos de corrupción transnacional y se dictan otras disposiciones en materia de la lucha contra la corrupción”. </w:t>
      </w:r>
      <w:r w:rsidRPr="00D00D14">
        <w:rPr>
          <w:rFonts w:ascii="Times New Roman" w:hAnsi="Times New Roman" w:cs="Times New Roman"/>
          <w:sz w:val="28"/>
          <w:szCs w:val="28"/>
          <w:lang w:eastAsia="es-MX"/>
        </w:rPr>
        <w:t>La demanda fue radicada con el núme</w:t>
      </w:r>
      <w:r w:rsidRPr="00D00D14">
        <w:rPr>
          <w:rFonts w:ascii="Times New Roman" w:hAnsi="Times New Roman" w:cs="Times New Roman"/>
          <w:sz w:val="28"/>
          <w:szCs w:val="28"/>
          <w:lang w:eastAsia="es-MX"/>
        </w:rPr>
        <w:t>ro D-16729.</w:t>
      </w:r>
    </w:p>
    <w:p w:rsidR="008F4D0B" w:rsidRPr="00D00D14" w:rsidRDefault="00D00D14" w:rsidP="009B30FB">
      <w:pPr>
        <w:tabs>
          <w:tab w:val="left" w:pos="0"/>
          <w:tab w:val="num" w:pos="426"/>
          <w:tab w:val="num" w:pos="3368"/>
        </w:tabs>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val="es-ES_tradnl" w:eastAsia="es-MX"/>
        </w:rPr>
      </w:pPr>
    </w:p>
    <w:p w:rsidR="008F4D0B" w:rsidRPr="00D00D14" w:rsidRDefault="00D00D14" w:rsidP="009B30FB">
      <w:pPr>
        <w:pStyle w:val="Prrafodelista"/>
        <w:numPr>
          <w:ilvl w:val="0"/>
          <w:numId w:val="2"/>
        </w:numPr>
        <w:tabs>
          <w:tab w:val="clear" w:pos="3368"/>
          <w:tab w:val="num" w:pos="0"/>
          <w:tab w:val="num" w:pos="284"/>
        </w:tabs>
        <w:overflowPunct w:val="0"/>
        <w:autoSpaceDE w:val="0"/>
        <w:autoSpaceDN w:val="0"/>
        <w:adjustRightInd w:val="0"/>
        <w:spacing w:after="0" w:line="240" w:lineRule="auto"/>
        <w:ind w:left="0" w:firstLine="0"/>
        <w:jc w:val="both"/>
        <w:textAlignment w:val="baseline"/>
        <w:rPr>
          <w:rFonts w:ascii="Times New Roman" w:hAnsi="Times New Roman" w:cs="Times New Roman"/>
          <w:sz w:val="28"/>
          <w:szCs w:val="28"/>
          <w:lang w:eastAsia="es-MX"/>
        </w:rPr>
      </w:pPr>
      <w:r w:rsidRPr="00D00D14">
        <w:rPr>
          <w:rFonts w:ascii="Times New Roman" w:hAnsi="Times New Roman" w:cs="Times New Roman"/>
          <w:sz w:val="28"/>
          <w:szCs w:val="28"/>
          <w:lang w:eastAsia="es-MX"/>
        </w:rPr>
        <w:t xml:space="preserve">Mediante Auto del 11 de agosto de 2025, el magistrado sustanciador inadmitió la demanda al no hallar acreditados la totalidad de los requisitos señalados en el artículo 2° del Decreto 2067 de 1991. En particular, de claridad, certeza, </w:t>
      </w:r>
      <w:r w:rsidRPr="00D00D14">
        <w:rPr>
          <w:rFonts w:ascii="Times New Roman" w:hAnsi="Times New Roman" w:cs="Times New Roman"/>
          <w:sz w:val="28"/>
          <w:szCs w:val="28"/>
          <w:lang w:eastAsia="es-MX"/>
        </w:rPr>
        <w:t>pertinencia, especificidad y suficiencia.</w:t>
      </w:r>
    </w:p>
    <w:p w:rsidR="008F4D0B" w:rsidRPr="00D00D14" w:rsidRDefault="00D00D14" w:rsidP="009B30FB">
      <w:pPr>
        <w:tabs>
          <w:tab w:val="left" w:pos="0"/>
          <w:tab w:val="num" w:pos="426"/>
          <w:tab w:val="num" w:pos="3368"/>
        </w:tabs>
        <w:overflowPunct w:val="0"/>
        <w:autoSpaceDE w:val="0"/>
        <w:autoSpaceDN w:val="0"/>
        <w:adjustRightInd w:val="0"/>
        <w:spacing w:after="0" w:line="240" w:lineRule="auto"/>
        <w:jc w:val="both"/>
        <w:textAlignment w:val="baseline"/>
        <w:rPr>
          <w:rFonts w:ascii="Times New Roman" w:hAnsi="Times New Roman" w:cs="Times New Roman"/>
          <w:sz w:val="28"/>
          <w:szCs w:val="28"/>
          <w:lang w:eastAsia="es-MX"/>
        </w:rPr>
      </w:pPr>
    </w:p>
    <w:p w:rsidR="008F4D0B" w:rsidRPr="00D00D14" w:rsidRDefault="00D00D14" w:rsidP="009B30FB">
      <w:pPr>
        <w:pStyle w:val="Prrafodelista"/>
        <w:numPr>
          <w:ilvl w:val="0"/>
          <w:numId w:val="2"/>
        </w:numPr>
        <w:tabs>
          <w:tab w:val="clear" w:pos="3368"/>
          <w:tab w:val="num" w:pos="284"/>
        </w:tabs>
        <w:overflowPunct w:val="0"/>
        <w:autoSpaceDE w:val="0"/>
        <w:autoSpaceDN w:val="0"/>
        <w:adjustRightInd w:val="0"/>
        <w:spacing w:after="0" w:line="240" w:lineRule="auto"/>
        <w:ind w:left="0" w:firstLine="0"/>
        <w:jc w:val="both"/>
        <w:textAlignment w:val="baseline"/>
        <w:rPr>
          <w:rFonts w:ascii="Times New Roman" w:hAnsi="Times New Roman" w:cs="Times New Roman"/>
          <w:sz w:val="28"/>
          <w:szCs w:val="28"/>
          <w:lang w:eastAsia="es-MX"/>
        </w:rPr>
      </w:pPr>
      <w:r w:rsidRPr="00D00D14">
        <w:rPr>
          <w:rFonts w:ascii="Times New Roman" w:hAnsi="Times New Roman" w:cs="Times New Roman"/>
          <w:sz w:val="28"/>
          <w:szCs w:val="28"/>
          <w:lang w:eastAsia="es-MX"/>
        </w:rPr>
        <w:t xml:space="preserve">El 19 de agosto de 2025, el demandante corrigió la demanda y, mediante auto del 2 de septiembre de ese mismo año, el despacho sustanciador rechazó la demanda respecto de las expresiones acusadas en el numeral 7°, </w:t>
      </w:r>
      <w:r w:rsidRPr="00D00D14">
        <w:rPr>
          <w:rFonts w:ascii="Times New Roman" w:hAnsi="Times New Roman" w:cs="Times New Roman"/>
          <w:sz w:val="28"/>
          <w:szCs w:val="28"/>
          <w:lang w:eastAsia="es-MX"/>
        </w:rPr>
        <w:t xml:space="preserve">del artículo 27 de la Ley 1475 de 2011. Esto, al considerar que el actor no hizo una confrontación respecto del contenido de las normas acusadas y la Constitución ni explicó por qué habría operado el fenómeno jurídico de la cosa juzgada aparente. </w:t>
      </w:r>
    </w:p>
    <w:p w:rsidR="008F4D0B" w:rsidRPr="00D00D14" w:rsidRDefault="00D00D14" w:rsidP="009B30FB">
      <w:pPr>
        <w:pStyle w:val="Prrafodelista"/>
        <w:spacing w:after="0" w:line="240" w:lineRule="auto"/>
        <w:ind w:left="0"/>
        <w:rPr>
          <w:rFonts w:ascii="Times New Roman" w:hAnsi="Times New Roman" w:cs="Times New Roman"/>
          <w:sz w:val="28"/>
          <w:szCs w:val="28"/>
          <w:lang w:eastAsia="es-MX"/>
        </w:rPr>
      </w:pPr>
    </w:p>
    <w:p w:rsidR="008F4D0B" w:rsidRPr="00D00D14" w:rsidRDefault="00D00D14" w:rsidP="009B30FB">
      <w:pPr>
        <w:pStyle w:val="Prrafodelista"/>
        <w:numPr>
          <w:ilvl w:val="0"/>
          <w:numId w:val="2"/>
        </w:numPr>
        <w:tabs>
          <w:tab w:val="clear" w:pos="3368"/>
          <w:tab w:val="num" w:pos="284"/>
        </w:tabs>
        <w:overflowPunct w:val="0"/>
        <w:autoSpaceDE w:val="0"/>
        <w:autoSpaceDN w:val="0"/>
        <w:adjustRightInd w:val="0"/>
        <w:spacing w:after="0" w:line="240" w:lineRule="auto"/>
        <w:ind w:left="0" w:firstLine="0"/>
        <w:jc w:val="both"/>
        <w:textAlignment w:val="baseline"/>
        <w:rPr>
          <w:rFonts w:ascii="Times New Roman" w:hAnsi="Times New Roman" w:cs="Times New Roman"/>
          <w:sz w:val="28"/>
          <w:szCs w:val="28"/>
          <w:lang w:eastAsia="es-MX"/>
        </w:rPr>
      </w:pPr>
      <w:r w:rsidRPr="00D00D14">
        <w:rPr>
          <w:rFonts w:ascii="Times New Roman" w:hAnsi="Times New Roman" w:cs="Times New Roman"/>
          <w:sz w:val="28"/>
          <w:szCs w:val="28"/>
          <w:lang w:eastAsia="es-MX"/>
        </w:rPr>
        <w:t>En lo a</w:t>
      </w:r>
      <w:r w:rsidRPr="00D00D14">
        <w:rPr>
          <w:rFonts w:ascii="Times New Roman" w:hAnsi="Times New Roman" w:cs="Times New Roman"/>
          <w:sz w:val="28"/>
          <w:szCs w:val="28"/>
          <w:lang w:eastAsia="es-MX"/>
        </w:rPr>
        <w:t>tinente a la acusación propuesta contra el artículo 33 de la Ley 1778 de 2016 (parcial), el magistrado sustanciador admitió la demanda respecto al único cargo formulado por posible vulneración del artículo 110 de la Constitución Política.</w:t>
      </w:r>
    </w:p>
    <w:p w:rsidR="008F4D0B" w:rsidRPr="00D00D14" w:rsidRDefault="00D00D14" w:rsidP="009B30FB">
      <w:pPr>
        <w:pStyle w:val="Prrafodelista"/>
        <w:spacing w:after="0" w:line="240" w:lineRule="auto"/>
        <w:ind w:left="0"/>
        <w:rPr>
          <w:rFonts w:ascii="Times New Roman" w:hAnsi="Times New Roman" w:cs="Times New Roman"/>
          <w:sz w:val="28"/>
          <w:szCs w:val="28"/>
          <w:lang w:eastAsia="es-MX"/>
        </w:rPr>
      </w:pPr>
    </w:p>
    <w:p w:rsidR="008F4D0B" w:rsidRPr="00D00D14" w:rsidRDefault="00D00D14" w:rsidP="009B30FB">
      <w:pPr>
        <w:pStyle w:val="Prrafodelista"/>
        <w:numPr>
          <w:ilvl w:val="0"/>
          <w:numId w:val="3"/>
        </w:numPr>
        <w:tabs>
          <w:tab w:val="left" w:pos="0"/>
          <w:tab w:val="left" w:pos="284"/>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
          <w:bCs/>
          <w:sz w:val="28"/>
          <w:szCs w:val="28"/>
          <w:lang w:val="es-ES_tradnl" w:eastAsia="es-MX"/>
        </w:rPr>
      </w:pPr>
      <w:r w:rsidRPr="00D00D14">
        <w:rPr>
          <w:rFonts w:ascii="Times New Roman" w:eastAsia="Times New Roman" w:hAnsi="Times New Roman" w:cs="Times New Roman"/>
          <w:b/>
          <w:bCs/>
          <w:sz w:val="28"/>
          <w:szCs w:val="28"/>
          <w:lang w:val="es-ES_tradnl" w:eastAsia="es-MX"/>
        </w:rPr>
        <w:t>Norma</w:t>
      </w:r>
      <w:r w:rsidRPr="00D00D14">
        <w:rPr>
          <w:rFonts w:ascii="Times New Roman" w:eastAsia="Times New Roman" w:hAnsi="Times New Roman" w:cs="Times New Roman"/>
          <w:b/>
          <w:bCs/>
          <w:sz w:val="28"/>
          <w:szCs w:val="28"/>
          <w:lang w:val="es-ES_tradnl" w:eastAsia="es-MX"/>
        </w:rPr>
        <w:t xml:space="preserve"> demandada</w:t>
      </w:r>
    </w:p>
    <w:p w:rsidR="008F4D0B" w:rsidRPr="00D00D14" w:rsidRDefault="00D00D14" w:rsidP="009B30FB">
      <w:pPr>
        <w:tabs>
          <w:tab w:val="left" w:pos="0"/>
          <w:tab w:val="num" w:pos="75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val="es-ES_tradnl" w:eastAsia="es-MX"/>
        </w:rPr>
      </w:pPr>
    </w:p>
    <w:p w:rsidR="008F4D0B" w:rsidRPr="00D00D14" w:rsidRDefault="00D00D14" w:rsidP="009B30FB">
      <w:pPr>
        <w:pStyle w:val="Prrafodelista"/>
        <w:numPr>
          <w:ilvl w:val="0"/>
          <w:numId w:val="2"/>
        </w:numPr>
        <w:tabs>
          <w:tab w:val="clear" w:pos="3368"/>
          <w:tab w:val="num" w:pos="0"/>
          <w:tab w:val="left" w:pos="284"/>
        </w:tabs>
        <w:spacing w:after="0" w:line="240" w:lineRule="auto"/>
        <w:ind w:left="0" w:firstLine="0"/>
        <w:jc w:val="both"/>
        <w:rPr>
          <w:rFonts w:ascii="Times New Roman" w:eastAsia="Times New Roman" w:hAnsi="Times New Roman" w:cs="Times New Roman"/>
          <w:sz w:val="28"/>
          <w:szCs w:val="28"/>
          <w:lang w:val="es-ES_tradnl" w:eastAsia="es-MX"/>
        </w:rPr>
      </w:pPr>
      <w:r w:rsidRPr="00D00D14">
        <w:rPr>
          <w:rFonts w:ascii="Times New Roman" w:eastAsia="Times New Roman" w:hAnsi="Times New Roman" w:cs="Times New Roman"/>
          <w:sz w:val="28"/>
          <w:szCs w:val="28"/>
          <w:lang w:val="es-ES_tradnl" w:eastAsia="es-MX"/>
        </w:rPr>
        <w:t>El texto de la norma demandada, es el siguiente:</w:t>
      </w:r>
    </w:p>
    <w:p w:rsidR="008F4D0B" w:rsidRPr="00D00D14" w:rsidRDefault="00D00D14" w:rsidP="009B30FB">
      <w:pPr>
        <w:pStyle w:val="Prrafodelista"/>
        <w:tabs>
          <w:tab w:val="left" w:pos="284"/>
        </w:tabs>
        <w:spacing w:after="0" w:line="240" w:lineRule="auto"/>
        <w:ind w:left="0"/>
        <w:jc w:val="both"/>
        <w:rPr>
          <w:rFonts w:ascii="Times New Roman" w:eastAsia="Times New Roman" w:hAnsi="Times New Roman" w:cs="Times New Roman"/>
          <w:sz w:val="28"/>
          <w:szCs w:val="28"/>
          <w:lang w:val="es-ES_tradnl" w:eastAsia="es-MX"/>
        </w:rPr>
      </w:pPr>
    </w:p>
    <w:p w:rsidR="008F4D0B" w:rsidRPr="00D00D14" w:rsidRDefault="00D00D14" w:rsidP="009A57C0">
      <w:pPr>
        <w:pStyle w:val="Prrafodelista"/>
        <w:spacing w:after="0" w:line="240" w:lineRule="auto"/>
        <w:ind w:left="0"/>
        <w:jc w:val="center"/>
        <w:rPr>
          <w:rFonts w:ascii="Times New Roman" w:eastAsia="Times New Roman" w:hAnsi="Times New Roman" w:cs="Times New Roman"/>
          <w:sz w:val="28"/>
          <w:szCs w:val="24"/>
          <w:lang w:val="es-ES_tradnl" w:eastAsia="es-MX"/>
        </w:rPr>
      </w:pPr>
      <w:r w:rsidRPr="00D00D14">
        <w:rPr>
          <w:rFonts w:ascii="Times New Roman" w:eastAsia="Times New Roman" w:hAnsi="Times New Roman" w:cs="Times New Roman"/>
          <w:sz w:val="28"/>
          <w:szCs w:val="24"/>
          <w:lang w:val="es-ES_tradnl" w:eastAsia="es-MX"/>
        </w:rPr>
        <w:t>“LEY 1778 DE 2016</w:t>
      </w:r>
    </w:p>
    <w:p w:rsidR="008F4D0B" w:rsidRPr="00D00D14" w:rsidRDefault="00D00D14" w:rsidP="009B30FB">
      <w:pPr>
        <w:pStyle w:val="Prrafodelista"/>
        <w:spacing w:after="0" w:line="240" w:lineRule="auto"/>
        <w:ind w:left="0"/>
        <w:jc w:val="center"/>
        <w:rPr>
          <w:rFonts w:ascii="Times New Roman" w:eastAsia="Times New Roman" w:hAnsi="Times New Roman" w:cs="Times New Roman"/>
          <w:sz w:val="28"/>
          <w:szCs w:val="24"/>
          <w:lang w:val="es-ES_tradnl" w:eastAsia="es-MX"/>
        </w:rPr>
      </w:pPr>
      <w:r w:rsidRPr="00D00D14">
        <w:rPr>
          <w:rFonts w:ascii="Times New Roman" w:eastAsia="Times New Roman" w:hAnsi="Times New Roman" w:cs="Times New Roman"/>
          <w:sz w:val="28"/>
          <w:szCs w:val="24"/>
          <w:lang w:val="es-ES_tradnl" w:eastAsia="es-MX"/>
        </w:rPr>
        <w:t>(febrero 2)</w:t>
      </w:r>
    </w:p>
    <w:p w:rsidR="008F4D0B" w:rsidRPr="00D00D14" w:rsidRDefault="00D00D14" w:rsidP="009B30FB">
      <w:pPr>
        <w:pStyle w:val="Prrafodelista"/>
        <w:spacing w:after="0" w:line="240" w:lineRule="auto"/>
        <w:ind w:left="0"/>
        <w:jc w:val="center"/>
        <w:rPr>
          <w:rFonts w:ascii="Times New Roman" w:eastAsia="Times New Roman" w:hAnsi="Times New Roman" w:cs="Times New Roman"/>
          <w:sz w:val="28"/>
          <w:szCs w:val="24"/>
          <w:lang w:val="es-ES_tradnl" w:eastAsia="es-MX"/>
        </w:rPr>
      </w:pPr>
      <w:r w:rsidRPr="00D00D14">
        <w:rPr>
          <w:rFonts w:ascii="Times New Roman" w:eastAsia="Times New Roman" w:hAnsi="Times New Roman" w:cs="Times New Roman"/>
          <w:sz w:val="28"/>
          <w:szCs w:val="24"/>
          <w:lang w:val="es-ES_tradnl" w:eastAsia="es-MX"/>
        </w:rPr>
        <w:t>Diario Oficial No. 49.774 de 2 de febrero de 2016</w:t>
      </w:r>
    </w:p>
    <w:p w:rsidR="008F4D0B" w:rsidRPr="00D00D14" w:rsidRDefault="00D00D14" w:rsidP="009B30FB">
      <w:pPr>
        <w:pStyle w:val="Prrafodelista"/>
        <w:spacing w:after="0" w:line="240" w:lineRule="auto"/>
        <w:ind w:left="0"/>
        <w:jc w:val="center"/>
        <w:rPr>
          <w:rFonts w:ascii="Times New Roman" w:eastAsia="Times New Roman" w:hAnsi="Times New Roman" w:cs="Times New Roman"/>
          <w:sz w:val="28"/>
          <w:szCs w:val="24"/>
          <w:lang w:val="es-ES_tradnl" w:eastAsia="es-MX"/>
        </w:rPr>
      </w:pPr>
    </w:p>
    <w:p w:rsidR="008F4D0B" w:rsidRPr="00D00D14" w:rsidRDefault="00D00D14" w:rsidP="009D400B">
      <w:pPr>
        <w:pStyle w:val="Prrafodelista"/>
        <w:spacing w:after="0" w:line="240" w:lineRule="auto"/>
        <w:ind w:left="567"/>
        <w:jc w:val="both"/>
        <w:rPr>
          <w:rFonts w:ascii="Times New Roman" w:eastAsia="Times New Roman" w:hAnsi="Times New Roman" w:cs="Times New Roman"/>
          <w:sz w:val="28"/>
          <w:szCs w:val="24"/>
          <w:lang w:val="es-ES_tradnl" w:eastAsia="es-MX"/>
        </w:rPr>
      </w:pPr>
      <w:r w:rsidRPr="00D00D14">
        <w:rPr>
          <w:rFonts w:ascii="Times New Roman" w:eastAsia="Times New Roman" w:hAnsi="Times New Roman" w:cs="Times New Roman"/>
          <w:sz w:val="28"/>
          <w:szCs w:val="24"/>
          <w:lang w:val="es-ES_tradnl" w:eastAsia="es-MX"/>
        </w:rPr>
        <w:t xml:space="preserve">Por la cual se dictan normas sobre la responsabilidad de las personas jurídicas por actos de corrupción transnacional y se dictan otras disposiciones en materia de la lucha contra la corrupción. </w:t>
      </w:r>
    </w:p>
    <w:p w:rsidR="008F4D0B" w:rsidRPr="00D00D14" w:rsidRDefault="00D00D14" w:rsidP="009B30FB">
      <w:pPr>
        <w:pStyle w:val="Prrafodelista"/>
        <w:spacing w:after="0" w:line="240" w:lineRule="auto"/>
        <w:ind w:left="0"/>
        <w:jc w:val="center"/>
        <w:rPr>
          <w:rFonts w:ascii="Times New Roman" w:eastAsia="Times New Roman" w:hAnsi="Times New Roman" w:cs="Times New Roman"/>
          <w:sz w:val="28"/>
          <w:szCs w:val="24"/>
          <w:lang w:val="es-ES_tradnl" w:eastAsia="es-MX"/>
        </w:rPr>
      </w:pPr>
      <w:r w:rsidRPr="00D00D14">
        <w:rPr>
          <w:rFonts w:ascii="Times New Roman" w:eastAsia="Times New Roman" w:hAnsi="Times New Roman" w:cs="Times New Roman"/>
          <w:sz w:val="28"/>
          <w:szCs w:val="24"/>
          <w:lang w:val="es-ES_tradnl" w:eastAsia="es-MX"/>
        </w:rPr>
        <w:t xml:space="preserve">(…) </w:t>
      </w:r>
    </w:p>
    <w:p w:rsidR="008F4D0B" w:rsidRPr="00D00D14" w:rsidRDefault="00D00D14" w:rsidP="009B30FB">
      <w:pPr>
        <w:pStyle w:val="Prrafodelista"/>
        <w:spacing w:after="0" w:line="240" w:lineRule="auto"/>
        <w:ind w:left="0"/>
        <w:jc w:val="center"/>
        <w:rPr>
          <w:rFonts w:ascii="Times New Roman" w:eastAsia="Times New Roman" w:hAnsi="Times New Roman" w:cs="Times New Roman"/>
          <w:sz w:val="28"/>
          <w:szCs w:val="24"/>
          <w:lang w:val="es-ES_tradnl" w:eastAsia="es-MX"/>
        </w:rPr>
      </w:pPr>
    </w:p>
    <w:p w:rsidR="008F4D0B" w:rsidRPr="00D00D14" w:rsidRDefault="00D00D14" w:rsidP="00623CA5">
      <w:pPr>
        <w:pStyle w:val="Prrafodelista"/>
        <w:spacing w:after="0" w:line="240" w:lineRule="auto"/>
        <w:ind w:left="567"/>
        <w:jc w:val="both"/>
        <w:rPr>
          <w:rFonts w:ascii="Times New Roman" w:eastAsia="Times New Roman" w:hAnsi="Times New Roman" w:cs="Times New Roman"/>
          <w:sz w:val="28"/>
          <w:szCs w:val="24"/>
          <w:lang w:val="es-ES_tradnl" w:eastAsia="es-MX"/>
        </w:rPr>
      </w:pPr>
      <w:r w:rsidRPr="00D00D14">
        <w:rPr>
          <w:rFonts w:ascii="Times New Roman" w:eastAsia="Times New Roman" w:hAnsi="Times New Roman" w:cs="Times New Roman"/>
          <w:sz w:val="28"/>
          <w:szCs w:val="24"/>
          <w:lang w:val="es-ES_tradnl" w:eastAsia="es-MX"/>
        </w:rPr>
        <w:t>ARTÍCULO 33. Inhabilidad para contratar de quienes fin</w:t>
      </w:r>
      <w:r w:rsidRPr="00D00D14">
        <w:rPr>
          <w:rFonts w:ascii="Times New Roman" w:eastAsia="Times New Roman" w:hAnsi="Times New Roman" w:cs="Times New Roman"/>
          <w:sz w:val="28"/>
          <w:szCs w:val="24"/>
          <w:lang w:val="es-ES_tradnl" w:eastAsia="es-MX"/>
        </w:rPr>
        <w:t>ancien campañas políticas. Modifica el Artículo 2 de la Ley 1474 de 2011. Modifíquese el artículo 2° de la Ley 1474 de 2011, el cual quedará así:</w:t>
      </w:r>
    </w:p>
    <w:p w:rsidR="008F4D0B" w:rsidRPr="00D00D14" w:rsidRDefault="00D00D14" w:rsidP="009B30FB">
      <w:pPr>
        <w:spacing w:after="0" w:line="240" w:lineRule="auto"/>
        <w:jc w:val="both"/>
        <w:rPr>
          <w:rFonts w:ascii="Times New Roman" w:eastAsia="Times New Roman" w:hAnsi="Times New Roman" w:cs="Times New Roman"/>
          <w:sz w:val="28"/>
          <w:szCs w:val="24"/>
          <w:lang w:val="es-ES_tradnl" w:eastAsia="es-MX"/>
        </w:rPr>
      </w:pPr>
    </w:p>
    <w:p w:rsidR="008F4D0B" w:rsidRPr="00D00D14" w:rsidRDefault="00D00D14" w:rsidP="00623CA5">
      <w:pPr>
        <w:pStyle w:val="Prrafodelista"/>
        <w:spacing w:after="0" w:line="240" w:lineRule="auto"/>
        <w:ind w:left="567"/>
        <w:jc w:val="both"/>
        <w:rPr>
          <w:rFonts w:ascii="Times New Roman" w:eastAsia="Times New Roman" w:hAnsi="Times New Roman" w:cs="Times New Roman"/>
          <w:sz w:val="28"/>
          <w:szCs w:val="24"/>
          <w:lang w:val="es-ES_tradnl" w:eastAsia="es-MX"/>
        </w:rPr>
      </w:pPr>
      <w:r w:rsidRPr="00D00D14">
        <w:rPr>
          <w:rFonts w:ascii="Times New Roman" w:eastAsia="Times New Roman" w:hAnsi="Times New Roman" w:cs="Times New Roman"/>
          <w:sz w:val="28"/>
          <w:szCs w:val="24"/>
          <w:lang w:val="es-ES_tradnl" w:eastAsia="es-MX"/>
        </w:rPr>
        <w:t>ARTÍCULO 2°. Inhabilidad para contratar de quienes financien campañas políticas. El numeral 1 del artículo 8°</w:t>
      </w:r>
      <w:r w:rsidRPr="00D00D14">
        <w:rPr>
          <w:rFonts w:ascii="Times New Roman" w:eastAsia="Times New Roman" w:hAnsi="Times New Roman" w:cs="Times New Roman"/>
          <w:sz w:val="28"/>
          <w:szCs w:val="24"/>
          <w:lang w:val="es-ES_tradnl" w:eastAsia="es-MX"/>
        </w:rPr>
        <w:t xml:space="preserve"> de la Ley 80 de 1993 tendrá un nuevo literal k), el cual quedará así:</w:t>
      </w:r>
    </w:p>
    <w:p w:rsidR="008F4D0B" w:rsidRPr="00D00D14" w:rsidRDefault="00D00D14" w:rsidP="009B30FB">
      <w:pPr>
        <w:pStyle w:val="Prrafodelista"/>
        <w:spacing w:after="0" w:line="240" w:lineRule="auto"/>
        <w:ind w:left="0"/>
        <w:jc w:val="both"/>
        <w:rPr>
          <w:rFonts w:ascii="Times New Roman" w:eastAsia="Times New Roman" w:hAnsi="Times New Roman" w:cs="Times New Roman"/>
          <w:sz w:val="28"/>
          <w:szCs w:val="24"/>
          <w:lang w:val="es-ES_tradnl" w:eastAsia="es-MX"/>
        </w:rPr>
      </w:pPr>
    </w:p>
    <w:p w:rsidR="008F4D0B" w:rsidRPr="00D00D14" w:rsidRDefault="00D00D14" w:rsidP="00623CA5">
      <w:pPr>
        <w:pStyle w:val="Prrafodelista"/>
        <w:spacing w:after="0" w:line="240" w:lineRule="auto"/>
        <w:ind w:left="567"/>
        <w:jc w:val="both"/>
        <w:rPr>
          <w:rFonts w:ascii="Times New Roman" w:eastAsia="Times New Roman" w:hAnsi="Times New Roman" w:cs="Times New Roman"/>
          <w:sz w:val="28"/>
          <w:szCs w:val="24"/>
          <w:lang w:val="es-ES_tradnl" w:eastAsia="es-MX"/>
        </w:rPr>
      </w:pPr>
      <w:r w:rsidRPr="00D00D14">
        <w:rPr>
          <w:rFonts w:ascii="Times New Roman" w:eastAsia="Times New Roman" w:hAnsi="Times New Roman" w:cs="Times New Roman"/>
          <w:sz w:val="28"/>
          <w:szCs w:val="24"/>
          <w:lang w:val="es-ES_tradnl" w:eastAsia="es-MX"/>
        </w:rPr>
        <w:t xml:space="preserve">Las personas naturales o jurídicas que hayan financiado campañas políticas a la Presidencia de  la República, a las gobernaciones, a las alcaldías o al Congreso de la República, </w:t>
      </w:r>
      <w:r w:rsidRPr="00D00D14">
        <w:rPr>
          <w:rFonts w:ascii="Times New Roman" w:eastAsia="Times New Roman" w:hAnsi="Times New Roman" w:cs="Times New Roman"/>
          <w:b/>
          <w:bCs/>
          <w:sz w:val="28"/>
          <w:szCs w:val="24"/>
          <w:lang w:val="es-ES_tradnl" w:eastAsia="es-MX"/>
        </w:rPr>
        <w:t>con ap</w:t>
      </w:r>
      <w:r w:rsidRPr="00D00D14">
        <w:rPr>
          <w:rFonts w:ascii="Times New Roman" w:eastAsia="Times New Roman" w:hAnsi="Times New Roman" w:cs="Times New Roman"/>
          <w:b/>
          <w:bCs/>
          <w:sz w:val="28"/>
          <w:szCs w:val="24"/>
          <w:lang w:val="es-ES_tradnl" w:eastAsia="es-MX"/>
        </w:rPr>
        <w:t>ortes  superiores al dos por ciento (2.0%) de las sumas máximas a invertir por los candidatos en  las campañas electorales en cada circunscripción electoral</w:t>
      </w:r>
      <w:r w:rsidRPr="00D00D14">
        <w:rPr>
          <w:rFonts w:ascii="Times New Roman" w:eastAsia="Times New Roman" w:hAnsi="Times New Roman" w:cs="Times New Roman"/>
          <w:sz w:val="28"/>
          <w:szCs w:val="24"/>
          <w:lang w:val="es-ES_tradnl" w:eastAsia="es-MX"/>
        </w:rPr>
        <w:t>, quienes no podrán celebrar  contratos con las entidades públicas, incluso descentralizadas, del re</w:t>
      </w:r>
      <w:r w:rsidRPr="00D00D14">
        <w:rPr>
          <w:rFonts w:ascii="Times New Roman" w:eastAsia="Times New Roman" w:hAnsi="Times New Roman" w:cs="Times New Roman"/>
          <w:sz w:val="28"/>
          <w:szCs w:val="24"/>
          <w:lang w:val="es-ES_tradnl" w:eastAsia="es-MX"/>
        </w:rPr>
        <w:t>spectivo nivel administrativo  para el cual fue elegido el candidato.</w:t>
      </w:r>
    </w:p>
    <w:p w:rsidR="008F4D0B" w:rsidRPr="00D00D14" w:rsidRDefault="00D00D14" w:rsidP="009B30FB">
      <w:pPr>
        <w:spacing w:after="0" w:line="240" w:lineRule="auto"/>
        <w:jc w:val="both"/>
        <w:rPr>
          <w:rFonts w:ascii="Times New Roman" w:eastAsia="Times New Roman" w:hAnsi="Times New Roman" w:cs="Times New Roman"/>
          <w:sz w:val="28"/>
          <w:szCs w:val="24"/>
          <w:lang w:val="es-ES_tradnl" w:eastAsia="es-MX"/>
        </w:rPr>
      </w:pPr>
    </w:p>
    <w:p w:rsidR="008F4D0B" w:rsidRPr="00D00D14" w:rsidRDefault="00D00D14" w:rsidP="00623CA5">
      <w:pPr>
        <w:pStyle w:val="Prrafodelista"/>
        <w:spacing w:after="0" w:line="240" w:lineRule="auto"/>
        <w:ind w:left="567"/>
        <w:jc w:val="both"/>
        <w:rPr>
          <w:rFonts w:ascii="Times New Roman" w:eastAsia="Times New Roman" w:hAnsi="Times New Roman" w:cs="Times New Roman"/>
          <w:sz w:val="28"/>
          <w:szCs w:val="24"/>
          <w:lang w:val="es-ES_tradnl" w:eastAsia="es-MX"/>
        </w:rPr>
      </w:pPr>
      <w:r w:rsidRPr="00D00D14">
        <w:rPr>
          <w:rFonts w:ascii="Times New Roman" w:eastAsia="Times New Roman" w:hAnsi="Times New Roman" w:cs="Times New Roman"/>
          <w:sz w:val="28"/>
          <w:szCs w:val="24"/>
          <w:lang w:val="es-ES_tradnl" w:eastAsia="es-MX"/>
        </w:rPr>
        <w:t>La inhabilidad se extenderá por todo el período para el cual el candidato fue elegido. Esta causal también operará para las personas que se encuentren dentro del segundo grado de consan</w:t>
      </w:r>
      <w:r w:rsidRPr="00D00D14">
        <w:rPr>
          <w:rFonts w:ascii="Times New Roman" w:eastAsia="Times New Roman" w:hAnsi="Times New Roman" w:cs="Times New Roman"/>
          <w:sz w:val="28"/>
          <w:szCs w:val="24"/>
          <w:lang w:val="es-ES_tradnl" w:eastAsia="es-MX"/>
        </w:rPr>
        <w:t>guinidad, segundo de afinidad, o primero civil de la persona que ha financiado la campaña política.</w:t>
      </w:r>
    </w:p>
    <w:p w:rsidR="008F4D0B" w:rsidRPr="00D00D14" w:rsidRDefault="00D00D14" w:rsidP="009B30FB">
      <w:pPr>
        <w:pStyle w:val="Prrafodelista"/>
        <w:spacing w:after="0" w:line="240" w:lineRule="auto"/>
        <w:ind w:left="0"/>
        <w:jc w:val="both"/>
        <w:rPr>
          <w:rFonts w:ascii="Times New Roman" w:eastAsia="Times New Roman" w:hAnsi="Times New Roman" w:cs="Times New Roman"/>
          <w:sz w:val="28"/>
          <w:szCs w:val="24"/>
          <w:lang w:val="es-ES_tradnl" w:eastAsia="es-MX"/>
        </w:rPr>
      </w:pPr>
    </w:p>
    <w:p w:rsidR="008F4D0B" w:rsidRPr="00D00D14" w:rsidRDefault="00D00D14" w:rsidP="00623CA5">
      <w:pPr>
        <w:pStyle w:val="Prrafodelista"/>
        <w:spacing w:after="0" w:line="240" w:lineRule="auto"/>
        <w:ind w:left="567"/>
        <w:jc w:val="both"/>
        <w:rPr>
          <w:rFonts w:ascii="Times New Roman" w:eastAsia="Times New Roman" w:hAnsi="Times New Roman" w:cs="Times New Roman"/>
          <w:sz w:val="28"/>
          <w:szCs w:val="24"/>
          <w:lang w:val="es-ES_tradnl" w:eastAsia="es-MX"/>
        </w:rPr>
      </w:pPr>
      <w:r w:rsidRPr="00D00D14">
        <w:rPr>
          <w:rFonts w:ascii="Times New Roman" w:eastAsia="Times New Roman" w:hAnsi="Times New Roman" w:cs="Times New Roman"/>
          <w:sz w:val="28"/>
          <w:szCs w:val="24"/>
          <w:lang w:val="es-ES_tradnl" w:eastAsia="es-MX"/>
        </w:rPr>
        <w:t>Esta inhabilidad comprenderá también a las personas jurídicas en las cuales el representante legal, los miembros de junta directiva o cualquiera de sus soc</w:t>
      </w:r>
      <w:r w:rsidRPr="00D00D14">
        <w:rPr>
          <w:rFonts w:ascii="Times New Roman" w:eastAsia="Times New Roman" w:hAnsi="Times New Roman" w:cs="Times New Roman"/>
          <w:sz w:val="28"/>
          <w:szCs w:val="24"/>
          <w:lang w:val="es-ES_tradnl" w:eastAsia="es-MX"/>
        </w:rPr>
        <w:t>ios controlantes hayan financiado directamente o por interpuesta persona campañas políticas a la Presidencia de la República, a las gobernaciones, las alcaldías o al Congreso de la República.</w:t>
      </w:r>
    </w:p>
    <w:p w:rsidR="008F4D0B" w:rsidRPr="00D00D14" w:rsidRDefault="00D00D14" w:rsidP="009B30FB">
      <w:pPr>
        <w:pStyle w:val="Prrafodelista"/>
        <w:spacing w:after="0" w:line="240" w:lineRule="auto"/>
        <w:ind w:left="0"/>
        <w:jc w:val="both"/>
        <w:rPr>
          <w:rFonts w:ascii="Times New Roman" w:eastAsia="Times New Roman" w:hAnsi="Times New Roman" w:cs="Times New Roman"/>
          <w:sz w:val="28"/>
          <w:szCs w:val="24"/>
          <w:lang w:val="es-ES_tradnl" w:eastAsia="es-MX"/>
        </w:rPr>
      </w:pPr>
    </w:p>
    <w:p w:rsidR="008F4D0B" w:rsidRPr="00D00D14" w:rsidRDefault="00D00D14" w:rsidP="00623CA5">
      <w:pPr>
        <w:pStyle w:val="Prrafodelista"/>
        <w:spacing w:after="0" w:line="240" w:lineRule="auto"/>
        <w:ind w:left="567"/>
        <w:jc w:val="both"/>
        <w:rPr>
          <w:rFonts w:ascii="Times New Roman" w:eastAsia="Times New Roman" w:hAnsi="Times New Roman" w:cs="Times New Roman"/>
          <w:b/>
          <w:bCs/>
          <w:sz w:val="28"/>
          <w:szCs w:val="24"/>
          <w:lang w:val="es-ES_tradnl" w:eastAsia="es-MX"/>
        </w:rPr>
      </w:pPr>
      <w:r w:rsidRPr="00D00D14">
        <w:rPr>
          <w:rFonts w:ascii="Times New Roman" w:eastAsia="Times New Roman" w:hAnsi="Times New Roman" w:cs="Times New Roman"/>
          <w:b/>
          <w:bCs/>
          <w:sz w:val="28"/>
          <w:szCs w:val="24"/>
          <w:lang w:val="es-ES_tradnl" w:eastAsia="es-MX"/>
        </w:rPr>
        <w:t>La inhabilidad contemplada en esta norma no se aplicará respect</w:t>
      </w:r>
      <w:r w:rsidRPr="00D00D14">
        <w:rPr>
          <w:rFonts w:ascii="Times New Roman" w:eastAsia="Times New Roman" w:hAnsi="Times New Roman" w:cs="Times New Roman"/>
          <w:b/>
          <w:bCs/>
          <w:sz w:val="28"/>
          <w:szCs w:val="24"/>
          <w:lang w:val="es-ES_tradnl" w:eastAsia="es-MX"/>
        </w:rPr>
        <w:t>o de los contratos de prestación de servicios profesionales”.</w:t>
      </w:r>
    </w:p>
    <w:p w:rsidR="008F4D0B" w:rsidRPr="00D00D14" w:rsidRDefault="00D00D14" w:rsidP="009B30FB">
      <w:pPr>
        <w:pStyle w:val="Prrafodelista"/>
        <w:tabs>
          <w:tab w:val="left" w:pos="284"/>
        </w:tabs>
        <w:spacing w:after="0" w:line="240" w:lineRule="auto"/>
        <w:ind w:left="0"/>
        <w:jc w:val="both"/>
        <w:rPr>
          <w:rFonts w:ascii="Times New Roman" w:eastAsia="Times New Roman" w:hAnsi="Times New Roman" w:cs="Times New Roman"/>
          <w:sz w:val="28"/>
          <w:szCs w:val="24"/>
          <w:lang w:val="es-ES_tradnl" w:eastAsia="es-MX"/>
        </w:rPr>
      </w:pPr>
    </w:p>
    <w:p w:rsidR="00940C5F" w:rsidRPr="00D00D14" w:rsidRDefault="00D00D14" w:rsidP="00CA343B">
      <w:pPr>
        <w:pStyle w:val="Prrafodelista"/>
        <w:numPr>
          <w:ilvl w:val="0"/>
          <w:numId w:val="3"/>
        </w:numPr>
        <w:tabs>
          <w:tab w:val="left" w:pos="284"/>
        </w:tabs>
        <w:spacing w:after="0" w:line="240" w:lineRule="auto"/>
        <w:ind w:left="0" w:firstLine="0"/>
        <w:jc w:val="both"/>
        <w:rPr>
          <w:rFonts w:ascii="Times New Roman" w:eastAsia="Times New Roman" w:hAnsi="Times New Roman" w:cs="Times New Roman"/>
          <w:b/>
          <w:bCs/>
          <w:sz w:val="28"/>
          <w:szCs w:val="28"/>
          <w:lang w:val="es-ES_tradnl" w:eastAsia="es-MX"/>
        </w:rPr>
      </w:pPr>
      <w:r w:rsidRPr="00D00D14">
        <w:rPr>
          <w:rFonts w:ascii="Times New Roman" w:eastAsia="Times New Roman" w:hAnsi="Times New Roman" w:cs="Times New Roman"/>
          <w:b/>
          <w:bCs/>
          <w:sz w:val="28"/>
          <w:szCs w:val="28"/>
          <w:lang w:val="es-ES_tradnl" w:eastAsia="es-MX"/>
        </w:rPr>
        <w:t>La demanda</w:t>
      </w:r>
    </w:p>
    <w:p w:rsidR="00940C5F" w:rsidRPr="00D00D14" w:rsidRDefault="00D00D14" w:rsidP="009B30FB">
      <w:pPr>
        <w:pStyle w:val="Prrafodelista"/>
        <w:tabs>
          <w:tab w:val="left" w:pos="284"/>
        </w:tabs>
        <w:spacing w:after="0" w:line="240" w:lineRule="auto"/>
        <w:ind w:left="0"/>
        <w:jc w:val="both"/>
        <w:rPr>
          <w:rFonts w:ascii="Times New Roman" w:eastAsia="Times New Roman" w:hAnsi="Times New Roman" w:cs="Times New Roman"/>
          <w:sz w:val="28"/>
          <w:szCs w:val="24"/>
          <w:lang w:val="es-ES_tradnl" w:eastAsia="es-MX"/>
        </w:rPr>
      </w:pPr>
    </w:p>
    <w:p w:rsidR="008F4D0B" w:rsidRPr="00D00D14" w:rsidRDefault="00D00D14" w:rsidP="009B30FB">
      <w:pPr>
        <w:pStyle w:val="Prrafodelista"/>
        <w:numPr>
          <w:ilvl w:val="0"/>
          <w:numId w:val="2"/>
        </w:numPr>
        <w:tabs>
          <w:tab w:val="left" w:pos="284"/>
          <w:tab w:val="left" w:pos="426"/>
        </w:tabs>
        <w:autoSpaceDE w:val="0"/>
        <w:autoSpaceDN w:val="0"/>
        <w:adjustRightInd w:val="0"/>
        <w:spacing w:after="0" w:line="240" w:lineRule="auto"/>
        <w:ind w:left="0" w:right="51" w:firstLine="0"/>
        <w:jc w:val="both"/>
        <w:rPr>
          <w:rFonts w:ascii="Times New Roman" w:eastAsia="Times New Roman" w:hAnsi="Times New Roman" w:cs="Times New Roman"/>
          <w:sz w:val="28"/>
          <w:szCs w:val="28"/>
          <w:lang w:val="es-ES_tradnl" w:eastAsia="es-ES"/>
        </w:rPr>
      </w:pPr>
      <w:r w:rsidRPr="00D00D14">
        <w:rPr>
          <w:rFonts w:ascii="Times New Roman" w:eastAsia="Times New Roman" w:hAnsi="Times New Roman" w:cs="Times New Roman"/>
          <w:sz w:val="28"/>
          <w:szCs w:val="28"/>
          <w:lang w:val="es-ES_tradnl" w:eastAsia="es-ES"/>
        </w:rPr>
        <w:t>El demandante sostiene que las expresiones acusadas del artículo 33 de la Ley 1778 de 2016 vulneran directamente el artículo 110 de la Constitución, porque permiten que particulares</w:t>
      </w:r>
      <w:r w:rsidRPr="00D00D14">
        <w:rPr>
          <w:rFonts w:ascii="Times New Roman" w:eastAsia="Times New Roman" w:hAnsi="Times New Roman" w:cs="Times New Roman"/>
          <w:sz w:val="28"/>
          <w:szCs w:val="28"/>
          <w:lang w:val="es-ES_tradnl" w:eastAsia="es-ES"/>
        </w:rPr>
        <w:t xml:space="preserve"> que ejercen funciones públicas mediante contratos estatales financien campañas políticas, contrariando la prohibición expresa que impide a quienes desempeñan funciones públicas realizar aportes a partidos, movimientos o candidatos.</w:t>
      </w:r>
    </w:p>
    <w:p w:rsidR="008F4D0B" w:rsidRPr="00D00D14" w:rsidRDefault="00D00D14" w:rsidP="009B30FB">
      <w:pPr>
        <w:pStyle w:val="Prrafodelista"/>
        <w:tabs>
          <w:tab w:val="left" w:pos="284"/>
          <w:tab w:val="left" w:pos="426"/>
        </w:tabs>
        <w:autoSpaceDE w:val="0"/>
        <w:autoSpaceDN w:val="0"/>
        <w:adjustRightInd w:val="0"/>
        <w:spacing w:after="0" w:line="240" w:lineRule="auto"/>
        <w:ind w:left="0" w:right="51"/>
        <w:jc w:val="both"/>
        <w:rPr>
          <w:rFonts w:ascii="Times New Roman" w:eastAsia="Times New Roman" w:hAnsi="Times New Roman" w:cs="Times New Roman"/>
          <w:sz w:val="28"/>
          <w:szCs w:val="28"/>
          <w:lang w:val="es-ES_tradnl" w:eastAsia="es-ES"/>
        </w:rPr>
      </w:pPr>
    </w:p>
    <w:p w:rsidR="008F4D0B" w:rsidRPr="00D00D14" w:rsidRDefault="00D00D14" w:rsidP="009B30FB">
      <w:pPr>
        <w:pStyle w:val="Prrafodelista"/>
        <w:numPr>
          <w:ilvl w:val="0"/>
          <w:numId w:val="2"/>
        </w:numPr>
        <w:tabs>
          <w:tab w:val="left" w:pos="284"/>
          <w:tab w:val="left" w:pos="426"/>
        </w:tabs>
        <w:autoSpaceDE w:val="0"/>
        <w:autoSpaceDN w:val="0"/>
        <w:adjustRightInd w:val="0"/>
        <w:spacing w:after="0" w:line="240" w:lineRule="auto"/>
        <w:ind w:left="0" w:right="51" w:firstLine="0"/>
        <w:jc w:val="both"/>
        <w:rPr>
          <w:rFonts w:ascii="Times New Roman" w:hAnsi="Times New Roman" w:cs="Times New Roman"/>
          <w:sz w:val="28"/>
          <w:szCs w:val="28"/>
        </w:rPr>
      </w:pPr>
      <w:r w:rsidRPr="00D00D14">
        <w:rPr>
          <w:rFonts w:ascii="Times New Roman" w:eastAsia="Times New Roman" w:hAnsi="Times New Roman" w:cs="Times New Roman"/>
          <w:sz w:val="28"/>
          <w:szCs w:val="28"/>
          <w:lang w:val="es-ES_tradnl" w:eastAsia="es-ES"/>
        </w:rPr>
        <w:t xml:space="preserve">El demandante respalda su posición citando jurisprudencia constitucional </w:t>
      </w:r>
      <w:r w:rsidRPr="00D00D14">
        <w:rPr>
          <w:rFonts w:ascii="Times New Roman" w:eastAsia="Times New Roman" w:hAnsi="Times New Roman" w:cs="Times New Roman"/>
          <w:sz w:val="28"/>
          <w:szCs w:val="28"/>
          <w:lang w:val="es-ES_tradnl" w:eastAsia="es-ES"/>
        </w:rPr>
        <w:t>-</w:t>
      </w:r>
      <w:r w:rsidRPr="00D00D14">
        <w:rPr>
          <w:rFonts w:ascii="Times New Roman" w:eastAsia="Times New Roman" w:hAnsi="Times New Roman" w:cs="Times New Roman"/>
          <w:sz w:val="28"/>
          <w:szCs w:val="28"/>
          <w:lang w:val="es-ES_tradnl" w:eastAsia="es-ES"/>
        </w:rPr>
        <w:t>especialmente las Sentencias C‑302 de 2021, C‑1153 de 2005 y C‑490 de 2011</w:t>
      </w:r>
      <w:r w:rsidRPr="00D00D14">
        <w:rPr>
          <w:rFonts w:ascii="Times New Roman" w:eastAsia="Times New Roman" w:hAnsi="Times New Roman" w:cs="Times New Roman"/>
          <w:sz w:val="28"/>
          <w:szCs w:val="28"/>
          <w:lang w:val="es-ES_tradnl" w:eastAsia="es-ES"/>
        </w:rPr>
        <w:t>-</w:t>
      </w:r>
      <w:r w:rsidRPr="00D00D14">
        <w:rPr>
          <w:rFonts w:ascii="Times New Roman" w:eastAsia="Times New Roman" w:hAnsi="Times New Roman" w:cs="Times New Roman"/>
          <w:sz w:val="28"/>
          <w:szCs w:val="28"/>
          <w:lang w:val="es-ES_tradnl" w:eastAsia="es-ES"/>
        </w:rPr>
        <w:t xml:space="preserve"> para advertir que la financiación privada de campañas implica riesgos significativos que justifican la imp</w:t>
      </w:r>
      <w:r w:rsidRPr="00D00D14">
        <w:rPr>
          <w:rFonts w:ascii="Times New Roman" w:eastAsia="Times New Roman" w:hAnsi="Times New Roman" w:cs="Times New Roman"/>
          <w:sz w:val="28"/>
          <w:szCs w:val="28"/>
          <w:lang w:val="es-ES_tradnl" w:eastAsia="es-ES"/>
        </w:rPr>
        <w:t>osición de límites legales. En particular, destaca que en numerosos casos las contribuciones económicas no persiguen fortalecer la democracia, sino influir o condicionar la actuación pública de los candidatos elegidos en favor de intereses particulares, fe</w:t>
      </w:r>
      <w:r w:rsidRPr="00D00D14">
        <w:rPr>
          <w:rFonts w:ascii="Times New Roman" w:eastAsia="Times New Roman" w:hAnsi="Times New Roman" w:cs="Times New Roman"/>
          <w:sz w:val="28"/>
          <w:szCs w:val="28"/>
          <w:lang w:val="es-ES_tradnl" w:eastAsia="es-ES"/>
        </w:rPr>
        <w:t>nómeno que la propia jurisprudencia reconoció, entre otras, en la Sentencia C‑490 de 2011.</w:t>
      </w:r>
    </w:p>
    <w:p w:rsidR="008F4D0B" w:rsidRPr="00D00D14" w:rsidRDefault="00D00D14" w:rsidP="009B30FB">
      <w:pPr>
        <w:tabs>
          <w:tab w:val="left" w:pos="142"/>
          <w:tab w:val="left" w:pos="426"/>
        </w:tabs>
        <w:autoSpaceDE w:val="0"/>
        <w:autoSpaceDN w:val="0"/>
        <w:adjustRightInd w:val="0"/>
        <w:spacing w:after="0" w:line="240" w:lineRule="auto"/>
        <w:ind w:right="51"/>
        <w:jc w:val="both"/>
        <w:rPr>
          <w:rFonts w:ascii="Times New Roman" w:eastAsia="Times New Roman" w:hAnsi="Times New Roman" w:cs="Times New Roman"/>
          <w:sz w:val="28"/>
          <w:szCs w:val="28"/>
          <w:lang w:val="es-ES_tradnl" w:eastAsia="es-ES"/>
        </w:rPr>
      </w:pPr>
    </w:p>
    <w:p w:rsidR="008F4D0B" w:rsidRPr="00D00D14" w:rsidRDefault="00D00D14" w:rsidP="009B30FB">
      <w:pPr>
        <w:pStyle w:val="Prrafodelista"/>
        <w:numPr>
          <w:ilvl w:val="0"/>
          <w:numId w:val="2"/>
        </w:numPr>
        <w:tabs>
          <w:tab w:val="left" w:pos="284"/>
          <w:tab w:val="left" w:pos="426"/>
        </w:tabs>
        <w:autoSpaceDE w:val="0"/>
        <w:autoSpaceDN w:val="0"/>
        <w:adjustRightInd w:val="0"/>
        <w:spacing w:after="0" w:line="240" w:lineRule="auto"/>
        <w:ind w:left="0" w:right="51" w:firstLine="0"/>
        <w:jc w:val="both"/>
        <w:rPr>
          <w:rFonts w:ascii="Times New Roman" w:eastAsia="Times New Roman" w:hAnsi="Times New Roman" w:cs="Times New Roman"/>
          <w:i/>
          <w:iCs/>
          <w:sz w:val="28"/>
          <w:szCs w:val="28"/>
          <w:lang w:val="es-ES_tradnl" w:eastAsia="es-ES"/>
        </w:rPr>
      </w:pPr>
      <w:r w:rsidRPr="00D00D14">
        <w:rPr>
          <w:rFonts w:ascii="Times New Roman" w:eastAsia="Times New Roman" w:hAnsi="Times New Roman" w:cs="Times New Roman"/>
          <w:sz w:val="28"/>
          <w:szCs w:val="28"/>
          <w:lang w:val="es-ES_tradnl" w:eastAsia="es-ES"/>
        </w:rPr>
        <w:t>Con el fin de reforzar esta argumentación, el demandante incorpora el contexto fáctico colombiano apoyándose en diversos informes de Transparencia por Colombia. Señ</w:t>
      </w:r>
      <w:r w:rsidRPr="00D00D14">
        <w:rPr>
          <w:rFonts w:ascii="Times New Roman" w:eastAsia="Times New Roman" w:hAnsi="Times New Roman" w:cs="Times New Roman"/>
          <w:sz w:val="28"/>
          <w:szCs w:val="28"/>
          <w:lang w:val="es-ES_tradnl" w:eastAsia="es-ES"/>
        </w:rPr>
        <w:t>ala que estos estudios, mediante análisis gráficos y estadísticos, evidencian una correlación consistente entre los aportes privados a campañas políticas y la posterior celebración de contratos estatales por parte de los mismos financiadores, lo cual revel</w:t>
      </w:r>
      <w:r w:rsidRPr="00D00D14">
        <w:rPr>
          <w:rFonts w:ascii="Times New Roman" w:eastAsia="Times New Roman" w:hAnsi="Times New Roman" w:cs="Times New Roman"/>
          <w:sz w:val="28"/>
          <w:szCs w:val="28"/>
          <w:lang w:val="es-ES_tradnl" w:eastAsia="es-ES"/>
        </w:rPr>
        <w:t>a patrones de riesgo en la relación entre financiación electoral y contratación pública</w:t>
      </w:r>
      <w:r w:rsidRPr="00D00D14">
        <w:rPr>
          <w:rStyle w:val="Refdenotaalpie"/>
          <w:rFonts w:ascii="Times New Roman" w:eastAsia="Times New Roman" w:hAnsi="Times New Roman" w:cs="Times New Roman"/>
          <w:sz w:val="28"/>
          <w:szCs w:val="28"/>
          <w:lang w:val="es-ES_tradnl" w:eastAsia="es-ES"/>
        </w:rPr>
        <w:footnoteReference w:id="1"/>
      </w:r>
      <w:r w:rsidRPr="00D00D14">
        <w:rPr>
          <w:rFonts w:ascii="Times New Roman" w:eastAsia="Times New Roman" w:hAnsi="Times New Roman" w:cs="Times New Roman"/>
          <w:sz w:val="28"/>
          <w:szCs w:val="28"/>
          <w:lang w:val="es-ES_tradnl" w:eastAsia="es-ES"/>
        </w:rPr>
        <w:t xml:space="preserve">. </w:t>
      </w:r>
    </w:p>
    <w:p w:rsidR="008F4D0B" w:rsidRPr="00D00D14" w:rsidRDefault="00D00D14" w:rsidP="009B30FB">
      <w:pPr>
        <w:pStyle w:val="Prrafodelista"/>
        <w:tabs>
          <w:tab w:val="left" w:pos="284"/>
          <w:tab w:val="left" w:pos="426"/>
        </w:tabs>
        <w:autoSpaceDE w:val="0"/>
        <w:autoSpaceDN w:val="0"/>
        <w:adjustRightInd w:val="0"/>
        <w:spacing w:after="0" w:line="240" w:lineRule="auto"/>
        <w:ind w:left="0" w:right="51"/>
        <w:jc w:val="both"/>
        <w:rPr>
          <w:rFonts w:ascii="Times New Roman" w:eastAsia="Times New Roman" w:hAnsi="Times New Roman" w:cs="Times New Roman"/>
          <w:i/>
          <w:iCs/>
          <w:sz w:val="28"/>
          <w:szCs w:val="28"/>
          <w:lang w:val="es-ES_tradnl" w:eastAsia="es-ES"/>
        </w:rPr>
      </w:pPr>
    </w:p>
    <w:p w:rsidR="008F4D0B" w:rsidRPr="00D00D14" w:rsidRDefault="00D00D14" w:rsidP="009B30FB">
      <w:pPr>
        <w:pStyle w:val="Prrafodelista"/>
        <w:numPr>
          <w:ilvl w:val="0"/>
          <w:numId w:val="2"/>
        </w:numPr>
        <w:tabs>
          <w:tab w:val="left" w:pos="284"/>
          <w:tab w:val="left" w:pos="426"/>
        </w:tabs>
        <w:autoSpaceDE w:val="0"/>
        <w:autoSpaceDN w:val="0"/>
        <w:adjustRightInd w:val="0"/>
        <w:spacing w:after="0" w:line="240" w:lineRule="auto"/>
        <w:ind w:left="0" w:right="51" w:firstLine="0"/>
        <w:jc w:val="both"/>
        <w:rPr>
          <w:rFonts w:ascii="Times New Roman" w:eastAsia="Times New Roman" w:hAnsi="Times New Roman" w:cs="Times New Roman"/>
          <w:i/>
          <w:iCs/>
          <w:sz w:val="28"/>
          <w:szCs w:val="28"/>
          <w:lang w:val="es-ES_tradnl" w:eastAsia="es-ES"/>
        </w:rPr>
      </w:pPr>
      <w:r w:rsidRPr="00D00D14">
        <w:rPr>
          <w:rFonts w:ascii="Times New Roman" w:eastAsia="Times New Roman" w:hAnsi="Times New Roman" w:cs="Times New Roman"/>
          <w:sz w:val="28"/>
          <w:szCs w:val="28"/>
          <w:lang w:val="es-ES_tradnl" w:eastAsia="es-ES"/>
        </w:rPr>
        <w:t>Asimismo</w:t>
      </w:r>
      <w:r w:rsidRPr="00D00D14">
        <w:rPr>
          <w:rFonts w:ascii="Times New Roman" w:eastAsia="Times New Roman" w:hAnsi="Times New Roman" w:cs="Times New Roman"/>
          <w:i/>
          <w:iCs/>
          <w:sz w:val="28"/>
          <w:szCs w:val="28"/>
          <w:lang w:val="es-ES_tradnl" w:eastAsia="es-ES"/>
        </w:rPr>
        <w:t xml:space="preserve">, </w:t>
      </w:r>
      <w:r w:rsidRPr="00D00D14">
        <w:rPr>
          <w:rFonts w:ascii="Times New Roman" w:eastAsia="Times New Roman" w:hAnsi="Times New Roman" w:cs="Times New Roman"/>
          <w:sz w:val="28"/>
          <w:szCs w:val="28"/>
          <w:lang w:val="es-ES_tradnl" w:eastAsia="es-ES"/>
        </w:rPr>
        <w:t>invoca la Convención de Naciones Unidas contra la Corrupción, particularmente su artículo 7º, para sostener que Colombia está obligada a adoptar medidas dirigidas a prevenir conflictos de interés en el ámbito público. Afirma que, pese a este mandato intern</w:t>
      </w:r>
      <w:r w:rsidRPr="00D00D14">
        <w:rPr>
          <w:rFonts w:ascii="Times New Roman" w:eastAsia="Times New Roman" w:hAnsi="Times New Roman" w:cs="Times New Roman"/>
          <w:sz w:val="28"/>
          <w:szCs w:val="28"/>
          <w:lang w:val="es-ES_tradnl" w:eastAsia="es-ES"/>
        </w:rPr>
        <w:t>acional, no se han implementado mecanismos suficientes para limitar la participación de contratistas en campañas políticas cuando estos ejercen función pública, lo que agrava los riesgos democráticos y contradice los estándares internacionales anticorrupci</w:t>
      </w:r>
      <w:r w:rsidRPr="00D00D14">
        <w:rPr>
          <w:rFonts w:ascii="Times New Roman" w:eastAsia="Times New Roman" w:hAnsi="Times New Roman" w:cs="Times New Roman"/>
          <w:sz w:val="28"/>
          <w:szCs w:val="28"/>
          <w:lang w:val="es-ES_tradnl" w:eastAsia="es-ES"/>
        </w:rPr>
        <w:t>ón.</w:t>
      </w:r>
    </w:p>
    <w:p w:rsidR="008F4D0B" w:rsidRPr="00D00D14" w:rsidRDefault="00D00D14" w:rsidP="009B30FB">
      <w:pPr>
        <w:pStyle w:val="Prrafodelista"/>
        <w:tabs>
          <w:tab w:val="left" w:pos="284"/>
          <w:tab w:val="left" w:pos="426"/>
        </w:tabs>
        <w:autoSpaceDE w:val="0"/>
        <w:autoSpaceDN w:val="0"/>
        <w:adjustRightInd w:val="0"/>
        <w:spacing w:after="0" w:line="240" w:lineRule="auto"/>
        <w:ind w:left="0" w:right="51"/>
        <w:jc w:val="both"/>
        <w:rPr>
          <w:rFonts w:ascii="Times New Roman" w:eastAsia="Times New Roman" w:hAnsi="Times New Roman" w:cs="Times New Roman"/>
          <w:i/>
          <w:iCs/>
          <w:sz w:val="28"/>
          <w:szCs w:val="28"/>
          <w:lang w:val="es-ES_tradnl" w:eastAsia="es-ES"/>
        </w:rPr>
      </w:pPr>
      <w:r w:rsidRPr="00D00D14">
        <w:rPr>
          <w:rFonts w:ascii="Times New Roman" w:eastAsia="Times New Roman" w:hAnsi="Times New Roman" w:cs="Times New Roman"/>
          <w:i/>
          <w:iCs/>
          <w:sz w:val="28"/>
          <w:szCs w:val="28"/>
          <w:lang w:val="es-ES_tradnl" w:eastAsia="es-ES"/>
        </w:rPr>
        <w:t xml:space="preserve"> </w:t>
      </w:r>
    </w:p>
    <w:p w:rsidR="008F4D0B" w:rsidRPr="00D00D14" w:rsidRDefault="00D00D14" w:rsidP="009B30FB">
      <w:pPr>
        <w:pStyle w:val="Prrafodelista"/>
        <w:numPr>
          <w:ilvl w:val="0"/>
          <w:numId w:val="2"/>
        </w:numPr>
        <w:tabs>
          <w:tab w:val="left" w:pos="284"/>
          <w:tab w:val="left" w:pos="426"/>
        </w:tabs>
        <w:autoSpaceDE w:val="0"/>
        <w:autoSpaceDN w:val="0"/>
        <w:adjustRightInd w:val="0"/>
        <w:spacing w:after="0" w:line="240" w:lineRule="auto"/>
        <w:ind w:left="0" w:right="51" w:firstLine="0"/>
        <w:jc w:val="both"/>
        <w:rPr>
          <w:rFonts w:ascii="Times New Roman" w:eastAsia="Times New Roman" w:hAnsi="Times New Roman" w:cs="Times New Roman"/>
          <w:sz w:val="28"/>
          <w:szCs w:val="28"/>
          <w:lang w:val="es-ES_tradnl" w:eastAsia="es-ES"/>
        </w:rPr>
      </w:pPr>
      <w:r w:rsidRPr="00D00D14">
        <w:rPr>
          <w:rFonts w:ascii="Times New Roman" w:eastAsia="Times New Roman" w:hAnsi="Times New Roman" w:cs="Times New Roman"/>
          <w:sz w:val="28"/>
          <w:szCs w:val="28"/>
          <w:lang w:val="es-ES_tradnl" w:eastAsia="es-ES"/>
        </w:rPr>
        <w:t>Según la demanda, la estructura de inhabilidad contenida en el artículo 33 crea tres escenarios que permiten que un contratista que ejerce funciones públicas financie campañas políticas. El primero es el que introduce el umbral del 2%, pues bajo esta</w:t>
      </w:r>
      <w:r w:rsidRPr="00D00D14">
        <w:rPr>
          <w:rFonts w:ascii="Times New Roman" w:eastAsia="Times New Roman" w:hAnsi="Times New Roman" w:cs="Times New Roman"/>
          <w:sz w:val="28"/>
          <w:szCs w:val="28"/>
          <w:lang w:val="es-ES_tradnl" w:eastAsia="es-ES"/>
        </w:rPr>
        <w:t xml:space="preserve"> regla un contratista puede aportar sumas importantes sin incurrir en inhabilidad, siempre que no exceda dicho límite. El demandante afirma que esta cifra carece de toda justificación constitucional, política, económica o jurídica, y constituye un umbral a</w:t>
      </w:r>
      <w:r w:rsidRPr="00D00D14">
        <w:rPr>
          <w:rFonts w:ascii="Times New Roman" w:eastAsia="Times New Roman" w:hAnsi="Times New Roman" w:cs="Times New Roman"/>
          <w:sz w:val="28"/>
          <w:szCs w:val="28"/>
          <w:lang w:val="es-ES_tradnl" w:eastAsia="es-ES"/>
        </w:rPr>
        <w:t>rbitrario que no guarda relación con la finalidad de evitar conflictos de interés o la cooptación del proceso electoral. Además, muestra que, dadas las altas sumas autorizadas como topes de campaña, el 2% permite aportes millonarios accesibles únicamente p</w:t>
      </w:r>
      <w:r w:rsidRPr="00D00D14">
        <w:rPr>
          <w:rFonts w:ascii="Times New Roman" w:eastAsia="Times New Roman" w:hAnsi="Times New Roman" w:cs="Times New Roman"/>
          <w:sz w:val="28"/>
          <w:szCs w:val="28"/>
          <w:lang w:val="es-ES_tradnl" w:eastAsia="es-ES"/>
        </w:rPr>
        <w:t>ara sectores económicos privilegiados, lo que produce un incentivo para que quienes ejecutan funciones públicas mediante contratos estatales realicen aportes significativos sin restricción, contraviniendo la prohibición absoluta del artículo 110.</w:t>
      </w:r>
    </w:p>
    <w:p w:rsidR="008F4D0B" w:rsidRPr="00D00D14" w:rsidRDefault="00D00D14" w:rsidP="009B30FB">
      <w:pPr>
        <w:pStyle w:val="Prrafodelista"/>
        <w:tabs>
          <w:tab w:val="left" w:pos="284"/>
          <w:tab w:val="left" w:pos="426"/>
        </w:tabs>
        <w:autoSpaceDE w:val="0"/>
        <w:autoSpaceDN w:val="0"/>
        <w:adjustRightInd w:val="0"/>
        <w:spacing w:after="0" w:line="240" w:lineRule="auto"/>
        <w:ind w:left="0" w:right="51"/>
        <w:jc w:val="both"/>
        <w:rPr>
          <w:rFonts w:ascii="Times New Roman" w:eastAsia="Times New Roman" w:hAnsi="Times New Roman" w:cs="Times New Roman"/>
          <w:sz w:val="28"/>
          <w:szCs w:val="28"/>
          <w:lang w:val="es-ES_tradnl" w:eastAsia="es-ES"/>
        </w:rPr>
      </w:pPr>
    </w:p>
    <w:p w:rsidR="008F4D0B" w:rsidRPr="00D00D14" w:rsidRDefault="00D00D14" w:rsidP="009B30FB">
      <w:pPr>
        <w:pStyle w:val="Prrafodelista"/>
        <w:numPr>
          <w:ilvl w:val="0"/>
          <w:numId w:val="2"/>
        </w:numPr>
        <w:tabs>
          <w:tab w:val="left" w:pos="284"/>
          <w:tab w:val="left" w:pos="426"/>
        </w:tabs>
        <w:autoSpaceDE w:val="0"/>
        <w:autoSpaceDN w:val="0"/>
        <w:adjustRightInd w:val="0"/>
        <w:spacing w:after="0" w:line="240" w:lineRule="auto"/>
        <w:ind w:left="0" w:right="51" w:firstLine="0"/>
        <w:jc w:val="both"/>
        <w:rPr>
          <w:rFonts w:ascii="Times New Roman" w:eastAsia="Times New Roman" w:hAnsi="Times New Roman" w:cs="Times New Roman"/>
          <w:sz w:val="28"/>
          <w:szCs w:val="28"/>
          <w:lang w:val="es-ES_tradnl" w:eastAsia="es-ES"/>
        </w:rPr>
      </w:pPr>
      <w:r w:rsidRPr="00D00D14">
        <w:rPr>
          <w:rFonts w:ascii="Times New Roman" w:eastAsia="Times New Roman" w:hAnsi="Times New Roman" w:cs="Times New Roman"/>
          <w:sz w:val="28"/>
          <w:szCs w:val="28"/>
          <w:lang w:val="es-ES_tradnl" w:eastAsia="es-ES"/>
        </w:rPr>
        <w:t>El segun</w:t>
      </w:r>
      <w:r w:rsidRPr="00D00D14">
        <w:rPr>
          <w:rFonts w:ascii="Times New Roman" w:eastAsia="Times New Roman" w:hAnsi="Times New Roman" w:cs="Times New Roman"/>
          <w:sz w:val="28"/>
          <w:szCs w:val="28"/>
          <w:lang w:val="es-ES_tradnl" w:eastAsia="es-ES"/>
        </w:rPr>
        <w:t>do escenario deriva de la expresión que excluye de la inhabilidad los contratos de prestación de servicios profesionales. El actor afirma que los contratistas de prestación de servicios son una de las principales figuras a través de las cuales los particul</w:t>
      </w:r>
      <w:r w:rsidRPr="00D00D14">
        <w:rPr>
          <w:rFonts w:ascii="Times New Roman" w:eastAsia="Times New Roman" w:hAnsi="Times New Roman" w:cs="Times New Roman"/>
          <w:sz w:val="28"/>
          <w:szCs w:val="28"/>
          <w:lang w:val="es-ES_tradnl" w:eastAsia="es-ES"/>
        </w:rPr>
        <w:t>ares desempeñan funciones públicas en Colombia. Por tanto, permitir que estos contratistas financien campañas mientras ejecutan funciones públicas viola frontalmente la prohibición constitucional, pues la excepción transforma la regla del artículo 110 en l</w:t>
      </w:r>
      <w:r w:rsidRPr="00D00D14">
        <w:rPr>
          <w:rFonts w:ascii="Times New Roman" w:eastAsia="Times New Roman" w:hAnsi="Times New Roman" w:cs="Times New Roman"/>
          <w:sz w:val="28"/>
          <w:szCs w:val="28"/>
          <w:lang w:val="es-ES_tradnl" w:eastAsia="es-ES"/>
        </w:rPr>
        <w:t>etra muerta. A su juicio, la excepción es injustificada, amplia y desnaturaliza la prohibición constitucional, produciendo un incentivo directo al intercambio de aportes por futuros contratos o beneficios administrativos, lo cual amplifica los riesgos de c</w:t>
      </w:r>
      <w:r w:rsidRPr="00D00D14">
        <w:rPr>
          <w:rFonts w:ascii="Times New Roman" w:eastAsia="Times New Roman" w:hAnsi="Times New Roman" w:cs="Times New Roman"/>
          <w:sz w:val="28"/>
          <w:szCs w:val="28"/>
          <w:lang w:val="es-ES_tradnl" w:eastAsia="es-ES"/>
        </w:rPr>
        <w:t>orrupción, captura institucional y conflictos de interés.</w:t>
      </w:r>
    </w:p>
    <w:p w:rsidR="008F4D0B" w:rsidRPr="00D00D14" w:rsidRDefault="00D00D14" w:rsidP="009B30FB">
      <w:pPr>
        <w:pStyle w:val="Prrafodelista"/>
        <w:spacing w:after="0" w:line="240" w:lineRule="auto"/>
        <w:ind w:left="0"/>
        <w:rPr>
          <w:rFonts w:ascii="Times New Roman" w:eastAsia="Times New Roman" w:hAnsi="Times New Roman" w:cs="Times New Roman"/>
          <w:sz w:val="28"/>
          <w:szCs w:val="28"/>
          <w:lang w:val="es-ES_tradnl" w:eastAsia="es-ES"/>
        </w:rPr>
      </w:pPr>
    </w:p>
    <w:p w:rsidR="008F4D0B" w:rsidRPr="00D00D14" w:rsidRDefault="00D00D14" w:rsidP="009B30FB">
      <w:pPr>
        <w:pStyle w:val="Prrafodelista"/>
        <w:numPr>
          <w:ilvl w:val="0"/>
          <w:numId w:val="2"/>
        </w:numPr>
        <w:tabs>
          <w:tab w:val="left" w:pos="284"/>
          <w:tab w:val="left" w:pos="426"/>
        </w:tabs>
        <w:autoSpaceDE w:val="0"/>
        <w:autoSpaceDN w:val="0"/>
        <w:adjustRightInd w:val="0"/>
        <w:spacing w:after="0" w:line="240" w:lineRule="auto"/>
        <w:ind w:left="0" w:right="51" w:firstLine="0"/>
        <w:jc w:val="both"/>
        <w:rPr>
          <w:rFonts w:ascii="Times New Roman" w:eastAsia="Times New Roman" w:hAnsi="Times New Roman" w:cs="Times New Roman"/>
          <w:sz w:val="28"/>
          <w:szCs w:val="28"/>
          <w:lang w:val="es-ES_tradnl" w:eastAsia="es-ES"/>
        </w:rPr>
      </w:pPr>
      <w:r w:rsidRPr="00D00D14">
        <w:rPr>
          <w:rFonts w:ascii="Times New Roman" w:eastAsia="Times New Roman" w:hAnsi="Times New Roman" w:cs="Times New Roman"/>
          <w:sz w:val="28"/>
          <w:szCs w:val="28"/>
          <w:lang w:val="es-ES_tradnl" w:eastAsia="es-ES"/>
        </w:rPr>
        <w:t xml:space="preserve">El tercer aspecto relacionado con el artículo 33 </w:t>
      </w:r>
      <w:r w:rsidRPr="00D00D14">
        <w:rPr>
          <w:rFonts w:ascii="Times New Roman" w:eastAsia="Times New Roman" w:hAnsi="Times New Roman" w:cs="Times New Roman"/>
          <w:sz w:val="28"/>
          <w:szCs w:val="28"/>
          <w:lang w:val="es-ES_tradnl" w:eastAsia="es-ES"/>
        </w:rPr>
        <w:t>-</w:t>
      </w:r>
      <w:r w:rsidRPr="00D00D14">
        <w:rPr>
          <w:rFonts w:ascii="Times New Roman" w:eastAsia="Times New Roman" w:hAnsi="Times New Roman" w:cs="Times New Roman"/>
          <w:sz w:val="28"/>
          <w:szCs w:val="28"/>
          <w:lang w:val="es-ES_tradnl" w:eastAsia="es-ES"/>
        </w:rPr>
        <w:t>aunque aplicado paralelamente al análisis general de las normas que permiten financiación por parte de contratistas</w:t>
      </w:r>
      <w:r w:rsidRPr="00D00D14">
        <w:rPr>
          <w:rFonts w:ascii="Times New Roman" w:eastAsia="Times New Roman" w:hAnsi="Times New Roman" w:cs="Times New Roman"/>
          <w:sz w:val="28"/>
          <w:szCs w:val="28"/>
          <w:lang w:val="es-ES_tradnl" w:eastAsia="es-ES"/>
        </w:rPr>
        <w:t>-</w:t>
      </w:r>
      <w:r w:rsidRPr="00D00D14">
        <w:rPr>
          <w:rFonts w:ascii="Times New Roman" w:eastAsia="Times New Roman" w:hAnsi="Times New Roman" w:cs="Times New Roman"/>
          <w:sz w:val="28"/>
          <w:szCs w:val="28"/>
          <w:lang w:val="es-ES_tradnl" w:eastAsia="es-ES"/>
        </w:rPr>
        <w:t xml:space="preserve"> es que la estructura normativa</w:t>
      </w:r>
      <w:r w:rsidRPr="00D00D14">
        <w:rPr>
          <w:rFonts w:ascii="Times New Roman" w:eastAsia="Times New Roman" w:hAnsi="Times New Roman" w:cs="Times New Roman"/>
          <w:sz w:val="28"/>
          <w:szCs w:val="28"/>
          <w:lang w:val="es-ES_tradnl" w:eastAsia="es-ES"/>
        </w:rPr>
        <w:t xml:space="preserve"> hace prácticamente inaplicable la prohibición constitucional. En criterio del demandante, la conjunción del umbral del 2% y de la excepción para contratos de prestación de servicios crea un sistema que habilita en la práctica que contratistas del Estado f</w:t>
      </w:r>
      <w:r w:rsidRPr="00D00D14">
        <w:rPr>
          <w:rFonts w:ascii="Times New Roman" w:eastAsia="Times New Roman" w:hAnsi="Times New Roman" w:cs="Times New Roman"/>
          <w:sz w:val="28"/>
          <w:szCs w:val="28"/>
          <w:lang w:val="es-ES_tradnl" w:eastAsia="es-ES"/>
        </w:rPr>
        <w:t>inancien campañas políticas sin consecuencias reales, anulando el contenido del artículo 110. Sostiene que esto contraría el fin constitucional de garantizar la transparencia, prevenir la cooptación del poder público y preservar la imparcialidad de quienes</w:t>
      </w:r>
      <w:r w:rsidRPr="00D00D14">
        <w:rPr>
          <w:rFonts w:ascii="Times New Roman" w:eastAsia="Times New Roman" w:hAnsi="Times New Roman" w:cs="Times New Roman"/>
          <w:sz w:val="28"/>
          <w:szCs w:val="28"/>
          <w:lang w:val="es-ES_tradnl" w:eastAsia="es-ES"/>
        </w:rPr>
        <w:t xml:space="preserve"> ejercen funciones públicas.</w:t>
      </w:r>
    </w:p>
    <w:p w:rsidR="008F4D0B" w:rsidRPr="00D00D14" w:rsidRDefault="00D00D14" w:rsidP="009B30FB">
      <w:pPr>
        <w:pStyle w:val="Prrafodelista"/>
        <w:spacing w:after="0" w:line="240" w:lineRule="auto"/>
        <w:ind w:left="0"/>
        <w:rPr>
          <w:rFonts w:ascii="Times New Roman" w:eastAsia="Times New Roman" w:hAnsi="Times New Roman" w:cs="Times New Roman"/>
          <w:sz w:val="28"/>
          <w:szCs w:val="28"/>
          <w:lang w:val="es-ES_tradnl" w:eastAsia="es-ES"/>
        </w:rPr>
      </w:pPr>
    </w:p>
    <w:p w:rsidR="008F4D0B" w:rsidRPr="00D00D14" w:rsidRDefault="00D00D14" w:rsidP="009B30FB">
      <w:pPr>
        <w:pStyle w:val="Prrafodelista"/>
        <w:numPr>
          <w:ilvl w:val="0"/>
          <w:numId w:val="2"/>
        </w:numPr>
        <w:tabs>
          <w:tab w:val="left" w:pos="284"/>
          <w:tab w:val="left" w:pos="426"/>
        </w:tabs>
        <w:autoSpaceDE w:val="0"/>
        <w:autoSpaceDN w:val="0"/>
        <w:adjustRightInd w:val="0"/>
        <w:spacing w:after="0" w:line="240" w:lineRule="auto"/>
        <w:ind w:left="0" w:right="51" w:firstLine="0"/>
        <w:jc w:val="both"/>
        <w:rPr>
          <w:rFonts w:ascii="Times New Roman" w:hAnsi="Times New Roman" w:cs="Times New Roman"/>
          <w:sz w:val="28"/>
          <w:szCs w:val="28"/>
          <w:shd w:val="clear" w:color="auto" w:fill="FFFFFF"/>
        </w:rPr>
      </w:pPr>
      <w:r w:rsidRPr="00D00D14">
        <w:rPr>
          <w:rFonts w:ascii="Times New Roman" w:eastAsia="Times New Roman" w:hAnsi="Times New Roman" w:cs="Times New Roman"/>
          <w:sz w:val="28"/>
          <w:szCs w:val="28"/>
          <w:lang w:val="es-ES_tradnl" w:eastAsia="es-ES"/>
        </w:rPr>
        <w:t xml:space="preserve">De igual manera, al aplicar un test estricto de razonabilidad, el actor sostiene que las excepciones creadas por el legislador no son conducentes ni necesarias para garantizar la financiación privada de la política y resultan </w:t>
      </w:r>
      <w:r w:rsidRPr="00D00D14">
        <w:rPr>
          <w:rFonts w:ascii="Times New Roman" w:eastAsia="Times New Roman" w:hAnsi="Times New Roman" w:cs="Times New Roman"/>
          <w:sz w:val="28"/>
          <w:szCs w:val="28"/>
          <w:lang w:val="es-ES_tradnl" w:eastAsia="es-ES"/>
        </w:rPr>
        <w:t>manifiestamente desproporcionadas, pues sacrifican la protección constitucional contra la interferencia de quienes ejercen funciones públicas en la financiación electoral. No son excepciones objetivas ni justificadas, y desvirtúan la prohibición constituci</w:t>
      </w:r>
      <w:r w:rsidRPr="00D00D14">
        <w:rPr>
          <w:rFonts w:ascii="Times New Roman" w:eastAsia="Times New Roman" w:hAnsi="Times New Roman" w:cs="Times New Roman"/>
          <w:sz w:val="28"/>
          <w:szCs w:val="28"/>
          <w:lang w:val="es-ES_tradnl" w:eastAsia="es-ES"/>
        </w:rPr>
        <w:t xml:space="preserve">onal. Por ello, concluye que las expresiones acusadas del artículo 33 deben declararse inexequibles por permitir un mecanismo de evasión permanente del artículo 110, al habilitar que contratistas que ejercen funciones públicas financien campañas políticas </w:t>
      </w:r>
      <w:r w:rsidRPr="00D00D14">
        <w:rPr>
          <w:rFonts w:ascii="Times New Roman" w:eastAsia="Times New Roman" w:hAnsi="Times New Roman" w:cs="Times New Roman"/>
          <w:sz w:val="28"/>
          <w:szCs w:val="28"/>
          <w:lang w:val="es-ES_tradnl" w:eastAsia="es-ES"/>
        </w:rPr>
        <w:t>sin restricción.</w:t>
      </w:r>
    </w:p>
    <w:p w:rsidR="008F4D0B" w:rsidRPr="00D00D14" w:rsidRDefault="00D00D14" w:rsidP="009B30FB">
      <w:pPr>
        <w:pStyle w:val="Prrafodelista"/>
        <w:spacing w:after="0" w:line="240" w:lineRule="auto"/>
        <w:ind w:left="0"/>
        <w:rPr>
          <w:rFonts w:ascii="Times New Roman" w:hAnsi="Times New Roman" w:cs="Times New Roman"/>
          <w:sz w:val="28"/>
          <w:szCs w:val="28"/>
          <w:shd w:val="clear" w:color="auto" w:fill="FFFFFF"/>
        </w:rPr>
      </w:pPr>
    </w:p>
    <w:p w:rsidR="008F4D0B" w:rsidRPr="00D00D14" w:rsidRDefault="00D00D14" w:rsidP="009B30FB">
      <w:pPr>
        <w:pStyle w:val="Prrafodelista"/>
        <w:numPr>
          <w:ilvl w:val="0"/>
          <w:numId w:val="2"/>
        </w:numPr>
        <w:tabs>
          <w:tab w:val="left" w:pos="284"/>
          <w:tab w:val="left" w:pos="426"/>
        </w:tabs>
        <w:autoSpaceDE w:val="0"/>
        <w:autoSpaceDN w:val="0"/>
        <w:adjustRightInd w:val="0"/>
        <w:spacing w:after="0" w:line="240" w:lineRule="auto"/>
        <w:ind w:left="0" w:right="51" w:firstLine="0"/>
        <w:jc w:val="both"/>
        <w:rPr>
          <w:rFonts w:ascii="Times New Roman" w:hAnsi="Times New Roman" w:cs="Times New Roman"/>
          <w:sz w:val="28"/>
          <w:szCs w:val="28"/>
          <w:shd w:val="clear" w:color="auto" w:fill="FFFFFF"/>
        </w:rPr>
      </w:pPr>
      <w:r w:rsidRPr="00D00D14">
        <w:rPr>
          <w:rFonts w:ascii="Times New Roman" w:hAnsi="Times New Roman" w:cs="Times New Roman"/>
          <w:sz w:val="28"/>
          <w:szCs w:val="28"/>
          <w:shd w:val="clear" w:color="auto" w:fill="FFFFFF"/>
        </w:rPr>
        <w:t xml:space="preserve">En ese sentido, el demandante sostiene que la financiación política en Colombia opera bajo un sistema mixto en el que concurren recursos estatales y aportes de particulares, modelo que </w:t>
      </w:r>
      <w:r w:rsidRPr="00D00D14">
        <w:rPr>
          <w:rFonts w:ascii="Times New Roman" w:hAnsi="Times New Roman" w:cs="Times New Roman"/>
          <w:sz w:val="28"/>
          <w:szCs w:val="28"/>
          <w:shd w:val="clear" w:color="auto" w:fill="FFFFFF"/>
        </w:rPr>
        <w:t>-</w:t>
      </w:r>
      <w:r w:rsidRPr="00D00D14">
        <w:rPr>
          <w:rFonts w:ascii="Times New Roman" w:hAnsi="Times New Roman" w:cs="Times New Roman"/>
          <w:sz w:val="28"/>
          <w:szCs w:val="28"/>
          <w:shd w:val="clear" w:color="auto" w:fill="FFFFFF"/>
        </w:rPr>
        <w:t xml:space="preserve">según expuso la Corte en las sentencias citadas </w:t>
      </w:r>
      <w:r w:rsidRPr="00D00D14">
        <w:rPr>
          <w:rFonts w:ascii="Times New Roman" w:hAnsi="Times New Roman" w:cs="Times New Roman"/>
          <w:sz w:val="28"/>
          <w:szCs w:val="28"/>
          <w:shd w:val="clear" w:color="auto" w:fill="FFFFFF"/>
        </w:rPr>
        <w:t>dentro de la demanda</w:t>
      </w:r>
      <w:r w:rsidRPr="00D00D14">
        <w:rPr>
          <w:rFonts w:ascii="Times New Roman" w:hAnsi="Times New Roman" w:cs="Times New Roman"/>
          <w:sz w:val="28"/>
          <w:szCs w:val="28"/>
          <w:shd w:val="clear" w:color="auto" w:fill="FFFFFF"/>
        </w:rPr>
        <w:t>-</w:t>
      </w:r>
      <w:r w:rsidRPr="00D00D14">
        <w:rPr>
          <w:rFonts w:ascii="Times New Roman" w:hAnsi="Times New Roman" w:cs="Times New Roman"/>
          <w:sz w:val="28"/>
          <w:szCs w:val="28"/>
          <w:shd w:val="clear" w:color="auto" w:fill="FFFFFF"/>
        </w:rPr>
        <w:t xml:space="preserve"> fue diseñado para equilibrar la participación política y prevenir la influencia indebida de intereses económicos. Sin embargo, afirma que las excepciones demandadas desbordan ese propósito, pues facilitan que aportantes privados con v</w:t>
      </w:r>
      <w:r w:rsidRPr="00D00D14">
        <w:rPr>
          <w:rFonts w:ascii="Times New Roman" w:hAnsi="Times New Roman" w:cs="Times New Roman"/>
          <w:sz w:val="28"/>
          <w:szCs w:val="28"/>
          <w:shd w:val="clear" w:color="auto" w:fill="FFFFFF"/>
        </w:rPr>
        <w:t xml:space="preserve">ínculos contractuales con el Estado terminen incidiendo en la actividad pública del candidato beneficiado, reproduciendo los riesgos que el constituyente quiso evitar. </w:t>
      </w:r>
    </w:p>
    <w:p w:rsidR="008F4D0B" w:rsidRPr="00D00D14" w:rsidRDefault="00D00D14" w:rsidP="009B30FB">
      <w:pPr>
        <w:pStyle w:val="Prrafodelista"/>
        <w:spacing w:after="0" w:line="240" w:lineRule="auto"/>
        <w:ind w:left="0"/>
        <w:rPr>
          <w:rFonts w:ascii="Times New Roman" w:hAnsi="Times New Roman" w:cs="Times New Roman"/>
          <w:sz w:val="28"/>
          <w:szCs w:val="28"/>
          <w:shd w:val="clear" w:color="auto" w:fill="FFFFFF"/>
        </w:rPr>
      </w:pPr>
    </w:p>
    <w:p w:rsidR="008F4D0B" w:rsidRPr="00D00D14" w:rsidRDefault="00D00D14" w:rsidP="009B30FB">
      <w:pPr>
        <w:pStyle w:val="Prrafodelista"/>
        <w:numPr>
          <w:ilvl w:val="0"/>
          <w:numId w:val="2"/>
        </w:numPr>
        <w:tabs>
          <w:tab w:val="left" w:pos="284"/>
          <w:tab w:val="left" w:pos="426"/>
        </w:tabs>
        <w:autoSpaceDE w:val="0"/>
        <w:autoSpaceDN w:val="0"/>
        <w:adjustRightInd w:val="0"/>
        <w:spacing w:after="0" w:line="240" w:lineRule="auto"/>
        <w:ind w:left="0" w:right="51" w:firstLine="0"/>
        <w:jc w:val="both"/>
        <w:rPr>
          <w:rFonts w:ascii="Times New Roman" w:hAnsi="Times New Roman" w:cs="Times New Roman"/>
          <w:sz w:val="28"/>
          <w:szCs w:val="28"/>
          <w:shd w:val="clear" w:color="auto" w:fill="FFFFFF"/>
        </w:rPr>
      </w:pPr>
      <w:r w:rsidRPr="00D00D14">
        <w:rPr>
          <w:rFonts w:ascii="Times New Roman" w:hAnsi="Times New Roman" w:cs="Times New Roman"/>
          <w:sz w:val="28"/>
          <w:szCs w:val="28"/>
          <w:shd w:val="clear" w:color="auto" w:fill="FFFFFF"/>
        </w:rPr>
        <w:t xml:space="preserve">En este contexto, señala que la declaratoria de inconstitucionalidad de las </w:t>
      </w:r>
      <w:r w:rsidRPr="00D00D14">
        <w:rPr>
          <w:rFonts w:ascii="Times New Roman" w:hAnsi="Times New Roman" w:cs="Times New Roman"/>
          <w:sz w:val="28"/>
          <w:szCs w:val="28"/>
          <w:shd w:val="clear" w:color="auto" w:fill="FFFFFF"/>
        </w:rPr>
        <w:t>expresiones acusadas protegería el patrimonio público, garantizaría estándares de transparencia y evitaría la cooptación del proceso electoral por actores económicos. Añade que, como ocurrió en el desarrollo jurisprudencial sobre conflicto de intereses, la</w:t>
      </w:r>
      <w:r w:rsidRPr="00D00D14">
        <w:rPr>
          <w:rFonts w:ascii="Times New Roman" w:hAnsi="Times New Roman" w:cs="Times New Roman"/>
          <w:sz w:val="28"/>
          <w:szCs w:val="28"/>
          <w:shd w:val="clear" w:color="auto" w:fill="FFFFFF"/>
        </w:rPr>
        <w:t xml:space="preserve"> Corte debería exhortar al Congreso a expedir una nueva regulación sobre financiación política que responda a las dinámicas actuales de la financiación privada, establezca excepciones realmente orientadas a proteger la democracia y fortalezca los mecanismo</w:t>
      </w:r>
      <w:r w:rsidRPr="00D00D14">
        <w:rPr>
          <w:rFonts w:ascii="Times New Roman" w:hAnsi="Times New Roman" w:cs="Times New Roman"/>
          <w:sz w:val="28"/>
          <w:szCs w:val="28"/>
          <w:shd w:val="clear" w:color="auto" w:fill="FFFFFF"/>
        </w:rPr>
        <w:t>s de control de las prohibiciones constitucionales.</w:t>
      </w:r>
    </w:p>
    <w:p w:rsidR="008F4D0B" w:rsidRPr="00D00D14" w:rsidRDefault="00D00D14" w:rsidP="009B30FB">
      <w:pPr>
        <w:pStyle w:val="Prrafodelista"/>
        <w:spacing w:after="0" w:line="240" w:lineRule="auto"/>
        <w:ind w:left="0"/>
        <w:rPr>
          <w:rFonts w:ascii="Times New Roman" w:hAnsi="Times New Roman" w:cs="Times New Roman"/>
          <w:sz w:val="28"/>
          <w:szCs w:val="28"/>
          <w:shd w:val="clear" w:color="auto" w:fill="FFFFFF"/>
        </w:rPr>
      </w:pPr>
    </w:p>
    <w:p w:rsidR="008F4D0B" w:rsidRPr="00D00D14" w:rsidRDefault="00D00D14" w:rsidP="009B30FB">
      <w:pPr>
        <w:pStyle w:val="Prrafodelista"/>
        <w:numPr>
          <w:ilvl w:val="0"/>
          <w:numId w:val="2"/>
        </w:numPr>
        <w:tabs>
          <w:tab w:val="left" w:pos="284"/>
          <w:tab w:val="left" w:pos="426"/>
        </w:tabs>
        <w:autoSpaceDE w:val="0"/>
        <w:autoSpaceDN w:val="0"/>
        <w:adjustRightInd w:val="0"/>
        <w:spacing w:after="0" w:line="240" w:lineRule="auto"/>
        <w:ind w:left="0" w:right="51" w:firstLine="0"/>
        <w:jc w:val="both"/>
        <w:rPr>
          <w:rFonts w:ascii="Times New Roman" w:eastAsia="Times New Roman" w:hAnsi="Times New Roman" w:cs="Times New Roman"/>
          <w:sz w:val="28"/>
          <w:szCs w:val="28"/>
          <w:lang w:val="es-ES_tradnl" w:eastAsia="es-ES"/>
        </w:rPr>
      </w:pPr>
      <w:r w:rsidRPr="00D00D14">
        <w:rPr>
          <w:rFonts w:ascii="Times New Roman" w:hAnsi="Times New Roman" w:cs="Times New Roman"/>
          <w:sz w:val="28"/>
          <w:szCs w:val="28"/>
          <w:shd w:val="clear" w:color="auto" w:fill="FFFFFF"/>
        </w:rPr>
        <w:t>De manera subsidiaria, el actor pide que se declare la exequibilidad condicionada del artículo 33 de la Ley 1778 de 2016, bajo el entendido que ningún contratista que ejerza función pública pueda realiza</w:t>
      </w:r>
      <w:r w:rsidRPr="00D00D14">
        <w:rPr>
          <w:rFonts w:ascii="Times New Roman" w:hAnsi="Times New Roman" w:cs="Times New Roman"/>
          <w:sz w:val="28"/>
          <w:szCs w:val="28"/>
          <w:shd w:val="clear" w:color="auto" w:fill="FFFFFF"/>
        </w:rPr>
        <w:t>r aportes a campañas políticas ni celebrar contratos con el Estado, conforme a lo dispuesto en el artículo 110 de la Constitución.</w:t>
      </w:r>
    </w:p>
    <w:p w:rsidR="008F4D0B" w:rsidRPr="00D00D14" w:rsidRDefault="00D00D14" w:rsidP="009B30FB">
      <w:pPr>
        <w:pStyle w:val="Prrafodelista"/>
        <w:spacing w:after="0" w:line="240" w:lineRule="auto"/>
        <w:ind w:left="0"/>
        <w:rPr>
          <w:rFonts w:ascii="Times New Roman" w:eastAsia="Times New Roman" w:hAnsi="Times New Roman" w:cs="Times New Roman"/>
          <w:sz w:val="28"/>
          <w:szCs w:val="28"/>
          <w:lang w:val="es-ES_tradnl" w:eastAsia="es-ES"/>
        </w:rPr>
      </w:pPr>
    </w:p>
    <w:p w:rsidR="008F4D0B" w:rsidRPr="00D00D14" w:rsidRDefault="00D00D14" w:rsidP="00642DBA">
      <w:pPr>
        <w:pStyle w:val="Prrafodelista"/>
        <w:numPr>
          <w:ilvl w:val="0"/>
          <w:numId w:val="3"/>
        </w:numPr>
        <w:tabs>
          <w:tab w:val="left" w:pos="284"/>
          <w:tab w:val="left" w:pos="426"/>
          <w:tab w:val="left" w:pos="851"/>
          <w:tab w:val="left" w:pos="1134"/>
          <w:tab w:val="left" w:pos="1276"/>
        </w:tabs>
        <w:overflowPunct w:val="0"/>
        <w:autoSpaceDE w:val="0"/>
        <w:autoSpaceDN w:val="0"/>
        <w:adjustRightInd w:val="0"/>
        <w:spacing w:after="0" w:line="240" w:lineRule="auto"/>
        <w:ind w:left="0" w:firstLine="0"/>
        <w:textAlignment w:val="baseline"/>
        <w:rPr>
          <w:rFonts w:ascii="Times New Roman" w:eastAsia="Times New Roman" w:hAnsi="Times New Roman" w:cs="Times New Roman"/>
          <w:b/>
          <w:sz w:val="28"/>
          <w:szCs w:val="28"/>
          <w:lang w:val="es-ES_tradnl" w:eastAsia="es-MX"/>
        </w:rPr>
      </w:pPr>
      <w:r w:rsidRPr="00D00D14">
        <w:rPr>
          <w:rFonts w:ascii="Times New Roman" w:eastAsia="Times New Roman" w:hAnsi="Times New Roman" w:cs="Times New Roman"/>
          <w:b/>
          <w:sz w:val="28"/>
          <w:szCs w:val="28"/>
          <w:lang w:val="es-ES_tradnl" w:eastAsia="es-MX"/>
        </w:rPr>
        <w:t>I</w:t>
      </w:r>
      <w:r w:rsidRPr="00D00D14">
        <w:rPr>
          <w:rFonts w:ascii="Times New Roman" w:eastAsia="Times New Roman" w:hAnsi="Times New Roman" w:cs="Times New Roman"/>
          <w:b/>
          <w:sz w:val="28"/>
          <w:szCs w:val="28"/>
          <w:lang w:val="es-ES_tradnl" w:eastAsia="es-MX"/>
        </w:rPr>
        <w:t>ntervenciones</w:t>
      </w:r>
      <w:r w:rsidRPr="00D00D14">
        <w:rPr>
          <w:rFonts w:ascii="Times New Roman" w:eastAsia="Times New Roman" w:hAnsi="Times New Roman" w:cs="Times New Roman"/>
          <w:b/>
          <w:sz w:val="28"/>
          <w:szCs w:val="28"/>
          <w:lang w:val="es-ES_tradnl" w:eastAsia="es-MX"/>
        </w:rPr>
        <w:t xml:space="preserve"> </w:t>
      </w:r>
    </w:p>
    <w:p w:rsidR="008F4D0B" w:rsidRPr="00D00D14" w:rsidRDefault="00D00D14" w:rsidP="009B30FB">
      <w:pPr>
        <w:pStyle w:val="Prrafodelista"/>
        <w:tabs>
          <w:tab w:val="left" w:pos="284"/>
        </w:tabs>
        <w:overflowPunct w:val="0"/>
        <w:autoSpaceDE w:val="0"/>
        <w:autoSpaceDN w:val="0"/>
        <w:adjustRightInd w:val="0"/>
        <w:spacing w:after="0" w:line="240" w:lineRule="auto"/>
        <w:ind w:left="0"/>
        <w:jc w:val="both"/>
        <w:textAlignment w:val="baseline"/>
        <w:rPr>
          <w:rFonts w:ascii="Times New Roman" w:eastAsia="Times New Roman" w:hAnsi="Times New Roman" w:cs="Times New Roman"/>
          <w:b/>
          <w:sz w:val="28"/>
          <w:szCs w:val="28"/>
          <w:lang w:val="es-ES_tradnl" w:eastAsia="es-MX"/>
        </w:rPr>
      </w:pPr>
    </w:p>
    <w:p w:rsidR="008F4D0B"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Vencido el término de fijación en lista el 29 de octubre de 2025, y en cumplimiento de lo ordenado en el </w:t>
      </w:r>
      <w:r w:rsidRPr="00D00D14">
        <w:rPr>
          <w:rFonts w:ascii="Times New Roman" w:eastAsia="Times New Roman" w:hAnsi="Times New Roman" w:cs="Times New Roman"/>
          <w:bCs/>
          <w:sz w:val="28"/>
          <w:szCs w:val="28"/>
          <w:lang w:val="es-ES_tradnl" w:eastAsia="es-MX"/>
        </w:rPr>
        <w:t>auto admisorio del 2 de septiembre de 2025, a través de la Secretaría General de esta Corporación se recibieron las siguientes intervenciones:</w:t>
      </w:r>
    </w:p>
    <w:p w:rsidR="00D50C72" w:rsidRPr="00D00D14" w:rsidRDefault="00D00D14" w:rsidP="009B30FB">
      <w:pPr>
        <w:pStyle w:val="Prrafodelista"/>
        <w:tabs>
          <w:tab w:val="left" w:pos="284"/>
          <w:tab w:val="left" w:pos="426"/>
        </w:tabs>
        <w:overflowPunct w:val="0"/>
        <w:autoSpaceDE w:val="0"/>
        <w:autoSpaceDN w:val="0"/>
        <w:adjustRightInd w:val="0"/>
        <w:spacing w:after="0" w:line="240" w:lineRule="auto"/>
        <w:ind w:left="0"/>
        <w:jc w:val="both"/>
        <w:textAlignment w:val="baseline"/>
        <w:rPr>
          <w:rFonts w:ascii="Times New Roman" w:eastAsia="Times New Roman" w:hAnsi="Times New Roman" w:cs="Times New Roman"/>
          <w:bCs/>
          <w:sz w:val="28"/>
          <w:szCs w:val="28"/>
          <w:lang w:val="es-ES_tradnl" w:eastAsia="es-MX"/>
        </w:rPr>
      </w:pPr>
    </w:p>
    <w:p w:rsidR="00D50C72" w:rsidRPr="00D00D14" w:rsidRDefault="00D00D14" w:rsidP="00642DBA">
      <w:pPr>
        <w:pStyle w:val="Prrafodelista"/>
        <w:numPr>
          <w:ilvl w:val="1"/>
          <w:numId w:val="3"/>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
          <w:sz w:val="28"/>
          <w:szCs w:val="28"/>
          <w:lang w:val="es-ES_tradnl" w:eastAsia="es-MX"/>
        </w:rPr>
      </w:pPr>
      <w:r w:rsidRPr="00D00D14">
        <w:rPr>
          <w:rFonts w:ascii="Times New Roman" w:eastAsia="Times New Roman" w:hAnsi="Times New Roman" w:cs="Times New Roman"/>
          <w:b/>
          <w:sz w:val="28"/>
          <w:szCs w:val="28"/>
          <w:lang w:val="es-ES_tradnl" w:eastAsia="es-MX"/>
        </w:rPr>
        <w:t>Transparencia por Colombia</w:t>
      </w:r>
    </w:p>
    <w:p w:rsidR="00D50C72" w:rsidRPr="00D00D14" w:rsidRDefault="00D00D14" w:rsidP="009B30FB">
      <w:pPr>
        <w:pStyle w:val="Prrafodelista"/>
        <w:tabs>
          <w:tab w:val="left" w:pos="284"/>
          <w:tab w:val="left" w:pos="426"/>
        </w:tabs>
        <w:overflowPunct w:val="0"/>
        <w:autoSpaceDE w:val="0"/>
        <w:autoSpaceDN w:val="0"/>
        <w:adjustRightInd w:val="0"/>
        <w:spacing w:after="0" w:line="240" w:lineRule="auto"/>
        <w:ind w:left="0"/>
        <w:jc w:val="both"/>
        <w:textAlignment w:val="baseline"/>
        <w:rPr>
          <w:rFonts w:ascii="Times New Roman" w:eastAsia="Times New Roman" w:hAnsi="Times New Roman" w:cs="Times New Roman"/>
          <w:bCs/>
          <w:sz w:val="28"/>
          <w:szCs w:val="28"/>
          <w:lang w:val="es-ES_tradnl" w:eastAsia="es-MX"/>
        </w:rPr>
      </w:pPr>
    </w:p>
    <w:p w:rsidR="00D46879"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Analiza el sistema mixto de financiación de campañas y los riesgos de incidencia indebida de intereses privados. Describe patrones como la dependencia de recursos privados, el bajo uso de anticipos estatales, la ausencia de límites a aportes propios y vací</w:t>
      </w:r>
      <w:r w:rsidRPr="00D00D14">
        <w:rPr>
          <w:rFonts w:ascii="Times New Roman" w:eastAsia="Times New Roman" w:hAnsi="Times New Roman" w:cs="Times New Roman"/>
          <w:bCs/>
          <w:sz w:val="28"/>
          <w:szCs w:val="28"/>
          <w:lang w:val="es-ES_tradnl" w:eastAsia="es-MX"/>
        </w:rPr>
        <w:t xml:space="preserve">os normativos que facilitan inequidades y riesgos de captura. </w:t>
      </w:r>
    </w:p>
    <w:p w:rsidR="00D46879" w:rsidRPr="00D00D14" w:rsidRDefault="00D00D14" w:rsidP="009B30FB">
      <w:pPr>
        <w:pStyle w:val="Prrafodelista"/>
        <w:tabs>
          <w:tab w:val="left" w:pos="284"/>
          <w:tab w:val="left" w:pos="426"/>
        </w:tabs>
        <w:overflowPunct w:val="0"/>
        <w:autoSpaceDE w:val="0"/>
        <w:autoSpaceDN w:val="0"/>
        <w:adjustRightInd w:val="0"/>
        <w:spacing w:after="0" w:line="240" w:lineRule="auto"/>
        <w:ind w:left="0"/>
        <w:jc w:val="both"/>
        <w:textAlignment w:val="baseline"/>
        <w:rPr>
          <w:rFonts w:ascii="Times New Roman" w:eastAsia="Times New Roman" w:hAnsi="Times New Roman" w:cs="Times New Roman"/>
          <w:bCs/>
          <w:sz w:val="28"/>
          <w:szCs w:val="28"/>
          <w:lang w:val="es-ES_tradnl" w:eastAsia="es-MX"/>
        </w:rPr>
      </w:pPr>
    </w:p>
    <w:p w:rsidR="00D46879"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Sobre el umbral del 2%, expone que se inscribe dentro de la libertad de configuración legislativa, que puede incluso resultar restrictivo en ciertos municipios, y que eliminarlo podría afectar</w:t>
      </w:r>
      <w:r w:rsidRPr="00D00D14">
        <w:rPr>
          <w:rFonts w:ascii="Times New Roman" w:eastAsia="Times New Roman" w:hAnsi="Times New Roman" w:cs="Times New Roman"/>
          <w:bCs/>
          <w:sz w:val="28"/>
          <w:szCs w:val="28"/>
          <w:lang w:val="es-ES_tradnl" w:eastAsia="es-MX"/>
        </w:rPr>
        <w:t xml:space="preserve"> derechos como el trabajo y la participación. </w:t>
      </w:r>
    </w:p>
    <w:p w:rsidR="00D46879" w:rsidRPr="00D00D14" w:rsidRDefault="00D00D14" w:rsidP="009B30FB">
      <w:pPr>
        <w:pStyle w:val="Prrafodelista"/>
        <w:spacing w:after="0" w:line="240" w:lineRule="auto"/>
        <w:ind w:left="0"/>
        <w:rPr>
          <w:rFonts w:ascii="Times New Roman" w:eastAsia="Times New Roman" w:hAnsi="Times New Roman" w:cs="Times New Roman"/>
          <w:bCs/>
          <w:sz w:val="28"/>
          <w:szCs w:val="28"/>
          <w:lang w:val="es-ES_tradnl" w:eastAsia="es-MX"/>
        </w:rPr>
      </w:pPr>
    </w:p>
    <w:p w:rsidR="00D46879"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Indica que ya existen sanciones por superar dicho límite, por lo que considera que las dificultades detectadas son más prácticas que constitucionales. En cuanto a la excepción para contratos de prestación de </w:t>
      </w:r>
      <w:r w:rsidRPr="00D00D14">
        <w:rPr>
          <w:rFonts w:ascii="Times New Roman" w:eastAsia="Times New Roman" w:hAnsi="Times New Roman" w:cs="Times New Roman"/>
          <w:bCs/>
          <w:sz w:val="28"/>
          <w:szCs w:val="28"/>
          <w:lang w:val="es-ES_tradnl" w:eastAsia="es-MX"/>
        </w:rPr>
        <w:t xml:space="preserve">servicios, coincide con el demandante en que limita el alcance del artículo 110 superior. </w:t>
      </w:r>
    </w:p>
    <w:p w:rsidR="00D46879" w:rsidRPr="00D00D14" w:rsidRDefault="00D00D14" w:rsidP="009B30FB">
      <w:pPr>
        <w:pStyle w:val="Prrafodelista"/>
        <w:spacing w:after="0" w:line="240" w:lineRule="auto"/>
        <w:ind w:left="0"/>
        <w:rPr>
          <w:rFonts w:ascii="Times New Roman" w:eastAsia="Times New Roman" w:hAnsi="Times New Roman" w:cs="Times New Roman"/>
          <w:bCs/>
          <w:sz w:val="28"/>
          <w:szCs w:val="28"/>
          <w:lang w:val="es-ES_tradnl" w:eastAsia="es-MX"/>
        </w:rPr>
      </w:pPr>
    </w:p>
    <w:p w:rsidR="00D46879"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Transparencia por Colombia expone que la excepción prevista en el artículo 33 de la Ley 1778 de 2016, para los contratos de prestación de servicios profesionales re</w:t>
      </w:r>
      <w:r w:rsidRPr="00D00D14">
        <w:rPr>
          <w:rFonts w:ascii="Times New Roman" w:eastAsia="Times New Roman" w:hAnsi="Times New Roman" w:cs="Times New Roman"/>
          <w:bCs/>
          <w:sz w:val="28"/>
          <w:szCs w:val="28"/>
          <w:lang w:val="es-ES_tradnl" w:eastAsia="es-MX"/>
        </w:rPr>
        <w:t xml:space="preserve">stringe de manera indebida el alcance del artículo 110 de la Constitución, en tanto la prohibición allí consagrada recae sobre “quienes desempeñen funciones públicas” y no únicamente sobre los funcionarios en sentido estricto. </w:t>
      </w:r>
    </w:p>
    <w:p w:rsidR="00D46879" w:rsidRPr="00D00D14" w:rsidRDefault="00D00D14" w:rsidP="009B30FB">
      <w:pPr>
        <w:pStyle w:val="Prrafodelista"/>
        <w:spacing w:after="0" w:line="240" w:lineRule="auto"/>
        <w:ind w:left="0"/>
        <w:rPr>
          <w:rFonts w:ascii="Times New Roman" w:eastAsia="Times New Roman" w:hAnsi="Times New Roman" w:cs="Times New Roman"/>
          <w:bCs/>
          <w:sz w:val="28"/>
          <w:szCs w:val="28"/>
          <w:lang w:val="es-ES_tradnl" w:eastAsia="es-MX"/>
        </w:rPr>
      </w:pPr>
    </w:p>
    <w:p w:rsidR="00D46879"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A partir de lo establecido </w:t>
      </w:r>
      <w:r w:rsidRPr="00D00D14">
        <w:rPr>
          <w:rFonts w:ascii="Times New Roman" w:eastAsia="Times New Roman" w:hAnsi="Times New Roman" w:cs="Times New Roman"/>
          <w:bCs/>
          <w:sz w:val="28"/>
          <w:szCs w:val="28"/>
          <w:lang w:val="es-ES_tradnl" w:eastAsia="es-MX"/>
        </w:rPr>
        <w:t>en la Sentencia C‑614 de 2009, precisa que los contratistas vinculados mediante contratos de prestación de servicios profesionales o de apoyo a la gestión ejecutan tareas que integran la función pública, razón por la cual deben estar sometidos a la misma p</w:t>
      </w:r>
      <w:r w:rsidRPr="00D00D14">
        <w:rPr>
          <w:rFonts w:ascii="Times New Roman" w:eastAsia="Times New Roman" w:hAnsi="Times New Roman" w:cs="Times New Roman"/>
          <w:bCs/>
          <w:sz w:val="28"/>
          <w:szCs w:val="28"/>
          <w:lang w:val="es-ES_tradnl" w:eastAsia="es-MX"/>
        </w:rPr>
        <w:t xml:space="preserve">rohibición constitucional. </w:t>
      </w:r>
    </w:p>
    <w:p w:rsidR="00D46879" w:rsidRPr="00D00D14" w:rsidRDefault="00D00D14" w:rsidP="009B30FB">
      <w:pPr>
        <w:pStyle w:val="Prrafodelista"/>
        <w:spacing w:after="0" w:line="240" w:lineRule="auto"/>
        <w:ind w:left="0"/>
        <w:rPr>
          <w:rFonts w:ascii="Times New Roman" w:eastAsia="Times New Roman" w:hAnsi="Times New Roman" w:cs="Times New Roman"/>
          <w:bCs/>
          <w:sz w:val="28"/>
          <w:szCs w:val="28"/>
          <w:lang w:val="es-ES_tradnl" w:eastAsia="es-MX"/>
        </w:rPr>
      </w:pPr>
    </w:p>
    <w:p w:rsidR="00791A91"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En esa medida, sostiene</w:t>
      </w:r>
      <w:r w:rsidRPr="00D00D14">
        <w:rPr>
          <w:rFonts w:ascii="Times New Roman" w:eastAsia="Times New Roman" w:hAnsi="Times New Roman" w:cs="Times New Roman"/>
          <w:bCs/>
          <w:sz w:val="28"/>
          <w:szCs w:val="28"/>
          <w:lang w:val="es-ES_tradnl" w:eastAsia="es-MX"/>
        </w:rPr>
        <w:t xml:space="preserve"> que</w:t>
      </w:r>
      <w:r w:rsidRPr="00D00D14">
        <w:rPr>
          <w:rFonts w:ascii="Times New Roman" w:eastAsia="Times New Roman" w:hAnsi="Times New Roman" w:cs="Times New Roman"/>
          <w:bCs/>
          <w:sz w:val="28"/>
          <w:szCs w:val="28"/>
          <w:lang w:val="es-ES_tradnl" w:eastAsia="es-MX"/>
        </w:rPr>
        <w:t>, mantener la excepción contenida en el artículo 33 genera un tratamiento desigual y carente de justificación constitucional, puesto que permite que personas que cumplen funciones públicas a través de dichas modalidades contractuales financien campañas pol</w:t>
      </w:r>
      <w:r w:rsidRPr="00D00D14">
        <w:rPr>
          <w:rFonts w:ascii="Times New Roman" w:eastAsia="Times New Roman" w:hAnsi="Times New Roman" w:cs="Times New Roman"/>
          <w:bCs/>
          <w:sz w:val="28"/>
          <w:szCs w:val="28"/>
          <w:lang w:val="es-ES_tradnl" w:eastAsia="es-MX"/>
        </w:rPr>
        <w:t xml:space="preserve">íticas sin quedar sometidas a las restricciones que el artículo 110 superior impone a quienes ejercen función pública. </w:t>
      </w:r>
    </w:p>
    <w:p w:rsidR="00791A91" w:rsidRPr="00D00D14" w:rsidRDefault="00D00D14" w:rsidP="009B30FB">
      <w:pPr>
        <w:pStyle w:val="Prrafodelista"/>
        <w:spacing w:after="0" w:line="240" w:lineRule="auto"/>
        <w:ind w:left="0"/>
        <w:rPr>
          <w:rFonts w:ascii="Times New Roman" w:eastAsia="Times New Roman" w:hAnsi="Times New Roman" w:cs="Times New Roman"/>
          <w:bCs/>
          <w:sz w:val="28"/>
          <w:szCs w:val="28"/>
          <w:lang w:val="es-ES_tradnl" w:eastAsia="es-MX"/>
        </w:rPr>
      </w:pPr>
    </w:p>
    <w:p w:rsidR="00052567"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Señala que la evidencia empírica muestra que la prestación de servicios es la principal modalidad mediante la cual financiadores pasan </w:t>
      </w:r>
      <w:r w:rsidRPr="00D00D14">
        <w:rPr>
          <w:rFonts w:ascii="Times New Roman" w:eastAsia="Times New Roman" w:hAnsi="Times New Roman" w:cs="Times New Roman"/>
          <w:bCs/>
          <w:sz w:val="28"/>
          <w:szCs w:val="28"/>
          <w:lang w:val="es-ES_tradnl" w:eastAsia="es-MX"/>
        </w:rPr>
        <w:t>luego a contratar con el Estado, lo que hace inoperante la prohibición constitucional. Concluye que eliminar el límite del 2% no es necesario, pero sí lo es eliminar la excepción para contratos de prestación de servicios, debido a que genera un tratamiento</w:t>
      </w:r>
      <w:r w:rsidRPr="00D00D14">
        <w:rPr>
          <w:rFonts w:ascii="Times New Roman" w:eastAsia="Times New Roman" w:hAnsi="Times New Roman" w:cs="Times New Roman"/>
          <w:bCs/>
          <w:sz w:val="28"/>
          <w:szCs w:val="28"/>
          <w:lang w:val="es-ES_tradnl" w:eastAsia="es-MX"/>
        </w:rPr>
        <w:t xml:space="preserve"> desigual y facilita la captura del Estado.</w:t>
      </w:r>
    </w:p>
    <w:p w:rsidR="00791A91" w:rsidRPr="00D00D14" w:rsidRDefault="00D00D14" w:rsidP="009B30FB">
      <w:pPr>
        <w:spacing w:after="0" w:line="240" w:lineRule="auto"/>
        <w:rPr>
          <w:rFonts w:ascii="Times New Roman" w:eastAsia="Times New Roman" w:hAnsi="Times New Roman" w:cs="Times New Roman"/>
          <w:bCs/>
          <w:sz w:val="28"/>
          <w:szCs w:val="28"/>
          <w:lang w:val="es-ES_tradnl" w:eastAsia="es-MX"/>
        </w:rPr>
      </w:pPr>
    </w:p>
    <w:p w:rsidR="00791A91" w:rsidRPr="00D00D14" w:rsidRDefault="00D00D14" w:rsidP="009B30FB">
      <w:pPr>
        <w:pStyle w:val="Prrafodelista"/>
        <w:numPr>
          <w:ilvl w:val="1"/>
          <w:numId w:val="3"/>
        </w:numPr>
        <w:tabs>
          <w:tab w:val="left" w:pos="567"/>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
          <w:bCs/>
          <w:sz w:val="28"/>
          <w:szCs w:val="28"/>
        </w:rPr>
        <w:t>Semillero de Gobierno y Compra Pública – Universidad de La Sabana</w:t>
      </w:r>
    </w:p>
    <w:p w:rsidR="00791A91" w:rsidRPr="00D00D14" w:rsidRDefault="00D00D14" w:rsidP="009B30FB">
      <w:pPr>
        <w:spacing w:after="0" w:line="240" w:lineRule="auto"/>
        <w:rPr>
          <w:rFonts w:ascii="Times New Roman" w:eastAsia="Times New Roman" w:hAnsi="Times New Roman" w:cs="Times New Roman"/>
          <w:bCs/>
          <w:sz w:val="28"/>
          <w:szCs w:val="28"/>
          <w:lang w:val="es-ES_tradnl" w:eastAsia="es-MX"/>
        </w:rPr>
      </w:pPr>
    </w:p>
    <w:p w:rsidR="007D0418"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Señala que la demanda es apta porque los cargos cumplen con los requisitos de especificidad, suficiencia y pertinencia. El </w:t>
      </w:r>
      <w:r w:rsidRPr="00D00D14">
        <w:rPr>
          <w:rFonts w:ascii="Times New Roman" w:eastAsia="Times New Roman" w:hAnsi="Times New Roman" w:cs="Times New Roman"/>
          <w:bCs/>
          <w:sz w:val="28"/>
          <w:szCs w:val="28"/>
          <w:lang w:val="es-ES_tradnl" w:eastAsia="es-MX"/>
        </w:rPr>
        <w:t>interviniente</w:t>
      </w:r>
      <w:r w:rsidRPr="00D00D14">
        <w:rPr>
          <w:rFonts w:ascii="Times New Roman" w:eastAsia="Times New Roman" w:hAnsi="Times New Roman" w:cs="Times New Roman"/>
          <w:bCs/>
          <w:sz w:val="28"/>
          <w:szCs w:val="28"/>
          <w:lang w:val="es-ES_tradnl" w:eastAsia="es-MX"/>
        </w:rPr>
        <w:t xml:space="preserve"> explica</w:t>
      </w:r>
      <w:r w:rsidRPr="00D00D14">
        <w:rPr>
          <w:rFonts w:ascii="Times New Roman" w:eastAsia="Times New Roman" w:hAnsi="Times New Roman" w:cs="Times New Roman"/>
          <w:bCs/>
          <w:sz w:val="28"/>
          <w:szCs w:val="28"/>
          <w:lang w:val="es-ES_tradnl" w:eastAsia="es-MX"/>
        </w:rPr>
        <w:t xml:space="preserve"> que el artículo 110 de la Constitución establece una prohibición general para todas las personas que ejercen funciones públicas, sin importar el tipo de vínculo, de realizar contribuciones o inducir a otros a contribuir a campañas políticas, bajo sancione</w:t>
      </w:r>
      <w:r w:rsidRPr="00D00D14">
        <w:rPr>
          <w:rFonts w:ascii="Times New Roman" w:eastAsia="Times New Roman" w:hAnsi="Times New Roman" w:cs="Times New Roman"/>
          <w:bCs/>
          <w:sz w:val="28"/>
          <w:szCs w:val="28"/>
          <w:lang w:val="es-ES_tradnl" w:eastAsia="es-MX"/>
        </w:rPr>
        <w:t xml:space="preserve">s como la remoción o la pérdida de investidura. </w:t>
      </w:r>
    </w:p>
    <w:p w:rsidR="007D0418" w:rsidRPr="00D00D14" w:rsidRDefault="00D00D14" w:rsidP="009B30FB">
      <w:pPr>
        <w:pStyle w:val="Prrafodelista"/>
        <w:tabs>
          <w:tab w:val="left" w:pos="284"/>
          <w:tab w:val="left" w:pos="426"/>
        </w:tabs>
        <w:overflowPunct w:val="0"/>
        <w:autoSpaceDE w:val="0"/>
        <w:autoSpaceDN w:val="0"/>
        <w:adjustRightInd w:val="0"/>
        <w:spacing w:after="0" w:line="240" w:lineRule="auto"/>
        <w:ind w:left="0"/>
        <w:jc w:val="both"/>
        <w:textAlignment w:val="baseline"/>
        <w:rPr>
          <w:rFonts w:ascii="Times New Roman" w:eastAsia="Times New Roman" w:hAnsi="Times New Roman" w:cs="Times New Roman"/>
          <w:bCs/>
          <w:sz w:val="28"/>
          <w:szCs w:val="28"/>
          <w:lang w:val="es-ES_tradnl" w:eastAsia="es-MX"/>
        </w:rPr>
      </w:pPr>
    </w:p>
    <w:p w:rsidR="007D0418"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Asimismo, señala que, aunque el legislador puede establecer excepciones, estas deben ser razonables, necesarias y proporcionales para no desnaturalizar la finalidad constitucional, conforme lo ha reiterado </w:t>
      </w:r>
      <w:r w:rsidRPr="00D00D14">
        <w:rPr>
          <w:rFonts w:ascii="Times New Roman" w:eastAsia="Times New Roman" w:hAnsi="Times New Roman" w:cs="Times New Roman"/>
          <w:bCs/>
          <w:sz w:val="28"/>
          <w:szCs w:val="28"/>
          <w:lang w:val="es-ES_tradnl" w:eastAsia="es-MX"/>
        </w:rPr>
        <w:t xml:space="preserve">la Corte Constitucional, especialmente en la Sentencia C‑386 de 2022, en la cual se recordó que cualquier medida exceptiva en materia de inhabilidades debe ser justificada, idónea y proporcional. </w:t>
      </w:r>
    </w:p>
    <w:p w:rsidR="007D0418" w:rsidRPr="00D00D14" w:rsidRDefault="00D00D14" w:rsidP="009B30FB">
      <w:pPr>
        <w:pStyle w:val="Prrafodelista"/>
        <w:spacing w:after="0" w:line="240" w:lineRule="auto"/>
        <w:ind w:left="0"/>
        <w:rPr>
          <w:rFonts w:ascii="Times New Roman" w:eastAsia="Times New Roman" w:hAnsi="Times New Roman" w:cs="Times New Roman"/>
          <w:bCs/>
          <w:sz w:val="28"/>
          <w:szCs w:val="28"/>
          <w:lang w:val="es-ES_tradnl" w:eastAsia="es-MX"/>
        </w:rPr>
      </w:pPr>
    </w:p>
    <w:p w:rsidR="004B2C6E"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Luego, </w:t>
      </w:r>
      <w:r w:rsidRPr="00D00D14">
        <w:rPr>
          <w:rFonts w:ascii="Times New Roman" w:eastAsia="Times New Roman" w:hAnsi="Times New Roman" w:cs="Times New Roman"/>
          <w:bCs/>
          <w:sz w:val="28"/>
          <w:szCs w:val="28"/>
          <w:lang w:val="es-ES_tradnl" w:eastAsia="es-MX"/>
        </w:rPr>
        <w:t>la universidad</w:t>
      </w:r>
      <w:r w:rsidRPr="00D00D14">
        <w:rPr>
          <w:rFonts w:ascii="Times New Roman" w:eastAsia="Times New Roman" w:hAnsi="Times New Roman" w:cs="Times New Roman"/>
          <w:bCs/>
          <w:sz w:val="28"/>
          <w:szCs w:val="28"/>
          <w:lang w:val="es-ES_tradnl" w:eastAsia="es-MX"/>
        </w:rPr>
        <w:t xml:space="preserve"> expone los riesgos de permitir que contratistas que ejercen funciones públicas financien campañas políticas. Con base en la Sentencia C‑490 de 2011, sostiene que muchas donaciones buscan condicionar la actividad pública del candidato electo y que, por ell</w:t>
      </w:r>
      <w:r w:rsidRPr="00D00D14">
        <w:rPr>
          <w:rFonts w:ascii="Times New Roman" w:eastAsia="Times New Roman" w:hAnsi="Times New Roman" w:cs="Times New Roman"/>
          <w:bCs/>
          <w:sz w:val="28"/>
          <w:szCs w:val="28"/>
          <w:lang w:val="es-ES_tradnl" w:eastAsia="es-MX"/>
        </w:rPr>
        <w:t>o, permitir la financiación proveniente de contratistas genera riesgos directos de clientelismo, captura de lo público y cooptación de las decisiones estatales por intereses privados. Este análisis se refuerza con la referencia al Acto Legislativo 02 de 20</w:t>
      </w:r>
      <w:r w:rsidRPr="00D00D14">
        <w:rPr>
          <w:rFonts w:ascii="Times New Roman" w:eastAsia="Times New Roman" w:hAnsi="Times New Roman" w:cs="Times New Roman"/>
          <w:bCs/>
          <w:sz w:val="28"/>
          <w:szCs w:val="28"/>
          <w:lang w:val="es-ES_tradnl" w:eastAsia="es-MX"/>
        </w:rPr>
        <w:t xml:space="preserve">15, que fortaleció las restricciones en materia de contratación estatal, exigiendo interpretaciones más estrictas del artículo 110. </w:t>
      </w:r>
    </w:p>
    <w:p w:rsidR="004B2C6E" w:rsidRPr="00D00D14" w:rsidRDefault="00D00D14" w:rsidP="009B30FB">
      <w:pPr>
        <w:pStyle w:val="Prrafodelista"/>
        <w:spacing w:after="0" w:line="240" w:lineRule="auto"/>
        <w:ind w:left="0"/>
        <w:rPr>
          <w:rFonts w:ascii="Times New Roman" w:eastAsia="Times New Roman" w:hAnsi="Times New Roman" w:cs="Times New Roman"/>
          <w:bCs/>
          <w:sz w:val="28"/>
          <w:szCs w:val="28"/>
          <w:lang w:val="es-ES_tradnl" w:eastAsia="es-MX"/>
        </w:rPr>
      </w:pPr>
    </w:p>
    <w:p w:rsidR="008E5FDE"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Finalmente, el texto concluye que las expresiones demandadas del artículo 33 de la Ley 1778 de 2016 son inconstitucionales</w:t>
      </w:r>
      <w:r w:rsidRPr="00D00D14">
        <w:rPr>
          <w:rFonts w:ascii="Times New Roman" w:eastAsia="Times New Roman" w:hAnsi="Times New Roman" w:cs="Times New Roman"/>
          <w:bCs/>
          <w:sz w:val="28"/>
          <w:szCs w:val="28"/>
          <w:lang w:val="es-ES_tradnl" w:eastAsia="es-MX"/>
        </w:rPr>
        <w:t>, puesto que tanto el umbral del 2 % de financiación por debajo del cual no opera la inhabilidad como la exclusión para los contratos de prestación de servicios profesionales vacían de contenido la prohibición del artículo 110. Estas excepciones permiten q</w:t>
      </w:r>
      <w:r w:rsidRPr="00D00D14">
        <w:rPr>
          <w:rFonts w:ascii="Times New Roman" w:eastAsia="Times New Roman" w:hAnsi="Times New Roman" w:cs="Times New Roman"/>
          <w:bCs/>
          <w:sz w:val="28"/>
          <w:szCs w:val="28"/>
          <w:lang w:val="es-ES_tradnl" w:eastAsia="es-MX"/>
        </w:rPr>
        <w:t xml:space="preserve">ue personas que ejercen funciones públicas financien campañas políticas sin justificación objetiva o proporcional, lo que constituye un privilegio injustificado. </w:t>
      </w:r>
    </w:p>
    <w:p w:rsidR="008E5FDE" w:rsidRPr="00D00D14" w:rsidRDefault="00D00D14" w:rsidP="009B30FB">
      <w:pPr>
        <w:pStyle w:val="Prrafodelista"/>
        <w:spacing w:after="0" w:line="240" w:lineRule="auto"/>
        <w:ind w:left="0"/>
        <w:rPr>
          <w:rFonts w:ascii="Times New Roman" w:eastAsia="Times New Roman" w:hAnsi="Times New Roman" w:cs="Times New Roman"/>
          <w:bCs/>
          <w:sz w:val="28"/>
          <w:szCs w:val="28"/>
          <w:lang w:val="es-ES_tradnl" w:eastAsia="es-MX"/>
        </w:rPr>
      </w:pPr>
    </w:p>
    <w:p w:rsidR="007455FA"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En consecuencia, </w:t>
      </w:r>
      <w:r w:rsidRPr="00D00D14">
        <w:rPr>
          <w:rFonts w:ascii="Times New Roman" w:eastAsia="Times New Roman" w:hAnsi="Times New Roman" w:cs="Times New Roman"/>
          <w:bCs/>
          <w:sz w:val="28"/>
          <w:szCs w:val="28"/>
          <w:lang w:val="es-ES_tradnl" w:eastAsia="es-MX"/>
        </w:rPr>
        <w:t>el inter</w:t>
      </w:r>
      <w:r w:rsidRPr="00D00D14">
        <w:rPr>
          <w:rFonts w:ascii="Times New Roman" w:eastAsia="Times New Roman" w:hAnsi="Times New Roman" w:cs="Times New Roman"/>
          <w:bCs/>
          <w:sz w:val="28"/>
          <w:szCs w:val="28"/>
          <w:lang w:val="es-ES_tradnl" w:eastAsia="es-MX"/>
        </w:rPr>
        <w:t xml:space="preserve">viniente </w:t>
      </w:r>
      <w:r w:rsidRPr="00D00D14">
        <w:rPr>
          <w:rFonts w:ascii="Times New Roman" w:eastAsia="Times New Roman" w:hAnsi="Times New Roman" w:cs="Times New Roman"/>
          <w:bCs/>
          <w:sz w:val="28"/>
          <w:szCs w:val="28"/>
          <w:lang w:val="es-ES_tradnl" w:eastAsia="es-MX"/>
        </w:rPr>
        <w:t>considera que lo ajustado a la Constitución es que el carg</w:t>
      </w:r>
      <w:r w:rsidRPr="00D00D14">
        <w:rPr>
          <w:rFonts w:ascii="Times New Roman" w:eastAsia="Times New Roman" w:hAnsi="Times New Roman" w:cs="Times New Roman"/>
          <w:bCs/>
          <w:sz w:val="28"/>
          <w:szCs w:val="28"/>
          <w:lang w:val="es-ES_tradnl" w:eastAsia="es-MX"/>
        </w:rPr>
        <w:t>o prospere y se declaren inexequibles las expresiones demandadas, o subsidiariamente, que se condicione su exequibilidad bajo la regla de que ningún contratista que desempeñe funciones públicas pueda financiar campañas políticas.</w:t>
      </w:r>
    </w:p>
    <w:p w:rsidR="0058170F" w:rsidRPr="00D00D14" w:rsidRDefault="00D00D14" w:rsidP="009B30FB">
      <w:pPr>
        <w:spacing w:after="0" w:line="240" w:lineRule="auto"/>
        <w:rPr>
          <w:rFonts w:ascii="Times New Roman" w:eastAsia="Times New Roman" w:hAnsi="Times New Roman" w:cs="Times New Roman"/>
          <w:bCs/>
          <w:sz w:val="28"/>
          <w:szCs w:val="28"/>
          <w:lang w:val="es-ES_tradnl" w:eastAsia="es-MX"/>
        </w:rPr>
      </w:pPr>
    </w:p>
    <w:p w:rsidR="00362EF6" w:rsidRPr="00D00D14" w:rsidRDefault="00D00D14" w:rsidP="00430254">
      <w:pPr>
        <w:pStyle w:val="Prrafodelista"/>
        <w:numPr>
          <w:ilvl w:val="1"/>
          <w:numId w:val="3"/>
        </w:numPr>
        <w:tabs>
          <w:tab w:val="left" w:pos="567"/>
        </w:tabs>
        <w:spacing w:after="0" w:line="240" w:lineRule="auto"/>
        <w:ind w:left="0" w:firstLine="0"/>
        <w:jc w:val="both"/>
        <w:rPr>
          <w:rFonts w:ascii="Times New Roman" w:eastAsia="Times New Roman" w:hAnsi="Times New Roman" w:cs="Times New Roman"/>
          <w:b/>
          <w:sz w:val="28"/>
          <w:szCs w:val="28"/>
          <w:lang w:val="es-ES_tradnl" w:eastAsia="es-MX"/>
        </w:rPr>
      </w:pPr>
      <w:r w:rsidRPr="00D00D14">
        <w:rPr>
          <w:rFonts w:ascii="Times New Roman" w:eastAsia="Times New Roman" w:hAnsi="Times New Roman" w:cs="Times New Roman"/>
          <w:b/>
          <w:sz w:val="28"/>
          <w:szCs w:val="28"/>
          <w:lang w:val="es-ES_tradnl" w:eastAsia="es-MX"/>
        </w:rPr>
        <w:t>Universidad Libre</w:t>
      </w:r>
    </w:p>
    <w:p w:rsidR="00C11AE2" w:rsidRPr="00D00D14" w:rsidRDefault="00D00D14" w:rsidP="009B30FB">
      <w:pPr>
        <w:tabs>
          <w:tab w:val="num" w:pos="0"/>
          <w:tab w:val="left" w:pos="284"/>
          <w:tab w:val="left" w:pos="426"/>
        </w:tabs>
        <w:overflowPunct w:val="0"/>
        <w:autoSpaceDE w:val="0"/>
        <w:autoSpaceDN w:val="0"/>
        <w:adjustRightInd w:val="0"/>
        <w:spacing w:after="0" w:line="240" w:lineRule="auto"/>
        <w:jc w:val="both"/>
        <w:textAlignment w:val="baseline"/>
        <w:rPr>
          <w:rFonts w:ascii="Times New Roman" w:eastAsia="Times New Roman" w:hAnsi="Times New Roman" w:cs="Times New Roman"/>
          <w:bCs/>
          <w:sz w:val="28"/>
          <w:szCs w:val="28"/>
          <w:lang w:val="es-ES_tradnl" w:eastAsia="es-MX"/>
        </w:rPr>
      </w:pPr>
    </w:p>
    <w:p w:rsidR="00D83A92"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La Universidad Libre </w:t>
      </w:r>
      <w:r w:rsidRPr="00D00D14">
        <w:rPr>
          <w:rFonts w:ascii="Times New Roman" w:eastAsia="Times New Roman" w:hAnsi="Times New Roman" w:cs="Times New Roman"/>
          <w:bCs/>
          <w:sz w:val="28"/>
          <w:szCs w:val="28"/>
          <w:lang w:val="es-ES_tradnl" w:eastAsia="es-MX"/>
        </w:rPr>
        <w:t>s</w:t>
      </w:r>
      <w:r w:rsidRPr="00D00D14">
        <w:rPr>
          <w:rFonts w:ascii="Times New Roman" w:eastAsia="Times New Roman" w:hAnsi="Times New Roman" w:cs="Times New Roman"/>
          <w:bCs/>
          <w:sz w:val="28"/>
          <w:szCs w:val="28"/>
          <w:lang w:val="es-ES_tradnl" w:eastAsia="es-MX"/>
        </w:rPr>
        <w:t>eñala, en primer lugar</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 xml:space="preserve"> </w:t>
      </w:r>
      <w:r w:rsidRPr="00D00D14">
        <w:rPr>
          <w:rFonts w:ascii="Times New Roman" w:eastAsia="Times New Roman" w:hAnsi="Times New Roman" w:cs="Times New Roman"/>
          <w:bCs/>
          <w:sz w:val="28"/>
          <w:szCs w:val="28"/>
          <w:lang w:val="es-ES_tradnl" w:eastAsia="es-MX"/>
        </w:rPr>
        <w:t>que</w:t>
      </w:r>
      <w:r w:rsidRPr="00D00D14">
        <w:rPr>
          <w:rFonts w:ascii="Times New Roman" w:eastAsia="Times New Roman" w:hAnsi="Times New Roman" w:cs="Times New Roman"/>
          <w:bCs/>
          <w:sz w:val="28"/>
          <w:szCs w:val="28"/>
          <w:lang w:val="es-ES_tradnl" w:eastAsia="es-MX"/>
        </w:rPr>
        <w:t xml:space="preserve"> aunque la demanda</w:t>
      </w:r>
      <w:r w:rsidRPr="00D00D14">
        <w:rPr>
          <w:rFonts w:ascii="Times New Roman" w:eastAsia="Times New Roman" w:hAnsi="Times New Roman" w:cs="Times New Roman"/>
          <w:bCs/>
          <w:sz w:val="28"/>
          <w:szCs w:val="28"/>
          <w:lang w:val="es-ES_tradnl" w:eastAsia="es-MX"/>
        </w:rPr>
        <w:t xml:space="preserve"> fue rechazada</w:t>
      </w:r>
      <w:r w:rsidRPr="00D00D14">
        <w:rPr>
          <w:rFonts w:ascii="Times New Roman" w:eastAsia="Times New Roman" w:hAnsi="Times New Roman" w:cs="Times New Roman"/>
          <w:bCs/>
          <w:sz w:val="28"/>
          <w:szCs w:val="28"/>
          <w:lang w:val="es-ES_tradnl" w:eastAsia="es-MX"/>
        </w:rPr>
        <w:t xml:space="preserve"> respecto del numeral 7</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 xml:space="preserve"> del artículo 27 de la Ley 1475 de 2011, ello no impide que la Sala Plena asuma su examen de fondo. Explica que dicho control es posible porque, por un lado, </w:t>
      </w:r>
      <w:r w:rsidRPr="00D00D14">
        <w:rPr>
          <w:rFonts w:ascii="Times New Roman" w:eastAsia="Times New Roman" w:hAnsi="Times New Roman" w:cs="Times New Roman"/>
          <w:bCs/>
          <w:sz w:val="28"/>
          <w:szCs w:val="28"/>
          <w:lang w:val="es-ES_tradnl" w:eastAsia="es-MX"/>
        </w:rPr>
        <w:t>puede aplicarse la figura de</w:t>
      </w:r>
      <w:r w:rsidRPr="00D00D14">
        <w:rPr>
          <w:rFonts w:ascii="Times New Roman" w:eastAsia="Times New Roman" w:hAnsi="Times New Roman" w:cs="Times New Roman"/>
          <w:bCs/>
          <w:sz w:val="28"/>
          <w:szCs w:val="28"/>
          <w:lang w:val="es-ES_tradnl" w:eastAsia="es-MX"/>
        </w:rPr>
        <w:t xml:space="preserve"> </w:t>
      </w:r>
      <w:r w:rsidRPr="00D00D14">
        <w:rPr>
          <w:rFonts w:ascii="Times New Roman" w:eastAsia="Times New Roman" w:hAnsi="Times New Roman" w:cs="Times New Roman"/>
          <w:bCs/>
          <w:sz w:val="28"/>
          <w:szCs w:val="28"/>
          <w:lang w:val="es-ES_tradnl" w:eastAsia="es-MX"/>
        </w:rPr>
        <w:t xml:space="preserve"> la integración normativa, dado que la presunta inconstitucionalidad </w:t>
      </w:r>
      <w:r w:rsidRPr="00D00D14">
        <w:rPr>
          <w:rFonts w:ascii="Times New Roman" w:eastAsia="Times New Roman" w:hAnsi="Times New Roman" w:cs="Times New Roman"/>
          <w:bCs/>
          <w:sz w:val="28"/>
          <w:szCs w:val="28"/>
          <w:lang w:val="es-ES_tradnl" w:eastAsia="es-MX"/>
        </w:rPr>
        <w:t>identificada en el artículo 33 de la Ley 1778 de 2016 también se encuentra presente en el numeral 7</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 xml:space="preserve"> del artículo 27; y, por otro</w:t>
      </w:r>
      <w:r w:rsidRPr="00D00D14">
        <w:rPr>
          <w:rFonts w:ascii="Times New Roman" w:eastAsia="Times New Roman" w:hAnsi="Times New Roman" w:cs="Times New Roman"/>
          <w:bCs/>
          <w:sz w:val="28"/>
          <w:szCs w:val="28"/>
          <w:lang w:val="es-ES_tradnl" w:eastAsia="es-MX"/>
        </w:rPr>
        <w:t xml:space="preserve"> lado</w:t>
      </w:r>
      <w:r w:rsidRPr="00D00D14">
        <w:rPr>
          <w:rFonts w:ascii="Times New Roman" w:eastAsia="Times New Roman" w:hAnsi="Times New Roman" w:cs="Times New Roman"/>
          <w:bCs/>
          <w:sz w:val="28"/>
          <w:szCs w:val="28"/>
          <w:lang w:val="es-ES_tradnl" w:eastAsia="es-MX"/>
        </w:rPr>
        <w:t>, la Sentencia C‑490 de 2011 no agotó por completo el estudio del alcance del artículo 110 constitucional, especialmente e</w:t>
      </w:r>
      <w:r w:rsidRPr="00D00D14">
        <w:rPr>
          <w:rFonts w:ascii="Times New Roman" w:eastAsia="Times New Roman" w:hAnsi="Times New Roman" w:cs="Times New Roman"/>
          <w:bCs/>
          <w:sz w:val="28"/>
          <w:szCs w:val="28"/>
          <w:lang w:val="es-ES_tradnl" w:eastAsia="es-MX"/>
        </w:rPr>
        <w:t xml:space="preserve">n lo relativo a la inclusión de contratistas como sujetos que ejercen funciones públicas. En consecuencia, sostiene que no existe una cosa juzgada absoluta sino, en el mejor de los casos, relativa o aparente, lo que permite que la Sala Plena pueda reabrir </w:t>
      </w:r>
      <w:r w:rsidRPr="00D00D14">
        <w:rPr>
          <w:rFonts w:ascii="Times New Roman" w:eastAsia="Times New Roman" w:hAnsi="Times New Roman" w:cs="Times New Roman"/>
          <w:bCs/>
          <w:sz w:val="28"/>
          <w:szCs w:val="28"/>
          <w:lang w:val="es-ES_tradnl" w:eastAsia="es-MX"/>
        </w:rPr>
        <w:t>el análisis y pronunciarse de fondo sobre esta disposición estatutaria.</w:t>
      </w:r>
    </w:p>
    <w:p w:rsidR="00D83A92" w:rsidRPr="00D00D14" w:rsidRDefault="00D00D14" w:rsidP="009B30FB">
      <w:pPr>
        <w:pStyle w:val="Prrafodelista"/>
        <w:spacing w:after="0" w:line="240" w:lineRule="auto"/>
        <w:ind w:left="0"/>
        <w:rPr>
          <w:rFonts w:ascii="Times New Roman" w:eastAsia="Times New Roman" w:hAnsi="Times New Roman" w:cs="Times New Roman"/>
          <w:bCs/>
          <w:sz w:val="28"/>
          <w:szCs w:val="28"/>
          <w:lang w:val="es-ES_tradnl" w:eastAsia="es-MX"/>
        </w:rPr>
      </w:pPr>
    </w:p>
    <w:p w:rsidR="00A16C28"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Adicionalmente, la Universidad Libre afirma que los mismos argumentos formulados por el actor para cuestionar la constitucionalidad de las expresiones contenidas en el artículo 33 de </w:t>
      </w:r>
      <w:r w:rsidRPr="00D00D14">
        <w:rPr>
          <w:rFonts w:ascii="Times New Roman" w:eastAsia="Times New Roman" w:hAnsi="Times New Roman" w:cs="Times New Roman"/>
          <w:bCs/>
          <w:sz w:val="28"/>
          <w:szCs w:val="28"/>
          <w:lang w:val="es-ES_tradnl" w:eastAsia="es-MX"/>
        </w:rPr>
        <w:t>la Ley 1778 de 2016 resultan plenamente aplicables al numeral 7</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 xml:space="preserve"> del artículo 27 de la Ley 1475. En efecto, ambas normas permiten, aunque por vías distintas, que contratistas del Estado financien campañas políticas en contravía del artículo 110 de la Const</w:t>
      </w:r>
      <w:r w:rsidRPr="00D00D14">
        <w:rPr>
          <w:rFonts w:ascii="Times New Roman" w:eastAsia="Times New Roman" w:hAnsi="Times New Roman" w:cs="Times New Roman"/>
          <w:bCs/>
          <w:sz w:val="28"/>
          <w:szCs w:val="28"/>
          <w:lang w:val="es-ES_tradnl" w:eastAsia="es-MX"/>
        </w:rPr>
        <w:t>itución: mientras el artículo 33 establece el umbral del 2% y excluye de la inhabilidad a los contratos de prestación de servicios, el numeral 7</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 xml:space="preserve"> autoriza la financiación por parte de contratistas siempre que sus ingresos estatales del año anterior no supe</w:t>
      </w:r>
      <w:r w:rsidRPr="00D00D14">
        <w:rPr>
          <w:rFonts w:ascii="Times New Roman" w:eastAsia="Times New Roman" w:hAnsi="Times New Roman" w:cs="Times New Roman"/>
          <w:bCs/>
          <w:sz w:val="28"/>
          <w:szCs w:val="28"/>
          <w:lang w:val="es-ES_tradnl" w:eastAsia="es-MX"/>
        </w:rPr>
        <w:t xml:space="preserve">ren el 50%. </w:t>
      </w:r>
    </w:p>
    <w:p w:rsidR="00A16C28" w:rsidRPr="00D00D14" w:rsidRDefault="00D00D14" w:rsidP="009B30FB">
      <w:pPr>
        <w:pStyle w:val="Prrafodelista"/>
        <w:spacing w:after="0" w:line="240" w:lineRule="auto"/>
        <w:ind w:left="0"/>
        <w:rPr>
          <w:rFonts w:ascii="Times New Roman" w:eastAsia="Times New Roman" w:hAnsi="Times New Roman" w:cs="Times New Roman"/>
          <w:bCs/>
          <w:sz w:val="28"/>
          <w:szCs w:val="28"/>
          <w:lang w:val="es-ES_tradnl" w:eastAsia="es-MX"/>
        </w:rPr>
      </w:pPr>
    </w:p>
    <w:p w:rsidR="00D83A92"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Así, según el Observatorio, estas excepciones desnaturalizan la prohibición constitucional, facilitan la influencia indebida de intereses privados en la actividad pública y generan riesgos de cooptación y corrupción electoral. Por ello conclu</w:t>
      </w:r>
      <w:r w:rsidRPr="00D00D14">
        <w:rPr>
          <w:rFonts w:ascii="Times New Roman" w:eastAsia="Times New Roman" w:hAnsi="Times New Roman" w:cs="Times New Roman"/>
          <w:bCs/>
          <w:sz w:val="28"/>
          <w:szCs w:val="28"/>
          <w:lang w:val="es-ES_tradnl" w:eastAsia="es-MX"/>
        </w:rPr>
        <w:t>ye que ambas disposiciones comparten el mismo vicio de inconstitucionalidad.</w:t>
      </w:r>
    </w:p>
    <w:p w:rsidR="00A16C28" w:rsidRPr="00D00D14" w:rsidRDefault="00D00D14" w:rsidP="009B30FB">
      <w:pPr>
        <w:pStyle w:val="Prrafodelista"/>
        <w:spacing w:after="0" w:line="240" w:lineRule="auto"/>
        <w:ind w:left="0"/>
        <w:rPr>
          <w:rFonts w:ascii="Times New Roman" w:eastAsia="Times New Roman" w:hAnsi="Times New Roman" w:cs="Times New Roman"/>
          <w:bCs/>
          <w:sz w:val="28"/>
          <w:szCs w:val="28"/>
          <w:lang w:val="es-ES_tradnl" w:eastAsia="es-MX"/>
        </w:rPr>
      </w:pPr>
    </w:p>
    <w:p w:rsidR="00C11AE2"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Sostuvo que el legislador solo puede crear excepciones razonables y proporcionales y que, en este caso, las previstas —el umbral del 2% y la exclusión de los contratos de prestac</w:t>
      </w:r>
      <w:r w:rsidRPr="00D00D14">
        <w:rPr>
          <w:rFonts w:ascii="Times New Roman" w:eastAsia="Times New Roman" w:hAnsi="Times New Roman" w:cs="Times New Roman"/>
          <w:bCs/>
          <w:sz w:val="28"/>
          <w:szCs w:val="28"/>
          <w:lang w:val="es-ES_tradnl" w:eastAsia="es-MX"/>
        </w:rPr>
        <w:t>ión de servicios— terminan permitiendo que personas que ejercen funciones públicas financien campañas políticas, lo cual desnaturaliza la prohibición constitucional.</w:t>
      </w:r>
    </w:p>
    <w:p w:rsidR="00C11AE2" w:rsidRPr="00D00D14" w:rsidRDefault="00D00D14" w:rsidP="009B30FB">
      <w:pPr>
        <w:pStyle w:val="Prrafodelista"/>
        <w:tabs>
          <w:tab w:val="num" w:pos="0"/>
          <w:tab w:val="left" w:pos="284"/>
          <w:tab w:val="left" w:pos="426"/>
        </w:tabs>
        <w:overflowPunct w:val="0"/>
        <w:autoSpaceDE w:val="0"/>
        <w:autoSpaceDN w:val="0"/>
        <w:adjustRightInd w:val="0"/>
        <w:spacing w:after="0" w:line="240" w:lineRule="auto"/>
        <w:ind w:left="0"/>
        <w:jc w:val="both"/>
        <w:textAlignment w:val="baseline"/>
        <w:rPr>
          <w:rFonts w:ascii="Times New Roman" w:eastAsia="Times New Roman" w:hAnsi="Times New Roman" w:cs="Times New Roman"/>
          <w:bCs/>
          <w:sz w:val="28"/>
          <w:szCs w:val="28"/>
          <w:lang w:val="es-ES_tradnl" w:eastAsia="es-MX"/>
        </w:rPr>
      </w:pPr>
    </w:p>
    <w:p w:rsidR="00C11AE2"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En ese sentido, considera que el umbral del 2% resulta inocuo, puesto que la mayoría de </w:t>
      </w:r>
      <w:r w:rsidRPr="00D00D14">
        <w:rPr>
          <w:rFonts w:ascii="Times New Roman" w:eastAsia="Times New Roman" w:hAnsi="Times New Roman" w:cs="Times New Roman"/>
          <w:bCs/>
          <w:sz w:val="28"/>
          <w:szCs w:val="28"/>
          <w:lang w:val="es-ES_tradnl" w:eastAsia="es-MX"/>
        </w:rPr>
        <w:t>la población carece de capacidad económica para alcanzarlo. Esto, en la práctica, permite que contratistas financien campañas sin incurrir en la inhabilidad legal, generando riesgos de cooptación. Además, advierte que la exclusión de los contratos de prest</w:t>
      </w:r>
      <w:r w:rsidRPr="00D00D14">
        <w:rPr>
          <w:rFonts w:ascii="Times New Roman" w:eastAsia="Times New Roman" w:hAnsi="Times New Roman" w:cs="Times New Roman"/>
          <w:bCs/>
          <w:sz w:val="28"/>
          <w:szCs w:val="28"/>
          <w:lang w:val="es-ES_tradnl" w:eastAsia="es-MX"/>
        </w:rPr>
        <w:t>ación de servicios es incompatible con el hecho de que los contratistas pueden ejercer funciones públicas, tal como lo ha reconocido tanto la jurisprudencia como la ley disciplinaria.</w:t>
      </w:r>
    </w:p>
    <w:p w:rsidR="00C11AE2" w:rsidRPr="00D00D14" w:rsidRDefault="00D00D14" w:rsidP="009B30FB">
      <w:pPr>
        <w:pStyle w:val="Prrafodelista"/>
        <w:tabs>
          <w:tab w:val="num" w:pos="0"/>
          <w:tab w:val="left" w:pos="284"/>
          <w:tab w:val="left" w:pos="426"/>
        </w:tabs>
        <w:overflowPunct w:val="0"/>
        <w:autoSpaceDE w:val="0"/>
        <w:autoSpaceDN w:val="0"/>
        <w:adjustRightInd w:val="0"/>
        <w:spacing w:after="0" w:line="240" w:lineRule="auto"/>
        <w:ind w:left="0"/>
        <w:jc w:val="both"/>
        <w:textAlignment w:val="baseline"/>
        <w:rPr>
          <w:rFonts w:ascii="Times New Roman" w:eastAsia="Times New Roman" w:hAnsi="Times New Roman" w:cs="Times New Roman"/>
          <w:bCs/>
          <w:sz w:val="28"/>
          <w:szCs w:val="28"/>
          <w:lang w:val="es-ES_tradnl" w:eastAsia="es-MX"/>
        </w:rPr>
      </w:pPr>
    </w:p>
    <w:p w:rsidR="0024316A"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A continuación, aporta datos que muestran que una proporción significat</w:t>
      </w:r>
      <w:r w:rsidRPr="00D00D14">
        <w:rPr>
          <w:rFonts w:ascii="Times New Roman" w:eastAsia="Times New Roman" w:hAnsi="Times New Roman" w:cs="Times New Roman"/>
          <w:bCs/>
          <w:sz w:val="28"/>
          <w:szCs w:val="28"/>
          <w:lang w:val="es-ES_tradnl" w:eastAsia="es-MX"/>
        </w:rPr>
        <w:t>iva de financiadores contratistas celebran contratos con posterioridad a las elecciones. A partir de ello, sostiene que también debe examinarse el numeral 7</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 xml:space="preserve"> del artículo 27 de la Ley 1475, pues permit</w:t>
      </w:r>
      <w:r w:rsidRPr="00D00D14">
        <w:rPr>
          <w:rFonts w:ascii="Times New Roman" w:eastAsia="Times New Roman" w:hAnsi="Times New Roman" w:cs="Times New Roman"/>
          <w:bCs/>
          <w:sz w:val="28"/>
          <w:szCs w:val="28"/>
          <w:lang w:val="es-ES_tradnl" w:eastAsia="es-MX"/>
        </w:rPr>
        <w:t xml:space="preserve">e que </w:t>
      </w:r>
      <w:r w:rsidRPr="00D00D14">
        <w:rPr>
          <w:rFonts w:ascii="Times New Roman" w:eastAsia="Times New Roman" w:hAnsi="Times New Roman" w:cs="Times New Roman"/>
          <w:bCs/>
          <w:sz w:val="28"/>
          <w:szCs w:val="28"/>
          <w:lang w:val="es-ES_tradnl" w:eastAsia="es-MX"/>
        </w:rPr>
        <w:t>“los contratistas del Estado financien a partidos</w:t>
      </w:r>
      <w:r w:rsidRPr="00D00D14">
        <w:rPr>
          <w:rFonts w:ascii="Times New Roman" w:eastAsia="Times New Roman" w:hAnsi="Times New Roman" w:cs="Times New Roman"/>
          <w:bCs/>
          <w:sz w:val="28"/>
          <w:szCs w:val="28"/>
          <w:lang w:val="es-ES_tradnl" w:eastAsia="es-MX"/>
        </w:rPr>
        <w:t>, movimientos políticos o campañas electorales hasta con el 49.99% de los ingresos que reciben por parte del Estado”.</w:t>
      </w:r>
    </w:p>
    <w:p w:rsidR="008C4B90" w:rsidRPr="00D00D14" w:rsidRDefault="00D00D14" w:rsidP="009B30FB">
      <w:pPr>
        <w:pStyle w:val="Prrafodelista"/>
        <w:tabs>
          <w:tab w:val="left" w:pos="284"/>
          <w:tab w:val="left" w:pos="426"/>
        </w:tabs>
        <w:overflowPunct w:val="0"/>
        <w:autoSpaceDE w:val="0"/>
        <w:autoSpaceDN w:val="0"/>
        <w:adjustRightInd w:val="0"/>
        <w:spacing w:after="0" w:line="240" w:lineRule="auto"/>
        <w:ind w:left="0"/>
        <w:jc w:val="both"/>
        <w:textAlignment w:val="baseline"/>
        <w:rPr>
          <w:rFonts w:ascii="Times New Roman" w:eastAsia="Times New Roman" w:hAnsi="Times New Roman" w:cs="Times New Roman"/>
          <w:bCs/>
          <w:sz w:val="28"/>
          <w:szCs w:val="28"/>
          <w:lang w:val="es-ES_tradnl" w:eastAsia="es-MX"/>
        </w:rPr>
      </w:pPr>
    </w:p>
    <w:p w:rsidR="004111E1"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En consecuencia, solicita </w:t>
      </w:r>
      <w:r w:rsidRPr="00D00D14">
        <w:rPr>
          <w:rFonts w:ascii="Times New Roman" w:eastAsia="Times New Roman" w:hAnsi="Times New Roman" w:cs="Times New Roman"/>
          <w:bCs/>
          <w:sz w:val="28"/>
          <w:szCs w:val="28"/>
          <w:lang w:val="es-ES_tradnl" w:eastAsia="es-MX"/>
        </w:rPr>
        <w:t xml:space="preserve">declarar inexequibles las expresiones del artículo 33 de la Ley 1778 de 2016, que permiten realizar aportes </w:t>
      </w:r>
      <w:r w:rsidRPr="00D00D14">
        <w:rPr>
          <w:rFonts w:ascii="Times New Roman" w:eastAsia="Times New Roman" w:hAnsi="Times New Roman" w:cs="Times New Roman"/>
          <w:bCs/>
          <w:sz w:val="28"/>
          <w:szCs w:val="28"/>
          <w:lang w:val="es-ES_tradnl" w:eastAsia="es-MX"/>
        </w:rPr>
        <w:t>electorales superiores al 2% del tope autorizado y que excluyen de la inhabilidad a los contratos de prestación de servicios profesionales. Asimismo, se pide integrar al control de constitucionalidad el numeral 7</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 xml:space="preserve"> del artículo 27 de la Ley 1475 de 2011, pues, por un lado, no existe cosa juzgada frente a la Sentencia C‑490 de 2011 y, por otro, las mismas razones de inconstitucionalidad detectadas en el artículo 33 se proyectan sobre esta disposición, al resultar con</w:t>
      </w:r>
      <w:r w:rsidRPr="00D00D14">
        <w:rPr>
          <w:rFonts w:ascii="Times New Roman" w:eastAsia="Times New Roman" w:hAnsi="Times New Roman" w:cs="Times New Roman"/>
          <w:bCs/>
          <w:sz w:val="28"/>
          <w:szCs w:val="28"/>
          <w:lang w:val="es-ES_tradnl" w:eastAsia="es-MX"/>
        </w:rPr>
        <w:t xml:space="preserve">traria al artículo 110 de la Constitución. Finalmente, se solicita declarar inexequibles las expresiones “en el año anterior” y “en más de un cincuenta por ciento” contenidas en </w:t>
      </w:r>
      <w:r w:rsidRPr="00D00D14">
        <w:rPr>
          <w:rFonts w:ascii="Times New Roman" w:eastAsia="Times New Roman" w:hAnsi="Times New Roman" w:cs="Times New Roman"/>
          <w:bCs/>
          <w:sz w:val="28"/>
          <w:szCs w:val="28"/>
          <w:lang w:val="es-ES_tradnl" w:eastAsia="es-MX"/>
        </w:rPr>
        <w:t>el</w:t>
      </w:r>
      <w:r w:rsidRPr="00D00D14">
        <w:rPr>
          <w:rFonts w:ascii="Times New Roman" w:eastAsia="Times New Roman" w:hAnsi="Times New Roman" w:cs="Times New Roman"/>
          <w:bCs/>
          <w:sz w:val="28"/>
          <w:szCs w:val="28"/>
          <w:lang w:val="es-ES_tradnl" w:eastAsia="es-MX"/>
        </w:rPr>
        <w:t xml:space="preserve"> numeral 7</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 del artículo 27 de la Ley 1475 de 2011</w:t>
      </w:r>
      <w:r w:rsidRPr="00D00D14">
        <w:rPr>
          <w:rFonts w:ascii="Times New Roman" w:eastAsia="Times New Roman" w:hAnsi="Times New Roman" w:cs="Times New Roman"/>
          <w:bCs/>
          <w:sz w:val="28"/>
          <w:szCs w:val="28"/>
          <w:lang w:val="es-ES_tradnl" w:eastAsia="es-MX"/>
        </w:rPr>
        <w:t>, dado que también vulner</w:t>
      </w:r>
      <w:r w:rsidRPr="00D00D14">
        <w:rPr>
          <w:rFonts w:ascii="Times New Roman" w:eastAsia="Times New Roman" w:hAnsi="Times New Roman" w:cs="Times New Roman"/>
          <w:bCs/>
          <w:sz w:val="28"/>
          <w:szCs w:val="28"/>
          <w:lang w:val="es-ES_tradnl" w:eastAsia="es-MX"/>
        </w:rPr>
        <w:t>an el artículo 110 constitucional.</w:t>
      </w:r>
    </w:p>
    <w:p w:rsidR="00E43736" w:rsidRPr="00D00D14" w:rsidRDefault="00D00D14" w:rsidP="009B30FB">
      <w:pPr>
        <w:pStyle w:val="Prrafodelista"/>
        <w:tabs>
          <w:tab w:val="num" w:pos="0"/>
          <w:tab w:val="left" w:pos="284"/>
          <w:tab w:val="left" w:pos="426"/>
        </w:tabs>
        <w:overflowPunct w:val="0"/>
        <w:autoSpaceDE w:val="0"/>
        <w:autoSpaceDN w:val="0"/>
        <w:adjustRightInd w:val="0"/>
        <w:spacing w:after="0" w:line="240" w:lineRule="auto"/>
        <w:ind w:left="0"/>
        <w:jc w:val="both"/>
        <w:textAlignment w:val="baseline"/>
        <w:rPr>
          <w:rFonts w:ascii="Times New Roman" w:eastAsia="Times New Roman" w:hAnsi="Times New Roman" w:cs="Times New Roman"/>
          <w:bCs/>
          <w:sz w:val="28"/>
          <w:szCs w:val="28"/>
          <w:lang w:val="es-ES_tradnl" w:eastAsia="es-MX"/>
        </w:rPr>
      </w:pPr>
    </w:p>
    <w:p w:rsidR="00D96E6F" w:rsidRPr="00D00D14" w:rsidRDefault="00D00D14" w:rsidP="009C2263">
      <w:pPr>
        <w:pStyle w:val="Prrafodelista"/>
        <w:numPr>
          <w:ilvl w:val="1"/>
          <w:numId w:val="3"/>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
          <w:sz w:val="28"/>
          <w:szCs w:val="28"/>
          <w:lang w:val="es-ES_tradnl" w:eastAsia="es-MX"/>
        </w:rPr>
      </w:pPr>
      <w:r w:rsidRPr="00D00D14">
        <w:rPr>
          <w:rFonts w:ascii="Times New Roman" w:eastAsia="Times New Roman" w:hAnsi="Times New Roman" w:cs="Times New Roman"/>
          <w:b/>
          <w:sz w:val="28"/>
          <w:szCs w:val="28"/>
          <w:lang w:val="es-ES_tradnl" w:eastAsia="es-MX"/>
        </w:rPr>
        <w:t xml:space="preserve"> </w:t>
      </w:r>
      <w:r w:rsidRPr="00D00D14">
        <w:rPr>
          <w:rFonts w:ascii="Times New Roman" w:eastAsia="Times New Roman" w:hAnsi="Times New Roman" w:cs="Times New Roman"/>
          <w:b/>
          <w:sz w:val="28"/>
          <w:szCs w:val="28"/>
          <w:lang w:val="es-ES_tradnl" w:eastAsia="es-MX"/>
        </w:rPr>
        <w:t>Universidad Icesi</w:t>
      </w:r>
    </w:p>
    <w:p w:rsidR="00D96E6F" w:rsidRPr="00D00D14" w:rsidRDefault="00D00D14" w:rsidP="009B30FB">
      <w:pPr>
        <w:pStyle w:val="Prrafodelista"/>
        <w:tabs>
          <w:tab w:val="num" w:pos="0"/>
          <w:tab w:val="left" w:pos="284"/>
          <w:tab w:val="left" w:pos="426"/>
        </w:tabs>
        <w:overflowPunct w:val="0"/>
        <w:autoSpaceDE w:val="0"/>
        <w:autoSpaceDN w:val="0"/>
        <w:adjustRightInd w:val="0"/>
        <w:spacing w:after="0" w:line="240" w:lineRule="auto"/>
        <w:ind w:left="0"/>
        <w:jc w:val="both"/>
        <w:textAlignment w:val="baseline"/>
        <w:rPr>
          <w:rFonts w:ascii="Times New Roman" w:eastAsia="Times New Roman" w:hAnsi="Times New Roman" w:cs="Times New Roman"/>
          <w:b/>
          <w:sz w:val="28"/>
          <w:szCs w:val="28"/>
          <w:lang w:val="es-ES_tradnl" w:eastAsia="es-MX"/>
        </w:rPr>
      </w:pPr>
    </w:p>
    <w:p w:rsidR="00D96E6F" w:rsidRPr="00D00D14" w:rsidRDefault="00D00D14" w:rsidP="009B30FB">
      <w:pPr>
        <w:pStyle w:val="NormalWeb"/>
        <w:numPr>
          <w:ilvl w:val="0"/>
          <w:numId w:val="2"/>
        </w:numPr>
        <w:tabs>
          <w:tab w:val="clear" w:pos="3368"/>
          <w:tab w:val="num" w:pos="426"/>
        </w:tabs>
        <w:spacing w:before="0" w:beforeAutospacing="0" w:after="0" w:afterAutospacing="0"/>
        <w:ind w:left="0" w:firstLine="0"/>
        <w:jc w:val="both"/>
        <w:rPr>
          <w:sz w:val="28"/>
          <w:szCs w:val="28"/>
        </w:rPr>
      </w:pPr>
      <w:r w:rsidRPr="00D00D14">
        <w:rPr>
          <w:sz w:val="28"/>
          <w:szCs w:val="28"/>
        </w:rPr>
        <w:t>El Centro de Derecho Constitucional de la Universidad Icesi</w:t>
      </w:r>
      <w:r w:rsidRPr="00D00D14">
        <w:rPr>
          <w:sz w:val="28"/>
          <w:szCs w:val="28"/>
        </w:rPr>
        <w:t xml:space="preserve"> plante</w:t>
      </w:r>
      <w:r w:rsidRPr="00D00D14">
        <w:rPr>
          <w:sz w:val="28"/>
          <w:szCs w:val="28"/>
        </w:rPr>
        <w:t>ó</w:t>
      </w:r>
      <w:r w:rsidRPr="00D00D14">
        <w:rPr>
          <w:sz w:val="28"/>
          <w:szCs w:val="28"/>
        </w:rPr>
        <w:t xml:space="preserve"> los</w:t>
      </w:r>
      <w:r w:rsidRPr="00D00D14">
        <w:rPr>
          <w:sz w:val="28"/>
          <w:szCs w:val="28"/>
        </w:rPr>
        <w:t xml:space="preserve"> riesgos que</w:t>
      </w:r>
      <w:r w:rsidRPr="00D00D14">
        <w:rPr>
          <w:sz w:val="28"/>
          <w:szCs w:val="28"/>
        </w:rPr>
        <w:t>, a su juicio,</w:t>
      </w:r>
      <w:r w:rsidRPr="00D00D14">
        <w:rPr>
          <w:sz w:val="28"/>
          <w:szCs w:val="28"/>
        </w:rPr>
        <w:t xml:space="preserve"> la disposición demandada genera para la transparencia, imparcialidad y moralidad de la función pública y de los procesos electorales, especialmente en materia de financiación de campañas y posterior adjudicación de contratos estatales.</w:t>
      </w:r>
    </w:p>
    <w:p w:rsidR="00D96E6F" w:rsidRPr="00D00D14" w:rsidRDefault="00D00D14" w:rsidP="009B30FB">
      <w:pPr>
        <w:pStyle w:val="NormalWeb"/>
        <w:spacing w:before="0" w:beforeAutospacing="0" w:after="0" w:afterAutospacing="0"/>
        <w:jc w:val="both"/>
        <w:rPr>
          <w:sz w:val="28"/>
          <w:szCs w:val="28"/>
        </w:rPr>
      </w:pPr>
    </w:p>
    <w:p w:rsidR="00D96E6F" w:rsidRPr="00D00D14" w:rsidRDefault="00D00D14" w:rsidP="009B30FB">
      <w:pPr>
        <w:pStyle w:val="NormalWeb"/>
        <w:numPr>
          <w:ilvl w:val="0"/>
          <w:numId w:val="2"/>
        </w:numPr>
        <w:tabs>
          <w:tab w:val="clear" w:pos="3368"/>
          <w:tab w:val="num" w:pos="426"/>
        </w:tabs>
        <w:spacing w:before="0" w:beforeAutospacing="0" w:after="0" w:afterAutospacing="0"/>
        <w:ind w:left="0" w:firstLine="0"/>
        <w:jc w:val="both"/>
        <w:rPr>
          <w:sz w:val="28"/>
          <w:szCs w:val="28"/>
        </w:rPr>
      </w:pPr>
      <w:r w:rsidRPr="00D00D14">
        <w:rPr>
          <w:sz w:val="28"/>
          <w:szCs w:val="28"/>
        </w:rPr>
        <w:t>En primer lugar, l</w:t>
      </w:r>
      <w:r w:rsidRPr="00D00D14">
        <w:rPr>
          <w:sz w:val="28"/>
          <w:szCs w:val="28"/>
        </w:rPr>
        <w:t>os intervinientes sostienen que la excepción a la inhabilidad para contratar con el Estado relativa a los contratos de prestación de servicios profesionales es inconstitucional porque desvirtúa la prohibición del artículo 110 de la Constitución. Explican q</w:t>
      </w:r>
      <w:r w:rsidRPr="00D00D14">
        <w:rPr>
          <w:sz w:val="28"/>
          <w:szCs w:val="28"/>
        </w:rPr>
        <w:t>ue este precepto superior prohíbe a quienes ejercen funciones públicas financiar campañas políticas, y que los contratistas pueden ejercer dichas funciones cuando, de acuerdo con la jurisprudencia constitucional y del Consejo de Estado, desarrollan potesta</w:t>
      </w:r>
      <w:r w:rsidRPr="00D00D14">
        <w:rPr>
          <w:sz w:val="28"/>
          <w:szCs w:val="28"/>
        </w:rPr>
        <w:t>des o prerrogativas inherentes al poder público. La norma acusada, al no distinguir entre contratistas que ejercen o no funciones públicas, permite que cualquier persona vinculada por contrato de prestación de servicios financie campañas y posteriormente c</w:t>
      </w:r>
      <w:r w:rsidRPr="00D00D14">
        <w:rPr>
          <w:sz w:val="28"/>
          <w:szCs w:val="28"/>
        </w:rPr>
        <w:t xml:space="preserve">ontrate con el Estado, aun cuando desempeñe funciones públicas. A juicio de los intervinientes, esta habilitación genera riesgos de dependencia entre financiadores y gobernantes electos, compromete la imparcialidad administrativa y contradice directamente </w:t>
      </w:r>
      <w:r w:rsidRPr="00D00D14">
        <w:rPr>
          <w:sz w:val="28"/>
          <w:szCs w:val="28"/>
        </w:rPr>
        <w:t>la prohibición del artículo 110 Superior.</w:t>
      </w:r>
    </w:p>
    <w:p w:rsidR="00D96E6F" w:rsidRPr="00D00D14" w:rsidRDefault="00D00D14" w:rsidP="009B30FB">
      <w:pPr>
        <w:pStyle w:val="Prrafodelista"/>
        <w:spacing w:after="0" w:line="240" w:lineRule="auto"/>
        <w:ind w:left="0"/>
        <w:rPr>
          <w:rFonts w:ascii="Times New Roman" w:hAnsi="Times New Roman" w:cs="Times New Roman"/>
          <w:sz w:val="28"/>
          <w:szCs w:val="28"/>
        </w:rPr>
      </w:pPr>
    </w:p>
    <w:p w:rsidR="00D96E6F" w:rsidRPr="00D00D14" w:rsidRDefault="00D00D14" w:rsidP="009B30FB">
      <w:pPr>
        <w:pStyle w:val="NormalWeb"/>
        <w:numPr>
          <w:ilvl w:val="0"/>
          <w:numId w:val="2"/>
        </w:numPr>
        <w:tabs>
          <w:tab w:val="left" w:pos="426"/>
        </w:tabs>
        <w:spacing w:before="0" w:beforeAutospacing="0" w:after="0" w:afterAutospacing="0"/>
        <w:ind w:left="0" w:firstLine="0"/>
        <w:jc w:val="both"/>
        <w:rPr>
          <w:sz w:val="28"/>
          <w:szCs w:val="28"/>
        </w:rPr>
      </w:pPr>
      <w:r w:rsidRPr="00D00D14">
        <w:rPr>
          <w:sz w:val="28"/>
          <w:szCs w:val="28"/>
        </w:rPr>
        <w:t xml:space="preserve">En segundo lugar, critican que la norma permita que personas naturales o jurídicas financien campañas sin límite porcentual cuando se trate de contratos de servicios profesionales. Consideran que esta excepción </w:t>
      </w:r>
      <w:r w:rsidRPr="00D00D14">
        <w:rPr>
          <w:sz w:val="28"/>
          <w:szCs w:val="28"/>
        </w:rPr>
        <w:t>vacía de contenido la inhabilidad prevista por el legislador, pues crea un escenario en el cual quienes aportan pueden recibir contratos sin ninguna restricción, lo cual propicia escenarios de “captura institucional” y de intercambio de favores políticos y</w:t>
      </w:r>
      <w:r w:rsidRPr="00D00D14">
        <w:rPr>
          <w:sz w:val="28"/>
          <w:szCs w:val="28"/>
        </w:rPr>
        <w:t xml:space="preserve"> contractuales. Señalan que esta modalidad contractual es, justamente, la más utilizada en la contratación directa, mecanismo que presenta los mayores riesgos de discrecionalidad y opacidad.</w:t>
      </w:r>
    </w:p>
    <w:p w:rsidR="00D96E6F" w:rsidRPr="00D00D14" w:rsidRDefault="00D00D14" w:rsidP="009B30FB">
      <w:pPr>
        <w:pStyle w:val="Prrafodelista"/>
        <w:spacing w:after="0" w:line="240" w:lineRule="auto"/>
        <w:ind w:left="0"/>
        <w:rPr>
          <w:rFonts w:ascii="Times New Roman" w:hAnsi="Times New Roman" w:cs="Times New Roman"/>
          <w:sz w:val="28"/>
          <w:szCs w:val="28"/>
        </w:rPr>
      </w:pPr>
    </w:p>
    <w:p w:rsidR="00D96E6F" w:rsidRPr="00D00D14" w:rsidRDefault="00D00D14" w:rsidP="009B30FB">
      <w:pPr>
        <w:pStyle w:val="NormalWeb"/>
        <w:numPr>
          <w:ilvl w:val="0"/>
          <w:numId w:val="2"/>
        </w:numPr>
        <w:tabs>
          <w:tab w:val="left" w:pos="426"/>
        </w:tabs>
        <w:spacing w:before="0" w:beforeAutospacing="0" w:after="0" w:afterAutospacing="0"/>
        <w:ind w:left="0" w:firstLine="0"/>
        <w:jc w:val="both"/>
        <w:rPr>
          <w:sz w:val="28"/>
          <w:szCs w:val="28"/>
        </w:rPr>
      </w:pPr>
      <w:r w:rsidRPr="00D00D14">
        <w:rPr>
          <w:sz w:val="28"/>
          <w:szCs w:val="28"/>
        </w:rPr>
        <w:t xml:space="preserve">En tercer término, analizan el límite del 2 % previsto para que </w:t>
      </w:r>
      <w:r w:rsidRPr="00D00D14">
        <w:rPr>
          <w:sz w:val="28"/>
          <w:szCs w:val="28"/>
        </w:rPr>
        <w:t xml:space="preserve">un aportante incurra o no en inhabilidad para contratar. Sostienen que este porcentaje es arbitrario, injustificado y carente de sustento constitucional </w:t>
      </w:r>
      <w:r w:rsidRPr="00D00D14">
        <w:rPr>
          <w:sz w:val="28"/>
          <w:szCs w:val="28"/>
        </w:rPr>
        <w:t>y convencional</w:t>
      </w:r>
      <w:r w:rsidRPr="00D00D14">
        <w:rPr>
          <w:sz w:val="28"/>
          <w:szCs w:val="28"/>
        </w:rPr>
        <w:t>. Tras revisar los antecedentes legislativos y los compromisos asumidos por Colombia ante</w:t>
      </w:r>
      <w:r w:rsidRPr="00D00D14">
        <w:rPr>
          <w:sz w:val="28"/>
          <w:szCs w:val="28"/>
        </w:rPr>
        <w:t xml:space="preserve"> la OCDE y la Convención de Naciones Unidas contra la Corrupción, los intervinientes concluyen que no existe razón normativa que justifique la fijación de dicho límite, ni evidencia que garantice neutralidad en la financiación de campañas. Por el contrario</w:t>
      </w:r>
      <w:r w:rsidRPr="00D00D14">
        <w:rPr>
          <w:sz w:val="28"/>
          <w:szCs w:val="28"/>
        </w:rPr>
        <w:t>, afirman que el tope del 2 % es tan alto que, en la práctica, permite que la mayoría de personas financien campañas sin quedar inhabilitadas, especialmente en elecciones de gran envergadura como las del Congreso, donde los topes de gastos son extremadamen</w:t>
      </w:r>
      <w:r w:rsidRPr="00D00D14">
        <w:rPr>
          <w:sz w:val="28"/>
          <w:szCs w:val="28"/>
        </w:rPr>
        <w:t>te elevados. Este diseño facilita que conglomerados empresariales fraccionen aportes y ejerzan un</w:t>
      </w:r>
      <w:r w:rsidRPr="00D00D14">
        <w:rPr>
          <w:sz w:val="28"/>
          <w:szCs w:val="28"/>
        </w:rPr>
        <w:t xml:space="preserve">a influencia </w:t>
      </w:r>
      <w:r w:rsidRPr="00D00D14">
        <w:rPr>
          <w:sz w:val="28"/>
          <w:szCs w:val="28"/>
        </w:rPr>
        <w:t>determinante en los procesos electorales sin activar inhabilidades, lo que vulnera el principio de moralidad administrativa del artículo 209 Super</w:t>
      </w:r>
      <w:r w:rsidRPr="00D00D14">
        <w:rPr>
          <w:sz w:val="28"/>
          <w:szCs w:val="28"/>
        </w:rPr>
        <w:t>ior.</w:t>
      </w:r>
    </w:p>
    <w:p w:rsidR="00676269" w:rsidRPr="00D00D14" w:rsidRDefault="00D00D14" w:rsidP="009B30FB">
      <w:pPr>
        <w:pStyle w:val="Prrafodelista"/>
        <w:spacing w:after="0" w:line="240" w:lineRule="auto"/>
        <w:ind w:left="0"/>
        <w:rPr>
          <w:rFonts w:ascii="Times New Roman" w:hAnsi="Times New Roman" w:cs="Times New Roman"/>
          <w:sz w:val="28"/>
          <w:szCs w:val="28"/>
        </w:rPr>
      </w:pPr>
    </w:p>
    <w:p w:rsidR="00D96E6F" w:rsidRPr="00D00D14" w:rsidRDefault="00D00D14" w:rsidP="009B30FB">
      <w:pPr>
        <w:pStyle w:val="NormalWeb"/>
        <w:numPr>
          <w:ilvl w:val="0"/>
          <w:numId w:val="2"/>
        </w:numPr>
        <w:tabs>
          <w:tab w:val="left" w:pos="426"/>
        </w:tabs>
        <w:spacing w:before="0" w:beforeAutospacing="0" w:after="0" w:afterAutospacing="0"/>
        <w:ind w:left="0" w:firstLine="0"/>
        <w:jc w:val="both"/>
        <w:rPr>
          <w:sz w:val="28"/>
          <w:szCs w:val="28"/>
        </w:rPr>
      </w:pPr>
      <w:r w:rsidRPr="00D00D14">
        <w:rPr>
          <w:sz w:val="28"/>
          <w:szCs w:val="28"/>
        </w:rPr>
        <w:t>A partir de diversas investigaciones académicas y de organismos como Transparencia por Colombia y la Misión de Observación Electoral, la intervención evidencia la correlación entre financiación electoral y posterior contratación estatal. Las cifras m</w:t>
      </w:r>
      <w:r w:rsidRPr="00D00D14">
        <w:rPr>
          <w:sz w:val="28"/>
          <w:szCs w:val="28"/>
        </w:rPr>
        <w:t>uestran que un porcentaje significativo de aportantes terminan siendo contratistas de las administraciones que ayudaron a elegir y que, en la mayoría de los casos, estas contrataciones se realizan mediante la modalidad de prestación de servicios profesiona</w:t>
      </w:r>
      <w:r w:rsidRPr="00D00D14">
        <w:rPr>
          <w:sz w:val="28"/>
          <w:szCs w:val="28"/>
        </w:rPr>
        <w:t>les. Este fenómeno revela una dinámica estructural de reciprocidad que distorsiona el interés general y profundiza los riesgos de corrupción y captura institucional.</w:t>
      </w:r>
    </w:p>
    <w:p w:rsidR="00676269" w:rsidRPr="00D00D14" w:rsidRDefault="00D00D14" w:rsidP="009B30FB">
      <w:pPr>
        <w:pStyle w:val="Prrafodelista"/>
        <w:spacing w:after="0" w:line="240" w:lineRule="auto"/>
        <w:ind w:left="0"/>
        <w:rPr>
          <w:rFonts w:ascii="Times New Roman" w:hAnsi="Times New Roman" w:cs="Times New Roman"/>
          <w:sz w:val="28"/>
          <w:szCs w:val="28"/>
        </w:rPr>
      </w:pPr>
    </w:p>
    <w:p w:rsidR="00D96E6F" w:rsidRPr="00D00D14" w:rsidRDefault="00D00D14" w:rsidP="009B30FB">
      <w:pPr>
        <w:pStyle w:val="NormalWeb"/>
        <w:numPr>
          <w:ilvl w:val="0"/>
          <w:numId w:val="2"/>
        </w:numPr>
        <w:tabs>
          <w:tab w:val="left" w:pos="426"/>
        </w:tabs>
        <w:spacing w:before="0" w:beforeAutospacing="0" w:after="0" w:afterAutospacing="0"/>
        <w:ind w:left="0" w:firstLine="0"/>
        <w:jc w:val="both"/>
        <w:rPr>
          <w:sz w:val="28"/>
          <w:szCs w:val="28"/>
        </w:rPr>
      </w:pPr>
      <w:r w:rsidRPr="00D00D14">
        <w:rPr>
          <w:sz w:val="28"/>
          <w:szCs w:val="28"/>
        </w:rPr>
        <w:t>Posteriormente, los intervinientes argumentan que el Congreso pudo haber excedido su libe</w:t>
      </w:r>
      <w:r w:rsidRPr="00D00D14">
        <w:rPr>
          <w:sz w:val="28"/>
          <w:szCs w:val="28"/>
        </w:rPr>
        <w:t>rtad de configuración legislativa. Aunque el legislador tiene amplia competencia para regular materias de financiamiento político y contratación estatal, sus decisiones deben respetar los principios y prohibiciones constitucionales. En este caso, la creaci</w:t>
      </w:r>
      <w:r w:rsidRPr="00D00D14">
        <w:rPr>
          <w:sz w:val="28"/>
          <w:szCs w:val="28"/>
        </w:rPr>
        <w:t>ón de excepciones sin justificación objetiva —como la exclusión de los contratos de prestación de servicios profesionales y la fijación del límite del 2 %— desnaturaliza el alcance de los artículos 110 y 209, además de involucrar un posible conflicto de in</w:t>
      </w:r>
      <w:r w:rsidRPr="00D00D14">
        <w:rPr>
          <w:sz w:val="28"/>
          <w:szCs w:val="28"/>
        </w:rPr>
        <w:t>terés, dado que los propios congresistas son beneficiarios potenciales de las reglas que permiten recibir aportes y luego celebrar contratos con quienes financiaron sus campañas.</w:t>
      </w:r>
    </w:p>
    <w:p w:rsidR="00676269" w:rsidRPr="00D00D14" w:rsidRDefault="00D00D14" w:rsidP="009B30FB">
      <w:pPr>
        <w:pStyle w:val="NormalWeb"/>
        <w:tabs>
          <w:tab w:val="left" w:pos="426"/>
        </w:tabs>
        <w:spacing w:before="0" w:beforeAutospacing="0" w:after="0" w:afterAutospacing="0"/>
        <w:jc w:val="both"/>
        <w:rPr>
          <w:sz w:val="28"/>
          <w:szCs w:val="28"/>
        </w:rPr>
      </w:pPr>
    </w:p>
    <w:p w:rsidR="00D96E6F" w:rsidRPr="00D00D14" w:rsidRDefault="00D00D14" w:rsidP="009B30FB">
      <w:pPr>
        <w:pStyle w:val="NormalWeb"/>
        <w:numPr>
          <w:ilvl w:val="0"/>
          <w:numId w:val="2"/>
        </w:numPr>
        <w:tabs>
          <w:tab w:val="left" w:pos="426"/>
        </w:tabs>
        <w:spacing w:before="0" w:beforeAutospacing="0" w:after="0" w:afterAutospacing="0"/>
        <w:ind w:left="0" w:firstLine="0"/>
        <w:jc w:val="both"/>
        <w:rPr>
          <w:sz w:val="28"/>
          <w:szCs w:val="28"/>
        </w:rPr>
      </w:pPr>
      <w:r w:rsidRPr="00D00D14">
        <w:rPr>
          <w:sz w:val="28"/>
          <w:szCs w:val="28"/>
        </w:rPr>
        <w:t>A modo de conclusión, la intervención sostiene que los apartes demandados so</w:t>
      </w:r>
      <w:r w:rsidRPr="00D00D14">
        <w:rPr>
          <w:sz w:val="28"/>
          <w:szCs w:val="28"/>
        </w:rPr>
        <w:t>n incompatibles con los artículos 110 y 209 Constitucionales. Reitera que permitir que contratistas que ejercen funciones públicas financien campañas para luego contratar con el Estado desconoce la prohibición expresa de la Constitución y debilita la moral</w:t>
      </w:r>
      <w:r w:rsidRPr="00D00D14">
        <w:rPr>
          <w:sz w:val="28"/>
          <w:szCs w:val="28"/>
        </w:rPr>
        <w:t>idad administrativa. De igual forma, la excepción del 2 % no constituye una verdadera limitación y carece de sustento motivado, de manera que facilita prácticas contrarias al interés público. También afirman que el Congreso excedió sus límites constitucion</w:t>
      </w:r>
      <w:r w:rsidRPr="00D00D14">
        <w:rPr>
          <w:sz w:val="28"/>
          <w:szCs w:val="28"/>
        </w:rPr>
        <w:t>ales al introducir excepciones injustificadas que debilitan la prohibición general.</w:t>
      </w:r>
    </w:p>
    <w:p w:rsidR="00676269" w:rsidRPr="00D00D14" w:rsidRDefault="00D00D14" w:rsidP="009B30FB">
      <w:pPr>
        <w:pStyle w:val="Prrafodelista"/>
        <w:spacing w:after="0" w:line="240" w:lineRule="auto"/>
        <w:ind w:left="0"/>
        <w:rPr>
          <w:rFonts w:ascii="Times New Roman" w:hAnsi="Times New Roman" w:cs="Times New Roman"/>
          <w:sz w:val="28"/>
          <w:szCs w:val="28"/>
        </w:rPr>
      </w:pPr>
    </w:p>
    <w:p w:rsidR="00D96E6F" w:rsidRPr="00D00D14" w:rsidRDefault="00D00D14" w:rsidP="009B30FB">
      <w:pPr>
        <w:pStyle w:val="NormalWeb"/>
        <w:numPr>
          <w:ilvl w:val="0"/>
          <w:numId w:val="2"/>
        </w:numPr>
        <w:tabs>
          <w:tab w:val="left" w:pos="426"/>
        </w:tabs>
        <w:spacing w:before="0" w:beforeAutospacing="0" w:after="0" w:afterAutospacing="0"/>
        <w:ind w:left="0" w:firstLine="0"/>
        <w:jc w:val="both"/>
        <w:rPr>
          <w:sz w:val="28"/>
          <w:szCs w:val="28"/>
        </w:rPr>
      </w:pPr>
      <w:r w:rsidRPr="00D00D14">
        <w:rPr>
          <w:sz w:val="28"/>
          <w:szCs w:val="28"/>
        </w:rPr>
        <w:t>Finalmente, los intervinientes solicitan a la Corte Constitucional declarar la inexequibilidad del artículo 33 de la Ley 1778 de 2016 en los apartes demandados. En subsidi</w:t>
      </w:r>
      <w:r w:rsidRPr="00D00D14">
        <w:rPr>
          <w:sz w:val="28"/>
          <w:szCs w:val="28"/>
        </w:rPr>
        <w:t>o, solicitan la inexequibilidad del inciso que excluye a los contratos de prestación de servicios profesionales. Y de manera alternativa, solicitan la exequibilidad condicionada: (i) bien estableciendo que ningún contratista pueda realizar aportes a campañ</w:t>
      </w:r>
      <w:r w:rsidRPr="00D00D14">
        <w:rPr>
          <w:sz w:val="28"/>
          <w:szCs w:val="28"/>
        </w:rPr>
        <w:t xml:space="preserve">as; (ii) o que los contratistas que no ejercen funciones públicas puedan financiar campañas, pero quedando siempre inhabilitados para contratar con el Estado sin importar el monto del aporte. Asimismo, consideran necesario que la Corte precise el concepto </w:t>
      </w:r>
      <w:r w:rsidRPr="00D00D14">
        <w:rPr>
          <w:sz w:val="28"/>
          <w:szCs w:val="28"/>
        </w:rPr>
        <w:t>de “contratista que ejerce funciones públicas” y que evalúe los riesgos derivados de la falta de verificación previa de aportes electorales en los procesos de contratación estatal.</w:t>
      </w:r>
    </w:p>
    <w:p w:rsidR="00A1710D" w:rsidRPr="00D00D14" w:rsidRDefault="00D00D14" w:rsidP="009B30FB">
      <w:pPr>
        <w:pStyle w:val="Prrafodelista"/>
        <w:tabs>
          <w:tab w:val="num" w:pos="0"/>
          <w:tab w:val="left" w:pos="284"/>
          <w:tab w:val="left" w:pos="426"/>
        </w:tabs>
        <w:overflowPunct w:val="0"/>
        <w:autoSpaceDE w:val="0"/>
        <w:autoSpaceDN w:val="0"/>
        <w:adjustRightInd w:val="0"/>
        <w:spacing w:after="0" w:line="240" w:lineRule="auto"/>
        <w:ind w:left="0"/>
        <w:jc w:val="both"/>
        <w:textAlignment w:val="baseline"/>
        <w:rPr>
          <w:rFonts w:ascii="Times New Roman" w:eastAsia="Times New Roman" w:hAnsi="Times New Roman" w:cs="Times New Roman"/>
          <w:b/>
          <w:sz w:val="28"/>
          <w:szCs w:val="28"/>
          <w:lang w:val="es-ES_tradnl" w:eastAsia="es-MX"/>
        </w:rPr>
      </w:pPr>
    </w:p>
    <w:p w:rsidR="004E06CA" w:rsidRPr="00D00D14" w:rsidRDefault="00D00D14" w:rsidP="00A25E0A">
      <w:pPr>
        <w:pStyle w:val="Prrafodelista"/>
        <w:numPr>
          <w:ilvl w:val="1"/>
          <w:numId w:val="3"/>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
          <w:bCs/>
          <w:sz w:val="28"/>
          <w:szCs w:val="28"/>
        </w:rPr>
        <w:t xml:space="preserve"> </w:t>
      </w:r>
      <w:r w:rsidRPr="00D00D14">
        <w:rPr>
          <w:rFonts w:ascii="Times New Roman" w:eastAsia="Times New Roman" w:hAnsi="Times New Roman" w:cs="Times New Roman"/>
          <w:b/>
          <w:bCs/>
          <w:sz w:val="28"/>
          <w:szCs w:val="28"/>
        </w:rPr>
        <w:t xml:space="preserve">Intervención ciudadana de </w:t>
      </w:r>
      <w:r w:rsidRPr="00D00D14">
        <w:rPr>
          <w:rFonts w:ascii="Times New Roman" w:eastAsia="Times New Roman" w:hAnsi="Times New Roman" w:cs="Times New Roman"/>
          <w:b/>
          <w:bCs/>
          <w:sz w:val="28"/>
          <w:szCs w:val="28"/>
        </w:rPr>
        <w:t xml:space="preserve">Carlos Arturo Gómez Pavajeau </w:t>
      </w:r>
    </w:p>
    <w:p w:rsidR="004E06CA" w:rsidRPr="00D00D14" w:rsidRDefault="00D00D14" w:rsidP="009B30FB">
      <w:pPr>
        <w:pStyle w:val="Prrafodelista"/>
        <w:tabs>
          <w:tab w:val="left" w:pos="284"/>
          <w:tab w:val="left" w:pos="426"/>
        </w:tabs>
        <w:overflowPunct w:val="0"/>
        <w:autoSpaceDE w:val="0"/>
        <w:autoSpaceDN w:val="0"/>
        <w:adjustRightInd w:val="0"/>
        <w:spacing w:after="0" w:line="240" w:lineRule="auto"/>
        <w:ind w:left="0"/>
        <w:jc w:val="both"/>
        <w:textAlignment w:val="baseline"/>
        <w:rPr>
          <w:rFonts w:ascii="Times New Roman" w:eastAsia="Times New Roman" w:hAnsi="Times New Roman" w:cs="Times New Roman"/>
          <w:bCs/>
          <w:sz w:val="28"/>
          <w:szCs w:val="28"/>
          <w:lang w:val="es-ES_tradnl" w:eastAsia="es-MX"/>
        </w:rPr>
      </w:pPr>
    </w:p>
    <w:p w:rsidR="00251708"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8"/>
          <w:szCs w:val="28"/>
        </w:rPr>
      </w:pPr>
      <w:r w:rsidRPr="00D00D14">
        <w:rPr>
          <w:rFonts w:ascii="Times New Roman" w:eastAsia="Times New Roman" w:hAnsi="Times New Roman" w:cs="Times New Roman"/>
          <w:sz w:val="28"/>
          <w:szCs w:val="28"/>
        </w:rPr>
        <w:t xml:space="preserve">El señor Carlos Arturo Gómez Pavajeau </w:t>
      </w:r>
      <w:r w:rsidRPr="00D00D14">
        <w:rPr>
          <w:rFonts w:ascii="Times New Roman" w:eastAsia="Times New Roman" w:hAnsi="Times New Roman" w:cs="Times New Roman"/>
          <w:sz w:val="28"/>
          <w:szCs w:val="28"/>
        </w:rPr>
        <w:t xml:space="preserve">rindió concepto en el presente proceso de constitucionalidad </w:t>
      </w:r>
      <w:r w:rsidRPr="00D00D14">
        <w:rPr>
          <w:rFonts w:ascii="Times New Roman" w:eastAsia="Times New Roman" w:hAnsi="Times New Roman" w:cs="Times New Roman"/>
          <w:sz w:val="28"/>
          <w:szCs w:val="28"/>
        </w:rPr>
        <w:t>conforme a</w:t>
      </w:r>
      <w:r w:rsidRPr="00D00D14">
        <w:rPr>
          <w:rFonts w:ascii="Times New Roman" w:eastAsia="Times New Roman" w:hAnsi="Times New Roman" w:cs="Times New Roman"/>
          <w:sz w:val="28"/>
          <w:szCs w:val="28"/>
        </w:rPr>
        <w:t xml:space="preserve"> la designación </w:t>
      </w:r>
      <w:r w:rsidRPr="00D00D14">
        <w:rPr>
          <w:rFonts w:ascii="Times New Roman" w:eastAsia="Times New Roman" w:hAnsi="Times New Roman" w:cs="Times New Roman"/>
          <w:sz w:val="28"/>
          <w:szCs w:val="28"/>
        </w:rPr>
        <w:t xml:space="preserve">de las directivas de la Universidad Externado de Colombia. Para iniciar, </w:t>
      </w:r>
      <w:r w:rsidRPr="00D00D14">
        <w:rPr>
          <w:rFonts w:ascii="Times New Roman" w:eastAsia="Times New Roman" w:hAnsi="Times New Roman" w:cs="Times New Roman"/>
          <w:sz w:val="28"/>
          <w:szCs w:val="28"/>
        </w:rPr>
        <w:t>sostiene que el cargo admitido contra el artículo 33 de la</w:t>
      </w:r>
      <w:r w:rsidRPr="00D00D14">
        <w:rPr>
          <w:rFonts w:ascii="Times New Roman" w:eastAsia="Times New Roman" w:hAnsi="Times New Roman" w:cs="Times New Roman"/>
          <w:sz w:val="28"/>
          <w:szCs w:val="28"/>
        </w:rPr>
        <w:t xml:space="preserve"> Ley 1778 de 2016 carece de sustento, porque no existe un verdadero contraste posible con el artículo 110 de la Constitución. Explica que dicha norma superior se aplica únicamente a quienes ejercen funciones públicas, mientras que la inhabilidad demandada </w:t>
      </w:r>
      <w:r w:rsidRPr="00D00D14">
        <w:rPr>
          <w:rFonts w:ascii="Times New Roman" w:eastAsia="Times New Roman" w:hAnsi="Times New Roman" w:cs="Times New Roman"/>
          <w:sz w:val="28"/>
          <w:szCs w:val="28"/>
        </w:rPr>
        <w:t>recae sobre personas que financian campañas antes de tener cualquier vínculo con la función pública</w:t>
      </w:r>
      <w:r w:rsidRPr="00D00D14">
        <w:rPr>
          <w:rFonts w:ascii="Times New Roman" w:eastAsia="Times New Roman" w:hAnsi="Times New Roman" w:cs="Times New Roman"/>
          <w:sz w:val="28"/>
          <w:szCs w:val="28"/>
        </w:rPr>
        <w:t>, lo cual expuso en los siguientes términos:</w:t>
      </w:r>
    </w:p>
    <w:p w:rsidR="00251708" w:rsidRPr="00D00D14" w:rsidRDefault="00D00D14" w:rsidP="009B30FB">
      <w:pPr>
        <w:pStyle w:val="Prrafodelista"/>
        <w:tabs>
          <w:tab w:val="left" w:pos="284"/>
          <w:tab w:val="left" w:pos="426"/>
        </w:tabs>
        <w:overflowPunct w:val="0"/>
        <w:autoSpaceDE w:val="0"/>
        <w:autoSpaceDN w:val="0"/>
        <w:adjustRightInd w:val="0"/>
        <w:spacing w:after="0" w:line="240" w:lineRule="auto"/>
        <w:ind w:left="0"/>
        <w:jc w:val="both"/>
        <w:textAlignment w:val="baseline"/>
        <w:rPr>
          <w:rFonts w:ascii="Times New Roman" w:eastAsia="Times New Roman" w:hAnsi="Times New Roman" w:cs="Times New Roman"/>
          <w:sz w:val="28"/>
          <w:szCs w:val="28"/>
        </w:rPr>
      </w:pPr>
    </w:p>
    <w:p w:rsidR="00251708" w:rsidRPr="00D00D14" w:rsidRDefault="00D00D14" w:rsidP="00A25E0A">
      <w:pPr>
        <w:pStyle w:val="Prrafodelista"/>
        <w:tabs>
          <w:tab w:val="left" w:pos="284"/>
          <w:tab w:val="left" w:pos="426"/>
        </w:tabs>
        <w:overflowPunct w:val="0"/>
        <w:autoSpaceDE w:val="0"/>
        <w:autoSpaceDN w:val="0"/>
        <w:adjustRightInd w:val="0"/>
        <w:spacing w:after="0" w:line="240" w:lineRule="auto"/>
        <w:ind w:left="567"/>
        <w:jc w:val="both"/>
        <w:textAlignment w:val="baseline"/>
        <w:rPr>
          <w:rFonts w:ascii="Times New Roman" w:eastAsia="Times New Roman" w:hAnsi="Times New Roman" w:cs="Times New Roman"/>
          <w:sz w:val="28"/>
          <w:szCs w:val="24"/>
        </w:rPr>
      </w:pPr>
      <w:r w:rsidRPr="00D00D14">
        <w:rPr>
          <w:rFonts w:ascii="Times New Roman" w:eastAsia="Times New Roman" w:hAnsi="Times New Roman" w:cs="Times New Roman"/>
          <w:sz w:val="28"/>
          <w:szCs w:val="24"/>
        </w:rPr>
        <w:t>“</w:t>
      </w:r>
      <w:r w:rsidRPr="00D00D14">
        <w:rPr>
          <w:rFonts w:ascii="Times New Roman" w:eastAsia="Times New Roman" w:hAnsi="Times New Roman" w:cs="Times New Roman"/>
          <w:sz w:val="28"/>
          <w:szCs w:val="24"/>
        </w:rPr>
        <w:t xml:space="preserve">La inhabilidad cuestionada no da cuenta de personas involucradas en un `interés público` actual en el momento </w:t>
      </w:r>
      <w:r w:rsidRPr="00D00D14">
        <w:rPr>
          <w:rFonts w:ascii="Times New Roman" w:eastAsia="Times New Roman" w:hAnsi="Times New Roman" w:cs="Times New Roman"/>
          <w:sz w:val="28"/>
          <w:szCs w:val="24"/>
        </w:rPr>
        <w:t>en que hacen la aportación de los dineros que financian las actividades políticas, lo cual sin duda, posteriormente, sí podría incidir en el interés público por su relación potencial de celebrar contratos públicos con quienes fueron favorecidos con los din</w:t>
      </w:r>
      <w:r w:rsidRPr="00D00D14">
        <w:rPr>
          <w:rFonts w:ascii="Times New Roman" w:eastAsia="Times New Roman" w:hAnsi="Times New Roman" w:cs="Times New Roman"/>
          <w:sz w:val="28"/>
          <w:szCs w:val="24"/>
        </w:rPr>
        <w:t>eros privados que contribuyeron a llevarlos a posiciones de poder, pero ya cuando los dineros maculados jurídicamente han producidos los efectos que se quieren evitar, como es el acceso manipulado al ejercicio del poder, lo cual resulta gravísimo</w:t>
      </w:r>
      <w:r w:rsidRPr="00D00D14">
        <w:rPr>
          <w:rFonts w:ascii="Times New Roman" w:eastAsia="Times New Roman" w:hAnsi="Times New Roman" w:cs="Times New Roman"/>
          <w:sz w:val="28"/>
          <w:szCs w:val="24"/>
        </w:rPr>
        <w:t xml:space="preserve"> para otro</w:t>
      </w:r>
      <w:r w:rsidRPr="00D00D14">
        <w:rPr>
          <w:rFonts w:ascii="Times New Roman" w:eastAsia="Times New Roman" w:hAnsi="Times New Roman" w:cs="Times New Roman"/>
          <w:sz w:val="28"/>
          <w:szCs w:val="24"/>
        </w:rPr>
        <w:t xml:space="preserve">s principios y valores constitucionales, en cuanto se abusa del derecho de participar en política apoyando a candidatos y contribuyendo a su financiación (artículo 42) lo que en principio no es contrario a otros principios constitucionales como el </w:t>
      </w:r>
      <w:r w:rsidRPr="00D00D14">
        <w:rPr>
          <w:rFonts w:ascii="Times New Roman" w:eastAsia="Times New Roman" w:hAnsi="Times New Roman" w:cs="Times New Roman"/>
          <w:sz w:val="28"/>
          <w:szCs w:val="24"/>
        </w:rPr>
        <w:t>`</w:t>
      </w:r>
      <w:r w:rsidRPr="00D00D14">
        <w:rPr>
          <w:rFonts w:ascii="Times New Roman" w:eastAsia="Times New Roman" w:hAnsi="Times New Roman" w:cs="Times New Roman"/>
          <w:sz w:val="28"/>
          <w:szCs w:val="24"/>
        </w:rPr>
        <w:t>interés</w:t>
      </w:r>
      <w:r w:rsidRPr="00D00D14">
        <w:rPr>
          <w:rFonts w:ascii="Times New Roman" w:eastAsia="Times New Roman" w:hAnsi="Times New Roman" w:cs="Times New Roman"/>
          <w:sz w:val="28"/>
          <w:szCs w:val="24"/>
        </w:rPr>
        <w:t xml:space="preserve"> general</w:t>
      </w:r>
      <w:r w:rsidRPr="00D00D14">
        <w:rPr>
          <w:rFonts w:ascii="Times New Roman" w:eastAsia="Times New Roman" w:hAnsi="Times New Roman" w:cs="Times New Roman"/>
          <w:sz w:val="28"/>
          <w:szCs w:val="24"/>
        </w:rPr>
        <w:t>`</w:t>
      </w:r>
      <w:r w:rsidRPr="00D00D14">
        <w:rPr>
          <w:rFonts w:ascii="Times New Roman" w:eastAsia="Times New Roman" w:hAnsi="Times New Roman" w:cs="Times New Roman"/>
          <w:sz w:val="28"/>
          <w:szCs w:val="24"/>
        </w:rPr>
        <w:t xml:space="preserve"> (artículo 1 y 23) y la </w:t>
      </w:r>
      <w:r w:rsidRPr="00D00D14">
        <w:rPr>
          <w:rFonts w:ascii="Times New Roman" w:eastAsia="Times New Roman" w:hAnsi="Times New Roman" w:cs="Times New Roman"/>
          <w:sz w:val="28"/>
          <w:szCs w:val="24"/>
        </w:rPr>
        <w:t>`</w:t>
      </w:r>
      <w:r w:rsidRPr="00D00D14">
        <w:rPr>
          <w:rFonts w:ascii="Times New Roman" w:eastAsia="Times New Roman" w:hAnsi="Times New Roman" w:cs="Times New Roman"/>
          <w:sz w:val="28"/>
          <w:szCs w:val="24"/>
        </w:rPr>
        <w:t>moral social</w:t>
      </w:r>
      <w:r w:rsidRPr="00D00D14">
        <w:rPr>
          <w:rFonts w:ascii="Times New Roman" w:eastAsia="Times New Roman" w:hAnsi="Times New Roman" w:cs="Times New Roman"/>
          <w:sz w:val="28"/>
          <w:szCs w:val="24"/>
        </w:rPr>
        <w:t xml:space="preserve">` </w:t>
      </w:r>
      <w:r w:rsidRPr="00D00D14">
        <w:rPr>
          <w:rFonts w:ascii="Times New Roman" w:eastAsia="Times New Roman" w:hAnsi="Times New Roman" w:cs="Times New Roman"/>
          <w:sz w:val="28"/>
          <w:szCs w:val="24"/>
        </w:rPr>
        <w:t>(artículo 34 )</w:t>
      </w:r>
      <w:r w:rsidRPr="00D00D14">
        <w:rPr>
          <w:rFonts w:ascii="Times New Roman" w:eastAsia="Times New Roman" w:hAnsi="Times New Roman" w:cs="Times New Roman"/>
          <w:sz w:val="28"/>
          <w:szCs w:val="24"/>
        </w:rPr>
        <w:t xml:space="preserve"> (…)</w:t>
      </w:r>
      <w:r w:rsidRPr="00D00D14">
        <w:rPr>
          <w:rFonts w:ascii="Times New Roman" w:eastAsia="Times New Roman" w:hAnsi="Times New Roman" w:cs="Times New Roman"/>
          <w:sz w:val="28"/>
          <w:szCs w:val="24"/>
        </w:rPr>
        <w:t>”</w:t>
      </w:r>
      <w:r w:rsidRPr="00D00D14">
        <w:rPr>
          <w:rStyle w:val="Refdenotaalpie"/>
          <w:rFonts w:ascii="Times New Roman" w:eastAsia="Times New Roman" w:hAnsi="Times New Roman" w:cs="Times New Roman"/>
          <w:sz w:val="28"/>
          <w:szCs w:val="24"/>
        </w:rPr>
        <w:footnoteReference w:id="2"/>
      </w:r>
      <w:r w:rsidRPr="00D00D14">
        <w:rPr>
          <w:rFonts w:ascii="Times New Roman" w:eastAsia="Times New Roman" w:hAnsi="Times New Roman" w:cs="Times New Roman"/>
          <w:sz w:val="28"/>
          <w:szCs w:val="24"/>
        </w:rPr>
        <w:t>.</w:t>
      </w:r>
    </w:p>
    <w:p w:rsidR="00251708" w:rsidRPr="00D00D14" w:rsidRDefault="00D00D14" w:rsidP="009B30FB">
      <w:pPr>
        <w:pStyle w:val="Prrafodelista"/>
        <w:tabs>
          <w:tab w:val="left" w:pos="284"/>
          <w:tab w:val="left" w:pos="426"/>
        </w:tabs>
        <w:overflowPunct w:val="0"/>
        <w:autoSpaceDE w:val="0"/>
        <w:autoSpaceDN w:val="0"/>
        <w:adjustRightInd w:val="0"/>
        <w:spacing w:after="0" w:line="240" w:lineRule="auto"/>
        <w:ind w:left="0"/>
        <w:jc w:val="both"/>
        <w:textAlignment w:val="baseline"/>
        <w:rPr>
          <w:rFonts w:ascii="Times New Roman" w:eastAsia="Times New Roman" w:hAnsi="Times New Roman" w:cs="Times New Roman"/>
          <w:sz w:val="28"/>
          <w:szCs w:val="28"/>
        </w:rPr>
      </w:pPr>
    </w:p>
    <w:p w:rsidR="004E5051"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8"/>
          <w:szCs w:val="28"/>
        </w:rPr>
      </w:pPr>
      <w:r w:rsidRPr="00D00D14">
        <w:rPr>
          <w:rFonts w:ascii="Times New Roman" w:eastAsia="Times New Roman" w:hAnsi="Times New Roman" w:cs="Times New Roman"/>
          <w:sz w:val="28"/>
          <w:szCs w:val="28"/>
        </w:rPr>
        <w:t>En otras palabras, e</w:t>
      </w:r>
      <w:r w:rsidRPr="00D00D14">
        <w:rPr>
          <w:rFonts w:ascii="Times New Roman" w:eastAsia="Times New Roman" w:hAnsi="Times New Roman" w:cs="Times New Roman"/>
          <w:sz w:val="28"/>
          <w:szCs w:val="28"/>
        </w:rPr>
        <w:t>l interviniente señala que la financiación de campañas forma parte del ejercicio legítimo de derechos políticos dentro del interés general, y solo se convierte en un</w:t>
      </w:r>
      <w:r w:rsidRPr="00D00D14">
        <w:rPr>
          <w:rFonts w:ascii="Times New Roman" w:eastAsia="Times New Roman" w:hAnsi="Times New Roman" w:cs="Times New Roman"/>
          <w:sz w:val="28"/>
          <w:szCs w:val="28"/>
        </w:rPr>
        <w:t xml:space="preserve"> riesgo constitucional cuando se transforma posteriormente en influencia indebida sobre el poder público mediante la adjudicación de contratos. Esa fase posterior, sostiene, sí puede ser regulada por el legislador conforme a los principios de necesidad y p</w:t>
      </w:r>
      <w:r w:rsidRPr="00D00D14">
        <w:rPr>
          <w:rFonts w:ascii="Times New Roman" w:eastAsia="Times New Roman" w:hAnsi="Times New Roman" w:cs="Times New Roman"/>
          <w:sz w:val="28"/>
          <w:szCs w:val="28"/>
        </w:rPr>
        <w:t>roporcionalidad para evitar riesgos sociales.</w:t>
      </w:r>
    </w:p>
    <w:p w:rsidR="004E5051" w:rsidRPr="00D00D14" w:rsidRDefault="00D00D14" w:rsidP="009B30FB">
      <w:pPr>
        <w:pStyle w:val="Prrafodelista"/>
        <w:spacing w:after="0" w:line="240" w:lineRule="auto"/>
        <w:ind w:left="0"/>
        <w:rPr>
          <w:rFonts w:ascii="Times New Roman" w:eastAsia="Times New Roman" w:hAnsi="Times New Roman" w:cs="Times New Roman"/>
          <w:sz w:val="28"/>
          <w:szCs w:val="28"/>
        </w:rPr>
      </w:pPr>
    </w:p>
    <w:p w:rsidR="00F44523"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8"/>
          <w:szCs w:val="28"/>
        </w:rPr>
      </w:pPr>
      <w:r w:rsidRPr="00D00D14">
        <w:rPr>
          <w:rFonts w:ascii="Times New Roman" w:eastAsia="Times New Roman" w:hAnsi="Times New Roman" w:cs="Times New Roman"/>
          <w:sz w:val="28"/>
          <w:szCs w:val="28"/>
        </w:rPr>
        <w:t xml:space="preserve">En consecuencia, el artículo 110 no regula la situación objeto de la ley, lo que hace imposible un juicio de constitucionalidad serio y conduciría a una decisión carente de objeto. </w:t>
      </w:r>
    </w:p>
    <w:p w:rsidR="00F44523" w:rsidRPr="00D00D14" w:rsidRDefault="00D00D14" w:rsidP="009B30FB">
      <w:pPr>
        <w:pStyle w:val="Prrafodelista"/>
        <w:spacing w:after="0" w:line="240" w:lineRule="auto"/>
        <w:ind w:left="0"/>
        <w:rPr>
          <w:rFonts w:ascii="Times New Roman" w:eastAsia="Times New Roman" w:hAnsi="Times New Roman" w:cs="Times New Roman"/>
          <w:sz w:val="28"/>
          <w:szCs w:val="28"/>
        </w:rPr>
      </w:pPr>
    </w:p>
    <w:p w:rsidR="004E5051"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8"/>
          <w:szCs w:val="28"/>
        </w:rPr>
      </w:pPr>
      <w:r w:rsidRPr="00D00D14">
        <w:rPr>
          <w:rFonts w:ascii="Times New Roman" w:eastAsia="Times New Roman" w:hAnsi="Times New Roman" w:cs="Times New Roman"/>
          <w:sz w:val="28"/>
          <w:szCs w:val="28"/>
        </w:rPr>
        <w:t xml:space="preserve">En segundo lugar, sostiene </w:t>
      </w:r>
      <w:r w:rsidRPr="00D00D14">
        <w:rPr>
          <w:rFonts w:ascii="Times New Roman" w:eastAsia="Times New Roman" w:hAnsi="Times New Roman" w:cs="Times New Roman"/>
          <w:sz w:val="28"/>
          <w:szCs w:val="28"/>
        </w:rPr>
        <w:t xml:space="preserve">que el problema real no es una contradicción entre normas, sino la afectación de valores constitucionales superiores </w:t>
      </w:r>
      <w:r w:rsidRPr="00D00D14">
        <w:rPr>
          <w:rFonts w:ascii="Times New Roman" w:eastAsia="Times New Roman" w:hAnsi="Times New Roman" w:cs="Times New Roman"/>
          <w:sz w:val="28"/>
          <w:szCs w:val="28"/>
        </w:rPr>
        <w:t>-</w:t>
      </w:r>
      <w:r w:rsidRPr="00D00D14">
        <w:rPr>
          <w:rFonts w:ascii="Times New Roman" w:eastAsia="Times New Roman" w:hAnsi="Times New Roman" w:cs="Times New Roman"/>
          <w:sz w:val="28"/>
          <w:szCs w:val="28"/>
        </w:rPr>
        <w:t>como la moral pública, la moral social, la función social de la propiedad y la participación democrática</w:t>
      </w:r>
      <w:r w:rsidRPr="00D00D14">
        <w:rPr>
          <w:rFonts w:ascii="Times New Roman" w:eastAsia="Times New Roman" w:hAnsi="Times New Roman" w:cs="Times New Roman"/>
          <w:sz w:val="28"/>
          <w:szCs w:val="28"/>
        </w:rPr>
        <w:t xml:space="preserve">- </w:t>
      </w:r>
      <w:r w:rsidRPr="00D00D14">
        <w:rPr>
          <w:rFonts w:ascii="Times New Roman" w:eastAsia="Times New Roman" w:hAnsi="Times New Roman" w:cs="Times New Roman"/>
          <w:sz w:val="28"/>
          <w:szCs w:val="28"/>
        </w:rPr>
        <w:t>cuand</w:t>
      </w:r>
      <w:r w:rsidRPr="00D00D14">
        <w:rPr>
          <w:rFonts w:ascii="Times New Roman" w:eastAsia="Times New Roman" w:hAnsi="Times New Roman" w:cs="Times New Roman"/>
          <w:sz w:val="28"/>
          <w:szCs w:val="28"/>
        </w:rPr>
        <w:t>o los aportes económicos se usan para controlar el poder una vez ejercido. Por ello, el legislador está facultado para establecer inhabilidades que prevengan estos riesgos, tradición que incluso tiene raíces históricas en el constitucionalismo colombiano.</w:t>
      </w:r>
    </w:p>
    <w:p w:rsidR="004E5051" w:rsidRPr="00D00D14" w:rsidRDefault="00D00D14" w:rsidP="009B30FB">
      <w:pPr>
        <w:pStyle w:val="Prrafodelista"/>
        <w:spacing w:after="0" w:line="240" w:lineRule="auto"/>
        <w:ind w:left="0"/>
        <w:rPr>
          <w:rFonts w:ascii="Times New Roman" w:eastAsia="Times New Roman" w:hAnsi="Times New Roman" w:cs="Times New Roman"/>
          <w:sz w:val="28"/>
          <w:szCs w:val="28"/>
        </w:rPr>
      </w:pPr>
    </w:p>
    <w:p w:rsidR="00E43736" w:rsidRPr="00D00D14" w:rsidRDefault="00D00D14" w:rsidP="009B30FB">
      <w:pPr>
        <w:pStyle w:val="Prrafodelista"/>
        <w:numPr>
          <w:ilvl w:val="0"/>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hAnsi="Times New Roman" w:cs="Times New Roman"/>
          <w:b/>
          <w:bCs/>
          <w:color w:val="000000" w:themeColor="text1"/>
          <w:sz w:val="28"/>
          <w:szCs w:val="28"/>
        </w:rPr>
      </w:pPr>
      <w:r w:rsidRPr="00D00D14">
        <w:rPr>
          <w:rFonts w:ascii="Times New Roman" w:eastAsia="Times New Roman" w:hAnsi="Times New Roman" w:cs="Times New Roman"/>
          <w:sz w:val="28"/>
          <w:szCs w:val="28"/>
        </w:rPr>
        <w:t>Finalmente, solicita que la Corte declare la carencia de objeto, al no existir parámetro de comparación con el artículo 110. Subsidiariamente, si la Corte decide abordar el fondo, pide la inexequibilidad del inciso final que exceptúa los contratos de pres</w:t>
      </w:r>
      <w:r w:rsidRPr="00D00D14">
        <w:rPr>
          <w:rFonts w:ascii="Times New Roman" w:eastAsia="Times New Roman" w:hAnsi="Times New Roman" w:cs="Times New Roman"/>
          <w:sz w:val="28"/>
          <w:szCs w:val="28"/>
        </w:rPr>
        <w:t>tación de servicios profesionales, ya que permitiría que financiadores accedan a contratos altamente discrecionales, lo que considera contrario a la moral pública y al interés general.</w:t>
      </w:r>
    </w:p>
    <w:p w:rsidR="00933C5D" w:rsidRPr="00D00D14" w:rsidRDefault="00D00D14" w:rsidP="009B30FB">
      <w:pPr>
        <w:pStyle w:val="Prrafodelista"/>
        <w:spacing w:after="0" w:line="240" w:lineRule="auto"/>
        <w:ind w:left="0"/>
        <w:jc w:val="both"/>
        <w:rPr>
          <w:rFonts w:ascii="Times New Roman" w:hAnsi="Times New Roman" w:cs="Times New Roman"/>
          <w:b/>
          <w:bCs/>
          <w:color w:val="000000" w:themeColor="text1"/>
          <w:sz w:val="28"/>
          <w:szCs w:val="28"/>
        </w:rPr>
      </w:pPr>
    </w:p>
    <w:p w:rsidR="000F329E" w:rsidRPr="00D00D14" w:rsidRDefault="00D00D14" w:rsidP="007648C9">
      <w:pPr>
        <w:pStyle w:val="Prrafodelista"/>
        <w:numPr>
          <w:ilvl w:val="1"/>
          <w:numId w:val="3"/>
        </w:numPr>
        <w:tabs>
          <w:tab w:val="left" w:pos="426"/>
        </w:tabs>
        <w:spacing w:after="0" w:line="240" w:lineRule="auto"/>
        <w:ind w:left="0" w:firstLine="0"/>
        <w:jc w:val="both"/>
        <w:rPr>
          <w:rFonts w:ascii="Times New Roman" w:hAnsi="Times New Roman" w:cs="Times New Roman"/>
          <w:b/>
          <w:bCs/>
          <w:color w:val="000000" w:themeColor="text1"/>
          <w:sz w:val="28"/>
          <w:szCs w:val="28"/>
        </w:rPr>
      </w:pPr>
      <w:r w:rsidRPr="00D00D14">
        <w:rPr>
          <w:rFonts w:ascii="Times New Roman" w:hAnsi="Times New Roman" w:cs="Times New Roman"/>
          <w:b/>
          <w:bCs/>
          <w:color w:val="000000" w:themeColor="text1"/>
          <w:sz w:val="28"/>
          <w:szCs w:val="28"/>
        </w:rPr>
        <w:t xml:space="preserve"> </w:t>
      </w:r>
      <w:r w:rsidRPr="00D00D14">
        <w:rPr>
          <w:rFonts w:ascii="Times New Roman" w:hAnsi="Times New Roman" w:cs="Times New Roman"/>
          <w:b/>
          <w:bCs/>
          <w:color w:val="000000" w:themeColor="text1"/>
          <w:sz w:val="28"/>
          <w:szCs w:val="28"/>
        </w:rPr>
        <w:t xml:space="preserve">Agencia Nacional de Contratación Pública- Colombia Compra Eficiente </w:t>
      </w:r>
      <w:r w:rsidRPr="00D00D14">
        <w:rPr>
          <w:rFonts w:ascii="Times New Roman" w:hAnsi="Times New Roman" w:cs="Times New Roman"/>
          <w:b/>
          <w:bCs/>
          <w:color w:val="000000" w:themeColor="text1"/>
          <w:sz w:val="28"/>
          <w:szCs w:val="28"/>
        </w:rPr>
        <w:t>(ANCP- CCE)</w:t>
      </w:r>
      <w:r w:rsidRPr="00D00D14">
        <w:rPr>
          <w:rStyle w:val="Refdenotaalpie"/>
          <w:rFonts w:ascii="Times New Roman" w:hAnsi="Times New Roman" w:cs="Times New Roman"/>
          <w:b/>
          <w:bCs/>
          <w:color w:val="000000" w:themeColor="text1"/>
          <w:sz w:val="28"/>
          <w:szCs w:val="28"/>
        </w:rPr>
        <w:footnoteReference w:id="3"/>
      </w:r>
      <w:r w:rsidRPr="00D00D14">
        <w:rPr>
          <w:rFonts w:ascii="Times New Roman" w:hAnsi="Times New Roman" w:cs="Times New Roman"/>
          <w:b/>
          <w:bCs/>
          <w:color w:val="000000" w:themeColor="text1"/>
          <w:sz w:val="28"/>
          <w:szCs w:val="28"/>
        </w:rPr>
        <w:t>.</w:t>
      </w:r>
    </w:p>
    <w:p w:rsidR="000F329E" w:rsidRPr="00D00D14" w:rsidRDefault="00D00D14" w:rsidP="009B30FB">
      <w:pPr>
        <w:spacing w:after="0" w:line="240" w:lineRule="auto"/>
        <w:jc w:val="both"/>
        <w:rPr>
          <w:rFonts w:ascii="Times New Roman" w:hAnsi="Times New Roman" w:cs="Times New Roman"/>
          <w:b/>
          <w:bCs/>
          <w:color w:val="000000" w:themeColor="text1"/>
          <w:sz w:val="28"/>
          <w:szCs w:val="28"/>
        </w:rPr>
      </w:pPr>
    </w:p>
    <w:p w:rsidR="0077294A" w:rsidRPr="00D00D14" w:rsidRDefault="00D00D14" w:rsidP="009B30FB">
      <w:pPr>
        <w:pStyle w:val="Prrafodelista"/>
        <w:numPr>
          <w:ilvl w:val="0"/>
          <w:numId w:val="2"/>
        </w:numPr>
        <w:tabs>
          <w:tab w:val="clear" w:pos="3368"/>
          <w:tab w:val="num" w:pos="0"/>
          <w:tab w:val="left" w:pos="426"/>
        </w:tabs>
        <w:spacing w:after="0" w:line="240" w:lineRule="auto"/>
        <w:ind w:left="0" w:firstLine="0"/>
        <w:jc w:val="both"/>
        <w:rPr>
          <w:rFonts w:ascii="Times New Roman" w:hAnsi="Times New Roman" w:cs="Times New Roman"/>
          <w:color w:val="000000" w:themeColor="text1"/>
          <w:sz w:val="28"/>
          <w:szCs w:val="28"/>
        </w:rPr>
      </w:pPr>
      <w:r w:rsidRPr="00D00D14">
        <w:rPr>
          <w:rFonts w:ascii="Times New Roman" w:hAnsi="Times New Roman" w:cs="Times New Roman"/>
          <w:color w:val="000000" w:themeColor="text1"/>
          <w:sz w:val="28"/>
          <w:szCs w:val="28"/>
        </w:rPr>
        <w:t xml:space="preserve">La Agencia Nacional de Contratación Pública </w:t>
      </w:r>
      <w:r w:rsidRPr="00D00D14">
        <w:rPr>
          <w:rFonts w:ascii="Times New Roman" w:hAnsi="Times New Roman" w:cs="Times New Roman"/>
          <w:color w:val="000000" w:themeColor="text1"/>
          <w:sz w:val="28"/>
          <w:szCs w:val="28"/>
        </w:rPr>
        <w:t>-</w:t>
      </w:r>
      <w:r w:rsidRPr="00D00D14">
        <w:rPr>
          <w:rFonts w:ascii="Times New Roman" w:hAnsi="Times New Roman" w:cs="Times New Roman"/>
          <w:color w:val="000000" w:themeColor="text1"/>
          <w:sz w:val="28"/>
          <w:szCs w:val="28"/>
        </w:rPr>
        <w:t>Colombia Compra Eficiente (ANCP‑CCE)</w:t>
      </w:r>
      <w:r w:rsidRPr="00D00D14">
        <w:rPr>
          <w:rFonts w:ascii="Times New Roman" w:hAnsi="Times New Roman" w:cs="Times New Roman"/>
          <w:color w:val="000000" w:themeColor="text1"/>
          <w:sz w:val="28"/>
          <w:szCs w:val="28"/>
        </w:rPr>
        <w:t>-</w:t>
      </w:r>
      <w:r w:rsidRPr="00D00D14">
        <w:rPr>
          <w:rFonts w:ascii="Times New Roman" w:hAnsi="Times New Roman" w:cs="Times New Roman"/>
          <w:color w:val="000000" w:themeColor="text1"/>
          <w:sz w:val="28"/>
          <w:szCs w:val="28"/>
        </w:rPr>
        <w:t xml:space="preserve"> </w:t>
      </w:r>
      <w:r w:rsidRPr="00D00D14">
        <w:rPr>
          <w:rFonts w:ascii="Times New Roman" w:hAnsi="Times New Roman" w:cs="Times New Roman"/>
          <w:color w:val="000000" w:themeColor="text1"/>
          <w:sz w:val="28"/>
          <w:szCs w:val="28"/>
        </w:rPr>
        <w:t xml:space="preserve">sostiene que </w:t>
      </w:r>
      <w:r w:rsidRPr="00D00D14">
        <w:rPr>
          <w:rFonts w:ascii="Times New Roman" w:hAnsi="Times New Roman" w:cs="Times New Roman"/>
          <w:color w:val="000000" w:themeColor="text1"/>
          <w:sz w:val="28"/>
          <w:szCs w:val="28"/>
        </w:rPr>
        <w:t>los contratos de prestación de servicios profesionales no suponen el ejercicio de función pública, ya que su objeto se limita a actividades vincu</w:t>
      </w:r>
      <w:r w:rsidRPr="00D00D14">
        <w:rPr>
          <w:rFonts w:ascii="Times New Roman" w:hAnsi="Times New Roman" w:cs="Times New Roman"/>
          <w:color w:val="000000" w:themeColor="text1"/>
          <w:sz w:val="28"/>
          <w:szCs w:val="28"/>
        </w:rPr>
        <w:t xml:space="preserve">ladas a la administración o funcionamiento de la entidad, sin subordinación ni dependencia. Señala que, aunque estos contratos implican colaboración con la </w:t>
      </w:r>
      <w:r w:rsidRPr="00D00D14">
        <w:rPr>
          <w:rFonts w:ascii="Times New Roman" w:hAnsi="Times New Roman" w:cs="Times New Roman"/>
          <w:color w:val="000000" w:themeColor="text1"/>
          <w:sz w:val="28"/>
          <w:szCs w:val="28"/>
        </w:rPr>
        <w:t>a</w:t>
      </w:r>
      <w:r w:rsidRPr="00D00D14">
        <w:rPr>
          <w:rFonts w:ascii="Times New Roman" w:hAnsi="Times New Roman" w:cs="Times New Roman"/>
          <w:color w:val="000000" w:themeColor="text1"/>
          <w:sz w:val="28"/>
          <w:szCs w:val="28"/>
        </w:rPr>
        <w:t>dministración, los contratistas no adquieren la calidad de servidores públicos, porque no se formal</w:t>
      </w:r>
      <w:r w:rsidRPr="00D00D14">
        <w:rPr>
          <w:rFonts w:ascii="Times New Roman" w:hAnsi="Times New Roman" w:cs="Times New Roman"/>
          <w:color w:val="000000" w:themeColor="text1"/>
          <w:sz w:val="28"/>
          <w:szCs w:val="28"/>
        </w:rPr>
        <w:t>iza un vínculo laboral ni se les asignan funciones públicas en los términos de los artículos 123 y 210 de la Constitución. Agrega que solo excepcionalmente, y mediante el procedimiento previsto en la Ley 489 de 1998 (acto administrativo y convenio con conv</w:t>
      </w:r>
      <w:r w:rsidRPr="00D00D14">
        <w:rPr>
          <w:rFonts w:ascii="Times New Roman" w:hAnsi="Times New Roman" w:cs="Times New Roman"/>
          <w:color w:val="000000" w:themeColor="text1"/>
          <w:sz w:val="28"/>
          <w:szCs w:val="28"/>
        </w:rPr>
        <w:t xml:space="preserve">ocatoria pública), los particulares pueden ser habilitados para ejercer funciones públicas, lo cual no ocurre con la simple celebración de contratos de prestación de servicios. </w:t>
      </w:r>
    </w:p>
    <w:p w:rsidR="0077294A" w:rsidRPr="00D00D14" w:rsidRDefault="00D00D14" w:rsidP="009B30FB">
      <w:pPr>
        <w:pStyle w:val="Prrafodelista"/>
        <w:spacing w:after="0" w:line="240" w:lineRule="auto"/>
        <w:ind w:left="0"/>
        <w:rPr>
          <w:rFonts w:ascii="Times New Roman" w:hAnsi="Times New Roman" w:cs="Times New Roman"/>
          <w:color w:val="000000" w:themeColor="text1"/>
          <w:sz w:val="28"/>
          <w:szCs w:val="28"/>
        </w:rPr>
      </w:pPr>
    </w:p>
    <w:p w:rsidR="00394DBB" w:rsidRPr="00D00D14" w:rsidRDefault="00D00D14" w:rsidP="009B30FB">
      <w:pPr>
        <w:pStyle w:val="Prrafodelista"/>
        <w:numPr>
          <w:ilvl w:val="0"/>
          <w:numId w:val="2"/>
        </w:numPr>
        <w:tabs>
          <w:tab w:val="clear" w:pos="3368"/>
          <w:tab w:val="num" w:pos="0"/>
          <w:tab w:val="left" w:pos="426"/>
        </w:tabs>
        <w:spacing w:after="0" w:line="240" w:lineRule="auto"/>
        <w:ind w:left="0" w:firstLine="0"/>
        <w:jc w:val="both"/>
        <w:rPr>
          <w:rFonts w:ascii="Times New Roman" w:hAnsi="Times New Roman" w:cs="Times New Roman"/>
          <w:color w:val="000000" w:themeColor="text1"/>
          <w:sz w:val="28"/>
          <w:szCs w:val="28"/>
        </w:rPr>
      </w:pPr>
      <w:r w:rsidRPr="00D00D14">
        <w:rPr>
          <w:rFonts w:ascii="Times New Roman" w:hAnsi="Times New Roman" w:cs="Times New Roman"/>
          <w:color w:val="000000" w:themeColor="text1"/>
          <w:sz w:val="28"/>
          <w:szCs w:val="28"/>
        </w:rPr>
        <w:t xml:space="preserve">En consecuencia, la Agencia concluye que el artículo 110 constitucional </w:t>
      </w:r>
      <w:r w:rsidRPr="00D00D14">
        <w:rPr>
          <w:rFonts w:ascii="Times New Roman" w:hAnsi="Times New Roman" w:cs="Times New Roman"/>
          <w:color w:val="000000" w:themeColor="text1"/>
          <w:sz w:val="28"/>
          <w:szCs w:val="28"/>
        </w:rPr>
        <w:t>-</w:t>
      </w:r>
      <w:r w:rsidRPr="00D00D14">
        <w:rPr>
          <w:rFonts w:ascii="Times New Roman" w:hAnsi="Times New Roman" w:cs="Times New Roman"/>
          <w:color w:val="000000" w:themeColor="text1"/>
          <w:sz w:val="28"/>
          <w:szCs w:val="28"/>
        </w:rPr>
        <w:t xml:space="preserve">que </w:t>
      </w:r>
      <w:r w:rsidRPr="00D00D14">
        <w:rPr>
          <w:rFonts w:ascii="Times New Roman" w:hAnsi="Times New Roman" w:cs="Times New Roman"/>
          <w:color w:val="000000" w:themeColor="text1"/>
          <w:sz w:val="28"/>
          <w:szCs w:val="28"/>
        </w:rPr>
        <w:t>prohíbe a quienes desempeñan funciones públicas hacer contribuciones electorales</w:t>
      </w:r>
      <w:r w:rsidRPr="00D00D14">
        <w:rPr>
          <w:rFonts w:ascii="Times New Roman" w:hAnsi="Times New Roman" w:cs="Times New Roman"/>
          <w:color w:val="000000" w:themeColor="text1"/>
          <w:sz w:val="28"/>
          <w:szCs w:val="28"/>
        </w:rPr>
        <w:t>-</w:t>
      </w:r>
      <w:r w:rsidRPr="00D00D14">
        <w:rPr>
          <w:rFonts w:ascii="Times New Roman" w:hAnsi="Times New Roman" w:cs="Times New Roman"/>
          <w:color w:val="000000" w:themeColor="text1"/>
          <w:sz w:val="28"/>
          <w:szCs w:val="28"/>
        </w:rPr>
        <w:t xml:space="preserve"> no es aplicable a los contratistas de prestación de servicios profesionales, quienes son particulares y pueden ejercer sus derechos políticos, salvo las limitaciones prevista</w:t>
      </w:r>
      <w:r w:rsidRPr="00D00D14">
        <w:rPr>
          <w:rFonts w:ascii="Times New Roman" w:hAnsi="Times New Roman" w:cs="Times New Roman"/>
          <w:color w:val="000000" w:themeColor="text1"/>
          <w:sz w:val="28"/>
          <w:szCs w:val="28"/>
        </w:rPr>
        <w:t>s legalmente. Por ello, considera que tanto el umbral del 2% como la excepción respecto de estos contratos se enmarcan en la competencia del Congreso para regular la capacidad contractual y la financiación privada de campañas conforme al artículo 109 de la</w:t>
      </w:r>
      <w:r w:rsidRPr="00D00D14">
        <w:rPr>
          <w:rFonts w:ascii="Times New Roman" w:hAnsi="Times New Roman" w:cs="Times New Roman"/>
          <w:color w:val="000000" w:themeColor="text1"/>
          <w:sz w:val="28"/>
          <w:szCs w:val="28"/>
        </w:rPr>
        <w:t xml:space="preserve"> Constitución.</w:t>
      </w:r>
    </w:p>
    <w:p w:rsidR="00394DBB" w:rsidRPr="00D00D14" w:rsidRDefault="00D00D14" w:rsidP="009B30FB">
      <w:pPr>
        <w:pStyle w:val="Prrafodelista"/>
        <w:spacing w:after="0" w:line="240" w:lineRule="auto"/>
        <w:ind w:left="0"/>
        <w:rPr>
          <w:rFonts w:ascii="Times New Roman" w:hAnsi="Times New Roman" w:cs="Times New Roman"/>
          <w:color w:val="000000" w:themeColor="text1"/>
          <w:sz w:val="28"/>
          <w:szCs w:val="28"/>
        </w:rPr>
      </w:pPr>
    </w:p>
    <w:p w:rsidR="0077294A" w:rsidRPr="00D00D14" w:rsidRDefault="00D00D14" w:rsidP="009B30FB">
      <w:pPr>
        <w:pStyle w:val="Prrafodelista"/>
        <w:numPr>
          <w:ilvl w:val="0"/>
          <w:numId w:val="2"/>
        </w:numPr>
        <w:tabs>
          <w:tab w:val="clear" w:pos="3368"/>
          <w:tab w:val="num" w:pos="0"/>
          <w:tab w:val="left" w:pos="426"/>
        </w:tabs>
        <w:spacing w:after="0" w:line="240" w:lineRule="auto"/>
        <w:ind w:left="0" w:firstLine="0"/>
        <w:jc w:val="both"/>
        <w:rPr>
          <w:rFonts w:ascii="Times New Roman" w:hAnsi="Times New Roman" w:cs="Times New Roman"/>
          <w:color w:val="000000" w:themeColor="text1"/>
          <w:sz w:val="28"/>
          <w:szCs w:val="28"/>
        </w:rPr>
      </w:pPr>
      <w:r w:rsidRPr="00D00D14">
        <w:rPr>
          <w:rFonts w:ascii="Times New Roman" w:hAnsi="Times New Roman" w:cs="Times New Roman"/>
          <w:color w:val="000000" w:themeColor="text1"/>
          <w:sz w:val="28"/>
          <w:szCs w:val="28"/>
        </w:rPr>
        <w:t xml:space="preserve">Finalmente, la ANCP‑CCE solicita a la Corte </w:t>
      </w:r>
      <w:r w:rsidRPr="00D00D14">
        <w:rPr>
          <w:rFonts w:ascii="Times New Roman" w:hAnsi="Times New Roman" w:cs="Times New Roman"/>
          <w:color w:val="000000" w:themeColor="text1"/>
          <w:sz w:val="28"/>
          <w:szCs w:val="28"/>
        </w:rPr>
        <w:t>declarar</w:t>
      </w:r>
      <w:r w:rsidRPr="00D00D14">
        <w:rPr>
          <w:rFonts w:ascii="Times New Roman" w:hAnsi="Times New Roman" w:cs="Times New Roman"/>
          <w:color w:val="000000" w:themeColor="text1"/>
          <w:sz w:val="28"/>
          <w:szCs w:val="28"/>
        </w:rPr>
        <w:t xml:space="preserve"> la constitucionalidad de los apartes demandados del artículo 33 de la Ley 1778 de 2016, al estimar que no vulneran el artículo 110 de la Constitución, pues los contratistas de prestación </w:t>
      </w:r>
      <w:r w:rsidRPr="00D00D14">
        <w:rPr>
          <w:rFonts w:ascii="Times New Roman" w:hAnsi="Times New Roman" w:cs="Times New Roman"/>
          <w:color w:val="000000" w:themeColor="text1"/>
          <w:sz w:val="28"/>
          <w:szCs w:val="28"/>
        </w:rPr>
        <w:t>de servicios profesionales no desarrollan función pública y, por tanto, no están cobijados por dicha prohibición constitucional.</w:t>
      </w:r>
    </w:p>
    <w:p w:rsidR="004F565B" w:rsidRPr="00D00D14" w:rsidRDefault="00D00D14" w:rsidP="009B30FB">
      <w:pPr>
        <w:pStyle w:val="Prrafodelista"/>
        <w:spacing w:after="0" w:line="240" w:lineRule="auto"/>
        <w:ind w:left="0"/>
        <w:rPr>
          <w:rFonts w:ascii="Times New Roman" w:hAnsi="Times New Roman" w:cs="Times New Roman"/>
          <w:b/>
          <w:bCs/>
          <w:color w:val="000000" w:themeColor="text1"/>
          <w:sz w:val="28"/>
          <w:szCs w:val="28"/>
        </w:rPr>
      </w:pPr>
    </w:p>
    <w:p w:rsidR="008F4D0B" w:rsidRPr="00D00D14" w:rsidRDefault="00D00D14" w:rsidP="007648C9">
      <w:pPr>
        <w:pStyle w:val="Prrafodelista"/>
        <w:numPr>
          <w:ilvl w:val="0"/>
          <w:numId w:val="3"/>
        </w:numPr>
        <w:tabs>
          <w:tab w:val="left" w:pos="284"/>
        </w:tabs>
        <w:spacing w:after="0" w:line="240" w:lineRule="auto"/>
        <w:ind w:left="0" w:firstLine="0"/>
        <w:jc w:val="both"/>
        <w:rPr>
          <w:rFonts w:ascii="Times New Roman" w:hAnsi="Times New Roman" w:cs="Times New Roman"/>
          <w:b/>
          <w:bCs/>
          <w:color w:val="000000" w:themeColor="text1"/>
          <w:sz w:val="28"/>
          <w:szCs w:val="28"/>
        </w:rPr>
      </w:pPr>
      <w:r w:rsidRPr="00D00D14">
        <w:rPr>
          <w:rFonts w:ascii="Times New Roman" w:hAnsi="Times New Roman" w:cs="Times New Roman"/>
          <w:b/>
          <w:bCs/>
          <w:color w:val="000000" w:themeColor="text1"/>
          <w:sz w:val="28"/>
          <w:szCs w:val="28"/>
        </w:rPr>
        <w:t>Concepto de</w:t>
      </w:r>
      <w:r w:rsidRPr="00D00D14">
        <w:rPr>
          <w:rFonts w:ascii="Times New Roman" w:hAnsi="Times New Roman" w:cs="Times New Roman"/>
          <w:b/>
          <w:bCs/>
          <w:color w:val="000000" w:themeColor="text1"/>
          <w:sz w:val="28"/>
          <w:szCs w:val="28"/>
        </w:rPr>
        <w:t xml:space="preserve"> </w:t>
      </w:r>
      <w:r w:rsidRPr="00D00D14">
        <w:rPr>
          <w:rFonts w:ascii="Times New Roman" w:hAnsi="Times New Roman" w:cs="Times New Roman"/>
          <w:b/>
          <w:bCs/>
          <w:color w:val="000000" w:themeColor="text1"/>
          <w:sz w:val="28"/>
          <w:szCs w:val="28"/>
        </w:rPr>
        <w:t>l</w:t>
      </w:r>
      <w:r w:rsidRPr="00D00D14">
        <w:rPr>
          <w:rFonts w:ascii="Times New Roman" w:hAnsi="Times New Roman" w:cs="Times New Roman"/>
          <w:b/>
          <w:bCs/>
          <w:color w:val="000000" w:themeColor="text1"/>
          <w:sz w:val="28"/>
          <w:szCs w:val="28"/>
        </w:rPr>
        <w:t>a</w:t>
      </w:r>
      <w:r w:rsidRPr="00D00D14">
        <w:rPr>
          <w:rFonts w:ascii="Times New Roman" w:hAnsi="Times New Roman" w:cs="Times New Roman"/>
          <w:b/>
          <w:bCs/>
          <w:color w:val="000000" w:themeColor="text1"/>
          <w:sz w:val="28"/>
          <w:szCs w:val="28"/>
        </w:rPr>
        <w:t xml:space="preserve"> </w:t>
      </w:r>
      <w:r w:rsidRPr="00D00D14">
        <w:rPr>
          <w:rFonts w:ascii="Times New Roman" w:hAnsi="Times New Roman" w:cs="Times New Roman"/>
          <w:b/>
          <w:bCs/>
          <w:color w:val="000000" w:themeColor="text1"/>
          <w:sz w:val="28"/>
          <w:szCs w:val="28"/>
        </w:rPr>
        <w:t>Procuraduría</w:t>
      </w:r>
      <w:r w:rsidRPr="00D00D14">
        <w:rPr>
          <w:rFonts w:ascii="Times New Roman" w:hAnsi="Times New Roman" w:cs="Times New Roman"/>
          <w:b/>
          <w:bCs/>
          <w:color w:val="000000" w:themeColor="text1"/>
          <w:sz w:val="28"/>
          <w:szCs w:val="28"/>
        </w:rPr>
        <w:t xml:space="preserve"> General de la Nación</w:t>
      </w:r>
    </w:p>
    <w:p w:rsidR="008F4D0B" w:rsidRPr="00D00D14" w:rsidRDefault="00D00D14" w:rsidP="009B30FB">
      <w:pPr>
        <w:tabs>
          <w:tab w:val="num" w:pos="0"/>
          <w:tab w:val="left" w:pos="426"/>
        </w:tabs>
        <w:spacing w:after="0" w:line="240" w:lineRule="auto"/>
        <w:jc w:val="both"/>
        <w:rPr>
          <w:rFonts w:ascii="Times New Roman" w:hAnsi="Times New Roman" w:cs="Times New Roman"/>
          <w:b/>
          <w:bCs/>
          <w:color w:val="000000" w:themeColor="text1"/>
          <w:sz w:val="28"/>
          <w:szCs w:val="28"/>
        </w:rPr>
      </w:pPr>
    </w:p>
    <w:p w:rsidR="008F4D0B" w:rsidRPr="00D00D14" w:rsidRDefault="00D00D14" w:rsidP="009B30FB">
      <w:pPr>
        <w:pStyle w:val="Prrafodelista"/>
        <w:numPr>
          <w:ilvl w:val="0"/>
          <w:numId w:val="2"/>
        </w:numPr>
        <w:tabs>
          <w:tab w:val="left" w:pos="426"/>
        </w:tabs>
        <w:spacing w:after="0" w:line="240" w:lineRule="auto"/>
        <w:ind w:left="0" w:firstLine="0"/>
        <w:jc w:val="both"/>
        <w:rPr>
          <w:rFonts w:ascii="Times New Roman" w:hAnsi="Times New Roman" w:cs="Times New Roman"/>
          <w:color w:val="000000" w:themeColor="text1"/>
          <w:sz w:val="28"/>
          <w:szCs w:val="28"/>
        </w:rPr>
      </w:pPr>
      <w:r w:rsidRPr="00D00D14">
        <w:rPr>
          <w:rFonts w:ascii="Times New Roman" w:hAnsi="Times New Roman" w:cs="Times New Roman"/>
          <w:color w:val="000000" w:themeColor="text1"/>
          <w:sz w:val="28"/>
          <w:szCs w:val="28"/>
        </w:rPr>
        <w:t xml:space="preserve">El 24 de octubre de 2025, la Procuraduría General de la Nación presentó su </w:t>
      </w:r>
      <w:r w:rsidRPr="00D00D14">
        <w:rPr>
          <w:rFonts w:ascii="Times New Roman" w:hAnsi="Times New Roman" w:cs="Times New Roman"/>
          <w:color w:val="000000" w:themeColor="text1"/>
          <w:sz w:val="28"/>
          <w:szCs w:val="28"/>
        </w:rPr>
        <w:t>concepto en el proceso de constitucionalidad sobre la demanda contra el artículo 33 de la Ley 1778 de 2016, que regula la inhabilidad para contratar con el Estado a quienes financien campañas políticas, en particular, la exclusión de los contratos de prest</w:t>
      </w:r>
      <w:r w:rsidRPr="00D00D14">
        <w:rPr>
          <w:rFonts w:ascii="Times New Roman" w:hAnsi="Times New Roman" w:cs="Times New Roman"/>
          <w:color w:val="000000" w:themeColor="text1"/>
          <w:sz w:val="28"/>
          <w:szCs w:val="28"/>
        </w:rPr>
        <w:t>ación de servicios profesionales.</w:t>
      </w:r>
    </w:p>
    <w:p w:rsidR="008F4D0B" w:rsidRPr="00D00D14" w:rsidRDefault="00D00D14" w:rsidP="009B30FB">
      <w:pPr>
        <w:pStyle w:val="Prrafodelista"/>
        <w:tabs>
          <w:tab w:val="left" w:pos="426"/>
        </w:tabs>
        <w:spacing w:after="0" w:line="240" w:lineRule="auto"/>
        <w:ind w:left="0"/>
        <w:jc w:val="both"/>
        <w:rPr>
          <w:rFonts w:ascii="Times New Roman" w:hAnsi="Times New Roman" w:cs="Times New Roman"/>
          <w:color w:val="000000" w:themeColor="text1"/>
          <w:sz w:val="28"/>
          <w:szCs w:val="28"/>
        </w:rPr>
      </w:pPr>
    </w:p>
    <w:p w:rsidR="008F4D0B" w:rsidRPr="00D00D14" w:rsidRDefault="00D00D14" w:rsidP="009B30FB">
      <w:pPr>
        <w:pStyle w:val="Prrafodelista"/>
        <w:numPr>
          <w:ilvl w:val="0"/>
          <w:numId w:val="2"/>
        </w:numPr>
        <w:tabs>
          <w:tab w:val="left" w:pos="426"/>
        </w:tabs>
        <w:spacing w:after="0" w:line="240" w:lineRule="auto"/>
        <w:ind w:left="0" w:firstLine="0"/>
        <w:jc w:val="both"/>
        <w:rPr>
          <w:rFonts w:ascii="Times New Roman" w:hAnsi="Times New Roman" w:cs="Times New Roman"/>
          <w:color w:val="000000" w:themeColor="text1"/>
          <w:sz w:val="28"/>
          <w:szCs w:val="28"/>
        </w:rPr>
      </w:pPr>
      <w:r w:rsidRPr="00D00D14">
        <w:rPr>
          <w:rFonts w:ascii="Times New Roman" w:hAnsi="Times New Roman" w:cs="Times New Roman"/>
          <w:color w:val="000000" w:themeColor="text1"/>
          <w:sz w:val="28"/>
          <w:szCs w:val="28"/>
        </w:rPr>
        <w:t xml:space="preserve">Antes de entrar en el fondo, el </w:t>
      </w:r>
      <w:r w:rsidRPr="00D00D14">
        <w:rPr>
          <w:rFonts w:ascii="Times New Roman" w:hAnsi="Times New Roman" w:cs="Times New Roman"/>
          <w:color w:val="000000" w:themeColor="text1"/>
          <w:sz w:val="28"/>
          <w:szCs w:val="28"/>
        </w:rPr>
        <w:t>p</w:t>
      </w:r>
      <w:r w:rsidRPr="00D00D14">
        <w:rPr>
          <w:rFonts w:ascii="Times New Roman" w:hAnsi="Times New Roman" w:cs="Times New Roman"/>
          <w:color w:val="000000" w:themeColor="text1"/>
          <w:sz w:val="28"/>
          <w:szCs w:val="28"/>
        </w:rPr>
        <w:t>rocurador realizó una manifestación de transparencia, informando que en su calidad de exsecretario general del Senado participó en el trámite legislativo que dio origen a la Ley 1778 de 20</w:t>
      </w:r>
      <w:r w:rsidRPr="00D00D14">
        <w:rPr>
          <w:rFonts w:ascii="Times New Roman" w:hAnsi="Times New Roman" w:cs="Times New Roman"/>
          <w:color w:val="000000" w:themeColor="text1"/>
          <w:sz w:val="28"/>
          <w:szCs w:val="28"/>
        </w:rPr>
        <w:t>16. Sin embargo, aclaró que su intervención se limitó a funciones administrativas, sin incidencia activa ni determinante en la aprobación del texto, por lo que no existe causal de impedimento. Esta declaración busca garantizar la imparcialidad y evitar dil</w:t>
      </w:r>
      <w:r w:rsidRPr="00D00D14">
        <w:rPr>
          <w:rFonts w:ascii="Times New Roman" w:hAnsi="Times New Roman" w:cs="Times New Roman"/>
          <w:color w:val="000000" w:themeColor="text1"/>
          <w:sz w:val="28"/>
          <w:szCs w:val="28"/>
        </w:rPr>
        <w:t xml:space="preserve">aciones en el proceso. </w:t>
      </w:r>
    </w:p>
    <w:p w:rsidR="008F4D0B" w:rsidRPr="00D00D14" w:rsidRDefault="00D00D14" w:rsidP="009B30FB">
      <w:pPr>
        <w:pStyle w:val="Prrafodelista"/>
        <w:spacing w:after="0" w:line="240" w:lineRule="auto"/>
        <w:ind w:left="0"/>
        <w:rPr>
          <w:rFonts w:ascii="Times New Roman" w:hAnsi="Times New Roman" w:cs="Times New Roman"/>
          <w:color w:val="000000" w:themeColor="text1"/>
          <w:sz w:val="28"/>
          <w:szCs w:val="28"/>
        </w:rPr>
      </w:pPr>
    </w:p>
    <w:p w:rsidR="008F4D0B" w:rsidRPr="00D00D14" w:rsidRDefault="00D00D14" w:rsidP="009B30FB">
      <w:pPr>
        <w:pStyle w:val="Prrafodelista"/>
        <w:numPr>
          <w:ilvl w:val="0"/>
          <w:numId w:val="2"/>
        </w:numPr>
        <w:tabs>
          <w:tab w:val="left" w:pos="426"/>
        </w:tabs>
        <w:overflowPunct w:val="0"/>
        <w:autoSpaceDE w:val="0"/>
        <w:autoSpaceDN w:val="0"/>
        <w:adjustRightInd w:val="0"/>
        <w:spacing w:after="0" w:line="240" w:lineRule="auto"/>
        <w:ind w:left="0" w:firstLine="0"/>
        <w:jc w:val="both"/>
        <w:textAlignment w:val="baseline"/>
        <w:rPr>
          <w:rFonts w:ascii="Times New Roman" w:hAnsi="Times New Roman" w:cs="Times New Roman"/>
          <w:color w:val="000000" w:themeColor="text1"/>
          <w:sz w:val="28"/>
          <w:szCs w:val="28"/>
        </w:rPr>
      </w:pPr>
      <w:r w:rsidRPr="00D00D14">
        <w:rPr>
          <w:rFonts w:ascii="Times New Roman" w:hAnsi="Times New Roman" w:cs="Times New Roman"/>
          <w:color w:val="000000" w:themeColor="text1"/>
          <w:sz w:val="28"/>
          <w:szCs w:val="28"/>
        </w:rPr>
        <w:t>La Procuraduría inicia recordando que la demanda fue presentada contra apartes del numeral 7</w:t>
      </w:r>
      <w:r w:rsidRPr="00D00D14">
        <w:rPr>
          <w:rFonts w:ascii="Times New Roman" w:hAnsi="Times New Roman" w:cs="Times New Roman"/>
          <w:color w:val="000000" w:themeColor="text1"/>
          <w:sz w:val="28"/>
          <w:szCs w:val="28"/>
        </w:rPr>
        <w:t>º</w:t>
      </w:r>
      <w:r w:rsidRPr="00D00D14">
        <w:rPr>
          <w:rFonts w:ascii="Times New Roman" w:hAnsi="Times New Roman" w:cs="Times New Roman"/>
          <w:color w:val="000000" w:themeColor="text1"/>
          <w:sz w:val="28"/>
          <w:szCs w:val="28"/>
        </w:rPr>
        <w:t xml:space="preserve"> del artículo 27 de la Ley 1475 de 2011 y del artículo 33 de la Ley 1778 de 2016, pero que la Corte solo admitió el estudio respecto de es</w:t>
      </w:r>
      <w:r w:rsidRPr="00D00D14">
        <w:rPr>
          <w:rFonts w:ascii="Times New Roman" w:hAnsi="Times New Roman" w:cs="Times New Roman"/>
          <w:color w:val="000000" w:themeColor="text1"/>
          <w:sz w:val="28"/>
          <w:szCs w:val="28"/>
        </w:rPr>
        <w:t>te último, en relación con el único cargo formulado por presunta vulneración del artículo 110 de la Constitución. La demanda alegaba que las normas cuestionadas permiten que personas que ejercen función pública mediante contratos contribuyan a campañas, lo</w:t>
      </w:r>
      <w:r w:rsidRPr="00D00D14">
        <w:rPr>
          <w:rFonts w:ascii="Times New Roman" w:hAnsi="Times New Roman" w:cs="Times New Roman"/>
          <w:color w:val="000000" w:themeColor="text1"/>
          <w:sz w:val="28"/>
          <w:szCs w:val="28"/>
        </w:rPr>
        <w:t xml:space="preserve"> cual generaría riesgos de captura institucional, conflicto de intereses y retorno de favores políticos. Sin embargo, el magistrado sustanciador concluyó que solo la acusación sobre el artículo 33 cumplía los requisitos mínimos de claridad, pertinencia y e</w:t>
      </w:r>
      <w:r w:rsidRPr="00D00D14">
        <w:rPr>
          <w:rFonts w:ascii="Times New Roman" w:hAnsi="Times New Roman" w:cs="Times New Roman"/>
          <w:color w:val="000000" w:themeColor="text1"/>
          <w:sz w:val="28"/>
          <w:szCs w:val="28"/>
        </w:rPr>
        <w:t xml:space="preserve">specificidad para habilitar el examen de fondo. </w:t>
      </w:r>
    </w:p>
    <w:p w:rsidR="008F4D0B" w:rsidRPr="00D00D14" w:rsidRDefault="00D00D14" w:rsidP="009B30FB">
      <w:pPr>
        <w:pStyle w:val="Prrafodelista"/>
        <w:spacing w:after="0" w:line="240" w:lineRule="auto"/>
        <w:ind w:left="0"/>
        <w:rPr>
          <w:rFonts w:ascii="Times New Roman" w:hAnsi="Times New Roman" w:cs="Times New Roman"/>
          <w:color w:val="000000" w:themeColor="text1"/>
          <w:sz w:val="28"/>
          <w:szCs w:val="28"/>
        </w:rPr>
      </w:pPr>
    </w:p>
    <w:p w:rsidR="008F4D0B" w:rsidRPr="00D00D14" w:rsidRDefault="00D00D14" w:rsidP="009B30FB">
      <w:pPr>
        <w:pStyle w:val="Prrafodelista"/>
        <w:numPr>
          <w:ilvl w:val="0"/>
          <w:numId w:val="2"/>
        </w:numPr>
        <w:tabs>
          <w:tab w:val="left" w:pos="426"/>
        </w:tabs>
        <w:overflowPunct w:val="0"/>
        <w:autoSpaceDE w:val="0"/>
        <w:autoSpaceDN w:val="0"/>
        <w:adjustRightInd w:val="0"/>
        <w:spacing w:after="0" w:line="240" w:lineRule="auto"/>
        <w:ind w:left="0" w:firstLine="0"/>
        <w:jc w:val="both"/>
        <w:textAlignment w:val="baseline"/>
        <w:rPr>
          <w:rFonts w:ascii="Times New Roman" w:hAnsi="Times New Roman" w:cs="Times New Roman"/>
          <w:color w:val="000000" w:themeColor="text1"/>
          <w:sz w:val="28"/>
          <w:szCs w:val="28"/>
        </w:rPr>
      </w:pPr>
      <w:r w:rsidRPr="00D00D14">
        <w:rPr>
          <w:rFonts w:ascii="Times New Roman" w:hAnsi="Times New Roman" w:cs="Times New Roman"/>
          <w:color w:val="000000" w:themeColor="text1"/>
          <w:sz w:val="28"/>
          <w:szCs w:val="28"/>
        </w:rPr>
        <w:t xml:space="preserve">La Procuraduría </w:t>
      </w:r>
      <w:r w:rsidRPr="00D00D14">
        <w:rPr>
          <w:rFonts w:ascii="Times New Roman" w:hAnsi="Times New Roman" w:cs="Times New Roman"/>
          <w:color w:val="000000" w:themeColor="text1"/>
          <w:sz w:val="28"/>
          <w:szCs w:val="28"/>
        </w:rPr>
        <w:t>se refiere, en primer lugar, a</w:t>
      </w:r>
      <w:r w:rsidRPr="00D00D14">
        <w:rPr>
          <w:rFonts w:ascii="Times New Roman" w:hAnsi="Times New Roman" w:cs="Times New Roman"/>
          <w:color w:val="000000" w:themeColor="text1"/>
          <w:sz w:val="28"/>
          <w:szCs w:val="28"/>
        </w:rPr>
        <w:t xml:space="preserve"> la ineptitud del cargo dirigido contra la expresión “con aportes superiores al dos por ciento”, señalando que el actor no explicó cómo dicho umbral vulnera dir</w:t>
      </w:r>
      <w:r w:rsidRPr="00D00D14">
        <w:rPr>
          <w:rFonts w:ascii="Times New Roman" w:hAnsi="Times New Roman" w:cs="Times New Roman"/>
          <w:color w:val="000000" w:themeColor="text1"/>
          <w:sz w:val="28"/>
          <w:szCs w:val="28"/>
        </w:rPr>
        <w:t>ectamente el artículo 110, ni desarrolló un hilo argumentativo que permitiera identificar una contradicción normativa. Indica que el porcentaje es fruto de la potestad de configuración legislativa del Congreso en materia de financiación política, respaldad</w:t>
      </w:r>
      <w:r w:rsidRPr="00D00D14">
        <w:rPr>
          <w:rFonts w:ascii="Times New Roman" w:hAnsi="Times New Roman" w:cs="Times New Roman"/>
          <w:color w:val="000000" w:themeColor="text1"/>
          <w:sz w:val="28"/>
          <w:szCs w:val="28"/>
        </w:rPr>
        <w:t>a por los artículos 150 y 109 de la Constitución, y ampliamente reconocida por la jurisprudencia constitucional. En consecuencia, el Ministerio Público sostiene que este cargo es sustancialmente inepto y que la Corte debe inhibirse de pronunciarse de fondo</w:t>
      </w:r>
      <w:r w:rsidRPr="00D00D14">
        <w:rPr>
          <w:rFonts w:ascii="Times New Roman" w:hAnsi="Times New Roman" w:cs="Times New Roman"/>
          <w:color w:val="000000" w:themeColor="text1"/>
          <w:sz w:val="28"/>
          <w:szCs w:val="28"/>
        </w:rPr>
        <w:t xml:space="preserve">. </w:t>
      </w:r>
    </w:p>
    <w:p w:rsidR="008F4D0B" w:rsidRPr="00D00D14" w:rsidRDefault="00D00D14" w:rsidP="009B30FB">
      <w:pPr>
        <w:pStyle w:val="Prrafodelista"/>
        <w:spacing w:after="0" w:line="240" w:lineRule="auto"/>
        <w:ind w:left="0"/>
        <w:rPr>
          <w:rFonts w:ascii="Times New Roman" w:hAnsi="Times New Roman" w:cs="Times New Roman"/>
          <w:color w:val="000000" w:themeColor="text1"/>
          <w:sz w:val="28"/>
          <w:szCs w:val="28"/>
        </w:rPr>
      </w:pPr>
    </w:p>
    <w:p w:rsidR="008F4D0B" w:rsidRPr="00D00D14" w:rsidRDefault="00D00D14" w:rsidP="009B30FB">
      <w:pPr>
        <w:pStyle w:val="Prrafodelista"/>
        <w:numPr>
          <w:ilvl w:val="0"/>
          <w:numId w:val="2"/>
        </w:numPr>
        <w:tabs>
          <w:tab w:val="left" w:pos="426"/>
        </w:tabs>
        <w:overflowPunct w:val="0"/>
        <w:autoSpaceDE w:val="0"/>
        <w:autoSpaceDN w:val="0"/>
        <w:adjustRightInd w:val="0"/>
        <w:spacing w:after="0" w:line="240" w:lineRule="auto"/>
        <w:ind w:left="0" w:firstLine="0"/>
        <w:jc w:val="both"/>
        <w:textAlignment w:val="baseline"/>
        <w:rPr>
          <w:rFonts w:ascii="Times New Roman" w:hAnsi="Times New Roman" w:cs="Times New Roman"/>
          <w:color w:val="000000" w:themeColor="text1"/>
          <w:sz w:val="28"/>
          <w:szCs w:val="28"/>
        </w:rPr>
      </w:pPr>
      <w:r w:rsidRPr="00D00D14">
        <w:rPr>
          <w:rFonts w:ascii="Times New Roman" w:hAnsi="Times New Roman" w:cs="Times New Roman"/>
          <w:color w:val="000000" w:themeColor="text1"/>
          <w:sz w:val="28"/>
          <w:szCs w:val="28"/>
        </w:rPr>
        <w:t>Posteriormente, la Procuraduría centra su análisis en la cuestión verdaderamente admitida: la constitucionalidad de la excepción prevista en el artículo 33 de la Ley 1778 de 2016, que excluye de la inhabilidad a los contratos de prestación de servicios</w:t>
      </w:r>
      <w:r w:rsidRPr="00D00D14">
        <w:rPr>
          <w:rFonts w:ascii="Times New Roman" w:hAnsi="Times New Roman" w:cs="Times New Roman"/>
          <w:color w:val="000000" w:themeColor="text1"/>
          <w:sz w:val="28"/>
          <w:szCs w:val="28"/>
        </w:rPr>
        <w:t xml:space="preserve"> profesionales. El concepto </w:t>
      </w:r>
      <w:r w:rsidRPr="00D00D14">
        <w:rPr>
          <w:rFonts w:ascii="Times New Roman" w:hAnsi="Times New Roman" w:cs="Times New Roman"/>
          <w:color w:val="000000" w:themeColor="text1"/>
          <w:sz w:val="28"/>
          <w:szCs w:val="28"/>
        </w:rPr>
        <w:t>refiere</w:t>
      </w:r>
      <w:r w:rsidRPr="00D00D14">
        <w:rPr>
          <w:rFonts w:ascii="Times New Roman" w:hAnsi="Times New Roman" w:cs="Times New Roman"/>
          <w:color w:val="000000" w:themeColor="text1"/>
          <w:sz w:val="28"/>
          <w:szCs w:val="28"/>
        </w:rPr>
        <w:t xml:space="preserve"> que esta norma fue incorporada en el marco del fortalecimiento del régimen de integridad pública, buscando evitar vínculos de reciprocidad entre financiadores de campañas y la posterior contratación estatal. Plantea que </w:t>
      </w:r>
      <w:r w:rsidRPr="00D00D14">
        <w:rPr>
          <w:rFonts w:ascii="Times New Roman" w:hAnsi="Times New Roman" w:cs="Times New Roman"/>
          <w:color w:val="000000" w:themeColor="text1"/>
          <w:sz w:val="28"/>
          <w:szCs w:val="28"/>
        </w:rPr>
        <w:t>el Legislador quiso cortar posibles retornos indebidos derivados de aportes electorales, pero al mismo tiempo introdujo una excepción que permite a los financiadores celebrar contratos de prestación de servicios pese a haber aportado sumas superiores al 2%</w:t>
      </w:r>
      <w:r w:rsidRPr="00D00D14">
        <w:rPr>
          <w:rFonts w:ascii="Times New Roman" w:hAnsi="Times New Roman" w:cs="Times New Roman"/>
          <w:color w:val="000000" w:themeColor="text1"/>
          <w:sz w:val="28"/>
          <w:szCs w:val="28"/>
        </w:rPr>
        <w:t xml:space="preserve"> del tope máximo de campaña. </w:t>
      </w:r>
    </w:p>
    <w:p w:rsidR="008F4D0B" w:rsidRPr="00D00D14" w:rsidRDefault="00D00D14" w:rsidP="009B30FB">
      <w:pPr>
        <w:pStyle w:val="Prrafodelista"/>
        <w:spacing w:after="0" w:line="240" w:lineRule="auto"/>
        <w:ind w:left="0"/>
        <w:rPr>
          <w:rFonts w:ascii="Times New Roman" w:hAnsi="Times New Roman" w:cs="Times New Roman"/>
          <w:color w:val="000000" w:themeColor="text1"/>
          <w:sz w:val="28"/>
          <w:szCs w:val="28"/>
        </w:rPr>
      </w:pPr>
    </w:p>
    <w:p w:rsidR="008F4D0B" w:rsidRPr="00D00D14" w:rsidRDefault="00D00D14" w:rsidP="009B30FB">
      <w:pPr>
        <w:pStyle w:val="Prrafodelista"/>
        <w:numPr>
          <w:ilvl w:val="0"/>
          <w:numId w:val="2"/>
        </w:numPr>
        <w:tabs>
          <w:tab w:val="left" w:pos="426"/>
        </w:tabs>
        <w:overflowPunct w:val="0"/>
        <w:autoSpaceDE w:val="0"/>
        <w:autoSpaceDN w:val="0"/>
        <w:adjustRightInd w:val="0"/>
        <w:spacing w:after="0" w:line="240" w:lineRule="auto"/>
        <w:ind w:left="0" w:firstLine="0"/>
        <w:jc w:val="both"/>
        <w:textAlignment w:val="baseline"/>
        <w:rPr>
          <w:rFonts w:ascii="Times New Roman" w:hAnsi="Times New Roman" w:cs="Times New Roman"/>
          <w:color w:val="000000" w:themeColor="text1"/>
          <w:sz w:val="28"/>
          <w:szCs w:val="28"/>
        </w:rPr>
      </w:pPr>
      <w:r w:rsidRPr="00D00D14">
        <w:rPr>
          <w:rFonts w:ascii="Times New Roman" w:hAnsi="Times New Roman" w:cs="Times New Roman"/>
          <w:color w:val="000000" w:themeColor="text1"/>
          <w:sz w:val="28"/>
          <w:szCs w:val="28"/>
        </w:rPr>
        <w:t>En este punto, el Ministerio Público desarrolla una distinción fundamental: aunque los contratos de prestación de servicios no generan, por regla general, el ejercicio de función pública, la jurisprudencia constitucional ha r</w:t>
      </w:r>
      <w:r w:rsidRPr="00D00D14">
        <w:rPr>
          <w:rFonts w:ascii="Times New Roman" w:hAnsi="Times New Roman" w:cs="Times New Roman"/>
          <w:color w:val="000000" w:themeColor="text1"/>
          <w:sz w:val="28"/>
          <w:szCs w:val="28"/>
        </w:rPr>
        <w:t>econocido que excepcionalmente un contratista puede asumir funciones públicas cuando el objeto contractual involucra potestades propias de la autoridad estatal. Esta situación excepcional ubica al contratista en el marco de deberes constitucionales que inc</w:t>
      </w:r>
      <w:r w:rsidRPr="00D00D14">
        <w:rPr>
          <w:rFonts w:ascii="Times New Roman" w:hAnsi="Times New Roman" w:cs="Times New Roman"/>
          <w:color w:val="000000" w:themeColor="text1"/>
          <w:sz w:val="28"/>
          <w:szCs w:val="28"/>
        </w:rPr>
        <w:t>luyen la prohibición del artículo 110, que impide realizar aportes a campañas políticas. Por ello, la Procuraduría advierte que la excepción contenida en el artículo 33 no distingue entre contratistas que ejercen función pública y aquellos que realizan lab</w:t>
      </w:r>
      <w:r w:rsidRPr="00D00D14">
        <w:rPr>
          <w:rFonts w:ascii="Times New Roman" w:hAnsi="Times New Roman" w:cs="Times New Roman"/>
          <w:color w:val="000000" w:themeColor="text1"/>
          <w:sz w:val="28"/>
          <w:szCs w:val="28"/>
        </w:rPr>
        <w:t xml:space="preserve">ores meramente operativas, lo que podría permitir que personas que efectivamente ejercen funciones públicas financien campañas y luego contraten con el Estado, contraviniendo el artículo 110. </w:t>
      </w:r>
    </w:p>
    <w:p w:rsidR="008F4D0B" w:rsidRPr="00D00D14" w:rsidRDefault="00D00D14" w:rsidP="009B30FB">
      <w:pPr>
        <w:pStyle w:val="Prrafodelista"/>
        <w:spacing w:after="0" w:line="240" w:lineRule="auto"/>
        <w:ind w:left="0"/>
        <w:rPr>
          <w:rFonts w:ascii="Times New Roman" w:hAnsi="Times New Roman" w:cs="Times New Roman"/>
          <w:color w:val="000000" w:themeColor="text1"/>
          <w:sz w:val="28"/>
          <w:szCs w:val="28"/>
        </w:rPr>
      </w:pPr>
    </w:p>
    <w:p w:rsidR="008F4D0B" w:rsidRPr="00D00D14" w:rsidRDefault="00D00D14" w:rsidP="009B30FB">
      <w:pPr>
        <w:pStyle w:val="Prrafodelista"/>
        <w:numPr>
          <w:ilvl w:val="0"/>
          <w:numId w:val="2"/>
        </w:numPr>
        <w:tabs>
          <w:tab w:val="left" w:pos="426"/>
        </w:tabs>
        <w:overflowPunct w:val="0"/>
        <w:autoSpaceDE w:val="0"/>
        <w:autoSpaceDN w:val="0"/>
        <w:adjustRightInd w:val="0"/>
        <w:spacing w:after="0" w:line="240" w:lineRule="auto"/>
        <w:ind w:left="0" w:firstLine="0"/>
        <w:jc w:val="both"/>
        <w:textAlignment w:val="baseline"/>
        <w:rPr>
          <w:rFonts w:ascii="Times New Roman" w:hAnsi="Times New Roman" w:cs="Times New Roman"/>
          <w:color w:val="000000" w:themeColor="text1"/>
          <w:sz w:val="28"/>
          <w:szCs w:val="28"/>
        </w:rPr>
      </w:pPr>
      <w:r w:rsidRPr="00D00D14">
        <w:rPr>
          <w:rFonts w:ascii="Times New Roman" w:hAnsi="Times New Roman" w:cs="Times New Roman"/>
          <w:color w:val="000000" w:themeColor="text1"/>
          <w:sz w:val="28"/>
          <w:szCs w:val="28"/>
        </w:rPr>
        <w:t>A partir de esta interpretación, sostiene que la excepción del</w:t>
      </w:r>
      <w:r w:rsidRPr="00D00D14">
        <w:rPr>
          <w:rFonts w:ascii="Times New Roman" w:hAnsi="Times New Roman" w:cs="Times New Roman"/>
          <w:color w:val="000000" w:themeColor="text1"/>
          <w:sz w:val="28"/>
          <w:szCs w:val="28"/>
        </w:rPr>
        <w:t xml:space="preserve"> artículo 33 es constitucional únicamente si se entiende que no aplica a los contratos de prestación de servicios profesionales mediante los cuales el contratista ejerza funciones públicas. De lo contrario, la norma permitiría eludir la prohibición constit</w:t>
      </w:r>
      <w:r w:rsidRPr="00D00D14">
        <w:rPr>
          <w:rFonts w:ascii="Times New Roman" w:hAnsi="Times New Roman" w:cs="Times New Roman"/>
          <w:color w:val="000000" w:themeColor="text1"/>
          <w:sz w:val="28"/>
          <w:szCs w:val="28"/>
        </w:rPr>
        <w:t>ucional, comprometiendo la independencia e imparcialidad que deben regir el ejercicio de la función pública. En esa medida, considera que la regla puede armonizarse con la Constitución mediante una exequibilidad condicionada que excluya de la excepción aqu</w:t>
      </w:r>
      <w:r w:rsidRPr="00D00D14">
        <w:rPr>
          <w:rFonts w:ascii="Times New Roman" w:hAnsi="Times New Roman" w:cs="Times New Roman"/>
          <w:color w:val="000000" w:themeColor="text1"/>
          <w:sz w:val="28"/>
          <w:szCs w:val="28"/>
        </w:rPr>
        <w:t xml:space="preserve">ellos contratos que impliquen la asunción de funciones públicas. </w:t>
      </w:r>
    </w:p>
    <w:p w:rsidR="008F4D0B" w:rsidRPr="00D00D14" w:rsidRDefault="00D00D14" w:rsidP="009B30FB">
      <w:pPr>
        <w:pStyle w:val="Prrafodelista"/>
        <w:spacing w:after="0" w:line="240" w:lineRule="auto"/>
        <w:ind w:left="0"/>
        <w:rPr>
          <w:rFonts w:ascii="Times New Roman" w:hAnsi="Times New Roman" w:cs="Times New Roman"/>
          <w:color w:val="000000" w:themeColor="text1"/>
          <w:sz w:val="28"/>
          <w:szCs w:val="28"/>
        </w:rPr>
      </w:pPr>
    </w:p>
    <w:p w:rsidR="008F4D0B" w:rsidRPr="00D00D14" w:rsidRDefault="00D00D14" w:rsidP="009B30FB">
      <w:pPr>
        <w:pStyle w:val="Prrafodelista"/>
        <w:numPr>
          <w:ilvl w:val="0"/>
          <w:numId w:val="2"/>
        </w:numPr>
        <w:tabs>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
          <w:sz w:val="28"/>
          <w:szCs w:val="28"/>
          <w:lang w:val="es-ES_tradnl" w:eastAsia="es-MX"/>
        </w:rPr>
      </w:pPr>
      <w:r w:rsidRPr="00D00D14">
        <w:rPr>
          <w:rFonts w:ascii="Times New Roman" w:hAnsi="Times New Roman" w:cs="Times New Roman"/>
          <w:color w:val="000000" w:themeColor="text1"/>
          <w:sz w:val="28"/>
          <w:szCs w:val="28"/>
        </w:rPr>
        <w:t>Finalmente, la Procuraduría solicita a la Corte declararse inhibida frente al cargo contra el umbral del 2% por su ineptitud, y declarar la exequibilidad</w:t>
      </w:r>
      <w:r w:rsidRPr="00D00D14">
        <w:rPr>
          <w:rFonts w:ascii="Times New Roman" w:hAnsi="Times New Roman" w:cs="Times New Roman"/>
          <w:color w:val="000000" w:themeColor="text1"/>
          <w:sz w:val="28"/>
          <w:szCs w:val="28"/>
        </w:rPr>
        <w:t xml:space="preserve"> condicionada de la excepción del artículo 33, bajo el entendido de que no cobija los contratos de prestación de servicios que conlleven ejercicio de función pública. Con ello, se preserva simultáneamente el derecho de participación política de los particu</w:t>
      </w:r>
      <w:r w:rsidRPr="00D00D14">
        <w:rPr>
          <w:rFonts w:ascii="Times New Roman" w:hAnsi="Times New Roman" w:cs="Times New Roman"/>
          <w:color w:val="000000" w:themeColor="text1"/>
          <w:sz w:val="28"/>
          <w:szCs w:val="28"/>
        </w:rPr>
        <w:t>lares y la integridad en la función pública, evitando que la excepción legal se convierta en un mecanismo para sortear la prohibición constitucional del artículo 110.</w:t>
      </w:r>
    </w:p>
    <w:p w:rsidR="00C55CB3" w:rsidRPr="00D00D14" w:rsidRDefault="00D00D14" w:rsidP="00C55CB3">
      <w:pPr>
        <w:pStyle w:val="Prrafodelista"/>
        <w:rPr>
          <w:rFonts w:ascii="Times New Roman" w:eastAsia="Times New Roman" w:hAnsi="Times New Roman" w:cs="Times New Roman"/>
          <w:b/>
          <w:sz w:val="28"/>
          <w:szCs w:val="28"/>
          <w:lang w:val="es-ES_tradnl" w:eastAsia="es-MX"/>
        </w:rPr>
      </w:pPr>
    </w:p>
    <w:p w:rsidR="008B3C64" w:rsidRPr="00D00D14" w:rsidRDefault="00D00D14" w:rsidP="009B30FB">
      <w:pPr>
        <w:pStyle w:val="Prrafodelista"/>
        <w:numPr>
          <w:ilvl w:val="0"/>
          <w:numId w:val="1"/>
        </w:numPr>
        <w:tabs>
          <w:tab w:val="left" w:pos="426"/>
        </w:tabs>
        <w:spacing w:after="0" w:line="240" w:lineRule="auto"/>
        <w:ind w:left="0" w:firstLine="0"/>
        <w:rPr>
          <w:rFonts w:ascii="Times New Roman" w:eastAsia="Times New Roman" w:hAnsi="Times New Roman" w:cs="Times New Roman"/>
          <w:b/>
          <w:sz w:val="28"/>
          <w:szCs w:val="28"/>
          <w:lang w:val="es-ES_tradnl" w:eastAsia="es-MX"/>
        </w:rPr>
      </w:pPr>
      <w:r w:rsidRPr="00D00D14">
        <w:rPr>
          <w:rFonts w:ascii="Times New Roman" w:eastAsia="Times New Roman" w:hAnsi="Times New Roman" w:cs="Times New Roman"/>
          <w:b/>
          <w:sz w:val="28"/>
          <w:szCs w:val="28"/>
          <w:lang w:val="es-ES_tradnl" w:eastAsia="es-MX"/>
        </w:rPr>
        <w:t xml:space="preserve">CONSIDERACIONES </w:t>
      </w:r>
    </w:p>
    <w:p w:rsidR="005207F9" w:rsidRPr="00D00D14" w:rsidRDefault="00D00D14" w:rsidP="009B30FB">
      <w:pPr>
        <w:pStyle w:val="Prrafodelista"/>
        <w:spacing w:after="0" w:line="240" w:lineRule="auto"/>
        <w:ind w:left="0"/>
        <w:rPr>
          <w:rFonts w:ascii="Times New Roman" w:eastAsia="Times New Roman" w:hAnsi="Times New Roman" w:cs="Times New Roman"/>
          <w:b/>
          <w:sz w:val="28"/>
          <w:szCs w:val="28"/>
          <w:lang w:val="es-ES_tradnl" w:eastAsia="es-MX"/>
        </w:rPr>
      </w:pPr>
    </w:p>
    <w:p w:rsidR="005207F9" w:rsidRPr="00D00D14" w:rsidRDefault="00D00D14" w:rsidP="009B30FB">
      <w:pPr>
        <w:pStyle w:val="Prrafodelista"/>
        <w:numPr>
          <w:ilvl w:val="0"/>
          <w:numId w:val="4"/>
        </w:numPr>
        <w:tabs>
          <w:tab w:val="left" w:pos="284"/>
        </w:tabs>
        <w:spacing w:after="0" w:line="240" w:lineRule="auto"/>
        <w:ind w:left="0" w:firstLine="0"/>
        <w:rPr>
          <w:rFonts w:ascii="Times New Roman" w:eastAsia="Times New Roman" w:hAnsi="Times New Roman" w:cs="Times New Roman"/>
          <w:b/>
          <w:sz w:val="28"/>
          <w:szCs w:val="28"/>
          <w:lang w:val="es-ES_tradnl" w:eastAsia="es-MX"/>
        </w:rPr>
      </w:pPr>
      <w:r w:rsidRPr="00D00D14">
        <w:rPr>
          <w:rFonts w:ascii="Times New Roman" w:eastAsia="Times New Roman" w:hAnsi="Times New Roman" w:cs="Times New Roman"/>
          <w:b/>
          <w:sz w:val="28"/>
          <w:szCs w:val="28"/>
          <w:lang w:val="es-ES_tradnl" w:eastAsia="es-MX"/>
        </w:rPr>
        <w:t>Competencia</w:t>
      </w:r>
    </w:p>
    <w:p w:rsidR="005207F9" w:rsidRPr="00D00D14" w:rsidRDefault="00D00D14" w:rsidP="009B30FB">
      <w:pPr>
        <w:pStyle w:val="Prrafodelista"/>
        <w:tabs>
          <w:tab w:val="left" w:pos="284"/>
        </w:tabs>
        <w:spacing w:after="0" w:line="240" w:lineRule="auto"/>
        <w:ind w:left="0"/>
        <w:rPr>
          <w:rFonts w:ascii="Times New Roman" w:eastAsia="Times New Roman" w:hAnsi="Times New Roman" w:cs="Times New Roman"/>
          <w:b/>
          <w:sz w:val="28"/>
          <w:szCs w:val="28"/>
          <w:lang w:val="es-ES_tradnl" w:eastAsia="es-MX"/>
        </w:rPr>
      </w:pPr>
    </w:p>
    <w:p w:rsidR="005207F9" w:rsidRPr="00D00D14" w:rsidRDefault="00D00D14" w:rsidP="009B30FB">
      <w:pPr>
        <w:pStyle w:val="Prrafodelista"/>
        <w:numPr>
          <w:ilvl w:val="0"/>
          <w:numId w:val="2"/>
        </w:numPr>
        <w:tabs>
          <w:tab w:val="clear" w:pos="3368"/>
          <w:tab w:val="left" w:pos="284"/>
          <w:tab w:val="num"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De conformidad con lo expuesto en el numeral 4º del artículo 241, de la Constitución Política, esta Corporación es competente para decidir sobre la demanda de inconstitucionalidad que se formula contra el artículo </w:t>
      </w:r>
      <w:r w:rsidRPr="00D00D14">
        <w:rPr>
          <w:rFonts w:ascii="Times New Roman" w:eastAsia="Times New Roman" w:hAnsi="Times New Roman" w:cs="Times New Roman"/>
          <w:bCs/>
          <w:sz w:val="28"/>
          <w:szCs w:val="28"/>
          <w:lang w:val="es-ES_tradnl" w:eastAsia="es-MX"/>
        </w:rPr>
        <w:t>3</w:t>
      </w:r>
      <w:r w:rsidRPr="00D00D14">
        <w:rPr>
          <w:rFonts w:ascii="Times New Roman" w:eastAsia="Times New Roman" w:hAnsi="Times New Roman" w:cs="Times New Roman"/>
          <w:bCs/>
          <w:sz w:val="28"/>
          <w:szCs w:val="28"/>
          <w:lang w:val="es-ES_tradnl" w:eastAsia="es-MX"/>
        </w:rPr>
        <w:t>3</w:t>
      </w:r>
      <w:r w:rsidRPr="00D00D14">
        <w:rPr>
          <w:rFonts w:ascii="Times New Roman" w:eastAsia="Times New Roman" w:hAnsi="Times New Roman" w:cs="Times New Roman"/>
          <w:bCs/>
          <w:sz w:val="28"/>
          <w:szCs w:val="28"/>
          <w:lang w:val="es-ES_tradnl" w:eastAsia="es-MX"/>
        </w:rPr>
        <w:t xml:space="preserve"> </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parcial) de</w:t>
      </w:r>
      <w:r w:rsidRPr="00D00D14">
        <w:rPr>
          <w:rFonts w:ascii="Times New Roman" w:eastAsia="Times New Roman" w:hAnsi="Times New Roman" w:cs="Times New Roman"/>
          <w:bCs/>
          <w:sz w:val="28"/>
          <w:szCs w:val="28"/>
          <w:lang w:val="es-ES_tradnl" w:eastAsia="es-MX"/>
        </w:rPr>
        <w:t xml:space="preserve"> la Ley </w:t>
      </w:r>
      <w:r w:rsidRPr="00D00D14">
        <w:rPr>
          <w:rFonts w:ascii="Times New Roman" w:eastAsia="Times New Roman" w:hAnsi="Times New Roman" w:cs="Times New Roman"/>
          <w:bCs/>
          <w:sz w:val="28"/>
          <w:szCs w:val="28"/>
          <w:lang w:val="es-ES_tradnl" w:eastAsia="es-MX"/>
        </w:rPr>
        <w:t>1778 de 2016</w:t>
      </w:r>
      <w:r w:rsidRPr="00D00D14">
        <w:rPr>
          <w:rFonts w:ascii="Times New Roman" w:eastAsia="Times New Roman" w:hAnsi="Times New Roman" w:cs="Times New Roman"/>
          <w:bCs/>
          <w:sz w:val="28"/>
          <w:szCs w:val="28"/>
          <w:lang w:val="es-ES_tradnl" w:eastAsia="es-MX"/>
        </w:rPr>
        <w:t>.</w:t>
      </w:r>
    </w:p>
    <w:p w:rsidR="00B2782E" w:rsidRPr="00D00D14" w:rsidRDefault="00D00D14" w:rsidP="009B30FB">
      <w:pPr>
        <w:pStyle w:val="Prrafodelista"/>
        <w:tabs>
          <w:tab w:val="left" w:pos="284"/>
        </w:tabs>
        <w:spacing w:after="0" w:line="240" w:lineRule="auto"/>
        <w:ind w:left="0"/>
        <w:jc w:val="both"/>
        <w:rPr>
          <w:rFonts w:ascii="Times New Roman" w:eastAsia="Times New Roman" w:hAnsi="Times New Roman" w:cs="Times New Roman"/>
          <w:bCs/>
          <w:sz w:val="28"/>
          <w:szCs w:val="28"/>
          <w:lang w:val="es-ES_tradnl" w:eastAsia="es-MX"/>
        </w:rPr>
      </w:pPr>
    </w:p>
    <w:p w:rsidR="00C45EAB" w:rsidRPr="00D00D14" w:rsidRDefault="00D00D14" w:rsidP="00F74D4C">
      <w:pPr>
        <w:pStyle w:val="Prrafodelista"/>
        <w:numPr>
          <w:ilvl w:val="0"/>
          <w:numId w:val="4"/>
        </w:numPr>
        <w:tabs>
          <w:tab w:val="left" w:pos="284"/>
        </w:tabs>
        <w:spacing w:after="0" w:line="240" w:lineRule="auto"/>
        <w:ind w:left="0" w:firstLine="0"/>
        <w:jc w:val="both"/>
        <w:rPr>
          <w:rFonts w:ascii="Times New Roman" w:eastAsia="Times New Roman" w:hAnsi="Times New Roman" w:cs="Times New Roman"/>
          <w:b/>
          <w:sz w:val="28"/>
          <w:szCs w:val="28"/>
          <w:lang w:val="es-ES_tradnl" w:eastAsia="es-MX"/>
        </w:rPr>
      </w:pPr>
      <w:r w:rsidRPr="00D00D14">
        <w:rPr>
          <w:rFonts w:ascii="Times New Roman" w:eastAsia="Times New Roman" w:hAnsi="Times New Roman" w:cs="Times New Roman"/>
          <w:b/>
          <w:sz w:val="28"/>
          <w:szCs w:val="28"/>
          <w:lang w:val="es-ES_tradnl" w:eastAsia="es-MX"/>
        </w:rPr>
        <w:t>Cuestión previa: a</w:t>
      </w:r>
      <w:r w:rsidRPr="00D00D14">
        <w:rPr>
          <w:rFonts w:ascii="Times New Roman" w:eastAsia="Times New Roman" w:hAnsi="Times New Roman" w:cs="Times New Roman"/>
          <w:b/>
          <w:sz w:val="28"/>
          <w:szCs w:val="28"/>
          <w:lang w:val="es-ES_tradnl" w:eastAsia="es-MX"/>
        </w:rPr>
        <w:t>ptitud su</w:t>
      </w:r>
      <w:r w:rsidRPr="00D00D14">
        <w:rPr>
          <w:rFonts w:ascii="Times New Roman" w:eastAsia="Times New Roman" w:hAnsi="Times New Roman" w:cs="Times New Roman"/>
          <w:b/>
          <w:sz w:val="28"/>
          <w:szCs w:val="28"/>
          <w:lang w:val="es-ES_tradnl" w:eastAsia="es-MX"/>
        </w:rPr>
        <w:t>stantiva de la demanda</w:t>
      </w:r>
    </w:p>
    <w:p w:rsidR="008C2D54" w:rsidRPr="00D00D14" w:rsidRDefault="00D00D14" w:rsidP="009B30FB">
      <w:pPr>
        <w:pStyle w:val="Prrafodelista"/>
        <w:tabs>
          <w:tab w:val="left" w:pos="284"/>
        </w:tabs>
        <w:spacing w:after="0" w:line="240" w:lineRule="auto"/>
        <w:ind w:left="0"/>
        <w:jc w:val="both"/>
        <w:rPr>
          <w:rFonts w:ascii="Times New Roman" w:eastAsia="Times New Roman" w:hAnsi="Times New Roman" w:cs="Times New Roman"/>
          <w:b/>
          <w:sz w:val="28"/>
          <w:szCs w:val="28"/>
          <w:lang w:val="es-ES_tradnl" w:eastAsia="es-MX"/>
        </w:rPr>
      </w:pPr>
    </w:p>
    <w:p w:rsidR="00056065" w:rsidRPr="00D00D14" w:rsidRDefault="00D00D14" w:rsidP="009B30FB">
      <w:pPr>
        <w:pStyle w:val="Prrafodelista"/>
        <w:numPr>
          <w:ilvl w:val="0"/>
          <w:numId w:val="2"/>
        </w:numPr>
        <w:tabs>
          <w:tab w:val="clear" w:pos="3368"/>
          <w:tab w:val="num" w:pos="0"/>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Teniendo en cuenta que la Procuraduría General de la Nación </w:t>
      </w:r>
      <w:r w:rsidRPr="00D00D14">
        <w:rPr>
          <w:rFonts w:ascii="Times New Roman" w:eastAsia="Times New Roman" w:hAnsi="Times New Roman" w:cs="Times New Roman"/>
          <w:bCs/>
          <w:sz w:val="28"/>
          <w:szCs w:val="28"/>
          <w:lang w:val="es-ES_tradnl" w:eastAsia="es-MX"/>
        </w:rPr>
        <w:t>y algunos intervinientes</w:t>
      </w:r>
      <w:r w:rsidRPr="00D00D14">
        <w:rPr>
          <w:rStyle w:val="Refdenotaalpie"/>
          <w:rFonts w:ascii="Times New Roman" w:eastAsia="Times New Roman" w:hAnsi="Times New Roman" w:cs="Times New Roman"/>
          <w:bCs/>
          <w:sz w:val="28"/>
          <w:szCs w:val="28"/>
          <w:lang w:val="es-ES_tradnl" w:eastAsia="es-MX"/>
        </w:rPr>
        <w:footnoteReference w:id="4"/>
      </w:r>
      <w:r w:rsidRPr="00D00D14">
        <w:rPr>
          <w:rFonts w:ascii="Times New Roman" w:eastAsia="Times New Roman" w:hAnsi="Times New Roman" w:cs="Times New Roman"/>
          <w:bCs/>
          <w:sz w:val="28"/>
          <w:szCs w:val="28"/>
          <w:lang w:val="es-ES_tradnl" w:eastAsia="es-MX"/>
        </w:rPr>
        <w:t xml:space="preserve"> solicitaron que la Corte se inhibiera respecto de la</w:t>
      </w:r>
      <w:r w:rsidRPr="00D00D14">
        <w:rPr>
          <w:rFonts w:ascii="Times New Roman" w:eastAsia="Times New Roman" w:hAnsi="Times New Roman" w:cs="Times New Roman"/>
          <w:bCs/>
          <w:sz w:val="28"/>
          <w:szCs w:val="28"/>
          <w:lang w:val="es-ES_tradnl" w:eastAsia="es-MX"/>
        </w:rPr>
        <w:t>s</w:t>
      </w:r>
      <w:r w:rsidRPr="00D00D14">
        <w:rPr>
          <w:rFonts w:ascii="Times New Roman" w:eastAsia="Times New Roman" w:hAnsi="Times New Roman" w:cs="Times New Roman"/>
          <w:bCs/>
          <w:sz w:val="28"/>
          <w:szCs w:val="28"/>
          <w:lang w:val="es-ES_tradnl" w:eastAsia="es-MX"/>
        </w:rPr>
        <w:t xml:space="preserve"> expresi</w:t>
      </w:r>
      <w:r w:rsidRPr="00D00D14">
        <w:rPr>
          <w:rFonts w:ascii="Times New Roman" w:eastAsia="Times New Roman" w:hAnsi="Times New Roman" w:cs="Times New Roman"/>
          <w:bCs/>
          <w:sz w:val="28"/>
          <w:szCs w:val="28"/>
          <w:lang w:val="es-ES_tradnl" w:eastAsia="es-MX"/>
        </w:rPr>
        <w:t>ones</w:t>
      </w:r>
      <w:r w:rsidRPr="00D00D14">
        <w:rPr>
          <w:rFonts w:ascii="Times New Roman" w:eastAsia="Times New Roman" w:hAnsi="Times New Roman" w:cs="Times New Roman"/>
          <w:bCs/>
          <w:sz w:val="28"/>
          <w:szCs w:val="28"/>
          <w:lang w:val="es-ES_tradnl" w:eastAsia="es-MX"/>
        </w:rPr>
        <w:t xml:space="preserve"> “con aportes superiores al dos por ciento (2.0%) de las sumas máximas a invertir por los candidatos en las campañas electorales en cada circunscripción electoral”</w:t>
      </w:r>
      <w:r w:rsidRPr="00D00D14">
        <w:rPr>
          <w:rFonts w:ascii="Times New Roman" w:eastAsia="Times New Roman" w:hAnsi="Times New Roman" w:cs="Times New Roman"/>
          <w:bCs/>
          <w:sz w:val="28"/>
          <w:szCs w:val="28"/>
          <w:lang w:val="es-ES_tradnl" w:eastAsia="es-MX"/>
        </w:rPr>
        <w:t xml:space="preserve"> y “La inhabilidad contemplada en esta norma no se aplicará respecto de los contratos de pres</w:t>
      </w:r>
      <w:r w:rsidRPr="00D00D14">
        <w:rPr>
          <w:rFonts w:ascii="Times New Roman" w:eastAsia="Times New Roman" w:hAnsi="Times New Roman" w:cs="Times New Roman"/>
          <w:bCs/>
          <w:sz w:val="28"/>
          <w:szCs w:val="28"/>
          <w:lang w:val="es-ES_tradnl" w:eastAsia="es-MX"/>
        </w:rPr>
        <w:t>tación de servicios profesionales”</w:t>
      </w:r>
      <w:r w:rsidRPr="00D00D14">
        <w:rPr>
          <w:rFonts w:ascii="Times New Roman" w:eastAsia="Times New Roman" w:hAnsi="Times New Roman" w:cs="Times New Roman"/>
          <w:bCs/>
          <w:sz w:val="28"/>
          <w:szCs w:val="28"/>
          <w:lang w:val="es-ES_tradnl" w:eastAsia="es-MX"/>
        </w:rPr>
        <w:t>, contenida</w:t>
      </w:r>
      <w:r w:rsidRPr="00D00D14">
        <w:rPr>
          <w:rFonts w:ascii="Times New Roman" w:eastAsia="Times New Roman" w:hAnsi="Times New Roman" w:cs="Times New Roman"/>
          <w:bCs/>
          <w:sz w:val="28"/>
          <w:szCs w:val="28"/>
          <w:lang w:val="es-ES_tradnl" w:eastAsia="es-MX"/>
        </w:rPr>
        <w:t>s</w:t>
      </w:r>
      <w:r w:rsidRPr="00D00D14">
        <w:rPr>
          <w:rFonts w:ascii="Times New Roman" w:eastAsia="Times New Roman" w:hAnsi="Times New Roman" w:cs="Times New Roman"/>
          <w:bCs/>
          <w:sz w:val="28"/>
          <w:szCs w:val="28"/>
          <w:lang w:val="es-ES_tradnl" w:eastAsia="es-MX"/>
        </w:rPr>
        <w:t xml:space="preserve"> en el artículo 33 de la Ley 1778 de 2016, al considerar que no se cumplen las exigencias legales y jurisprudenciales para estructurar el cargo por presunto desconocimiento del artículo 110 de la Constitución, </w:t>
      </w:r>
      <w:r w:rsidRPr="00D00D14">
        <w:rPr>
          <w:rFonts w:ascii="Times New Roman" w:eastAsia="Times New Roman" w:hAnsi="Times New Roman" w:cs="Times New Roman"/>
          <w:bCs/>
          <w:sz w:val="28"/>
          <w:szCs w:val="28"/>
          <w:lang w:val="es-ES_tradnl" w:eastAsia="es-MX"/>
        </w:rPr>
        <w:t>la Sala Plena estima necesario realizar nuevamente el estudio del cargo formulado en la demanda contra dicho</w:t>
      </w:r>
      <w:r w:rsidRPr="00D00D14">
        <w:rPr>
          <w:rFonts w:ascii="Times New Roman" w:eastAsia="Times New Roman" w:hAnsi="Times New Roman" w:cs="Times New Roman"/>
          <w:bCs/>
          <w:sz w:val="28"/>
          <w:szCs w:val="28"/>
          <w:lang w:val="es-ES_tradnl" w:eastAsia="es-MX"/>
        </w:rPr>
        <w:t>s</w:t>
      </w:r>
      <w:r w:rsidRPr="00D00D14">
        <w:rPr>
          <w:rFonts w:ascii="Times New Roman" w:eastAsia="Times New Roman" w:hAnsi="Times New Roman" w:cs="Times New Roman"/>
          <w:bCs/>
          <w:sz w:val="28"/>
          <w:szCs w:val="28"/>
          <w:lang w:val="es-ES_tradnl" w:eastAsia="es-MX"/>
        </w:rPr>
        <w:t xml:space="preserve"> aparte</w:t>
      </w:r>
      <w:r w:rsidRPr="00D00D14">
        <w:rPr>
          <w:rFonts w:ascii="Times New Roman" w:eastAsia="Times New Roman" w:hAnsi="Times New Roman" w:cs="Times New Roman"/>
          <w:bCs/>
          <w:sz w:val="28"/>
          <w:szCs w:val="28"/>
          <w:lang w:val="es-ES_tradnl" w:eastAsia="es-MX"/>
        </w:rPr>
        <w:t>s normativos</w:t>
      </w:r>
      <w:r w:rsidRPr="00D00D14">
        <w:rPr>
          <w:rFonts w:ascii="Times New Roman" w:eastAsia="Times New Roman" w:hAnsi="Times New Roman" w:cs="Times New Roman"/>
          <w:bCs/>
          <w:sz w:val="28"/>
          <w:szCs w:val="28"/>
          <w:lang w:val="es-ES_tradnl" w:eastAsia="es-MX"/>
        </w:rPr>
        <w:t>.</w:t>
      </w:r>
    </w:p>
    <w:p w:rsidR="00373DFE" w:rsidRPr="00D00D14" w:rsidRDefault="00D00D14" w:rsidP="009B30FB">
      <w:pPr>
        <w:pStyle w:val="Prrafodelista"/>
        <w:tabs>
          <w:tab w:val="left" w:pos="284"/>
          <w:tab w:val="left" w:pos="426"/>
        </w:tabs>
        <w:spacing w:after="0" w:line="240" w:lineRule="auto"/>
        <w:ind w:left="0"/>
        <w:jc w:val="both"/>
        <w:rPr>
          <w:rFonts w:ascii="Times New Roman" w:eastAsia="Times New Roman" w:hAnsi="Times New Roman" w:cs="Times New Roman"/>
          <w:bCs/>
          <w:sz w:val="28"/>
          <w:szCs w:val="28"/>
          <w:lang w:val="es-ES_tradnl" w:eastAsia="es-MX"/>
        </w:rPr>
      </w:pPr>
    </w:p>
    <w:p w:rsidR="001652B5" w:rsidRPr="00D00D14" w:rsidRDefault="00D00D14" w:rsidP="009B30FB">
      <w:pPr>
        <w:pStyle w:val="Prrafodelista"/>
        <w:numPr>
          <w:ilvl w:val="0"/>
          <w:numId w:val="2"/>
        </w:numPr>
        <w:tabs>
          <w:tab w:val="num" w:pos="0"/>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8"/>
          <w:szCs w:val="28"/>
          <w:lang w:val="es-ES_tradnl" w:eastAsia="es-MX"/>
        </w:rPr>
      </w:pPr>
      <w:r w:rsidRPr="00D00D14">
        <w:rPr>
          <w:rFonts w:ascii="Times New Roman" w:eastAsia="Times New Roman" w:hAnsi="Times New Roman" w:cs="Times New Roman"/>
          <w:bCs/>
          <w:sz w:val="28"/>
          <w:szCs w:val="28"/>
          <w:lang w:val="es-ES_tradnl" w:eastAsia="es-MX"/>
        </w:rPr>
        <w:t>En esa línea</w:t>
      </w:r>
      <w:r w:rsidRPr="00D00D14">
        <w:rPr>
          <w:rFonts w:ascii="Times New Roman" w:eastAsia="Times New Roman" w:hAnsi="Times New Roman" w:cs="Times New Roman"/>
          <w:bCs/>
          <w:sz w:val="28"/>
          <w:szCs w:val="28"/>
          <w:lang w:val="es-ES_tradnl" w:eastAsia="es-MX"/>
        </w:rPr>
        <w:t xml:space="preserve">, </w:t>
      </w:r>
      <w:r w:rsidRPr="00D00D14">
        <w:rPr>
          <w:rFonts w:ascii="Times New Roman" w:eastAsia="Times New Roman" w:hAnsi="Times New Roman" w:cs="Times New Roman"/>
          <w:bCs/>
          <w:sz w:val="28"/>
          <w:szCs w:val="28"/>
          <w:lang w:val="es-ES_tradnl" w:eastAsia="es-MX"/>
        </w:rPr>
        <w:t xml:space="preserve">esta Corporación </w:t>
      </w:r>
      <w:r w:rsidRPr="00D00D14">
        <w:rPr>
          <w:rFonts w:ascii="Times New Roman" w:eastAsia="Times New Roman" w:hAnsi="Times New Roman" w:cs="Times New Roman"/>
          <w:sz w:val="28"/>
          <w:szCs w:val="28"/>
          <w:lang w:val="es-ES_tradnl" w:eastAsia="es-MX"/>
        </w:rPr>
        <w:t>ha establecido en su jurisprudencia los requisitos necesarios para la admisión de la demanda presentada por los ciudadanos y las personas legitimadas para ello. Específicamente, mediante Sentencia C-1052 de 2001, la Sala Plena fijó unos elementos mínimos q</w:t>
      </w:r>
      <w:r w:rsidRPr="00D00D14">
        <w:rPr>
          <w:rFonts w:ascii="Times New Roman" w:eastAsia="Times New Roman" w:hAnsi="Times New Roman" w:cs="Times New Roman"/>
          <w:sz w:val="28"/>
          <w:szCs w:val="28"/>
          <w:lang w:val="es-ES_tradnl" w:eastAsia="es-MX"/>
        </w:rPr>
        <w:t xml:space="preserve">ue deben identificarse en </w:t>
      </w:r>
      <w:r w:rsidRPr="00D00D14">
        <w:rPr>
          <w:rFonts w:ascii="Times New Roman" w:eastAsia="Times New Roman" w:hAnsi="Times New Roman" w:cs="Times New Roman"/>
          <w:sz w:val="28"/>
          <w:szCs w:val="28"/>
          <w:lang w:val="es-ES_tradnl" w:eastAsia="es-MX"/>
        </w:rPr>
        <w:t>su contenido</w:t>
      </w:r>
      <w:r w:rsidRPr="00D00D14">
        <w:rPr>
          <w:rFonts w:ascii="Times New Roman" w:hAnsi="Times New Roman" w:cs="Times New Roman"/>
          <w:position w:val="6"/>
          <w:sz w:val="28"/>
          <w:szCs w:val="28"/>
          <w:vertAlign w:val="superscript"/>
          <w:lang w:val="es-ES_tradnl" w:eastAsia="es-MX"/>
        </w:rPr>
        <w:footnoteReference w:id="5"/>
      </w:r>
      <w:r w:rsidRPr="00D00D14">
        <w:rPr>
          <w:rFonts w:ascii="Times New Roman" w:eastAsia="Times New Roman" w:hAnsi="Times New Roman" w:cs="Times New Roman"/>
          <w:sz w:val="28"/>
          <w:szCs w:val="28"/>
          <w:lang w:val="es-ES_tradnl" w:eastAsia="es-MX"/>
        </w:rPr>
        <w:t>.</w:t>
      </w:r>
      <w:r w:rsidRPr="00D00D14">
        <w:rPr>
          <w:rFonts w:ascii="Times New Roman" w:eastAsia="Times New Roman" w:hAnsi="Times New Roman" w:cs="Times New Roman"/>
          <w:sz w:val="28"/>
          <w:szCs w:val="28"/>
          <w:vertAlign w:val="superscript"/>
          <w:lang w:val="es-ES_tradnl" w:eastAsia="es-MX"/>
        </w:rPr>
        <w:t xml:space="preserve"> </w:t>
      </w:r>
      <w:r w:rsidRPr="00D00D14">
        <w:rPr>
          <w:rFonts w:ascii="Times New Roman" w:eastAsia="Times New Roman" w:hAnsi="Times New Roman" w:cs="Times New Roman"/>
          <w:sz w:val="28"/>
          <w:szCs w:val="28"/>
          <w:lang w:val="es-ES_tradnl" w:eastAsia="es-MX"/>
        </w:rPr>
        <w:t xml:space="preserve">En tal decisión se puntualizó que las acciones de constitucionalidad requieren tres elementos fundamentales: </w:t>
      </w:r>
    </w:p>
    <w:p w:rsidR="001652B5" w:rsidRPr="00D00D14" w:rsidRDefault="00D00D14" w:rsidP="009B30FB">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lang w:val="es-ES_tradnl" w:eastAsia="es-MX"/>
        </w:rPr>
      </w:pPr>
    </w:p>
    <w:p w:rsidR="001652B5" w:rsidRPr="00D00D14" w:rsidRDefault="00D00D14" w:rsidP="00F74D4C">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sz w:val="28"/>
          <w:szCs w:val="24"/>
          <w:lang w:val="es-ES_tradnl" w:eastAsia="es-MX"/>
        </w:rPr>
      </w:pPr>
      <w:r w:rsidRPr="00D00D14">
        <w:rPr>
          <w:rFonts w:ascii="Times New Roman" w:eastAsia="Times New Roman" w:hAnsi="Times New Roman" w:cs="Times New Roman"/>
          <w:sz w:val="28"/>
          <w:szCs w:val="24"/>
          <w:lang w:val="es-ES_tradnl" w:eastAsia="es-MX"/>
        </w:rPr>
        <w:t xml:space="preserve">“(1) </w:t>
      </w:r>
      <w:r w:rsidRPr="00D00D14">
        <w:rPr>
          <w:rFonts w:ascii="Times New Roman" w:eastAsia="Times New Roman" w:hAnsi="Times New Roman" w:cs="Times New Roman"/>
          <w:i/>
          <w:sz w:val="28"/>
          <w:szCs w:val="24"/>
          <w:lang w:val="es-ES_tradnl" w:eastAsia="es-MX"/>
        </w:rPr>
        <w:t>debe referir con precisión el objeto demandado</w:t>
      </w:r>
      <w:r w:rsidRPr="00D00D14">
        <w:rPr>
          <w:rFonts w:ascii="Times New Roman" w:eastAsia="Times New Roman" w:hAnsi="Times New Roman" w:cs="Times New Roman"/>
          <w:sz w:val="28"/>
          <w:szCs w:val="24"/>
          <w:lang w:val="es-ES_tradnl" w:eastAsia="es-MX"/>
        </w:rPr>
        <w:t xml:space="preserve">, (2) el concepto de la violación y (3) </w:t>
      </w:r>
      <w:r w:rsidRPr="00D00D14">
        <w:rPr>
          <w:rFonts w:ascii="Times New Roman" w:eastAsia="Times New Roman" w:hAnsi="Times New Roman" w:cs="Times New Roman"/>
          <w:i/>
          <w:sz w:val="28"/>
          <w:szCs w:val="24"/>
          <w:lang w:val="es-ES_tradnl" w:eastAsia="es-MX"/>
        </w:rPr>
        <w:t xml:space="preserve">la razón por </w:t>
      </w:r>
      <w:r w:rsidRPr="00D00D14">
        <w:rPr>
          <w:rFonts w:ascii="Times New Roman" w:eastAsia="Times New Roman" w:hAnsi="Times New Roman" w:cs="Times New Roman"/>
          <w:i/>
          <w:sz w:val="28"/>
          <w:szCs w:val="24"/>
          <w:lang w:val="es-ES_tradnl" w:eastAsia="es-MX"/>
        </w:rPr>
        <w:t>la cual la Corte es competente para conocer del asunto</w:t>
      </w:r>
      <w:r w:rsidRPr="00D00D14">
        <w:rPr>
          <w:rFonts w:ascii="Times New Roman" w:eastAsia="Times New Roman" w:hAnsi="Times New Roman" w:cs="Times New Roman"/>
          <w:sz w:val="28"/>
          <w:szCs w:val="24"/>
          <w:lang w:val="es-ES_tradnl" w:eastAsia="es-MX"/>
        </w:rPr>
        <w:t>” (art. 2, Decreto 2067 de 1991).</w:t>
      </w:r>
      <w:r w:rsidRPr="00D00D14">
        <w:rPr>
          <w:rFonts w:ascii="Times New Roman" w:eastAsia="Times New Roman" w:hAnsi="Times New Roman" w:cs="Times New Roman"/>
          <w:position w:val="6"/>
          <w:sz w:val="28"/>
          <w:szCs w:val="24"/>
          <w:vertAlign w:val="superscript"/>
          <w:lang w:val="es-ES_tradnl" w:eastAsia="es-MX"/>
        </w:rPr>
        <w:footnoteReference w:id="6"/>
      </w:r>
      <w:r w:rsidRPr="00D00D14">
        <w:rPr>
          <w:rFonts w:ascii="Times New Roman" w:eastAsia="Times New Roman" w:hAnsi="Times New Roman" w:cs="Times New Roman"/>
          <w:sz w:val="28"/>
          <w:szCs w:val="24"/>
          <w:vertAlign w:val="superscript"/>
          <w:lang w:val="es-ES_tradnl" w:eastAsia="es-MX"/>
        </w:rPr>
        <w:t xml:space="preserve"> </w:t>
      </w:r>
      <w:r w:rsidRPr="00D00D14">
        <w:rPr>
          <w:rFonts w:ascii="Times New Roman" w:eastAsia="Times New Roman" w:hAnsi="Times New Roman" w:cs="Times New Roman"/>
          <w:sz w:val="28"/>
          <w:szCs w:val="24"/>
          <w:lang w:val="es-ES_tradnl" w:eastAsia="es-MX"/>
        </w:rPr>
        <w:t>El segundo de estos elementos (el concepto de la violación), debe observar, a su vez, tres condiciones mínimas: (i) “</w:t>
      </w:r>
      <w:r w:rsidRPr="00D00D14">
        <w:rPr>
          <w:rFonts w:ascii="Times New Roman" w:eastAsia="Times New Roman" w:hAnsi="Times New Roman" w:cs="Times New Roman"/>
          <w:i/>
          <w:sz w:val="28"/>
          <w:szCs w:val="24"/>
          <w:lang w:val="es-ES_tradnl" w:eastAsia="es-MX"/>
        </w:rPr>
        <w:t>el señalamiento de las normas constitucionales que</w:t>
      </w:r>
      <w:r w:rsidRPr="00D00D14">
        <w:rPr>
          <w:rFonts w:ascii="Times New Roman" w:eastAsia="Times New Roman" w:hAnsi="Times New Roman" w:cs="Times New Roman"/>
          <w:i/>
          <w:sz w:val="28"/>
          <w:szCs w:val="24"/>
          <w:lang w:val="es-ES_tradnl" w:eastAsia="es-MX"/>
        </w:rPr>
        <w:t xml:space="preserve"> consideren infringidas “(art. 2, num.2, Decreto 2067 de 1991); </w:t>
      </w:r>
      <w:r w:rsidRPr="00D00D14">
        <w:rPr>
          <w:rFonts w:ascii="Times New Roman" w:eastAsia="Times New Roman" w:hAnsi="Times New Roman" w:cs="Times New Roman"/>
          <w:sz w:val="28"/>
          <w:szCs w:val="24"/>
          <w:lang w:val="es-ES_tradnl" w:eastAsia="es-MX"/>
        </w:rPr>
        <w:t>(ii)</w:t>
      </w:r>
      <w:r w:rsidRPr="00D00D14">
        <w:rPr>
          <w:rFonts w:ascii="Times New Roman" w:eastAsia="Times New Roman" w:hAnsi="Times New Roman" w:cs="Times New Roman"/>
          <w:i/>
          <w:sz w:val="28"/>
          <w:szCs w:val="24"/>
          <w:lang w:val="es-ES_tradnl" w:eastAsia="es-MX"/>
        </w:rPr>
        <w:t xml:space="preserve"> “la exposición del contenido normativo de las disposiciones constitucionales que riñe con las normas demandadas”</w:t>
      </w:r>
      <w:r w:rsidRPr="00D00D14">
        <w:rPr>
          <w:rFonts w:ascii="Times New Roman" w:eastAsia="Times New Roman" w:hAnsi="Times New Roman" w:cs="Times New Roman"/>
          <w:i/>
          <w:position w:val="6"/>
          <w:sz w:val="28"/>
          <w:szCs w:val="24"/>
          <w:vertAlign w:val="superscript"/>
          <w:lang w:val="es-ES_tradnl" w:eastAsia="es-MX"/>
        </w:rPr>
        <w:footnoteReference w:id="7"/>
      </w:r>
      <w:r w:rsidRPr="00D00D14">
        <w:rPr>
          <w:rFonts w:ascii="Times New Roman" w:eastAsia="Times New Roman" w:hAnsi="Times New Roman" w:cs="Times New Roman"/>
          <w:i/>
          <w:sz w:val="28"/>
          <w:szCs w:val="24"/>
          <w:lang w:val="es-ES_tradnl" w:eastAsia="es-MX"/>
        </w:rPr>
        <w:t xml:space="preserve"> </w:t>
      </w:r>
      <w:r w:rsidRPr="00D00D14">
        <w:rPr>
          <w:rFonts w:ascii="Times New Roman" w:eastAsia="Times New Roman" w:hAnsi="Times New Roman" w:cs="Times New Roman"/>
          <w:sz w:val="28"/>
          <w:szCs w:val="24"/>
          <w:lang w:val="es-ES_tradnl" w:eastAsia="es-MX"/>
        </w:rPr>
        <w:t>y (iii) exponer las razones por las cuales las disposiciones normativas d</w:t>
      </w:r>
      <w:r w:rsidRPr="00D00D14">
        <w:rPr>
          <w:rFonts w:ascii="Times New Roman" w:eastAsia="Times New Roman" w:hAnsi="Times New Roman" w:cs="Times New Roman"/>
          <w:sz w:val="28"/>
          <w:szCs w:val="24"/>
          <w:lang w:val="es-ES_tradnl" w:eastAsia="es-MX"/>
        </w:rPr>
        <w:t>emandadas violan la Constitución, las cuales deberán ser, al menos, “</w:t>
      </w:r>
      <w:r w:rsidRPr="00D00D14">
        <w:rPr>
          <w:rFonts w:ascii="Times New Roman" w:eastAsia="Times New Roman" w:hAnsi="Times New Roman" w:cs="Times New Roman"/>
          <w:i/>
          <w:sz w:val="28"/>
          <w:szCs w:val="24"/>
          <w:lang w:val="es-ES_tradnl" w:eastAsia="es-MX"/>
        </w:rPr>
        <w:t>claras, ciertas, específicas, pertinentes y suficientes</w:t>
      </w:r>
      <w:r w:rsidRPr="00D00D14">
        <w:rPr>
          <w:rFonts w:ascii="Times New Roman" w:eastAsia="Times New Roman" w:hAnsi="Times New Roman" w:cs="Times New Roman"/>
          <w:sz w:val="28"/>
          <w:szCs w:val="24"/>
          <w:lang w:val="es-ES_tradnl" w:eastAsia="es-MX"/>
        </w:rPr>
        <w:t>”.</w:t>
      </w:r>
      <w:r w:rsidRPr="00D00D14">
        <w:rPr>
          <w:rFonts w:ascii="Times New Roman" w:eastAsia="Times New Roman" w:hAnsi="Times New Roman" w:cs="Times New Roman"/>
          <w:position w:val="6"/>
          <w:sz w:val="28"/>
          <w:szCs w:val="24"/>
          <w:vertAlign w:val="superscript"/>
          <w:lang w:val="es-ES_tradnl" w:eastAsia="es-MX"/>
        </w:rPr>
        <w:footnoteReference w:id="8"/>
      </w:r>
      <w:r w:rsidRPr="00D00D14">
        <w:rPr>
          <w:rFonts w:ascii="Times New Roman" w:eastAsia="Times New Roman" w:hAnsi="Times New Roman" w:cs="Times New Roman"/>
          <w:sz w:val="28"/>
          <w:szCs w:val="24"/>
          <w:vertAlign w:val="superscript"/>
          <w:lang w:val="es-ES_tradnl" w:eastAsia="es-MX"/>
        </w:rPr>
        <w:t xml:space="preserve"> </w:t>
      </w:r>
    </w:p>
    <w:p w:rsidR="001652B5" w:rsidRPr="00D00D14" w:rsidRDefault="00D00D14" w:rsidP="009B30FB">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val="es-ES_tradnl" w:eastAsia="es-MX"/>
        </w:rPr>
      </w:pPr>
    </w:p>
    <w:p w:rsidR="001652B5" w:rsidRPr="00D00D14" w:rsidRDefault="00D00D14" w:rsidP="009B30FB">
      <w:pPr>
        <w:pStyle w:val="Prrafodelista"/>
        <w:numPr>
          <w:ilvl w:val="0"/>
          <w:numId w:val="2"/>
        </w:numPr>
        <w:tabs>
          <w:tab w:val="num" w:pos="0"/>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8"/>
          <w:szCs w:val="28"/>
          <w:lang w:val="es-ES_tradnl" w:eastAsia="es-MX"/>
        </w:rPr>
      </w:pPr>
      <w:r w:rsidRPr="00D00D14">
        <w:rPr>
          <w:rFonts w:ascii="Times New Roman" w:eastAsia="Times New Roman" w:hAnsi="Times New Roman" w:cs="Times New Roman"/>
          <w:sz w:val="28"/>
          <w:szCs w:val="28"/>
          <w:lang w:val="es-ES_tradnl" w:eastAsia="es-MX"/>
        </w:rPr>
        <w:t>Las</w:t>
      </w:r>
      <w:r w:rsidRPr="00D00D14">
        <w:rPr>
          <w:rFonts w:ascii="Times New Roman" w:eastAsia="Times New Roman" w:hAnsi="Times New Roman" w:cs="Times New Roman"/>
          <w:sz w:val="28"/>
          <w:szCs w:val="28"/>
          <w:lang w:val="es-ES_tradnl" w:eastAsia="es-MX"/>
        </w:rPr>
        <w:t xml:space="preserve"> características que debe reunir el concepto de</w:t>
      </w:r>
      <w:r w:rsidRPr="00D00D14">
        <w:rPr>
          <w:rFonts w:ascii="Times New Roman" w:eastAsia="Times New Roman" w:hAnsi="Times New Roman" w:cs="Times New Roman"/>
          <w:sz w:val="28"/>
          <w:szCs w:val="28"/>
          <w:lang w:val="es-ES_tradnl" w:eastAsia="es-MX"/>
        </w:rPr>
        <w:t xml:space="preserve"> la</w:t>
      </w:r>
      <w:r w:rsidRPr="00D00D14">
        <w:rPr>
          <w:rFonts w:ascii="Times New Roman" w:eastAsia="Times New Roman" w:hAnsi="Times New Roman" w:cs="Times New Roman"/>
          <w:sz w:val="28"/>
          <w:szCs w:val="28"/>
          <w:lang w:val="es-ES_tradnl" w:eastAsia="es-MX"/>
        </w:rPr>
        <w:t xml:space="preserve"> violación, formulado por quien demanda la norma, fueron definidas por la Corte</w:t>
      </w:r>
      <w:r w:rsidRPr="00D00D14">
        <w:rPr>
          <w:rFonts w:ascii="Times New Roman" w:eastAsia="Times New Roman" w:hAnsi="Times New Roman" w:cs="Times New Roman"/>
          <w:sz w:val="28"/>
          <w:szCs w:val="28"/>
          <w:lang w:val="es-ES_tradnl" w:eastAsia="es-MX"/>
        </w:rPr>
        <w:t>, así:</w:t>
      </w:r>
    </w:p>
    <w:p w:rsidR="001652B5" w:rsidRPr="00D00D14" w:rsidRDefault="00D00D14" w:rsidP="009B30FB">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val="es-ES_tradnl" w:eastAsia="es-MX"/>
        </w:rPr>
      </w:pPr>
    </w:p>
    <w:p w:rsidR="001652B5" w:rsidRPr="00D00D14" w:rsidRDefault="00D00D14" w:rsidP="009B30FB">
      <w:pPr>
        <w:pStyle w:val="Prrafodelista"/>
        <w:numPr>
          <w:ilvl w:val="1"/>
          <w:numId w:val="2"/>
        </w:numPr>
        <w:tabs>
          <w:tab w:val="left" w:pos="284"/>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8"/>
          <w:szCs w:val="28"/>
          <w:lang w:val="es-ES_tradnl" w:eastAsia="es-MX"/>
        </w:rPr>
      </w:pPr>
      <w:r w:rsidRPr="00D00D14">
        <w:rPr>
          <w:rFonts w:ascii="Times New Roman" w:eastAsia="Times New Roman" w:hAnsi="Times New Roman" w:cs="Times New Roman"/>
          <w:sz w:val="28"/>
          <w:szCs w:val="28"/>
          <w:lang w:val="es-ES_tradnl" w:eastAsia="es-MX"/>
        </w:rPr>
        <w:t xml:space="preserve">En cuanto al requisito de la </w:t>
      </w:r>
      <w:r w:rsidRPr="00D00D14">
        <w:rPr>
          <w:rFonts w:ascii="Times New Roman" w:eastAsia="Times New Roman" w:hAnsi="Times New Roman" w:cs="Times New Roman"/>
          <w:i/>
          <w:sz w:val="28"/>
          <w:szCs w:val="28"/>
          <w:lang w:val="es-ES_tradnl" w:eastAsia="es-MX"/>
        </w:rPr>
        <w:t>claridad</w:t>
      </w:r>
      <w:r w:rsidRPr="00D00D14">
        <w:rPr>
          <w:rFonts w:ascii="Times New Roman" w:eastAsia="Times New Roman" w:hAnsi="Times New Roman" w:cs="Times New Roman"/>
          <w:sz w:val="28"/>
          <w:szCs w:val="28"/>
          <w:lang w:val="es-ES_tradnl" w:eastAsia="es-MX"/>
        </w:rPr>
        <w:t xml:space="preserve">, </w:t>
      </w:r>
      <w:r w:rsidRPr="00D00D14">
        <w:rPr>
          <w:rFonts w:ascii="Times New Roman" w:eastAsia="Times New Roman" w:hAnsi="Times New Roman" w:cs="Times New Roman"/>
          <w:sz w:val="28"/>
          <w:szCs w:val="28"/>
          <w:lang w:val="es-ES_tradnl" w:eastAsia="es-MX"/>
        </w:rPr>
        <w:t xml:space="preserve">la Corte señaló que el requisito de claridad exige que la demanda presente un hilo conductor coherente en su argumentación, de </w:t>
      </w:r>
      <w:r w:rsidRPr="00D00D14">
        <w:rPr>
          <w:rFonts w:ascii="Times New Roman" w:eastAsia="Times New Roman" w:hAnsi="Times New Roman" w:cs="Times New Roman"/>
          <w:sz w:val="28"/>
          <w:szCs w:val="28"/>
          <w:lang w:val="es-ES_tradnl" w:eastAsia="es-MX"/>
        </w:rPr>
        <w:t>modo que el lector pueda entender sin dificultad su contenido y sentido</w:t>
      </w:r>
      <w:r w:rsidRPr="00D00D14">
        <w:rPr>
          <w:rFonts w:ascii="Times New Roman" w:hAnsi="Times New Roman" w:cs="Times New Roman"/>
          <w:position w:val="6"/>
          <w:sz w:val="28"/>
          <w:szCs w:val="28"/>
          <w:vertAlign w:val="superscript"/>
          <w:lang w:val="es-ES_tradnl" w:eastAsia="es-MX"/>
        </w:rPr>
        <w:footnoteReference w:id="9"/>
      </w:r>
      <w:r w:rsidRPr="00D00D14">
        <w:rPr>
          <w:rFonts w:ascii="Times New Roman" w:eastAsia="Times New Roman" w:hAnsi="Times New Roman" w:cs="Times New Roman"/>
          <w:sz w:val="28"/>
          <w:szCs w:val="28"/>
          <w:lang w:val="es-ES_tradnl" w:eastAsia="es-MX"/>
        </w:rPr>
        <w:t>.</w:t>
      </w:r>
      <w:r w:rsidRPr="00D00D14">
        <w:rPr>
          <w:rFonts w:ascii="Times New Roman" w:eastAsia="Times New Roman" w:hAnsi="Times New Roman" w:cs="Times New Roman"/>
          <w:sz w:val="28"/>
          <w:szCs w:val="28"/>
          <w:lang w:val="es-ES_tradnl" w:eastAsia="es-MX"/>
        </w:rPr>
        <w:t xml:space="preserve"> </w:t>
      </w:r>
    </w:p>
    <w:p w:rsidR="001652B5" w:rsidRPr="00D00D14" w:rsidRDefault="00D00D14" w:rsidP="009B30FB">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val="es-ES_tradnl" w:eastAsia="es-MX"/>
        </w:rPr>
      </w:pPr>
    </w:p>
    <w:p w:rsidR="001652B5" w:rsidRPr="00D00D14" w:rsidRDefault="00D00D14" w:rsidP="009B30FB">
      <w:pPr>
        <w:pStyle w:val="Prrafodelista"/>
        <w:numPr>
          <w:ilvl w:val="1"/>
          <w:numId w:val="2"/>
        </w:numPr>
        <w:tabs>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8"/>
          <w:szCs w:val="28"/>
          <w:lang w:val="es-ES_tradnl" w:eastAsia="es-MX"/>
        </w:rPr>
      </w:pPr>
      <w:r w:rsidRPr="00D00D14">
        <w:rPr>
          <w:rFonts w:ascii="Times New Roman" w:eastAsia="Times New Roman" w:hAnsi="Times New Roman" w:cs="Times New Roman"/>
          <w:sz w:val="28"/>
          <w:szCs w:val="28"/>
          <w:lang w:val="es-ES_tradnl" w:eastAsia="es-MX"/>
        </w:rPr>
        <w:t xml:space="preserve"> La condición de </w:t>
      </w:r>
      <w:r w:rsidRPr="00D00D14">
        <w:rPr>
          <w:rFonts w:ascii="Times New Roman" w:eastAsia="Times New Roman" w:hAnsi="Times New Roman" w:cs="Times New Roman"/>
          <w:i/>
          <w:sz w:val="28"/>
          <w:szCs w:val="28"/>
          <w:lang w:val="es-ES_tradnl" w:eastAsia="es-MX"/>
        </w:rPr>
        <w:t xml:space="preserve">certeza, </w:t>
      </w:r>
      <w:r w:rsidRPr="00D00D14">
        <w:rPr>
          <w:rFonts w:ascii="Times New Roman" w:eastAsia="Times New Roman" w:hAnsi="Times New Roman" w:cs="Times New Roman"/>
          <w:sz w:val="28"/>
          <w:szCs w:val="28"/>
          <w:lang w:val="es-ES_tradnl" w:eastAsia="es-MX"/>
        </w:rPr>
        <w:t>por su lado,</w:t>
      </w:r>
      <w:r w:rsidRPr="00D00D14">
        <w:rPr>
          <w:rFonts w:ascii="Times New Roman" w:eastAsia="Times New Roman" w:hAnsi="Times New Roman" w:cs="Times New Roman"/>
          <w:i/>
          <w:sz w:val="28"/>
          <w:szCs w:val="28"/>
          <w:lang w:val="es-ES_tradnl" w:eastAsia="es-MX"/>
        </w:rPr>
        <w:t xml:space="preserve"> </w:t>
      </w:r>
      <w:r w:rsidRPr="00D00D14">
        <w:rPr>
          <w:rFonts w:ascii="Times New Roman" w:eastAsia="Times New Roman" w:hAnsi="Times New Roman" w:cs="Times New Roman"/>
          <w:sz w:val="28"/>
          <w:szCs w:val="28"/>
          <w:lang w:val="es-ES_tradnl" w:eastAsia="es-MX"/>
        </w:rPr>
        <w:t>exige al actor presentar cargos contra una proposición jurídica real, existente y que tenga conexión con el texto de la norma acusada, y no u</w:t>
      </w:r>
      <w:r w:rsidRPr="00D00D14">
        <w:rPr>
          <w:rFonts w:ascii="Times New Roman" w:eastAsia="Times New Roman" w:hAnsi="Times New Roman" w:cs="Times New Roman"/>
          <w:sz w:val="28"/>
          <w:szCs w:val="28"/>
          <w:lang w:val="es-ES_tradnl" w:eastAsia="es-MX"/>
        </w:rPr>
        <w:t>na simple deducción del demandante</w:t>
      </w:r>
      <w:r w:rsidRPr="00D00D14">
        <w:rPr>
          <w:rFonts w:ascii="Times New Roman" w:hAnsi="Times New Roman" w:cs="Times New Roman"/>
          <w:position w:val="6"/>
          <w:sz w:val="28"/>
          <w:szCs w:val="28"/>
          <w:vertAlign w:val="superscript"/>
          <w:lang w:val="es-ES_tradnl" w:eastAsia="es-MX"/>
        </w:rPr>
        <w:footnoteReference w:id="10"/>
      </w:r>
      <w:r w:rsidRPr="00D00D14">
        <w:rPr>
          <w:rFonts w:ascii="Times New Roman" w:eastAsia="Times New Roman" w:hAnsi="Times New Roman" w:cs="Times New Roman"/>
          <w:sz w:val="28"/>
          <w:szCs w:val="28"/>
          <w:lang w:val="es-ES_tradnl" w:eastAsia="es-MX"/>
        </w:rPr>
        <w:t>.</w:t>
      </w:r>
      <w:r w:rsidRPr="00D00D14">
        <w:rPr>
          <w:rFonts w:ascii="Times New Roman" w:eastAsia="Times New Roman" w:hAnsi="Times New Roman" w:cs="Times New Roman"/>
          <w:sz w:val="28"/>
          <w:szCs w:val="28"/>
          <w:lang w:val="es-ES_tradnl" w:eastAsia="es-MX"/>
        </w:rPr>
        <w:t xml:space="preserve"> </w:t>
      </w:r>
    </w:p>
    <w:p w:rsidR="001652B5" w:rsidRPr="00D00D14" w:rsidRDefault="00D00D14" w:rsidP="009B30FB">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val="es-ES_tradnl" w:eastAsia="es-MX"/>
        </w:rPr>
      </w:pPr>
    </w:p>
    <w:p w:rsidR="001652B5" w:rsidRPr="00D00D14" w:rsidRDefault="00D00D14" w:rsidP="009B30FB">
      <w:pPr>
        <w:pStyle w:val="Prrafodelista"/>
        <w:numPr>
          <w:ilvl w:val="1"/>
          <w:numId w:val="2"/>
        </w:numPr>
        <w:tabs>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8"/>
          <w:szCs w:val="28"/>
          <w:vertAlign w:val="superscript"/>
          <w:lang w:val="es-ES_tradnl" w:eastAsia="es-MX"/>
        </w:rPr>
      </w:pPr>
      <w:r w:rsidRPr="00D00D14">
        <w:rPr>
          <w:rFonts w:ascii="Times New Roman" w:eastAsia="Times New Roman" w:hAnsi="Times New Roman" w:cs="Times New Roman"/>
          <w:sz w:val="28"/>
          <w:szCs w:val="28"/>
          <w:lang w:val="es-ES_tradnl" w:eastAsia="es-MX"/>
        </w:rPr>
        <w:t xml:space="preserve">La exigencia de </w:t>
      </w:r>
      <w:r w:rsidRPr="00D00D14">
        <w:rPr>
          <w:rFonts w:ascii="Times New Roman" w:eastAsia="Times New Roman" w:hAnsi="Times New Roman" w:cs="Times New Roman"/>
          <w:i/>
          <w:sz w:val="28"/>
          <w:szCs w:val="28"/>
          <w:lang w:val="es-ES_tradnl" w:eastAsia="es-MX"/>
        </w:rPr>
        <w:t>especificidad</w:t>
      </w:r>
      <w:r w:rsidRPr="00D00D14">
        <w:rPr>
          <w:rFonts w:ascii="Times New Roman" w:eastAsia="Times New Roman" w:hAnsi="Times New Roman" w:cs="Times New Roman"/>
          <w:sz w:val="28"/>
          <w:szCs w:val="28"/>
          <w:lang w:val="es-ES_tradnl" w:eastAsia="es-MX"/>
        </w:rPr>
        <w:t xml:space="preserve"> hace alusión a que el demandante debe formular, al menos, un cargo constitucional concreto y directamente relacionado con las disposiciones que se acusan, pues exponer motivos vagos o indeterminados impediría un juicio de constitucionalidad</w:t>
      </w:r>
      <w:r w:rsidRPr="00D00D14">
        <w:rPr>
          <w:rFonts w:ascii="Times New Roman" w:hAnsi="Times New Roman" w:cs="Times New Roman"/>
          <w:position w:val="6"/>
          <w:sz w:val="28"/>
          <w:szCs w:val="28"/>
          <w:vertAlign w:val="superscript"/>
          <w:lang w:val="es-ES_tradnl" w:eastAsia="es-MX"/>
        </w:rPr>
        <w:footnoteReference w:id="11"/>
      </w:r>
      <w:r w:rsidRPr="00D00D14">
        <w:rPr>
          <w:rFonts w:ascii="Times New Roman" w:eastAsia="Times New Roman" w:hAnsi="Times New Roman" w:cs="Times New Roman"/>
          <w:sz w:val="28"/>
          <w:szCs w:val="28"/>
          <w:lang w:val="es-ES_tradnl" w:eastAsia="es-MX"/>
        </w:rPr>
        <w:t>.</w:t>
      </w:r>
      <w:r w:rsidRPr="00D00D14">
        <w:rPr>
          <w:rFonts w:ascii="Times New Roman" w:eastAsia="Times New Roman" w:hAnsi="Times New Roman" w:cs="Times New Roman"/>
          <w:sz w:val="28"/>
          <w:szCs w:val="28"/>
          <w:vertAlign w:val="superscript"/>
          <w:lang w:val="es-ES_tradnl" w:eastAsia="es-MX"/>
        </w:rPr>
        <w:t xml:space="preserve"> </w:t>
      </w:r>
    </w:p>
    <w:p w:rsidR="001652B5" w:rsidRPr="00D00D14" w:rsidRDefault="00D00D14" w:rsidP="009B30FB">
      <w:pPr>
        <w:pStyle w:val="Prrafodelista"/>
        <w:overflowPunct w:val="0"/>
        <w:autoSpaceDE w:val="0"/>
        <w:autoSpaceDN w:val="0"/>
        <w:adjustRightInd w:val="0"/>
        <w:spacing w:after="0" w:line="240" w:lineRule="auto"/>
        <w:ind w:left="0"/>
        <w:jc w:val="both"/>
        <w:textAlignment w:val="baseline"/>
        <w:rPr>
          <w:rFonts w:ascii="Times New Roman" w:eastAsia="Times New Roman" w:hAnsi="Times New Roman" w:cs="Times New Roman"/>
          <w:sz w:val="28"/>
          <w:szCs w:val="28"/>
          <w:vertAlign w:val="superscript"/>
          <w:lang w:val="es-ES_tradnl" w:eastAsia="es-MX"/>
        </w:rPr>
      </w:pPr>
    </w:p>
    <w:p w:rsidR="001652B5" w:rsidRPr="00D00D14" w:rsidRDefault="00D00D14" w:rsidP="009B30FB">
      <w:pPr>
        <w:pStyle w:val="Prrafodelista"/>
        <w:numPr>
          <w:ilvl w:val="1"/>
          <w:numId w:val="2"/>
        </w:numPr>
        <w:tabs>
          <w:tab w:val="left" w:pos="426"/>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8"/>
          <w:szCs w:val="28"/>
          <w:vertAlign w:val="superscript"/>
          <w:lang w:val="es-ES_tradnl" w:eastAsia="es-MX"/>
        </w:rPr>
      </w:pPr>
      <w:r w:rsidRPr="00D00D14">
        <w:rPr>
          <w:rFonts w:ascii="Times New Roman" w:eastAsia="Times New Roman" w:hAnsi="Times New Roman" w:cs="Times New Roman"/>
          <w:sz w:val="28"/>
          <w:szCs w:val="28"/>
          <w:lang w:val="es-ES_tradnl" w:eastAsia="es-MX"/>
        </w:rPr>
        <w:t xml:space="preserve">En cuanto </w:t>
      </w:r>
      <w:r w:rsidRPr="00D00D14">
        <w:rPr>
          <w:rFonts w:ascii="Times New Roman" w:eastAsia="Times New Roman" w:hAnsi="Times New Roman" w:cs="Times New Roman"/>
          <w:sz w:val="28"/>
          <w:szCs w:val="28"/>
          <w:lang w:val="es-ES_tradnl" w:eastAsia="es-MX"/>
        </w:rPr>
        <w:t xml:space="preserve">a la </w:t>
      </w:r>
      <w:r w:rsidRPr="00D00D14">
        <w:rPr>
          <w:rFonts w:ascii="Times New Roman" w:eastAsia="Times New Roman" w:hAnsi="Times New Roman" w:cs="Times New Roman"/>
          <w:i/>
          <w:sz w:val="28"/>
          <w:szCs w:val="28"/>
          <w:lang w:val="es-ES_tradnl" w:eastAsia="es-MX"/>
        </w:rPr>
        <w:t xml:space="preserve">pertinencia, </w:t>
      </w:r>
      <w:r w:rsidRPr="00D00D14">
        <w:rPr>
          <w:rFonts w:ascii="Times New Roman" w:eastAsia="Times New Roman" w:hAnsi="Times New Roman" w:cs="Times New Roman"/>
          <w:sz w:val="28"/>
          <w:szCs w:val="28"/>
          <w:lang w:val="es-ES_tradnl" w:eastAsia="es-MX"/>
        </w:rPr>
        <w:t>l</w:t>
      </w:r>
      <w:r w:rsidRPr="00D00D14">
        <w:rPr>
          <w:rFonts w:ascii="Times New Roman" w:eastAsia="Times New Roman" w:hAnsi="Times New Roman" w:cs="Times New Roman"/>
          <w:sz w:val="28"/>
          <w:szCs w:val="28"/>
          <w:lang w:val="es-ES_tradnl" w:eastAsia="es-MX"/>
        </w:rPr>
        <w:t>a Corte ha establecido que los cargos deben basarse en la confrontación entre la norma acusada y la Constitución, por lo que no son válidos argumentos legales, doctrinarios ni apreciaciones subjetivas del demandante</w:t>
      </w:r>
      <w:r w:rsidRPr="00D00D14">
        <w:rPr>
          <w:rFonts w:ascii="Times New Roman" w:hAnsi="Times New Roman" w:cs="Times New Roman"/>
          <w:position w:val="6"/>
          <w:sz w:val="28"/>
          <w:szCs w:val="28"/>
          <w:vertAlign w:val="superscript"/>
          <w:lang w:val="es-ES_tradnl" w:eastAsia="es-MX"/>
        </w:rPr>
        <w:footnoteReference w:id="12"/>
      </w:r>
      <w:r w:rsidRPr="00D00D14">
        <w:rPr>
          <w:rFonts w:ascii="Times New Roman" w:eastAsia="Times New Roman" w:hAnsi="Times New Roman" w:cs="Times New Roman"/>
          <w:sz w:val="28"/>
          <w:szCs w:val="28"/>
          <w:lang w:val="es-ES_tradnl" w:eastAsia="es-MX"/>
        </w:rPr>
        <w:t>.</w:t>
      </w:r>
      <w:r w:rsidRPr="00D00D14">
        <w:rPr>
          <w:rFonts w:ascii="Times New Roman" w:eastAsia="Times New Roman" w:hAnsi="Times New Roman" w:cs="Times New Roman"/>
          <w:sz w:val="28"/>
          <w:szCs w:val="28"/>
          <w:vertAlign w:val="superscript"/>
          <w:lang w:val="es-ES_tradnl" w:eastAsia="es-MX"/>
        </w:rPr>
        <w:t xml:space="preserve"> </w:t>
      </w:r>
    </w:p>
    <w:p w:rsidR="001652B5" w:rsidRPr="00D00D14" w:rsidRDefault="00D00D14" w:rsidP="009B30FB">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vertAlign w:val="superscript"/>
          <w:lang w:val="es-ES_tradnl" w:eastAsia="es-MX"/>
        </w:rPr>
      </w:pPr>
    </w:p>
    <w:p w:rsidR="001652B5" w:rsidRPr="00D00D14" w:rsidRDefault="00D00D14" w:rsidP="009B30FB">
      <w:pPr>
        <w:pStyle w:val="Prrafodelista"/>
        <w:numPr>
          <w:ilvl w:val="1"/>
          <w:numId w:val="2"/>
        </w:numPr>
        <w:tabs>
          <w:tab w:val="clear" w:pos="720"/>
          <w:tab w:val="left" w:pos="426"/>
          <w:tab w:val="num" w:pos="567"/>
          <w:tab w:val="left" w:pos="993"/>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8"/>
          <w:szCs w:val="28"/>
          <w:lang w:val="es-ES_tradnl" w:eastAsia="es-MX"/>
        </w:rPr>
      </w:pPr>
      <w:r w:rsidRPr="00D00D14">
        <w:rPr>
          <w:rFonts w:ascii="Times New Roman" w:eastAsia="Times New Roman" w:hAnsi="Times New Roman" w:cs="Times New Roman"/>
          <w:sz w:val="28"/>
          <w:szCs w:val="28"/>
          <w:lang w:val="es-ES_tradnl" w:eastAsia="es-MX"/>
        </w:rPr>
        <w:t xml:space="preserve">Con respecto a la </w:t>
      </w:r>
      <w:r w:rsidRPr="00D00D14">
        <w:rPr>
          <w:rFonts w:ascii="Times New Roman" w:eastAsia="Times New Roman" w:hAnsi="Times New Roman" w:cs="Times New Roman"/>
          <w:i/>
          <w:sz w:val="28"/>
          <w:szCs w:val="28"/>
          <w:lang w:val="es-ES_tradnl" w:eastAsia="es-MX"/>
        </w:rPr>
        <w:t xml:space="preserve">suficiencia, </w:t>
      </w:r>
      <w:r w:rsidRPr="00D00D14">
        <w:rPr>
          <w:rFonts w:ascii="Times New Roman" w:eastAsia="Times New Roman" w:hAnsi="Times New Roman" w:cs="Times New Roman"/>
          <w:sz w:val="28"/>
          <w:szCs w:val="28"/>
          <w:lang w:val="es-ES_tradnl" w:eastAsia="es-MX"/>
        </w:rPr>
        <w:t>la demanda debe aportar los elementos necesarios para permitir el juicio de constitucionalidad y usar argumentos que generen al menos una duda mínima sobre la validez de la norma, de modo que resulte persuasiva</w:t>
      </w:r>
      <w:r w:rsidRPr="00D00D14">
        <w:rPr>
          <w:rFonts w:ascii="Times New Roman" w:hAnsi="Times New Roman" w:cs="Times New Roman"/>
          <w:position w:val="6"/>
          <w:sz w:val="28"/>
          <w:szCs w:val="28"/>
          <w:vertAlign w:val="superscript"/>
          <w:lang w:val="es-ES_tradnl" w:eastAsia="es-MX"/>
        </w:rPr>
        <w:footnoteReference w:id="13"/>
      </w:r>
      <w:r w:rsidRPr="00D00D14">
        <w:rPr>
          <w:rFonts w:ascii="Times New Roman" w:eastAsia="Times New Roman" w:hAnsi="Times New Roman" w:cs="Times New Roman"/>
          <w:sz w:val="28"/>
          <w:szCs w:val="28"/>
          <w:lang w:val="es-ES_tradnl" w:eastAsia="es-MX"/>
        </w:rPr>
        <w:t>.</w:t>
      </w:r>
      <w:r w:rsidRPr="00D00D14">
        <w:rPr>
          <w:rFonts w:ascii="Times New Roman" w:eastAsia="Times New Roman" w:hAnsi="Times New Roman" w:cs="Times New Roman"/>
          <w:sz w:val="28"/>
          <w:szCs w:val="28"/>
          <w:vertAlign w:val="superscript"/>
          <w:lang w:val="es-ES_tradnl" w:eastAsia="es-MX"/>
        </w:rPr>
        <w:t xml:space="preserve">   </w:t>
      </w:r>
    </w:p>
    <w:p w:rsidR="00045AF1" w:rsidRPr="00D00D14" w:rsidRDefault="00D00D14" w:rsidP="00045AF1">
      <w:pPr>
        <w:pStyle w:val="Prrafodelista"/>
        <w:spacing w:line="240" w:lineRule="atLeast"/>
        <w:ind w:left="0" w:right="-36"/>
        <w:rPr>
          <w:rFonts w:ascii="Times New Roman" w:hAnsi="Times New Roman" w:cs="Times New Roman"/>
          <w:b/>
          <w:bCs/>
          <w:color w:val="000000" w:themeColor="text1"/>
          <w:sz w:val="28"/>
          <w:szCs w:val="28"/>
          <w:lang w:val="es-ES_tradnl" w:eastAsia="es-ES"/>
        </w:rPr>
      </w:pPr>
      <w:r w:rsidRPr="00D00D14">
        <w:rPr>
          <w:rFonts w:ascii="Times New Roman" w:hAnsi="Times New Roman" w:cs="Times New Roman"/>
          <w:b/>
          <w:bCs/>
          <w:color w:val="000000" w:themeColor="text1"/>
          <w:sz w:val="28"/>
          <w:szCs w:val="28"/>
          <w:lang w:val="es-ES_tradnl" w:eastAsia="es-ES"/>
        </w:rPr>
        <w:t>Examen de</w:t>
      </w:r>
      <w:r w:rsidRPr="00D00D14">
        <w:rPr>
          <w:rFonts w:ascii="Times New Roman" w:hAnsi="Times New Roman" w:cs="Times New Roman"/>
          <w:b/>
          <w:bCs/>
          <w:color w:val="000000" w:themeColor="text1"/>
          <w:sz w:val="28"/>
          <w:szCs w:val="28"/>
          <w:lang w:val="es-ES_tradnl" w:eastAsia="es-ES"/>
        </w:rPr>
        <w:t xml:space="preserve"> aptitud sustantiva de la demanda</w:t>
      </w:r>
    </w:p>
    <w:p w:rsidR="00045AF1" w:rsidRPr="00D00D14" w:rsidRDefault="00D00D14" w:rsidP="009B30FB">
      <w:pPr>
        <w:pStyle w:val="Prrafodelista"/>
        <w:spacing w:after="0" w:line="240" w:lineRule="auto"/>
        <w:ind w:left="0"/>
        <w:rPr>
          <w:rFonts w:ascii="Times New Roman" w:eastAsia="Times New Roman" w:hAnsi="Times New Roman" w:cs="Times New Roman"/>
          <w:sz w:val="28"/>
          <w:szCs w:val="28"/>
          <w:lang w:val="es-ES_tradnl" w:eastAsia="es-MX"/>
        </w:rPr>
      </w:pPr>
    </w:p>
    <w:p w:rsidR="00751E71" w:rsidRPr="00D00D14" w:rsidRDefault="00D00D14" w:rsidP="00123EE6">
      <w:pPr>
        <w:pStyle w:val="Prrafodelista"/>
        <w:numPr>
          <w:ilvl w:val="0"/>
          <w:numId w:val="2"/>
        </w:numPr>
        <w:tabs>
          <w:tab w:val="clear" w:pos="3368"/>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El ciudadano </w:t>
      </w:r>
      <w:r w:rsidRPr="00D00D14">
        <w:rPr>
          <w:rFonts w:ascii="Times New Roman" w:eastAsia="Times New Roman" w:hAnsi="Times New Roman" w:cs="Times New Roman"/>
          <w:bCs/>
          <w:sz w:val="28"/>
          <w:szCs w:val="28"/>
          <w:lang w:val="es-ES_tradnl" w:eastAsia="es-MX"/>
        </w:rPr>
        <w:t>Iván Felipe Unigarro Dorado promovió acción pública de inconstitucionalidad contra</w:t>
      </w:r>
      <w:r w:rsidRPr="00D00D14">
        <w:rPr>
          <w:rFonts w:ascii="Times New Roman" w:eastAsia="Times New Roman" w:hAnsi="Times New Roman" w:cs="Times New Roman"/>
          <w:bCs/>
          <w:sz w:val="28"/>
          <w:szCs w:val="28"/>
          <w:lang w:val="es-ES_tradnl" w:eastAsia="es-MX"/>
        </w:rPr>
        <w:t xml:space="preserve"> </w:t>
      </w:r>
      <w:r w:rsidRPr="00D00D14">
        <w:rPr>
          <w:rFonts w:ascii="Times New Roman" w:eastAsia="Times New Roman" w:hAnsi="Times New Roman" w:cs="Times New Roman"/>
          <w:bCs/>
          <w:sz w:val="28"/>
          <w:szCs w:val="28"/>
          <w:lang w:val="es-ES_tradnl" w:eastAsia="es-MX"/>
        </w:rPr>
        <w:t xml:space="preserve">las expresiones “con aportes superiores al dos por ciento (2.0%) de las sumas máximas a invertir por los candidatos en las </w:t>
      </w:r>
      <w:r w:rsidRPr="00D00D14">
        <w:rPr>
          <w:rFonts w:ascii="Times New Roman" w:eastAsia="Times New Roman" w:hAnsi="Times New Roman" w:cs="Times New Roman"/>
          <w:bCs/>
          <w:sz w:val="28"/>
          <w:szCs w:val="28"/>
          <w:lang w:val="es-ES_tradnl" w:eastAsia="es-MX"/>
        </w:rPr>
        <w:t>campañas electorales en cada circunscripción electoral” y “La inhabilidad contemplada en esta norma no se aplicará respecto de los contratos de prestación de servicios profesionales”, contenidas en el artículo 33 de la Ley 1778 de 2016. A su juicio, esos a</w:t>
      </w:r>
      <w:r w:rsidRPr="00D00D14">
        <w:rPr>
          <w:rFonts w:ascii="Times New Roman" w:eastAsia="Times New Roman" w:hAnsi="Times New Roman" w:cs="Times New Roman"/>
          <w:bCs/>
          <w:sz w:val="28"/>
          <w:szCs w:val="28"/>
          <w:lang w:val="es-ES_tradnl" w:eastAsia="es-MX"/>
        </w:rPr>
        <w:t>partes normativos vulneran el artículo 110 de la Constitución, en la medida en que introducen excepciones legales que permitirían que personas que desempeñan funciones públicas, particularmente a través de contratos estatales, contribuyan a la financiación</w:t>
      </w:r>
      <w:r w:rsidRPr="00D00D14">
        <w:rPr>
          <w:rFonts w:ascii="Times New Roman" w:eastAsia="Times New Roman" w:hAnsi="Times New Roman" w:cs="Times New Roman"/>
          <w:bCs/>
          <w:sz w:val="28"/>
          <w:szCs w:val="28"/>
          <w:lang w:val="es-ES_tradnl" w:eastAsia="es-MX"/>
        </w:rPr>
        <w:t xml:space="preserve"> de partidos, movimientos políticos o campañas electorales, en contravía de la prohibición constitucional.</w:t>
      </w:r>
    </w:p>
    <w:p w:rsidR="00712B64" w:rsidRPr="00D00D14" w:rsidRDefault="00D00D14" w:rsidP="00712B64">
      <w:pPr>
        <w:pStyle w:val="Prrafodelista"/>
        <w:tabs>
          <w:tab w:val="left" w:pos="284"/>
          <w:tab w:val="left" w:pos="426"/>
        </w:tabs>
        <w:spacing w:after="0" w:line="240" w:lineRule="auto"/>
        <w:ind w:left="0"/>
        <w:jc w:val="both"/>
        <w:rPr>
          <w:rFonts w:ascii="Times New Roman" w:eastAsia="Times New Roman" w:hAnsi="Times New Roman" w:cs="Times New Roman"/>
          <w:bCs/>
          <w:sz w:val="28"/>
          <w:szCs w:val="28"/>
          <w:lang w:val="es-ES_tradnl" w:eastAsia="es-MX"/>
        </w:rPr>
      </w:pPr>
    </w:p>
    <w:p w:rsidR="009F58D9" w:rsidRPr="00D00D14" w:rsidRDefault="00D00D14" w:rsidP="001A0F20">
      <w:pPr>
        <w:pStyle w:val="Prrafodelista"/>
        <w:numPr>
          <w:ilvl w:val="0"/>
          <w:numId w:val="2"/>
        </w:numPr>
        <w:tabs>
          <w:tab w:val="clear" w:pos="3368"/>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Según el demandante, aunque el artículo 110 superior admite que el legislador establezca excepciones a la prohibición de financiar campañas política</w:t>
      </w:r>
      <w:r w:rsidRPr="00D00D14">
        <w:rPr>
          <w:rFonts w:ascii="Times New Roman" w:eastAsia="Times New Roman" w:hAnsi="Times New Roman" w:cs="Times New Roman"/>
          <w:bCs/>
          <w:sz w:val="28"/>
          <w:szCs w:val="28"/>
          <w:lang w:val="es-ES_tradnl" w:eastAsia="es-MX"/>
        </w:rPr>
        <w:t>s, dichas excepciones deben ser objetivas, razonables y proporcionales. En su criterio, ni el establecimiento de un umbral porcentual del 2% ni la exclusión de los contratos de prestación de servicios profesionales cumplen con esos parámetros, pues se fund</w:t>
      </w:r>
      <w:r w:rsidRPr="00D00D14">
        <w:rPr>
          <w:rFonts w:ascii="Times New Roman" w:eastAsia="Times New Roman" w:hAnsi="Times New Roman" w:cs="Times New Roman"/>
          <w:bCs/>
          <w:sz w:val="28"/>
          <w:szCs w:val="28"/>
          <w:lang w:val="es-ES_tradnl" w:eastAsia="es-MX"/>
        </w:rPr>
        <w:t>an en criterios meramente cuantitativos o formales que desconocen el alcance material del concepto de función pública. Con base en esa premisa, el ciudadano sostuvo que las expresiones demandadas vacían de contenido la prohibición constitucional, facilitan</w:t>
      </w:r>
      <w:r w:rsidRPr="00D00D14">
        <w:rPr>
          <w:rFonts w:ascii="Times New Roman" w:eastAsia="Times New Roman" w:hAnsi="Times New Roman" w:cs="Times New Roman"/>
          <w:bCs/>
          <w:sz w:val="28"/>
          <w:szCs w:val="28"/>
          <w:lang w:val="es-ES_tradnl" w:eastAsia="es-MX"/>
        </w:rPr>
        <w:t xml:space="preserve"> la cooptación de la actividad política por intereses económicos vinculados al Estado y hacen inoperante el mandato del artículo 110 de la Constitución.</w:t>
      </w:r>
    </w:p>
    <w:p w:rsidR="00712B64" w:rsidRPr="00D00D14" w:rsidRDefault="00D00D14" w:rsidP="00712B64">
      <w:pPr>
        <w:pStyle w:val="Prrafodelista"/>
        <w:tabs>
          <w:tab w:val="left" w:pos="284"/>
          <w:tab w:val="left" w:pos="426"/>
        </w:tabs>
        <w:spacing w:after="0" w:line="240" w:lineRule="auto"/>
        <w:ind w:left="0"/>
        <w:jc w:val="both"/>
        <w:rPr>
          <w:rFonts w:ascii="Times New Roman" w:eastAsia="Times New Roman" w:hAnsi="Times New Roman" w:cs="Times New Roman"/>
          <w:bCs/>
          <w:sz w:val="28"/>
          <w:szCs w:val="28"/>
          <w:lang w:val="es-ES_tradnl" w:eastAsia="es-MX"/>
        </w:rPr>
      </w:pPr>
    </w:p>
    <w:p w:rsidR="0058682D" w:rsidRPr="00D00D14" w:rsidRDefault="00D00D14" w:rsidP="0058682D">
      <w:pPr>
        <w:pStyle w:val="Prrafodelista"/>
        <w:numPr>
          <w:ilvl w:val="0"/>
          <w:numId w:val="2"/>
        </w:numPr>
        <w:tabs>
          <w:tab w:val="clear" w:pos="3368"/>
          <w:tab w:val="num" w:pos="0"/>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Para efectos de delimitar el marco dentro del cual debe examinarse la aptitud sustantiva de la demanda</w:t>
      </w:r>
      <w:r w:rsidRPr="00D00D14">
        <w:rPr>
          <w:rFonts w:ascii="Times New Roman" w:eastAsia="Times New Roman" w:hAnsi="Times New Roman" w:cs="Times New Roman"/>
          <w:bCs/>
          <w:sz w:val="28"/>
          <w:szCs w:val="28"/>
          <w:lang w:val="es-ES_tradnl" w:eastAsia="es-MX"/>
        </w:rPr>
        <w:t xml:space="preserve">, la Sala considera necesario precisar el alcance del artículo 110 de la Constitución Política, invocado como parámetro de control, y del artículo 33 de la Ley 1778 de 2016, parcialmente demandado. Esta delimitación resulta indispensable, habida cuenta de </w:t>
      </w:r>
      <w:r w:rsidRPr="00D00D14">
        <w:rPr>
          <w:rFonts w:ascii="Times New Roman" w:eastAsia="Times New Roman" w:hAnsi="Times New Roman" w:cs="Times New Roman"/>
          <w:bCs/>
          <w:sz w:val="28"/>
          <w:szCs w:val="28"/>
          <w:lang w:val="es-ES_tradnl" w:eastAsia="es-MX"/>
        </w:rPr>
        <w:t>que el reproche ciudadano se edifica sobre una determinada comprensión de ambos preceptos y de la relación normativa que, a su juicio, existe entre ellos.</w:t>
      </w:r>
    </w:p>
    <w:p w:rsidR="0058682D" w:rsidRPr="00D00D14" w:rsidRDefault="00D00D14" w:rsidP="0058682D">
      <w:pPr>
        <w:pStyle w:val="Prrafodelista"/>
        <w:rPr>
          <w:rFonts w:ascii="Times New Roman" w:eastAsia="Times New Roman" w:hAnsi="Times New Roman" w:cs="Times New Roman"/>
          <w:bCs/>
          <w:sz w:val="28"/>
          <w:szCs w:val="28"/>
          <w:lang w:val="es-ES_tradnl" w:eastAsia="es-MX"/>
        </w:rPr>
      </w:pPr>
    </w:p>
    <w:p w:rsidR="0058682D" w:rsidRPr="00D00D14" w:rsidRDefault="00D00D14" w:rsidP="005D05B0">
      <w:pPr>
        <w:pStyle w:val="Prrafodelista"/>
        <w:numPr>
          <w:ilvl w:val="0"/>
          <w:numId w:val="2"/>
        </w:numPr>
        <w:tabs>
          <w:tab w:val="clear" w:pos="3368"/>
          <w:tab w:val="num" w:pos="0"/>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El artículo 110 superior consagra una prohibición constitucional directa en virtud de la cual quienes desempeñan funciones públicas no pueden realizar contribuciones a partidos, movimientos políticos o candidatos, ni inducir a otros a que lo hagan, salvo l</w:t>
      </w:r>
      <w:r w:rsidRPr="00D00D14">
        <w:rPr>
          <w:rFonts w:ascii="Times New Roman" w:eastAsia="Times New Roman" w:hAnsi="Times New Roman" w:cs="Times New Roman"/>
          <w:bCs/>
          <w:sz w:val="28"/>
          <w:szCs w:val="28"/>
          <w:lang w:val="es-ES_tradnl" w:eastAsia="es-MX"/>
        </w:rPr>
        <w:t xml:space="preserve">as excepciones que establezca la ley. El precepto no acude a una categoría orgánica cerrada </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como la de servidor público</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 xml:space="preserve"> sino a un criterio funcional, referido al desempeño efectivo de funciones públicas. A su vez, la norma fija consecuencias específicas </w:t>
      </w:r>
      <w:r w:rsidRPr="00D00D14">
        <w:rPr>
          <w:rFonts w:ascii="Times New Roman" w:eastAsia="Times New Roman" w:hAnsi="Times New Roman" w:cs="Times New Roman"/>
          <w:bCs/>
          <w:sz w:val="28"/>
          <w:szCs w:val="28"/>
          <w:lang w:val="es-ES_tradnl" w:eastAsia="es-MX"/>
        </w:rPr>
        <w:t>por el incumplimiento de la prohibición, a saber, la remoción del cargo o la pérdida de investidura, según la calidad del sujeto, lo cual pone de presente que su aplicación presupone la existencia de un vínculo vigente con el ejercicio de la función públic</w:t>
      </w:r>
      <w:r w:rsidRPr="00D00D14">
        <w:rPr>
          <w:rFonts w:ascii="Times New Roman" w:eastAsia="Times New Roman" w:hAnsi="Times New Roman" w:cs="Times New Roman"/>
          <w:bCs/>
          <w:sz w:val="28"/>
          <w:szCs w:val="28"/>
          <w:lang w:val="es-ES_tradnl" w:eastAsia="es-MX"/>
        </w:rPr>
        <w:t>a al momento en que se realiza la conducta prohibida.</w:t>
      </w:r>
    </w:p>
    <w:p w:rsidR="0045714B" w:rsidRPr="00D00D14" w:rsidRDefault="00D00D14" w:rsidP="0045714B">
      <w:pPr>
        <w:pStyle w:val="Prrafodelista"/>
        <w:rPr>
          <w:rFonts w:ascii="Times New Roman" w:eastAsia="Times New Roman" w:hAnsi="Times New Roman" w:cs="Times New Roman"/>
          <w:bCs/>
          <w:sz w:val="28"/>
          <w:szCs w:val="28"/>
          <w:lang w:val="es-ES_tradnl" w:eastAsia="es-MX"/>
        </w:rPr>
      </w:pPr>
    </w:p>
    <w:p w:rsidR="0045714B" w:rsidRPr="00D00D14" w:rsidRDefault="00D00D14" w:rsidP="006573D2">
      <w:pPr>
        <w:pStyle w:val="Prrafodelista"/>
        <w:numPr>
          <w:ilvl w:val="0"/>
          <w:numId w:val="2"/>
        </w:numPr>
        <w:tabs>
          <w:tab w:val="clear" w:pos="3368"/>
          <w:tab w:val="num" w:pos="0"/>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Desde el punto de vista de su estructura normativa, el artículo 110 </w:t>
      </w:r>
      <w:r w:rsidRPr="00D00D14">
        <w:rPr>
          <w:rFonts w:ascii="Times New Roman" w:eastAsia="Times New Roman" w:hAnsi="Times New Roman" w:cs="Times New Roman"/>
          <w:bCs/>
          <w:sz w:val="28"/>
          <w:szCs w:val="28"/>
          <w:lang w:val="es-ES_tradnl" w:eastAsia="es-MX"/>
        </w:rPr>
        <w:t xml:space="preserve">superior </w:t>
      </w:r>
      <w:r w:rsidRPr="00D00D14">
        <w:rPr>
          <w:rFonts w:ascii="Times New Roman" w:eastAsia="Times New Roman" w:hAnsi="Times New Roman" w:cs="Times New Roman"/>
          <w:bCs/>
          <w:sz w:val="28"/>
          <w:szCs w:val="28"/>
          <w:lang w:val="es-ES_tradnl" w:eastAsia="es-MX"/>
        </w:rPr>
        <w:t>está diseñado como una regla prohibitiva que opera durante el ejercicio de funciones públicas y que se activa frente a compo</w:t>
      </w:r>
      <w:r w:rsidRPr="00D00D14">
        <w:rPr>
          <w:rFonts w:ascii="Times New Roman" w:eastAsia="Times New Roman" w:hAnsi="Times New Roman" w:cs="Times New Roman"/>
          <w:bCs/>
          <w:sz w:val="28"/>
          <w:szCs w:val="28"/>
          <w:lang w:val="es-ES_tradnl" w:eastAsia="es-MX"/>
        </w:rPr>
        <w:t>rtamientos de financiación política realizados por quienes ya se encuentran investidos de potestades públicas o ejercen, de manera efectiva, atribuciones propias de la función estatal. En ese sentido, el supuesto de hecho al que se dirige la prohibición co</w:t>
      </w:r>
      <w:r w:rsidRPr="00D00D14">
        <w:rPr>
          <w:rFonts w:ascii="Times New Roman" w:eastAsia="Times New Roman" w:hAnsi="Times New Roman" w:cs="Times New Roman"/>
          <w:bCs/>
          <w:sz w:val="28"/>
          <w:szCs w:val="28"/>
          <w:lang w:val="es-ES_tradnl" w:eastAsia="es-MX"/>
        </w:rPr>
        <w:t>nstitucional no es el de la celebración futura de vínculos con el Estado, sino el de la interferencia del ejercicio de funciones públicas en la financiación del debate político-electoral.</w:t>
      </w:r>
      <w:r w:rsidRPr="00D00D14">
        <w:rPr>
          <w:rFonts w:ascii="Times New Roman" w:eastAsia="Times New Roman" w:hAnsi="Times New Roman" w:cs="Times New Roman"/>
          <w:bCs/>
          <w:sz w:val="28"/>
          <w:szCs w:val="28"/>
          <w:lang w:val="es-ES_tradnl" w:eastAsia="es-MX"/>
        </w:rPr>
        <w:t xml:space="preserve"> </w:t>
      </w:r>
    </w:p>
    <w:p w:rsidR="0045714B" w:rsidRPr="00D00D14" w:rsidRDefault="00D00D14" w:rsidP="0045714B">
      <w:pPr>
        <w:pStyle w:val="Prrafodelista"/>
        <w:rPr>
          <w:rFonts w:ascii="Times New Roman" w:eastAsia="Times New Roman" w:hAnsi="Times New Roman" w:cs="Times New Roman"/>
          <w:bCs/>
          <w:sz w:val="28"/>
          <w:szCs w:val="28"/>
          <w:lang w:val="es-ES_tradnl" w:eastAsia="es-MX"/>
        </w:rPr>
      </w:pPr>
    </w:p>
    <w:p w:rsidR="009D7E69" w:rsidRPr="00D00D14" w:rsidRDefault="00D00D14" w:rsidP="00C3460B">
      <w:pPr>
        <w:pStyle w:val="Prrafodelista"/>
        <w:numPr>
          <w:ilvl w:val="0"/>
          <w:numId w:val="2"/>
        </w:numPr>
        <w:tabs>
          <w:tab w:val="clear" w:pos="3368"/>
          <w:tab w:val="num" w:pos="0"/>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Por su parte, el artículo 33 de la Ley 1778 de 2016 </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 xml:space="preserve">que modificó </w:t>
      </w:r>
      <w:r w:rsidRPr="00D00D14">
        <w:rPr>
          <w:rFonts w:ascii="Times New Roman" w:eastAsia="Times New Roman" w:hAnsi="Times New Roman" w:cs="Times New Roman"/>
          <w:bCs/>
          <w:sz w:val="28"/>
          <w:szCs w:val="28"/>
          <w:lang w:val="es-ES_tradnl" w:eastAsia="es-MX"/>
        </w:rPr>
        <w:t>el literal k) del numeral 1 del artículo 8° de la Ley 80 de 1993</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 xml:space="preserve"> establece una inhabilidad para contratar con el Estado, aplicable a las personas naturales o jurídicas que hayan financiado campañas políticas a determinados cargos de elección popular, cuan</w:t>
      </w:r>
      <w:r w:rsidRPr="00D00D14">
        <w:rPr>
          <w:rFonts w:ascii="Times New Roman" w:eastAsia="Times New Roman" w:hAnsi="Times New Roman" w:cs="Times New Roman"/>
          <w:bCs/>
          <w:sz w:val="28"/>
          <w:szCs w:val="28"/>
          <w:lang w:val="es-ES_tradnl" w:eastAsia="es-MX"/>
        </w:rPr>
        <w:t>do concurren las condiciones previstas por el legislador. Se trata de una restricción a la capacidad jurídica para celebrar contratos estatales, cuyo ámbito de aplicación se proyecta en un momento temporal anterior a la configuración de la relación contrac</w:t>
      </w:r>
      <w:r w:rsidRPr="00D00D14">
        <w:rPr>
          <w:rFonts w:ascii="Times New Roman" w:eastAsia="Times New Roman" w:hAnsi="Times New Roman" w:cs="Times New Roman"/>
          <w:bCs/>
          <w:sz w:val="28"/>
          <w:szCs w:val="28"/>
          <w:lang w:val="es-ES_tradnl" w:eastAsia="es-MX"/>
        </w:rPr>
        <w:t>tual, y cuyos destinatarios son particulares que pretenden celebrar un contrato con entidades públicas con posterioridad a la financiación electoral.</w:t>
      </w:r>
      <w:r w:rsidRPr="00D00D14">
        <w:rPr>
          <w:rFonts w:ascii="Times New Roman" w:eastAsia="Times New Roman" w:hAnsi="Times New Roman" w:cs="Times New Roman"/>
          <w:bCs/>
          <w:sz w:val="28"/>
          <w:szCs w:val="28"/>
          <w:lang w:val="es-ES_tradnl" w:eastAsia="es-MX"/>
        </w:rPr>
        <w:t xml:space="preserve"> </w:t>
      </w:r>
    </w:p>
    <w:p w:rsidR="009D7E69" w:rsidRPr="00D00D14" w:rsidRDefault="00D00D14" w:rsidP="009D7E69">
      <w:pPr>
        <w:pStyle w:val="Prrafodelista"/>
        <w:rPr>
          <w:rFonts w:ascii="Times New Roman" w:eastAsia="Times New Roman" w:hAnsi="Times New Roman" w:cs="Times New Roman"/>
          <w:bCs/>
          <w:sz w:val="28"/>
          <w:szCs w:val="28"/>
          <w:lang w:val="es-ES_tradnl" w:eastAsia="es-MX"/>
        </w:rPr>
      </w:pPr>
    </w:p>
    <w:p w:rsidR="009D7E69" w:rsidRPr="00D00D14" w:rsidRDefault="00D00D14" w:rsidP="00C3460B">
      <w:pPr>
        <w:pStyle w:val="Prrafodelista"/>
        <w:numPr>
          <w:ilvl w:val="0"/>
          <w:numId w:val="2"/>
        </w:numPr>
        <w:tabs>
          <w:tab w:val="clear" w:pos="3368"/>
          <w:tab w:val="num" w:pos="0"/>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En efecto, conforme a su tenor literal y a su ubicación sistemática dentro del estatuto de inhabilidades contractuales, la disposición legal no regula la conducta de quienes ejercen funciones públicas, ni determina prohibiciones aplicables durante el ejerc</w:t>
      </w:r>
      <w:r w:rsidRPr="00D00D14">
        <w:rPr>
          <w:rFonts w:ascii="Times New Roman" w:eastAsia="Times New Roman" w:hAnsi="Times New Roman" w:cs="Times New Roman"/>
          <w:bCs/>
          <w:sz w:val="28"/>
          <w:szCs w:val="28"/>
          <w:lang w:val="es-ES_tradnl" w:eastAsia="es-MX"/>
        </w:rPr>
        <w:t xml:space="preserve">icio de dichas funciones. Por el contrario, la norma parte del supuesto de que los sujetos a quienes se dirige no han consolidado aún un vínculo contractual con el Estado y, por ende, no se encuentran ejerciendo funciones públicas en los términos exigidos </w:t>
      </w:r>
      <w:r w:rsidRPr="00D00D14">
        <w:rPr>
          <w:rFonts w:ascii="Times New Roman" w:eastAsia="Times New Roman" w:hAnsi="Times New Roman" w:cs="Times New Roman"/>
          <w:bCs/>
          <w:sz w:val="28"/>
          <w:szCs w:val="28"/>
          <w:lang w:val="es-ES_tradnl" w:eastAsia="es-MX"/>
        </w:rPr>
        <w:t xml:space="preserve">por el artículo 110 constitucional. </w:t>
      </w:r>
    </w:p>
    <w:p w:rsidR="009D7E69" w:rsidRPr="00D00D14" w:rsidRDefault="00D00D14" w:rsidP="009D7E69">
      <w:pPr>
        <w:pStyle w:val="Prrafodelista"/>
        <w:rPr>
          <w:rFonts w:ascii="Times New Roman" w:eastAsia="Times New Roman" w:hAnsi="Times New Roman" w:cs="Times New Roman"/>
          <w:bCs/>
          <w:sz w:val="28"/>
          <w:szCs w:val="28"/>
          <w:lang w:val="es-ES_tradnl" w:eastAsia="es-MX"/>
        </w:rPr>
      </w:pPr>
    </w:p>
    <w:p w:rsidR="0064672E" w:rsidRPr="00D00D14" w:rsidRDefault="00D00D14" w:rsidP="00E60240">
      <w:pPr>
        <w:pStyle w:val="Prrafodelista"/>
        <w:numPr>
          <w:ilvl w:val="0"/>
          <w:numId w:val="2"/>
        </w:numPr>
        <w:tabs>
          <w:tab w:val="clear" w:pos="3368"/>
          <w:tab w:val="num" w:pos="0"/>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La inhabilidad prevista en el artículo 33 busca impedir que ese vínculo contractual llegue a configurarse, como consecuencia de la financiación de campañas políticas, durante el período para el cual fue elegido el cand</w:t>
      </w:r>
      <w:r w:rsidRPr="00D00D14">
        <w:rPr>
          <w:rFonts w:ascii="Times New Roman" w:eastAsia="Times New Roman" w:hAnsi="Times New Roman" w:cs="Times New Roman"/>
          <w:bCs/>
          <w:sz w:val="28"/>
          <w:szCs w:val="28"/>
          <w:lang w:val="es-ES_tradnl" w:eastAsia="es-MX"/>
        </w:rPr>
        <w:t>idato beneficiado.</w:t>
      </w:r>
    </w:p>
    <w:p w:rsidR="0064672E" w:rsidRPr="00D00D14" w:rsidRDefault="00D00D14" w:rsidP="0064672E">
      <w:pPr>
        <w:pStyle w:val="Prrafodelista"/>
        <w:rPr>
          <w:rFonts w:ascii="Times New Roman" w:eastAsia="Times New Roman" w:hAnsi="Times New Roman" w:cs="Times New Roman"/>
          <w:bCs/>
          <w:sz w:val="28"/>
          <w:szCs w:val="28"/>
          <w:lang w:val="es-ES_tradnl" w:eastAsia="es-MX"/>
        </w:rPr>
      </w:pPr>
    </w:p>
    <w:p w:rsidR="00B91876" w:rsidRPr="00D00D14" w:rsidRDefault="00D00D14" w:rsidP="005D7758">
      <w:pPr>
        <w:pStyle w:val="Prrafodelista"/>
        <w:numPr>
          <w:ilvl w:val="0"/>
          <w:numId w:val="2"/>
        </w:numPr>
        <w:tabs>
          <w:tab w:val="clear" w:pos="3368"/>
          <w:tab w:val="num" w:pos="0"/>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El inciso final del artículo 33, según el cual “la inhabilidad contemplada en esta norma no se aplicará respecto de los contratos de prestación de servicios profesionales”, se inscribe en ese mismo diseño normativo. Dicha previsión no </w:t>
      </w:r>
      <w:r w:rsidRPr="00D00D14">
        <w:rPr>
          <w:rFonts w:ascii="Times New Roman" w:eastAsia="Times New Roman" w:hAnsi="Times New Roman" w:cs="Times New Roman"/>
          <w:bCs/>
          <w:sz w:val="28"/>
          <w:szCs w:val="28"/>
          <w:lang w:val="es-ES_tradnl" w:eastAsia="es-MX"/>
        </w:rPr>
        <w:t>califica a los contratistas de prestación de servicios como sujetos excluidos de una prohibición constitucional, ni introduce una habilitación para que quienes ejercen funciones públicas financien campañas políticas. Su función normativa consiste, exclusiv</w:t>
      </w:r>
      <w:r w:rsidRPr="00D00D14">
        <w:rPr>
          <w:rFonts w:ascii="Times New Roman" w:eastAsia="Times New Roman" w:hAnsi="Times New Roman" w:cs="Times New Roman"/>
          <w:bCs/>
          <w:sz w:val="28"/>
          <w:szCs w:val="28"/>
          <w:lang w:val="es-ES_tradnl" w:eastAsia="es-MX"/>
        </w:rPr>
        <w:t>amente, en delimitar el alcance de una inhabilidad legal específica, en desarrollo de la potestad de configuración del legislador en materia contractual, precisando los contratos respecto de los cuales aquella no resulta aplicable.</w:t>
      </w:r>
    </w:p>
    <w:p w:rsidR="00B91876" w:rsidRPr="00D00D14" w:rsidRDefault="00D00D14" w:rsidP="00B91876">
      <w:pPr>
        <w:pStyle w:val="Prrafodelista"/>
        <w:rPr>
          <w:rFonts w:ascii="Times New Roman" w:eastAsia="Times New Roman" w:hAnsi="Times New Roman" w:cs="Times New Roman"/>
          <w:bCs/>
          <w:sz w:val="28"/>
          <w:szCs w:val="28"/>
          <w:lang w:val="es-ES_tradnl" w:eastAsia="es-MX"/>
        </w:rPr>
      </w:pPr>
    </w:p>
    <w:p w:rsidR="00A90F4B" w:rsidRPr="00D00D14" w:rsidRDefault="00D00D14" w:rsidP="00776C46">
      <w:pPr>
        <w:pStyle w:val="Prrafodelista"/>
        <w:numPr>
          <w:ilvl w:val="0"/>
          <w:numId w:val="2"/>
        </w:numPr>
        <w:tabs>
          <w:tab w:val="clear" w:pos="3368"/>
          <w:tab w:val="num" w:pos="0"/>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Así, mientras el artícu</w:t>
      </w:r>
      <w:r w:rsidRPr="00D00D14">
        <w:rPr>
          <w:rFonts w:ascii="Times New Roman" w:eastAsia="Times New Roman" w:hAnsi="Times New Roman" w:cs="Times New Roman"/>
          <w:bCs/>
          <w:sz w:val="28"/>
          <w:szCs w:val="28"/>
          <w:lang w:val="es-ES_tradnl" w:eastAsia="es-MX"/>
        </w:rPr>
        <w:t>lo 110 de la Constitución contiene una prohibición dirigida a quienes ya desempeñan funciones públicas, con sanciones de naturaleza constitucional que se predican del ejercicio actual de dichas funciones, el artículo 33 de la Ley 1778 de 2016 regula una in</w:t>
      </w:r>
      <w:r w:rsidRPr="00D00D14">
        <w:rPr>
          <w:rFonts w:ascii="Times New Roman" w:eastAsia="Times New Roman" w:hAnsi="Times New Roman" w:cs="Times New Roman"/>
          <w:bCs/>
          <w:sz w:val="28"/>
          <w:szCs w:val="28"/>
          <w:lang w:val="es-ES_tradnl" w:eastAsia="es-MX"/>
        </w:rPr>
        <w:t>habilidad precontractual, aplicable a particulares financiadores de campañas, orientada a impedir la celebración futura de contratos estatales. La diferencia en cuanto a destinatarios, momento de aplicación, tipo de consecuencia jurídica y finalidad inmedi</w:t>
      </w:r>
      <w:r w:rsidRPr="00D00D14">
        <w:rPr>
          <w:rFonts w:ascii="Times New Roman" w:eastAsia="Times New Roman" w:hAnsi="Times New Roman" w:cs="Times New Roman"/>
          <w:bCs/>
          <w:sz w:val="28"/>
          <w:szCs w:val="28"/>
          <w:lang w:val="es-ES_tradnl" w:eastAsia="es-MX"/>
        </w:rPr>
        <w:t>ata de una y otra disposición constituye el marco normativo dentro del cual debe analizarse, a continuación, si el cargo formulado por el demandante propone una confrontación constitucional fundada en una proposición jurídica real y verificable.</w:t>
      </w:r>
    </w:p>
    <w:p w:rsidR="00A90F4B" w:rsidRPr="00D00D14" w:rsidRDefault="00D00D14" w:rsidP="00A90F4B">
      <w:pPr>
        <w:pStyle w:val="Prrafodelista"/>
        <w:rPr>
          <w:rFonts w:ascii="Times New Roman" w:eastAsia="Times New Roman" w:hAnsi="Times New Roman" w:cs="Times New Roman"/>
          <w:bCs/>
          <w:sz w:val="28"/>
          <w:szCs w:val="28"/>
          <w:lang w:val="es-ES_tradnl" w:eastAsia="es-MX"/>
        </w:rPr>
      </w:pPr>
    </w:p>
    <w:p w:rsidR="0058682D" w:rsidRPr="00D00D14" w:rsidRDefault="00D00D14" w:rsidP="00776C46">
      <w:pPr>
        <w:pStyle w:val="Prrafodelista"/>
        <w:numPr>
          <w:ilvl w:val="0"/>
          <w:numId w:val="2"/>
        </w:numPr>
        <w:tabs>
          <w:tab w:val="clear" w:pos="3368"/>
          <w:tab w:val="num" w:pos="0"/>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A partir </w:t>
      </w:r>
      <w:r w:rsidRPr="00D00D14">
        <w:rPr>
          <w:rFonts w:ascii="Times New Roman" w:eastAsia="Times New Roman" w:hAnsi="Times New Roman" w:cs="Times New Roman"/>
          <w:bCs/>
          <w:sz w:val="28"/>
          <w:szCs w:val="28"/>
          <w:lang w:val="es-ES_tradnl" w:eastAsia="es-MX"/>
        </w:rPr>
        <w:t>de la delimitación efectuada sobre el alcance del artículo 110 de la Constitución y del artículo 33 de la Ley 1778 de 2016, y de cara al examen de la aptitud sustantiva de la demanda, la Sala recuerda que el control abstracto de constitucionalidad exige qu</w:t>
      </w:r>
      <w:r w:rsidRPr="00D00D14">
        <w:rPr>
          <w:rFonts w:ascii="Times New Roman" w:eastAsia="Times New Roman" w:hAnsi="Times New Roman" w:cs="Times New Roman"/>
          <w:bCs/>
          <w:sz w:val="28"/>
          <w:szCs w:val="28"/>
          <w:lang w:val="es-ES_tradnl" w:eastAsia="es-MX"/>
        </w:rPr>
        <w:t>e los cargos formulados recaigan sobre una proposición jurídica real, vigente y efectivamente atribuible al texto legal demandado, y que planteen una contradicción clara y específica con la norma superior invocada.</w:t>
      </w:r>
    </w:p>
    <w:p w:rsidR="00E15D2C" w:rsidRPr="00D00D14" w:rsidRDefault="00D00D14" w:rsidP="00E15D2C">
      <w:pPr>
        <w:pStyle w:val="Prrafodelista"/>
        <w:rPr>
          <w:rFonts w:ascii="Times New Roman" w:eastAsia="Times New Roman" w:hAnsi="Times New Roman" w:cs="Times New Roman"/>
          <w:bCs/>
          <w:sz w:val="28"/>
          <w:szCs w:val="28"/>
          <w:lang w:val="es-ES_tradnl" w:eastAsia="es-MX"/>
        </w:rPr>
      </w:pPr>
    </w:p>
    <w:p w:rsidR="0072550F" w:rsidRPr="00D00D14" w:rsidRDefault="00D00D14" w:rsidP="00F153DE">
      <w:pPr>
        <w:pStyle w:val="Prrafodelista"/>
        <w:numPr>
          <w:ilvl w:val="0"/>
          <w:numId w:val="2"/>
        </w:numPr>
        <w:tabs>
          <w:tab w:val="clear" w:pos="3368"/>
          <w:tab w:val="num" w:pos="0"/>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En ese contexto, la Sala advierte que, en el presente asunto, el cargo formulado no satisface los presupuestos mínimos de certeza y especificidad, en la medida en que la presunta contradicción con el artículo 110 de la Constitución se construye a partir de</w:t>
      </w:r>
      <w:r w:rsidRPr="00D00D14">
        <w:rPr>
          <w:rFonts w:ascii="Times New Roman" w:eastAsia="Times New Roman" w:hAnsi="Times New Roman" w:cs="Times New Roman"/>
          <w:bCs/>
          <w:sz w:val="28"/>
          <w:szCs w:val="28"/>
          <w:lang w:val="es-ES_tradnl" w:eastAsia="es-MX"/>
        </w:rPr>
        <w:t xml:space="preserve"> una lectura del artículo 33 de la Ley 1778 de 2016 que no corresponde con su alcance jurídico real. Al no recaer sobre una proposición normativa verificable ni desarrollar una confrontación constitucional concreta entre los contenidos efectivamente regula</w:t>
      </w:r>
      <w:r w:rsidRPr="00D00D14">
        <w:rPr>
          <w:rFonts w:ascii="Times New Roman" w:eastAsia="Times New Roman" w:hAnsi="Times New Roman" w:cs="Times New Roman"/>
          <w:bCs/>
          <w:sz w:val="28"/>
          <w:szCs w:val="28"/>
          <w:lang w:val="es-ES_tradnl" w:eastAsia="es-MX"/>
        </w:rPr>
        <w:t xml:space="preserve">dos por ambas disposiciones, la acusación no habilita a la Corte para adelantar un juicio de fondo, por las razones que se explican a continuación. </w:t>
      </w:r>
    </w:p>
    <w:p w:rsidR="00F153DE" w:rsidRPr="00D00D14" w:rsidRDefault="00D00D14" w:rsidP="00F153DE">
      <w:pPr>
        <w:pStyle w:val="Prrafodelista"/>
        <w:rPr>
          <w:rFonts w:ascii="Times New Roman" w:eastAsia="Times New Roman" w:hAnsi="Times New Roman" w:cs="Times New Roman"/>
          <w:bCs/>
          <w:sz w:val="28"/>
          <w:szCs w:val="28"/>
          <w:lang w:val="es-ES_tradnl" w:eastAsia="es-MX"/>
        </w:rPr>
      </w:pPr>
    </w:p>
    <w:p w:rsidR="00972A49" w:rsidRPr="00D00D14" w:rsidRDefault="00D00D14" w:rsidP="00972A49">
      <w:pPr>
        <w:pStyle w:val="Prrafodelista"/>
        <w:numPr>
          <w:ilvl w:val="0"/>
          <w:numId w:val="2"/>
        </w:numPr>
        <w:tabs>
          <w:tab w:val="clear" w:pos="3368"/>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i/>
          <w:iCs/>
          <w:sz w:val="28"/>
          <w:szCs w:val="28"/>
          <w:lang w:val="es-ES_tradnl" w:eastAsia="es-MX"/>
        </w:rPr>
        <w:t>Incumplimiento del presupuesto de certeza</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 xml:space="preserve"> E</w:t>
      </w:r>
      <w:r w:rsidRPr="00D00D14">
        <w:rPr>
          <w:rFonts w:ascii="Times New Roman" w:eastAsia="Times New Roman" w:hAnsi="Times New Roman" w:cs="Times New Roman"/>
          <w:bCs/>
          <w:sz w:val="28"/>
          <w:szCs w:val="28"/>
          <w:lang w:val="es-ES_tradnl" w:eastAsia="es-MX"/>
        </w:rPr>
        <w:t>l cargo adolece de falta de certeza, en la medida en que se es</w:t>
      </w:r>
      <w:r w:rsidRPr="00D00D14">
        <w:rPr>
          <w:rFonts w:ascii="Times New Roman" w:eastAsia="Times New Roman" w:hAnsi="Times New Roman" w:cs="Times New Roman"/>
          <w:bCs/>
          <w:sz w:val="28"/>
          <w:szCs w:val="28"/>
          <w:lang w:val="es-ES_tradnl" w:eastAsia="es-MX"/>
        </w:rPr>
        <w:t>tructura a partir de una premisa interpretativa que no se desprende del contenido normativo real del artículo 33 de la Ley 1778 de 2016. En efecto, el demandante parte de la afirmación según la cual las expresiones demandadas permiten que personas que dese</w:t>
      </w:r>
      <w:r w:rsidRPr="00D00D14">
        <w:rPr>
          <w:rFonts w:ascii="Times New Roman" w:eastAsia="Times New Roman" w:hAnsi="Times New Roman" w:cs="Times New Roman"/>
          <w:bCs/>
          <w:sz w:val="28"/>
          <w:szCs w:val="28"/>
          <w:lang w:val="es-ES_tradnl" w:eastAsia="es-MX"/>
        </w:rPr>
        <w:t xml:space="preserve">mpeñan funciones públicas </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en particular, contratistas del Estado</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 xml:space="preserve"> financien campañas políticas, en contravía de lo dispuesto por el artículo 110 de la Constitución. Sin embargo, dicha consecuencia no se deriva del tenor literal ni del alcance jurídico objetivo de la disposición acusada.</w:t>
      </w:r>
    </w:p>
    <w:p w:rsidR="00972A49" w:rsidRPr="00D00D14" w:rsidRDefault="00D00D14" w:rsidP="00972A49">
      <w:pPr>
        <w:pStyle w:val="Prrafodelista"/>
        <w:rPr>
          <w:rFonts w:ascii="Times New Roman" w:eastAsia="Times New Roman" w:hAnsi="Times New Roman" w:cs="Times New Roman"/>
          <w:bCs/>
          <w:sz w:val="28"/>
          <w:szCs w:val="28"/>
          <w:lang w:val="es-ES_tradnl" w:eastAsia="es-MX"/>
        </w:rPr>
      </w:pPr>
    </w:p>
    <w:p w:rsidR="00972A49" w:rsidRPr="00D00D14" w:rsidRDefault="00D00D14" w:rsidP="00F16104">
      <w:pPr>
        <w:pStyle w:val="Prrafodelista"/>
        <w:numPr>
          <w:ilvl w:val="0"/>
          <w:numId w:val="2"/>
        </w:numPr>
        <w:tabs>
          <w:tab w:val="clear" w:pos="3368"/>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 </w:t>
      </w:r>
      <w:r w:rsidRPr="00D00D14">
        <w:rPr>
          <w:rFonts w:ascii="Times New Roman" w:eastAsia="Times New Roman" w:hAnsi="Times New Roman" w:cs="Times New Roman"/>
          <w:bCs/>
          <w:sz w:val="28"/>
          <w:szCs w:val="28"/>
          <w:lang w:val="es-ES_tradnl" w:eastAsia="es-MX"/>
        </w:rPr>
        <w:t>C</w:t>
      </w:r>
      <w:r w:rsidRPr="00D00D14">
        <w:rPr>
          <w:rFonts w:ascii="Times New Roman" w:eastAsia="Times New Roman" w:hAnsi="Times New Roman" w:cs="Times New Roman"/>
          <w:bCs/>
          <w:sz w:val="28"/>
          <w:szCs w:val="28"/>
          <w:lang w:val="es-ES_tradnl" w:eastAsia="es-MX"/>
        </w:rPr>
        <w:t>omo se explicó en el apartado precedente, el artículo 33 de la Ley 1778 de 2016 regula una inhabilidad de carácter precontractual, dirigida a particulares que hayan financiado campañas políticas y que pretenden celebrar contratos con el Estado con posterio</w:t>
      </w:r>
      <w:r w:rsidRPr="00D00D14">
        <w:rPr>
          <w:rFonts w:ascii="Times New Roman" w:eastAsia="Times New Roman" w:hAnsi="Times New Roman" w:cs="Times New Roman"/>
          <w:bCs/>
          <w:sz w:val="28"/>
          <w:szCs w:val="28"/>
          <w:lang w:val="es-ES_tradnl" w:eastAsia="es-MX"/>
        </w:rPr>
        <w:t>ridad a dichos aportes. La norma no regula la conducta de quienes desempeñan funciones públicas, ni desarrolla excepciones a la prohibición constitucional de financiar campañas durante el ejercicio de tales funciones. Por el contrario, su ámbito de aplicac</w:t>
      </w:r>
      <w:r w:rsidRPr="00D00D14">
        <w:rPr>
          <w:rFonts w:ascii="Times New Roman" w:eastAsia="Times New Roman" w:hAnsi="Times New Roman" w:cs="Times New Roman"/>
          <w:bCs/>
          <w:sz w:val="28"/>
          <w:szCs w:val="28"/>
          <w:lang w:val="es-ES_tradnl" w:eastAsia="es-MX"/>
        </w:rPr>
        <w:t>ión se sitúa antes de la configuración de cualquier vínculo contractual y, por ende, antes del eventual ejercicio de funciones públicas, en los términos exigidos por el artículo 110 superior.</w:t>
      </w:r>
    </w:p>
    <w:p w:rsidR="00FA29B0" w:rsidRPr="00D00D14" w:rsidRDefault="00D00D14" w:rsidP="00FA29B0">
      <w:pPr>
        <w:pStyle w:val="Prrafodelista"/>
        <w:rPr>
          <w:rFonts w:ascii="Times New Roman" w:eastAsia="Times New Roman" w:hAnsi="Times New Roman" w:cs="Times New Roman"/>
          <w:bCs/>
          <w:sz w:val="28"/>
          <w:szCs w:val="28"/>
          <w:lang w:val="es-ES_tradnl" w:eastAsia="es-MX"/>
        </w:rPr>
      </w:pPr>
    </w:p>
    <w:p w:rsidR="00FA29B0" w:rsidRPr="00D00D14" w:rsidRDefault="00D00D14" w:rsidP="00FA29B0">
      <w:pPr>
        <w:pStyle w:val="Prrafodelista"/>
        <w:numPr>
          <w:ilvl w:val="0"/>
          <w:numId w:val="2"/>
        </w:numPr>
        <w:tabs>
          <w:tab w:val="clear" w:pos="3368"/>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En ese contexto, el actor atribu</w:t>
      </w:r>
      <w:r w:rsidRPr="00D00D14">
        <w:rPr>
          <w:rFonts w:ascii="Times New Roman" w:eastAsia="Times New Roman" w:hAnsi="Times New Roman" w:cs="Times New Roman"/>
          <w:bCs/>
          <w:sz w:val="28"/>
          <w:szCs w:val="28"/>
          <w:lang w:val="es-ES_tradnl" w:eastAsia="es-MX"/>
        </w:rPr>
        <w:t>y</w:t>
      </w:r>
      <w:r w:rsidRPr="00D00D14">
        <w:rPr>
          <w:rFonts w:ascii="Times New Roman" w:eastAsia="Times New Roman" w:hAnsi="Times New Roman" w:cs="Times New Roman"/>
          <w:bCs/>
          <w:sz w:val="28"/>
          <w:szCs w:val="28"/>
          <w:lang w:val="es-ES_tradnl" w:eastAsia="es-MX"/>
        </w:rPr>
        <w:t xml:space="preserve">e a la norma un contenido que </w:t>
      </w:r>
      <w:r w:rsidRPr="00D00D14">
        <w:rPr>
          <w:rFonts w:ascii="Times New Roman" w:eastAsia="Times New Roman" w:hAnsi="Times New Roman" w:cs="Times New Roman"/>
          <w:bCs/>
          <w:sz w:val="28"/>
          <w:szCs w:val="28"/>
          <w:lang w:val="es-ES_tradnl" w:eastAsia="es-MX"/>
        </w:rPr>
        <w:t xml:space="preserve">esta no tiene, al suponer que regula </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o habilita</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 xml:space="preserve"> la financiación política por parte de quienes ya ejercen funciones públicas. Este déficit argumentativo se manifiesta de manera transversal, tanto en el reproche dirigido al umbral del dos por ciento (2 %) </w:t>
      </w:r>
      <w:r w:rsidRPr="00D00D14">
        <w:rPr>
          <w:rFonts w:ascii="Times New Roman" w:eastAsia="Times New Roman" w:hAnsi="Times New Roman" w:cs="Times New Roman"/>
          <w:bCs/>
          <w:sz w:val="28"/>
          <w:szCs w:val="28"/>
          <w:lang w:val="es-ES_tradnl" w:eastAsia="es-MX"/>
        </w:rPr>
        <w:t>como en el cuestionamiento relativo a la exclusión de los contratos de prestación de servicios profesionales, pues en ambos casos el demandante presupone, sin demostración normativa, que los sujetos a los que se refiere la disposición legal ya ejercen func</w:t>
      </w:r>
      <w:r w:rsidRPr="00D00D14">
        <w:rPr>
          <w:rFonts w:ascii="Times New Roman" w:eastAsia="Times New Roman" w:hAnsi="Times New Roman" w:cs="Times New Roman"/>
          <w:bCs/>
          <w:sz w:val="28"/>
          <w:szCs w:val="28"/>
          <w:lang w:val="es-ES_tradnl" w:eastAsia="es-MX"/>
        </w:rPr>
        <w:t>ión pública al momento de realizar los aportes.</w:t>
      </w:r>
    </w:p>
    <w:p w:rsidR="00FA29B0" w:rsidRPr="00D00D14" w:rsidRDefault="00D00D14" w:rsidP="00FA29B0">
      <w:pPr>
        <w:pStyle w:val="Prrafodelista"/>
        <w:rPr>
          <w:rFonts w:ascii="Times New Roman" w:eastAsia="Times New Roman" w:hAnsi="Times New Roman" w:cs="Times New Roman"/>
          <w:bCs/>
          <w:sz w:val="28"/>
          <w:szCs w:val="28"/>
          <w:lang w:val="es-ES_tradnl" w:eastAsia="es-MX"/>
        </w:rPr>
      </w:pPr>
    </w:p>
    <w:p w:rsidR="00F153DE" w:rsidRPr="00D00D14" w:rsidRDefault="00D00D14" w:rsidP="00FA29B0">
      <w:pPr>
        <w:pStyle w:val="Prrafodelista"/>
        <w:numPr>
          <w:ilvl w:val="0"/>
          <w:numId w:val="2"/>
        </w:numPr>
        <w:tabs>
          <w:tab w:val="clear" w:pos="3368"/>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En efecto</w:t>
      </w:r>
      <w:r w:rsidRPr="00D00D14">
        <w:rPr>
          <w:rFonts w:ascii="Times New Roman" w:eastAsia="Times New Roman" w:hAnsi="Times New Roman" w:cs="Times New Roman"/>
          <w:bCs/>
          <w:sz w:val="28"/>
          <w:szCs w:val="28"/>
          <w:lang w:val="es-ES_tradnl" w:eastAsia="es-MX"/>
        </w:rPr>
        <w:t xml:space="preserve">, el contraste propuesto por el demandante no se entabla entre una proposición jurídica real y existente y una norma constitucional, sino entre el artículo 110 de la Constitución y una hipótesis </w:t>
      </w:r>
      <w:r w:rsidRPr="00D00D14">
        <w:rPr>
          <w:rFonts w:ascii="Times New Roman" w:eastAsia="Times New Roman" w:hAnsi="Times New Roman" w:cs="Times New Roman"/>
          <w:bCs/>
          <w:sz w:val="28"/>
          <w:szCs w:val="28"/>
          <w:lang w:val="es-ES_tradnl" w:eastAsia="es-MX"/>
        </w:rPr>
        <w:t xml:space="preserve">normativa construida por el propio actor, a partir de inferencias sobre eventuales escenarios fácticos de aplicación futura de la norma legal. Esta circunstancia impide afirmar que el cargo recaiga sobre un contenido normativo verificable, en los términos </w:t>
      </w:r>
      <w:r w:rsidRPr="00D00D14">
        <w:rPr>
          <w:rFonts w:ascii="Times New Roman" w:eastAsia="Times New Roman" w:hAnsi="Times New Roman" w:cs="Times New Roman"/>
          <w:bCs/>
          <w:sz w:val="28"/>
          <w:szCs w:val="28"/>
          <w:lang w:val="es-ES_tradnl" w:eastAsia="es-MX"/>
        </w:rPr>
        <w:t>exigidos por la jurisprudencia constitucional.</w:t>
      </w:r>
    </w:p>
    <w:p w:rsidR="00000DDB" w:rsidRPr="00D00D14" w:rsidRDefault="00D00D14" w:rsidP="00000DDB">
      <w:pPr>
        <w:pStyle w:val="Prrafodelista"/>
        <w:rPr>
          <w:rFonts w:ascii="Times New Roman" w:eastAsia="Times New Roman" w:hAnsi="Times New Roman" w:cs="Times New Roman"/>
          <w:bCs/>
          <w:sz w:val="28"/>
          <w:szCs w:val="28"/>
          <w:lang w:val="es-ES_tradnl" w:eastAsia="es-MX"/>
        </w:rPr>
      </w:pPr>
    </w:p>
    <w:p w:rsidR="007A4A4B" w:rsidRPr="00D00D14" w:rsidRDefault="00D00D14" w:rsidP="00E30A10">
      <w:pPr>
        <w:pStyle w:val="Prrafodelista"/>
        <w:numPr>
          <w:ilvl w:val="0"/>
          <w:numId w:val="2"/>
        </w:numPr>
        <w:tabs>
          <w:tab w:val="clear" w:pos="3368"/>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i/>
          <w:iCs/>
          <w:sz w:val="28"/>
          <w:szCs w:val="28"/>
          <w:lang w:val="es-ES_tradnl" w:eastAsia="es-MX"/>
        </w:rPr>
        <w:t>Inobservancia del presupuesto de especificidad del cargo</w:t>
      </w:r>
      <w:r w:rsidRPr="00D00D14">
        <w:rPr>
          <w:rFonts w:ascii="Times New Roman" w:eastAsia="Times New Roman" w:hAnsi="Times New Roman" w:cs="Times New Roman"/>
          <w:bCs/>
          <w:sz w:val="28"/>
          <w:szCs w:val="28"/>
          <w:lang w:val="es-ES_tradnl" w:eastAsia="es-MX"/>
        </w:rPr>
        <w:t xml:space="preserve">. </w:t>
      </w:r>
      <w:r w:rsidRPr="00D00D14">
        <w:rPr>
          <w:rFonts w:ascii="Times New Roman" w:eastAsia="Times New Roman" w:hAnsi="Times New Roman" w:cs="Times New Roman"/>
          <w:bCs/>
          <w:sz w:val="28"/>
          <w:szCs w:val="28"/>
          <w:lang w:val="es-ES_tradnl" w:eastAsia="es-MX"/>
        </w:rPr>
        <w:t>Lo expuesto anteriormente</w:t>
      </w:r>
      <w:r w:rsidRPr="00D00D14">
        <w:rPr>
          <w:rFonts w:ascii="Times New Roman" w:eastAsia="Times New Roman" w:hAnsi="Times New Roman" w:cs="Times New Roman"/>
          <w:bCs/>
          <w:sz w:val="28"/>
          <w:szCs w:val="28"/>
          <w:lang w:val="es-ES_tradnl" w:eastAsia="es-MX"/>
        </w:rPr>
        <w:t xml:space="preserve"> repercute directamente en el incumplimiento del requisito de especificidad. En efecto, el demandante no explica de manera co</w:t>
      </w:r>
      <w:r w:rsidRPr="00D00D14">
        <w:rPr>
          <w:rFonts w:ascii="Times New Roman" w:eastAsia="Times New Roman" w:hAnsi="Times New Roman" w:cs="Times New Roman"/>
          <w:bCs/>
          <w:sz w:val="28"/>
          <w:szCs w:val="28"/>
          <w:lang w:val="es-ES_tradnl" w:eastAsia="es-MX"/>
        </w:rPr>
        <w:t>ncreta y directa cómo las expresiones acusadas vulneran el artículo 110 de la Constitución, ni desarrolla un juicio de contraste normativo que permita identificar una contradicción específica entre la disposición legal demandada y el parámetro constitucion</w:t>
      </w:r>
      <w:r w:rsidRPr="00D00D14">
        <w:rPr>
          <w:rFonts w:ascii="Times New Roman" w:eastAsia="Times New Roman" w:hAnsi="Times New Roman" w:cs="Times New Roman"/>
          <w:bCs/>
          <w:sz w:val="28"/>
          <w:szCs w:val="28"/>
          <w:lang w:val="es-ES_tradnl" w:eastAsia="es-MX"/>
        </w:rPr>
        <w:t>al invocado.</w:t>
      </w:r>
      <w:r w:rsidRPr="00D00D14">
        <w:rPr>
          <w:rFonts w:ascii="Times New Roman" w:eastAsia="Times New Roman" w:hAnsi="Times New Roman" w:cs="Times New Roman"/>
          <w:bCs/>
          <w:sz w:val="28"/>
          <w:szCs w:val="28"/>
          <w:lang w:val="es-ES_tradnl" w:eastAsia="es-MX"/>
        </w:rPr>
        <w:t xml:space="preserve"> </w:t>
      </w:r>
    </w:p>
    <w:p w:rsidR="007A4A4B" w:rsidRPr="00D00D14" w:rsidRDefault="00D00D14" w:rsidP="007A4A4B">
      <w:pPr>
        <w:pStyle w:val="Prrafodelista"/>
        <w:rPr>
          <w:rFonts w:ascii="Times New Roman" w:eastAsia="Times New Roman" w:hAnsi="Times New Roman" w:cs="Times New Roman"/>
          <w:bCs/>
          <w:sz w:val="28"/>
          <w:szCs w:val="28"/>
          <w:lang w:val="es-ES_tradnl" w:eastAsia="es-MX"/>
        </w:rPr>
      </w:pPr>
    </w:p>
    <w:p w:rsidR="007A4A4B" w:rsidRPr="00D00D14" w:rsidRDefault="00D00D14" w:rsidP="003B70B4">
      <w:pPr>
        <w:pStyle w:val="Prrafodelista"/>
        <w:numPr>
          <w:ilvl w:val="0"/>
          <w:numId w:val="2"/>
        </w:numPr>
        <w:tabs>
          <w:tab w:val="clear" w:pos="3368"/>
          <w:tab w:val="num" w:pos="0"/>
          <w:tab w:val="left" w:pos="426"/>
        </w:tabs>
        <w:autoSpaceDE w:val="0"/>
        <w:autoSpaceDN w:val="0"/>
        <w:adjustRightInd w:val="0"/>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En relación con la expresión “con aportes superiores al dos por ciento (2.0 %) de las sumas máximas a invertir</w:t>
      </w:r>
      <w:r w:rsidRPr="00D00D14">
        <w:rPr>
          <w:rFonts w:ascii="Times New Roman" w:eastAsia="Times New Roman" w:hAnsi="Times New Roman" w:cs="Times New Roman"/>
          <w:bCs/>
          <w:sz w:val="28"/>
          <w:szCs w:val="28"/>
          <w:lang w:val="es-ES_tradnl" w:eastAsia="es-MX"/>
        </w:rPr>
        <w:t xml:space="preserve"> </w:t>
      </w:r>
      <w:r w:rsidRPr="00D00D14">
        <w:rPr>
          <w:rFonts w:ascii="Times New Roman" w:hAnsi="Times New Roman" w:cs="Times New Roman"/>
          <w:sz w:val="28"/>
          <w:szCs w:val="28"/>
        </w:rPr>
        <w:t>por los candidatos en las campañas electorales en cada circunscripción electoral</w:t>
      </w:r>
      <w:r w:rsidRPr="00D00D14">
        <w:rPr>
          <w:rFonts w:ascii="Times New Roman" w:eastAsia="Times New Roman" w:hAnsi="Times New Roman" w:cs="Times New Roman"/>
          <w:bCs/>
          <w:sz w:val="28"/>
          <w:szCs w:val="28"/>
          <w:lang w:val="es-ES_tradnl" w:eastAsia="es-MX"/>
        </w:rPr>
        <w:t>”, el actor se limita a sostener que el umbral es arbitrario o inocuo desde una perspectiva económica y práctica. Sin embargo, no demuestra por qué la fijación de ese porcentaje constituiría una habilitación indebida para que quienes desempeñan funciones p</w:t>
      </w:r>
      <w:r w:rsidRPr="00D00D14">
        <w:rPr>
          <w:rFonts w:ascii="Times New Roman" w:eastAsia="Times New Roman" w:hAnsi="Times New Roman" w:cs="Times New Roman"/>
          <w:bCs/>
          <w:sz w:val="28"/>
          <w:szCs w:val="28"/>
          <w:lang w:val="es-ES_tradnl" w:eastAsia="es-MX"/>
        </w:rPr>
        <w:t>úblicas financien campañas, ni por qué dicha regla desbordaría la competencia del legislador para regular inhabilidades contractuales y financiación política. Sus argumentos se mantienen en un plano genérico y valorativo, ajeno a la identificación del cont</w:t>
      </w:r>
      <w:r w:rsidRPr="00D00D14">
        <w:rPr>
          <w:rFonts w:ascii="Times New Roman" w:eastAsia="Times New Roman" w:hAnsi="Times New Roman" w:cs="Times New Roman"/>
          <w:bCs/>
          <w:sz w:val="28"/>
          <w:szCs w:val="28"/>
          <w:lang w:val="es-ES_tradnl" w:eastAsia="es-MX"/>
        </w:rPr>
        <w:t xml:space="preserve">enido normativo específico que se </w:t>
      </w:r>
      <w:r w:rsidRPr="00D00D14">
        <w:rPr>
          <w:rFonts w:ascii="Times New Roman" w:eastAsia="Times New Roman" w:hAnsi="Times New Roman" w:cs="Times New Roman"/>
          <w:bCs/>
          <w:sz w:val="28"/>
          <w:szCs w:val="28"/>
          <w:lang w:val="es-ES_tradnl" w:eastAsia="es-MX"/>
        </w:rPr>
        <w:t>acusa de</w:t>
      </w:r>
      <w:r w:rsidRPr="00D00D14">
        <w:rPr>
          <w:rFonts w:ascii="Times New Roman" w:eastAsia="Times New Roman" w:hAnsi="Times New Roman" w:cs="Times New Roman"/>
          <w:bCs/>
          <w:sz w:val="28"/>
          <w:szCs w:val="28"/>
          <w:lang w:val="es-ES_tradnl" w:eastAsia="es-MX"/>
        </w:rPr>
        <w:t xml:space="preserve"> inconstitucional.</w:t>
      </w:r>
    </w:p>
    <w:p w:rsidR="007A4A4B" w:rsidRPr="00D00D14" w:rsidRDefault="00D00D14" w:rsidP="007A4A4B">
      <w:pPr>
        <w:pStyle w:val="Prrafodelista"/>
        <w:rPr>
          <w:rFonts w:ascii="Times New Roman" w:eastAsia="Times New Roman" w:hAnsi="Times New Roman" w:cs="Times New Roman"/>
          <w:bCs/>
          <w:sz w:val="28"/>
          <w:szCs w:val="28"/>
          <w:lang w:val="es-ES_tradnl" w:eastAsia="es-MX"/>
        </w:rPr>
      </w:pPr>
    </w:p>
    <w:p w:rsidR="007A4A4B" w:rsidRPr="00D00D14" w:rsidRDefault="00D00D14" w:rsidP="00395638">
      <w:pPr>
        <w:pStyle w:val="Prrafodelista"/>
        <w:numPr>
          <w:ilvl w:val="0"/>
          <w:numId w:val="2"/>
        </w:numPr>
        <w:tabs>
          <w:tab w:val="clear" w:pos="3368"/>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Por su parte, respecto de la expresión “La inhabilidad contemplada en esta norma no se aplicará respecto de los contratos de prestación de servicios profesionales”, el demandante tampoco satisface la carga de especificidad. Si bien afirma que, a través de </w:t>
      </w:r>
      <w:r w:rsidRPr="00D00D14">
        <w:rPr>
          <w:rFonts w:ascii="Times New Roman" w:eastAsia="Times New Roman" w:hAnsi="Times New Roman" w:cs="Times New Roman"/>
          <w:bCs/>
          <w:sz w:val="28"/>
          <w:szCs w:val="28"/>
          <w:lang w:val="es-ES_tradnl" w:eastAsia="es-MX"/>
        </w:rPr>
        <w:t>este tipo de contratos, algunos particulares pueden llegar a ejercer funciones públicas, no explica por qué una norma que delimita el alcance de una inhabilidad precontractual equivale a permitir la financiación política durante el ejercicio de funciones p</w:t>
      </w:r>
      <w:r w:rsidRPr="00D00D14">
        <w:rPr>
          <w:rFonts w:ascii="Times New Roman" w:eastAsia="Times New Roman" w:hAnsi="Times New Roman" w:cs="Times New Roman"/>
          <w:bCs/>
          <w:sz w:val="28"/>
          <w:szCs w:val="28"/>
          <w:lang w:val="es-ES_tradnl" w:eastAsia="es-MX"/>
        </w:rPr>
        <w:t>úblicas, ni demuestra que el legislador haya regulado un supuesto que se subsuma en la hipótesis normativa del artículo 110 superior.</w:t>
      </w:r>
    </w:p>
    <w:p w:rsidR="007A4A4B" w:rsidRPr="00D00D14" w:rsidRDefault="00D00D14" w:rsidP="007A4A4B">
      <w:pPr>
        <w:pStyle w:val="Prrafodelista"/>
        <w:rPr>
          <w:rFonts w:ascii="Times New Roman" w:eastAsia="Times New Roman" w:hAnsi="Times New Roman" w:cs="Times New Roman"/>
          <w:bCs/>
          <w:sz w:val="28"/>
          <w:szCs w:val="28"/>
          <w:lang w:val="es-ES_tradnl" w:eastAsia="es-MX"/>
        </w:rPr>
      </w:pPr>
    </w:p>
    <w:p w:rsidR="007A4A4B" w:rsidRPr="00D00D14" w:rsidRDefault="00D00D14" w:rsidP="00CC3B3B">
      <w:pPr>
        <w:pStyle w:val="Prrafodelista"/>
        <w:numPr>
          <w:ilvl w:val="0"/>
          <w:numId w:val="2"/>
        </w:numPr>
        <w:tabs>
          <w:tab w:val="clear" w:pos="3368"/>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Como </w:t>
      </w:r>
      <w:r w:rsidRPr="00D00D14">
        <w:rPr>
          <w:rFonts w:ascii="Times New Roman" w:eastAsia="Times New Roman" w:hAnsi="Times New Roman" w:cs="Times New Roman"/>
          <w:bCs/>
          <w:sz w:val="28"/>
          <w:szCs w:val="28"/>
          <w:lang w:val="es-ES_tradnl" w:eastAsia="es-MX"/>
        </w:rPr>
        <w:t>se expuso en párrafos precedentes</w:t>
      </w:r>
      <w:r w:rsidRPr="00D00D14">
        <w:rPr>
          <w:rFonts w:ascii="Times New Roman" w:eastAsia="Times New Roman" w:hAnsi="Times New Roman" w:cs="Times New Roman"/>
          <w:bCs/>
          <w:sz w:val="28"/>
          <w:szCs w:val="28"/>
          <w:lang w:val="es-ES_tradnl" w:eastAsia="es-MX"/>
        </w:rPr>
        <w:t>, el artículo 110 de la Constitución contiene una regla prohibitiva con una estruct</w:t>
      </w:r>
      <w:r w:rsidRPr="00D00D14">
        <w:rPr>
          <w:rFonts w:ascii="Times New Roman" w:eastAsia="Times New Roman" w:hAnsi="Times New Roman" w:cs="Times New Roman"/>
          <w:bCs/>
          <w:sz w:val="28"/>
          <w:szCs w:val="28"/>
          <w:lang w:val="es-ES_tradnl" w:eastAsia="es-MX"/>
        </w:rPr>
        <w:t xml:space="preserve">ura normativa clara y cerrada </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si quien desempeña funciones públicas financia campañas, entonces se activa una sanción constitucional</w:t>
      </w:r>
      <w:r w:rsidRPr="00D00D14">
        <w:rPr>
          <w:rFonts w:ascii="Times New Roman" w:eastAsia="Times New Roman" w:hAnsi="Times New Roman" w:cs="Times New Roman"/>
          <w:bCs/>
          <w:sz w:val="28"/>
          <w:szCs w:val="28"/>
          <w:lang w:val="es-ES_tradnl" w:eastAsia="es-MX"/>
        </w:rPr>
        <w:t>-</w:t>
      </w:r>
      <w:r w:rsidRPr="00D00D14">
        <w:rPr>
          <w:rFonts w:ascii="Times New Roman" w:eastAsia="Times New Roman" w:hAnsi="Times New Roman" w:cs="Times New Roman"/>
          <w:bCs/>
          <w:sz w:val="28"/>
          <w:szCs w:val="28"/>
          <w:lang w:val="es-ES_tradnl" w:eastAsia="es-MX"/>
        </w:rPr>
        <w:t>, mientras que la norma demandada establece una regla distinta, relativa a la configuración o exclusión de una inhabilidad</w:t>
      </w:r>
      <w:r w:rsidRPr="00D00D14">
        <w:rPr>
          <w:rFonts w:ascii="Times New Roman" w:eastAsia="Times New Roman" w:hAnsi="Times New Roman" w:cs="Times New Roman"/>
          <w:bCs/>
          <w:sz w:val="28"/>
          <w:szCs w:val="28"/>
          <w:lang w:val="es-ES_tradnl" w:eastAsia="es-MX"/>
        </w:rPr>
        <w:t xml:space="preserve"> para contratar con el Estado. La demanda no logra mostrar cómo esta segunda regla contradice la primera, ni cómo ambas recaen sobre los mismos supuestos de hecho o sobre los mismos sujetos normativos.</w:t>
      </w:r>
      <w:r w:rsidRPr="00D00D14">
        <w:rPr>
          <w:rFonts w:ascii="Times New Roman" w:eastAsia="Times New Roman" w:hAnsi="Times New Roman" w:cs="Times New Roman"/>
          <w:bCs/>
          <w:sz w:val="28"/>
          <w:szCs w:val="28"/>
          <w:lang w:val="es-ES_tradnl" w:eastAsia="es-MX"/>
        </w:rPr>
        <w:t xml:space="preserve"> </w:t>
      </w:r>
    </w:p>
    <w:p w:rsidR="007A4A4B" w:rsidRPr="00D00D14" w:rsidRDefault="00D00D14" w:rsidP="007A4A4B">
      <w:pPr>
        <w:pStyle w:val="Prrafodelista"/>
        <w:rPr>
          <w:rFonts w:ascii="Times New Roman" w:eastAsia="Times New Roman" w:hAnsi="Times New Roman" w:cs="Times New Roman"/>
          <w:bCs/>
          <w:sz w:val="28"/>
          <w:szCs w:val="28"/>
          <w:lang w:val="es-ES_tradnl" w:eastAsia="es-MX"/>
        </w:rPr>
      </w:pPr>
    </w:p>
    <w:p w:rsidR="0072550F" w:rsidRPr="00D00D14" w:rsidRDefault="00D00D14" w:rsidP="00CC3B3B">
      <w:pPr>
        <w:pStyle w:val="Prrafodelista"/>
        <w:numPr>
          <w:ilvl w:val="0"/>
          <w:numId w:val="2"/>
        </w:numPr>
        <w:tabs>
          <w:tab w:val="clear" w:pos="3368"/>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En suma, el demandante no individualiza los destinat</w:t>
      </w:r>
      <w:r w:rsidRPr="00D00D14">
        <w:rPr>
          <w:rFonts w:ascii="Times New Roman" w:eastAsia="Times New Roman" w:hAnsi="Times New Roman" w:cs="Times New Roman"/>
          <w:bCs/>
          <w:sz w:val="28"/>
          <w:szCs w:val="28"/>
          <w:lang w:val="es-ES_tradnl" w:eastAsia="es-MX"/>
        </w:rPr>
        <w:t>arios de una y otra norma, no precisa el momento normativo en el que se produciría la supuesta colisión constitucional y no desarrolla una argumentación que permita advertir, de forma directa y verificable, la manera en que las expresiones demandadas desco</w:t>
      </w:r>
      <w:r w:rsidRPr="00D00D14">
        <w:rPr>
          <w:rFonts w:ascii="Times New Roman" w:eastAsia="Times New Roman" w:hAnsi="Times New Roman" w:cs="Times New Roman"/>
          <w:bCs/>
          <w:sz w:val="28"/>
          <w:szCs w:val="28"/>
          <w:lang w:val="es-ES_tradnl" w:eastAsia="es-MX"/>
        </w:rPr>
        <w:t xml:space="preserve">nocen el artículo 110 de la Constitución. Esta ausencia de desarrollo argumentativo concreto compromete </w:t>
      </w:r>
      <w:r w:rsidRPr="00D00D14">
        <w:rPr>
          <w:rFonts w:ascii="Times New Roman" w:eastAsia="Times New Roman" w:hAnsi="Times New Roman" w:cs="Times New Roman"/>
          <w:bCs/>
          <w:sz w:val="28"/>
          <w:szCs w:val="28"/>
          <w:lang w:val="es-ES_tradnl" w:eastAsia="es-MX"/>
        </w:rPr>
        <w:t xml:space="preserve">de manera </w:t>
      </w:r>
      <w:r w:rsidRPr="00D00D14">
        <w:rPr>
          <w:rFonts w:ascii="Times New Roman" w:eastAsia="Times New Roman" w:hAnsi="Times New Roman" w:cs="Times New Roman"/>
          <w:bCs/>
          <w:sz w:val="28"/>
          <w:szCs w:val="28"/>
          <w:lang w:val="es-ES_tradnl" w:eastAsia="es-MX"/>
        </w:rPr>
        <w:t>grav</w:t>
      </w:r>
      <w:r w:rsidRPr="00D00D14">
        <w:rPr>
          <w:rFonts w:ascii="Times New Roman" w:eastAsia="Times New Roman" w:hAnsi="Times New Roman" w:cs="Times New Roman"/>
          <w:bCs/>
          <w:sz w:val="28"/>
          <w:szCs w:val="28"/>
          <w:lang w:val="es-ES_tradnl" w:eastAsia="es-MX"/>
        </w:rPr>
        <w:t xml:space="preserve">e </w:t>
      </w:r>
      <w:r w:rsidRPr="00D00D14">
        <w:rPr>
          <w:rFonts w:ascii="Times New Roman" w:eastAsia="Times New Roman" w:hAnsi="Times New Roman" w:cs="Times New Roman"/>
          <w:bCs/>
          <w:sz w:val="28"/>
          <w:szCs w:val="28"/>
          <w:lang w:val="es-ES_tradnl" w:eastAsia="es-MX"/>
        </w:rPr>
        <w:t xml:space="preserve">el </w:t>
      </w:r>
      <w:r w:rsidRPr="00D00D14">
        <w:rPr>
          <w:rFonts w:ascii="Times New Roman" w:eastAsia="Times New Roman" w:hAnsi="Times New Roman" w:cs="Times New Roman"/>
          <w:bCs/>
          <w:sz w:val="28"/>
          <w:szCs w:val="28"/>
          <w:lang w:val="es-ES_tradnl" w:eastAsia="es-MX"/>
        </w:rPr>
        <w:t>requisito de especificidad.</w:t>
      </w:r>
    </w:p>
    <w:p w:rsidR="00EC30ED" w:rsidRPr="00D00D14" w:rsidRDefault="00D00D14" w:rsidP="00EC30ED">
      <w:pPr>
        <w:pStyle w:val="Prrafodelista"/>
        <w:rPr>
          <w:rFonts w:ascii="Times New Roman" w:eastAsia="Times New Roman" w:hAnsi="Times New Roman" w:cs="Times New Roman"/>
          <w:bCs/>
          <w:sz w:val="28"/>
          <w:szCs w:val="28"/>
          <w:lang w:val="es-ES_tradnl" w:eastAsia="es-MX"/>
        </w:rPr>
      </w:pPr>
    </w:p>
    <w:p w:rsidR="00EC30ED" w:rsidRPr="00D00D14" w:rsidRDefault="00D00D14" w:rsidP="00CC3B3B">
      <w:pPr>
        <w:pStyle w:val="Prrafodelista"/>
        <w:numPr>
          <w:ilvl w:val="0"/>
          <w:numId w:val="2"/>
        </w:numPr>
        <w:tabs>
          <w:tab w:val="clear" w:pos="3368"/>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Por lo expuesto, la Sala concluye que la demanda tampoco satisface el </w:t>
      </w:r>
      <w:r w:rsidRPr="00D00D14">
        <w:rPr>
          <w:rFonts w:ascii="Times New Roman" w:eastAsia="Times New Roman" w:hAnsi="Times New Roman" w:cs="Times New Roman"/>
          <w:bCs/>
          <w:i/>
          <w:iCs/>
          <w:sz w:val="28"/>
          <w:szCs w:val="28"/>
          <w:lang w:val="es-ES_tradnl" w:eastAsia="es-MX"/>
        </w:rPr>
        <w:t>requisito de suficiencia</w:t>
      </w:r>
      <w:r w:rsidRPr="00D00D14">
        <w:rPr>
          <w:rFonts w:ascii="Times New Roman" w:eastAsia="Times New Roman" w:hAnsi="Times New Roman" w:cs="Times New Roman"/>
          <w:bCs/>
          <w:sz w:val="28"/>
          <w:szCs w:val="28"/>
          <w:lang w:val="es-ES_tradnl" w:eastAsia="es-MX"/>
        </w:rPr>
        <w:t>, pues el actor no aporta una argumentación mínima capaz de suscitar una duda razonable sobre la constitucionalidad del artículo 33 de la Ley 1778 de 2016 frente al artículo 110 superior, ni desarrolla razones persuasivas que habiliten el adelantamiento de</w:t>
      </w:r>
      <w:r w:rsidRPr="00D00D14">
        <w:rPr>
          <w:rFonts w:ascii="Times New Roman" w:eastAsia="Times New Roman" w:hAnsi="Times New Roman" w:cs="Times New Roman"/>
          <w:bCs/>
          <w:sz w:val="28"/>
          <w:szCs w:val="28"/>
          <w:lang w:val="es-ES_tradnl" w:eastAsia="es-MX"/>
        </w:rPr>
        <w:t xml:space="preserve"> un juicio abstracto de constitucionalidad. </w:t>
      </w:r>
    </w:p>
    <w:p w:rsidR="00EC30ED" w:rsidRPr="00D00D14" w:rsidRDefault="00D00D14" w:rsidP="00EC30ED">
      <w:pPr>
        <w:pStyle w:val="Prrafodelista"/>
        <w:rPr>
          <w:rFonts w:ascii="Times New Roman" w:eastAsia="Times New Roman" w:hAnsi="Times New Roman" w:cs="Times New Roman"/>
          <w:bCs/>
          <w:sz w:val="28"/>
          <w:szCs w:val="28"/>
          <w:lang w:val="es-ES_tradnl" w:eastAsia="es-MX"/>
        </w:rPr>
      </w:pPr>
    </w:p>
    <w:p w:rsidR="00EC30ED" w:rsidRPr="00D00D14" w:rsidRDefault="00D00D14" w:rsidP="00CC3B3B">
      <w:pPr>
        <w:pStyle w:val="Prrafodelista"/>
        <w:numPr>
          <w:ilvl w:val="0"/>
          <w:numId w:val="2"/>
        </w:numPr>
        <w:tabs>
          <w:tab w:val="clear" w:pos="3368"/>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En efecto, el demandante no demuestra por qué la inhabilidad legal cuestionada ni la excepción prevista para los contratos de prestación de servicios profesionales exceden el margen de configuración normativa d</w:t>
      </w:r>
      <w:r w:rsidRPr="00D00D14">
        <w:rPr>
          <w:rFonts w:ascii="Times New Roman" w:eastAsia="Times New Roman" w:hAnsi="Times New Roman" w:cs="Times New Roman"/>
          <w:bCs/>
          <w:sz w:val="28"/>
          <w:szCs w:val="28"/>
          <w:lang w:val="es-ES_tradnl" w:eastAsia="es-MX"/>
        </w:rPr>
        <w:t>el legislador en materia de financiación política y contratación estatal, ni explica de qué manera dichas reglas producirían, por sí mismas, un desconocimiento del mandato constitucional invocado. Por el contrario, el cargo se apoya en afirmaciones general</w:t>
      </w:r>
      <w:r w:rsidRPr="00D00D14">
        <w:rPr>
          <w:rFonts w:ascii="Times New Roman" w:eastAsia="Times New Roman" w:hAnsi="Times New Roman" w:cs="Times New Roman"/>
          <w:bCs/>
          <w:sz w:val="28"/>
          <w:szCs w:val="28"/>
          <w:lang w:val="es-ES_tradnl" w:eastAsia="es-MX"/>
        </w:rPr>
        <w:t>es sobre riesgos de corrupción, captura del Estado o devolución de favores políticos, así como en inferencias empíricas que no permiten establecer que los financiadores de campañas ejerzan funciones públicas al momento del aporte, ni que la norma acusada h</w:t>
      </w:r>
      <w:r w:rsidRPr="00D00D14">
        <w:rPr>
          <w:rFonts w:ascii="Times New Roman" w:eastAsia="Times New Roman" w:hAnsi="Times New Roman" w:cs="Times New Roman"/>
          <w:bCs/>
          <w:sz w:val="28"/>
          <w:szCs w:val="28"/>
          <w:lang w:val="es-ES_tradnl" w:eastAsia="es-MX"/>
        </w:rPr>
        <w:t>aga inoperante la prohibición del artículo 110 de la Constitución. En consecuencia, la demanda no alcanza a ofrecer un desarrollo argumentativo integral, coherente y convincente que justifique un pronunciamiento de fondo por parte de esta Corporación.</w:t>
      </w:r>
    </w:p>
    <w:p w:rsidR="00C662F5" w:rsidRPr="00D00D14" w:rsidRDefault="00D00D14" w:rsidP="00A57373">
      <w:pPr>
        <w:pStyle w:val="Prrafodelista"/>
        <w:tabs>
          <w:tab w:val="left" w:pos="284"/>
          <w:tab w:val="left" w:pos="426"/>
        </w:tabs>
        <w:spacing w:after="0" w:line="240" w:lineRule="auto"/>
        <w:ind w:left="0"/>
        <w:jc w:val="both"/>
        <w:rPr>
          <w:rFonts w:ascii="Times New Roman" w:eastAsia="Times New Roman" w:hAnsi="Times New Roman" w:cs="Times New Roman"/>
          <w:bCs/>
          <w:sz w:val="28"/>
          <w:szCs w:val="28"/>
          <w:lang w:val="es-ES_tradnl" w:eastAsia="es-MX"/>
        </w:rPr>
      </w:pPr>
    </w:p>
    <w:p w:rsidR="00C662F5" w:rsidRPr="00D00D14" w:rsidRDefault="00D00D14" w:rsidP="007A4A4B">
      <w:pPr>
        <w:pStyle w:val="Prrafodelista"/>
        <w:numPr>
          <w:ilvl w:val="0"/>
          <w:numId w:val="2"/>
        </w:numPr>
        <w:tabs>
          <w:tab w:val="clear" w:pos="3368"/>
          <w:tab w:val="num" w:pos="0"/>
          <w:tab w:val="left" w:pos="284"/>
          <w:tab w:val="left" w:pos="426"/>
        </w:tabs>
        <w:spacing w:after="0" w:line="240" w:lineRule="auto"/>
        <w:ind w:left="0" w:firstLine="0"/>
        <w:jc w:val="both"/>
        <w:rPr>
          <w:rFonts w:ascii="Times New Roman" w:eastAsia="Times New Roman" w:hAnsi="Times New Roman" w:cs="Times New Roman"/>
          <w:bCs/>
          <w:sz w:val="28"/>
          <w:szCs w:val="28"/>
          <w:lang w:val="es-ES_tradnl" w:eastAsia="es-MX"/>
        </w:rPr>
      </w:pPr>
      <w:r w:rsidRPr="00D00D14">
        <w:rPr>
          <w:rFonts w:ascii="Times New Roman" w:eastAsia="Times New Roman" w:hAnsi="Times New Roman" w:cs="Times New Roman"/>
          <w:bCs/>
          <w:sz w:val="28"/>
          <w:szCs w:val="28"/>
          <w:lang w:val="es-ES_tradnl" w:eastAsia="es-MX"/>
        </w:rPr>
        <w:t xml:space="preserve">En </w:t>
      </w:r>
      <w:r w:rsidRPr="00D00D14">
        <w:rPr>
          <w:rFonts w:ascii="Times New Roman" w:eastAsia="Times New Roman" w:hAnsi="Times New Roman" w:cs="Times New Roman"/>
          <w:bCs/>
          <w:sz w:val="28"/>
          <w:szCs w:val="28"/>
          <w:lang w:val="es-ES_tradnl" w:eastAsia="es-MX"/>
        </w:rPr>
        <w:t xml:space="preserve">consecuencia, al constatar que el cargo formulado no se funda en una proposición jurídica real y existente (falta de certeza) ni expone razones concretas de incompatibilidad normativa (falta de especificidad), </w:t>
      </w:r>
      <w:r w:rsidRPr="00D00D14">
        <w:rPr>
          <w:rFonts w:ascii="Times New Roman" w:eastAsia="Times New Roman" w:hAnsi="Times New Roman" w:cs="Times New Roman"/>
          <w:bCs/>
          <w:sz w:val="28"/>
          <w:szCs w:val="28"/>
          <w:lang w:val="es-ES_tradnl" w:eastAsia="es-MX"/>
        </w:rPr>
        <w:t xml:space="preserve">y tampoco desarrolla una argumentación mínima </w:t>
      </w:r>
      <w:r w:rsidRPr="00D00D14">
        <w:rPr>
          <w:rFonts w:ascii="Times New Roman" w:eastAsia="Times New Roman" w:hAnsi="Times New Roman" w:cs="Times New Roman"/>
          <w:bCs/>
          <w:sz w:val="28"/>
          <w:szCs w:val="28"/>
          <w:lang w:val="es-ES_tradnl" w:eastAsia="es-MX"/>
        </w:rPr>
        <w:t xml:space="preserve">capaz de suscitar una duda razonable de inconstitucionalidad ni de habilitar un juicio abstracto de constitucionalidad (falta de suficiencia), </w:t>
      </w:r>
      <w:r w:rsidRPr="00D00D14">
        <w:rPr>
          <w:rFonts w:ascii="Times New Roman" w:eastAsia="Times New Roman" w:hAnsi="Times New Roman" w:cs="Times New Roman"/>
          <w:bCs/>
          <w:sz w:val="28"/>
          <w:szCs w:val="28"/>
          <w:lang w:val="es-ES_tradnl" w:eastAsia="es-MX"/>
        </w:rPr>
        <w:t xml:space="preserve">la Sala concluye que la demanda es sustantivamente inepta y que, por tanto, debe inhibirse de emitir un </w:t>
      </w:r>
      <w:r w:rsidRPr="00D00D14">
        <w:rPr>
          <w:rFonts w:ascii="Times New Roman" w:eastAsia="Times New Roman" w:hAnsi="Times New Roman" w:cs="Times New Roman"/>
          <w:bCs/>
          <w:sz w:val="28"/>
          <w:szCs w:val="28"/>
          <w:lang w:val="es-ES_tradnl" w:eastAsia="es-MX"/>
        </w:rPr>
        <w:t>pronunciamiento de fondo respecto de las dos expresiones demandadas del artículo 33 de la Ley 1778 de 2016, por el cargo de presunta vulneración del artículo 110 de la Constitución Política.</w:t>
      </w:r>
    </w:p>
    <w:p w:rsidR="00C662F5" w:rsidRPr="00D00D14" w:rsidRDefault="00D00D14" w:rsidP="00A57373">
      <w:pPr>
        <w:pStyle w:val="Prrafodelista"/>
        <w:tabs>
          <w:tab w:val="left" w:pos="284"/>
          <w:tab w:val="left" w:pos="426"/>
        </w:tabs>
        <w:spacing w:after="0" w:line="240" w:lineRule="auto"/>
        <w:ind w:left="0"/>
        <w:jc w:val="both"/>
        <w:rPr>
          <w:rFonts w:ascii="Times New Roman" w:eastAsia="Times New Roman" w:hAnsi="Times New Roman" w:cs="Times New Roman"/>
          <w:bCs/>
          <w:sz w:val="28"/>
          <w:szCs w:val="28"/>
          <w:lang w:val="es-ES_tradnl" w:eastAsia="es-MX"/>
        </w:rPr>
      </w:pPr>
    </w:p>
    <w:p w:rsidR="00901D1A" w:rsidRPr="00D00D14" w:rsidRDefault="00D00D14" w:rsidP="00FF59F3">
      <w:pPr>
        <w:pStyle w:val="Prrafodelista"/>
        <w:numPr>
          <w:ilvl w:val="0"/>
          <w:numId w:val="1"/>
        </w:numPr>
        <w:tabs>
          <w:tab w:val="left" w:pos="284"/>
          <w:tab w:val="left" w:pos="426"/>
        </w:tabs>
        <w:spacing w:after="0" w:line="240" w:lineRule="auto"/>
        <w:ind w:left="0" w:firstLine="0"/>
        <w:jc w:val="both"/>
        <w:rPr>
          <w:rFonts w:ascii="Times New Roman" w:hAnsi="Times New Roman" w:cs="Times New Roman"/>
          <w:b/>
          <w:bCs/>
          <w:sz w:val="28"/>
          <w:szCs w:val="28"/>
        </w:rPr>
      </w:pPr>
      <w:r w:rsidRPr="00D00D14">
        <w:rPr>
          <w:rFonts w:ascii="Times New Roman" w:hAnsi="Times New Roman" w:cs="Times New Roman"/>
          <w:b/>
          <w:bCs/>
          <w:sz w:val="28"/>
          <w:szCs w:val="28"/>
        </w:rPr>
        <w:t>DECISIÓN</w:t>
      </w:r>
    </w:p>
    <w:p w:rsidR="00D75541" w:rsidRPr="00D00D14" w:rsidRDefault="00D00D14" w:rsidP="009B30FB">
      <w:pPr>
        <w:pStyle w:val="Prrafodelista"/>
        <w:tabs>
          <w:tab w:val="left" w:pos="284"/>
        </w:tabs>
        <w:spacing w:after="0" w:line="240" w:lineRule="auto"/>
        <w:ind w:left="0"/>
        <w:jc w:val="both"/>
        <w:rPr>
          <w:rFonts w:ascii="Times New Roman" w:hAnsi="Times New Roman" w:cs="Times New Roman"/>
          <w:b/>
          <w:bCs/>
          <w:sz w:val="28"/>
          <w:szCs w:val="28"/>
        </w:rPr>
      </w:pPr>
    </w:p>
    <w:p w:rsidR="00916A51" w:rsidRPr="00D00D14" w:rsidRDefault="00D00D14" w:rsidP="009B30FB">
      <w:pPr>
        <w:spacing w:after="0" w:line="240" w:lineRule="auto"/>
        <w:jc w:val="both"/>
        <w:rPr>
          <w:rFonts w:ascii="Times New Roman" w:hAnsi="Times New Roman" w:cs="Times New Roman"/>
          <w:sz w:val="28"/>
          <w:szCs w:val="28"/>
        </w:rPr>
      </w:pPr>
      <w:r w:rsidRPr="00D00D14">
        <w:rPr>
          <w:rFonts w:ascii="Times New Roman" w:hAnsi="Times New Roman" w:cs="Times New Roman"/>
          <w:sz w:val="28"/>
          <w:szCs w:val="28"/>
        </w:rPr>
        <w:t xml:space="preserve">En mérito de lo expuesto, la Sala Plena de la Corte </w:t>
      </w:r>
      <w:r w:rsidRPr="00D00D14">
        <w:rPr>
          <w:rFonts w:ascii="Times New Roman" w:hAnsi="Times New Roman" w:cs="Times New Roman"/>
          <w:sz w:val="28"/>
          <w:szCs w:val="28"/>
        </w:rPr>
        <w:t>Constitucional, administrando justicia en nombre del pueblo y por mandato de la Constitución,</w:t>
      </w:r>
    </w:p>
    <w:p w:rsidR="00D75541" w:rsidRPr="00D00D14" w:rsidRDefault="00D00D14" w:rsidP="009B30FB">
      <w:pPr>
        <w:pStyle w:val="Prrafodelista"/>
        <w:tabs>
          <w:tab w:val="left" w:pos="284"/>
        </w:tabs>
        <w:spacing w:after="0" w:line="240" w:lineRule="auto"/>
        <w:ind w:left="0"/>
        <w:jc w:val="both"/>
        <w:rPr>
          <w:rFonts w:ascii="Times New Roman" w:hAnsi="Times New Roman" w:cs="Times New Roman"/>
          <w:b/>
          <w:bCs/>
          <w:sz w:val="28"/>
          <w:szCs w:val="28"/>
        </w:rPr>
      </w:pPr>
    </w:p>
    <w:p w:rsidR="00D75541" w:rsidRPr="00D00D14" w:rsidRDefault="00D00D14" w:rsidP="009B30FB">
      <w:pPr>
        <w:pStyle w:val="Prrafodelista"/>
        <w:tabs>
          <w:tab w:val="left" w:pos="284"/>
        </w:tabs>
        <w:spacing w:after="0" w:line="240" w:lineRule="auto"/>
        <w:ind w:left="0"/>
        <w:jc w:val="center"/>
        <w:rPr>
          <w:rFonts w:ascii="Times New Roman" w:hAnsi="Times New Roman" w:cs="Times New Roman"/>
          <w:b/>
          <w:bCs/>
          <w:sz w:val="28"/>
          <w:szCs w:val="28"/>
        </w:rPr>
      </w:pPr>
      <w:r w:rsidRPr="00D00D14">
        <w:rPr>
          <w:rFonts w:ascii="Times New Roman" w:hAnsi="Times New Roman" w:cs="Times New Roman"/>
          <w:b/>
          <w:bCs/>
          <w:sz w:val="28"/>
          <w:szCs w:val="28"/>
        </w:rPr>
        <w:t>RESUELVE</w:t>
      </w:r>
    </w:p>
    <w:p w:rsidR="00D75541" w:rsidRPr="00D00D14" w:rsidRDefault="00D00D14" w:rsidP="009B30FB">
      <w:pPr>
        <w:tabs>
          <w:tab w:val="left" w:pos="284"/>
        </w:tabs>
        <w:spacing w:after="0" w:line="240" w:lineRule="auto"/>
        <w:jc w:val="both"/>
        <w:rPr>
          <w:rFonts w:ascii="Times New Roman" w:hAnsi="Times New Roman" w:cs="Times New Roman"/>
          <w:b/>
          <w:bCs/>
          <w:sz w:val="28"/>
          <w:szCs w:val="28"/>
        </w:rPr>
      </w:pPr>
    </w:p>
    <w:p w:rsidR="00D75541" w:rsidRPr="00D00D14" w:rsidRDefault="00D00D14" w:rsidP="0025727F">
      <w:pPr>
        <w:tabs>
          <w:tab w:val="left" w:pos="284"/>
        </w:tabs>
        <w:spacing w:after="0" w:line="240" w:lineRule="auto"/>
        <w:jc w:val="both"/>
        <w:rPr>
          <w:rFonts w:ascii="Times New Roman" w:hAnsi="Times New Roman" w:cs="Times New Roman"/>
          <w:sz w:val="28"/>
          <w:szCs w:val="28"/>
        </w:rPr>
      </w:pPr>
      <w:r w:rsidRPr="00D00D14">
        <w:rPr>
          <w:rFonts w:ascii="Times New Roman" w:hAnsi="Times New Roman" w:cs="Times New Roman"/>
          <w:b/>
          <w:bCs/>
          <w:sz w:val="28"/>
          <w:szCs w:val="28"/>
        </w:rPr>
        <w:t>ÚNICO</w:t>
      </w:r>
      <w:r w:rsidRPr="00D00D14">
        <w:rPr>
          <w:rFonts w:ascii="Times New Roman" w:hAnsi="Times New Roman" w:cs="Times New Roman"/>
          <w:b/>
          <w:bCs/>
          <w:sz w:val="28"/>
          <w:szCs w:val="28"/>
        </w:rPr>
        <w:t xml:space="preserve">. </w:t>
      </w:r>
      <w:r w:rsidRPr="00D00D14">
        <w:rPr>
          <w:rFonts w:ascii="Times New Roman" w:hAnsi="Times New Roman" w:cs="Times New Roman"/>
          <w:b/>
          <w:bCs/>
          <w:sz w:val="28"/>
          <w:szCs w:val="28"/>
        </w:rPr>
        <w:t xml:space="preserve">INHIBIRSE </w:t>
      </w:r>
      <w:r w:rsidRPr="00D00D14">
        <w:rPr>
          <w:rFonts w:ascii="Times New Roman" w:hAnsi="Times New Roman" w:cs="Times New Roman"/>
          <w:sz w:val="28"/>
          <w:szCs w:val="28"/>
        </w:rPr>
        <w:t>de emitir un pronunciamiento de fondo respecto del cargo formulado contra los enunciados normativos “con aportes superiores al dos por</w:t>
      </w:r>
      <w:r w:rsidRPr="00D00D14">
        <w:rPr>
          <w:rFonts w:ascii="Times New Roman" w:hAnsi="Times New Roman" w:cs="Times New Roman"/>
          <w:sz w:val="28"/>
          <w:szCs w:val="28"/>
        </w:rPr>
        <w:t xml:space="preserve"> ciento (2.0%) de las sumas máximas a invertir por los candidatos en las campañas electorales en cada circunscripción electoral” y “La inhabilidad contemplada en esta norma no se aplicará respecto de los contratos de prestación de servicios profesionales”,</w:t>
      </w:r>
      <w:r w:rsidRPr="00D00D14">
        <w:rPr>
          <w:rFonts w:ascii="Times New Roman" w:hAnsi="Times New Roman" w:cs="Times New Roman"/>
          <w:sz w:val="28"/>
          <w:szCs w:val="28"/>
        </w:rPr>
        <w:t xml:space="preserve"> contenidos en el artículo 33 de la Ley 1778 de 2016, por ineptitud sustantiva de la demanda.</w:t>
      </w:r>
    </w:p>
    <w:p w:rsidR="003B25EF" w:rsidRPr="00D00D14" w:rsidRDefault="00D00D14" w:rsidP="009B30FB">
      <w:pPr>
        <w:tabs>
          <w:tab w:val="left" w:pos="284"/>
        </w:tabs>
        <w:spacing w:after="0" w:line="240" w:lineRule="auto"/>
        <w:jc w:val="both"/>
        <w:rPr>
          <w:rFonts w:ascii="Times New Roman" w:hAnsi="Times New Roman" w:cs="Times New Roman"/>
          <w:sz w:val="28"/>
          <w:szCs w:val="28"/>
        </w:rPr>
      </w:pPr>
    </w:p>
    <w:p w:rsidR="00F42B4C" w:rsidRPr="00D00D14" w:rsidRDefault="00D00D14" w:rsidP="009B30FB">
      <w:pPr>
        <w:tabs>
          <w:tab w:val="left" w:pos="284"/>
        </w:tabs>
        <w:spacing w:after="0" w:line="240" w:lineRule="auto"/>
        <w:jc w:val="both"/>
        <w:rPr>
          <w:rFonts w:ascii="Times New Roman" w:hAnsi="Times New Roman" w:cs="Times New Roman"/>
          <w:sz w:val="28"/>
          <w:szCs w:val="28"/>
        </w:rPr>
      </w:pPr>
      <w:r w:rsidRPr="00D00D14">
        <w:rPr>
          <w:rFonts w:ascii="Times New Roman" w:hAnsi="Times New Roman" w:cs="Times New Roman"/>
          <w:sz w:val="28"/>
          <w:szCs w:val="28"/>
        </w:rPr>
        <w:t>C</w:t>
      </w:r>
      <w:r w:rsidRPr="00D00D14">
        <w:rPr>
          <w:rFonts w:ascii="Times New Roman" w:hAnsi="Times New Roman" w:cs="Times New Roman"/>
          <w:sz w:val="28"/>
          <w:szCs w:val="28"/>
        </w:rPr>
        <w:t>omuníquese</w:t>
      </w:r>
      <w:r w:rsidRPr="00D00D14">
        <w:rPr>
          <w:rFonts w:ascii="Times New Roman" w:hAnsi="Times New Roman" w:cs="Times New Roman"/>
          <w:sz w:val="28"/>
          <w:szCs w:val="28"/>
        </w:rPr>
        <w:t xml:space="preserve">, </w:t>
      </w:r>
      <w:r w:rsidRPr="00D00D14">
        <w:rPr>
          <w:rFonts w:ascii="Times New Roman" w:hAnsi="Times New Roman" w:cs="Times New Roman"/>
          <w:sz w:val="28"/>
          <w:szCs w:val="28"/>
        </w:rPr>
        <w:t>notifíquese</w:t>
      </w:r>
      <w:r w:rsidRPr="00D00D14">
        <w:rPr>
          <w:rFonts w:ascii="Times New Roman" w:hAnsi="Times New Roman" w:cs="Times New Roman"/>
          <w:sz w:val="28"/>
          <w:szCs w:val="28"/>
        </w:rPr>
        <w:t xml:space="preserve"> </w:t>
      </w:r>
      <w:r w:rsidRPr="00D00D14">
        <w:rPr>
          <w:rFonts w:ascii="Times New Roman" w:hAnsi="Times New Roman" w:cs="Times New Roman"/>
          <w:sz w:val="28"/>
          <w:szCs w:val="28"/>
        </w:rPr>
        <w:t>y</w:t>
      </w:r>
      <w:r w:rsidRPr="00D00D14">
        <w:rPr>
          <w:rFonts w:ascii="Times New Roman" w:hAnsi="Times New Roman" w:cs="Times New Roman"/>
          <w:sz w:val="28"/>
          <w:szCs w:val="28"/>
        </w:rPr>
        <w:t xml:space="preserve"> </w:t>
      </w:r>
      <w:r w:rsidRPr="00D00D14">
        <w:rPr>
          <w:rFonts w:ascii="Times New Roman" w:hAnsi="Times New Roman" w:cs="Times New Roman"/>
          <w:sz w:val="28"/>
          <w:szCs w:val="28"/>
        </w:rPr>
        <w:t>cúmplase.</w:t>
      </w:r>
    </w:p>
    <w:p w:rsidR="003B59D1" w:rsidRPr="00D00D14" w:rsidRDefault="00D00D14" w:rsidP="009B30FB">
      <w:pPr>
        <w:tabs>
          <w:tab w:val="left" w:pos="284"/>
        </w:tabs>
        <w:spacing w:after="0" w:line="240" w:lineRule="auto"/>
        <w:jc w:val="both"/>
        <w:rPr>
          <w:rFonts w:ascii="Times New Roman" w:hAnsi="Times New Roman" w:cs="Times New Roman"/>
          <w:sz w:val="28"/>
          <w:szCs w:val="28"/>
        </w:rPr>
      </w:pPr>
    </w:p>
    <w:p w:rsidR="003B59D1" w:rsidRPr="00D00D14" w:rsidRDefault="00D00D14" w:rsidP="009B30FB">
      <w:pPr>
        <w:tabs>
          <w:tab w:val="left" w:pos="284"/>
        </w:tabs>
        <w:spacing w:after="0" w:line="240" w:lineRule="auto"/>
        <w:jc w:val="both"/>
        <w:rPr>
          <w:rFonts w:ascii="Times New Roman" w:hAnsi="Times New Roman" w:cs="Times New Roman"/>
          <w:sz w:val="28"/>
          <w:szCs w:val="28"/>
        </w:rPr>
      </w:pPr>
    </w:p>
    <w:p w:rsidR="003B59D1" w:rsidRPr="00D00D14" w:rsidRDefault="00D00D14" w:rsidP="009B30FB">
      <w:pPr>
        <w:tabs>
          <w:tab w:val="left" w:pos="284"/>
        </w:tabs>
        <w:spacing w:after="0" w:line="240" w:lineRule="auto"/>
        <w:jc w:val="both"/>
        <w:rPr>
          <w:rFonts w:ascii="Times New Roman" w:hAnsi="Times New Roman" w:cs="Times New Roman"/>
          <w:sz w:val="28"/>
          <w:szCs w:val="28"/>
        </w:rPr>
      </w:pP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PAOLA ANDREA MENESES MOSQUERA</w:t>
      </w: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Presidenta</w:t>
      </w: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NATALIA ÁNGEL CABO</w:t>
      </w: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Magistrada</w:t>
      </w: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CARLOS CAMARGO ASSIS</w:t>
      </w: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Magistrado</w:t>
      </w: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 xml:space="preserve">HECTOR </w:t>
      </w:r>
      <w:r w:rsidRPr="00D00D14">
        <w:rPr>
          <w:rFonts w:ascii="Times New Roman" w:hAnsi="Times New Roman" w:cs="Times New Roman"/>
          <w:bCs/>
          <w:iCs/>
          <w:sz w:val="28"/>
          <w:szCs w:val="28"/>
        </w:rPr>
        <w:t>ALFONSO CARVAJAL LONDOÑO</w:t>
      </w: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Magistrado</w:t>
      </w: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JUAN CARLOS CORTÉS GONZÁLEZ</w:t>
      </w: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Magistrado</w:t>
      </w: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LINA MARCELA ESCOBAR MARTÍNEZ</w:t>
      </w: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Magistrada</w:t>
      </w: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Ausente con comisión</w:t>
      </w: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VLADIMIR FERNÁNDEZ ANDRADE</w:t>
      </w: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Magistrado</w:t>
      </w: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 xml:space="preserve">JORGE ENRIQUE IBÁÑEZ NAJAR </w:t>
      </w: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Magistrado</w:t>
      </w: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MIGUEL POLO ROSERO</w:t>
      </w: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Magistrado</w:t>
      </w: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3B59D1" w:rsidRPr="00D00D14" w:rsidRDefault="00D00D14" w:rsidP="005B42A8">
      <w:pPr>
        <w:tabs>
          <w:tab w:val="left" w:pos="284"/>
        </w:tabs>
        <w:spacing w:after="0" w:line="240" w:lineRule="auto"/>
        <w:jc w:val="center"/>
        <w:rPr>
          <w:rFonts w:ascii="Times New Roman" w:hAnsi="Times New Roman" w:cs="Times New Roman"/>
          <w:bCs/>
          <w:iCs/>
          <w:sz w:val="28"/>
          <w:szCs w:val="28"/>
        </w:rPr>
      </w:pP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ANDREA LILIANA ROMERO LOPEZ</w:t>
      </w:r>
    </w:p>
    <w:p w:rsidR="005B42A8" w:rsidRPr="00D00D14" w:rsidRDefault="00D00D14" w:rsidP="005B42A8">
      <w:pPr>
        <w:tabs>
          <w:tab w:val="left" w:pos="284"/>
        </w:tabs>
        <w:spacing w:after="0" w:line="240" w:lineRule="auto"/>
        <w:jc w:val="center"/>
        <w:rPr>
          <w:rFonts w:ascii="Times New Roman" w:hAnsi="Times New Roman" w:cs="Times New Roman"/>
          <w:bCs/>
          <w:iCs/>
          <w:sz w:val="28"/>
          <w:szCs w:val="28"/>
        </w:rPr>
      </w:pPr>
      <w:r w:rsidRPr="00D00D14">
        <w:rPr>
          <w:rFonts w:ascii="Times New Roman" w:hAnsi="Times New Roman" w:cs="Times New Roman"/>
          <w:bCs/>
          <w:iCs/>
          <w:sz w:val="28"/>
          <w:szCs w:val="28"/>
        </w:rPr>
        <w:t>Secretaria General</w:t>
      </w:r>
    </w:p>
    <w:sectPr w:rsidR="005B42A8" w:rsidRPr="00D00D14">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D00D14">
      <w:pPr>
        <w:spacing w:after="0" w:line="240" w:lineRule="auto"/>
      </w:pPr>
      <w:r>
        <w:separator/>
      </w:r>
    </w:p>
  </w:endnote>
  <w:endnote w:type="continuationSeparator" w:id="0">
    <w:p w:rsidR="00000000" w:rsidRDefault="00D00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D00D14">
      <w:pPr>
        <w:spacing w:after="0" w:line="240" w:lineRule="auto"/>
      </w:pPr>
      <w:r>
        <w:separator/>
      </w:r>
    </w:p>
  </w:footnote>
  <w:footnote w:type="continuationSeparator" w:id="0">
    <w:p w:rsidR="00000000" w:rsidRDefault="00D00D14">
      <w:pPr>
        <w:spacing w:after="0" w:line="240" w:lineRule="auto"/>
      </w:pPr>
      <w:r>
        <w:continuationSeparator/>
      </w:r>
    </w:p>
  </w:footnote>
  <w:footnote w:id="1">
    <w:p w:rsidR="008F4D0B" w:rsidRPr="004F6B9A" w:rsidRDefault="00D00D14" w:rsidP="008F4D0B">
      <w:pPr>
        <w:pStyle w:val="Textonotapie"/>
        <w:rPr>
          <w:rFonts w:ascii="Times New Roman" w:hAnsi="Times New Roman" w:cs="Times New Roman"/>
          <w:lang w:val="es-ES"/>
        </w:rPr>
      </w:pPr>
      <w:r w:rsidRPr="004F6B9A">
        <w:rPr>
          <w:rStyle w:val="Refdenotaalpie"/>
          <w:rFonts w:ascii="Times New Roman" w:hAnsi="Times New Roman" w:cs="Times New Roman"/>
        </w:rPr>
        <w:footnoteRef/>
      </w:r>
      <w:r w:rsidRPr="004F6B9A">
        <w:rPr>
          <w:rFonts w:ascii="Times New Roman" w:hAnsi="Times New Roman" w:cs="Times New Roman"/>
        </w:rPr>
        <w:t xml:space="preserve"> </w:t>
      </w:r>
      <w:r w:rsidRPr="004F6B9A">
        <w:rPr>
          <w:rFonts w:ascii="Times New Roman" w:hAnsi="Times New Roman" w:cs="Times New Roman"/>
          <w:i/>
          <w:iCs/>
          <w:lang w:val="es-ES"/>
        </w:rPr>
        <w:t>Ibidem</w:t>
      </w:r>
      <w:r w:rsidRPr="004F6B9A">
        <w:rPr>
          <w:rFonts w:ascii="Times New Roman" w:hAnsi="Times New Roman" w:cs="Times New Roman"/>
          <w:lang w:val="es-ES"/>
        </w:rPr>
        <w:t>, folios 8 al 10.</w:t>
      </w:r>
    </w:p>
  </w:footnote>
  <w:footnote w:id="2">
    <w:p w:rsidR="006660CA" w:rsidRPr="00573E2E" w:rsidRDefault="00D00D14">
      <w:pPr>
        <w:pStyle w:val="Textonotapie"/>
        <w:rPr>
          <w:rFonts w:ascii="Times New Roman" w:hAnsi="Times New Roman" w:cs="Times New Roman"/>
          <w:lang w:val="es-ES"/>
        </w:rPr>
      </w:pPr>
      <w:r w:rsidRPr="00573E2E">
        <w:rPr>
          <w:rStyle w:val="Refdenotaalpie"/>
          <w:rFonts w:ascii="Times New Roman" w:hAnsi="Times New Roman" w:cs="Times New Roman"/>
        </w:rPr>
        <w:footnoteRef/>
      </w:r>
      <w:r w:rsidRPr="00573E2E">
        <w:rPr>
          <w:rFonts w:ascii="Times New Roman" w:hAnsi="Times New Roman" w:cs="Times New Roman"/>
        </w:rPr>
        <w:t xml:space="preserve"> </w:t>
      </w:r>
      <w:r w:rsidRPr="00573E2E">
        <w:rPr>
          <w:rFonts w:ascii="Times New Roman" w:hAnsi="Times New Roman" w:cs="Times New Roman"/>
          <w:lang w:val="es-ES"/>
        </w:rPr>
        <w:t>Folios 3 y 4.</w:t>
      </w:r>
    </w:p>
  </w:footnote>
  <w:footnote w:id="3">
    <w:p w:rsidR="00FA282E" w:rsidRPr="00FA282E" w:rsidRDefault="00D00D14" w:rsidP="00C75459">
      <w:pPr>
        <w:pStyle w:val="Textonotapie"/>
        <w:jc w:val="both"/>
        <w:rPr>
          <w:rFonts w:ascii="Times New Roman" w:hAnsi="Times New Roman" w:cs="Times New Roman"/>
          <w:lang w:val="es-ES"/>
        </w:rPr>
      </w:pPr>
      <w:r w:rsidRPr="00972CE6">
        <w:rPr>
          <w:rStyle w:val="Refdenotaalpie"/>
          <w:rFonts w:ascii="Times New Roman" w:hAnsi="Times New Roman" w:cs="Times New Roman"/>
        </w:rPr>
        <w:footnoteRef/>
      </w:r>
      <w:r w:rsidRPr="00972CE6">
        <w:rPr>
          <w:rFonts w:ascii="Times New Roman" w:hAnsi="Times New Roman" w:cs="Times New Roman"/>
        </w:rPr>
        <w:t xml:space="preserve"> </w:t>
      </w:r>
      <w:r w:rsidRPr="00972CE6">
        <w:rPr>
          <w:rFonts w:ascii="Times New Roman" w:hAnsi="Times New Roman" w:cs="Times New Roman"/>
        </w:rPr>
        <w:t xml:space="preserve">La Secretaría General de esta Corporación, mediante informe del 29 de octubre de 2025, informó que el término de fijación en lista venció el 25 de </w:t>
      </w:r>
      <w:r w:rsidRPr="00972CE6">
        <w:rPr>
          <w:rFonts w:ascii="Times New Roman" w:hAnsi="Times New Roman" w:cs="Times New Roman"/>
        </w:rPr>
        <w:t xml:space="preserve">septiembre de 2025 y que el 26 de septiembre siguiente se recibió el concepto de la Agencia Nacional de Contratación Pública – Colombia Compra Eficiente (ANCP‑CCE). Aunque dicha entidad señaló que su intervención constaba de 23 folios, no la aportó y, por </w:t>
      </w:r>
      <w:r w:rsidRPr="00972CE6">
        <w:rPr>
          <w:rFonts w:ascii="Times New Roman" w:hAnsi="Times New Roman" w:cs="Times New Roman"/>
        </w:rPr>
        <w:t>ello, el despacho sustanciador, mediante auto del 2 de febrero de 2026, ofició a la ANCP‑CCE para que allegara el concepto rendido en el proceso de la referencia.</w:t>
      </w:r>
    </w:p>
  </w:footnote>
  <w:footnote w:id="4">
    <w:p w:rsidR="00C55CB3" w:rsidRPr="00C55CB3" w:rsidRDefault="00D00D14" w:rsidP="00C55CB3">
      <w:pPr>
        <w:pStyle w:val="Textonotapie"/>
        <w:jc w:val="both"/>
        <w:rPr>
          <w:rFonts w:ascii="Times New Roman" w:hAnsi="Times New Roman" w:cs="Times New Roman"/>
          <w:lang w:val="es-ES"/>
        </w:rPr>
      </w:pPr>
      <w:r w:rsidRPr="00E02879">
        <w:rPr>
          <w:rStyle w:val="Refdenotaalpie"/>
          <w:rFonts w:ascii="Times New Roman" w:hAnsi="Times New Roman" w:cs="Times New Roman"/>
        </w:rPr>
        <w:footnoteRef/>
      </w:r>
      <w:r w:rsidRPr="00E02879">
        <w:rPr>
          <w:rFonts w:ascii="Times New Roman" w:hAnsi="Times New Roman" w:cs="Times New Roman"/>
        </w:rPr>
        <w:t xml:space="preserve"> </w:t>
      </w:r>
      <w:r w:rsidRPr="00E02879">
        <w:rPr>
          <w:rFonts w:ascii="Times New Roman" w:hAnsi="Times New Roman" w:cs="Times New Roman"/>
          <w:lang w:val="es-ES"/>
        </w:rPr>
        <w:t xml:space="preserve">Entre quienes se encuentran Transparencia por Colombia y la Universidad Externado de </w:t>
      </w:r>
      <w:r w:rsidRPr="00E02879">
        <w:rPr>
          <w:rFonts w:ascii="Times New Roman" w:hAnsi="Times New Roman" w:cs="Times New Roman"/>
          <w:lang w:val="es-ES"/>
        </w:rPr>
        <w:t>Colombia</w:t>
      </w:r>
      <w:r w:rsidRPr="00E02879">
        <w:rPr>
          <w:rFonts w:ascii="Times New Roman" w:hAnsi="Times New Roman" w:cs="Times New Roman"/>
          <w:lang w:val="es-ES"/>
        </w:rPr>
        <w:t>,</w:t>
      </w:r>
      <w:r w:rsidRPr="00E02879">
        <w:rPr>
          <w:rFonts w:ascii="Times New Roman" w:hAnsi="Times New Roman" w:cs="Times New Roman"/>
          <w:lang w:val="es-ES"/>
        </w:rPr>
        <w:t xml:space="preserve"> </w:t>
      </w:r>
      <w:r w:rsidRPr="00E02879">
        <w:rPr>
          <w:rFonts w:ascii="Times New Roman" w:hAnsi="Times New Roman" w:cs="Times New Roman"/>
          <w:lang w:val="es-ES"/>
        </w:rPr>
        <w:t xml:space="preserve">esta última a través de la intervención </w:t>
      </w:r>
      <w:r w:rsidRPr="00E02879">
        <w:rPr>
          <w:rFonts w:ascii="Times New Roman" w:hAnsi="Times New Roman" w:cs="Times New Roman"/>
          <w:lang w:val="es-ES"/>
        </w:rPr>
        <w:t>del ciudadano Carlos Arturo Gómez Pavajeau.</w:t>
      </w:r>
    </w:p>
  </w:footnote>
  <w:footnote w:id="5">
    <w:p w:rsidR="001652B5" w:rsidRPr="00585535" w:rsidRDefault="00D00D14" w:rsidP="001652B5">
      <w:pPr>
        <w:pStyle w:val="Textonotapie"/>
        <w:jc w:val="both"/>
        <w:rPr>
          <w:rFonts w:ascii="Times New Roman" w:hAnsi="Times New Roman" w:cs="Times New Roman"/>
        </w:rPr>
      </w:pPr>
      <w:r w:rsidRPr="00C55CB3">
        <w:rPr>
          <w:rStyle w:val="Refdenotaalpie"/>
          <w:rFonts w:ascii="Times New Roman" w:hAnsi="Times New Roman" w:cs="Times New Roman"/>
        </w:rPr>
        <w:footnoteRef/>
      </w:r>
      <w:r w:rsidRPr="00C55CB3">
        <w:rPr>
          <w:rFonts w:ascii="Times New Roman" w:hAnsi="Times New Roman" w:cs="Times New Roman"/>
        </w:rPr>
        <w:t xml:space="preserve"> Corte Constitucional, sentencia C-1052 de 2001 (MP Manuel José Cepeda</w:t>
      </w:r>
      <w:r w:rsidRPr="00DF6C80">
        <w:rPr>
          <w:rFonts w:ascii="Times New Roman" w:hAnsi="Times New Roman" w:cs="Times New Roman"/>
        </w:rPr>
        <w:t xml:space="preserve"> Espinosa). Los criterios recogidos y fijados en esta sentencia han sido reiterados en muchas</w:t>
      </w:r>
      <w:r w:rsidRPr="00585535">
        <w:rPr>
          <w:rFonts w:ascii="Times New Roman" w:hAnsi="Times New Roman" w:cs="Times New Roman"/>
        </w:rPr>
        <w:t xml:space="preserve"> decisiones posteriores de la Sala Plena. Entre otras, ver por ejemplo: Sentencia C-874 de 2002 (MP Rodrigo Escobar Gil), Sentencia C-371 de 2004 (MP Jaime Córdoba</w:t>
      </w:r>
      <w:r w:rsidRPr="00585535">
        <w:rPr>
          <w:rFonts w:ascii="Times New Roman" w:hAnsi="Times New Roman" w:cs="Times New Roman"/>
        </w:rPr>
        <w:t xml:space="preserve"> Triviño), Auto 033 de 2005 (MP Álvaro Tafur Galvis), Auto 031 de 2006 (MP Clara Inés Vargas Gutiérrez), Auto 267 de 2007 (MP Marco Gerardo Monroy Cabra), Auto 091 de 2008 (MP Humberto Antonio Sierra Porto), Auto 112 de 2009 (MP Clara Elena Reales Gutiérre</w:t>
      </w:r>
      <w:r w:rsidRPr="00585535">
        <w:rPr>
          <w:rFonts w:ascii="Times New Roman" w:hAnsi="Times New Roman" w:cs="Times New Roman"/>
        </w:rPr>
        <w:t>z), Sentencia C-942 de 2010 (MP Juan Carlos Henao Pérez), Auto 070 de 2011 (MP Gabriel Eduardo Mendoza Martelo), Sentencia C-243 de 2012 (MP Luis Ernesto Vargas Silva; AV Nilson Elías Pinilla Pinilla y Humberto Antonio Sierra Porto), Auto 105 de 2013 (MP J</w:t>
      </w:r>
      <w:r w:rsidRPr="00585535">
        <w:rPr>
          <w:rFonts w:ascii="Times New Roman" w:hAnsi="Times New Roman" w:cs="Times New Roman"/>
        </w:rPr>
        <w:t>orge Ignacio Pretelt Chaljub), Auto 243 de 2014 (MP Mauricio González Cuervo), Auto 145 de 2014 (MP Alberto Rojas Ríos), Auto 324 de 2014 (MP Gloria Stella Ortiz Delgado), Auto 367 de 2015 (MP Jorge Iván Palacio Palacio), Auto 527 de 2015 (MP María Victori</w:t>
      </w:r>
      <w:r w:rsidRPr="00585535">
        <w:rPr>
          <w:rFonts w:ascii="Times New Roman" w:hAnsi="Times New Roman" w:cs="Times New Roman"/>
        </w:rPr>
        <w:t xml:space="preserve">a Calle Correa) y Sentencia C-088 de 2016 (MP Jorge Iván Palacio Palacio). En todas estas providencias se citan y emplean los criterios establecidos en la sentencia C-1052 de 2001 para resolver los asuntos tratados en cada uno de aquellos procesos. </w:t>
      </w:r>
    </w:p>
  </w:footnote>
  <w:footnote w:id="6">
    <w:p w:rsidR="001652B5" w:rsidRPr="00585535" w:rsidRDefault="00D00D14" w:rsidP="001652B5">
      <w:pPr>
        <w:pStyle w:val="Textonotapie"/>
        <w:jc w:val="both"/>
        <w:rPr>
          <w:rFonts w:ascii="Times New Roman" w:hAnsi="Times New Roman" w:cs="Times New Roman"/>
        </w:rPr>
      </w:pPr>
      <w:r w:rsidRPr="00585535">
        <w:rPr>
          <w:rStyle w:val="Refdenotaalpie"/>
          <w:rFonts w:ascii="Times New Roman" w:hAnsi="Times New Roman" w:cs="Times New Roman"/>
        </w:rPr>
        <w:footnoteRef/>
      </w:r>
      <w:r w:rsidRPr="00585535">
        <w:rPr>
          <w:rFonts w:ascii="Times New Roman" w:hAnsi="Times New Roman" w:cs="Times New Roman"/>
        </w:rPr>
        <w:t xml:space="preserve"> Cort</w:t>
      </w:r>
      <w:r w:rsidRPr="00585535">
        <w:rPr>
          <w:rFonts w:ascii="Times New Roman" w:hAnsi="Times New Roman" w:cs="Times New Roman"/>
        </w:rPr>
        <w:t>e Constitucional, sentencia C-1052 de 2001 (MP Manuel José Cepeda Espinosa).</w:t>
      </w:r>
    </w:p>
  </w:footnote>
  <w:footnote w:id="7">
    <w:p w:rsidR="001652B5" w:rsidRPr="00585535" w:rsidRDefault="00D00D14" w:rsidP="001652B5">
      <w:pPr>
        <w:pStyle w:val="Textonotapie"/>
        <w:jc w:val="both"/>
        <w:rPr>
          <w:rFonts w:ascii="Times New Roman" w:hAnsi="Times New Roman" w:cs="Times New Roman"/>
        </w:rPr>
      </w:pPr>
      <w:r w:rsidRPr="00585535">
        <w:rPr>
          <w:rStyle w:val="Refdenotaalpie"/>
          <w:rFonts w:ascii="Times New Roman" w:hAnsi="Times New Roman" w:cs="Times New Roman"/>
        </w:rPr>
        <w:footnoteRef/>
      </w:r>
      <w:r w:rsidRPr="00585535">
        <w:rPr>
          <w:rFonts w:ascii="Times New Roman" w:hAnsi="Times New Roman" w:cs="Times New Roman"/>
        </w:rPr>
        <w:t xml:space="preserve"> Corte Constitucional, Sentencia C-1052 de 2001 (MP Manuel José Cepeda Espinosa).</w:t>
      </w:r>
    </w:p>
  </w:footnote>
  <w:footnote w:id="8">
    <w:p w:rsidR="001652B5" w:rsidRPr="00585535" w:rsidRDefault="00D00D14" w:rsidP="001652B5">
      <w:pPr>
        <w:pStyle w:val="Textonotapie"/>
        <w:ind w:right="-92"/>
        <w:jc w:val="both"/>
        <w:rPr>
          <w:rFonts w:ascii="Times New Roman" w:hAnsi="Times New Roman" w:cs="Times New Roman"/>
        </w:rPr>
      </w:pPr>
      <w:r w:rsidRPr="00585535">
        <w:rPr>
          <w:rStyle w:val="Refdenotaalpie"/>
          <w:rFonts w:ascii="Times New Roman" w:hAnsi="Times New Roman" w:cs="Times New Roman"/>
        </w:rPr>
        <w:footnoteRef/>
      </w:r>
      <w:r w:rsidRPr="00585535">
        <w:rPr>
          <w:rFonts w:ascii="Times New Roman" w:hAnsi="Times New Roman" w:cs="Times New Roman"/>
        </w:rPr>
        <w:t xml:space="preserve"> Corte Constitucional, Sentencia C-1052 de 2001 (MP Manuel José Cepeda Espinosa). Al respecto, </w:t>
      </w:r>
      <w:r w:rsidRPr="00585535">
        <w:rPr>
          <w:rFonts w:ascii="Times New Roman" w:hAnsi="Times New Roman" w:cs="Times New Roman"/>
        </w:rPr>
        <w:t xml:space="preserve">ver el apartado (3.4.2) de las consideraciones de la sentencia. </w:t>
      </w:r>
    </w:p>
  </w:footnote>
  <w:footnote w:id="9">
    <w:p w:rsidR="001652B5" w:rsidRPr="00585535" w:rsidRDefault="00D00D14" w:rsidP="001652B5">
      <w:pPr>
        <w:pStyle w:val="Textonotapie"/>
        <w:jc w:val="both"/>
        <w:rPr>
          <w:rFonts w:ascii="Times New Roman" w:hAnsi="Times New Roman" w:cs="Times New Roman"/>
        </w:rPr>
      </w:pPr>
      <w:r w:rsidRPr="00585535">
        <w:rPr>
          <w:rStyle w:val="Refdenotaalpie"/>
          <w:rFonts w:ascii="Times New Roman" w:hAnsi="Times New Roman" w:cs="Times New Roman"/>
        </w:rPr>
        <w:footnoteRef/>
      </w:r>
      <w:r w:rsidRPr="00585535">
        <w:rPr>
          <w:rFonts w:ascii="Times New Roman" w:hAnsi="Times New Roman" w:cs="Times New Roman"/>
        </w:rPr>
        <w:t xml:space="preserve"> Corte Constitucional, Sentencia C-382 de 2012 (MP Gabriel Eduardo Mendoza Martelo), en la cual la Corte puntualizó que no se cumple con el requisito de claridad al no explicarse por qué el </w:t>
      </w:r>
      <w:r w:rsidRPr="00585535">
        <w:rPr>
          <w:rFonts w:ascii="Times New Roman" w:hAnsi="Times New Roman" w:cs="Times New Roman"/>
        </w:rPr>
        <w:t>precepto acusado infringe la norma superior, y Sentencia C- 227 de 2015 (MP Jorge Ignacio Pretelt Chaljub), providencia en la cual se explicó que se presenta falta de claridad al existir en la demanda consideraciones que pueden ser contradictoras.</w:t>
      </w:r>
    </w:p>
  </w:footnote>
  <w:footnote w:id="10">
    <w:p w:rsidR="001652B5" w:rsidRPr="00585535" w:rsidRDefault="00D00D14" w:rsidP="001652B5">
      <w:pPr>
        <w:spacing w:after="0" w:line="240" w:lineRule="auto"/>
        <w:jc w:val="both"/>
        <w:rPr>
          <w:rFonts w:ascii="Times New Roman" w:eastAsia="Arial Unicode MS" w:hAnsi="Times New Roman" w:cs="Times New Roman"/>
          <w:bCs/>
          <w:sz w:val="20"/>
          <w:szCs w:val="20"/>
          <w:bdr w:val="none" w:sz="0" w:space="0" w:color="auto" w:frame="1"/>
        </w:rPr>
      </w:pPr>
      <w:r w:rsidRPr="00585535">
        <w:rPr>
          <w:rStyle w:val="Refdenotaalpie"/>
          <w:rFonts w:ascii="Times New Roman" w:hAnsi="Times New Roman" w:cs="Times New Roman"/>
          <w:sz w:val="20"/>
          <w:szCs w:val="20"/>
        </w:rPr>
        <w:footnoteRef/>
      </w:r>
      <w:r w:rsidRPr="00585535">
        <w:rPr>
          <w:rFonts w:ascii="Times New Roman" w:hAnsi="Times New Roman" w:cs="Times New Roman"/>
          <w:sz w:val="20"/>
          <w:szCs w:val="20"/>
        </w:rPr>
        <w:t xml:space="preserve"> Corte </w:t>
      </w:r>
      <w:r w:rsidRPr="00585535">
        <w:rPr>
          <w:rFonts w:ascii="Times New Roman" w:hAnsi="Times New Roman" w:cs="Times New Roman"/>
          <w:sz w:val="20"/>
          <w:szCs w:val="20"/>
        </w:rPr>
        <w:t xml:space="preserve">Constitucional, </w:t>
      </w:r>
      <w:r w:rsidRPr="00585535">
        <w:rPr>
          <w:rFonts w:ascii="Times New Roman" w:eastAsia="Arial Unicode MS" w:hAnsi="Times New Roman" w:cs="Times New Roman"/>
          <w:bCs/>
          <w:sz w:val="20"/>
          <w:szCs w:val="20"/>
          <w:bdr w:val="none" w:sz="0" w:space="0" w:color="auto" w:frame="1"/>
        </w:rPr>
        <w:t xml:space="preserve">Sentencia C-913 de 2004, en la que se aclaró que no se observó el requisito de certeza, por cuanto la demanda no recae sobre una proposición jurídica real y existente, sino en una deducida por quien plantea la demanda, o que está contenida </w:t>
      </w:r>
      <w:r w:rsidRPr="00585535">
        <w:rPr>
          <w:rFonts w:ascii="Times New Roman" w:eastAsia="Arial Unicode MS" w:hAnsi="Times New Roman" w:cs="Times New Roman"/>
          <w:bCs/>
          <w:sz w:val="20"/>
          <w:szCs w:val="20"/>
          <w:bdr w:val="none" w:sz="0" w:space="0" w:color="auto" w:frame="1"/>
        </w:rPr>
        <w:t>en una norma jurídica que no fue demandada</w:t>
      </w:r>
      <w:r w:rsidRPr="00585535">
        <w:rPr>
          <w:rFonts w:ascii="Times New Roman" w:hAnsi="Times New Roman" w:cs="Times New Roman"/>
          <w:sz w:val="20"/>
          <w:szCs w:val="20"/>
        </w:rPr>
        <w:t xml:space="preserve"> </w:t>
      </w:r>
      <w:r w:rsidRPr="00585535">
        <w:rPr>
          <w:rFonts w:ascii="Times New Roman" w:eastAsia="Arial Unicode MS" w:hAnsi="Times New Roman" w:cs="Times New Roman"/>
          <w:bCs/>
          <w:sz w:val="20"/>
          <w:szCs w:val="20"/>
          <w:bdr w:val="none" w:sz="0" w:space="0" w:color="auto" w:frame="1"/>
        </w:rPr>
        <w:t>Sentencia C-1154 de 2005, en la cual se señala que se presenta falta de certeza cuando el cargo no se predica del texto acusado,  y Sentencia C-619 de 2015, en la que se indica que la demanda carece de tal requisi</w:t>
      </w:r>
      <w:r w:rsidRPr="00585535">
        <w:rPr>
          <w:rFonts w:ascii="Times New Roman" w:eastAsia="Arial Unicode MS" w:hAnsi="Times New Roman" w:cs="Times New Roman"/>
          <w:bCs/>
          <w:sz w:val="20"/>
          <w:szCs w:val="20"/>
          <w:bdr w:val="none" w:sz="0" w:space="0" w:color="auto" w:frame="1"/>
        </w:rPr>
        <w:t xml:space="preserve">to </w:t>
      </w:r>
      <w:r w:rsidRPr="00585535">
        <w:rPr>
          <w:rFonts w:ascii="Times New Roman" w:hAnsi="Times New Roman" w:cs="Times New Roman"/>
          <w:sz w:val="20"/>
          <w:szCs w:val="20"/>
          <w:shd w:val="clear" w:color="auto" w:fill="FFFFFF"/>
        </w:rPr>
        <w:t>al fundarse en una proposición normativa que no está contenida en la expresión demandada</w:t>
      </w:r>
      <w:r w:rsidRPr="00585535">
        <w:rPr>
          <w:rFonts w:ascii="Times New Roman" w:eastAsia="Arial Unicode MS" w:hAnsi="Times New Roman" w:cs="Times New Roman"/>
          <w:bCs/>
          <w:sz w:val="20"/>
          <w:szCs w:val="20"/>
          <w:bdr w:val="none" w:sz="0" w:space="0" w:color="auto" w:frame="1"/>
        </w:rPr>
        <w:t xml:space="preserve">. </w:t>
      </w:r>
    </w:p>
  </w:footnote>
  <w:footnote w:id="11">
    <w:p w:rsidR="001652B5" w:rsidRPr="00CA162C" w:rsidRDefault="00D00D14" w:rsidP="001652B5">
      <w:pPr>
        <w:spacing w:after="0" w:line="240" w:lineRule="auto"/>
        <w:jc w:val="both"/>
        <w:rPr>
          <w:rFonts w:ascii="Times New Roman" w:hAnsi="Times New Roman" w:cs="Times New Roman"/>
          <w:sz w:val="20"/>
          <w:szCs w:val="20"/>
          <w:shd w:val="clear" w:color="auto" w:fill="FFFFFF"/>
        </w:rPr>
      </w:pPr>
      <w:r w:rsidRPr="00585535">
        <w:rPr>
          <w:rStyle w:val="Refdenotaalpie"/>
          <w:rFonts w:ascii="Times New Roman" w:hAnsi="Times New Roman" w:cs="Times New Roman"/>
          <w:sz w:val="20"/>
          <w:szCs w:val="20"/>
        </w:rPr>
        <w:footnoteRef/>
      </w:r>
      <w:r w:rsidRPr="00585535">
        <w:rPr>
          <w:rFonts w:ascii="Times New Roman" w:hAnsi="Times New Roman" w:cs="Times New Roman"/>
          <w:sz w:val="20"/>
          <w:szCs w:val="20"/>
        </w:rPr>
        <w:t xml:space="preserve"> Corte Constitucional, Sentencia C-555 de 2005, en la cual se afirmó que no se cumplió con el requisito de especificidad porque los </w:t>
      </w:r>
      <w:r w:rsidRPr="00585535">
        <w:rPr>
          <w:rFonts w:ascii="Times New Roman" w:hAnsi="Times New Roman" w:cs="Times New Roman"/>
          <w:sz w:val="20"/>
          <w:szCs w:val="20"/>
          <w:shd w:val="clear" w:color="auto" w:fill="FFFFFF"/>
        </w:rPr>
        <w:t>fundamentos fueron formulados</w:t>
      </w:r>
      <w:r w:rsidRPr="00585535">
        <w:rPr>
          <w:rFonts w:ascii="Times New Roman" w:hAnsi="Times New Roman" w:cs="Times New Roman"/>
          <w:sz w:val="20"/>
          <w:szCs w:val="20"/>
          <w:shd w:val="clear" w:color="auto" w:fill="FFFFFF"/>
        </w:rPr>
        <w:t xml:space="preserve"> a partir de apreciaciones subjetivas o propias del pensamiento e ideología que el actor tiene sobre el alcance de la manipulación genética y su incidencia en la humanidad y Sentencia C-614 de 2013</w:t>
      </w:r>
      <w:r w:rsidRPr="00CA162C">
        <w:rPr>
          <w:rFonts w:ascii="Times New Roman" w:hAnsi="Times New Roman" w:cs="Times New Roman"/>
          <w:sz w:val="20"/>
          <w:szCs w:val="20"/>
          <w:shd w:val="clear" w:color="auto" w:fill="FFFFFF"/>
        </w:rPr>
        <w:t>, en la que se concluyó que no se trataba de razones especí</w:t>
      </w:r>
      <w:r w:rsidRPr="00CA162C">
        <w:rPr>
          <w:rFonts w:ascii="Times New Roman" w:hAnsi="Times New Roman" w:cs="Times New Roman"/>
          <w:sz w:val="20"/>
          <w:szCs w:val="20"/>
          <w:shd w:val="clear" w:color="auto" w:fill="FFFFFF"/>
        </w:rPr>
        <w:t xml:space="preserve">ficas porque la argumentación se limitó a citar algunas sentencias de la Corte acompañadas de motivos de orden legal y de mera conveniencia. </w:t>
      </w:r>
    </w:p>
  </w:footnote>
  <w:footnote w:id="12">
    <w:p w:rsidR="001652B5" w:rsidRPr="00CA162C" w:rsidRDefault="00D00D14" w:rsidP="001652B5">
      <w:pPr>
        <w:shd w:val="clear" w:color="auto" w:fill="FFFFFF"/>
        <w:spacing w:after="0" w:line="240" w:lineRule="auto"/>
        <w:jc w:val="both"/>
        <w:rPr>
          <w:rFonts w:ascii="Times New Roman" w:hAnsi="Times New Roman" w:cs="Times New Roman"/>
          <w:sz w:val="20"/>
          <w:szCs w:val="20"/>
          <w:bdr w:val="none" w:sz="0" w:space="0" w:color="auto" w:frame="1"/>
        </w:rPr>
      </w:pPr>
      <w:r w:rsidRPr="00CA162C">
        <w:rPr>
          <w:rStyle w:val="Refdenotaalpie"/>
          <w:rFonts w:ascii="Times New Roman" w:hAnsi="Times New Roman" w:cs="Times New Roman"/>
          <w:sz w:val="20"/>
          <w:szCs w:val="20"/>
        </w:rPr>
        <w:footnoteRef/>
      </w:r>
      <w:r w:rsidRPr="00CA162C">
        <w:rPr>
          <w:rFonts w:ascii="Times New Roman" w:hAnsi="Times New Roman" w:cs="Times New Roman"/>
          <w:sz w:val="20"/>
          <w:szCs w:val="20"/>
        </w:rPr>
        <w:t xml:space="preserve"> Corte Constitucional, Sentencia C-259 de 2008, en la cual se </w:t>
      </w:r>
      <w:r w:rsidRPr="00CA162C">
        <w:rPr>
          <w:rFonts w:ascii="Times New Roman" w:hAnsi="Times New Roman" w:cs="Times New Roman"/>
          <w:bCs/>
          <w:sz w:val="20"/>
          <w:szCs w:val="20"/>
          <w:bdr w:val="none" w:sz="0" w:space="0" w:color="auto" w:frame="1"/>
        </w:rPr>
        <w:t>señala que la demanda carece de pertinencia por cua</w:t>
      </w:r>
      <w:r w:rsidRPr="00CA162C">
        <w:rPr>
          <w:rFonts w:ascii="Times New Roman" w:hAnsi="Times New Roman" w:cs="Times New Roman"/>
          <w:bCs/>
          <w:sz w:val="20"/>
          <w:szCs w:val="20"/>
          <w:bdr w:val="none" w:sz="0" w:space="0" w:color="auto" w:frame="1"/>
        </w:rPr>
        <w:t xml:space="preserve">nto se funda simplemente en </w:t>
      </w:r>
      <w:r w:rsidRPr="00CA162C">
        <w:rPr>
          <w:rFonts w:ascii="Times New Roman" w:hAnsi="Times New Roman" w:cs="Times New Roman"/>
          <w:iCs/>
          <w:sz w:val="20"/>
          <w:szCs w:val="20"/>
          <w:bdr w:val="none" w:sz="0" w:space="0" w:color="auto" w:frame="1"/>
        </w:rPr>
        <w:t xml:space="preserve">conjeturas relacionadas con los provechos o las ventajas de la norma en cuestión y Sentencia C-229 de 2015, en la que se </w:t>
      </w:r>
      <w:r w:rsidRPr="00CA162C">
        <w:rPr>
          <w:rFonts w:ascii="Times New Roman" w:hAnsi="Times New Roman" w:cs="Times New Roman"/>
          <w:sz w:val="20"/>
          <w:szCs w:val="20"/>
          <w:bdr w:val="none" w:sz="0" w:space="0" w:color="auto" w:frame="1"/>
        </w:rPr>
        <w:t xml:space="preserve">consideró que la acción pública de inconstitucionalidad en razón de su objeto, no es un mecanismo </w:t>
      </w:r>
      <w:r w:rsidRPr="00CA162C">
        <w:rPr>
          <w:rFonts w:ascii="Times New Roman" w:hAnsi="Times New Roman" w:cs="Times New Roman"/>
          <w:sz w:val="20"/>
          <w:szCs w:val="20"/>
          <w:bdr w:val="none" w:sz="0" w:space="0" w:color="auto" w:frame="1"/>
        </w:rPr>
        <w:t>encaminado a resolver situaciones particulares, ni a revivir disposiciones que resulten deseables para quien formula una demanda.</w:t>
      </w:r>
    </w:p>
  </w:footnote>
  <w:footnote w:id="13">
    <w:p w:rsidR="001652B5" w:rsidRPr="00CA162C" w:rsidRDefault="00D00D14" w:rsidP="001652B5">
      <w:pPr>
        <w:pStyle w:val="Textonotapie"/>
        <w:jc w:val="both"/>
        <w:rPr>
          <w:rFonts w:ascii="Times New Roman" w:hAnsi="Times New Roman" w:cs="Times New Roman"/>
        </w:rPr>
      </w:pPr>
      <w:r w:rsidRPr="00CA162C">
        <w:rPr>
          <w:rStyle w:val="Refdenotaalpie"/>
          <w:rFonts w:ascii="Times New Roman" w:hAnsi="Times New Roman" w:cs="Times New Roman"/>
        </w:rPr>
        <w:footnoteRef/>
      </w:r>
      <w:r w:rsidRPr="00CA162C">
        <w:rPr>
          <w:rFonts w:ascii="Times New Roman" w:hAnsi="Times New Roman" w:cs="Times New Roman"/>
        </w:rPr>
        <w:t xml:space="preserve"> Corte Constitucional,  Sentencia C-048 de 2006, en la que esta Corporación señaló que las razones expuestas en la demanda no</w:t>
      </w:r>
      <w:r w:rsidRPr="00CA162C">
        <w:rPr>
          <w:rFonts w:ascii="Times New Roman" w:hAnsi="Times New Roman" w:cs="Times New Roman"/>
        </w:rPr>
        <w:t xml:space="preserve"> eran suficientes al no haberse estructurado una argumentación completa que explicara con todos los elementos necesarios, por qué la norma acusada es contraria al precepto constitucional supuestamente vulnerado, y  Sentencia C-819 de 2011, en la cual se af</w:t>
      </w:r>
      <w:r w:rsidRPr="00CA162C">
        <w:rPr>
          <w:rFonts w:ascii="Times New Roman" w:hAnsi="Times New Roman" w:cs="Times New Roman"/>
        </w:rPr>
        <w:t>irmó que la acusación carecía de suficiencia al no contener los elementos fácticos necesarios para generar una sospecha o duda mínima sobre la constitucionalidad del precepto impugnado.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30415"/>
    <w:multiLevelType w:val="multilevel"/>
    <w:tmpl w:val="BF0A5CCC"/>
    <w:lvl w:ilvl="0">
      <w:start w:val="1"/>
      <w:numFmt w:val="decimal"/>
      <w:lvlText w:val="%1."/>
      <w:lvlJc w:val="left"/>
      <w:pPr>
        <w:ind w:left="720" w:hanging="360"/>
      </w:pPr>
      <w:rPr>
        <w:rFonts w:hint="default"/>
        <w:b/>
        <w:bCs/>
        <w:sz w:val="28"/>
        <w:szCs w:val="28"/>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FE717D2"/>
    <w:multiLevelType w:val="hybridMultilevel"/>
    <w:tmpl w:val="3E92F6F0"/>
    <w:lvl w:ilvl="0" w:tplc="FA6CB5B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F8104A4"/>
    <w:multiLevelType w:val="multilevel"/>
    <w:tmpl w:val="0626409C"/>
    <w:lvl w:ilvl="0">
      <w:start w:val="1"/>
      <w:numFmt w:val="decimal"/>
      <w:lvlText w:val="%1."/>
      <w:lvlJc w:val="left"/>
      <w:pPr>
        <w:tabs>
          <w:tab w:val="num" w:pos="3368"/>
        </w:tabs>
        <w:ind w:left="3368" w:hanging="390"/>
      </w:pPr>
      <w:rPr>
        <w:rFonts w:ascii="Times New Roman" w:hAnsi="Times New Roman" w:cs="Times New Roman" w:hint="default"/>
        <w:b w:val="0"/>
        <w:bCs w:val="0"/>
        <w:i w:val="0"/>
        <w:sz w:val="28"/>
        <w:szCs w:val="28"/>
      </w:rPr>
    </w:lvl>
    <w:lvl w:ilvl="1">
      <w:start w:val="1"/>
      <w:numFmt w:val="decimal"/>
      <w:isLgl/>
      <w:lvlText w:val="%1.%2."/>
      <w:lvlJc w:val="left"/>
      <w:pPr>
        <w:tabs>
          <w:tab w:val="num" w:pos="720"/>
        </w:tabs>
        <w:ind w:left="720" w:hanging="720"/>
      </w:pPr>
      <w:rPr>
        <w:rFonts w:hint="default"/>
        <w:b w:val="0"/>
        <w:i w:val="0"/>
        <w:sz w:val="28"/>
        <w:szCs w:val="28"/>
        <w:vertAlign w:val="baseline"/>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1440"/>
        </w:tabs>
        <w:ind w:left="1440" w:hanging="1080"/>
      </w:pPr>
      <w:rPr>
        <w:rFonts w:hint="default"/>
        <w:b/>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15:restartNumberingAfterBreak="0">
    <w:nsid w:val="61845F5C"/>
    <w:multiLevelType w:val="hybridMultilevel"/>
    <w:tmpl w:val="9684DE74"/>
    <w:lvl w:ilvl="0" w:tplc="8FC8777C">
      <w:start w:val="1"/>
      <w:numFmt w:val="upperRoman"/>
      <w:lvlText w:val="%1."/>
      <w:lvlJc w:val="left"/>
      <w:pPr>
        <w:ind w:left="1080" w:hanging="720"/>
      </w:pPr>
      <w:rPr>
        <w:rFont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8534B4"/>
    <w:rsid w:val="008534B4"/>
    <w:rsid w:val="00CA5D96"/>
    <w:rsid w:val="00D00D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B45674B1-DC16-41C7-AE00-D877CC217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link w:val="Ttulo2Car"/>
    <w:uiPriority w:val="9"/>
    <w:semiHidden/>
    <w:unhideWhenUsed/>
    <w:qFormat/>
    <w:rsid w:val="00E949D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link w:val="Ttulo3Car"/>
    <w:uiPriority w:val="9"/>
    <w:semiHidden/>
    <w:unhideWhenUsed/>
    <w:qFormat/>
    <w:rsid w:val="00E949D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F4D0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F4D0B"/>
    <w:rPr>
      <w:lang w:val="es-ES"/>
    </w:rPr>
  </w:style>
  <w:style w:type="paragraph" w:styleId="Textonotapie">
    <w:name w:val="footnote text"/>
    <w:aliases w:val="Footnote Text Char Char Char Char Char,Footnote Text Char Char Char Char,Ref. de nota al pie1,FA Fu,texto de nota al pie,Footnote Text Char,Footnote Text Char Char Char Char Char Char Char Char,Footnote Text Char Char Char"/>
    <w:basedOn w:val="Normal"/>
    <w:link w:val="TextonotapieCar"/>
    <w:uiPriority w:val="99"/>
    <w:unhideWhenUsed/>
    <w:rsid w:val="008F4D0B"/>
    <w:pPr>
      <w:spacing w:after="0" w:line="240" w:lineRule="auto"/>
    </w:pPr>
    <w:rPr>
      <w:sz w:val="20"/>
      <w:szCs w:val="20"/>
    </w:rPr>
  </w:style>
  <w:style w:type="character" w:customStyle="1" w:styleId="TextonotapieCar">
    <w:name w:val="Texto nota pie Car"/>
    <w:aliases w:val="Footnote Text Char Char Char Char Char Car,Footnote Text Char Char Char Char Car,Ref. de nota al pie1 Car,FA Fu Car,texto de nota al pie Car,Footnote Text Char Car,Footnote Text Char Char Char Char Char Char Char Char Car"/>
    <w:basedOn w:val="Fuentedeprrafopredeter"/>
    <w:link w:val="Textonotapie"/>
    <w:uiPriority w:val="99"/>
    <w:rsid w:val="008F4D0B"/>
    <w:rPr>
      <w:sz w:val="20"/>
      <w:szCs w:val="20"/>
    </w:rPr>
  </w:style>
  <w:style w:type="character" w:styleId="Nmerodepgina">
    <w:name w:val="page number"/>
    <w:basedOn w:val="Fuentedeprrafopredeter"/>
    <w:rsid w:val="008F4D0B"/>
  </w:style>
  <w:style w:type="character" w:styleId="Refdenotaalpie">
    <w:name w:val="footnote reference"/>
    <w:aliases w:val="Footnotes refss,Texto de nota al pie,referencia nota al pie,Ref,de nota al pie,Ref1,Appel note de bas de page,Footnote number,BVI fnr,f,Ref. de nota al pie 2,Fago Fußnotenzeichen,Nota de pie,Texto nota al pie,Texto nota pie Car Car"/>
    <w:uiPriority w:val="99"/>
    <w:rsid w:val="008F4D0B"/>
    <w:rPr>
      <w:vertAlign w:val="superscript"/>
    </w:rPr>
  </w:style>
  <w:style w:type="paragraph" w:styleId="Prrafodelista">
    <w:name w:val="List Paragraph"/>
    <w:aliases w:val="Colorful List - Accent 11,List Paragraph1,Ha,lp1,Lista vistosa - Énfasis 11,List Paragraph2,List1,titulo 3,Bullets,Párrafo de lista2,Cuadrícula clara - Énfasis 31,Dot pt,F5 List Paragraph,No Spacing1,párrafo numerado,Normal1,normal,BOL"/>
    <w:basedOn w:val="Normal"/>
    <w:link w:val="PrrafodelistaCar"/>
    <w:uiPriority w:val="34"/>
    <w:qFormat/>
    <w:rsid w:val="008F4D0B"/>
    <w:pPr>
      <w:ind w:left="720"/>
      <w:contextualSpacing/>
    </w:pPr>
  </w:style>
  <w:style w:type="paragraph" w:styleId="NormalWeb">
    <w:name w:val="Normal (Web)"/>
    <w:basedOn w:val="Normal"/>
    <w:uiPriority w:val="99"/>
    <w:semiHidden/>
    <w:unhideWhenUsed/>
    <w:rsid w:val="00D96E6F"/>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ario">
    <w:name w:val="annotation reference"/>
    <w:basedOn w:val="Fuentedeprrafopredeter"/>
    <w:uiPriority w:val="99"/>
    <w:semiHidden/>
    <w:unhideWhenUsed/>
    <w:rsid w:val="003351A3"/>
    <w:rPr>
      <w:sz w:val="16"/>
      <w:szCs w:val="16"/>
    </w:rPr>
  </w:style>
  <w:style w:type="paragraph" w:styleId="Textocomentario">
    <w:name w:val="annotation text"/>
    <w:basedOn w:val="Normal"/>
    <w:link w:val="TextocomentarioCar"/>
    <w:uiPriority w:val="99"/>
    <w:semiHidden/>
    <w:unhideWhenUsed/>
    <w:rsid w:val="003351A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51A3"/>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3351A3"/>
    <w:rPr>
      <w:b/>
      <w:bCs/>
    </w:rPr>
  </w:style>
  <w:style w:type="character" w:customStyle="1" w:styleId="AsuntodelcomentarioCar">
    <w:name w:val="Asunto del comentario Car"/>
    <w:basedOn w:val="TextocomentarioCar"/>
    <w:link w:val="Asuntodelcomentario"/>
    <w:uiPriority w:val="99"/>
    <w:semiHidden/>
    <w:rsid w:val="003351A3"/>
    <w:rPr>
      <w:b/>
      <w:bCs/>
      <w:sz w:val="20"/>
      <w:szCs w:val="20"/>
      <w:lang w:val="es-ES"/>
    </w:rPr>
  </w:style>
  <w:style w:type="paragraph" w:styleId="Piedepgina">
    <w:name w:val="footer"/>
    <w:basedOn w:val="Normal"/>
    <w:link w:val="PiedepginaCar"/>
    <w:uiPriority w:val="99"/>
    <w:unhideWhenUsed/>
    <w:rsid w:val="001A798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A798E"/>
    <w:rPr>
      <w:lang w:val="es-ES"/>
    </w:rPr>
  </w:style>
  <w:style w:type="character" w:customStyle="1" w:styleId="PrrafodelistaCar">
    <w:name w:val="Párrafo de lista Car"/>
    <w:aliases w:val="Colorful List - Accent 11 Car,List Paragraph1 Car,Ha Car,lp1 Car,Lista vistosa - Énfasis 11 Car,List Paragraph2 Car,List1 Car,titulo 3 Car,Bullets Car,Párrafo de lista2 Car,Cuadrícula clara - Énfasis 31 Car,Dot pt Car,Normal1 Car"/>
    <w:link w:val="Prrafodelista"/>
    <w:uiPriority w:val="34"/>
    <w:qFormat/>
    <w:locked/>
    <w:rsid w:val="00045AF1"/>
    <w:rPr>
      <w:lang w:val="es-ES"/>
    </w:rPr>
  </w:style>
  <w:style w:type="character" w:customStyle="1" w:styleId="Ttulo2Car">
    <w:name w:val="Título 2 Car"/>
    <w:basedOn w:val="Fuentedeprrafopredeter"/>
    <w:link w:val="Ttulo2"/>
    <w:uiPriority w:val="9"/>
    <w:rsid w:val="00E949D1"/>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E949D1"/>
    <w:rPr>
      <w:rFonts w:ascii="Times New Roman" w:eastAsia="Times New Roman" w:hAnsi="Times New Roman" w:cs="Times New Roman"/>
      <w:b/>
      <w:bCs/>
      <w:sz w:val="27"/>
      <w:szCs w:val="27"/>
      <w:lang w:eastAsia="es-CO"/>
    </w:rPr>
  </w:style>
  <w:style w:type="character" w:styleId="nfasis">
    <w:name w:val="Emphasis"/>
    <w:basedOn w:val="Fuentedeprrafopredeter"/>
    <w:uiPriority w:val="20"/>
    <w:qFormat/>
    <w:rsid w:val="00E949D1"/>
    <w:rPr>
      <w:i/>
      <w:iCs/>
    </w:rPr>
  </w:style>
  <w:style w:type="character" w:styleId="Textoennegrita">
    <w:name w:val="Strong"/>
    <w:basedOn w:val="Fuentedeprrafopredeter"/>
    <w:uiPriority w:val="22"/>
    <w:qFormat/>
    <w:rsid w:val="00E949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9706</Words>
  <Characters>53389</Characters>
  <Application>Microsoft Office Word</Application>
  <DocSecurity>0</DocSecurity>
  <Lines>444</Lines>
  <Paragraphs>125</Paragraphs>
  <ScaleCrop>false</ScaleCrop>
  <Company/>
  <LinksUpToDate>false</LinksUpToDate>
  <CharactersWithSpaces>62970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2026-05-19T20:24:00Z</dcterms:created>
  <dcterms:modified xsi:type="dcterms:W3CDTF">2026-05-19T20:24:00Z</dcterms:modified>
</cp:coreProperties>
</file>