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DD06C" w14:textId="2DDCC8DE" w:rsidR="005C25A7" w:rsidRPr="00746ACE" w:rsidRDefault="005C25A7" w:rsidP="00FB16A4">
      <w:pPr>
        <w:pStyle w:val="Encabezado"/>
        <w:widowControl w:val="0"/>
        <w:jc w:val="center"/>
        <w:rPr>
          <w:b/>
          <w:lang w:val="pt-BR"/>
        </w:rPr>
      </w:pPr>
      <w:bookmarkStart w:id="0" w:name="_GoBack"/>
      <w:bookmarkEnd w:id="0"/>
      <w:r w:rsidRPr="00746ACE">
        <w:rPr>
          <w:b/>
          <w:lang w:val="pt-BR"/>
        </w:rPr>
        <w:t>REPÚBLICA DE COLOMBIA</w:t>
      </w:r>
    </w:p>
    <w:p w14:paraId="37219F12" w14:textId="1CCF1064" w:rsidR="005C25A7" w:rsidRPr="00746ACE" w:rsidRDefault="00FB16A4" w:rsidP="00FB16A4">
      <w:pPr>
        <w:pStyle w:val="Encabezado"/>
        <w:widowControl w:val="0"/>
        <w:jc w:val="center"/>
        <w:rPr>
          <w:b/>
          <w:lang w:val="pt-BR"/>
        </w:rPr>
      </w:pPr>
      <w:r w:rsidRPr="00746ACE">
        <w:rPr>
          <w:b/>
          <w:noProof/>
          <w:lang w:val="pt-BR"/>
        </w:rPr>
        <w:drawing>
          <wp:inline distT="0" distB="0" distL="0" distR="0" wp14:anchorId="6468E70B" wp14:editId="22C93A52">
            <wp:extent cx="926465" cy="926465"/>
            <wp:effectExtent l="0" t="0" r="6985"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26465" cy="926465"/>
                    </a:xfrm>
                    <a:prstGeom prst="rect">
                      <a:avLst/>
                    </a:prstGeom>
                    <a:noFill/>
                  </pic:spPr>
                </pic:pic>
              </a:graphicData>
            </a:graphic>
          </wp:inline>
        </w:drawing>
      </w:r>
    </w:p>
    <w:p w14:paraId="11BF881D" w14:textId="77777777" w:rsidR="005C25A7" w:rsidRPr="00746ACE" w:rsidRDefault="005C25A7" w:rsidP="00FB16A4">
      <w:pPr>
        <w:pStyle w:val="Encabezado"/>
        <w:widowControl w:val="0"/>
        <w:jc w:val="center"/>
        <w:rPr>
          <w:b/>
          <w:lang w:val="pt-BR"/>
        </w:rPr>
      </w:pPr>
      <w:r w:rsidRPr="00746ACE">
        <w:rPr>
          <w:b/>
          <w:lang w:val="pt-BR"/>
        </w:rPr>
        <w:t>CORTE CONSTITUCIONAL</w:t>
      </w:r>
    </w:p>
    <w:p w14:paraId="7BD57774" w14:textId="65DF38A4" w:rsidR="005C25A7" w:rsidRPr="00746ACE" w:rsidRDefault="005C25A7" w:rsidP="00E54557">
      <w:pPr>
        <w:pStyle w:val="Encabezado"/>
        <w:widowControl w:val="0"/>
        <w:jc w:val="center"/>
        <w:rPr>
          <w:b/>
          <w:lang w:val="pt-BR"/>
        </w:rPr>
      </w:pPr>
      <w:r w:rsidRPr="00746ACE">
        <w:rPr>
          <w:b/>
          <w:lang w:val="pt-BR"/>
        </w:rPr>
        <w:t>Sala Plena</w:t>
      </w:r>
    </w:p>
    <w:p w14:paraId="4754A2D0" w14:textId="77777777" w:rsidR="005C25A7" w:rsidRPr="00746ACE" w:rsidRDefault="005C25A7" w:rsidP="00E54557">
      <w:pPr>
        <w:widowControl w:val="0"/>
        <w:autoSpaceDE w:val="0"/>
        <w:autoSpaceDN w:val="0"/>
        <w:ind w:right="51"/>
        <w:contextualSpacing/>
        <w:jc w:val="center"/>
        <w:rPr>
          <w:rFonts w:eastAsia="SimSun"/>
          <w:b/>
          <w:kern w:val="28"/>
          <w:lang w:val="pt-BR" w:eastAsia="es-ES"/>
        </w:rPr>
      </w:pPr>
    </w:p>
    <w:p w14:paraId="28A90697" w14:textId="449DE549" w:rsidR="00C63F00" w:rsidRPr="00746ACE" w:rsidRDefault="43EACFDE" w:rsidP="00E54557">
      <w:pPr>
        <w:widowControl w:val="0"/>
        <w:autoSpaceDE w:val="0"/>
        <w:autoSpaceDN w:val="0"/>
        <w:ind w:right="51"/>
        <w:contextualSpacing/>
        <w:jc w:val="center"/>
        <w:rPr>
          <w:rFonts w:eastAsia="SimSun"/>
          <w:b/>
          <w:kern w:val="28"/>
          <w:lang w:eastAsia="es-ES"/>
        </w:rPr>
      </w:pPr>
      <w:r w:rsidRPr="00746ACE">
        <w:rPr>
          <w:rFonts w:eastAsia="SimSun"/>
          <w:b/>
          <w:lang w:eastAsia="es-ES"/>
        </w:rPr>
        <w:t>SENTENCIA</w:t>
      </w:r>
      <w:r w:rsidR="000E26C3" w:rsidRPr="00746ACE">
        <w:rPr>
          <w:rFonts w:eastAsia="SimSun"/>
          <w:b/>
          <w:kern w:val="28"/>
          <w:lang w:eastAsia="es-ES"/>
        </w:rPr>
        <w:t>C-073</w:t>
      </w:r>
      <w:r w:rsidR="009D12D4" w:rsidRPr="00746ACE">
        <w:rPr>
          <w:rFonts w:eastAsia="SimSun"/>
          <w:b/>
          <w:kern w:val="28"/>
          <w:lang w:eastAsia="es-ES"/>
        </w:rPr>
        <w:t xml:space="preserve"> </w:t>
      </w:r>
      <w:r w:rsidR="005709A6" w:rsidRPr="00746ACE">
        <w:rPr>
          <w:rFonts w:eastAsia="SimSun"/>
          <w:b/>
          <w:kern w:val="28"/>
          <w:lang w:eastAsia="es-ES"/>
        </w:rPr>
        <w:t>DE 202</w:t>
      </w:r>
      <w:r w:rsidR="00C63F00" w:rsidRPr="00746ACE">
        <w:rPr>
          <w:rFonts w:eastAsia="SimSun"/>
          <w:b/>
          <w:kern w:val="28"/>
          <w:lang w:eastAsia="es-ES"/>
        </w:rPr>
        <w:t>6</w:t>
      </w:r>
    </w:p>
    <w:p w14:paraId="5E2A40FC" w14:textId="77777777" w:rsidR="005C25A7" w:rsidRPr="00746ACE" w:rsidRDefault="005C25A7" w:rsidP="00FC0DFB">
      <w:pPr>
        <w:widowControl w:val="0"/>
        <w:ind w:left="3969" w:right="51"/>
        <w:rPr>
          <w:lang w:eastAsia="es-ES"/>
        </w:rPr>
      </w:pPr>
    </w:p>
    <w:p w14:paraId="160BED20" w14:textId="0466B56B" w:rsidR="005C25A7" w:rsidRPr="00746ACE" w:rsidRDefault="00E56998" w:rsidP="00FC0DFB">
      <w:pPr>
        <w:widowControl w:val="0"/>
        <w:ind w:left="4253" w:right="51"/>
        <w:rPr>
          <w:lang w:eastAsia="es-ES"/>
        </w:rPr>
      </w:pPr>
      <w:r w:rsidRPr="00746ACE">
        <w:rPr>
          <w:b/>
          <w:lang w:eastAsia="es-ES"/>
        </w:rPr>
        <w:t>Referencia</w:t>
      </w:r>
      <w:r w:rsidRPr="00746ACE">
        <w:rPr>
          <w:lang w:eastAsia="es-ES"/>
        </w:rPr>
        <w:t>: e</w:t>
      </w:r>
      <w:r w:rsidR="005C25A7" w:rsidRPr="00746ACE">
        <w:rPr>
          <w:lang w:eastAsia="es-ES"/>
        </w:rPr>
        <w:t xml:space="preserve">xpediente </w:t>
      </w:r>
      <w:r w:rsidR="00EB69BD" w:rsidRPr="00746ACE">
        <w:rPr>
          <w:lang w:eastAsia="es-ES"/>
        </w:rPr>
        <w:t>D-</w:t>
      </w:r>
      <w:r w:rsidR="00B763C6" w:rsidRPr="00746ACE">
        <w:rPr>
          <w:lang w:eastAsia="es-ES"/>
        </w:rPr>
        <w:t>16</w:t>
      </w:r>
      <w:r w:rsidR="009B6B85" w:rsidRPr="00746ACE">
        <w:rPr>
          <w:lang w:eastAsia="es-ES"/>
        </w:rPr>
        <w:t>414</w:t>
      </w:r>
    </w:p>
    <w:p w14:paraId="6294957A" w14:textId="77777777" w:rsidR="005C25A7" w:rsidRPr="00746ACE" w:rsidRDefault="005C25A7" w:rsidP="00FC0DFB">
      <w:pPr>
        <w:widowControl w:val="0"/>
        <w:ind w:left="4253" w:right="51"/>
        <w:rPr>
          <w:lang w:eastAsia="es-ES"/>
        </w:rPr>
      </w:pPr>
    </w:p>
    <w:p w14:paraId="793753A4" w14:textId="369B78B2" w:rsidR="005C25A7" w:rsidRPr="00746ACE" w:rsidRDefault="00B763C6" w:rsidP="00FC0DFB">
      <w:pPr>
        <w:widowControl w:val="0"/>
        <w:ind w:left="4253"/>
        <w:rPr>
          <w:lang w:eastAsia="es-ES"/>
        </w:rPr>
      </w:pPr>
      <w:r w:rsidRPr="00746ACE">
        <w:rPr>
          <w:lang w:eastAsia="es-ES"/>
        </w:rPr>
        <w:t xml:space="preserve">Demanda de inconstitucionalidad contra </w:t>
      </w:r>
      <w:r w:rsidR="00754652" w:rsidRPr="00746ACE">
        <w:rPr>
          <w:lang w:eastAsia="es-ES"/>
        </w:rPr>
        <w:t xml:space="preserve">la Sentencia Interpretativa 5 </w:t>
      </w:r>
      <w:r w:rsidR="00CB4E59" w:rsidRPr="00746ACE">
        <w:rPr>
          <w:lang w:eastAsia="es-ES"/>
        </w:rPr>
        <w:t>de 2023</w:t>
      </w:r>
      <w:r w:rsidR="00754652" w:rsidRPr="00746ACE">
        <w:rPr>
          <w:lang w:eastAsia="es-ES"/>
        </w:rPr>
        <w:t xml:space="preserve"> de la Sección de Apelación de</w:t>
      </w:r>
      <w:r w:rsidR="00C92970" w:rsidRPr="00746ACE">
        <w:rPr>
          <w:lang w:eastAsia="es-ES"/>
        </w:rPr>
        <w:t>l Tribunal</w:t>
      </w:r>
      <w:r w:rsidR="00754652" w:rsidRPr="00746ACE">
        <w:rPr>
          <w:lang w:eastAsia="es-ES"/>
        </w:rPr>
        <w:t xml:space="preserve"> para la Paz</w:t>
      </w:r>
      <w:r w:rsidRPr="00746ACE">
        <w:rPr>
          <w:lang w:eastAsia="es-ES"/>
        </w:rPr>
        <w:t>.</w:t>
      </w:r>
    </w:p>
    <w:p w14:paraId="70C3A2A4" w14:textId="77777777" w:rsidR="00EB69BD" w:rsidRPr="00746ACE" w:rsidRDefault="00EB69BD" w:rsidP="00FC0DFB">
      <w:pPr>
        <w:widowControl w:val="0"/>
        <w:ind w:left="4253"/>
        <w:rPr>
          <w:lang w:eastAsia="es-ES"/>
        </w:rPr>
      </w:pPr>
    </w:p>
    <w:p w14:paraId="5F8A1DFD" w14:textId="748BB890" w:rsidR="00EB69BD" w:rsidRPr="00746ACE" w:rsidRDefault="00EB69BD" w:rsidP="00FC0DFB">
      <w:pPr>
        <w:widowControl w:val="0"/>
        <w:ind w:left="4253"/>
      </w:pPr>
      <w:r w:rsidRPr="00746ACE">
        <w:rPr>
          <w:b/>
          <w:lang w:eastAsia="es-ES"/>
        </w:rPr>
        <w:t>Demandantes</w:t>
      </w:r>
      <w:r w:rsidRPr="00746ACE">
        <w:rPr>
          <w:lang w:eastAsia="es-ES"/>
        </w:rPr>
        <w:t xml:space="preserve">: </w:t>
      </w:r>
      <w:r w:rsidR="00754652" w:rsidRPr="00746ACE">
        <w:t>Humberto de la Calle Lombana y Sergio Jaramill</w:t>
      </w:r>
      <w:r w:rsidR="00044838" w:rsidRPr="00746ACE">
        <w:t>o Caro</w:t>
      </w:r>
      <w:r w:rsidR="00257589" w:rsidRPr="00746ACE">
        <w:t>.</w:t>
      </w:r>
    </w:p>
    <w:p w14:paraId="5A90B11D" w14:textId="77777777" w:rsidR="005C25A7" w:rsidRPr="00746ACE" w:rsidRDefault="005C25A7" w:rsidP="00FC0DFB">
      <w:pPr>
        <w:widowControl w:val="0"/>
        <w:ind w:left="4253" w:right="51"/>
        <w:rPr>
          <w:lang w:eastAsia="es-ES"/>
        </w:rPr>
      </w:pPr>
    </w:p>
    <w:p w14:paraId="32DD8B48" w14:textId="6A280D02" w:rsidR="005C25A7" w:rsidRPr="00746ACE" w:rsidRDefault="005C25A7" w:rsidP="00FC0DFB">
      <w:pPr>
        <w:widowControl w:val="0"/>
        <w:ind w:left="4253"/>
        <w:rPr>
          <w:lang w:val="pt-BR" w:eastAsia="es-ES"/>
        </w:rPr>
      </w:pPr>
      <w:r w:rsidRPr="00746ACE">
        <w:rPr>
          <w:b/>
          <w:lang w:val="pt-BR" w:eastAsia="es-ES"/>
        </w:rPr>
        <w:t>Magistrad</w:t>
      </w:r>
      <w:r w:rsidR="00660358" w:rsidRPr="00746ACE">
        <w:rPr>
          <w:b/>
          <w:lang w:val="pt-BR" w:eastAsia="es-ES"/>
        </w:rPr>
        <w:t>a</w:t>
      </w:r>
      <w:r w:rsidRPr="00746ACE">
        <w:rPr>
          <w:b/>
          <w:lang w:val="pt-BR" w:eastAsia="es-ES"/>
        </w:rPr>
        <w:t xml:space="preserve"> </w:t>
      </w:r>
      <w:r w:rsidR="00F04481" w:rsidRPr="00746ACE">
        <w:rPr>
          <w:b/>
          <w:lang w:val="pt-BR" w:eastAsia="es-ES"/>
        </w:rPr>
        <w:t>ponente</w:t>
      </w:r>
      <w:r w:rsidRPr="00746ACE">
        <w:rPr>
          <w:lang w:val="pt-BR" w:eastAsia="es-ES"/>
        </w:rPr>
        <w:t xml:space="preserve">: </w:t>
      </w:r>
    </w:p>
    <w:p w14:paraId="28BD6B9F" w14:textId="348E5BE0" w:rsidR="005C25A7" w:rsidRPr="00746ACE" w:rsidRDefault="00660358" w:rsidP="00FC0DFB">
      <w:pPr>
        <w:widowControl w:val="0"/>
        <w:ind w:left="4253"/>
        <w:rPr>
          <w:lang w:val="pt-BR" w:eastAsia="es-ES"/>
        </w:rPr>
      </w:pPr>
      <w:r w:rsidRPr="00746ACE">
        <w:rPr>
          <w:lang w:val="pt-BR" w:eastAsia="es-ES"/>
        </w:rPr>
        <w:t>Natalia Ángel Cabo</w:t>
      </w:r>
      <w:r w:rsidR="00636D99" w:rsidRPr="00746ACE">
        <w:rPr>
          <w:lang w:val="pt-BR" w:eastAsia="es-ES"/>
        </w:rPr>
        <w:t>.</w:t>
      </w:r>
    </w:p>
    <w:p w14:paraId="05D6821D" w14:textId="77777777" w:rsidR="005C25A7" w:rsidRPr="00746ACE" w:rsidRDefault="005C25A7" w:rsidP="00FC0DFB">
      <w:pPr>
        <w:widowControl w:val="0"/>
        <w:rPr>
          <w:lang w:val="es-MX" w:eastAsia="es-ES"/>
        </w:rPr>
      </w:pPr>
    </w:p>
    <w:p w14:paraId="114A53BA" w14:textId="1440A939" w:rsidR="005C25A7" w:rsidRPr="00746ACE" w:rsidRDefault="005C25A7" w:rsidP="00FC0DFB">
      <w:pPr>
        <w:widowControl w:val="0"/>
        <w:autoSpaceDE w:val="0"/>
        <w:autoSpaceDN w:val="0"/>
        <w:adjustRightInd w:val="0"/>
        <w:rPr>
          <w:lang w:val="es-419"/>
        </w:rPr>
      </w:pPr>
      <w:r w:rsidRPr="00746ACE">
        <w:rPr>
          <w:lang w:val="es-419"/>
        </w:rPr>
        <w:t xml:space="preserve">Bogotá, D.C., </w:t>
      </w:r>
      <w:r w:rsidR="000E26C3" w:rsidRPr="00746ACE">
        <w:rPr>
          <w:lang w:val="es-419"/>
        </w:rPr>
        <w:t xml:space="preserve">nueve </w:t>
      </w:r>
      <w:r w:rsidR="008C500E" w:rsidRPr="00746ACE">
        <w:rPr>
          <w:lang w:val="es-419"/>
        </w:rPr>
        <w:t>(</w:t>
      </w:r>
      <w:r w:rsidR="000E26C3" w:rsidRPr="00746ACE">
        <w:rPr>
          <w:lang w:val="es-419"/>
        </w:rPr>
        <w:t>9</w:t>
      </w:r>
      <w:r w:rsidR="008C500E" w:rsidRPr="00746ACE">
        <w:rPr>
          <w:lang w:val="es-419"/>
        </w:rPr>
        <w:t xml:space="preserve">) </w:t>
      </w:r>
      <w:r w:rsidR="00D14A6C" w:rsidRPr="00746ACE">
        <w:rPr>
          <w:lang w:val="es-419"/>
        </w:rPr>
        <w:t xml:space="preserve">de </w:t>
      </w:r>
      <w:r w:rsidR="000E26C3" w:rsidRPr="00746ACE">
        <w:rPr>
          <w:lang w:val="es-419"/>
        </w:rPr>
        <w:t>abril</w:t>
      </w:r>
      <w:r w:rsidR="00016F60" w:rsidRPr="00746ACE">
        <w:rPr>
          <w:lang w:val="es-419"/>
        </w:rPr>
        <w:t xml:space="preserve"> </w:t>
      </w:r>
      <w:r w:rsidRPr="00746ACE">
        <w:rPr>
          <w:lang w:val="es-419"/>
        </w:rPr>
        <w:t>de dos mil veinti</w:t>
      </w:r>
      <w:r w:rsidR="00016F60" w:rsidRPr="00746ACE">
        <w:rPr>
          <w:lang w:val="es-419"/>
        </w:rPr>
        <w:t xml:space="preserve">séis </w:t>
      </w:r>
      <w:r w:rsidRPr="00746ACE">
        <w:rPr>
          <w:lang w:val="es-419"/>
        </w:rPr>
        <w:t>(202</w:t>
      </w:r>
      <w:r w:rsidR="00016F60" w:rsidRPr="00746ACE">
        <w:rPr>
          <w:lang w:val="es-419"/>
        </w:rPr>
        <w:t>6</w:t>
      </w:r>
      <w:r w:rsidRPr="00746ACE">
        <w:rPr>
          <w:lang w:val="es-419"/>
        </w:rPr>
        <w:t>)</w:t>
      </w:r>
      <w:r w:rsidR="001C4A1E" w:rsidRPr="00746ACE">
        <w:rPr>
          <w:lang w:val="es-419"/>
        </w:rPr>
        <w:t>.</w:t>
      </w:r>
    </w:p>
    <w:p w14:paraId="15116B81" w14:textId="77777777" w:rsidR="00E87BFD" w:rsidRPr="00746ACE" w:rsidRDefault="00E87BFD" w:rsidP="00FC0DFB">
      <w:pPr>
        <w:widowControl w:val="0"/>
        <w:rPr>
          <w:lang w:val="es-419"/>
        </w:rPr>
      </w:pPr>
    </w:p>
    <w:p w14:paraId="202E33CF" w14:textId="03EA8523" w:rsidR="008B6826" w:rsidRPr="00746ACE" w:rsidRDefault="008B6826" w:rsidP="00FC0DFB">
      <w:pPr>
        <w:widowControl w:val="0"/>
        <w:shd w:val="clear" w:color="auto" w:fill="FFFFFF"/>
        <w:textAlignment w:val="baseline"/>
        <w:rPr>
          <w:lang w:eastAsia="es-MX"/>
        </w:rPr>
      </w:pPr>
      <w:r w:rsidRPr="00746ACE">
        <w:rPr>
          <w:lang w:eastAsia="es-MX"/>
        </w:rPr>
        <w:t>La Sala Plena de la Corte Constitucional, en ejercicio de sus competencias constitucionales y legales, específicamente las previstas en el artículo 241 de la Constitución y el Decreto Ley 2067 de 1991, profiere la siguiente:</w:t>
      </w:r>
    </w:p>
    <w:p w14:paraId="5BCBB1E3" w14:textId="77777777" w:rsidR="00016F60" w:rsidRPr="00746ACE" w:rsidRDefault="00016F60" w:rsidP="00FC0DFB">
      <w:pPr>
        <w:widowControl w:val="0"/>
        <w:shd w:val="clear" w:color="auto" w:fill="FFFFFF"/>
        <w:textAlignment w:val="baseline"/>
        <w:rPr>
          <w:lang w:eastAsia="es-MX"/>
        </w:rPr>
      </w:pPr>
      <w:r w:rsidRPr="00746ACE">
        <w:rPr>
          <w:lang w:eastAsia="es-MX"/>
        </w:rPr>
        <w:t> </w:t>
      </w:r>
    </w:p>
    <w:p w14:paraId="30742EE7" w14:textId="5BB29103" w:rsidR="00016F60" w:rsidRPr="00746ACE" w:rsidRDefault="00016F60" w:rsidP="00E54557">
      <w:pPr>
        <w:widowControl w:val="0"/>
        <w:shd w:val="clear" w:color="auto" w:fill="FFFFFF"/>
        <w:jc w:val="center"/>
        <w:textAlignment w:val="baseline"/>
        <w:rPr>
          <w:lang w:eastAsia="es-MX"/>
        </w:rPr>
      </w:pPr>
      <w:r w:rsidRPr="00746ACE">
        <w:rPr>
          <w:b/>
          <w:lang w:eastAsia="es-MX"/>
        </w:rPr>
        <w:t>SENTENCIA</w:t>
      </w:r>
    </w:p>
    <w:p w14:paraId="2965E7A0" w14:textId="5D537DEA" w:rsidR="00496398" w:rsidRPr="00746ACE" w:rsidRDefault="00016F60" w:rsidP="00E54557">
      <w:pPr>
        <w:widowControl w:val="0"/>
        <w:shd w:val="clear" w:color="auto" w:fill="FFFFFF"/>
        <w:ind w:right="920"/>
        <w:textAlignment w:val="baseline"/>
        <w:rPr>
          <w:lang w:eastAsia="es-MX"/>
        </w:rPr>
      </w:pPr>
      <w:r w:rsidRPr="00746ACE">
        <w:rPr>
          <w:rFonts w:eastAsia="Times New Roman"/>
          <w:lang w:eastAsia="es-MX"/>
        </w:rPr>
        <w:t> </w:t>
      </w:r>
    </w:p>
    <w:p w14:paraId="04637C0E" w14:textId="27FB07E3" w:rsidR="00496398" w:rsidRPr="00746ACE" w:rsidRDefault="00496398" w:rsidP="00496398">
      <w:pPr>
        <w:widowControl w:val="0"/>
        <w:rPr>
          <w:b/>
        </w:rPr>
      </w:pPr>
      <w:r w:rsidRPr="00746ACE">
        <w:rPr>
          <w:b/>
        </w:rPr>
        <w:t xml:space="preserve">Síntesis de la decisión </w:t>
      </w:r>
    </w:p>
    <w:p w14:paraId="646A4DF4" w14:textId="77777777" w:rsidR="00496398" w:rsidRPr="00746ACE" w:rsidRDefault="00496398" w:rsidP="00496398">
      <w:pPr>
        <w:widowControl w:val="0"/>
      </w:pPr>
    </w:p>
    <w:p w14:paraId="55D19FDB" w14:textId="2D6D0480" w:rsidR="00496398" w:rsidRPr="00746ACE" w:rsidRDefault="00496398" w:rsidP="00496398">
      <w:pPr>
        <w:widowControl w:val="0"/>
      </w:pPr>
      <w:r w:rsidRPr="00746ACE">
        <w:t>La Corte Constitucional estudió la demanda de inconstitucionalidad presentada en contra de la Sentencia Interpretativa no. 5 (Senit 5), proferida el 17 de mayo de 2023 por la Sección de Apelación del Tribunal para la Paz. En la decisión cuestionada, la Sección de Apelación interpretó distintas normas sobre la selección de comparecientes e introdujo el concepto de selección de segundo orden. De acuerdo con esta figura, al terminar un macro caso, los comparecientes que no fueron considerados máximos responsables y que hagan aportes insuficientes a la verdad o no acepten responsabilidad podrán ser remitidos a la Unidad de Investigación y Acusación para que esta determine si existe mérito para solicitar el inicio de un juicio adversarial ante la Sección de Ausencia de Reconocimiento de Verdad y Responsabilidad del Tribunal para la Paz.</w:t>
      </w:r>
    </w:p>
    <w:p w14:paraId="4A528089" w14:textId="77777777" w:rsidR="00496398" w:rsidRPr="00746ACE" w:rsidRDefault="00496398" w:rsidP="00496398">
      <w:pPr>
        <w:widowControl w:val="0"/>
      </w:pPr>
    </w:p>
    <w:p w14:paraId="65EE6721" w14:textId="15A5A314" w:rsidR="00496398" w:rsidRPr="00746ACE" w:rsidRDefault="00496398" w:rsidP="00496398">
      <w:pPr>
        <w:widowControl w:val="0"/>
      </w:pPr>
      <w:r w:rsidRPr="00746ACE">
        <w:t>Según la demanda, la interpretación acusada: (i) desconoce el principio de legalidad al otorgar nuevas facultades a la Sala de Definición de Situaciones Jurídicas, sin ningún fundamento legal; (ii) desconoce la naturaleza del Acuerdo Final de Paz, al transitar hacia un modo de investigación y juzgamiento caso a caso; (iii) trasgrede el principio de legalidad, al crear una categoría intermedia, diferente a la de los máximos responsables prevista en el Acuerdo Final de Paz; (iv) desconoce el debido proceso constitucional, por falta de reglas claras en la selección de segundo orden, y (v) viola el principio de proporcionalidad, al permitir que una persona que no es máximo responsable sea sancionada de manera más estricta que a quienes sí tienen la condición de máxima responsabilidad.</w:t>
      </w:r>
    </w:p>
    <w:p w14:paraId="0E6E02C5" w14:textId="77777777" w:rsidR="00496398" w:rsidRPr="00746ACE" w:rsidRDefault="00496398" w:rsidP="00496398">
      <w:pPr>
        <w:widowControl w:val="0"/>
      </w:pPr>
    </w:p>
    <w:p w14:paraId="05F73D46" w14:textId="77777777" w:rsidR="00496398" w:rsidRPr="00746ACE" w:rsidRDefault="00496398" w:rsidP="00496398">
      <w:pPr>
        <w:widowControl w:val="0"/>
      </w:pPr>
      <w:r w:rsidRPr="00746ACE">
        <w:t xml:space="preserve">La Corte asumió el control de la Senit 5 en el marco del derecho viviente y de la naturaleza excepcional que caracteriza este tipo de decisiones dentro del sistema de justicia transicional. Durante el trámite de constitucionalidad, la Corte propició instancias participativas para escuchar los argumentos de la Jurisdicción Especial para la Paz, personas expertas, sociedad civil, organizaciones de derechos humanos y representantes de víctimas con el fin de construir una decisión participativa que incluyera diversas perspectivas sobre el tema. </w:t>
      </w:r>
    </w:p>
    <w:p w14:paraId="78F66990" w14:textId="77777777" w:rsidR="00496398" w:rsidRPr="00746ACE" w:rsidRDefault="00496398" w:rsidP="00496398">
      <w:pPr>
        <w:widowControl w:val="0"/>
      </w:pPr>
    </w:p>
    <w:p w14:paraId="203CAFED" w14:textId="66A1B8F4" w:rsidR="00496398" w:rsidRPr="00746ACE" w:rsidRDefault="00496398" w:rsidP="00496398">
      <w:pPr>
        <w:widowControl w:val="0"/>
      </w:pPr>
      <w:r w:rsidRPr="00746ACE">
        <w:t xml:space="preserve">La Corte advirtió también que el estudio sobre la constitucionalidad de la Senit 5 no era un juicio contra la JEP ni contra la Sección de Apelación y que el examen de constitucionalidad se realizaba desde una posición de respeto y deferencia frente a las trascendentales funciones y misiones de ese órgano de justicia. </w:t>
      </w:r>
    </w:p>
    <w:p w14:paraId="65414FF7" w14:textId="77777777" w:rsidR="00496398" w:rsidRPr="00746ACE" w:rsidRDefault="00496398" w:rsidP="00496398">
      <w:pPr>
        <w:widowControl w:val="0"/>
      </w:pPr>
    </w:p>
    <w:p w14:paraId="5335DF41" w14:textId="05EA632E" w:rsidR="00496398" w:rsidRPr="00746ACE" w:rsidRDefault="00496398" w:rsidP="00496398">
      <w:pPr>
        <w:widowControl w:val="0"/>
      </w:pPr>
      <w:r w:rsidRPr="00746ACE">
        <w:t>En ejercicio del control de constitucionalidad de la Senit 5, esta Corporación consideró necesario incorporar al análisis las sentencias interpretativas 8 y 9 porque estas decisiones precisaron algunos criterios de la Senit 5, relacionados con el reconocimiento de responsabilidad y el concepto de “responsabilidad cercana a la máxima” aunque no eliminaron las figuras de la “selección de segundo orden” y “la responsabilidad del punto medio”. A partir de esa integración, la Corte concluyó que no se presentaba el fenómeno de cosa juzgada respecto de la Sentencia la C-080 de 2018 pues en esta oportunidad se debate si la Senit 5 creó reglas contrarias a la C-080 de 2018 o simplemente las desarrolló.</w:t>
      </w:r>
    </w:p>
    <w:p w14:paraId="0BEB8D8B" w14:textId="77777777" w:rsidR="00496398" w:rsidRPr="00746ACE" w:rsidRDefault="00496398" w:rsidP="00496398">
      <w:pPr>
        <w:widowControl w:val="0"/>
      </w:pPr>
    </w:p>
    <w:p w14:paraId="54C29761" w14:textId="266BC4D3" w:rsidR="00496398" w:rsidRPr="00746ACE" w:rsidRDefault="00496398" w:rsidP="00496398">
      <w:pPr>
        <w:widowControl w:val="0"/>
      </w:pPr>
      <w:r w:rsidRPr="00746ACE">
        <w:t>Una vez establecida la aptitud sustantiva de la demanda, la Corte analizó si la creación del concepto de selección de segundo desconoció el principio de legalidad: (a) por atribuir a la Sala de Definición de Situaciones Jurídicas y a la Unidad de Investigación y Acusación nuevas funciones; y (b) por tratarse de concepto de naturaleza difusa, vaga o indeterminada y sin un fundamento normativo claro. Además, estudió si la Sección de Apelación desconoció el debido proceso constitucional por la ausencia de reglas de procedimiento claras para quienes sean calificados como responsables intermedios. Y, por último, evaluó si la Sección de Apelación desconoció el debido proceso, el derecho a la igualdad y el principio de proporcionalidad de la sanción, al permitir que la selección de segundo orden termine en un juicio adversarial para los partícipes no determinantes.</w:t>
      </w:r>
    </w:p>
    <w:p w14:paraId="0F6A8E86" w14:textId="77777777" w:rsidR="00496398" w:rsidRPr="00746ACE" w:rsidRDefault="00496398" w:rsidP="00496398">
      <w:pPr>
        <w:widowControl w:val="0"/>
      </w:pPr>
    </w:p>
    <w:p w14:paraId="48364B1D" w14:textId="77777777" w:rsidR="00496398" w:rsidRPr="00746ACE" w:rsidRDefault="00496398" w:rsidP="00496398">
      <w:pPr>
        <w:widowControl w:val="0"/>
      </w:pPr>
      <w:r w:rsidRPr="00746ACE">
        <w:t xml:space="preserve">La Corte Constitucional concluyó que la selección de segundo orden y la responsabilidad del punto medio introducidas por la Sección de Apelación de la JEP son figuras incompatibles con el principio de legalidad, dado que, ni el Acuerdo Final de Paz ni el Acto Legislativo 01 de 2017 ni la Ley Estatutaria 1957 de 2019 autorizaron la creación de nuevas competencias o categorías de responsabilidad más allá de las previstas. Estas normas solo contemplaron máximos responsables y partícipes no determinantes. Así, este Tribunal encontró que la creación de cualquier categoría adicional carece de fundamento normativo y constituye una creación judicial que excede la potestad interpretativa de la JEP. </w:t>
      </w:r>
    </w:p>
    <w:p w14:paraId="65EC806F" w14:textId="77777777" w:rsidR="00496398" w:rsidRPr="00746ACE" w:rsidRDefault="00496398" w:rsidP="00496398">
      <w:pPr>
        <w:widowControl w:val="0"/>
      </w:pPr>
    </w:p>
    <w:p w14:paraId="3D08078E" w14:textId="77777777" w:rsidR="00496398" w:rsidRPr="00746ACE" w:rsidRDefault="00496398" w:rsidP="00496398">
      <w:pPr>
        <w:widowControl w:val="0"/>
      </w:pPr>
      <w:r w:rsidRPr="00746ACE">
        <w:t>En ese sentido, la Sala Plena de la Corte resaltó que, al diseñar esta tercera categoría de responsabilidad, la Sección de Apelación se apartó del marco jurídico que definió el alcance del proceso de paz suscrito entre el gobierno de Colombia y la antigua guerrilla de las FARC-EP.</w:t>
      </w:r>
    </w:p>
    <w:p w14:paraId="78169545" w14:textId="77777777" w:rsidR="00496398" w:rsidRPr="00746ACE" w:rsidRDefault="00496398" w:rsidP="00496398">
      <w:pPr>
        <w:widowControl w:val="0"/>
      </w:pPr>
    </w:p>
    <w:p w14:paraId="15696B3C" w14:textId="0DE0EDDF" w:rsidR="00496398" w:rsidRPr="00746ACE" w:rsidRDefault="00496398" w:rsidP="00496398">
      <w:pPr>
        <w:widowControl w:val="0"/>
      </w:pPr>
      <w:r w:rsidRPr="00746ACE">
        <w:t>Esta Corporación señaló que la selección de segundo orden vulnera el principio constitucional</w:t>
      </w:r>
      <w:r w:rsidR="00130D46" w:rsidRPr="00746ACE">
        <w:t xml:space="preserve"> y transicional</w:t>
      </w:r>
      <w:r w:rsidRPr="00746ACE">
        <w:t xml:space="preserve"> de selección, el cual exige concentrar la investigación, el juzgamiento y la sanción en los máximos responsables de los crímenes más graves y representativos, debido a que la Sala de Definición de Situaciones Jurídicas tendría la facultad de remitir a los responsables del punto a medio a un juicio adversarial, lo que desdibuja la arquitectura de la justicia transicional pactada y rompe la lógica de macro casos, pues se dispersan los esfuerzos institucionales, lo que conduce a la duplicación de procesos. </w:t>
      </w:r>
    </w:p>
    <w:p w14:paraId="08439752" w14:textId="77777777" w:rsidR="00496398" w:rsidRPr="00746ACE" w:rsidRDefault="00496398" w:rsidP="00496398">
      <w:pPr>
        <w:widowControl w:val="0"/>
      </w:pPr>
    </w:p>
    <w:p w14:paraId="2410D2F2" w14:textId="77777777" w:rsidR="00496398" w:rsidRPr="00746ACE" w:rsidRDefault="00496398" w:rsidP="00496398">
      <w:pPr>
        <w:widowControl w:val="0"/>
      </w:pPr>
      <w:r w:rsidRPr="00746ACE">
        <w:t>La Corte recordó que, de acuerdo con la Sentencia C 080 de 2018, la Sala de Reconocimiento de Responsabilidad es la única competente para realizar la selección positiva y que la Sala de Definición de Situaciones Jurídicas solo puede ejercer una selección individual negativa, orientada a otorgar los beneficios transicionales, sin convertirse en una ruta sancionatoria.</w:t>
      </w:r>
    </w:p>
    <w:p w14:paraId="3479638F" w14:textId="77777777" w:rsidR="00496398" w:rsidRPr="00746ACE" w:rsidRDefault="00496398" w:rsidP="00496398">
      <w:pPr>
        <w:widowControl w:val="0"/>
      </w:pPr>
    </w:p>
    <w:p w14:paraId="2FED3007" w14:textId="77777777" w:rsidR="00496398" w:rsidRPr="00746ACE" w:rsidRDefault="00496398" w:rsidP="00496398">
      <w:pPr>
        <w:widowControl w:val="0"/>
      </w:pPr>
      <w:r w:rsidRPr="00746ACE">
        <w:t xml:space="preserve">Este tribunal constitucional reconoció, sin embargo, la importancia de lo expresado por la Sección de Apelación, quién indicó que las sentencias interpretativas analizadas se dictaron para responder preocupaciones teóricas y jurídicas derivadas de la aplicación de las normas especiales de la JEP y con la finalidad última de satisfacer las exigencias de justicia material de las víctimas y combatir la impunidad </w:t>
      </w:r>
    </w:p>
    <w:p w14:paraId="39585688" w14:textId="77777777" w:rsidR="00496398" w:rsidRPr="00746ACE" w:rsidRDefault="00496398" w:rsidP="00496398">
      <w:pPr>
        <w:widowControl w:val="0"/>
      </w:pPr>
    </w:p>
    <w:p w14:paraId="0CFC7F05" w14:textId="2F7B2A46" w:rsidR="00496398" w:rsidRPr="00746ACE" w:rsidRDefault="00496398" w:rsidP="00496398">
      <w:pPr>
        <w:widowControl w:val="0"/>
      </w:pPr>
      <w:r w:rsidRPr="00746ACE">
        <w:t>No obstante, la Corte resaltó que el concepto de punto medio de responsabilidad es una categoría que afecta la seguridad jurídica y la certeza de las víctimas y los comparecientes sobre los procedimientos adelantados en la Jurisdicción Especial para la Paz, por su vaguedad e indeterminación. Para la Corte, la imprecisión de este concepto resulta contraria al mandato de previsibilidad del derecho penal y del derecho sancionatorio pues permite que la administración de justicia transicional se aplique con margen discrecional y variable. En ese sentido, subrayó que la JEP no puede redefinir categorías normativas de la Ley estatutaria de administración de justicia en la JEP, ni introducir funciones sin soporte legal, pues ello altera las condiciones previamente conocidas para acceder a beneficios, obligaciones y sanciones dentro del sistema.</w:t>
      </w:r>
    </w:p>
    <w:p w14:paraId="2311863D" w14:textId="77777777" w:rsidR="00496398" w:rsidRPr="00746ACE" w:rsidRDefault="00496398" w:rsidP="00496398">
      <w:pPr>
        <w:widowControl w:val="0"/>
      </w:pPr>
    </w:p>
    <w:p w14:paraId="4DA18D9A" w14:textId="50B6B87C" w:rsidR="00496398" w:rsidRPr="00746ACE" w:rsidRDefault="00496398" w:rsidP="00496398">
      <w:pPr>
        <w:widowControl w:val="0"/>
      </w:pPr>
      <w:r w:rsidRPr="00746ACE">
        <w:t>Al analizar el cargo por violación del derecho al debido, el derecho a la igualdad y el principio de proporcionalidad, la Corte concluyó que no se configuraba vulneración del derecho al debido proceso ni del principio de igualdad, puesto que los partícipes no determinantes sí cuentan con escenarios procesales para aportar verdad y reconocer responsabilidad, y no son comparables jurídicamente con los máximos.</w:t>
      </w:r>
    </w:p>
    <w:p w14:paraId="0CD055E0" w14:textId="77777777" w:rsidR="00496398" w:rsidRPr="00746ACE" w:rsidRDefault="00496398" w:rsidP="00496398">
      <w:pPr>
        <w:widowControl w:val="0"/>
      </w:pPr>
    </w:p>
    <w:p w14:paraId="49C21BEB" w14:textId="5D3D7636" w:rsidR="00496398" w:rsidRPr="00746ACE" w:rsidRDefault="00496398" w:rsidP="00496398">
      <w:pPr>
        <w:widowControl w:val="0"/>
      </w:pPr>
      <w:r w:rsidRPr="00746ACE">
        <w:t>Sin embargo, la Corte determinó que sí se desconoce el principio de proporcionalidad en virtud de la hipótesis prevista en la Senit 5 según la cual los partícipes no determinantes que incumplen sus obligaciones ante el sistema y sean vencidos en un juicio adversarial pueden recibir sanciones ordinarias (de entre 15 a veinte 20 años, que es también la mayor sanción para los máximos responsables que no aportan a la verdad ni reconocen su responsabilidad. Esta posibilidad, prevista en las decisiones analizadas, es inconstitucional debido a que la consecuencia jurídica de la sanción ordinaria se fundamentaría exclusivamente en el comportamiento procesal del compareciente y no su grado de participación en los hechos más graves y representativos.</w:t>
      </w:r>
    </w:p>
    <w:p w14:paraId="19ECD707" w14:textId="77777777" w:rsidR="00496398" w:rsidRPr="00746ACE" w:rsidRDefault="00496398" w:rsidP="00496398">
      <w:pPr>
        <w:widowControl w:val="0"/>
      </w:pPr>
    </w:p>
    <w:p w14:paraId="36B5F172" w14:textId="4D15D724" w:rsidR="00496398" w:rsidRPr="00746ACE" w:rsidRDefault="00496398" w:rsidP="00496398">
      <w:pPr>
        <w:widowControl w:val="0"/>
      </w:pPr>
      <w:r w:rsidRPr="00746ACE">
        <w:t xml:space="preserve">La Corte Constitucional concluyó que responsabilidad del punto medio y la selección de segundo orden creadas por las Senit 5, 8 y 9 de la JEP son incompatibles con el principio constitucional </w:t>
      </w:r>
      <w:r w:rsidR="00130D46" w:rsidRPr="00746ACE">
        <w:t xml:space="preserve">y transicional </w:t>
      </w:r>
      <w:r w:rsidRPr="00746ACE">
        <w:t>de selección, pues amplían de manera indebida la base de personas juzgables más allá de los máximos responsables. Además, este Tribunal aclaró también que si bien se percibe en la Senit 8 la intención de transformar la responsabilidad del punto medio en un criterio para la medición del daño; mientras que la Senit 9 planteó que la “responsabilidad cercana a la máxima” no es una categoría normativa sino un criterio heurístico, lo cierto es que estas decisiones no resuelven los problemas relacionados con los conceptos de “selección de segundo orden” y “la responsabilidad del punto medio” frente al carácter constitucional del principio de selección, el principio de legalidad como interdicción de la arbitrariedad y la seguridad jurídica de comparecientes y víctimas.</w:t>
      </w:r>
    </w:p>
    <w:p w14:paraId="7CFC6B8A" w14:textId="77777777" w:rsidR="00496398" w:rsidRPr="00746ACE" w:rsidRDefault="00496398" w:rsidP="00496398">
      <w:pPr>
        <w:widowControl w:val="0"/>
      </w:pPr>
    </w:p>
    <w:p w14:paraId="7AB6981F" w14:textId="77777777" w:rsidR="00496398" w:rsidRPr="00746ACE" w:rsidRDefault="00496398" w:rsidP="00496398">
      <w:pPr>
        <w:widowControl w:val="0"/>
      </w:pPr>
      <w:r w:rsidRPr="00746ACE">
        <w:t xml:space="preserve">Por último, la decisión adoptada por la Corte Constitucional resaltó que la garantía del principio de centralidad de las víctimas exige la aplicación de reglas claras, participación efectiva y coherencia con los fines de la justicia restaurativa incorporados por vía constitucional al sistema de justicia que administra la JEP. Este Tribunal precisó que este sistema debe orientarse a la reparación de las víctimas, la responsabilización consciente de los comparecientes y a la reconstrucción del tejido social, elementos que deben orientar toda interpretación normativa dentro de la JEP. </w:t>
      </w:r>
    </w:p>
    <w:p w14:paraId="49F6DB5E" w14:textId="77777777" w:rsidR="00496398" w:rsidRPr="00746ACE" w:rsidRDefault="00496398" w:rsidP="00496398">
      <w:pPr>
        <w:widowControl w:val="0"/>
      </w:pPr>
    </w:p>
    <w:p w14:paraId="1E4A739A" w14:textId="77777777" w:rsidR="00496398" w:rsidRPr="00746ACE" w:rsidRDefault="00496398" w:rsidP="00496398">
      <w:pPr>
        <w:widowControl w:val="0"/>
      </w:pPr>
      <w:r w:rsidRPr="00746ACE">
        <w:t xml:space="preserve">La Corte subrayó que la justicia transicional restaurativa no puede encaminarse a la apertura de nuevos juicios individuales, sino que debe privilegiar los espacios dialógicos, de verdad y participación, en los que el reconocimiento de los hechos y la toma de conciencia sobre el daño garanticen la responsabilización restaurativa; e hizo un llamado a que las rutas actuales de la JEP, incluido el seguimiento régimen de condicionalidad. </w:t>
      </w:r>
    </w:p>
    <w:p w14:paraId="2941953E" w14:textId="77777777" w:rsidR="00496398" w:rsidRPr="00746ACE" w:rsidRDefault="00496398" w:rsidP="00496398">
      <w:pPr>
        <w:widowControl w:val="0"/>
      </w:pPr>
    </w:p>
    <w:p w14:paraId="1F5AD2B8" w14:textId="320EBFB9" w:rsidR="00CC6F8C" w:rsidRPr="00746ACE" w:rsidRDefault="00496398" w:rsidP="00496398">
      <w:pPr>
        <w:widowControl w:val="0"/>
      </w:pPr>
      <w:r w:rsidRPr="00746ACE">
        <w:t>En este contexto, la Corte resaltó que el principio de centralidad de las víctimas exige profundizar en las dimensiones de verdad y reparación mediante rutas no sancionatorias, cuando se trata de partícipes no determinantes, en especial, mediante las dimensiones reparadoras del régimen de condicionalidad estricto, a través de la responsabilización, la contribución a la verdad y las diversas esferas de la reparación del sistema integral de paz, incluido el reconocimiento temprano de responsabilidad y la participación en trabajos, obras y actividades de contenido reparador, además de la necesaria articulación con la institucionalidad del Estado con funciones de reparación.</w:t>
      </w:r>
    </w:p>
    <w:p w14:paraId="7ADDE628" w14:textId="77777777" w:rsidR="00496398" w:rsidRPr="00746ACE" w:rsidRDefault="00496398" w:rsidP="00496398">
      <w:pPr>
        <w:widowControl w:val="0"/>
      </w:pPr>
    </w:p>
    <w:p w14:paraId="7DE5065A" w14:textId="77777777" w:rsidR="000C7B57" w:rsidRPr="00746ACE" w:rsidRDefault="000C7B57" w:rsidP="00FC0DFB">
      <w:pPr>
        <w:widowControl w:val="0"/>
        <w:rPr>
          <w:b/>
        </w:rPr>
      </w:pPr>
      <w:r w:rsidRPr="00746ACE">
        <w:rPr>
          <w:b/>
        </w:rPr>
        <w:t>Bases normativas del análisis de constitucionalidad</w:t>
      </w:r>
    </w:p>
    <w:p w14:paraId="5631AF18" w14:textId="77777777" w:rsidR="000C7B57" w:rsidRPr="00746ACE" w:rsidRDefault="000C7B57" w:rsidP="00FC0DFB">
      <w:pPr>
        <w:widowControl w:val="0"/>
        <w:rPr>
          <w:b/>
        </w:rPr>
      </w:pPr>
    </w:p>
    <w:p w14:paraId="4B17040F" w14:textId="77777777" w:rsidR="000C7B57" w:rsidRPr="00746ACE" w:rsidRDefault="000C7B57" w:rsidP="00FC0DFB">
      <w:pPr>
        <w:widowControl w:val="0"/>
      </w:pPr>
      <w:r w:rsidRPr="00746ACE">
        <w:t xml:space="preserve">Esta providencia incluye referencias a un amplio número de normas constitucionales, estatutarias, legales, doctrinales y jurisprudenciales. A continuación, se enumeran los principales precedentes constitucionales que orientaron el estudio del caso concreto. </w:t>
      </w:r>
    </w:p>
    <w:p w14:paraId="4D039335" w14:textId="77777777" w:rsidR="000C7B57" w:rsidRPr="00746ACE" w:rsidRDefault="000C7B57" w:rsidP="00FC0DFB">
      <w:pPr>
        <w:pStyle w:val="Prrafodelista"/>
        <w:widowControl w:val="0"/>
        <w:ind w:left="0"/>
      </w:pPr>
    </w:p>
    <w:p w14:paraId="1D333757" w14:textId="77777777" w:rsidR="000C7B57" w:rsidRPr="00746ACE" w:rsidRDefault="000C7B57" w:rsidP="000B69F5">
      <w:pPr>
        <w:widowControl w:val="0"/>
        <w:rPr>
          <w:b/>
        </w:rPr>
      </w:pPr>
      <w:r w:rsidRPr="00746ACE">
        <w:rPr>
          <w:b/>
        </w:rPr>
        <w:t>Precedentes constitucionales relevantes</w:t>
      </w:r>
    </w:p>
    <w:p w14:paraId="50DECB56" w14:textId="77777777" w:rsidR="000C7B57" w:rsidRPr="00746ACE" w:rsidRDefault="000C7B57" w:rsidP="000B69F5">
      <w:pPr>
        <w:widowControl w:val="0"/>
        <w:rPr>
          <w:b/>
        </w:rPr>
      </w:pPr>
    </w:p>
    <w:p w14:paraId="0E2B8E11" w14:textId="7BB727E2" w:rsidR="000C7B57" w:rsidRPr="00746ACE" w:rsidRDefault="000C7B57" w:rsidP="006A2C55">
      <w:pPr>
        <w:pStyle w:val="Prrafodelista"/>
        <w:widowControl w:val="0"/>
        <w:numPr>
          <w:ilvl w:val="0"/>
          <w:numId w:val="6"/>
        </w:numPr>
        <w:ind w:left="0" w:firstLine="0"/>
      </w:pPr>
      <w:r w:rsidRPr="00746ACE">
        <w:rPr>
          <w:i/>
          <w:lang w:val="pt-BR"/>
        </w:rPr>
        <w:t>Corte Constitucional. Sentencia C-080 de 2018</w:t>
      </w:r>
      <w:r w:rsidRPr="00746ACE">
        <w:rPr>
          <w:lang w:val="pt-BR"/>
        </w:rPr>
        <w:t xml:space="preserve">. </w:t>
      </w:r>
      <w:r w:rsidRPr="00746ACE">
        <w:t xml:space="preserve">Esta sentencia estudió de manera integral y definitiva la constitucionalidad del proyecto de ley que condujo a la aprobación de la Ley </w:t>
      </w:r>
      <w:r w:rsidR="004F4B1F" w:rsidRPr="00746ACE">
        <w:t xml:space="preserve">Estatutaria </w:t>
      </w:r>
      <w:r w:rsidRPr="00746ACE">
        <w:t xml:space="preserve">de </w:t>
      </w:r>
      <w:r w:rsidR="004F4B1F" w:rsidRPr="00746ACE">
        <w:t xml:space="preserve">Administración </w:t>
      </w:r>
      <w:r w:rsidRPr="00746ACE">
        <w:t xml:space="preserve">de </w:t>
      </w:r>
      <w:r w:rsidR="004F4B1F" w:rsidRPr="00746ACE">
        <w:t xml:space="preserve">Justicia </w:t>
      </w:r>
      <w:r w:rsidRPr="00746ACE">
        <w:t xml:space="preserve">en la JEP, hoy Ley 1957 de 2018. Es la decisión más importante para el análisis constitucional del caso concreto, pues en ella se estudian a fondo los conceptos de selección, máximos responsables, la inclusión de la justicia restaurativa en el sistema de la JEP, el sistema de fuentes y el alcance del principio de legalidad en la transición, las funciones de salas y secciones y el sistema de sanciones, ya previsto desde el Acto Legislativo 01 de 2017. </w:t>
      </w:r>
    </w:p>
    <w:p w14:paraId="37F5E443" w14:textId="77777777" w:rsidR="000C7B57" w:rsidRPr="00746ACE" w:rsidRDefault="000C7B57" w:rsidP="00FC0DFB">
      <w:pPr>
        <w:pStyle w:val="Prrafodelista"/>
        <w:widowControl w:val="0"/>
        <w:ind w:left="0"/>
      </w:pPr>
    </w:p>
    <w:p w14:paraId="6F42C01E" w14:textId="55E740F9" w:rsidR="000C7B57" w:rsidRPr="00746ACE" w:rsidRDefault="000C7B57" w:rsidP="006A2C55">
      <w:pPr>
        <w:pStyle w:val="Prrafodelista"/>
        <w:widowControl w:val="0"/>
        <w:numPr>
          <w:ilvl w:val="0"/>
          <w:numId w:val="6"/>
        </w:numPr>
        <w:ind w:left="0" w:firstLine="0"/>
      </w:pPr>
      <w:r w:rsidRPr="00746ACE">
        <w:rPr>
          <w:i/>
          <w:lang w:val="pt-BR"/>
        </w:rPr>
        <w:t>Corte Constitucional. Sentencia C-674 de 2017</w:t>
      </w:r>
      <w:r w:rsidRPr="00746ACE">
        <w:rPr>
          <w:lang w:val="pt-BR"/>
        </w:rPr>
        <w:t xml:space="preserve">. </w:t>
      </w:r>
      <w:r w:rsidRPr="00746ACE">
        <w:t xml:space="preserve">En esta decisión, la Sala Plena de la Corte Constitucional analizó de manera integral y definitiva la constitucionalidad del Acto Legislativo 01 de 2017, que creó el sistema de verdad, justicia, reparación y garantías de no repetición. Entre otros aspectos clave para el caso objeto de estudio, en ella la Corte se refirió a la inclusión del paradigma de justicia restaurativa en la JEP, al sistema de fuentes de la jurisdicción y el principio de legalidad, el principio constitucional </w:t>
      </w:r>
      <w:r w:rsidR="00130D46" w:rsidRPr="00746ACE">
        <w:t xml:space="preserve">y transicional </w:t>
      </w:r>
      <w:r w:rsidRPr="00746ACE">
        <w:t>de selección en la JEP, el juez natural y la existencia de una jurisdicción creada con posterioridad a la comisión de los crímenes que juzga, entre otros.</w:t>
      </w:r>
    </w:p>
    <w:p w14:paraId="6ED140AC" w14:textId="77777777" w:rsidR="000C7B57" w:rsidRPr="00746ACE" w:rsidRDefault="000C7B57" w:rsidP="00FC0DFB">
      <w:pPr>
        <w:pStyle w:val="Prrafodelista"/>
        <w:widowControl w:val="0"/>
        <w:ind w:left="0"/>
      </w:pPr>
    </w:p>
    <w:p w14:paraId="6CAAF766" w14:textId="77777777" w:rsidR="000C7B57" w:rsidRPr="00746ACE" w:rsidRDefault="000C7B57" w:rsidP="006A2C55">
      <w:pPr>
        <w:pStyle w:val="Prrafodelista"/>
        <w:widowControl w:val="0"/>
        <w:numPr>
          <w:ilvl w:val="0"/>
          <w:numId w:val="6"/>
        </w:numPr>
        <w:ind w:left="0" w:firstLine="0"/>
      </w:pPr>
      <w:r w:rsidRPr="00746ACE">
        <w:rPr>
          <w:i/>
          <w:lang w:val="pt-BR"/>
        </w:rPr>
        <w:t>Corte Constitucional. Sentencia C-007 de 2018</w:t>
      </w:r>
      <w:r w:rsidRPr="00746ACE">
        <w:rPr>
          <w:lang w:val="pt-BR"/>
        </w:rPr>
        <w:t xml:space="preserve">. </w:t>
      </w:r>
      <w:r w:rsidRPr="00746ACE">
        <w:t xml:space="preserve">Esta providencia estudió la constitucionalidad de la ley de amnistía, Ley 1820 de 2016. En ella se definieron aspectos de la relación entre la corte constitucional y el juez natural de la transición, así como el alcance del principio de legalidad. </w:t>
      </w:r>
    </w:p>
    <w:p w14:paraId="75E1FA10" w14:textId="77777777" w:rsidR="000C7B57" w:rsidRPr="00746ACE" w:rsidRDefault="000C7B57" w:rsidP="00FC0DFB">
      <w:pPr>
        <w:pStyle w:val="Prrafodelista"/>
        <w:widowControl w:val="0"/>
        <w:ind w:left="0"/>
      </w:pPr>
    </w:p>
    <w:p w14:paraId="79433B4F" w14:textId="77777777" w:rsidR="000C7B57" w:rsidRPr="00746ACE" w:rsidRDefault="000C7B57" w:rsidP="006A2C55">
      <w:pPr>
        <w:pStyle w:val="Prrafodelista"/>
        <w:widowControl w:val="0"/>
        <w:numPr>
          <w:ilvl w:val="0"/>
          <w:numId w:val="6"/>
        </w:numPr>
        <w:ind w:left="0" w:firstLine="0"/>
      </w:pPr>
      <w:r w:rsidRPr="00746ACE">
        <w:rPr>
          <w:i/>
          <w:lang w:val="pt-BR"/>
        </w:rPr>
        <w:t>Corte Constitucional. Sentencia C-579 de 2013</w:t>
      </w:r>
      <w:r w:rsidRPr="00746ACE">
        <w:rPr>
          <w:lang w:val="pt-BR"/>
        </w:rPr>
        <w:t xml:space="preserve">. </w:t>
      </w:r>
      <w:r w:rsidRPr="00746ACE">
        <w:t>Esta providencia estudió, en el marco de una demanda por sustitución de la Constitución, el artículo 66 transitorio de la Constitución, que define la selección como un elemento inherente de la justicia transicional y prevé la posibilidad de que el legislador estatutario defina tratamientos penales especiales con miras a propiciar soluciones negociadas al conflicto armado.</w:t>
      </w:r>
    </w:p>
    <w:p w14:paraId="23473D83" w14:textId="77777777" w:rsidR="000C7B57" w:rsidRPr="00746ACE" w:rsidRDefault="000C7B57" w:rsidP="00FC0DFB">
      <w:pPr>
        <w:pStyle w:val="Prrafodelista"/>
        <w:widowControl w:val="0"/>
        <w:ind w:left="0"/>
      </w:pPr>
    </w:p>
    <w:p w14:paraId="7F0F8F25" w14:textId="77777777" w:rsidR="000C7B57" w:rsidRPr="00746ACE" w:rsidRDefault="000C7B57" w:rsidP="006A2C55">
      <w:pPr>
        <w:pStyle w:val="Prrafodelista"/>
        <w:widowControl w:val="0"/>
        <w:numPr>
          <w:ilvl w:val="0"/>
          <w:numId w:val="6"/>
        </w:numPr>
        <w:ind w:left="0" w:firstLine="0"/>
      </w:pPr>
      <w:r w:rsidRPr="00746ACE">
        <w:rPr>
          <w:i/>
          <w:lang w:val="pt-BR"/>
        </w:rPr>
        <w:t>Corte Constitucional. Sentencia C-578 de 2002</w:t>
      </w:r>
      <w:r w:rsidRPr="00746ACE">
        <w:rPr>
          <w:lang w:val="pt-BR"/>
        </w:rPr>
        <w:t xml:space="preserve">. </w:t>
      </w:r>
      <w:r w:rsidRPr="00746ACE">
        <w:t xml:space="preserve">Analizó la constitucionalidad del tratado de Roma y su ley aprobatoria. Esta sentencia se utiliza en la providencia para estudiar el alcance del principio de responsabilidad en el marco de la investigación, juzgamiento y sanción de los crímenes más graves contra la humanidad. </w:t>
      </w:r>
    </w:p>
    <w:p w14:paraId="12F3865D" w14:textId="77777777" w:rsidR="000C7B57" w:rsidRPr="00746ACE" w:rsidRDefault="000C7B57" w:rsidP="00FC0DFB">
      <w:pPr>
        <w:pStyle w:val="Prrafodelista"/>
        <w:widowControl w:val="0"/>
        <w:ind w:left="0"/>
      </w:pPr>
    </w:p>
    <w:p w14:paraId="23766472" w14:textId="77777777" w:rsidR="000C7B57" w:rsidRPr="00746ACE" w:rsidRDefault="000C7B57" w:rsidP="006A2C55">
      <w:pPr>
        <w:pStyle w:val="Prrafodelista"/>
        <w:widowControl w:val="0"/>
        <w:numPr>
          <w:ilvl w:val="0"/>
          <w:numId w:val="6"/>
        </w:numPr>
        <w:ind w:left="0" w:firstLine="0"/>
      </w:pPr>
      <w:r w:rsidRPr="00746ACE">
        <w:rPr>
          <w:i/>
        </w:rPr>
        <w:t>Corte Constitucional. Sentencia SU-1184 de 2001</w:t>
      </w:r>
      <w:r w:rsidRPr="00746ACE">
        <w:t>. Esta decisión analizó la competencia para juzgar a dos altos mandos militares por la Masacre de Mapiripán. La decisión avanzó en los conceptos de posición de garante y responsabilidad por omisión, razón por la cual fue utilizada en esta providencia para estudiar el alcance del principio de legalidad en materia de responsabilidad.</w:t>
      </w:r>
    </w:p>
    <w:p w14:paraId="0FF827E8" w14:textId="77777777" w:rsidR="000C7B57" w:rsidRPr="00746ACE" w:rsidRDefault="000C7B57" w:rsidP="00FC0DFB">
      <w:pPr>
        <w:pStyle w:val="Prrafodelista"/>
        <w:widowControl w:val="0"/>
        <w:ind w:left="0"/>
      </w:pPr>
    </w:p>
    <w:p w14:paraId="3E1FB57D" w14:textId="77777777" w:rsidR="000C7B57" w:rsidRPr="00746ACE" w:rsidRDefault="000C7B57" w:rsidP="006A2C55">
      <w:pPr>
        <w:pStyle w:val="Prrafodelista"/>
        <w:widowControl w:val="0"/>
        <w:numPr>
          <w:ilvl w:val="0"/>
          <w:numId w:val="6"/>
        </w:numPr>
        <w:ind w:left="0" w:firstLine="0"/>
      </w:pPr>
      <w:r w:rsidRPr="00746ACE">
        <w:rPr>
          <w:i/>
        </w:rPr>
        <w:t>Corte Constitucional. Sentencias C-1052 de 2001 y C-802 de 2012</w:t>
      </w:r>
      <w:r w:rsidRPr="00746ACE">
        <w:t>. En estas sentencias, la Corte Constitucional se refiere a los requisitos argumentativos de las demandas de constitucionalidad y a su alcance cuando la demanda se dirige contra interpretaciones de la ley contenidas en decisiones de los órganos de cierre.</w:t>
      </w:r>
    </w:p>
    <w:p w14:paraId="61825DD1" w14:textId="77777777" w:rsidR="000C7B57" w:rsidRPr="00746ACE" w:rsidRDefault="000C7B57" w:rsidP="00FC0DFB">
      <w:pPr>
        <w:pStyle w:val="Prrafodelista"/>
        <w:widowControl w:val="0"/>
        <w:ind w:left="0"/>
      </w:pPr>
    </w:p>
    <w:p w14:paraId="6155F9DC" w14:textId="77777777" w:rsidR="000C7B57" w:rsidRPr="00746ACE" w:rsidRDefault="000C7B57" w:rsidP="006A2C55">
      <w:pPr>
        <w:pStyle w:val="Prrafodelista"/>
        <w:widowControl w:val="0"/>
        <w:numPr>
          <w:ilvl w:val="0"/>
          <w:numId w:val="6"/>
        </w:numPr>
        <w:ind w:left="0" w:firstLine="0"/>
        <w:rPr>
          <w:i/>
        </w:rPr>
      </w:pPr>
      <w:r w:rsidRPr="00746ACE">
        <w:rPr>
          <w:i/>
        </w:rPr>
        <w:t>Corte Constitucional. Sentencia C-557 de 2001 y C-802 de 2012</w:t>
      </w:r>
      <w:r w:rsidRPr="00746ACE">
        <w:t xml:space="preserve">. Estas decisiones desarrollan el concepto de </w:t>
      </w:r>
      <w:r w:rsidRPr="00746ACE">
        <w:rPr>
          <w:i/>
        </w:rPr>
        <w:t xml:space="preserve">derecho viviente, </w:t>
      </w:r>
      <w:r w:rsidRPr="00746ACE">
        <w:t xml:space="preserve">que se refiere a la manera en que las normas legales son aplicadas en por los jueces y, en especial, por los órganos de cierre, de manera que constituyen el </w:t>
      </w:r>
      <w:r w:rsidRPr="00746ACE">
        <w:rPr>
          <w:i/>
        </w:rPr>
        <w:t xml:space="preserve">derecho viviente. </w:t>
      </w:r>
    </w:p>
    <w:p w14:paraId="3A5F4C15" w14:textId="77777777" w:rsidR="000C7B57" w:rsidRPr="00746ACE" w:rsidRDefault="000C7B57" w:rsidP="00FC0DFB">
      <w:pPr>
        <w:pStyle w:val="Prrafodelista"/>
        <w:widowControl w:val="0"/>
        <w:ind w:left="0"/>
        <w:rPr>
          <w:i/>
        </w:rPr>
      </w:pPr>
    </w:p>
    <w:p w14:paraId="74F68F54" w14:textId="77777777" w:rsidR="000C7B57" w:rsidRPr="00746ACE" w:rsidRDefault="000C7B57" w:rsidP="006A2C55">
      <w:pPr>
        <w:pStyle w:val="Prrafodelista"/>
        <w:widowControl w:val="0"/>
        <w:numPr>
          <w:ilvl w:val="0"/>
          <w:numId w:val="6"/>
        </w:numPr>
        <w:ind w:left="0" w:firstLine="0"/>
      </w:pPr>
      <w:r w:rsidRPr="00746ACE">
        <w:rPr>
          <w:i/>
        </w:rPr>
        <w:t>Corte Constitucional. Sentencias C-111 de 2023 y SU-388 de 2023</w:t>
      </w:r>
      <w:r w:rsidRPr="00746ACE">
        <w:t>. Son pronunciamientos que establecieron la viabilidad de presentar acción pública de inconstitucionalidad contra sentencias interpretativas de la JEP.</w:t>
      </w:r>
    </w:p>
    <w:p w14:paraId="4D5CD85B" w14:textId="77777777" w:rsidR="000C7B57" w:rsidRPr="00746ACE" w:rsidRDefault="000C7B57" w:rsidP="00FC0DFB">
      <w:pPr>
        <w:widowControl w:val="0"/>
      </w:pPr>
    </w:p>
    <w:p w14:paraId="37E763F7" w14:textId="77777777" w:rsidR="000C7B57" w:rsidRPr="00746ACE" w:rsidRDefault="000C7B57" w:rsidP="00FC0DFB">
      <w:pPr>
        <w:widowControl w:val="0"/>
      </w:pPr>
    </w:p>
    <w:sdt>
      <w:sdtPr>
        <w:rPr>
          <w:rFonts w:ascii="Times New Roman" w:eastAsiaTheme="minorEastAsia" w:hAnsi="Times New Roman" w:cs="Times New Roman"/>
          <w:b/>
          <w:color w:val="auto"/>
          <w:sz w:val="28"/>
          <w:szCs w:val="28"/>
          <w:lang w:val="es-ES" w:eastAsia="es-ES"/>
        </w:rPr>
        <w:id w:val="906514369"/>
        <w:docPartObj>
          <w:docPartGallery w:val="Table of Contents"/>
          <w:docPartUnique/>
        </w:docPartObj>
      </w:sdtPr>
      <w:sdtEndPr>
        <w:rPr>
          <w:smallCaps/>
          <w:lang w:eastAsia="en-US"/>
        </w:rPr>
      </w:sdtEndPr>
      <w:sdtContent>
        <w:p w14:paraId="0CBB4C2C" w14:textId="503E0DB7" w:rsidR="00BF16C7" w:rsidRPr="00746ACE" w:rsidRDefault="005F0835" w:rsidP="000B69F5">
          <w:pPr>
            <w:pStyle w:val="TtuloTDC"/>
            <w:keepNext w:val="0"/>
            <w:keepLines w:val="0"/>
            <w:widowControl w:val="0"/>
            <w:spacing w:before="0" w:line="240" w:lineRule="auto"/>
            <w:jc w:val="both"/>
            <w:rPr>
              <w:rFonts w:ascii="Times New Roman" w:hAnsi="Times New Roman" w:cs="Times New Roman"/>
              <w:b/>
              <w:smallCaps/>
              <w:color w:val="auto"/>
              <w:sz w:val="28"/>
              <w:szCs w:val="28"/>
              <w:lang w:val="es-ES"/>
            </w:rPr>
          </w:pPr>
          <w:r w:rsidRPr="00746ACE">
            <w:rPr>
              <w:rFonts w:ascii="Times New Roman" w:hAnsi="Times New Roman" w:cs="Times New Roman"/>
              <w:b/>
              <w:smallCaps/>
              <w:color w:val="auto"/>
              <w:sz w:val="28"/>
              <w:szCs w:val="28"/>
              <w:lang w:val="es-ES"/>
            </w:rPr>
            <w:t>Tabla de contenido</w:t>
          </w:r>
        </w:p>
        <w:p w14:paraId="3AA1EAB3" w14:textId="77777777" w:rsidR="0054259F" w:rsidRPr="00746ACE" w:rsidRDefault="0054259F" w:rsidP="00FC0DFB">
          <w:pPr>
            <w:widowControl w:val="0"/>
          </w:pPr>
        </w:p>
        <w:p w14:paraId="6BD9A132" w14:textId="3F63A2C5" w:rsidR="00C03C1A" w:rsidRPr="00746ACE" w:rsidRDefault="0054259F">
          <w:pPr>
            <w:pStyle w:val="TDC1"/>
            <w:tabs>
              <w:tab w:val="left" w:pos="560"/>
              <w:tab w:val="right" w:leader="dot" w:pos="8828"/>
            </w:tabs>
            <w:rPr>
              <w:rFonts w:eastAsiaTheme="minorEastAsia"/>
              <w:b w:val="0"/>
              <w:noProof/>
              <w:kern w:val="2"/>
              <w:sz w:val="28"/>
              <w:szCs w:val="24"/>
              <w:lang w:val="es-CO" w:eastAsia="es-MX"/>
            </w:rPr>
          </w:pPr>
          <w:r w:rsidRPr="00746ACE">
            <w:rPr>
              <w:smallCaps/>
              <w:sz w:val="28"/>
            </w:rPr>
            <w:fldChar w:fldCharType="begin"/>
          </w:r>
          <w:r w:rsidRPr="00746ACE">
            <w:rPr>
              <w:smallCaps/>
              <w:sz w:val="28"/>
            </w:rPr>
            <w:instrText xml:space="preserve"> TOC \o "1-3" \h \z \u </w:instrText>
          </w:r>
          <w:r w:rsidRPr="00746ACE">
            <w:rPr>
              <w:smallCaps/>
              <w:sz w:val="28"/>
            </w:rPr>
            <w:fldChar w:fldCharType="separate"/>
          </w:r>
          <w:hyperlink w:anchor="_Toc233384157" w:history="1">
            <w:r w:rsidR="00C03C1A" w:rsidRPr="00746ACE">
              <w:rPr>
                <w:rStyle w:val="Hipervnculo"/>
                <w:noProof/>
                <w:color w:val="auto"/>
                <w:sz w:val="28"/>
              </w:rPr>
              <w:t>I.</w:t>
            </w:r>
            <w:r w:rsidR="00C03C1A" w:rsidRPr="00746ACE">
              <w:rPr>
                <w:rFonts w:eastAsiaTheme="minorEastAsia"/>
                <w:b w:val="0"/>
                <w:noProof/>
                <w:kern w:val="2"/>
                <w:sz w:val="28"/>
                <w:szCs w:val="24"/>
                <w:lang w:val="es-CO" w:eastAsia="es-MX"/>
              </w:rPr>
              <w:tab/>
            </w:r>
            <w:r w:rsidR="00C03C1A" w:rsidRPr="00746ACE">
              <w:rPr>
                <w:rStyle w:val="Hipervnculo"/>
                <w:noProof/>
                <w:color w:val="auto"/>
                <w:sz w:val="28"/>
              </w:rPr>
              <w:t>ANTECEDENTES</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_Toc233384157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9</w:t>
            </w:r>
            <w:r w:rsidR="00C03C1A" w:rsidRPr="00746ACE">
              <w:rPr>
                <w:noProof/>
                <w:webHidden/>
                <w:sz w:val="28"/>
              </w:rPr>
              <w:fldChar w:fldCharType="end"/>
            </w:r>
          </w:hyperlink>
        </w:p>
        <w:p w14:paraId="1709F0F4" w14:textId="75D697CB" w:rsidR="00C03C1A" w:rsidRPr="00746ACE" w:rsidRDefault="00746ACE">
          <w:pPr>
            <w:pStyle w:val="TDC2"/>
            <w:rPr>
              <w:rFonts w:eastAsiaTheme="minorEastAsia"/>
              <w:noProof/>
              <w:kern w:val="2"/>
              <w:sz w:val="28"/>
              <w:szCs w:val="24"/>
              <w:lang w:val="es-CO" w:eastAsia="es-MX"/>
            </w:rPr>
          </w:pPr>
          <w:hyperlink w:anchor="_Toc233384158" w:history="1">
            <w:r w:rsidR="00C03C1A" w:rsidRPr="00746ACE">
              <w:rPr>
                <w:rStyle w:val="Hipervnculo"/>
                <w:bCs/>
                <w:noProof/>
                <w:color w:val="auto"/>
                <w:sz w:val="28"/>
              </w:rPr>
              <w:t>1.</w:t>
            </w:r>
            <w:r w:rsidR="00C03C1A" w:rsidRPr="00746ACE">
              <w:rPr>
                <w:rFonts w:eastAsiaTheme="minorEastAsia"/>
                <w:noProof/>
                <w:kern w:val="2"/>
                <w:sz w:val="28"/>
                <w:szCs w:val="24"/>
                <w:lang w:val="es-CO" w:eastAsia="es-MX"/>
              </w:rPr>
              <w:tab/>
            </w:r>
            <w:r w:rsidR="00C03C1A" w:rsidRPr="00746ACE">
              <w:rPr>
                <w:rStyle w:val="Hipervnculo"/>
                <w:noProof/>
                <w:color w:val="auto"/>
                <w:sz w:val="28"/>
              </w:rPr>
              <w:t>Demanda</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_Toc233384158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9</w:t>
            </w:r>
            <w:r w:rsidR="00C03C1A" w:rsidRPr="00746ACE">
              <w:rPr>
                <w:noProof/>
                <w:webHidden/>
                <w:sz w:val="28"/>
              </w:rPr>
              <w:fldChar w:fldCharType="end"/>
            </w:r>
          </w:hyperlink>
        </w:p>
        <w:p w14:paraId="736D88CB" w14:textId="0882E202" w:rsidR="00C03C1A" w:rsidRPr="00746ACE" w:rsidRDefault="00746ACE">
          <w:pPr>
            <w:pStyle w:val="TDC2"/>
            <w:rPr>
              <w:rFonts w:eastAsiaTheme="minorEastAsia"/>
              <w:noProof/>
              <w:kern w:val="2"/>
              <w:sz w:val="28"/>
              <w:szCs w:val="24"/>
              <w:lang w:val="es-CO" w:eastAsia="es-MX"/>
            </w:rPr>
          </w:pPr>
          <w:hyperlink w:anchor="_Toc233384159" w:history="1">
            <w:r w:rsidR="00C03C1A" w:rsidRPr="00746ACE">
              <w:rPr>
                <w:rStyle w:val="Hipervnculo"/>
                <w:bCs/>
                <w:noProof/>
                <w:color w:val="auto"/>
                <w:sz w:val="28"/>
              </w:rPr>
              <w:t>2.</w:t>
            </w:r>
            <w:r w:rsidR="00C03C1A" w:rsidRPr="00746ACE">
              <w:rPr>
                <w:rFonts w:eastAsiaTheme="minorEastAsia"/>
                <w:noProof/>
                <w:kern w:val="2"/>
                <w:sz w:val="28"/>
                <w:szCs w:val="24"/>
                <w:lang w:val="es-CO" w:eastAsia="es-MX"/>
              </w:rPr>
              <w:tab/>
            </w:r>
            <w:r w:rsidR="00C03C1A" w:rsidRPr="00746ACE">
              <w:rPr>
                <w:rStyle w:val="Hipervnculo"/>
                <w:noProof/>
                <w:color w:val="auto"/>
                <w:sz w:val="28"/>
              </w:rPr>
              <w:t>Norma demandada</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_Toc233384159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9</w:t>
            </w:r>
            <w:r w:rsidR="00C03C1A" w:rsidRPr="00746ACE">
              <w:rPr>
                <w:noProof/>
                <w:webHidden/>
                <w:sz w:val="28"/>
              </w:rPr>
              <w:fldChar w:fldCharType="end"/>
            </w:r>
          </w:hyperlink>
        </w:p>
        <w:p w14:paraId="4C25D0E0" w14:textId="4D594CCF" w:rsidR="00C03C1A" w:rsidRPr="00746ACE" w:rsidRDefault="00746ACE">
          <w:pPr>
            <w:pStyle w:val="TDC2"/>
            <w:rPr>
              <w:rFonts w:eastAsiaTheme="minorEastAsia"/>
              <w:noProof/>
              <w:kern w:val="2"/>
              <w:sz w:val="28"/>
              <w:szCs w:val="24"/>
              <w:lang w:val="es-CO" w:eastAsia="es-MX"/>
            </w:rPr>
          </w:pPr>
          <w:hyperlink w:anchor="_Toc233384160" w:history="1">
            <w:r w:rsidR="00C03C1A" w:rsidRPr="00746ACE">
              <w:rPr>
                <w:rStyle w:val="Hipervnculo"/>
                <w:bCs/>
                <w:noProof/>
                <w:color w:val="auto"/>
                <w:sz w:val="28"/>
              </w:rPr>
              <w:t>3.</w:t>
            </w:r>
            <w:r w:rsidR="00C03C1A" w:rsidRPr="00746ACE">
              <w:rPr>
                <w:rFonts w:eastAsiaTheme="minorEastAsia"/>
                <w:noProof/>
                <w:kern w:val="2"/>
                <w:sz w:val="28"/>
                <w:szCs w:val="24"/>
                <w:lang w:val="es-CO" w:eastAsia="es-MX"/>
              </w:rPr>
              <w:tab/>
            </w:r>
            <w:r w:rsidR="00C03C1A" w:rsidRPr="00746ACE">
              <w:rPr>
                <w:rStyle w:val="Hipervnculo"/>
                <w:noProof/>
                <w:color w:val="auto"/>
                <w:sz w:val="28"/>
              </w:rPr>
              <w:t>Cargos admitidos</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_Toc233384160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11</w:t>
            </w:r>
            <w:r w:rsidR="00C03C1A" w:rsidRPr="00746ACE">
              <w:rPr>
                <w:noProof/>
                <w:webHidden/>
                <w:sz w:val="28"/>
              </w:rPr>
              <w:fldChar w:fldCharType="end"/>
            </w:r>
          </w:hyperlink>
        </w:p>
        <w:p w14:paraId="61CB0840" w14:textId="59092389" w:rsidR="00C03C1A" w:rsidRPr="00746ACE" w:rsidRDefault="00746ACE">
          <w:pPr>
            <w:pStyle w:val="TDC2"/>
            <w:rPr>
              <w:rFonts w:eastAsiaTheme="minorEastAsia"/>
              <w:noProof/>
              <w:kern w:val="2"/>
              <w:sz w:val="28"/>
              <w:szCs w:val="24"/>
              <w:lang w:val="es-CO" w:eastAsia="es-MX"/>
            </w:rPr>
          </w:pPr>
          <w:hyperlink w:anchor="_Toc233384161" w:history="1">
            <w:r w:rsidR="00C03C1A" w:rsidRPr="00746ACE">
              <w:rPr>
                <w:rStyle w:val="Hipervnculo"/>
                <w:bCs/>
                <w:noProof/>
                <w:color w:val="auto"/>
                <w:sz w:val="28"/>
              </w:rPr>
              <w:t>4.</w:t>
            </w:r>
            <w:r w:rsidR="00C03C1A" w:rsidRPr="00746ACE">
              <w:rPr>
                <w:rFonts w:eastAsiaTheme="minorEastAsia"/>
                <w:noProof/>
                <w:kern w:val="2"/>
                <w:sz w:val="28"/>
                <w:szCs w:val="24"/>
                <w:lang w:val="es-CO" w:eastAsia="es-MX"/>
              </w:rPr>
              <w:tab/>
            </w:r>
            <w:r w:rsidR="00C03C1A" w:rsidRPr="00746ACE">
              <w:rPr>
                <w:rStyle w:val="Hipervnculo"/>
                <w:noProof/>
                <w:color w:val="auto"/>
                <w:sz w:val="28"/>
              </w:rPr>
              <w:t>Intervenciones</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_Toc233384161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12</w:t>
            </w:r>
            <w:r w:rsidR="00C03C1A" w:rsidRPr="00746ACE">
              <w:rPr>
                <w:noProof/>
                <w:webHidden/>
                <w:sz w:val="28"/>
              </w:rPr>
              <w:fldChar w:fldCharType="end"/>
            </w:r>
          </w:hyperlink>
        </w:p>
        <w:p w14:paraId="45086826" w14:textId="32907D99" w:rsidR="00C03C1A" w:rsidRPr="00746ACE" w:rsidRDefault="00746ACE">
          <w:pPr>
            <w:pStyle w:val="TDC2"/>
            <w:rPr>
              <w:rFonts w:eastAsiaTheme="minorEastAsia"/>
              <w:noProof/>
              <w:kern w:val="2"/>
              <w:sz w:val="28"/>
              <w:szCs w:val="24"/>
              <w:lang w:val="es-CO" w:eastAsia="es-MX"/>
            </w:rPr>
          </w:pPr>
          <w:hyperlink w:anchor="_Toc233384162" w:history="1">
            <w:r w:rsidR="00C03C1A" w:rsidRPr="00746ACE">
              <w:rPr>
                <w:rStyle w:val="Hipervnculo"/>
                <w:bCs/>
                <w:noProof/>
                <w:color w:val="auto"/>
                <w:sz w:val="28"/>
              </w:rPr>
              <w:t>5.</w:t>
            </w:r>
            <w:r w:rsidR="00C03C1A" w:rsidRPr="00746ACE">
              <w:rPr>
                <w:rFonts w:eastAsiaTheme="minorEastAsia"/>
                <w:noProof/>
                <w:kern w:val="2"/>
                <w:sz w:val="28"/>
                <w:szCs w:val="24"/>
                <w:lang w:val="es-CO" w:eastAsia="es-MX"/>
              </w:rPr>
              <w:tab/>
            </w:r>
            <w:r w:rsidR="00C03C1A" w:rsidRPr="00746ACE">
              <w:rPr>
                <w:rStyle w:val="Hipervnculo"/>
                <w:noProof/>
                <w:color w:val="auto"/>
                <w:sz w:val="28"/>
              </w:rPr>
              <w:t>Concepto del Ministerio Público</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_Toc233384162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13</w:t>
            </w:r>
            <w:r w:rsidR="00C03C1A" w:rsidRPr="00746ACE">
              <w:rPr>
                <w:noProof/>
                <w:webHidden/>
                <w:sz w:val="28"/>
              </w:rPr>
              <w:fldChar w:fldCharType="end"/>
            </w:r>
          </w:hyperlink>
        </w:p>
        <w:p w14:paraId="6E905F08" w14:textId="6858FCCD" w:rsidR="00C03C1A" w:rsidRPr="00746ACE" w:rsidRDefault="00746ACE">
          <w:pPr>
            <w:pStyle w:val="TDC2"/>
            <w:rPr>
              <w:rFonts w:eastAsiaTheme="minorEastAsia"/>
              <w:noProof/>
              <w:kern w:val="2"/>
              <w:sz w:val="28"/>
              <w:szCs w:val="24"/>
              <w:lang w:val="es-CO" w:eastAsia="es-MX"/>
            </w:rPr>
          </w:pPr>
          <w:hyperlink w:anchor="_Toc233384163" w:history="1">
            <w:r w:rsidR="00C03C1A" w:rsidRPr="00746ACE">
              <w:rPr>
                <w:rStyle w:val="Hipervnculo"/>
                <w:bCs/>
                <w:noProof/>
                <w:color w:val="auto"/>
                <w:sz w:val="28"/>
              </w:rPr>
              <w:t>6.</w:t>
            </w:r>
            <w:r w:rsidR="00C03C1A" w:rsidRPr="00746ACE">
              <w:rPr>
                <w:rFonts w:eastAsiaTheme="minorEastAsia"/>
                <w:noProof/>
                <w:kern w:val="2"/>
                <w:sz w:val="28"/>
                <w:szCs w:val="24"/>
                <w:lang w:val="es-CO" w:eastAsia="es-MX"/>
              </w:rPr>
              <w:tab/>
            </w:r>
            <w:r w:rsidR="00C03C1A" w:rsidRPr="00746ACE">
              <w:rPr>
                <w:rStyle w:val="Hipervnculo"/>
                <w:noProof/>
                <w:color w:val="auto"/>
                <w:sz w:val="28"/>
              </w:rPr>
              <w:t>Audiencia pública</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_Toc233384163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14</w:t>
            </w:r>
            <w:r w:rsidR="00C03C1A" w:rsidRPr="00746ACE">
              <w:rPr>
                <w:noProof/>
                <w:webHidden/>
                <w:sz w:val="28"/>
              </w:rPr>
              <w:fldChar w:fldCharType="end"/>
            </w:r>
          </w:hyperlink>
        </w:p>
        <w:p w14:paraId="339A9EF5" w14:textId="1A84BB0F" w:rsidR="00C03C1A" w:rsidRPr="00746ACE" w:rsidRDefault="00746ACE">
          <w:pPr>
            <w:pStyle w:val="TDC2"/>
            <w:rPr>
              <w:rFonts w:eastAsiaTheme="minorEastAsia"/>
              <w:noProof/>
              <w:kern w:val="2"/>
              <w:sz w:val="28"/>
              <w:szCs w:val="24"/>
              <w:lang w:val="es-CO" w:eastAsia="es-MX"/>
            </w:rPr>
          </w:pPr>
          <w:hyperlink w:anchor="_Toc233384164" w:history="1">
            <w:r w:rsidR="00C03C1A" w:rsidRPr="00746ACE">
              <w:rPr>
                <w:rStyle w:val="Hipervnculo"/>
                <w:bCs/>
                <w:noProof/>
                <w:color w:val="auto"/>
                <w:sz w:val="28"/>
              </w:rPr>
              <w:t>7.</w:t>
            </w:r>
            <w:r w:rsidR="00C03C1A" w:rsidRPr="00746ACE">
              <w:rPr>
                <w:rFonts w:eastAsiaTheme="minorEastAsia"/>
                <w:noProof/>
                <w:kern w:val="2"/>
                <w:sz w:val="28"/>
                <w:szCs w:val="24"/>
                <w:lang w:val="es-CO" w:eastAsia="es-MX"/>
              </w:rPr>
              <w:tab/>
            </w:r>
            <w:r w:rsidR="00C03C1A" w:rsidRPr="00746ACE">
              <w:rPr>
                <w:rStyle w:val="Hipervnculo"/>
                <w:noProof/>
                <w:color w:val="auto"/>
                <w:sz w:val="28"/>
              </w:rPr>
              <w:t>Sesión técnica con organizaciones de víctimas</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_Toc233384164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22</w:t>
            </w:r>
            <w:r w:rsidR="00C03C1A" w:rsidRPr="00746ACE">
              <w:rPr>
                <w:noProof/>
                <w:webHidden/>
                <w:sz w:val="28"/>
              </w:rPr>
              <w:fldChar w:fldCharType="end"/>
            </w:r>
          </w:hyperlink>
        </w:p>
        <w:p w14:paraId="4DD0E9CE" w14:textId="7D430D98" w:rsidR="00C03C1A" w:rsidRPr="00746ACE" w:rsidRDefault="00746ACE">
          <w:pPr>
            <w:pStyle w:val="TDC1"/>
            <w:tabs>
              <w:tab w:val="left" w:pos="560"/>
              <w:tab w:val="right" w:leader="dot" w:pos="8828"/>
            </w:tabs>
            <w:rPr>
              <w:rFonts w:eastAsiaTheme="minorEastAsia"/>
              <w:b w:val="0"/>
              <w:noProof/>
              <w:kern w:val="2"/>
              <w:sz w:val="28"/>
              <w:szCs w:val="24"/>
              <w:lang w:val="es-CO" w:eastAsia="es-MX"/>
            </w:rPr>
          </w:pPr>
          <w:hyperlink w:anchor="_Toc233384165" w:history="1">
            <w:r w:rsidR="00C03C1A" w:rsidRPr="00746ACE">
              <w:rPr>
                <w:rStyle w:val="Hipervnculo"/>
                <w:noProof/>
                <w:color w:val="auto"/>
                <w:sz w:val="28"/>
              </w:rPr>
              <w:t>II.</w:t>
            </w:r>
            <w:r w:rsidR="00C03C1A" w:rsidRPr="00746ACE">
              <w:rPr>
                <w:rFonts w:eastAsiaTheme="minorEastAsia"/>
                <w:b w:val="0"/>
                <w:noProof/>
                <w:kern w:val="2"/>
                <w:sz w:val="28"/>
                <w:szCs w:val="24"/>
                <w:lang w:val="es-CO" w:eastAsia="es-MX"/>
              </w:rPr>
              <w:tab/>
            </w:r>
            <w:r w:rsidR="00C03C1A" w:rsidRPr="00746ACE">
              <w:rPr>
                <w:rStyle w:val="Hipervnculo"/>
                <w:noProof/>
                <w:color w:val="auto"/>
                <w:sz w:val="28"/>
              </w:rPr>
              <w:t>PRIMERA PARTE. CONSIDERACIONES INTRODUCTORIAS SOBRE EL CONTROL DE CONSTITUCIONALIDAD DE LAS SENTENCIAS INTERPRETATIVAS DE LA JEP</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_Toc233384165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27</w:t>
            </w:r>
            <w:r w:rsidR="00C03C1A" w:rsidRPr="00746ACE">
              <w:rPr>
                <w:noProof/>
                <w:webHidden/>
                <w:sz w:val="28"/>
              </w:rPr>
              <w:fldChar w:fldCharType="end"/>
            </w:r>
          </w:hyperlink>
        </w:p>
        <w:p w14:paraId="62A664A4" w14:textId="521E556A" w:rsidR="00C03C1A" w:rsidRPr="00746ACE" w:rsidRDefault="00746ACE">
          <w:pPr>
            <w:pStyle w:val="TDC2"/>
            <w:rPr>
              <w:rFonts w:eastAsiaTheme="minorEastAsia"/>
              <w:noProof/>
              <w:kern w:val="2"/>
              <w:sz w:val="28"/>
              <w:szCs w:val="24"/>
              <w:lang w:val="es-CO" w:eastAsia="es-MX"/>
            </w:rPr>
          </w:pPr>
          <w:hyperlink w:anchor="_Toc233384166" w:history="1">
            <w:r w:rsidR="00C03C1A" w:rsidRPr="00746ACE">
              <w:rPr>
                <w:rStyle w:val="Hipervnculo"/>
                <w:bCs/>
                <w:noProof/>
                <w:color w:val="auto"/>
                <w:sz w:val="28"/>
              </w:rPr>
              <w:t>1.</w:t>
            </w:r>
            <w:r w:rsidR="00C03C1A" w:rsidRPr="00746ACE">
              <w:rPr>
                <w:rFonts w:eastAsiaTheme="minorEastAsia"/>
                <w:noProof/>
                <w:kern w:val="2"/>
                <w:sz w:val="28"/>
                <w:szCs w:val="24"/>
                <w:lang w:val="es-CO" w:eastAsia="es-MX"/>
              </w:rPr>
              <w:tab/>
            </w:r>
            <w:r w:rsidR="00C03C1A" w:rsidRPr="00746ACE">
              <w:rPr>
                <w:rStyle w:val="Hipervnculo"/>
                <w:noProof/>
                <w:color w:val="auto"/>
                <w:sz w:val="28"/>
              </w:rPr>
              <w:t>Premisas metodológicas</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_Toc233384166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27</w:t>
            </w:r>
            <w:r w:rsidR="00C03C1A" w:rsidRPr="00746ACE">
              <w:rPr>
                <w:noProof/>
                <w:webHidden/>
                <w:sz w:val="28"/>
              </w:rPr>
              <w:fldChar w:fldCharType="end"/>
            </w:r>
          </w:hyperlink>
        </w:p>
        <w:p w14:paraId="246FDB7F" w14:textId="02D60791" w:rsidR="00C03C1A" w:rsidRPr="00746ACE" w:rsidRDefault="00746ACE">
          <w:pPr>
            <w:pStyle w:val="TDC1"/>
            <w:tabs>
              <w:tab w:val="left" w:pos="560"/>
              <w:tab w:val="right" w:leader="dot" w:pos="8828"/>
            </w:tabs>
            <w:rPr>
              <w:rFonts w:eastAsiaTheme="minorEastAsia"/>
              <w:b w:val="0"/>
              <w:noProof/>
              <w:kern w:val="2"/>
              <w:sz w:val="28"/>
              <w:szCs w:val="24"/>
              <w:lang w:val="es-CO" w:eastAsia="es-MX"/>
            </w:rPr>
          </w:pPr>
          <w:hyperlink w:anchor="_Toc233384167" w:history="1">
            <w:r w:rsidR="00C03C1A" w:rsidRPr="00746ACE">
              <w:rPr>
                <w:rStyle w:val="Hipervnculo"/>
                <w:noProof/>
                <w:color w:val="auto"/>
                <w:sz w:val="28"/>
              </w:rPr>
              <w:t>III.</w:t>
            </w:r>
            <w:r w:rsidR="00C03C1A" w:rsidRPr="00746ACE">
              <w:rPr>
                <w:rFonts w:eastAsiaTheme="minorEastAsia"/>
                <w:b w:val="0"/>
                <w:noProof/>
                <w:kern w:val="2"/>
                <w:sz w:val="28"/>
                <w:szCs w:val="24"/>
                <w:lang w:val="es-CO" w:eastAsia="es-MX"/>
              </w:rPr>
              <w:tab/>
            </w:r>
            <w:r w:rsidR="00C03C1A" w:rsidRPr="00746ACE">
              <w:rPr>
                <w:rStyle w:val="Hipervnculo"/>
                <w:noProof/>
                <w:color w:val="auto"/>
                <w:sz w:val="28"/>
              </w:rPr>
              <w:t>SEGUNDA PARTE. CUESTIONES DE COMPETENCIA, TRÁMITE Y PROCEDENCIA DEL CONTROL</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_Toc233384167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29</w:t>
            </w:r>
            <w:r w:rsidR="00C03C1A" w:rsidRPr="00746ACE">
              <w:rPr>
                <w:noProof/>
                <w:webHidden/>
                <w:sz w:val="28"/>
              </w:rPr>
              <w:fldChar w:fldCharType="end"/>
            </w:r>
          </w:hyperlink>
        </w:p>
        <w:p w14:paraId="72444A89" w14:textId="09F99504" w:rsidR="00C03C1A" w:rsidRPr="00746ACE" w:rsidRDefault="00746ACE">
          <w:pPr>
            <w:pStyle w:val="TDC2"/>
            <w:rPr>
              <w:rFonts w:eastAsiaTheme="minorEastAsia"/>
              <w:noProof/>
              <w:kern w:val="2"/>
              <w:sz w:val="28"/>
              <w:szCs w:val="24"/>
              <w:lang w:val="es-CO" w:eastAsia="es-MX"/>
            </w:rPr>
          </w:pPr>
          <w:hyperlink w:anchor="_Toc233384168" w:history="1">
            <w:r w:rsidR="00C03C1A" w:rsidRPr="00746ACE">
              <w:rPr>
                <w:rStyle w:val="Hipervnculo"/>
                <w:bCs/>
                <w:noProof/>
                <w:color w:val="auto"/>
                <w:sz w:val="28"/>
              </w:rPr>
              <w:t>1.</w:t>
            </w:r>
            <w:r w:rsidR="00C03C1A" w:rsidRPr="00746ACE">
              <w:rPr>
                <w:rFonts w:eastAsiaTheme="minorEastAsia"/>
                <w:noProof/>
                <w:kern w:val="2"/>
                <w:sz w:val="28"/>
                <w:szCs w:val="24"/>
                <w:lang w:val="es-CO" w:eastAsia="es-MX"/>
              </w:rPr>
              <w:tab/>
            </w:r>
            <w:r w:rsidR="00C03C1A" w:rsidRPr="00746ACE">
              <w:rPr>
                <w:rStyle w:val="Hipervnculo"/>
                <w:noProof/>
                <w:color w:val="auto"/>
                <w:sz w:val="28"/>
              </w:rPr>
              <w:t>Competencia de la Corte Constitucional</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_Toc233384168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29</w:t>
            </w:r>
            <w:r w:rsidR="00C03C1A" w:rsidRPr="00746ACE">
              <w:rPr>
                <w:noProof/>
                <w:webHidden/>
                <w:sz w:val="28"/>
              </w:rPr>
              <w:fldChar w:fldCharType="end"/>
            </w:r>
          </w:hyperlink>
        </w:p>
        <w:p w14:paraId="40EC5AD6" w14:textId="2DB3D912" w:rsidR="00C03C1A" w:rsidRPr="00746ACE" w:rsidRDefault="00746ACE">
          <w:pPr>
            <w:pStyle w:val="TDC2"/>
            <w:rPr>
              <w:rFonts w:eastAsiaTheme="minorEastAsia"/>
              <w:noProof/>
              <w:kern w:val="2"/>
              <w:sz w:val="28"/>
              <w:szCs w:val="24"/>
              <w:lang w:val="es-CO" w:eastAsia="es-MX"/>
            </w:rPr>
          </w:pPr>
          <w:hyperlink w:anchor="_Toc233384169" w:history="1">
            <w:r w:rsidR="00C03C1A" w:rsidRPr="00746ACE">
              <w:rPr>
                <w:rStyle w:val="Hipervnculo"/>
                <w:bCs/>
                <w:noProof/>
                <w:color w:val="auto"/>
                <w:sz w:val="28"/>
              </w:rPr>
              <w:t>2.</w:t>
            </w:r>
            <w:r w:rsidR="00C03C1A" w:rsidRPr="00746ACE">
              <w:rPr>
                <w:rFonts w:eastAsiaTheme="minorEastAsia"/>
                <w:noProof/>
                <w:kern w:val="2"/>
                <w:sz w:val="28"/>
                <w:szCs w:val="24"/>
                <w:lang w:val="es-CO" w:eastAsia="es-MX"/>
              </w:rPr>
              <w:tab/>
            </w:r>
            <w:r w:rsidR="00C03C1A" w:rsidRPr="00746ACE">
              <w:rPr>
                <w:rStyle w:val="Hipervnculo"/>
                <w:noProof/>
                <w:color w:val="auto"/>
                <w:sz w:val="28"/>
              </w:rPr>
              <w:t>Las sentencias interpretativas en el orden constitucional y transicional</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_Toc233384169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30</w:t>
            </w:r>
            <w:r w:rsidR="00C03C1A" w:rsidRPr="00746ACE">
              <w:rPr>
                <w:noProof/>
                <w:webHidden/>
                <w:sz w:val="28"/>
              </w:rPr>
              <w:fldChar w:fldCharType="end"/>
            </w:r>
          </w:hyperlink>
        </w:p>
        <w:p w14:paraId="4665A154" w14:textId="4D194D40" w:rsidR="00C03C1A" w:rsidRPr="00746ACE" w:rsidRDefault="00746ACE">
          <w:pPr>
            <w:pStyle w:val="TDC2"/>
            <w:rPr>
              <w:rFonts w:eastAsiaTheme="minorEastAsia"/>
              <w:noProof/>
              <w:kern w:val="2"/>
              <w:sz w:val="28"/>
              <w:szCs w:val="24"/>
              <w:lang w:val="es-CO" w:eastAsia="es-MX"/>
            </w:rPr>
          </w:pPr>
          <w:hyperlink w:anchor="_Toc233384170" w:history="1">
            <w:r w:rsidR="00C03C1A" w:rsidRPr="00746ACE">
              <w:rPr>
                <w:rStyle w:val="Hipervnculo"/>
                <w:bCs/>
                <w:noProof/>
                <w:color w:val="auto"/>
                <w:sz w:val="28"/>
              </w:rPr>
              <w:t>3.</w:t>
            </w:r>
            <w:r w:rsidR="00C03C1A" w:rsidRPr="00746ACE">
              <w:rPr>
                <w:rFonts w:eastAsiaTheme="minorEastAsia"/>
                <w:noProof/>
                <w:kern w:val="2"/>
                <w:sz w:val="28"/>
                <w:szCs w:val="24"/>
                <w:lang w:val="es-CO" w:eastAsia="es-MX"/>
              </w:rPr>
              <w:tab/>
            </w:r>
            <w:r w:rsidR="00C03C1A" w:rsidRPr="00746ACE">
              <w:rPr>
                <w:rStyle w:val="Hipervnculo"/>
                <w:noProof/>
                <w:color w:val="auto"/>
                <w:sz w:val="28"/>
              </w:rPr>
              <w:t>La acción pública de inconstitucionalidad como mecanismo de control de sentencias interpretativas de la JEP</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_Toc233384170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31</w:t>
            </w:r>
            <w:r w:rsidR="00C03C1A" w:rsidRPr="00746ACE">
              <w:rPr>
                <w:noProof/>
                <w:webHidden/>
                <w:sz w:val="28"/>
              </w:rPr>
              <w:fldChar w:fldCharType="end"/>
            </w:r>
          </w:hyperlink>
        </w:p>
        <w:p w14:paraId="43EAE856" w14:textId="6F0D3909" w:rsidR="00C03C1A" w:rsidRPr="00746ACE" w:rsidRDefault="00746ACE">
          <w:pPr>
            <w:pStyle w:val="TDC2"/>
            <w:rPr>
              <w:rFonts w:eastAsiaTheme="minorEastAsia"/>
              <w:noProof/>
              <w:kern w:val="2"/>
              <w:sz w:val="28"/>
              <w:szCs w:val="24"/>
              <w:lang w:val="es-CO" w:eastAsia="es-MX"/>
            </w:rPr>
          </w:pPr>
          <w:hyperlink w:anchor="_Toc233384171" w:history="1">
            <w:r w:rsidR="00C03C1A" w:rsidRPr="00746ACE">
              <w:rPr>
                <w:rStyle w:val="Hipervnculo"/>
                <w:bCs/>
                <w:noProof/>
                <w:color w:val="auto"/>
                <w:sz w:val="28"/>
              </w:rPr>
              <w:t>4.</w:t>
            </w:r>
            <w:r w:rsidR="00C03C1A" w:rsidRPr="00746ACE">
              <w:rPr>
                <w:rFonts w:eastAsiaTheme="minorEastAsia"/>
                <w:noProof/>
                <w:kern w:val="2"/>
                <w:sz w:val="28"/>
                <w:szCs w:val="24"/>
                <w:lang w:val="es-CO" w:eastAsia="es-MX"/>
              </w:rPr>
              <w:tab/>
            </w:r>
            <w:r w:rsidR="00C03C1A" w:rsidRPr="00746ACE">
              <w:rPr>
                <w:rStyle w:val="Hipervnculo"/>
                <w:noProof/>
                <w:color w:val="auto"/>
                <w:sz w:val="28"/>
              </w:rPr>
              <w:t>Cosa juzgada constitucional</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_Toc233384171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35</w:t>
            </w:r>
            <w:r w:rsidR="00C03C1A" w:rsidRPr="00746ACE">
              <w:rPr>
                <w:noProof/>
                <w:webHidden/>
                <w:sz w:val="28"/>
              </w:rPr>
              <w:fldChar w:fldCharType="end"/>
            </w:r>
          </w:hyperlink>
        </w:p>
        <w:p w14:paraId="25DFF666" w14:textId="0ABD383F"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172" w:history="1">
            <w:r w:rsidR="00C03C1A" w:rsidRPr="00746ACE">
              <w:rPr>
                <w:rStyle w:val="Hipervnculo"/>
                <w:noProof/>
                <w:color w:val="auto"/>
                <w:sz w:val="28"/>
              </w:rPr>
              <w:t>a.</w:t>
            </w:r>
            <w:r w:rsidR="00C03C1A" w:rsidRPr="00746ACE">
              <w:rPr>
                <w:rFonts w:eastAsiaTheme="minorEastAsia"/>
                <w:noProof/>
                <w:kern w:val="2"/>
                <w:sz w:val="28"/>
                <w:szCs w:val="24"/>
                <w:lang w:val="es-CO" w:eastAsia="es-MX"/>
              </w:rPr>
              <w:tab/>
            </w:r>
            <w:r w:rsidR="00C03C1A" w:rsidRPr="00746ACE">
              <w:rPr>
                <w:rStyle w:val="Hipervnculo"/>
                <w:noProof/>
                <w:color w:val="auto"/>
                <w:sz w:val="28"/>
              </w:rPr>
              <w:t>Reglas generales sobre la cosa juzgada constitucional</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_Toc233384172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35</w:t>
            </w:r>
            <w:r w:rsidR="00C03C1A" w:rsidRPr="00746ACE">
              <w:rPr>
                <w:noProof/>
                <w:webHidden/>
                <w:sz w:val="28"/>
              </w:rPr>
              <w:fldChar w:fldCharType="end"/>
            </w:r>
          </w:hyperlink>
        </w:p>
        <w:p w14:paraId="1BFC61A7" w14:textId="2521A50E" w:rsidR="00C03C1A" w:rsidRPr="00746ACE" w:rsidRDefault="00746ACE">
          <w:pPr>
            <w:pStyle w:val="TDC3"/>
            <w:tabs>
              <w:tab w:val="left" w:pos="1200"/>
              <w:tab w:val="right" w:leader="dot" w:pos="8828"/>
            </w:tabs>
            <w:rPr>
              <w:rFonts w:eastAsiaTheme="minorEastAsia"/>
              <w:noProof/>
              <w:kern w:val="2"/>
              <w:sz w:val="28"/>
              <w:szCs w:val="24"/>
              <w:lang w:val="es-CO" w:eastAsia="es-MX"/>
            </w:rPr>
          </w:pPr>
          <w:hyperlink w:anchor="_Toc233384173" w:history="1">
            <w:r w:rsidR="00C03C1A" w:rsidRPr="00746ACE">
              <w:rPr>
                <w:rStyle w:val="Hipervnculo"/>
                <w:noProof/>
                <w:color w:val="auto"/>
                <w:sz w:val="28"/>
              </w:rPr>
              <w:t>b.</w:t>
            </w:r>
            <w:r w:rsidR="00C03C1A" w:rsidRPr="00746ACE">
              <w:rPr>
                <w:rFonts w:eastAsiaTheme="minorEastAsia"/>
                <w:noProof/>
                <w:kern w:val="2"/>
                <w:sz w:val="28"/>
                <w:szCs w:val="24"/>
                <w:lang w:val="es-CO" w:eastAsia="es-MX"/>
              </w:rPr>
              <w:tab/>
            </w:r>
            <w:r w:rsidR="00C03C1A" w:rsidRPr="00746ACE">
              <w:rPr>
                <w:rStyle w:val="Hipervnculo"/>
                <w:noProof/>
                <w:color w:val="auto"/>
                <w:sz w:val="28"/>
              </w:rPr>
              <w:t>Posibilidad excepcional de dictar un nuevo pronunciamiento, ante la existencia de cosa juzgada constitucional</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_Toc233384173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36</w:t>
            </w:r>
            <w:r w:rsidR="00C03C1A" w:rsidRPr="00746ACE">
              <w:rPr>
                <w:noProof/>
                <w:webHidden/>
                <w:sz w:val="28"/>
              </w:rPr>
              <w:fldChar w:fldCharType="end"/>
            </w:r>
          </w:hyperlink>
        </w:p>
        <w:p w14:paraId="3C3AF8CB" w14:textId="3B0EAE99"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174" w:history="1">
            <w:r w:rsidR="00C03C1A" w:rsidRPr="00746ACE">
              <w:rPr>
                <w:rStyle w:val="Hipervnculo"/>
                <w:noProof/>
                <w:color w:val="auto"/>
                <w:sz w:val="28"/>
                <w:lang w:eastAsia="es-CO"/>
              </w:rPr>
              <w:t>c.</w:t>
            </w:r>
            <w:r w:rsidR="00C03C1A" w:rsidRPr="00746ACE">
              <w:rPr>
                <w:rFonts w:eastAsiaTheme="minorEastAsia"/>
                <w:noProof/>
                <w:kern w:val="2"/>
                <w:sz w:val="28"/>
                <w:szCs w:val="24"/>
                <w:lang w:val="es-CO" w:eastAsia="es-MX"/>
              </w:rPr>
              <w:tab/>
            </w:r>
            <w:r w:rsidR="00C03C1A" w:rsidRPr="00746ACE">
              <w:rPr>
                <w:rStyle w:val="Hipervnculo"/>
                <w:noProof/>
                <w:color w:val="auto"/>
                <w:sz w:val="28"/>
                <w:lang w:eastAsia="es-CO"/>
              </w:rPr>
              <w:t>Inexistencia de cosa juzgada en el caso concreto</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_Toc233384174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37</w:t>
            </w:r>
            <w:r w:rsidR="00C03C1A" w:rsidRPr="00746ACE">
              <w:rPr>
                <w:noProof/>
                <w:webHidden/>
                <w:sz w:val="28"/>
              </w:rPr>
              <w:fldChar w:fldCharType="end"/>
            </w:r>
          </w:hyperlink>
        </w:p>
        <w:p w14:paraId="3D675545" w14:textId="4BB76005" w:rsidR="00C03C1A" w:rsidRPr="00746ACE" w:rsidRDefault="00746ACE">
          <w:pPr>
            <w:pStyle w:val="TDC2"/>
            <w:rPr>
              <w:rFonts w:eastAsiaTheme="minorEastAsia"/>
              <w:noProof/>
              <w:kern w:val="2"/>
              <w:sz w:val="28"/>
              <w:szCs w:val="24"/>
              <w:lang w:val="es-CO" w:eastAsia="es-MX"/>
            </w:rPr>
          </w:pPr>
          <w:hyperlink w:anchor="_Toc233384175" w:history="1">
            <w:r w:rsidR="00C03C1A" w:rsidRPr="00746ACE">
              <w:rPr>
                <w:rStyle w:val="Hipervnculo"/>
                <w:bCs/>
                <w:noProof/>
                <w:color w:val="auto"/>
                <w:sz w:val="28"/>
              </w:rPr>
              <w:t>5.</w:t>
            </w:r>
            <w:r w:rsidR="00C03C1A" w:rsidRPr="00746ACE">
              <w:rPr>
                <w:rFonts w:eastAsiaTheme="minorEastAsia"/>
                <w:noProof/>
                <w:kern w:val="2"/>
                <w:sz w:val="28"/>
                <w:szCs w:val="24"/>
                <w:lang w:val="es-CO" w:eastAsia="es-MX"/>
              </w:rPr>
              <w:tab/>
            </w:r>
            <w:r w:rsidR="00C03C1A" w:rsidRPr="00746ACE">
              <w:rPr>
                <w:rStyle w:val="Hipervnculo"/>
                <w:noProof/>
                <w:color w:val="auto"/>
                <w:sz w:val="28"/>
              </w:rPr>
              <w:t>Aptitud de la demanda</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_Toc233384175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38</w:t>
            </w:r>
            <w:r w:rsidR="00C03C1A" w:rsidRPr="00746ACE">
              <w:rPr>
                <w:noProof/>
                <w:webHidden/>
                <w:sz w:val="28"/>
              </w:rPr>
              <w:fldChar w:fldCharType="end"/>
            </w:r>
          </w:hyperlink>
        </w:p>
        <w:p w14:paraId="403F0385" w14:textId="6AB4FC09"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176" w:history="1">
            <w:r w:rsidR="00C03C1A" w:rsidRPr="00746ACE">
              <w:rPr>
                <w:rStyle w:val="Hipervnculo"/>
                <w:noProof/>
                <w:color w:val="auto"/>
                <w:sz w:val="28"/>
              </w:rPr>
              <w:t>a.</w:t>
            </w:r>
            <w:r w:rsidR="00C03C1A" w:rsidRPr="00746ACE">
              <w:rPr>
                <w:rFonts w:eastAsiaTheme="minorEastAsia"/>
                <w:noProof/>
                <w:kern w:val="2"/>
                <w:sz w:val="28"/>
                <w:szCs w:val="24"/>
                <w:lang w:val="es-CO" w:eastAsia="es-MX"/>
              </w:rPr>
              <w:tab/>
            </w:r>
            <w:r w:rsidR="00C03C1A" w:rsidRPr="00746ACE">
              <w:rPr>
                <w:rStyle w:val="Hipervnculo"/>
                <w:noProof/>
                <w:color w:val="auto"/>
                <w:sz w:val="28"/>
              </w:rPr>
              <w:t>La demanda presentada contra la Senit 5 cumple las cargas argumentativas necesarias para iniciar un estudio de fondo</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_Toc233384176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40</w:t>
            </w:r>
            <w:r w:rsidR="00C03C1A" w:rsidRPr="00746ACE">
              <w:rPr>
                <w:noProof/>
                <w:webHidden/>
                <w:sz w:val="28"/>
              </w:rPr>
              <w:fldChar w:fldCharType="end"/>
            </w:r>
          </w:hyperlink>
        </w:p>
        <w:p w14:paraId="4C76DBC9" w14:textId="76D730FC" w:rsidR="00C03C1A" w:rsidRPr="00746ACE" w:rsidRDefault="00746ACE">
          <w:pPr>
            <w:pStyle w:val="TDC3"/>
            <w:tabs>
              <w:tab w:val="left" w:pos="1200"/>
              <w:tab w:val="right" w:leader="dot" w:pos="8828"/>
            </w:tabs>
            <w:rPr>
              <w:rFonts w:eastAsiaTheme="minorEastAsia"/>
              <w:noProof/>
              <w:kern w:val="2"/>
              <w:sz w:val="28"/>
              <w:szCs w:val="24"/>
              <w:lang w:val="es-CO" w:eastAsia="es-MX"/>
            </w:rPr>
          </w:pPr>
          <w:hyperlink w:anchor="_Toc233384177" w:history="1">
            <w:r w:rsidR="00C03C1A" w:rsidRPr="00746ACE">
              <w:rPr>
                <w:rStyle w:val="Hipervnculo"/>
                <w:noProof/>
                <w:color w:val="auto"/>
                <w:sz w:val="28"/>
              </w:rPr>
              <w:t>b.</w:t>
            </w:r>
            <w:r w:rsidR="00C03C1A" w:rsidRPr="00746ACE">
              <w:rPr>
                <w:rFonts w:eastAsiaTheme="minorEastAsia"/>
                <w:noProof/>
                <w:kern w:val="2"/>
                <w:sz w:val="28"/>
                <w:szCs w:val="24"/>
                <w:lang w:val="es-CO" w:eastAsia="es-MX"/>
              </w:rPr>
              <w:tab/>
            </w:r>
            <w:r w:rsidR="00C03C1A" w:rsidRPr="00746ACE">
              <w:rPr>
                <w:rStyle w:val="Hipervnculo"/>
                <w:noProof/>
                <w:color w:val="auto"/>
                <w:sz w:val="28"/>
              </w:rPr>
              <w:t>Ineptitud sobreviniente parcial del cargo quinto: violación del derecho al debido proceso, y de los principios de proporcionalidad e igualdad</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_Toc233384177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43</w:t>
            </w:r>
            <w:r w:rsidR="00C03C1A" w:rsidRPr="00746ACE">
              <w:rPr>
                <w:noProof/>
                <w:webHidden/>
                <w:sz w:val="28"/>
              </w:rPr>
              <w:fldChar w:fldCharType="end"/>
            </w:r>
          </w:hyperlink>
        </w:p>
        <w:p w14:paraId="06DA7907" w14:textId="01FCC96B"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178" w:history="1">
            <w:r w:rsidR="00C03C1A" w:rsidRPr="00746ACE">
              <w:rPr>
                <w:rStyle w:val="Hipervnculo"/>
                <w:b/>
                <w:noProof/>
                <w:color w:val="auto"/>
                <w:sz w:val="28"/>
              </w:rPr>
              <w:t>c.</w:t>
            </w:r>
            <w:r w:rsidR="00C03C1A" w:rsidRPr="00746ACE">
              <w:rPr>
                <w:rFonts w:eastAsiaTheme="minorEastAsia"/>
                <w:noProof/>
                <w:kern w:val="2"/>
                <w:sz w:val="28"/>
                <w:szCs w:val="24"/>
                <w:lang w:val="es-CO" w:eastAsia="es-MX"/>
              </w:rPr>
              <w:tab/>
            </w:r>
            <w:r w:rsidR="00C03C1A" w:rsidRPr="00746ACE">
              <w:rPr>
                <w:rStyle w:val="Hipervnculo"/>
                <w:noProof/>
                <w:color w:val="auto"/>
                <w:sz w:val="28"/>
              </w:rPr>
              <w:t>Ineptitud sobreviniente del cargo por violación del debido proceso por la exigencia de reconocer responsabilidad para los partícipes no determinantes que cuentan con una condena en firme de la justicia penal ordinaria</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_Toc233384178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45</w:t>
            </w:r>
            <w:r w:rsidR="00C03C1A" w:rsidRPr="00746ACE">
              <w:rPr>
                <w:noProof/>
                <w:webHidden/>
                <w:sz w:val="28"/>
              </w:rPr>
              <w:fldChar w:fldCharType="end"/>
            </w:r>
          </w:hyperlink>
        </w:p>
        <w:p w14:paraId="0661AE34" w14:textId="60009D1E" w:rsidR="00C03C1A" w:rsidRPr="00746ACE" w:rsidRDefault="00746ACE">
          <w:pPr>
            <w:pStyle w:val="TDC2"/>
            <w:rPr>
              <w:rFonts w:eastAsiaTheme="minorEastAsia"/>
              <w:noProof/>
              <w:kern w:val="2"/>
              <w:sz w:val="28"/>
              <w:szCs w:val="24"/>
              <w:lang w:val="es-CO" w:eastAsia="es-MX"/>
            </w:rPr>
          </w:pPr>
          <w:hyperlink w:anchor="_Toc233384179" w:history="1">
            <w:r w:rsidR="00C03C1A" w:rsidRPr="00746ACE">
              <w:rPr>
                <w:rStyle w:val="Hipervnculo"/>
                <w:bCs/>
                <w:noProof/>
                <w:color w:val="auto"/>
                <w:sz w:val="28"/>
              </w:rPr>
              <w:t>6.</w:t>
            </w:r>
            <w:r w:rsidR="00C03C1A" w:rsidRPr="00746ACE">
              <w:rPr>
                <w:rFonts w:eastAsiaTheme="minorEastAsia"/>
                <w:noProof/>
                <w:kern w:val="2"/>
                <w:sz w:val="28"/>
                <w:szCs w:val="24"/>
                <w:lang w:val="es-CO" w:eastAsia="es-MX"/>
              </w:rPr>
              <w:tab/>
            </w:r>
            <w:r w:rsidR="00C03C1A" w:rsidRPr="00746ACE">
              <w:rPr>
                <w:rStyle w:val="Hipervnculo"/>
                <w:noProof/>
                <w:color w:val="auto"/>
                <w:sz w:val="28"/>
              </w:rPr>
              <w:t>Integración de la unidad normativa</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_Toc233384179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47</w:t>
            </w:r>
            <w:r w:rsidR="00C03C1A" w:rsidRPr="00746ACE">
              <w:rPr>
                <w:noProof/>
                <w:webHidden/>
                <w:sz w:val="28"/>
              </w:rPr>
              <w:fldChar w:fldCharType="end"/>
            </w:r>
          </w:hyperlink>
        </w:p>
        <w:p w14:paraId="6C64BE41" w14:textId="7B1E1F00" w:rsidR="00C03C1A" w:rsidRPr="00746ACE" w:rsidRDefault="00746ACE">
          <w:pPr>
            <w:pStyle w:val="TDC1"/>
            <w:tabs>
              <w:tab w:val="left" w:pos="560"/>
              <w:tab w:val="right" w:leader="dot" w:pos="8828"/>
            </w:tabs>
            <w:rPr>
              <w:rFonts w:eastAsiaTheme="minorEastAsia"/>
              <w:b w:val="0"/>
              <w:noProof/>
              <w:kern w:val="2"/>
              <w:sz w:val="28"/>
              <w:szCs w:val="24"/>
              <w:lang w:val="es-CO" w:eastAsia="es-MX"/>
            </w:rPr>
          </w:pPr>
          <w:hyperlink w:anchor="_Toc233384180" w:history="1">
            <w:r w:rsidR="00C03C1A" w:rsidRPr="00746ACE">
              <w:rPr>
                <w:rStyle w:val="Hipervnculo"/>
                <w:noProof/>
                <w:color w:val="auto"/>
                <w:sz w:val="28"/>
              </w:rPr>
              <w:t>IV.</w:t>
            </w:r>
            <w:r w:rsidR="00C03C1A" w:rsidRPr="00746ACE">
              <w:rPr>
                <w:rFonts w:eastAsiaTheme="minorEastAsia"/>
                <w:b w:val="0"/>
                <w:noProof/>
                <w:kern w:val="2"/>
                <w:sz w:val="28"/>
                <w:szCs w:val="24"/>
                <w:lang w:val="es-CO" w:eastAsia="es-MX"/>
              </w:rPr>
              <w:tab/>
            </w:r>
            <w:r w:rsidR="00C03C1A" w:rsidRPr="00746ACE">
              <w:rPr>
                <w:rStyle w:val="Hipervnculo"/>
                <w:noProof/>
                <w:color w:val="auto"/>
                <w:sz w:val="28"/>
              </w:rPr>
              <w:t>PROBLEMAS JURÍDICOS</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_Toc233384180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48</w:t>
            </w:r>
            <w:r w:rsidR="00C03C1A" w:rsidRPr="00746ACE">
              <w:rPr>
                <w:noProof/>
                <w:webHidden/>
                <w:sz w:val="28"/>
              </w:rPr>
              <w:fldChar w:fldCharType="end"/>
            </w:r>
          </w:hyperlink>
        </w:p>
        <w:p w14:paraId="6FE3BABF" w14:textId="65A77004" w:rsidR="00C03C1A" w:rsidRPr="00746ACE" w:rsidRDefault="00746ACE">
          <w:pPr>
            <w:pStyle w:val="TDC1"/>
            <w:tabs>
              <w:tab w:val="left" w:pos="560"/>
              <w:tab w:val="right" w:leader="dot" w:pos="8828"/>
            </w:tabs>
            <w:rPr>
              <w:rFonts w:eastAsiaTheme="minorEastAsia"/>
              <w:b w:val="0"/>
              <w:noProof/>
              <w:kern w:val="2"/>
              <w:sz w:val="28"/>
              <w:szCs w:val="24"/>
              <w:lang w:val="es-CO" w:eastAsia="es-MX"/>
            </w:rPr>
          </w:pPr>
          <w:hyperlink w:anchor="_Toc233384181" w:history="1">
            <w:r w:rsidR="00C03C1A" w:rsidRPr="00746ACE">
              <w:rPr>
                <w:rStyle w:val="Hipervnculo"/>
                <w:noProof/>
                <w:color w:val="auto"/>
                <w:sz w:val="28"/>
              </w:rPr>
              <w:t>V.</w:t>
            </w:r>
            <w:r w:rsidR="00C03C1A" w:rsidRPr="00746ACE">
              <w:rPr>
                <w:rFonts w:eastAsiaTheme="minorEastAsia"/>
                <w:b w:val="0"/>
                <w:noProof/>
                <w:kern w:val="2"/>
                <w:sz w:val="28"/>
                <w:szCs w:val="24"/>
                <w:lang w:val="es-CO" w:eastAsia="es-MX"/>
              </w:rPr>
              <w:tab/>
            </w:r>
            <w:r w:rsidR="00C03C1A" w:rsidRPr="00746ACE">
              <w:rPr>
                <w:rStyle w:val="Hipervnculo"/>
                <w:noProof/>
                <w:color w:val="auto"/>
                <w:sz w:val="28"/>
              </w:rPr>
              <w:t>TERCERA PARTE. JURISPRUDENCIA Y FUNDAMENTOS JURÍDICOS RELEVANTES</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_Toc233384181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49</w:t>
            </w:r>
            <w:r w:rsidR="00C03C1A" w:rsidRPr="00746ACE">
              <w:rPr>
                <w:noProof/>
                <w:webHidden/>
                <w:sz w:val="28"/>
              </w:rPr>
              <w:fldChar w:fldCharType="end"/>
            </w:r>
          </w:hyperlink>
        </w:p>
        <w:p w14:paraId="0E802A40" w14:textId="6D225B2E" w:rsidR="00C03C1A" w:rsidRPr="00746ACE" w:rsidRDefault="00746ACE">
          <w:pPr>
            <w:pStyle w:val="TDC2"/>
            <w:rPr>
              <w:rFonts w:eastAsiaTheme="minorEastAsia"/>
              <w:noProof/>
              <w:kern w:val="2"/>
              <w:sz w:val="28"/>
              <w:szCs w:val="24"/>
              <w:lang w:val="es-CO" w:eastAsia="es-MX"/>
            </w:rPr>
          </w:pPr>
          <w:hyperlink w:anchor="_Toc233384182" w:history="1">
            <w:r w:rsidR="00C03C1A" w:rsidRPr="00746ACE">
              <w:rPr>
                <w:rStyle w:val="Hipervnculo"/>
                <w:bCs/>
                <w:noProof/>
                <w:color w:val="auto"/>
                <w:sz w:val="28"/>
              </w:rPr>
              <w:t>1.</w:t>
            </w:r>
            <w:r w:rsidR="00C03C1A" w:rsidRPr="00746ACE">
              <w:rPr>
                <w:rFonts w:eastAsiaTheme="minorEastAsia"/>
                <w:noProof/>
                <w:kern w:val="2"/>
                <w:sz w:val="28"/>
                <w:szCs w:val="24"/>
                <w:lang w:val="es-CO" w:eastAsia="es-MX"/>
              </w:rPr>
              <w:tab/>
            </w:r>
            <w:r w:rsidR="00C03C1A" w:rsidRPr="00746ACE">
              <w:rPr>
                <w:rStyle w:val="Hipervnculo"/>
                <w:noProof/>
                <w:color w:val="auto"/>
                <w:sz w:val="28"/>
              </w:rPr>
              <w:t xml:space="preserve">La justicia </w:t>
            </w:r>
            <w:r w:rsidR="00C03C1A" w:rsidRPr="00746ACE">
              <w:rPr>
                <w:rStyle w:val="Hipervnculo"/>
                <w:rFonts w:eastAsia="Times New Roman"/>
                <w:noProof/>
                <w:color w:val="auto"/>
                <w:sz w:val="28"/>
              </w:rPr>
              <w:t>transicional</w:t>
            </w:r>
            <w:r w:rsidR="00C03C1A" w:rsidRPr="00746ACE">
              <w:rPr>
                <w:rStyle w:val="Hipervnculo"/>
                <w:noProof/>
                <w:color w:val="auto"/>
                <w:sz w:val="28"/>
              </w:rPr>
              <w:t xml:space="preserve"> restaurativa</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_Toc233384182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49</w:t>
            </w:r>
            <w:r w:rsidR="00C03C1A" w:rsidRPr="00746ACE">
              <w:rPr>
                <w:noProof/>
                <w:webHidden/>
                <w:sz w:val="28"/>
              </w:rPr>
              <w:fldChar w:fldCharType="end"/>
            </w:r>
          </w:hyperlink>
        </w:p>
        <w:p w14:paraId="65E18C46" w14:textId="57D484E5" w:rsidR="00C03C1A" w:rsidRPr="00746ACE" w:rsidRDefault="00746ACE">
          <w:pPr>
            <w:pStyle w:val="TDC2"/>
            <w:rPr>
              <w:rFonts w:eastAsiaTheme="minorEastAsia"/>
              <w:noProof/>
              <w:kern w:val="2"/>
              <w:sz w:val="28"/>
              <w:szCs w:val="24"/>
              <w:lang w:val="es-CO" w:eastAsia="es-MX"/>
            </w:rPr>
          </w:pPr>
          <w:hyperlink w:anchor="_Toc233384183" w:history="1">
            <w:r w:rsidR="00C03C1A" w:rsidRPr="00746ACE">
              <w:rPr>
                <w:rStyle w:val="Hipervnculo"/>
                <w:bCs/>
                <w:noProof/>
                <w:color w:val="auto"/>
                <w:sz w:val="28"/>
                <w:lang w:eastAsia="es-ES"/>
              </w:rPr>
              <w:t>2.</w:t>
            </w:r>
            <w:r w:rsidR="00C03C1A" w:rsidRPr="00746ACE">
              <w:rPr>
                <w:rFonts w:eastAsiaTheme="minorEastAsia"/>
                <w:noProof/>
                <w:kern w:val="2"/>
                <w:sz w:val="28"/>
                <w:szCs w:val="24"/>
                <w:lang w:val="es-CO" w:eastAsia="es-MX"/>
              </w:rPr>
              <w:tab/>
            </w:r>
            <w:r w:rsidR="00C03C1A" w:rsidRPr="00746ACE">
              <w:rPr>
                <w:rStyle w:val="Hipervnculo"/>
                <w:rFonts w:eastAsia="Times New Roman"/>
                <w:noProof/>
                <w:color w:val="auto"/>
                <w:sz w:val="28"/>
              </w:rPr>
              <w:t>El</w:t>
            </w:r>
            <w:r w:rsidR="00C03C1A" w:rsidRPr="00746ACE">
              <w:rPr>
                <w:rStyle w:val="Hipervnculo"/>
                <w:noProof/>
                <w:color w:val="auto"/>
                <w:sz w:val="28"/>
                <w:lang w:eastAsia="es-ES"/>
              </w:rPr>
              <w:t xml:space="preserve"> principio de legalidad, generalidades, derecho penal y justicia transicional</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_Toc233384183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53</w:t>
            </w:r>
            <w:r w:rsidR="00C03C1A" w:rsidRPr="00746ACE">
              <w:rPr>
                <w:noProof/>
                <w:webHidden/>
                <w:sz w:val="28"/>
              </w:rPr>
              <w:fldChar w:fldCharType="end"/>
            </w:r>
          </w:hyperlink>
        </w:p>
        <w:p w14:paraId="18CF4E05" w14:textId="52F666AC"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184" w:history="1">
            <w:r w:rsidR="00C03C1A" w:rsidRPr="00746ACE">
              <w:rPr>
                <w:rStyle w:val="Hipervnculo"/>
                <w:noProof/>
                <w:color w:val="auto"/>
                <w:sz w:val="28"/>
              </w:rPr>
              <w:t>a.</w:t>
            </w:r>
            <w:r w:rsidR="00C03C1A" w:rsidRPr="00746ACE">
              <w:rPr>
                <w:rFonts w:eastAsiaTheme="minorEastAsia"/>
                <w:noProof/>
                <w:kern w:val="2"/>
                <w:sz w:val="28"/>
                <w:szCs w:val="24"/>
                <w:lang w:val="es-CO" w:eastAsia="es-MX"/>
              </w:rPr>
              <w:tab/>
            </w:r>
            <w:r w:rsidR="00C03C1A" w:rsidRPr="00746ACE">
              <w:rPr>
                <w:rStyle w:val="Hipervnculo"/>
                <w:noProof/>
                <w:color w:val="auto"/>
                <w:sz w:val="28"/>
              </w:rPr>
              <w:t>El principio de legalidad como interdicción de la arbitrariedad y fundamento del estado de derecho</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_Toc233384184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53</w:t>
            </w:r>
            <w:r w:rsidR="00C03C1A" w:rsidRPr="00746ACE">
              <w:rPr>
                <w:noProof/>
                <w:webHidden/>
                <w:sz w:val="28"/>
              </w:rPr>
              <w:fldChar w:fldCharType="end"/>
            </w:r>
          </w:hyperlink>
        </w:p>
        <w:p w14:paraId="63F0E191" w14:textId="5C01482D" w:rsidR="00C03C1A" w:rsidRPr="00746ACE" w:rsidRDefault="00746ACE">
          <w:pPr>
            <w:pStyle w:val="TDC3"/>
            <w:tabs>
              <w:tab w:val="left" w:pos="1200"/>
              <w:tab w:val="right" w:leader="dot" w:pos="8828"/>
            </w:tabs>
            <w:rPr>
              <w:rFonts w:eastAsiaTheme="minorEastAsia"/>
              <w:noProof/>
              <w:kern w:val="2"/>
              <w:sz w:val="28"/>
              <w:szCs w:val="24"/>
              <w:lang w:val="es-CO" w:eastAsia="es-MX"/>
            </w:rPr>
          </w:pPr>
          <w:hyperlink w:anchor="_Toc233384185" w:history="1">
            <w:r w:rsidR="00C03C1A" w:rsidRPr="00746ACE">
              <w:rPr>
                <w:rStyle w:val="Hipervnculo"/>
                <w:noProof/>
                <w:color w:val="auto"/>
                <w:sz w:val="28"/>
              </w:rPr>
              <w:t>b.</w:t>
            </w:r>
            <w:r w:rsidR="00C03C1A" w:rsidRPr="00746ACE">
              <w:rPr>
                <w:rFonts w:eastAsiaTheme="minorEastAsia"/>
                <w:noProof/>
                <w:kern w:val="2"/>
                <w:sz w:val="28"/>
                <w:szCs w:val="24"/>
                <w:lang w:val="es-CO" w:eastAsia="es-MX"/>
              </w:rPr>
              <w:tab/>
            </w:r>
            <w:r w:rsidR="00C03C1A" w:rsidRPr="00746ACE">
              <w:rPr>
                <w:rStyle w:val="Hipervnculo"/>
                <w:noProof/>
                <w:color w:val="auto"/>
                <w:sz w:val="28"/>
              </w:rPr>
              <w:t>Principio de legalidad, entre la configuración del Congreso y la interpretación judicial</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_Toc233384185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57</w:t>
            </w:r>
            <w:r w:rsidR="00C03C1A" w:rsidRPr="00746ACE">
              <w:rPr>
                <w:noProof/>
                <w:webHidden/>
                <w:sz w:val="28"/>
              </w:rPr>
              <w:fldChar w:fldCharType="end"/>
            </w:r>
          </w:hyperlink>
        </w:p>
        <w:p w14:paraId="2B0A6A05" w14:textId="40DD63C2"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186" w:history="1">
            <w:r w:rsidR="00C03C1A" w:rsidRPr="00746ACE">
              <w:rPr>
                <w:rStyle w:val="Hipervnculo"/>
                <w:noProof/>
                <w:color w:val="auto"/>
                <w:sz w:val="28"/>
              </w:rPr>
              <w:t>c.</w:t>
            </w:r>
            <w:r w:rsidR="00C03C1A" w:rsidRPr="00746ACE">
              <w:rPr>
                <w:rFonts w:eastAsiaTheme="minorEastAsia"/>
                <w:noProof/>
                <w:kern w:val="2"/>
                <w:sz w:val="28"/>
                <w:szCs w:val="24"/>
                <w:lang w:val="es-CO" w:eastAsia="es-MX"/>
              </w:rPr>
              <w:tab/>
            </w:r>
            <w:r w:rsidR="00C03C1A" w:rsidRPr="00746ACE">
              <w:rPr>
                <w:rStyle w:val="Hipervnculo"/>
                <w:noProof/>
                <w:color w:val="auto"/>
                <w:sz w:val="28"/>
              </w:rPr>
              <w:t>Sobre la estructura del sistema, las funciones de sus órganos y la relación entre ley ordinaria y ley estatutaria</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_Toc233384186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58</w:t>
            </w:r>
            <w:r w:rsidR="00C03C1A" w:rsidRPr="00746ACE">
              <w:rPr>
                <w:noProof/>
                <w:webHidden/>
                <w:sz w:val="28"/>
              </w:rPr>
              <w:fldChar w:fldCharType="end"/>
            </w:r>
          </w:hyperlink>
        </w:p>
        <w:p w14:paraId="4991FC56" w14:textId="6C8AEB85" w:rsidR="00C03C1A" w:rsidRPr="00746ACE" w:rsidRDefault="00746ACE">
          <w:pPr>
            <w:pStyle w:val="TDC3"/>
            <w:tabs>
              <w:tab w:val="left" w:pos="1200"/>
              <w:tab w:val="right" w:leader="dot" w:pos="8828"/>
            </w:tabs>
            <w:rPr>
              <w:rFonts w:eastAsiaTheme="minorEastAsia"/>
              <w:noProof/>
              <w:kern w:val="2"/>
              <w:sz w:val="28"/>
              <w:szCs w:val="24"/>
              <w:lang w:val="es-CO" w:eastAsia="es-MX"/>
            </w:rPr>
          </w:pPr>
          <w:hyperlink w:anchor="_Toc233384187" w:history="1">
            <w:r w:rsidR="00C03C1A" w:rsidRPr="00746ACE">
              <w:rPr>
                <w:rStyle w:val="Hipervnculo"/>
                <w:noProof/>
                <w:color w:val="auto"/>
                <w:sz w:val="28"/>
              </w:rPr>
              <w:t>d.</w:t>
            </w:r>
            <w:r w:rsidR="00C03C1A" w:rsidRPr="00746ACE">
              <w:rPr>
                <w:rFonts w:eastAsiaTheme="minorEastAsia"/>
                <w:noProof/>
                <w:kern w:val="2"/>
                <w:sz w:val="28"/>
                <w:szCs w:val="24"/>
                <w:lang w:val="es-CO" w:eastAsia="es-MX"/>
              </w:rPr>
              <w:tab/>
            </w:r>
            <w:r w:rsidR="00C03C1A" w:rsidRPr="00746ACE">
              <w:rPr>
                <w:rStyle w:val="Hipervnculo"/>
                <w:noProof/>
                <w:color w:val="auto"/>
                <w:sz w:val="28"/>
              </w:rPr>
              <w:t>Conclusiones sobre el principio de legalidad y el juez transicional</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_Toc233384187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60</w:t>
            </w:r>
            <w:r w:rsidR="00C03C1A" w:rsidRPr="00746ACE">
              <w:rPr>
                <w:noProof/>
                <w:webHidden/>
                <w:sz w:val="28"/>
              </w:rPr>
              <w:fldChar w:fldCharType="end"/>
            </w:r>
          </w:hyperlink>
        </w:p>
        <w:p w14:paraId="008A43C4" w14:textId="7783D2E8" w:rsidR="00C03C1A" w:rsidRPr="00746ACE" w:rsidRDefault="00746ACE">
          <w:pPr>
            <w:pStyle w:val="TDC2"/>
            <w:rPr>
              <w:rFonts w:eastAsiaTheme="minorEastAsia"/>
              <w:noProof/>
              <w:kern w:val="2"/>
              <w:sz w:val="28"/>
              <w:szCs w:val="24"/>
              <w:lang w:val="es-CO" w:eastAsia="es-MX"/>
            </w:rPr>
          </w:pPr>
          <w:hyperlink w:anchor="_Toc233384188" w:history="1">
            <w:r w:rsidR="00C03C1A" w:rsidRPr="00746ACE">
              <w:rPr>
                <w:rStyle w:val="Hipervnculo"/>
                <w:bCs/>
                <w:noProof/>
                <w:color w:val="auto"/>
                <w:sz w:val="28"/>
              </w:rPr>
              <w:t>3.</w:t>
            </w:r>
            <w:r w:rsidR="00C03C1A" w:rsidRPr="00746ACE">
              <w:rPr>
                <w:rFonts w:eastAsiaTheme="minorEastAsia"/>
                <w:noProof/>
                <w:kern w:val="2"/>
                <w:sz w:val="28"/>
                <w:szCs w:val="24"/>
                <w:lang w:val="es-CO" w:eastAsia="es-MX"/>
              </w:rPr>
              <w:tab/>
            </w:r>
            <w:r w:rsidR="00C03C1A" w:rsidRPr="00746ACE">
              <w:rPr>
                <w:rStyle w:val="Hipervnculo"/>
                <w:noProof/>
                <w:color w:val="auto"/>
                <w:sz w:val="28"/>
              </w:rPr>
              <w:t xml:space="preserve">El </w:t>
            </w:r>
            <w:r w:rsidR="00C03C1A" w:rsidRPr="00746ACE">
              <w:rPr>
                <w:rStyle w:val="Hipervnculo"/>
                <w:rFonts w:eastAsia="Times New Roman"/>
                <w:noProof/>
                <w:color w:val="auto"/>
                <w:sz w:val="28"/>
              </w:rPr>
              <w:t>principio</w:t>
            </w:r>
            <w:r w:rsidR="00C03C1A" w:rsidRPr="00746ACE">
              <w:rPr>
                <w:rStyle w:val="Hipervnculo"/>
                <w:noProof/>
                <w:color w:val="auto"/>
                <w:sz w:val="28"/>
              </w:rPr>
              <w:t xml:space="preserve"> constitucional y transicional de selección en la justicia transicional (artículos 66 transitorio de la Constitución Política, modificado por el artículo 3º transitorio Acto Legislativo 01 de 2017).</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_Toc233384188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62</w:t>
            </w:r>
            <w:r w:rsidR="00C03C1A" w:rsidRPr="00746ACE">
              <w:rPr>
                <w:noProof/>
                <w:webHidden/>
                <w:sz w:val="28"/>
              </w:rPr>
              <w:fldChar w:fldCharType="end"/>
            </w:r>
          </w:hyperlink>
        </w:p>
        <w:p w14:paraId="5356657B" w14:textId="68C260BA" w:rsidR="00C03C1A" w:rsidRPr="00746ACE" w:rsidRDefault="00746ACE">
          <w:pPr>
            <w:pStyle w:val="TDC2"/>
            <w:rPr>
              <w:rFonts w:eastAsiaTheme="minorEastAsia"/>
              <w:noProof/>
              <w:kern w:val="2"/>
              <w:sz w:val="28"/>
              <w:szCs w:val="24"/>
              <w:lang w:val="es-CO" w:eastAsia="es-MX"/>
            </w:rPr>
          </w:pPr>
          <w:hyperlink w:anchor="_Toc233384189" w:history="1">
            <w:r w:rsidR="00C03C1A" w:rsidRPr="00746ACE">
              <w:rPr>
                <w:rStyle w:val="Hipervnculo"/>
                <w:bCs/>
                <w:noProof/>
                <w:color w:val="auto"/>
                <w:sz w:val="28"/>
              </w:rPr>
              <w:t>4.</w:t>
            </w:r>
            <w:r w:rsidR="00C03C1A" w:rsidRPr="00746ACE">
              <w:rPr>
                <w:rFonts w:eastAsiaTheme="minorEastAsia"/>
                <w:noProof/>
                <w:kern w:val="2"/>
                <w:sz w:val="28"/>
                <w:szCs w:val="24"/>
                <w:lang w:val="es-CO" w:eastAsia="es-MX"/>
              </w:rPr>
              <w:tab/>
            </w:r>
            <w:r w:rsidR="00C03C1A" w:rsidRPr="00746ACE">
              <w:rPr>
                <w:rStyle w:val="Hipervnculo"/>
                <w:noProof/>
                <w:color w:val="auto"/>
                <w:sz w:val="28"/>
              </w:rPr>
              <w:t>Los derechos de las víctimas, sus expectativas frente a mecanismos transicionales y los límites de la lucha contra la impunidad</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_Toc233384189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65</w:t>
            </w:r>
            <w:r w:rsidR="00C03C1A" w:rsidRPr="00746ACE">
              <w:rPr>
                <w:noProof/>
                <w:webHidden/>
                <w:sz w:val="28"/>
              </w:rPr>
              <w:fldChar w:fldCharType="end"/>
            </w:r>
          </w:hyperlink>
        </w:p>
        <w:p w14:paraId="34801121" w14:textId="67AFADBC" w:rsidR="00C03C1A" w:rsidRPr="00746ACE" w:rsidRDefault="00746ACE">
          <w:pPr>
            <w:pStyle w:val="TDC1"/>
            <w:tabs>
              <w:tab w:val="left" w:pos="560"/>
              <w:tab w:val="right" w:leader="dot" w:pos="8828"/>
            </w:tabs>
            <w:rPr>
              <w:rFonts w:eastAsiaTheme="minorEastAsia"/>
              <w:b w:val="0"/>
              <w:noProof/>
              <w:kern w:val="2"/>
              <w:sz w:val="28"/>
              <w:szCs w:val="24"/>
              <w:lang w:val="es-CO" w:eastAsia="es-MX"/>
            </w:rPr>
          </w:pPr>
          <w:hyperlink w:anchor="_Toc233384190" w:history="1">
            <w:r w:rsidR="00C03C1A" w:rsidRPr="00746ACE">
              <w:rPr>
                <w:rStyle w:val="Hipervnculo"/>
                <w:noProof/>
                <w:color w:val="auto"/>
                <w:sz w:val="28"/>
              </w:rPr>
              <w:t>VI.</w:t>
            </w:r>
            <w:r w:rsidR="00C03C1A" w:rsidRPr="00746ACE">
              <w:rPr>
                <w:rFonts w:eastAsiaTheme="minorEastAsia"/>
                <w:b w:val="0"/>
                <w:noProof/>
                <w:kern w:val="2"/>
                <w:sz w:val="28"/>
                <w:szCs w:val="24"/>
                <w:lang w:val="es-CO" w:eastAsia="es-MX"/>
              </w:rPr>
              <w:tab/>
            </w:r>
            <w:r w:rsidR="00C03C1A" w:rsidRPr="00746ACE">
              <w:rPr>
                <w:rStyle w:val="Hipervnculo"/>
                <w:noProof/>
                <w:color w:val="auto"/>
                <w:sz w:val="28"/>
              </w:rPr>
              <w:t>CUARTA PARTE. ANÁLISIS DE LOS CARGOS</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_Toc233384190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69</w:t>
            </w:r>
            <w:r w:rsidR="00C03C1A" w:rsidRPr="00746ACE">
              <w:rPr>
                <w:noProof/>
                <w:webHidden/>
                <w:sz w:val="28"/>
              </w:rPr>
              <w:fldChar w:fldCharType="end"/>
            </w:r>
          </w:hyperlink>
        </w:p>
        <w:p w14:paraId="301DDE14" w14:textId="414553B4" w:rsidR="00C03C1A" w:rsidRPr="00746ACE" w:rsidRDefault="00746ACE">
          <w:pPr>
            <w:pStyle w:val="TDC2"/>
            <w:rPr>
              <w:rFonts w:eastAsiaTheme="minorEastAsia"/>
              <w:noProof/>
              <w:kern w:val="2"/>
              <w:sz w:val="28"/>
              <w:szCs w:val="24"/>
              <w:lang w:val="es-CO" w:eastAsia="es-MX"/>
            </w:rPr>
          </w:pPr>
          <w:hyperlink w:anchor="_Toc233384191" w:history="1">
            <w:r w:rsidR="00C03C1A" w:rsidRPr="00746ACE">
              <w:rPr>
                <w:rStyle w:val="Hipervnculo"/>
                <w:bCs/>
                <w:noProof/>
                <w:color w:val="auto"/>
                <w:sz w:val="28"/>
                <w:lang w:eastAsia="es-ES"/>
              </w:rPr>
              <w:t>1.</w:t>
            </w:r>
            <w:r w:rsidR="00C03C1A" w:rsidRPr="00746ACE">
              <w:rPr>
                <w:rFonts w:eastAsiaTheme="minorEastAsia"/>
                <w:noProof/>
                <w:kern w:val="2"/>
                <w:sz w:val="28"/>
                <w:szCs w:val="24"/>
                <w:lang w:val="es-CO" w:eastAsia="es-MX"/>
              </w:rPr>
              <w:tab/>
            </w:r>
            <w:r w:rsidR="00C03C1A" w:rsidRPr="00746ACE">
              <w:rPr>
                <w:rStyle w:val="Hipervnculo"/>
                <w:noProof/>
                <w:color w:val="auto"/>
                <w:sz w:val="28"/>
              </w:rPr>
              <w:t>Primer cargo. La selección de segundo orden como función de la Sala de Definición de Situaciones Jurídicas y el principio de legalidad</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_Toc233384191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70</w:t>
            </w:r>
            <w:r w:rsidR="00C03C1A" w:rsidRPr="00746ACE">
              <w:rPr>
                <w:noProof/>
                <w:webHidden/>
                <w:sz w:val="28"/>
              </w:rPr>
              <w:fldChar w:fldCharType="end"/>
            </w:r>
          </w:hyperlink>
        </w:p>
        <w:p w14:paraId="04DD7CDC" w14:textId="3AAEB0F6"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192" w:history="1">
            <w:r w:rsidR="00C03C1A" w:rsidRPr="00746ACE">
              <w:rPr>
                <w:rStyle w:val="Hipervnculo"/>
                <w:noProof/>
                <w:color w:val="auto"/>
                <w:sz w:val="28"/>
                <w:lang w:eastAsia="es-ES"/>
              </w:rPr>
              <w:t>a.</w:t>
            </w:r>
            <w:r w:rsidR="00C03C1A" w:rsidRPr="00746ACE">
              <w:rPr>
                <w:rFonts w:eastAsiaTheme="minorEastAsia"/>
                <w:noProof/>
                <w:kern w:val="2"/>
                <w:sz w:val="28"/>
                <w:szCs w:val="24"/>
                <w:lang w:val="es-CO" w:eastAsia="es-MX"/>
              </w:rPr>
              <w:tab/>
            </w:r>
            <w:r w:rsidR="00C03C1A" w:rsidRPr="00746ACE">
              <w:rPr>
                <w:rStyle w:val="Hipervnculo"/>
                <w:noProof/>
                <w:color w:val="auto"/>
                <w:sz w:val="28"/>
                <w:lang w:eastAsia="es-ES"/>
              </w:rPr>
              <w:t>Síntesis de la discusión</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_Toc233384192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70</w:t>
            </w:r>
            <w:r w:rsidR="00C03C1A" w:rsidRPr="00746ACE">
              <w:rPr>
                <w:noProof/>
                <w:webHidden/>
                <w:sz w:val="28"/>
              </w:rPr>
              <w:fldChar w:fldCharType="end"/>
            </w:r>
          </w:hyperlink>
        </w:p>
        <w:p w14:paraId="400BC45C" w14:textId="3938447C" w:rsidR="00C03C1A" w:rsidRPr="00746ACE" w:rsidRDefault="00746ACE">
          <w:pPr>
            <w:pStyle w:val="TDC3"/>
            <w:tabs>
              <w:tab w:val="left" w:pos="1200"/>
              <w:tab w:val="right" w:leader="dot" w:pos="8828"/>
            </w:tabs>
            <w:rPr>
              <w:rFonts w:eastAsiaTheme="minorEastAsia"/>
              <w:noProof/>
              <w:kern w:val="2"/>
              <w:sz w:val="28"/>
              <w:szCs w:val="24"/>
              <w:lang w:val="es-CO" w:eastAsia="es-MX"/>
            </w:rPr>
          </w:pPr>
          <w:hyperlink w:anchor="_Toc233384193" w:history="1">
            <w:r w:rsidR="00C03C1A" w:rsidRPr="00746ACE">
              <w:rPr>
                <w:rStyle w:val="Hipervnculo"/>
                <w:noProof/>
                <w:color w:val="auto"/>
                <w:sz w:val="28"/>
              </w:rPr>
              <w:t>b.</w:t>
            </w:r>
            <w:r w:rsidR="00C03C1A" w:rsidRPr="00746ACE">
              <w:rPr>
                <w:rFonts w:eastAsiaTheme="minorEastAsia"/>
                <w:noProof/>
                <w:kern w:val="2"/>
                <w:sz w:val="28"/>
                <w:szCs w:val="24"/>
                <w:lang w:val="es-CO" w:eastAsia="es-MX"/>
              </w:rPr>
              <w:tab/>
            </w:r>
            <w:r w:rsidR="00C03C1A" w:rsidRPr="00746ACE">
              <w:rPr>
                <w:rStyle w:val="Hipervnculo"/>
                <w:noProof/>
                <w:color w:val="auto"/>
                <w:sz w:val="28"/>
              </w:rPr>
              <w:t>Análisis</w:t>
            </w:r>
            <w:r w:rsidR="00C03C1A" w:rsidRPr="00746ACE">
              <w:rPr>
                <w:rStyle w:val="Hipervnculo"/>
                <w:rFonts w:eastAsia="Times New Roman"/>
                <w:noProof/>
                <w:color w:val="auto"/>
                <w:sz w:val="28"/>
              </w:rPr>
              <w:t xml:space="preserve"> de fondo</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_Toc233384193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74</w:t>
            </w:r>
            <w:r w:rsidR="00C03C1A" w:rsidRPr="00746ACE">
              <w:rPr>
                <w:noProof/>
                <w:webHidden/>
                <w:sz w:val="28"/>
              </w:rPr>
              <w:fldChar w:fldCharType="end"/>
            </w:r>
          </w:hyperlink>
        </w:p>
        <w:p w14:paraId="1E78DF5B" w14:textId="5426C670"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194" w:history="1">
            <w:r w:rsidR="00C03C1A" w:rsidRPr="00746ACE">
              <w:rPr>
                <w:rStyle w:val="Hipervnculo"/>
                <w:noProof/>
                <w:color w:val="auto"/>
                <w:sz w:val="28"/>
                <w:lang w:eastAsia="es-ES"/>
              </w:rPr>
              <w:t>c.</w:t>
            </w:r>
            <w:r w:rsidR="00C03C1A" w:rsidRPr="00746ACE">
              <w:rPr>
                <w:rFonts w:eastAsiaTheme="minorEastAsia"/>
                <w:noProof/>
                <w:kern w:val="2"/>
                <w:sz w:val="28"/>
                <w:szCs w:val="24"/>
                <w:lang w:val="es-CO" w:eastAsia="es-MX"/>
              </w:rPr>
              <w:tab/>
            </w:r>
            <w:r w:rsidR="00C03C1A" w:rsidRPr="00746ACE">
              <w:rPr>
                <w:rStyle w:val="Hipervnculo"/>
                <w:noProof/>
                <w:color w:val="auto"/>
                <w:sz w:val="28"/>
                <w:lang w:eastAsia="es-ES"/>
              </w:rPr>
              <w:t>La “selección de segundo orden” no es equivalente a la selección individual</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_Toc233384194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78</w:t>
            </w:r>
            <w:r w:rsidR="00C03C1A" w:rsidRPr="00746ACE">
              <w:rPr>
                <w:noProof/>
                <w:webHidden/>
                <w:sz w:val="28"/>
              </w:rPr>
              <w:fldChar w:fldCharType="end"/>
            </w:r>
          </w:hyperlink>
        </w:p>
        <w:p w14:paraId="1E1D690C" w14:textId="472BC13E" w:rsidR="00C03C1A" w:rsidRPr="00746ACE" w:rsidRDefault="00746ACE">
          <w:pPr>
            <w:pStyle w:val="TDC3"/>
            <w:tabs>
              <w:tab w:val="left" w:pos="1200"/>
              <w:tab w:val="right" w:leader="dot" w:pos="8828"/>
            </w:tabs>
            <w:rPr>
              <w:rFonts w:eastAsiaTheme="minorEastAsia"/>
              <w:noProof/>
              <w:kern w:val="2"/>
              <w:sz w:val="28"/>
              <w:szCs w:val="24"/>
              <w:lang w:val="es-CO" w:eastAsia="es-MX"/>
            </w:rPr>
          </w:pPr>
          <w:hyperlink w:anchor="_Toc233384195" w:history="1">
            <w:r w:rsidR="00C03C1A" w:rsidRPr="00746ACE">
              <w:rPr>
                <w:rStyle w:val="Hipervnculo"/>
                <w:noProof/>
                <w:color w:val="auto"/>
                <w:sz w:val="28"/>
              </w:rPr>
              <w:t>d.</w:t>
            </w:r>
            <w:r w:rsidR="00C03C1A" w:rsidRPr="00746ACE">
              <w:rPr>
                <w:rFonts w:eastAsiaTheme="minorEastAsia"/>
                <w:noProof/>
                <w:kern w:val="2"/>
                <w:sz w:val="28"/>
                <w:szCs w:val="24"/>
                <w:lang w:val="es-CO" w:eastAsia="es-MX"/>
              </w:rPr>
              <w:tab/>
            </w:r>
            <w:r w:rsidR="00C03C1A" w:rsidRPr="00746ACE">
              <w:rPr>
                <w:rStyle w:val="Hipervnculo"/>
                <w:noProof/>
                <w:color w:val="auto"/>
                <w:sz w:val="28"/>
              </w:rPr>
              <w:t>Contraargumentos relevantes</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_Toc233384195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82</w:t>
            </w:r>
            <w:r w:rsidR="00C03C1A" w:rsidRPr="00746ACE">
              <w:rPr>
                <w:noProof/>
                <w:webHidden/>
                <w:sz w:val="28"/>
              </w:rPr>
              <w:fldChar w:fldCharType="end"/>
            </w:r>
          </w:hyperlink>
        </w:p>
        <w:p w14:paraId="6953B3AB" w14:textId="67E56F02"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196" w:history="1">
            <w:r w:rsidR="00C03C1A" w:rsidRPr="00746ACE">
              <w:rPr>
                <w:rStyle w:val="Hipervnculo"/>
                <w:noProof/>
                <w:color w:val="auto"/>
                <w:sz w:val="28"/>
              </w:rPr>
              <w:t>e.</w:t>
            </w:r>
            <w:r w:rsidR="00C03C1A" w:rsidRPr="00746ACE">
              <w:rPr>
                <w:rFonts w:eastAsiaTheme="minorEastAsia"/>
                <w:noProof/>
                <w:kern w:val="2"/>
                <w:sz w:val="28"/>
                <w:szCs w:val="24"/>
                <w:lang w:val="es-CO" w:eastAsia="es-MX"/>
              </w:rPr>
              <w:tab/>
            </w:r>
            <w:r w:rsidR="00C03C1A" w:rsidRPr="00746ACE">
              <w:rPr>
                <w:rStyle w:val="Hipervnculo"/>
                <w:noProof/>
                <w:color w:val="auto"/>
                <w:sz w:val="28"/>
              </w:rPr>
              <w:t>La competencia de la Sala de Definición de Situaciones Jurídica, en el sentido de realizar la selección de segundo orden</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_Toc233384196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88</w:t>
            </w:r>
            <w:r w:rsidR="00C03C1A" w:rsidRPr="00746ACE">
              <w:rPr>
                <w:noProof/>
                <w:webHidden/>
                <w:sz w:val="28"/>
              </w:rPr>
              <w:fldChar w:fldCharType="end"/>
            </w:r>
          </w:hyperlink>
        </w:p>
        <w:p w14:paraId="4B209DCF" w14:textId="2DE31077" w:rsidR="00C03C1A" w:rsidRPr="00746ACE" w:rsidRDefault="00746ACE">
          <w:pPr>
            <w:pStyle w:val="TDC2"/>
            <w:rPr>
              <w:rFonts w:eastAsiaTheme="minorEastAsia"/>
              <w:noProof/>
              <w:kern w:val="2"/>
              <w:sz w:val="28"/>
              <w:szCs w:val="24"/>
              <w:lang w:val="es-CO" w:eastAsia="es-MX"/>
            </w:rPr>
          </w:pPr>
          <w:hyperlink w:anchor="_Toc233384197" w:history="1">
            <w:r w:rsidR="00C03C1A" w:rsidRPr="00746ACE">
              <w:rPr>
                <w:rStyle w:val="Hipervnculo"/>
                <w:bCs/>
                <w:noProof/>
                <w:color w:val="auto"/>
                <w:sz w:val="28"/>
              </w:rPr>
              <w:t>2.</w:t>
            </w:r>
            <w:r w:rsidR="00C03C1A" w:rsidRPr="00746ACE">
              <w:rPr>
                <w:rFonts w:eastAsiaTheme="minorEastAsia"/>
                <w:noProof/>
                <w:kern w:val="2"/>
                <w:sz w:val="28"/>
                <w:szCs w:val="24"/>
                <w:lang w:val="es-CO" w:eastAsia="es-MX"/>
              </w:rPr>
              <w:tab/>
            </w:r>
            <w:r w:rsidR="00C03C1A" w:rsidRPr="00746ACE">
              <w:rPr>
                <w:rStyle w:val="Hipervnculo"/>
                <w:noProof/>
                <w:color w:val="auto"/>
                <w:sz w:val="28"/>
              </w:rPr>
              <w:t>Segundo cargo. La categoría de responsabilidad del punto medio desconoce al principio de legalidad (Artículo 29 CP y 10 de la Ley estatutaria de administración de justicia en la JEP), en relación con el principio constitucional y transicional de selección (Artículo 66 transitorio, modificado por el artículo 3 transitorio del Acto Legislativo 01 de 2017), debido a que su excesiva indeterminación es incompatible con la seguridad jurídica</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_Toc233384197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90</w:t>
            </w:r>
            <w:r w:rsidR="00C03C1A" w:rsidRPr="00746ACE">
              <w:rPr>
                <w:noProof/>
                <w:webHidden/>
                <w:sz w:val="28"/>
              </w:rPr>
              <w:fldChar w:fldCharType="end"/>
            </w:r>
          </w:hyperlink>
        </w:p>
        <w:p w14:paraId="3D52DD40" w14:textId="19BA5015"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198" w:history="1">
            <w:r w:rsidR="00C03C1A" w:rsidRPr="00746ACE">
              <w:rPr>
                <w:rStyle w:val="Hipervnculo"/>
                <w:noProof/>
                <w:color w:val="auto"/>
                <w:sz w:val="28"/>
              </w:rPr>
              <w:t>a.</w:t>
            </w:r>
            <w:r w:rsidR="00C03C1A" w:rsidRPr="00746ACE">
              <w:rPr>
                <w:rFonts w:eastAsiaTheme="minorEastAsia"/>
                <w:noProof/>
                <w:kern w:val="2"/>
                <w:sz w:val="28"/>
                <w:szCs w:val="24"/>
                <w:lang w:val="es-CO" w:eastAsia="es-MX"/>
              </w:rPr>
              <w:tab/>
            </w:r>
            <w:r w:rsidR="00C03C1A" w:rsidRPr="00746ACE">
              <w:rPr>
                <w:rStyle w:val="Hipervnculo"/>
                <w:noProof/>
                <w:color w:val="auto"/>
                <w:sz w:val="28"/>
                <w:lang w:eastAsia="es-ES"/>
              </w:rPr>
              <w:t>Síntesis de la discusión sobre la responsabilidad del punto medio y el principio de legalidad (demanda, posición de la JEP e intervenciones)</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_Toc233384198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90</w:t>
            </w:r>
            <w:r w:rsidR="00C03C1A" w:rsidRPr="00746ACE">
              <w:rPr>
                <w:noProof/>
                <w:webHidden/>
                <w:sz w:val="28"/>
              </w:rPr>
              <w:fldChar w:fldCharType="end"/>
            </w:r>
          </w:hyperlink>
        </w:p>
        <w:p w14:paraId="2EFEABEE" w14:textId="39FFC6E1" w:rsidR="00C03C1A" w:rsidRPr="00746ACE" w:rsidRDefault="00746ACE">
          <w:pPr>
            <w:pStyle w:val="TDC3"/>
            <w:tabs>
              <w:tab w:val="left" w:pos="1200"/>
              <w:tab w:val="right" w:leader="dot" w:pos="8828"/>
            </w:tabs>
            <w:rPr>
              <w:rFonts w:eastAsiaTheme="minorEastAsia"/>
              <w:noProof/>
              <w:kern w:val="2"/>
              <w:sz w:val="28"/>
              <w:szCs w:val="24"/>
              <w:lang w:val="es-CO" w:eastAsia="es-MX"/>
            </w:rPr>
          </w:pPr>
          <w:hyperlink w:anchor="_Toc233384199" w:history="1">
            <w:r w:rsidR="00C03C1A" w:rsidRPr="00746ACE">
              <w:rPr>
                <w:rStyle w:val="Hipervnculo"/>
                <w:noProof/>
                <w:color w:val="auto"/>
                <w:sz w:val="28"/>
                <w:lang w:eastAsia="es-MX"/>
              </w:rPr>
              <w:t>b.</w:t>
            </w:r>
            <w:r w:rsidR="00C03C1A" w:rsidRPr="00746ACE">
              <w:rPr>
                <w:rFonts w:eastAsiaTheme="minorEastAsia"/>
                <w:noProof/>
                <w:kern w:val="2"/>
                <w:sz w:val="28"/>
                <w:szCs w:val="24"/>
                <w:lang w:val="es-CO" w:eastAsia="es-MX"/>
              </w:rPr>
              <w:tab/>
            </w:r>
            <w:r w:rsidR="00C03C1A" w:rsidRPr="00746ACE">
              <w:rPr>
                <w:rStyle w:val="Hipervnculo"/>
                <w:noProof/>
                <w:color w:val="auto"/>
                <w:sz w:val="28"/>
                <w:lang w:eastAsia="es-MX"/>
              </w:rPr>
              <w:t>La responsabilidad del punto medio en la Senit 5</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_Toc233384199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92</w:t>
            </w:r>
            <w:r w:rsidR="00C03C1A" w:rsidRPr="00746ACE">
              <w:rPr>
                <w:noProof/>
                <w:webHidden/>
                <w:sz w:val="28"/>
              </w:rPr>
              <w:fldChar w:fldCharType="end"/>
            </w:r>
          </w:hyperlink>
        </w:p>
        <w:p w14:paraId="7B168E77" w14:textId="7B833A3B"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200" w:history="1">
            <w:r w:rsidR="00C03C1A" w:rsidRPr="00746ACE">
              <w:rPr>
                <w:rStyle w:val="Hipervnculo"/>
                <w:noProof/>
                <w:color w:val="auto"/>
                <w:sz w:val="28"/>
              </w:rPr>
              <w:t>c.</w:t>
            </w:r>
            <w:r w:rsidR="00C03C1A" w:rsidRPr="00746ACE">
              <w:rPr>
                <w:rFonts w:eastAsiaTheme="minorEastAsia"/>
                <w:noProof/>
                <w:kern w:val="2"/>
                <w:sz w:val="28"/>
                <w:szCs w:val="24"/>
                <w:lang w:val="es-CO" w:eastAsia="es-MX"/>
              </w:rPr>
              <w:tab/>
            </w:r>
            <w:r w:rsidR="00C03C1A" w:rsidRPr="00746ACE">
              <w:rPr>
                <w:rStyle w:val="Hipervnculo"/>
                <w:noProof/>
                <w:color w:val="auto"/>
                <w:sz w:val="28"/>
              </w:rPr>
              <w:t>Análisis de fondo</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_Toc233384200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94</w:t>
            </w:r>
            <w:r w:rsidR="00C03C1A" w:rsidRPr="00746ACE">
              <w:rPr>
                <w:noProof/>
                <w:webHidden/>
                <w:sz w:val="28"/>
              </w:rPr>
              <w:fldChar w:fldCharType="end"/>
            </w:r>
          </w:hyperlink>
        </w:p>
        <w:p w14:paraId="2B647699" w14:textId="506EB442" w:rsidR="00C03C1A" w:rsidRPr="00746ACE" w:rsidRDefault="00746ACE">
          <w:pPr>
            <w:pStyle w:val="TDC3"/>
            <w:tabs>
              <w:tab w:val="left" w:pos="1200"/>
              <w:tab w:val="right" w:leader="dot" w:pos="8828"/>
            </w:tabs>
            <w:rPr>
              <w:rFonts w:eastAsiaTheme="minorEastAsia"/>
              <w:noProof/>
              <w:kern w:val="2"/>
              <w:sz w:val="28"/>
              <w:szCs w:val="24"/>
              <w:lang w:val="es-CO" w:eastAsia="es-MX"/>
            </w:rPr>
          </w:pPr>
          <w:hyperlink w:anchor="_Toc233384201" w:history="1">
            <w:r w:rsidR="00C03C1A" w:rsidRPr="00746ACE">
              <w:rPr>
                <w:rStyle w:val="Hipervnculo"/>
                <w:noProof/>
                <w:color w:val="auto"/>
                <w:sz w:val="28"/>
                <w:lang w:eastAsia="es-MX"/>
              </w:rPr>
              <w:t>d.</w:t>
            </w:r>
            <w:r w:rsidR="00C03C1A" w:rsidRPr="00746ACE">
              <w:rPr>
                <w:rFonts w:eastAsiaTheme="minorEastAsia"/>
                <w:noProof/>
                <w:kern w:val="2"/>
                <w:sz w:val="28"/>
                <w:szCs w:val="24"/>
                <w:lang w:val="es-CO" w:eastAsia="es-MX"/>
              </w:rPr>
              <w:tab/>
            </w:r>
            <w:r w:rsidR="00C03C1A" w:rsidRPr="00746ACE">
              <w:rPr>
                <w:rStyle w:val="Hipervnculo"/>
                <w:noProof/>
                <w:color w:val="auto"/>
                <w:sz w:val="28"/>
                <w:lang w:eastAsia="es-MX"/>
              </w:rPr>
              <w:t xml:space="preserve">La responsabilidad del punto medio, como supuesto de aplicación por la Sala de Definición de Situaciones Jurídicas para la </w:t>
            </w:r>
            <w:r w:rsidR="00C03C1A" w:rsidRPr="00746ACE">
              <w:rPr>
                <w:rStyle w:val="Hipervnculo"/>
                <w:noProof/>
                <w:color w:val="auto"/>
                <w:sz w:val="28"/>
              </w:rPr>
              <w:t>remisión</w:t>
            </w:r>
            <w:r w:rsidR="00C03C1A" w:rsidRPr="00746ACE">
              <w:rPr>
                <w:rStyle w:val="Hipervnculo"/>
                <w:noProof/>
                <w:color w:val="auto"/>
                <w:sz w:val="28"/>
                <w:lang w:eastAsia="es-MX"/>
              </w:rPr>
              <w:t xml:space="preserve"> a la Unidad de Investigación y Acusación desconoce la interdicción de la </w:t>
            </w:r>
            <w:r w:rsidR="00C03C1A" w:rsidRPr="00746ACE">
              <w:rPr>
                <w:rStyle w:val="Hipervnculo"/>
                <w:noProof/>
                <w:color w:val="auto"/>
                <w:sz w:val="28"/>
              </w:rPr>
              <w:t>arbitrariedad</w:t>
            </w:r>
            <w:r w:rsidR="00C03C1A" w:rsidRPr="00746ACE">
              <w:rPr>
                <w:rStyle w:val="Hipervnculo"/>
                <w:noProof/>
                <w:color w:val="auto"/>
                <w:sz w:val="28"/>
                <w:lang w:eastAsia="es-MX"/>
              </w:rPr>
              <w:t xml:space="preserve"> y el principio constitucional y transicional de selección</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_Toc233384201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96</w:t>
            </w:r>
            <w:r w:rsidR="00C03C1A" w:rsidRPr="00746ACE">
              <w:rPr>
                <w:noProof/>
                <w:webHidden/>
                <w:sz w:val="28"/>
              </w:rPr>
              <w:fldChar w:fldCharType="end"/>
            </w:r>
          </w:hyperlink>
        </w:p>
        <w:p w14:paraId="48269FBA" w14:textId="7E9CF3FE"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202" w:history="1">
            <w:r w:rsidR="00C03C1A" w:rsidRPr="00746ACE">
              <w:rPr>
                <w:rStyle w:val="Hipervnculo"/>
                <w:noProof/>
                <w:color w:val="auto"/>
                <w:sz w:val="28"/>
                <w:lang w:eastAsia="es-MX"/>
              </w:rPr>
              <w:t>e.</w:t>
            </w:r>
            <w:r w:rsidR="00C03C1A" w:rsidRPr="00746ACE">
              <w:rPr>
                <w:rFonts w:eastAsiaTheme="minorEastAsia"/>
                <w:noProof/>
                <w:kern w:val="2"/>
                <w:sz w:val="28"/>
                <w:szCs w:val="24"/>
                <w:lang w:val="es-CO" w:eastAsia="es-MX"/>
              </w:rPr>
              <w:tab/>
            </w:r>
            <w:r w:rsidR="00C03C1A" w:rsidRPr="00746ACE">
              <w:rPr>
                <w:rStyle w:val="Hipervnculo"/>
                <w:noProof/>
                <w:color w:val="auto"/>
                <w:sz w:val="28"/>
                <w:lang w:eastAsia="es-MX"/>
              </w:rPr>
              <w:t xml:space="preserve">El artículo 129 de la Ley Estatutaria de la Administración de </w:t>
            </w:r>
            <w:r w:rsidR="00C03C1A" w:rsidRPr="00746ACE">
              <w:rPr>
                <w:rStyle w:val="Hipervnculo"/>
                <w:noProof/>
                <w:color w:val="auto"/>
                <w:sz w:val="28"/>
              </w:rPr>
              <w:t>Justicia en la JEP</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_Toc233384202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96</w:t>
            </w:r>
            <w:r w:rsidR="00C03C1A" w:rsidRPr="00746ACE">
              <w:rPr>
                <w:noProof/>
                <w:webHidden/>
                <w:sz w:val="28"/>
              </w:rPr>
              <w:fldChar w:fldCharType="end"/>
            </w:r>
          </w:hyperlink>
        </w:p>
        <w:p w14:paraId="0CCA7BBD" w14:textId="27432E58"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203" w:history="1">
            <w:r w:rsidR="00C03C1A" w:rsidRPr="00746ACE">
              <w:rPr>
                <w:rStyle w:val="Hipervnculo"/>
                <w:noProof/>
                <w:color w:val="auto"/>
                <w:sz w:val="28"/>
                <w:lang w:eastAsia="es-MX"/>
              </w:rPr>
              <w:t>f.</w:t>
            </w:r>
            <w:r w:rsidR="00C03C1A" w:rsidRPr="00746ACE">
              <w:rPr>
                <w:rFonts w:eastAsiaTheme="minorEastAsia"/>
                <w:noProof/>
                <w:kern w:val="2"/>
                <w:sz w:val="28"/>
                <w:szCs w:val="24"/>
                <w:lang w:val="es-CO" w:eastAsia="es-MX"/>
              </w:rPr>
              <w:tab/>
            </w:r>
            <w:r w:rsidR="00C03C1A" w:rsidRPr="00746ACE">
              <w:rPr>
                <w:rStyle w:val="Hipervnculo"/>
                <w:noProof/>
                <w:color w:val="auto"/>
                <w:sz w:val="28"/>
                <w:lang w:eastAsia="es-MX"/>
              </w:rPr>
              <w:t>Primer avance jurisprudencial: la responsabilidad del punto medio como criterio para la comprensión del daño y los aportes del compareciente (Senit 8)</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_Toc233384203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100</w:t>
            </w:r>
            <w:r w:rsidR="00C03C1A" w:rsidRPr="00746ACE">
              <w:rPr>
                <w:noProof/>
                <w:webHidden/>
                <w:sz w:val="28"/>
              </w:rPr>
              <w:fldChar w:fldCharType="end"/>
            </w:r>
          </w:hyperlink>
        </w:p>
        <w:p w14:paraId="4EF9BAFB" w14:textId="0D47F56C" w:rsidR="00C03C1A" w:rsidRPr="00746ACE" w:rsidRDefault="00746ACE">
          <w:pPr>
            <w:pStyle w:val="TDC3"/>
            <w:tabs>
              <w:tab w:val="left" w:pos="1200"/>
              <w:tab w:val="right" w:leader="dot" w:pos="8828"/>
            </w:tabs>
            <w:rPr>
              <w:rFonts w:eastAsiaTheme="minorEastAsia"/>
              <w:noProof/>
              <w:kern w:val="2"/>
              <w:sz w:val="28"/>
              <w:szCs w:val="24"/>
              <w:lang w:val="es-CO" w:eastAsia="es-MX"/>
            </w:rPr>
          </w:pPr>
          <w:hyperlink w:anchor="_Toc233384204" w:history="1">
            <w:r w:rsidR="00C03C1A" w:rsidRPr="00746ACE">
              <w:rPr>
                <w:rStyle w:val="Hipervnculo"/>
                <w:noProof/>
                <w:color w:val="auto"/>
                <w:sz w:val="28"/>
                <w:lang w:eastAsia="es-MX"/>
              </w:rPr>
              <w:t>g.</w:t>
            </w:r>
            <w:r w:rsidR="00C03C1A" w:rsidRPr="00746ACE">
              <w:rPr>
                <w:rFonts w:eastAsiaTheme="minorEastAsia"/>
                <w:noProof/>
                <w:kern w:val="2"/>
                <w:sz w:val="28"/>
                <w:szCs w:val="24"/>
                <w:lang w:val="es-CO" w:eastAsia="es-MX"/>
              </w:rPr>
              <w:tab/>
            </w:r>
            <w:r w:rsidR="00C03C1A" w:rsidRPr="00746ACE">
              <w:rPr>
                <w:rStyle w:val="Hipervnculo"/>
                <w:noProof/>
                <w:color w:val="auto"/>
                <w:sz w:val="28"/>
                <w:lang w:eastAsia="es-MX"/>
              </w:rPr>
              <w:t>La Senit 9, de las categorías normativas a los criterios heurísticos.</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_Toc233384204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102</w:t>
            </w:r>
            <w:r w:rsidR="00C03C1A" w:rsidRPr="00746ACE">
              <w:rPr>
                <w:noProof/>
                <w:webHidden/>
                <w:sz w:val="28"/>
              </w:rPr>
              <w:fldChar w:fldCharType="end"/>
            </w:r>
          </w:hyperlink>
        </w:p>
        <w:p w14:paraId="5D87074C" w14:textId="15D1F775" w:rsidR="00C03C1A" w:rsidRPr="00746ACE" w:rsidRDefault="00746ACE">
          <w:pPr>
            <w:pStyle w:val="TDC2"/>
            <w:rPr>
              <w:rFonts w:eastAsiaTheme="minorEastAsia"/>
              <w:noProof/>
              <w:kern w:val="2"/>
              <w:sz w:val="28"/>
              <w:szCs w:val="24"/>
              <w:lang w:val="es-CO" w:eastAsia="es-MX"/>
            </w:rPr>
          </w:pPr>
          <w:hyperlink w:anchor="_Toc233384205" w:history="1">
            <w:r w:rsidR="00C03C1A" w:rsidRPr="00746ACE">
              <w:rPr>
                <w:rStyle w:val="Hipervnculo"/>
                <w:bCs/>
                <w:noProof/>
                <w:color w:val="auto"/>
                <w:sz w:val="28"/>
                <w:lang w:eastAsia="es-ES"/>
              </w:rPr>
              <w:t>3.</w:t>
            </w:r>
            <w:r w:rsidR="00C03C1A" w:rsidRPr="00746ACE">
              <w:rPr>
                <w:rFonts w:eastAsiaTheme="minorEastAsia"/>
                <w:noProof/>
                <w:kern w:val="2"/>
                <w:sz w:val="28"/>
                <w:szCs w:val="24"/>
                <w:lang w:val="es-CO" w:eastAsia="es-MX"/>
              </w:rPr>
              <w:tab/>
            </w:r>
            <w:r w:rsidR="00C03C1A" w:rsidRPr="00746ACE">
              <w:rPr>
                <w:rStyle w:val="Hipervnculo"/>
                <w:noProof/>
                <w:color w:val="auto"/>
                <w:sz w:val="28"/>
              </w:rPr>
              <w:t>Tercer cargo. Violación del principio de legalidad en cuanto a la creación de la categoría dogmática intermedia entre la máxima responsabilidad y la participación no determinante, por ser de carácter abstracto y difuso</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_Toc233384205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103</w:t>
            </w:r>
            <w:r w:rsidR="00C03C1A" w:rsidRPr="00746ACE">
              <w:rPr>
                <w:noProof/>
                <w:webHidden/>
                <w:sz w:val="28"/>
              </w:rPr>
              <w:fldChar w:fldCharType="end"/>
            </w:r>
          </w:hyperlink>
        </w:p>
        <w:p w14:paraId="202FDFD4" w14:textId="6136E091"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206" w:history="1">
            <w:r w:rsidR="00C03C1A" w:rsidRPr="00746ACE">
              <w:rPr>
                <w:rStyle w:val="Hipervnculo"/>
                <w:noProof/>
                <w:color w:val="auto"/>
                <w:sz w:val="28"/>
              </w:rPr>
              <w:t>a.</w:t>
            </w:r>
            <w:r w:rsidR="00C03C1A" w:rsidRPr="00746ACE">
              <w:rPr>
                <w:rFonts w:eastAsiaTheme="minorEastAsia"/>
                <w:noProof/>
                <w:kern w:val="2"/>
                <w:sz w:val="28"/>
                <w:szCs w:val="24"/>
                <w:lang w:val="es-CO" w:eastAsia="es-MX"/>
              </w:rPr>
              <w:tab/>
            </w:r>
            <w:r w:rsidR="00C03C1A" w:rsidRPr="00746ACE">
              <w:rPr>
                <w:rStyle w:val="Hipervnculo"/>
                <w:noProof/>
                <w:color w:val="auto"/>
                <w:sz w:val="28"/>
                <w:lang w:eastAsia="es-ES"/>
              </w:rPr>
              <w:t>Síntesis de la discusión sobre la excesiva vaguedad de la responsabilidad del punto medio y el principio de legalidad (demanda, posición de la JEP e intervenciones)</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_Toc233384206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103</w:t>
            </w:r>
            <w:r w:rsidR="00C03C1A" w:rsidRPr="00746ACE">
              <w:rPr>
                <w:noProof/>
                <w:webHidden/>
                <w:sz w:val="28"/>
              </w:rPr>
              <w:fldChar w:fldCharType="end"/>
            </w:r>
          </w:hyperlink>
        </w:p>
        <w:p w14:paraId="67AA8D19" w14:textId="149EE9C5" w:rsidR="00C03C1A" w:rsidRPr="00746ACE" w:rsidRDefault="00746ACE">
          <w:pPr>
            <w:pStyle w:val="TDC3"/>
            <w:tabs>
              <w:tab w:val="left" w:pos="1200"/>
              <w:tab w:val="right" w:leader="dot" w:pos="8828"/>
            </w:tabs>
            <w:rPr>
              <w:rFonts w:eastAsiaTheme="minorEastAsia"/>
              <w:noProof/>
              <w:kern w:val="2"/>
              <w:sz w:val="28"/>
              <w:szCs w:val="24"/>
              <w:lang w:val="es-CO" w:eastAsia="es-MX"/>
            </w:rPr>
          </w:pPr>
          <w:hyperlink w:anchor="_Toc233384207" w:history="1">
            <w:r w:rsidR="00C03C1A" w:rsidRPr="00746ACE">
              <w:rPr>
                <w:rStyle w:val="Hipervnculo"/>
                <w:noProof/>
                <w:color w:val="auto"/>
                <w:sz w:val="28"/>
              </w:rPr>
              <w:t>b.</w:t>
            </w:r>
            <w:r w:rsidR="00C03C1A" w:rsidRPr="00746ACE">
              <w:rPr>
                <w:rFonts w:eastAsiaTheme="minorEastAsia"/>
                <w:noProof/>
                <w:kern w:val="2"/>
                <w:sz w:val="28"/>
                <w:szCs w:val="24"/>
                <w:lang w:val="es-CO" w:eastAsia="es-MX"/>
              </w:rPr>
              <w:tab/>
            </w:r>
            <w:r w:rsidR="00C03C1A" w:rsidRPr="00746ACE">
              <w:rPr>
                <w:rStyle w:val="Hipervnculo"/>
                <w:noProof/>
                <w:color w:val="auto"/>
                <w:sz w:val="28"/>
              </w:rPr>
              <w:t>Precisión o indeterminación de la responsabilidad del punto medio</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_Toc233384207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104</w:t>
            </w:r>
            <w:r w:rsidR="00C03C1A" w:rsidRPr="00746ACE">
              <w:rPr>
                <w:noProof/>
                <w:webHidden/>
                <w:sz w:val="28"/>
              </w:rPr>
              <w:fldChar w:fldCharType="end"/>
            </w:r>
          </w:hyperlink>
        </w:p>
        <w:p w14:paraId="14F3E40F" w14:textId="1723C37E"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208" w:history="1">
            <w:r w:rsidR="00C03C1A" w:rsidRPr="00746ACE">
              <w:rPr>
                <w:rStyle w:val="Hipervnculo"/>
                <w:noProof/>
                <w:color w:val="auto"/>
                <w:sz w:val="28"/>
              </w:rPr>
              <w:t>c.</w:t>
            </w:r>
            <w:r w:rsidR="00C03C1A" w:rsidRPr="00746ACE">
              <w:rPr>
                <w:rFonts w:eastAsiaTheme="minorEastAsia"/>
                <w:noProof/>
                <w:kern w:val="2"/>
                <w:sz w:val="28"/>
                <w:szCs w:val="24"/>
                <w:lang w:val="es-CO" w:eastAsia="es-MX"/>
              </w:rPr>
              <w:tab/>
            </w:r>
            <w:r w:rsidR="00C03C1A" w:rsidRPr="00746ACE">
              <w:rPr>
                <w:rStyle w:val="Hipervnculo"/>
                <w:noProof/>
                <w:color w:val="auto"/>
                <w:sz w:val="28"/>
              </w:rPr>
              <w:t>Análisis de fondo.</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_Toc233384208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105</w:t>
            </w:r>
            <w:r w:rsidR="00C03C1A" w:rsidRPr="00746ACE">
              <w:rPr>
                <w:noProof/>
                <w:webHidden/>
                <w:sz w:val="28"/>
              </w:rPr>
              <w:fldChar w:fldCharType="end"/>
            </w:r>
          </w:hyperlink>
        </w:p>
        <w:p w14:paraId="6B80BD1B" w14:textId="33B310B1" w:rsidR="00C03C1A" w:rsidRPr="00746ACE" w:rsidRDefault="00746ACE">
          <w:pPr>
            <w:pStyle w:val="TDC2"/>
            <w:rPr>
              <w:rFonts w:eastAsiaTheme="minorEastAsia"/>
              <w:noProof/>
              <w:kern w:val="2"/>
              <w:sz w:val="28"/>
              <w:szCs w:val="24"/>
              <w:lang w:val="es-CO" w:eastAsia="es-MX"/>
            </w:rPr>
          </w:pPr>
          <w:hyperlink w:anchor="_Toc233384209" w:history="1">
            <w:r w:rsidR="00C03C1A" w:rsidRPr="00746ACE">
              <w:rPr>
                <w:rStyle w:val="Hipervnculo"/>
                <w:bCs/>
                <w:noProof/>
                <w:color w:val="auto"/>
                <w:sz w:val="28"/>
              </w:rPr>
              <w:t>4.</w:t>
            </w:r>
            <w:r w:rsidR="00C03C1A" w:rsidRPr="00746ACE">
              <w:rPr>
                <w:rFonts w:eastAsiaTheme="minorEastAsia"/>
                <w:noProof/>
                <w:kern w:val="2"/>
                <w:sz w:val="28"/>
                <w:szCs w:val="24"/>
                <w:lang w:val="es-CO" w:eastAsia="es-MX"/>
              </w:rPr>
              <w:tab/>
            </w:r>
            <w:r w:rsidR="00C03C1A" w:rsidRPr="00746ACE">
              <w:rPr>
                <w:rStyle w:val="Hipervnculo"/>
                <w:noProof/>
                <w:color w:val="auto"/>
                <w:sz w:val="28"/>
              </w:rPr>
              <w:t>Cuarto cargo. Violación del derecho al debido proceso y del marco constitucional del régimen de condicionalidad, pues no son claras las reglas aplicables a quienes, según la JEP, se encuentran el punto medio entre la máxima responsabilidad y la participación no determinante</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_Toc233384209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110</w:t>
            </w:r>
            <w:r w:rsidR="00C03C1A" w:rsidRPr="00746ACE">
              <w:rPr>
                <w:noProof/>
                <w:webHidden/>
                <w:sz w:val="28"/>
              </w:rPr>
              <w:fldChar w:fldCharType="end"/>
            </w:r>
          </w:hyperlink>
        </w:p>
        <w:p w14:paraId="44E3B4B6" w14:textId="09ABD667"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210" w:history="1">
            <w:r w:rsidR="00C03C1A" w:rsidRPr="00746ACE">
              <w:rPr>
                <w:rStyle w:val="Hipervnculo"/>
                <w:noProof/>
                <w:color w:val="auto"/>
                <w:sz w:val="28"/>
              </w:rPr>
              <w:t>a.</w:t>
            </w:r>
            <w:r w:rsidR="00C03C1A" w:rsidRPr="00746ACE">
              <w:rPr>
                <w:rFonts w:eastAsiaTheme="minorEastAsia"/>
                <w:noProof/>
                <w:kern w:val="2"/>
                <w:sz w:val="28"/>
                <w:szCs w:val="24"/>
                <w:lang w:val="es-CO" w:eastAsia="es-MX"/>
              </w:rPr>
              <w:tab/>
            </w:r>
            <w:r w:rsidR="00C03C1A" w:rsidRPr="00746ACE">
              <w:rPr>
                <w:rStyle w:val="Hipervnculo"/>
                <w:noProof/>
                <w:color w:val="auto"/>
                <w:sz w:val="28"/>
                <w:lang w:eastAsia="es-ES"/>
              </w:rPr>
              <w:t>Síntesis de la discusión sobre la presunta violación al debido proceso por ausencia de reglas claras en la aplicación de la responsabilidad del punto medio (demanda, posición de la JEP e intervenciones)</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_Toc233384210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110</w:t>
            </w:r>
            <w:r w:rsidR="00C03C1A" w:rsidRPr="00746ACE">
              <w:rPr>
                <w:noProof/>
                <w:webHidden/>
                <w:sz w:val="28"/>
              </w:rPr>
              <w:fldChar w:fldCharType="end"/>
            </w:r>
          </w:hyperlink>
        </w:p>
        <w:p w14:paraId="6E98865A" w14:textId="404B43A4" w:rsidR="00C03C1A" w:rsidRPr="00746ACE" w:rsidRDefault="00746ACE">
          <w:pPr>
            <w:pStyle w:val="TDC3"/>
            <w:tabs>
              <w:tab w:val="left" w:pos="1200"/>
              <w:tab w:val="right" w:leader="dot" w:pos="8828"/>
            </w:tabs>
            <w:rPr>
              <w:rFonts w:eastAsiaTheme="minorEastAsia"/>
              <w:noProof/>
              <w:kern w:val="2"/>
              <w:sz w:val="28"/>
              <w:szCs w:val="24"/>
              <w:lang w:val="es-CO" w:eastAsia="es-MX"/>
            </w:rPr>
          </w:pPr>
          <w:hyperlink w:anchor="_Toc233384211" w:history="1">
            <w:r w:rsidR="00C03C1A" w:rsidRPr="00746ACE">
              <w:rPr>
                <w:rStyle w:val="Hipervnculo"/>
                <w:noProof/>
                <w:color w:val="auto"/>
                <w:sz w:val="28"/>
              </w:rPr>
              <w:t>b.</w:t>
            </w:r>
            <w:r w:rsidR="00C03C1A" w:rsidRPr="00746ACE">
              <w:rPr>
                <w:rFonts w:eastAsiaTheme="minorEastAsia"/>
                <w:noProof/>
                <w:kern w:val="2"/>
                <w:sz w:val="28"/>
                <w:szCs w:val="24"/>
                <w:lang w:val="es-CO" w:eastAsia="es-MX"/>
              </w:rPr>
              <w:tab/>
            </w:r>
            <w:r w:rsidR="00C03C1A" w:rsidRPr="00746ACE">
              <w:rPr>
                <w:rStyle w:val="Hipervnculo"/>
                <w:noProof/>
                <w:color w:val="auto"/>
                <w:sz w:val="28"/>
              </w:rPr>
              <w:t>La situación de los partícipes no determinantes que podrían hallarse en el punto medio de responsabilidad, de acuerdo con la Senit 5 y la Senit 8</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_Toc233384211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111</w:t>
            </w:r>
            <w:r w:rsidR="00C03C1A" w:rsidRPr="00746ACE">
              <w:rPr>
                <w:noProof/>
                <w:webHidden/>
                <w:sz w:val="28"/>
              </w:rPr>
              <w:fldChar w:fldCharType="end"/>
            </w:r>
          </w:hyperlink>
        </w:p>
        <w:p w14:paraId="6C671B89" w14:textId="0C55A6DC"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212" w:history="1">
            <w:r w:rsidR="00C03C1A" w:rsidRPr="00746ACE">
              <w:rPr>
                <w:rStyle w:val="Hipervnculo"/>
                <w:noProof/>
                <w:color w:val="auto"/>
                <w:sz w:val="28"/>
              </w:rPr>
              <w:t>c.</w:t>
            </w:r>
            <w:r w:rsidR="00C03C1A" w:rsidRPr="00746ACE">
              <w:rPr>
                <w:rFonts w:eastAsiaTheme="minorEastAsia"/>
                <w:noProof/>
                <w:kern w:val="2"/>
                <w:sz w:val="28"/>
                <w:szCs w:val="24"/>
                <w:lang w:val="es-CO" w:eastAsia="es-MX"/>
              </w:rPr>
              <w:tab/>
            </w:r>
            <w:r w:rsidR="00C03C1A" w:rsidRPr="00746ACE">
              <w:rPr>
                <w:rStyle w:val="Hipervnculo"/>
                <w:noProof/>
                <w:color w:val="auto"/>
                <w:sz w:val="28"/>
              </w:rPr>
              <w:t>Evaluación de las rutas descritas frente al debido proceso</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_Toc233384212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114</w:t>
            </w:r>
            <w:r w:rsidR="00C03C1A" w:rsidRPr="00746ACE">
              <w:rPr>
                <w:noProof/>
                <w:webHidden/>
                <w:sz w:val="28"/>
              </w:rPr>
              <w:fldChar w:fldCharType="end"/>
            </w:r>
          </w:hyperlink>
        </w:p>
        <w:p w14:paraId="4A9845BD" w14:textId="07F0C393" w:rsidR="00C03C1A" w:rsidRPr="00746ACE" w:rsidRDefault="00746ACE">
          <w:pPr>
            <w:pStyle w:val="TDC2"/>
            <w:rPr>
              <w:rFonts w:eastAsiaTheme="minorEastAsia"/>
              <w:noProof/>
              <w:kern w:val="2"/>
              <w:sz w:val="28"/>
              <w:szCs w:val="24"/>
              <w:lang w:val="es-CO" w:eastAsia="es-MX"/>
            </w:rPr>
          </w:pPr>
          <w:hyperlink w:anchor="_Toc233384213" w:history="1">
            <w:r w:rsidR="00C03C1A" w:rsidRPr="00746ACE">
              <w:rPr>
                <w:rStyle w:val="Hipervnculo"/>
                <w:bCs/>
                <w:noProof/>
                <w:color w:val="auto"/>
                <w:sz w:val="28"/>
              </w:rPr>
              <w:t>5.</w:t>
            </w:r>
            <w:r w:rsidR="00C03C1A" w:rsidRPr="00746ACE">
              <w:rPr>
                <w:rFonts w:eastAsiaTheme="minorEastAsia"/>
                <w:noProof/>
                <w:kern w:val="2"/>
                <w:sz w:val="28"/>
                <w:szCs w:val="24"/>
                <w:lang w:val="es-CO" w:eastAsia="es-MX"/>
              </w:rPr>
              <w:tab/>
            </w:r>
            <w:r w:rsidR="00C03C1A" w:rsidRPr="00746ACE">
              <w:rPr>
                <w:rStyle w:val="Hipervnculo"/>
                <w:noProof/>
                <w:color w:val="auto"/>
                <w:sz w:val="28"/>
              </w:rPr>
              <w:t>Quinto cargo. Violación del derecho al debido proceso y de los principios de igualdad y proporcionalidad de las sanciones en cuanto a la exigencia de reconocimiento de verdad y responsabilidad a quienes no son máximos responsables, bajo la potencial consecuencia de ser remitidos a un trámite adversarial para determinar su responsabilidad</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_Toc233384213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117</w:t>
            </w:r>
            <w:r w:rsidR="00C03C1A" w:rsidRPr="00746ACE">
              <w:rPr>
                <w:noProof/>
                <w:webHidden/>
                <w:sz w:val="28"/>
              </w:rPr>
              <w:fldChar w:fldCharType="end"/>
            </w:r>
          </w:hyperlink>
        </w:p>
        <w:p w14:paraId="4EB83DF3" w14:textId="16C73DA8"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214" w:history="1">
            <w:r w:rsidR="00C03C1A" w:rsidRPr="00746ACE">
              <w:rPr>
                <w:rStyle w:val="Hipervnculo"/>
                <w:noProof/>
                <w:color w:val="auto"/>
                <w:sz w:val="28"/>
              </w:rPr>
              <w:t>a.</w:t>
            </w:r>
            <w:r w:rsidR="00C03C1A" w:rsidRPr="00746ACE">
              <w:rPr>
                <w:rFonts w:eastAsiaTheme="minorEastAsia"/>
                <w:noProof/>
                <w:kern w:val="2"/>
                <w:sz w:val="28"/>
                <w:szCs w:val="24"/>
                <w:lang w:val="es-CO" w:eastAsia="es-MX"/>
              </w:rPr>
              <w:tab/>
            </w:r>
            <w:r w:rsidR="00C03C1A" w:rsidRPr="00746ACE">
              <w:rPr>
                <w:rStyle w:val="Hipervnculo"/>
                <w:noProof/>
                <w:color w:val="auto"/>
                <w:sz w:val="28"/>
              </w:rPr>
              <w:t>Síntesis de la discusión (demanda, posición de la JEP e intervenciones)</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_Toc233384214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117</w:t>
            </w:r>
            <w:r w:rsidR="00C03C1A" w:rsidRPr="00746ACE">
              <w:rPr>
                <w:noProof/>
                <w:webHidden/>
                <w:sz w:val="28"/>
              </w:rPr>
              <w:fldChar w:fldCharType="end"/>
            </w:r>
          </w:hyperlink>
        </w:p>
        <w:p w14:paraId="0D2D6866" w14:textId="14A051A5" w:rsidR="00C03C1A" w:rsidRPr="00746ACE" w:rsidRDefault="00746ACE">
          <w:pPr>
            <w:pStyle w:val="TDC3"/>
            <w:tabs>
              <w:tab w:val="left" w:pos="1200"/>
              <w:tab w:val="right" w:leader="dot" w:pos="8828"/>
            </w:tabs>
            <w:rPr>
              <w:rFonts w:eastAsiaTheme="minorEastAsia"/>
              <w:noProof/>
              <w:kern w:val="2"/>
              <w:sz w:val="28"/>
              <w:szCs w:val="24"/>
              <w:lang w:val="es-CO" w:eastAsia="es-MX"/>
            </w:rPr>
          </w:pPr>
          <w:hyperlink w:anchor="_Toc233384215" w:history="1">
            <w:r w:rsidR="00C03C1A" w:rsidRPr="00746ACE">
              <w:rPr>
                <w:rStyle w:val="Hipervnculo"/>
                <w:noProof/>
                <w:color w:val="auto"/>
                <w:sz w:val="28"/>
              </w:rPr>
              <w:t>b.</w:t>
            </w:r>
            <w:r w:rsidR="00C03C1A" w:rsidRPr="00746ACE">
              <w:rPr>
                <w:rFonts w:eastAsiaTheme="minorEastAsia"/>
                <w:noProof/>
                <w:kern w:val="2"/>
                <w:sz w:val="28"/>
                <w:szCs w:val="24"/>
                <w:lang w:val="es-CO" w:eastAsia="es-MX"/>
              </w:rPr>
              <w:tab/>
            </w:r>
            <w:r w:rsidR="00C03C1A" w:rsidRPr="00746ACE">
              <w:rPr>
                <w:rStyle w:val="Hipervnculo"/>
                <w:noProof/>
                <w:color w:val="auto"/>
                <w:sz w:val="28"/>
                <w:lang w:eastAsia="es-ES"/>
              </w:rPr>
              <w:t>Aclaración sobre el alcance del cargo, con base en el análisis de aptitud de la demanda</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_Toc233384215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120</w:t>
            </w:r>
            <w:r w:rsidR="00C03C1A" w:rsidRPr="00746ACE">
              <w:rPr>
                <w:noProof/>
                <w:webHidden/>
                <w:sz w:val="28"/>
              </w:rPr>
              <w:fldChar w:fldCharType="end"/>
            </w:r>
          </w:hyperlink>
        </w:p>
        <w:p w14:paraId="220AD1B8" w14:textId="01429B8D"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216" w:history="1">
            <w:r w:rsidR="00C03C1A" w:rsidRPr="00746ACE">
              <w:rPr>
                <w:rStyle w:val="Hipervnculo"/>
                <w:noProof/>
                <w:color w:val="auto"/>
                <w:sz w:val="28"/>
              </w:rPr>
              <w:t>c.</w:t>
            </w:r>
            <w:r w:rsidR="00C03C1A" w:rsidRPr="00746ACE">
              <w:rPr>
                <w:rFonts w:eastAsiaTheme="minorEastAsia"/>
                <w:noProof/>
                <w:kern w:val="2"/>
                <w:sz w:val="28"/>
                <w:szCs w:val="24"/>
                <w:lang w:val="es-CO" w:eastAsia="es-MX"/>
              </w:rPr>
              <w:tab/>
            </w:r>
            <w:r w:rsidR="00C03C1A" w:rsidRPr="00746ACE">
              <w:rPr>
                <w:rStyle w:val="Hipervnculo"/>
                <w:noProof/>
                <w:color w:val="auto"/>
                <w:sz w:val="28"/>
              </w:rPr>
              <w:t xml:space="preserve">El tratamiento diferenciado entre los máximos responsables y los partícipes no determinantes objeto de la selección de segundo orden </w:t>
            </w:r>
            <w:r w:rsidR="00C03C1A" w:rsidRPr="00746ACE">
              <w:rPr>
                <w:rStyle w:val="Hipervnculo"/>
                <w:b/>
                <w:noProof/>
                <w:color w:val="auto"/>
                <w:sz w:val="28"/>
              </w:rPr>
              <w:t>no</w:t>
            </w:r>
            <w:r w:rsidR="00C03C1A" w:rsidRPr="00746ACE">
              <w:rPr>
                <w:rStyle w:val="Hipervnculo"/>
                <w:noProof/>
                <w:color w:val="auto"/>
                <w:sz w:val="28"/>
              </w:rPr>
              <w:t xml:space="preserve"> vulnera el principio de igualdad</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_Toc233384216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121</w:t>
            </w:r>
            <w:r w:rsidR="00C03C1A" w:rsidRPr="00746ACE">
              <w:rPr>
                <w:noProof/>
                <w:webHidden/>
                <w:sz w:val="28"/>
              </w:rPr>
              <w:fldChar w:fldCharType="end"/>
            </w:r>
          </w:hyperlink>
        </w:p>
        <w:p w14:paraId="141C5052" w14:textId="4779C02C" w:rsidR="00C03C1A" w:rsidRPr="00746ACE" w:rsidRDefault="00746ACE">
          <w:pPr>
            <w:pStyle w:val="TDC3"/>
            <w:tabs>
              <w:tab w:val="left" w:pos="1200"/>
              <w:tab w:val="right" w:leader="dot" w:pos="8828"/>
            </w:tabs>
            <w:rPr>
              <w:rFonts w:eastAsiaTheme="minorEastAsia"/>
              <w:noProof/>
              <w:kern w:val="2"/>
              <w:sz w:val="28"/>
              <w:szCs w:val="24"/>
              <w:lang w:val="es-CO" w:eastAsia="es-MX"/>
            </w:rPr>
          </w:pPr>
          <w:hyperlink w:anchor="_Toc233384217" w:history="1">
            <w:r w:rsidR="00C03C1A" w:rsidRPr="00746ACE">
              <w:rPr>
                <w:rStyle w:val="Hipervnculo"/>
                <w:noProof/>
                <w:color w:val="auto"/>
                <w:sz w:val="28"/>
              </w:rPr>
              <w:t>d.</w:t>
            </w:r>
            <w:r w:rsidR="00C03C1A" w:rsidRPr="00746ACE">
              <w:rPr>
                <w:rFonts w:eastAsiaTheme="minorEastAsia"/>
                <w:noProof/>
                <w:kern w:val="2"/>
                <w:sz w:val="28"/>
                <w:szCs w:val="24"/>
                <w:lang w:val="es-CO" w:eastAsia="es-MX"/>
              </w:rPr>
              <w:tab/>
            </w:r>
            <w:r w:rsidR="00C03C1A" w:rsidRPr="00746ACE">
              <w:rPr>
                <w:rStyle w:val="Hipervnculo"/>
                <w:noProof/>
                <w:color w:val="auto"/>
                <w:sz w:val="28"/>
              </w:rPr>
              <w:t>Análisis de fondo</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_Toc233384217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123</w:t>
            </w:r>
            <w:r w:rsidR="00C03C1A" w:rsidRPr="00746ACE">
              <w:rPr>
                <w:noProof/>
                <w:webHidden/>
                <w:sz w:val="28"/>
              </w:rPr>
              <w:fldChar w:fldCharType="end"/>
            </w:r>
          </w:hyperlink>
        </w:p>
        <w:p w14:paraId="1D42106A" w14:textId="12F31901" w:rsidR="00C03C1A" w:rsidRPr="00746ACE" w:rsidRDefault="00746ACE">
          <w:pPr>
            <w:pStyle w:val="TDC2"/>
            <w:rPr>
              <w:rFonts w:eastAsiaTheme="minorEastAsia"/>
              <w:noProof/>
              <w:kern w:val="2"/>
              <w:sz w:val="28"/>
              <w:szCs w:val="24"/>
              <w:lang w:val="es-CO" w:eastAsia="es-MX"/>
            </w:rPr>
          </w:pPr>
          <w:hyperlink w:anchor="_Toc233384218" w:history="1">
            <w:r w:rsidR="00C03C1A" w:rsidRPr="00746ACE">
              <w:rPr>
                <w:rStyle w:val="Hipervnculo"/>
                <w:bCs/>
                <w:noProof/>
                <w:color w:val="auto"/>
                <w:sz w:val="28"/>
              </w:rPr>
              <w:t>6.</w:t>
            </w:r>
            <w:r w:rsidR="00C03C1A" w:rsidRPr="00746ACE">
              <w:rPr>
                <w:rFonts w:eastAsiaTheme="minorEastAsia"/>
                <w:noProof/>
                <w:kern w:val="2"/>
                <w:sz w:val="28"/>
                <w:szCs w:val="24"/>
                <w:lang w:val="es-CO" w:eastAsia="es-MX"/>
              </w:rPr>
              <w:tab/>
            </w:r>
            <w:r w:rsidR="00C03C1A" w:rsidRPr="00746ACE">
              <w:rPr>
                <w:rStyle w:val="Hipervnculo"/>
                <w:noProof/>
                <w:color w:val="auto"/>
                <w:sz w:val="28"/>
              </w:rPr>
              <w:t>Precisiones finales: la sentencia como un espacio de dialogo constitucional, transicional y restaurativo</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_Toc233384218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128</w:t>
            </w:r>
            <w:r w:rsidR="00C03C1A" w:rsidRPr="00746ACE">
              <w:rPr>
                <w:noProof/>
                <w:webHidden/>
                <w:sz w:val="28"/>
              </w:rPr>
              <w:fldChar w:fldCharType="end"/>
            </w:r>
          </w:hyperlink>
        </w:p>
        <w:p w14:paraId="0A7C75F2" w14:textId="583F0154" w:rsidR="00C03C1A" w:rsidRPr="00746ACE" w:rsidRDefault="00746ACE">
          <w:pPr>
            <w:pStyle w:val="TDC3"/>
            <w:tabs>
              <w:tab w:val="left" w:pos="960"/>
              <w:tab w:val="right" w:leader="dot" w:pos="8828"/>
            </w:tabs>
            <w:rPr>
              <w:rFonts w:eastAsiaTheme="minorEastAsia"/>
              <w:noProof/>
              <w:kern w:val="2"/>
              <w:sz w:val="28"/>
              <w:szCs w:val="24"/>
              <w:lang w:val="es-CO" w:eastAsia="es-MX"/>
            </w:rPr>
          </w:pPr>
          <w:hyperlink w:anchor="_Toc233384219" w:history="1">
            <w:r w:rsidR="00C03C1A" w:rsidRPr="00746ACE">
              <w:rPr>
                <w:rStyle w:val="Hipervnculo"/>
                <w:noProof/>
                <w:color w:val="auto"/>
                <w:sz w:val="28"/>
              </w:rPr>
              <w:t>a.</w:t>
            </w:r>
            <w:r w:rsidR="00C03C1A" w:rsidRPr="00746ACE">
              <w:rPr>
                <w:rFonts w:eastAsiaTheme="minorEastAsia"/>
                <w:noProof/>
                <w:kern w:val="2"/>
                <w:sz w:val="28"/>
                <w:szCs w:val="24"/>
                <w:lang w:val="es-CO" w:eastAsia="es-MX"/>
              </w:rPr>
              <w:tab/>
            </w:r>
            <w:r w:rsidR="00C03C1A" w:rsidRPr="00746ACE">
              <w:rPr>
                <w:rStyle w:val="Hipervnculo"/>
                <w:noProof/>
                <w:color w:val="auto"/>
                <w:sz w:val="28"/>
              </w:rPr>
              <w:t>La selección y la máxima responsabilidad en un sistema de justicia transicional restaurativo</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_Toc233384219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128</w:t>
            </w:r>
            <w:r w:rsidR="00C03C1A" w:rsidRPr="00746ACE">
              <w:rPr>
                <w:noProof/>
                <w:webHidden/>
                <w:sz w:val="28"/>
              </w:rPr>
              <w:fldChar w:fldCharType="end"/>
            </w:r>
          </w:hyperlink>
        </w:p>
        <w:p w14:paraId="63C58AAC" w14:textId="47C51B5E" w:rsidR="00C03C1A" w:rsidRPr="00746ACE" w:rsidRDefault="00746ACE">
          <w:pPr>
            <w:pStyle w:val="TDC3"/>
            <w:tabs>
              <w:tab w:val="left" w:pos="1200"/>
              <w:tab w:val="right" w:leader="dot" w:pos="8828"/>
            </w:tabs>
            <w:rPr>
              <w:rFonts w:eastAsiaTheme="minorEastAsia"/>
              <w:noProof/>
              <w:kern w:val="2"/>
              <w:sz w:val="28"/>
              <w:szCs w:val="24"/>
              <w:lang w:val="es-CO" w:eastAsia="es-MX"/>
            </w:rPr>
          </w:pPr>
          <w:hyperlink w:anchor="_Toc233384220" w:history="1">
            <w:r w:rsidR="00C03C1A" w:rsidRPr="00746ACE">
              <w:rPr>
                <w:rStyle w:val="Hipervnculo"/>
                <w:noProof/>
                <w:color w:val="auto"/>
                <w:sz w:val="28"/>
              </w:rPr>
              <w:t>b.</w:t>
            </w:r>
            <w:r w:rsidR="00C03C1A" w:rsidRPr="00746ACE">
              <w:rPr>
                <w:rFonts w:eastAsiaTheme="minorEastAsia"/>
                <w:noProof/>
                <w:kern w:val="2"/>
                <w:sz w:val="28"/>
                <w:szCs w:val="24"/>
                <w:lang w:val="es-CO" w:eastAsia="es-MX"/>
              </w:rPr>
              <w:tab/>
            </w:r>
            <w:r w:rsidR="00C03C1A" w:rsidRPr="00746ACE">
              <w:rPr>
                <w:rStyle w:val="Hipervnculo"/>
                <w:noProof/>
                <w:color w:val="auto"/>
                <w:sz w:val="28"/>
              </w:rPr>
              <w:t>La aproximación basada en la justicia restaurativa y la centralidad de las víctimas</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_Toc233384220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133</w:t>
            </w:r>
            <w:r w:rsidR="00C03C1A" w:rsidRPr="00746ACE">
              <w:rPr>
                <w:noProof/>
                <w:webHidden/>
                <w:sz w:val="28"/>
              </w:rPr>
              <w:fldChar w:fldCharType="end"/>
            </w:r>
          </w:hyperlink>
        </w:p>
        <w:p w14:paraId="2C65C672" w14:textId="759FD32B" w:rsidR="00C03C1A" w:rsidRPr="00746ACE" w:rsidRDefault="00746ACE">
          <w:pPr>
            <w:pStyle w:val="TDC2"/>
            <w:rPr>
              <w:rFonts w:eastAsiaTheme="minorEastAsia"/>
              <w:noProof/>
              <w:kern w:val="2"/>
              <w:sz w:val="28"/>
              <w:szCs w:val="24"/>
              <w:lang w:val="es-CO" w:eastAsia="es-MX"/>
            </w:rPr>
          </w:pPr>
          <w:hyperlink w:anchor="_Toc233384221" w:history="1">
            <w:r w:rsidR="00C03C1A" w:rsidRPr="00746ACE">
              <w:rPr>
                <w:rStyle w:val="Hipervnculo"/>
                <w:bCs/>
                <w:noProof/>
                <w:color w:val="auto"/>
                <w:sz w:val="28"/>
              </w:rPr>
              <w:t>7.</w:t>
            </w:r>
            <w:r w:rsidR="00C03C1A" w:rsidRPr="00746ACE">
              <w:rPr>
                <w:rFonts w:eastAsiaTheme="minorEastAsia"/>
                <w:noProof/>
                <w:kern w:val="2"/>
                <w:sz w:val="28"/>
                <w:szCs w:val="24"/>
                <w:lang w:val="es-CO" w:eastAsia="es-MX"/>
              </w:rPr>
              <w:tab/>
            </w:r>
            <w:r w:rsidR="00C03C1A" w:rsidRPr="00746ACE">
              <w:rPr>
                <w:rStyle w:val="Hipervnculo"/>
                <w:noProof/>
                <w:color w:val="auto"/>
                <w:sz w:val="28"/>
              </w:rPr>
              <w:t>Alcance de la decisión</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_Toc233384221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136</w:t>
            </w:r>
            <w:r w:rsidR="00C03C1A" w:rsidRPr="00746ACE">
              <w:rPr>
                <w:noProof/>
                <w:webHidden/>
                <w:sz w:val="28"/>
              </w:rPr>
              <w:fldChar w:fldCharType="end"/>
            </w:r>
          </w:hyperlink>
        </w:p>
        <w:p w14:paraId="577AD4B6" w14:textId="17F6030B" w:rsidR="00C03C1A" w:rsidRPr="00746ACE" w:rsidRDefault="00746ACE">
          <w:pPr>
            <w:pStyle w:val="TDC1"/>
            <w:tabs>
              <w:tab w:val="left" w:pos="720"/>
              <w:tab w:val="right" w:leader="dot" w:pos="8828"/>
            </w:tabs>
            <w:rPr>
              <w:rFonts w:eastAsiaTheme="minorEastAsia"/>
              <w:b w:val="0"/>
              <w:noProof/>
              <w:kern w:val="2"/>
              <w:sz w:val="28"/>
              <w:szCs w:val="24"/>
              <w:lang w:val="es-CO" w:eastAsia="es-MX"/>
            </w:rPr>
          </w:pPr>
          <w:hyperlink w:anchor="_Toc233384222" w:history="1">
            <w:r w:rsidR="00C03C1A" w:rsidRPr="00746ACE">
              <w:rPr>
                <w:rStyle w:val="Hipervnculo"/>
                <w:noProof/>
                <w:color w:val="auto"/>
                <w:sz w:val="28"/>
                <w:lang w:eastAsia="es-MX"/>
              </w:rPr>
              <w:t>VII.</w:t>
            </w:r>
            <w:r w:rsidR="00C03C1A" w:rsidRPr="00746ACE">
              <w:rPr>
                <w:rFonts w:eastAsiaTheme="minorEastAsia"/>
                <w:b w:val="0"/>
                <w:noProof/>
                <w:kern w:val="2"/>
                <w:sz w:val="28"/>
                <w:szCs w:val="24"/>
                <w:lang w:val="es-CO" w:eastAsia="es-MX"/>
              </w:rPr>
              <w:tab/>
            </w:r>
            <w:r w:rsidR="00C03C1A" w:rsidRPr="00746ACE">
              <w:rPr>
                <w:rStyle w:val="Hipervnculo"/>
                <w:noProof/>
                <w:color w:val="auto"/>
                <w:sz w:val="28"/>
              </w:rPr>
              <w:t>DECISIÓN</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_Toc233384222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137</w:t>
            </w:r>
            <w:r w:rsidR="00C03C1A" w:rsidRPr="00746ACE">
              <w:rPr>
                <w:noProof/>
                <w:webHidden/>
                <w:sz w:val="28"/>
              </w:rPr>
              <w:fldChar w:fldCharType="end"/>
            </w:r>
          </w:hyperlink>
        </w:p>
        <w:p w14:paraId="1E3F2708" w14:textId="3FA26FD8" w:rsidR="00C03C1A" w:rsidRPr="00746ACE" w:rsidRDefault="00746ACE">
          <w:pPr>
            <w:pStyle w:val="TDC2"/>
            <w:rPr>
              <w:rFonts w:eastAsiaTheme="minorEastAsia"/>
              <w:noProof/>
              <w:kern w:val="2"/>
              <w:sz w:val="28"/>
              <w:szCs w:val="24"/>
              <w:lang w:val="es-CO" w:eastAsia="es-MX"/>
            </w:rPr>
          </w:pPr>
          <w:hyperlink w:anchor="_Toc233384223" w:history="1">
            <w:r w:rsidR="00C03C1A" w:rsidRPr="00746ACE">
              <w:rPr>
                <w:rStyle w:val="Hipervnculo"/>
                <w:rFonts w:eastAsia="Yu Gothic Light"/>
                <w:b/>
                <w:noProof/>
                <w:color w:val="auto"/>
                <w:sz w:val="28"/>
              </w:rPr>
              <w:t>Anexo 1:  Intervenciones ciudadanas</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_Toc233384223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138</w:t>
            </w:r>
            <w:r w:rsidR="00C03C1A" w:rsidRPr="00746ACE">
              <w:rPr>
                <w:noProof/>
                <w:webHidden/>
                <w:sz w:val="28"/>
              </w:rPr>
              <w:fldChar w:fldCharType="end"/>
            </w:r>
          </w:hyperlink>
        </w:p>
        <w:p w14:paraId="77C91A5F" w14:textId="61BFE4FC" w:rsidR="00C03C1A" w:rsidRPr="00746ACE" w:rsidRDefault="00746ACE">
          <w:pPr>
            <w:pStyle w:val="TDC2"/>
            <w:rPr>
              <w:rFonts w:eastAsiaTheme="minorEastAsia"/>
              <w:noProof/>
              <w:kern w:val="2"/>
              <w:sz w:val="28"/>
              <w:szCs w:val="24"/>
              <w:lang w:val="es-CO" w:eastAsia="es-MX"/>
            </w:rPr>
          </w:pPr>
          <w:hyperlink w:anchor="_Toc233384224" w:history="1">
            <w:r w:rsidR="00C03C1A" w:rsidRPr="00746ACE">
              <w:rPr>
                <w:rStyle w:val="Hipervnculo"/>
                <w:rFonts w:eastAsia="Yu Gothic Light"/>
                <w:b/>
                <w:noProof/>
                <w:color w:val="auto"/>
                <w:sz w:val="28"/>
              </w:rPr>
              <w:t>Anexo 2: Concepto del Ministerio Público</w:t>
            </w:r>
            <w:r w:rsidR="00C03C1A" w:rsidRPr="00746ACE">
              <w:rPr>
                <w:noProof/>
                <w:webHidden/>
                <w:sz w:val="28"/>
              </w:rPr>
              <w:tab/>
            </w:r>
            <w:r w:rsidR="00C03C1A" w:rsidRPr="00746ACE">
              <w:rPr>
                <w:noProof/>
                <w:webHidden/>
                <w:sz w:val="28"/>
              </w:rPr>
              <w:fldChar w:fldCharType="begin"/>
            </w:r>
            <w:r w:rsidR="00C03C1A" w:rsidRPr="00746ACE">
              <w:rPr>
                <w:noProof/>
                <w:webHidden/>
                <w:sz w:val="28"/>
              </w:rPr>
              <w:instrText xml:space="preserve"> PAGEREF _Toc233384224 \h </w:instrText>
            </w:r>
            <w:r w:rsidR="00C03C1A" w:rsidRPr="00746ACE">
              <w:rPr>
                <w:noProof/>
                <w:webHidden/>
                <w:sz w:val="28"/>
              </w:rPr>
            </w:r>
            <w:r w:rsidR="00C03C1A" w:rsidRPr="00746ACE">
              <w:rPr>
                <w:noProof/>
                <w:webHidden/>
                <w:sz w:val="28"/>
              </w:rPr>
              <w:fldChar w:fldCharType="separate"/>
            </w:r>
            <w:r w:rsidR="00C03C1A" w:rsidRPr="00746ACE">
              <w:rPr>
                <w:noProof/>
                <w:webHidden/>
                <w:sz w:val="28"/>
              </w:rPr>
              <w:t>151</w:t>
            </w:r>
            <w:r w:rsidR="00C03C1A" w:rsidRPr="00746ACE">
              <w:rPr>
                <w:noProof/>
                <w:webHidden/>
                <w:sz w:val="28"/>
              </w:rPr>
              <w:fldChar w:fldCharType="end"/>
            </w:r>
          </w:hyperlink>
        </w:p>
        <w:p w14:paraId="0FCE0C8B" w14:textId="79059EC0" w:rsidR="003A0C20" w:rsidRPr="00746ACE" w:rsidRDefault="0054259F" w:rsidP="00FC0DFB">
          <w:pPr>
            <w:pStyle w:val="TDC1"/>
            <w:widowControl w:val="0"/>
            <w:tabs>
              <w:tab w:val="left" w:pos="555"/>
              <w:tab w:val="right" w:leader="dot" w:pos="8820"/>
            </w:tabs>
            <w:rPr>
              <w:smallCaps/>
              <w:sz w:val="28"/>
              <w:u w:val="single"/>
            </w:rPr>
          </w:pPr>
          <w:r w:rsidRPr="00746ACE">
            <w:rPr>
              <w:smallCaps/>
              <w:sz w:val="28"/>
            </w:rPr>
            <w:fldChar w:fldCharType="end"/>
          </w:r>
        </w:p>
      </w:sdtContent>
    </w:sdt>
    <w:p w14:paraId="7B3E76E3" w14:textId="7E35D27D" w:rsidR="00A20546" w:rsidRPr="00746ACE" w:rsidRDefault="00746BB2" w:rsidP="000B69F5">
      <w:pPr>
        <w:pStyle w:val="Ttulo1"/>
        <w:widowControl w:val="0"/>
        <w:spacing w:before="0" w:beforeAutospacing="0" w:after="0" w:afterAutospacing="0"/>
        <w:ind w:hanging="436"/>
        <w:jc w:val="both"/>
        <w:rPr>
          <w:sz w:val="28"/>
          <w:szCs w:val="28"/>
          <w:lang w:val="es-ES"/>
        </w:rPr>
      </w:pPr>
      <w:bookmarkStart w:id="1" w:name="_Toc233384157"/>
      <w:r w:rsidRPr="00746ACE">
        <w:rPr>
          <w:sz w:val="28"/>
          <w:szCs w:val="28"/>
          <w:lang w:val="es-ES"/>
        </w:rPr>
        <w:t>ANTECEDENTES</w:t>
      </w:r>
      <w:bookmarkEnd w:id="1"/>
    </w:p>
    <w:p w14:paraId="57CBB1BB" w14:textId="77777777" w:rsidR="007A1E74" w:rsidRPr="00746ACE" w:rsidRDefault="007A1E74" w:rsidP="00FC0DFB">
      <w:pPr>
        <w:widowControl w:val="0"/>
      </w:pPr>
    </w:p>
    <w:p w14:paraId="40C75D33" w14:textId="35F223EB" w:rsidR="001B4DF7" w:rsidRPr="00746ACE" w:rsidRDefault="00FF1879" w:rsidP="00FC0DFB">
      <w:pPr>
        <w:pStyle w:val="Ttulo2"/>
        <w:keepNext w:val="0"/>
        <w:keepLines w:val="0"/>
        <w:widowControl w:val="0"/>
        <w:rPr>
          <w:rFonts w:cs="Times New Roman"/>
          <w:b w:val="0"/>
          <w:szCs w:val="28"/>
        </w:rPr>
      </w:pPr>
      <w:bookmarkStart w:id="2" w:name="_Toc233384158"/>
      <w:r w:rsidRPr="00746ACE">
        <w:rPr>
          <w:rFonts w:cs="Times New Roman"/>
          <w:szCs w:val="28"/>
        </w:rPr>
        <w:t>D</w:t>
      </w:r>
      <w:r w:rsidR="001B4DF7" w:rsidRPr="00746ACE">
        <w:rPr>
          <w:rFonts w:cs="Times New Roman"/>
          <w:szCs w:val="28"/>
        </w:rPr>
        <w:t>emanda</w:t>
      </w:r>
      <w:bookmarkEnd w:id="2"/>
    </w:p>
    <w:p w14:paraId="7A1C0455" w14:textId="77777777" w:rsidR="001B4DF7" w:rsidRPr="00746ACE" w:rsidRDefault="001B4DF7" w:rsidP="00FC0DFB">
      <w:pPr>
        <w:pStyle w:val="Prrafodelista"/>
        <w:widowControl w:val="0"/>
        <w:tabs>
          <w:tab w:val="left" w:pos="426"/>
        </w:tabs>
        <w:ind w:left="0"/>
      </w:pPr>
    </w:p>
    <w:p w14:paraId="5DCEAB24" w14:textId="299C72C6" w:rsidR="004666AA" w:rsidRPr="00746ACE" w:rsidRDefault="00044838" w:rsidP="3877B9AD">
      <w:pPr>
        <w:widowControl w:val="0"/>
        <w:numPr>
          <w:ilvl w:val="0"/>
          <w:numId w:val="7"/>
        </w:numPr>
        <w:tabs>
          <w:tab w:val="left" w:pos="567"/>
        </w:tabs>
      </w:pPr>
      <w:bookmarkStart w:id="3" w:name="_Hlk163148903"/>
      <w:r w:rsidRPr="00746ACE">
        <w:t>Los ciudadanos Humberto de la Calle Lombana y Sergio Jaramillo Caro</w:t>
      </w:r>
      <w:r w:rsidR="00D355F2" w:rsidRPr="00746ACE">
        <w:t xml:space="preserve"> </w:t>
      </w:r>
      <w:r w:rsidRPr="00746ACE">
        <w:t xml:space="preserve">presentaron acción pública de inconstitucionalidad contra la Sentencia </w:t>
      </w:r>
      <w:r w:rsidR="006C62ED" w:rsidRPr="00746ACE">
        <w:t>Interpretativa n</w:t>
      </w:r>
      <w:r w:rsidR="006C62ED" w:rsidRPr="00746ACE">
        <w:rPr>
          <w:vertAlign w:val="superscript"/>
        </w:rPr>
        <w:t>o</w:t>
      </w:r>
      <w:r w:rsidR="006C62ED" w:rsidRPr="00746ACE">
        <w:t>.</w:t>
      </w:r>
      <w:r w:rsidRPr="00746ACE">
        <w:t xml:space="preserve"> 5 </w:t>
      </w:r>
      <w:r w:rsidR="006C62ED" w:rsidRPr="00746ACE">
        <w:t>(</w:t>
      </w:r>
      <w:r w:rsidR="009C7BBD" w:rsidRPr="00746ACE">
        <w:t>la “</w:t>
      </w:r>
      <w:r w:rsidR="006C62ED" w:rsidRPr="00746ACE">
        <w:t>Senit 5</w:t>
      </w:r>
      <w:r w:rsidR="009C7BBD" w:rsidRPr="00746ACE">
        <w:t>”</w:t>
      </w:r>
      <w:r w:rsidR="006C62ED" w:rsidRPr="00746ACE">
        <w:t>)</w:t>
      </w:r>
      <w:r w:rsidR="00A1508E" w:rsidRPr="00746ACE">
        <w:t>, proferida el 17 de mayo de 2023 por</w:t>
      </w:r>
      <w:r w:rsidR="006C62ED" w:rsidRPr="00746ACE">
        <w:t xml:space="preserve"> </w:t>
      </w:r>
      <w:r w:rsidRPr="00746ACE">
        <w:t xml:space="preserve">la Sección de Apelación </w:t>
      </w:r>
      <w:r w:rsidR="006C62ED" w:rsidRPr="00746ACE">
        <w:t>del Tribunal para la Paz</w:t>
      </w:r>
      <w:r w:rsidR="005C00A6" w:rsidRPr="00746ACE">
        <w:t>.</w:t>
      </w:r>
      <w:r w:rsidR="007B23E4" w:rsidRPr="00746ACE">
        <w:t xml:space="preserve"> Los demandantes </w:t>
      </w:r>
      <w:r w:rsidR="00376AD6" w:rsidRPr="00746ACE">
        <w:t>cuestionaron</w:t>
      </w:r>
      <w:r w:rsidR="007B23E4" w:rsidRPr="00746ACE">
        <w:t xml:space="preserve"> </w:t>
      </w:r>
      <w:r w:rsidR="000D6573" w:rsidRPr="00746ACE">
        <w:t xml:space="preserve">la interpretación judicial </w:t>
      </w:r>
      <w:r w:rsidR="0054229E" w:rsidRPr="00746ACE">
        <w:t>sobre</w:t>
      </w:r>
      <w:r w:rsidR="000D6573" w:rsidRPr="00746ACE">
        <w:t xml:space="preserve"> los artículos </w:t>
      </w:r>
      <w:r w:rsidR="009912B5" w:rsidRPr="00746ACE">
        <w:t xml:space="preserve">19, 84 (parcial) y 129 de la Ley </w:t>
      </w:r>
      <w:r w:rsidR="00B511EE" w:rsidRPr="00746ACE">
        <w:t xml:space="preserve">Estatutaria </w:t>
      </w:r>
      <w:r w:rsidR="009912B5" w:rsidRPr="00746ACE">
        <w:t>1957 de 2019</w:t>
      </w:r>
      <w:r w:rsidR="0054229E" w:rsidRPr="00746ACE">
        <w:t xml:space="preserve">, </w:t>
      </w:r>
      <w:r w:rsidR="009912B5" w:rsidRPr="00746ACE">
        <w:t xml:space="preserve">contenida en </w:t>
      </w:r>
      <w:r w:rsidR="007B23E4" w:rsidRPr="00746ACE">
        <w:t xml:space="preserve">los </w:t>
      </w:r>
      <w:r w:rsidR="009C7BBD" w:rsidRPr="00746ACE">
        <w:t>párrafos n</w:t>
      </w:r>
      <w:r w:rsidR="009C7BBD" w:rsidRPr="00746ACE">
        <w:rPr>
          <w:vertAlign w:val="superscript"/>
        </w:rPr>
        <w:t>o</w:t>
      </w:r>
      <w:r w:rsidR="009C7BBD" w:rsidRPr="00746ACE">
        <w:t>.</w:t>
      </w:r>
      <w:r w:rsidR="007B23E4" w:rsidRPr="00746ACE">
        <w:t xml:space="preserve"> 67, 125, 126, 127, 128, 133, 137, 140 y 143 de la Senit 5</w:t>
      </w:r>
      <w:r w:rsidR="003A71D5" w:rsidRPr="00746ACE">
        <w:t xml:space="preserve">. </w:t>
      </w:r>
    </w:p>
    <w:p w14:paraId="48FAA9E9" w14:textId="77777777" w:rsidR="003565F9" w:rsidRPr="00746ACE" w:rsidRDefault="003565F9" w:rsidP="00FC0DFB">
      <w:pPr>
        <w:widowControl w:val="0"/>
        <w:tabs>
          <w:tab w:val="left" w:pos="567"/>
        </w:tabs>
      </w:pPr>
    </w:p>
    <w:p w14:paraId="5EC73363" w14:textId="13880519" w:rsidR="003565F9" w:rsidRPr="00746ACE" w:rsidRDefault="6E042E3E" w:rsidP="3877B9AD">
      <w:pPr>
        <w:widowControl w:val="0"/>
        <w:numPr>
          <w:ilvl w:val="0"/>
          <w:numId w:val="7"/>
        </w:numPr>
        <w:tabs>
          <w:tab w:val="left" w:pos="567"/>
        </w:tabs>
      </w:pPr>
      <w:r w:rsidRPr="00746ACE">
        <w:t xml:space="preserve">Por </w:t>
      </w:r>
      <w:r w:rsidR="00C40341" w:rsidRPr="00746ACE">
        <w:t>auto de 28 de febrero de 2025, la magistrada sustanciadora admitió algunos cargos de la demanda e inadmitió los restantes. El 7 de marzo de 2025, los demandantes presentaron un escrito de corrección</w:t>
      </w:r>
      <w:r w:rsidR="006E160D" w:rsidRPr="00746ACE">
        <w:t xml:space="preserve">. </w:t>
      </w:r>
      <w:r w:rsidR="00555242" w:rsidRPr="00746ACE">
        <w:t xml:space="preserve">Luego, </w:t>
      </w:r>
      <w:r w:rsidR="00E04113" w:rsidRPr="00746ACE">
        <w:t>el</w:t>
      </w:r>
      <w:r w:rsidR="00555242" w:rsidRPr="00746ACE">
        <w:t xml:space="preserve"> 2</w:t>
      </w:r>
      <w:r w:rsidR="00E04113" w:rsidRPr="00746ACE">
        <w:t xml:space="preserve">5 de marzo de 2025, la magistrada </w:t>
      </w:r>
      <w:r w:rsidR="00F2222D" w:rsidRPr="00746ACE">
        <w:t xml:space="preserve">sustanciadora </w:t>
      </w:r>
      <w:r w:rsidR="00A80DE2" w:rsidRPr="00746ACE">
        <w:t xml:space="preserve">profirió un auto que </w:t>
      </w:r>
      <w:r w:rsidR="00F2222D" w:rsidRPr="00746ACE">
        <w:t xml:space="preserve">admitió los cargos </w:t>
      </w:r>
      <w:r w:rsidR="00A80DE2" w:rsidRPr="00746ACE">
        <w:t>corregidos</w:t>
      </w:r>
      <w:r w:rsidR="00B17379" w:rsidRPr="00746ACE">
        <w:t xml:space="preserve"> y rechazó</w:t>
      </w:r>
      <w:r w:rsidR="00ED4F37" w:rsidRPr="00746ACE">
        <w:t xml:space="preserve"> aquellos que no </w:t>
      </w:r>
      <w:r w:rsidR="66B60B33" w:rsidRPr="00746ACE">
        <w:t xml:space="preserve">superaron el examen inicial de aptitud. </w:t>
      </w:r>
    </w:p>
    <w:p w14:paraId="2619798E" w14:textId="77777777" w:rsidR="007B23E4" w:rsidRPr="00746ACE" w:rsidRDefault="007B23E4" w:rsidP="00FC0DFB">
      <w:pPr>
        <w:widowControl w:val="0"/>
        <w:tabs>
          <w:tab w:val="left" w:pos="567"/>
        </w:tabs>
      </w:pPr>
    </w:p>
    <w:p w14:paraId="7C308ECE" w14:textId="53311098" w:rsidR="005A718E" w:rsidRPr="00746ACE" w:rsidRDefault="00FF1879" w:rsidP="00D62ABF">
      <w:pPr>
        <w:pStyle w:val="Ttulo2"/>
        <w:keepNext w:val="0"/>
        <w:keepLines w:val="0"/>
        <w:widowControl w:val="0"/>
        <w:rPr>
          <w:rFonts w:cs="Times New Roman"/>
          <w:szCs w:val="28"/>
        </w:rPr>
      </w:pPr>
      <w:bookmarkStart w:id="4" w:name="_Toc233384159"/>
      <w:r w:rsidRPr="00746ACE">
        <w:rPr>
          <w:rFonts w:cs="Times New Roman"/>
          <w:szCs w:val="28"/>
        </w:rPr>
        <w:t>N</w:t>
      </w:r>
      <w:r w:rsidR="005A718E" w:rsidRPr="00746ACE">
        <w:rPr>
          <w:rFonts w:cs="Times New Roman"/>
          <w:szCs w:val="28"/>
        </w:rPr>
        <w:t>orma demandada</w:t>
      </w:r>
      <w:bookmarkEnd w:id="4"/>
      <w:r w:rsidR="005A718E" w:rsidRPr="00746ACE">
        <w:rPr>
          <w:rFonts w:cs="Times New Roman"/>
          <w:szCs w:val="28"/>
        </w:rPr>
        <w:t xml:space="preserve"> </w:t>
      </w:r>
    </w:p>
    <w:p w14:paraId="6C2133FB" w14:textId="1F07E7F7" w:rsidR="005A718E" w:rsidRPr="00746ACE" w:rsidRDefault="005A718E" w:rsidP="00D62ABF">
      <w:pPr>
        <w:widowControl w:val="0"/>
      </w:pPr>
    </w:p>
    <w:p w14:paraId="3C2F914F" w14:textId="039B2AA4" w:rsidR="005A718E" w:rsidRPr="00746ACE" w:rsidRDefault="003D306A" w:rsidP="00FC0DFB">
      <w:pPr>
        <w:widowControl w:val="0"/>
        <w:numPr>
          <w:ilvl w:val="0"/>
          <w:numId w:val="7"/>
        </w:numPr>
        <w:tabs>
          <w:tab w:val="left" w:pos="567"/>
        </w:tabs>
      </w:pPr>
      <w:r w:rsidRPr="00746ACE">
        <w:t>A continuación, se transcribe</w:t>
      </w:r>
      <w:r w:rsidR="003E7ABA" w:rsidRPr="00746ACE">
        <w:t xml:space="preserve">n los enunciados de </w:t>
      </w:r>
      <w:r w:rsidR="00C37307" w:rsidRPr="00746ACE">
        <w:t xml:space="preserve">la Senit 5 </w:t>
      </w:r>
      <w:r w:rsidR="004D4904" w:rsidRPr="00746ACE">
        <w:t>que fue</w:t>
      </w:r>
      <w:r w:rsidR="003E7ABA" w:rsidRPr="00746ACE">
        <w:t>ron</w:t>
      </w:r>
      <w:r w:rsidR="004D4904" w:rsidRPr="00746ACE">
        <w:t xml:space="preserve"> </w:t>
      </w:r>
      <w:r w:rsidR="00C37307" w:rsidRPr="00746ACE">
        <w:t>acusado</w:t>
      </w:r>
      <w:r w:rsidR="008F3C1A" w:rsidRPr="00746ACE">
        <w:t>s</w:t>
      </w:r>
      <w:r w:rsidR="00C37307" w:rsidRPr="00746ACE">
        <w:t xml:space="preserve"> por los demandantes: </w:t>
      </w:r>
    </w:p>
    <w:p w14:paraId="274BB90E" w14:textId="77777777" w:rsidR="005A718E" w:rsidRPr="00746ACE" w:rsidRDefault="005A718E" w:rsidP="00D62ABF">
      <w:pPr>
        <w:widowControl w:val="0"/>
        <w:ind w:left="284" w:right="284"/>
      </w:pPr>
    </w:p>
    <w:p w14:paraId="79807849" w14:textId="77777777" w:rsidR="00221A07" w:rsidRPr="00746ACE" w:rsidRDefault="00C37307" w:rsidP="006149C4">
      <w:pPr>
        <w:widowControl w:val="0"/>
        <w:jc w:val="center"/>
        <w:rPr>
          <w:i/>
          <w:szCs w:val="24"/>
        </w:rPr>
      </w:pPr>
      <w:r w:rsidRPr="00746ACE">
        <w:rPr>
          <w:i/>
          <w:szCs w:val="24"/>
        </w:rPr>
        <w:t>“</w:t>
      </w:r>
      <w:r w:rsidR="00221A07" w:rsidRPr="00746ACE">
        <w:rPr>
          <w:i/>
          <w:szCs w:val="24"/>
        </w:rPr>
        <w:t>JURISDICCIÓN ESPECIAL PARA LA PAZ</w:t>
      </w:r>
    </w:p>
    <w:p w14:paraId="5093807B" w14:textId="77777777" w:rsidR="00221A07" w:rsidRPr="00746ACE" w:rsidRDefault="00221A07" w:rsidP="006149C4">
      <w:pPr>
        <w:widowControl w:val="0"/>
        <w:jc w:val="center"/>
        <w:rPr>
          <w:i/>
          <w:szCs w:val="24"/>
        </w:rPr>
      </w:pPr>
      <w:r w:rsidRPr="00746ACE">
        <w:rPr>
          <w:i/>
          <w:szCs w:val="24"/>
        </w:rPr>
        <w:t>TRIBUNAL PARA LA PAZ</w:t>
      </w:r>
    </w:p>
    <w:p w14:paraId="45B4C12E" w14:textId="77777777" w:rsidR="00221A07" w:rsidRPr="00746ACE" w:rsidRDefault="00221A07" w:rsidP="006149C4">
      <w:pPr>
        <w:widowControl w:val="0"/>
        <w:jc w:val="center"/>
        <w:rPr>
          <w:i/>
          <w:szCs w:val="24"/>
        </w:rPr>
      </w:pPr>
      <w:r w:rsidRPr="00746ACE">
        <w:rPr>
          <w:i/>
          <w:szCs w:val="24"/>
        </w:rPr>
        <w:t>SECCIÓN DE APELACIÓN</w:t>
      </w:r>
    </w:p>
    <w:p w14:paraId="4263DB07" w14:textId="77777777" w:rsidR="00221A07" w:rsidRPr="00746ACE" w:rsidRDefault="00221A07" w:rsidP="006149C4">
      <w:pPr>
        <w:widowControl w:val="0"/>
        <w:jc w:val="center"/>
        <w:rPr>
          <w:i/>
          <w:szCs w:val="24"/>
        </w:rPr>
      </w:pPr>
      <w:r w:rsidRPr="00746ACE">
        <w:rPr>
          <w:i/>
          <w:szCs w:val="24"/>
        </w:rPr>
        <w:t>Sentencia interpretativa</w:t>
      </w:r>
    </w:p>
    <w:p w14:paraId="497913F3" w14:textId="77777777" w:rsidR="00020FEB" w:rsidRPr="00746ACE" w:rsidRDefault="00020FEB" w:rsidP="000B69F5">
      <w:pPr>
        <w:widowControl w:val="0"/>
        <w:rPr>
          <w:i/>
          <w:szCs w:val="24"/>
        </w:rPr>
      </w:pPr>
    </w:p>
    <w:p w14:paraId="0BD662CE" w14:textId="77777777" w:rsidR="00221A07" w:rsidRPr="00746ACE" w:rsidRDefault="00221A07" w:rsidP="000B69F5">
      <w:pPr>
        <w:widowControl w:val="0"/>
        <w:rPr>
          <w:i/>
          <w:szCs w:val="24"/>
        </w:rPr>
      </w:pPr>
      <w:r w:rsidRPr="00746ACE">
        <w:rPr>
          <w:i/>
          <w:szCs w:val="24"/>
        </w:rPr>
        <w:t>TP-SA-Senit 5 de 2023</w:t>
      </w:r>
    </w:p>
    <w:p w14:paraId="0B797755" w14:textId="77777777" w:rsidR="00020FEB" w:rsidRPr="00746ACE" w:rsidRDefault="00020FEB" w:rsidP="000B69F5">
      <w:pPr>
        <w:widowControl w:val="0"/>
        <w:rPr>
          <w:i/>
          <w:szCs w:val="24"/>
        </w:rPr>
      </w:pPr>
    </w:p>
    <w:p w14:paraId="1FC77BF0" w14:textId="15AD3965" w:rsidR="00221A07" w:rsidRPr="00746ACE" w:rsidRDefault="00221A07" w:rsidP="000B69F5">
      <w:pPr>
        <w:widowControl w:val="0"/>
        <w:rPr>
          <w:i/>
          <w:szCs w:val="24"/>
        </w:rPr>
      </w:pPr>
      <w:r w:rsidRPr="00746ACE">
        <w:rPr>
          <w:i/>
          <w:szCs w:val="24"/>
        </w:rPr>
        <w:t>Sobre selección negativa, su apelación, la aplicación del artículo 129 de la LEJEP</w:t>
      </w:r>
      <w:r w:rsidR="00020FEB" w:rsidRPr="00746ACE">
        <w:rPr>
          <w:i/>
          <w:szCs w:val="24"/>
        </w:rPr>
        <w:t xml:space="preserve"> </w:t>
      </w:r>
      <w:r w:rsidRPr="00746ACE">
        <w:rPr>
          <w:i/>
          <w:szCs w:val="24"/>
        </w:rPr>
        <w:t>por la SRVR y la SDSJ, y el régimen de condicionalidad estricto</w:t>
      </w:r>
    </w:p>
    <w:p w14:paraId="0680717C" w14:textId="77777777" w:rsidR="00020FEB" w:rsidRPr="00746ACE" w:rsidRDefault="00020FEB" w:rsidP="000B69F5">
      <w:pPr>
        <w:widowControl w:val="0"/>
        <w:rPr>
          <w:i/>
          <w:szCs w:val="24"/>
        </w:rPr>
      </w:pPr>
    </w:p>
    <w:p w14:paraId="36FCE6A6" w14:textId="42EA643A" w:rsidR="008F3C1A" w:rsidRPr="00746ACE" w:rsidRDefault="00221A07" w:rsidP="000B69F5">
      <w:pPr>
        <w:widowControl w:val="0"/>
        <w:rPr>
          <w:i/>
          <w:szCs w:val="24"/>
        </w:rPr>
      </w:pPr>
      <w:r w:rsidRPr="00746ACE">
        <w:rPr>
          <w:i/>
          <w:szCs w:val="24"/>
        </w:rPr>
        <w:t>Bogotá D.C., diecisiete (17) de mayo de 2023</w:t>
      </w:r>
    </w:p>
    <w:p w14:paraId="0DC744DC" w14:textId="77777777" w:rsidR="008F3C1A" w:rsidRPr="00746ACE" w:rsidRDefault="008F3C1A" w:rsidP="00D62ABF">
      <w:pPr>
        <w:widowControl w:val="0"/>
        <w:rPr>
          <w:i/>
          <w:szCs w:val="24"/>
        </w:rPr>
      </w:pPr>
    </w:p>
    <w:p w14:paraId="20CB59A7" w14:textId="3CB6F9FB" w:rsidR="00020FEB" w:rsidRPr="00746ACE" w:rsidRDefault="00047559" w:rsidP="00D62ABF">
      <w:pPr>
        <w:widowControl w:val="0"/>
        <w:rPr>
          <w:szCs w:val="24"/>
        </w:rPr>
      </w:pPr>
      <w:r w:rsidRPr="00746ACE">
        <w:rPr>
          <w:szCs w:val="24"/>
        </w:rPr>
        <w:t>[</w:t>
      </w:r>
      <w:r w:rsidR="008540DA" w:rsidRPr="00746ACE">
        <w:rPr>
          <w:szCs w:val="24"/>
        </w:rPr>
        <w:t>…</w:t>
      </w:r>
      <w:r w:rsidRPr="00746ACE">
        <w:rPr>
          <w:szCs w:val="24"/>
        </w:rPr>
        <w:t>]</w:t>
      </w:r>
    </w:p>
    <w:p w14:paraId="45989FA6" w14:textId="77777777" w:rsidR="004D1084" w:rsidRPr="00746ACE" w:rsidRDefault="004D1084" w:rsidP="00D62ABF">
      <w:pPr>
        <w:widowControl w:val="0"/>
        <w:rPr>
          <w:i/>
          <w:szCs w:val="24"/>
        </w:rPr>
      </w:pPr>
    </w:p>
    <w:p w14:paraId="6F05F361" w14:textId="0CEC4406" w:rsidR="008540DA" w:rsidRPr="00746ACE" w:rsidRDefault="004D1084" w:rsidP="00D62ABF">
      <w:pPr>
        <w:widowControl w:val="0"/>
        <w:rPr>
          <w:i/>
          <w:szCs w:val="24"/>
        </w:rPr>
      </w:pPr>
      <w:r w:rsidRPr="00746ACE">
        <w:rPr>
          <w:i/>
          <w:szCs w:val="24"/>
        </w:rPr>
        <w:t xml:space="preserve">II. FUNDAMENTOS </w:t>
      </w:r>
    </w:p>
    <w:p w14:paraId="62FE050B" w14:textId="17B26DC8" w:rsidR="008540DA" w:rsidRPr="00746ACE" w:rsidRDefault="008540DA" w:rsidP="00D62ABF">
      <w:pPr>
        <w:widowControl w:val="0"/>
        <w:rPr>
          <w:i/>
          <w:szCs w:val="24"/>
        </w:rPr>
      </w:pPr>
    </w:p>
    <w:p w14:paraId="04A6459A" w14:textId="5202FD61" w:rsidR="004D1084" w:rsidRPr="00746ACE" w:rsidRDefault="00047559" w:rsidP="00D62ABF">
      <w:pPr>
        <w:widowControl w:val="0"/>
        <w:rPr>
          <w:szCs w:val="24"/>
        </w:rPr>
      </w:pPr>
      <w:r w:rsidRPr="00746ACE">
        <w:rPr>
          <w:szCs w:val="24"/>
        </w:rPr>
        <w:t>[</w:t>
      </w:r>
      <w:r w:rsidR="004D1084" w:rsidRPr="00746ACE">
        <w:rPr>
          <w:szCs w:val="24"/>
        </w:rPr>
        <w:t>…</w:t>
      </w:r>
      <w:r w:rsidRPr="00746ACE">
        <w:rPr>
          <w:szCs w:val="24"/>
        </w:rPr>
        <w:t>]</w:t>
      </w:r>
    </w:p>
    <w:p w14:paraId="579645CC" w14:textId="77777777" w:rsidR="00020FEB" w:rsidRPr="00746ACE" w:rsidRDefault="00020FEB" w:rsidP="00D62ABF">
      <w:pPr>
        <w:widowControl w:val="0"/>
        <w:rPr>
          <w:i/>
          <w:szCs w:val="24"/>
        </w:rPr>
      </w:pPr>
    </w:p>
    <w:p w14:paraId="6EA67060" w14:textId="6C9A38B4" w:rsidR="00C37307" w:rsidRPr="00746ACE" w:rsidRDefault="00AE50CD" w:rsidP="00D62ABF">
      <w:pPr>
        <w:widowControl w:val="0"/>
        <w:rPr>
          <w:i/>
          <w:szCs w:val="24"/>
        </w:rPr>
      </w:pPr>
      <w:r w:rsidRPr="00746ACE">
        <w:rPr>
          <w:i/>
          <w:szCs w:val="24"/>
        </w:rPr>
        <w:t xml:space="preserve">67. Si bien la obligación de la SRVR de investigar y procesar los crímenes más graves y representativos puede cesar al momento de ejercer su facultad de selección negativa, el deber de investigación continúa vigente para la JEP, pero está vez en cabeza de la SDSJ. De lo contrario, la SRVR quedaría cercada por los mismos avatares que han impedido a la justicia penal ordinaria avanzar en el procesamiento de los responsables de las graves violaciones de los derechos humanos e infracciones graves del DIH. Esto es, la SRVR se vería atrapada en la lógica penal tradicional de procesar a cada compareciente por su responsabilidad individual en cada conducta delictiva relacionada con el CANI, lo que </w:t>
      </w:r>
      <w:r w:rsidR="00BB48BB" w:rsidRPr="00746ACE">
        <w:rPr>
          <w:i/>
          <w:szCs w:val="24"/>
        </w:rPr>
        <w:t xml:space="preserve">desnaturaliza la justicia transicional como sistema judicial concebido para el procesamiento de patrones, planes o políticas de </w:t>
      </w:r>
      <w:r w:rsidR="001653D7" w:rsidRPr="00746ACE">
        <w:rPr>
          <w:i/>
          <w:szCs w:val="24"/>
        </w:rPr>
        <w:t>macro criminalidad</w:t>
      </w:r>
      <w:r w:rsidR="00BB48BB" w:rsidRPr="00746ACE">
        <w:rPr>
          <w:i/>
          <w:szCs w:val="24"/>
        </w:rPr>
        <w:t>, en cuya base se encuentra la necesidad de esclarecer las estructuras delincuenciales que dieron lugar a la comisión de graves crímenes en desarrollo del conflicto armado</w:t>
      </w:r>
      <w:r w:rsidR="005D08C4" w:rsidRPr="00746ACE">
        <w:rPr>
          <w:i/>
          <w:szCs w:val="24"/>
        </w:rPr>
        <w:t>.</w:t>
      </w:r>
      <w:r w:rsidR="00BB48BB" w:rsidRPr="00746ACE">
        <w:rPr>
          <w:i/>
          <w:szCs w:val="24"/>
        </w:rPr>
        <w:t xml:space="preserve"> </w:t>
      </w:r>
      <w:r w:rsidR="00047559" w:rsidRPr="00746ACE">
        <w:rPr>
          <w:szCs w:val="24"/>
        </w:rPr>
        <w:t>[</w:t>
      </w:r>
      <w:r w:rsidR="00BB48BB" w:rsidRPr="00746ACE">
        <w:rPr>
          <w:szCs w:val="24"/>
        </w:rPr>
        <w:t>…</w:t>
      </w:r>
      <w:r w:rsidR="00047559" w:rsidRPr="00746ACE">
        <w:rPr>
          <w:szCs w:val="24"/>
        </w:rPr>
        <w:t>]</w:t>
      </w:r>
    </w:p>
    <w:p w14:paraId="38A608E0" w14:textId="77777777" w:rsidR="00BB48BB" w:rsidRPr="00746ACE" w:rsidRDefault="00BB48BB" w:rsidP="00D62ABF">
      <w:pPr>
        <w:widowControl w:val="0"/>
        <w:rPr>
          <w:i/>
          <w:szCs w:val="24"/>
        </w:rPr>
      </w:pPr>
    </w:p>
    <w:p w14:paraId="192AF246" w14:textId="2700F410" w:rsidR="00DB2839" w:rsidRPr="00746ACE" w:rsidRDefault="00F3043A" w:rsidP="00D62ABF">
      <w:pPr>
        <w:widowControl w:val="0"/>
        <w:rPr>
          <w:i/>
          <w:szCs w:val="24"/>
        </w:rPr>
      </w:pPr>
      <w:r w:rsidRPr="00746ACE">
        <w:rPr>
          <w:i/>
          <w:szCs w:val="24"/>
        </w:rPr>
        <w:t xml:space="preserve">125. Una de las posibles rutas para definir la situación jurídica de los no seleccionados consiste en la aplicación del artículo 129 Estatutario por parte de la SDSJ. Así como el artículo 19 Estatutario establece criterios de selección que deben ser observados tanto por la SRVR como por la SDSJ, el carácter facultativo de la aplicación del artículo 129 no se predica solo de la SRVR, sino también de la SDSJ. Es decir, los efectos normativos de esa disposición no se agotan en el procesamiento del </w:t>
      </w:r>
      <w:r w:rsidR="001653D7" w:rsidRPr="00746ACE">
        <w:rPr>
          <w:i/>
          <w:szCs w:val="24"/>
        </w:rPr>
        <w:t>macro caso</w:t>
      </w:r>
      <w:r w:rsidRPr="00746ACE">
        <w:rPr>
          <w:i/>
          <w:szCs w:val="24"/>
        </w:rPr>
        <w:t xml:space="preserve"> ante la SRVR. La Sala de Definición también cuenta con la posibilidad de seleccionar a partícipes no determinantes que fueron excluidos por la Sala de Reconocimiento, siempre que sus aportes a la verdad sean insuficientes y no reconozcan responsabilidad, para remitirlos a la UIA con el fin de que se establezca su responsabilidad en un trámite adversarial. En el evento de que reconozcan responsabilidad antes de la sentencia de primera instancia podrían acceder a una pena alternativa conforme con el artículo 129 LEJEP o, en su defecto, se les impondrá pena ordinaria si llegan a ser vencidos en juicio. En ninguna hipótesis, los partícipes no determinantes seleccionados por la SDSJ podrán acceder a sanciones propias inferiores, tal como se detalla a continuación.</w:t>
      </w:r>
    </w:p>
    <w:p w14:paraId="79976390" w14:textId="77777777" w:rsidR="004D1084" w:rsidRPr="00746ACE" w:rsidRDefault="004D1084" w:rsidP="00D62ABF">
      <w:pPr>
        <w:widowControl w:val="0"/>
        <w:rPr>
          <w:i/>
          <w:szCs w:val="24"/>
        </w:rPr>
      </w:pPr>
    </w:p>
    <w:p w14:paraId="2E51DEAB" w14:textId="13AA2B21" w:rsidR="004D1084" w:rsidRPr="00746ACE" w:rsidRDefault="00B0536B" w:rsidP="00D62ABF">
      <w:pPr>
        <w:widowControl w:val="0"/>
        <w:rPr>
          <w:i/>
          <w:szCs w:val="24"/>
        </w:rPr>
      </w:pPr>
      <w:r w:rsidRPr="00746ACE">
        <w:rPr>
          <w:i/>
          <w:szCs w:val="24"/>
        </w:rPr>
        <w:t xml:space="preserve">126. El artículo 129, como ha quedado sentado en las múltiples citas de esa norma, regula la situación de los partícipes no determinantes que pueden ser penados con sanciones propias o alternativas, “salvo que se trate de las hipótesis contempladas en el liberal h) del artículo 84 de esta ley”. El literal h) del artículo 84 Estatutario, por su parte, señala que la SDSJ debe definir la situación jurídica de los partícipes no determinantes que hayan intervenido en los casos más graves y representativos, mediante la renuncia a la persecución penal u otro mecanismo definitivo y no sancionatorio, siempre que el compareciente contribuya de manera eficaz al Sistema Integral de Paz, en particular, que satisfaga su obligación de aportar a la verdad plena, lo que incluye aceptar la propia responsabilidad. En tal sentido, el artículo 129 establece una excepción a la regla contenida en el literal h) del artículo 84 de la LEJEP. </w:t>
      </w:r>
    </w:p>
    <w:p w14:paraId="1C4E78BB" w14:textId="77777777" w:rsidR="00B0536B" w:rsidRPr="00746ACE" w:rsidRDefault="00B0536B" w:rsidP="00D62ABF">
      <w:pPr>
        <w:widowControl w:val="0"/>
        <w:rPr>
          <w:i/>
          <w:szCs w:val="24"/>
        </w:rPr>
      </w:pPr>
    </w:p>
    <w:p w14:paraId="35529227" w14:textId="37446F21" w:rsidR="00B0536B" w:rsidRPr="00746ACE" w:rsidRDefault="00B0536B" w:rsidP="00D62ABF">
      <w:pPr>
        <w:widowControl w:val="0"/>
        <w:rPr>
          <w:i/>
          <w:szCs w:val="24"/>
        </w:rPr>
      </w:pPr>
      <w:r w:rsidRPr="00746ACE">
        <w:rPr>
          <w:i/>
          <w:szCs w:val="24"/>
        </w:rPr>
        <w:t xml:space="preserve">127. </w:t>
      </w:r>
      <w:r w:rsidR="006F21AC" w:rsidRPr="00746ACE">
        <w:rPr>
          <w:i/>
          <w:szCs w:val="24"/>
        </w:rPr>
        <w:t>A su vez, el literal c) del artículo 84 de la LEJEP (conc. art. 28, núm. 3, L 1820/16) establece que la SDSJ tiene facultades para seleccionar y priorizar a quienes no reconozcan verdad y responsabilidad. Es decir, la SDSJ puede priorizar y seleccionar a partícipes no determinantes que no fueron seleccionados por la SRVR. La Sección ha señalado que “la SRVR es titular exclusiva de la función de selección de primer orden, que consiste en determinar quiénes son y no son máximos responsables de los patrones de macrocriminalidad. A la SDSJ, por su parte, le corresponde una selección de segundo nivel, que se limita a señalar quiénes de los no seleccionados deben ser remitidos a la UIA, por no revelar verdad plena ni reconocer su responsabilidad</w:t>
      </w:r>
      <w:r w:rsidR="00497663" w:rsidRPr="00746ACE">
        <w:rPr>
          <w:i/>
          <w:szCs w:val="24"/>
        </w:rPr>
        <w:t>.</w:t>
      </w:r>
    </w:p>
    <w:p w14:paraId="4FEF42A3" w14:textId="77777777" w:rsidR="00497663" w:rsidRPr="00746ACE" w:rsidRDefault="00497663" w:rsidP="00D62ABF">
      <w:pPr>
        <w:widowControl w:val="0"/>
        <w:rPr>
          <w:i/>
          <w:szCs w:val="24"/>
        </w:rPr>
      </w:pPr>
    </w:p>
    <w:p w14:paraId="24510C6A" w14:textId="6A1B467B" w:rsidR="00497663" w:rsidRPr="00746ACE" w:rsidRDefault="00A66C0F" w:rsidP="00D62ABF">
      <w:pPr>
        <w:widowControl w:val="0"/>
        <w:rPr>
          <w:i/>
          <w:szCs w:val="24"/>
        </w:rPr>
      </w:pPr>
      <w:r w:rsidRPr="00746ACE">
        <w:rPr>
          <w:i/>
          <w:szCs w:val="24"/>
        </w:rPr>
        <w:t>128. Así, la jurisprudencia transicional y las disposiciones referidas delimitan un universo acotado de casos compuesto por partícipes no determinantes no seleccionados por la SRVR que son remitidos a la SDSJ. De ese universo, la SDSJ debe distinguir tres categorías de comparecientes: i) los que han aportado verdad y han reconocido responsabilidad; ii) los que han efectuado aportes insuficientes de verdad, pero no reconocen responsabilidad; y iii) los que no han aportado verdad y tampoco reconocen responsabilidad. El criterio relevante, según lo establecen las disposiciones aplicables, es el aporte a la verdad y el reconocimiento de responsabilidad para definir la ruta procesal aplicable a los partícipes no determinantes remitidos que no fueron seleccionados por la SRVR a efectos de continuar la acción penal (art. 129 LEJEP). A cada una de esas categorías le corresponde una ruta procesal como se pasa explicar.</w:t>
      </w:r>
      <w:r w:rsidR="00E44DCD" w:rsidRPr="00746ACE">
        <w:rPr>
          <w:i/>
          <w:szCs w:val="24"/>
        </w:rPr>
        <w:t xml:space="preserve"> </w:t>
      </w:r>
      <w:r w:rsidR="00047559" w:rsidRPr="00746ACE">
        <w:rPr>
          <w:szCs w:val="24"/>
        </w:rPr>
        <w:t>[</w:t>
      </w:r>
      <w:r w:rsidR="00E44DCD" w:rsidRPr="00746ACE">
        <w:rPr>
          <w:szCs w:val="24"/>
        </w:rPr>
        <w:t>…</w:t>
      </w:r>
      <w:r w:rsidR="00047559" w:rsidRPr="00746ACE">
        <w:rPr>
          <w:szCs w:val="24"/>
        </w:rPr>
        <w:t>]</w:t>
      </w:r>
    </w:p>
    <w:p w14:paraId="0D2F0368" w14:textId="77777777" w:rsidR="00A66C0F" w:rsidRPr="00746ACE" w:rsidRDefault="00A66C0F" w:rsidP="00D62ABF">
      <w:pPr>
        <w:widowControl w:val="0"/>
        <w:rPr>
          <w:i/>
          <w:szCs w:val="24"/>
        </w:rPr>
      </w:pPr>
    </w:p>
    <w:p w14:paraId="745929E0" w14:textId="0816ED61" w:rsidR="00A66C0F" w:rsidRPr="00746ACE" w:rsidRDefault="00A66C0F" w:rsidP="00D62ABF">
      <w:pPr>
        <w:widowControl w:val="0"/>
        <w:rPr>
          <w:szCs w:val="24"/>
        </w:rPr>
      </w:pPr>
      <w:r w:rsidRPr="00746ACE">
        <w:rPr>
          <w:i/>
          <w:szCs w:val="24"/>
        </w:rPr>
        <w:t xml:space="preserve">133. </w:t>
      </w:r>
      <w:r w:rsidR="00E44DCD" w:rsidRPr="00746ACE">
        <w:rPr>
          <w:i/>
          <w:szCs w:val="24"/>
        </w:rPr>
        <w:t>Según los actos legislativos 01 de 2012 y 2017, la selección en escenarios de justicia transicional tiene reserva de ley estatutaria y, para los efectos de la JEP, los criterios pertinentes fueron desarrollados en el artículo 19 de la Ley 1957 de 2019. De manera que cuando la SDSJ ejerce la facultad de selección de segundo orden, debe acudir a las pautas previstas en esa norma, tal como debe hacerlo la SRVR para ejercer la selección y priorización. Si bien es cierto que se trata de los mismos criterios, la selección que adelanta la SDSJ es diferente a la que efectuó la SRVR. Mientras la SRVR lleva a cabo un ejercicio de selección global, la SDSJ puede seleccionar y priorizar individuos o agrupar comparecientes en función del patrón macrocriminal, pero solo dentro del universo de partícipes no determinantes que no reconocen responsabilidad.</w:t>
      </w:r>
      <w:r w:rsidR="00E93028" w:rsidRPr="00746ACE">
        <w:rPr>
          <w:szCs w:val="24"/>
        </w:rPr>
        <w:t xml:space="preserve"> </w:t>
      </w:r>
      <w:r w:rsidR="001D4F33" w:rsidRPr="00746ACE">
        <w:rPr>
          <w:szCs w:val="24"/>
        </w:rPr>
        <w:t>[</w:t>
      </w:r>
      <w:r w:rsidR="00E93028" w:rsidRPr="00746ACE">
        <w:rPr>
          <w:szCs w:val="24"/>
        </w:rPr>
        <w:t>…</w:t>
      </w:r>
      <w:r w:rsidR="001D4F33" w:rsidRPr="00746ACE">
        <w:rPr>
          <w:szCs w:val="24"/>
        </w:rPr>
        <w:t>]</w:t>
      </w:r>
    </w:p>
    <w:p w14:paraId="666E4743" w14:textId="77777777" w:rsidR="00BB48BB" w:rsidRPr="00746ACE" w:rsidRDefault="00BB48BB" w:rsidP="00D62ABF">
      <w:pPr>
        <w:widowControl w:val="0"/>
        <w:rPr>
          <w:szCs w:val="24"/>
        </w:rPr>
      </w:pPr>
    </w:p>
    <w:p w14:paraId="68DEEF74" w14:textId="4B9E4CB6" w:rsidR="00E44DCD" w:rsidRPr="00746ACE" w:rsidRDefault="00E44DCD" w:rsidP="00D62ABF">
      <w:pPr>
        <w:widowControl w:val="0"/>
        <w:rPr>
          <w:szCs w:val="24"/>
        </w:rPr>
      </w:pPr>
      <w:r w:rsidRPr="00746ACE">
        <w:rPr>
          <w:i/>
          <w:szCs w:val="24"/>
        </w:rPr>
        <w:t xml:space="preserve">137. </w:t>
      </w:r>
      <w:r w:rsidR="00A641AA" w:rsidRPr="00746ACE">
        <w:rPr>
          <w:i/>
          <w:szCs w:val="24"/>
        </w:rPr>
        <w:t>En síntesis, la SDSJ está facultada -no obligada- a remitir a la UIA a personas no seleccionadas previamente por la SRVR cuando han cumplido con su deber de aportar verdad, aunque de forma insuficiente, pero no han reconocido responsabilidad por los hechos individuales, enmarcados en el patrón de macrocriminalidad, en los que se vieron involucradas. Lo anterior, solo en casos excepcionales, en los que la Sala determine que se cumplan de manera estricta los criterios de selección previstos en el artículo 19 de la Ley 1957 de 2019, relacionados con la suficiencia, relevancia e importancia para los fines de la transición del procesamiento adversarial de quienes no son máximos responsables de delitos graves.</w:t>
      </w:r>
      <w:r w:rsidR="00A641AA" w:rsidRPr="00746ACE">
        <w:rPr>
          <w:szCs w:val="24"/>
        </w:rPr>
        <w:t xml:space="preserve"> </w:t>
      </w:r>
      <w:r w:rsidR="00047559" w:rsidRPr="00746ACE">
        <w:rPr>
          <w:szCs w:val="24"/>
        </w:rPr>
        <w:t>[</w:t>
      </w:r>
      <w:r w:rsidR="00E93028" w:rsidRPr="00746ACE">
        <w:rPr>
          <w:szCs w:val="24"/>
        </w:rPr>
        <w:t>…</w:t>
      </w:r>
      <w:r w:rsidR="00047559" w:rsidRPr="00746ACE">
        <w:rPr>
          <w:szCs w:val="24"/>
        </w:rPr>
        <w:t>]</w:t>
      </w:r>
    </w:p>
    <w:p w14:paraId="737F0C5A" w14:textId="77777777" w:rsidR="00E93028" w:rsidRPr="00746ACE" w:rsidRDefault="00E93028" w:rsidP="00D62ABF">
      <w:pPr>
        <w:widowControl w:val="0"/>
        <w:rPr>
          <w:szCs w:val="24"/>
        </w:rPr>
      </w:pPr>
    </w:p>
    <w:p w14:paraId="4E999AE8" w14:textId="57AF501D" w:rsidR="00E93028" w:rsidRPr="00746ACE" w:rsidRDefault="00E93028" w:rsidP="00D62ABF">
      <w:pPr>
        <w:widowControl w:val="0"/>
        <w:rPr>
          <w:szCs w:val="24"/>
        </w:rPr>
      </w:pPr>
      <w:r w:rsidRPr="00746ACE">
        <w:rPr>
          <w:i/>
          <w:szCs w:val="24"/>
        </w:rPr>
        <w:t xml:space="preserve">140. </w:t>
      </w:r>
      <w:r w:rsidR="000575AF" w:rsidRPr="00746ACE">
        <w:rPr>
          <w:i/>
          <w:szCs w:val="24"/>
        </w:rPr>
        <w:t>El interés general en el descubrimiento de los patrones macrocriminales es lo que justifica la potestad excepcional de la SDSJ de seleccionar, en segundo orden, a partícipes no determinantes. Dentro del amplio espectro de la responsabilidad, algunas personas se ubican en un punto medio, entre la máxima responsabilidad y la participación no determinante. Por ello, su procesamiento mediante el trámite adversarial puede resultar pertinente para los fines de la transición.</w:t>
      </w:r>
      <w:r w:rsidR="000575AF" w:rsidRPr="00746ACE">
        <w:rPr>
          <w:szCs w:val="24"/>
        </w:rPr>
        <w:t xml:space="preserve"> </w:t>
      </w:r>
      <w:r w:rsidR="00047559" w:rsidRPr="00746ACE">
        <w:rPr>
          <w:szCs w:val="24"/>
        </w:rPr>
        <w:t>[</w:t>
      </w:r>
      <w:r w:rsidR="000575AF" w:rsidRPr="00746ACE">
        <w:rPr>
          <w:szCs w:val="24"/>
        </w:rPr>
        <w:t>…</w:t>
      </w:r>
      <w:r w:rsidR="00047559" w:rsidRPr="00746ACE">
        <w:rPr>
          <w:szCs w:val="24"/>
        </w:rPr>
        <w:t>]</w:t>
      </w:r>
    </w:p>
    <w:p w14:paraId="6D95ACD2" w14:textId="77777777" w:rsidR="00C37307" w:rsidRPr="00746ACE" w:rsidRDefault="00C37307" w:rsidP="00D62ABF">
      <w:pPr>
        <w:widowControl w:val="0"/>
        <w:rPr>
          <w:szCs w:val="24"/>
        </w:rPr>
      </w:pPr>
    </w:p>
    <w:p w14:paraId="7425CDFB" w14:textId="422890C8" w:rsidR="004D1084" w:rsidRPr="00746ACE" w:rsidRDefault="000575AF" w:rsidP="00D62ABF">
      <w:pPr>
        <w:widowControl w:val="0"/>
        <w:rPr>
          <w:szCs w:val="24"/>
        </w:rPr>
      </w:pPr>
      <w:r w:rsidRPr="00746ACE">
        <w:rPr>
          <w:i/>
          <w:szCs w:val="24"/>
        </w:rPr>
        <w:t xml:space="preserve">143. </w:t>
      </w:r>
      <w:r w:rsidR="00B30E18" w:rsidRPr="00746ACE">
        <w:rPr>
          <w:i/>
          <w:szCs w:val="24"/>
        </w:rPr>
        <w:t>Ahora bien, la SDSJ también puede establecer que no existen elementos de prueba que comprometan al compareciente. Como se dijo, no se trata de una remisión automática a la UIA de todo partícipe que no reconozca responsabilidad, sino que la SDSJ debe efectuar una valoración previa y sustentada para constatar si los aportes a la verdad son insuficientes, si existen pruebas que indiquen la eventual responsabilidad del compareciente y los fines de la transición aconsejan su procesamiento, conforme con los criterios del artículo 19 de la LEJEP. Si, por el contrario, el acervo probatorio no permite endilgarle ningún tipo de participación en los hechos, la Sala de Definición no hará uso de sus facultades de selección, sino que aplicará mecanismos anticipados de terminación del procedimiento</w:t>
      </w:r>
      <w:r w:rsidR="00EF5AC0" w:rsidRPr="00746ACE">
        <w:rPr>
          <w:i/>
          <w:szCs w:val="24"/>
        </w:rPr>
        <w:t xml:space="preserve">. </w:t>
      </w:r>
      <w:r w:rsidR="00EF5AC0" w:rsidRPr="00746ACE">
        <w:rPr>
          <w:szCs w:val="24"/>
        </w:rPr>
        <w:t>[…]</w:t>
      </w:r>
      <w:r w:rsidR="00B30E18" w:rsidRPr="00746ACE">
        <w:rPr>
          <w:szCs w:val="24"/>
        </w:rPr>
        <w:t xml:space="preserve">”. </w:t>
      </w:r>
    </w:p>
    <w:p w14:paraId="1B7EA8B6" w14:textId="77777777" w:rsidR="00B30E18" w:rsidRPr="00746ACE" w:rsidRDefault="00B30E18" w:rsidP="00D62ABF">
      <w:pPr>
        <w:widowControl w:val="0"/>
      </w:pPr>
    </w:p>
    <w:p w14:paraId="3DC4AECA" w14:textId="26B0EA85" w:rsidR="00F2222D" w:rsidRPr="00746ACE" w:rsidRDefault="00FF1879" w:rsidP="00D62ABF">
      <w:pPr>
        <w:pStyle w:val="Ttulo2"/>
        <w:keepNext w:val="0"/>
        <w:keepLines w:val="0"/>
        <w:widowControl w:val="0"/>
        <w:rPr>
          <w:rFonts w:cs="Times New Roman"/>
          <w:szCs w:val="28"/>
        </w:rPr>
      </w:pPr>
      <w:bookmarkStart w:id="5" w:name="_Toc233384160"/>
      <w:r w:rsidRPr="00746ACE">
        <w:rPr>
          <w:rFonts w:cs="Times New Roman"/>
          <w:szCs w:val="28"/>
        </w:rPr>
        <w:t>C</w:t>
      </w:r>
      <w:r w:rsidR="00660677" w:rsidRPr="00746ACE">
        <w:rPr>
          <w:rFonts w:cs="Times New Roman"/>
          <w:szCs w:val="28"/>
        </w:rPr>
        <w:t>argos admitidos</w:t>
      </w:r>
      <w:bookmarkEnd w:id="5"/>
    </w:p>
    <w:p w14:paraId="72DDB063" w14:textId="77777777" w:rsidR="00F2222D" w:rsidRPr="00746ACE" w:rsidRDefault="00F2222D" w:rsidP="00FC0DFB">
      <w:pPr>
        <w:widowControl w:val="0"/>
        <w:tabs>
          <w:tab w:val="left" w:pos="567"/>
        </w:tabs>
      </w:pPr>
    </w:p>
    <w:p w14:paraId="481870B0" w14:textId="666482C7" w:rsidR="00434D3B" w:rsidRPr="00746ACE" w:rsidRDefault="005A718E" w:rsidP="3877B9AD">
      <w:pPr>
        <w:widowControl w:val="0"/>
        <w:numPr>
          <w:ilvl w:val="0"/>
          <w:numId w:val="7"/>
        </w:numPr>
        <w:tabs>
          <w:tab w:val="left" w:pos="567"/>
        </w:tabs>
        <w:spacing w:line="259" w:lineRule="auto"/>
      </w:pPr>
      <w:r w:rsidRPr="00746ACE">
        <w:t xml:space="preserve">Los demandantes </w:t>
      </w:r>
      <w:r w:rsidR="00376AD6" w:rsidRPr="00746ACE">
        <w:t>alegaron</w:t>
      </w:r>
      <w:r w:rsidRPr="00746ACE">
        <w:t xml:space="preserve"> que </w:t>
      </w:r>
      <w:r w:rsidR="00167170" w:rsidRPr="00746ACE">
        <w:t>la</w:t>
      </w:r>
      <w:r w:rsidR="1BACA465" w:rsidRPr="00746ACE">
        <w:t>s</w:t>
      </w:r>
      <w:r w:rsidR="00167170" w:rsidRPr="00746ACE">
        <w:t xml:space="preserve"> norma</w:t>
      </w:r>
      <w:r w:rsidR="1BACA465" w:rsidRPr="00746ACE">
        <w:t>s o fundamentos normativos</w:t>
      </w:r>
      <w:r w:rsidR="00416F1E" w:rsidRPr="00746ACE">
        <w:t xml:space="preserve"> demandad</w:t>
      </w:r>
      <w:r w:rsidR="63B1363B" w:rsidRPr="00746ACE">
        <w:t>os</w:t>
      </w:r>
      <w:r w:rsidR="00416F1E" w:rsidRPr="00746ACE">
        <w:t>: (i) viola</w:t>
      </w:r>
      <w:r w:rsidR="594528FB" w:rsidRPr="00746ACE">
        <w:t>n</w:t>
      </w:r>
      <w:r w:rsidR="00416F1E" w:rsidRPr="00746ACE">
        <w:t xml:space="preserve"> el principio de legalidad porque </w:t>
      </w:r>
      <w:r w:rsidR="7129A0D5" w:rsidRPr="00746ACE">
        <w:t xml:space="preserve">crean </w:t>
      </w:r>
      <w:r w:rsidR="00416F1E" w:rsidRPr="00746ACE">
        <w:t xml:space="preserve">una facultad </w:t>
      </w:r>
      <w:r w:rsidR="00167170" w:rsidRPr="00746ACE">
        <w:t>de “selección de segundo orden” en cabeza de la Sala de Definición</w:t>
      </w:r>
      <w:r w:rsidR="00EC0B63" w:rsidRPr="00746ACE">
        <w:t xml:space="preserve"> de Situaciones Jurídicas</w:t>
      </w:r>
      <w:r w:rsidR="00067895" w:rsidRPr="00746ACE">
        <w:t xml:space="preserve">, sin ningún fundamento legal; (ii) </w:t>
      </w:r>
      <w:r w:rsidR="00AF5EF3" w:rsidRPr="00746ACE">
        <w:t>desconoce</w:t>
      </w:r>
      <w:r w:rsidR="5156B7B2" w:rsidRPr="00746ACE">
        <w:t>n</w:t>
      </w:r>
      <w:r w:rsidR="00AF5EF3" w:rsidRPr="00746ACE">
        <w:t xml:space="preserve"> la naturaleza del Acuerdo Final de Paz</w:t>
      </w:r>
      <w:r w:rsidR="00146F95" w:rsidRPr="00746ACE">
        <w:t>,</w:t>
      </w:r>
      <w:r w:rsidR="00AF5EF3" w:rsidRPr="00746ACE">
        <w:t xml:space="preserve"> al transitar hacia un mod</w:t>
      </w:r>
      <w:r w:rsidR="48FF2531" w:rsidRPr="00746ACE">
        <w:t>elo</w:t>
      </w:r>
      <w:r w:rsidR="00AF5EF3" w:rsidRPr="00746ACE">
        <w:t xml:space="preserve"> de investigación y juzgamiento caso a caso</w:t>
      </w:r>
      <w:r w:rsidR="00434D3B" w:rsidRPr="00746ACE">
        <w:t>;</w:t>
      </w:r>
      <w:r w:rsidR="00AF5EF3" w:rsidRPr="00746ACE">
        <w:rPr>
          <w:i/>
        </w:rPr>
        <w:t xml:space="preserve"> </w:t>
      </w:r>
      <w:r w:rsidR="00016F60" w:rsidRPr="00746ACE">
        <w:t>(iii) trasgrede</w:t>
      </w:r>
      <w:r w:rsidR="7E84D937" w:rsidRPr="00746ACE">
        <w:t>n</w:t>
      </w:r>
      <w:r w:rsidR="00016F60" w:rsidRPr="00746ACE">
        <w:t xml:space="preserve"> el principio de legalidad, al crear </w:t>
      </w:r>
      <w:r w:rsidR="00D03BA0" w:rsidRPr="00746ACE">
        <w:t xml:space="preserve">la “responsabilidad del punto medio”, </w:t>
      </w:r>
      <w:r w:rsidR="00016F60" w:rsidRPr="00746ACE">
        <w:t>una categoría</w:t>
      </w:r>
      <w:r w:rsidR="00957F98" w:rsidRPr="00746ACE">
        <w:t xml:space="preserve"> </w:t>
      </w:r>
      <w:r w:rsidR="00D03BA0" w:rsidRPr="00746ACE">
        <w:t xml:space="preserve">de responsabilidad </w:t>
      </w:r>
      <w:r w:rsidR="00957F98" w:rsidRPr="00746ACE">
        <w:t>intermedia</w:t>
      </w:r>
      <w:r w:rsidR="00D03BA0" w:rsidRPr="00746ACE">
        <w:t>, ubicada</w:t>
      </w:r>
      <w:r w:rsidR="00016F60" w:rsidRPr="00746ACE">
        <w:t xml:space="preserve"> entre los máximos responsables y los partícipes no determinantes; (iv) viola</w:t>
      </w:r>
      <w:r w:rsidR="69AD0C9E" w:rsidRPr="00746ACE">
        <w:t>n</w:t>
      </w:r>
      <w:r w:rsidR="00016F60" w:rsidRPr="00746ACE">
        <w:t xml:space="preserve"> el debido proceso constitucional, </w:t>
      </w:r>
      <w:r w:rsidR="00C620CE" w:rsidRPr="00746ACE">
        <w:t xml:space="preserve">al </w:t>
      </w:r>
      <w:r w:rsidR="00D03BA0" w:rsidRPr="00746ACE">
        <w:t>definir la función de “</w:t>
      </w:r>
      <w:r w:rsidR="00016F60" w:rsidRPr="00746ACE">
        <w:t>selección de segundo orden</w:t>
      </w:r>
      <w:r w:rsidR="00D03BA0" w:rsidRPr="00746ACE">
        <w:t>”</w:t>
      </w:r>
      <w:r w:rsidR="00016F60" w:rsidRPr="00746ACE">
        <w:t xml:space="preserve"> </w:t>
      </w:r>
      <w:r w:rsidR="00D03BA0" w:rsidRPr="00746ACE">
        <w:t xml:space="preserve">en cabeza </w:t>
      </w:r>
      <w:r w:rsidR="00016F60" w:rsidRPr="00746ACE">
        <w:t xml:space="preserve">de la Sala de </w:t>
      </w:r>
      <w:r w:rsidR="00C92970" w:rsidRPr="00746ACE">
        <w:t>D</w:t>
      </w:r>
      <w:r w:rsidR="00016F60" w:rsidRPr="00746ACE">
        <w:t xml:space="preserve">efinición de </w:t>
      </w:r>
      <w:r w:rsidR="00C92970" w:rsidRPr="00746ACE">
        <w:t>S</w:t>
      </w:r>
      <w:r w:rsidR="00016F60" w:rsidRPr="00746ACE">
        <w:t xml:space="preserve">ituaciones </w:t>
      </w:r>
      <w:r w:rsidR="00C92970" w:rsidRPr="00746ACE">
        <w:t>J</w:t>
      </w:r>
      <w:r w:rsidR="00016F60" w:rsidRPr="00746ACE">
        <w:t>urídicas</w:t>
      </w:r>
      <w:r w:rsidR="00D03BA0" w:rsidRPr="00746ACE">
        <w:t>, sin reglas claras para adelantarla</w:t>
      </w:r>
      <w:r w:rsidR="00016F60" w:rsidRPr="00746ACE">
        <w:t>;</w:t>
      </w:r>
      <w:r w:rsidR="00742777" w:rsidRPr="00746ACE">
        <w:t xml:space="preserve"> </w:t>
      </w:r>
      <w:r w:rsidR="00AF5EF3" w:rsidRPr="00746ACE">
        <w:t>y</w:t>
      </w:r>
      <w:r w:rsidR="002437E6" w:rsidRPr="00746ACE">
        <w:t xml:space="preserve"> (</w:t>
      </w:r>
      <w:r w:rsidR="00016F60" w:rsidRPr="00746ACE">
        <w:t>v</w:t>
      </w:r>
      <w:r w:rsidR="002437E6" w:rsidRPr="00746ACE">
        <w:t>)</w:t>
      </w:r>
      <w:r w:rsidR="00AF5EF3" w:rsidRPr="00746ACE">
        <w:t xml:space="preserve"> </w:t>
      </w:r>
      <w:r w:rsidR="20EECA49" w:rsidRPr="00746ACE">
        <w:t xml:space="preserve">vulneran </w:t>
      </w:r>
      <w:r w:rsidR="00AF5EF3" w:rsidRPr="00746ACE">
        <w:t>el principio de proporcionalidad</w:t>
      </w:r>
      <w:r w:rsidR="004666AA" w:rsidRPr="00746ACE">
        <w:t xml:space="preserve">, </w:t>
      </w:r>
      <w:r w:rsidR="002437E6" w:rsidRPr="00746ACE">
        <w:t xml:space="preserve">al </w:t>
      </w:r>
      <w:r w:rsidR="004666AA" w:rsidRPr="00746ACE">
        <w:t>permit</w:t>
      </w:r>
      <w:r w:rsidR="002437E6" w:rsidRPr="00746ACE">
        <w:t>ir</w:t>
      </w:r>
      <w:r w:rsidR="004666AA" w:rsidRPr="00746ACE">
        <w:t xml:space="preserve"> que una persona que no</w:t>
      </w:r>
      <w:r w:rsidR="004666AA" w:rsidRPr="00746ACE">
        <w:rPr>
          <w:b/>
        </w:rPr>
        <w:t xml:space="preserve"> </w:t>
      </w:r>
      <w:r w:rsidR="004666AA" w:rsidRPr="00746ACE">
        <w:t>es máximo responsable de los crímenes más graves y representativos sea sancionada de manera más estricta que a quienes s</w:t>
      </w:r>
      <w:r w:rsidR="00434D3B" w:rsidRPr="00746ACE">
        <w:t>í tienen la condición de máxima responsabilidad.</w:t>
      </w:r>
    </w:p>
    <w:p w14:paraId="404B7AC4" w14:textId="315FED1E" w:rsidR="00044838" w:rsidRPr="00746ACE" w:rsidRDefault="00044838" w:rsidP="00FC0DFB">
      <w:pPr>
        <w:widowControl w:val="0"/>
        <w:tabs>
          <w:tab w:val="left" w:pos="567"/>
        </w:tabs>
      </w:pPr>
      <w:r w:rsidRPr="00746ACE">
        <w:t xml:space="preserve"> </w:t>
      </w:r>
    </w:p>
    <w:p w14:paraId="0A5E7579" w14:textId="21297DBC" w:rsidR="003A3986" w:rsidRPr="00746ACE" w:rsidRDefault="00016F60" w:rsidP="00FC0DFB">
      <w:pPr>
        <w:widowControl w:val="0"/>
        <w:numPr>
          <w:ilvl w:val="0"/>
          <w:numId w:val="7"/>
        </w:numPr>
        <w:tabs>
          <w:tab w:val="left" w:pos="567"/>
        </w:tabs>
        <w:rPr>
          <w:lang w:eastAsia="es-MX"/>
        </w:rPr>
      </w:pPr>
      <w:r w:rsidRPr="00746ACE">
        <w:rPr>
          <w:lang w:eastAsia="es-MX"/>
        </w:rPr>
        <w:t xml:space="preserve">Según </w:t>
      </w:r>
      <w:r w:rsidR="002437E6" w:rsidRPr="00746ACE">
        <w:rPr>
          <w:lang w:eastAsia="es-MX"/>
        </w:rPr>
        <w:t xml:space="preserve">los </w:t>
      </w:r>
      <w:r w:rsidR="00702CB7" w:rsidRPr="00746ACE">
        <w:rPr>
          <w:lang w:eastAsia="es-MX"/>
        </w:rPr>
        <w:t>demandantes</w:t>
      </w:r>
      <w:r w:rsidR="00396849" w:rsidRPr="00746ACE">
        <w:rPr>
          <w:lang w:eastAsia="es-MX"/>
        </w:rPr>
        <w:t>,</w:t>
      </w:r>
      <w:r w:rsidR="001437EF" w:rsidRPr="00746ACE">
        <w:rPr>
          <w:lang w:eastAsia="es-MX"/>
        </w:rPr>
        <w:t xml:space="preserve"> la Corte Constitucional </w:t>
      </w:r>
      <w:r w:rsidR="00416454" w:rsidRPr="00746ACE">
        <w:rPr>
          <w:lang w:eastAsia="es-MX"/>
        </w:rPr>
        <w:t>es competente</w:t>
      </w:r>
      <w:r w:rsidR="001437EF" w:rsidRPr="00746ACE">
        <w:rPr>
          <w:lang w:eastAsia="es-MX"/>
        </w:rPr>
        <w:t xml:space="preserve"> para </w:t>
      </w:r>
      <w:r w:rsidR="00702CB7" w:rsidRPr="00746ACE">
        <w:rPr>
          <w:lang w:eastAsia="es-MX"/>
        </w:rPr>
        <w:t>examinar la constitucionalidad de las normas demandadas</w:t>
      </w:r>
      <w:r w:rsidR="001437EF" w:rsidRPr="00746ACE">
        <w:rPr>
          <w:lang w:eastAsia="es-MX"/>
        </w:rPr>
        <w:t xml:space="preserve">, </w:t>
      </w:r>
      <w:r w:rsidR="00D03BA0" w:rsidRPr="00746ACE">
        <w:rPr>
          <w:lang w:eastAsia="es-MX"/>
        </w:rPr>
        <w:t xml:space="preserve">en el marco del derecho viviente y </w:t>
      </w:r>
      <w:r w:rsidR="002437E6" w:rsidRPr="00746ACE">
        <w:rPr>
          <w:lang w:eastAsia="es-MX"/>
        </w:rPr>
        <w:t>de acuerdo con lo dispuesto en</w:t>
      </w:r>
      <w:r w:rsidR="001437EF" w:rsidRPr="00746ACE">
        <w:rPr>
          <w:lang w:eastAsia="es-MX"/>
        </w:rPr>
        <w:t xml:space="preserve"> las sentencias SU-</w:t>
      </w:r>
      <w:r w:rsidR="00864AE3" w:rsidRPr="00746ACE">
        <w:rPr>
          <w:lang w:eastAsia="es-MX"/>
        </w:rPr>
        <w:t xml:space="preserve">388 de 2023 </w:t>
      </w:r>
      <w:r w:rsidR="001437EF" w:rsidRPr="00746ACE">
        <w:rPr>
          <w:lang w:eastAsia="es-MX"/>
        </w:rPr>
        <w:t xml:space="preserve">y </w:t>
      </w:r>
      <w:r w:rsidR="00D50255" w:rsidRPr="00746ACE">
        <w:rPr>
          <w:lang w:eastAsia="es-MX"/>
        </w:rPr>
        <w:t>C</w:t>
      </w:r>
      <w:r w:rsidR="001437EF" w:rsidRPr="00746ACE">
        <w:rPr>
          <w:lang w:eastAsia="es-MX"/>
        </w:rPr>
        <w:t>-111 de 2023</w:t>
      </w:r>
      <w:r w:rsidR="002437E6" w:rsidRPr="00746ACE">
        <w:rPr>
          <w:lang w:eastAsia="es-MX"/>
        </w:rPr>
        <w:t>. En dichas decisiones, la Corte</w:t>
      </w:r>
      <w:r w:rsidR="00146F95" w:rsidRPr="00746ACE">
        <w:rPr>
          <w:lang w:eastAsia="es-MX"/>
        </w:rPr>
        <w:t xml:space="preserve"> </w:t>
      </w:r>
      <w:r w:rsidR="00663EBA" w:rsidRPr="00746ACE">
        <w:rPr>
          <w:lang w:eastAsia="es-MX"/>
        </w:rPr>
        <w:t>señaló</w:t>
      </w:r>
      <w:r w:rsidR="00962888" w:rsidRPr="00746ACE">
        <w:rPr>
          <w:lang w:eastAsia="es-MX"/>
        </w:rPr>
        <w:t xml:space="preserve"> que la acción de tutela es improcedente para cuestionar sentencias interpretativas de la </w:t>
      </w:r>
      <w:r w:rsidR="00747405" w:rsidRPr="00746ACE">
        <w:rPr>
          <w:lang w:eastAsia="es-MX"/>
        </w:rPr>
        <w:t>Sección de Apelación</w:t>
      </w:r>
      <w:r w:rsidR="002437E6" w:rsidRPr="00746ACE">
        <w:rPr>
          <w:lang w:eastAsia="es-MX"/>
        </w:rPr>
        <w:t>,</w:t>
      </w:r>
      <w:r w:rsidR="00962888" w:rsidRPr="00746ACE">
        <w:rPr>
          <w:lang w:eastAsia="es-MX"/>
        </w:rPr>
        <w:t xml:space="preserve"> </w:t>
      </w:r>
      <w:r w:rsidR="00E534DE" w:rsidRPr="00746ACE">
        <w:rPr>
          <w:lang w:eastAsia="es-MX"/>
        </w:rPr>
        <w:t xml:space="preserve">pero </w:t>
      </w:r>
      <w:r w:rsidR="00D03BA0" w:rsidRPr="00746ACE">
        <w:rPr>
          <w:lang w:eastAsia="es-MX"/>
        </w:rPr>
        <w:t xml:space="preserve">indico que estas providencias </w:t>
      </w:r>
      <w:r w:rsidR="00273015" w:rsidRPr="00746ACE">
        <w:rPr>
          <w:lang w:eastAsia="es-MX"/>
        </w:rPr>
        <w:t xml:space="preserve">sí están sujetas al control de </w:t>
      </w:r>
      <w:r w:rsidR="00962888" w:rsidRPr="00746ACE">
        <w:rPr>
          <w:lang w:eastAsia="es-MX"/>
        </w:rPr>
        <w:t>la acción pública de inconstitucionalidad</w:t>
      </w:r>
      <w:r w:rsidR="005D72D0" w:rsidRPr="00746ACE">
        <w:rPr>
          <w:lang w:eastAsia="es-MX"/>
        </w:rPr>
        <w:t xml:space="preserve"> </w:t>
      </w:r>
      <w:r w:rsidR="00D03BA0" w:rsidRPr="00746ACE">
        <w:rPr>
          <w:lang w:eastAsia="es-MX"/>
        </w:rPr>
        <w:t xml:space="preserve">siempre que </w:t>
      </w:r>
      <w:r w:rsidR="00663EBA" w:rsidRPr="00746ACE">
        <w:rPr>
          <w:lang w:eastAsia="es-MX"/>
        </w:rPr>
        <w:t>defin</w:t>
      </w:r>
      <w:r w:rsidR="00D03BA0" w:rsidRPr="00746ACE">
        <w:rPr>
          <w:lang w:eastAsia="es-MX"/>
        </w:rPr>
        <w:t>a</w:t>
      </w:r>
      <w:r w:rsidR="00663EBA" w:rsidRPr="00746ACE">
        <w:rPr>
          <w:lang w:eastAsia="es-MX"/>
        </w:rPr>
        <w:t xml:space="preserve">n </w:t>
      </w:r>
      <w:r w:rsidR="008745F2" w:rsidRPr="00746ACE">
        <w:rPr>
          <w:lang w:eastAsia="es-MX"/>
        </w:rPr>
        <w:t>reglas abstractas</w:t>
      </w:r>
      <w:r w:rsidR="00663EBA" w:rsidRPr="00746ACE">
        <w:rPr>
          <w:lang w:eastAsia="es-MX"/>
        </w:rPr>
        <w:t xml:space="preserve">. En criterio de los accionantes, </w:t>
      </w:r>
      <w:r w:rsidR="00180DBB" w:rsidRPr="00746ACE">
        <w:rPr>
          <w:lang w:eastAsia="es-MX"/>
        </w:rPr>
        <w:t xml:space="preserve">la </w:t>
      </w:r>
      <w:r w:rsidR="008745F2" w:rsidRPr="00746ACE">
        <w:rPr>
          <w:lang w:eastAsia="es-MX"/>
        </w:rPr>
        <w:t>Senit 5 define reglas generales y abstractas</w:t>
      </w:r>
      <w:r w:rsidR="005D72D0" w:rsidRPr="00746ACE">
        <w:rPr>
          <w:lang w:eastAsia="es-MX"/>
        </w:rPr>
        <w:t xml:space="preserve"> y, por ende, procede la acción pública de inconstitucionalidad</w:t>
      </w:r>
      <w:r w:rsidR="00663EBA" w:rsidRPr="00746ACE">
        <w:rPr>
          <w:lang w:eastAsia="es-MX"/>
        </w:rPr>
        <w:t>.</w:t>
      </w:r>
    </w:p>
    <w:p w14:paraId="52405589" w14:textId="77777777" w:rsidR="005D72D0" w:rsidRPr="00746ACE" w:rsidRDefault="005D72D0" w:rsidP="00FC0DFB">
      <w:pPr>
        <w:widowControl w:val="0"/>
        <w:tabs>
          <w:tab w:val="left" w:pos="426"/>
        </w:tabs>
      </w:pPr>
    </w:p>
    <w:bookmarkEnd w:id="3"/>
    <w:p w14:paraId="1F6F0314" w14:textId="2D7E7148" w:rsidR="00AF251E" w:rsidRPr="00746ACE" w:rsidRDefault="00C304CD" w:rsidP="00FC0DFB">
      <w:pPr>
        <w:widowControl w:val="0"/>
        <w:numPr>
          <w:ilvl w:val="0"/>
          <w:numId w:val="7"/>
        </w:numPr>
        <w:tabs>
          <w:tab w:val="left" w:pos="567"/>
        </w:tabs>
        <w:rPr>
          <w:lang w:eastAsia="es-ES"/>
        </w:rPr>
      </w:pPr>
      <w:r w:rsidRPr="00746ACE">
        <w:rPr>
          <w:lang w:eastAsia="es-ES"/>
        </w:rPr>
        <w:t>A continuación, se enlistan</w:t>
      </w:r>
      <w:r w:rsidR="00AF251E" w:rsidRPr="00746ACE">
        <w:rPr>
          <w:lang w:eastAsia="es-ES"/>
        </w:rPr>
        <w:t xml:space="preserve"> los </w:t>
      </w:r>
      <w:r w:rsidR="00663EBA" w:rsidRPr="00746ACE">
        <w:rPr>
          <w:lang w:eastAsia="es-ES"/>
        </w:rPr>
        <w:t xml:space="preserve">cargos admitidos y los </w:t>
      </w:r>
      <w:r w:rsidR="00AF251E" w:rsidRPr="00746ACE">
        <w:rPr>
          <w:lang w:eastAsia="es-ES"/>
        </w:rPr>
        <w:t xml:space="preserve">problemas jurídicos asociados </w:t>
      </w:r>
      <w:r w:rsidR="00663EBA" w:rsidRPr="00746ACE">
        <w:rPr>
          <w:lang w:eastAsia="es-ES"/>
        </w:rPr>
        <w:t>a cada uno de ellos:</w:t>
      </w:r>
    </w:p>
    <w:p w14:paraId="673B9842" w14:textId="77777777" w:rsidR="00B33363" w:rsidRPr="00746ACE" w:rsidRDefault="00B33363" w:rsidP="00B33363">
      <w:pPr>
        <w:pStyle w:val="Prrafodelista"/>
        <w:widowControl w:val="0"/>
        <w:tabs>
          <w:tab w:val="left" w:pos="0"/>
        </w:tabs>
        <w:ind w:left="0" w:right="51"/>
        <w:rPr>
          <w:i/>
          <w:iCs/>
        </w:rPr>
      </w:pPr>
    </w:p>
    <w:p w14:paraId="4F083180" w14:textId="3B19808A" w:rsidR="00212AD5" w:rsidRPr="00746ACE" w:rsidRDefault="00B33363" w:rsidP="00B33363">
      <w:pPr>
        <w:pStyle w:val="Prrafodelista"/>
        <w:widowControl w:val="0"/>
        <w:tabs>
          <w:tab w:val="left" w:pos="0"/>
        </w:tabs>
        <w:ind w:left="0" w:right="51"/>
        <w:jc w:val="center"/>
        <w:rPr>
          <w:i/>
          <w:szCs w:val="24"/>
        </w:rPr>
      </w:pPr>
      <w:r w:rsidRPr="00746ACE">
        <w:rPr>
          <w:b/>
          <w:bCs/>
          <w:szCs w:val="24"/>
        </w:rPr>
        <w:t>Tabla 1.</w:t>
      </w:r>
      <w:r w:rsidRPr="00746ACE">
        <w:rPr>
          <w:i/>
          <w:iCs/>
          <w:szCs w:val="24"/>
        </w:rPr>
        <w:t xml:space="preserve"> Presentación de la discusión</w:t>
      </w:r>
      <w:r w:rsidR="00D642A5" w:rsidRPr="00746ACE">
        <w:rPr>
          <w:i/>
          <w:iCs/>
          <w:szCs w:val="24"/>
        </w:rPr>
        <w:t>.</w:t>
      </w:r>
    </w:p>
    <w:tbl>
      <w:tblPr>
        <w:tblStyle w:val="Tablaconcuadrcula4-nfasis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5"/>
        <w:gridCol w:w="7583"/>
      </w:tblGrid>
      <w:tr w:rsidR="00B92597" w:rsidRPr="00746ACE" w14:paraId="7DBE1004" w14:textId="3E86F9B9" w:rsidTr="00B33363">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D9E2F3" w:themeFill="accent1" w:themeFillTint="33"/>
          </w:tcPr>
          <w:p w14:paraId="375C4DE3" w14:textId="14013051" w:rsidR="003D0D0C" w:rsidRPr="00746ACE" w:rsidRDefault="003D0D0C" w:rsidP="00B33363">
            <w:pPr>
              <w:widowControl w:val="0"/>
              <w:tabs>
                <w:tab w:val="left" w:pos="0"/>
              </w:tabs>
              <w:ind w:right="51"/>
              <w:jc w:val="center"/>
              <w:rPr>
                <w:b w:val="0"/>
                <w:color w:val="auto"/>
              </w:rPr>
            </w:pPr>
            <w:r w:rsidRPr="00746ACE">
              <w:rPr>
                <w:color w:val="auto"/>
              </w:rPr>
              <w:t>Cargos admitidos</w:t>
            </w:r>
          </w:p>
        </w:tc>
      </w:tr>
      <w:tr w:rsidR="00B92597" w:rsidRPr="00746ACE" w14:paraId="3C75F0D2" w14:textId="0571EEC2" w:rsidTr="00B333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shd w:val="clear" w:color="auto" w:fill="FFFFFF" w:themeFill="background1"/>
          </w:tcPr>
          <w:p w14:paraId="729DFD67" w14:textId="6C4F2D27" w:rsidR="003D0D0C" w:rsidRPr="00746ACE" w:rsidRDefault="003D0D0C" w:rsidP="00FC0DFB">
            <w:pPr>
              <w:widowControl w:val="0"/>
              <w:rPr>
                <w:b w:val="0"/>
              </w:rPr>
            </w:pPr>
            <w:r w:rsidRPr="00746ACE">
              <w:t>Primero</w:t>
            </w:r>
          </w:p>
        </w:tc>
        <w:tc>
          <w:tcPr>
            <w:tcW w:w="4295" w:type="pct"/>
            <w:shd w:val="clear" w:color="auto" w:fill="FFFFFF" w:themeFill="background1"/>
          </w:tcPr>
          <w:p w14:paraId="0A7AF515" w14:textId="2E2C930B" w:rsidR="003D0D0C" w:rsidRPr="00746ACE" w:rsidRDefault="003D0D0C" w:rsidP="00FC0DFB">
            <w:pPr>
              <w:widowControl w:val="0"/>
              <w:cnfStyle w:val="000000100000" w:firstRow="0" w:lastRow="0" w:firstColumn="0" w:lastColumn="0" w:oddVBand="0" w:evenVBand="0" w:oddHBand="1" w:evenHBand="0" w:firstRowFirstColumn="0" w:firstRowLastColumn="0" w:lastRowFirstColumn="0" w:lastRowLastColumn="0"/>
            </w:pPr>
            <w:r w:rsidRPr="00746ACE">
              <w:t>Violación del principio de legalidad en cuanto a la asignación de competencias a la Sala de Definición de Situaciones Jurídicas y a la Unidad de Investigación y Acusación de la Jurisdicción Especial para la Paz.</w:t>
            </w:r>
          </w:p>
        </w:tc>
      </w:tr>
      <w:tr w:rsidR="00B92597" w:rsidRPr="00746ACE" w14:paraId="0EF0187C" w14:textId="1FC62856" w:rsidTr="00B33363">
        <w:tc>
          <w:tcPr>
            <w:cnfStyle w:val="001000000000" w:firstRow="0" w:lastRow="0" w:firstColumn="1" w:lastColumn="0" w:oddVBand="0" w:evenVBand="0" w:oddHBand="0" w:evenHBand="0" w:firstRowFirstColumn="0" w:firstRowLastColumn="0" w:lastRowFirstColumn="0" w:lastRowLastColumn="0"/>
            <w:tcW w:w="705" w:type="pct"/>
            <w:shd w:val="clear" w:color="auto" w:fill="FFFFFF" w:themeFill="background1"/>
          </w:tcPr>
          <w:p w14:paraId="339FF219" w14:textId="34840FBA" w:rsidR="003D0D0C" w:rsidRPr="00746ACE" w:rsidRDefault="003D0D0C" w:rsidP="00FC0DFB">
            <w:pPr>
              <w:widowControl w:val="0"/>
              <w:rPr>
                <w:b w:val="0"/>
              </w:rPr>
            </w:pPr>
            <w:r w:rsidRPr="00746ACE">
              <w:t>Segundo</w:t>
            </w:r>
          </w:p>
        </w:tc>
        <w:tc>
          <w:tcPr>
            <w:tcW w:w="4295" w:type="pct"/>
            <w:shd w:val="clear" w:color="auto" w:fill="FFFFFF" w:themeFill="background1"/>
          </w:tcPr>
          <w:p w14:paraId="1B3311B9" w14:textId="33F47408" w:rsidR="003D0D0C" w:rsidRPr="00746ACE" w:rsidRDefault="003D0D0C" w:rsidP="00FC0DFB">
            <w:pPr>
              <w:widowControl w:val="0"/>
              <w:cnfStyle w:val="000000000000" w:firstRow="0" w:lastRow="0" w:firstColumn="0" w:lastColumn="0" w:oddVBand="0" w:evenVBand="0" w:oddHBand="0" w:evenHBand="0" w:firstRowFirstColumn="0" w:firstRowLastColumn="0" w:lastRowFirstColumn="0" w:lastRowLastColumn="0"/>
            </w:pPr>
            <w:r w:rsidRPr="00746ACE">
              <w:t>Violación del principio de legalidad por la creación de la categoría dogmática “punto intermedio de responsabilidad”, ubicada entre la máxima responsabilidad y la participación no determinante, por no estar prevista en el marco normativo de la JEP.</w:t>
            </w:r>
          </w:p>
          <w:p w14:paraId="1A1767A6" w14:textId="77777777" w:rsidR="003D0D0C" w:rsidRPr="00746ACE" w:rsidRDefault="003D0D0C" w:rsidP="00FC0DFB">
            <w:pPr>
              <w:widowControl w:val="0"/>
              <w:cnfStyle w:val="000000000000" w:firstRow="0" w:lastRow="0" w:firstColumn="0" w:lastColumn="0" w:oddVBand="0" w:evenVBand="0" w:oddHBand="0" w:evenHBand="0" w:firstRowFirstColumn="0" w:firstRowLastColumn="0" w:lastRowFirstColumn="0" w:lastRowLastColumn="0"/>
            </w:pPr>
          </w:p>
        </w:tc>
      </w:tr>
      <w:tr w:rsidR="00B92597" w:rsidRPr="00746ACE" w14:paraId="3F3DD015" w14:textId="56764346" w:rsidTr="00B333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shd w:val="clear" w:color="auto" w:fill="FFFFFF" w:themeFill="background1"/>
          </w:tcPr>
          <w:p w14:paraId="3F17694E" w14:textId="2598FAD2" w:rsidR="003D0D0C" w:rsidRPr="00746ACE" w:rsidRDefault="003D0D0C" w:rsidP="00FC0DFB">
            <w:pPr>
              <w:widowControl w:val="0"/>
              <w:rPr>
                <w:b w:val="0"/>
              </w:rPr>
            </w:pPr>
            <w:r w:rsidRPr="00746ACE">
              <w:t>Tercero</w:t>
            </w:r>
          </w:p>
        </w:tc>
        <w:tc>
          <w:tcPr>
            <w:tcW w:w="4295" w:type="pct"/>
            <w:shd w:val="clear" w:color="auto" w:fill="FFFFFF" w:themeFill="background1"/>
          </w:tcPr>
          <w:p w14:paraId="002FA79D" w14:textId="4238F4E8" w:rsidR="003D0D0C" w:rsidRPr="00746ACE" w:rsidRDefault="003D0D0C" w:rsidP="00FC0DFB">
            <w:pPr>
              <w:widowControl w:val="0"/>
              <w:cnfStyle w:val="000000100000" w:firstRow="0" w:lastRow="0" w:firstColumn="0" w:lastColumn="0" w:oddVBand="0" w:evenVBand="0" w:oddHBand="1" w:evenHBand="0" w:firstRowFirstColumn="0" w:firstRowLastColumn="0" w:lastRowFirstColumn="0" w:lastRowLastColumn="0"/>
              <w:rPr>
                <w:b/>
              </w:rPr>
            </w:pPr>
            <w:r w:rsidRPr="00746ACE">
              <w:t>Violación del principio de legalidad por el carácter abstracto y difuso de la categoría dogmática intermedia entre la máxima responsabilidad y la participación no determinante.</w:t>
            </w:r>
          </w:p>
        </w:tc>
      </w:tr>
      <w:tr w:rsidR="00B92597" w:rsidRPr="00746ACE" w14:paraId="1DF6AA46" w14:textId="18A5208D" w:rsidTr="00B33363">
        <w:tc>
          <w:tcPr>
            <w:cnfStyle w:val="001000000000" w:firstRow="0" w:lastRow="0" w:firstColumn="1" w:lastColumn="0" w:oddVBand="0" w:evenVBand="0" w:oddHBand="0" w:evenHBand="0" w:firstRowFirstColumn="0" w:firstRowLastColumn="0" w:lastRowFirstColumn="0" w:lastRowLastColumn="0"/>
            <w:tcW w:w="705" w:type="pct"/>
            <w:shd w:val="clear" w:color="auto" w:fill="FFFFFF" w:themeFill="background1"/>
          </w:tcPr>
          <w:p w14:paraId="7CCE9B89" w14:textId="2E99B40F" w:rsidR="003D0D0C" w:rsidRPr="00746ACE" w:rsidRDefault="003D0D0C" w:rsidP="00FC0DFB">
            <w:pPr>
              <w:widowControl w:val="0"/>
              <w:rPr>
                <w:b w:val="0"/>
              </w:rPr>
            </w:pPr>
            <w:r w:rsidRPr="00746ACE">
              <w:t>Cuarto</w:t>
            </w:r>
          </w:p>
        </w:tc>
        <w:tc>
          <w:tcPr>
            <w:tcW w:w="4295" w:type="pct"/>
            <w:shd w:val="clear" w:color="auto" w:fill="FFFFFF" w:themeFill="background1"/>
          </w:tcPr>
          <w:p w14:paraId="1D31E3A3" w14:textId="6DF128B8" w:rsidR="003D0D0C" w:rsidRPr="00746ACE" w:rsidRDefault="003D0D0C" w:rsidP="00FC0DFB">
            <w:pPr>
              <w:widowControl w:val="0"/>
              <w:cnfStyle w:val="000000000000" w:firstRow="0" w:lastRow="0" w:firstColumn="0" w:lastColumn="0" w:oddVBand="0" w:evenVBand="0" w:oddHBand="0" w:evenHBand="0" w:firstRowFirstColumn="0" w:firstRowLastColumn="0" w:lastRowFirstColumn="0" w:lastRowLastColumn="0"/>
              <w:rPr>
                <w:b/>
              </w:rPr>
            </w:pPr>
            <w:r w:rsidRPr="00746ACE">
              <w:t xml:space="preserve">Violación del derecho al debido proceso y del marco constitucional del régimen de condicionalidad, pues no son claras las reglas aplicables a quienes, según la JEP, se encuentran </w:t>
            </w:r>
            <w:r w:rsidR="00D03BA0" w:rsidRPr="00746ACE">
              <w:t xml:space="preserve">en </w:t>
            </w:r>
            <w:r w:rsidRPr="00746ACE">
              <w:t xml:space="preserve">el punto medio entre la máxima responsabilidad y la participación no determinante; </w:t>
            </w:r>
          </w:p>
        </w:tc>
      </w:tr>
      <w:tr w:rsidR="00B92597" w:rsidRPr="00746ACE" w14:paraId="17512C59" w14:textId="2104281C" w:rsidTr="00B333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shd w:val="clear" w:color="auto" w:fill="FFFFFF" w:themeFill="background1"/>
          </w:tcPr>
          <w:p w14:paraId="1AEF12E7" w14:textId="7B3AF859" w:rsidR="003D0D0C" w:rsidRPr="00746ACE" w:rsidRDefault="003D0D0C" w:rsidP="00FC0DFB">
            <w:pPr>
              <w:widowControl w:val="0"/>
              <w:rPr>
                <w:b w:val="0"/>
              </w:rPr>
            </w:pPr>
            <w:r w:rsidRPr="00746ACE">
              <w:t>Quinto</w:t>
            </w:r>
          </w:p>
        </w:tc>
        <w:tc>
          <w:tcPr>
            <w:tcW w:w="4295" w:type="pct"/>
            <w:shd w:val="clear" w:color="auto" w:fill="FFFFFF" w:themeFill="background1"/>
          </w:tcPr>
          <w:p w14:paraId="60B4E8BB" w14:textId="2BB95386" w:rsidR="003D0D0C" w:rsidRPr="00746ACE" w:rsidRDefault="003D0D0C" w:rsidP="00FC0DFB">
            <w:pPr>
              <w:widowControl w:val="0"/>
              <w:cnfStyle w:val="000000100000" w:firstRow="0" w:lastRow="0" w:firstColumn="0" w:lastColumn="0" w:oddVBand="0" w:evenVBand="0" w:oddHBand="1" w:evenHBand="0" w:firstRowFirstColumn="0" w:firstRowLastColumn="0" w:lastRowFirstColumn="0" w:lastRowLastColumn="0"/>
            </w:pPr>
            <w:r w:rsidRPr="00746ACE">
              <w:t>Violación del derecho al debido proceso, y de los principios de proporcionalidad e igualdad en cuanto a la exigencia de reconocimiento de verdad y responsabilidad a quienes no son máximos responsables, bajo la potencial consecuencia de ser remitidos a un trámite adversarial para determinar su responsabilidad.</w:t>
            </w:r>
          </w:p>
        </w:tc>
      </w:tr>
    </w:tbl>
    <w:p w14:paraId="3A8AF32E" w14:textId="77777777" w:rsidR="00EC52FF" w:rsidRPr="00746ACE" w:rsidRDefault="00EC52FF" w:rsidP="00FC0DFB">
      <w:pPr>
        <w:widowControl w:val="0"/>
        <w:tabs>
          <w:tab w:val="left" w:pos="0"/>
        </w:tabs>
        <w:ind w:right="51"/>
      </w:pPr>
    </w:p>
    <w:p w14:paraId="04A9BF8D" w14:textId="57D8F3FA" w:rsidR="001F6D8F" w:rsidRPr="00746ACE" w:rsidRDefault="001F6D8F" w:rsidP="3877B9AD">
      <w:pPr>
        <w:widowControl w:val="0"/>
        <w:numPr>
          <w:ilvl w:val="0"/>
          <w:numId w:val="7"/>
        </w:numPr>
        <w:tabs>
          <w:tab w:val="left" w:pos="567"/>
        </w:tabs>
      </w:pPr>
      <w:r w:rsidRPr="00746ACE">
        <w:t xml:space="preserve">Los </w:t>
      </w:r>
      <w:r w:rsidR="00044592" w:rsidRPr="00746ACE">
        <w:t>demandantes</w:t>
      </w:r>
      <w:r w:rsidRPr="00746ACE">
        <w:t xml:space="preserve"> </w:t>
      </w:r>
      <w:r w:rsidR="00B12CAA" w:rsidRPr="00746ACE">
        <w:t xml:space="preserve">sostienen que </w:t>
      </w:r>
      <w:r w:rsidR="00663EBA" w:rsidRPr="00746ACE">
        <w:t>la</w:t>
      </w:r>
      <w:r w:rsidR="00B12CAA" w:rsidRPr="00746ACE">
        <w:t xml:space="preserve"> interpretación </w:t>
      </w:r>
      <w:r w:rsidR="00663EBA" w:rsidRPr="00746ACE">
        <w:t xml:space="preserve">contenida en los párrafos citados </w:t>
      </w:r>
      <w:r w:rsidR="00B12CAA" w:rsidRPr="00746ACE">
        <w:t xml:space="preserve">se ha convertido en jurisprudencia reiterada y uniforme, pues </w:t>
      </w:r>
      <w:r w:rsidR="004327B1" w:rsidRPr="00746ACE">
        <w:t>ha utilizado</w:t>
      </w:r>
      <w:r w:rsidR="00B12CAA" w:rsidRPr="00746ACE">
        <w:t xml:space="preserve"> </w:t>
      </w:r>
      <w:r w:rsidR="00705957" w:rsidRPr="00746ACE">
        <w:t xml:space="preserve">en distintas decisiones de la Sala de </w:t>
      </w:r>
      <w:r w:rsidR="001B4DF7" w:rsidRPr="00746ACE">
        <w:t>D</w:t>
      </w:r>
      <w:r w:rsidR="00705957" w:rsidRPr="00746ACE">
        <w:t xml:space="preserve">efinición de </w:t>
      </w:r>
      <w:r w:rsidR="001B4DF7" w:rsidRPr="00746ACE">
        <w:t>S</w:t>
      </w:r>
      <w:r w:rsidR="00705957" w:rsidRPr="00746ACE">
        <w:t xml:space="preserve">ituaciones </w:t>
      </w:r>
      <w:r w:rsidR="001B4DF7" w:rsidRPr="00746ACE">
        <w:t>J</w:t>
      </w:r>
      <w:r w:rsidR="00705957" w:rsidRPr="00746ACE">
        <w:t xml:space="preserve">urídicas, como la Resolución 3479 de 2023, </w:t>
      </w:r>
      <w:r w:rsidR="008F74EA" w:rsidRPr="00746ACE">
        <w:t xml:space="preserve">la </w:t>
      </w:r>
      <w:r w:rsidR="00705957" w:rsidRPr="00746ACE">
        <w:t xml:space="preserve">Resolución 763 de 2024 y </w:t>
      </w:r>
      <w:r w:rsidR="008F74EA" w:rsidRPr="00746ACE">
        <w:t xml:space="preserve">la </w:t>
      </w:r>
      <w:r w:rsidR="00705957" w:rsidRPr="00746ACE">
        <w:t>Resolución 3960 de 2024</w:t>
      </w:r>
      <w:r w:rsidR="001B4DF7" w:rsidRPr="00746ACE">
        <w:t>.</w:t>
      </w:r>
      <w:r w:rsidR="00B117BD" w:rsidRPr="00746ACE">
        <w:t xml:space="preserve"> </w:t>
      </w:r>
    </w:p>
    <w:p w14:paraId="2A010656" w14:textId="77777777" w:rsidR="00016F60" w:rsidRPr="00746ACE" w:rsidRDefault="00016F60" w:rsidP="00FC0DFB">
      <w:pPr>
        <w:widowControl w:val="0"/>
        <w:tabs>
          <w:tab w:val="left" w:pos="567"/>
        </w:tabs>
      </w:pPr>
    </w:p>
    <w:p w14:paraId="7A7FC423" w14:textId="2B57755F" w:rsidR="00016F60" w:rsidRPr="00746ACE" w:rsidRDefault="00016F60" w:rsidP="00FC0DFB">
      <w:pPr>
        <w:pStyle w:val="Ttulo2"/>
        <w:keepNext w:val="0"/>
        <w:keepLines w:val="0"/>
        <w:widowControl w:val="0"/>
        <w:rPr>
          <w:rFonts w:cs="Times New Roman"/>
          <w:szCs w:val="28"/>
        </w:rPr>
      </w:pPr>
      <w:bookmarkStart w:id="6" w:name="_Toc233384161"/>
      <w:r w:rsidRPr="00746ACE">
        <w:rPr>
          <w:rFonts w:cs="Times New Roman"/>
          <w:szCs w:val="28"/>
        </w:rPr>
        <w:t>Intervenciones</w:t>
      </w:r>
      <w:bookmarkEnd w:id="6"/>
    </w:p>
    <w:p w14:paraId="16E9D86D" w14:textId="77777777" w:rsidR="00016F60" w:rsidRPr="00746ACE" w:rsidRDefault="00016F60" w:rsidP="00EC52FF"/>
    <w:p w14:paraId="242082A6" w14:textId="4A09BBAC" w:rsidR="00EC52FF" w:rsidRPr="00746ACE" w:rsidRDefault="00EC52FF" w:rsidP="00EC52FF">
      <w:pPr>
        <w:pStyle w:val="Prrafodelista"/>
        <w:numPr>
          <w:ilvl w:val="0"/>
          <w:numId w:val="7"/>
        </w:numPr>
      </w:pPr>
      <w:r w:rsidRPr="00746ACE">
        <w:t>En el auto del 25 de marzo de 2025, la magistrada sustanciadora decretó unas pruebas y ordenó la fijación en lista por diez días para la</w:t>
      </w:r>
      <w:r w:rsidR="00D03BA0" w:rsidRPr="00746ACE">
        <w:t>s</w:t>
      </w:r>
      <w:r w:rsidRPr="00746ACE">
        <w:t xml:space="preserve"> intervenci</w:t>
      </w:r>
      <w:r w:rsidR="00D03BA0" w:rsidRPr="00746ACE">
        <w:t>o</w:t>
      </w:r>
      <w:r w:rsidRPr="00746ACE">
        <w:t>n</w:t>
      </w:r>
      <w:r w:rsidR="00D03BA0" w:rsidRPr="00746ACE">
        <w:t>es</w:t>
      </w:r>
      <w:r w:rsidRPr="00746ACE">
        <w:t xml:space="preserve"> ciudadana</w:t>
      </w:r>
      <w:r w:rsidR="00D03BA0" w:rsidRPr="00746ACE">
        <w:t>s</w:t>
      </w:r>
      <w:r w:rsidRPr="00746ACE">
        <w:t xml:space="preserve">. Durante el término, se recibieron trece escritos de las siguientes organizaciones, instituciones y universidades, </w:t>
      </w:r>
      <w:r w:rsidR="00FF4360" w:rsidRPr="00746ACE">
        <w:t xml:space="preserve">cuyo contenido se expone, de manera amplia, en documento </w:t>
      </w:r>
      <w:r w:rsidRPr="00746ACE">
        <w:t>anexo a esta providencia (“</w:t>
      </w:r>
      <w:r w:rsidRPr="00746ACE">
        <w:rPr>
          <w:u w:val="single"/>
        </w:rPr>
        <w:t>Anexo 1: Intervenciones</w:t>
      </w:r>
      <w:r w:rsidR="00B95FDD" w:rsidRPr="00746ACE">
        <w:rPr>
          <w:u w:val="single"/>
        </w:rPr>
        <w:t xml:space="preserve"> ciudadanas</w:t>
      </w:r>
      <w:r w:rsidRPr="00746ACE">
        <w:t xml:space="preserve">”) </w:t>
      </w:r>
    </w:p>
    <w:p w14:paraId="2133357C" w14:textId="77777777" w:rsidR="00AF26D0" w:rsidRPr="00746ACE" w:rsidRDefault="00AF26D0" w:rsidP="00AF26D0">
      <w:pPr>
        <w:pStyle w:val="Prrafodelista"/>
        <w:widowControl w:val="0"/>
        <w:tabs>
          <w:tab w:val="left" w:pos="0"/>
        </w:tabs>
        <w:ind w:left="0" w:right="51"/>
      </w:pPr>
    </w:p>
    <w:p w14:paraId="0E40E4DD" w14:textId="75C90032" w:rsidR="00EC52FF" w:rsidRPr="00746ACE" w:rsidRDefault="00AF26D0" w:rsidP="00AF26D0">
      <w:pPr>
        <w:pStyle w:val="Prrafodelista"/>
        <w:widowControl w:val="0"/>
        <w:tabs>
          <w:tab w:val="left" w:pos="0"/>
        </w:tabs>
        <w:ind w:left="0" w:right="51"/>
        <w:jc w:val="center"/>
        <w:rPr>
          <w:i/>
          <w:szCs w:val="24"/>
        </w:rPr>
      </w:pPr>
      <w:r w:rsidRPr="00746ACE">
        <w:rPr>
          <w:b/>
          <w:bCs/>
          <w:szCs w:val="24"/>
        </w:rPr>
        <w:t>Tabla 2</w:t>
      </w:r>
      <w:r w:rsidRPr="00746ACE">
        <w:rPr>
          <w:i/>
          <w:iCs/>
          <w:szCs w:val="24"/>
        </w:rPr>
        <w:t>. Intervenciones</w:t>
      </w:r>
      <w:r w:rsidR="00D642A5" w:rsidRPr="00746ACE">
        <w:rPr>
          <w:i/>
          <w:iCs/>
          <w:szCs w:val="24"/>
        </w:rPr>
        <w:t>.</w:t>
      </w:r>
    </w:p>
    <w:tbl>
      <w:tblPr>
        <w:tblStyle w:val="Tablaconcuadrcula"/>
        <w:tblW w:w="0" w:type="auto"/>
        <w:tblLook w:val="04A0" w:firstRow="1" w:lastRow="0" w:firstColumn="1" w:lastColumn="0" w:noHBand="0" w:noVBand="1"/>
      </w:tblPr>
      <w:tblGrid>
        <w:gridCol w:w="496"/>
        <w:gridCol w:w="3237"/>
        <w:gridCol w:w="5095"/>
      </w:tblGrid>
      <w:tr w:rsidR="00B92597" w:rsidRPr="00746ACE" w14:paraId="2C8AE4A2" w14:textId="77777777" w:rsidTr="00B33363">
        <w:tc>
          <w:tcPr>
            <w:tcW w:w="496" w:type="dxa"/>
            <w:shd w:val="clear" w:color="auto" w:fill="D9E2F3" w:themeFill="accent1" w:themeFillTint="33"/>
          </w:tcPr>
          <w:p w14:paraId="6A989B7E" w14:textId="77777777" w:rsidR="00EC52FF" w:rsidRPr="00746ACE" w:rsidRDefault="00EC52FF">
            <w:pPr>
              <w:pStyle w:val="Prrafodelista"/>
              <w:ind w:left="0"/>
              <w:jc w:val="center"/>
            </w:pPr>
          </w:p>
        </w:tc>
        <w:tc>
          <w:tcPr>
            <w:tcW w:w="3237" w:type="dxa"/>
            <w:shd w:val="clear" w:color="auto" w:fill="D9E2F3" w:themeFill="accent1" w:themeFillTint="33"/>
            <w:vAlign w:val="center"/>
          </w:tcPr>
          <w:p w14:paraId="7B922D3A" w14:textId="77777777" w:rsidR="00EC52FF" w:rsidRPr="00746ACE" w:rsidRDefault="00EC52FF">
            <w:pPr>
              <w:pStyle w:val="Prrafodelista"/>
              <w:ind w:left="0"/>
              <w:jc w:val="center"/>
              <w:rPr>
                <w:b/>
                <w:bCs/>
                <w:i/>
                <w:iCs/>
              </w:rPr>
            </w:pPr>
            <w:r w:rsidRPr="00746ACE">
              <w:rPr>
                <w:b/>
                <w:bCs/>
                <w:i/>
                <w:iCs/>
              </w:rPr>
              <w:t>Nombre</w:t>
            </w:r>
          </w:p>
        </w:tc>
        <w:tc>
          <w:tcPr>
            <w:tcW w:w="5095" w:type="dxa"/>
            <w:shd w:val="clear" w:color="auto" w:fill="D9E2F3" w:themeFill="accent1" w:themeFillTint="33"/>
            <w:vAlign w:val="center"/>
          </w:tcPr>
          <w:p w14:paraId="31DDFEF6" w14:textId="77777777" w:rsidR="00EC52FF" w:rsidRPr="00746ACE" w:rsidRDefault="00EC52FF" w:rsidP="00B33363">
            <w:pPr>
              <w:pStyle w:val="Prrafodelista"/>
              <w:ind w:left="0"/>
              <w:jc w:val="center"/>
              <w:rPr>
                <w:b/>
                <w:bCs/>
                <w:i/>
                <w:iCs/>
              </w:rPr>
            </w:pPr>
            <w:r w:rsidRPr="00746ACE">
              <w:rPr>
                <w:b/>
                <w:bCs/>
                <w:i/>
                <w:iCs/>
              </w:rPr>
              <w:t>Petición</w:t>
            </w:r>
          </w:p>
        </w:tc>
      </w:tr>
      <w:tr w:rsidR="00B92597" w:rsidRPr="00746ACE" w14:paraId="24B968F0" w14:textId="77777777">
        <w:tc>
          <w:tcPr>
            <w:tcW w:w="496" w:type="dxa"/>
          </w:tcPr>
          <w:p w14:paraId="6771D658" w14:textId="77777777" w:rsidR="00EC52FF" w:rsidRPr="00746ACE" w:rsidRDefault="00EC52FF">
            <w:pPr>
              <w:pStyle w:val="Prrafodelista"/>
              <w:ind w:left="0"/>
              <w:jc w:val="center"/>
              <w:rPr>
                <w:b/>
                <w:bCs/>
              </w:rPr>
            </w:pPr>
            <w:r w:rsidRPr="00746ACE">
              <w:rPr>
                <w:b/>
                <w:bCs/>
              </w:rPr>
              <w:t>1</w:t>
            </w:r>
          </w:p>
        </w:tc>
        <w:tc>
          <w:tcPr>
            <w:tcW w:w="3237" w:type="dxa"/>
            <w:vAlign w:val="center"/>
          </w:tcPr>
          <w:p w14:paraId="1538D05A" w14:textId="77777777" w:rsidR="00EC52FF" w:rsidRPr="00746ACE" w:rsidRDefault="00EC52FF">
            <w:pPr>
              <w:pStyle w:val="Prrafodelista"/>
              <w:ind w:left="0"/>
              <w:jc w:val="center"/>
            </w:pPr>
            <w:r w:rsidRPr="00746ACE">
              <w:t>Comisión Colombiana de Juristas</w:t>
            </w:r>
          </w:p>
        </w:tc>
        <w:tc>
          <w:tcPr>
            <w:tcW w:w="5095" w:type="dxa"/>
          </w:tcPr>
          <w:p w14:paraId="3F9DD321" w14:textId="77777777" w:rsidR="00EC52FF" w:rsidRPr="00746ACE" w:rsidRDefault="00EC52FF">
            <w:pPr>
              <w:pStyle w:val="Prrafodelista"/>
              <w:ind w:left="0"/>
            </w:pPr>
            <w:r w:rsidRPr="00746ACE">
              <w:t>Declarar la inexequibilidad de los párrafos demandados de la Senit 5.</w:t>
            </w:r>
          </w:p>
        </w:tc>
      </w:tr>
      <w:tr w:rsidR="00B92597" w:rsidRPr="00746ACE" w14:paraId="72822CF0" w14:textId="77777777">
        <w:tc>
          <w:tcPr>
            <w:tcW w:w="496" w:type="dxa"/>
          </w:tcPr>
          <w:p w14:paraId="77FB91C1" w14:textId="77777777" w:rsidR="00EC52FF" w:rsidRPr="00746ACE" w:rsidRDefault="00EC52FF">
            <w:pPr>
              <w:pStyle w:val="Prrafodelista"/>
              <w:ind w:left="0"/>
              <w:jc w:val="center"/>
              <w:rPr>
                <w:b/>
                <w:bCs/>
              </w:rPr>
            </w:pPr>
            <w:r w:rsidRPr="00746ACE">
              <w:rPr>
                <w:b/>
                <w:bCs/>
              </w:rPr>
              <w:t>2</w:t>
            </w:r>
          </w:p>
        </w:tc>
        <w:tc>
          <w:tcPr>
            <w:tcW w:w="3237" w:type="dxa"/>
            <w:vAlign w:val="center"/>
          </w:tcPr>
          <w:p w14:paraId="09139FC3" w14:textId="77777777" w:rsidR="00EC52FF" w:rsidRPr="00746ACE" w:rsidRDefault="00EC52FF">
            <w:pPr>
              <w:pStyle w:val="Prrafodelista"/>
              <w:ind w:left="0"/>
              <w:jc w:val="center"/>
            </w:pPr>
            <w:r w:rsidRPr="00746ACE">
              <w:t>Centro de Estudios de Derecho, Justicia y Sociedad (Dejusticia)</w:t>
            </w:r>
          </w:p>
        </w:tc>
        <w:tc>
          <w:tcPr>
            <w:tcW w:w="5095" w:type="dxa"/>
          </w:tcPr>
          <w:p w14:paraId="50E4BF0D" w14:textId="77777777" w:rsidR="00EC52FF" w:rsidRPr="00746ACE" w:rsidRDefault="00EC52FF">
            <w:pPr>
              <w:pStyle w:val="Prrafodelista"/>
              <w:ind w:left="0"/>
            </w:pPr>
            <w:r w:rsidRPr="00746ACE">
              <w:t>Declarar la inexequiblidad de los párrafos demandados de la Senit 5.</w:t>
            </w:r>
          </w:p>
        </w:tc>
      </w:tr>
      <w:tr w:rsidR="00B92597" w:rsidRPr="00746ACE" w14:paraId="3E090B3D" w14:textId="77777777">
        <w:tc>
          <w:tcPr>
            <w:tcW w:w="496" w:type="dxa"/>
          </w:tcPr>
          <w:p w14:paraId="0702DD84" w14:textId="77777777" w:rsidR="00EC52FF" w:rsidRPr="00746ACE" w:rsidRDefault="00EC52FF">
            <w:pPr>
              <w:pStyle w:val="Prrafodelista"/>
              <w:ind w:left="0"/>
              <w:jc w:val="center"/>
              <w:rPr>
                <w:b/>
                <w:bCs/>
              </w:rPr>
            </w:pPr>
            <w:r w:rsidRPr="00746ACE">
              <w:rPr>
                <w:b/>
                <w:bCs/>
              </w:rPr>
              <w:t>3</w:t>
            </w:r>
          </w:p>
        </w:tc>
        <w:tc>
          <w:tcPr>
            <w:tcW w:w="3237" w:type="dxa"/>
            <w:vAlign w:val="center"/>
          </w:tcPr>
          <w:p w14:paraId="13F8BAD7" w14:textId="77777777" w:rsidR="00EC52FF" w:rsidRPr="00746ACE" w:rsidRDefault="00EC52FF">
            <w:pPr>
              <w:pStyle w:val="Prrafodelista"/>
              <w:ind w:left="0"/>
              <w:jc w:val="center"/>
            </w:pPr>
            <w:r w:rsidRPr="00746ACE">
              <w:t>Defensoría del Pueblo</w:t>
            </w:r>
          </w:p>
        </w:tc>
        <w:tc>
          <w:tcPr>
            <w:tcW w:w="5095" w:type="dxa"/>
          </w:tcPr>
          <w:p w14:paraId="48249230" w14:textId="77777777" w:rsidR="00EC52FF" w:rsidRPr="00746ACE" w:rsidRDefault="00EC52FF">
            <w:pPr>
              <w:pStyle w:val="Prrafodelista"/>
              <w:ind w:left="0"/>
            </w:pPr>
            <w:r w:rsidRPr="00746ACE">
              <w:t xml:space="preserve">Declarar la inexequiblidad de la interpretación judicial de la Senit 5 sobre los artículos 19, 84 (parcial) y 129 de la Ley Estatutaria 1957 de 2019. </w:t>
            </w:r>
          </w:p>
        </w:tc>
      </w:tr>
      <w:tr w:rsidR="00B92597" w:rsidRPr="00746ACE" w14:paraId="222A0814" w14:textId="77777777">
        <w:tc>
          <w:tcPr>
            <w:tcW w:w="496" w:type="dxa"/>
          </w:tcPr>
          <w:p w14:paraId="7D663029" w14:textId="424272E3" w:rsidR="00EC52FF" w:rsidRPr="00746ACE" w:rsidRDefault="000B1250">
            <w:pPr>
              <w:pStyle w:val="Prrafodelista"/>
              <w:ind w:left="0"/>
              <w:jc w:val="center"/>
              <w:rPr>
                <w:b/>
                <w:bCs/>
              </w:rPr>
            </w:pPr>
            <w:r w:rsidRPr="00746ACE">
              <w:rPr>
                <w:b/>
                <w:bCs/>
              </w:rPr>
              <w:t>4</w:t>
            </w:r>
          </w:p>
        </w:tc>
        <w:tc>
          <w:tcPr>
            <w:tcW w:w="3237" w:type="dxa"/>
            <w:vAlign w:val="center"/>
          </w:tcPr>
          <w:p w14:paraId="545287AF" w14:textId="77777777" w:rsidR="00EC52FF" w:rsidRPr="00746ACE" w:rsidRDefault="00EC52FF">
            <w:pPr>
              <w:pStyle w:val="Prrafodelista"/>
              <w:ind w:left="0"/>
              <w:jc w:val="center"/>
            </w:pPr>
            <w:r w:rsidRPr="00746ACE">
              <w:t>Observatorio de la Jurisdicción Especial para la Paz (Observajep)</w:t>
            </w:r>
          </w:p>
        </w:tc>
        <w:tc>
          <w:tcPr>
            <w:tcW w:w="5095" w:type="dxa"/>
          </w:tcPr>
          <w:p w14:paraId="7D2C28E6" w14:textId="77777777" w:rsidR="00EC52FF" w:rsidRPr="00746ACE" w:rsidRDefault="00EC52FF">
            <w:pPr>
              <w:pStyle w:val="Prrafodelista"/>
              <w:ind w:left="0"/>
            </w:pPr>
            <w:r w:rsidRPr="00746ACE">
              <w:t>Declarar la inexequibilidad de los párrafos demandados de la Senit 5.</w:t>
            </w:r>
          </w:p>
        </w:tc>
      </w:tr>
      <w:tr w:rsidR="00B92597" w:rsidRPr="00746ACE" w14:paraId="5A1B2C72" w14:textId="77777777">
        <w:tc>
          <w:tcPr>
            <w:tcW w:w="496" w:type="dxa"/>
          </w:tcPr>
          <w:p w14:paraId="418498F1" w14:textId="109CBEB4" w:rsidR="00EC52FF" w:rsidRPr="00746ACE" w:rsidRDefault="000B1250">
            <w:pPr>
              <w:pStyle w:val="Prrafodelista"/>
              <w:ind w:left="0"/>
              <w:jc w:val="center"/>
              <w:rPr>
                <w:b/>
                <w:bCs/>
              </w:rPr>
            </w:pPr>
            <w:r w:rsidRPr="00746ACE">
              <w:rPr>
                <w:b/>
                <w:bCs/>
              </w:rPr>
              <w:t>5</w:t>
            </w:r>
          </w:p>
        </w:tc>
        <w:tc>
          <w:tcPr>
            <w:tcW w:w="3237" w:type="dxa"/>
            <w:vAlign w:val="center"/>
          </w:tcPr>
          <w:p w14:paraId="16EC3FCD" w14:textId="77777777" w:rsidR="00EC52FF" w:rsidRPr="00746ACE" w:rsidRDefault="00EC52FF">
            <w:pPr>
              <w:pStyle w:val="Prrafodelista"/>
              <w:ind w:left="0"/>
              <w:jc w:val="center"/>
            </w:pPr>
            <w:r w:rsidRPr="00746ACE">
              <w:t>Facultad de Derecho de la Universidad del Norte</w:t>
            </w:r>
          </w:p>
        </w:tc>
        <w:tc>
          <w:tcPr>
            <w:tcW w:w="5095" w:type="dxa"/>
          </w:tcPr>
          <w:p w14:paraId="005864AF" w14:textId="77777777" w:rsidR="00EC52FF" w:rsidRPr="00746ACE" w:rsidRDefault="00EC52FF">
            <w:pPr>
              <w:pStyle w:val="Prrafodelista"/>
              <w:ind w:left="0"/>
            </w:pPr>
            <w:r w:rsidRPr="00746ACE">
              <w:t>Declarar la inexequiblidad de los párrafos demandados de la Senit 5.</w:t>
            </w:r>
          </w:p>
        </w:tc>
      </w:tr>
      <w:tr w:rsidR="00B92597" w:rsidRPr="00746ACE" w14:paraId="1DE8B5D9" w14:textId="77777777">
        <w:tc>
          <w:tcPr>
            <w:tcW w:w="496" w:type="dxa"/>
          </w:tcPr>
          <w:p w14:paraId="5F84E4F5" w14:textId="627974AE" w:rsidR="00EC52FF" w:rsidRPr="00746ACE" w:rsidRDefault="000B1250">
            <w:pPr>
              <w:pStyle w:val="Prrafodelista"/>
              <w:ind w:left="0"/>
              <w:jc w:val="center"/>
              <w:rPr>
                <w:b/>
                <w:bCs/>
              </w:rPr>
            </w:pPr>
            <w:r w:rsidRPr="00746ACE">
              <w:rPr>
                <w:b/>
                <w:bCs/>
              </w:rPr>
              <w:t>6</w:t>
            </w:r>
          </w:p>
        </w:tc>
        <w:tc>
          <w:tcPr>
            <w:tcW w:w="3237" w:type="dxa"/>
            <w:vAlign w:val="center"/>
          </w:tcPr>
          <w:p w14:paraId="0850878A" w14:textId="77777777" w:rsidR="00EC52FF" w:rsidRPr="00746ACE" w:rsidRDefault="00EC52FF">
            <w:pPr>
              <w:pStyle w:val="Prrafodelista"/>
              <w:ind w:left="0"/>
              <w:jc w:val="center"/>
            </w:pPr>
            <w:r w:rsidRPr="00746ACE">
              <w:t>Centro Internacional por la Justicia Transicional</w:t>
            </w:r>
          </w:p>
        </w:tc>
        <w:tc>
          <w:tcPr>
            <w:tcW w:w="5095" w:type="dxa"/>
          </w:tcPr>
          <w:p w14:paraId="146C6844" w14:textId="77777777" w:rsidR="00EC52FF" w:rsidRPr="00746ACE" w:rsidRDefault="00EC52FF">
            <w:pPr>
              <w:pStyle w:val="Prrafodelista"/>
              <w:ind w:left="0"/>
            </w:pPr>
            <w:r w:rsidRPr="00746ACE">
              <w:t>Declarar la inexequiblidad de los párrafos demandados de la Senit 5.</w:t>
            </w:r>
          </w:p>
        </w:tc>
      </w:tr>
      <w:tr w:rsidR="00B92597" w:rsidRPr="00746ACE" w14:paraId="6C5BE8DA" w14:textId="77777777">
        <w:tc>
          <w:tcPr>
            <w:tcW w:w="496" w:type="dxa"/>
          </w:tcPr>
          <w:p w14:paraId="039501B4" w14:textId="49385C2F" w:rsidR="00EC52FF" w:rsidRPr="00746ACE" w:rsidRDefault="000B1250">
            <w:pPr>
              <w:pStyle w:val="Prrafodelista"/>
              <w:ind w:left="0"/>
              <w:jc w:val="center"/>
              <w:rPr>
                <w:b/>
                <w:bCs/>
              </w:rPr>
            </w:pPr>
            <w:r w:rsidRPr="00746ACE">
              <w:rPr>
                <w:b/>
                <w:bCs/>
              </w:rPr>
              <w:t>7</w:t>
            </w:r>
          </w:p>
        </w:tc>
        <w:tc>
          <w:tcPr>
            <w:tcW w:w="3237" w:type="dxa"/>
            <w:vAlign w:val="center"/>
          </w:tcPr>
          <w:p w14:paraId="066F0EE4" w14:textId="77777777" w:rsidR="00EC52FF" w:rsidRPr="00746ACE" w:rsidRDefault="00EC52FF">
            <w:pPr>
              <w:pStyle w:val="Prrafodelista"/>
              <w:ind w:left="0"/>
              <w:jc w:val="center"/>
            </w:pPr>
            <w:r w:rsidRPr="00746ACE">
              <w:t>Fiscalía General de la Nación</w:t>
            </w:r>
          </w:p>
        </w:tc>
        <w:tc>
          <w:tcPr>
            <w:tcW w:w="5095" w:type="dxa"/>
          </w:tcPr>
          <w:p w14:paraId="6D9AF2A7" w14:textId="77777777" w:rsidR="00EC52FF" w:rsidRPr="00746ACE" w:rsidRDefault="00EC52FF">
            <w:pPr>
              <w:pStyle w:val="Prrafodelista"/>
              <w:ind w:left="0"/>
            </w:pPr>
            <w:r w:rsidRPr="00746ACE">
              <w:t xml:space="preserve">Declarar la inexequibilidad de los párrafos 126, 128, 137, 140, 143 y 146 a 148 de la Senit 5 y la exequibilidad condicionada de los párrafos 67, 125, 127, 133 y 148 </w:t>
            </w:r>
            <w:r w:rsidRPr="00746ACE">
              <w:rPr>
                <w:i/>
                <w:iCs/>
              </w:rPr>
              <w:t xml:space="preserve">ibidem. </w:t>
            </w:r>
          </w:p>
        </w:tc>
      </w:tr>
      <w:tr w:rsidR="00B92597" w:rsidRPr="00746ACE" w14:paraId="31BA132A" w14:textId="77777777">
        <w:tc>
          <w:tcPr>
            <w:tcW w:w="496" w:type="dxa"/>
          </w:tcPr>
          <w:p w14:paraId="1D00DA86" w14:textId="24901A1C" w:rsidR="00EC52FF" w:rsidRPr="00746ACE" w:rsidRDefault="000B1250">
            <w:pPr>
              <w:pStyle w:val="Prrafodelista"/>
              <w:ind w:left="0"/>
              <w:jc w:val="center"/>
              <w:rPr>
                <w:b/>
                <w:bCs/>
              </w:rPr>
            </w:pPr>
            <w:r w:rsidRPr="00746ACE">
              <w:rPr>
                <w:b/>
                <w:bCs/>
              </w:rPr>
              <w:t>8</w:t>
            </w:r>
          </w:p>
        </w:tc>
        <w:tc>
          <w:tcPr>
            <w:tcW w:w="3237" w:type="dxa"/>
            <w:vAlign w:val="center"/>
          </w:tcPr>
          <w:p w14:paraId="44CC0CBD" w14:textId="77777777" w:rsidR="00EC52FF" w:rsidRPr="00746ACE" w:rsidRDefault="00EC52FF">
            <w:pPr>
              <w:pStyle w:val="Prrafodelista"/>
              <w:ind w:left="0"/>
              <w:jc w:val="center"/>
            </w:pPr>
            <w:r w:rsidRPr="00746ACE">
              <w:t>Observatorio de Derecho Constitucional de la Universidad Libre</w:t>
            </w:r>
          </w:p>
        </w:tc>
        <w:tc>
          <w:tcPr>
            <w:tcW w:w="5095" w:type="dxa"/>
          </w:tcPr>
          <w:p w14:paraId="63118221" w14:textId="77777777" w:rsidR="00EC52FF" w:rsidRPr="00746ACE" w:rsidRDefault="00EC52FF">
            <w:pPr>
              <w:pStyle w:val="Prrafodelista"/>
              <w:ind w:left="0"/>
            </w:pPr>
            <w:r w:rsidRPr="00746ACE">
              <w:t xml:space="preserve">Declarar la exequibilidad de los párrafos demandados de la Senit 5. </w:t>
            </w:r>
          </w:p>
        </w:tc>
      </w:tr>
      <w:tr w:rsidR="00B92597" w:rsidRPr="00746ACE" w14:paraId="31E11C75" w14:textId="77777777">
        <w:tc>
          <w:tcPr>
            <w:tcW w:w="496" w:type="dxa"/>
          </w:tcPr>
          <w:p w14:paraId="4A7E10AB" w14:textId="73F026B1" w:rsidR="00EC52FF" w:rsidRPr="00746ACE" w:rsidRDefault="000B1250">
            <w:pPr>
              <w:pStyle w:val="Prrafodelista"/>
              <w:ind w:left="0"/>
              <w:jc w:val="center"/>
              <w:rPr>
                <w:b/>
                <w:bCs/>
              </w:rPr>
            </w:pPr>
            <w:r w:rsidRPr="00746ACE">
              <w:rPr>
                <w:b/>
                <w:bCs/>
              </w:rPr>
              <w:t>9</w:t>
            </w:r>
          </w:p>
        </w:tc>
        <w:tc>
          <w:tcPr>
            <w:tcW w:w="3237" w:type="dxa"/>
            <w:vAlign w:val="center"/>
          </w:tcPr>
          <w:p w14:paraId="615244DD" w14:textId="77777777" w:rsidR="00EC52FF" w:rsidRPr="00746ACE" w:rsidRDefault="00EC52FF">
            <w:pPr>
              <w:pStyle w:val="Prrafodelista"/>
              <w:ind w:left="0"/>
              <w:jc w:val="center"/>
            </w:pPr>
            <w:r w:rsidRPr="00746ACE">
              <w:t>Sección de Apelación del Tribunal para la Paz</w:t>
            </w:r>
          </w:p>
        </w:tc>
        <w:tc>
          <w:tcPr>
            <w:tcW w:w="5095" w:type="dxa"/>
          </w:tcPr>
          <w:p w14:paraId="2C28BCD6" w14:textId="48725F3A" w:rsidR="00EC52FF" w:rsidRPr="00746ACE" w:rsidRDefault="0003726A">
            <w:pPr>
              <w:pStyle w:val="Prrafodelista"/>
              <w:ind w:left="0"/>
            </w:pPr>
            <w:r w:rsidRPr="00746ACE">
              <w:t>Inhibirse</w:t>
            </w:r>
            <w:r w:rsidR="00EC52FF" w:rsidRPr="00746ACE">
              <w:t xml:space="preserve"> </w:t>
            </w:r>
            <w:r w:rsidRPr="00746ACE">
              <w:t>de</w:t>
            </w:r>
            <w:r w:rsidR="00EC52FF" w:rsidRPr="00746ACE">
              <w:t xml:space="preserve"> emitir un fallo de fondo por inaptitud sustantiva de la demanda </w:t>
            </w:r>
            <w:r w:rsidR="00395144" w:rsidRPr="00746ACE">
              <w:t>o</w:t>
            </w:r>
            <w:r w:rsidR="00EC52FF" w:rsidRPr="00746ACE">
              <w:t xml:space="preserve">, en subsidio, </w:t>
            </w:r>
            <w:r w:rsidR="00395144" w:rsidRPr="00746ACE">
              <w:t xml:space="preserve">declarar </w:t>
            </w:r>
            <w:r w:rsidR="00EC52FF" w:rsidRPr="00746ACE">
              <w:t>la exequibilidad de los párrafos demandados de la Senit 5</w:t>
            </w:r>
          </w:p>
        </w:tc>
      </w:tr>
      <w:tr w:rsidR="00B92597" w:rsidRPr="00746ACE" w14:paraId="4C3F16C4" w14:textId="77777777">
        <w:tc>
          <w:tcPr>
            <w:tcW w:w="496" w:type="dxa"/>
          </w:tcPr>
          <w:p w14:paraId="240D8F9E" w14:textId="1FC18C51" w:rsidR="00EC52FF" w:rsidRPr="00746ACE" w:rsidRDefault="000B1250">
            <w:pPr>
              <w:pStyle w:val="Prrafodelista"/>
              <w:ind w:left="0"/>
              <w:jc w:val="center"/>
              <w:rPr>
                <w:b/>
                <w:bCs/>
              </w:rPr>
            </w:pPr>
            <w:r w:rsidRPr="00746ACE">
              <w:rPr>
                <w:b/>
                <w:bCs/>
              </w:rPr>
              <w:t>10</w:t>
            </w:r>
          </w:p>
        </w:tc>
        <w:tc>
          <w:tcPr>
            <w:tcW w:w="3237" w:type="dxa"/>
            <w:vAlign w:val="center"/>
          </w:tcPr>
          <w:p w14:paraId="374B7571" w14:textId="77777777" w:rsidR="00EC52FF" w:rsidRPr="00746ACE" w:rsidRDefault="00EC52FF">
            <w:pPr>
              <w:pStyle w:val="Prrafodelista"/>
              <w:ind w:left="0"/>
              <w:jc w:val="center"/>
            </w:pPr>
            <w:r w:rsidRPr="00746ACE">
              <w:t>Sala de Definición de Situaciones Jurídicas</w:t>
            </w:r>
          </w:p>
        </w:tc>
        <w:tc>
          <w:tcPr>
            <w:tcW w:w="5095" w:type="dxa"/>
          </w:tcPr>
          <w:p w14:paraId="64E5501B" w14:textId="77777777" w:rsidR="00EC52FF" w:rsidRPr="00746ACE" w:rsidRDefault="00EC52FF">
            <w:pPr>
              <w:pStyle w:val="Prrafodelista"/>
              <w:ind w:left="0"/>
            </w:pPr>
            <w:r w:rsidRPr="00746ACE">
              <w:t xml:space="preserve">Sin peticiones. </w:t>
            </w:r>
          </w:p>
        </w:tc>
      </w:tr>
      <w:tr w:rsidR="00B92597" w:rsidRPr="00746ACE" w14:paraId="3E047E51" w14:textId="77777777">
        <w:tc>
          <w:tcPr>
            <w:tcW w:w="496" w:type="dxa"/>
          </w:tcPr>
          <w:p w14:paraId="2B5939D1" w14:textId="218260A2" w:rsidR="00EC52FF" w:rsidRPr="00746ACE" w:rsidRDefault="000B1250">
            <w:pPr>
              <w:pStyle w:val="Prrafodelista"/>
              <w:ind w:left="0"/>
              <w:jc w:val="center"/>
              <w:rPr>
                <w:b/>
                <w:bCs/>
              </w:rPr>
            </w:pPr>
            <w:r w:rsidRPr="00746ACE">
              <w:rPr>
                <w:b/>
                <w:bCs/>
              </w:rPr>
              <w:t>11</w:t>
            </w:r>
          </w:p>
        </w:tc>
        <w:tc>
          <w:tcPr>
            <w:tcW w:w="3237" w:type="dxa"/>
            <w:vAlign w:val="center"/>
          </w:tcPr>
          <w:p w14:paraId="190BCDE3" w14:textId="77777777" w:rsidR="00EC52FF" w:rsidRPr="00746ACE" w:rsidRDefault="00EC52FF">
            <w:pPr>
              <w:pStyle w:val="Prrafodelista"/>
              <w:ind w:left="0"/>
              <w:jc w:val="center"/>
            </w:pPr>
            <w:r w:rsidRPr="00746ACE">
              <w:t>Ministerio de Justicia y del Derecho</w:t>
            </w:r>
          </w:p>
        </w:tc>
        <w:tc>
          <w:tcPr>
            <w:tcW w:w="5095" w:type="dxa"/>
          </w:tcPr>
          <w:p w14:paraId="74E63176" w14:textId="77777777" w:rsidR="00EC52FF" w:rsidRPr="00746ACE" w:rsidRDefault="00EC52FF">
            <w:pPr>
              <w:pStyle w:val="Prrafodelista"/>
              <w:ind w:left="0"/>
            </w:pPr>
            <w:r w:rsidRPr="00746ACE">
              <w:t>Proferir la decisión que en derecho corresponda.</w:t>
            </w:r>
          </w:p>
        </w:tc>
      </w:tr>
      <w:tr w:rsidR="00B92597" w:rsidRPr="00746ACE" w14:paraId="154E64AB" w14:textId="77777777">
        <w:tc>
          <w:tcPr>
            <w:tcW w:w="496" w:type="dxa"/>
          </w:tcPr>
          <w:p w14:paraId="4D6ECC68" w14:textId="1EF4D08E" w:rsidR="00EC52FF" w:rsidRPr="00746ACE" w:rsidRDefault="000B1250">
            <w:pPr>
              <w:pStyle w:val="Prrafodelista"/>
              <w:ind w:left="0"/>
              <w:jc w:val="center"/>
              <w:rPr>
                <w:b/>
                <w:bCs/>
              </w:rPr>
            </w:pPr>
            <w:r w:rsidRPr="00746ACE">
              <w:rPr>
                <w:b/>
                <w:bCs/>
              </w:rPr>
              <w:t>12</w:t>
            </w:r>
          </w:p>
        </w:tc>
        <w:tc>
          <w:tcPr>
            <w:tcW w:w="3237" w:type="dxa"/>
            <w:vAlign w:val="center"/>
          </w:tcPr>
          <w:p w14:paraId="2EA48999" w14:textId="77777777" w:rsidR="00EC52FF" w:rsidRPr="00746ACE" w:rsidRDefault="00EC52FF">
            <w:pPr>
              <w:pStyle w:val="Prrafodelista"/>
              <w:ind w:left="0"/>
              <w:jc w:val="center"/>
            </w:pPr>
            <w:r w:rsidRPr="00746ACE">
              <w:t>Instituto para las Transiciones Integrales</w:t>
            </w:r>
          </w:p>
        </w:tc>
        <w:tc>
          <w:tcPr>
            <w:tcW w:w="5095" w:type="dxa"/>
          </w:tcPr>
          <w:p w14:paraId="793F87EC" w14:textId="77777777" w:rsidR="00EC52FF" w:rsidRPr="00746ACE" w:rsidRDefault="00EC52FF">
            <w:pPr>
              <w:pStyle w:val="Prrafodelista"/>
              <w:ind w:left="0"/>
            </w:pPr>
            <w:r w:rsidRPr="00746ACE">
              <w:t>Proferir la decisión que en derecho corresponda.</w:t>
            </w:r>
          </w:p>
        </w:tc>
      </w:tr>
      <w:tr w:rsidR="000B1250" w:rsidRPr="00746ACE" w14:paraId="3FC7AAA0" w14:textId="77777777">
        <w:tc>
          <w:tcPr>
            <w:tcW w:w="496" w:type="dxa"/>
          </w:tcPr>
          <w:p w14:paraId="1EE97B4C" w14:textId="7BEEC9FF" w:rsidR="000B1250" w:rsidRPr="00746ACE" w:rsidRDefault="000B1250" w:rsidP="000B1250">
            <w:pPr>
              <w:pStyle w:val="Prrafodelista"/>
              <w:ind w:left="0"/>
              <w:jc w:val="center"/>
              <w:rPr>
                <w:b/>
                <w:bCs/>
              </w:rPr>
            </w:pPr>
            <w:r w:rsidRPr="00746ACE">
              <w:rPr>
                <w:b/>
                <w:bCs/>
              </w:rPr>
              <w:t>13</w:t>
            </w:r>
          </w:p>
        </w:tc>
        <w:tc>
          <w:tcPr>
            <w:tcW w:w="3237" w:type="dxa"/>
            <w:vAlign w:val="center"/>
          </w:tcPr>
          <w:p w14:paraId="7E2BE6C0" w14:textId="516A9098" w:rsidR="000B1250" w:rsidRPr="00746ACE" w:rsidRDefault="000B1250" w:rsidP="000B1250">
            <w:pPr>
              <w:pStyle w:val="Prrafodelista"/>
              <w:ind w:left="0"/>
              <w:jc w:val="center"/>
            </w:pPr>
            <w:r w:rsidRPr="00746ACE">
              <w:t>Human Rights Watch</w:t>
            </w:r>
          </w:p>
        </w:tc>
        <w:tc>
          <w:tcPr>
            <w:tcW w:w="5095" w:type="dxa"/>
          </w:tcPr>
          <w:p w14:paraId="75405346" w14:textId="0039EE11" w:rsidR="000B1250" w:rsidRPr="00746ACE" w:rsidRDefault="000B1250" w:rsidP="000B1250">
            <w:pPr>
              <w:pStyle w:val="Prrafodelista"/>
              <w:ind w:left="0"/>
            </w:pPr>
            <w:r w:rsidRPr="00746ACE">
              <w:t>Proferir la decisión que en derecho corresponda.</w:t>
            </w:r>
          </w:p>
        </w:tc>
      </w:tr>
    </w:tbl>
    <w:p w14:paraId="7C09037B" w14:textId="77777777" w:rsidR="003E3BE1" w:rsidRPr="00746ACE" w:rsidRDefault="003E3BE1" w:rsidP="00FC0DFB">
      <w:pPr>
        <w:widowControl w:val="0"/>
      </w:pPr>
    </w:p>
    <w:p w14:paraId="0C0F606C" w14:textId="0D3140D8" w:rsidR="003E3BE1" w:rsidRPr="00746ACE" w:rsidRDefault="003E3BE1" w:rsidP="00FC0DFB">
      <w:pPr>
        <w:pStyle w:val="Ttulo2"/>
        <w:keepNext w:val="0"/>
        <w:keepLines w:val="0"/>
        <w:widowControl w:val="0"/>
        <w:rPr>
          <w:rFonts w:cs="Times New Roman"/>
          <w:szCs w:val="28"/>
        </w:rPr>
      </w:pPr>
      <w:bookmarkStart w:id="7" w:name="_Toc233384162"/>
      <w:r w:rsidRPr="00746ACE">
        <w:rPr>
          <w:rFonts w:cs="Times New Roman"/>
          <w:szCs w:val="28"/>
        </w:rPr>
        <w:t xml:space="preserve">Concepto del </w:t>
      </w:r>
      <w:r w:rsidR="00961482" w:rsidRPr="00746ACE">
        <w:rPr>
          <w:rFonts w:cs="Times New Roman"/>
          <w:szCs w:val="28"/>
        </w:rPr>
        <w:t>Ministerio Público</w:t>
      </w:r>
      <w:r w:rsidR="00962619" w:rsidRPr="00746ACE">
        <w:rPr>
          <w:rStyle w:val="Refdenotaalpie"/>
          <w:rFonts w:cs="Times New Roman"/>
          <w:szCs w:val="28"/>
        </w:rPr>
        <w:footnoteReference w:id="2"/>
      </w:r>
      <w:bookmarkEnd w:id="7"/>
    </w:p>
    <w:p w14:paraId="103EE1F8" w14:textId="77777777" w:rsidR="003E3BE1" w:rsidRPr="00746ACE" w:rsidRDefault="003E3BE1" w:rsidP="00FC0DFB">
      <w:pPr>
        <w:widowControl w:val="0"/>
      </w:pPr>
    </w:p>
    <w:p w14:paraId="430221D4" w14:textId="475F4B09" w:rsidR="008118E1" w:rsidRPr="00746ACE" w:rsidRDefault="00D71F2D" w:rsidP="009940E7">
      <w:pPr>
        <w:pStyle w:val="Prrafodelista"/>
        <w:numPr>
          <w:ilvl w:val="0"/>
          <w:numId w:val="7"/>
        </w:numPr>
      </w:pPr>
      <w:r w:rsidRPr="00746ACE">
        <w:t>En ejercicio de</w:t>
      </w:r>
      <w:r w:rsidR="003D4A82" w:rsidRPr="00746ACE">
        <w:t xml:space="preserve"> la función prevista en el</w:t>
      </w:r>
      <w:r w:rsidR="006B5CC4" w:rsidRPr="00746ACE">
        <w:t xml:space="preserve"> artículo 278.5 de la Constitución Política, </w:t>
      </w:r>
      <w:r w:rsidR="007E780D" w:rsidRPr="00746ACE">
        <w:t>la</w:t>
      </w:r>
      <w:r w:rsidR="006B5CC4" w:rsidRPr="00746ACE">
        <w:t xml:space="preserve"> </w:t>
      </w:r>
      <w:r w:rsidR="007E780D" w:rsidRPr="00746ACE">
        <w:rPr>
          <w:b/>
        </w:rPr>
        <w:t>Procuraduría</w:t>
      </w:r>
      <w:r w:rsidR="003E3BE1" w:rsidRPr="00746ACE">
        <w:rPr>
          <w:b/>
        </w:rPr>
        <w:t xml:space="preserve"> General de la Nación</w:t>
      </w:r>
      <w:r w:rsidR="003E25CD" w:rsidRPr="00746ACE">
        <w:t xml:space="preserve"> solicitó declarar la inexequibilidad de </w:t>
      </w:r>
      <w:r w:rsidR="005E7282" w:rsidRPr="00746ACE">
        <w:t>la</w:t>
      </w:r>
      <w:r w:rsidR="008B6E3A" w:rsidRPr="00746ACE">
        <w:t>s</w:t>
      </w:r>
      <w:r w:rsidR="005E7282" w:rsidRPr="00746ACE">
        <w:t xml:space="preserve"> </w:t>
      </w:r>
      <w:r w:rsidR="00961482" w:rsidRPr="00746ACE">
        <w:t>“</w:t>
      </w:r>
      <w:r w:rsidR="005E7282" w:rsidRPr="00746ACE">
        <w:t>regla</w:t>
      </w:r>
      <w:r w:rsidR="008B6E3A" w:rsidRPr="00746ACE">
        <w:t>s</w:t>
      </w:r>
      <w:r w:rsidR="005E7282" w:rsidRPr="00746ACE">
        <w:t xml:space="preserve"> de interpretación</w:t>
      </w:r>
      <w:r w:rsidR="00961482" w:rsidRPr="00746ACE">
        <w:t>”</w:t>
      </w:r>
      <w:r w:rsidR="005E7282" w:rsidRPr="00746ACE">
        <w:t xml:space="preserve"> </w:t>
      </w:r>
      <w:r w:rsidR="00373970" w:rsidRPr="00746ACE">
        <w:t>que se derivan de</w:t>
      </w:r>
      <w:r w:rsidR="00961482" w:rsidRPr="00746ACE">
        <w:t xml:space="preserve"> la Senit </w:t>
      </w:r>
      <w:r w:rsidR="00614C76" w:rsidRPr="00746ACE">
        <w:t>5</w:t>
      </w:r>
      <w:r w:rsidR="00926889" w:rsidRPr="00746ACE">
        <w:rPr>
          <w:rStyle w:val="Refdenotaalpie"/>
        </w:rPr>
        <w:footnoteReference w:id="3"/>
      </w:r>
      <w:r w:rsidR="00691229" w:rsidRPr="00746ACE">
        <w:t xml:space="preserve">. </w:t>
      </w:r>
    </w:p>
    <w:p w14:paraId="74E9431D" w14:textId="77777777" w:rsidR="00691229" w:rsidRPr="00746ACE" w:rsidRDefault="00691229" w:rsidP="00691229">
      <w:pPr>
        <w:pStyle w:val="Prrafodelista"/>
        <w:widowControl w:val="0"/>
        <w:tabs>
          <w:tab w:val="left" w:pos="426"/>
        </w:tabs>
        <w:ind w:left="0" w:right="-40"/>
      </w:pPr>
    </w:p>
    <w:p w14:paraId="395074D0" w14:textId="179F694F" w:rsidR="00691229" w:rsidRPr="00746ACE" w:rsidRDefault="003A7212" w:rsidP="006B5CC4">
      <w:pPr>
        <w:pStyle w:val="Prrafodelista"/>
        <w:widowControl w:val="0"/>
        <w:numPr>
          <w:ilvl w:val="0"/>
          <w:numId w:val="7"/>
        </w:numPr>
        <w:tabs>
          <w:tab w:val="left" w:pos="426"/>
        </w:tabs>
        <w:ind w:right="-40" w:hanging="11"/>
      </w:pPr>
      <w:r w:rsidRPr="00746ACE">
        <w:t xml:space="preserve">Luego de </w:t>
      </w:r>
      <w:r w:rsidR="007E780D" w:rsidRPr="00746ACE">
        <w:t xml:space="preserve">presentar una síntesis de los cargos formulados por los demandantes, el procurador </w:t>
      </w:r>
      <w:r w:rsidR="00452882" w:rsidRPr="00746ACE">
        <w:t xml:space="preserve">señaló los motivos por los cuales </w:t>
      </w:r>
      <w:r w:rsidR="000A33E1" w:rsidRPr="00746ACE">
        <w:t>estima</w:t>
      </w:r>
      <w:r w:rsidR="00452882" w:rsidRPr="00746ACE">
        <w:t xml:space="preserve"> que la Corte Constitucional es competente para </w:t>
      </w:r>
      <w:r w:rsidR="00366510" w:rsidRPr="00746ACE">
        <w:t xml:space="preserve">fallar sobre la constitucionalidad de la Senit 5. </w:t>
      </w:r>
      <w:r w:rsidR="00C54EFB" w:rsidRPr="00746ACE">
        <w:t xml:space="preserve">Al respecto, para el Ministerio Público, </w:t>
      </w:r>
      <w:r w:rsidR="009F3CDC" w:rsidRPr="00746ACE">
        <w:t xml:space="preserve">la acción pública de inconstitucionalidad </w:t>
      </w:r>
      <w:r w:rsidR="00150264" w:rsidRPr="00746ACE">
        <w:t>s</w:t>
      </w:r>
      <w:r w:rsidR="009F3CDC" w:rsidRPr="00746ACE">
        <w:t xml:space="preserve">e dirige a cuestionar </w:t>
      </w:r>
      <w:r w:rsidR="00597D75" w:rsidRPr="00746ACE">
        <w:t xml:space="preserve">una interpretación </w:t>
      </w:r>
      <w:r w:rsidR="005A4077" w:rsidRPr="00746ACE">
        <w:t xml:space="preserve">judicial, reiterada y consistente de la Sección de Apelación acerca de la “selección de segundo orden”, lo que habilita </w:t>
      </w:r>
      <w:r w:rsidR="00624C10" w:rsidRPr="00746ACE">
        <w:t xml:space="preserve">el control por medio de la doctrina del derecho viviente. </w:t>
      </w:r>
    </w:p>
    <w:p w14:paraId="3B718684" w14:textId="77777777" w:rsidR="008D05C0" w:rsidRPr="00746ACE" w:rsidRDefault="008D05C0" w:rsidP="008D05C0">
      <w:pPr>
        <w:pStyle w:val="Prrafodelista"/>
      </w:pPr>
    </w:p>
    <w:p w14:paraId="38434A7C" w14:textId="727193BE" w:rsidR="00410409" w:rsidRPr="00746ACE" w:rsidRDefault="000A33E1" w:rsidP="00424F82">
      <w:pPr>
        <w:pStyle w:val="Prrafodelista"/>
        <w:widowControl w:val="0"/>
        <w:numPr>
          <w:ilvl w:val="0"/>
          <w:numId w:val="7"/>
        </w:numPr>
        <w:tabs>
          <w:tab w:val="left" w:pos="426"/>
        </w:tabs>
        <w:ind w:right="-40" w:hanging="11"/>
      </w:pPr>
      <w:r w:rsidRPr="00746ACE">
        <w:t xml:space="preserve">Seguidamente, </w:t>
      </w:r>
      <w:r w:rsidR="003A5475" w:rsidRPr="00746ACE">
        <w:t xml:space="preserve">el procurador expuso </w:t>
      </w:r>
      <w:r w:rsidR="00B52493" w:rsidRPr="00746ACE">
        <w:t xml:space="preserve">su aproximación al </w:t>
      </w:r>
      <w:r w:rsidR="00E81DD4" w:rsidRPr="00746ACE">
        <w:t xml:space="preserve">principio de selección en el </w:t>
      </w:r>
      <w:r w:rsidR="00B52493" w:rsidRPr="00746ACE">
        <w:t xml:space="preserve">modelo de justicia transicional, </w:t>
      </w:r>
      <w:r w:rsidR="003B5016" w:rsidRPr="00746ACE">
        <w:t xml:space="preserve">las finalidades del régimen de condicionalidad y </w:t>
      </w:r>
      <w:r w:rsidR="00FA6A91" w:rsidRPr="00746ACE">
        <w:t xml:space="preserve">los principios constitucionales de legalidad, debido proceso e igualdad en la Jurisdicción Especial para la Paz. </w:t>
      </w:r>
      <w:r w:rsidR="003B0242" w:rsidRPr="00746ACE">
        <w:t xml:space="preserve">Además, mencionó que la Sección de Apelación </w:t>
      </w:r>
      <w:r w:rsidR="00163A7C" w:rsidRPr="00746ACE">
        <w:t xml:space="preserve">es competente para </w:t>
      </w:r>
      <w:r w:rsidR="00130A31" w:rsidRPr="00746ACE">
        <w:t xml:space="preserve">proferir sentencias interpretativas que precisen </w:t>
      </w:r>
      <w:r w:rsidR="00B065F9" w:rsidRPr="00746ACE">
        <w:t>el sentido de las normas</w:t>
      </w:r>
      <w:r w:rsidR="00912063" w:rsidRPr="00746ACE">
        <w:t xml:space="preserve"> en el </w:t>
      </w:r>
      <w:r w:rsidR="00424F82" w:rsidRPr="00746ACE">
        <w:t>marco de la justicia transicional</w:t>
      </w:r>
      <w:r w:rsidR="00130A31" w:rsidRPr="00746ACE">
        <w:t xml:space="preserve">, </w:t>
      </w:r>
      <w:r w:rsidR="00424F82" w:rsidRPr="00746ACE">
        <w:t xml:space="preserve">que </w:t>
      </w:r>
      <w:r w:rsidR="005321E5" w:rsidRPr="00746ACE">
        <w:t xml:space="preserve">definan criterios de integración normativa </w:t>
      </w:r>
      <w:r w:rsidR="00C2018B" w:rsidRPr="00746ACE">
        <w:t>o</w:t>
      </w:r>
      <w:r w:rsidR="005321E5" w:rsidRPr="00746ACE">
        <w:t xml:space="preserve"> </w:t>
      </w:r>
      <w:r w:rsidR="00424F82" w:rsidRPr="00746ACE">
        <w:t xml:space="preserve">que </w:t>
      </w:r>
      <w:r w:rsidR="005321E5" w:rsidRPr="00746ACE">
        <w:t>unifiquen la jurisprudencia</w:t>
      </w:r>
      <w:r w:rsidR="00410409" w:rsidRPr="00746ACE">
        <w:t xml:space="preserve">, </w:t>
      </w:r>
      <w:r w:rsidR="0077461A" w:rsidRPr="00746ACE">
        <w:t xml:space="preserve">pero </w:t>
      </w:r>
      <w:r w:rsidR="6D8D658B" w:rsidRPr="00746ACE">
        <w:t xml:space="preserve">estas </w:t>
      </w:r>
      <w:r w:rsidR="00F8145A" w:rsidRPr="00746ACE">
        <w:t xml:space="preserve">también </w:t>
      </w:r>
      <w:r w:rsidR="0077461A" w:rsidRPr="00746ACE">
        <w:t>debe</w:t>
      </w:r>
      <w:r w:rsidR="1CFCDA77" w:rsidRPr="00746ACE">
        <w:t>n</w:t>
      </w:r>
      <w:r w:rsidR="0077461A" w:rsidRPr="00746ACE">
        <w:t xml:space="preserve"> sujetarse a los límites de la legalidad</w:t>
      </w:r>
      <w:r w:rsidR="004D4077" w:rsidRPr="00746ACE">
        <w:t>,</w:t>
      </w:r>
      <w:r w:rsidR="0077461A" w:rsidRPr="00746ACE">
        <w:t xml:space="preserve"> el debido proceso</w:t>
      </w:r>
      <w:r w:rsidR="004D4077" w:rsidRPr="00746ACE">
        <w:t xml:space="preserve"> y el precedente constitucional. </w:t>
      </w:r>
    </w:p>
    <w:p w14:paraId="21576706" w14:textId="77777777" w:rsidR="00453DCE" w:rsidRPr="00746ACE" w:rsidRDefault="00453DCE" w:rsidP="0077461A"/>
    <w:p w14:paraId="443AE2DA" w14:textId="41D34161" w:rsidR="00FF2A66" w:rsidRPr="00746ACE" w:rsidRDefault="00492CBE" w:rsidP="00373970">
      <w:pPr>
        <w:pStyle w:val="Prrafodelista"/>
        <w:widowControl w:val="0"/>
        <w:numPr>
          <w:ilvl w:val="0"/>
          <w:numId w:val="7"/>
        </w:numPr>
        <w:tabs>
          <w:tab w:val="left" w:pos="426"/>
        </w:tabs>
        <w:ind w:right="-40" w:hanging="11"/>
      </w:pPr>
      <w:r w:rsidRPr="00746ACE">
        <w:t xml:space="preserve">La Procuraduría </w:t>
      </w:r>
      <w:r w:rsidR="009A3182" w:rsidRPr="00746ACE">
        <w:t xml:space="preserve">aclaró que </w:t>
      </w:r>
      <w:r w:rsidR="008625D7" w:rsidRPr="00746ACE">
        <w:t xml:space="preserve">abordó en conjunto </w:t>
      </w:r>
      <w:r w:rsidR="00B918F0" w:rsidRPr="00746ACE">
        <w:t>todos los</w:t>
      </w:r>
      <w:r w:rsidR="008625D7" w:rsidRPr="00746ACE">
        <w:t xml:space="preserve"> cargos</w:t>
      </w:r>
      <w:r w:rsidR="00FF2A66" w:rsidRPr="00746ACE">
        <w:t>. Bajo ese esquema, la autoridad determinó que la</w:t>
      </w:r>
      <w:r w:rsidR="00E32912" w:rsidRPr="00746ACE">
        <w:t xml:space="preserve">s “reglas de interpretación” </w:t>
      </w:r>
      <w:r w:rsidR="00373970" w:rsidRPr="00746ACE">
        <w:t xml:space="preserve">contenidas en la Senit 5 desconocen </w:t>
      </w:r>
      <w:r w:rsidR="00FF2A66" w:rsidRPr="00746ACE">
        <w:t>los artículos 6, 29, 121, 123.2</w:t>
      </w:r>
      <w:r w:rsidR="00D03BA0" w:rsidRPr="00746ACE">
        <w:t xml:space="preserve"> y 66 transitorio de la Constitución Política; así como los artículos </w:t>
      </w:r>
      <w:r w:rsidR="00FF2A66" w:rsidRPr="00746ACE">
        <w:t>1</w:t>
      </w:r>
      <w:r w:rsidR="00D03BA0" w:rsidRPr="00746ACE">
        <w:t xml:space="preserve"> y 3 del Acto Legislativo 01 de 2017</w:t>
      </w:r>
      <w:r w:rsidR="00FF2A66" w:rsidRPr="00746ACE">
        <w:t>, al haberle conferido una facultad de “selección de segundo orden” a la Sala de Definición de Situaciones Jurídicas</w:t>
      </w:r>
      <w:r w:rsidR="00A2474A" w:rsidRPr="00746ACE">
        <w:t xml:space="preserve"> </w:t>
      </w:r>
      <w:r w:rsidR="00CB1082" w:rsidRPr="00746ACE">
        <w:t xml:space="preserve">para </w:t>
      </w:r>
      <w:r w:rsidR="008B5762" w:rsidRPr="00746ACE">
        <w:t xml:space="preserve">impulsar </w:t>
      </w:r>
      <w:r w:rsidR="007B23C7" w:rsidRPr="00746ACE">
        <w:t>juicios adversariales</w:t>
      </w:r>
      <w:r w:rsidR="008B5762" w:rsidRPr="00746ACE">
        <w:t xml:space="preserve"> contra </w:t>
      </w:r>
      <w:r w:rsidR="00433E0B" w:rsidRPr="00746ACE">
        <w:t xml:space="preserve">partícipes no determinantes, </w:t>
      </w:r>
      <w:r w:rsidR="00FF2A66" w:rsidRPr="00746ACE">
        <w:t>en detrimento de los principios de legalidad, debido proceso e igualdad</w:t>
      </w:r>
      <w:r w:rsidR="004374BF" w:rsidRPr="00746ACE">
        <w:t xml:space="preserve">. </w:t>
      </w:r>
      <w:r w:rsidR="001E0148" w:rsidRPr="00746ACE">
        <w:t xml:space="preserve"> </w:t>
      </w:r>
    </w:p>
    <w:p w14:paraId="07B058D4" w14:textId="77777777" w:rsidR="008D0DBB" w:rsidRPr="00746ACE" w:rsidRDefault="008D0DBB" w:rsidP="00C07C4A">
      <w:pPr>
        <w:widowControl w:val="0"/>
      </w:pPr>
    </w:p>
    <w:p w14:paraId="010E0FA6" w14:textId="08B2DF66" w:rsidR="008D0DBB" w:rsidRPr="00746ACE" w:rsidRDefault="008D0DBB" w:rsidP="00FC0DFB">
      <w:pPr>
        <w:pStyle w:val="Ttulo2"/>
        <w:keepNext w:val="0"/>
        <w:keepLines w:val="0"/>
        <w:widowControl w:val="0"/>
        <w:rPr>
          <w:rFonts w:cs="Times New Roman"/>
          <w:szCs w:val="28"/>
        </w:rPr>
      </w:pPr>
      <w:bookmarkStart w:id="8" w:name="_Toc233384163"/>
      <w:r w:rsidRPr="00746ACE">
        <w:rPr>
          <w:rFonts w:cs="Times New Roman"/>
          <w:szCs w:val="28"/>
        </w:rPr>
        <w:t xml:space="preserve">Audiencia </w:t>
      </w:r>
      <w:r w:rsidR="003D3030" w:rsidRPr="00746ACE">
        <w:rPr>
          <w:rFonts w:cs="Times New Roman"/>
          <w:szCs w:val="28"/>
        </w:rPr>
        <w:t>p</w:t>
      </w:r>
      <w:r w:rsidRPr="00746ACE">
        <w:rPr>
          <w:rFonts w:cs="Times New Roman"/>
          <w:szCs w:val="28"/>
        </w:rPr>
        <w:t>ública</w:t>
      </w:r>
      <w:bookmarkEnd w:id="8"/>
    </w:p>
    <w:p w14:paraId="6EE9178E" w14:textId="77777777" w:rsidR="008D0DBB" w:rsidRPr="00746ACE" w:rsidRDefault="008D0DBB" w:rsidP="00FC0DFB">
      <w:pPr>
        <w:widowControl w:val="0"/>
      </w:pPr>
    </w:p>
    <w:p w14:paraId="76AE68DE" w14:textId="5A85BD16" w:rsidR="00A02503" w:rsidRPr="00746ACE" w:rsidRDefault="00FA1664" w:rsidP="00FC0DFB">
      <w:pPr>
        <w:pStyle w:val="Prrafodelista"/>
        <w:widowControl w:val="0"/>
        <w:numPr>
          <w:ilvl w:val="0"/>
          <w:numId w:val="7"/>
        </w:numPr>
        <w:tabs>
          <w:tab w:val="left" w:pos="426"/>
        </w:tabs>
        <w:ind w:right="-40" w:hanging="11"/>
      </w:pPr>
      <w:r w:rsidRPr="00746ACE">
        <w:t>El 24 de octubre de 2025, la Corte Constitucional celebró una audiencia pública</w:t>
      </w:r>
      <w:r w:rsidR="00996401" w:rsidRPr="00746ACE">
        <w:t xml:space="preserve"> para dialogar </w:t>
      </w:r>
      <w:r w:rsidR="004735EE" w:rsidRPr="00746ACE">
        <w:t>acerca de</w:t>
      </w:r>
      <w:r w:rsidR="00996401" w:rsidRPr="00746ACE">
        <w:t xml:space="preserve"> la constitucionalidad de la Senit 5</w:t>
      </w:r>
      <w:r w:rsidR="00C12A17" w:rsidRPr="00746ACE">
        <w:t xml:space="preserve"> y recaudar insumos de reflexión </w:t>
      </w:r>
      <w:r w:rsidR="004735EE" w:rsidRPr="00746ACE">
        <w:t>sobre</w:t>
      </w:r>
      <w:r w:rsidR="000A3B4B" w:rsidRPr="00746ACE">
        <w:t xml:space="preserve"> </w:t>
      </w:r>
      <w:r w:rsidR="00D03BA0" w:rsidRPr="00746ACE">
        <w:t xml:space="preserve">el principio constitucional </w:t>
      </w:r>
      <w:r w:rsidR="00130D46" w:rsidRPr="00746ACE">
        <w:t xml:space="preserve">y transicional </w:t>
      </w:r>
      <w:r w:rsidR="00D03BA0" w:rsidRPr="00746ACE">
        <w:t xml:space="preserve">de selección en la justicia transicional, </w:t>
      </w:r>
      <w:r w:rsidR="000A3B4B" w:rsidRPr="00746ACE">
        <w:t xml:space="preserve">la </w:t>
      </w:r>
      <w:r w:rsidR="00D03BA0" w:rsidRPr="00746ACE">
        <w:t>“</w:t>
      </w:r>
      <w:r w:rsidR="000A3B4B" w:rsidRPr="00746ACE">
        <w:t>selección de segundo orden</w:t>
      </w:r>
      <w:r w:rsidR="00D03BA0" w:rsidRPr="00746ACE">
        <w:t>”, la “responsabilidad del punto medio”</w:t>
      </w:r>
      <w:r w:rsidR="006F4B35" w:rsidRPr="00746ACE">
        <w:t xml:space="preserve">, </w:t>
      </w:r>
      <w:r w:rsidR="00F40E30" w:rsidRPr="00746ACE">
        <w:t xml:space="preserve">la garantía a </w:t>
      </w:r>
      <w:r w:rsidR="006F4B35" w:rsidRPr="00746ACE">
        <w:t>los derechos de las víctimas</w:t>
      </w:r>
      <w:r w:rsidR="00DC0002" w:rsidRPr="00746ACE">
        <w:t xml:space="preserve"> del conflicto armado y</w:t>
      </w:r>
      <w:r w:rsidR="006F4B35" w:rsidRPr="00746ACE">
        <w:t xml:space="preserve"> </w:t>
      </w:r>
      <w:r w:rsidR="00D03BA0" w:rsidRPr="00746ACE">
        <w:t>el deber de investigar, juzgar y sancionar los crímenes más graves</w:t>
      </w:r>
      <w:r w:rsidR="00996401" w:rsidRPr="00746ACE">
        <w:rPr>
          <w:rStyle w:val="Refdenotaalpie"/>
        </w:rPr>
        <w:footnoteReference w:id="4"/>
      </w:r>
      <w:r w:rsidR="00996401" w:rsidRPr="00746ACE">
        <w:t xml:space="preserve">. </w:t>
      </w:r>
      <w:r w:rsidR="00343A2E" w:rsidRPr="00746ACE">
        <w:t xml:space="preserve">En este escenario intervinieron </w:t>
      </w:r>
      <w:r w:rsidR="00F44A73" w:rsidRPr="00746ACE">
        <w:t xml:space="preserve">los demandantes, </w:t>
      </w:r>
      <w:r w:rsidR="00A02503" w:rsidRPr="00746ACE">
        <w:t xml:space="preserve">expertas y expertos académicos, </w:t>
      </w:r>
      <w:r w:rsidR="008E098F" w:rsidRPr="00746ACE">
        <w:t xml:space="preserve">representantes de </w:t>
      </w:r>
      <w:r w:rsidR="00A02503" w:rsidRPr="00746ACE">
        <w:t xml:space="preserve">autoridades públicas y funcionarios de la Jurisdicción Especial para la Paz. </w:t>
      </w:r>
    </w:p>
    <w:p w14:paraId="028C8BFF" w14:textId="77777777" w:rsidR="007F1EA5" w:rsidRPr="00746ACE" w:rsidRDefault="007F1EA5" w:rsidP="007F1EA5">
      <w:pPr>
        <w:rPr>
          <w:i/>
          <w:iCs/>
          <w:lang w:val="es-CO" w:eastAsia="es-ES_tradnl"/>
        </w:rPr>
      </w:pPr>
    </w:p>
    <w:p w14:paraId="2049DAFB" w14:textId="4155DFAA" w:rsidR="006C131E" w:rsidRPr="00746ACE" w:rsidRDefault="00092A12" w:rsidP="004230A4">
      <w:pPr>
        <w:pStyle w:val="Prrafodelista"/>
        <w:widowControl w:val="0"/>
        <w:numPr>
          <w:ilvl w:val="0"/>
          <w:numId w:val="7"/>
        </w:numPr>
        <w:tabs>
          <w:tab w:val="left" w:pos="426"/>
        </w:tabs>
        <w:ind w:right="-40"/>
      </w:pPr>
      <w:r w:rsidRPr="00746ACE">
        <w:t>E</w:t>
      </w:r>
      <w:r w:rsidR="48086809" w:rsidRPr="00746ACE">
        <w:t xml:space="preserve">l </w:t>
      </w:r>
      <w:r w:rsidRPr="00746ACE">
        <w:t xml:space="preserve">demandante </w:t>
      </w:r>
      <w:r w:rsidRPr="00746ACE">
        <w:rPr>
          <w:b/>
        </w:rPr>
        <w:t>Sergio Jaramillo Caro</w:t>
      </w:r>
      <w:r w:rsidRPr="00746ACE">
        <w:t xml:space="preserve"> </w:t>
      </w:r>
      <w:r w:rsidR="7B9F26DE" w:rsidRPr="00746ACE">
        <w:t>afirm</w:t>
      </w:r>
      <w:r w:rsidRPr="00746ACE">
        <w:t xml:space="preserve">ó que </w:t>
      </w:r>
      <w:r w:rsidR="004B6506" w:rsidRPr="00746ACE">
        <w:t>la firma del</w:t>
      </w:r>
      <w:r w:rsidR="04CEC610" w:rsidRPr="00746ACE">
        <w:t xml:space="preserve"> </w:t>
      </w:r>
      <w:r w:rsidRPr="00746ACE">
        <w:t xml:space="preserve">Acuerdo Final </w:t>
      </w:r>
      <w:r w:rsidR="12D007D6" w:rsidRPr="00746ACE">
        <w:t xml:space="preserve">de Paz </w:t>
      </w:r>
      <w:r w:rsidR="00CF25C9" w:rsidRPr="00746ACE">
        <w:t xml:space="preserve">y la </w:t>
      </w:r>
      <w:r w:rsidR="00787C0A" w:rsidRPr="00746ACE">
        <w:t xml:space="preserve">implementación de la </w:t>
      </w:r>
      <w:r w:rsidR="00CF25C9" w:rsidRPr="00746ACE">
        <w:t xml:space="preserve">Jurisdicción Especial para la Paz </w:t>
      </w:r>
      <w:r w:rsidR="00136273" w:rsidRPr="00746ACE">
        <w:t>son legados</w:t>
      </w:r>
      <w:r w:rsidR="00CF25C9" w:rsidRPr="00746ACE">
        <w:t xml:space="preserve"> </w:t>
      </w:r>
      <w:r w:rsidR="0015408A" w:rsidRPr="00746ACE">
        <w:t xml:space="preserve">que </w:t>
      </w:r>
      <w:r w:rsidR="00136273" w:rsidRPr="00746ACE">
        <w:t xml:space="preserve">deben cuidarse. </w:t>
      </w:r>
      <w:r w:rsidR="00D03BA0" w:rsidRPr="00746ACE">
        <w:t>E</w:t>
      </w:r>
      <w:r w:rsidR="006D6DB8" w:rsidRPr="00746ACE">
        <w:t>xpus</w:t>
      </w:r>
      <w:r w:rsidR="009813C6" w:rsidRPr="00746ACE">
        <w:t xml:space="preserve">o que el principio de selección es </w:t>
      </w:r>
      <w:r w:rsidR="00415D54" w:rsidRPr="00746ACE">
        <w:t>esencial a</w:t>
      </w:r>
      <w:r w:rsidR="005B4235" w:rsidRPr="00746ACE">
        <w:t>l</w:t>
      </w:r>
      <w:r w:rsidR="00415D54" w:rsidRPr="00746ACE">
        <w:t xml:space="preserve"> </w:t>
      </w:r>
      <w:r w:rsidR="0058454D" w:rsidRPr="00746ACE">
        <w:t xml:space="preserve">componente de justicia transicional porque </w:t>
      </w:r>
      <w:r w:rsidR="00E0777D" w:rsidRPr="00746ACE">
        <w:t>permite concentrar los esfuerzos investigativos en los</w:t>
      </w:r>
      <w:r w:rsidR="00CB5457" w:rsidRPr="00746ACE">
        <w:t xml:space="preserve"> máximos responsables de los delitos más graves </w:t>
      </w:r>
      <w:r w:rsidR="002E59BA" w:rsidRPr="00746ACE">
        <w:t>a una medida que</w:t>
      </w:r>
      <w:r w:rsidR="009B791F" w:rsidRPr="00746ACE">
        <w:t xml:space="preserve"> permita satisfacer los derechos de las víctimas del conflicto armado dentro de un plazo razonable. </w:t>
      </w:r>
      <w:r w:rsidR="001F79EB" w:rsidRPr="00746ACE">
        <w:t xml:space="preserve">Luego, el </w:t>
      </w:r>
      <w:r w:rsidR="006D428F" w:rsidRPr="00746ACE">
        <w:t>demandante</w:t>
      </w:r>
      <w:r w:rsidR="001F79EB" w:rsidRPr="00746ACE">
        <w:t xml:space="preserve"> señaló que la Senit 5 alteró el modelo </w:t>
      </w:r>
      <w:r w:rsidR="004F3055" w:rsidRPr="00746ACE">
        <w:t>judicial que pactaron</w:t>
      </w:r>
      <w:r w:rsidR="001F79EB" w:rsidRPr="00746ACE">
        <w:t xml:space="preserve"> los firmantes del Acuerdo Final de Paz</w:t>
      </w:r>
      <w:r w:rsidR="004F3055" w:rsidRPr="00746ACE">
        <w:t>,</w:t>
      </w:r>
      <w:r w:rsidR="00E05A00" w:rsidRPr="00746ACE">
        <w:t xml:space="preserve"> al introducir una </w:t>
      </w:r>
      <w:r w:rsidR="00ED7FEC" w:rsidRPr="00746ACE">
        <w:t xml:space="preserve">competencia de </w:t>
      </w:r>
      <w:r w:rsidR="00E05A00" w:rsidRPr="00746ACE">
        <w:t xml:space="preserve">“selección de segundo orden” </w:t>
      </w:r>
      <w:r w:rsidR="00060548" w:rsidRPr="00746ACE">
        <w:t>en cabeza de la Sala de Definición de Situaciones Jurídicas</w:t>
      </w:r>
      <w:r w:rsidR="004F3055" w:rsidRPr="00746ACE">
        <w:t>. En su criterio</w:t>
      </w:r>
      <w:r w:rsidR="00A512FA" w:rsidRPr="00746ACE">
        <w:t xml:space="preserve">, </w:t>
      </w:r>
      <w:r w:rsidR="00206D47" w:rsidRPr="00746ACE">
        <w:t xml:space="preserve">esa figura </w:t>
      </w:r>
      <w:r w:rsidR="003510CD" w:rsidRPr="00746ACE">
        <w:t xml:space="preserve">no se ajusta a los términos acordados, </w:t>
      </w:r>
      <w:r w:rsidR="008A4728" w:rsidRPr="00746ACE">
        <w:t xml:space="preserve">al tiempo que </w:t>
      </w:r>
      <w:r w:rsidR="00DF1FCA" w:rsidRPr="00746ACE">
        <w:t xml:space="preserve">prolonga la finalización del período transicional </w:t>
      </w:r>
      <w:r w:rsidR="00522219" w:rsidRPr="00746ACE">
        <w:t>y hace posible la</w:t>
      </w:r>
      <w:r w:rsidR="006C131E" w:rsidRPr="00746ACE">
        <w:t xml:space="preserve"> imposición de sanciones privativas de la libertad a </w:t>
      </w:r>
      <w:r w:rsidR="00522219" w:rsidRPr="00746ACE">
        <w:t>comparecientes</w:t>
      </w:r>
      <w:r w:rsidR="006C131E" w:rsidRPr="00746ACE">
        <w:t xml:space="preserve"> que </w:t>
      </w:r>
      <w:r w:rsidR="00FA44EF" w:rsidRPr="00746ACE">
        <w:t>deberían beneficiarse</w:t>
      </w:r>
      <w:r w:rsidR="006C131E" w:rsidRPr="00746ACE">
        <w:t xml:space="preserve"> de un tratamiento diferenciado. </w:t>
      </w:r>
    </w:p>
    <w:p w14:paraId="62F18609" w14:textId="77777777" w:rsidR="00092A12" w:rsidRPr="00746ACE" w:rsidRDefault="00092A12" w:rsidP="00092A12">
      <w:pPr>
        <w:pStyle w:val="Prrafodelista"/>
        <w:widowControl w:val="0"/>
        <w:tabs>
          <w:tab w:val="left" w:pos="426"/>
        </w:tabs>
        <w:ind w:left="0" w:right="-40"/>
      </w:pPr>
    </w:p>
    <w:p w14:paraId="63D2B882" w14:textId="19F816C7" w:rsidR="007F1EA5" w:rsidRPr="00746ACE" w:rsidRDefault="00851283" w:rsidP="007F1EA5">
      <w:pPr>
        <w:pStyle w:val="Prrafodelista"/>
        <w:widowControl w:val="0"/>
        <w:numPr>
          <w:ilvl w:val="0"/>
          <w:numId w:val="7"/>
        </w:numPr>
        <w:tabs>
          <w:tab w:val="left" w:pos="426"/>
        </w:tabs>
        <w:ind w:right="-40"/>
      </w:pPr>
      <w:r w:rsidRPr="00746ACE">
        <w:t>El</w:t>
      </w:r>
      <w:r w:rsidR="00092A12" w:rsidRPr="00746ACE">
        <w:t xml:space="preserve"> demandante </w:t>
      </w:r>
      <w:r w:rsidR="00092A12" w:rsidRPr="00746ACE">
        <w:rPr>
          <w:b/>
        </w:rPr>
        <w:t>Humberto de la Calle Lombana</w:t>
      </w:r>
      <w:r w:rsidR="00092A12" w:rsidRPr="00746ACE">
        <w:t xml:space="preserve"> señaló que</w:t>
      </w:r>
      <w:r w:rsidR="00B5037B" w:rsidRPr="00746ACE">
        <w:t>, durante las negociaciones del Acuerdo Final de Paz</w:t>
      </w:r>
      <w:r w:rsidR="00FA44EF" w:rsidRPr="00746ACE">
        <w:t xml:space="preserve"> en La </w:t>
      </w:r>
      <w:r w:rsidR="00A450C9" w:rsidRPr="00746ACE">
        <w:t>Habana</w:t>
      </w:r>
      <w:r w:rsidR="00B5037B" w:rsidRPr="00746ACE">
        <w:t xml:space="preserve">, </w:t>
      </w:r>
      <w:r w:rsidR="00695F53" w:rsidRPr="00746ACE">
        <w:t xml:space="preserve">el principio de selección </w:t>
      </w:r>
      <w:r w:rsidR="00FF4C17" w:rsidRPr="00746ACE">
        <w:t xml:space="preserve">y el reparto de competencias para el componente de justicia transicional </w:t>
      </w:r>
      <w:r w:rsidR="00441C88" w:rsidRPr="00746ACE">
        <w:t>fue</w:t>
      </w:r>
      <w:r w:rsidR="00B2012F" w:rsidRPr="00746ACE">
        <w:t>ron</w:t>
      </w:r>
      <w:r w:rsidR="00441C88" w:rsidRPr="00746ACE">
        <w:t xml:space="preserve"> ampliamente </w:t>
      </w:r>
      <w:r w:rsidR="00FA310E" w:rsidRPr="00746ACE">
        <w:t xml:space="preserve">concertados. </w:t>
      </w:r>
      <w:r w:rsidR="003C48AA" w:rsidRPr="00746ACE">
        <w:t xml:space="preserve">Según su explicación, </w:t>
      </w:r>
      <w:r w:rsidR="00675982" w:rsidRPr="00746ACE">
        <w:t xml:space="preserve">el pacto no contempló ninguna “selección de segundo orden” </w:t>
      </w:r>
      <w:r w:rsidR="00AB7997" w:rsidRPr="00746ACE">
        <w:t>ni categorías intermedias de responsabilidad</w:t>
      </w:r>
      <w:r w:rsidR="00F77364" w:rsidRPr="00746ACE">
        <w:t xml:space="preserve">, por lo que no era admisible que la Senit 5 </w:t>
      </w:r>
      <w:r w:rsidR="009C170D" w:rsidRPr="00746ACE">
        <w:t>desfigurara</w:t>
      </w:r>
      <w:r w:rsidR="00F77364" w:rsidRPr="00746ACE">
        <w:t xml:space="preserve"> los elementos esenciales del acuerdo bajo la apariencia de interpretaciones procedimentales</w:t>
      </w:r>
      <w:r w:rsidR="0027353C" w:rsidRPr="00746ACE">
        <w:t xml:space="preserve"> que, en la práctica, conducen a valoraciones</w:t>
      </w:r>
      <w:r w:rsidR="0066214B" w:rsidRPr="00746ACE">
        <w:t xml:space="preserve"> ineficaces</w:t>
      </w:r>
      <w:r w:rsidR="00D03BA0" w:rsidRPr="00746ACE">
        <w:t xml:space="preserve"> de responsabilidad,</w:t>
      </w:r>
      <w:r w:rsidR="0066214B" w:rsidRPr="00746ACE">
        <w:t xml:space="preserve"> </w:t>
      </w:r>
      <w:r w:rsidR="0066214B" w:rsidRPr="00746ACE">
        <w:rPr>
          <w:i/>
        </w:rPr>
        <w:t>caso a caso</w:t>
      </w:r>
      <w:r w:rsidR="002C455A" w:rsidRPr="00746ACE">
        <w:t>.</w:t>
      </w:r>
      <w:r w:rsidR="0066214B" w:rsidRPr="00746ACE">
        <w:t xml:space="preserve"> </w:t>
      </w:r>
      <w:r w:rsidR="0070302F" w:rsidRPr="00746ACE">
        <w:t xml:space="preserve">Además, para el demandante, </w:t>
      </w:r>
      <w:r w:rsidR="00887979" w:rsidRPr="00746ACE">
        <w:t xml:space="preserve">el cumplimiento de lo estipulado en el Acuerdo Final de Paz es un mandato constitucional y </w:t>
      </w:r>
      <w:r w:rsidR="00F63B68" w:rsidRPr="00746ACE">
        <w:t xml:space="preserve">un presupuesto para proteger a las víctimas del conflicto armado, </w:t>
      </w:r>
      <w:r w:rsidR="003D16E0" w:rsidRPr="00746ACE">
        <w:t>lograr</w:t>
      </w:r>
      <w:r w:rsidR="00F63B68" w:rsidRPr="00746ACE">
        <w:t xml:space="preserve"> </w:t>
      </w:r>
      <w:r w:rsidR="00305771" w:rsidRPr="00746ACE">
        <w:t xml:space="preserve">resultados </w:t>
      </w:r>
      <w:r w:rsidR="00F72632" w:rsidRPr="00746ACE">
        <w:t>oportunos</w:t>
      </w:r>
      <w:r w:rsidR="00EF248C" w:rsidRPr="00746ACE">
        <w:t xml:space="preserve">, </w:t>
      </w:r>
      <w:r w:rsidR="00141597" w:rsidRPr="00746ACE">
        <w:t xml:space="preserve">afianzar la seguridad jurídica </w:t>
      </w:r>
      <w:r w:rsidR="00F72632" w:rsidRPr="00746ACE">
        <w:t xml:space="preserve">y sostener una paz duradera. </w:t>
      </w:r>
    </w:p>
    <w:p w14:paraId="10248F12" w14:textId="77777777" w:rsidR="007F1EA5" w:rsidRPr="00746ACE" w:rsidRDefault="007F1EA5" w:rsidP="007F1EA5">
      <w:pPr>
        <w:pStyle w:val="Prrafodelista"/>
      </w:pPr>
    </w:p>
    <w:p w14:paraId="756DCB7E" w14:textId="18BCD8FD" w:rsidR="007F1EA5" w:rsidRPr="00746ACE" w:rsidRDefault="007F1EA5" w:rsidP="007F1EA5">
      <w:pPr>
        <w:pStyle w:val="Prrafodelista"/>
        <w:widowControl w:val="0"/>
        <w:numPr>
          <w:ilvl w:val="0"/>
          <w:numId w:val="7"/>
        </w:numPr>
        <w:tabs>
          <w:tab w:val="left" w:pos="426"/>
        </w:tabs>
        <w:ind w:right="-40"/>
      </w:pPr>
      <w:r w:rsidRPr="00746ACE">
        <w:t xml:space="preserve">El expresidente de la República </w:t>
      </w:r>
      <w:r w:rsidRPr="00746ACE">
        <w:rPr>
          <w:b/>
          <w:bCs/>
        </w:rPr>
        <w:t>Juan Manuel Santos Calderón</w:t>
      </w:r>
      <w:r w:rsidRPr="00746ACE">
        <w:t xml:space="preserve"> sostuvo que el diseño del Sistema Integral de Verdad, Justicia, Reparación y No Repetición estuvo centrado en las víctimas del conflicto armado. Según su explicación, el Acuerdo Final de Paz estipuló un componente de justicia transicional bajo un modelo basado en la selección, priorización y concentración, a diferencia de valoraciones caso a caso. Lo anterior, con el propósito de evitar congestiones, ordenar los esfuerzos institucionales y ofrecer resultados consistentes y oportunos para las víctimas.</w:t>
      </w:r>
    </w:p>
    <w:p w14:paraId="34DF90FE" w14:textId="77777777" w:rsidR="007F1EA5" w:rsidRPr="00746ACE" w:rsidRDefault="007F1EA5" w:rsidP="007F1EA5">
      <w:pPr>
        <w:pStyle w:val="Prrafodelista"/>
      </w:pPr>
    </w:p>
    <w:p w14:paraId="7FCA21AF" w14:textId="77777777" w:rsidR="007F1EA5" w:rsidRPr="00746ACE" w:rsidRDefault="007F1EA5" w:rsidP="007F1EA5">
      <w:pPr>
        <w:pStyle w:val="Prrafodelista"/>
        <w:widowControl w:val="0"/>
        <w:numPr>
          <w:ilvl w:val="0"/>
          <w:numId w:val="7"/>
        </w:numPr>
        <w:tabs>
          <w:tab w:val="left" w:pos="426"/>
        </w:tabs>
        <w:ind w:right="-40" w:hanging="11"/>
      </w:pPr>
      <w:r w:rsidRPr="00746ACE">
        <w:t xml:space="preserve">El magistrado Rodolfo Arango Rivadeneira de la </w:t>
      </w:r>
      <w:r w:rsidRPr="00746ACE">
        <w:rPr>
          <w:b/>
        </w:rPr>
        <w:t>Sección de Apelación del Tribunal para la Paz</w:t>
      </w:r>
      <w:r w:rsidRPr="00746ACE">
        <w:t xml:space="preserve"> señaló que la Senit 5 no modifica la esencia de la selección, la máxima responsabilidad ni la participación no determinante. En su criterio, las normas cuestionadas tan solo introdujeron un criterio heurístico del “punto medio” para orientar la Sala de Definición de Situaciones Jurídicas en el ejercicio de la “selección de segundo orden”. Según explicó, esa facultad solo se activa para los partícipes no determinantes que no reconozcan responsabilidad, en situaciones en las que su procesamiento es relevante para evitar escenarios de impunidad, garantizar los derechos de las víctimas y contribuir al esclarecimiento de los patrones macro criminales. </w:t>
      </w:r>
    </w:p>
    <w:p w14:paraId="087B265F" w14:textId="77777777" w:rsidR="007F1EA5" w:rsidRPr="00746ACE" w:rsidRDefault="007F1EA5" w:rsidP="007F1EA5">
      <w:pPr>
        <w:pStyle w:val="Prrafodelista"/>
      </w:pPr>
    </w:p>
    <w:p w14:paraId="777BBE49" w14:textId="77777777" w:rsidR="007F1EA5" w:rsidRPr="00746ACE" w:rsidRDefault="007F1EA5" w:rsidP="007F1EA5">
      <w:pPr>
        <w:pStyle w:val="Prrafodelista"/>
        <w:widowControl w:val="0"/>
        <w:numPr>
          <w:ilvl w:val="0"/>
          <w:numId w:val="7"/>
        </w:numPr>
        <w:tabs>
          <w:tab w:val="left" w:pos="426"/>
        </w:tabs>
        <w:ind w:right="-40" w:hanging="11"/>
      </w:pPr>
      <w:r w:rsidRPr="00746ACE">
        <w:t xml:space="preserve">Para el magistrado, el Acuerdo Final de Paz sí considera un nivel medio entre la participación no determinante y la máxima responsabilidad, no como categoría sancionatoria, sino como </w:t>
      </w:r>
      <w:r w:rsidRPr="00746ACE">
        <w:rPr>
          <w:rStyle w:val="Textoennegrita"/>
          <w:b w:val="0"/>
        </w:rPr>
        <w:t>herramienta interpretativa necesaria</w:t>
      </w:r>
      <w:r w:rsidRPr="00746ACE">
        <w:rPr>
          <w:b/>
        </w:rPr>
        <w:t xml:space="preserve"> </w:t>
      </w:r>
      <w:r w:rsidRPr="00746ACE">
        <w:t xml:space="preserve">para dar un efecto útil a las facultades previstas en los artículos 19, 84(c) y 129 de la Ley Estatutaria 1957 de 2019, sin que implique transitar hacia una lógica contraria al principio de selección y los objetivos de la justicia transicional. Adicionalmente, el interviniente indicó que el incidente de incumplimiento al régimen de condicionalidad tiene una finalidad distinta a la “selección de segundo orden”, pues esta última permite activar la vía adversarial cuando se evidencian aportes insuficientes a la verdad o evidencias significativas de responsabilidad. </w:t>
      </w:r>
    </w:p>
    <w:p w14:paraId="613FE410" w14:textId="77777777" w:rsidR="007F1EA5" w:rsidRPr="00746ACE" w:rsidRDefault="007F1EA5" w:rsidP="007F1EA5">
      <w:pPr>
        <w:pStyle w:val="Prrafodelista"/>
      </w:pPr>
    </w:p>
    <w:p w14:paraId="6B1D2914" w14:textId="77777777" w:rsidR="007F1EA5" w:rsidRPr="00746ACE" w:rsidRDefault="007F1EA5" w:rsidP="007F1EA5">
      <w:pPr>
        <w:pStyle w:val="Prrafodelista"/>
        <w:widowControl w:val="0"/>
        <w:numPr>
          <w:ilvl w:val="0"/>
          <w:numId w:val="7"/>
        </w:numPr>
        <w:tabs>
          <w:tab w:val="left" w:pos="426"/>
        </w:tabs>
        <w:ind w:right="-40" w:hanging="11"/>
      </w:pPr>
      <w:r w:rsidRPr="00746ACE">
        <w:t>Por último, el vocero de la Sección de apelación de la JEP expuso que las sentencias Senit 8 y 9 han precisado y complementado los criterios desarrollados en la Senit 5, especialmente, en relación con el aporte a la verdad plena, la eventual vinculación a trabajos, obras o actividades con contenido reparador o restaurador, la “selección de segundo orden” y las posibles rutas procesales de los partícipes no determinantes. A su juicio, esas decisiones reflejan la evolución del derecho viviente en la Jurisdicción Especial para la Paz y buscan garantizar coherencia jurisprudencial, la seguridad jurídica y la eficacia en la transición.</w:t>
      </w:r>
    </w:p>
    <w:p w14:paraId="26B830EC" w14:textId="77777777" w:rsidR="007F1EA5" w:rsidRPr="00746ACE" w:rsidRDefault="007F1EA5" w:rsidP="007F1EA5"/>
    <w:p w14:paraId="0339857C" w14:textId="77777777" w:rsidR="007F1EA5" w:rsidRPr="00746ACE" w:rsidRDefault="007F1EA5" w:rsidP="007F1EA5">
      <w:pPr>
        <w:pStyle w:val="Prrafodelista"/>
        <w:widowControl w:val="0"/>
        <w:numPr>
          <w:ilvl w:val="0"/>
          <w:numId w:val="7"/>
        </w:numPr>
        <w:tabs>
          <w:tab w:val="left" w:pos="426"/>
        </w:tabs>
        <w:ind w:right="-40" w:hanging="11"/>
      </w:pPr>
      <w:r w:rsidRPr="00746ACE">
        <w:t xml:space="preserve">El asesor en política criminal del </w:t>
      </w:r>
      <w:r w:rsidRPr="00746ACE">
        <w:rPr>
          <w:b/>
          <w:bCs/>
        </w:rPr>
        <w:t>Ministerio de Justicia y del Derecho</w:t>
      </w:r>
      <w:r w:rsidRPr="00746ACE">
        <w:t xml:space="preserve">, Rodrigo Roncallo Cuervo, afirmó que la persecución penal en la justicia transicional está destinada a garantizar verdad, responsabilidad y no repetición mediante una selección de los crímenes más graves y representativos. El asesor señaló que el éxito de la justicia transicional no se mide por el volumen o extensión de las condenas, sino por la densidad y calidad de la verdad producida, toda vez que la persecución penal masiva es materialmente imposible y constitucionalmente indeseable en contextos de violencia sistemática. Además, en su criterio, el debate en torno a la Senit 5 refleja un dilema inherente a la justicia transicional, sobre cómo deben investigarse y sancionarse las conductas más graves sin desbordar las capacidades institucionales ni desnaturalizar el enfoque restaurativo. Para el interviniente, la respuesta está en preservar un equilibrio razonable entre la responsabilidad individual y la reconstrucción colectiva. </w:t>
      </w:r>
    </w:p>
    <w:p w14:paraId="50C29EEB" w14:textId="77777777" w:rsidR="007F1EA5" w:rsidRPr="00746ACE" w:rsidRDefault="007F1EA5" w:rsidP="007F1EA5">
      <w:pPr>
        <w:pStyle w:val="Prrafodelista"/>
      </w:pPr>
    </w:p>
    <w:p w14:paraId="5557720B" w14:textId="77777777" w:rsidR="007F1EA5" w:rsidRPr="00746ACE" w:rsidRDefault="007F1EA5" w:rsidP="007F1EA5">
      <w:pPr>
        <w:pStyle w:val="Prrafodelista"/>
        <w:widowControl w:val="0"/>
        <w:numPr>
          <w:ilvl w:val="0"/>
          <w:numId w:val="7"/>
        </w:numPr>
        <w:tabs>
          <w:tab w:val="left" w:pos="426"/>
        </w:tabs>
        <w:ind w:right="-40" w:hanging="11"/>
      </w:pPr>
      <w:r w:rsidRPr="00746ACE">
        <w:t xml:space="preserve">La </w:t>
      </w:r>
      <w:r w:rsidRPr="00746ACE">
        <w:rPr>
          <w:b/>
          <w:bCs/>
        </w:rPr>
        <w:t>defensora del Pueblo</w:t>
      </w:r>
      <w:r w:rsidRPr="00746ACE">
        <w:t xml:space="preserve">, Iris Marín Ortiz, solicitó estarse a lo resuelto en la Sentencia C-080 de 2018 y, subsidiariamente, declarar la inexequibilidad de las interpretaciones contenidas en la Senit 5. En su concepto, la Corte Constitucional se pronunció con efectos de cosa juzgada sobre el proyecto de la Ley Estatutaria 1957 de 2019 y encontró que la Sala de Reconocimiento tiene la competencia global de selección positiva (esto es, definir quiénes asumirán la responsabilidad por los crímenes), mientras que la Sala de Definición de Situaciones Jurídicas solo aplica una selección posterior negativa, y verifica el cumplimiento al régimen de condicionalidad sobre los casos remitidos por la Sala de Reconocimiento. </w:t>
      </w:r>
    </w:p>
    <w:p w14:paraId="16BEE438" w14:textId="77777777" w:rsidR="007F1EA5" w:rsidRPr="00746ACE" w:rsidRDefault="007F1EA5" w:rsidP="007F1EA5">
      <w:pPr>
        <w:pStyle w:val="Prrafodelista"/>
      </w:pPr>
    </w:p>
    <w:p w14:paraId="3445F21D" w14:textId="77777777" w:rsidR="007F1EA5" w:rsidRPr="00746ACE" w:rsidRDefault="007F1EA5" w:rsidP="007F1EA5">
      <w:pPr>
        <w:pStyle w:val="Prrafodelista"/>
        <w:widowControl w:val="0"/>
        <w:numPr>
          <w:ilvl w:val="0"/>
          <w:numId w:val="7"/>
        </w:numPr>
        <w:tabs>
          <w:tab w:val="left" w:pos="426"/>
        </w:tabs>
        <w:ind w:right="-40" w:hanging="11"/>
      </w:pPr>
      <w:r w:rsidRPr="00746ACE">
        <w:t xml:space="preserve">Para la Defensoría del Pueblo, el marco legal, estatutario y constitucional para la paz no contempla un procedimiento detallado de recepción de verdad para conceder la renuncia a la persecución penal ni una facultad de la Sala de Definición de Situaciones Jurídicas para revocar la selección negativa de la Sala de Reconocimiento. Sin embargo, según explicó, la Senit 5 creó un nuevo procedimiento para definir situaciones jurídicas y una nueva categoría de comparecientes, lo que desfigura el modelo de judicialización de la Jurisdicción Especial para la Paz y desconoce el principio de </w:t>
      </w:r>
      <w:r w:rsidRPr="00746ACE">
        <w:rPr>
          <w:i/>
          <w:iCs/>
        </w:rPr>
        <w:t>pacta sunt servanda</w:t>
      </w:r>
      <w:r w:rsidRPr="00746ACE">
        <w:t xml:space="preserve"> o cumplimiento de buena fe del Acuerdo Final de Paz, al tiempo que vulnera los derechos a legalidad y la seguridad jurídica de comparecientes y víctimas. </w:t>
      </w:r>
    </w:p>
    <w:p w14:paraId="7A661E18" w14:textId="77777777" w:rsidR="007F1EA5" w:rsidRPr="00746ACE" w:rsidRDefault="007F1EA5" w:rsidP="007F1EA5"/>
    <w:p w14:paraId="3A9D7D93" w14:textId="77777777" w:rsidR="007F1EA5" w:rsidRPr="00746ACE" w:rsidRDefault="007F1EA5" w:rsidP="007F1EA5">
      <w:pPr>
        <w:pStyle w:val="Prrafodelista"/>
        <w:widowControl w:val="0"/>
        <w:numPr>
          <w:ilvl w:val="0"/>
          <w:numId w:val="7"/>
        </w:numPr>
        <w:tabs>
          <w:tab w:val="left" w:pos="426"/>
        </w:tabs>
        <w:ind w:right="-40" w:hanging="11"/>
      </w:pPr>
      <w:r w:rsidRPr="00746ACE">
        <w:t xml:space="preserve">El magistrado y presidente de la </w:t>
      </w:r>
      <w:r w:rsidRPr="00746ACE">
        <w:rPr>
          <w:rStyle w:val="Textoennegrita"/>
        </w:rPr>
        <w:t>Sala de Definición de Situaciones Jurídicas</w:t>
      </w:r>
      <w:r w:rsidRPr="00746ACE">
        <w:rPr>
          <w:rStyle w:val="Textoennegrita"/>
          <w:b w:val="0"/>
          <w:bCs w:val="0"/>
        </w:rPr>
        <w:t>,</w:t>
      </w:r>
      <w:r w:rsidRPr="00746ACE">
        <w:rPr>
          <w:rStyle w:val="Textoennegrita"/>
        </w:rPr>
        <w:t xml:space="preserve"> </w:t>
      </w:r>
      <w:r w:rsidRPr="00746ACE">
        <w:t xml:space="preserve">Pedro Elíaz Díaz Romero, </w:t>
      </w:r>
      <w:r w:rsidRPr="00746ACE">
        <w:rPr>
          <w:rStyle w:val="Textoennegrita"/>
          <w:b w:val="0"/>
        </w:rPr>
        <w:t xml:space="preserve">se pronunció sobre </w:t>
      </w:r>
      <w:r w:rsidRPr="00746ACE">
        <w:t xml:space="preserve">las competencias del órgano y la “selección de segundo orden”. La autoridad judicial destacó que su mandato es naturalmente dinámico y dialógico, lo que exige adaptar la interpretación normativa a las necesidades de la transición, en observancia del principio de centralidad de las víctimas y de la estricta temporalidad. Según explicó, la sala está encargada de definir la situación jurídica de comparecientes que no han sido seleccionados por la Sala de Reconocimiento como máximos responsables, lo que incluye: (i) evaluar aportes a la verdad para determinar si procede la </w:t>
      </w:r>
      <w:r w:rsidRPr="00746ACE">
        <w:rPr>
          <w:rStyle w:val="Textoennegrita"/>
          <w:b w:val="0"/>
        </w:rPr>
        <w:t>renuncia a la persecución penal</w:t>
      </w:r>
      <w:r w:rsidRPr="00746ACE">
        <w:t>; (ii) iniciar incidentes de incumplimiento al régimen de condicionalidad; (iii) expulsar comparecientes cuando sea necesario; y (iv) excepcionalmente, activar la “</w:t>
      </w:r>
      <w:r w:rsidRPr="00746ACE">
        <w:rPr>
          <w:rStyle w:val="Textoennegrita"/>
          <w:b w:val="0"/>
        </w:rPr>
        <w:t>selección de segundo orden”</w:t>
      </w:r>
      <w:r w:rsidRPr="00746ACE">
        <w:t xml:space="preserve"> para remitir casos a la Unidad de Investigación y Acusación.</w:t>
      </w:r>
    </w:p>
    <w:p w14:paraId="46E737CF" w14:textId="77777777" w:rsidR="007F1EA5" w:rsidRPr="00746ACE" w:rsidRDefault="007F1EA5" w:rsidP="007F1EA5">
      <w:pPr>
        <w:pStyle w:val="Prrafodelista"/>
      </w:pPr>
    </w:p>
    <w:p w14:paraId="2F54DE03" w14:textId="77777777" w:rsidR="007F1EA5" w:rsidRPr="00746ACE" w:rsidRDefault="007F1EA5" w:rsidP="007F1EA5">
      <w:pPr>
        <w:pStyle w:val="Prrafodelista"/>
        <w:widowControl w:val="0"/>
        <w:numPr>
          <w:ilvl w:val="0"/>
          <w:numId w:val="7"/>
        </w:numPr>
        <w:tabs>
          <w:tab w:val="left" w:pos="426"/>
        </w:tabs>
        <w:ind w:right="-40" w:hanging="11"/>
      </w:pPr>
      <w:r w:rsidRPr="00746ACE">
        <w:t>Sobre la “</w:t>
      </w:r>
      <w:r w:rsidRPr="00746ACE">
        <w:rPr>
          <w:rStyle w:val="Textoennegrita"/>
          <w:b w:val="0"/>
        </w:rPr>
        <w:t>responsabilidad cercana a la máxima”</w:t>
      </w:r>
      <w:r w:rsidRPr="00746ACE">
        <w:t xml:space="preserve">, el magistrado aclaró que no constituye una categoría jurídica autónoma ni modifica los criterios de responsabilidad penal, sino que se trata únicamente de un </w:t>
      </w:r>
      <w:r w:rsidRPr="00746ACE">
        <w:rPr>
          <w:rStyle w:val="Textoennegrita"/>
          <w:b w:val="0"/>
        </w:rPr>
        <w:t>criterio hermenéutico</w:t>
      </w:r>
      <w:r w:rsidRPr="00746ACE">
        <w:t xml:space="preserve"> dispuesto en las Senit 5, 8 y 9 para delimitar la facultad excepcional de “selección de segundo orden”. </w:t>
      </w:r>
    </w:p>
    <w:p w14:paraId="2D461D70" w14:textId="77777777" w:rsidR="007F1EA5" w:rsidRPr="00746ACE" w:rsidRDefault="007F1EA5" w:rsidP="007F1EA5">
      <w:pPr>
        <w:pStyle w:val="Prrafodelista"/>
      </w:pPr>
    </w:p>
    <w:p w14:paraId="1DB41EA7" w14:textId="77777777" w:rsidR="007F1EA5" w:rsidRPr="00746ACE" w:rsidRDefault="007F1EA5" w:rsidP="007F1EA5">
      <w:pPr>
        <w:pStyle w:val="Prrafodelista"/>
        <w:widowControl w:val="0"/>
        <w:numPr>
          <w:ilvl w:val="0"/>
          <w:numId w:val="7"/>
        </w:numPr>
        <w:tabs>
          <w:tab w:val="left" w:pos="426"/>
        </w:tabs>
        <w:ind w:right="-40" w:hanging="11"/>
      </w:pPr>
      <w:r w:rsidRPr="00746ACE">
        <w:t xml:space="preserve">El director de Justicia Transicional de la </w:t>
      </w:r>
      <w:r w:rsidRPr="00746ACE">
        <w:rPr>
          <w:b/>
        </w:rPr>
        <w:t>Fiscalía General de la Nación</w:t>
      </w:r>
      <w:r w:rsidRPr="00746ACE">
        <w:t>, Juan Carlos Arias Duque, sostuvo que la “selección de segundo orden” no se ajusta a la Constitución Política porque implica una categoría de comparecientes que no está contemplada en la Ley Estatutaria 1957 de 2019 ni en la jurisprudencia constitucional. Por lo tanto, en su criterio, los párrafos demandados de la Senit 5 alteran las competencias de los órganos de la Jurisdicción Especial para la Paz y comprometen la seguridad jurídica, motivo por el cual la Corte Constitucional debe restablecer la coherencia del modelo.</w:t>
      </w:r>
    </w:p>
    <w:p w14:paraId="2208B08E" w14:textId="77777777" w:rsidR="007F1EA5" w:rsidRPr="00746ACE" w:rsidRDefault="007F1EA5" w:rsidP="007F1EA5"/>
    <w:p w14:paraId="426A00CB" w14:textId="77777777" w:rsidR="007F1EA5" w:rsidRPr="00746ACE" w:rsidRDefault="007F1EA5" w:rsidP="007F1EA5">
      <w:pPr>
        <w:pStyle w:val="Prrafodelista"/>
        <w:widowControl w:val="0"/>
        <w:numPr>
          <w:ilvl w:val="0"/>
          <w:numId w:val="7"/>
        </w:numPr>
        <w:tabs>
          <w:tab w:val="left" w:pos="426"/>
        </w:tabs>
        <w:ind w:right="-40" w:hanging="11"/>
      </w:pPr>
      <w:r w:rsidRPr="00746ACE">
        <w:t xml:space="preserve">Adicionalmente, la autoridad indicó que las decisiones interpretativas de la Sección de Apelación han creado figuras como la “responsabilidad cercana a la máxima”, que también carecen de fundamento legal. Según explicó, esas categorías multiplican las rutas procesales, generan un universo adicional de comparecientes y profundizan la dispersión y fragmentación en la definición de situaciones jurídicas, lo cual entorpece el cierre judicial y dificulta el cumplimiento del deber estatal de investigar, juzgar y sancionar las graves violaciones de derechos humanos. En consecuencia, la Fiscalía General solicitó integrar la unidad normativa con otros párrafos de las Senit 5, 8 y 9.  </w:t>
      </w:r>
    </w:p>
    <w:p w14:paraId="77AD30FA" w14:textId="77777777" w:rsidR="007F1EA5" w:rsidRPr="00746ACE" w:rsidRDefault="007F1EA5" w:rsidP="007F1EA5">
      <w:pPr>
        <w:pStyle w:val="Prrafodelista"/>
      </w:pPr>
    </w:p>
    <w:p w14:paraId="48B39ACA" w14:textId="5B7B5641" w:rsidR="007F1EA5" w:rsidRPr="00746ACE" w:rsidRDefault="007F1EA5" w:rsidP="007F1EA5">
      <w:pPr>
        <w:pStyle w:val="Prrafodelista"/>
        <w:widowControl w:val="0"/>
        <w:numPr>
          <w:ilvl w:val="0"/>
          <w:numId w:val="7"/>
        </w:numPr>
        <w:tabs>
          <w:tab w:val="left" w:pos="426"/>
        </w:tabs>
        <w:ind w:right="-40" w:hanging="11"/>
      </w:pPr>
      <w:r w:rsidRPr="00746ACE">
        <w:t xml:space="preserve">El director de la </w:t>
      </w:r>
      <w:r w:rsidRPr="00746ACE">
        <w:rPr>
          <w:b/>
          <w:bCs/>
        </w:rPr>
        <w:t>Unidad de Investigación y Acusación</w:t>
      </w:r>
      <w:r w:rsidRPr="00746ACE">
        <w:t xml:space="preserve">, Giovani Álvarez Santoyo, se pronunció sobre el principio de centralidad de las víctimas en el Acuerdo Final de Paz, la estricta temporalidad de la Jurisdicción Especial para la Paz y las competencias de los órganos jurisdiccionales. Para el interviniente, la Ley Estatutaria 1957 de 2019 contempló una facultad de selección a cargo la Sala de Definición de Situaciones Jurídicas. </w:t>
      </w:r>
    </w:p>
    <w:p w14:paraId="65D5DC73" w14:textId="77777777" w:rsidR="007F1EA5" w:rsidRPr="00746ACE" w:rsidRDefault="007F1EA5" w:rsidP="007F1EA5">
      <w:pPr>
        <w:pStyle w:val="Prrafodelista"/>
      </w:pPr>
    </w:p>
    <w:p w14:paraId="58770CEE" w14:textId="77777777" w:rsidR="007F1EA5" w:rsidRPr="00746ACE" w:rsidRDefault="007F1EA5" w:rsidP="007F1EA5">
      <w:pPr>
        <w:pStyle w:val="Prrafodelista"/>
        <w:widowControl w:val="0"/>
        <w:numPr>
          <w:ilvl w:val="0"/>
          <w:numId w:val="7"/>
        </w:numPr>
        <w:tabs>
          <w:tab w:val="left" w:pos="426"/>
        </w:tabs>
        <w:ind w:right="-40" w:hanging="11"/>
      </w:pPr>
      <w:r w:rsidRPr="00746ACE">
        <w:t xml:space="preserve">La autoridad judicial señaló que la Senit 5 no ha impactado las cargas de trabajo ni el mandato temporal de la Jurisdicción Especial para la Paz. Lo anterior, por cuanto la Sala de Definición de Situaciones Jurídicas solo ha remitido tres casos a la Unidad de Investigación y Acusación y dos fueron devueltos por no cumplirse los requisitos de la Senit, lo que evidencia el carácter extraordinario de la figura enjuiciada. </w:t>
      </w:r>
    </w:p>
    <w:p w14:paraId="424B4EC3" w14:textId="77777777" w:rsidR="007F1EA5" w:rsidRPr="00746ACE" w:rsidRDefault="007F1EA5" w:rsidP="007F1EA5">
      <w:pPr>
        <w:pStyle w:val="Prrafodelista"/>
      </w:pPr>
    </w:p>
    <w:p w14:paraId="469D8A88" w14:textId="77777777" w:rsidR="007F1EA5" w:rsidRPr="00746ACE" w:rsidRDefault="007F1EA5" w:rsidP="007F1EA5">
      <w:pPr>
        <w:pStyle w:val="Prrafodelista"/>
        <w:widowControl w:val="0"/>
        <w:numPr>
          <w:ilvl w:val="0"/>
          <w:numId w:val="7"/>
        </w:numPr>
        <w:tabs>
          <w:tab w:val="left" w:pos="426"/>
        </w:tabs>
        <w:ind w:right="-40" w:hanging="11"/>
      </w:pPr>
      <w:r w:rsidRPr="00746ACE">
        <w:t xml:space="preserve">El magistrado y presidente de la Jurisdicción Especial para la Paz, </w:t>
      </w:r>
      <w:r w:rsidRPr="00746ACE">
        <w:rPr>
          <w:b/>
        </w:rPr>
        <w:t>Alejandro Ramelli Arteaga</w:t>
      </w:r>
      <w:r w:rsidRPr="00746ACE">
        <w:t xml:space="preserve">, sostuvo que el Acuerdo Final de Paz es un documento de naturaleza política, pero no un parámetro jurídico de control de la Senit 5. En ese sentido, el magistrado advirtió que el Acuerdo Final de Paz contiene vacíos normativos y que la actuación de la Jurisdicción Especial para la Paz debe ajustarse a los estándares fijados por la Corte Interamericana de Derechos Humanos y la Corte Penal Internacional. Asimismo, la autoridad judicial precisó que es necesario distinguir entre la verdad sobre los patrones macro criminales y la verdad sobre los hechos concretos, pues esta última solo la poseen los mandos medios o quienes no son máximos responsables. </w:t>
      </w:r>
    </w:p>
    <w:p w14:paraId="24D85F1F" w14:textId="77777777" w:rsidR="007F1EA5" w:rsidRPr="00746ACE" w:rsidRDefault="007F1EA5" w:rsidP="007F1EA5">
      <w:pPr>
        <w:pStyle w:val="Prrafodelista"/>
      </w:pPr>
    </w:p>
    <w:p w14:paraId="1BC5E854" w14:textId="77777777" w:rsidR="007F1EA5" w:rsidRPr="00746ACE" w:rsidRDefault="007F1EA5" w:rsidP="007F1EA5">
      <w:pPr>
        <w:pStyle w:val="Prrafodelista"/>
        <w:widowControl w:val="0"/>
        <w:numPr>
          <w:ilvl w:val="0"/>
          <w:numId w:val="7"/>
        </w:numPr>
        <w:tabs>
          <w:tab w:val="left" w:pos="426"/>
        </w:tabs>
        <w:ind w:right="-40" w:hanging="11"/>
      </w:pPr>
      <w:r w:rsidRPr="00746ACE">
        <w:t xml:space="preserve">Por otra parte, el magistrado señaló que la Jurisdicción Especial para la Paz ha priorizado el juzgamiento a los máximos responsables, pero ello no implica que se deban dejar de investigar a los no-máximos responsables, cuando así lo exigen los estándares internacionales de lucha contra la impunidad y las víctimas del conflicto armado. Además, para el interviniente, la “selección de segundo orden” no desborda las competencias de la Sala de Definición de Situaciones Jurídicas porque está respaldada por una planeación estratégica. Finalmente, la autoridad judicial indicó que las Senit 8 y 9 deben integrarse al examen de constitucionalidad sobre la Senit 5, puesto que solo así podrán superarse los reproches planteados por los demandantes. </w:t>
      </w:r>
    </w:p>
    <w:p w14:paraId="66ECD51A" w14:textId="77777777" w:rsidR="007F1EA5" w:rsidRPr="00746ACE" w:rsidRDefault="007F1EA5" w:rsidP="007F1EA5">
      <w:pPr>
        <w:pStyle w:val="Prrafodelista"/>
        <w:ind w:left="0"/>
        <w:rPr>
          <w:b/>
        </w:rPr>
      </w:pPr>
    </w:p>
    <w:p w14:paraId="59F3464F" w14:textId="7F61D31C" w:rsidR="002341B9" w:rsidRPr="00746ACE" w:rsidRDefault="00092A12" w:rsidP="001D60E3">
      <w:pPr>
        <w:pStyle w:val="Prrafodelista"/>
        <w:numPr>
          <w:ilvl w:val="0"/>
          <w:numId w:val="7"/>
        </w:numPr>
        <w:rPr>
          <w:b/>
        </w:rPr>
      </w:pPr>
      <w:r w:rsidRPr="00746ACE">
        <w:t xml:space="preserve">El </w:t>
      </w:r>
      <w:r w:rsidR="00D90626" w:rsidRPr="00746ACE">
        <w:t>ciudadano</w:t>
      </w:r>
      <w:r w:rsidRPr="00746ACE">
        <w:t xml:space="preserve"> </w:t>
      </w:r>
      <w:r w:rsidRPr="00746ACE">
        <w:rPr>
          <w:b/>
        </w:rPr>
        <w:t xml:space="preserve">Rodrigo Londoño Echeverri </w:t>
      </w:r>
      <w:r w:rsidR="007B18E1" w:rsidRPr="00746ACE">
        <w:t>solicitó</w:t>
      </w:r>
      <w:r w:rsidR="00A66677" w:rsidRPr="00746ACE">
        <w:t xml:space="preserve"> </w:t>
      </w:r>
      <w:r w:rsidR="001D60E3" w:rsidRPr="00746ACE">
        <w:t xml:space="preserve">restablecer los límites del poder interpretativo del Tribunal para la Paz. Él afirmó que </w:t>
      </w:r>
      <w:r w:rsidR="003B7FF3" w:rsidRPr="00746ACE">
        <w:t xml:space="preserve">el </w:t>
      </w:r>
      <w:r w:rsidR="004A293A" w:rsidRPr="00746ACE">
        <w:t>Acuerdo Final de Paz</w:t>
      </w:r>
      <w:r w:rsidR="003B7FF3" w:rsidRPr="00746ACE">
        <w:t>, del que formó parte</w:t>
      </w:r>
      <w:r w:rsidR="006F431B" w:rsidRPr="00746ACE">
        <w:t xml:space="preserve"> como negociador y firmante</w:t>
      </w:r>
      <w:r w:rsidR="003B7FF3" w:rsidRPr="00746ACE">
        <w:t>,</w:t>
      </w:r>
      <w:r w:rsidR="004A293A" w:rsidRPr="00746ACE">
        <w:t xml:space="preserve"> </w:t>
      </w:r>
      <w:r w:rsidR="0064485B" w:rsidRPr="00746ACE">
        <w:t>posicionó</w:t>
      </w:r>
      <w:r w:rsidR="006F431B" w:rsidRPr="00746ACE">
        <w:t xml:space="preserve"> a las víctimas del conflicto armado en el corazón de</w:t>
      </w:r>
      <w:r w:rsidR="00371907" w:rsidRPr="00746ACE">
        <w:t xml:space="preserve">l </w:t>
      </w:r>
      <w:r w:rsidRPr="00746ACE">
        <w:t>Sistema Integral de Verdad, Justicia, Reparación y No Repetición</w:t>
      </w:r>
      <w:r w:rsidR="004A293A" w:rsidRPr="00746ACE">
        <w:t xml:space="preserve">. </w:t>
      </w:r>
      <w:r w:rsidR="00CD126E" w:rsidRPr="00746ACE">
        <w:t xml:space="preserve">Luego, el interviniente señaló que la Senit 5 </w:t>
      </w:r>
      <w:r w:rsidR="00C516F1" w:rsidRPr="00746ACE">
        <w:t xml:space="preserve">creó una nueva categoría intermedia de responsabilidad que </w:t>
      </w:r>
      <w:r w:rsidR="002341B9" w:rsidRPr="00746ACE">
        <w:t>en ningún momento</w:t>
      </w:r>
      <w:r w:rsidR="00C516F1" w:rsidRPr="00746ACE">
        <w:t xml:space="preserve"> </w:t>
      </w:r>
      <w:r w:rsidR="00371907" w:rsidRPr="00746ACE">
        <w:t xml:space="preserve">se pactó en el acuerdo, lo que afecta la estabilidad </w:t>
      </w:r>
      <w:r w:rsidR="007B18E1" w:rsidRPr="00746ACE">
        <w:t xml:space="preserve">del instrumento de paz, modifica el sentido de lo pactado y debilita la confianza en el proceso. </w:t>
      </w:r>
      <w:r w:rsidR="003B7FF3" w:rsidRPr="00746ACE">
        <w:t xml:space="preserve">Además, para Rodrigo Londoño Echeverri, </w:t>
      </w:r>
      <w:r w:rsidR="0064485B" w:rsidRPr="00746ACE">
        <w:t xml:space="preserve">la Jurisdicción Especial para la Paz no es una instancia creadora de derecho, </w:t>
      </w:r>
      <w:r w:rsidR="00EE54EC" w:rsidRPr="00746ACE">
        <w:t xml:space="preserve">pues su papel se circunscribe a interpretar comprensivamente </w:t>
      </w:r>
      <w:r w:rsidR="00F12CCC" w:rsidRPr="00746ACE">
        <w:t xml:space="preserve">y con buena fe el Acuerdo Final de Paz. </w:t>
      </w:r>
    </w:p>
    <w:p w14:paraId="4B65062D" w14:textId="77777777" w:rsidR="00092A12" w:rsidRPr="00746ACE" w:rsidRDefault="00092A12" w:rsidP="00F12CCC"/>
    <w:p w14:paraId="730D912D" w14:textId="1560EFFB" w:rsidR="00281B51" w:rsidRPr="00746ACE" w:rsidRDefault="00B25B59" w:rsidP="00D03BA0">
      <w:pPr>
        <w:pStyle w:val="Prrafodelista"/>
        <w:widowControl w:val="0"/>
        <w:numPr>
          <w:ilvl w:val="0"/>
          <w:numId w:val="7"/>
        </w:numPr>
        <w:tabs>
          <w:tab w:val="left" w:pos="426"/>
        </w:tabs>
        <w:ind w:right="-40" w:hanging="11"/>
      </w:pPr>
      <w:r w:rsidRPr="00746ACE">
        <w:t>La abogada Paola Moyano Ayala</w:t>
      </w:r>
      <w:r w:rsidR="00575A64" w:rsidRPr="00746ACE">
        <w:t xml:space="preserve"> </w:t>
      </w:r>
      <w:r w:rsidRPr="00746ACE">
        <w:t>del</w:t>
      </w:r>
      <w:r w:rsidRPr="00746ACE">
        <w:rPr>
          <w:b/>
        </w:rPr>
        <w:t xml:space="preserve"> Centro de Estudios </w:t>
      </w:r>
      <w:r w:rsidR="00E04928" w:rsidRPr="00746ACE">
        <w:rPr>
          <w:b/>
        </w:rPr>
        <w:t xml:space="preserve">de Derecho, Justicia y Sociedad </w:t>
      </w:r>
      <w:r w:rsidR="0089258D" w:rsidRPr="00746ACE">
        <w:rPr>
          <w:b/>
        </w:rPr>
        <w:t>-</w:t>
      </w:r>
      <w:r w:rsidR="00E04928" w:rsidRPr="00746ACE">
        <w:rPr>
          <w:b/>
        </w:rPr>
        <w:t xml:space="preserve"> Dejusticia</w:t>
      </w:r>
      <w:r w:rsidR="0089258D" w:rsidRPr="00746ACE">
        <w:t xml:space="preserve"> </w:t>
      </w:r>
      <w:r w:rsidR="005B0956" w:rsidRPr="00746ACE">
        <w:t xml:space="preserve">sostuvo que la interpretación judicial contenida en la Senit 5 </w:t>
      </w:r>
      <w:r w:rsidR="004B1835" w:rsidRPr="00746ACE">
        <w:t>es contraria a</w:t>
      </w:r>
      <w:r w:rsidR="005B0956" w:rsidRPr="00746ACE">
        <w:t xml:space="preserve"> los elementos esenciales del Acuerdo Final de Paz y el Acto Legislativo 2 de 2017. </w:t>
      </w:r>
      <w:r w:rsidR="004B1835" w:rsidRPr="00746ACE">
        <w:t>En su criterio,</w:t>
      </w:r>
      <w:r w:rsidR="009362FD" w:rsidRPr="00746ACE">
        <w:t xml:space="preserve"> el modelo </w:t>
      </w:r>
      <w:r w:rsidR="007A28A5" w:rsidRPr="00746ACE">
        <w:t>de la Jurisdicción Especial para la Paz</w:t>
      </w:r>
      <w:r w:rsidR="009362FD" w:rsidRPr="00746ACE">
        <w:t xml:space="preserve"> está basado en la concentración de la persecución penal </w:t>
      </w:r>
      <w:r w:rsidR="0001775C" w:rsidRPr="00746ACE">
        <w:t xml:space="preserve">en los máximos responsables de los hechos más graves y representativos. Así, para la interviniente, </w:t>
      </w:r>
      <w:r w:rsidR="000C131C" w:rsidRPr="00746ACE">
        <w:t xml:space="preserve">la “selección de segundo orden” se aparta de una interpretación </w:t>
      </w:r>
      <w:r w:rsidR="00A462C4" w:rsidRPr="00746ACE">
        <w:t xml:space="preserve">fiel y </w:t>
      </w:r>
      <w:r w:rsidR="000C131C" w:rsidRPr="00746ACE">
        <w:t xml:space="preserve">restrictiva </w:t>
      </w:r>
      <w:r w:rsidR="006D7E95" w:rsidRPr="00746ACE">
        <w:t>del acuerdo</w:t>
      </w:r>
      <w:r w:rsidR="00D03BA0" w:rsidRPr="00746ACE">
        <w:t xml:space="preserve">; </w:t>
      </w:r>
      <w:r w:rsidR="005D523D" w:rsidRPr="00746ACE">
        <w:t>genera incertidumbre para los comparecientes</w:t>
      </w:r>
      <w:r w:rsidR="00D03BA0" w:rsidRPr="00746ACE">
        <w:t>;</w:t>
      </w:r>
      <w:r w:rsidR="005D523D" w:rsidRPr="00746ACE">
        <w:t xml:space="preserve"> crea rutas procesales que comprometen la estricta temporalidad y dispersa los esfuerzos institucionales. </w:t>
      </w:r>
    </w:p>
    <w:p w14:paraId="11AAF0DD" w14:textId="77777777" w:rsidR="006D7E95" w:rsidRPr="00746ACE" w:rsidRDefault="006D7E95" w:rsidP="006D7E95">
      <w:pPr>
        <w:pStyle w:val="Prrafodelista"/>
      </w:pPr>
    </w:p>
    <w:p w14:paraId="4061501F" w14:textId="15BA1B6F" w:rsidR="00CB6459" w:rsidRPr="00746ACE" w:rsidRDefault="007027F8" w:rsidP="00CB6459">
      <w:pPr>
        <w:pStyle w:val="Prrafodelista"/>
        <w:widowControl w:val="0"/>
        <w:numPr>
          <w:ilvl w:val="0"/>
          <w:numId w:val="7"/>
        </w:numPr>
        <w:tabs>
          <w:tab w:val="left" w:pos="426"/>
        </w:tabs>
        <w:ind w:right="-40" w:hanging="11"/>
      </w:pPr>
      <w:r w:rsidRPr="00746ACE">
        <w:t xml:space="preserve">Por otra parte, </w:t>
      </w:r>
      <w:r w:rsidR="006D7E95" w:rsidRPr="00746ACE">
        <w:t xml:space="preserve">Dejusticia </w:t>
      </w:r>
      <w:r w:rsidR="002A2844" w:rsidRPr="00746ACE">
        <w:t>aseguró</w:t>
      </w:r>
      <w:r w:rsidR="006D7E95" w:rsidRPr="00746ACE">
        <w:t xml:space="preserve"> que </w:t>
      </w:r>
      <w:r w:rsidR="00281B51" w:rsidRPr="00746ACE">
        <w:t xml:space="preserve">la hermenéutica </w:t>
      </w:r>
      <w:r w:rsidRPr="00746ACE">
        <w:t>de</w:t>
      </w:r>
      <w:r w:rsidR="00281B51" w:rsidRPr="00746ACE">
        <w:t xml:space="preserve">l Acuerdo </w:t>
      </w:r>
      <w:r w:rsidR="006D7E95" w:rsidRPr="00746ACE">
        <w:t xml:space="preserve">Final de Paz </w:t>
      </w:r>
      <w:r w:rsidR="00281B51" w:rsidRPr="00746ACE">
        <w:t xml:space="preserve">debe </w:t>
      </w:r>
      <w:r w:rsidRPr="00746ACE">
        <w:t>guiarse</w:t>
      </w:r>
      <w:r w:rsidR="00281B51" w:rsidRPr="00746ACE">
        <w:t xml:space="preserve"> </w:t>
      </w:r>
      <w:r w:rsidRPr="00746ACE">
        <w:t>por</w:t>
      </w:r>
      <w:r w:rsidR="00281B51" w:rsidRPr="00746ACE">
        <w:t xml:space="preserve"> </w:t>
      </w:r>
      <w:r w:rsidRPr="00746ACE">
        <w:t xml:space="preserve">el </w:t>
      </w:r>
      <w:r w:rsidR="00281B51" w:rsidRPr="00746ACE">
        <w:t>principio</w:t>
      </w:r>
      <w:r w:rsidR="00994CAA" w:rsidRPr="00746ACE">
        <w:t xml:space="preserve"> de</w:t>
      </w:r>
      <w:r w:rsidR="00281B51" w:rsidRPr="00746ACE">
        <w:t xml:space="preserve"> </w:t>
      </w:r>
      <w:r w:rsidR="00281B51" w:rsidRPr="00746ACE">
        <w:rPr>
          <w:i/>
        </w:rPr>
        <w:t>pacta sunt servanda</w:t>
      </w:r>
      <w:r w:rsidRPr="00746ACE">
        <w:t xml:space="preserve"> y los criterios de prevalencia de la intención y de la interpretación útil</w:t>
      </w:r>
      <w:r w:rsidR="00281B51" w:rsidRPr="00746ACE">
        <w:t xml:space="preserve">. En ese sentido, </w:t>
      </w:r>
      <w:r w:rsidR="00166B55" w:rsidRPr="00746ACE">
        <w:t>el centro</w:t>
      </w:r>
      <w:r w:rsidR="00281B51" w:rsidRPr="00746ACE">
        <w:t xml:space="preserve"> destacó que el Acto Legislativo 2 de 2017 impone </w:t>
      </w:r>
      <w:r w:rsidR="00166B55" w:rsidRPr="00746ACE">
        <w:t>un deber</w:t>
      </w:r>
      <w:r w:rsidR="009267B2" w:rsidRPr="00746ACE">
        <w:t xml:space="preserve"> a</w:t>
      </w:r>
      <w:r w:rsidR="00281B51" w:rsidRPr="00746ACE">
        <w:t xml:space="preserve"> todas las autoridades de actuar con coherencia e integralidad respecto de lo acordado, lo que limita el margen de interpretación creativa en aspectos esenciales</w:t>
      </w:r>
      <w:r w:rsidR="009267B2" w:rsidRPr="00746ACE">
        <w:t>,</w:t>
      </w:r>
      <w:r w:rsidR="00281B51" w:rsidRPr="00746ACE">
        <w:t xml:space="preserve"> como </w:t>
      </w:r>
      <w:r w:rsidR="002A2844" w:rsidRPr="00746ACE">
        <w:t>el principio de</w:t>
      </w:r>
      <w:r w:rsidR="00281B51" w:rsidRPr="00746ACE">
        <w:t xml:space="preserve"> selección y el modelo sancionatorio.</w:t>
      </w:r>
    </w:p>
    <w:p w14:paraId="704B8BBA" w14:textId="77777777" w:rsidR="00CB6459" w:rsidRPr="00746ACE" w:rsidRDefault="00CB6459" w:rsidP="00CB6459">
      <w:pPr>
        <w:pStyle w:val="Prrafodelista"/>
      </w:pPr>
    </w:p>
    <w:p w14:paraId="5B868C2F" w14:textId="0FA8AB6E" w:rsidR="00384AD2" w:rsidRPr="00746ACE" w:rsidRDefault="00CB6459" w:rsidP="00384AD2">
      <w:pPr>
        <w:pStyle w:val="Prrafodelista"/>
        <w:widowControl w:val="0"/>
        <w:numPr>
          <w:ilvl w:val="0"/>
          <w:numId w:val="7"/>
        </w:numPr>
        <w:tabs>
          <w:tab w:val="left" w:pos="426"/>
        </w:tabs>
        <w:ind w:right="-40" w:hanging="11"/>
      </w:pPr>
      <w:r w:rsidRPr="00746ACE">
        <w:t>El</w:t>
      </w:r>
      <w:r w:rsidR="00B362DF" w:rsidRPr="00746ACE">
        <w:t xml:space="preserve"> </w:t>
      </w:r>
      <w:r w:rsidR="00B70221" w:rsidRPr="00746ACE">
        <w:t>representante</w:t>
      </w:r>
      <w:r w:rsidR="00B362DF" w:rsidRPr="00746ACE">
        <w:t xml:space="preserve"> del </w:t>
      </w:r>
      <w:r w:rsidR="00B70221" w:rsidRPr="00746ACE">
        <w:rPr>
          <w:b/>
        </w:rPr>
        <w:t>Fondo de Defensa Técnica de la Fuerza Pública - Fondetec</w:t>
      </w:r>
      <w:r w:rsidR="00B70221" w:rsidRPr="00746ACE">
        <w:t>, Raúl Alfonso Gutiérrez Romero, expuso que la Senit 5 estaba destinada a suplir</w:t>
      </w:r>
      <w:r w:rsidR="000B2EFA" w:rsidRPr="00746ACE">
        <w:t xml:space="preserve"> algunas lagunas sobre la selección negativa y el régimen de condicionalidad de comparecientes no seleccionados, pero el alcance de la interpretación ahí contenida </w:t>
      </w:r>
      <w:r w:rsidR="00E11299" w:rsidRPr="00746ACE">
        <w:t xml:space="preserve">excedió los márgenes de acción de la Sección de Apelación, </w:t>
      </w:r>
      <w:r w:rsidR="000969F2" w:rsidRPr="00746ACE">
        <w:t xml:space="preserve">invadió las competencias del legislador estatutario y generó cargas procesales más gravosas para los comparecientes no seleccionados. Según el interviniente, las normas acusadas introdujeron </w:t>
      </w:r>
      <w:r w:rsidR="00850885" w:rsidRPr="00746ACE">
        <w:t xml:space="preserve">un modelo de </w:t>
      </w:r>
      <w:r w:rsidR="00926889" w:rsidRPr="00746ACE">
        <w:t>“</w:t>
      </w:r>
      <w:r w:rsidR="00850885" w:rsidRPr="00746ACE">
        <w:t>justicia de gestión</w:t>
      </w:r>
      <w:r w:rsidR="00926889" w:rsidRPr="00746ACE">
        <w:t xml:space="preserve">” </w:t>
      </w:r>
      <w:r w:rsidR="00850885" w:rsidRPr="00746ACE">
        <w:t xml:space="preserve">que le otorga una facultad a la Sala de Definición de Situaciones Jurídicas para valorar la responsabilidad de los comparecientes no seleccionados. </w:t>
      </w:r>
      <w:r w:rsidRPr="00746ACE">
        <w:t xml:space="preserve">A su juicio, esta </w:t>
      </w:r>
      <w:r w:rsidR="003461AA" w:rsidRPr="00746ACE">
        <w:t xml:space="preserve">nueva configuración </w:t>
      </w:r>
      <w:r w:rsidRPr="00746ACE">
        <w:t>diluye la</w:t>
      </w:r>
      <w:r w:rsidR="00607623" w:rsidRPr="00746ACE">
        <w:t>s</w:t>
      </w:r>
      <w:r w:rsidRPr="00746ACE">
        <w:t xml:space="preserve"> </w:t>
      </w:r>
      <w:r w:rsidR="00607623" w:rsidRPr="00746ACE">
        <w:t>diferencias</w:t>
      </w:r>
      <w:r w:rsidRPr="00746ACE">
        <w:t xml:space="preserve"> entre máximos responsables y </w:t>
      </w:r>
      <w:r w:rsidR="003461AA" w:rsidRPr="00746ACE">
        <w:t xml:space="preserve">comparecientes </w:t>
      </w:r>
      <w:r w:rsidRPr="00746ACE">
        <w:t xml:space="preserve">no seleccionados, pues les impone </w:t>
      </w:r>
      <w:r w:rsidR="003461AA" w:rsidRPr="00746ACE">
        <w:t>un</w:t>
      </w:r>
      <w:r w:rsidR="00607623" w:rsidRPr="00746ACE">
        <w:t xml:space="preserve">os deberes muy </w:t>
      </w:r>
      <w:r w:rsidRPr="00746ACE">
        <w:t xml:space="preserve">similares en materia de verdad, reconocimiento y reparación para permanecer en el sistema </w:t>
      </w:r>
      <w:r w:rsidR="003461AA" w:rsidRPr="00746ACE">
        <w:t>transicional</w:t>
      </w:r>
      <w:r w:rsidRPr="00746ACE">
        <w:t>.</w:t>
      </w:r>
    </w:p>
    <w:p w14:paraId="6D36B4A6" w14:textId="77777777" w:rsidR="007F1EA5" w:rsidRPr="00746ACE" w:rsidRDefault="007F1EA5" w:rsidP="007F1EA5">
      <w:pPr>
        <w:pStyle w:val="Prrafodelista"/>
        <w:widowControl w:val="0"/>
        <w:tabs>
          <w:tab w:val="left" w:pos="426"/>
        </w:tabs>
        <w:ind w:left="0" w:right="-40"/>
      </w:pPr>
    </w:p>
    <w:p w14:paraId="0835D32C" w14:textId="19F53664" w:rsidR="00F84413" w:rsidRPr="00746ACE" w:rsidRDefault="00F84413" w:rsidP="007D3185">
      <w:pPr>
        <w:pStyle w:val="Prrafodelista"/>
        <w:widowControl w:val="0"/>
        <w:numPr>
          <w:ilvl w:val="0"/>
          <w:numId w:val="7"/>
        </w:numPr>
        <w:tabs>
          <w:tab w:val="left" w:pos="426"/>
        </w:tabs>
        <w:ind w:right="-40" w:hanging="11"/>
      </w:pPr>
      <w:r w:rsidRPr="00746ACE">
        <w:t xml:space="preserve">La profesora </w:t>
      </w:r>
      <w:r w:rsidRPr="00746ACE">
        <w:rPr>
          <w:b/>
        </w:rPr>
        <w:t>María Paula Saffón</w:t>
      </w:r>
      <w:r w:rsidRPr="00746ACE">
        <w:t xml:space="preserve"> de la Universidad Torcuato di Tella explicó que</w:t>
      </w:r>
      <w:r w:rsidR="00CC51EA" w:rsidRPr="00746ACE">
        <w:t xml:space="preserve">, </w:t>
      </w:r>
      <w:r w:rsidR="00C15894" w:rsidRPr="00746ACE">
        <w:t xml:space="preserve">en ausencia de herramientas de selección y priorización, los tribunales transicionales no </w:t>
      </w:r>
      <w:r w:rsidR="00992509" w:rsidRPr="00746ACE">
        <w:t>concentra</w:t>
      </w:r>
      <w:r w:rsidR="009F734A" w:rsidRPr="00746ACE">
        <w:t>n</w:t>
      </w:r>
      <w:r w:rsidR="00992509" w:rsidRPr="00746ACE">
        <w:t xml:space="preserve"> sus esfuerzos</w:t>
      </w:r>
      <w:r w:rsidR="00C15894" w:rsidRPr="00746ACE">
        <w:t xml:space="preserve"> en los casos más graves cometidos por los máximos responsables. </w:t>
      </w:r>
      <w:r w:rsidR="009F734A" w:rsidRPr="00746ACE">
        <w:t xml:space="preserve">Según </w:t>
      </w:r>
      <w:r w:rsidR="007D3185" w:rsidRPr="00746ACE">
        <w:t xml:space="preserve">la intervención, </w:t>
      </w:r>
      <w:r w:rsidR="009F734A" w:rsidRPr="00746ACE">
        <w:t xml:space="preserve">los tribunales </w:t>
      </w:r>
      <w:r w:rsidR="00D043F7" w:rsidRPr="00746ACE">
        <w:t>con competencias subsidiarias o temporalmente limitadas</w:t>
      </w:r>
      <w:r w:rsidR="007D3185" w:rsidRPr="00746ACE">
        <w:t xml:space="preserve"> (</w:t>
      </w:r>
      <w:r w:rsidR="007D3185" w:rsidRPr="00746ACE">
        <w:rPr>
          <w:i/>
        </w:rPr>
        <w:t>v.gr</w:t>
      </w:r>
      <w:r w:rsidR="007D3185" w:rsidRPr="00746ACE">
        <w:t>.,</w:t>
      </w:r>
      <w:r w:rsidR="00CA5692" w:rsidRPr="00746ACE">
        <w:t xml:space="preserve"> </w:t>
      </w:r>
      <w:r w:rsidRPr="00746ACE">
        <w:t>el Tribunal de Núremberg, el Tribunal para la ex Yugoslavia</w:t>
      </w:r>
      <w:r w:rsidR="00CA5692" w:rsidRPr="00746ACE">
        <w:t xml:space="preserve"> y la Corte Penal Internacional</w:t>
      </w:r>
      <w:r w:rsidR="007D3185" w:rsidRPr="00746ACE">
        <w:t>)</w:t>
      </w:r>
      <w:r w:rsidR="00CA5692" w:rsidRPr="00746ACE">
        <w:t xml:space="preserve"> sí </w:t>
      </w:r>
      <w:r w:rsidR="007D3185" w:rsidRPr="00746ACE">
        <w:t>suelen emplear</w:t>
      </w:r>
      <w:r w:rsidR="00CA5692" w:rsidRPr="00746ACE">
        <w:t xml:space="preserve"> esas herramientas </w:t>
      </w:r>
      <w:r w:rsidR="007D3185" w:rsidRPr="00746ACE">
        <w:t>para racionalizar la persecución penal</w:t>
      </w:r>
      <w:r w:rsidR="00936B1D" w:rsidRPr="00746ACE">
        <w:t xml:space="preserve">. </w:t>
      </w:r>
    </w:p>
    <w:p w14:paraId="4ED5567D" w14:textId="77777777" w:rsidR="00C20958" w:rsidRPr="00746ACE" w:rsidRDefault="00C20958" w:rsidP="00C20958">
      <w:pPr>
        <w:pStyle w:val="Prrafodelista"/>
      </w:pPr>
    </w:p>
    <w:p w14:paraId="4F7915E1" w14:textId="67C38875" w:rsidR="00936B1D" w:rsidRPr="00746ACE" w:rsidRDefault="00400FBB" w:rsidP="006B0EB6">
      <w:pPr>
        <w:pStyle w:val="Prrafodelista"/>
        <w:widowControl w:val="0"/>
        <w:numPr>
          <w:ilvl w:val="0"/>
          <w:numId w:val="7"/>
        </w:numPr>
        <w:tabs>
          <w:tab w:val="left" w:pos="426"/>
        </w:tabs>
        <w:ind w:right="-40" w:hanging="11"/>
      </w:pPr>
      <w:r w:rsidRPr="00746ACE">
        <w:t xml:space="preserve">Para la interviniente, </w:t>
      </w:r>
      <w:r w:rsidR="00CA0545" w:rsidRPr="00746ACE">
        <w:t xml:space="preserve">la “selección de segundo orden” </w:t>
      </w:r>
      <w:r w:rsidR="005A656B" w:rsidRPr="00746ACE">
        <w:t xml:space="preserve">conduce a valoraciones del </w:t>
      </w:r>
      <w:r w:rsidR="005A656B" w:rsidRPr="00746ACE">
        <w:rPr>
          <w:i/>
        </w:rPr>
        <w:t>caso a caso</w:t>
      </w:r>
      <w:r w:rsidR="008E209F" w:rsidRPr="00746ACE">
        <w:t xml:space="preserve"> </w:t>
      </w:r>
      <w:r w:rsidR="005A656B" w:rsidRPr="00746ACE">
        <w:t xml:space="preserve">que </w:t>
      </w:r>
      <w:r w:rsidR="00CA0545" w:rsidRPr="00746ACE">
        <w:t>amenaza</w:t>
      </w:r>
      <w:r w:rsidR="008E209F" w:rsidRPr="00746ACE">
        <w:t>n</w:t>
      </w:r>
      <w:r w:rsidR="00CA0545" w:rsidRPr="00746ACE">
        <w:t xml:space="preserve"> la estabilidad del Acuerdo Final de Paz, </w:t>
      </w:r>
      <w:r w:rsidR="005A656B" w:rsidRPr="00746ACE">
        <w:t>desconoce</w:t>
      </w:r>
      <w:r w:rsidR="008E209F" w:rsidRPr="00746ACE">
        <w:t>n</w:t>
      </w:r>
      <w:r w:rsidR="00F84413" w:rsidRPr="00746ACE">
        <w:t xml:space="preserve"> </w:t>
      </w:r>
      <w:r w:rsidR="00CA0545" w:rsidRPr="00746ACE">
        <w:t xml:space="preserve">las </w:t>
      </w:r>
      <w:r w:rsidR="00F84413" w:rsidRPr="00746ACE">
        <w:t>funciones de la Sala de Reconocimiento</w:t>
      </w:r>
      <w:r w:rsidR="005A656B" w:rsidRPr="00746ACE">
        <w:t xml:space="preserve"> y </w:t>
      </w:r>
      <w:r w:rsidR="00CA0545" w:rsidRPr="00746ACE">
        <w:t>contraviene</w:t>
      </w:r>
      <w:r w:rsidR="008E209F" w:rsidRPr="00746ACE">
        <w:t>n</w:t>
      </w:r>
      <w:r w:rsidR="00F84413" w:rsidRPr="00746ACE">
        <w:t xml:space="preserve"> el principio de </w:t>
      </w:r>
      <w:r w:rsidR="005A656B" w:rsidRPr="00746ACE">
        <w:t xml:space="preserve">estricta </w:t>
      </w:r>
      <w:r w:rsidR="00F84413" w:rsidRPr="00746ACE">
        <w:t>temporalidad</w:t>
      </w:r>
      <w:r w:rsidR="005A656B" w:rsidRPr="00746ACE">
        <w:t xml:space="preserve">. En esa medida, la profesora </w:t>
      </w:r>
      <w:r w:rsidR="00F84413" w:rsidRPr="00746ACE">
        <w:t xml:space="preserve">reconoció que la Sala de Definición </w:t>
      </w:r>
      <w:r w:rsidR="005A656B" w:rsidRPr="00746ACE">
        <w:t xml:space="preserve">de Situaciones Jurídicas puede seleccionar y priorizar, pero solo en aquello que contribuya a la justicia restaurativa. </w:t>
      </w:r>
      <w:r w:rsidR="00E31726" w:rsidRPr="00746ACE">
        <w:t>En</w:t>
      </w:r>
      <w:r w:rsidR="005A656B" w:rsidRPr="00746ACE">
        <w:t xml:space="preserve"> su criterio, la “selección de segundo orden” solo debería proceder ante graves errores en la selección negativa</w:t>
      </w:r>
      <w:r w:rsidR="001113E1" w:rsidRPr="00746ACE">
        <w:t xml:space="preserve">, </w:t>
      </w:r>
      <w:r w:rsidR="00E31726" w:rsidRPr="00746ACE">
        <w:t xml:space="preserve">con apoyo en metodologías transparentes que agrupen casos y que eviten </w:t>
      </w:r>
      <w:r w:rsidR="006B0EB6" w:rsidRPr="00746ACE">
        <w:t xml:space="preserve">la dilación </w:t>
      </w:r>
      <w:r w:rsidR="00C95587" w:rsidRPr="00746ACE">
        <w:t>procesal</w:t>
      </w:r>
      <w:r w:rsidR="006B0EB6" w:rsidRPr="00746ACE">
        <w:t xml:space="preserve">. </w:t>
      </w:r>
      <w:r w:rsidR="00F84413" w:rsidRPr="00746ACE">
        <w:t xml:space="preserve">Además, </w:t>
      </w:r>
      <w:r w:rsidR="006B0EB6" w:rsidRPr="00746ACE">
        <w:t xml:space="preserve">ella </w:t>
      </w:r>
      <w:r w:rsidR="00F84413" w:rsidRPr="00746ACE">
        <w:t xml:space="preserve">sugirió que </w:t>
      </w:r>
      <w:r w:rsidR="006B0EB6" w:rsidRPr="00746ACE">
        <w:t xml:space="preserve">los </w:t>
      </w:r>
      <w:r w:rsidR="00F84413" w:rsidRPr="00746ACE">
        <w:t xml:space="preserve">comparecientes beneficiarios de </w:t>
      </w:r>
      <w:r w:rsidR="00001339" w:rsidRPr="00746ACE">
        <w:t xml:space="preserve">la </w:t>
      </w:r>
      <w:r w:rsidR="00F84413" w:rsidRPr="00746ACE">
        <w:t xml:space="preserve">renuncia a la persecución penal </w:t>
      </w:r>
      <w:r w:rsidR="006B0EB6" w:rsidRPr="00746ACE">
        <w:t>deberían participar</w:t>
      </w:r>
      <w:r w:rsidR="00F84413" w:rsidRPr="00746ACE">
        <w:t xml:space="preserve"> en los trabajos, obras y actividades con contenido restaurador-reparador.</w:t>
      </w:r>
    </w:p>
    <w:p w14:paraId="5F8CAAAB" w14:textId="77777777" w:rsidR="00194A74" w:rsidRPr="00746ACE" w:rsidRDefault="00194A74" w:rsidP="00194A74">
      <w:pPr>
        <w:pStyle w:val="Prrafodelista"/>
        <w:widowControl w:val="0"/>
        <w:tabs>
          <w:tab w:val="left" w:pos="426"/>
        </w:tabs>
        <w:ind w:left="0" w:right="-40"/>
      </w:pPr>
    </w:p>
    <w:p w14:paraId="2BBFFB72" w14:textId="2318D2D8" w:rsidR="00194A74" w:rsidRPr="00746ACE" w:rsidRDefault="00194A74" w:rsidP="0032384D">
      <w:pPr>
        <w:pStyle w:val="Prrafodelista"/>
        <w:widowControl w:val="0"/>
        <w:numPr>
          <w:ilvl w:val="0"/>
          <w:numId w:val="7"/>
        </w:numPr>
        <w:tabs>
          <w:tab w:val="left" w:pos="426"/>
        </w:tabs>
        <w:ind w:right="-40" w:hanging="11"/>
      </w:pPr>
      <w:r w:rsidRPr="00746ACE">
        <w:t>El profesor</w:t>
      </w:r>
      <w:r w:rsidRPr="00746ACE">
        <w:rPr>
          <w:b/>
        </w:rPr>
        <w:t xml:space="preserve"> René Urueña Hernández </w:t>
      </w:r>
      <w:r w:rsidRPr="00746ACE">
        <w:t>de la Universidad de los Ande</w:t>
      </w:r>
      <w:r w:rsidR="00DD513B" w:rsidRPr="00746ACE">
        <w:t xml:space="preserve">s sostuvo que, en el Derecho Penal Internacional, </w:t>
      </w:r>
      <w:r w:rsidR="00640AC9" w:rsidRPr="00746ACE">
        <w:t xml:space="preserve">los casos no seleccionados por las cortes pueden </w:t>
      </w:r>
      <w:r w:rsidR="006B6095" w:rsidRPr="00746ACE">
        <w:t xml:space="preserve">igualmente </w:t>
      </w:r>
      <w:r w:rsidR="00C34EE2" w:rsidRPr="00746ACE">
        <w:t>someterse</w:t>
      </w:r>
      <w:r w:rsidR="00640AC9" w:rsidRPr="00746ACE">
        <w:t xml:space="preserve"> </w:t>
      </w:r>
      <w:r w:rsidR="00C34EE2" w:rsidRPr="00746ACE">
        <w:t xml:space="preserve">a la </w:t>
      </w:r>
      <w:r w:rsidR="006B6095" w:rsidRPr="00746ACE">
        <w:t>justicia</w:t>
      </w:r>
      <w:r w:rsidR="00C34EE2" w:rsidRPr="00746ACE">
        <w:t xml:space="preserve"> nacional; en cambio, en la Jurisdicción Especial para la Paz no existe una instancia análoga</w:t>
      </w:r>
      <w:r w:rsidR="0010427E" w:rsidRPr="00746ACE">
        <w:t xml:space="preserve">. Luego, el interviniente destacó </w:t>
      </w:r>
      <w:r w:rsidR="00717E3A" w:rsidRPr="00746ACE">
        <w:t xml:space="preserve">que </w:t>
      </w:r>
      <w:r w:rsidR="00EA6954" w:rsidRPr="00746ACE">
        <w:t xml:space="preserve">la selección </w:t>
      </w:r>
      <w:r w:rsidR="00C72731" w:rsidRPr="00746ACE">
        <w:t xml:space="preserve">puede alcanzar un equilibrio con los derechos de las víctimas mediante </w:t>
      </w:r>
      <w:r w:rsidR="00A128DE" w:rsidRPr="00746ACE">
        <w:t>la</w:t>
      </w:r>
      <w:r w:rsidR="00C72731" w:rsidRPr="00746ACE">
        <w:t xml:space="preserve"> participación </w:t>
      </w:r>
      <w:r w:rsidR="0046741B" w:rsidRPr="00746ACE">
        <w:t xml:space="preserve">procesal </w:t>
      </w:r>
      <w:r w:rsidR="00A128DE" w:rsidRPr="00746ACE">
        <w:t>de aquellas</w:t>
      </w:r>
      <w:r w:rsidR="00C72731" w:rsidRPr="00746ACE">
        <w:t xml:space="preserve">, el uso de mecanismos de reparación para </w:t>
      </w:r>
      <w:r w:rsidR="00A128DE" w:rsidRPr="00746ACE">
        <w:t xml:space="preserve">casos no seleccionados y la actividad coordinada con órganos no judiciales, como las comisiones de la verdad. </w:t>
      </w:r>
      <w:r w:rsidR="0046741B" w:rsidRPr="00746ACE">
        <w:t xml:space="preserve">Según explicó, en un examen </w:t>
      </w:r>
      <w:r w:rsidR="00786028" w:rsidRPr="00746ACE">
        <w:t xml:space="preserve">del 2021, </w:t>
      </w:r>
      <w:r w:rsidR="0046741B" w:rsidRPr="00746ACE">
        <w:t xml:space="preserve">la Corte Penal Internacional </w:t>
      </w:r>
      <w:r w:rsidR="00786028" w:rsidRPr="00746ACE">
        <w:t xml:space="preserve">concluyó que la Jurisdicción Especial para la Paz estaba ejerciendo sus funciones genuinamente, lo que demuestra que </w:t>
      </w:r>
      <w:r w:rsidRPr="00746ACE">
        <w:t xml:space="preserve">enfocar los esfuerzos en los máximos responsables </w:t>
      </w:r>
      <w:r w:rsidR="0032384D" w:rsidRPr="00746ACE">
        <w:t xml:space="preserve">es válido a nivel internacional, </w:t>
      </w:r>
      <w:r w:rsidRPr="00746ACE">
        <w:t xml:space="preserve">siempre que se preserve </w:t>
      </w:r>
      <w:r w:rsidR="0032384D" w:rsidRPr="00746ACE">
        <w:t>el</w:t>
      </w:r>
      <w:r w:rsidRPr="00746ACE">
        <w:t xml:space="preserve"> deber de justicia.</w:t>
      </w:r>
    </w:p>
    <w:p w14:paraId="7F1E00CE" w14:textId="77777777" w:rsidR="00194A74" w:rsidRPr="00746ACE" w:rsidRDefault="00194A74" w:rsidP="00194A74">
      <w:pPr>
        <w:pStyle w:val="Prrafodelista"/>
      </w:pPr>
    </w:p>
    <w:p w14:paraId="3D11C81C" w14:textId="70D06E3D" w:rsidR="00194A74" w:rsidRPr="00746ACE" w:rsidRDefault="003069DD" w:rsidP="00096614">
      <w:pPr>
        <w:pStyle w:val="Prrafodelista"/>
        <w:widowControl w:val="0"/>
        <w:numPr>
          <w:ilvl w:val="0"/>
          <w:numId w:val="7"/>
        </w:numPr>
        <w:tabs>
          <w:tab w:val="left" w:pos="426"/>
        </w:tabs>
        <w:ind w:right="-40" w:hanging="11"/>
      </w:pPr>
      <w:r w:rsidRPr="00746ACE">
        <w:t xml:space="preserve">El profesor recordó que la controversia </w:t>
      </w:r>
      <w:r w:rsidR="00E632F8" w:rsidRPr="00746ACE">
        <w:t xml:space="preserve">que ocupa a la Corte </w:t>
      </w:r>
      <w:r w:rsidRPr="00746ACE">
        <w:t xml:space="preserve">surge </w:t>
      </w:r>
      <w:r w:rsidR="00E632F8" w:rsidRPr="00746ACE">
        <w:t>por</w:t>
      </w:r>
      <w:r w:rsidRPr="00746ACE">
        <w:t xml:space="preserve"> un desacuerdo </w:t>
      </w:r>
      <w:r w:rsidR="00E632F8" w:rsidRPr="00746ACE">
        <w:t>de</w:t>
      </w:r>
      <w:r w:rsidRPr="00746ACE">
        <w:t xml:space="preserve"> interpretación jurídica: mientras que los demandantes alegan </w:t>
      </w:r>
      <w:r w:rsidR="00194A74" w:rsidRPr="00746ACE">
        <w:t xml:space="preserve">una violación al principio de legalidad </w:t>
      </w:r>
      <w:r w:rsidR="00AA0620" w:rsidRPr="00746ACE">
        <w:t>con ocasión de</w:t>
      </w:r>
      <w:r w:rsidRPr="00746ACE">
        <w:t xml:space="preserve"> un giro hacia un modelo de</w:t>
      </w:r>
      <w:r w:rsidR="00D03BA0" w:rsidRPr="00746ACE">
        <w:t xml:space="preserve"> investigación </w:t>
      </w:r>
      <w:r w:rsidRPr="00746ACE">
        <w:rPr>
          <w:i/>
        </w:rPr>
        <w:t>caso a caso</w:t>
      </w:r>
      <w:r w:rsidRPr="00746ACE">
        <w:t xml:space="preserve">, la Sección de Apelación defiende que la Senit 5 </w:t>
      </w:r>
      <w:r w:rsidR="00194A74" w:rsidRPr="00746ACE">
        <w:t xml:space="preserve">solo </w:t>
      </w:r>
      <w:r w:rsidRPr="00746ACE">
        <w:t>dio</w:t>
      </w:r>
      <w:r w:rsidR="00194A74" w:rsidRPr="00746ACE">
        <w:t xml:space="preserve"> cumplimiento efectivo al artículo 129 de la Ley Estatutaria</w:t>
      </w:r>
      <w:r w:rsidR="00096614" w:rsidRPr="00746ACE">
        <w:t xml:space="preserve"> 1957 de 2019</w:t>
      </w:r>
      <w:r w:rsidR="00194A74" w:rsidRPr="00746ACE">
        <w:t xml:space="preserve">. </w:t>
      </w:r>
      <w:r w:rsidR="00096614" w:rsidRPr="00746ACE">
        <w:t>Así, en su criterio, la interpretación de la Sección de Apelación es una postura plausible</w:t>
      </w:r>
      <w:r w:rsidR="00194A74" w:rsidRPr="00746ACE">
        <w:t xml:space="preserve"> </w:t>
      </w:r>
      <w:r w:rsidR="00D03BA0" w:rsidRPr="00746ACE">
        <w:t>desde el punto de vista del derecho penal internacional,</w:t>
      </w:r>
      <w:r w:rsidR="00194A74" w:rsidRPr="00746ACE">
        <w:t xml:space="preserve"> por lo que debe respetarse la autonomía interpretativa de la Jurisdicción Especial para la Paz.</w:t>
      </w:r>
    </w:p>
    <w:p w14:paraId="6F609B04" w14:textId="77777777" w:rsidR="00194A74" w:rsidRPr="00746ACE" w:rsidRDefault="00194A74" w:rsidP="00F84413"/>
    <w:p w14:paraId="57BE7CCC" w14:textId="5D4350C8" w:rsidR="00AA0620" w:rsidRPr="00746ACE" w:rsidRDefault="00AA0620" w:rsidP="008F2AA2">
      <w:pPr>
        <w:pStyle w:val="Prrafodelista"/>
        <w:widowControl w:val="0"/>
        <w:numPr>
          <w:ilvl w:val="0"/>
          <w:numId w:val="7"/>
        </w:numPr>
        <w:tabs>
          <w:tab w:val="left" w:pos="426"/>
        </w:tabs>
        <w:ind w:right="-40" w:hanging="11"/>
      </w:pPr>
      <w:r w:rsidRPr="00746ACE">
        <w:t xml:space="preserve">La directora del Programa para Colombia del </w:t>
      </w:r>
      <w:r w:rsidRPr="00746ACE">
        <w:rPr>
          <w:b/>
        </w:rPr>
        <w:t>Centro Internacional por la Justicia Transicional</w:t>
      </w:r>
      <w:r w:rsidRPr="00746ACE">
        <w:t>, María Camila Moreno</w:t>
      </w:r>
      <w:r w:rsidR="008F2AA2" w:rsidRPr="00746ACE">
        <w:t xml:space="preserve">, </w:t>
      </w:r>
      <w:r w:rsidRPr="00746ACE">
        <w:t>expuso que los desarrollos jurisprudenciales de la Jurisdicción Especial para la Paz deben promover su legitimidad institucional e impulsar la finalización del conflicto armado. En su criterio, cualquier interpretación que conduzca a que se despliegue una investigación sobre hechos individualmente considerados implica un desconocimiento del principio de selección, que es un elemento definitorio del modelo transicional.</w:t>
      </w:r>
      <w:r w:rsidR="008F2AA2" w:rsidRPr="00746ACE">
        <w:t xml:space="preserve"> </w:t>
      </w:r>
      <w:r w:rsidRPr="00746ACE">
        <w:t xml:space="preserve">A partir de las experiencias de los Tribunales de Nuremberg, Camboya, ex Yugoslavia y la Corte Penal Internacional, </w:t>
      </w:r>
      <w:r w:rsidR="008F2AA2" w:rsidRPr="00746ACE">
        <w:t>la interviniente</w:t>
      </w:r>
      <w:r w:rsidRPr="00746ACE">
        <w:t xml:space="preserve"> describió la manera en que los mecanismos de selección en contextos transicionales permiten concentrar esfuerzos de investigación y judicialización en determinados responsables, así como identificar patrones de criminalidad dentro de las estructuras criminales, en especial, cuando se trata de “crímenes de sistema”.</w:t>
      </w:r>
    </w:p>
    <w:p w14:paraId="3BFD9917" w14:textId="77777777" w:rsidR="00AA0620" w:rsidRPr="00746ACE" w:rsidRDefault="00AA0620" w:rsidP="00F84413"/>
    <w:p w14:paraId="341CE9BA" w14:textId="29158A6F" w:rsidR="009A73B2" w:rsidRPr="00746ACE" w:rsidRDefault="007E1994" w:rsidP="004E2F56">
      <w:pPr>
        <w:pStyle w:val="Prrafodelista"/>
        <w:widowControl w:val="0"/>
        <w:numPr>
          <w:ilvl w:val="0"/>
          <w:numId w:val="7"/>
        </w:numPr>
        <w:tabs>
          <w:tab w:val="left" w:pos="426"/>
        </w:tabs>
        <w:ind w:right="-40" w:hanging="11"/>
      </w:pPr>
      <w:r w:rsidRPr="00746ACE">
        <w:t xml:space="preserve">La directora de la </w:t>
      </w:r>
      <w:r w:rsidRPr="00746ACE">
        <w:rPr>
          <w:b/>
        </w:rPr>
        <w:t>Comisión Colombiana de Juristas</w:t>
      </w:r>
      <w:r w:rsidR="000B25D5" w:rsidRPr="00746ACE">
        <w:t xml:space="preserve">, Ana María Rodríguez Valencia, </w:t>
      </w:r>
      <w:r w:rsidR="004E2F56" w:rsidRPr="00746ACE">
        <w:t xml:space="preserve">sostuvo que la interpretación contenida en la Senit 5 vulnera </w:t>
      </w:r>
      <w:r w:rsidR="009A73B2" w:rsidRPr="00746ACE">
        <w:t>el principio de legalidad, la reserva de ley estatutaria y la estructura institucional del sistema transicional, por cuanto desvirtúa el modelo de selección pactado en el Acuerdo Final, afecta la seguridad jurídica y pone en riesgo las finalidades restaurativas de la Jurisdicción Especial para la Paz.</w:t>
      </w:r>
    </w:p>
    <w:p w14:paraId="728113FF" w14:textId="77777777" w:rsidR="004E2F56" w:rsidRPr="00746ACE" w:rsidRDefault="004E2F56" w:rsidP="004E2F56">
      <w:pPr>
        <w:pStyle w:val="Prrafodelista"/>
        <w:widowControl w:val="0"/>
        <w:tabs>
          <w:tab w:val="left" w:pos="426"/>
        </w:tabs>
        <w:ind w:left="0" w:right="-40"/>
      </w:pPr>
    </w:p>
    <w:p w14:paraId="170FCB79" w14:textId="2DFDB131" w:rsidR="007E1994" w:rsidRPr="00746ACE" w:rsidRDefault="00BC5F8F" w:rsidP="008A2417">
      <w:pPr>
        <w:pStyle w:val="Prrafodelista"/>
        <w:widowControl w:val="0"/>
        <w:numPr>
          <w:ilvl w:val="0"/>
          <w:numId w:val="7"/>
        </w:numPr>
        <w:tabs>
          <w:tab w:val="left" w:pos="426"/>
        </w:tabs>
        <w:ind w:right="-40" w:hanging="11"/>
      </w:pPr>
      <w:r w:rsidRPr="00746ACE">
        <w:t xml:space="preserve">Para la comisión, </w:t>
      </w:r>
      <w:r w:rsidR="000B25D5" w:rsidRPr="00746ACE">
        <w:t>las obligaciones</w:t>
      </w:r>
      <w:r w:rsidR="007E1994" w:rsidRPr="00746ACE">
        <w:t xml:space="preserve"> del Acuerdo Final de Paz </w:t>
      </w:r>
      <w:r w:rsidR="000B25D5" w:rsidRPr="00746ACE">
        <w:t>están fundadas</w:t>
      </w:r>
      <w:r w:rsidR="007E1994" w:rsidRPr="00746ACE">
        <w:t xml:space="preserve"> en los principios de buena fe y </w:t>
      </w:r>
      <w:r w:rsidR="007E1994" w:rsidRPr="00746ACE">
        <w:rPr>
          <w:rStyle w:val="nfasis"/>
          <w:rFonts w:eastAsiaTheme="majorEastAsia"/>
        </w:rPr>
        <w:t>pacta sunt servanda</w:t>
      </w:r>
      <w:r w:rsidR="007E1994" w:rsidRPr="00746ACE">
        <w:t xml:space="preserve">, con fuerza vinculante para las partes y efectos </w:t>
      </w:r>
      <w:r w:rsidR="00DF1D65" w:rsidRPr="00746ACE">
        <w:t xml:space="preserve">jurídicos </w:t>
      </w:r>
      <w:r w:rsidR="007E1994" w:rsidRPr="00746ACE">
        <w:t xml:space="preserve">internacionales. </w:t>
      </w:r>
      <w:r w:rsidR="00902DF6" w:rsidRPr="00746ACE">
        <w:t xml:space="preserve">Según explicó, las herramientas de selección y priorización permiten concentrar la persecución penal </w:t>
      </w:r>
      <w:r w:rsidR="00134BF2" w:rsidRPr="00746ACE">
        <w:t>en los máximos responsables de los delitos más graves</w:t>
      </w:r>
      <w:r w:rsidR="00A82706" w:rsidRPr="00746ACE">
        <w:t xml:space="preserve">. </w:t>
      </w:r>
      <w:r w:rsidR="005E2E42" w:rsidRPr="00746ACE">
        <w:t>En</w:t>
      </w:r>
      <w:r w:rsidR="00A82706" w:rsidRPr="00746ACE">
        <w:t xml:space="preserve"> su criterio, la </w:t>
      </w:r>
      <w:r w:rsidR="00356318" w:rsidRPr="00746ACE">
        <w:t xml:space="preserve">Senit 5 introdujo una </w:t>
      </w:r>
      <w:r w:rsidR="00A82706" w:rsidRPr="00746ACE">
        <w:t xml:space="preserve">“selección de segundo orden” </w:t>
      </w:r>
      <w:r w:rsidR="00356318" w:rsidRPr="00746ACE">
        <w:t xml:space="preserve">sin </w:t>
      </w:r>
      <w:r w:rsidR="0099650A" w:rsidRPr="00746ACE">
        <w:t xml:space="preserve">un </w:t>
      </w:r>
      <w:r w:rsidR="00356318" w:rsidRPr="00746ACE">
        <w:t>respaldo legal</w:t>
      </w:r>
      <w:r w:rsidR="0099650A" w:rsidRPr="00746ACE">
        <w:t xml:space="preserve"> </w:t>
      </w:r>
      <w:r w:rsidR="00D03BA0" w:rsidRPr="00746ACE">
        <w:t>claro</w:t>
      </w:r>
      <w:r w:rsidR="0099650A" w:rsidRPr="00746ACE">
        <w:t xml:space="preserve">, lo que </w:t>
      </w:r>
      <w:r w:rsidR="00356318" w:rsidRPr="00746ACE">
        <w:t xml:space="preserve">afectó la coherencia del </w:t>
      </w:r>
      <w:r w:rsidR="007E1994" w:rsidRPr="00746ACE">
        <w:t>modelo</w:t>
      </w:r>
      <w:r w:rsidR="00301277" w:rsidRPr="00746ACE">
        <w:t xml:space="preserve"> de justicia</w:t>
      </w:r>
      <w:r w:rsidR="00BF179E" w:rsidRPr="00746ACE">
        <w:t xml:space="preserve"> transicional</w:t>
      </w:r>
      <w:r w:rsidR="0099650A" w:rsidRPr="00746ACE">
        <w:t>, alteró las competencias de la Sala de Definición de Situaciones Jurídicas</w:t>
      </w:r>
      <w:r w:rsidR="005943D5" w:rsidRPr="00746ACE">
        <w:t xml:space="preserve"> y </w:t>
      </w:r>
      <w:r w:rsidR="00BF179E" w:rsidRPr="00746ACE">
        <w:t>proyectó una lógica persecutoria propia de la justicia penal ordinaria</w:t>
      </w:r>
      <w:r w:rsidR="008A2417" w:rsidRPr="00746ACE">
        <w:t xml:space="preserve">. La interviniente señaló </w:t>
      </w:r>
      <w:r w:rsidR="007E1994" w:rsidRPr="00746ACE">
        <w:t xml:space="preserve">que la Senit 5 </w:t>
      </w:r>
      <w:r w:rsidR="005943D5" w:rsidRPr="00746ACE">
        <w:t>habilita la</w:t>
      </w:r>
      <w:r w:rsidR="007E1994" w:rsidRPr="00746ACE">
        <w:t xml:space="preserve"> </w:t>
      </w:r>
      <w:r w:rsidR="005943D5" w:rsidRPr="00746ACE">
        <w:t>activación de</w:t>
      </w:r>
      <w:r w:rsidR="007E1994" w:rsidRPr="00746ACE">
        <w:t xml:space="preserve"> </w:t>
      </w:r>
      <w:r w:rsidR="005943D5" w:rsidRPr="00746ACE">
        <w:t>juicios</w:t>
      </w:r>
      <w:r w:rsidR="007E1994" w:rsidRPr="00746ACE">
        <w:t xml:space="preserve"> adversariales incluso sin</w:t>
      </w:r>
      <w:r w:rsidR="00D03BA0" w:rsidRPr="00746ACE">
        <w:t xml:space="preserve"> que los comparecientes hayan tenido oportunidad de reconocer </w:t>
      </w:r>
      <w:r w:rsidR="007E1994" w:rsidRPr="00746ACE">
        <w:t>responsabilidad, lo que desnaturaliza la finalidad restaurativa y genera incertidumbre sobre las rutas procesales y el alcance de las obligaciones de los comparecientes.</w:t>
      </w:r>
    </w:p>
    <w:p w14:paraId="44A7FB98" w14:textId="77777777" w:rsidR="007E1994" w:rsidRPr="00746ACE" w:rsidRDefault="007E1994" w:rsidP="00F84413"/>
    <w:p w14:paraId="06C8B6BE" w14:textId="77777777" w:rsidR="00EC5E40" w:rsidRPr="00746ACE" w:rsidRDefault="00EC5E40" w:rsidP="00EC5E40">
      <w:pPr>
        <w:pStyle w:val="Prrafodelista"/>
        <w:widowControl w:val="0"/>
        <w:numPr>
          <w:ilvl w:val="0"/>
          <w:numId w:val="7"/>
        </w:numPr>
        <w:tabs>
          <w:tab w:val="left" w:pos="426"/>
        </w:tabs>
        <w:ind w:right="-40" w:hanging="11"/>
      </w:pPr>
      <w:r w:rsidRPr="00746ACE">
        <w:t xml:space="preserve">La profesora Clara Sandoval Villalba se pronunció en nombre del </w:t>
      </w:r>
      <w:r w:rsidRPr="00746ACE">
        <w:rPr>
          <w:b/>
        </w:rPr>
        <w:t>Fondo Global de Sobrevivientes</w:t>
      </w:r>
      <w:r w:rsidRPr="00746ACE">
        <w:t xml:space="preserve">. Ella indicó que el objetivo del principio de selección es maximizar los derechos a la verdad, justicia, reparación y no repetición de las víctimas del conflicto armado. Para la interviniente, la Senit 5 generó una categoría intermedia que comprende a los comparecientes que, sin ser máximos responsables, tuvieron un grado importante de participación en crímenes no amnistiables, pero no aportaron toda la verdad o no reconocieron responsabilidad ante la Sala de Reconocimiento. </w:t>
      </w:r>
    </w:p>
    <w:p w14:paraId="5D17451A" w14:textId="77777777" w:rsidR="00EC5E40" w:rsidRPr="00746ACE" w:rsidRDefault="00EC5E40" w:rsidP="00EC5E40">
      <w:pPr>
        <w:pStyle w:val="Prrafodelista"/>
      </w:pPr>
    </w:p>
    <w:p w14:paraId="15B2C8A9" w14:textId="281A0E6B" w:rsidR="00EC5E40" w:rsidRPr="00746ACE" w:rsidRDefault="00EC5E40" w:rsidP="00F84413">
      <w:pPr>
        <w:pStyle w:val="Prrafodelista"/>
        <w:widowControl w:val="0"/>
        <w:numPr>
          <w:ilvl w:val="0"/>
          <w:numId w:val="7"/>
        </w:numPr>
        <w:tabs>
          <w:tab w:val="left" w:pos="426"/>
        </w:tabs>
        <w:ind w:right="-40" w:hanging="11"/>
      </w:pPr>
      <w:r w:rsidRPr="00746ACE">
        <w:t xml:space="preserve">En su criterio, si bien la Jurisdicción Especial para la Paz no fue diseñada para un modelo de juzgamiento del </w:t>
      </w:r>
      <w:r w:rsidRPr="00746ACE">
        <w:rPr>
          <w:i/>
        </w:rPr>
        <w:t>caso a caso</w:t>
      </w:r>
      <w:r w:rsidRPr="00746ACE">
        <w:t xml:space="preserve">, la “selección de segundo orden” sí resulta efectiva para contrarrestar la impunidad en algunas circunstancias. Para ilustrar ese punto, la profesora se refirió a las conductas de violencia sexual, sobre las cuales los máximos responsables niegan, desconocen o resultan absueltos de responsabilidad por falta de pruebas, cuando los mandos medios y bajos son los que conocen los detalles de dichos crímenes. Así, al tratarse de delitos no amnistiables, consideró que los beneficios deben otorgarse únicamente a quienes hayan aportado verdad plena. </w:t>
      </w:r>
    </w:p>
    <w:p w14:paraId="5E924D9D" w14:textId="77777777" w:rsidR="00EC5E40" w:rsidRPr="00746ACE" w:rsidRDefault="00EC5E40" w:rsidP="00F84413"/>
    <w:p w14:paraId="3A5F646A" w14:textId="309CAC1F" w:rsidR="00AB1170" w:rsidRPr="00746ACE" w:rsidRDefault="00AB1170" w:rsidP="00F84413">
      <w:pPr>
        <w:pStyle w:val="Prrafodelista"/>
        <w:widowControl w:val="0"/>
        <w:numPr>
          <w:ilvl w:val="0"/>
          <w:numId w:val="7"/>
        </w:numPr>
        <w:tabs>
          <w:tab w:val="left" w:pos="426"/>
        </w:tabs>
        <w:ind w:right="-40" w:hanging="11"/>
      </w:pPr>
      <w:r w:rsidRPr="00746ACE">
        <w:t xml:space="preserve">La profesora </w:t>
      </w:r>
      <w:r w:rsidRPr="00746ACE">
        <w:rPr>
          <w:b/>
        </w:rPr>
        <w:t>Ruti Teitel</w:t>
      </w:r>
      <w:r w:rsidRPr="00746ACE">
        <w:t xml:space="preserve"> </w:t>
      </w:r>
      <w:r w:rsidR="00CF2C0D" w:rsidRPr="00746ACE">
        <w:t xml:space="preserve">del </w:t>
      </w:r>
      <w:r w:rsidR="00CF2C0D" w:rsidRPr="00746ACE">
        <w:rPr>
          <w:i/>
        </w:rPr>
        <w:t>New York Law School</w:t>
      </w:r>
      <w:r w:rsidR="00CF2C0D" w:rsidRPr="00746ACE">
        <w:t xml:space="preserve"> </w:t>
      </w:r>
      <w:r w:rsidR="008649D3" w:rsidRPr="00746ACE">
        <w:t xml:space="preserve">afirmó que </w:t>
      </w:r>
      <w:r w:rsidR="0097143F" w:rsidRPr="00746ACE">
        <w:t xml:space="preserve">las tensiones entre la justicia transicional y la justicia penal ordinaria </w:t>
      </w:r>
      <w:r w:rsidR="00AB1636" w:rsidRPr="00746ACE">
        <w:t xml:space="preserve">se acentúan </w:t>
      </w:r>
      <w:r w:rsidR="00493478" w:rsidRPr="00746ACE">
        <w:t xml:space="preserve">cuando los conflictos son de larga duración </w:t>
      </w:r>
      <w:r w:rsidR="001147D4" w:rsidRPr="00746ACE">
        <w:t xml:space="preserve">y comprenden </w:t>
      </w:r>
      <w:r w:rsidR="00D05006" w:rsidRPr="00746ACE">
        <w:t>universos amplios</w:t>
      </w:r>
      <w:r w:rsidR="001147D4" w:rsidRPr="00746ACE">
        <w:t xml:space="preserve"> de víctimas. </w:t>
      </w:r>
      <w:r w:rsidR="00925349" w:rsidRPr="00746ACE">
        <w:t xml:space="preserve">Sin embargo, según explicó, </w:t>
      </w:r>
      <w:r w:rsidR="00596BFE" w:rsidRPr="00746ACE">
        <w:t xml:space="preserve">esos dilemas pueden superarse con base </w:t>
      </w:r>
      <w:r w:rsidR="00A401F3" w:rsidRPr="00746ACE">
        <w:t>la</w:t>
      </w:r>
      <w:r w:rsidR="00596BFE" w:rsidRPr="00746ACE">
        <w:t xml:space="preserve"> </w:t>
      </w:r>
      <w:r w:rsidR="0045312C" w:rsidRPr="00746ACE">
        <w:t>identificación de lo</w:t>
      </w:r>
      <w:r w:rsidR="00280BA1" w:rsidRPr="00746ACE">
        <w:t xml:space="preserve">s máximos responsables </w:t>
      </w:r>
      <w:r w:rsidR="00A2148F" w:rsidRPr="00746ACE">
        <w:t xml:space="preserve">de los crímenes más graves, tal como ha ocurrido a nivel internacional y como se espera que funcione </w:t>
      </w:r>
      <w:r w:rsidR="001252F3" w:rsidRPr="00746ACE">
        <w:t>en</w:t>
      </w:r>
      <w:r w:rsidR="00A2148F" w:rsidRPr="00746ACE">
        <w:t xml:space="preserve"> la Jurisdicción Especial para la Paz. </w:t>
      </w:r>
    </w:p>
    <w:p w14:paraId="789C16A3" w14:textId="77777777" w:rsidR="00AB1170" w:rsidRPr="00746ACE" w:rsidRDefault="00AB1170" w:rsidP="00AB1170">
      <w:pPr>
        <w:pStyle w:val="Prrafodelista"/>
      </w:pPr>
    </w:p>
    <w:p w14:paraId="3CA0F5FD" w14:textId="69BC4B2F" w:rsidR="00F75A11" w:rsidRPr="00746ACE" w:rsidRDefault="002F6FF6" w:rsidP="00F84413">
      <w:pPr>
        <w:pStyle w:val="Prrafodelista"/>
        <w:widowControl w:val="0"/>
        <w:numPr>
          <w:ilvl w:val="0"/>
          <w:numId w:val="7"/>
        </w:numPr>
        <w:tabs>
          <w:tab w:val="left" w:pos="426"/>
        </w:tabs>
        <w:ind w:right="-40" w:hanging="11"/>
      </w:pPr>
      <w:r w:rsidRPr="00746ACE">
        <w:t xml:space="preserve">La directora del </w:t>
      </w:r>
      <w:r w:rsidRPr="00746ACE">
        <w:rPr>
          <w:b/>
        </w:rPr>
        <w:t>Laboratorio de Justicia y Política Criminal</w:t>
      </w:r>
      <w:r w:rsidR="00334CB2" w:rsidRPr="00746ACE">
        <w:t xml:space="preserve">, Gina </w:t>
      </w:r>
      <w:r w:rsidR="00F517CD" w:rsidRPr="00746ACE">
        <w:t xml:space="preserve">Cabarcas Macías, </w:t>
      </w:r>
      <w:r w:rsidR="00633EE3" w:rsidRPr="00746ACE">
        <w:t xml:space="preserve">indicó que el cierre </w:t>
      </w:r>
      <w:r w:rsidR="00FF5F7B" w:rsidRPr="00746ACE">
        <w:t>efectivo del conflicto armado</w:t>
      </w:r>
      <w:r w:rsidR="00633EE3" w:rsidRPr="00746ACE">
        <w:t xml:space="preserve"> no depende del volumen de casos, sino de la representatividad y legitimidad del proceso</w:t>
      </w:r>
      <w:r w:rsidR="00FF5F7B" w:rsidRPr="00746ACE">
        <w:t xml:space="preserve"> transicional</w:t>
      </w:r>
      <w:r w:rsidR="00633EE3" w:rsidRPr="00746ACE">
        <w:t xml:space="preserve">. </w:t>
      </w:r>
      <w:r w:rsidR="00B010F3" w:rsidRPr="00746ACE">
        <w:t xml:space="preserve">Además, ella advirtió que </w:t>
      </w:r>
      <w:r w:rsidR="00C24446" w:rsidRPr="00746ACE">
        <w:t xml:space="preserve">las herramientas de selección y priorización </w:t>
      </w:r>
      <w:r w:rsidR="004F6A44" w:rsidRPr="00746ACE">
        <w:t>son imprescindibles</w:t>
      </w:r>
      <w:r w:rsidR="001C2517" w:rsidRPr="00746ACE">
        <w:t xml:space="preserve"> para enfocar los esfuerzos </w:t>
      </w:r>
      <w:r w:rsidR="00122479" w:rsidRPr="00746ACE">
        <w:t>en el juzgamiento de las conductas</w:t>
      </w:r>
      <w:r w:rsidR="004F6A44" w:rsidRPr="00746ACE">
        <w:t xml:space="preserve">, pero también </w:t>
      </w:r>
      <w:r w:rsidR="00C24446" w:rsidRPr="00746ACE">
        <w:t xml:space="preserve">implican ciertos desafíos </w:t>
      </w:r>
      <w:r w:rsidR="00591EA7" w:rsidRPr="00746ACE">
        <w:t>legales, operativos y políticos</w:t>
      </w:r>
      <w:r w:rsidR="00433114" w:rsidRPr="00746ACE">
        <w:t xml:space="preserve">. En </w:t>
      </w:r>
      <w:r w:rsidR="006E4291" w:rsidRPr="00746ACE">
        <w:t xml:space="preserve">su concepto, </w:t>
      </w:r>
      <w:r w:rsidR="00433114" w:rsidRPr="00746ACE">
        <w:t xml:space="preserve">la </w:t>
      </w:r>
      <w:r w:rsidR="005E3CB8" w:rsidRPr="00746ACE">
        <w:t xml:space="preserve">complementariedad </w:t>
      </w:r>
      <w:r w:rsidR="00225988" w:rsidRPr="00746ACE">
        <w:t xml:space="preserve">interna </w:t>
      </w:r>
      <w:r w:rsidR="005E3CB8" w:rsidRPr="00746ACE">
        <w:t xml:space="preserve">de </w:t>
      </w:r>
      <w:r w:rsidR="00225988" w:rsidRPr="00746ACE">
        <w:t>los órganos de la</w:t>
      </w:r>
      <w:r w:rsidR="005E3CB8" w:rsidRPr="00746ACE">
        <w:t xml:space="preserve"> </w:t>
      </w:r>
      <w:r w:rsidR="00433114" w:rsidRPr="00746ACE">
        <w:t>Jurisdicción Especial para la Paz</w:t>
      </w:r>
      <w:r w:rsidR="005E3CB8" w:rsidRPr="00746ACE">
        <w:t xml:space="preserve"> debe consolidarse</w:t>
      </w:r>
      <w:r w:rsidR="00225988" w:rsidRPr="00746ACE">
        <w:t>, así como la complementariedad que ofrece</w:t>
      </w:r>
      <w:r w:rsidR="001D7BEB" w:rsidRPr="00746ACE">
        <w:t>n</w:t>
      </w:r>
      <w:r w:rsidR="00225988" w:rsidRPr="00746ACE">
        <w:t xml:space="preserve"> </w:t>
      </w:r>
      <w:r w:rsidR="009F28BD" w:rsidRPr="00746ACE">
        <w:t xml:space="preserve">la justicia penal ordinaria </w:t>
      </w:r>
      <w:r w:rsidR="001D7BEB" w:rsidRPr="00746ACE">
        <w:t xml:space="preserve">y </w:t>
      </w:r>
      <w:r w:rsidR="00A5535B" w:rsidRPr="00746ACE">
        <w:t xml:space="preserve">los mecanismos transicionales en </w:t>
      </w:r>
      <w:r w:rsidR="001D7BEB" w:rsidRPr="00746ACE">
        <w:t xml:space="preserve">el derecho internacional. </w:t>
      </w:r>
    </w:p>
    <w:p w14:paraId="28963D89" w14:textId="77777777" w:rsidR="002F6FF6" w:rsidRPr="00746ACE" w:rsidRDefault="002F6FF6" w:rsidP="009F28BD"/>
    <w:p w14:paraId="7509CC10" w14:textId="77777777" w:rsidR="00424E7F" w:rsidRPr="00746ACE" w:rsidRDefault="00424E7F" w:rsidP="00424E7F">
      <w:pPr>
        <w:pStyle w:val="Prrafodelista"/>
        <w:widowControl w:val="0"/>
        <w:numPr>
          <w:ilvl w:val="0"/>
          <w:numId w:val="7"/>
        </w:numPr>
        <w:tabs>
          <w:tab w:val="left" w:pos="426"/>
        </w:tabs>
        <w:ind w:right="-40" w:hanging="11"/>
        <w:rPr>
          <w:lang w:val="es-MX"/>
        </w:rPr>
      </w:pPr>
      <w:r w:rsidRPr="00746ACE">
        <w:t xml:space="preserve">La especialista en justicia transicional </w:t>
      </w:r>
      <w:r w:rsidRPr="00746ACE">
        <w:rPr>
          <w:b/>
        </w:rPr>
        <w:t>Priscilla Hayner</w:t>
      </w:r>
      <w:r w:rsidRPr="00746ACE">
        <w:t xml:space="preserve"> señaló que el caso colombiano es extraordinario porque implicó una negociación de paz con sometimiento a procesos judiciales de reconocimiento de responsabilidad e imposición de sanciones, lo que no es común de encontrar en otros contextos transicionales. Luego, ella señaló que algunos aspectos de los acuerdos de paz suelen transformarse con el paso del tiempo, pero en todo caso debe asegurarse la permanencia de sus elementos esenciales. </w:t>
      </w:r>
    </w:p>
    <w:p w14:paraId="13E675E1" w14:textId="77777777" w:rsidR="00424E7F" w:rsidRPr="00746ACE" w:rsidRDefault="00424E7F" w:rsidP="00424E7F">
      <w:pPr>
        <w:pStyle w:val="Prrafodelista"/>
        <w:rPr>
          <w:lang w:val="es-CO"/>
        </w:rPr>
      </w:pPr>
    </w:p>
    <w:p w14:paraId="71E00C78" w14:textId="78836CCE" w:rsidR="00424E7F" w:rsidRPr="00746ACE" w:rsidRDefault="00424E7F" w:rsidP="00424E7F">
      <w:pPr>
        <w:pStyle w:val="Prrafodelista"/>
        <w:widowControl w:val="0"/>
        <w:numPr>
          <w:ilvl w:val="0"/>
          <w:numId w:val="7"/>
        </w:numPr>
        <w:tabs>
          <w:tab w:val="left" w:pos="426"/>
        </w:tabs>
        <w:ind w:right="-40" w:hanging="11"/>
        <w:rPr>
          <w:lang w:val="es-MX"/>
        </w:rPr>
      </w:pPr>
      <w:r w:rsidRPr="00746ACE">
        <w:rPr>
          <w:lang w:val="es-CO"/>
        </w:rPr>
        <w:t xml:space="preserve">En segundo lugar, para la interviniente, es materialmente imposible que la Jurisdicción Especial para la Paz atienda todas las demandas de verdad y sancione a todos los responsables, pues la experiencia demuestra que esas expectativas conducen a colapsos institucionales. Además, en su concepto, el principio de centralidad de las víctimas no significa anteponer sus intereses siempre por encima de cualquier otra intención del sistema transicional, y su garantía tampoco se reduce al componente de justicia. </w:t>
      </w:r>
    </w:p>
    <w:p w14:paraId="4782582B" w14:textId="77777777" w:rsidR="0079307D" w:rsidRPr="00746ACE" w:rsidRDefault="0079307D" w:rsidP="0079307D">
      <w:pPr>
        <w:pStyle w:val="Prrafodelista"/>
        <w:rPr>
          <w:lang w:val="es-MX"/>
        </w:rPr>
      </w:pPr>
    </w:p>
    <w:p w14:paraId="3DEA44AA" w14:textId="008B34E0" w:rsidR="00636C5F" w:rsidRPr="00746ACE" w:rsidRDefault="00AD4F16" w:rsidP="00DC0002">
      <w:pPr>
        <w:pStyle w:val="Prrafodelista"/>
        <w:widowControl w:val="0"/>
        <w:numPr>
          <w:ilvl w:val="0"/>
          <w:numId w:val="7"/>
        </w:numPr>
        <w:tabs>
          <w:tab w:val="left" w:pos="426"/>
        </w:tabs>
        <w:ind w:right="-40" w:hanging="11"/>
        <w:rPr>
          <w:lang w:val="es-CO"/>
        </w:rPr>
      </w:pPr>
      <w:r w:rsidRPr="00746ACE">
        <w:rPr>
          <w:lang w:val="es-CO"/>
        </w:rPr>
        <w:t xml:space="preserve">El director del </w:t>
      </w:r>
      <w:r w:rsidRPr="00746ACE">
        <w:rPr>
          <w:b/>
          <w:lang w:val="es-CO"/>
        </w:rPr>
        <w:t>Instituto CAPAZ</w:t>
      </w:r>
      <w:r w:rsidRPr="00746ACE">
        <w:rPr>
          <w:lang w:val="es-CO"/>
        </w:rPr>
        <w:t xml:space="preserve">, Stefan Peters, </w:t>
      </w:r>
      <w:r w:rsidR="00292BB3" w:rsidRPr="00746ACE">
        <w:rPr>
          <w:lang w:val="es-CO"/>
        </w:rPr>
        <w:t xml:space="preserve">manifestó que </w:t>
      </w:r>
      <w:r w:rsidR="00636C5F" w:rsidRPr="00746ACE">
        <w:rPr>
          <w:lang w:val="es-CO"/>
        </w:rPr>
        <w:t>l</w:t>
      </w:r>
      <w:r w:rsidR="009C2752" w:rsidRPr="00746ACE">
        <w:rPr>
          <w:lang w:val="es-CO"/>
        </w:rPr>
        <w:t xml:space="preserve">os fines de la justicia transicional son: (i) sancionar los </w:t>
      </w:r>
      <w:r w:rsidR="00386151" w:rsidRPr="00746ACE">
        <w:rPr>
          <w:lang w:val="es-CO"/>
        </w:rPr>
        <w:t>crímenes cometidos durante tiempos de conflictos armados o dictaduras, (ii) c</w:t>
      </w:r>
      <w:r w:rsidR="002E31E1" w:rsidRPr="00746ACE">
        <w:rPr>
          <w:lang w:val="es-CO"/>
        </w:rPr>
        <w:t>ontribuir a la verdad sobre lo ocurrido, (iii) reparar integralmente a las víctimas</w:t>
      </w:r>
      <w:r w:rsidR="00863E9D" w:rsidRPr="00746ACE">
        <w:rPr>
          <w:lang w:val="es-CO"/>
        </w:rPr>
        <w:t>,</w:t>
      </w:r>
      <w:r w:rsidR="002E31E1" w:rsidRPr="00746ACE">
        <w:rPr>
          <w:lang w:val="es-CO"/>
        </w:rPr>
        <w:t xml:space="preserve"> (iv) </w:t>
      </w:r>
      <w:r w:rsidR="00863E9D" w:rsidRPr="00746ACE">
        <w:rPr>
          <w:lang w:val="es-CO"/>
        </w:rPr>
        <w:t xml:space="preserve">buscar formas para minimizar </w:t>
      </w:r>
      <w:r w:rsidR="00A61842" w:rsidRPr="00746ACE">
        <w:rPr>
          <w:lang w:val="es-CO"/>
        </w:rPr>
        <w:t xml:space="preserve">el riesgo de que se repitan los crímenes del pasado </w:t>
      </w:r>
      <w:r w:rsidR="00863E9D" w:rsidRPr="00746ACE">
        <w:rPr>
          <w:lang w:val="es-CO"/>
        </w:rPr>
        <w:t xml:space="preserve">y (v) </w:t>
      </w:r>
      <w:r w:rsidR="00A61842" w:rsidRPr="00746ACE">
        <w:rPr>
          <w:lang w:val="es-CO"/>
        </w:rPr>
        <w:t xml:space="preserve">sentar las bases para la convivencia y la reconciliación. </w:t>
      </w:r>
      <w:r w:rsidR="00D1542A" w:rsidRPr="00746ACE">
        <w:rPr>
          <w:lang w:val="es-CO"/>
        </w:rPr>
        <w:t xml:space="preserve">En su criterio, </w:t>
      </w:r>
      <w:r w:rsidR="009E1EDD" w:rsidRPr="00746ACE">
        <w:rPr>
          <w:lang w:val="es-CO"/>
        </w:rPr>
        <w:t xml:space="preserve">la </w:t>
      </w:r>
      <w:r w:rsidR="00074FE7" w:rsidRPr="00746ACE">
        <w:rPr>
          <w:lang w:val="es-CO"/>
        </w:rPr>
        <w:t xml:space="preserve">“selección de segundo orden” es una herramienta para que la Jurisdicción Especial para la Paz </w:t>
      </w:r>
      <w:r w:rsidR="00FF4EC5" w:rsidRPr="00746ACE">
        <w:rPr>
          <w:lang w:val="es-CO"/>
        </w:rPr>
        <w:t xml:space="preserve">haga exigibles </w:t>
      </w:r>
      <w:r w:rsidR="005035D8" w:rsidRPr="00746ACE">
        <w:rPr>
          <w:lang w:val="es-CO"/>
        </w:rPr>
        <w:t>los factores que condicionan la renuncia a la persecución penal</w:t>
      </w:r>
      <w:r w:rsidR="00277309" w:rsidRPr="00746ACE">
        <w:rPr>
          <w:lang w:val="es-CO"/>
        </w:rPr>
        <w:t xml:space="preserve">, lo cual materializa </w:t>
      </w:r>
      <w:r w:rsidR="00E568AA" w:rsidRPr="00746ACE">
        <w:rPr>
          <w:lang w:val="es-CO"/>
        </w:rPr>
        <w:t>el mandato de no impunidad</w:t>
      </w:r>
      <w:r w:rsidR="00145784" w:rsidRPr="00746ACE">
        <w:rPr>
          <w:lang w:val="es-CO"/>
        </w:rPr>
        <w:t xml:space="preserve"> y </w:t>
      </w:r>
      <w:r w:rsidR="00DC0002" w:rsidRPr="00746ACE">
        <w:rPr>
          <w:lang w:val="es-CO"/>
        </w:rPr>
        <w:t xml:space="preserve">garantiza </w:t>
      </w:r>
      <w:r w:rsidR="000E2350" w:rsidRPr="00746ACE">
        <w:rPr>
          <w:lang w:val="es-CO"/>
        </w:rPr>
        <w:t>los aportes</w:t>
      </w:r>
      <w:r w:rsidR="00D1542A" w:rsidRPr="00746ACE">
        <w:rPr>
          <w:lang w:val="es-CO"/>
        </w:rPr>
        <w:t xml:space="preserve"> a la verdad </w:t>
      </w:r>
      <w:r w:rsidR="00DC0002" w:rsidRPr="00746ACE">
        <w:rPr>
          <w:lang w:val="es-CO"/>
        </w:rPr>
        <w:t xml:space="preserve">que </w:t>
      </w:r>
      <w:r w:rsidR="000E2350" w:rsidRPr="00746ACE">
        <w:rPr>
          <w:lang w:val="es-CO"/>
        </w:rPr>
        <w:t>son</w:t>
      </w:r>
      <w:r w:rsidR="00D1542A" w:rsidRPr="00746ACE">
        <w:rPr>
          <w:lang w:val="es-CO"/>
        </w:rPr>
        <w:t xml:space="preserve"> esencial</w:t>
      </w:r>
      <w:r w:rsidR="000E2350" w:rsidRPr="00746ACE">
        <w:rPr>
          <w:lang w:val="es-CO"/>
        </w:rPr>
        <w:t>es</w:t>
      </w:r>
      <w:r w:rsidR="00D1542A" w:rsidRPr="00746ACE">
        <w:rPr>
          <w:lang w:val="es-CO"/>
        </w:rPr>
        <w:t xml:space="preserve"> para el enfoque restaurativo</w:t>
      </w:r>
      <w:r w:rsidR="00DC0002" w:rsidRPr="00746ACE">
        <w:rPr>
          <w:lang w:val="es-CO"/>
        </w:rPr>
        <w:t xml:space="preserve">. </w:t>
      </w:r>
    </w:p>
    <w:p w14:paraId="1F79F8A6" w14:textId="77777777" w:rsidR="00AF5123" w:rsidRPr="00746ACE" w:rsidRDefault="00AF5123" w:rsidP="00AF5123">
      <w:pPr>
        <w:widowControl w:val="0"/>
      </w:pPr>
    </w:p>
    <w:p w14:paraId="200DBC31" w14:textId="24D064A5" w:rsidR="00AF5123" w:rsidRPr="00746ACE" w:rsidRDefault="00D03BA0" w:rsidP="00D03BA0">
      <w:pPr>
        <w:pStyle w:val="Prrafodelista"/>
        <w:widowControl w:val="0"/>
        <w:numPr>
          <w:ilvl w:val="0"/>
          <w:numId w:val="7"/>
        </w:numPr>
        <w:tabs>
          <w:tab w:val="left" w:pos="426"/>
        </w:tabs>
        <w:ind w:right="-40" w:hanging="11"/>
      </w:pPr>
      <w:r w:rsidRPr="00746ACE">
        <w:t xml:space="preserve">La abogada Daniela Escallón Vacaría, en representación </w:t>
      </w:r>
      <w:r w:rsidR="00FC3A12" w:rsidRPr="00746ACE">
        <w:t>del</w:t>
      </w:r>
      <w:r w:rsidRPr="00746ACE">
        <w:t> </w:t>
      </w:r>
      <w:r w:rsidR="00AF5123" w:rsidRPr="00746ACE">
        <w:t>Área de Justicia y Protección</w:t>
      </w:r>
      <w:r w:rsidR="00AF5123" w:rsidRPr="00746ACE">
        <w:rPr>
          <w:b/>
        </w:rPr>
        <w:t xml:space="preserve"> </w:t>
      </w:r>
      <w:r w:rsidR="00AF5123" w:rsidRPr="00746ACE">
        <w:t xml:space="preserve">de la </w:t>
      </w:r>
      <w:r w:rsidR="00AF5123" w:rsidRPr="00746ACE">
        <w:rPr>
          <w:b/>
        </w:rPr>
        <w:t>Oficina de las Naciones Unidas contra la Droga y el Delito</w:t>
      </w:r>
      <w:r w:rsidR="00AF5123" w:rsidRPr="00746ACE">
        <w:t xml:space="preserve"> </w:t>
      </w:r>
      <w:r w:rsidR="004040DC" w:rsidRPr="00746ACE">
        <w:t>mencionó</w:t>
      </w:r>
      <w:r w:rsidR="00AF5123" w:rsidRPr="00746ACE">
        <w:t xml:space="preserve"> que </w:t>
      </w:r>
      <w:r w:rsidR="00077FE7" w:rsidRPr="00746ACE">
        <w:t>acompaña</w:t>
      </w:r>
      <w:r w:rsidR="00AF5123" w:rsidRPr="00746ACE">
        <w:t xml:space="preserve"> a los Estados en el fortalecimiento de sus instituciones de justicia </w:t>
      </w:r>
      <w:r w:rsidR="00077FE7" w:rsidRPr="00746ACE">
        <w:t xml:space="preserve">y </w:t>
      </w:r>
      <w:r w:rsidR="006705B6" w:rsidRPr="00746ACE">
        <w:t xml:space="preserve">que, en Colombia, </w:t>
      </w:r>
      <w:r w:rsidR="00AF5123" w:rsidRPr="00746ACE">
        <w:t xml:space="preserve">ha apoyado la </w:t>
      </w:r>
      <w:r w:rsidR="006705B6" w:rsidRPr="00746ACE">
        <w:t>implementación</w:t>
      </w:r>
      <w:r w:rsidR="00AF5123" w:rsidRPr="00746ACE">
        <w:t xml:space="preserve"> </w:t>
      </w:r>
      <w:r w:rsidR="00636C3B" w:rsidRPr="00746ACE">
        <w:t>del componente de justicia</w:t>
      </w:r>
      <w:r w:rsidR="006705B6" w:rsidRPr="00746ACE">
        <w:t xml:space="preserve"> </w:t>
      </w:r>
      <w:r w:rsidR="00636C3B" w:rsidRPr="00746ACE">
        <w:t>d</w:t>
      </w:r>
      <w:r w:rsidR="006705B6" w:rsidRPr="00746ACE">
        <w:t xml:space="preserve">el </w:t>
      </w:r>
      <w:r w:rsidR="00AF5123" w:rsidRPr="00746ACE">
        <w:t>Acuerdo Final de Paz.</w:t>
      </w:r>
      <w:r w:rsidR="00C53D4B" w:rsidRPr="00746ACE">
        <w:t xml:space="preserve"> La oficina </w:t>
      </w:r>
      <w:r w:rsidR="00422CF2" w:rsidRPr="00746ACE">
        <w:t>expuso</w:t>
      </w:r>
      <w:r w:rsidR="00AF5123" w:rsidRPr="00746ACE">
        <w:t xml:space="preserve"> que </w:t>
      </w:r>
      <w:r w:rsidR="00422CF2" w:rsidRPr="00746ACE">
        <w:t>los</w:t>
      </w:r>
      <w:r w:rsidR="00AF5123" w:rsidRPr="00746ACE">
        <w:t xml:space="preserve"> modelo</w:t>
      </w:r>
      <w:r w:rsidR="00422CF2" w:rsidRPr="00746ACE">
        <w:t>s</w:t>
      </w:r>
      <w:r w:rsidR="00AF5123" w:rsidRPr="00746ACE">
        <w:t xml:space="preserve"> restaurativo</w:t>
      </w:r>
      <w:r w:rsidR="00422CF2" w:rsidRPr="00746ACE">
        <w:t>s</w:t>
      </w:r>
      <w:r w:rsidR="00AF5123" w:rsidRPr="00746ACE">
        <w:t xml:space="preserve"> transicional</w:t>
      </w:r>
      <w:r w:rsidR="00422CF2" w:rsidRPr="00746ACE">
        <w:t>es</w:t>
      </w:r>
      <w:r w:rsidR="00AF5123" w:rsidRPr="00746ACE">
        <w:t xml:space="preserve"> debe</w:t>
      </w:r>
      <w:r w:rsidR="00422CF2" w:rsidRPr="00746ACE">
        <w:t>n</w:t>
      </w:r>
      <w:r w:rsidR="00AF5123" w:rsidRPr="00746ACE">
        <w:t xml:space="preserve"> garantizar</w:t>
      </w:r>
      <w:r w:rsidR="000B2C0C" w:rsidRPr="00746ACE">
        <w:t xml:space="preserve"> </w:t>
      </w:r>
      <w:r w:rsidR="00AF5123" w:rsidRPr="00746ACE">
        <w:t>la celeridad en los procesos</w:t>
      </w:r>
      <w:r w:rsidR="000B2C0C" w:rsidRPr="00746ACE">
        <w:t>,</w:t>
      </w:r>
      <w:r w:rsidR="00AF5123" w:rsidRPr="00746ACE">
        <w:t xml:space="preserve"> </w:t>
      </w:r>
      <w:r w:rsidR="000B2C0C" w:rsidRPr="00746ACE">
        <w:t>satisfacer</w:t>
      </w:r>
      <w:r w:rsidR="00AF5123" w:rsidRPr="00746ACE">
        <w:t xml:space="preserve"> los derechos a la verdad y la reparación de las víctimas</w:t>
      </w:r>
      <w:r w:rsidRPr="00746ACE">
        <w:t>,</w:t>
      </w:r>
      <w:r w:rsidR="00AF5123" w:rsidRPr="00746ACE">
        <w:t xml:space="preserve"> y </w:t>
      </w:r>
      <w:r w:rsidR="000B2C0C" w:rsidRPr="00746ACE">
        <w:t>promover</w:t>
      </w:r>
      <w:r w:rsidR="00AF5123" w:rsidRPr="00746ACE">
        <w:t xml:space="preserve"> procesos dialógicos que permitan el reconocimiento de responsabilidades, la reparación de daños y la reconciliación social.</w:t>
      </w:r>
    </w:p>
    <w:p w14:paraId="6917C7E4" w14:textId="77777777" w:rsidR="00AF5123" w:rsidRPr="00746ACE" w:rsidRDefault="00AF5123" w:rsidP="000132BB">
      <w:pPr>
        <w:widowControl w:val="0"/>
      </w:pPr>
    </w:p>
    <w:p w14:paraId="76DC256E" w14:textId="77777777" w:rsidR="00D03BA0" w:rsidRPr="00746ACE" w:rsidRDefault="000132BB" w:rsidP="00AA6667">
      <w:pPr>
        <w:pStyle w:val="Prrafodelista"/>
        <w:widowControl w:val="0"/>
        <w:numPr>
          <w:ilvl w:val="0"/>
          <w:numId w:val="7"/>
        </w:numPr>
        <w:tabs>
          <w:tab w:val="left" w:pos="426"/>
        </w:tabs>
        <w:ind w:right="-40" w:hanging="11"/>
      </w:pPr>
      <w:r w:rsidRPr="00746ACE">
        <w:t>De otra parte, la</w:t>
      </w:r>
      <w:r w:rsidR="00AF5123" w:rsidRPr="00746ACE">
        <w:t xml:space="preserve"> </w:t>
      </w:r>
      <w:r w:rsidR="00D03BA0" w:rsidRPr="00746ACE">
        <w:t>O</w:t>
      </w:r>
      <w:r w:rsidRPr="00746ACE">
        <w:t>ficina</w:t>
      </w:r>
      <w:r w:rsidR="00AF5123" w:rsidRPr="00746ACE">
        <w:t xml:space="preserve"> advirtió que la justicia restaurativa constituye un modelo complementario, flexible y orientado a </w:t>
      </w:r>
      <w:r w:rsidR="000B2C0C" w:rsidRPr="00746ACE">
        <w:t xml:space="preserve">la </w:t>
      </w:r>
      <w:r w:rsidR="00AF5123" w:rsidRPr="00746ACE">
        <w:t xml:space="preserve">reparación. En ese sentido, </w:t>
      </w:r>
      <w:r w:rsidR="00422CF2" w:rsidRPr="00746ACE">
        <w:t>destacó</w:t>
      </w:r>
      <w:r w:rsidR="00AF5123" w:rsidRPr="00746ACE">
        <w:t xml:space="preserve"> </w:t>
      </w:r>
      <w:r w:rsidR="00725D0A" w:rsidRPr="00746ACE">
        <w:t xml:space="preserve">algunos </w:t>
      </w:r>
      <w:r w:rsidR="00AF5123" w:rsidRPr="00746ACE">
        <w:t xml:space="preserve">elementos esenciales del </w:t>
      </w:r>
      <w:r w:rsidR="00725D0A" w:rsidRPr="00746ACE">
        <w:t>proceso transicional</w:t>
      </w:r>
      <w:r w:rsidR="00AF5123" w:rsidRPr="00746ACE">
        <w:t xml:space="preserve"> colombiano</w:t>
      </w:r>
      <w:r w:rsidR="00422CF2" w:rsidRPr="00746ACE">
        <w:t>, como</w:t>
      </w:r>
      <w:r w:rsidR="00AF5123" w:rsidRPr="00746ACE">
        <w:t xml:space="preserve"> el principio dialógico, los trabajos, obras y actividades con contenido restaurador-reparador, y el régimen de condicionalidad.</w:t>
      </w:r>
      <w:r w:rsidR="00AA6667" w:rsidRPr="00746ACE">
        <w:t xml:space="preserve"> Por último, la interviniente </w:t>
      </w:r>
      <w:r w:rsidR="00A22D2B" w:rsidRPr="00746ACE">
        <w:t>formuló las siguientes recomendaciones</w:t>
      </w:r>
      <w:r w:rsidR="00AA6667" w:rsidRPr="00746ACE">
        <w:t>:</w:t>
      </w:r>
      <w:r w:rsidR="00AF5123" w:rsidRPr="00746ACE">
        <w:t xml:space="preserve"> (</w:t>
      </w:r>
      <w:r w:rsidR="00A22D2B" w:rsidRPr="00746ACE">
        <w:t>i</w:t>
      </w:r>
      <w:r w:rsidR="00AF5123" w:rsidRPr="00746ACE">
        <w:t>) valorar los compromisos restaurativos desde las expectativas de las víctimas; (</w:t>
      </w:r>
      <w:r w:rsidR="00A22D2B" w:rsidRPr="00746ACE">
        <w:t>ii</w:t>
      </w:r>
      <w:r w:rsidR="00AF5123" w:rsidRPr="00746ACE">
        <w:t>) aplicar estándares de la Sección de Apelación bajo el principio de acción sin daño y centralidad de las víctimas; y (</w:t>
      </w:r>
      <w:r w:rsidR="00A22D2B" w:rsidRPr="00746ACE">
        <w:t>iii</w:t>
      </w:r>
      <w:r w:rsidR="00AF5123" w:rsidRPr="00746ACE">
        <w:t>) realizar análisis de daño y responsabilidad conforme a las finalidades transformadoras de la justicia transicional restaurativa.</w:t>
      </w:r>
    </w:p>
    <w:p w14:paraId="7694E598" w14:textId="77777777" w:rsidR="00D03BA0" w:rsidRPr="00746ACE" w:rsidRDefault="00D03BA0" w:rsidP="00D03BA0">
      <w:pPr>
        <w:pStyle w:val="Prrafodelista"/>
      </w:pPr>
    </w:p>
    <w:p w14:paraId="7036B633" w14:textId="54E2373D" w:rsidR="00AF5123" w:rsidRPr="00746ACE" w:rsidRDefault="00AF5123" w:rsidP="00AA6667">
      <w:pPr>
        <w:pStyle w:val="Prrafodelista"/>
        <w:widowControl w:val="0"/>
        <w:numPr>
          <w:ilvl w:val="0"/>
          <w:numId w:val="7"/>
        </w:numPr>
        <w:tabs>
          <w:tab w:val="left" w:pos="426"/>
        </w:tabs>
        <w:ind w:right="-40" w:hanging="11"/>
      </w:pPr>
      <w:r w:rsidRPr="00746ACE">
        <w:t>C</w:t>
      </w:r>
      <w:r w:rsidR="00A22D2B" w:rsidRPr="00746ACE">
        <w:t>on base en ello, c</w:t>
      </w:r>
      <w:r w:rsidRPr="00746ACE">
        <w:t xml:space="preserve">oncluyó que las decisiones judiciales deben evitar un enfoque punitivo y, en cambio, </w:t>
      </w:r>
      <w:r w:rsidR="00BC2223" w:rsidRPr="00746ACE">
        <w:t>sugirió propiciar</w:t>
      </w:r>
      <w:r w:rsidRPr="00746ACE">
        <w:t xml:space="preserve"> un diálogo </w:t>
      </w:r>
      <w:r w:rsidR="008C0536" w:rsidRPr="00746ACE">
        <w:t>sobre</w:t>
      </w:r>
      <w:r w:rsidRPr="00746ACE">
        <w:t xml:space="preserve"> las capacidades de reparación de los comparecientes y las necesidades de las víctimas, en aras de la construcción de paz y la superación de la impunidad.</w:t>
      </w:r>
    </w:p>
    <w:p w14:paraId="480EFFC3" w14:textId="77777777" w:rsidR="00D03BA0" w:rsidRPr="00746ACE" w:rsidRDefault="00D03BA0" w:rsidP="00D03BA0">
      <w:pPr>
        <w:pStyle w:val="Prrafodelista"/>
        <w:widowControl w:val="0"/>
        <w:tabs>
          <w:tab w:val="left" w:pos="426"/>
        </w:tabs>
        <w:ind w:left="0" w:right="-40"/>
      </w:pPr>
    </w:p>
    <w:p w14:paraId="4D20DF3E" w14:textId="613EB105" w:rsidR="00DE44BA" w:rsidRPr="00746ACE" w:rsidRDefault="004F5F71" w:rsidP="00647335">
      <w:pPr>
        <w:pStyle w:val="Prrafodelista"/>
        <w:widowControl w:val="0"/>
        <w:numPr>
          <w:ilvl w:val="0"/>
          <w:numId w:val="7"/>
        </w:numPr>
        <w:tabs>
          <w:tab w:val="left" w:pos="426"/>
        </w:tabs>
        <w:ind w:right="-40" w:hanging="11"/>
      </w:pPr>
      <w:r w:rsidRPr="00746ACE">
        <w:t xml:space="preserve">La </w:t>
      </w:r>
      <w:r w:rsidR="008705C6" w:rsidRPr="00746ACE">
        <w:t>abogada Paula Vargas</w:t>
      </w:r>
      <w:r w:rsidR="00AF4C4A" w:rsidRPr="00746ACE">
        <w:t xml:space="preserve"> García</w:t>
      </w:r>
      <w:r w:rsidR="008705C6" w:rsidRPr="00746ACE">
        <w:t xml:space="preserve"> del </w:t>
      </w:r>
      <w:r w:rsidRPr="00746ACE">
        <w:rPr>
          <w:b/>
        </w:rPr>
        <w:t>Instituto para las Transiciones Integrales - IFIT</w:t>
      </w:r>
      <w:r w:rsidR="008705C6" w:rsidRPr="00746ACE">
        <w:t xml:space="preserve"> </w:t>
      </w:r>
      <w:r w:rsidR="00944E0E" w:rsidRPr="00746ACE">
        <w:t>señaló</w:t>
      </w:r>
      <w:r w:rsidR="006F5649" w:rsidRPr="00746ACE">
        <w:t xml:space="preserve"> que </w:t>
      </w:r>
      <w:r w:rsidR="00B010AB" w:rsidRPr="00746ACE">
        <w:t>la</w:t>
      </w:r>
      <w:r w:rsidR="006F5649" w:rsidRPr="00746ACE">
        <w:t xml:space="preserve"> </w:t>
      </w:r>
      <w:r w:rsidR="00301893" w:rsidRPr="00746ACE">
        <w:t xml:space="preserve">Senit 5 creó una </w:t>
      </w:r>
      <w:r w:rsidR="006F5649" w:rsidRPr="00746ACE">
        <w:t xml:space="preserve">“selección de segundo orden” </w:t>
      </w:r>
      <w:r w:rsidR="00B010AB" w:rsidRPr="00746ACE">
        <w:t>para los</w:t>
      </w:r>
      <w:r w:rsidR="00292E40" w:rsidRPr="00746ACE">
        <w:t xml:space="preserve"> </w:t>
      </w:r>
      <w:r w:rsidR="002E5B3E" w:rsidRPr="00746ACE">
        <w:t>“</w:t>
      </w:r>
      <w:r w:rsidR="00B010AB" w:rsidRPr="00746ACE">
        <w:t>casi máximos responsables</w:t>
      </w:r>
      <w:r w:rsidR="002E5B3E" w:rsidRPr="00746ACE">
        <w:t>”</w:t>
      </w:r>
      <w:r w:rsidR="00301893" w:rsidRPr="00746ACE">
        <w:t xml:space="preserve">. En su concepto, estas categorías ponen </w:t>
      </w:r>
      <w:r w:rsidR="00AA0037" w:rsidRPr="00746ACE">
        <w:t>en riesgo</w:t>
      </w:r>
      <w:r w:rsidR="00647335" w:rsidRPr="00746ACE">
        <w:t xml:space="preserve"> la estabilidad del modelo de justicia transicional </w:t>
      </w:r>
      <w:r w:rsidR="00944E0E" w:rsidRPr="00746ACE">
        <w:t xml:space="preserve">porque </w:t>
      </w:r>
      <w:r w:rsidR="00301893" w:rsidRPr="00746ACE">
        <w:t xml:space="preserve">su implementación </w:t>
      </w:r>
      <w:r w:rsidR="00944E0E" w:rsidRPr="00746ACE">
        <w:t>desborda las capacidades operativas de la Jurisdicción Especial para la Paz</w:t>
      </w:r>
      <w:r w:rsidR="00647335" w:rsidRPr="00746ACE">
        <w:t xml:space="preserve">, al tiempo que </w:t>
      </w:r>
      <w:r w:rsidR="000E049A" w:rsidRPr="00746ACE">
        <w:t xml:space="preserve">afecta </w:t>
      </w:r>
      <w:r w:rsidR="000E77C5" w:rsidRPr="00746ACE">
        <w:t xml:space="preserve">el fin constitucional de </w:t>
      </w:r>
      <w:r w:rsidR="00454A88" w:rsidRPr="00746ACE">
        <w:t xml:space="preserve">lograr la transición a la paz y vulnera los derechos constitucionales a la igualdad y el debido proceso. </w:t>
      </w:r>
    </w:p>
    <w:p w14:paraId="096DAD60" w14:textId="77777777" w:rsidR="006A047C" w:rsidRPr="00746ACE" w:rsidRDefault="006A047C" w:rsidP="007F1EA5"/>
    <w:p w14:paraId="1F6BE645" w14:textId="68F73A64" w:rsidR="006A047C" w:rsidRPr="00746ACE" w:rsidRDefault="00BF0A35" w:rsidP="00765924">
      <w:pPr>
        <w:pStyle w:val="Prrafodelista"/>
        <w:widowControl w:val="0"/>
        <w:numPr>
          <w:ilvl w:val="0"/>
          <w:numId w:val="7"/>
        </w:numPr>
        <w:tabs>
          <w:tab w:val="left" w:pos="426"/>
        </w:tabs>
        <w:ind w:right="-40" w:hanging="11"/>
      </w:pPr>
      <w:r w:rsidRPr="00746ACE">
        <w:t xml:space="preserve">El representante de la </w:t>
      </w:r>
      <w:r w:rsidRPr="00746ACE">
        <w:rPr>
          <w:b/>
          <w:bCs/>
        </w:rPr>
        <w:t>Coordinación Naci</w:t>
      </w:r>
      <w:r w:rsidR="00332C00" w:rsidRPr="00746ACE">
        <w:rPr>
          <w:b/>
          <w:bCs/>
        </w:rPr>
        <w:t>onal de Defensa</w:t>
      </w:r>
      <w:r w:rsidR="00332C00" w:rsidRPr="00746ACE">
        <w:t xml:space="preserve">, Camilo Ernesto Fagua Castellanos, </w:t>
      </w:r>
      <w:r w:rsidR="00C16F1D" w:rsidRPr="00746ACE">
        <w:t xml:space="preserve">solicitó declarar la inexequibilidad de </w:t>
      </w:r>
      <w:r w:rsidR="00765924" w:rsidRPr="00746ACE">
        <w:t>los criterios de interpretación contenidos en la Senit 5 en lo referente a la</w:t>
      </w:r>
      <w:r w:rsidR="003B4A9E" w:rsidRPr="00746ACE">
        <w:t xml:space="preserve"> “selección de segundo orden” y la categoría de “compareciente del punto medio”</w:t>
      </w:r>
      <w:r w:rsidR="00765924" w:rsidRPr="00746ACE">
        <w:t>. En su criterio, ambas figuras comprometen</w:t>
      </w:r>
      <w:r w:rsidR="003B4A9E" w:rsidRPr="00746ACE">
        <w:t xml:space="preserve"> </w:t>
      </w:r>
      <w:r w:rsidR="00D22D57" w:rsidRPr="00746ACE">
        <w:t>la distribución de competencias de la Jurisdicción Especial para la Paz</w:t>
      </w:r>
      <w:r w:rsidR="007B0BAA" w:rsidRPr="00746ACE">
        <w:t xml:space="preserve">, </w:t>
      </w:r>
      <w:r w:rsidR="0023087E" w:rsidRPr="00746ACE">
        <w:t xml:space="preserve">alteran </w:t>
      </w:r>
      <w:r w:rsidR="007B0BAA" w:rsidRPr="00746ACE">
        <w:t xml:space="preserve">el </w:t>
      </w:r>
      <w:r w:rsidR="005D3B80" w:rsidRPr="00746ACE">
        <w:t>modelo de justicia mediante la</w:t>
      </w:r>
      <w:r w:rsidR="00BD555B" w:rsidRPr="00746ACE">
        <w:t xml:space="preserve"> selección de máximos responsables y </w:t>
      </w:r>
      <w:r w:rsidR="0023087E" w:rsidRPr="00746ACE">
        <w:t xml:space="preserve">afectan </w:t>
      </w:r>
      <w:r w:rsidR="00BD555B" w:rsidRPr="00746ACE">
        <w:t xml:space="preserve">las garantías </w:t>
      </w:r>
      <w:r w:rsidR="009A0803" w:rsidRPr="00746ACE">
        <w:t>a la</w:t>
      </w:r>
      <w:r w:rsidR="00BD555B" w:rsidRPr="00746ACE">
        <w:t xml:space="preserve"> </w:t>
      </w:r>
      <w:r w:rsidR="009A0803" w:rsidRPr="00746ACE">
        <w:t xml:space="preserve">proporcionalidad, seguridad jurídica y favorabilidad de los partícipes no determinantes. </w:t>
      </w:r>
    </w:p>
    <w:p w14:paraId="0AC36BF1" w14:textId="77777777" w:rsidR="00B666B9" w:rsidRPr="00746ACE" w:rsidRDefault="00B666B9" w:rsidP="00E16F2F">
      <w:pPr>
        <w:rPr>
          <w:kern w:val="36"/>
          <w:lang w:eastAsia="es-MX"/>
        </w:rPr>
      </w:pPr>
    </w:p>
    <w:p w14:paraId="3977E877" w14:textId="4181A60C" w:rsidR="00B666B9" w:rsidRPr="00746ACE" w:rsidRDefault="00B666B9" w:rsidP="00B666B9">
      <w:pPr>
        <w:pStyle w:val="Ttulo2"/>
        <w:rPr>
          <w:rFonts w:cs="Times New Roman"/>
          <w:szCs w:val="28"/>
        </w:rPr>
      </w:pPr>
      <w:bookmarkStart w:id="9" w:name="_Toc233384164"/>
      <w:r w:rsidRPr="00746ACE">
        <w:rPr>
          <w:rFonts w:cs="Times New Roman"/>
          <w:szCs w:val="28"/>
        </w:rPr>
        <w:t xml:space="preserve">Sesión </w:t>
      </w:r>
      <w:r w:rsidR="005D3B80" w:rsidRPr="00746ACE">
        <w:rPr>
          <w:rFonts w:cs="Times New Roman"/>
          <w:szCs w:val="28"/>
        </w:rPr>
        <w:t>t</w:t>
      </w:r>
      <w:r w:rsidRPr="00746ACE">
        <w:rPr>
          <w:rFonts w:cs="Times New Roman"/>
          <w:szCs w:val="28"/>
        </w:rPr>
        <w:t>écnica con organizaciones de víctimas</w:t>
      </w:r>
      <w:bookmarkEnd w:id="9"/>
    </w:p>
    <w:p w14:paraId="23B38812" w14:textId="77777777" w:rsidR="00B666B9" w:rsidRPr="00746ACE" w:rsidRDefault="00B666B9" w:rsidP="00B666B9">
      <w:pPr>
        <w:pStyle w:val="Prrafodelista"/>
        <w:rPr>
          <w:kern w:val="36"/>
          <w:lang w:eastAsia="es-MX"/>
        </w:rPr>
      </w:pPr>
    </w:p>
    <w:p w14:paraId="124560C2" w14:textId="77777777" w:rsidR="00D569BB" w:rsidRPr="00746ACE" w:rsidRDefault="005D3B80" w:rsidP="00B666B9">
      <w:pPr>
        <w:pStyle w:val="Prrafodelista"/>
        <w:widowControl w:val="0"/>
        <w:numPr>
          <w:ilvl w:val="0"/>
          <w:numId w:val="7"/>
        </w:numPr>
        <w:tabs>
          <w:tab w:val="left" w:pos="426"/>
        </w:tabs>
        <w:ind w:right="-40" w:hanging="11"/>
      </w:pPr>
      <w:r w:rsidRPr="00746ACE">
        <w:t>El 27 de febrero de 2026</w:t>
      </w:r>
      <w:r w:rsidR="00B42316" w:rsidRPr="00746ACE">
        <w:t>, la</w:t>
      </w:r>
      <w:r w:rsidR="00B666B9" w:rsidRPr="00746ACE">
        <w:t xml:space="preserve"> Corte Constitucional </w:t>
      </w:r>
      <w:r w:rsidR="00C16F1D" w:rsidRPr="00746ACE">
        <w:t xml:space="preserve">celebró </w:t>
      </w:r>
      <w:r w:rsidR="00B666B9" w:rsidRPr="00746ACE">
        <w:t xml:space="preserve">una sesión técnica para </w:t>
      </w:r>
      <w:r w:rsidR="00E00049" w:rsidRPr="00746ACE">
        <w:t>escuchar a las</w:t>
      </w:r>
      <w:r w:rsidR="00C16F1D" w:rsidRPr="00746ACE">
        <w:t xml:space="preserve"> </w:t>
      </w:r>
      <w:r w:rsidR="00B666B9" w:rsidRPr="00746ACE">
        <w:t xml:space="preserve">organizaciones que </w:t>
      </w:r>
      <w:r w:rsidR="009A2860" w:rsidRPr="00746ACE">
        <w:t>representan</w:t>
      </w:r>
      <w:r w:rsidR="00B666B9" w:rsidRPr="00746ACE">
        <w:t xml:space="preserve"> o </w:t>
      </w:r>
      <w:r w:rsidR="00B666B9" w:rsidRPr="00746ACE">
        <w:rPr>
          <w:kern w:val="36"/>
          <w:lang w:eastAsia="es-MX"/>
        </w:rPr>
        <w:t xml:space="preserve">acompañan </w:t>
      </w:r>
      <w:r w:rsidR="00A94F22" w:rsidRPr="00746ACE">
        <w:rPr>
          <w:kern w:val="36"/>
          <w:lang w:eastAsia="es-MX"/>
        </w:rPr>
        <w:t>víctimas</w:t>
      </w:r>
      <w:r w:rsidR="00B666B9" w:rsidRPr="00746ACE">
        <w:rPr>
          <w:kern w:val="36"/>
          <w:lang w:eastAsia="es-MX"/>
        </w:rPr>
        <w:t xml:space="preserve"> </w:t>
      </w:r>
      <w:r w:rsidR="00D569BB" w:rsidRPr="00746ACE">
        <w:rPr>
          <w:kern w:val="36"/>
          <w:lang w:eastAsia="es-MX"/>
        </w:rPr>
        <w:t xml:space="preserve">del conflicto armado </w:t>
      </w:r>
      <w:r w:rsidR="00B666B9" w:rsidRPr="00746ACE">
        <w:rPr>
          <w:kern w:val="36"/>
          <w:lang w:eastAsia="es-MX"/>
        </w:rPr>
        <w:t xml:space="preserve">en los </w:t>
      </w:r>
      <w:r w:rsidR="00A94F22" w:rsidRPr="00746ACE">
        <w:rPr>
          <w:kern w:val="36"/>
          <w:lang w:eastAsia="es-MX"/>
        </w:rPr>
        <w:t xml:space="preserve">procesos de la Jurisdicción Especial para </w:t>
      </w:r>
      <w:r w:rsidR="00B666B9" w:rsidRPr="00746ACE">
        <w:rPr>
          <w:kern w:val="36"/>
          <w:lang w:eastAsia="es-MX"/>
        </w:rPr>
        <w:t xml:space="preserve">la </w:t>
      </w:r>
      <w:r w:rsidR="00A94F22" w:rsidRPr="00746ACE">
        <w:rPr>
          <w:kern w:val="36"/>
          <w:lang w:eastAsia="es-MX"/>
        </w:rPr>
        <w:t>Paz</w:t>
      </w:r>
      <w:r w:rsidR="00B666B9" w:rsidRPr="00746ACE">
        <w:rPr>
          <w:kern w:val="36"/>
          <w:lang w:eastAsia="es-MX"/>
        </w:rPr>
        <w:t xml:space="preserve">, bien sea por </w:t>
      </w:r>
      <w:r w:rsidR="00D76BD8" w:rsidRPr="00746ACE">
        <w:rPr>
          <w:kern w:val="36"/>
          <w:lang w:eastAsia="es-MX"/>
        </w:rPr>
        <w:t xml:space="preserve">el </w:t>
      </w:r>
      <w:r w:rsidR="00B666B9" w:rsidRPr="00746ACE">
        <w:rPr>
          <w:kern w:val="36"/>
          <w:lang w:eastAsia="es-MX"/>
        </w:rPr>
        <w:t xml:space="preserve">conocimiento </w:t>
      </w:r>
      <w:r w:rsidR="00D76BD8" w:rsidRPr="00746ACE">
        <w:rPr>
          <w:kern w:val="36"/>
          <w:lang w:eastAsia="es-MX"/>
        </w:rPr>
        <w:t xml:space="preserve">que han alcanzado </w:t>
      </w:r>
      <w:r w:rsidR="00450C3C" w:rsidRPr="00746ACE">
        <w:rPr>
          <w:kern w:val="36"/>
          <w:lang w:eastAsia="es-MX"/>
        </w:rPr>
        <w:t>a través</w:t>
      </w:r>
      <w:r w:rsidR="00D76BD8" w:rsidRPr="00746ACE">
        <w:rPr>
          <w:kern w:val="36"/>
          <w:lang w:eastAsia="es-MX"/>
        </w:rPr>
        <w:t xml:space="preserve"> </w:t>
      </w:r>
      <w:r w:rsidR="00450C3C" w:rsidRPr="00746ACE">
        <w:rPr>
          <w:kern w:val="36"/>
          <w:lang w:eastAsia="es-MX"/>
        </w:rPr>
        <w:t>d</w:t>
      </w:r>
      <w:r w:rsidR="00D76BD8" w:rsidRPr="00746ACE">
        <w:rPr>
          <w:kern w:val="36"/>
          <w:lang w:eastAsia="es-MX"/>
        </w:rPr>
        <w:t xml:space="preserve">el litigio </w:t>
      </w:r>
      <w:r w:rsidR="00450C3C" w:rsidRPr="00746ACE">
        <w:rPr>
          <w:kern w:val="36"/>
          <w:lang w:eastAsia="es-MX"/>
        </w:rPr>
        <w:t>en</w:t>
      </w:r>
      <w:r w:rsidR="00D76BD8" w:rsidRPr="00746ACE">
        <w:rPr>
          <w:kern w:val="36"/>
          <w:lang w:eastAsia="es-MX"/>
        </w:rPr>
        <w:t xml:space="preserve"> favor de </w:t>
      </w:r>
      <w:r w:rsidR="00450C3C" w:rsidRPr="00746ACE">
        <w:rPr>
          <w:kern w:val="36"/>
          <w:lang w:eastAsia="es-MX"/>
        </w:rPr>
        <w:t>ellas</w:t>
      </w:r>
      <w:r w:rsidR="00B666B9" w:rsidRPr="00746ACE">
        <w:rPr>
          <w:kern w:val="36"/>
          <w:lang w:eastAsia="es-MX"/>
        </w:rPr>
        <w:t xml:space="preserve">, bien </w:t>
      </w:r>
      <w:r w:rsidR="00C45DD2" w:rsidRPr="00746ACE">
        <w:rPr>
          <w:kern w:val="36"/>
          <w:lang w:eastAsia="es-MX"/>
        </w:rPr>
        <w:t xml:space="preserve">sea </w:t>
      </w:r>
      <w:r w:rsidR="00B666B9" w:rsidRPr="00746ACE">
        <w:rPr>
          <w:kern w:val="36"/>
          <w:lang w:eastAsia="es-MX"/>
        </w:rPr>
        <w:t xml:space="preserve">porque en el desarrollo de su misión institucional conocen de manera especial la situación de personas y pueblos que han sufrido impactos desproporcionados en el </w:t>
      </w:r>
      <w:r w:rsidR="00F230F7" w:rsidRPr="00746ACE">
        <w:rPr>
          <w:kern w:val="36"/>
          <w:lang w:eastAsia="es-MX"/>
        </w:rPr>
        <w:t xml:space="preserve">marco del </w:t>
      </w:r>
      <w:r w:rsidR="00B666B9" w:rsidRPr="00746ACE">
        <w:rPr>
          <w:kern w:val="36"/>
          <w:lang w:eastAsia="es-MX"/>
        </w:rPr>
        <w:t xml:space="preserve">conflicto armado. </w:t>
      </w:r>
    </w:p>
    <w:p w14:paraId="608C29ED" w14:textId="77777777" w:rsidR="00D569BB" w:rsidRPr="00746ACE" w:rsidRDefault="00D569BB" w:rsidP="00D569BB">
      <w:pPr>
        <w:pStyle w:val="Prrafodelista"/>
        <w:widowControl w:val="0"/>
        <w:tabs>
          <w:tab w:val="left" w:pos="426"/>
        </w:tabs>
        <w:ind w:left="0" w:right="-40"/>
      </w:pPr>
    </w:p>
    <w:p w14:paraId="1EB5B977" w14:textId="1DB6F8FC" w:rsidR="00441448" w:rsidRPr="00746ACE" w:rsidRDefault="00D569BB" w:rsidP="00441448">
      <w:pPr>
        <w:pStyle w:val="Prrafodelista"/>
        <w:widowControl w:val="0"/>
        <w:numPr>
          <w:ilvl w:val="0"/>
          <w:numId w:val="7"/>
        </w:numPr>
        <w:tabs>
          <w:tab w:val="left" w:pos="426"/>
        </w:tabs>
        <w:ind w:right="-40" w:hanging="11"/>
      </w:pPr>
      <w:r w:rsidRPr="00746ACE">
        <w:rPr>
          <w:kern w:val="36"/>
          <w:lang w:eastAsia="es-MX"/>
        </w:rPr>
        <w:t>En este espacio participaron algunos delegados y delegadas de</w:t>
      </w:r>
      <w:r w:rsidR="00441448" w:rsidRPr="00746ACE">
        <w:rPr>
          <w:kern w:val="36"/>
          <w:lang w:eastAsia="es-MX"/>
        </w:rPr>
        <w:t>: ILEX Acción Jurídica, la Alianza Cinco Claves (Colombia Diversa, Corporación Humanas, Sisma Mujer, Women’s Link Worldwide y Red Nacional de Mujeres), el</w:t>
      </w:r>
      <w:r w:rsidRPr="00746ACE">
        <w:rPr>
          <w:kern w:val="36"/>
          <w:lang w:eastAsia="es-MX"/>
        </w:rPr>
        <w:t xml:space="preserve"> Instituto Internacional de Responsabilidad Social y Derechos Humanos, la Corporación Milvíctimas, </w:t>
      </w:r>
      <w:r w:rsidR="00441448" w:rsidRPr="00746ACE">
        <w:rPr>
          <w:kern w:val="36"/>
          <w:lang w:eastAsia="es-MX"/>
        </w:rPr>
        <w:t>la Corporación Rosa Blanca, el Colectivo de Abogados y Abogadas José Alvear Restrepo, el Colectivo Sociojurídico Orlando Fals Borda, la Comisión Colombiana de Juristas, el</w:t>
      </w:r>
      <w:r w:rsidRPr="00746ACE">
        <w:rPr>
          <w:kern w:val="36"/>
          <w:lang w:eastAsia="es-MX"/>
        </w:rPr>
        <w:t xml:space="preserve"> Comité de Solidaridad con los Presos Políticos</w:t>
      </w:r>
      <w:r w:rsidR="00441448" w:rsidRPr="00746ACE">
        <w:rPr>
          <w:kern w:val="36"/>
          <w:lang w:eastAsia="es-MX"/>
        </w:rPr>
        <w:t xml:space="preserve">, la Coalición Contra la Vinculación de Niños, Niñas y Jóvenes al Conflicto Armado en Colombia, la Federación de Víctimas de las FARC, el Consejo Regional Indígena del Cauca, la Organización Nacional Indígena de Colombia, la Unidad Indígena del Pueblo </w:t>
      </w:r>
      <w:r w:rsidR="00441448" w:rsidRPr="00746ACE">
        <w:rPr>
          <w:i/>
          <w:iCs/>
          <w:kern w:val="36"/>
          <w:lang w:eastAsia="es-MX"/>
        </w:rPr>
        <w:t>Awá</w:t>
      </w:r>
      <w:r w:rsidR="00441448" w:rsidRPr="00746ACE">
        <w:rPr>
          <w:kern w:val="36"/>
          <w:lang w:eastAsia="es-MX"/>
        </w:rPr>
        <w:t xml:space="preserve"> y la Defensoría del Pueblo. A continuación, se sintetizan las posturas que se expusieron durante la </w:t>
      </w:r>
      <w:r w:rsidR="00C108BC" w:rsidRPr="00746ACE">
        <w:rPr>
          <w:kern w:val="36"/>
          <w:lang w:eastAsia="es-MX"/>
        </w:rPr>
        <w:t>diligencia</w:t>
      </w:r>
      <w:r w:rsidR="00441448" w:rsidRPr="00746ACE">
        <w:rPr>
          <w:kern w:val="36"/>
          <w:lang w:eastAsia="es-MX"/>
        </w:rPr>
        <w:t xml:space="preserve">. </w:t>
      </w:r>
    </w:p>
    <w:p w14:paraId="466D81DC" w14:textId="77777777" w:rsidR="00441448" w:rsidRPr="00746ACE" w:rsidRDefault="00441448" w:rsidP="00441448">
      <w:pPr>
        <w:pStyle w:val="Prrafodelista"/>
      </w:pPr>
    </w:p>
    <w:p w14:paraId="5C767637" w14:textId="1C63C664" w:rsidR="00080828" w:rsidRPr="00746ACE" w:rsidRDefault="00C108BC" w:rsidP="00194690">
      <w:pPr>
        <w:pStyle w:val="Prrafodelista"/>
        <w:widowControl w:val="0"/>
        <w:numPr>
          <w:ilvl w:val="0"/>
          <w:numId w:val="7"/>
        </w:numPr>
        <w:tabs>
          <w:tab w:val="left" w:pos="426"/>
        </w:tabs>
        <w:ind w:right="-40" w:hanging="11"/>
      </w:pPr>
      <w:r w:rsidRPr="00746ACE">
        <w:t xml:space="preserve">El primer asunto </w:t>
      </w:r>
      <w:r w:rsidR="00A72774" w:rsidRPr="00746ACE">
        <w:t>abordado</w:t>
      </w:r>
      <w:r w:rsidRPr="00746ACE">
        <w:t xml:space="preserve"> fue la categoría del “grado intermedio de responsabilidad”</w:t>
      </w:r>
      <w:r w:rsidR="00A72774" w:rsidRPr="00746ACE">
        <w:t xml:space="preserve"> </w:t>
      </w:r>
      <w:r w:rsidR="00F434E9" w:rsidRPr="00746ACE">
        <w:t>bajo la lupa d</w:t>
      </w:r>
      <w:r w:rsidR="00A72774" w:rsidRPr="00746ACE">
        <w:t>el principio de centralidad</w:t>
      </w:r>
      <w:r w:rsidRPr="00746ACE">
        <w:t xml:space="preserve">. </w:t>
      </w:r>
      <w:r w:rsidR="00A72774" w:rsidRPr="00746ACE">
        <w:t xml:space="preserve">Las organizaciones </w:t>
      </w:r>
      <w:r w:rsidR="00F434E9" w:rsidRPr="00746ACE">
        <w:t xml:space="preserve">señalaron sus inquietudes en torno al </w:t>
      </w:r>
      <w:r w:rsidR="00080828" w:rsidRPr="00746ACE">
        <w:t xml:space="preserve">diseño institucional de la Jurisdicción Especial para la Paz, compartieron algunas experiencias de actuaciones procesales ante la Sala de Reconocimiento y la Sala de Definición de Situaciones Jurídicas, </w:t>
      </w:r>
      <w:r w:rsidR="00194690" w:rsidRPr="00746ACE">
        <w:t>mencionaron</w:t>
      </w:r>
      <w:r w:rsidR="00080828" w:rsidRPr="00746ACE">
        <w:t xml:space="preserve"> </w:t>
      </w:r>
      <w:r w:rsidR="00194690" w:rsidRPr="00746ACE">
        <w:t xml:space="preserve">las expectativas de las víctimas que representan y </w:t>
      </w:r>
      <w:r w:rsidR="00F15F97" w:rsidRPr="00746ACE">
        <w:t>explicaron</w:t>
      </w:r>
      <w:r w:rsidR="00080828" w:rsidRPr="00746ACE">
        <w:t xml:space="preserve"> </w:t>
      </w:r>
      <w:r w:rsidR="00194690" w:rsidRPr="00746ACE">
        <w:t xml:space="preserve">sus </w:t>
      </w:r>
      <w:r w:rsidR="00080828" w:rsidRPr="00746ACE">
        <w:t xml:space="preserve">reparos sobre </w:t>
      </w:r>
      <w:r w:rsidR="000A6E9A" w:rsidRPr="00746ACE">
        <w:t>los riesgos de</w:t>
      </w:r>
      <w:r w:rsidR="00080828" w:rsidRPr="00746ACE">
        <w:t xml:space="preserve"> impunidad </w:t>
      </w:r>
      <w:r w:rsidR="00080828" w:rsidRPr="00746ACE">
        <w:rPr>
          <w:i/>
          <w:iCs/>
        </w:rPr>
        <w:t>de facto</w:t>
      </w:r>
      <w:r w:rsidR="00194690" w:rsidRPr="00746ACE">
        <w:t>, al tiempo que</w:t>
      </w:r>
      <w:r w:rsidR="00080828" w:rsidRPr="00746ACE">
        <w:t xml:space="preserve"> presentaron argumentos tanto para defender como para cuestionar la constitucionalidad de la Senit 5.  </w:t>
      </w:r>
    </w:p>
    <w:p w14:paraId="354C4BE8" w14:textId="7122491F" w:rsidR="00F15F97" w:rsidRPr="00746ACE" w:rsidRDefault="00CF288B" w:rsidP="00F15F97">
      <w:pPr>
        <w:pStyle w:val="Prrafodelista"/>
      </w:pPr>
      <w:r w:rsidRPr="00746ACE">
        <w:t xml:space="preserve">     </w:t>
      </w:r>
    </w:p>
    <w:p w14:paraId="12D22627" w14:textId="2EB45F91" w:rsidR="00246E2D" w:rsidRPr="00746ACE" w:rsidRDefault="00ED7E5E" w:rsidP="00ED7E5E">
      <w:pPr>
        <w:pStyle w:val="Prrafodelista"/>
        <w:widowControl w:val="0"/>
        <w:numPr>
          <w:ilvl w:val="0"/>
          <w:numId w:val="7"/>
        </w:numPr>
        <w:tabs>
          <w:tab w:val="left" w:pos="426"/>
        </w:tabs>
        <w:ind w:right="-40"/>
      </w:pPr>
      <w:r w:rsidRPr="00746ACE">
        <w:t>Según</w:t>
      </w:r>
      <w:r w:rsidR="00F15F97" w:rsidRPr="00746ACE">
        <w:t xml:space="preserve"> algunos expositores, la categoría de “responsabilidad intermedia” puede contribuir a los fines del sistema transicional, en tanto permite </w:t>
      </w:r>
      <w:r w:rsidR="00246E2D" w:rsidRPr="00746ACE">
        <w:t>ampliar la determinación de responsabilidades, esclarecer patrones de macrocriminalidad no priorizados y fortalecer los aportes a la verdad por parte de los comparecientes distintos a los altos mandos</w:t>
      </w:r>
      <w:r w:rsidR="00CF288B" w:rsidRPr="00746ACE">
        <w:t>, pues ellos no tienen conocimiento sobre todos los hechos victimizantes</w:t>
      </w:r>
      <w:r w:rsidR="00246E2D" w:rsidRPr="00746ACE">
        <w:t xml:space="preserve">. </w:t>
      </w:r>
      <w:r w:rsidRPr="00746ACE">
        <w:t>En su concepto</w:t>
      </w:r>
      <w:r w:rsidR="00246E2D" w:rsidRPr="00746ACE">
        <w:t xml:space="preserve">, </w:t>
      </w:r>
      <w:r w:rsidR="00B47846" w:rsidRPr="00746ACE">
        <w:t xml:space="preserve">las subreglas de la Senit 5 evitan que la Sala de Definición de Situaciones Jurídicas se convierta en un “desagüe” para cerrar casos sin un examen suficiente de las responsabilidades. </w:t>
      </w:r>
      <w:r w:rsidR="00CF288B" w:rsidRPr="00746ACE">
        <w:t>Es por ello que</w:t>
      </w:r>
      <w:r w:rsidR="00B47846" w:rsidRPr="00746ACE">
        <w:t xml:space="preserve"> consideran necesario distinguir entre los comparecientes que pueden acceder a beneficios y los que, por su grado de responsabilidad, deberían enfrentar consecuencias distintas.</w:t>
      </w:r>
    </w:p>
    <w:p w14:paraId="6F997D7B" w14:textId="77777777" w:rsidR="00413F54" w:rsidRPr="00746ACE" w:rsidRDefault="00413F54" w:rsidP="00413F54">
      <w:pPr>
        <w:pStyle w:val="Prrafodelista"/>
      </w:pPr>
    </w:p>
    <w:p w14:paraId="52A3C3C0" w14:textId="49DD62CB" w:rsidR="00413F54" w:rsidRPr="00746ACE" w:rsidRDefault="00413F54" w:rsidP="003331CE">
      <w:pPr>
        <w:pStyle w:val="Prrafodelista"/>
        <w:widowControl w:val="0"/>
        <w:numPr>
          <w:ilvl w:val="0"/>
          <w:numId w:val="7"/>
        </w:numPr>
        <w:tabs>
          <w:tab w:val="left" w:pos="426"/>
        </w:tabs>
        <w:ind w:right="-40"/>
      </w:pPr>
      <w:r w:rsidRPr="00746ACE">
        <w:t xml:space="preserve">Para ilustrar ese punto, algunas organizaciones aludieron a ciertos paradigmas en los que podría operar la “selección de segundo orden”, tales como: (i) el subcaso de Casanare dentro del macrocaso 3, en el cual se seleccionó como máximos responsables a los jefes de subestructuras paramilitares, pero no a los jefes de Estado Mayor de Brigada, quienes cumplieron un papel cercano al mando; </w:t>
      </w:r>
      <w:r w:rsidR="003331CE" w:rsidRPr="00746ACE">
        <w:t xml:space="preserve">(ii) las regiones no priorizadas por la Sala de Reconocimiento; </w:t>
      </w:r>
      <w:r w:rsidRPr="00746ACE">
        <w:t>(</w:t>
      </w:r>
      <w:r w:rsidR="003331CE" w:rsidRPr="00746ACE">
        <w:t>i</w:t>
      </w:r>
      <w:r w:rsidRPr="00746ACE">
        <w:t xml:space="preserve">ii) los comparecientes que llevan años sometidos a la Jurisdicción Especial para la Paz sin emitir aportes significativos a la verdad, a pesar de que fueron condenados en la jurisdicción penal ordinaria; </w:t>
      </w:r>
      <w:r w:rsidR="003331CE" w:rsidRPr="00746ACE">
        <w:t>y (iv) los excombatientes que, sin haber comparecido a la jurisdicción ni ser máximos responsables, cometieron actos de violencia sexual intrafilas</w:t>
      </w:r>
    </w:p>
    <w:p w14:paraId="79F5B21F" w14:textId="77777777" w:rsidR="00413F54" w:rsidRPr="00746ACE" w:rsidRDefault="00413F54" w:rsidP="00246E2D"/>
    <w:p w14:paraId="1811BA07" w14:textId="0DE5F0BA" w:rsidR="00B47846" w:rsidRPr="00746ACE" w:rsidRDefault="00B47846" w:rsidP="009F2FE8">
      <w:pPr>
        <w:pStyle w:val="Prrafodelista"/>
        <w:widowControl w:val="0"/>
        <w:numPr>
          <w:ilvl w:val="0"/>
          <w:numId w:val="7"/>
        </w:numPr>
        <w:tabs>
          <w:tab w:val="left" w:pos="426"/>
        </w:tabs>
        <w:ind w:right="-40" w:hanging="11"/>
      </w:pPr>
      <w:r w:rsidRPr="00746ACE">
        <w:t xml:space="preserve">Una organización señaló que las víctimas del conflicto armado son un grupo heterogéneo y plural de personas que se dispersan por factores como el hecho victimizante, la etnia, el género, la edad, la discapacidad y las expectativas sobre la justicia transicional. En su experiencia, la mayoría de las víctimas consideran que la “selección de segundo orden” es un mecanismo útil </w:t>
      </w:r>
      <w:r w:rsidR="006C7616" w:rsidRPr="00746ACE">
        <w:t>que</w:t>
      </w:r>
      <w:r w:rsidRPr="00746ACE">
        <w:t xml:space="preserve"> debería aplicar dependiendo del comportamiento del compareciente (v.gr., sus aportes a la verdad, su arrepentimiento y su disposición de reparar).</w:t>
      </w:r>
      <w:r w:rsidR="006C7616" w:rsidRPr="00746ACE">
        <w:t xml:space="preserve"> También expresó preocupación porque, en su percepción, la Jurisdicción Especial para la Paz ha priorizado los casos relacionados con miembros de la Fuerza Pública y advirtió que las dificultades para identificar comparecientes de las antiguas FARC, por el uso de alias, podrían agudizarse con el auto de determinación de hechos y conductas del macrocaso 10 (crímenes no amnistiables cometidos por las FARC-EP en el marco del conflicto armado interno). </w:t>
      </w:r>
    </w:p>
    <w:p w14:paraId="3C84DAB7" w14:textId="77777777" w:rsidR="006C7616" w:rsidRPr="00746ACE" w:rsidRDefault="006C7616" w:rsidP="006C7616">
      <w:pPr>
        <w:pStyle w:val="Prrafodelista"/>
      </w:pPr>
    </w:p>
    <w:p w14:paraId="7BB727F5" w14:textId="19B93FC3" w:rsidR="006C7616" w:rsidRPr="00746ACE" w:rsidRDefault="006C7616" w:rsidP="009F2FE8">
      <w:pPr>
        <w:pStyle w:val="Prrafodelista"/>
        <w:widowControl w:val="0"/>
        <w:numPr>
          <w:ilvl w:val="0"/>
          <w:numId w:val="7"/>
        </w:numPr>
        <w:tabs>
          <w:tab w:val="left" w:pos="426"/>
        </w:tabs>
        <w:ind w:right="-40" w:hanging="11"/>
      </w:pPr>
      <w:r w:rsidRPr="00746ACE">
        <w:t xml:space="preserve">En esa </w:t>
      </w:r>
      <w:r w:rsidR="005C2B74" w:rsidRPr="00746ACE">
        <w:t xml:space="preserve">misma </w:t>
      </w:r>
      <w:r w:rsidRPr="00746ACE">
        <w:t xml:space="preserve">línea, </w:t>
      </w:r>
      <w:r w:rsidR="005C2B74" w:rsidRPr="00746ACE">
        <w:t>otra</w:t>
      </w:r>
      <w:r w:rsidRPr="00746ACE">
        <w:t xml:space="preserve"> organización consideró que aún persiste un “déficit de verdad” por parte del secretariado de las FARC, en la medida en que no se ha logrado la individualización clara de responsabilidades, el cumplimiento efectivo del régimen de condicionalidad ni la entrega completa de información relevante</w:t>
      </w:r>
      <w:r w:rsidR="005C2B74" w:rsidRPr="00746ACE">
        <w:t>. En la intervención, el delegado afirmó que la Jurisdicción Especial para la Paz les impone a los miembros de la Fuerza Pública unas exigencias de verdad mucho más estrictas que a los excombatientes de las FARC, lo que genera vacíos en la reconstrucción de los hechos que podrían remediarse con la “selección de segundo orden”</w:t>
      </w:r>
      <w:r w:rsidR="00171148" w:rsidRPr="00746ACE">
        <w:t xml:space="preserve">. </w:t>
      </w:r>
    </w:p>
    <w:p w14:paraId="1A900607" w14:textId="77777777" w:rsidR="006C7616" w:rsidRPr="00746ACE" w:rsidRDefault="006C7616" w:rsidP="006C7616">
      <w:pPr>
        <w:pStyle w:val="Prrafodelista"/>
        <w:widowControl w:val="0"/>
        <w:tabs>
          <w:tab w:val="left" w:pos="426"/>
        </w:tabs>
        <w:ind w:left="0" w:right="-40"/>
      </w:pPr>
    </w:p>
    <w:p w14:paraId="32D5E665" w14:textId="5FBF8EB9" w:rsidR="003331CE" w:rsidRPr="00746ACE" w:rsidRDefault="005C2B74" w:rsidP="003331CE">
      <w:pPr>
        <w:pStyle w:val="Prrafodelista"/>
        <w:widowControl w:val="0"/>
        <w:numPr>
          <w:ilvl w:val="0"/>
          <w:numId w:val="7"/>
        </w:numPr>
        <w:tabs>
          <w:tab w:val="left" w:pos="426"/>
        </w:tabs>
        <w:ind w:right="-40" w:hanging="11"/>
      </w:pPr>
      <w:r w:rsidRPr="00746ACE">
        <w:t>También hubo menciones a</w:t>
      </w:r>
      <w:r w:rsidR="00B47846" w:rsidRPr="00746ACE">
        <w:t xml:space="preserve"> que la Senit 5 resuelve un vacío en el Acuerdo Final de Paz</w:t>
      </w:r>
      <w:r w:rsidR="006C7616" w:rsidRPr="00746ACE">
        <w:t xml:space="preserve">, en cuanto a los mecanismos al alcance de las víctimas cuando no han obtenido verdad plena, </w:t>
      </w:r>
      <w:r w:rsidR="00B47846" w:rsidRPr="00746ACE">
        <w:t xml:space="preserve">y reglamenta una facultad que fue contemplada en la norma estatutaria. </w:t>
      </w:r>
      <w:r w:rsidRPr="00746ACE">
        <w:t>Para este sector</w:t>
      </w:r>
      <w:r w:rsidR="00B47846" w:rsidRPr="00746ACE">
        <w:t xml:space="preserve">, una interpretación contraria, como la que sostienen los demandantes, podría generar impunidad </w:t>
      </w:r>
      <w:r w:rsidR="00B47846" w:rsidRPr="00746ACE">
        <w:rPr>
          <w:i/>
          <w:iCs/>
        </w:rPr>
        <w:t>de facto</w:t>
      </w:r>
      <w:r w:rsidR="006C7616" w:rsidRPr="00746ACE">
        <w:t xml:space="preserve">. Además, </w:t>
      </w:r>
      <w:r w:rsidR="003331CE" w:rsidRPr="00746ACE">
        <w:t>un expositor hizo énfasis en la autocorrección, pues varias de las objeciones planteadas en la demanda se abordaron en las Senit 8 y 9.</w:t>
      </w:r>
    </w:p>
    <w:p w14:paraId="52F491B9" w14:textId="77777777" w:rsidR="003331CE" w:rsidRPr="00746ACE" w:rsidRDefault="003331CE" w:rsidP="003331CE">
      <w:pPr>
        <w:pStyle w:val="Prrafodelista"/>
      </w:pPr>
    </w:p>
    <w:p w14:paraId="600F7F32" w14:textId="72EF6E7C" w:rsidR="005C2B74" w:rsidRPr="00746ACE" w:rsidRDefault="005C2B74" w:rsidP="005C2B74">
      <w:pPr>
        <w:pStyle w:val="Prrafodelista"/>
        <w:widowControl w:val="0"/>
        <w:numPr>
          <w:ilvl w:val="0"/>
          <w:numId w:val="7"/>
        </w:numPr>
        <w:tabs>
          <w:tab w:val="left" w:pos="426"/>
        </w:tabs>
        <w:ind w:right="-40" w:hanging="11"/>
      </w:pPr>
      <w:r w:rsidRPr="00746ACE">
        <w:t xml:space="preserve">Otra postura consistió en sostener que la “responsabilidad intermedia” es una construcción jurisprudencial que genera una tensión en la distribución de competencias entre la Sala de Definición de Situaciones Jurídicas y la Sala de Reconocimiento, desnaturaliza el diseño del Acuerdo Final de Paz y desconoce lo establecido en la Sentencia C-080 de 2018. Según explicaron, esa categoría no puede aplicarse para provocar cierres anticipados ni tratamientos diferenciados no justificados, pues ello se tornaría inconstitucional. Además, según explicaron, algunas víctimas del conflicto armado sienten descontento frente a la Jurisdicción Especial para la Paz, particularmente por la percepción de impunidad asociada con la renuncia a la persecución penal y los escenarios que replican características del modelo de Justicia y Paz. </w:t>
      </w:r>
    </w:p>
    <w:p w14:paraId="5318D956" w14:textId="77777777" w:rsidR="00CF288B" w:rsidRPr="00746ACE" w:rsidRDefault="00CF288B" w:rsidP="00CF288B">
      <w:pPr>
        <w:pStyle w:val="Prrafodelista"/>
      </w:pPr>
    </w:p>
    <w:p w14:paraId="2AD89D57" w14:textId="62768200" w:rsidR="00CF288B" w:rsidRPr="00746ACE" w:rsidRDefault="003331CE" w:rsidP="003331CE">
      <w:pPr>
        <w:pStyle w:val="Prrafodelista"/>
        <w:widowControl w:val="0"/>
        <w:numPr>
          <w:ilvl w:val="0"/>
          <w:numId w:val="7"/>
        </w:numPr>
        <w:tabs>
          <w:tab w:val="left" w:pos="426"/>
        </w:tabs>
        <w:ind w:right="-40" w:hanging="11"/>
      </w:pPr>
      <w:r w:rsidRPr="00746ACE">
        <w:t xml:space="preserve">Según una organización, al consultar el balance de la Jurisdicción Especial para la Paz con algunas víctimas del conflicto armado que representa en el macrocaso 10, es posible concluir que: (i) la categoría de “responsabilidad intermedia” se percibe como un mecanismo para definir los tratamientos a los comparecientes que no son máximos responsables; (ii) algunas víctimas estiman que la verdad es el objetivo central del proceso transicional, mientras que otras fundan sus expectativas de justicia en la duración de los procedimientos y sus experiencias procesales; y (iii) existen comparecientes que, sin ser máximos responsables, deberían enfrentar un juicio adversarial para conseguir aportes suficientes a la verdad, pues lo contrario suscita sentimientos de impunidad. </w:t>
      </w:r>
    </w:p>
    <w:p w14:paraId="7A33CA8E" w14:textId="77777777" w:rsidR="00171148" w:rsidRPr="00746ACE" w:rsidRDefault="00171148" w:rsidP="00171148">
      <w:pPr>
        <w:pStyle w:val="Prrafodelista"/>
      </w:pPr>
    </w:p>
    <w:p w14:paraId="0C7EDEBE" w14:textId="48C22FBD" w:rsidR="00171148" w:rsidRPr="00746ACE" w:rsidRDefault="00171148" w:rsidP="003331CE">
      <w:pPr>
        <w:pStyle w:val="Prrafodelista"/>
        <w:widowControl w:val="0"/>
        <w:numPr>
          <w:ilvl w:val="0"/>
          <w:numId w:val="7"/>
        </w:numPr>
        <w:tabs>
          <w:tab w:val="left" w:pos="426"/>
        </w:tabs>
        <w:ind w:right="-40" w:hanging="11"/>
      </w:pPr>
      <w:r w:rsidRPr="00746ACE">
        <w:t>Los magistrados formularon preguntas relacionadas con la procedencia excepcional de la “selección de segundo orden”, su relación con los principios de estricta temporalidad y seguridad jurídica, su fundamento en el Acuerdo Final de Paz, la participación de las víctimas en la expedición de las sentencias interpretativas, los alcances de la responsabilidad cercana a la máxima y la eventual autocorrección del sistema en las Senit 8 y 9. Asimismo, ellos indagaron por los efectos de esa figura en el funcionamiento institucional de la Jurisdicción Especial para la Paz, su impacto en los principios de selección y priorización y las advertencias de diferencias de trato entre comparecientes de las FARC y de la Fuerza Pública</w:t>
      </w:r>
    </w:p>
    <w:p w14:paraId="2EA65F28" w14:textId="77777777" w:rsidR="001943BD" w:rsidRPr="00746ACE" w:rsidRDefault="001943BD" w:rsidP="001943BD">
      <w:pPr>
        <w:pStyle w:val="Prrafodelista"/>
      </w:pPr>
    </w:p>
    <w:p w14:paraId="33D23F3E" w14:textId="6DC1F309" w:rsidR="00D362D5" w:rsidRPr="00746ACE" w:rsidRDefault="00D013B4" w:rsidP="00D362D5">
      <w:pPr>
        <w:pStyle w:val="Prrafodelista"/>
        <w:widowControl w:val="0"/>
        <w:numPr>
          <w:ilvl w:val="0"/>
          <w:numId w:val="7"/>
        </w:numPr>
        <w:tabs>
          <w:tab w:val="left" w:pos="426"/>
        </w:tabs>
        <w:ind w:right="-40" w:hanging="11"/>
      </w:pPr>
      <w:r w:rsidRPr="00746ACE">
        <w:t xml:space="preserve">En segundo lugar, la sesión técnica abordó </w:t>
      </w:r>
      <w:r w:rsidR="00E77CB3" w:rsidRPr="00746ACE">
        <w:t>las expectativas de las víctimas del conflicto armado frente a los macrocasos priorizados en la Jurisdicción Especial para la Paz y las implicaciones de la Senit 5 en su satisfacción. Las organizaciones que representan poblaciones con afectaciones diferenciales, (</w:t>
      </w:r>
      <w:r w:rsidR="00B50B8C" w:rsidRPr="00746ACE">
        <w:rPr>
          <w:i/>
          <w:iCs/>
        </w:rPr>
        <w:t>v.gr</w:t>
      </w:r>
      <w:r w:rsidR="00B50B8C" w:rsidRPr="00746ACE">
        <w:t>.,</w:t>
      </w:r>
      <w:r w:rsidR="00E77CB3" w:rsidRPr="00746ACE">
        <w:t xml:space="preserve"> </w:t>
      </w:r>
      <w:r w:rsidR="00B50B8C" w:rsidRPr="00746ACE">
        <w:t xml:space="preserve">personas con orientaciones sexuales diversas, </w:t>
      </w:r>
      <w:r w:rsidR="00E77CB3" w:rsidRPr="00746ACE">
        <w:t xml:space="preserve">mujeres, niños y pueblos étnicos) protagonizaron </w:t>
      </w:r>
      <w:r w:rsidR="00B50B8C" w:rsidRPr="00746ACE">
        <w:t xml:space="preserve">este eje del diálogo. </w:t>
      </w:r>
    </w:p>
    <w:p w14:paraId="350CC0DC" w14:textId="77777777" w:rsidR="00D362D5" w:rsidRPr="00746ACE" w:rsidRDefault="00D362D5" w:rsidP="00D362D5">
      <w:pPr>
        <w:pStyle w:val="Prrafodelista"/>
      </w:pPr>
    </w:p>
    <w:p w14:paraId="306CD7B3" w14:textId="6570CD1F" w:rsidR="00C73B5A" w:rsidRPr="00746ACE" w:rsidRDefault="00C73B5A" w:rsidP="00C73B5A">
      <w:pPr>
        <w:pStyle w:val="Prrafodelista"/>
        <w:widowControl w:val="0"/>
        <w:numPr>
          <w:ilvl w:val="0"/>
          <w:numId w:val="7"/>
        </w:numPr>
        <w:tabs>
          <w:tab w:val="left" w:pos="426"/>
        </w:tabs>
        <w:ind w:right="-40" w:hanging="11"/>
      </w:pPr>
      <w:r w:rsidRPr="00746ACE">
        <w:t>Según</w:t>
      </w:r>
      <w:r w:rsidR="00D362D5" w:rsidRPr="00746ACE">
        <w:t xml:space="preserve"> una organización</w:t>
      </w:r>
      <w:r w:rsidRPr="00746ACE">
        <w:t xml:space="preserve"> </w:t>
      </w:r>
      <w:r w:rsidR="00364E7B" w:rsidRPr="00746ACE">
        <w:t>promotora</w:t>
      </w:r>
      <w:r w:rsidRPr="00746ACE">
        <w:t xml:space="preserve"> de los derechos de los pueblos indígenas, la Sala de Reconocimiento emitió dos autos de determinación de hechos y conductas en los que se identificaron veintidós máximos responsables, pero aún hay camino por recorres. El interviniente afirmó que muchos comparecientes reconocen haber cometido ciertos delitos, pero no aportan información suficiente sobre aspectos cruciales, como el paradero de personas desaparecidas. Por lo tanto, en su concepto, la figura de la “selección de segundo orden” puede ser beneficiosa, en tanto conlleva rutas para que otros comparecientes distintos a los máximos responsables puedan ser investigados o llamados a responder en otras instancias del sistema. </w:t>
      </w:r>
    </w:p>
    <w:p w14:paraId="6DF1D60A" w14:textId="77777777" w:rsidR="00060508" w:rsidRPr="00746ACE" w:rsidRDefault="00060508" w:rsidP="00060508">
      <w:pPr>
        <w:pStyle w:val="Prrafodelista"/>
      </w:pPr>
    </w:p>
    <w:p w14:paraId="316E424A" w14:textId="129A1A77" w:rsidR="00060508" w:rsidRPr="00746ACE" w:rsidRDefault="00060508" w:rsidP="00C73B5A">
      <w:pPr>
        <w:pStyle w:val="Prrafodelista"/>
        <w:widowControl w:val="0"/>
        <w:numPr>
          <w:ilvl w:val="0"/>
          <w:numId w:val="7"/>
        </w:numPr>
        <w:tabs>
          <w:tab w:val="left" w:pos="426"/>
        </w:tabs>
        <w:ind w:right="-40" w:hanging="11"/>
      </w:pPr>
      <w:r w:rsidRPr="00746ACE">
        <w:t>Otra organización de pueblos indígenas sostuvo que los procesos en la Jurisdicción Especial para la Paz han habilitado algunos espacios de diálogo y reconocimiento, pero todavía faltan aportes de verdad suficiente por parte de los comparecientes. Además, en su experiencia, la implementación de medidas restaurativas ha enfrentado obstáculos, debido a falta de recursos y la persistencia del conflicto armado en los territorios. Para estas comunidades, es imperativo fortalecer el cumplimiento al régimen de condicionalidad, de modo que quienes no aporten verdad efectiva pierdan los beneficios transicionales.</w:t>
      </w:r>
    </w:p>
    <w:p w14:paraId="05F0A0AD" w14:textId="77777777" w:rsidR="00060508" w:rsidRPr="00746ACE" w:rsidRDefault="00060508" w:rsidP="00060508">
      <w:pPr>
        <w:pStyle w:val="Prrafodelista"/>
      </w:pPr>
    </w:p>
    <w:p w14:paraId="74646A11" w14:textId="4DFA4922" w:rsidR="00060508" w:rsidRPr="00746ACE" w:rsidRDefault="00060508" w:rsidP="00060508">
      <w:pPr>
        <w:pStyle w:val="Prrafodelista"/>
        <w:widowControl w:val="0"/>
        <w:numPr>
          <w:ilvl w:val="0"/>
          <w:numId w:val="7"/>
        </w:numPr>
        <w:tabs>
          <w:tab w:val="left" w:pos="426"/>
        </w:tabs>
        <w:ind w:right="-40" w:hanging="11"/>
      </w:pPr>
      <w:r w:rsidRPr="00746ACE">
        <w:t xml:space="preserve">A su vez, el delegado de </w:t>
      </w:r>
      <w:r w:rsidR="007F1EA5" w:rsidRPr="00746ACE">
        <w:t xml:space="preserve">otra </w:t>
      </w:r>
      <w:r w:rsidR="00ED7E5E" w:rsidRPr="00746ACE">
        <w:rPr>
          <w:lang w:eastAsia="es-MX"/>
        </w:rPr>
        <w:t xml:space="preserve">asociación de </w:t>
      </w:r>
      <w:r w:rsidR="007F1EA5" w:rsidRPr="00746ACE">
        <w:rPr>
          <w:lang w:eastAsia="es-MX"/>
        </w:rPr>
        <w:t xml:space="preserve">los pueblos </w:t>
      </w:r>
      <w:r w:rsidR="00ED7E5E" w:rsidRPr="00746ACE">
        <w:rPr>
          <w:lang w:eastAsia="es-MX"/>
        </w:rPr>
        <w:t xml:space="preserve">indígenas indicó que, </w:t>
      </w:r>
      <w:r w:rsidR="00ED7E5E" w:rsidRPr="00746ACE">
        <w:t>si bien la Jurisdicción Especial para la Paz, ha realizado esfuerzos importantes, los avances percibidos por las comunidades indígenas son todavía limitados. En su criterio, las víctimas del conflicto armado siguen esperando un esclarecimiento completo de lo ocurrido en los territorios, especialmente en relación con asesinatos, desapariciones y otras formas de violencia. Para estos pueblos, la verdad no se limita a daños individuales, sino que incluye afectaciones al territorio, la cultura, las autoridades tradicionales y los sistemas de conocimiento. En consecuencia, la interviniente señaló que la justicia transicional debería abordar integralmente esas afectaciones.</w:t>
      </w:r>
    </w:p>
    <w:p w14:paraId="7A4E52AA" w14:textId="77777777" w:rsidR="00171148" w:rsidRPr="00746ACE" w:rsidRDefault="00171148" w:rsidP="00171148">
      <w:pPr>
        <w:pStyle w:val="Prrafodelista"/>
        <w:widowControl w:val="0"/>
        <w:tabs>
          <w:tab w:val="left" w:pos="426"/>
        </w:tabs>
        <w:ind w:left="0" w:right="-40"/>
      </w:pPr>
    </w:p>
    <w:p w14:paraId="21900708" w14:textId="23F07C81" w:rsidR="00C73B5A" w:rsidRPr="00746ACE" w:rsidRDefault="00C73B5A" w:rsidP="00C73B5A">
      <w:pPr>
        <w:pStyle w:val="Prrafodelista"/>
        <w:widowControl w:val="0"/>
        <w:numPr>
          <w:ilvl w:val="0"/>
          <w:numId w:val="7"/>
        </w:numPr>
        <w:tabs>
          <w:tab w:val="left" w:pos="426"/>
        </w:tabs>
        <w:ind w:right="-40" w:hanging="11"/>
        <w:rPr>
          <w:kern w:val="36"/>
          <w:lang w:eastAsia="es-MX"/>
        </w:rPr>
      </w:pPr>
      <w:r w:rsidRPr="00746ACE">
        <w:t xml:space="preserve">Unas organizaciones </w:t>
      </w:r>
      <w:r w:rsidR="00364E7B" w:rsidRPr="00746ACE">
        <w:t xml:space="preserve">que litigan en materia de derechos de las mujeres y personas LGBTQ+ pusieron de presente que </w:t>
      </w:r>
      <w:r w:rsidRPr="00746ACE">
        <w:rPr>
          <w:kern w:val="36"/>
          <w:lang w:eastAsia="es-MX"/>
        </w:rPr>
        <w:t>el modelo de justicia transicional prometió procesos dialógicos y restaurativos, con reconocimiento temprano de responsabilidad por parte de los perpetradores. Sin embargo, en su experiencia, han encontrado resistencias al reconocimiento de la verdad, dificultades para identificar máximos responsables y persistencia de patrones negacionistas.</w:t>
      </w:r>
      <w:r w:rsidR="008C6EF6" w:rsidRPr="00746ACE">
        <w:rPr>
          <w:kern w:val="36"/>
          <w:lang w:eastAsia="es-MX"/>
        </w:rPr>
        <w:t xml:space="preserve"> Además, ellas expusieron </w:t>
      </w:r>
      <w:r w:rsidR="00060508" w:rsidRPr="00746ACE">
        <w:rPr>
          <w:kern w:val="36"/>
          <w:lang w:eastAsia="es-MX"/>
        </w:rPr>
        <w:t>las siguientes</w:t>
      </w:r>
      <w:r w:rsidR="008C6EF6" w:rsidRPr="00746ACE">
        <w:rPr>
          <w:kern w:val="36"/>
          <w:lang w:eastAsia="es-MX"/>
        </w:rPr>
        <w:t xml:space="preserve"> consideraciones sobre el juzgamiento de las violencias basadas en género y la “selección de segundo orden”. </w:t>
      </w:r>
    </w:p>
    <w:p w14:paraId="516027F0" w14:textId="77777777" w:rsidR="00364E7B" w:rsidRPr="00746ACE" w:rsidRDefault="00364E7B" w:rsidP="00364E7B">
      <w:pPr>
        <w:pStyle w:val="Prrafodelista"/>
        <w:rPr>
          <w:kern w:val="36"/>
          <w:lang w:eastAsia="es-MX"/>
        </w:rPr>
      </w:pPr>
    </w:p>
    <w:p w14:paraId="7B4F7323" w14:textId="6E93D517" w:rsidR="008C6EF6" w:rsidRPr="00746ACE" w:rsidRDefault="00364E7B" w:rsidP="008C6EF6">
      <w:pPr>
        <w:pStyle w:val="Prrafodelista"/>
        <w:widowControl w:val="0"/>
        <w:numPr>
          <w:ilvl w:val="0"/>
          <w:numId w:val="7"/>
        </w:numPr>
        <w:tabs>
          <w:tab w:val="left" w:pos="426"/>
        </w:tabs>
        <w:ind w:right="-40" w:hanging="11"/>
        <w:rPr>
          <w:kern w:val="36"/>
          <w:lang w:eastAsia="es-MX"/>
        </w:rPr>
      </w:pPr>
      <w:r w:rsidRPr="00746ACE">
        <w:rPr>
          <w:kern w:val="36"/>
          <w:lang w:eastAsia="es-MX"/>
        </w:rPr>
        <w:t>E</w:t>
      </w:r>
      <w:r w:rsidR="008C6EF6" w:rsidRPr="00746ACE">
        <w:rPr>
          <w:kern w:val="36"/>
          <w:lang w:eastAsia="es-MX"/>
        </w:rPr>
        <w:t>n primer lugar</w:t>
      </w:r>
      <w:r w:rsidRPr="00746ACE">
        <w:rPr>
          <w:kern w:val="36"/>
          <w:lang w:eastAsia="es-MX"/>
        </w:rPr>
        <w:t xml:space="preserve">, </w:t>
      </w:r>
      <w:r w:rsidR="00060508" w:rsidRPr="00746ACE">
        <w:rPr>
          <w:kern w:val="36"/>
          <w:lang w:eastAsia="es-MX"/>
        </w:rPr>
        <w:t>la</w:t>
      </w:r>
      <w:r w:rsidRPr="00746ACE">
        <w:rPr>
          <w:kern w:val="36"/>
          <w:lang w:eastAsia="es-MX"/>
        </w:rPr>
        <w:t xml:space="preserve"> interviniente señaló varios problemas estructurales</w:t>
      </w:r>
      <w:r w:rsidR="008C6EF6" w:rsidRPr="00746ACE">
        <w:rPr>
          <w:kern w:val="36"/>
          <w:lang w:eastAsia="es-MX"/>
        </w:rPr>
        <w:t xml:space="preserve"> para el juzgamiento de las violencias basadas en género, a saber</w:t>
      </w:r>
      <w:r w:rsidRPr="00746ACE">
        <w:rPr>
          <w:kern w:val="36"/>
          <w:lang w:eastAsia="es-MX"/>
        </w:rPr>
        <w:t>: (i) el subregistro de los casos, debido al miedo, la estigmatización y las fallas institucionales históricas; (ii) la falta de análisis estructural que permita comprender cómo estas violencias se integraban en las dinámicas del conflicto armado; y (iii) la persistencia de una carga probatoria excesiva para las víctimas, quienes deben demostrar hechos ocurridos en contextos difíciles de documentar.</w:t>
      </w:r>
      <w:r w:rsidR="008C6EF6" w:rsidRPr="00746ACE">
        <w:rPr>
          <w:kern w:val="36"/>
          <w:lang w:eastAsia="es-MX"/>
        </w:rPr>
        <w:t xml:space="preserve"> </w:t>
      </w:r>
    </w:p>
    <w:p w14:paraId="3200FD27" w14:textId="77777777" w:rsidR="008C6EF6" w:rsidRPr="00746ACE" w:rsidRDefault="008C6EF6" w:rsidP="008C6EF6">
      <w:pPr>
        <w:pStyle w:val="Prrafodelista"/>
        <w:rPr>
          <w:kern w:val="36"/>
          <w:lang w:eastAsia="es-MX"/>
        </w:rPr>
      </w:pPr>
    </w:p>
    <w:p w14:paraId="2349BC62" w14:textId="6D0A5C92" w:rsidR="00364E7B" w:rsidRPr="00746ACE" w:rsidRDefault="00364E7B" w:rsidP="008C6EF6">
      <w:pPr>
        <w:pStyle w:val="Prrafodelista"/>
        <w:widowControl w:val="0"/>
        <w:numPr>
          <w:ilvl w:val="0"/>
          <w:numId w:val="7"/>
        </w:numPr>
        <w:tabs>
          <w:tab w:val="left" w:pos="426"/>
        </w:tabs>
        <w:ind w:right="-40" w:hanging="11"/>
        <w:rPr>
          <w:kern w:val="36"/>
          <w:lang w:eastAsia="es-MX"/>
        </w:rPr>
      </w:pPr>
      <w:r w:rsidRPr="00746ACE">
        <w:rPr>
          <w:kern w:val="36"/>
          <w:lang w:eastAsia="es-MX"/>
        </w:rPr>
        <w:t xml:space="preserve">En </w:t>
      </w:r>
      <w:r w:rsidR="008C6EF6" w:rsidRPr="00746ACE">
        <w:rPr>
          <w:kern w:val="36"/>
          <w:lang w:eastAsia="es-MX"/>
        </w:rPr>
        <w:t>segundo lugar, la</w:t>
      </w:r>
      <w:r w:rsidR="00060508" w:rsidRPr="00746ACE">
        <w:rPr>
          <w:kern w:val="36"/>
          <w:lang w:eastAsia="es-MX"/>
        </w:rPr>
        <w:t xml:space="preserve"> interviniente mencionó </w:t>
      </w:r>
      <w:r w:rsidR="008C6EF6" w:rsidRPr="00746ACE">
        <w:rPr>
          <w:kern w:val="36"/>
          <w:lang w:eastAsia="es-MX"/>
        </w:rPr>
        <w:t>que la</w:t>
      </w:r>
      <w:r w:rsidRPr="00746ACE">
        <w:rPr>
          <w:kern w:val="36"/>
          <w:lang w:eastAsia="es-MX"/>
        </w:rPr>
        <w:t xml:space="preserve"> “selección de segundo orden”</w:t>
      </w:r>
      <w:r w:rsidR="008C6EF6" w:rsidRPr="00746ACE">
        <w:rPr>
          <w:kern w:val="36"/>
          <w:lang w:eastAsia="es-MX"/>
        </w:rPr>
        <w:t xml:space="preserve"> </w:t>
      </w:r>
      <w:r w:rsidRPr="00746ACE">
        <w:rPr>
          <w:kern w:val="36"/>
          <w:lang w:eastAsia="es-MX"/>
        </w:rPr>
        <w:t xml:space="preserve">podría contribuir a ampliar la verdad y el acceso a la justicia, pero también </w:t>
      </w:r>
      <w:r w:rsidR="008C6EF6" w:rsidRPr="00746ACE">
        <w:rPr>
          <w:kern w:val="36"/>
          <w:lang w:eastAsia="es-MX"/>
        </w:rPr>
        <w:t>advirtieron</w:t>
      </w:r>
      <w:r w:rsidRPr="00746ACE">
        <w:rPr>
          <w:kern w:val="36"/>
          <w:lang w:eastAsia="es-MX"/>
        </w:rPr>
        <w:t xml:space="preserve"> algunos riesgos</w:t>
      </w:r>
      <w:r w:rsidR="008C6EF6" w:rsidRPr="00746ACE">
        <w:rPr>
          <w:kern w:val="36"/>
          <w:lang w:eastAsia="es-MX"/>
        </w:rPr>
        <w:t xml:space="preserve"> en su implementación</w:t>
      </w:r>
      <w:r w:rsidRPr="00746ACE">
        <w:rPr>
          <w:kern w:val="36"/>
          <w:lang w:eastAsia="es-MX"/>
        </w:rPr>
        <w:t xml:space="preserve">, como la posible dilución de la responsabilidad de los máximos responsables o el aumento de la burocracia judicial. </w:t>
      </w:r>
      <w:r w:rsidR="008C6EF6" w:rsidRPr="00746ACE">
        <w:rPr>
          <w:kern w:val="36"/>
          <w:lang w:eastAsia="es-MX"/>
        </w:rPr>
        <w:t>Igualmente</w:t>
      </w:r>
      <w:r w:rsidRPr="00746ACE">
        <w:rPr>
          <w:kern w:val="36"/>
          <w:lang w:eastAsia="es-MX"/>
        </w:rPr>
        <w:t xml:space="preserve">, según </w:t>
      </w:r>
      <w:r w:rsidR="008C6EF6" w:rsidRPr="00746ACE">
        <w:rPr>
          <w:kern w:val="36"/>
          <w:lang w:eastAsia="es-MX"/>
        </w:rPr>
        <w:t>su intervención</w:t>
      </w:r>
      <w:r w:rsidRPr="00746ACE">
        <w:rPr>
          <w:kern w:val="36"/>
          <w:lang w:eastAsia="es-MX"/>
        </w:rPr>
        <w:t>, las víctimas no esperan una justicia perfecta, sino una justicia valiente y coherente con los estándares de verdad y responsabilidad.</w:t>
      </w:r>
    </w:p>
    <w:p w14:paraId="640BFE11" w14:textId="77777777" w:rsidR="00060508" w:rsidRPr="00746ACE" w:rsidRDefault="00060508" w:rsidP="00060508">
      <w:pPr>
        <w:pStyle w:val="Prrafodelista"/>
        <w:rPr>
          <w:kern w:val="36"/>
          <w:lang w:eastAsia="es-MX"/>
        </w:rPr>
      </w:pPr>
    </w:p>
    <w:p w14:paraId="48D9BBF2" w14:textId="524871CB" w:rsidR="00060508" w:rsidRPr="00746ACE" w:rsidRDefault="00060508" w:rsidP="008C6EF6">
      <w:pPr>
        <w:pStyle w:val="Prrafodelista"/>
        <w:widowControl w:val="0"/>
        <w:numPr>
          <w:ilvl w:val="0"/>
          <w:numId w:val="7"/>
        </w:numPr>
        <w:tabs>
          <w:tab w:val="left" w:pos="426"/>
        </w:tabs>
        <w:ind w:right="-40" w:hanging="11"/>
        <w:rPr>
          <w:kern w:val="36"/>
          <w:lang w:eastAsia="es-MX"/>
        </w:rPr>
      </w:pPr>
      <w:r w:rsidRPr="00746ACE">
        <w:rPr>
          <w:kern w:val="36"/>
          <w:lang w:eastAsia="es-MX"/>
        </w:rPr>
        <w:t>Por su parte, una organización que representa a mujeres víctimas de violencia sexual intrafilas adujo que la “selección de segundo orden” es una herramienta esencial para la lucha contra la impunidad. En su experiencia, los mandos medios y los comandantes de frente fueron quienes conocieron en detalle las operaciones y violencias cometidas, incluyendo abusos sexuales, abortos forzados y otras graves violaciones. Por lo anterior, ellos consideran que limitar la investigación a los máximos responsables podría dejar a un lado a quienes poseen información relevante sobre ciertos hechos victimizante. Según explicaron, las víctimas no buscan la imposición de sanciones, sino que su pretensión principal es obtener verdad y reconocimiento de responsabilidad.</w:t>
      </w:r>
    </w:p>
    <w:p w14:paraId="46E60581" w14:textId="77777777" w:rsidR="008C6EF6" w:rsidRPr="00746ACE" w:rsidRDefault="008C6EF6" w:rsidP="008C6EF6">
      <w:pPr>
        <w:pStyle w:val="Prrafodelista"/>
        <w:rPr>
          <w:kern w:val="36"/>
          <w:lang w:eastAsia="es-MX"/>
        </w:rPr>
      </w:pPr>
    </w:p>
    <w:p w14:paraId="4E47B38D" w14:textId="77777777" w:rsidR="00F905F5" w:rsidRPr="00746ACE" w:rsidRDefault="00F905F5" w:rsidP="00060508">
      <w:pPr>
        <w:pStyle w:val="Prrafodelista"/>
        <w:widowControl w:val="0"/>
        <w:numPr>
          <w:ilvl w:val="0"/>
          <w:numId w:val="7"/>
        </w:numPr>
        <w:tabs>
          <w:tab w:val="left" w:pos="426"/>
        </w:tabs>
        <w:ind w:right="-40" w:hanging="11"/>
        <w:rPr>
          <w:kern w:val="36"/>
          <w:lang w:eastAsia="es-MX"/>
        </w:rPr>
      </w:pPr>
      <w:r w:rsidRPr="00746ACE">
        <w:rPr>
          <w:kern w:val="36"/>
          <w:lang w:eastAsia="es-MX"/>
        </w:rPr>
        <w:t>Otra</w:t>
      </w:r>
      <w:r w:rsidR="008C6EF6" w:rsidRPr="00746ACE">
        <w:rPr>
          <w:kern w:val="36"/>
          <w:lang w:eastAsia="es-MX"/>
        </w:rPr>
        <w:t xml:space="preserve"> organización</w:t>
      </w:r>
      <w:r w:rsidR="00ED7E5E" w:rsidRPr="00746ACE">
        <w:rPr>
          <w:kern w:val="36"/>
          <w:lang w:eastAsia="es-MX"/>
        </w:rPr>
        <w:t xml:space="preserve"> señaló que, desde la perspectiva de las comunidades afrodescendientes, la Jurisdicción Especial para la Paz tiene una relevancia histórica porque reconstruye las estructuras de dominación territorial que produjeron despojo, control armado, violencia sexual y devastación ambiental. En su criterio, las víctimas esperan que, en esta etapa del proceso, se consoliden hallazgos estructurales y se adopten decisiones claras sobre responsabilidades.</w:t>
      </w:r>
      <w:r w:rsidR="00060508" w:rsidRPr="00746ACE">
        <w:rPr>
          <w:kern w:val="36"/>
          <w:lang w:eastAsia="es-MX"/>
        </w:rPr>
        <w:t xml:space="preserve"> </w:t>
      </w:r>
    </w:p>
    <w:p w14:paraId="2FC0165E" w14:textId="77777777" w:rsidR="00F905F5" w:rsidRPr="00746ACE" w:rsidRDefault="00F905F5" w:rsidP="00F905F5">
      <w:pPr>
        <w:pStyle w:val="Prrafodelista"/>
        <w:rPr>
          <w:kern w:val="36"/>
          <w:lang w:eastAsia="es-MX"/>
        </w:rPr>
      </w:pPr>
    </w:p>
    <w:p w14:paraId="1C95E135" w14:textId="627C1BE9" w:rsidR="00ED7E5E" w:rsidRPr="00746ACE" w:rsidRDefault="00ED7E5E" w:rsidP="00060508">
      <w:pPr>
        <w:pStyle w:val="Prrafodelista"/>
        <w:widowControl w:val="0"/>
        <w:numPr>
          <w:ilvl w:val="0"/>
          <w:numId w:val="7"/>
        </w:numPr>
        <w:tabs>
          <w:tab w:val="left" w:pos="426"/>
        </w:tabs>
        <w:ind w:right="-40" w:hanging="11"/>
        <w:rPr>
          <w:kern w:val="36"/>
          <w:lang w:eastAsia="es-MX"/>
        </w:rPr>
      </w:pPr>
      <w:r w:rsidRPr="00746ACE">
        <w:rPr>
          <w:kern w:val="36"/>
          <w:lang w:eastAsia="es-MX"/>
        </w:rPr>
        <w:t>No obstante, esta organización manifestó que la “selección de segundo orden” podría generar inestabilidad en la delimitación del universo de responsables, lo que afectaría la seguridad jurídica y la coherencia del modelo transicional. En ese sentido, para la interviniente, la inseguridad jurídica que genera la Senit 5 también tiene incidencia en las víctimas, quienes tienen que asumir otras cargas procesales. Por último, también afirmó que las comunidades étnicas esperan una producción de verdad sistémica y estructural, por lo que cualquier modificación del modelo debe evaluarse cuidadosamente para evitar afectar la narrativa global de los patrones de violencia.</w:t>
      </w:r>
    </w:p>
    <w:p w14:paraId="66A599D8" w14:textId="77777777" w:rsidR="00ED7E5E" w:rsidRPr="00746ACE" w:rsidRDefault="00ED7E5E" w:rsidP="00ED7E5E">
      <w:pPr>
        <w:pStyle w:val="Prrafodelista"/>
        <w:rPr>
          <w:kern w:val="36"/>
          <w:lang w:eastAsia="es-MX"/>
        </w:rPr>
      </w:pPr>
    </w:p>
    <w:p w14:paraId="28A5406F" w14:textId="4845E2DC" w:rsidR="00ED7E5E" w:rsidRPr="00746ACE" w:rsidRDefault="00ED7E5E" w:rsidP="00060508">
      <w:pPr>
        <w:pStyle w:val="Prrafodelista"/>
        <w:widowControl w:val="0"/>
        <w:numPr>
          <w:ilvl w:val="0"/>
          <w:numId w:val="7"/>
        </w:numPr>
        <w:tabs>
          <w:tab w:val="left" w:pos="426"/>
        </w:tabs>
        <w:ind w:right="-40" w:hanging="11"/>
        <w:rPr>
          <w:kern w:val="36"/>
          <w:lang w:eastAsia="es-MX"/>
        </w:rPr>
      </w:pPr>
      <w:r w:rsidRPr="00746ACE">
        <w:rPr>
          <w:kern w:val="36"/>
          <w:lang w:eastAsia="es-MX"/>
        </w:rPr>
        <w:t xml:space="preserve">En cuanto a los derechos de niños y niñas víctimas del conflicto armado, </w:t>
      </w:r>
      <w:r w:rsidR="00060508" w:rsidRPr="00746ACE">
        <w:rPr>
          <w:kern w:val="36"/>
          <w:lang w:eastAsia="es-MX"/>
        </w:rPr>
        <w:t>unas organizaciones afirmaron</w:t>
      </w:r>
      <w:r w:rsidRPr="00746ACE">
        <w:rPr>
          <w:kern w:val="36"/>
          <w:lang w:eastAsia="es-MX"/>
        </w:rPr>
        <w:t xml:space="preserve"> que muchas conductas fueron ejecutadas por mandos medios o responsables operativos, quienes </w:t>
      </w:r>
      <w:r w:rsidR="00060508" w:rsidRPr="00746ACE">
        <w:rPr>
          <w:kern w:val="36"/>
          <w:lang w:eastAsia="es-MX"/>
        </w:rPr>
        <w:t xml:space="preserve">desempeñaron un papel clave en las estructuras criminales, pero </w:t>
      </w:r>
      <w:r w:rsidRPr="00746ACE">
        <w:rPr>
          <w:kern w:val="36"/>
          <w:lang w:eastAsia="es-MX"/>
        </w:rPr>
        <w:t xml:space="preserve">no siempre son seleccionados máximos </w:t>
      </w:r>
      <w:r w:rsidR="00060508" w:rsidRPr="00746ACE">
        <w:rPr>
          <w:kern w:val="36"/>
          <w:lang w:eastAsia="es-MX"/>
        </w:rPr>
        <w:t xml:space="preserve">responsables. </w:t>
      </w:r>
      <w:r w:rsidRPr="00746ACE">
        <w:rPr>
          <w:kern w:val="36"/>
          <w:lang w:eastAsia="es-MX"/>
        </w:rPr>
        <w:t>Por lo anterior, ellos consideraron que la “selección de segundo orden” puede ayudar a garantizar la centralidad de las víctimas y evitar escenarios de impunidad.</w:t>
      </w:r>
    </w:p>
    <w:p w14:paraId="2F4CAA54" w14:textId="77777777" w:rsidR="00F905F5" w:rsidRPr="00746ACE" w:rsidRDefault="00F905F5" w:rsidP="00F905F5">
      <w:pPr>
        <w:pStyle w:val="Prrafodelista"/>
        <w:rPr>
          <w:kern w:val="36"/>
          <w:lang w:eastAsia="es-MX"/>
        </w:rPr>
      </w:pPr>
    </w:p>
    <w:p w14:paraId="3B61BAEB" w14:textId="3F54082E" w:rsidR="00F905F5" w:rsidRPr="00746ACE" w:rsidRDefault="00F905F5" w:rsidP="00F905F5">
      <w:pPr>
        <w:pStyle w:val="Prrafodelista"/>
        <w:widowControl w:val="0"/>
        <w:numPr>
          <w:ilvl w:val="0"/>
          <w:numId w:val="7"/>
        </w:numPr>
        <w:tabs>
          <w:tab w:val="left" w:pos="426"/>
        </w:tabs>
        <w:ind w:right="-40" w:hanging="11"/>
        <w:rPr>
          <w:kern w:val="36"/>
          <w:lang w:eastAsia="es-MX"/>
        </w:rPr>
      </w:pPr>
      <w:r w:rsidRPr="00746ACE">
        <w:rPr>
          <w:kern w:val="36"/>
          <w:lang w:eastAsia="es-MX"/>
        </w:rPr>
        <w:t>Una siguiente intervención planteó que la mejor manera de proteger los derechos de las víctimas es preservar el diseño inicial de la Jurisdicción Especial para la Paz, tal como fue validado por la Corte Constitucional. Según esta expositora, la selección es una herramienta inherente a la justicia transicional, pero es esencial que los criterios de selección sean claros y uniformes para evitar desigualdades entre los comparecientes y proteger su debido proceso. Además, la interviniente recordó que la renuncia a la persecución penal de quienes no son seleccionados no puede equivaler a una amnistía, y debe sujetarse a un régimen estricto de condicionalidad basado en el aporte de verdad y reparación</w:t>
      </w:r>
    </w:p>
    <w:p w14:paraId="3B9C668E" w14:textId="77777777" w:rsidR="00171148" w:rsidRPr="00746ACE" w:rsidRDefault="00171148" w:rsidP="00171148">
      <w:pPr>
        <w:widowControl w:val="0"/>
        <w:rPr>
          <w:lang w:eastAsia="es-MX"/>
        </w:rPr>
      </w:pPr>
    </w:p>
    <w:p w14:paraId="6FF783D4" w14:textId="6B2F2ACB" w:rsidR="00B50B8C" w:rsidRPr="00746ACE" w:rsidRDefault="00F905F5" w:rsidP="00B47846">
      <w:pPr>
        <w:pStyle w:val="Prrafodelista"/>
        <w:widowControl w:val="0"/>
        <w:numPr>
          <w:ilvl w:val="0"/>
          <w:numId w:val="7"/>
        </w:numPr>
        <w:tabs>
          <w:tab w:val="left" w:pos="426"/>
        </w:tabs>
        <w:ind w:right="-40" w:hanging="11"/>
      </w:pPr>
      <w:r w:rsidRPr="00746ACE">
        <w:t xml:space="preserve">Por último, los magistrados de la Sala Plena formularon una ronda de preguntas para profundizar en la capacidad institucional de la Jurisdicción Especial para la Paz, la “selección de segundo orden” y las cargas procesales que asumen las víctimas del conflicto armado. Algunas organizaciones señalaron que la figura en cuestión podría implicar desgastes para las víctimas, especialmente, si les implica actuar ante múltiples instancias. Otras consideraron que no introduce cambios significativos en las cargas procesales, pues muchas pruebas se recopilaron en otros escenarios. También se discutieron algunos desafíos presupuestales para adelantar juicios adversariales en la Jurisdicción Especial para la Paz. </w:t>
      </w:r>
    </w:p>
    <w:p w14:paraId="03C69FDE" w14:textId="77777777" w:rsidR="00E77CB3" w:rsidRPr="00746ACE" w:rsidRDefault="00E77CB3" w:rsidP="00B47846">
      <w:pPr>
        <w:pStyle w:val="Prrafodelista"/>
        <w:widowControl w:val="0"/>
        <w:tabs>
          <w:tab w:val="left" w:pos="426"/>
        </w:tabs>
        <w:ind w:left="0" w:right="-40"/>
      </w:pPr>
    </w:p>
    <w:p w14:paraId="33A0D135" w14:textId="1EAB3A30" w:rsidR="0059436A" w:rsidRPr="00746ACE" w:rsidRDefault="00E92835" w:rsidP="00FC0DFB">
      <w:pPr>
        <w:pStyle w:val="Ttulo1"/>
        <w:widowControl w:val="0"/>
        <w:spacing w:before="0" w:beforeAutospacing="0" w:after="0" w:afterAutospacing="0"/>
        <w:jc w:val="both"/>
        <w:rPr>
          <w:sz w:val="28"/>
          <w:szCs w:val="28"/>
          <w:lang w:val="es-ES"/>
        </w:rPr>
      </w:pPr>
      <w:bookmarkStart w:id="10" w:name="_Toc233384165"/>
      <w:r w:rsidRPr="00746ACE">
        <w:rPr>
          <w:sz w:val="28"/>
          <w:szCs w:val="28"/>
          <w:lang w:val="es-ES"/>
        </w:rPr>
        <w:t>PRIMERA PARTE</w:t>
      </w:r>
      <w:r w:rsidR="0059436A" w:rsidRPr="00746ACE">
        <w:rPr>
          <w:sz w:val="28"/>
          <w:szCs w:val="28"/>
          <w:lang w:val="es-ES"/>
        </w:rPr>
        <w:t xml:space="preserve">. </w:t>
      </w:r>
      <w:r w:rsidR="00F9013F" w:rsidRPr="00746ACE">
        <w:rPr>
          <w:sz w:val="28"/>
          <w:szCs w:val="28"/>
          <w:lang w:val="es-ES"/>
        </w:rPr>
        <w:t>CONSIDERACIONES INTRODUCTORIAS</w:t>
      </w:r>
      <w:r w:rsidR="00EE7318" w:rsidRPr="00746ACE">
        <w:rPr>
          <w:sz w:val="28"/>
          <w:szCs w:val="28"/>
          <w:lang w:val="es-ES"/>
        </w:rPr>
        <w:t xml:space="preserve"> SOBRE</w:t>
      </w:r>
      <w:r w:rsidR="00F9013F" w:rsidRPr="00746ACE">
        <w:rPr>
          <w:sz w:val="28"/>
          <w:szCs w:val="28"/>
          <w:lang w:val="es-ES"/>
        </w:rPr>
        <w:t xml:space="preserve"> EL CONTROL DE CONSTITUCIONALIDAD DE LAS SENTENCIAS INTERPRETATIVAS DE LA JEP</w:t>
      </w:r>
      <w:bookmarkEnd w:id="10"/>
    </w:p>
    <w:p w14:paraId="0F295F68" w14:textId="77777777" w:rsidR="00B960D6" w:rsidRPr="00746ACE" w:rsidRDefault="00B960D6" w:rsidP="00FC0DFB">
      <w:pPr>
        <w:pStyle w:val="Ttulo1"/>
        <w:widowControl w:val="0"/>
        <w:numPr>
          <w:ilvl w:val="0"/>
          <w:numId w:val="0"/>
        </w:numPr>
        <w:spacing w:before="0" w:beforeAutospacing="0" w:after="0" w:afterAutospacing="0"/>
        <w:ind w:left="540"/>
        <w:jc w:val="both"/>
        <w:rPr>
          <w:sz w:val="28"/>
          <w:szCs w:val="28"/>
          <w:lang w:val="es-ES"/>
        </w:rPr>
      </w:pPr>
    </w:p>
    <w:p w14:paraId="7C71B7FE" w14:textId="77777777" w:rsidR="00B960D6" w:rsidRPr="00746ACE" w:rsidRDefault="00B960D6" w:rsidP="006A2C55">
      <w:pPr>
        <w:pStyle w:val="Ttulo2"/>
        <w:keepNext w:val="0"/>
        <w:keepLines w:val="0"/>
        <w:widowControl w:val="0"/>
        <w:ind w:left="0" w:firstLine="0"/>
        <w:rPr>
          <w:rFonts w:cs="Times New Roman"/>
          <w:szCs w:val="28"/>
        </w:rPr>
      </w:pPr>
      <w:bookmarkStart w:id="11" w:name="_Toc233384166"/>
      <w:r w:rsidRPr="00746ACE">
        <w:rPr>
          <w:rFonts w:cs="Times New Roman"/>
          <w:szCs w:val="28"/>
        </w:rPr>
        <w:t>Premisas metodológicas</w:t>
      </w:r>
      <w:bookmarkEnd w:id="11"/>
    </w:p>
    <w:p w14:paraId="31AC8748" w14:textId="77777777" w:rsidR="00B960D6" w:rsidRPr="00746ACE" w:rsidRDefault="00B960D6" w:rsidP="00FC0DFB">
      <w:pPr>
        <w:widowControl w:val="0"/>
      </w:pPr>
    </w:p>
    <w:p w14:paraId="1A9DE7EC" w14:textId="38A86F2B" w:rsidR="00156A49" w:rsidRPr="00746ACE" w:rsidRDefault="00B960D6">
      <w:pPr>
        <w:pStyle w:val="p1"/>
        <w:widowControl w:val="0"/>
        <w:numPr>
          <w:ilvl w:val="0"/>
          <w:numId w:val="7"/>
        </w:numPr>
        <w:jc w:val="both"/>
        <w:rPr>
          <w:color w:val="auto"/>
          <w:sz w:val="28"/>
          <w:szCs w:val="28"/>
          <w:lang w:val="es-ES"/>
        </w:rPr>
      </w:pPr>
      <w:r w:rsidRPr="00746ACE">
        <w:rPr>
          <w:color w:val="auto"/>
          <w:sz w:val="28"/>
          <w:szCs w:val="28"/>
          <w:lang w:val="es-ES"/>
        </w:rPr>
        <w:t>E</w:t>
      </w:r>
      <w:r w:rsidR="00EC6451" w:rsidRPr="00746ACE">
        <w:rPr>
          <w:color w:val="auto"/>
          <w:sz w:val="28"/>
          <w:szCs w:val="28"/>
          <w:lang w:val="es-ES"/>
        </w:rPr>
        <w:t>ste</w:t>
      </w:r>
      <w:r w:rsidRPr="00746ACE">
        <w:rPr>
          <w:color w:val="auto"/>
          <w:sz w:val="28"/>
          <w:szCs w:val="28"/>
          <w:lang w:val="es-ES"/>
        </w:rPr>
        <w:t xml:space="preserve"> caso </w:t>
      </w:r>
      <w:r w:rsidR="00156A49" w:rsidRPr="00746ACE">
        <w:rPr>
          <w:color w:val="auto"/>
          <w:sz w:val="28"/>
          <w:szCs w:val="28"/>
          <w:lang w:val="es-ES"/>
        </w:rPr>
        <w:t xml:space="preserve">aborda </w:t>
      </w:r>
      <w:r w:rsidRPr="00746ACE">
        <w:rPr>
          <w:color w:val="auto"/>
          <w:sz w:val="28"/>
          <w:szCs w:val="28"/>
          <w:lang w:val="es-ES"/>
        </w:rPr>
        <w:t xml:space="preserve">la </w:t>
      </w:r>
      <w:r w:rsidRPr="00746ACE">
        <w:rPr>
          <w:i/>
          <w:color w:val="auto"/>
          <w:sz w:val="28"/>
          <w:szCs w:val="28"/>
          <w:lang w:val="es-ES"/>
        </w:rPr>
        <w:t xml:space="preserve">selección </w:t>
      </w:r>
      <w:r w:rsidRPr="00746ACE">
        <w:rPr>
          <w:color w:val="auto"/>
          <w:sz w:val="28"/>
          <w:szCs w:val="28"/>
          <w:lang w:val="es-ES"/>
        </w:rPr>
        <w:t>como principio y herramienta fundamental de la justicia transicional</w:t>
      </w:r>
      <w:r w:rsidR="000A1967" w:rsidRPr="00746ACE">
        <w:rPr>
          <w:rStyle w:val="Refdenotaalpie"/>
          <w:color w:val="auto"/>
          <w:sz w:val="28"/>
          <w:szCs w:val="28"/>
          <w:lang w:val="es-ES"/>
        </w:rPr>
        <w:footnoteReference w:id="5"/>
      </w:r>
      <w:r w:rsidRPr="00746ACE">
        <w:rPr>
          <w:color w:val="auto"/>
          <w:sz w:val="28"/>
          <w:szCs w:val="28"/>
          <w:lang w:val="es-ES"/>
        </w:rPr>
        <w:t xml:space="preserve">. </w:t>
      </w:r>
      <w:r w:rsidR="00156A49" w:rsidRPr="00746ACE">
        <w:rPr>
          <w:color w:val="auto"/>
          <w:sz w:val="28"/>
          <w:szCs w:val="28"/>
          <w:lang w:val="es-ES"/>
        </w:rPr>
        <w:t xml:space="preserve">La </w:t>
      </w:r>
      <w:r w:rsidRPr="00746ACE">
        <w:rPr>
          <w:color w:val="auto"/>
          <w:sz w:val="28"/>
          <w:szCs w:val="28"/>
          <w:lang w:val="es-ES"/>
        </w:rPr>
        <w:t xml:space="preserve">importancia de la selección </w:t>
      </w:r>
      <w:r w:rsidR="00156A49" w:rsidRPr="00746ACE">
        <w:rPr>
          <w:color w:val="auto"/>
          <w:sz w:val="28"/>
          <w:szCs w:val="28"/>
          <w:lang w:val="es-ES"/>
        </w:rPr>
        <w:t>radica en que se sitúa en el punto de encuentro entre las</w:t>
      </w:r>
      <w:r w:rsidRPr="00746ACE">
        <w:rPr>
          <w:color w:val="auto"/>
          <w:sz w:val="28"/>
          <w:szCs w:val="28"/>
          <w:lang w:val="es-ES"/>
        </w:rPr>
        <w:t xml:space="preserve"> exigencias fundamentales de la justicia y la</w:t>
      </w:r>
      <w:r w:rsidR="00156A49" w:rsidRPr="00746ACE">
        <w:rPr>
          <w:color w:val="auto"/>
          <w:sz w:val="28"/>
          <w:szCs w:val="28"/>
          <w:lang w:val="es-ES"/>
        </w:rPr>
        <w:t>s necesidades de la</w:t>
      </w:r>
      <w:r w:rsidRPr="00746ACE">
        <w:rPr>
          <w:color w:val="auto"/>
          <w:sz w:val="28"/>
          <w:szCs w:val="28"/>
          <w:lang w:val="es-ES"/>
        </w:rPr>
        <w:t xml:space="preserve"> paz</w:t>
      </w:r>
      <w:r w:rsidR="00DA4B48" w:rsidRPr="00746ACE">
        <w:rPr>
          <w:color w:val="auto"/>
          <w:sz w:val="28"/>
          <w:szCs w:val="28"/>
          <w:lang w:val="es-ES"/>
        </w:rPr>
        <w:t xml:space="preserve">: </w:t>
      </w:r>
      <w:r w:rsidR="00D24C7C" w:rsidRPr="00746ACE">
        <w:rPr>
          <w:color w:val="auto"/>
          <w:sz w:val="28"/>
          <w:szCs w:val="28"/>
          <w:lang w:val="es-ES"/>
        </w:rPr>
        <w:t>p</w:t>
      </w:r>
      <w:r w:rsidRPr="00746ACE">
        <w:rPr>
          <w:color w:val="auto"/>
          <w:sz w:val="28"/>
          <w:szCs w:val="28"/>
          <w:lang w:val="es-ES"/>
        </w:rPr>
        <w:t>or</w:t>
      </w:r>
      <w:r w:rsidR="00DA4B48" w:rsidRPr="00746ACE">
        <w:rPr>
          <w:color w:val="auto"/>
          <w:sz w:val="28"/>
          <w:szCs w:val="28"/>
          <w:lang w:val="es-ES"/>
        </w:rPr>
        <w:t xml:space="preserve"> </w:t>
      </w:r>
      <w:r w:rsidRPr="00746ACE">
        <w:rPr>
          <w:color w:val="auto"/>
          <w:sz w:val="28"/>
          <w:szCs w:val="28"/>
          <w:lang w:val="es-ES"/>
        </w:rPr>
        <w:t>una parte, la obligación de investigar, juzgar y sancionar los crímenes que atentan de manera más intensa contra la dignidad del ser humano, y la garantía de los derechos de las víctimas. Por otra parte, la aspiración de eficacia y estabilidad de los mecanismos de transición.</w:t>
      </w:r>
      <w:r w:rsidR="00156A49" w:rsidRPr="00746ACE">
        <w:rPr>
          <w:color w:val="auto"/>
          <w:sz w:val="28"/>
          <w:szCs w:val="28"/>
          <w:lang w:val="es-ES"/>
        </w:rPr>
        <w:t xml:space="preserve"> </w:t>
      </w:r>
    </w:p>
    <w:p w14:paraId="0BE8D7A9" w14:textId="77777777" w:rsidR="00B960D6" w:rsidRPr="00746ACE" w:rsidRDefault="00B960D6">
      <w:pPr>
        <w:pStyle w:val="p1"/>
        <w:widowControl w:val="0"/>
        <w:jc w:val="both"/>
        <w:rPr>
          <w:color w:val="auto"/>
          <w:sz w:val="28"/>
          <w:szCs w:val="28"/>
          <w:lang w:val="es-ES"/>
        </w:rPr>
      </w:pPr>
    </w:p>
    <w:p w14:paraId="7EA62384" w14:textId="7B35F0E1" w:rsidR="00B960D6" w:rsidRPr="00746ACE" w:rsidRDefault="00B960D6" w:rsidP="00FC0DFB">
      <w:pPr>
        <w:pStyle w:val="p1"/>
        <w:widowControl w:val="0"/>
        <w:numPr>
          <w:ilvl w:val="0"/>
          <w:numId w:val="7"/>
        </w:numPr>
        <w:jc w:val="both"/>
        <w:rPr>
          <w:color w:val="auto"/>
          <w:sz w:val="28"/>
          <w:szCs w:val="28"/>
          <w:lang w:val="es-ES"/>
        </w:rPr>
      </w:pPr>
      <w:r w:rsidRPr="00746ACE">
        <w:rPr>
          <w:color w:val="auto"/>
          <w:sz w:val="28"/>
          <w:szCs w:val="28"/>
          <w:lang w:val="es-ES"/>
        </w:rPr>
        <w:t>La JEP, concebida como el “componente de justicia”</w:t>
      </w:r>
      <w:r w:rsidR="00013A1A" w:rsidRPr="00746ACE">
        <w:rPr>
          <w:rStyle w:val="Refdenotaalpie"/>
          <w:color w:val="auto"/>
          <w:sz w:val="28"/>
          <w:szCs w:val="28"/>
          <w:lang w:val="es-ES"/>
        </w:rPr>
        <w:footnoteReference w:id="6"/>
      </w:r>
      <w:r w:rsidRPr="00746ACE">
        <w:rPr>
          <w:color w:val="auto"/>
          <w:sz w:val="28"/>
          <w:szCs w:val="28"/>
          <w:lang w:val="es-ES"/>
        </w:rPr>
        <w:t xml:space="preserve"> del Sistema Integral de Verdad, Justicia, Reparación y Garantías de no Repetición (actualmente, Sistema Integral de Paz), administra un sistema que conjuga los paradigmas de justicia restaurativa y </w:t>
      </w:r>
      <w:r w:rsidR="0096258D" w:rsidRPr="00746ACE">
        <w:rPr>
          <w:color w:val="auto"/>
          <w:sz w:val="28"/>
          <w:szCs w:val="28"/>
          <w:lang w:val="es-ES"/>
        </w:rPr>
        <w:t xml:space="preserve">justicia </w:t>
      </w:r>
      <w:r w:rsidRPr="00746ACE">
        <w:rPr>
          <w:color w:val="auto"/>
          <w:sz w:val="28"/>
          <w:szCs w:val="28"/>
          <w:lang w:val="es-ES"/>
        </w:rPr>
        <w:t>retributiva, pero da prevalencia a</w:t>
      </w:r>
      <w:r w:rsidR="00D24C7C" w:rsidRPr="00746ACE">
        <w:rPr>
          <w:color w:val="auto"/>
          <w:sz w:val="28"/>
          <w:szCs w:val="28"/>
          <w:lang w:val="es-ES"/>
        </w:rPr>
        <w:t>l</w:t>
      </w:r>
      <w:r w:rsidRPr="00746ACE">
        <w:rPr>
          <w:color w:val="auto"/>
          <w:sz w:val="28"/>
          <w:szCs w:val="28"/>
          <w:lang w:val="es-ES"/>
        </w:rPr>
        <w:t xml:space="preserve"> primero</w:t>
      </w:r>
      <w:r w:rsidR="000A1967" w:rsidRPr="00746ACE">
        <w:rPr>
          <w:rStyle w:val="Refdenotaalpie"/>
          <w:color w:val="auto"/>
          <w:sz w:val="28"/>
          <w:szCs w:val="28"/>
          <w:lang w:val="es-ES"/>
        </w:rPr>
        <w:footnoteReference w:id="7"/>
      </w:r>
      <w:r w:rsidRPr="00746ACE">
        <w:rPr>
          <w:color w:val="auto"/>
          <w:sz w:val="28"/>
          <w:szCs w:val="28"/>
          <w:lang w:val="es-ES"/>
        </w:rPr>
        <w:t xml:space="preserve">. </w:t>
      </w:r>
      <w:r w:rsidR="00D03BA0" w:rsidRPr="00746ACE">
        <w:rPr>
          <w:color w:val="auto"/>
          <w:sz w:val="28"/>
          <w:szCs w:val="28"/>
          <w:lang w:val="es-ES"/>
        </w:rPr>
        <w:t>La jurisdicción c</w:t>
      </w:r>
      <w:r w:rsidRPr="00746ACE">
        <w:rPr>
          <w:color w:val="auto"/>
          <w:sz w:val="28"/>
          <w:szCs w:val="28"/>
          <w:lang w:val="es-ES"/>
        </w:rPr>
        <w:t xml:space="preserve">oncede beneficios a los participantes del conflicto que cometieron los delitos menos graves </w:t>
      </w:r>
      <w:r w:rsidR="006A2C55" w:rsidRPr="00746ACE">
        <w:rPr>
          <w:color w:val="auto"/>
          <w:sz w:val="28"/>
          <w:szCs w:val="28"/>
          <w:lang w:val="es-ES"/>
        </w:rPr>
        <w:t>–</w:t>
      </w:r>
      <w:r w:rsidRPr="00746ACE">
        <w:rPr>
          <w:color w:val="auto"/>
          <w:sz w:val="28"/>
          <w:szCs w:val="28"/>
          <w:lang w:val="es-ES"/>
        </w:rPr>
        <w:t>en un marco donde todo delito es grave</w:t>
      </w:r>
      <w:r w:rsidR="006A2C55" w:rsidRPr="00746ACE">
        <w:rPr>
          <w:color w:val="auto"/>
          <w:sz w:val="28"/>
          <w:szCs w:val="28"/>
          <w:lang w:val="es-ES"/>
        </w:rPr>
        <w:t>–</w:t>
      </w:r>
      <w:r w:rsidRPr="00746ACE">
        <w:rPr>
          <w:color w:val="auto"/>
          <w:sz w:val="28"/>
          <w:szCs w:val="28"/>
          <w:lang w:val="es-ES"/>
        </w:rPr>
        <w:t>, y concentra sus esfuerzos en los máximos responsables. La aspiración de abordar esta tarea con una infraestructura y recursos siempre limitados, debido al carácter masivo de los crímenes que caracteriza la guerra, explica los especiales desafíos que enfrenta esta jurisdicción.</w:t>
      </w:r>
    </w:p>
    <w:p w14:paraId="46AD76D7" w14:textId="77777777" w:rsidR="00B960D6" w:rsidRPr="00746ACE" w:rsidRDefault="00B960D6" w:rsidP="00FC0DFB">
      <w:pPr>
        <w:pStyle w:val="p1"/>
        <w:widowControl w:val="0"/>
        <w:jc w:val="both"/>
        <w:rPr>
          <w:color w:val="auto"/>
          <w:sz w:val="28"/>
          <w:szCs w:val="28"/>
          <w:lang w:val="es-ES"/>
        </w:rPr>
      </w:pPr>
    </w:p>
    <w:p w14:paraId="07B4E190" w14:textId="2FED50E0" w:rsidR="00B960D6" w:rsidRPr="00746ACE" w:rsidRDefault="00B960D6" w:rsidP="00FC0DFB">
      <w:pPr>
        <w:pStyle w:val="p1"/>
        <w:widowControl w:val="0"/>
        <w:numPr>
          <w:ilvl w:val="0"/>
          <w:numId w:val="7"/>
        </w:numPr>
        <w:jc w:val="both"/>
        <w:rPr>
          <w:color w:val="auto"/>
          <w:sz w:val="28"/>
          <w:szCs w:val="28"/>
          <w:lang w:val="es-ES"/>
        </w:rPr>
      </w:pPr>
      <w:r w:rsidRPr="00746ACE">
        <w:rPr>
          <w:color w:val="auto"/>
          <w:sz w:val="28"/>
          <w:szCs w:val="28"/>
          <w:lang w:val="es-ES"/>
        </w:rPr>
        <w:t>La selección es un principio constitucional de la justicia transicional a partir del cual se define el universo de los casos y sujetos que serán investigados, juzgados y, de ser el caso, sancionados</w:t>
      </w:r>
      <w:r w:rsidR="00816EEC" w:rsidRPr="00746ACE">
        <w:rPr>
          <w:rStyle w:val="Refdenotaalpie"/>
          <w:color w:val="auto"/>
          <w:sz w:val="28"/>
          <w:szCs w:val="28"/>
          <w:lang w:val="es-ES"/>
        </w:rPr>
        <w:footnoteReference w:id="8"/>
      </w:r>
      <w:r w:rsidRPr="00746ACE">
        <w:rPr>
          <w:color w:val="auto"/>
          <w:sz w:val="28"/>
          <w:szCs w:val="28"/>
          <w:lang w:val="es-ES"/>
        </w:rPr>
        <w:t xml:space="preserve">. La selección se articula </w:t>
      </w:r>
      <w:r w:rsidR="006E3259" w:rsidRPr="00746ACE">
        <w:rPr>
          <w:color w:val="auto"/>
          <w:sz w:val="28"/>
          <w:szCs w:val="28"/>
          <w:lang w:val="es-ES"/>
        </w:rPr>
        <w:t xml:space="preserve">con </w:t>
      </w:r>
      <w:r w:rsidRPr="00746ACE">
        <w:rPr>
          <w:color w:val="auto"/>
          <w:sz w:val="28"/>
          <w:szCs w:val="28"/>
          <w:lang w:val="es-ES"/>
        </w:rPr>
        <w:t xml:space="preserve">los paradigmas de justicia </w:t>
      </w:r>
      <w:r w:rsidR="006E3259" w:rsidRPr="00746ACE">
        <w:rPr>
          <w:color w:val="auto"/>
          <w:sz w:val="28"/>
          <w:szCs w:val="28"/>
          <w:lang w:val="es-ES"/>
        </w:rPr>
        <w:t>propios del modelo transicional</w:t>
      </w:r>
      <w:r w:rsidRPr="00746ACE">
        <w:rPr>
          <w:color w:val="auto"/>
          <w:sz w:val="28"/>
          <w:szCs w:val="28"/>
          <w:lang w:val="es-ES"/>
        </w:rPr>
        <w:t xml:space="preserve">, </w:t>
      </w:r>
      <w:r w:rsidR="006E3259" w:rsidRPr="00746ACE">
        <w:rPr>
          <w:color w:val="auto"/>
          <w:sz w:val="28"/>
          <w:szCs w:val="28"/>
          <w:lang w:val="es-ES"/>
        </w:rPr>
        <w:t xml:space="preserve">con </w:t>
      </w:r>
      <w:r w:rsidRPr="00746ACE">
        <w:rPr>
          <w:color w:val="auto"/>
          <w:sz w:val="28"/>
          <w:szCs w:val="28"/>
          <w:lang w:val="es-ES"/>
        </w:rPr>
        <w:t>la centralidad de las víctimas</w:t>
      </w:r>
      <w:r w:rsidR="00D24C7C" w:rsidRPr="00746ACE">
        <w:rPr>
          <w:color w:val="auto"/>
          <w:sz w:val="28"/>
          <w:szCs w:val="28"/>
          <w:lang w:val="es-ES"/>
        </w:rPr>
        <w:t xml:space="preserve"> y </w:t>
      </w:r>
      <w:r w:rsidR="006E3259" w:rsidRPr="00746ACE">
        <w:rPr>
          <w:color w:val="auto"/>
          <w:sz w:val="28"/>
          <w:szCs w:val="28"/>
          <w:lang w:val="es-ES"/>
        </w:rPr>
        <w:t>con la garantía del</w:t>
      </w:r>
      <w:r w:rsidR="00D24C7C" w:rsidRPr="00746ACE">
        <w:rPr>
          <w:color w:val="auto"/>
          <w:sz w:val="28"/>
          <w:szCs w:val="28"/>
          <w:lang w:val="es-ES"/>
        </w:rPr>
        <w:t xml:space="preserve"> </w:t>
      </w:r>
      <w:r w:rsidRPr="00746ACE">
        <w:rPr>
          <w:color w:val="auto"/>
          <w:sz w:val="28"/>
          <w:szCs w:val="28"/>
          <w:lang w:val="es-ES"/>
        </w:rPr>
        <w:t>debido proceso</w:t>
      </w:r>
      <w:r w:rsidR="006E3259" w:rsidRPr="00746ACE">
        <w:rPr>
          <w:color w:val="auto"/>
          <w:sz w:val="28"/>
          <w:szCs w:val="28"/>
          <w:lang w:val="es-ES"/>
        </w:rPr>
        <w:t xml:space="preserve"> tanto para ellas como </w:t>
      </w:r>
      <w:r w:rsidR="00DA4B48" w:rsidRPr="00746ACE">
        <w:rPr>
          <w:color w:val="auto"/>
          <w:sz w:val="28"/>
          <w:szCs w:val="28"/>
          <w:lang w:val="es-ES"/>
        </w:rPr>
        <w:t>para los</w:t>
      </w:r>
      <w:r w:rsidR="008462E8" w:rsidRPr="00746ACE">
        <w:rPr>
          <w:color w:val="auto"/>
          <w:sz w:val="28"/>
          <w:szCs w:val="28"/>
          <w:lang w:val="es-ES"/>
        </w:rPr>
        <w:t xml:space="preserve"> </w:t>
      </w:r>
      <w:r w:rsidRPr="00746ACE">
        <w:rPr>
          <w:color w:val="auto"/>
          <w:sz w:val="28"/>
          <w:szCs w:val="28"/>
          <w:lang w:val="es-ES"/>
        </w:rPr>
        <w:t xml:space="preserve">comparecientes. </w:t>
      </w:r>
    </w:p>
    <w:p w14:paraId="62834928" w14:textId="77777777" w:rsidR="00D24C7C" w:rsidRPr="00746ACE" w:rsidRDefault="00D24C7C" w:rsidP="00FC0DFB">
      <w:pPr>
        <w:pStyle w:val="p1"/>
        <w:widowControl w:val="0"/>
        <w:jc w:val="both"/>
        <w:rPr>
          <w:color w:val="auto"/>
          <w:sz w:val="28"/>
          <w:szCs w:val="28"/>
          <w:lang w:val="es-ES"/>
        </w:rPr>
      </w:pPr>
    </w:p>
    <w:p w14:paraId="02C930E1" w14:textId="65B8915C" w:rsidR="00B960D6" w:rsidRPr="00746ACE" w:rsidRDefault="00B960D6" w:rsidP="00FC0DFB">
      <w:pPr>
        <w:pStyle w:val="p1"/>
        <w:widowControl w:val="0"/>
        <w:numPr>
          <w:ilvl w:val="0"/>
          <w:numId w:val="7"/>
        </w:numPr>
        <w:jc w:val="both"/>
        <w:rPr>
          <w:color w:val="auto"/>
          <w:sz w:val="28"/>
          <w:szCs w:val="28"/>
          <w:lang w:val="es-ES"/>
        </w:rPr>
      </w:pPr>
      <w:r w:rsidRPr="00746ACE">
        <w:rPr>
          <w:color w:val="auto"/>
          <w:sz w:val="28"/>
          <w:szCs w:val="28"/>
          <w:lang w:val="es-ES"/>
        </w:rPr>
        <w:t xml:space="preserve">Por la importancia del principio de selección en el sistema de justicia transicional restaurativa, esta providencia tiene </w:t>
      </w:r>
      <w:r w:rsidR="006E3259" w:rsidRPr="00746ACE">
        <w:rPr>
          <w:color w:val="auto"/>
          <w:sz w:val="28"/>
          <w:szCs w:val="28"/>
          <w:lang w:val="es-ES"/>
        </w:rPr>
        <w:t>una</w:t>
      </w:r>
      <w:r w:rsidRPr="00746ACE">
        <w:rPr>
          <w:color w:val="auto"/>
          <w:sz w:val="28"/>
          <w:szCs w:val="28"/>
          <w:lang w:val="es-ES"/>
        </w:rPr>
        <w:t xml:space="preserve"> doble función</w:t>
      </w:r>
      <w:r w:rsidR="008462E8" w:rsidRPr="00746ACE">
        <w:rPr>
          <w:color w:val="auto"/>
          <w:sz w:val="28"/>
          <w:szCs w:val="28"/>
          <w:lang w:val="es-ES"/>
        </w:rPr>
        <w:t xml:space="preserve">. De una </w:t>
      </w:r>
      <w:r w:rsidR="00DA4B48" w:rsidRPr="00746ACE">
        <w:rPr>
          <w:color w:val="auto"/>
          <w:sz w:val="28"/>
          <w:szCs w:val="28"/>
          <w:lang w:val="es-ES"/>
        </w:rPr>
        <w:t>parte, resolver</w:t>
      </w:r>
      <w:r w:rsidRPr="00746ACE">
        <w:rPr>
          <w:color w:val="auto"/>
          <w:sz w:val="28"/>
          <w:szCs w:val="28"/>
          <w:lang w:val="es-ES"/>
        </w:rPr>
        <w:t xml:space="preserve"> </w:t>
      </w:r>
      <w:r w:rsidR="008462E8" w:rsidRPr="00746ACE">
        <w:rPr>
          <w:color w:val="auto"/>
          <w:sz w:val="28"/>
          <w:szCs w:val="28"/>
          <w:lang w:val="es-ES"/>
        </w:rPr>
        <w:t xml:space="preserve">los </w:t>
      </w:r>
      <w:r w:rsidRPr="00746ACE">
        <w:rPr>
          <w:color w:val="auto"/>
          <w:sz w:val="28"/>
          <w:szCs w:val="28"/>
          <w:lang w:val="es-ES"/>
        </w:rPr>
        <w:t xml:space="preserve">problemas jurídicos </w:t>
      </w:r>
      <w:r w:rsidR="008462E8" w:rsidRPr="00746ACE">
        <w:rPr>
          <w:color w:val="auto"/>
          <w:sz w:val="28"/>
          <w:szCs w:val="28"/>
          <w:lang w:val="es-ES"/>
        </w:rPr>
        <w:t xml:space="preserve">que surgen de la demanda. De otra, contribuir a </w:t>
      </w:r>
      <w:r w:rsidRPr="00746ACE">
        <w:rPr>
          <w:color w:val="auto"/>
          <w:sz w:val="28"/>
          <w:szCs w:val="28"/>
          <w:lang w:val="es-ES"/>
        </w:rPr>
        <w:t>la comprensión de la justicia transicional restaurativa desde el plano constitucional. Est</w:t>
      </w:r>
      <w:r w:rsidR="008462E8" w:rsidRPr="00746ACE">
        <w:rPr>
          <w:color w:val="auto"/>
          <w:sz w:val="28"/>
          <w:szCs w:val="28"/>
          <w:lang w:val="es-ES"/>
        </w:rPr>
        <w:t>o</w:t>
      </w:r>
      <w:r w:rsidRPr="00746ACE">
        <w:rPr>
          <w:color w:val="auto"/>
          <w:sz w:val="28"/>
          <w:szCs w:val="28"/>
          <w:lang w:val="es-ES"/>
        </w:rPr>
        <w:t xml:space="preserve"> </w:t>
      </w:r>
      <w:r w:rsidR="008462E8" w:rsidRPr="00746ACE">
        <w:rPr>
          <w:color w:val="auto"/>
          <w:sz w:val="28"/>
          <w:szCs w:val="28"/>
          <w:lang w:val="es-ES"/>
        </w:rPr>
        <w:t xml:space="preserve">exige para la Corte precisar </w:t>
      </w:r>
      <w:r w:rsidRPr="00746ACE">
        <w:rPr>
          <w:color w:val="auto"/>
          <w:sz w:val="28"/>
          <w:szCs w:val="28"/>
          <w:lang w:val="es-ES"/>
        </w:rPr>
        <w:t>algunas premisas de trabajo relevantes.</w:t>
      </w:r>
    </w:p>
    <w:p w14:paraId="7A5EEE25" w14:textId="77777777" w:rsidR="006A2C55" w:rsidRPr="00746ACE" w:rsidRDefault="006A2C55" w:rsidP="006A2C55">
      <w:pPr>
        <w:pStyle w:val="Prrafodelista"/>
      </w:pPr>
    </w:p>
    <w:p w14:paraId="51D88479" w14:textId="32B018DA" w:rsidR="006A2C55" w:rsidRPr="00746ACE" w:rsidRDefault="006A2C55" w:rsidP="00FC0DFB">
      <w:pPr>
        <w:pStyle w:val="p1"/>
        <w:widowControl w:val="0"/>
        <w:numPr>
          <w:ilvl w:val="0"/>
          <w:numId w:val="7"/>
        </w:numPr>
        <w:jc w:val="both"/>
        <w:rPr>
          <w:color w:val="auto"/>
          <w:sz w:val="28"/>
          <w:szCs w:val="28"/>
          <w:lang w:val="es-ES"/>
        </w:rPr>
      </w:pPr>
      <w:r w:rsidRPr="00746ACE">
        <w:rPr>
          <w:color w:val="auto"/>
          <w:sz w:val="28"/>
          <w:szCs w:val="28"/>
          <w:lang w:val="es-ES"/>
        </w:rPr>
        <w:t>En primer lugar, es necesario delimitar el alcance del control que se ejerce en esta oportunidad. La demanda objeto de estudio se dirige contra las reglas interpretativas fijadas por la Sección de Apelaciones de la Jurisdicción Especial para la Paz (JEP) en una decisión de amplio alcance. Esta sección constituye el órgano de cierre hermenéutico y de apelación de las decisiones adoptadas por otras salas y secciones de la JEP. En particular, el cuestionamiento recae sobre algunas reglas interpretativas establecidas en la Senit 5 y no sobre la totalidad de dicha providencia.</w:t>
      </w:r>
      <w:r w:rsidR="00742777" w:rsidRPr="00746ACE">
        <w:rPr>
          <w:color w:val="auto"/>
          <w:sz w:val="28"/>
          <w:szCs w:val="28"/>
          <w:lang w:val="es-ES"/>
        </w:rPr>
        <w:t xml:space="preserve"> </w:t>
      </w:r>
      <w:r w:rsidRPr="00746ACE">
        <w:rPr>
          <w:color w:val="auto"/>
          <w:sz w:val="28"/>
          <w:szCs w:val="28"/>
          <w:lang w:val="es-ES"/>
        </w:rPr>
        <w:t xml:space="preserve"> </w:t>
      </w:r>
    </w:p>
    <w:p w14:paraId="1F9F2700" w14:textId="77777777" w:rsidR="006A2C55" w:rsidRPr="00746ACE" w:rsidRDefault="006A2C55" w:rsidP="006A2C55">
      <w:pPr>
        <w:pStyle w:val="Prrafodelista"/>
      </w:pPr>
    </w:p>
    <w:p w14:paraId="285B3CC6" w14:textId="67CE91BE" w:rsidR="006A2C55" w:rsidRPr="00746ACE" w:rsidRDefault="006A2C55" w:rsidP="006A2C55">
      <w:pPr>
        <w:pStyle w:val="p1"/>
        <w:widowControl w:val="0"/>
        <w:numPr>
          <w:ilvl w:val="0"/>
          <w:numId w:val="7"/>
        </w:numPr>
        <w:jc w:val="both"/>
        <w:rPr>
          <w:color w:val="auto"/>
          <w:sz w:val="28"/>
          <w:szCs w:val="28"/>
          <w:lang w:val="es-ES"/>
        </w:rPr>
      </w:pPr>
      <w:r w:rsidRPr="00746ACE">
        <w:rPr>
          <w:color w:val="auto"/>
          <w:sz w:val="28"/>
          <w:szCs w:val="28"/>
          <w:lang w:val="es-ES"/>
        </w:rPr>
        <w:t>En segundo lugar, debe tenerse en cuenta que la Senit 5 introdujo la</w:t>
      </w:r>
      <w:r w:rsidR="00D03BA0" w:rsidRPr="00746ACE">
        <w:rPr>
          <w:color w:val="auto"/>
          <w:sz w:val="28"/>
          <w:szCs w:val="28"/>
          <w:lang w:val="es-ES"/>
        </w:rPr>
        <w:t>s</w:t>
      </w:r>
      <w:r w:rsidRPr="00746ACE">
        <w:rPr>
          <w:color w:val="auto"/>
          <w:sz w:val="28"/>
          <w:szCs w:val="28"/>
          <w:lang w:val="es-ES"/>
        </w:rPr>
        <w:t xml:space="preserve"> figura</w:t>
      </w:r>
      <w:r w:rsidR="00D03BA0" w:rsidRPr="00746ACE">
        <w:rPr>
          <w:color w:val="auto"/>
          <w:sz w:val="28"/>
          <w:szCs w:val="28"/>
          <w:lang w:val="es-ES"/>
        </w:rPr>
        <w:t>s</w:t>
      </w:r>
      <w:r w:rsidRPr="00746ACE">
        <w:rPr>
          <w:color w:val="auto"/>
          <w:sz w:val="28"/>
          <w:szCs w:val="28"/>
          <w:lang w:val="es-ES"/>
        </w:rPr>
        <w:t xml:space="preserve"> de </w:t>
      </w:r>
      <w:r w:rsidR="00D03BA0" w:rsidRPr="00746ACE">
        <w:rPr>
          <w:color w:val="auto"/>
          <w:sz w:val="28"/>
          <w:szCs w:val="28"/>
          <w:lang w:val="es-ES"/>
        </w:rPr>
        <w:t>“</w:t>
      </w:r>
      <w:r w:rsidRPr="00746ACE">
        <w:rPr>
          <w:iCs/>
          <w:color w:val="auto"/>
          <w:sz w:val="28"/>
          <w:szCs w:val="28"/>
          <w:lang w:val="es-ES"/>
        </w:rPr>
        <w:t>selección de segundo orden</w:t>
      </w:r>
      <w:r w:rsidR="00D03BA0" w:rsidRPr="00746ACE">
        <w:rPr>
          <w:i/>
          <w:color w:val="auto"/>
          <w:sz w:val="28"/>
          <w:szCs w:val="28"/>
          <w:lang w:val="es-ES"/>
        </w:rPr>
        <w:t>”</w:t>
      </w:r>
      <w:r w:rsidRPr="00746ACE">
        <w:rPr>
          <w:i/>
          <w:color w:val="auto"/>
          <w:sz w:val="28"/>
          <w:szCs w:val="28"/>
          <w:lang w:val="es-ES"/>
        </w:rPr>
        <w:t xml:space="preserve"> </w:t>
      </w:r>
      <w:r w:rsidRPr="00746ACE">
        <w:rPr>
          <w:color w:val="auto"/>
          <w:sz w:val="28"/>
          <w:szCs w:val="28"/>
          <w:lang w:val="es-ES"/>
        </w:rPr>
        <w:t xml:space="preserve">y la </w:t>
      </w:r>
      <w:r w:rsidR="00D03BA0" w:rsidRPr="00746ACE">
        <w:rPr>
          <w:color w:val="auto"/>
          <w:sz w:val="28"/>
          <w:szCs w:val="28"/>
          <w:lang w:val="es-ES"/>
        </w:rPr>
        <w:t>“</w:t>
      </w:r>
      <w:r w:rsidRPr="00746ACE">
        <w:rPr>
          <w:iCs/>
          <w:color w:val="auto"/>
          <w:sz w:val="28"/>
          <w:szCs w:val="28"/>
          <w:lang w:val="es-ES"/>
        </w:rPr>
        <w:t>responsabilidad del punto medio</w:t>
      </w:r>
      <w:r w:rsidR="00D03BA0" w:rsidRPr="00746ACE">
        <w:rPr>
          <w:i/>
          <w:color w:val="auto"/>
          <w:sz w:val="28"/>
          <w:szCs w:val="28"/>
          <w:lang w:val="es-ES"/>
        </w:rPr>
        <w:t>”</w:t>
      </w:r>
      <w:r w:rsidRPr="00746ACE">
        <w:rPr>
          <w:i/>
          <w:color w:val="auto"/>
          <w:sz w:val="28"/>
          <w:szCs w:val="28"/>
          <w:lang w:val="es-ES"/>
        </w:rPr>
        <w:t xml:space="preserve">. </w:t>
      </w:r>
      <w:r w:rsidRPr="00746ACE">
        <w:rPr>
          <w:color w:val="auto"/>
          <w:sz w:val="28"/>
          <w:szCs w:val="28"/>
          <w:lang w:val="es-ES"/>
        </w:rPr>
        <w:t>Sin embargo, el alcance de estas figuras fue posteriormente precisado en las Senit 8 y 9. Como se explicará más adelante, estas precisiones a la Senit 5 son relevantes para el estudio de constitucionalidad que adelanta esta Corporación.</w:t>
      </w:r>
      <w:r w:rsidR="00742777" w:rsidRPr="00746ACE">
        <w:rPr>
          <w:color w:val="auto"/>
          <w:sz w:val="28"/>
          <w:szCs w:val="28"/>
          <w:lang w:val="es-ES"/>
        </w:rPr>
        <w:t xml:space="preserve"> </w:t>
      </w:r>
    </w:p>
    <w:p w14:paraId="18AA9DDB" w14:textId="77777777" w:rsidR="00286623" w:rsidRPr="00746ACE" w:rsidRDefault="00286623" w:rsidP="00FC0DFB">
      <w:pPr>
        <w:pStyle w:val="p1"/>
        <w:widowControl w:val="0"/>
        <w:jc w:val="both"/>
        <w:rPr>
          <w:color w:val="auto"/>
          <w:sz w:val="28"/>
          <w:szCs w:val="28"/>
          <w:lang w:val="es-ES"/>
        </w:rPr>
      </w:pPr>
    </w:p>
    <w:p w14:paraId="4D7CA8BD" w14:textId="77777777" w:rsidR="00D03BA0" w:rsidRPr="00746ACE" w:rsidRDefault="00A26656" w:rsidP="00FC0DFB">
      <w:pPr>
        <w:pStyle w:val="p1"/>
        <w:widowControl w:val="0"/>
        <w:numPr>
          <w:ilvl w:val="0"/>
          <w:numId w:val="7"/>
        </w:numPr>
        <w:jc w:val="both"/>
        <w:rPr>
          <w:color w:val="auto"/>
          <w:sz w:val="28"/>
          <w:szCs w:val="28"/>
          <w:lang w:val="es-ES"/>
        </w:rPr>
      </w:pPr>
      <w:r w:rsidRPr="00746ACE">
        <w:rPr>
          <w:color w:val="auto"/>
          <w:sz w:val="28"/>
          <w:szCs w:val="28"/>
          <w:lang w:val="es-ES"/>
        </w:rPr>
        <w:t>En tercer lugar</w:t>
      </w:r>
      <w:r w:rsidR="00B960D6" w:rsidRPr="00746ACE">
        <w:rPr>
          <w:color w:val="auto"/>
          <w:sz w:val="28"/>
          <w:szCs w:val="28"/>
          <w:lang w:val="es-ES"/>
        </w:rPr>
        <w:t xml:space="preserve">, </w:t>
      </w:r>
      <w:r w:rsidRPr="00746ACE">
        <w:rPr>
          <w:color w:val="auto"/>
          <w:sz w:val="28"/>
          <w:szCs w:val="28"/>
          <w:lang w:val="es-ES"/>
        </w:rPr>
        <w:t xml:space="preserve">para la Corte es importante precisar que la presente decisión no implica un cuestionamiento a </w:t>
      </w:r>
      <w:r w:rsidR="00B960D6" w:rsidRPr="00746ACE">
        <w:rPr>
          <w:color w:val="auto"/>
          <w:sz w:val="28"/>
          <w:szCs w:val="28"/>
          <w:lang w:val="es-ES"/>
        </w:rPr>
        <w:t xml:space="preserve">la facultad de </w:t>
      </w:r>
      <w:r w:rsidRPr="00746ACE">
        <w:rPr>
          <w:color w:val="auto"/>
          <w:sz w:val="28"/>
          <w:szCs w:val="28"/>
          <w:lang w:val="es-ES"/>
        </w:rPr>
        <w:t xml:space="preserve">la Sección de Apelaciones de </w:t>
      </w:r>
      <w:r w:rsidR="00B960D6" w:rsidRPr="00746ACE">
        <w:rPr>
          <w:color w:val="auto"/>
          <w:sz w:val="28"/>
          <w:szCs w:val="28"/>
          <w:lang w:val="es-ES"/>
        </w:rPr>
        <w:t xml:space="preserve">dictar sentencias interpretativas. </w:t>
      </w:r>
      <w:r w:rsidRPr="00746ACE">
        <w:rPr>
          <w:color w:val="auto"/>
          <w:sz w:val="28"/>
          <w:szCs w:val="28"/>
          <w:lang w:val="es-ES"/>
        </w:rPr>
        <w:t xml:space="preserve">Algunos </w:t>
      </w:r>
      <w:r w:rsidR="00B960D6" w:rsidRPr="00746ACE">
        <w:rPr>
          <w:color w:val="auto"/>
          <w:sz w:val="28"/>
          <w:szCs w:val="28"/>
          <w:lang w:val="es-ES"/>
        </w:rPr>
        <w:t xml:space="preserve">intervinientes han </w:t>
      </w:r>
      <w:r w:rsidRPr="00746ACE">
        <w:rPr>
          <w:color w:val="auto"/>
          <w:sz w:val="28"/>
          <w:szCs w:val="28"/>
          <w:lang w:val="es-ES"/>
        </w:rPr>
        <w:t>puesto en duda, en abstracto,</w:t>
      </w:r>
      <w:r w:rsidR="00B960D6" w:rsidRPr="00746ACE">
        <w:rPr>
          <w:color w:val="auto"/>
          <w:sz w:val="28"/>
          <w:szCs w:val="28"/>
          <w:lang w:val="es-ES"/>
        </w:rPr>
        <w:t xml:space="preserve"> la </w:t>
      </w:r>
      <w:r w:rsidRPr="00746ACE">
        <w:rPr>
          <w:color w:val="auto"/>
          <w:sz w:val="28"/>
          <w:szCs w:val="28"/>
          <w:lang w:val="es-ES"/>
        </w:rPr>
        <w:t xml:space="preserve">competencia para proferir este tipo de </w:t>
      </w:r>
      <w:r w:rsidR="00B960D6" w:rsidRPr="00746ACE">
        <w:rPr>
          <w:color w:val="auto"/>
          <w:sz w:val="28"/>
          <w:szCs w:val="28"/>
          <w:lang w:val="es-ES"/>
        </w:rPr>
        <w:t xml:space="preserve">providencias. </w:t>
      </w:r>
      <w:r w:rsidR="00876E8C" w:rsidRPr="00746ACE">
        <w:rPr>
          <w:color w:val="auto"/>
          <w:sz w:val="28"/>
          <w:szCs w:val="28"/>
          <w:lang w:val="es-ES"/>
        </w:rPr>
        <w:t>No obstante</w:t>
      </w:r>
      <w:r w:rsidR="00B960D6" w:rsidRPr="00746ACE">
        <w:rPr>
          <w:color w:val="auto"/>
          <w:sz w:val="28"/>
          <w:szCs w:val="28"/>
          <w:lang w:val="es-ES"/>
        </w:rPr>
        <w:t xml:space="preserve">, </w:t>
      </w:r>
      <w:r w:rsidRPr="00746ACE">
        <w:rPr>
          <w:color w:val="auto"/>
          <w:sz w:val="28"/>
          <w:szCs w:val="28"/>
          <w:lang w:val="es-ES"/>
        </w:rPr>
        <w:t>debe recordar</w:t>
      </w:r>
      <w:r w:rsidR="00876E8C" w:rsidRPr="00746ACE">
        <w:rPr>
          <w:color w:val="auto"/>
          <w:sz w:val="28"/>
          <w:szCs w:val="28"/>
          <w:lang w:val="es-ES"/>
        </w:rPr>
        <w:t>se</w:t>
      </w:r>
      <w:r w:rsidR="006E3259" w:rsidRPr="00746ACE">
        <w:rPr>
          <w:color w:val="auto"/>
          <w:sz w:val="28"/>
          <w:szCs w:val="28"/>
          <w:lang w:val="es-ES"/>
        </w:rPr>
        <w:t>, por un lado,</w:t>
      </w:r>
      <w:r w:rsidRPr="00746ACE">
        <w:rPr>
          <w:color w:val="auto"/>
          <w:sz w:val="28"/>
          <w:szCs w:val="28"/>
          <w:lang w:val="es-ES"/>
        </w:rPr>
        <w:t xml:space="preserve"> que </w:t>
      </w:r>
      <w:r w:rsidR="00876E8C" w:rsidRPr="00746ACE">
        <w:rPr>
          <w:color w:val="auto"/>
          <w:sz w:val="28"/>
          <w:szCs w:val="28"/>
          <w:lang w:val="es-ES"/>
        </w:rPr>
        <w:t>dicha</w:t>
      </w:r>
      <w:r w:rsidRPr="00746ACE">
        <w:rPr>
          <w:color w:val="auto"/>
          <w:sz w:val="28"/>
          <w:szCs w:val="28"/>
          <w:lang w:val="es-ES"/>
        </w:rPr>
        <w:t xml:space="preserve"> facultad </w:t>
      </w:r>
      <w:r w:rsidR="00876E8C" w:rsidRPr="00746ACE">
        <w:rPr>
          <w:color w:val="auto"/>
          <w:sz w:val="28"/>
          <w:szCs w:val="28"/>
          <w:lang w:val="es-ES"/>
        </w:rPr>
        <w:t>cuenta con</w:t>
      </w:r>
      <w:r w:rsidR="00B960D6" w:rsidRPr="00746ACE">
        <w:rPr>
          <w:color w:val="auto"/>
          <w:sz w:val="28"/>
          <w:szCs w:val="28"/>
          <w:lang w:val="es-ES"/>
        </w:rPr>
        <w:t xml:space="preserve"> un fundamento legal que no ha sido objeto de demanda dentro de este proceso</w:t>
      </w:r>
      <w:r w:rsidR="00876E8C" w:rsidRPr="00746ACE">
        <w:rPr>
          <w:color w:val="auto"/>
          <w:sz w:val="28"/>
          <w:szCs w:val="28"/>
          <w:lang w:val="es-ES"/>
        </w:rPr>
        <w:t>.</w:t>
      </w:r>
      <w:r w:rsidR="00B960D6" w:rsidRPr="00746ACE">
        <w:rPr>
          <w:color w:val="auto"/>
          <w:sz w:val="28"/>
          <w:szCs w:val="28"/>
          <w:lang w:val="es-ES"/>
        </w:rPr>
        <w:t xml:space="preserve"> </w:t>
      </w:r>
    </w:p>
    <w:p w14:paraId="426247D5" w14:textId="77777777" w:rsidR="00D03BA0" w:rsidRPr="00746ACE" w:rsidRDefault="00D03BA0" w:rsidP="00D03BA0">
      <w:pPr>
        <w:pStyle w:val="Prrafodelista"/>
      </w:pPr>
    </w:p>
    <w:p w14:paraId="2301C848" w14:textId="1AE71855" w:rsidR="00A26656" w:rsidRPr="00746ACE" w:rsidRDefault="006E3259" w:rsidP="00FC0DFB">
      <w:pPr>
        <w:pStyle w:val="p1"/>
        <w:widowControl w:val="0"/>
        <w:numPr>
          <w:ilvl w:val="0"/>
          <w:numId w:val="7"/>
        </w:numPr>
        <w:jc w:val="both"/>
        <w:rPr>
          <w:color w:val="auto"/>
          <w:sz w:val="28"/>
          <w:szCs w:val="28"/>
          <w:lang w:val="es-ES"/>
        </w:rPr>
      </w:pPr>
      <w:r w:rsidRPr="00746ACE">
        <w:rPr>
          <w:color w:val="auto"/>
          <w:sz w:val="28"/>
          <w:szCs w:val="28"/>
          <w:lang w:val="es-ES"/>
        </w:rPr>
        <w:t>Por el otro, estas decisiones cumplen una función importante: la JEP es un órgano judicial con un tiempo de funcionamiento limitado si se le compara con el de otras jurisdicciones. En consecuencia, la construcción y sistematización de su jurisprudencia no siempre puede consolidarse mediante el desarrollo paulatino y progresivo que caracteriza a otros tribunales. En ese contexto, las sentencias interpretativas pueden desempeñar un papel relevante en la clarificación y articulación de los criterios jurisprudenciales de la jurisdicción</w:t>
      </w:r>
      <w:r w:rsidR="00C370BF" w:rsidRPr="00746ACE">
        <w:rPr>
          <w:rStyle w:val="Refdenotaalpie"/>
          <w:color w:val="auto"/>
          <w:sz w:val="28"/>
          <w:szCs w:val="28"/>
          <w:lang w:val="es-ES"/>
        </w:rPr>
        <w:footnoteReference w:id="9"/>
      </w:r>
      <w:r w:rsidRPr="00746ACE">
        <w:rPr>
          <w:color w:val="auto"/>
          <w:sz w:val="28"/>
          <w:szCs w:val="28"/>
          <w:lang w:val="es-ES"/>
        </w:rPr>
        <w:t>. En síntesis, el estudio de este caso se concentrará en los cargos frente a la Senit 5, y no en los argumentos que cuestionan la conveniencia de las sentencias interpretativas</w:t>
      </w:r>
      <w:r w:rsidR="00D03BA0" w:rsidRPr="00746ACE">
        <w:rPr>
          <w:color w:val="auto"/>
          <w:sz w:val="28"/>
          <w:szCs w:val="28"/>
          <w:lang w:val="es-ES"/>
        </w:rPr>
        <w:t>, de conformidad con el carácter rogado de la acción pública de inconstitucionalidad.</w:t>
      </w:r>
    </w:p>
    <w:p w14:paraId="716AC9D4" w14:textId="77777777" w:rsidR="00B960D6" w:rsidRPr="00746ACE" w:rsidRDefault="00B960D6" w:rsidP="00876E8C">
      <w:pPr>
        <w:pStyle w:val="p1"/>
        <w:widowControl w:val="0"/>
        <w:jc w:val="both"/>
        <w:rPr>
          <w:color w:val="auto"/>
          <w:sz w:val="28"/>
          <w:szCs w:val="28"/>
          <w:lang w:val="es-ES"/>
        </w:rPr>
      </w:pPr>
    </w:p>
    <w:p w14:paraId="3F2578FF" w14:textId="2341F7BC" w:rsidR="00DA4B48" w:rsidRPr="00746ACE" w:rsidRDefault="0073770A" w:rsidP="00FC0DFB">
      <w:pPr>
        <w:pStyle w:val="p1"/>
        <w:widowControl w:val="0"/>
        <w:numPr>
          <w:ilvl w:val="0"/>
          <w:numId w:val="7"/>
        </w:numPr>
        <w:jc w:val="both"/>
        <w:rPr>
          <w:color w:val="auto"/>
          <w:sz w:val="28"/>
          <w:szCs w:val="28"/>
          <w:lang w:val="es-ES"/>
        </w:rPr>
      </w:pPr>
      <w:r w:rsidRPr="00746ACE">
        <w:rPr>
          <w:color w:val="auto"/>
          <w:sz w:val="28"/>
          <w:szCs w:val="28"/>
          <w:lang w:val="es-ES"/>
        </w:rPr>
        <w:t>En cuarto lugar</w:t>
      </w:r>
      <w:r w:rsidR="00B960D6" w:rsidRPr="00746ACE">
        <w:rPr>
          <w:color w:val="auto"/>
          <w:sz w:val="28"/>
          <w:szCs w:val="28"/>
          <w:lang w:val="es-ES"/>
        </w:rPr>
        <w:t xml:space="preserve">, </w:t>
      </w:r>
      <w:r w:rsidR="00876E8C" w:rsidRPr="00746ACE">
        <w:rPr>
          <w:color w:val="auto"/>
          <w:sz w:val="28"/>
          <w:szCs w:val="28"/>
          <w:lang w:val="es-ES"/>
        </w:rPr>
        <w:t xml:space="preserve">es importante advertir que </w:t>
      </w:r>
      <w:r w:rsidR="00B960D6" w:rsidRPr="00746ACE">
        <w:rPr>
          <w:color w:val="auto"/>
          <w:sz w:val="28"/>
          <w:szCs w:val="28"/>
          <w:lang w:val="es-ES"/>
        </w:rPr>
        <w:t xml:space="preserve">el control constitucional de las sentencias interpretativas de la JEP </w:t>
      </w:r>
      <w:r w:rsidRPr="00746ACE">
        <w:rPr>
          <w:color w:val="auto"/>
          <w:sz w:val="28"/>
          <w:szCs w:val="28"/>
          <w:lang w:val="es-ES"/>
        </w:rPr>
        <w:t>constituye una cuestión novedosa para</w:t>
      </w:r>
      <w:r w:rsidR="00B960D6" w:rsidRPr="00746ACE">
        <w:rPr>
          <w:color w:val="auto"/>
          <w:sz w:val="28"/>
          <w:szCs w:val="28"/>
          <w:lang w:val="es-ES"/>
        </w:rPr>
        <w:t xml:space="preserve"> la Corte Constitucional. En una demanda reciente se cuestionaron reglas </w:t>
      </w:r>
      <w:r w:rsidRPr="00746ACE">
        <w:rPr>
          <w:color w:val="auto"/>
          <w:sz w:val="28"/>
          <w:szCs w:val="28"/>
          <w:lang w:val="es-ES"/>
        </w:rPr>
        <w:t>relativas a los denominados</w:t>
      </w:r>
      <w:r w:rsidR="00B960D6" w:rsidRPr="00746ACE">
        <w:rPr>
          <w:color w:val="auto"/>
          <w:sz w:val="28"/>
          <w:szCs w:val="28"/>
          <w:lang w:val="es-ES"/>
        </w:rPr>
        <w:t xml:space="preserve"> “sujetos bisagra”, contenidas en diversas decisiones de la Sección de Apelación de la JEP</w:t>
      </w:r>
      <w:r w:rsidRPr="00746ACE">
        <w:rPr>
          <w:color w:val="auto"/>
          <w:sz w:val="28"/>
          <w:szCs w:val="28"/>
          <w:lang w:val="es-ES"/>
        </w:rPr>
        <w:t>.</w:t>
      </w:r>
      <w:r w:rsidR="00B960D6" w:rsidRPr="00746ACE">
        <w:rPr>
          <w:color w:val="auto"/>
          <w:sz w:val="28"/>
          <w:szCs w:val="28"/>
          <w:lang w:val="es-ES"/>
        </w:rPr>
        <w:t xml:space="preserve"> </w:t>
      </w:r>
      <w:r w:rsidR="00DA4B48" w:rsidRPr="00746ACE">
        <w:rPr>
          <w:color w:val="auto"/>
          <w:sz w:val="28"/>
          <w:szCs w:val="28"/>
          <w:lang w:val="es-ES"/>
        </w:rPr>
        <w:t>En esta ocasión, la Corte Constitucional concluyó que se produjo el fenómeno de la carencia actual de objeto, debido a que la interpretación que dio lugar al concepto de sujeto bisagra dejó de utilizarse en la jurisprudencia de la JEP, en especial, a raíz del auto 1319 de 2024, de la Corte Constitucional, en el que se resolvió un conflicto interjurisdiccional relacionado con el juzgamiento de un comandante paramilitar, a favor de los jueces y tribunales de justicia y paz</w:t>
      </w:r>
      <w:r w:rsidR="00DA4B48" w:rsidRPr="00746ACE">
        <w:rPr>
          <w:rStyle w:val="Refdenotaalpie"/>
          <w:color w:val="auto"/>
          <w:sz w:val="28"/>
          <w:szCs w:val="28"/>
          <w:lang w:val="es-ES"/>
        </w:rPr>
        <w:footnoteReference w:id="10"/>
      </w:r>
      <w:r w:rsidR="00DA4B48" w:rsidRPr="00746ACE">
        <w:rPr>
          <w:color w:val="auto"/>
          <w:sz w:val="28"/>
          <w:szCs w:val="28"/>
          <w:lang w:val="es-ES"/>
        </w:rPr>
        <w:t xml:space="preserve">. </w:t>
      </w:r>
    </w:p>
    <w:p w14:paraId="1B9FA089" w14:textId="77777777" w:rsidR="00DA4B48" w:rsidRPr="00746ACE" w:rsidRDefault="00DA4B48" w:rsidP="00DA4B48">
      <w:pPr>
        <w:pStyle w:val="Prrafodelista"/>
      </w:pPr>
    </w:p>
    <w:p w14:paraId="28CDB6AA" w14:textId="47366927" w:rsidR="00B960D6" w:rsidRPr="00746ACE" w:rsidRDefault="00DA4B48" w:rsidP="00FC0DFB">
      <w:pPr>
        <w:pStyle w:val="p1"/>
        <w:widowControl w:val="0"/>
        <w:numPr>
          <w:ilvl w:val="0"/>
          <w:numId w:val="7"/>
        </w:numPr>
        <w:jc w:val="both"/>
        <w:rPr>
          <w:color w:val="auto"/>
          <w:sz w:val="28"/>
          <w:szCs w:val="28"/>
          <w:lang w:val="es-ES"/>
        </w:rPr>
      </w:pPr>
      <w:r w:rsidRPr="00746ACE">
        <w:rPr>
          <w:color w:val="auto"/>
          <w:sz w:val="28"/>
          <w:szCs w:val="28"/>
          <w:lang w:val="es-ES"/>
        </w:rPr>
        <w:t xml:space="preserve">Con posterioridad, </w:t>
      </w:r>
      <w:r w:rsidR="00B960D6" w:rsidRPr="00746ACE">
        <w:rPr>
          <w:color w:val="auto"/>
          <w:sz w:val="28"/>
          <w:szCs w:val="28"/>
          <w:lang w:val="es-ES"/>
        </w:rPr>
        <w:t>la Sala Plena se declaró inhibida para pronunciarse sobre una demanda contra la Senit 4 y otras decisiones de la Sala de Definición de Situaciones Jurídicas y la Sección de Apelación</w:t>
      </w:r>
      <w:r w:rsidRPr="00746ACE">
        <w:rPr>
          <w:color w:val="auto"/>
          <w:sz w:val="28"/>
          <w:szCs w:val="28"/>
          <w:lang w:val="es-ES"/>
        </w:rPr>
        <w:t xml:space="preserve">, relacionadas con el concepto de Juicio de Prevalencia Jurisdiccional. En criterio de la Corte, la demanda analizada dentro de este expediente no cumplió el requisito de </w:t>
      </w:r>
      <w:r w:rsidRPr="00746ACE">
        <w:rPr>
          <w:i/>
          <w:color w:val="auto"/>
          <w:sz w:val="28"/>
          <w:szCs w:val="28"/>
          <w:lang w:val="es-ES"/>
        </w:rPr>
        <w:t xml:space="preserve">certeza, </w:t>
      </w:r>
      <w:r w:rsidRPr="00746ACE">
        <w:rPr>
          <w:color w:val="auto"/>
          <w:sz w:val="28"/>
          <w:szCs w:val="28"/>
          <w:lang w:val="es-ES"/>
        </w:rPr>
        <w:t>al asumir una interpretación puramente subjetiva de las normas y subreglas demandadas</w:t>
      </w:r>
      <w:r w:rsidRPr="00746ACE">
        <w:rPr>
          <w:rStyle w:val="Refdenotaalpie"/>
          <w:color w:val="auto"/>
          <w:sz w:val="28"/>
          <w:szCs w:val="28"/>
          <w:lang w:val="es-ES"/>
        </w:rPr>
        <w:footnoteReference w:id="11"/>
      </w:r>
      <w:r w:rsidRPr="00746ACE">
        <w:rPr>
          <w:color w:val="auto"/>
          <w:sz w:val="28"/>
          <w:szCs w:val="28"/>
          <w:lang w:val="es-ES"/>
        </w:rPr>
        <w:t xml:space="preserve">. </w:t>
      </w:r>
    </w:p>
    <w:p w14:paraId="76E559C4" w14:textId="77777777" w:rsidR="00B960D6" w:rsidRPr="00746ACE" w:rsidRDefault="00B960D6" w:rsidP="00D62ABF">
      <w:pPr>
        <w:pStyle w:val="Prrafodelista"/>
        <w:widowControl w:val="0"/>
      </w:pPr>
    </w:p>
    <w:p w14:paraId="57B1B561" w14:textId="2DC3A40F" w:rsidR="00B960D6" w:rsidRPr="00746ACE" w:rsidRDefault="0073770A" w:rsidP="00FC0DFB">
      <w:pPr>
        <w:pStyle w:val="p1"/>
        <w:widowControl w:val="0"/>
        <w:numPr>
          <w:ilvl w:val="0"/>
          <w:numId w:val="7"/>
        </w:numPr>
        <w:jc w:val="both"/>
        <w:rPr>
          <w:color w:val="auto"/>
          <w:sz w:val="28"/>
          <w:szCs w:val="28"/>
          <w:lang w:val="es-ES"/>
        </w:rPr>
      </w:pPr>
      <w:r w:rsidRPr="00746ACE">
        <w:rPr>
          <w:color w:val="auto"/>
          <w:sz w:val="28"/>
          <w:szCs w:val="28"/>
          <w:lang w:val="es-ES"/>
        </w:rPr>
        <w:t>E</w:t>
      </w:r>
      <w:r w:rsidR="00B960D6" w:rsidRPr="00746ACE">
        <w:rPr>
          <w:color w:val="auto"/>
          <w:sz w:val="28"/>
          <w:szCs w:val="28"/>
          <w:lang w:val="es-ES"/>
        </w:rPr>
        <w:t xml:space="preserve">n esta ocasión, </w:t>
      </w:r>
      <w:r w:rsidRPr="00746ACE">
        <w:rPr>
          <w:color w:val="auto"/>
          <w:sz w:val="28"/>
          <w:szCs w:val="28"/>
          <w:lang w:val="es-ES"/>
        </w:rPr>
        <w:t xml:space="preserve">sin embargo, </w:t>
      </w:r>
      <w:r w:rsidR="00B960D6" w:rsidRPr="00746ACE">
        <w:rPr>
          <w:color w:val="auto"/>
          <w:sz w:val="28"/>
          <w:szCs w:val="28"/>
          <w:lang w:val="es-ES"/>
        </w:rPr>
        <w:t xml:space="preserve">la demanda se dirigió específicamente contra la Senit 5 y no contra una </w:t>
      </w:r>
      <w:r w:rsidRPr="00746ACE">
        <w:rPr>
          <w:color w:val="auto"/>
          <w:sz w:val="28"/>
          <w:szCs w:val="28"/>
          <w:lang w:val="es-ES"/>
        </w:rPr>
        <w:t xml:space="preserve">pluralidad </w:t>
      </w:r>
      <w:r w:rsidR="00B960D6" w:rsidRPr="00746ACE">
        <w:rPr>
          <w:color w:val="auto"/>
          <w:sz w:val="28"/>
          <w:szCs w:val="28"/>
          <w:lang w:val="es-ES"/>
        </w:rPr>
        <w:t>de pronunciamientos</w:t>
      </w:r>
      <w:r w:rsidRPr="00746ACE">
        <w:rPr>
          <w:color w:val="auto"/>
          <w:sz w:val="28"/>
          <w:szCs w:val="28"/>
          <w:lang w:val="es-ES"/>
        </w:rPr>
        <w:t>.</w:t>
      </w:r>
      <w:r w:rsidR="00B960D6" w:rsidRPr="00746ACE">
        <w:rPr>
          <w:color w:val="auto"/>
          <w:sz w:val="28"/>
          <w:szCs w:val="28"/>
          <w:lang w:val="es-ES"/>
        </w:rPr>
        <w:t xml:space="preserve"> </w:t>
      </w:r>
      <w:r w:rsidRPr="00746ACE">
        <w:rPr>
          <w:color w:val="auto"/>
          <w:sz w:val="28"/>
          <w:szCs w:val="28"/>
          <w:lang w:val="es-ES"/>
        </w:rPr>
        <w:t>A</w:t>
      </w:r>
      <w:r w:rsidR="00B960D6" w:rsidRPr="00746ACE">
        <w:rPr>
          <w:color w:val="auto"/>
          <w:sz w:val="28"/>
          <w:szCs w:val="28"/>
          <w:lang w:val="es-ES"/>
        </w:rPr>
        <w:t>l</w:t>
      </w:r>
      <w:r w:rsidRPr="00746ACE">
        <w:rPr>
          <w:color w:val="auto"/>
          <w:sz w:val="28"/>
          <w:szCs w:val="28"/>
          <w:lang w:val="es-ES"/>
        </w:rPr>
        <w:t xml:space="preserve"> mismo</w:t>
      </w:r>
      <w:r w:rsidR="00B960D6" w:rsidRPr="00746ACE">
        <w:rPr>
          <w:color w:val="auto"/>
          <w:sz w:val="28"/>
          <w:szCs w:val="28"/>
          <w:lang w:val="es-ES"/>
        </w:rPr>
        <w:t xml:space="preserve"> tiempo</w:t>
      </w:r>
      <w:r w:rsidRPr="00746ACE">
        <w:rPr>
          <w:color w:val="auto"/>
          <w:sz w:val="28"/>
          <w:szCs w:val="28"/>
          <w:lang w:val="es-ES"/>
        </w:rPr>
        <w:t>,</w:t>
      </w:r>
      <w:r w:rsidR="00B960D6" w:rsidRPr="00746ACE">
        <w:rPr>
          <w:color w:val="auto"/>
          <w:sz w:val="28"/>
          <w:szCs w:val="28"/>
          <w:lang w:val="es-ES"/>
        </w:rPr>
        <w:t xml:space="preserve"> funcionarios de la JEP, </w:t>
      </w:r>
      <w:r w:rsidRPr="00746ACE">
        <w:rPr>
          <w:color w:val="auto"/>
          <w:sz w:val="28"/>
          <w:szCs w:val="28"/>
          <w:lang w:val="es-ES"/>
        </w:rPr>
        <w:t>entre ellos su presidente</w:t>
      </w:r>
      <w:r w:rsidR="00B960D6" w:rsidRPr="00746ACE">
        <w:rPr>
          <w:color w:val="auto"/>
          <w:sz w:val="28"/>
          <w:szCs w:val="28"/>
          <w:lang w:val="es-ES"/>
        </w:rPr>
        <w:t xml:space="preserve">, y varios intervinientes, </w:t>
      </w:r>
      <w:r w:rsidRPr="00746ACE">
        <w:rPr>
          <w:color w:val="auto"/>
          <w:sz w:val="28"/>
          <w:szCs w:val="28"/>
          <w:lang w:val="es-ES"/>
        </w:rPr>
        <w:t xml:space="preserve">han planteado </w:t>
      </w:r>
      <w:r w:rsidR="00B960D6" w:rsidRPr="00746ACE">
        <w:rPr>
          <w:color w:val="auto"/>
          <w:sz w:val="28"/>
          <w:szCs w:val="28"/>
          <w:lang w:val="es-ES"/>
        </w:rPr>
        <w:t>la necesidad de integrar al análisis los fundamentos de la</w:t>
      </w:r>
      <w:r w:rsidRPr="00746ACE">
        <w:rPr>
          <w:color w:val="auto"/>
          <w:sz w:val="28"/>
          <w:szCs w:val="28"/>
          <w:lang w:val="es-ES"/>
        </w:rPr>
        <w:t>s</w:t>
      </w:r>
      <w:r w:rsidR="00B960D6" w:rsidRPr="00746ACE">
        <w:rPr>
          <w:color w:val="auto"/>
          <w:sz w:val="28"/>
          <w:szCs w:val="28"/>
          <w:lang w:val="es-ES"/>
        </w:rPr>
        <w:t xml:space="preserve"> Senit 8 y 9 que precisan reglas de la Senit 5. </w:t>
      </w:r>
      <w:r w:rsidRPr="00746ACE">
        <w:rPr>
          <w:color w:val="auto"/>
          <w:sz w:val="28"/>
          <w:szCs w:val="28"/>
          <w:lang w:val="es-ES"/>
        </w:rPr>
        <w:t xml:space="preserve">En consecuencia, este proceso se relaciona, ante </w:t>
      </w:r>
      <w:r w:rsidR="00B960D6" w:rsidRPr="00746ACE">
        <w:rPr>
          <w:color w:val="auto"/>
          <w:sz w:val="28"/>
          <w:szCs w:val="28"/>
          <w:lang w:val="es-ES"/>
        </w:rPr>
        <w:t xml:space="preserve">todo, con el control </w:t>
      </w:r>
      <w:r w:rsidRPr="00746ACE">
        <w:rPr>
          <w:color w:val="auto"/>
          <w:sz w:val="28"/>
          <w:szCs w:val="28"/>
          <w:lang w:val="es-ES"/>
        </w:rPr>
        <w:t xml:space="preserve">constitucional </w:t>
      </w:r>
      <w:r w:rsidR="00B960D6" w:rsidRPr="00746ACE">
        <w:rPr>
          <w:color w:val="auto"/>
          <w:sz w:val="28"/>
          <w:szCs w:val="28"/>
          <w:lang w:val="es-ES"/>
        </w:rPr>
        <w:t xml:space="preserve">de decisiones interpretativas. </w:t>
      </w:r>
      <w:r w:rsidRPr="00746ACE">
        <w:rPr>
          <w:color w:val="auto"/>
          <w:sz w:val="28"/>
          <w:szCs w:val="28"/>
          <w:lang w:val="es-ES"/>
        </w:rPr>
        <w:t xml:space="preserve">Por esta razón, la Sala considera necesario examinar el alcance de la acción pública de inconstitucionalidad frente a las sentencias interpretativas de la JEP. </w:t>
      </w:r>
    </w:p>
    <w:p w14:paraId="21417BF5" w14:textId="77777777" w:rsidR="0073770A" w:rsidRPr="00746ACE" w:rsidRDefault="0073770A" w:rsidP="00FC0DFB">
      <w:pPr>
        <w:pStyle w:val="p1"/>
        <w:widowControl w:val="0"/>
        <w:jc w:val="both"/>
        <w:rPr>
          <w:color w:val="auto"/>
          <w:sz w:val="28"/>
          <w:szCs w:val="28"/>
          <w:lang w:val="es-ES"/>
        </w:rPr>
      </w:pPr>
    </w:p>
    <w:p w14:paraId="1DB75B1C" w14:textId="33CA89AC" w:rsidR="00B960D6" w:rsidRPr="00746ACE" w:rsidRDefault="00B960D6" w:rsidP="00FC0DFB">
      <w:pPr>
        <w:pStyle w:val="p1"/>
        <w:widowControl w:val="0"/>
        <w:numPr>
          <w:ilvl w:val="0"/>
          <w:numId w:val="7"/>
        </w:numPr>
        <w:jc w:val="both"/>
        <w:rPr>
          <w:color w:val="auto"/>
          <w:sz w:val="28"/>
          <w:szCs w:val="28"/>
          <w:lang w:val="es-ES"/>
        </w:rPr>
      </w:pPr>
      <w:r w:rsidRPr="00746ACE">
        <w:rPr>
          <w:b/>
          <w:i/>
          <w:color w:val="auto"/>
          <w:sz w:val="28"/>
          <w:szCs w:val="28"/>
          <w:lang w:val="es-ES"/>
        </w:rPr>
        <w:t>Conclusión 1</w:t>
      </w:r>
      <w:r w:rsidR="0073770A" w:rsidRPr="00746ACE">
        <w:rPr>
          <w:b/>
          <w:i/>
          <w:color w:val="auto"/>
          <w:sz w:val="28"/>
          <w:szCs w:val="28"/>
          <w:lang w:val="es-ES"/>
        </w:rPr>
        <w:t xml:space="preserve">. </w:t>
      </w:r>
      <w:r w:rsidR="0073770A" w:rsidRPr="00746ACE">
        <w:rPr>
          <w:color w:val="auto"/>
          <w:sz w:val="28"/>
          <w:szCs w:val="28"/>
          <w:lang w:val="es-ES"/>
        </w:rPr>
        <w:t>En este proceso,</w:t>
      </w:r>
      <w:r w:rsidR="0073770A" w:rsidRPr="00746ACE" w:rsidDel="0073770A">
        <w:rPr>
          <w:color w:val="auto"/>
          <w:sz w:val="28"/>
          <w:szCs w:val="28"/>
          <w:lang w:val="es-ES"/>
        </w:rPr>
        <w:t xml:space="preserve"> </w:t>
      </w:r>
      <w:r w:rsidR="0073770A" w:rsidRPr="00746ACE">
        <w:rPr>
          <w:color w:val="auto"/>
          <w:sz w:val="28"/>
          <w:szCs w:val="28"/>
          <w:lang w:val="es-ES"/>
        </w:rPr>
        <w:t>l</w:t>
      </w:r>
      <w:r w:rsidRPr="00746ACE">
        <w:rPr>
          <w:color w:val="auto"/>
          <w:sz w:val="28"/>
          <w:szCs w:val="28"/>
          <w:lang w:val="es-ES"/>
        </w:rPr>
        <w:t xml:space="preserve">a Corte Constitucional no </w:t>
      </w:r>
      <w:r w:rsidR="0073770A" w:rsidRPr="00746ACE">
        <w:rPr>
          <w:color w:val="auto"/>
          <w:sz w:val="28"/>
          <w:szCs w:val="28"/>
          <w:lang w:val="es-ES"/>
        </w:rPr>
        <w:t xml:space="preserve">examinará </w:t>
      </w:r>
      <w:r w:rsidRPr="00746ACE">
        <w:rPr>
          <w:color w:val="auto"/>
          <w:sz w:val="28"/>
          <w:szCs w:val="28"/>
          <w:lang w:val="es-ES"/>
        </w:rPr>
        <w:t xml:space="preserve">la validez de la competencia de </w:t>
      </w:r>
      <w:r w:rsidR="0073770A" w:rsidRPr="00746ACE">
        <w:rPr>
          <w:color w:val="auto"/>
          <w:sz w:val="28"/>
          <w:szCs w:val="28"/>
          <w:lang w:val="es-ES"/>
        </w:rPr>
        <w:t xml:space="preserve">la JEP de </w:t>
      </w:r>
      <w:r w:rsidRPr="00746ACE">
        <w:rPr>
          <w:color w:val="auto"/>
          <w:sz w:val="28"/>
          <w:szCs w:val="28"/>
          <w:lang w:val="es-ES"/>
        </w:rPr>
        <w:t xml:space="preserve">dictar sentencias interpretativas y se concentrará en los problemas jurídicos admitidos desde la corrección de la demanda. En </w:t>
      </w:r>
      <w:r w:rsidR="00D24C7C" w:rsidRPr="00746ACE">
        <w:rPr>
          <w:color w:val="auto"/>
          <w:sz w:val="28"/>
          <w:szCs w:val="28"/>
          <w:lang w:val="es-ES"/>
        </w:rPr>
        <w:t>ese marco</w:t>
      </w:r>
      <w:r w:rsidRPr="00746ACE">
        <w:rPr>
          <w:color w:val="auto"/>
          <w:sz w:val="28"/>
          <w:szCs w:val="28"/>
          <w:lang w:val="es-ES"/>
        </w:rPr>
        <w:t xml:space="preserve">, la Sala Plena </w:t>
      </w:r>
      <w:r w:rsidR="00D24C7C" w:rsidRPr="00746ACE">
        <w:rPr>
          <w:color w:val="auto"/>
          <w:sz w:val="28"/>
          <w:szCs w:val="28"/>
          <w:lang w:val="es-ES"/>
        </w:rPr>
        <w:t xml:space="preserve">tendrá en cuenta la función y misión que la Constitución y la ley han atribuido a la Sección de Apelación como órgano de cierre hermenéutico de la JEP. En los capítulos siguientes, la Sala Plena desarrollará con mayor detalle el examen formal y de procedencia de la demanda, </w:t>
      </w:r>
      <w:r w:rsidR="006E3259" w:rsidRPr="00746ACE">
        <w:rPr>
          <w:color w:val="auto"/>
          <w:sz w:val="28"/>
          <w:szCs w:val="28"/>
          <w:lang w:val="es-ES"/>
        </w:rPr>
        <w:t xml:space="preserve">con el fin de precisar los criterios aplicables, </w:t>
      </w:r>
      <w:r w:rsidR="00D24C7C" w:rsidRPr="00746ACE">
        <w:rPr>
          <w:color w:val="auto"/>
          <w:sz w:val="28"/>
          <w:szCs w:val="28"/>
          <w:lang w:val="es-ES"/>
        </w:rPr>
        <w:t>contribuir al</w:t>
      </w:r>
      <w:r w:rsidRPr="00746ACE">
        <w:rPr>
          <w:color w:val="auto"/>
          <w:sz w:val="28"/>
          <w:szCs w:val="28"/>
          <w:lang w:val="es-ES"/>
        </w:rPr>
        <w:t xml:space="preserve"> desarrollo del precedente y </w:t>
      </w:r>
      <w:r w:rsidR="006E3259" w:rsidRPr="00746ACE">
        <w:rPr>
          <w:color w:val="auto"/>
          <w:sz w:val="28"/>
          <w:szCs w:val="28"/>
          <w:lang w:val="es-ES"/>
        </w:rPr>
        <w:t xml:space="preserve">clarificar </w:t>
      </w:r>
      <w:r w:rsidRPr="00746ACE">
        <w:rPr>
          <w:color w:val="auto"/>
          <w:sz w:val="28"/>
          <w:szCs w:val="28"/>
          <w:lang w:val="es-ES"/>
        </w:rPr>
        <w:t xml:space="preserve">la relación entre el juez constitucional y </w:t>
      </w:r>
      <w:r w:rsidR="00D24C7C" w:rsidRPr="00746ACE">
        <w:rPr>
          <w:color w:val="auto"/>
          <w:sz w:val="28"/>
          <w:szCs w:val="28"/>
          <w:lang w:val="es-ES"/>
        </w:rPr>
        <w:t xml:space="preserve">la jurisdicción especial para la paz. </w:t>
      </w:r>
    </w:p>
    <w:p w14:paraId="1711A2CB" w14:textId="77777777" w:rsidR="0054259F" w:rsidRPr="00746ACE" w:rsidRDefault="0054259F" w:rsidP="00FC0DFB">
      <w:pPr>
        <w:pStyle w:val="Prrafodelista"/>
        <w:widowControl w:val="0"/>
        <w:ind w:left="0"/>
      </w:pPr>
    </w:p>
    <w:p w14:paraId="365955B3" w14:textId="4358BA6B" w:rsidR="00F9013F" w:rsidRPr="00746ACE" w:rsidRDefault="00E92835" w:rsidP="000B69F5">
      <w:pPr>
        <w:pStyle w:val="Ttulo1"/>
        <w:widowControl w:val="0"/>
        <w:spacing w:before="0" w:beforeAutospacing="0" w:after="0" w:afterAutospacing="0"/>
        <w:ind w:left="0" w:firstLine="540"/>
        <w:jc w:val="both"/>
        <w:rPr>
          <w:sz w:val="28"/>
          <w:szCs w:val="28"/>
          <w:lang w:val="es-ES"/>
        </w:rPr>
      </w:pPr>
      <w:bookmarkStart w:id="12" w:name="_Toc233384167"/>
      <w:r w:rsidRPr="00746ACE">
        <w:rPr>
          <w:sz w:val="28"/>
          <w:szCs w:val="28"/>
          <w:lang w:val="es-ES"/>
        </w:rPr>
        <w:t xml:space="preserve">SEGUNDA </w:t>
      </w:r>
      <w:r w:rsidR="00F9013F" w:rsidRPr="00746ACE">
        <w:rPr>
          <w:sz w:val="28"/>
          <w:szCs w:val="28"/>
          <w:lang w:val="es-ES"/>
        </w:rPr>
        <w:t>PARTE. CUESTIONES DE COMPETENCIA, TRÁMITE Y PROCEDENCIA DEL CONTROL</w:t>
      </w:r>
      <w:bookmarkEnd w:id="12"/>
    </w:p>
    <w:p w14:paraId="78D5B6B4" w14:textId="77777777" w:rsidR="00BE2EB8" w:rsidRPr="00746ACE" w:rsidRDefault="00BE2EB8" w:rsidP="00BE2EB8">
      <w:pPr>
        <w:pStyle w:val="p1"/>
        <w:widowControl w:val="0"/>
        <w:jc w:val="both"/>
        <w:rPr>
          <w:color w:val="auto"/>
          <w:sz w:val="28"/>
        </w:rPr>
      </w:pPr>
    </w:p>
    <w:p w14:paraId="72FA7294" w14:textId="56C46F60" w:rsidR="00BE2EB8" w:rsidRPr="00746ACE" w:rsidRDefault="00D03BA0" w:rsidP="002D0AC4">
      <w:pPr>
        <w:pStyle w:val="p1"/>
        <w:widowControl w:val="0"/>
        <w:numPr>
          <w:ilvl w:val="0"/>
          <w:numId w:val="7"/>
        </w:numPr>
        <w:jc w:val="both"/>
        <w:rPr>
          <w:color w:val="auto"/>
          <w:sz w:val="28"/>
          <w:szCs w:val="28"/>
          <w:lang w:val="es-ES"/>
        </w:rPr>
      </w:pPr>
      <w:r w:rsidRPr="00746ACE">
        <w:rPr>
          <w:color w:val="auto"/>
          <w:sz w:val="28"/>
          <w:szCs w:val="28"/>
          <w:lang w:val="es-ES"/>
        </w:rPr>
        <w:t xml:space="preserve">Este capítulo </w:t>
      </w:r>
      <w:r w:rsidR="00BE2EB8" w:rsidRPr="00746ACE">
        <w:rPr>
          <w:color w:val="auto"/>
          <w:sz w:val="28"/>
          <w:szCs w:val="28"/>
          <w:lang w:val="es-ES"/>
        </w:rPr>
        <w:t xml:space="preserve">de la providencia hablará sobre la competencia de la Corte para controlar la constitucionalidad de este tipo de providencias, y sobre aspectos procedimentales y argumentativos como  el alcance del derecho viviente en las </w:t>
      </w:r>
      <w:r w:rsidR="00BE2EB8" w:rsidRPr="00746ACE">
        <w:rPr>
          <w:i/>
          <w:color w:val="auto"/>
          <w:sz w:val="28"/>
          <w:szCs w:val="28"/>
          <w:lang w:val="es-ES"/>
        </w:rPr>
        <w:t>senit</w:t>
      </w:r>
      <w:r w:rsidR="00BE2EB8" w:rsidRPr="00746ACE">
        <w:rPr>
          <w:color w:val="auto"/>
          <w:sz w:val="28"/>
          <w:szCs w:val="28"/>
          <w:lang w:val="es-ES"/>
        </w:rPr>
        <w:t>, la integración normativa de fundamentos jurídicos contenidos en este tipo de decisiones, la cosa juzgada constitucional y la aptitud de la demanda. Si bien se trata de materias ampliamente conocidas en la jurisprudencia constitucional, su aplicación a las sentencias interpretativas presenta ciertas particularidades, lo que explica la pretensión sistematizadora y pedagógica de los capítulos siguientes.</w:t>
      </w:r>
    </w:p>
    <w:p w14:paraId="3F715A0A" w14:textId="77777777" w:rsidR="00F9013F" w:rsidRPr="00746ACE" w:rsidRDefault="00F9013F" w:rsidP="00FC0DFB">
      <w:pPr>
        <w:pStyle w:val="Prrafodelista"/>
        <w:widowControl w:val="0"/>
        <w:ind w:left="0"/>
      </w:pPr>
    </w:p>
    <w:p w14:paraId="6DBBFF10" w14:textId="77777777" w:rsidR="00FB1504" w:rsidRPr="00746ACE" w:rsidRDefault="00FB1504" w:rsidP="006A2C55">
      <w:pPr>
        <w:pStyle w:val="Ttulo2"/>
        <w:keepNext w:val="0"/>
        <w:keepLines w:val="0"/>
        <w:widowControl w:val="0"/>
        <w:rPr>
          <w:rFonts w:cs="Times New Roman"/>
          <w:szCs w:val="28"/>
        </w:rPr>
      </w:pPr>
      <w:bookmarkStart w:id="13" w:name="_Toc233384168"/>
      <w:r w:rsidRPr="00746ACE">
        <w:rPr>
          <w:rFonts w:cs="Times New Roman"/>
          <w:szCs w:val="28"/>
        </w:rPr>
        <w:t>Competencia de la Corte Constitucional</w:t>
      </w:r>
      <w:bookmarkEnd w:id="13"/>
    </w:p>
    <w:p w14:paraId="60350CC2" w14:textId="77777777" w:rsidR="00FB1504" w:rsidRPr="00746ACE" w:rsidRDefault="00FB1504" w:rsidP="00FC0DFB">
      <w:pPr>
        <w:widowControl w:val="0"/>
      </w:pPr>
    </w:p>
    <w:p w14:paraId="6E3769BB" w14:textId="318C3F8C" w:rsidR="00FB1504" w:rsidRPr="00746ACE" w:rsidRDefault="00FB1504" w:rsidP="00FC0DFB">
      <w:pPr>
        <w:pStyle w:val="p1"/>
        <w:widowControl w:val="0"/>
        <w:numPr>
          <w:ilvl w:val="0"/>
          <w:numId w:val="7"/>
        </w:numPr>
        <w:jc w:val="both"/>
        <w:rPr>
          <w:color w:val="auto"/>
          <w:sz w:val="28"/>
          <w:szCs w:val="28"/>
          <w:lang w:val="es-ES"/>
        </w:rPr>
      </w:pPr>
      <w:r w:rsidRPr="00746ACE">
        <w:rPr>
          <w:color w:val="auto"/>
          <w:sz w:val="28"/>
          <w:szCs w:val="28"/>
          <w:lang w:val="es-ES"/>
        </w:rPr>
        <w:t xml:space="preserve">Las funciones generales de la Corte Constitucional en </w:t>
      </w:r>
      <w:r w:rsidR="005B4E7C" w:rsidRPr="00746ACE">
        <w:rPr>
          <w:color w:val="auto"/>
          <w:sz w:val="28"/>
          <w:szCs w:val="28"/>
          <w:lang w:val="es-ES"/>
        </w:rPr>
        <w:t xml:space="preserve">materia de control abstracto </w:t>
      </w:r>
      <w:r w:rsidRPr="00746ACE">
        <w:rPr>
          <w:color w:val="auto"/>
          <w:sz w:val="28"/>
          <w:szCs w:val="28"/>
          <w:lang w:val="es-ES"/>
        </w:rPr>
        <w:t xml:space="preserve">de constitucionalidad se encuentran en el artículo 241 de la Carta Política. Además, existen algunas competencias adicionales derivadas de la interpretación sistemática de diversos mandatos de la Carta Política. Esta últimas son conocidas como </w:t>
      </w:r>
      <w:r w:rsidRPr="00746ACE">
        <w:rPr>
          <w:i/>
          <w:color w:val="auto"/>
          <w:sz w:val="28"/>
          <w:szCs w:val="28"/>
          <w:lang w:val="es-ES"/>
        </w:rPr>
        <w:t xml:space="preserve">competencias atípicas, </w:t>
      </w:r>
      <w:r w:rsidRPr="00746ACE">
        <w:rPr>
          <w:color w:val="auto"/>
          <w:sz w:val="28"/>
          <w:szCs w:val="28"/>
          <w:lang w:val="es-ES"/>
        </w:rPr>
        <w:t xml:space="preserve">desde la Sentencia C-049 de 2012. </w:t>
      </w:r>
    </w:p>
    <w:p w14:paraId="5EE0236B" w14:textId="77777777" w:rsidR="00FB1504" w:rsidRPr="00746ACE" w:rsidRDefault="00FB1504" w:rsidP="00FC0DFB">
      <w:pPr>
        <w:pStyle w:val="p1"/>
        <w:widowControl w:val="0"/>
        <w:jc w:val="both"/>
        <w:rPr>
          <w:color w:val="auto"/>
          <w:sz w:val="28"/>
          <w:szCs w:val="28"/>
          <w:lang w:val="es-ES"/>
        </w:rPr>
      </w:pPr>
    </w:p>
    <w:p w14:paraId="57BB9CB5" w14:textId="6F2E3575" w:rsidR="00FB1504" w:rsidRPr="00746ACE" w:rsidRDefault="00FB1504" w:rsidP="00FC0DFB">
      <w:pPr>
        <w:pStyle w:val="p1"/>
        <w:widowControl w:val="0"/>
        <w:numPr>
          <w:ilvl w:val="0"/>
          <w:numId w:val="7"/>
        </w:numPr>
        <w:jc w:val="both"/>
        <w:rPr>
          <w:color w:val="auto"/>
          <w:sz w:val="28"/>
          <w:szCs w:val="28"/>
          <w:lang w:val="es-ES"/>
        </w:rPr>
      </w:pPr>
      <w:r w:rsidRPr="00746ACE">
        <w:rPr>
          <w:color w:val="auto"/>
          <w:sz w:val="28"/>
          <w:szCs w:val="28"/>
          <w:lang w:val="es-ES"/>
        </w:rPr>
        <w:t>En lo relevante para el caso objeto de estudio, la Corte Constitucional tiene competencia para analizar la constitucionalidad de las leyes ordinarias, a partir de una demanda ciudadana; y de las leyes estatutarias, de manera oficiosa, previa, integral y definitiva. Los atributos del control de constitucionalidad de las leyes estatutarias implican, entre otras cosas, que la decisión de la Corte hace tránsito a cosa juzgada absoluta</w:t>
      </w:r>
      <w:r w:rsidR="00733579" w:rsidRPr="00746ACE">
        <w:rPr>
          <w:color w:val="auto"/>
          <w:sz w:val="28"/>
          <w:szCs w:val="28"/>
          <w:lang w:val="es-ES"/>
        </w:rPr>
        <w:t>. C</w:t>
      </w:r>
      <w:r w:rsidRPr="00746ACE">
        <w:rPr>
          <w:color w:val="auto"/>
          <w:sz w:val="28"/>
          <w:szCs w:val="28"/>
          <w:lang w:val="es-ES"/>
        </w:rPr>
        <w:t xml:space="preserve">omo se verá, este punto es importante para el caso objeto de estudio, pues existe un pronunciamiento de la Corte Constitucional sobre la facultad de </w:t>
      </w:r>
      <w:r w:rsidRPr="00746ACE">
        <w:rPr>
          <w:i/>
          <w:color w:val="auto"/>
          <w:sz w:val="28"/>
          <w:szCs w:val="28"/>
          <w:lang w:val="es-ES"/>
        </w:rPr>
        <w:t xml:space="preserve">selección, </w:t>
      </w:r>
      <w:r w:rsidRPr="00746ACE">
        <w:rPr>
          <w:color w:val="auto"/>
          <w:sz w:val="28"/>
          <w:szCs w:val="28"/>
          <w:lang w:val="es-ES"/>
        </w:rPr>
        <w:t xml:space="preserve">tal y como fue definida en la Ley 1957 de 2018, estatutaria de administración de justicia en la JEP. </w:t>
      </w:r>
    </w:p>
    <w:p w14:paraId="5377A79D" w14:textId="77777777" w:rsidR="00FB1504" w:rsidRPr="00746ACE" w:rsidRDefault="00FB1504" w:rsidP="00FC0DFB">
      <w:pPr>
        <w:widowControl w:val="0"/>
      </w:pPr>
    </w:p>
    <w:p w14:paraId="299FAF61" w14:textId="1E36697E" w:rsidR="0009310C" w:rsidRPr="00746ACE" w:rsidRDefault="00FB1504" w:rsidP="006A2C55">
      <w:pPr>
        <w:pStyle w:val="p1"/>
        <w:widowControl w:val="0"/>
        <w:numPr>
          <w:ilvl w:val="0"/>
          <w:numId w:val="7"/>
        </w:numPr>
        <w:jc w:val="both"/>
        <w:rPr>
          <w:color w:val="auto"/>
          <w:sz w:val="28"/>
          <w:szCs w:val="28"/>
          <w:lang w:val="es-ES"/>
        </w:rPr>
      </w:pPr>
      <w:r w:rsidRPr="00746ACE">
        <w:rPr>
          <w:color w:val="auto"/>
          <w:sz w:val="28"/>
          <w:szCs w:val="28"/>
          <w:lang w:val="es-ES"/>
        </w:rPr>
        <w:t>Además, la Corte Constitucional tiene competencia excepcional para estudiar, por la vía del control abstracto, la validez de una interpretación judicial. A partir de la Sentencia C-557 de 2001, esta competencia se explica a partir de la expresión “derecho viviente</w:t>
      </w:r>
      <w:r w:rsidRPr="00746ACE">
        <w:rPr>
          <w:i/>
          <w:color w:val="auto"/>
          <w:sz w:val="28"/>
          <w:szCs w:val="28"/>
          <w:lang w:val="es-ES"/>
        </w:rPr>
        <w:t>”</w:t>
      </w:r>
      <w:r w:rsidRPr="00746ACE">
        <w:rPr>
          <w:color w:val="auto"/>
          <w:sz w:val="28"/>
          <w:szCs w:val="28"/>
          <w:lang w:val="es-ES"/>
        </w:rPr>
        <w:t>. De acuerdo con este concepto</w:t>
      </w:r>
      <w:r w:rsidR="0009310C" w:rsidRPr="00746ACE">
        <w:rPr>
          <w:color w:val="auto"/>
          <w:sz w:val="28"/>
          <w:szCs w:val="28"/>
          <w:lang w:val="es-ES"/>
        </w:rPr>
        <w:t xml:space="preserve">, </w:t>
      </w:r>
      <w:r w:rsidRPr="00746ACE">
        <w:rPr>
          <w:color w:val="auto"/>
          <w:sz w:val="28"/>
          <w:szCs w:val="28"/>
          <w:lang w:val="es-ES"/>
        </w:rPr>
        <w:t xml:space="preserve">las reglas contenidas en </w:t>
      </w:r>
      <w:r w:rsidR="0009310C" w:rsidRPr="00746ACE">
        <w:rPr>
          <w:color w:val="auto"/>
          <w:sz w:val="28"/>
          <w:szCs w:val="28"/>
          <w:lang w:val="es-ES"/>
        </w:rPr>
        <w:t xml:space="preserve">las </w:t>
      </w:r>
      <w:r w:rsidRPr="00746ACE">
        <w:rPr>
          <w:color w:val="auto"/>
          <w:sz w:val="28"/>
          <w:szCs w:val="28"/>
          <w:lang w:val="es-ES"/>
        </w:rPr>
        <w:t xml:space="preserve">leyes y </w:t>
      </w:r>
      <w:r w:rsidR="0009310C" w:rsidRPr="00746ACE">
        <w:rPr>
          <w:color w:val="auto"/>
          <w:sz w:val="28"/>
          <w:szCs w:val="28"/>
          <w:lang w:val="es-ES"/>
        </w:rPr>
        <w:t xml:space="preserve">los </w:t>
      </w:r>
      <w:r w:rsidRPr="00746ACE">
        <w:rPr>
          <w:color w:val="auto"/>
          <w:sz w:val="28"/>
          <w:szCs w:val="28"/>
          <w:lang w:val="es-ES"/>
        </w:rPr>
        <w:t xml:space="preserve">códigos </w:t>
      </w:r>
      <w:r w:rsidR="0009310C" w:rsidRPr="00746ACE">
        <w:rPr>
          <w:color w:val="auto"/>
          <w:sz w:val="28"/>
          <w:szCs w:val="28"/>
          <w:lang w:val="es-ES"/>
        </w:rPr>
        <w:t xml:space="preserve">adquieren su alcance concreto </w:t>
      </w:r>
      <w:r w:rsidRPr="00746ACE">
        <w:rPr>
          <w:color w:val="auto"/>
          <w:sz w:val="28"/>
          <w:szCs w:val="28"/>
          <w:lang w:val="es-ES"/>
        </w:rPr>
        <w:t xml:space="preserve">a través de la interpretación </w:t>
      </w:r>
      <w:r w:rsidR="0009310C" w:rsidRPr="00746ACE">
        <w:rPr>
          <w:color w:val="auto"/>
          <w:sz w:val="28"/>
          <w:szCs w:val="28"/>
          <w:lang w:val="es-ES"/>
        </w:rPr>
        <w:t>que realizan</w:t>
      </w:r>
      <w:r w:rsidRPr="00746ACE">
        <w:rPr>
          <w:color w:val="auto"/>
          <w:sz w:val="28"/>
          <w:szCs w:val="28"/>
          <w:lang w:val="es-ES"/>
        </w:rPr>
        <w:t xml:space="preserve"> los jueces </w:t>
      </w:r>
      <w:r w:rsidR="0009310C" w:rsidRPr="00746ACE">
        <w:rPr>
          <w:color w:val="auto"/>
          <w:sz w:val="28"/>
          <w:szCs w:val="28"/>
          <w:lang w:val="es-ES"/>
        </w:rPr>
        <w:t>al resolver los conflictos que</w:t>
      </w:r>
      <w:r w:rsidRPr="00746ACE">
        <w:rPr>
          <w:color w:val="auto"/>
          <w:sz w:val="28"/>
          <w:szCs w:val="28"/>
          <w:lang w:val="es-ES"/>
        </w:rPr>
        <w:t xml:space="preserve"> las personas llevan </w:t>
      </w:r>
      <w:r w:rsidR="00914812" w:rsidRPr="00746ACE">
        <w:rPr>
          <w:color w:val="auto"/>
          <w:sz w:val="28"/>
          <w:szCs w:val="28"/>
          <w:lang w:val="es-ES"/>
        </w:rPr>
        <w:t>ante la jurisdicción.</w:t>
      </w:r>
    </w:p>
    <w:p w14:paraId="23A5045A" w14:textId="77777777" w:rsidR="0009310C" w:rsidRPr="00746ACE" w:rsidRDefault="0009310C" w:rsidP="00FC0DFB">
      <w:pPr>
        <w:widowControl w:val="0"/>
      </w:pPr>
    </w:p>
    <w:p w14:paraId="76715C41" w14:textId="77777777" w:rsidR="00C91A30" w:rsidRPr="00746ACE" w:rsidRDefault="00FB1504" w:rsidP="00DA4B48">
      <w:pPr>
        <w:pStyle w:val="p1"/>
        <w:widowControl w:val="0"/>
        <w:numPr>
          <w:ilvl w:val="0"/>
          <w:numId w:val="7"/>
        </w:numPr>
        <w:jc w:val="both"/>
        <w:rPr>
          <w:color w:val="auto"/>
          <w:sz w:val="28"/>
          <w:szCs w:val="28"/>
          <w:lang w:val="es-ES"/>
        </w:rPr>
      </w:pPr>
      <w:r w:rsidRPr="00746ACE">
        <w:rPr>
          <w:color w:val="auto"/>
          <w:sz w:val="28"/>
          <w:szCs w:val="28"/>
          <w:lang w:val="es-ES"/>
        </w:rPr>
        <w:t xml:space="preserve">El control de constitucionalidad al derecho viviente es excepcional porque la interpretación judicial muchas veces se vierte solo en un caso concreto y no se convierte en general y abstracta, lo que impide ejercer sobre ella un control similar al que se realiza sobre la ley. En muchos casos, el control se realiza mediante </w:t>
      </w:r>
      <w:r w:rsidR="00D620EE" w:rsidRPr="00746ACE">
        <w:rPr>
          <w:color w:val="auto"/>
          <w:sz w:val="28"/>
          <w:szCs w:val="28"/>
          <w:lang w:val="es-ES"/>
        </w:rPr>
        <w:t xml:space="preserve">los </w:t>
      </w:r>
      <w:r w:rsidRPr="00746ACE">
        <w:rPr>
          <w:color w:val="auto"/>
          <w:sz w:val="28"/>
          <w:szCs w:val="28"/>
          <w:lang w:val="es-ES"/>
        </w:rPr>
        <w:t xml:space="preserve">recursos judiciales de cada proceso, o </w:t>
      </w:r>
      <w:r w:rsidR="0097342F" w:rsidRPr="00746ACE">
        <w:rPr>
          <w:color w:val="auto"/>
          <w:sz w:val="28"/>
          <w:szCs w:val="28"/>
          <w:lang w:val="es-ES"/>
        </w:rPr>
        <w:t xml:space="preserve">a través </w:t>
      </w:r>
      <w:r w:rsidRPr="00746ACE">
        <w:rPr>
          <w:color w:val="auto"/>
          <w:sz w:val="28"/>
          <w:szCs w:val="28"/>
          <w:lang w:val="es-ES"/>
        </w:rPr>
        <w:t>de la tutela contra providencia judicial, donde las circunstancias del caso concreto son esenciales para la comprensión de la decisión.</w:t>
      </w:r>
    </w:p>
    <w:p w14:paraId="797753D5" w14:textId="77777777" w:rsidR="00900221" w:rsidRPr="00746ACE" w:rsidRDefault="00900221" w:rsidP="00900221">
      <w:pPr>
        <w:pStyle w:val="Prrafodelista"/>
      </w:pPr>
    </w:p>
    <w:p w14:paraId="69D05C71" w14:textId="111DA7B3" w:rsidR="00900221" w:rsidRPr="00746ACE" w:rsidRDefault="00900221" w:rsidP="00DA4B48">
      <w:pPr>
        <w:pStyle w:val="p1"/>
        <w:widowControl w:val="0"/>
        <w:numPr>
          <w:ilvl w:val="0"/>
          <w:numId w:val="7"/>
        </w:numPr>
        <w:jc w:val="both"/>
        <w:rPr>
          <w:color w:val="auto"/>
          <w:sz w:val="28"/>
          <w:szCs w:val="28"/>
          <w:lang w:val="es-ES"/>
        </w:rPr>
      </w:pPr>
      <w:r w:rsidRPr="00746ACE">
        <w:rPr>
          <w:color w:val="auto"/>
          <w:sz w:val="28"/>
          <w:szCs w:val="28"/>
          <w:lang w:val="es-ES"/>
        </w:rPr>
        <w:t xml:space="preserve">La demanda objeto de estudio se dirige contra una interpretación judicial contenida en una sentencia interpretativa de la JEP. Se enmarca, </w:t>
      </w:r>
      <w:r w:rsidR="00217212" w:rsidRPr="00746ACE">
        <w:rPr>
          <w:color w:val="auto"/>
          <w:sz w:val="28"/>
          <w:szCs w:val="28"/>
          <w:lang w:val="es-ES"/>
        </w:rPr>
        <w:t>entonces</w:t>
      </w:r>
      <w:r w:rsidRPr="00746ACE">
        <w:rPr>
          <w:color w:val="auto"/>
          <w:sz w:val="28"/>
          <w:szCs w:val="28"/>
          <w:lang w:val="es-ES"/>
        </w:rPr>
        <w:t>, en el concepto de derecho viviente</w:t>
      </w:r>
      <w:r w:rsidR="00217212" w:rsidRPr="00746ACE">
        <w:rPr>
          <w:color w:val="auto"/>
          <w:sz w:val="28"/>
          <w:szCs w:val="28"/>
          <w:lang w:val="es-ES"/>
        </w:rPr>
        <w:t>. De acuerdo con lo expuesto, la Corte tiene, en principio competencia para pronunciarse, aunque más adelante explicará el alcance de la acción pública de inconstitucionalidad contra este tipo de pronunciamientos.</w:t>
      </w:r>
    </w:p>
    <w:p w14:paraId="6577F662" w14:textId="77777777" w:rsidR="00E20BA5" w:rsidRPr="00746ACE" w:rsidRDefault="00E20BA5" w:rsidP="00E20BA5">
      <w:pPr>
        <w:pStyle w:val="Prrafodelista"/>
      </w:pPr>
    </w:p>
    <w:p w14:paraId="4633E93D" w14:textId="77777777" w:rsidR="00E20BA5" w:rsidRPr="00746ACE" w:rsidRDefault="00E20BA5" w:rsidP="00E20BA5">
      <w:pPr>
        <w:pStyle w:val="Ttulo2"/>
        <w:keepNext w:val="0"/>
        <w:keepLines w:val="0"/>
        <w:widowControl w:val="0"/>
        <w:rPr>
          <w:rFonts w:cs="Times New Roman"/>
          <w:szCs w:val="28"/>
        </w:rPr>
      </w:pPr>
      <w:bookmarkStart w:id="14" w:name="_Toc233384169"/>
      <w:r w:rsidRPr="00746ACE">
        <w:rPr>
          <w:rFonts w:cs="Times New Roman"/>
          <w:szCs w:val="28"/>
        </w:rPr>
        <w:t>Las sentencias interpretativas en el orden constitucional y transicional</w:t>
      </w:r>
      <w:bookmarkEnd w:id="14"/>
    </w:p>
    <w:p w14:paraId="5087A89E" w14:textId="77777777" w:rsidR="00E20BA5" w:rsidRPr="00746ACE" w:rsidRDefault="00E20BA5" w:rsidP="00E20BA5">
      <w:pPr>
        <w:pStyle w:val="p1"/>
        <w:widowControl w:val="0"/>
        <w:jc w:val="both"/>
        <w:rPr>
          <w:color w:val="auto"/>
          <w:sz w:val="28"/>
          <w:szCs w:val="28"/>
          <w:lang w:val="es-ES"/>
        </w:rPr>
      </w:pPr>
    </w:p>
    <w:p w14:paraId="7F5C9EF8" w14:textId="755EDC37" w:rsidR="00E20BA5" w:rsidRPr="00746ACE" w:rsidRDefault="00E20BA5" w:rsidP="00E20BA5">
      <w:pPr>
        <w:pStyle w:val="p1"/>
        <w:widowControl w:val="0"/>
        <w:numPr>
          <w:ilvl w:val="0"/>
          <w:numId w:val="7"/>
        </w:numPr>
        <w:jc w:val="both"/>
        <w:rPr>
          <w:color w:val="auto"/>
          <w:sz w:val="28"/>
          <w:szCs w:val="28"/>
          <w:lang w:val="es-ES"/>
        </w:rPr>
      </w:pPr>
      <w:r w:rsidRPr="00746ACE">
        <w:rPr>
          <w:color w:val="auto"/>
          <w:sz w:val="28"/>
          <w:szCs w:val="28"/>
          <w:lang w:val="es-ES"/>
        </w:rPr>
        <w:t xml:space="preserve">La Sección de Apelación del Tribunal de Paz de la JEP tiene competencia para dictar </w:t>
      </w:r>
      <w:r w:rsidRPr="00746ACE">
        <w:rPr>
          <w:i/>
          <w:iCs/>
          <w:color w:val="auto"/>
          <w:sz w:val="28"/>
          <w:szCs w:val="28"/>
          <w:lang w:val="es-ES"/>
        </w:rPr>
        <w:t>sentencias interpre</w:t>
      </w:r>
      <w:r w:rsidR="00597C39" w:rsidRPr="00746ACE">
        <w:rPr>
          <w:i/>
          <w:iCs/>
          <w:color w:val="auto"/>
          <w:sz w:val="28"/>
          <w:szCs w:val="28"/>
          <w:lang w:val="es-ES"/>
        </w:rPr>
        <w:t>ta</w:t>
      </w:r>
      <w:r w:rsidRPr="00746ACE">
        <w:rPr>
          <w:i/>
          <w:iCs/>
          <w:color w:val="auto"/>
          <w:sz w:val="28"/>
          <w:szCs w:val="28"/>
          <w:lang w:val="es-ES"/>
        </w:rPr>
        <w:t xml:space="preserve">tivas </w:t>
      </w:r>
      <w:r w:rsidRPr="00746ACE">
        <w:rPr>
          <w:color w:val="auto"/>
          <w:sz w:val="28"/>
          <w:szCs w:val="28"/>
          <w:lang w:val="es-ES"/>
        </w:rPr>
        <w:t>–Senit–, como órgano de cierre hermenéutico de la JEP y de acuerdo con lo establecido en el artículo 56 de la Ley 1922 de 2018</w:t>
      </w:r>
      <w:r w:rsidRPr="00746ACE">
        <w:rPr>
          <w:color w:val="auto"/>
          <w:sz w:val="28"/>
          <w:szCs w:val="28"/>
          <w:vertAlign w:val="superscript"/>
          <w:lang w:val="es-ES"/>
        </w:rPr>
        <w:footnoteReference w:id="12"/>
      </w:r>
      <w:r w:rsidRPr="00746ACE">
        <w:rPr>
          <w:color w:val="auto"/>
          <w:sz w:val="28"/>
          <w:szCs w:val="28"/>
          <w:lang w:val="es-ES"/>
        </w:rPr>
        <w:t>. Estas providencias tienen la finalidad de unificar el alcance de las normas que regulan la Jurisdicción Especial para la Paz, aclarar vacíos normativos, o definir los criterios de integración normativa</w:t>
      </w:r>
      <w:r w:rsidRPr="00746ACE">
        <w:rPr>
          <w:color w:val="auto"/>
          <w:sz w:val="28"/>
          <w:szCs w:val="28"/>
          <w:vertAlign w:val="superscript"/>
          <w:lang w:val="es-ES"/>
        </w:rPr>
        <w:footnoteReference w:id="13"/>
      </w:r>
      <w:r w:rsidRPr="00746ACE">
        <w:rPr>
          <w:color w:val="auto"/>
          <w:sz w:val="28"/>
          <w:szCs w:val="28"/>
          <w:lang w:val="es-ES"/>
        </w:rPr>
        <w:t xml:space="preserve">. </w:t>
      </w:r>
    </w:p>
    <w:p w14:paraId="1F4B8DAD" w14:textId="77777777" w:rsidR="00E20BA5" w:rsidRPr="00746ACE" w:rsidRDefault="00E20BA5" w:rsidP="00E20BA5">
      <w:pPr>
        <w:pStyle w:val="Prrafodelista"/>
        <w:widowControl w:val="0"/>
      </w:pPr>
    </w:p>
    <w:p w14:paraId="3086E9CF" w14:textId="77777777" w:rsidR="00E20BA5" w:rsidRPr="00746ACE" w:rsidRDefault="00E20BA5" w:rsidP="00E20BA5">
      <w:pPr>
        <w:pStyle w:val="p1"/>
        <w:widowControl w:val="0"/>
        <w:numPr>
          <w:ilvl w:val="0"/>
          <w:numId w:val="7"/>
        </w:numPr>
        <w:jc w:val="both"/>
        <w:rPr>
          <w:color w:val="auto"/>
          <w:sz w:val="28"/>
          <w:szCs w:val="28"/>
          <w:lang w:val="es-ES"/>
        </w:rPr>
      </w:pPr>
      <w:r w:rsidRPr="00746ACE">
        <w:rPr>
          <w:color w:val="auto"/>
          <w:sz w:val="28"/>
          <w:szCs w:val="28"/>
          <w:lang w:val="es-ES"/>
        </w:rPr>
        <w:t>En su primera Senit, la Sección de Apelación expresó que estas providencias responden a preocupaciones teóricas y jurídicas que surgen como consecuencia de la aplicación de las normas especiales de la JEP y pretenden satisfacer las exigencias de justicia material de las víctimas a través de la creación ágil de criterios hermenéuticos que contribuyan a superar los desafíos de la justicia transicional</w:t>
      </w:r>
      <w:r w:rsidRPr="00746ACE">
        <w:rPr>
          <w:color w:val="auto"/>
          <w:sz w:val="28"/>
          <w:szCs w:val="28"/>
          <w:vertAlign w:val="superscript"/>
          <w:lang w:val="es-ES"/>
        </w:rPr>
        <w:footnoteReference w:id="14"/>
      </w:r>
      <w:r w:rsidRPr="00746ACE">
        <w:rPr>
          <w:color w:val="auto"/>
          <w:sz w:val="28"/>
          <w:szCs w:val="28"/>
          <w:lang w:val="es-ES"/>
        </w:rPr>
        <w:t>.</w:t>
      </w:r>
    </w:p>
    <w:p w14:paraId="42C47A5F" w14:textId="77777777" w:rsidR="00E20BA5" w:rsidRPr="00746ACE" w:rsidRDefault="00E20BA5" w:rsidP="00E20BA5">
      <w:pPr>
        <w:pStyle w:val="p1"/>
        <w:widowControl w:val="0"/>
        <w:jc w:val="both"/>
        <w:rPr>
          <w:color w:val="auto"/>
          <w:sz w:val="28"/>
          <w:szCs w:val="28"/>
          <w:lang w:val="es-ES"/>
        </w:rPr>
      </w:pPr>
    </w:p>
    <w:p w14:paraId="069775FE" w14:textId="77777777" w:rsidR="00E20BA5" w:rsidRPr="00746ACE" w:rsidRDefault="00E20BA5" w:rsidP="00E20BA5">
      <w:pPr>
        <w:pStyle w:val="p1"/>
        <w:widowControl w:val="0"/>
        <w:numPr>
          <w:ilvl w:val="0"/>
          <w:numId w:val="7"/>
        </w:numPr>
        <w:jc w:val="both"/>
        <w:rPr>
          <w:color w:val="auto"/>
          <w:sz w:val="28"/>
          <w:szCs w:val="28"/>
          <w:lang w:val="es-ES"/>
        </w:rPr>
      </w:pPr>
      <w:r w:rsidRPr="00746ACE">
        <w:rPr>
          <w:color w:val="auto"/>
          <w:sz w:val="28"/>
          <w:szCs w:val="28"/>
          <w:lang w:val="es-ES"/>
        </w:rPr>
        <w:t>De acuerdo con la Sección de Apelación, ello obedece a que el ejercicio de las funciones del Tribunal para la Paz está orientado a garantizar los derechos a la seguridad jurídica y a la igualdad en la aplicación de la ley,</w:t>
      </w:r>
      <w:r w:rsidRPr="00746ACE">
        <w:rPr>
          <w:color w:val="auto"/>
          <w:sz w:val="28"/>
          <w:szCs w:val="28"/>
          <w:vertAlign w:val="superscript"/>
          <w:lang w:val="es-ES"/>
        </w:rPr>
        <w:footnoteReference w:id="15"/>
      </w:r>
      <w:r w:rsidRPr="00746ACE">
        <w:rPr>
          <w:color w:val="auto"/>
          <w:sz w:val="28"/>
          <w:szCs w:val="28"/>
          <w:lang w:val="es-ES"/>
        </w:rPr>
        <w:t xml:space="preserve"> de manera que asegurar la interpretación adecuada y uniforme del derecho transicional dentro del límite de tiempo establecido es una meta ineludible.</w:t>
      </w:r>
    </w:p>
    <w:p w14:paraId="7B963ED4" w14:textId="77777777" w:rsidR="00E20BA5" w:rsidRPr="00746ACE" w:rsidRDefault="00E20BA5" w:rsidP="00E20BA5">
      <w:pPr>
        <w:pStyle w:val="p1"/>
        <w:widowControl w:val="0"/>
        <w:jc w:val="both"/>
        <w:rPr>
          <w:color w:val="auto"/>
          <w:sz w:val="28"/>
          <w:szCs w:val="28"/>
          <w:lang w:val="es-ES"/>
        </w:rPr>
      </w:pPr>
    </w:p>
    <w:p w14:paraId="4DF535A3" w14:textId="77777777" w:rsidR="00E20BA5" w:rsidRPr="00746ACE" w:rsidRDefault="00E20BA5" w:rsidP="00E20BA5">
      <w:pPr>
        <w:pStyle w:val="p1"/>
        <w:widowControl w:val="0"/>
        <w:numPr>
          <w:ilvl w:val="0"/>
          <w:numId w:val="7"/>
        </w:numPr>
        <w:jc w:val="both"/>
        <w:rPr>
          <w:color w:val="auto"/>
          <w:sz w:val="28"/>
          <w:szCs w:val="28"/>
          <w:lang w:val="es-ES"/>
        </w:rPr>
      </w:pPr>
      <w:r w:rsidRPr="00746ACE">
        <w:rPr>
          <w:color w:val="auto"/>
          <w:sz w:val="28"/>
          <w:szCs w:val="28"/>
          <w:lang w:val="es-ES"/>
        </w:rPr>
        <w:t xml:space="preserve">La Sección de Apelación ha explicado también que las </w:t>
      </w:r>
      <w:r w:rsidRPr="00746ACE">
        <w:rPr>
          <w:i/>
          <w:iCs/>
          <w:color w:val="auto"/>
          <w:sz w:val="28"/>
          <w:szCs w:val="28"/>
          <w:lang w:val="es-ES"/>
        </w:rPr>
        <w:t xml:space="preserve">senit </w:t>
      </w:r>
      <w:r w:rsidRPr="00746ACE">
        <w:rPr>
          <w:color w:val="auto"/>
          <w:sz w:val="28"/>
          <w:szCs w:val="28"/>
          <w:lang w:val="es-ES"/>
        </w:rPr>
        <w:t>“operan dentro de un nivel de mayor abstracción”</w:t>
      </w:r>
      <w:r w:rsidRPr="00746ACE">
        <w:rPr>
          <w:color w:val="auto"/>
          <w:sz w:val="28"/>
          <w:szCs w:val="28"/>
          <w:vertAlign w:val="superscript"/>
          <w:lang w:val="es-ES"/>
        </w:rPr>
        <w:footnoteReference w:id="16"/>
      </w:r>
      <w:r w:rsidRPr="00746ACE">
        <w:rPr>
          <w:color w:val="auto"/>
          <w:sz w:val="28"/>
          <w:szCs w:val="28"/>
          <w:lang w:val="es-ES"/>
        </w:rPr>
        <w:t xml:space="preserve"> que otras providencias, pues no se limitan a resolver casos específicos, sino que sirven también para definir esquemas y orientaciones hermenéuticas indispensables para unificar y avanzar una jurisprudencia transicional</w:t>
      </w:r>
      <w:r w:rsidRPr="00746ACE">
        <w:rPr>
          <w:color w:val="auto"/>
          <w:sz w:val="28"/>
          <w:szCs w:val="28"/>
          <w:vertAlign w:val="superscript"/>
          <w:lang w:val="es-ES"/>
        </w:rPr>
        <w:footnoteReference w:id="17"/>
      </w:r>
      <w:r w:rsidRPr="00746ACE">
        <w:rPr>
          <w:color w:val="auto"/>
          <w:sz w:val="28"/>
          <w:szCs w:val="28"/>
          <w:lang w:val="es-ES"/>
        </w:rPr>
        <w:t xml:space="preserve">. </w:t>
      </w:r>
    </w:p>
    <w:p w14:paraId="53179A56" w14:textId="77777777" w:rsidR="00E20BA5" w:rsidRPr="00746ACE" w:rsidRDefault="00E20BA5" w:rsidP="00E20BA5">
      <w:pPr>
        <w:pStyle w:val="Prrafodelista"/>
        <w:widowControl w:val="0"/>
      </w:pPr>
    </w:p>
    <w:p w14:paraId="4B88B334" w14:textId="48F1A67E" w:rsidR="00E20BA5" w:rsidRPr="00746ACE" w:rsidRDefault="00E20BA5" w:rsidP="00E20BA5">
      <w:pPr>
        <w:pStyle w:val="p1"/>
        <w:widowControl w:val="0"/>
        <w:numPr>
          <w:ilvl w:val="0"/>
          <w:numId w:val="7"/>
        </w:numPr>
        <w:jc w:val="both"/>
        <w:rPr>
          <w:color w:val="auto"/>
          <w:sz w:val="28"/>
        </w:rPr>
      </w:pPr>
      <w:r w:rsidRPr="00746ACE">
        <w:rPr>
          <w:color w:val="auto"/>
          <w:sz w:val="28"/>
          <w:szCs w:val="28"/>
          <w:lang w:val="es-ES"/>
        </w:rPr>
        <w:t xml:space="preserve">Las </w:t>
      </w:r>
      <w:r w:rsidRPr="00746ACE">
        <w:rPr>
          <w:i/>
          <w:iCs/>
          <w:color w:val="auto"/>
          <w:sz w:val="28"/>
          <w:szCs w:val="28"/>
          <w:lang w:val="es-ES"/>
        </w:rPr>
        <w:t xml:space="preserve">senit </w:t>
      </w:r>
      <w:r w:rsidRPr="00746ACE">
        <w:rPr>
          <w:color w:val="auto"/>
          <w:sz w:val="28"/>
          <w:szCs w:val="28"/>
          <w:lang w:val="es-ES"/>
        </w:rPr>
        <w:t>pueden originarse en una solicitud de las distintas salas y secciones de la JEP, interesadas en que se precise o resuelva una duda hermenéutica; o, de manera oficiosa, cuando la Sección de Apelación estima pertinente hacerlo al decidir un recurso de apelación, con el fin de unificar la jurisprudencia transicional o solucionar problemas interpretativos de la jurisdicción</w:t>
      </w:r>
      <w:r w:rsidRPr="00746ACE">
        <w:rPr>
          <w:color w:val="auto"/>
          <w:sz w:val="28"/>
          <w:szCs w:val="28"/>
          <w:vertAlign w:val="superscript"/>
          <w:lang w:val="es-ES"/>
        </w:rPr>
        <w:footnoteReference w:id="18"/>
      </w:r>
      <w:r w:rsidRPr="00746ACE">
        <w:rPr>
          <w:color w:val="auto"/>
          <w:sz w:val="28"/>
          <w:szCs w:val="28"/>
          <w:lang w:val="es-ES"/>
        </w:rPr>
        <w:t>. En estos casos, la Senit tiene un carácter híbrido pues al tiempo que resuelve un asunto de carácter general e impersonal de la JEP, soluciona un caso concreto</w:t>
      </w:r>
      <w:r w:rsidRPr="00746ACE">
        <w:rPr>
          <w:color w:val="auto"/>
          <w:sz w:val="28"/>
          <w:szCs w:val="28"/>
          <w:vertAlign w:val="superscript"/>
          <w:lang w:val="es-ES"/>
        </w:rPr>
        <w:footnoteReference w:id="19"/>
      </w:r>
      <w:r w:rsidRPr="00746ACE">
        <w:rPr>
          <w:color w:val="auto"/>
          <w:sz w:val="28"/>
          <w:szCs w:val="28"/>
          <w:lang w:val="es-ES"/>
        </w:rPr>
        <w:t xml:space="preserve">. </w:t>
      </w:r>
    </w:p>
    <w:p w14:paraId="564FA330" w14:textId="77777777" w:rsidR="00E20BA5" w:rsidRPr="00746ACE" w:rsidRDefault="00E20BA5" w:rsidP="00E20BA5">
      <w:pPr>
        <w:widowControl w:val="0"/>
      </w:pPr>
    </w:p>
    <w:p w14:paraId="48344559" w14:textId="77777777" w:rsidR="00E20BA5" w:rsidRPr="00746ACE" w:rsidRDefault="00E20BA5" w:rsidP="00E20BA5">
      <w:pPr>
        <w:pStyle w:val="Prrafodelista"/>
        <w:widowControl w:val="0"/>
        <w:numPr>
          <w:ilvl w:val="0"/>
          <w:numId w:val="7"/>
        </w:numPr>
      </w:pPr>
      <w:r w:rsidRPr="00746ACE">
        <w:t>Según la Sección de Apelación, las características de estricta temporalidad, excepcionalidad y especialidad de la JEP justifican la existencia de las sentencias interpretativas porque este tipo de decisiones le permiten (i) cumplir su misión institucional en el plazo fijado; (ii) optimizar la articulación entre los diferentes órganos de la jurisdicción; y, finalmente, (iii) integrar las diferentes fuentes normativas con el fin de consolidar un sistema normativo que establezca las reglas apropiadas para cada caso</w:t>
      </w:r>
      <w:r w:rsidRPr="00746ACE">
        <w:rPr>
          <w:vertAlign w:val="superscript"/>
        </w:rPr>
        <w:footnoteReference w:id="20"/>
      </w:r>
      <w:r w:rsidRPr="00746ACE">
        <w:t>.</w:t>
      </w:r>
    </w:p>
    <w:p w14:paraId="18554A2A" w14:textId="77777777" w:rsidR="00E20BA5" w:rsidRPr="00746ACE" w:rsidRDefault="00E20BA5" w:rsidP="00E20BA5">
      <w:pPr>
        <w:pStyle w:val="Prrafodelista"/>
        <w:widowControl w:val="0"/>
        <w:ind w:left="0"/>
      </w:pPr>
    </w:p>
    <w:p w14:paraId="1B0AF724" w14:textId="77777777" w:rsidR="00E20BA5" w:rsidRPr="00746ACE" w:rsidRDefault="00E20BA5" w:rsidP="00E20BA5">
      <w:pPr>
        <w:pStyle w:val="Prrafodelista"/>
        <w:widowControl w:val="0"/>
        <w:numPr>
          <w:ilvl w:val="0"/>
          <w:numId w:val="7"/>
        </w:numPr>
      </w:pPr>
      <w:r w:rsidRPr="00746ACE">
        <w:t>Con independencia de la clasificación de las Senit entre aquellas que se dictan de oficio y las que surgen por solicitud de las salas y secciones de la JEP, estas decisiones establecen criterios hermenéuticos de obligatorio cumplimiento para toda la jurisdicción</w:t>
      </w:r>
      <w:r w:rsidRPr="00746ACE">
        <w:rPr>
          <w:vertAlign w:val="superscript"/>
        </w:rPr>
        <w:footnoteReference w:id="21"/>
      </w:r>
      <w:r w:rsidRPr="00746ACE">
        <w:t xml:space="preserve">. </w:t>
      </w:r>
    </w:p>
    <w:p w14:paraId="0EB7D74E" w14:textId="77777777" w:rsidR="00E20BA5" w:rsidRPr="00746ACE" w:rsidRDefault="00E20BA5" w:rsidP="00E20BA5"/>
    <w:p w14:paraId="3DCB79CB" w14:textId="083F5AEF" w:rsidR="00E20BA5" w:rsidRPr="00746ACE" w:rsidRDefault="00E20BA5" w:rsidP="00E20BA5">
      <w:pPr>
        <w:pStyle w:val="Prrafodelista"/>
        <w:widowControl w:val="0"/>
        <w:numPr>
          <w:ilvl w:val="0"/>
          <w:numId w:val="7"/>
        </w:numPr>
      </w:pPr>
      <w:r w:rsidRPr="00746ACE">
        <w:rPr>
          <w:b/>
          <w:i/>
        </w:rPr>
        <w:t>Conclusión 2.</w:t>
      </w:r>
      <w:r w:rsidRPr="00746ACE">
        <w:t xml:space="preserve"> Esta Corporación ha hecho énfasis en la pretensión de generalidad de las </w:t>
      </w:r>
      <w:r w:rsidR="00D03BA0" w:rsidRPr="00746ACE">
        <w:rPr>
          <w:i/>
          <w:iCs/>
        </w:rPr>
        <w:t xml:space="preserve">senit </w:t>
      </w:r>
      <w:r w:rsidRPr="00746ACE">
        <w:t xml:space="preserve">y el carácter vinculante de estas providencias. Las </w:t>
      </w:r>
      <w:r w:rsidR="00D03BA0" w:rsidRPr="00746ACE">
        <w:rPr>
          <w:i/>
          <w:iCs/>
        </w:rPr>
        <w:t xml:space="preserve">senit </w:t>
      </w:r>
      <w:r w:rsidRPr="00746ACE">
        <w:t xml:space="preserve">deben propiciar la unificación de jurisprudencia de manera ágil y resolver problemas de aplicación normativa en la justicia transicional, donde la complejidad de los conflictos conduce a que aparezcan problemas jurídicos novedosos, no previsibles de manera sencilla en el momento de configuración abstracta del Derecho. </w:t>
      </w:r>
    </w:p>
    <w:p w14:paraId="420C2BE6" w14:textId="77777777" w:rsidR="00E20BA5" w:rsidRPr="00746ACE" w:rsidRDefault="00E20BA5" w:rsidP="00E20BA5">
      <w:pPr>
        <w:widowControl w:val="0"/>
      </w:pPr>
    </w:p>
    <w:p w14:paraId="67FCF783" w14:textId="77777777" w:rsidR="00E20BA5" w:rsidRPr="00746ACE" w:rsidRDefault="00E20BA5" w:rsidP="00E20BA5">
      <w:pPr>
        <w:pStyle w:val="Ttulo2"/>
        <w:keepNext w:val="0"/>
        <w:keepLines w:val="0"/>
        <w:widowControl w:val="0"/>
        <w:rPr>
          <w:rFonts w:cs="Times New Roman"/>
          <w:szCs w:val="28"/>
        </w:rPr>
      </w:pPr>
      <w:bookmarkStart w:id="15" w:name="_Toc233384170"/>
      <w:r w:rsidRPr="00746ACE">
        <w:rPr>
          <w:rFonts w:cs="Times New Roman"/>
          <w:szCs w:val="28"/>
        </w:rPr>
        <w:t>La acción pública de inconstitucionalidad como mecanismo de control de sentencias interpretativas de la JEP</w:t>
      </w:r>
      <w:bookmarkEnd w:id="15"/>
    </w:p>
    <w:p w14:paraId="6EB03813" w14:textId="77777777" w:rsidR="00E20BA5" w:rsidRPr="00746ACE" w:rsidRDefault="00E20BA5" w:rsidP="00E20BA5">
      <w:pPr>
        <w:pStyle w:val="Prrafodelista"/>
        <w:widowControl w:val="0"/>
      </w:pPr>
    </w:p>
    <w:p w14:paraId="796428C9" w14:textId="77777777" w:rsidR="00E20BA5" w:rsidRPr="00746ACE" w:rsidRDefault="00E20BA5" w:rsidP="00E20BA5">
      <w:pPr>
        <w:pStyle w:val="Prrafodelista"/>
        <w:widowControl w:val="0"/>
        <w:numPr>
          <w:ilvl w:val="0"/>
          <w:numId w:val="7"/>
        </w:numPr>
      </w:pPr>
      <w:r w:rsidRPr="00746ACE">
        <w:t>La Corte Constitucional estableció desde las sentencias C-111 de 2023</w:t>
      </w:r>
      <w:r w:rsidRPr="00746ACE">
        <w:rPr>
          <w:rStyle w:val="Refdenotaalpie"/>
        </w:rPr>
        <w:footnoteReference w:id="22"/>
      </w:r>
      <w:r w:rsidRPr="00746ACE">
        <w:t xml:space="preserve"> y SU-388 de 2023</w:t>
      </w:r>
      <w:r w:rsidRPr="00746ACE">
        <w:rPr>
          <w:rStyle w:val="Refdenotaalpie"/>
        </w:rPr>
        <w:footnoteReference w:id="23"/>
      </w:r>
      <w:r w:rsidRPr="00746ACE">
        <w:t xml:space="preserve"> que la acción pública de inconstitucionalidad podría ser un mecanismo de control de regularidad o conformidad entre las sentencias interpretativas y la Constitución Política. </w:t>
      </w:r>
    </w:p>
    <w:p w14:paraId="127D98D7" w14:textId="77777777" w:rsidR="00E20BA5" w:rsidRPr="00746ACE" w:rsidRDefault="00E20BA5" w:rsidP="00E20BA5">
      <w:pPr>
        <w:pStyle w:val="Prrafodelista"/>
      </w:pPr>
    </w:p>
    <w:p w14:paraId="775D2048" w14:textId="77777777" w:rsidR="00E20BA5" w:rsidRPr="00746ACE" w:rsidRDefault="00E20BA5" w:rsidP="00E20BA5">
      <w:pPr>
        <w:pStyle w:val="p1"/>
        <w:widowControl w:val="0"/>
        <w:numPr>
          <w:ilvl w:val="0"/>
          <w:numId w:val="7"/>
        </w:numPr>
        <w:jc w:val="both"/>
        <w:rPr>
          <w:color w:val="auto"/>
          <w:sz w:val="28"/>
          <w:szCs w:val="28"/>
          <w:lang w:val="es-ES"/>
        </w:rPr>
      </w:pPr>
      <w:r w:rsidRPr="00746ACE">
        <w:rPr>
          <w:color w:val="auto"/>
          <w:sz w:val="28"/>
          <w:szCs w:val="28"/>
          <w:lang w:val="es-ES"/>
        </w:rPr>
        <w:t>No obstante, esas decisiones no formularon esta posibilidad en términos idénticos</w:t>
      </w:r>
      <w:r w:rsidRPr="00746ACE">
        <w:rPr>
          <w:rStyle w:val="Refdenotaalpie"/>
          <w:rFonts w:eastAsiaTheme="majorEastAsia"/>
          <w:color w:val="auto"/>
          <w:sz w:val="28"/>
          <w:szCs w:val="28"/>
          <w:lang w:val="es-ES"/>
        </w:rPr>
        <w:footnoteReference w:id="24"/>
      </w:r>
      <w:r w:rsidRPr="00746ACE">
        <w:rPr>
          <w:color w:val="auto"/>
          <w:sz w:val="28"/>
          <w:szCs w:val="28"/>
          <w:lang w:val="es-ES"/>
        </w:rPr>
        <w:t>. En la Sentencia C-111 de 2023, la Sala Plena indicó que la acción pública de inconstitucionalidad procede contra las sentencias interpretativas que establecen reglas con un alto grado de generalidad y abstracción, pero no contra aquellas orientadas exclusivamente a resolver un caso concreto</w:t>
      </w:r>
      <w:r w:rsidRPr="00746ACE">
        <w:rPr>
          <w:rStyle w:val="Refdenotaalpie"/>
          <w:rFonts w:eastAsiaTheme="majorEastAsia"/>
          <w:color w:val="auto"/>
          <w:sz w:val="28"/>
          <w:szCs w:val="28"/>
          <w:lang w:val="es-ES"/>
        </w:rPr>
        <w:footnoteReference w:id="25"/>
      </w:r>
      <w:r w:rsidRPr="00746ACE">
        <w:rPr>
          <w:color w:val="auto"/>
          <w:sz w:val="28"/>
          <w:szCs w:val="28"/>
          <w:lang w:val="es-ES"/>
        </w:rPr>
        <w:t>. Por su parte, la Sentencia SU-388 de 2023 señaló que este mecanismo procede respecto de sentencias interpretativas dictadas con ocasión de consultas elevadas por órganos de la JEP, siempre que contengan reglas exclusivamente abstractas</w:t>
      </w:r>
      <w:r w:rsidRPr="00746ACE">
        <w:rPr>
          <w:rStyle w:val="Refdenotaalpie"/>
          <w:rFonts w:eastAsiaTheme="majorEastAsia"/>
          <w:color w:val="auto"/>
          <w:sz w:val="28"/>
          <w:szCs w:val="28"/>
          <w:lang w:val="es-ES"/>
        </w:rPr>
        <w:footnoteReference w:id="26"/>
      </w:r>
      <w:r w:rsidRPr="00746ACE">
        <w:rPr>
          <w:color w:val="auto"/>
          <w:sz w:val="28"/>
          <w:szCs w:val="28"/>
          <w:lang w:val="es-ES"/>
        </w:rPr>
        <w:t>.</w:t>
      </w:r>
    </w:p>
    <w:p w14:paraId="4AAC627E" w14:textId="77777777" w:rsidR="00E20BA5" w:rsidRPr="00746ACE" w:rsidRDefault="00E20BA5" w:rsidP="00E20BA5">
      <w:pPr>
        <w:pStyle w:val="Prrafodelista"/>
      </w:pPr>
    </w:p>
    <w:p w14:paraId="524B4AAC" w14:textId="77777777" w:rsidR="00E20BA5" w:rsidRPr="00746ACE" w:rsidRDefault="00E20BA5" w:rsidP="00E20BA5">
      <w:pPr>
        <w:pStyle w:val="Prrafodelista"/>
        <w:widowControl w:val="0"/>
        <w:numPr>
          <w:ilvl w:val="0"/>
          <w:numId w:val="7"/>
        </w:numPr>
      </w:pPr>
      <w:r w:rsidRPr="00746ACE">
        <w:t xml:space="preserve">En esta ocasión, la Sala explicará con más detalle la manera en que procede el control de regularidad de estas decisiones frente a la Constitución Política. </w:t>
      </w:r>
    </w:p>
    <w:p w14:paraId="2D7C8C97" w14:textId="77777777" w:rsidR="00E20BA5" w:rsidRPr="00746ACE" w:rsidRDefault="00E20BA5" w:rsidP="00E20BA5"/>
    <w:p w14:paraId="1E2A4A1C" w14:textId="77777777" w:rsidR="00E20BA5" w:rsidRPr="00746ACE" w:rsidRDefault="00E20BA5" w:rsidP="00E20BA5">
      <w:pPr>
        <w:pStyle w:val="Prrafodelista"/>
        <w:widowControl w:val="0"/>
        <w:numPr>
          <w:ilvl w:val="0"/>
          <w:numId w:val="7"/>
        </w:numPr>
      </w:pPr>
      <w:r w:rsidRPr="00746ACE">
        <w:t xml:space="preserve">Una premisa transversal del estado constitucional es que toda decisión pública está sometida a la Constitución Política y, por lo tanto, las </w:t>
      </w:r>
      <w:r w:rsidRPr="00746ACE">
        <w:rPr>
          <w:i/>
          <w:iCs/>
        </w:rPr>
        <w:t>senit</w:t>
      </w:r>
      <w:r w:rsidRPr="00746ACE">
        <w:t xml:space="preserve"> también deben ser susceptibles de control desde un punto de vista constitucional. Sin embargo, como las </w:t>
      </w:r>
      <w:r w:rsidRPr="00746ACE">
        <w:rPr>
          <w:i/>
          <w:iCs/>
        </w:rPr>
        <w:t>senit</w:t>
      </w:r>
      <w:r w:rsidRPr="00746ACE">
        <w:t xml:space="preserve"> pueden ser </w:t>
      </w:r>
      <w:r w:rsidRPr="00746ACE">
        <w:rPr>
          <w:i/>
          <w:iCs/>
        </w:rPr>
        <w:t xml:space="preserve">sólo interpretativas </w:t>
      </w:r>
      <w:r w:rsidRPr="00746ACE">
        <w:t xml:space="preserve">o </w:t>
      </w:r>
      <w:r w:rsidRPr="00746ACE">
        <w:rPr>
          <w:i/>
          <w:iCs/>
        </w:rPr>
        <w:t xml:space="preserve">híbridas </w:t>
      </w:r>
      <w:r w:rsidRPr="00746ACE">
        <w:t>(que resuelven un recurso de apelación y a la vez desarrollan subreglas de especial amplitud para la JEP), entonces el mecanismo de control debe ser adecuado a su finalidad. En ese marco, la acción de tutela no sería adecuada para cuestionar subreglas o criterios hermenéuticos con pretensión de generalidad, aunque, excepcionalmente, podría utilizarse para cuestionar el sentido en que se falla el recurso de apelación. La acción pública de inconstitucionalidad, en cambio, puede ser procedente para cuestionar estas orientaciones, precisamente, porque su pretensión de generalidad permite el ejercicio del control abstracto.</w:t>
      </w:r>
    </w:p>
    <w:p w14:paraId="5769D210" w14:textId="77777777" w:rsidR="00E20BA5" w:rsidRPr="00746ACE" w:rsidRDefault="00E20BA5" w:rsidP="00E20BA5"/>
    <w:p w14:paraId="11AC8B01" w14:textId="4BBE755F" w:rsidR="00E20BA5" w:rsidRPr="00746ACE" w:rsidRDefault="00E20BA5" w:rsidP="007F1EA5">
      <w:pPr>
        <w:pStyle w:val="p1"/>
        <w:widowControl w:val="0"/>
        <w:numPr>
          <w:ilvl w:val="0"/>
          <w:numId w:val="7"/>
        </w:numPr>
        <w:jc w:val="both"/>
        <w:rPr>
          <w:color w:val="auto"/>
          <w:sz w:val="28"/>
          <w:szCs w:val="28"/>
          <w:lang w:val="es-ES"/>
        </w:rPr>
      </w:pPr>
      <w:r w:rsidRPr="00746ACE">
        <w:rPr>
          <w:color w:val="auto"/>
          <w:sz w:val="28"/>
          <w:szCs w:val="28"/>
          <w:lang w:val="es-ES"/>
        </w:rPr>
        <w:t xml:space="preserve">Por esta razón, </w:t>
      </w:r>
      <w:r w:rsidR="007F1EA5" w:rsidRPr="00746ACE">
        <w:rPr>
          <w:color w:val="auto"/>
          <w:sz w:val="28"/>
          <w:szCs w:val="28"/>
          <w:lang w:val="es-ES"/>
        </w:rPr>
        <w:t xml:space="preserve">en esta oportunidad la Sala realizará una precisión sobre </w:t>
      </w:r>
      <w:r w:rsidRPr="00746ACE">
        <w:rPr>
          <w:color w:val="auto"/>
          <w:sz w:val="28"/>
          <w:szCs w:val="28"/>
          <w:lang w:val="es-ES"/>
        </w:rPr>
        <w:t>lo expuesto en las sentencias C-111 de 2023 y SU-323 de 2023</w:t>
      </w:r>
      <w:r w:rsidR="007F1EA5" w:rsidRPr="00746ACE">
        <w:rPr>
          <w:color w:val="auto"/>
          <w:sz w:val="28"/>
          <w:szCs w:val="28"/>
          <w:lang w:val="es-ES"/>
        </w:rPr>
        <w:t>: l</w:t>
      </w:r>
      <w:r w:rsidRPr="00746ACE">
        <w:rPr>
          <w:color w:val="auto"/>
          <w:sz w:val="28"/>
          <w:szCs w:val="28"/>
          <w:lang w:val="es-ES"/>
        </w:rPr>
        <w:t xml:space="preserve">o relevante para determinar la procedencia de la acción pública de inconstitucionalidad no </w:t>
      </w:r>
      <w:r w:rsidR="007F1EA5" w:rsidRPr="00746ACE">
        <w:rPr>
          <w:color w:val="auto"/>
          <w:sz w:val="28"/>
          <w:szCs w:val="28"/>
          <w:lang w:val="es-ES"/>
        </w:rPr>
        <w:t xml:space="preserve">radica en </w:t>
      </w:r>
      <w:r w:rsidRPr="00746ACE">
        <w:rPr>
          <w:color w:val="auto"/>
          <w:sz w:val="28"/>
          <w:szCs w:val="28"/>
          <w:lang w:val="es-ES"/>
        </w:rPr>
        <w:t>el origen de la decisión</w:t>
      </w:r>
      <w:r w:rsidR="007F1EA5" w:rsidRPr="00746ACE">
        <w:rPr>
          <w:color w:val="auto"/>
          <w:sz w:val="28"/>
          <w:szCs w:val="28"/>
          <w:lang w:val="es-ES"/>
        </w:rPr>
        <w:t xml:space="preserve">, es decir, si se trata de un recurso judicial o de una solicitud de las salas y secciones. Lo </w:t>
      </w:r>
      <w:r w:rsidRPr="00746ACE">
        <w:rPr>
          <w:color w:val="auto"/>
          <w:sz w:val="28"/>
          <w:szCs w:val="28"/>
          <w:lang w:val="es-ES"/>
        </w:rPr>
        <w:t xml:space="preserve">relevante </w:t>
      </w:r>
      <w:r w:rsidR="007F1EA5" w:rsidRPr="00746ACE">
        <w:rPr>
          <w:color w:val="auto"/>
          <w:sz w:val="28"/>
          <w:szCs w:val="28"/>
          <w:lang w:val="es-ES"/>
        </w:rPr>
        <w:t xml:space="preserve">radica, de manera exclusiva, en </w:t>
      </w:r>
      <w:r w:rsidRPr="00746ACE">
        <w:rPr>
          <w:color w:val="auto"/>
          <w:sz w:val="28"/>
          <w:szCs w:val="28"/>
          <w:lang w:val="es-ES"/>
        </w:rPr>
        <w:t xml:space="preserve">la naturaleza de la regla o subregla que se pretende cuestionar. </w:t>
      </w:r>
      <w:r w:rsidR="007F1EA5" w:rsidRPr="00746ACE">
        <w:rPr>
          <w:color w:val="auto"/>
          <w:sz w:val="28"/>
          <w:szCs w:val="28"/>
          <w:lang w:val="es-ES"/>
        </w:rPr>
        <w:t>S</w:t>
      </w:r>
      <w:r w:rsidR="00F8183C" w:rsidRPr="00746ACE">
        <w:rPr>
          <w:color w:val="auto"/>
          <w:sz w:val="28"/>
          <w:szCs w:val="28"/>
          <w:lang w:val="es-ES"/>
        </w:rPr>
        <w:t xml:space="preserve">i </w:t>
      </w:r>
      <w:r w:rsidRPr="00746ACE">
        <w:rPr>
          <w:color w:val="auto"/>
          <w:sz w:val="28"/>
          <w:szCs w:val="28"/>
          <w:lang w:val="es-ES"/>
        </w:rPr>
        <w:t xml:space="preserve">esta es una orientación general o un criterio hermenéutico </w:t>
      </w:r>
      <w:r w:rsidR="00F8183C" w:rsidRPr="00746ACE">
        <w:rPr>
          <w:color w:val="auto"/>
          <w:sz w:val="28"/>
          <w:szCs w:val="28"/>
          <w:lang w:val="es-ES"/>
        </w:rPr>
        <w:t>con</w:t>
      </w:r>
      <w:r w:rsidRPr="00746ACE">
        <w:rPr>
          <w:color w:val="auto"/>
          <w:sz w:val="28"/>
          <w:szCs w:val="28"/>
          <w:lang w:val="es-ES"/>
        </w:rPr>
        <w:t xml:space="preserve"> alto grado de generalidad y abstracción, entonces, en principio, procede la acción pública de inconstitucionalidad. </w:t>
      </w:r>
    </w:p>
    <w:p w14:paraId="235D5B04" w14:textId="77777777" w:rsidR="00E20BA5" w:rsidRPr="00746ACE" w:rsidRDefault="00E20BA5" w:rsidP="00E20BA5"/>
    <w:p w14:paraId="4F795E07" w14:textId="3C4273C3" w:rsidR="00E20BA5" w:rsidRPr="00746ACE" w:rsidRDefault="00E20BA5" w:rsidP="00E20BA5">
      <w:pPr>
        <w:pStyle w:val="p1"/>
        <w:widowControl w:val="0"/>
        <w:numPr>
          <w:ilvl w:val="0"/>
          <w:numId w:val="7"/>
        </w:numPr>
        <w:jc w:val="both"/>
        <w:rPr>
          <w:color w:val="auto"/>
          <w:sz w:val="28"/>
          <w:szCs w:val="28"/>
          <w:lang w:val="es-ES"/>
        </w:rPr>
      </w:pPr>
      <w:r w:rsidRPr="00746ACE">
        <w:rPr>
          <w:color w:val="auto"/>
          <w:sz w:val="28"/>
          <w:szCs w:val="28"/>
          <w:lang w:val="es-ES"/>
        </w:rPr>
        <w:t>Esta precisión se funda en varias razones: primero, cuando la Sección de Apelación formula reglas de especial amplitud, la acción pública de inconstitucionalidad constituye un mecanismo más apropiado que la tutela debido a que opera en un plano abstracto y no limitado al caso concreto; segundo, el alto grado de generalidad de tales reglas aproxima estas providencias a otras decisiones judiciales que cumplen funciones de unificación; y</w:t>
      </w:r>
      <w:r w:rsidR="00F8183C" w:rsidRPr="00746ACE">
        <w:rPr>
          <w:color w:val="auto"/>
          <w:sz w:val="28"/>
          <w:szCs w:val="28"/>
          <w:lang w:val="es-ES"/>
        </w:rPr>
        <w:t>,</w:t>
      </w:r>
      <w:r w:rsidRPr="00746ACE">
        <w:rPr>
          <w:color w:val="auto"/>
          <w:sz w:val="28"/>
          <w:szCs w:val="28"/>
          <w:lang w:val="es-ES"/>
        </w:rPr>
        <w:t xml:space="preserve"> tercero, al decidir una apelación, la Sección de Apelación puede establecer reglas jurisprudenciales con vocación general, orientadas a enfrentar problemas estructurales o recurrentes propios de la JEP. </w:t>
      </w:r>
    </w:p>
    <w:p w14:paraId="7E190782" w14:textId="77777777" w:rsidR="00E20BA5" w:rsidRPr="00746ACE" w:rsidRDefault="00E20BA5" w:rsidP="00E20BA5">
      <w:pPr>
        <w:pStyle w:val="p1"/>
        <w:widowControl w:val="0"/>
        <w:jc w:val="both"/>
        <w:rPr>
          <w:color w:val="auto"/>
          <w:sz w:val="28"/>
          <w:szCs w:val="28"/>
          <w:lang w:val="es-ES"/>
        </w:rPr>
      </w:pPr>
    </w:p>
    <w:p w14:paraId="214205AF" w14:textId="77777777" w:rsidR="00E20BA5" w:rsidRPr="00746ACE" w:rsidRDefault="00E20BA5" w:rsidP="00E20BA5">
      <w:pPr>
        <w:pStyle w:val="Prrafodelista"/>
        <w:widowControl w:val="0"/>
        <w:numPr>
          <w:ilvl w:val="0"/>
          <w:numId w:val="7"/>
        </w:numPr>
      </w:pPr>
      <w:r w:rsidRPr="00746ACE">
        <w:t>Así las cosas, si se pretende controvertir el resultado del control de legalidad vía recurso de apelación, procederá la acción de tutela, mientras que, si se cuestionan los criterios y reglas generales de interpretación, debería emplearse en principio la acción pública de inconstitucionalidad, pues se trata de decisiones con efectos similares a los de las “sentencias de constitucionalidad que profiere la Corte Constitucional y de las de nulidad por inconstitucionalidad que dicta el Consejo de Estado”</w:t>
      </w:r>
      <w:r w:rsidRPr="00746ACE">
        <w:rPr>
          <w:vertAlign w:val="superscript"/>
        </w:rPr>
        <w:footnoteReference w:id="27"/>
      </w:r>
      <w:r w:rsidRPr="00746ACE">
        <w:t>.</w:t>
      </w:r>
    </w:p>
    <w:p w14:paraId="7CE0BCFF" w14:textId="77777777" w:rsidR="00E20BA5" w:rsidRPr="00746ACE" w:rsidRDefault="00E20BA5" w:rsidP="00E20BA5">
      <w:pPr>
        <w:pStyle w:val="Prrafodelista"/>
        <w:widowControl w:val="0"/>
        <w:ind w:left="0"/>
      </w:pPr>
    </w:p>
    <w:p w14:paraId="54BF8C34" w14:textId="77777777" w:rsidR="00E20BA5" w:rsidRPr="00746ACE" w:rsidRDefault="00E20BA5" w:rsidP="00E20BA5">
      <w:pPr>
        <w:pStyle w:val="p1"/>
        <w:widowControl w:val="0"/>
        <w:numPr>
          <w:ilvl w:val="0"/>
          <w:numId w:val="7"/>
        </w:numPr>
        <w:jc w:val="both"/>
        <w:rPr>
          <w:color w:val="auto"/>
          <w:sz w:val="28"/>
          <w:szCs w:val="28"/>
          <w:lang w:val="es-ES"/>
        </w:rPr>
      </w:pPr>
      <w:r w:rsidRPr="00746ACE">
        <w:rPr>
          <w:color w:val="auto"/>
          <w:sz w:val="28"/>
          <w:szCs w:val="28"/>
          <w:lang w:val="es-ES"/>
        </w:rPr>
        <w:t xml:space="preserve">El control constitucional de las </w:t>
      </w:r>
      <w:r w:rsidRPr="00746ACE">
        <w:rPr>
          <w:i/>
          <w:color w:val="auto"/>
          <w:sz w:val="28"/>
          <w:szCs w:val="28"/>
          <w:lang w:val="es-ES"/>
        </w:rPr>
        <w:t xml:space="preserve">senit </w:t>
      </w:r>
      <w:r w:rsidRPr="00746ACE">
        <w:rPr>
          <w:color w:val="auto"/>
          <w:sz w:val="28"/>
          <w:szCs w:val="28"/>
          <w:lang w:val="es-ES"/>
        </w:rPr>
        <w:t>se adelanta a la luz de la doctrina del derecho viviente, aunque con particularidades derivadas de la naturaleza y función de estas providencias.</w:t>
      </w:r>
    </w:p>
    <w:p w14:paraId="5372939C" w14:textId="77777777" w:rsidR="00E20BA5" w:rsidRPr="00746ACE" w:rsidRDefault="00E20BA5" w:rsidP="00E20BA5"/>
    <w:p w14:paraId="6D95B703" w14:textId="77777777" w:rsidR="00E20BA5" w:rsidRPr="00746ACE" w:rsidRDefault="00E20BA5" w:rsidP="00E20BA5">
      <w:pPr>
        <w:pStyle w:val="p1"/>
        <w:widowControl w:val="0"/>
        <w:numPr>
          <w:ilvl w:val="0"/>
          <w:numId w:val="7"/>
        </w:numPr>
        <w:jc w:val="both"/>
        <w:rPr>
          <w:color w:val="auto"/>
          <w:sz w:val="28"/>
          <w:szCs w:val="28"/>
          <w:lang w:val="es-ES"/>
        </w:rPr>
      </w:pPr>
      <w:r w:rsidRPr="00746ACE">
        <w:rPr>
          <w:color w:val="auto"/>
          <w:sz w:val="28"/>
          <w:szCs w:val="28"/>
          <w:lang w:val="es-ES"/>
        </w:rPr>
        <w:t xml:space="preserve">El </w:t>
      </w:r>
      <w:r w:rsidRPr="00746ACE">
        <w:rPr>
          <w:i/>
          <w:iCs/>
          <w:color w:val="auto"/>
          <w:sz w:val="28"/>
          <w:szCs w:val="28"/>
          <w:lang w:val="es-ES"/>
        </w:rPr>
        <w:t>derecho viviente</w:t>
      </w:r>
      <w:r w:rsidRPr="00746ACE">
        <w:rPr>
          <w:color w:val="auto"/>
          <w:sz w:val="28"/>
          <w:szCs w:val="28"/>
          <w:lang w:val="es-ES"/>
        </w:rPr>
        <w:t xml:space="preserve"> plantea que las interpretaciones judiciales de fuentes normativas como la Constitución o la ley y, en especial, las que son producto de providencias dictadas por las altas cortes define el alcance de las normas generales y abstractas en los casos que conocen los jueces y, por lo tanto, puede ser objeto de control abstracto de constitucionalidad, siempre que se demuestre que es producto de una interpretación autorizada, constante y uniforme. </w:t>
      </w:r>
    </w:p>
    <w:p w14:paraId="239AEB26" w14:textId="77777777" w:rsidR="00E20BA5" w:rsidRPr="00746ACE" w:rsidRDefault="00E20BA5" w:rsidP="00E20BA5">
      <w:pPr>
        <w:pStyle w:val="Prrafodelista"/>
      </w:pPr>
    </w:p>
    <w:p w14:paraId="093BCA6E" w14:textId="70D7CBCA" w:rsidR="00E20BA5" w:rsidRPr="00746ACE" w:rsidRDefault="00E20BA5" w:rsidP="00E20BA5">
      <w:pPr>
        <w:pStyle w:val="p1"/>
        <w:widowControl w:val="0"/>
        <w:numPr>
          <w:ilvl w:val="0"/>
          <w:numId w:val="7"/>
        </w:numPr>
        <w:jc w:val="both"/>
        <w:rPr>
          <w:color w:val="auto"/>
          <w:sz w:val="28"/>
          <w:szCs w:val="28"/>
          <w:lang w:val="es-ES"/>
        </w:rPr>
      </w:pPr>
      <w:r w:rsidRPr="00746ACE">
        <w:rPr>
          <w:color w:val="auto"/>
          <w:sz w:val="28"/>
          <w:szCs w:val="28"/>
          <w:lang w:val="es-ES"/>
        </w:rPr>
        <w:t xml:space="preserve">El control de constitucionalidad de una sentencia interpretativa hace parte del género del derecho viviente, pues se enfoca en interpretaciones judiciales. Sin embargo, es un tipo de control </w:t>
      </w:r>
      <w:r w:rsidRPr="00746ACE">
        <w:rPr>
          <w:i/>
          <w:iCs/>
          <w:color w:val="auto"/>
          <w:sz w:val="28"/>
          <w:szCs w:val="28"/>
          <w:lang w:val="es-ES"/>
        </w:rPr>
        <w:t>sui generis</w:t>
      </w:r>
      <w:r w:rsidRPr="00746ACE">
        <w:rPr>
          <w:color w:val="auto"/>
          <w:sz w:val="28"/>
          <w:szCs w:val="28"/>
          <w:lang w:val="es-ES"/>
        </w:rPr>
        <w:t xml:space="preserve"> debido a la especialidad de las </w:t>
      </w:r>
      <w:r w:rsidRPr="00746ACE">
        <w:rPr>
          <w:i/>
          <w:iCs/>
          <w:color w:val="auto"/>
          <w:sz w:val="28"/>
          <w:szCs w:val="28"/>
          <w:lang w:val="es-ES"/>
        </w:rPr>
        <w:t>senit</w:t>
      </w:r>
      <w:r w:rsidRPr="00746ACE">
        <w:rPr>
          <w:color w:val="auto"/>
          <w:sz w:val="28"/>
          <w:szCs w:val="28"/>
          <w:lang w:val="es-ES"/>
        </w:rPr>
        <w:t xml:space="preserve">. En particular, como estas providencias tienen la pretensión de unificar la jurisprudencia de manera temprana y establecer criterios hermenéuticos generales para toda la jurisdicción, no resulta necesario demostrar la consistencia en la interpretación a partir de una sucesión de providencias, sino proponer un acercamiento razonable, es decir, una presentación adecuada y leal de las subreglas y criterios definidos por la Sección de Apelación. </w:t>
      </w:r>
    </w:p>
    <w:p w14:paraId="55D18539" w14:textId="77777777" w:rsidR="00E20BA5" w:rsidRPr="00746ACE" w:rsidRDefault="00E20BA5" w:rsidP="00E20BA5">
      <w:pPr>
        <w:pStyle w:val="Prrafodelista"/>
      </w:pPr>
    </w:p>
    <w:p w14:paraId="61F0BC70" w14:textId="433ED912" w:rsidR="00E20BA5" w:rsidRPr="00746ACE" w:rsidRDefault="00E20BA5" w:rsidP="00E20BA5">
      <w:pPr>
        <w:pStyle w:val="p1"/>
        <w:widowControl w:val="0"/>
        <w:numPr>
          <w:ilvl w:val="0"/>
          <w:numId w:val="7"/>
        </w:numPr>
        <w:jc w:val="both"/>
        <w:rPr>
          <w:color w:val="auto"/>
          <w:sz w:val="28"/>
          <w:szCs w:val="28"/>
          <w:lang w:val="es-ES"/>
        </w:rPr>
      </w:pPr>
      <w:r w:rsidRPr="00746ACE">
        <w:rPr>
          <w:color w:val="auto"/>
          <w:sz w:val="28"/>
          <w:szCs w:val="28"/>
          <w:lang w:val="es-ES"/>
        </w:rPr>
        <w:t>De esta manera se precisa la jurisprudencia sobre la procedencia de la acción pública de inconstitucionalidad contra una sentencia interpretativa: (i) la acción procede para cuestionar interpretaciones o criterios hermenéuticos con pretensión de generalidad o con alto grado de abstracción, (ii) la acción procede con independencia del origen de la sentencia, es decir, sin importar si surge por una consulta de las dependencias de la JEP o por decisión oficiosa de la sección de apelación; y (iii) la acción procede si el accionante realiza una construcción razonable, leal y transparente de la subregla a controlar. Por otra parte, (iv) la acción de tutela contra providencia judicial podría proceder con el fin de controlar el sentido de la decisión adoptada como respuesta concreta a un recurso de apelación resuelto por la Sección de Apelación.</w:t>
      </w:r>
    </w:p>
    <w:p w14:paraId="6B7A01A2" w14:textId="77777777" w:rsidR="00E20BA5" w:rsidRPr="00746ACE" w:rsidRDefault="00E20BA5" w:rsidP="00E20BA5">
      <w:pPr>
        <w:pStyle w:val="p1"/>
        <w:widowControl w:val="0"/>
        <w:jc w:val="both"/>
        <w:rPr>
          <w:color w:val="auto"/>
          <w:sz w:val="28"/>
        </w:rPr>
      </w:pPr>
    </w:p>
    <w:p w14:paraId="429D81BD" w14:textId="77777777" w:rsidR="00E20BA5" w:rsidRPr="00746ACE" w:rsidRDefault="00E20BA5" w:rsidP="00E20BA5">
      <w:pPr>
        <w:pStyle w:val="p1"/>
        <w:widowControl w:val="0"/>
        <w:numPr>
          <w:ilvl w:val="0"/>
          <w:numId w:val="7"/>
        </w:numPr>
        <w:jc w:val="both"/>
        <w:rPr>
          <w:color w:val="auto"/>
          <w:sz w:val="28"/>
          <w:szCs w:val="28"/>
          <w:lang w:val="es-ES"/>
        </w:rPr>
      </w:pPr>
      <w:r w:rsidRPr="00746ACE">
        <w:rPr>
          <w:color w:val="auto"/>
          <w:sz w:val="28"/>
          <w:szCs w:val="28"/>
          <w:lang w:val="es-ES"/>
        </w:rPr>
        <w:t>La Senit 5 es una sentencia dictada con ocasión a un recurso de apelación presentado por la Procuraduría General de la Nación frente a una decisión de selección global (o de identificación de presuntos máximos responsables) por parte de la Sala de Reconocimiento de Verdad. Si bien esta sentencia decide el recurso, la Sección de Apelación también hizo explícito su interés de establecer reglas y criterios hermenéuticos amplios, con vocación de generalidad, acerca de aspectos relacionados con el tratamiento a los partícipes no determinantes que no fueron identificados por la Sala de Reconocimiento de Verdad y Responsabilidad como posibles destinatarios de una sanción.</w:t>
      </w:r>
    </w:p>
    <w:p w14:paraId="2F86FA11" w14:textId="77777777" w:rsidR="00E20BA5" w:rsidRPr="00746ACE" w:rsidRDefault="00E20BA5" w:rsidP="00E20BA5">
      <w:pPr>
        <w:pStyle w:val="Prrafodelista"/>
      </w:pPr>
    </w:p>
    <w:p w14:paraId="68341FD0" w14:textId="1EAC5FB1" w:rsidR="00E20BA5" w:rsidRPr="00746ACE" w:rsidRDefault="00E20BA5" w:rsidP="00E20BA5">
      <w:pPr>
        <w:pStyle w:val="p1"/>
        <w:widowControl w:val="0"/>
        <w:numPr>
          <w:ilvl w:val="0"/>
          <w:numId w:val="7"/>
        </w:numPr>
        <w:jc w:val="both"/>
        <w:rPr>
          <w:color w:val="auto"/>
          <w:sz w:val="28"/>
          <w:szCs w:val="28"/>
          <w:lang w:val="es-ES"/>
        </w:rPr>
      </w:pPr>
      <w:r w:rsidRPr="00746ACE">
        <w:rPr>
          <w:color w:val="auto"/>
          <w:sz w:val="28"/>
          <w:szCs w:val="28"/>
          <w:lang w:val="es-ES"/>
        </w:rPr>
        <w:t xml:space="preserve">Así las cosas, es indiscutible que se trata de un pronunciamiento interpretativo que define o precisa conceptos de carácter general y abstracto, tales como la </w:t>
      </w:r>
      <w:r w:rsidR="00DD2B2E" w:rsidRPr="00746ACE">
        <w:rPr>
          <w:color w:val="auto"/>
          <w:sz w:val="28"/>
          <w:szCs w:val="28"/>
          <w:lang w:val="es-ES"/>
        </w:rPr>
        <w:t>“</w:t>
      </w:r>
      <w:r w:rsidRPr="00746ACE">
        <w:rPr>
          <w:color w:val="auto"/>
          <w:sz w:val="28"/>
          <w:szCs w:val="28"/>
          <w:lang w:val="es-ES"/>
        </w:rPr>
        <w:t>selección de segundo orden</w:t>
      </w:r>
      <w:r w:rsidR="00DD2B2E" w:rsidRPr="00746ACE">
        <w:rPr>
          <w:color w:val="auto"/>
          <w:sz w:val="28"/>
          <w:szCs w:val="28"/>
          <w:lang w:val="es-ES"/>
        </w:rPr>
        <w:t>”</w:t>
      </w:r>
      <w:r w:rsidRPr="00746ACE">
        <w:rPr>
          <w:color w:val="auto"/>
          <w:sz w:val="28"/>
          <w:szCs w:val="28"/>
          <w:lang w:val="es-ES"/>
        </w:rPr>
        <w:t xml:space="preserve">, la </w:t>
      </w:r>
      <w:r w:rsidR="00DD2B2E" w:rsidRPr="00746ACE">
        <w:rPr>
          <w:color w:val="auto"/>
          <w:sz w:val="28"/>
          <w:szCs w:val="28"/>
          <w:lang w:val="es-ES"/>
        </w:rPr>
        <w:t>“</w:t>
      </w:r>
      <w:r w:rsidRPr="00746ACE">
        <w:rPr>
          <w:color w:val="auto"/>
          <w:sz w:val="28"/>
          <w:szCs w:val="28"/>
          <w:lang w:val="es-ES"/>
        </w:rPr>
        <w:t xml:space="preserve">responsabilidad del </w:t>
      </w:r>
      <w:r w:rsidR="00DD2B2E" w:rsidRPr="00746ACE">
        <w:rPr>
          <w:color w:val="auto"/>
          <w:sz w:val="28"/>
          <w:szCs w:val="28"/>
          <w:lang w:val="es-ES"/>
        </w:rPr>
        <w:t xml:space="preserve">punto medio” </w:t>
      </w:r>
      <w:r w:rsidRPr="00746ACE">
        <w:rPr>
          <w:color w:val="auto"/>
          <w:sz w:val="28"/>
          <w:szCs w:val="28"/>
          <w:lang w:val="es-ES"/>
        </w:rPr>
        <w:t xml:space="preserve">y las funciones de la Sala de Definición de Situaciones Jurídicas (SDSJ). Se trata, en otros términos, de una </w:t>
      </w:r>
      <w:r w:rsidRPr="00746ACE">
        <w:rPr>
          <w:i/>
          <w:color w:val="auto"/>
          <w:sz w:val="28"/>
          <w:szCs w:val="28"/>
          <w:lang w:val="es-ES"/>
        </w:rPr>
        <w:t>sentencia híbrida,</w:t>
      </w:r>
      <w:r w:rsidRPr="00746ACE">
        <w:rPr>
          <w:color w:val="auto"/>
          <w:sz w:val="28"/>
          <w:szCs w:val="28"/>
          <w:lang w:val="es-ES"/>
        </w:rPr>
        <w:t xml:space="preserve"> pues es</w:t>
      </w:r>
      <w:r w:rsidRPr="00746ACE">
        <w:rPr>
          <w:i/>
          <w:color w:val="auto"/>
          <w:sz w:val="28"/>
          <w:szCs w:val="28"/>
          <w:lang w:val="es-ES"/>
        </w:rPr>
        <w:t xml:space="preserve"> </w:t>
      </w:r>
      <w:r w:rsidRPr="00746ACE">
        <w:rPr>
          <w:b/>
          <w:color w:val="auto"/>
          <w:sz w:val="28"/>
          <w:szCs w:val="28"/>
          <w:lang w:val="es-ES"/>
        </w:rPr>
        <w:t>concreta</w:t>
      </w:r>
      <w:r w:rsidRPr="00746ACE">
        <w:rPr>
          <w:color w:val="auto"/>
          <w:sz w:val="28"/>
          <w:szCs w:val="28"/>
          <w:lang w:val="es-ES"/>
        </w:rPr>
        <w:t xml:space="preserve"> en lo que tiene que ver con la decisión de segunda instancia, e </w:t>
      </w:r>
      <w:r w:rsidRPr="00746ACE">
        <w:rPr>
          <w:b/>
          <w:color w:val="auto"/>
          <w:sz w:val="28"/>
          <w:szCs w:val="28"/>
          <w:lang w:val="es-ES"/>
        </w:rPr>
        <w:t>interpretativa y con pretensión de generalidad</w:t>
      </w:r>
      <w:r w:rsidRPr="00746ACE">
        <w:rPr>
          <w:color w:val="auto"/>
          <w:sz w:val="28"/>
          <w:szCs w:val="28"/>
          <w:lang w:val="es-ES"/>
        </w:rPr>
        <w:t xml:space="preserve"> en lo que se refiere a la doctrina sobre los puntos mencionados, y en torno a los que giran los problemas jurídicos a resolver.</w:t>
      </w:r>
    </w:p>
    <w:p w14:paraId="32B54CE6" w14:textId="77777777" w:rsidR="00E20BA5" w:rsidRPr="00746ACE" w:rsidRDefault="00E20BA5" w:rsidP="00E20BA5">
      <w:pPr>
        <w:pStyle w:val="Prrafodelista"/>
      </w:pPr>
    </w:p>
    <w:p w14:paraId="7053E154" w14:textId="77777777" w:rsidR="00E20BA5" w:rsidRPr="00746ACE" w:rsidRDefault="00E20BA5" w:rsidP="00E20BA5">
      <w:pPr>
        <w:pStyle w:val="Prrafodelista"/>
        <w:widowControl w:val="0"/>
        <w:numPr>
          <w:ilvl w:val="0"/>
          <w:numId w:val="7"/>
        </w:numPr>
      </w:pPr>
      <w:r w:rsidRPr="00746ACE">
        <w:t>En ese caso, la Sección de Apelación no solo resolvió el recurso de apelación interpuesto en contra auto 01 del 11 de julio de 2022</w:t>
      </w:r>
      <w:r w:rsidRPr="00746ACE">
        <w:rPr>
          <w:vertAlign w:val="superscript"/>
        </w:rPr>
        <w:footnoteReference w:id="28"/>
      </w:r>
      <w:r w:rsidRPr="00746ACE">
        <w:t>, sino que además se pronunció en relación con la noción de máximos responsables y participes no determinantes; los criterios de selección; la aplicación de las sanciones propias de la JEP y el régimen de condicionalidad.</w:t>
      </w:r>
    </w:p>
    <w:p w14:paraId="5CF8422F" w14:textId="77777777" w:rsidR="00E20BA5" w:rsidRPr="00746ACE" w:rsidRDefault="00E20BA5" w:rsidP="00E20BA5">
      <w:pPr>
        <w:widowControl w:val="0"/>
      </w:pPr>
    </w:p>
    <w:p w14:paraId="3B0FE9DA" w14:textId="77777777" w:rsidR="00E20BA5" w:rsidRPr="00746ACE" w:rsidRDefault="00E20BA5" w:rsidP="00E20BA5">
      <w:pPr>
        <w:pStyle w:val="p1"/>
        <w:widowControl w:val="0"/>
        <w:numPr>
          <w:ilvl w:val="0"/>
          <w:numId w:val="7"/>
        </w:numPr>
        <w:jc w:val="both"/>
        <w:rPr>
          <w:color w:val="auto"/>
          <w:sz w:val="28"/>
          <w:szCs w:val="28"/>
          <w:lang w:val="es-ES"/>
        </w:rPr>
      </w:pPr>
      <w:r w:rsidRPr="00746ACE">
        <w:rPr>
          <w:b/>
          <w:i/>
          <w:color w:val="auto"/>
          <w:sz w:val="28"/>
          <w:szCs w:val="28"/>
          <w:lang w:val="es-ES"/>
        </w:rPr>
        <w:t>Conclusión 3</w:t>
      </w:r>
      <w:r w:rsidRPr="00746ACE">
        <w:rPr>
          <w:color w:val="auto"/>
          <w:sz w:val="28"/>
          <w:szCs w:val="28"/>
          <w:lang w:val="es-ES"/>
        </w:rPr>
        <w:t>:</w:t>
      </w:r>
      <w:r w:rsidRPr="00746ACE">
        <w:rPr>
          <w:i/>
          <w:color w:val="auto"/>
          <w:sz w:val="28"/>
          <w:szCs w:val="28"/>
          <w:lang w:val="es-ES"/>
        </w:rPr>
        <w:t xml:space="preserve"> </w:t>
      </w:r>
      <w:r w:rsidRPr="00746ACE">
        <w:rPr>
          <w:color w:val="auto"/>
          <w:sz w:val="28"/>
          <w:szCs w:val="28"/>
          <w:lang w:val="es-ES"/>
        </w:rPr>
        <w:t>la Sala precisa su jurisprudencia en el sentido de que la acción pública de inconstitucionalidad contra las sentencias interpretativas de la JEP</w:t>
      </w:r>
      <w:r w:rsidRPr="00746ACE">
        <w:rPr>
          <w:i/>
          <w:color w:val="auto"/>
          <w:sz w:val="28"/>
          <w:szCs w:val="28"/>
          <w:lang w:val="es-ES"/>
        </w:rPr>
        <w:t xml:space="preserve"> </w:t>
      </w:r>
      <w:r w:rsidRPr="00746ACE">
        <w:rPr>
          <w:color w:val="auto"/>
          <w:sz w:val="28"/>
          <w:szCs w:val="28"/>
          <w:lang w:val="es-ES"/>
        </w:rPr>
        <w:t>procede cuando la demanda se dirige contra una regla o criterio hermenéutico con alto nivel de generalidad, y no cuando controvierte la solución dada a un caso concreto. Con base en esta subregla, la Sala considera que la acción pública de inconstitucionalidad es, en principio, un mecanismo idóneo para examinar la validez constitucional de algunas reglas contenidas en la Senit 5, como pasa a explicarse.</w:t>
      </w:r>
    </w:p>
    <w:p w14:paraId="6C8B35CC" w14:textId="77777777" w:rsidR="00E20BA5" w:rsidRPr="00746ACE" w:rsidRDefault="00E20BA5" w:rsidP="00E20BA5">
      <w:pPr>
        <w:ind w:left="708"/>
      </w:pPr>
    </w:p>
    <w:p w14:paraId="339BB8A3" w14:textId="77777777" w:rsidR="00E20BA5" w:rsidRPr="00746ACE" w:rsidRDefault="00E20BA5" w:rsidP="00E20BA5">
      <w:pPr>
        <w:pStyle w:val="Prrafodelista"/>
        <w:widowControl w:val="0"/>
        <w:numPr>
          <w:ilvl w:val="0"/>
          <w:numId w:val="7"/>
        </w:numPr>
      </w:pPr>
      <w:r w:rsidRPr="00746ACE">
        <w:t xml:space="preserve">Así las cosas, la acción pública de inconstitucionalidad será procedente para ejercer el control de constitucionalidad sobre los párrafos o enunciados jurídicos demandados de la Senit 5, siempre que se cumplen los demás requisitos de procedencia de la acción, debido a que se discuten interpretaciones amplias o con vocación de generalidad acerca del principio de selección y la responsabilidad. En especial, se discute si la sentencia interpretativa citada creó los conceptos de “selección de segundo orden” y “responsabilidad del punto medio” sin una base normativa legal o constitucional. </w:t>
      </w:r>
    </w:p>
    <w:p w14:paraId="5E48D046" w14:textId="77777777" w:rsidR="00431B20" w:rsidRPr="00746ACE" w:rsidRDefault="00431B20" w:rsidP="00431B20">
      <w:pPr>
        <w:pStyle w:val="Prrafodelista"/>
      </w:pPr>
    </w:p>
    <w:p w14:paraId="65D60348" w14:textId="2710E004" w:rsidR="00431B20" w:rsidRPr="00746ACE" w:rsidRDefault="00431B20" w:rsidP="00E20BA5">
      <w:pPr>
        <w:pStyle w:val="Prrafodelista"/>
        <w:widowControl w:val="0"/>
        <w:numPr>
          <w:ilvl w:val="0"/>
          <w:numId w:val="7"/>
        </w:numPr>
      </w:pPr>
      <w:r w:rsidRPr="00746ACE">
        <w:rPr>
          <w:b/>
          <w:bCs/>
          <w:i/>
          <w:iCs/>
        </w:rPr>
        <w:t xml:space="preserve">Conclusión 4: </w:t>
      </w:r>
      <w:r w:rsidRPr="00746ACE">
        <w:t xml:space="preserve">si bien el derecho viviente exige, por regla general, la demostración de que existe una interpretación constante y consistente en la jurisprudencia del órgano judicial que ha ido definiendo el alcance del derecho en su especialidad, en el caso de las </w:t>
      </w:r>
      <w:r w:rsidRPr="00746ACE">
        <w:rPr>
          <w:i/>
          <w:iCs/>
        </w:rPr>
        <w:t xml:space="preserve">senit </w:t>
      </w:r>
      <w:r w:rsidRPr="00746ACE">
        <w:t>es posible que una sola decisión constituy</w:t>
      </w:r>
      <w:r w:rsidR="00D03BA0" w:rsidRPr="00746ACE">
        <w:t>a</w:t>
      </w:r>
      <w:r w:rsidRPr="00746ACE">
        <w:t xml:space="preserve"> derecho viviente, debido a su pretensión de generalidad</w:t>
      </w:r>
      <w:r w:rsidR="007F1EA5" w:rsidRPr="00746ACE">
        <w:t>, aunada al principio de estricta temporalidad de la JEP, el cual explica la necesidad de unificación temprana de jurisprudencia como función de la Sección de Apelac</w:t>
      </w:r>
      <w:r w:rsidR="009B0909" w:rsidRPr="00746ACE">
        <w:t>ió</w:t>
      </w:r>
      <w:r w:rsidR="007F1EA5" w:rsidRPr="00746ACE">
        <w:t>n.</w:t>
      </w:r>
    </w:p>
    <w:p w14:paraId="49BE1BCA" w14:textId="77777777" w:rsidR="00F9013F" w:rsidRPr="00746ACE" w:rsidRDefault="00F9013F" w:rsidP="00FC0DFB">
      <w:pPr>
        <w:pStyle w:val="p1"/>
        <w:widowControl w:val="0"/>
        <w:jc w:val="both"/>
        <w:rPr>
          <w:color w:val="auto"/>
          <w:sz w:val="28"/>
          <w:szCs w:val="28"/>
          <w:lang w:val="es-ES"/>
        </w:rPr>
      </w:pPr>
    </w:p>
    <w:p w14:paraId="1D3CED1A" w14:textId="77777777" w:rsidR="00F9013F" w:rsidRPr="00746ACE" w:rsidRDefault="00F9013F" w:rsidP="00FC0DFB">
      <w:pPr>
        <w:pStyle w:val="Ttulo2"/>
        <w:keepNext w:val="0"/>
        <w:keepLines w:val="0"/>
        <w:widowControl w:val="0"/>
        <w:rPr>
          <w:rFonts w:cs="Times New Roman"/>
          <w:szCs w:val="28"/>
        </w:rPr>
      </w:pPr>
      <w:bookmarkStart w:id="16" w:name="_Toc233384171"/>
      <w:r w:rsidRPr="00746ACE">
        <w:rPr>
          <w:rFonts w:cs="Times New Roman"/>
          <w:szCs w:val="28"/>
        </w:rPr>
        <w:t>Cosa juzgada constitucional</w:t>
      </w:r>
      <w:bookmarkEnd w:id="16"/>
    </w:p>
    <w:p w14:paraId="701308B6" w14:textId="0B66334C" w:rsidR="00DA4B48" w:rsidRPr="00746ACE" w:rsidRDefault="00DA4B48" w:rsidP="00DA4B48">
      <w:pPr>
        <w:pStyle w:val="Prrafodelista"/>
        <w:widowControl w:val="0"/>
        <w:ind w:left="0"/>
      </w:pPr>
    </w:p>
    <w:p w14:paraId="766EF9D8" w14:textId="473B1FB9" w:rsidR="00C77911" w:rsidRPr="00746ACE" w:rsidRDefault="00F647D7" w:rsidP="00C77911">
      <w:pPr>
        <w:pStyle w:val="Ttulo3"/>
        <w:rPr>
          <w:rFonts w:cs="Times New Roman"/>
          <w:color w:val="auto"/>
          <w:sz w:val="28"/>
          <w:szCs w:val="28"/>
        </w:rPr>
      </w:pPr>
      <w:bookmarkStart w:id="17" w:name="_Toc233384172"/>
      <w:r w:rsidRPr="00746ACE">
        <w:rPr>
          <w:rFonts w:cs="Times New Roman"/>
          <w:color w:val="auto"/>
          <w:sz w:val="28"/>
          <w:szCs w:val="28"/>
        </w:rPr>
        <w:t>Reglas generales sobre la cosa juzgada constitucional</w:t>
      </w:r>
      <w:bookmarkEnd w:id="17"/>
    </w:p>
    <w:p w14:paraId="35C39B50" w14:textId="77777777" w:rsidR="00F647D7" w:rsidRPr="00746ACE" w:rsidRDefault="00F647D7" w:rsidP="00F647D7">
      <w:pPr>
        <w:rPr>
          <w:lang w:val="es-CO" w:eastAsia="es-ES_tradnl"/>
        </w:rPr>
      </w:pPr>
    </w:p>
    <w:p w14:paraId="70F27D81" w14:textId="611083EC" w:rsidR="00DA4B48" w:rsidRPr="00746ACE" w:rsidRDefault="00DA4B48" w:rsidP="00D1176C">
      <w:pPr>
        <w:pStyle w:val="Prrafodelista"/>
        <w:widowControl w:val="0"/>
        <w:numPr>
          <w:ilvl w:val="0"/>
          <w:numId w:val="7"/>
        </w:numPr>
      </w:pPr>
      <w:r w:rsidRPr="00746ACE">
        <w:t>Si bien la mayor parte de los intervinientes dentro de este proceso consideran que el problema jurídico debe analizarse de fondo, la Sala considera necesario evaluar la existencia de cosa juzgada constitucional, pues, en la audiencia pública de 24 de octubre de 2024, la Defensora del Pueblo, Iris Marín Ortiz, sostuvo que la Corte debería estarse a lo resuelto en la Sentencia C-080 de 2028, en la cual se adelantó el control automático, integral y definitivo de la Ley estatutaria de administración de justicia en la JEP (Ley 1957 de 2018) y, de manera subsidiaria, declarar la inexequibilidad de los párrafos demandados.</w:t>
      </w:r>
    </w:p>
    <w:p w14:paraId="5EF57B94" w14:textId="77777777" w:rsidR="00DA4B48" w:rsidRPr="00746ACE" w:rsidRDefault="00DA4B48" w:rsidP="00DA4B48">
      <w:pPr>
        <w:pStyle w:val="Prrafodelista"/>
        <w:widowControl w:val="0"/>
        <w:ind w:left="0"/>
      </w:pPr>
    </w:p>
    <w:p w14:paraId="5B1F1BB2" w14:textId="35D31ACB" w:rsidR="00F9013F" w:rsidRPr="00746ACE" w:rsidRDefault="00F9013F" w:rsidP="00D337A5">
      <w:pPr>
        <w:pStyle w:val="Prrafodelista"/>
        <w:widowControl w:val="0"/>
        <w:numPr>
          <w:ilvl w:val="0"/>
          <w:numId w:val="7"/>
        </w:numPr>
      </w:pPr>
      <w:r w:rsidRPr="00746ACE">
        <w:t xml:space="preserve">El principio de cosa juzgada establece la obligación de respetar las decisiones de los jueces y preservar su estabilidad, con el fin de </w:t>
      </w:r>
      <w:r w:rsidR="00C67F50" w:rsidRPr="00746ACE">
        <w:t>garantizar la seguridad jurídica y permitir que el derecho cumpla su función de resolver conflictos sociales.</w:t>
      </w:r>
      <w:r w:rsidRPr="00746ACE">
        <w:t xml:space="preserve"> En el control abstracto de constitucionalidad, el principio de cosa juzgada </w:t>
      </w:r>
      <w:r w:rsidR="00C67F50" w:rsidRPr="00746ACE">
        <w:t>adquiere particular relevancia</w:t>
      </w:r>
      <w:r w:rsidRPr="00746ACE">
        <w:t xml:space="preserve">. </w:t>
      </w:r>
      <w:r w:rsidR="00C67F50" w:rsidRPr="00746ACE">
        <w:t xml:space="preserve">En efecto, de conformidad con el numeral 2 del </w:t>
      </w:r>
      <w:r w:rsidRPr="00746ACE">
        <w:t>artículo 243</w:t>
      </w:r>
      <w:r w:rsidR="00C67F50" w:rsidRPr="00746ACE">
        <w:t xml:space="preserve"> </w:t>
      </w:r>
      <w:r w:rsidRPr="00746ACE">
        <w:t>de la Constitución</w:t>
      </w:r>
      <w:r w:rsidR="00C67F50" w:rsidRPr="00746ACE">
        <w:t>, ninguna autoridad puede</w:t>
      </w:r>
      <w:r w:rsidRPr="00746ACE">
        <w:t xml:space="preserve"> reproducir un contenido normativo declarado inexequible (o expulsado del ordenamiento jurídico) por la Corte Constitucional. </w:t>
      </w:r>
      <w:r w:rsidR="00C67F50" w:rsidRPr="00746ACE">
        <w:t xml:space="preserve">Por esta razón, </w:t>
      </w:r>
      <w:r w:rsidRPr="00746ACE">
        <w:t>las decisiones de inexequibilidad tienen efectos de cosa juzgada absoluta.</w:t>
      </w:r>
    </w:p>
    <w:p w14:paraId="5376702D" w14:textId="77777777" w:rsidR="00F9013F" w:rsidRPr="00746ACE" w:rsidRDefault="00F9013F" w:rsidP="00FC0DFB">
      <w:pPr>
        <w:widowControl w:val="0"/>
      </w:pPr>
    </w:p>
    <w:p w14:paraId="291F4179" w14:textId="77777777" w:rsidR="00DA4B48" w:rsidRPr="00746ACE" w:rsidRDefault="00C67F50" w:rsidP="00FC0DFB">
      <w:pPr>
        <w:pStyle w:val="Prrafodelista"/>
        <w:widowControl w:val="0"/>
        <w:numPr>
          <w:ilvl w:val="0"/>
          <w:numId w:val="7"/>
        </w:numPr>
      </w:pPr>
      <w:r w:rsidRPr="00746ACE">
        <w:t>En cambio, cuando la Corte declara la</w:t>
      </w:r>
      <w:r w:rsidR="00F9013F" w:rsidRPr="00746ACE">
        <w:t xml:space="preserve"> exequibilidad simple o condicionada </w:t>
      </w:r>
      <w:r w:rsidRPr="00746ACE">
        <w:t xml:space="preserve">de una disposición, el alcance de la </w:t>
      </w:r>
      <w:r w:rsidR="00F9013F" w:rsidRPr="00746ACE">
        <w:t xml:space="preserve">cosa juzgada </w:t>
      </w:r>
      <w:r w:rsidRPr="00746ACE">
        <w:t xml:space="preserve">puede variar según el objeto examinado, los cargos analizados y la relación entre la motivación y la decisión adoptada. Por ello, la jurisprudencia constitucional </w:t>
      </w:r>
      <w:r w:rsidR="00F9013F" w:rsidRPr="00746ACE">
        <w:t>ha</w:t>
      </w:r>
      <w:r w:rsidRPr="00746ACE">
        <w:t xml:space="preserve"> desarrollado </w:t>
      </w:r>
      <w:r w:rsidR="00F9013F" w:rsidRPr="00746ACE">
        <w:t xml:space="preserve">una tipología de la cosa juzgada que </w:t>
      </w:r>
      <w:r w:rsidRPr="00746ACE">
        <w:t>permite</w:t>
      </w:r>
      <w:r w:rsidR="00F9013F" w:rsidRPr="00746ACE">
        <w:t xml:space="preserve"> </w:t>
      </w:r>
      <w:r w:rsidR="001E7D99" w:rsidRPr="00746ACE">
        <w:t xml:space="preserve">precisar el alcance de los efectos de las decisiones adoptadas por la Corte. </w:t>
      </w:r>
    </w:p>
    <w:p w14:paraId="2F1F9833" w14:textId="77777777" w:rsidR="00DA4B48" w:rsidRPr="00746ACE" w:rsidRDefault="00DA4B48" w:rsidP="00DA4B48">
      <w:pPr>
        <w:pStyle w:val="Prrafodelista"/>
        <w:rPr>
          <w:lang w:eastAsia="es-CO"/>
        </w:rPr>
      </w:pPr>
    </w:p>
    <w:p w14:paraId="19095C6C" w14:textId="56021653" w:rsidR="00F9013F" w:rsidRPr="00746ACE" w:rsidRDefault="00F9013F" w:rsidP="00FC0DFB">
      <w:pPr>
        <w:pStyle w:val="Prrafodelista"/>
        <w:widowControl w:val="0"/>
        <w:numPr>
          <w:ilvl w:val="0"/>
          <w:numId w:val="7"/>
        </w:numPr>
      </w:pPr>
      <w:r w:rsidRPr="00746ACE">
        <w:rPr>
          <w:lang w:eastAsia="es-CO"/>
        </w:rPr>
        <w:t xml:space="preserve">En </w:t>
      </w:r>
      <w:r w:rsidR="001E7D99" w:rsidRPr="00746ACE">
        <w:rPr>
          <w:lang w:eastAsia="es-CO"/>
        </w:rPr>
        <w:t>todos los casos</w:t>
      </w:r>
      <w:r w:rsidRPr="00746ACE">
        <w:rPr>
          <w:lang w:eastAsia="es-CO"/>
        </w:rPr>
        <w:t xml:space="preserve">, la cosa juzgada constitucional </w:t>
      </w:r>
      <w:r w:rsidR="001E7D99" w:rsidRPr="00746ACE">
        <w:rPr>
          <w:lang w:eastAsia="es-CO"/>
        </w:rPr>
        <w:t xml:space="preserve">cumple funciones esenciales dentro del Estado social de derecho: </w:t>
      </w:r>
      <w:r w:rsidRPr="00746ACE">
        <w:rPr>
          <w:lang w:eastAsia="es-CO"/>
        </w:rPr>
        <w:t>(i) protege la seguridad jurídica al dar estabilidad y cert</w:t>
      </w:r>
      <w:r w:rsidR="001E7D99" w:rsidRPr="00746ACE">
        <w:rPr>
          <w:lang w:eastAsia="es-CO"/>
        </w:rPr>
        <w:t>eza</w:t>
      </w:r>
      <w:r w:rsidRPr="00746ACE">
        <w:rPr>
          <w:lang w:eastAsia="es-CO"/>
        </w:rPr>
        <w:t xml:space="preserve"> a las reglas </w:t>
      </w:r>
      <w:r w:rsidR="001E7D99" w:rsidRPr="00746ACE">
        <w:rPr>
          <w:lang w:eastAsia="es-CO"/>
        </w:rPr>
        <w:t>aplicables</w:t>
      </w:r>
      <w:r w:rsidRPr="00746ACE">
        <w:rPr>
          <w:lang w:eastAsia="es-CO"/>
        </w:rPr>
        <w:t xml:space="preserve">; (ii) </w:t>
      </w:r>
      <w:r w:rsidR="001E7D99" w:rsidRPr="00746ACE">
        <w:rPr>
          <w:lang w:eastAsia="es-CO"/>
        </w:rPr>
        <w:t xml:space="preserve">garantiza la </w:t>
      </w:r>
      <w:r w:rsidRPr="00746ACE">
        <w:rPr>
          <w:lang w:eastAsia="es-CO"/>
        </w:rPr>
        <w:t>buena fe</w:t>
      </w:r>
      <w:r w:rsidR="001E7D99" w:rsidRPr="00746ACE">
        <w:rPr>
          <w:lang w:eastAsia="es-CO"/>
        </w:rPr>
        <w:t xml:space="preserve"> en las actuaciones de las autoridades</w:t>
      </w:r>
      <w:r w:rsidRPr="00746ACE">
        <w:rPr>
          <w:lang w:eastAsia="es-CO"/>
        </w:rPr>
        <w:t xml:space="preserve">; (iii) </w:t>
      </w:r>
      <w:r w:rsidR="001E7D99" w:rsidRPr="00746ACE">
        <w:rPr>
          <w:lang w:eastAsia="es-CO"/>
        </w:rPr>
        <w:t>salvaguarda</w:t>
      </w:r>
      <w:r w:rsidRPr="00746ACE">
        <w:rPr>
          <w:lang w:eastAsia="es-CO"/>
        </w:rPr>
        <w:t xml:space="preserve"> la autonomía judicial</w:t>
      </w:r>
      <w:r w:rsidR="001E7D99" w:rsidRPr="00746ACE">
        <w:rPr>
          <w:lang w:eastAsia="es-CO"/>
        </w:rPr>
        <w:t xml:space="preserve"> al</w:t>
      </w:r>
      <w:r w:rsidRPr="00746ACE">
        <w:rPr>
          <w:lang w:eastAsia="es-CO"/>
        </w:rPr>
        <w:t xml:space="preserve"> evita</w:t>
      </w:r>
      <w:r w:rsidR="001E7D99" w:rsidRPr="00746ACE">
        <w:rPr>
          <w:lang w:eastAsia="es-CO"/>
        </w:rPr>
        <w:t>r</w:t>
      </w:r>
      <w:r w:rsidRPr="00746ACE">
        <w:rPr>
          <w:lang w:eastAsia="es-CO"/>
        </w:rPr>
        <w:t xml:space="preserve"> que </w:t>
      </w:r>
      <w:r w:rsidR="001E7D99" w:rsidRPr="00746ACE">
        <w:rPr>
          <w:lang w:eastAsia="es-CO"/>
        </w:rPr>
        <w:t>otras autoridades reabran asuntos ya decididos</w:t>
      </w:r>
      <w:r w:rsidRPr="00746ACE">
        <w:rPr>
          <w:lang w:eastAsia="es-CO"/>
        </w:rPr>
        <w:t>; y (iv) maximiza la fuerza normativa de la Constitución.</w:t>
      </w:r>
      <w:r w:rsidR="001E7D99" w:rsidRPr="00746ACE">
        <w:rPr>
          <w:lang w:eastAsia="es-CO"/>
        </w:rPr>
        <w:t xml:space="preserve"> Por estas razones, el respeto por la cosa juzgada se integra al debido proceso constitucional y contribuye a preservar la confianza en el orden jurídico</w:t>
      </w:r>
      <w:r w:rsidR="006A2C55" w:rsidRPr="00746ACE">
        <w:rPr>
          <w:rStyle w:val="Refdenotaalpie"/>
          <w:lang w:eastAsia="es-CO"/>
        </w:rPr>
        <w:footnoteReference w:id="29"/>
      </w:r>
      <w:r w:rsidR="006A2C55" w:rsidRPr="00746ACE">
        <w:rPr>
          <w:lang w:eastAsia="es-CO"/>
        </w:rPr>
        <w:t>.</w:t>
      </w:r>
      <w:r w:rsidR="001E7D99" w:rsidRPr="00746ACE" w:rsidDel="001E7D99">
        <w:rPr>
          <w:lang w:eastAsia="es-CO"/>
        </w:rPr>
        <w:t xml:space="preserve"> </w:t>
      </w:r>
    </w:p>
    <w:p w14:paraId="172B6544" w14:textId="77777777" w:rsidR="00F9013F" w:rsidRPr="00746ACE" w:rsidRDefault="00F9013F" w:rsidP="00FC0DFB">
      <w:pPr>
        <w:widowControl w:val="0"/>
        <w:adjustRightInd w:val="0"/>
        <w:rPr>
          <w:lang w:eastAsia="es-CO"/>
        </w:rPr>
      </w:pPr>
    </w:p>
    <w:p w14:paraId="29C41DE4" w14:textId="541BEE0D" w:rsidR="001E7D99" w:rsidRPr="00746ACE" w:rsidRDefault="001E7D99" w:rsidP="006A2C55">
      <w:pPr>
        <w:pStyle w:val="Prrafodelista"/>
        <w:widowControl w:val="0"/>
        <w:numPr>
          <w:ilvl w:val="0"/>
          <w:numId w:val="7"/>
        </w:numPr>
        <w:adjustRightInd w:val="0"/>
        <w:rPr>
          <w:lang w:eastAsia="es-CO"/>
        </w:rPr>
      </w:pPr>
      <w:r w:rsidRPr="00746ACE">
        <w:rPr>
          <w:lang w:eastAsia="es-CO"/>
        </w:rPr>
        <w:t>La jurisprudencia de la Corte ha identificado distintas modalidades de cosa juzgada constitucional a partir de tres elementos: (i) el objeto</w:t>
      </w:r>
      <w:r w:rsidR="00F9013F" w:rsidRPr="00746ACE">
        <w:rPr>
          <w:lang w:eastAsia="es-CO"/>
        </w:rPr>
        <w:t xml:space="preserve"> analizado por la Corporación (la disposición o norma demandada); </w:t>
      </w:r>
      <w:r w:rsidRPr="00746ACE">
        <w:rPr>
          <w:lang w:eastAsia="es-CO"/>
        </w:rPr>
        <w:t xml:space="preserve">(ii) </w:t>
      </w:r>
      <w:r w:rsidR="00F9013F" w:rsidRPr="00746ACE">
        <w:rPr>
          <w:lang w:eastAsia="es-CO"/>
        </w:rPr>
        <w:t xml:space="preserve">el problema jurídico a partir de los cargos propuestos por el demandante; y </w:t>
      </w:r>
      <w:r w:rsidRPr="00746ACE">
        <w:rPr>
          <w:lang w:eastAsia="es-CO"/>
        </w:rPr>
        <w:t xml:space="preserve">(iii) </w:t>
      </w:r>
      <w:r w:rsidR="00F9013F" w:rsidRPr="00746ACE">
        <w:rPr>
          <w:lang w:eastAsia="es-CO"/>
        </w:rPr>
        <w:t>la relación entre la motivación y la decisión de la sentencia</w:t>
      </w:r>
      <w:r w:rsidR="00F9013F" w:rsidRPr="00746ACE">
        <w:rPr>
          <w:i/>
          <w:lang w:eastAsia="es-CO"/>
        </w:rPr>
        <w:t>.</w:t>
      </w:r>
      <w:r w:rsidR="00F9013F" w:rsidRPr="00746ACE">
        <w:rPr>
          <w:rStyle w:val="Refdenotaalpie"/>
          <w:lang w:eastAsia="es-CO"/>
        </w:rPr>
        <w:footnoteReference w:id="30"/>
      </w:r>
      <w:r w:rsidR="00F9013F" w:rsidRPr="00746ACE">
        <w:rPr>
          <w:lang w:eastAsia="es-CO"/>
        </w:rPr>
        <w:t xml:space="preserve"> </w:t>
      </w:r>
    </w:p>
    <w:p w14:paraId="0438056E" w14:textId="77777777" w:rsidR="00F9013F" w:rsidRPr="00746ACE" w:rsidRDefault="00F9013F" w:rsidP="00FC0DFB">
      <w:pPr>
        <w:pStyle w:val="Prrafodelista"/>
        <w:widowControl w:val="0"/>
        <w:adjustRightInd w:val="0"/>
        <w:ind w:left="0"/>
        <w:rPr>
          <w:lang w:eastAsia="es-CO"/>
        </w:rPr>
      </w:pPr>
    </w:p>
    <w:p w14:paraId="6B21416E" w14:textId="39249920" w:rsidR="001E1EB6" w:rsidRPr="00746ACE" w:rsidRDefault="001E1EB6" w:rsidP="006A2C55">
      <w:pPr>
        <w:pStyle w:val="Prrafodelista"/>
        <w:widowControl w:val="0"/>
        <w:numPr>
          <w:ilvl w:val="0"/>
          <w:numId w:val="7"/>
        </w:numPr>
        <w:rPr>
          <w:lang w:eastAsia="es-CO"/>
        </w:rPr>
      </w:pPr>
      <w:bookmarkStart w:id="18" w:name="_Toc74379893"/>
      <w:bookmarkStart w:id="19" w:name="_Toc81813502"/>
      <w:r w:rsidRPr="00746ACE">
        <w:rPr>
          <w:lang w:eastAsia="es-CO"/>
        </w:rPr>
        <w:t>En primer lugar, desde la perspectiva del objeto examinado, se distingue entre c</w:t>
      </w:r>
      <w:r w:rsidR="00F9013F" w:rsidRPr="00746ACE">
        <w:rPr>
          <w:lang w:eastAsia="es-CO"/>
        </w:rPr>
        <w:t>osa juzgada formal y cosa juzgada material</w:t>
      </w:r>
      <w:bookmarkEnd w:id="18"/>
      <w:bookmarkEnd w:id="19"/>
      <w:r w:rsidR="00F9013F" w:rsidRPr="00746ACE">
        <w:rPr>
          <w:lang w:eastAsia="es-CO"/>
        </w:rPr>
        <w:t xml:space="preserve">. La </w:t>
      </w:r>
      <w:r w:rsidR="00F9013F" w:rsidRPr="00746ACE">
        <w:rPr>
          <w:i/>
          <w:lang w:eastAsia="es-CO"/>
        </w:rPr>
        <w:t>cosa juzgada formal</w:t>
      </w:r>
      <w:r w:rsidR="00F9013F" w:rsidRPr="00746ACE">
        <w:rPr>
          <w:lang w:eastAsia="es-CO"/>
        </w:rPr>
        <w:t xml:space="preserve"> se </w:t>
      </w:r>
      <w:r w:rsidRPr="00746ACE">
        <w:rPr>
          <w:lang w:eastAsia="es-CO"/>
        </w:rPr>
        <w:t xml:space="preserve">presenta </w:t>
      </w:r>
      <w:r w:rsidR="00F9013F" w:rsidRPr="00746ACE">
        <w:rPr>
          <w:lang w:eastAsia="es-CO"/>
        </w:rPr>
        <w:t xml:space="preserve">cuando una </w:t>
      </w:r>
      <w:r w:rsidRPr="00746ACE">
        <w:rPr>
          <w:lang w:eastAsia="es-CO"/>
        </w:rPr>
        <w:t xml:space="preserve">nueva </w:t>
      </w:r>
      <w:r w:rsidR="00F9013F" w:rsidRPr="00746ACE">
        <w:rPr>
          <w:lang w:eastAsia="es-CO"/>
        </w:rPr>
        <w:t xml:space="preserve">demanda </w:t>
      </w:r>
      <w:r w:rsidRPr="00746ACE">
        <w:rPr>
          <w:lang w:eastAsia="es-CO"/>
        </w:rPr>
        <w:t>recae sobre la misma disposición previamente analizada por la Corte. La cosa juzgada material, por su parte</w:t>
      </w:r>
      <w:r w:rsidR="00F9013F" w:rsidRPr="00746ACE">
        <w:rPr>
          <w:i/>
          <w:lang w:eastAsia="es-CO"/>
        </w:rPr>
        <w:t xml:space="preserve">, </w:t>
      </w:r>
      <w:r w:rsidRPr="00746ACE">
        <w:rPr>
          <w:lang w:eastAsia="es-CO"/>
        </w:rPr>
        <w:t>se configura</w:t>
      </w:r>
      <w:r w:rsidR="00F9013F" w:rsidRPr="00746ACE">
        <w:rPr>
          <w:lang w:eastAsia="es-CO"/>
        </w:rPr>
        <w:t xml:space="preserve"> cuando </w:t>
      </w:r>
      <w:r w:rsidRPr="00746ACE">
        <w:rPr>
          <w:lang w:eastAsia="es-CO"/>
        </w:rPr>
        <w:t xml:space="preserve">la disposición demandada si bien es distinta reproduce el mismo contenido normativo que ya fue objeto de control constitucional. </w:t>
      </w:r>
    </w:p>
    <w:p w14:paraId="41BFF57A" w14:textId="77777777" w:rsidR="001E1EB6" w:rsidRPr="00746ACE" w:rsidRDefault="001E1EB6" w:rsidP="006A2C55">
      <w:pPr>
        <w:widowControl w:val="0"/>
        <w:rPr>
          <w:lang w:eastAsia="es-CO"/>
        </w:rPr>
      </w:pPr>
    </w:p>
    <w:p w14:paraId="35CF0A15" w14:textId="2B9306C0" w:rsidR="001E1EB6" w:rsidRPr="00746ACE" w:rsidRDefault="001E1EB6">
      <w:pPr>
        <w:pStyle w:val="Prrafodelista"/>
        <w:widowControl w:val="0"/>
        <w:numPr>
          <w:ilvl w:val="0"/>
          <w:numId w:val="7"/>
        </w:numPr>
        <w:rPr>
          <w:lang w:eastAsia="es-CO"/>
        </w:rPr>
      </w:pPr>
      <w:r w:rsidRPr="00746ACE">
        <w:rPr>
          <w:lang w:eastAsia="es-CO"/>
        </w:rPr>
        <w:t xml:space="preserve">En segundo lugar, desde la perspectiva del problema jurídico o los cargos analizados, se distingue entre </w:t>
      </w:r>
      <w:r w:rsidR="00F9013F" w:rsidRPr="00746ACE">
        <w:rPr>
          <w:i/>
          <w:lang w:eastAsia="es-CO"/>
        </w:rPr>
        <w:t>cosa juzgada absoluta</w:t>
      </w:r>
      <w:r w:rsidR="00F9013F" w:rsidRPr="00746ACE">
        <w:rPr>
          <w:lang w:eastAsia="es-CO"/>
        </w:rPr>
        <w:t xml:space="preserve"> </w:t>
      </w:r>
      <w:r w:rsidRPr="00746ACE">
        <w:rPr>
          <w:lang w:eastAsia="es-CO"/>
        </w:rPr>
        <w:t xml:space="preserve">y cosa juzgada relativa. La cosa juzgada absoluta </w:t>
      </w:r>
      <w:r w:rsidR="00F9013F" w:rsidRPr="00746ACE">
        <w:rPr>
          <w:lang w:eastAsia="es-CO"/>
        </w:rPr>
        <w:t>se</w:t>
      </w:r>
      <w:r w:rsidRPr="00746ACE">
        <w:rPr>
          <w:lang w:eastAsia="es-CO"/>
        </w:rPr>
        <w:t xml:space="preserve"> presenta cuando la Corte ha efectuado un control integral de la norma o cuando ha declarado su inexequibilidad.</w:t>
      </w:r>
      <w:r w:rsidR="00742777" w:rsidRPr="00746ACE">
        <w:rPr>
          <w:lang w:eastAsia="es-CO"/>
        </w:rPr>
        <w:t xml:space="preserve"> </w:t>
      </w:r>
      <w:r w:rsidR="00F9013F" w:rsidRPr="00746ACE">
        <w:rPr>
          <w:lang w:eastAsia="es-CO"/>
        </w:rPr>
        <w:t>En cambio, la</w:t>
      </w:r>
      <w:r w:rsidR="00F9013F" w:rsidRPr="00746ACE">
        <w:rPr>
          <w:i/>
          <w:lang w:eastAsia="es-CO"/>
        </w:rPr>
        <w:t xml:space="preserve"> cosa juzgada relativa</w:t>
      </w:r>
      <w:r w:rsidR="00F9013F" w:rsidRPr="00746ACE">
        <w:rPr>
          <w:lang w:eastAsia="es-CO"/>
        </w:rPr>
        <w:t xml:space="preserve"> se </w:t>
      </w:r>
      <w:r w:rsidRPr="00746ACE">
        <w:rPr>
          <w:lang w:eastAsia="es-CO"/>
        </w:rPr>
        <w:t xml:space="preserve">configura </w:t>
      </w:r>
      <w:r w:rsidR="00F9013F" w:rsidRPr="00746ACE">
        <w:rPr>
          <w:lang w:eastAsia="es-CO"/>
        </w:rPr>
        <w:t xml:space="preserve">cuando la sentencia previa solo resolvió el problema constitucional o los cargos propuestos en la demanda. La </w:t>
      </w:r>
      <w:r w:rsidR="00F9013F" w:rsidRPr="00746ACE">
        <w:rPr>
          <w:i/>
          <w:lang w:eastAsia="es-CO"/>
        </w:rPr>
        <w:t xml:space="preserve">cosa juzgada relativa </w:t>
      </w:r>
      <w:r w:rsidR="00F9013F" w:rsidRPr="00746ACE">
        <w:rPr>
          <w:lang w:eastAsia="es-CO"/>
        </w:rPr>
        <w:t xml:space="preserve">es </w:t>
      </w:r>
      <w:r w:rsidR="00F9013F" w:rsidRPr="00746ACE">
        <w:rPr>
          <w:i/>
          <w:lang w:eastAsia="es-CO"/>
        </w:rPr>
        <w:t>explícita</w:t>
      </w:r>
      <w:r w:rsidR="00F9013F" w:rsidRPr="00746ACE">
        <w:rPr>
          <w:lang w:eastAsia="es-CO"/>
        </w:rPr>
        <w:t xml:space="preserve"> si la Corporación utiliza una fórmula según la cual el pronunciamiento se da “</w:t>
      </w:r>
      <w:r w:rsidR="00F9013F" w:rsidRPr="00746ACE">
        <w:rPr>
          <w:i/>
          <w:lang w:eastAsia="es-CO"/>
        </w:rPr>
        <w:t>por los cargos analizados”</w:t>
      </w:r>
      <w:r w:rsidRPr="00746ACE">
        <w:rPr>
          <w:lang w:eastAsia="es-CO"/>
        </w:rPr>
        <w:t xml:space="preserve">, o </w:t>
      </w:r>
      <w:r w:rsidR="00F9013F" w:rsidRPr="00746ACE">
        <w:rPr>
          <w:i/>
          <w:lang w:eastAsia="es-CO"/>
        </w:rPr>
        <w:t xml:space="preserve">implícita </w:t>
      </w:r>
      <w:r w:rsidR="00F9013F" w:rsidRPr="00746ACE">
        <w:rPr>
          <w:lang w:eastAsia="es-CO"/>
        </w:rPr>
        <w:t>si se infiere de la parte motiva de la sentencia</w:t>
      </w:r>
      <w:r w:rsidRPr="00746ACE">
        <w:rPr>
          <w:lang w:eastAsia="es-CO"/>
        </w:rPr>
        <w:t>.</w:t>
      </w:r>
    </w:p>
    <w:p w14:paraId="1DD4BD46" w14:textId="77777777" w:rsidR="00F9013F" w:rsidRPr="00746ACE" w:rsidRDefault="00F9013F" w:rsidP="00FC0DFB">
      <w:pPr>
        <w:widowControl w:val="0"/>
        <w:adjustRightInd w:val="0"/>
        <w:rPr>
          <w:b/>
          <w:i/>
          <w:lang w:eastAsia="es-CO"/>
        </w:rPr>
      </w:pPr>
    </w:p>
    <w:p w14:paraId="2A28FCF4" w14:textId="5E44BEDE" w:rsidR="007B525A" w:rsidRPr="00746ACE" w:rsidRDefault="007B525A" w:rsidP="006A2C55">
      <w:pPr>
        <w:pStyle w:val="Prrafodelista"/>
        <w:widowControl w:val="0"/>
        <w:numPr>
          <w:ilvl w:val="0"/>
          <w:numId w:val="7"/>
        </w:numPr>
        <w:rPr>
          <w:lang w:eastAsia="es-CO"/>
        </w:rPr>
      </w:pPr>
      <w:r w:rsidRPr="00746ACE">
        <w:rPr>
          <w:bCs/>
          <w:lang w:eastAsia="es-CO"/>
        </w:rPr>
        <w:t>Finalmente, la jurisprudencia ha reconocido el fenómeno de la</w:t>
      </w:r>
      <w:r w:rsidR="00F9013F" w:rsidRPr="00746ACE">
        <w:rPr>
          <w:bCs/>
          <w:lang w:eastAsia="es-CO"/>
        </w:rPr>
        <w:t xml:space="preserve"> cosa juzgada aparente</w:t>
      </w:r>
      <w:r w:rsidRPr="00746ACE">
        <w:rPr>
          <w:bCs/>
          <w:lang w:eastAsia="es-CO"/>
        </w:rPr>
        <w:t>. Esta se presenta cuando una decisión carece de una motivación suficiente</w:t>
      </w:r>
      <w:r w:rsidRPr="00746ACE">
        <w:rPr>
          <w:lang w:eastAsia="es-CO"/>
        </w:rPr>
        <w:t xml:space="preserve"> para sostener la conclusión adoptada. En tales eventos, no puede afirmarse que el problema constitucional </w:t>
      </w:r>
      <w:r w:rsidR="00F9013F" w:rsidRPr="00746ACE">
        <w:rPr>
          <w:lang w:eastAsia="es-CO"/>
        </w:rPr>
        <w:t>haya sido realmente juzgado</w:t>
      </w:r>
      <w:r w:rsidRPr="00746ACE">
        <w:rPr>
          <w:lang w:eastAsia="es-CO"/>
        </w:rPr>
        <w:t>, razón por la cual la decisión no produce los efectos propios de la cosa juzgada.</w:t>
      </w:r>
      <w:r w:rsidR="00742777" w:rsidRPr="00746ACE">
        <w:rPr>
          <w:lang w:eastAsia="es-CO"/>
        </w:rPr>
        <w:t xml:space="preserve"> </w:t>
      </w:r>
    </w:p>
    <w:p w14:paraId="62ACC884" w14:textId="77777777" w:rsidR="007B525A" w:rsidRPr="00746ACE" w:rsidRDefault="007B525A" w:rsidP="00FC0DFB">
      <w:pPr>
        <w:widowControl w:val="0"/>
        <w:rPr>
          <w:lang w:eastAsia="es-CO"/>
        </w:rPr>
      </w:pPr>
    </w:p>
    <w:p w14:paraId="41B46973" w14:textId="706190ED" w:rsidR="00F9013F" w:rsidRPr="00746ACE" w:rsidRDefault="00F9013F" w:rsidP="00F647D7">
      <w:pPr>
        <w:pStyle w:val="Ttulo3"/>
        <w:rPr>
          <w:rFonts w:cs="Times New Roman"/>
          <w:color w:val="auto"/>
          <w:sz w:val="28"/>
          <w:szCs w:val="28"/>
        </w:rPr>
      </w:pPr>
      <w:bookmarkStart w:id="20" w:name="_Toc74379896"/>
      <w:bookmarkStart w:id="21" w:name="_Toc81813505"/>
      <w:bookmarkStart w:id="22" w:name="_Toc233384173"/>
      <w:r w:rsidRPr="00746ACE">
        <w:rPr>
          <w:rFonts w:cs="Times New Roman"/>
          <w:color w:val="auto"/>
          <w:sz w:val="28"/>
          <w:szCs w:val="28"/>
        </w:rPr>
        <w:t>Posibilidad</w:t>
      </w:r>
      <w:r w:rsidR="00F647D7" w:rsidRPr="00746ACE">
        <w:rPr>
          <w:rFonts w:cs="Times New Roman"/>
          <w:color w:val="auto"/>
          <w:sz w:val="28"/>
          <w:szCs w:val="28"/>
        </w:rPr>
        <w:t xml:space="preserve"> excepcional</w:t>
      </w:r>
      <w:r w:rsidRPr="00746ACE">
        <w:rPr>
          <w:rFonts w:cs="Times New Roman"/>
          <w:color w:val="auto"/>
          <w:sz w:val="28"/>
          <w:szCs w:val="28"/>
        </w:rPr>
        <w:t xml:space="preserve"> de dictar un nuevo pronunciamiento, ante la existencia de cosa juzgada constitucional</w:t>
      </w:r>
      <w:bookmarkEnd w:id="20"/>
      <w:bookmarkEnd w:id="21"/>
      <w:bookmarkEnd w:id="22"/>
      <w:r w:rsidRPr="00746ACE">
        <w:rPr>
          <w:rFonts w:cs="Times New Roman"/>
          <w:color w:val="auto"/>
          <w:sz w:val="28"/>
          <w:szCs w:val="28"/>
        </w:rPr>
        <w:t xml:space="preserve"> </w:t>
      </w:r>
    </w:p>
    <w:p w14:paraId="413E38E5" w14:textId="77777777" w:rsidR="00F9013F" w:rsidRPr="00746ACE" w:rsidRDefault="00F9013F" w:rsidP="00FC0DFB">
      <w:pPr>
        <w:pStyle w:val="Prrafodelista"/>
        <w:widowControl w:val="0"/>
        <w:ind w:left="0"/>
        <w:rPr>
          <w:szCs w:val="32"/>
          <w:lang w:eastAsia="es-CO"/>
        </w:rPr>
      </w:pPr>
    </w:p>
    <w:p w14:paraId="00613394" w14:textId="37E246D1" w:rsidR="007B525A" w:rsidRPr="00746ACE" w:rsidRDefault="007B525A" w:rsidP="00FC0DFB">
      <w:pPr>
        <w:pStyle w:val="Prrafodelista"/>
        <w:widowControl w:val="0"/>
        <w:numPr>
          <w:ilvl w:val="0"/>
          <w:numId w:val="7"/>
        </w:numPr>
        <w:rPr>
          <w:lang w:eastAsia="es-CO"/>
        </w:rPr>
      </w:pPr>
      <w:r w:rsidRPr="00746ACE">
        <w:rPr>
          <w:lang w:eastAsia="es-CO"/>
        </w:rPr>
        <w:t xml:space="preserve">Aunque la cosa juzgada constitucional tiene una fuerza vinculante particularmente intensa, la jurisprudencia de esta Corte ha reconocido que, en circunstancias excepcionales, </w:t>
      </w:r>
      <w:r w:rsidR="00F9013F" w:rsidRPr="00746ACE">
        <w:rPr>
          <w:lang w:eastAsia="es-CO"/>
        </w:rPr>
        <w:t xml:space="preserve">es posible adelantar un nuevo estudio de constitucionalidad pese a la existencia </w:t>
      </w:r>
      <w:r w:rsidRPr="00746ACE">
        <w:rPr>
          <w:lang w:eastAsia="es-CO"/>
        </w:rPr>
        <w:t xml:space="preserve">de una decisión previa. </w:t>
      </w:r>
    </w:p>
    <w:p w14:paraId="3EE9722A" w14:textId="77777777" w:rsidR="007B525A" w:rsidRPr="00746ACE" w:rsidRDefault="007B525A" w:rsidP="006A2C55">
      <w:pPr>
        <w:pStyle w:val="Prrafodelista"/>
        <w:widowControl w:val="0"/>
        <w:ind w:left="0"/>
        <w:rPr>
          <w:lang w:eastAsia="es-CO"/>
        </w:rPr>
      </w:pPr>
    </w:p>
    <w:p w14:paraId="7A93F317" w14:textId="1A21B36B" w:rsidR="007B525A" w:rsidRPr="00746ACE" w:rsidRDefault="007B525A" w:rsidP="006A2C55">
      <w:pPr>
        <w:pStyle w:val="Prrafodelista"/>
        <w:widowControl w:val="0"/>
        <w:numPr>
          <w:ilvl w:val="0"/>
          <w:numId w:val="7"/>
        </w:numPr>
        <w:rPr>
          <w:bdr w:val="none" w:sz="0" w:space="0" w:color="auto" w:frame="1"/>
          <w:shd w:val="clear" w:color="auto" w:fill="FFFFFF"/>
        </w:rPr>
      </w:pPr>
      <w:r w:rsidRPr="00746ACE">
        <w:rPr>
          <w:lang w:eastAsia="es-CO"/>
        </w:rPr>
        <w:t>De acuerdo a la jurisprudencia de esta Corte, esta posibilidad puede presentarse en tres escenarios:</w:t>
      </w:r>
      <w:r w:rsidR="00F9013F" w:rsidRPr="00746ACE">
        <w:rPr>
          <w:lang w:eastAsia="es-CO"/>
        </w:rPr>
        <w:t xml:space="preserve"> (i) </w:t>
      </w:r>
      <w:r w:rsidRPr="00746ACE">
        <w:rPr>
          <w:lang w:eastAsia="es-CO"/>
        </w:rPr>
        <w:t>cuando se modifica</w:t>
      </w:r>
      <w:r w:rsidR="00F9013F" w:rsidRPr="00746ACE">
        <w:rPr>
          <w:lang w:eastAsia="es-CO"/>
        </w:rPr>
        <w:t xml:space="preserve"> el parámetro de control, </w:t>
      </w:r>
      <w:r w:rsidRPr="00746ACE">
        <w:rPr>
          <w:lang w:eastAsia="es-CO"/>
        </w:rPr>
        <w:t>por ejemplo mediante reformas constitucionales o cambios en</w:t>
      </w:r>
      <w:r w:rsidR="00F9013F" w:rsidRPr="00746ACE">
        <w:rPr>
          <w:lang w:eastAsia="es-CO"/>
        </w:rPr>
        <w:t xml:space="preserve"> el bloque de constitucionalidad; (ii) </w:t>
      </w:r>
      <w:r w:rsidR="00281EA9" w:rsidRPr="00746ACE">
        <w:rPr>
          <w:lang w:eastAsia="es-CO"/>
        </w:rPr>
        <w:t xml:space="preserve">cuando se produce </w:t>
      </w:r>
      <w:r w:rsidR="00F9013F" w:rsidRPr="00746ACE">
        <w:rPr>
          <w:lang w:eastAsia="es-CO"/>
        </w:rPr>
        <w:t>una</w:t>
      </w:r>
      <w:r w:rsidR="00281EA9" w:rsidRPr="00746ACE">
        <w:rPr>
          <w:lang w:eastAsia="es-CO"/>
        </w:rPr>
        <w:t xml:space="preserve"> transformación significativa en la comprensión material de los mandatos constitucionales</w:t>
      </w:r>
      <w:r w:rsidR="00F9013F" w:rsidRPr="00746ACE">
        <w:rPr>
          <w:lang w:eastAsia="es-CO"/>
        </w:rPr>
        <w:t xml:space="preserve">, derivada de cambios sociales, políticos o económicos </w:t>
      </w:r>
      <w:r w:rsidR="00281EA9" w:rsidRPr="00746ACE">
        <w:rPr>
          <w:lang w:eastAsia="es-CO"/>
        </w:rPr>
        <w:t>relevantes</w:t>
      </w:r>
      <w:r w:rsidR="00F9013F" w:rsidRPr="00746ACE">
        <w:rPr>
          <w:lang w:eastAsia="es-CO"/>
        </w:rPr>
        <w:t xml:space="preserve">; o (iii) </w:t>
      </w:r>
      <w:r w:rsidR="00281EA9" w:rsidRPr="00746ACE">
        <w:rPr>
          <w:lang w:eastAsia="es-CO"/>
        </w:rPr>
        <w:t>cuando se modifica</w:t>
      </w:r>
      <w:r w:rsidR="00F9013F" w:rsidRPr="00746ACE">
        <w:rPr>
          <w:lang w:eastAsia="es-CO"/>
        </w:rPr>
        <w:t xml:space="preserve"> el contexto normativo en </w:t>
      </w:r>
      <w:r w:rsidR="00281EA9" w:rsidRPr="00746ACE">
        <w:rPr>
          <w:lang w:eastAsia="es-CO"/>
        </w:rPr>
        <w:t xml:space="preserve">el </w:t>
      </w:r>
      <w:r w:rsidR="00F9013F" w:rsidRPr="00746ACE">
        <w:rPr>
          <w:lang w:eastAsia="es-CO"/>
        </w:rPr>
        <w:t xml:space="preserve">que se inserta la </w:t>
      </w:r>
      <w:r w:rsidR="00281EA9" w:rsidRPr="00746ACE">
        <w:rPr>
          <w:lang w:eastAsia="es-CO"/>
        </w:rPr>
        <w:t xml:space="preserve">disposición </w:t>
      </w:r>
      <w:r w:rsidR="00F9013F" w:rsidRPr="00746ACE">
        <w:rPr>
          <w:lang w:eastAsia="es-CO"/>
        </w:rPr>
        <w:t>objeto de control</w:t>
      </w:r>
      <w:r w:rsidR="00F9013F" w:rsidRPr="00746ACE">
        <w:rPr>
          <w:i/>
        </w:rPr>
        <w:t>.</w:t>
      </w:r>
    </w:p>
    <w:p w14:paraId="23487AC6" w14:textId="77777777" w:rsidR="007B525A" w:rsidRPr="00746ACE" w:rsidRDefault="007B525A" w:rsidP="00FC0DFB">
      <w:pPr>
        <w:widowControl w:val="0"/>
        <w:rPr>
          <w:bdr w:val="none" w:sz="0" w:space="0" w:color="auto" w:frame="1"/>
          <w:shd w:val="clear" w:color="auto" w:fill="FFFFFF"/>
        </w:rPr>
      </w:pPr>
    </w:p>
    <w:p w14:paraId="6CD964E3" w14:textId="08963E06" w:rsidR="00F9013F" w:rsidRPr="00746ACE" w:rsidRDefault="00F9013F" w:rsidP="006A2C55">
      <w:pPr>
        <w:pStyle w:val="Prrafodelista"/>
        <w:widowControl w:val="0"/>
        <w:adjustRightInd w:val="0"/>
        <w:ind w:left="0"/>
        <w:rPr>
          <w:lang w:eastAsia="es-CO"/>
        </w:rPr>
      </w:pPr>
      <w:r w:rsidRPr="00746ACE">
        <w:rPr>
          <w:bdr w:val="none" w:sz="0" w:space="0" w:color="auto" w:frame="1"/>
          <w:shd w:val="clear" w:color="auto" w:fill="FFFFFF"/>
        </w:rPr>
        <w:t>De</w:t>
      </w:r>
      <w:r w:rsidR="00281EA9" w:rsidRPr="00746ACE">
        <w:rPr>
          <w:bdr w:val="none" w:sz="0" w:space="0" w:color="auto" w:frame="1"/>
          <w:shd w:val="clear" w:color="auto" w:fill="FFFFFF"/>
        </w:rPr>
        <w:t>bido a la fuerza de la cosa juzgada constitucional, cuando un demandante pretende cuestionar su existencia o solicitar un nuevo examen de constitucionalidad, debe asumir una carga argumentativa especialmente exigente</w:t>
      </w:r>
      <w:r w:rsidR="0091199E" w:rsidRPr="00746ACE">
        <w:rPr>
          <w:rStyle w:val="Refdenotaalpie"/>
          <w:bdr w:val="none" w:sz="0" w:space="0" w:color="auto" w:frame="1"/>
          <w:shd w:val="clear" w:color="auto" w:fill="FFFFFF"/>
        </w:rPr>
        <w:footnoteReference w:id="31"/>
      </w:r>
      <w:r w:rsidR="00281EA9" w:rsidRPr="00746ACE">
        <w:rPr>
          <w:bdr w:val="none" w:sz="0" w:space="0" w:color="auto" w:frame="1"/>
          <w:shd w:val="clear" w:color="auto" w:fill="FFFFFF"/>
        </w:rPr>
        <w:t xml:space="preserve">. </w:t>
      </w:r>
    </w:p>
    <w:p w14:paraId="6B00507F" w14:textId="77777777" w:rsidR="00F9013F" w:rsidRPr="00746ACE" w:rsidRDefault="00F9013F" w:rsidP="00FC0DFB">
      <w:pPr>
        <w:pStyle w:val="Sinespaciado"/>
        <w:widowControl w:val="0"/>
        <w:rPr>
          <w:b/>
          <w:i/>
          <w:lang w:eastAsia="es-CO"/>
        </w:rPr>
      </w:pPr>
    </w:p>
    <w:p w14:paraId="061D17E5" w14:textId="58D09436" w:rsidR="00F9013F" w:rsidRPr="00746ACE" w:rsidRDefault="00F9013F" w:rsidP="00F647D7">
      <w:pPr>
        <w:pStyle w:val="Ttulo3"/>
        <w:keepNext w:val="0"/>
        <w:keepLines w:val="0"/>
        <w:widowControl w:val="0"/>
        <w:rPr>
          <w:rFonts w:cs="Times New Roman"/>
          <w:color w:val="auto"/>
          <w:sz w:val="28"/>
          <w:szCs w:val="32"/>
          <w:lang w:eastAsia="es-CO"/>
        </w:rPr>
      </w:pPr>
      <w:bookmarkStart w:id="23" w:name="_Toc233384174"/>
      <w:r w:rsidRPr="00746ACE">
        <w:rPr>
          <w:rFonts w:cs="Times New Roman"/>
          <w:color w:val="auto"/>
          <w:sz w:val="28"/>
          <w:szCs w:val="32"/>
          <w:lang w:eastAsia="es-CO"/>
        </w:rPr>
        <w:t>Inexistencia de cosa juzgada en el caso concreto</w:t>
      </w:r>
      <w:bookmarkEnd w:id="23"/>
    </w:p>
    <w:p w14:paraId="252A5421" w14:textId="77777777" w:rsidR="00F9013F" w:rsidRPr="00746ACE" w:rsidRDefault="00F9013F" w:rsidP="00FC0DFB">
      <w:pPr>
        <w:pStyle w:val="Prrafodelista"/>
        <w:widowControl w:val="0"/>
        <w:rPr>
          <w:b/>
          <w:lang w:eastAsia="es-CO"/>
        </w:rPr>
      </w:pPr>
    </w:p>
    <w:p w14:paraId="62617CB1" w14:textId="5D39D70D" w:rsidR="0038418B" w:rsidRPr="00746ACE" w:rsidRDefault="0038418B" w:rsidP="00E40846">
      <w:pPr>
        <w:pStyle w:val="Prrafodelista"/>
        <w:widowControl w:val="0"/>
        <w:numPr>
          <w:ilvl w:val="0"/>
          <w:numId w:val="7"/>
        </w:numPr>
        <w:rPr>
          <w:lang w:eastAsia="es-CO"/>
        </w:rPr>
      </w:pPr>
      <w:r w:rsidRPr="00746ACE">
        <w:t xml:space="preserve">En el presente caso, algunos intervinientes sostienen que la Corte debe </w:t>
      </w:r>
      <w:r w:rsidR="00F9013F" w:rsidRPr="00746ACE">
        <w:t>estarse a lo resuelto en la Sentencia C-080 de 2018</w:t>
      </w:r>
      <w:r w:rsidRPr="00746ACE">
        <w:t xml:space="preserve">, mediante </w:t>
      </w:r>
      <w:r w:rsidR="00E944C4" w:rsidRPr="00746ACE">
        <w:t>la</w:t>
      </w:r>
      <w:r w:rsidRPr="00746ACE">
        <w:t xml:space="preserve"> cual se adelantó el control previo, automático e integral del proyecto de ley estatutaria de la Jurisdicción Especial para la Paz.</w:t>
      </w:r>
      <w:r w:rsidR="00742777" w:rsidRPr="00746ACE">
        <w:t xml:space="preserve"> </w:t>
      </w:r>
      <w:r w:rsidRPr="00746ACE">
        <w:t>En particular</w:t>
      </w:r>
      <w:r w:rsidR="00F9013F" w:rsidRPr="00746ACE">
        <w:t xml:space="preserve"> la Defensora</w:t>
      </w:r>
      <w:r w:rsidRPr="00746ACE">
        <w:t xml:space="preserve"> del Pueblo, sugirió en la audiencia </w:t>
      </w:r>
      <w:r w:rsidR="00E944C4" w:rsidRPr="00746ACE">
        <w:t xml:space="preserve">pública </w:t>
      </w:r>
      <w:r w:rsidRPr="00746ACE">
        <w:t xml:space="preserve">que esa decisión habría definido de manera concluyente el alcance constitucional de las reglas de selección previstas en la </w:t>
      </w:r>
      <w:r w:rsidR="00E944C4" w:rsidRPr="00746ACE">
        <w:t>L</w:t>
      </w:r>
      <w:r w:rsidRPr="00746ACE">
        <w:t xml:space="preserve">ey </w:t>
      </w:r>
      <w:r w:rsidR="00E944C4" w:rsidRPr="00746ACE">
        <w:t>E</w:t>
      </w:r>
      <w:r w:rsidRPr="00746ACE">
        <w:t>statutaria</w:t>
      </w:r>
      <w:r w:rsidR="00E40846" w:rsidRPr="00746ACE">
        <w:t xml:space="preserve"> 1957 de 2019</w:t>
      </w:r>
      <w:r w:rsidRPr="00746ACE">
        <w:t xml:space="preserve">. </w:t>
      </w:r>
    </w:p>
    <w:p w14:paraId="280CB829" w14:textId="77777777" w:rsidR="00F9013F" w:rsidRPr="00746ACE" w:rsidRDefault="00F9013F" w:rsidP="00FC0DFB">
      <w:pPr>
        <w:widowControl w:val="0"/>
      </w:pPr>
    </w:p>
    <w:p w14:paraId="38129935" w14:textId="1ABF0BC0" w:rsidR="00E944C4" w:rsidRPr="00746ACE" w:rsidRDefault="00E40846" w:rsidP="006A2C55">
      <w:pPr>
        <w:pStyle w:val="Prrafodelista"/>
        <w:widowControl w:val="0"/>
        <w:numPr>
          <w:ilvl w:val="0"/>
          <w:numId w:val="7"/>
        </w:numPr>
      </w:pPr>
      <w:r w:rsidRPr="00746ACE">
        <w:t xml:space="preserve">La Sala reconoce la </w:t>
      </w:r>
      <w:r w:rsidR="00024B71" w:rsidRPr="00746ACE">
        <w:t>fuerza</w:t>
      </w:r>
      <w:r w:rsidRPr="00746ACE">
        <w:t xml:space="preserve"> de este argumento. En efecto, el control previo de constitucionalidad de las leyes estatutarias tiene carácter </w:t>
      </w:r>
      <w:r w:rsidR="00F9013F" w:rsidRPr="00746ACE">
        <w:t xml:space="preserve">automático e integral, </w:t>
      </w:r>
      <w:r w:rsidRPr="00746ACE">
        <w:t xml:space="preserve">por lo que las decisiones adoptadas en ese marco producen efectos de cosa juzgada particularmente intensos. </w:t>
      </w:r>
    </w:p>
    <w:p w14:paraId="6CB1B408" w14:textId="77777777" w:rsidR="00E944C4" w:rsidRPr="00746ACE" w:rsidRDefault="00E944C4" w:rsidP="006A2C55">
      <w:pPr>
        <w:pStyle w:val="Prrafodelista"/>
        <w:widowControl w:val="0"/>
        <w:ind w:left="0"/>
      </w:pPr>
    </w:p>
    <w:p w14:paraId="2DB42D46" w14:textId="77777777" w:rsidR="0092019A" w:rsidRPr="00746ACE" w:rsidRDefault="00E40846" w:rsidP="006A2C55">
      <w:pPr>
        <w:pStyle w:val="Prrafodelista"/>
        <w:widowControl w:val="0"/>
        <w:numPr>
          <w:ilvl w:val="0"/>
          <w:numId w:val="7"/>
        </w:numPr>
      </w:pPr>
      <w:r w:rsidRPr="00746ACE">
        <w:t xml:space="preserve">Sin embargo, </w:t>
      </w:r>
      <w:r w:rsidR="0092019A" w:rsidRPr="00746ACE">
        <w:t>e</w:t>
      </w:r>
      <w:r w:rsidRPr="00746ACE">
        <w:t xml:space="preserve">n </w:t>
      </w:r>
      <w:r w:rsidR="00F9013F" w:rsidRPr="00746ACE">
        <w:t xml:space="preserve">la Sentencia C-080 de 2018, </w:t>
      </w:r>
      <w:r w:rsidRPr="00746ACE">
        <w:t xml:space="preserve">la Corte evaluó la conformidad del proyecto de ley estatutaria de la JEP con la Constitución Política, en ejercicio de su función de control abstracto de constitucionalidad. </w:t>
      </w:r>
      <w:r w:rsidR="006A113F" w:rsidRPr="00746ACE">
        <w:t xml:space="preserve">La Senit 5, en cambio, tiene una naturaleza distinta. En ella, la Sección de Apelación resolvió un recurso de apelación y, al mismo tiempo, fijó criterios interpretativos para orientar la aplicación de las reglas de selección dentro de la jurisdicción. En consecuencia, aunque ambas decisiones se refieren a las normas sobre selección previstas en la ley estatutaria, no existe identidad ni en el objeto de control ni en el problema jurídico examinado. </w:t>
      </w:r>
    </w:p>
    <w:p w14:paraId="7439A6FA" w14:textId="77777777" w:rsidR="0092019A" w:rsidRPr="00746ACE" w:rsidRDefault="0092019A" w:rsidP="0092019A">
      <w:pPr>
        <w:pStyle w:val="Prrafodelista"/>
      </w:pPr>
    </w:p>
    <w:p w14:paraId="1CA96B91" w14:textId="0F438E3B" w:rsidR="0051134A" w:rsidRPr="00746ACE" w:rsidRDefault="00E41698" w:rsidP="006A2C55">
      <w:pPr>
        <w:pStyle w:val="Prrafodelista"/>
        <w:widowControl w:val="0"/>
        <w:numPr>
          <w:ilvl w:val="0"/>
          <w:numId w:val="7"/>
        </w:numPr>
      </w:pPr>
      <w:r w:rsidRPr="00746ACE">
        <w:t>Aun</w:t>
      </w:r>
      <w:r w:rsidR="006A113F" w:rsidRPr="00746ACE">
        <w:t xml:space="preserve"> </w:t>
      </w:r>
      <w:r w:rsidRPr="00746ACE">
        <w:t>así</w:t>
      </w:r>
      <w:r w:rsidR="006A113F" w:rsidRPr="00746ACE">
        <w:t xml:space="preserve">, esta Corte ha señalado que sus decisiones </w:t>
      </w:r>
      <w:r w:rsidRPr="00746ACE">
        <w:t>en el marco del Sistema Integral de Verdad, Justicia, Reparación y No Repetición son</w:t>
      </w:r>
      <w:r w:rsidR="00F9013F" w:rsidRPr="00746ACE">
        <w:t xml:space="preserve"> compatibles con un amplio margen de interpretación </w:t>
      </w:r>
      <w:r w:rsidRPr="00746ACE">
        <w:t xml:space="preserve">por </w:t>
      </w:r>
      <w:r w:rsidR="0051134A" w:rsidRPr="00746ACE">
        <w:t>parte de la JEP</w:t>
      </w:r>
      <w:r w:rsidR="00F9013F" w:rsidRPr="00746ACE">
        <w:t xml:space="preserve"> en los temas propios de la transición</w:t>
      </w:r>
      <w:r w:rsidR="0051134A" w:rsidRPr="00746ACE">
        <w:t xml:space="preserve">. El </w:t>
      </w:r>
      <w:r w:rsidR="00F9013F" w:rsidRPr="00746ACE">
        <w:t xml:space="preserve">juzgamiento de graves crímenes, el concepto de máxima responsabilidad y participación no determinante, la articulación del sistema de fuentes de la JEP, la comprensión del daño y la reparación en clave de justicia restaurativa son asuntos que merecen un análisis muy profundo en </w:t>
      </w:r>
      <w:r w:rsidR="0051134A" w:rsidRPr="00746ACE">
        <w:t>el contexto de los casos sometidos a su decisión.</w:t>
      </w:r>
      <w:r w:rsidR="006A113F" w:rsidRPr="00746ACE">
        <w:t xml:space="preserve"> </w:t>
      </w:r>
      <w:r w:rsidR="0051134A" w:rsidRPr="00746ACE">
        <w:t>Con todo</w:t>
      </w:r>
      <w:r w:rsidR="006A113F" w:rsidRPr="00746ACE">
        <w:t xml:space="preserve">, </w:t>
      </w:r>
      <w:r w:rsidR="0051134A" w:rsidRPr="00746ACE">
        <w:t>la Corte también ha advertido que ese margen de interpretación no es absoluto.</w:t>
      </w:r>
    </w:p>
    <w:p w14:paraId="74B1A77B" w14:textId="5E730E6C" w:rsidR="00E41698" w:rsidRPr="00746ACE" w:rsidRDefault="00E41698" w:rsidP="006A2C55">
      <w:pPr>
        <w:pStyle w:val="Prrafodelista"/>
        <w:widowControl w:val="0"/>
        <w:ind w:left="0"/>
      </w:pPr>
    </w:p>
    <w:p w14:paraId="27563D35" w14:textId="6102AC3B" w:rsidR="00F9013F" w:rsidRPr="00746ACE" w:rsidRDefault="0051134A" w:rsidP="00FC0DFB">
      <w:pPr>
        <w:pStyle w:val="Prrafodelista"/>
        <w:widowControl w:val="0"/>
        <w:numPr>
          <w:ilvl w:val="0"/>
          <w:numId w:val="7"/>
        </w:numPr>
      </w:pPr>
      <w:r w:rsidRPr="00746ACE">
        <w:t>Así, por ejemplo, si</w:t>
      </w:r>
      <w:r w:rsidR="00F9013F" w:rsidRPr="00746ACE">
        <w:t xml:space="preserve"> la Sección de apelación de la JEP </w:t>
      </w:r>
      <w:r w:rsidRPr="00746ACE">
        <w:t xml:space="preserve">concluyera </w:t>
      </w:r>
      <w:r w:rsidR="00F9013F" w:rsidRPr="00746ACE">
        <w:t xml:space="preserve">que el artículo 19 de la ley estatutaria de administración de justicia de la JEP no opera en materia de selección, correspondería a </w:t>
      </w:r>
      <w:r w:rsidRPr="00746ACE">
        <w:t>esta Corte</w:t>
      </w:r>
      <w:r w:rsidR="00F9013F" w:rsidRPr="00746ACE">
        <w:t xml:space="preserve"> dejar sin efectos esa decisión por desconocer la cosa juzgada</w:t>
      </w:r>
      <w:r w:rsidRPr="00746ACE">
        <w:t xml:space="preserve"> constitucional</w:t>
      </w:r>
      <w:r w:rsidR="00F9013F" w:rsidRPr="00746ACE">
        <w:t xml:space="preserve">. Pero, si la JEP </w:t>
      </w:r>
      <w:r w:rsidRPr="00746ACE">
        <w:t xml:space="preserve">desarrolla el significado de los criterios previstos por el legislador estatutario, es también deber de la Corte </w:t>
      </w:r>
      <w:r w:rsidR="00F9013F" w:rsidRPr="00746ACE">
        <w:t xml:space="preserve">respetar la autonomía del juez natural de la transición. En este caso la discusión resulta más compleja: </w:t>
      </w:r>
      <w:r w:rsidRPr="00746ACE">
        <w:t>según lo expuesto por el</w:t>
      </w:r>
      <w:r w:rsidR="00F9013F" w:rsidRPr="00746ACE">
        <w:t xml:space="preserve"> Magistrado</w:t>
      </w:r>
      <w:r w:rsidR="00CB5EFA" w:rsidRPr="00746ACE">
        <w:t xml:space="preserve"> </w:t>
      </w:r>
      <w:r w:rsidR="00F9013F" w:rsidRPr="00746ACE">
        <w:t xml:space="preserve">Arango Mejía, como vocero de la Sección de </w:t>
      </w:r>
      <w:r w:rsidRPr="00746ACE">
        <w:t>A</w:t>
      </w:r>
      <w:r w:rsidR="00F9013F" w:rsidRPr="00746ACE">
        <w:t xml:space="preserve">pelación, la </w:t>
      </w:r>
      <w:r w:rsidR="00C06CB8" w:rsidRPr="00746ACE">
        <w:t>“</w:t>
      </w:r>
      <w:r w:rsidR="00F9013F" w:rsidRPr="00746ACE">
        <w:t>selección de segundo orden</w:t>
      </w:r>
      <w:r w:rsidR="00C06CB8" w:rsidRPr="00746ACE">
        <w:t>”</w:t>
      </w:r>
      <w:r w:rsidR="00F9013F" w:rsidRPr="00746ACE">
        <w:t xml:space="preserve">, la </w:t>
      </w:r>
      <w:r w:rsidR="00C06CB8" w:rsidRPr="00746ACE">
        <w:t>“</w:t>
      </w:r>
      <w:r w:rsidR="00F9013F" w:rsidRPr="00746ACE">
        <w:t xml:space="preserve">responsabilidad de </w:t>
      </w:r>
      <w:r w:rsidR="00C06CB8" w:rsidRPr="00746ACE">
        <w:t xml:space="preserve">punto </w:t>
      </w:r>
      <w:r w:rsidR="00F9013F" w:rsidRPr="00746ACE">
        <w:t>medio</w:t>
      </w:r>
      <w:r w:rsidR="00C06CB8" w:rsidRPr="00746ACE">
        <w:t>”</w:t>
      </w:r>
      <w:r w:rsidR="00F9013F" w:rsidRPr="00746ACE">
        <w:t xml:space="preserve"> y las funciones de las Salas de </w:t>
      </w:r>
      <w:r w:rsidRPr="00746ACE">
        <w:t>R</w:t>
      </w:r>
      <w:r w:rsidR="00F9013F" w:rsidRPr="00746ACE">
        <w:t xml:space="preserve">econocimiento de </w:t>
      </w:r>
      <w:r w:rsidRPr="00746ACE">
        <w:t>V</w:t>
      </w:r>
      <w:r w:rsidR="00F9013F" w:rsidRPr="00746ACE">
        <w:t xml:space="preserve">erdad y </w:t>
      </w:r>
      <w:r w:rsidRPr="00746ACE">
        <w:t>R</w:t>
      </w:r>
      <w:r w:rsidR="00F9013F" w:rsidRPr="00746ACE">
        <w:t xml:space="preserve">esponsabilidad y de la de </w:t>
      </w:r>
      <w:r w:rsidRPr="00746ACE">
        <w:t>D</w:t>
      </w:r>
      <w:r w:rsidR="00F9013F" w:rsidRPr="00746ACE">
        <w:t xml:space="preserve">efinición de </w:t>
      </w:r>
      <w:r w:rsidRPr="00746ACE">
        <w:t>S</w:t>
      </w:r>
      <w:r w:rsidR="00F9013F" w:rsidRPr="00746ACE">
        <w:t xml:space="preserve">ituaciones </w:t>
      </w:r>
      <w:r w:rsidRPr="00746ACE">
        <w:t>J</w:t>
      </w:r>
      <w:r w:rsidR="00F9013F" w:rsidRPr="00746ACE">
        <w:t xml:space="preserve">urídicas sí </w:t>
      </w:r>
      <w:r w:rsidRPr="00746ACE">
        <w:t>se encuentran previstas en la</w:t>
      </w:r>
      <w:r w:rsidR="00F9013F" w:rsidRPr="00746ACE">
        <w:t xml:space="preserve"> </w:t>
      </w:r>
      <w:r w:rsidRPr="00746ACE">
        <w:t>l</w:t>
      </w:r>
      <w:r w:rsidR="00F9013F" w:rsidRPr="00746ACE">
        <w:t>ey estatutaria</w:t>
      </w:r>
      <w:r w:rsidRPr="00746ACE">
        <w:t xml:space="preserve">. En esa perspectiva, </w:t>
      </w:r>
      <w:r w:rsidR="00F9013F" w:rsidRPr="00746ACE">
        <w:t xml:space="preserve">la Senit 5 </w:t>
      </w:r>
      <w:r w:rsidRPr="00746ACE">
        <w:t xml:space="preserve">se habría limitado a aclarar </w:t>
      </w:r>
      <w:r w:rsidR="00F9013F" w:rsidRPr="00746ACE">
        <w:t xml:space="preserve">aspectos dudosos, </w:t>
      </w:r>
      <w:r w:rsidRPr="00746ACE">
        <w:t xml:space="preserve">posteriormente precisados en las Senit </w:t>
      </w:r>
      <w:r w:rsidR="00F9013F" w:rsidRPr="00746ACE">
        <w:t>8 y 9.</w:t>
      </w:r>
    </w:p>
    <w:p w14:paraId="2AC12E75" w14:textId="50200B3B" w:rsidR="0051134A" w:rsidRPr="00746ACE" w:rsidRDefault="0051134A" w:rsidP="00FC0DFB">
      <w:pPr>
        <w:widowControl w:val="0"/>
      </w:pPr>
    </w:p>
    <w:p w14:paraId="1742DC9F" w14:textId="6E03B6FA" w:rsidR="00F9013F" w:rsidRPr="00746ACE" w:rsidRDefault="0051134A" w:rsidP="00FC0DFB">
      <w:pPr>
        <w:pStyle w:val="Prrafodelista"/>
        <w:widowControl w:val="0"/>
        <w:numPr>
          <w:ilvl w:val="0"/>
          <w:numId w:val="7"/>
        </w:numPr>
      </w:pPr>
      <w:r w:rsidRPr="00746ACE">
        <w:t>En consecuencia</w:t>
      </w:r>
      <w:r w:rsidR="00F9013F" w:rsidRPr="00746ACE">
        <w:t xml:space="preserve">, </w:t>
      </w:r>
      <w:r w:rsidR="00E944C4" w:rsidRPr="00746ACE">
        <w:t>el problema jurídico que s</w:t>
      </w:r>
      <w:r w:rsidRPr="00746ACE">
        <w:t>urge</w:t>
      </w:r>
      <w:r w:rsidR="00E944C4" w:rsidRPr="00746ACE">
        <w:t xml:space="preserve"> en este caso</w:t>
      </w:r>
      <w:r w:rsidR="00F9013F" w:rsidRPr="00746ACE">
        <w:t xml:space="preserve"> </w:t>
      </w:r>
      <w:r w:rsidRPr="00746ACE">
        <w:t xml:space="preserve">se relaciona </w:t>
      </w:r>
      <w:r w:rsidR="00F9013F" w:rsidRPr="00746ACE">
        <w:t>con la interpretación de la Ley 195</w:t>
      </w:r>
      <w:r w:rsidR="00457FCB" w:rsidRPr="00746ACE">
        <w:t>7</w:t>
      </w:r>
      <w:r w:rsidR="00F9013F" w:rsidRPr="00746ACE">
        <w:t xml:space="preserve"> de 201</w:t>
      </w:r>
      <w:r w:rsidR="00457FCB" w:rsidRPr="00746ACE">
        <w:t>9</w:t>
      </w:r>
      <w:r w:rsidR="00F9013F" w:rsidRPr="00746ACE">
        <w:t xml:space="preserve"> y</w:t>
      </w:r>
      <w:r w:rsidR="00E944C4" w:rsidRPr="00746ACE">
        <w:t xml:space="preserve"> de</w:t>
      </w:r>
      <w:r w:rsidR="00F9013F" w:rsidRPr="00746ACE">
        <w:t xml:space="preserve"> la Sentencia C-080 de 2018, lo que conduce una vez más al derecho viviente y a la necesidad de un estudio de fondo. </w:t>
      </w:r>
    </w:p>
    <w:p w14:paraId="3BCB0D40" w14:textId="77777777" w:rsidR="0051134A" w:rsidRPr="00746ACE" w:rsidRDefault="0051134A" w:rsidP="00FC0DFB">
      <w:pPr>
        <w:widowControl w:val="0"/>
      </w:pPr>
    </w:p>
    <w:p w14:paraId="39EFB595" w14:textId="4327B7E5" w:rsidR="00930AFC" w:rsidRPr="00746ACE" w:rsidRDefault="0051134A" w:rsidP="00FC0DFB">
      <w:pPr>
        <w:pStyle w:val="Prrafodelista"/>
        <w:widowControl w:val="0"/>
        <w:numPr>
          <w:ilvl w:val="0"/>
          <w:numId w:val="7"/>
        </w:numPr>
      </w:pPr>
      <w:r w:rsidRPr="00746ACE">
        <w:t>Debe recordarse, además</w:t>
      </w:r>
      <w:r w:rsidR="00E944C4" w:rsidRPr="00746ACE">
        <w:t>, que al</w:t>
      </w:r>
      <w:r w:rsidR="00F9013F" w:rsidRPr="00746ACE">
        <w:t xml:space="preserve"> dictar la sentencia C-080 de 2018 la Corte Constitucional ejerció una función de control abstracto de constitucionalidad y no de interpretación del derecho legal. La </w:t>
      </w:r>
      <w:r w:rsidRPr="00746ACE">
        <w:t>cuestión que debía</w:t>
      </w:r>
      <w:r w:rsidR="00F9013F" w:rsidRPr="00746ACE">
        <w:t xml:space="preserve"> resolver </w:t>
      </w:r>
      <w:r w:rsidR="00E944C4" w:rsidRPr="00746ACE">
        <w:t xml:space="preserve">en esa oportunidad </w:t>
      </w:r>
      <w:r w:rsidRPr="00746ACE">
        <w:t>consistía en determinar</w:t>
      </w:r>
      <w:r w:rsidR="00F9013F" w:rsidRPr="00746ACE">
        <w:t xml:space="preserve"> si los mandatos definidos por el legislador estatutario se oponían a la supremacía constitucional, </w:t>
      </w:r>
      <w:r w:rsidR="00930AFC" w:rsidRPr="00746ACE">
        <w:t xml:space="preserve">teniendo en cuenta el contexto </w:t>
      </w:r>
      <w:r w:rsidR="00F9013F" w:rsidRPr="00746ACE">
        <w:t xml:space="preserve">histórico, político y jurídico </w:t>
      </w:r>
      <w:r w:rsidR="00930AFC" w:rsidRPr="00746ACE">
        <w:t xml:space="preserve">propio del proceso </w:t>
      </w:r>
      <w:r w:rsidR="00F9013F" w:rsidRPr="00746ACE">
        <w:t xml:space="preserve">de transición. </w:t>
      </w:r>
    </w:p>
    <w:p w14:paraId="320A1FEB" w14:textId="77777777" w:rsidR="00930AFC" w:rsidRPr="00746ACE" w:rsidRDefault="00930AFC" w:rsidP="006A2C55">
      <w:pPr>
        <w:pStyle w:val="Prrafodelista"/>
        <w:widowControl w:val="0"/>
        <w:ind w:left="0"/>
      </w:pPr>
    </w:p>
    <w:p w14:paraId="263049C4" w14:textId="47FD55E3" w:rsidR="00F9013F" w:rsidRPr="00746ACE" w:rsidRDefault="00930AFC" w:rsidP="00FC0DFB">
      <w:pPr>
        <w:pStyle w:val="Prrafodelista"/>
        <w:widowControl w:val="0"/>
        <w:numPr>
          <w:ilvl w:val="0"/>
          <w:numId w:val="7"/>
        </w:numPr>
      </w:pPr>
      <w:r w:rsidRPr="00746ACE">
        <w:t>La</w:t>
      </w:r>
      <w:r w:rsidR="00F9013F" w:rsidRPr="00746ACE">
        <w:t xml:space="preserve"> Senit 5,</w:t>
      </w:r>
      <w:r w:rsidRPr="00746ACE">
        <w:t xml:space="preserve"> por su parte, cumple una función distinta. En ella, </w:t>
      </w:r>
      <w:r w:rsidR="00F9013F" w:rsidRPr="00746ACE">
        <w:t xml:space="preserve">la Sección de apelación </w:t>
      </w:r>
      <w:r w:rsidRPr="00746ACE">
        <w:t xml:space="preserve">resolvió </w:t>
      </w:r>
      <w:r w:rsidR="00F9013F" w:rsidRPr="00746ACE">
        <w:t>un recurso de apelación contra una decisión de selección</w:t>
      </w:r>
      <w:r w:rsidRPr="00746ACE">
        <w:t xml:space="preserve"> y, al mismo tiempo, planteó</w:t>
      </w:r>
      <w:r w:rsidR="00F9013F" w:rsidRPr="00746ACE">
        <w:t xml:space="preserve"> un problema jurídico </w:t>
      </w:r>
      <w:r w:rsidRPr="00746ACE">
        <w:t xml:space="preserve">más </w:t>
      </w:r>
      <w:r w:rsidR="00F9013F" w:rsidRPr="00746ACE">
        <w:t xml:space="preserve">amplio acerca de cómo proceder frente a partícipes no determinantes de crímenes graves y representativos, a partir de las normas sobre la selección. </w:t>
      </w:r>
      <w:r w:rsidRPr="00746ACE">
        <w:t>Se trata de una</w:t>
      </w:r>
      <w:r w:rsidR="00F9013F" w:rsidRPr="00746ACE">
        <w:t xml:space="preserve"> función propia del juez natural de la transición, de m</w:t>
      </w:r>
      <w:r w:rsidRPr="00746ACE">
        <w:t>odo</w:t>
      </w:r>
      <w:r w:rsidR="00F9013F" w:rsidRPr="00746ACE">
        <w:t xml:space="preserve"> que no puede hablarse de identidad en el parámetro de control n</w:t>
      </w:r>
      <w:r w:rsidRPr="00746ACE">
        <w:t>i</w:t>
      </w:r>
      <w:r w:rsidR="00F9013F" w:rsidRPr="00746ACE">
        <w:t xml:space="preserve"> en el problema </w:t>
      </w:r>
      <w:r w:rsidRPr="00746ACE">
        <w:t xml:space="preserve">jurídico </w:t>
      </w:r>
      <w:r w:rsidR="00F9013F" w:rsidRPr="00746ACE">
        <w:t xml:space="preserve">a resolver. </w:t>
      </w:r>
    </w:p>
    <w:p w14:paraId="4BED6B86" w14:textId="77777777" w:rsidR="0051134A" w:rsidRPr="00746ACE" w:rsidRDefault="0051134A" w:rsidP="006A2C55">
      <w:pPr>
        <w:widowControl w:val="0"/>
      </w:pPr>
    </w:p>
    <w:p w14:paraId="44E4C79C" w14:textId="387E651A" w:rsidR="00930AFC" w:rsidRPr="00746ACE" w:rsidRDefault="007B0372" w:rsidP="006A2C55">
      <w:pPr>
        <w:pStyle w:val="Prrafodelista"/>
        <w:widowControl w:val="0"/>
        <w:numPr>
          <w:ilvl w:val="0"/>
          <w:numId w:val="7"/>
        </w:numPr>
      </w:pPr>
      <w:r w:rsidRPr="00746ACE">
        <w:t xml:space="preserve">La Sentencia C-080 de 2018 y la Sentencia Interpretativa 5 se mueven en planos distintos. </w:t>
      </w:r>
      <w:r w:rsidR="00955F6F" w:rsidRPr="00746ACE">
        <w:t xml:space="preserve">La primera evaluó la conformidad del proyecto de ley estatutaria de administración de justicia de la JEP con la Constitución Política, y su contenido hizo tránsito a cosa juzgada absoluta. La Senit 5 define reglas de interpretación y orientaciones para la aplicación del derecho por parte de salas y secciones de la JEP. </w:t>
      </w:r>
      <w:r w:rsidR="00930AFC" w:rsidRPr="00746ACE">
        <w:t xml:space="preserve">En este contexto, si la Sala se limitara a estarse a lo resuelto en la Sentencia C-080 de 2018, no resolvería la cuestión planteada en la demanda ni asumiría la tarea de determinar si la Senit 5 desarrolló razonablemente las consideraciones de validez constitucional fijadas en esa providencia frente a problemas complejos propios de la JEP o si, por el contrario, las desconoció. </w:t>
      </w:r>
    </w:p>
    <w:p w14:paraId="51A06131" w14:textId="77777777" w:rsidR="007C2D13" w:rsidRPr="00746ACE" w:rsidRDefault="007C2D13" w:rsidP="006A2C55"/>
    <w:p w14:paraId="209CC4CE" w14:textId="38EDC85F" w:rsidR="003F20EE" w:rsidRPr="00746ACE" w:rsidRDefault="007C2D13">
      <w:pPr>
        <w:pStyle w:val="Prrafodelista"/>
        <w:widowControl w:val="0"/>
        <w:numPr>
          <w:ilvl w:val="0"/>
          <w:numId w:val="7"/>
        </w:numPr>
      </w:pPr>
      <w:r w:rsidRPr="00746ACE">
        <w:rPr>
          <w:b/>
          <w:i/>
        </w:rPr>
        <w:t xml:space="preserve">Conclusión </w:t>
      </w:r>
      <w:r w:rsidR="00ED42DB" w:rsidRPr="00746ACE">
        <w:rPr>
          <w:b/>
          <w:i/>
        </w:rPr>
        <w:t>5</w:t>
      </w:r>
      <w:r w:rsidRPr="00746ACE">
        <w:rPr>
          <w:b/>
          <w:i/>
        </w:rPr>
        <w:t>.</w:t>
      </w:r>
      <w:r w:rsidRPr="00746ACE">
        <w:t xml:space="preserve"> La diferencia en la naturaleza de la </w:t>
      </w:r>
      <w:r w:rsidR="003F20EE" w:rsidRPr="00746ACE">
        <w:t xml:space="preserve">Sentencia </w:t>
      </w:r>
      <w:r w:rsidRPr="00746ACE">
        <w:t>C-080 de 2018</w:t>
      </w:r>
      <w:r w:rsidR="00FD1CF6" w:rsidRPr="00746ACE">
        <w:t xml:space="preserve"> y la Senit 5</w:t>
      </w:r>
      <w:r w:rsidRPr="00746ACE">
        <w:t xml:space="preserve">, </w:t>
      </w:r>
      <w:r w:rsidR="003F20EE" w:rsidRPr="00746ACE">
        <w:t>así como la discusión</w:t>
      </w:r>
      <w:r w:rsidR="00FD1CF6" w:rsidRPr="00746ACE">
        <w:t xml:space="preserve"> existe</w:t>
      </w:r>
      <w:r w:rsidR="003F20EE" w:rsidRPr="00746ACE">
        <w:t>nte</w:t>
      </w:r>
      <w:r w:rsidR="00FD1CF6" w:rsidRPr="00746ACE">
        <w:t xml:space="preserve"> acerca de si </w:t>
      </w:r>
      <w:r w:rsidR="003F20EE" w:rsidRPr="00746ACE">
        <w:t>esta última</w:t>
      </w:r>
      <w:r w:rsidR="00FD1CF6" w:rsidRPr="00746ACE">
        <w:t xml:space="preserve"> creó reglas contrarias</w:t>
      </w:r>
      <w:r w:rsidR="003F20EE" w:rsidRPr="00746ACE">
        <w:t xml:space="preserve"> a lo decidido en</w:t>
      </w:r>
      <w:r w:rsidR="00FD1CF6" w:rsidRPr="00746ACE">
        <w:t xml:space="preserve"> la C-080 de 2018 o simplemente desarrolló</w:t>
      </w:r>
      <w:r w:rsidR="003F20EE" w:rsidRPr="00746ACE">
        <w:t xml:space="preserve"> su alcance</w:t>
      </w:r>
      <w:r w:rsidR="00FD1CF6" w:rsidRPr="00746ACE">
        <w:t xml:space="preserve">, </w:t>
      </w:r>
      <w:r w:rsidRPr="00746ACE">
        <w:t xml:space="preserve">impiden declarar la </w:t>
      </w:r>
      <w:r w:rsidR="003F20EE" w:rsidRPr="00746ACE">
        <w:t xml:space="preserve">existencia de </w:t>
      </w:r>
      <w:r w:rsidRPr="00746ACE">
        <w:t xml:space="preserve">cosa juzgada. </w:t>
      </w:r>
      <w:r w:rsidR="00FD1CF6" w:rsidRPr="00746ACE">
        <w:t xml:space="preserve">En otros términos, </w:t>
      </w:r>
      <w:r w:rsidR="003F20EE" w:rsidRPr="00746ACE">
        <w:t xml:space="preserve">determinar </w:t>
      </w:r>
      <w:r w:rsidR="00FD1CF6" w:rsidRPr="00746ACE">
        <w:t>s</w:t>
      </w:r>
      <w:r w:rsidRPr="00746ACE">
        <w:t xml:space="preserve">i </w:t>
      </w:r>
      <w:r w:rsidR="003F20EE" w:rsidRPr="00746ACE">
        <w:t>la interpretación adoptada por la</w:t>
      </w:r>
      <w:r w:rsidRPr="00746ACE">
        <w:t xml:space="preserve"> Sección de Apelación a la Senit 5 es adecuad</w:t>
      </w:r>
      <w:r w:rsidR="003F20EE" w:rsidRPr="00746ACE">
        <w:t>a</w:t>
      </w:r>
      <w:r w:rsidRPr="00746ACE">
        <w:t xml:space="preserve"> o no </w:t>
      </w:r>
      <w:r w:rsidR="00FD1CF6" w:rsidRPr="00746ACE">
        <w:t xml:space="preserve">constituye, en el estado de cosas descrito, </w:t>
      </w:r>
      <w:r w:rsidRPr="00746ACE">
        <w:t>un problema de fondo.</w:t>
      </w:r>
    </w:p>
    <w:p w14:paraId="3C29B6B3" w14:textId="77777777" w:rsidR="007C2D13" w:rsidRPr="00746ACE" w:rsidRDefault="007C2D13" w:rsidP="00FC0DFB">
      <w:pPr>
        <w:pStyle w:val="Prrafodelista"/>
        <w:widowControl w:val="0"/>
        <w:ind w:left="0"/>
      </w:pPr>
    </w:p>
    <w:p w14:paraId="3E7CB542" w14:textId="77777777" w:rsidR="00E92835" w:rsidRPr="00746ACE" w:rsidRDefault="00E92835" w:rsidP="0071264F">
      <w:pPr>
        <w:pStyle w:val="Ttulo2"/>
        <w:rPr>
          <w:rFonts w:cs="Times New Roman"/>
        </w:rPr>
      </w:pPr>
      <w:bookmarkStart w:id="24" w:name="_Toc233384175"/>
      <w:r w:rsidRPr="00746ACE">
        <w:rPr>
          <w:rFonts w:cs="Times New Roman"/>
        </w:rPr>
        <w:t>Aptitud de la demanda</w:t>
      </w:r>
      <w:bookmarkEnd w:id="24"/>
    </w:p>
    <w:p w14:paraId="514279F2" w14:textId="77777777" w:rsidR="00E92835" w:rsidRPr="00746ACE" w:rsidRDefault="00E92835" w:rsidP="00FC0DFB">
      <w:pPr>
        <w:widowControl w:val="0"/>
      </w:pPr>
    </w:p>
    <w:p w14:paraId="7E4D1200" w14:textId="7FABA1C3" w:rsidR="00E92835" w:rsidRPr="00746ACE" w:rsidRDefault="00E92835" w:rsidP="00FC0DFB">
      <w:pPr>
        <w:pStyle w:val="Prrafodelista"/>
        <w:widowControl w:val="0"/>
        <w:numPr>
          <w:ilvl w:val="0"/>
          <w:numId w:val="7"/>
        </w:numPr>
      </w:pPr>
      <w:r w:rsidRPr="00746ACE">
        <w:t>La acción pública de inconstitucionalidad, concebida como la posibilidad de cuestionar la validez de una ley frente a la Constitución Política</w:t>
      </w:r>
      <w:r w:rsidR="009151D1" w:rsidRPr="00746ACE">
        <w:t>,</w:t>
      </w:r>
      <w:r w:rsidRPr="00746ACE">
        <w:t xml:space="preserve"> es una de las herramientas más poderosas para defender la supremacía y eficacia de las normas constitucionales. </w:t>
      </w:r>
    </w:p>
    <w:p w14:paraId="6DB88913" w14:textId="77777777" w:rsidR="00E92835" w:rsidRPr="00746ACE" w:rsidRDefault="00E92835" w:rsidP="00FC0DFB">
      <w:pPr>
        <w:widowControl w:val="0"/>
      </w:pPr>
    </w:p>
    <w:p w14:paraId="5B6FA080" w14:textId="5066B20A" w:rsidR="00E92835" w:rsidRPr="00746ACE" w:rsidRDefault="00E92835" w:rsidP="00FC0DFB">
      <w:pPr>
        <w:pStyle w:val="Prrafodelista"/>
        <w:widowControl w:val="0"/>
        <w:numPr>
          <w:ilvl w:val="0"/>
          <w:numId w:val="7"/>
        </w:numPr>
      </w:pPr>
      <w:r w:rsidRPr="00746ACE">
        <w:t>La fuerza de este instrumento se debe a distint</w:t>
      </w:r>
      <w:r w:rsidR="00D03BA0" w:rsidRPr="00746ACE">
        <w:t>a</w:t>
      </w:r>
      <w:r w:rsidRPr="00746ACE">
        <w:t xml:space="preserve">s </w:t>
      </w:r>
      <w:r w:rsidR="00D03BA0" w:rsidRPr="00746ACE">
        <w:t>razones</w:t>
      </w:r>
      <w:r w:rsidRPr="00746ACE">
        <w:t xml:space="preserve">. Para empezar, todo ciudadano está legitimado </w:t>
      </w:r>
      <w:r w:rsidR="00FD1CF6" w:rsidRPr="00746ACE">
        <w:t>–</w:t>
      </w:r>
      <w:r w:rsidRPr="00746ACE">
        <w:t>o tiene capacidad</w:t>
      </w:r>
      <w:r w:rsidR="00FD1CF6" w:rsidRPr="00746ACE">
        <w:t>–</w:t>
      </w:r>
      <w:r w:rsidRPr="00746ACE">
        <w:t xml:space="preserve"> para presentar</w:t>
      </w:r>
      <w:r w:rsidR="00C4011F" w:rsidRPr="00746ACE">
        <w:t xml:space="preserve"> dicha acción</w:t>
      </w:r>
      <w:r w:rsidRPr="00746ACE">
        <w:t xml:space="preserve">, pues todos tenemos interés en la defensa de la Constitución. Además, no está sometida a exigentes requisitos formales, ni exige la asesoría de un profesional del derecho. Por último, abre un espacio profundo de participación, donde </w:t>
      </w:r>
      <w:r w:rsidR="00FD1CF6" w:rsidRPr="00746ACE">
        <w:t xml:space="preserve">los </w:t>
      </w:r>
      <w:r w:rsidRPr="00746ACE">
        <w:t xml:space="preserve">ciudadanos, organizaciones, </w:t>
      </w:r>
      <w:r w:rsidR="00FD1CF6" w:rsidRPr="00746ACE">
        <w:t xml:space="preserve">personas e instituciones </w:t>
      </w:r>
      <w:r w:rsidRPr="00746ACE">
        <w:t>expert</w:t>
      </w:r>
      <w:r w:rsidR="00FD1CF6" w:rsidRPr="00746ACE">
        <w:t>a</w:t>
      </w:r>
      <w:r w:rsidRPr="00746ACE">
        <w:t>s</w:t>
      </w:r>
      <w:r w:rsidR="00FD1CF6" w:rsidRPr="00746ACE">
        <w:t>,</w:t>
      </w:r>
      <w:r w:rsidRPr="00746ACE">
        <w:t xml:space="preserve"> y </w:t>
      </w:r>
      <w:r w:rsidR="001653D7" w:rsidRPr="00746ACE">
        <w:t>autoridades</w:t>
      </w:r>
      <w:r w:rsidR="00FD1CF6" w:rsidRPr="00746ACE">
        <w:t xml:space="preserve"> </w:t>
      </w:r>
      <w:r w:rsidRPr="00746ACE">
        <w:t xml:space="preserve">pueden </w:t>
      </w:r>
      <w:r w:rsidR="00C4011F" w:rsidRPr="00746ACE">
        <w:t xml:space="preserve">plantear </w:t>
      </w:r>
      <w:r w:rsidRPr="00746ACE">
        <w:t xml:space="preserve">puntos de vista a favor y en contra de la disposición o norma cuestionada. </w:t>
      </w:r>
    </w:p>
    <w:p w14:paraId="646D3F6A" w14:textId="77777777" w:rsidR="00E92835" w:rsidRPr="00746ACE" w:rsidRDefault="00E92835" w:rsidP="00FC0DFB">
      <w:pPr>
        <w:widowControl w:val="0"/>
      </w:pPr>
    </w:p>
    <w:p w14:paraId="4E26BB72" w14:textId="17A94911" w:rsidR="00E92835" w:rsidRPr="00746ACE" w:rsidRDefault="00E92835" w:rsidP="00FC0DFB">
      <w:pPr>
        <w:pStyle w:val="Prrafodelista"/>
        <w:widowControl w:val="0"/>
        <w:numPr>
          <w:ilvl w:val="0"/>
          <w:numId w:val="7"/>
        </w:numPr>
      </w:pPr>
      <w:r w:rsidRPr="00746ACE">
        <w:t xml:space="preserve">La acción pública de inconstitucionalidad es un escenario donde la facultad democrática de hacer las leyes, a cargo del Congreso, interactúa con el derecho de todos de participar en los asuntos públicos mediante la defensa de la Constitución. Por esta razón, no supone ningún requisito formal. Sin embargo, para que sea posible iniciar un debate, y para evitar que el control se torne oficioso, la Corte Constitucional ha señalado que </w:t>
      </w:r>
      <w:r w:rsidR="00C4011F" w:rsidRPr="00746ACE">
        <w:t xml:space="preserve">se </w:t>
      </w:r>
      <w:r w:rsidRPr="00746ACE">
        <w:t xml:space="preserve">deben cumplir unas cargas argumentativas mínimas. En especial, identificar la norma demandada y el parámetro de control constitucional. </w:t>
      </w:r>
    </w:p>
    <w:p w14:paraId="3EF1DA82" w14:textId="77777777" w:rsidR="00E92835" w:rsidRPr="00746ACE" w:rsidRDefault="00E92835" w:rsidP="00FC0DFB">
      <w:pPr>
        <w:widowControl w:val="0"/>
      </w:pPr>
    </w:p>
    <w:p w14:paraId="5F587BC0" w14:textId="5BA487F9" w:rsidR="00E92835" w:rsidRPr="00746ACE" w:rsidRDefault="00E92835" w:rsidP="00FC0DFB">
      <w:pPr>
        <w:pStyle w:val="Prrafodelista"/>
        <w:widowControl w:val="0"/>
        <w:numPr>
          <w:ilvl w:val="0"/>
          <w:numId w:val="7"/>
        </w:numPr>
      </w:pPr>
      <w:r w:rsidRPr="00746ACE">
        <w:t xml:space="preserve">Este objetivo se persigue mediante cinco requisitos argumentativos. La demanda debe ser </w:t>
      </w:r>
      <w:r w:rsidRPr="00746ACE">
        <w:rPr>
          <w:i/>
        </w:rPr>
        <w:t>clara</w:t>
      </w:r>
      <w:r w:rsidRPr="00746ACE">
        <w:t xml:space="preserve">, de manera que sea posible identificar sus premisas y su conclusión, y el hilo narrativo que las ata; debe ser </w:t>
      </w:r>
      <w:r w:rsidRPr="00746ACE">
        <w:rPr>
          <w:i/>
        </w:rPr>
        <w:t>cierta</w:t>
      </w:r>
      <w:r w:rsidRPr="00746ACE">
        <w:t xml:space="preserve">, lo que significa que presente una interpretación razonable y no puramente subjetiva o caprichosa de la disposición demandadas; </w:t>
      </w:r>
      <w:r w:rsidR="00FD1CF6" w:rsidRPr="00746ACE">
        <w:t xml:space="preserve">ser </w:t>
      </w:r>
      <w:r w:rsidRPr="00746ACE">
        <w:rPr>
          <w:i/>
        </w:rPr>
        <w:t>específica</w:t>
      </w:r>
      <w:r w:rsidRPr="00746ACE">
        <w:t>, es decir, que explique el mecanismo o las razones por las cuales la disposición controlada desconoce mandatos superiores de la Constitución</w:t>
      </w:r>
      <w:r w:rsidR="00FD1CF6" w:rsidRPr="00746ACE">
        <w:t xml:space="preserve">; demostrar </w:t>
      </w:r>
      <w:r w:rsidR="00FD1CF6" w:rsidRPr="00746ACE">
        <w:rPr>
          <w:i/>
        </w:rPr>
        <w:t>pertinencia</w:t>
      </w:r>
      <w:r w:rsidRPr="00746ACE">
        <w:t xml:space="preserve">, requisito que exige plantear un problema de incompatibilidad con contenidos constitucionales, y no uno de conveniencia política, o de contradicción normativa entre disposiciones de la ley. Por último, debe ser </w:t>
      </w:r>
      <w:r w:rsidRPr="00746ACE">
        <w:rPr>
          <w:i/>
        </w:rPr>
        <w:t>suficiente</w:t>
      </w:r>
      <w:r w:rsidRPr="00746ACE">
        <w:t xml:space="preserve">, </w:t>
      </w:r>
      <w:r w:rsidR="00FD1CF6" w:rsidRPr="00746ACE">
        <w:t xml:space="preserve">esto es, capaz de </w:t>
      </w:r>
      <w:r w:rsidRPr="00746ACE">
        <w:t>generar una duda inicial sobre la validez –o la presunción de validez– de la ley</w:t>
      </w:r>
      <w:r w:rsidRPr="00746ACE">
        <w:rPr>
          <w:rStyle w:val="Refdenotaalpie"/>
        </w:rPr>
        <w:footnoteReference w:id="32"/>
      </w:r>
      <w:r w:rsidRPr="00746ACE">
        <w:t xml:space="preserve">. </w:t>
      </w:r>
    </w:p>
    <w:p w14:paraId="096CD851" w14:textId="77777777" w:rsidR="00E92835" w:rsidRPr="00746ACE" w:rsidRDefault="00E92835" w:rsidP="00FC0DFB">
      <w:pPr>
        <w:pStyle w:val="Prrafodelista"/>
        <w:widowControl w:val="0"/>
        <w:tabs>
          <w:tab w:val="left" w:pos="567"/>
        </w:tabs>
        <w:ind w:left="0"/>
      </w:pPr>
    </w:p>
    <w:p w14:paraId="7B5C89EE" w14:textId="75521683" w:rsidR="00212AD5" w:rsidRPr="00746ACE" w:rsidRDefault="002A4E22" w:rsidP="001417A1">
      <w:pPr>
        <w:pStyle w:val="Prrafodelista"/>
        <w:widowControl w:val="0"/>
        <w:ind w:left="0"/>
        <w:jc w:val="center"/>
        <w:rPr>
          <w:i/>
          <w:szCs w:val="24"/>
          <w:lang w:eastAsia="es-ES"/>
        </w:rPr>
      </w:pPr>
      <w:r w:rsidRPr="00746ACE">
        <w:rPr>
          <w:b/>
          <w:bCs/>
          <w:iCs/>
          <w:szCs w:val="24"/>
        </w:rPr>
        <w:t xml:space="preserve">Tabla 4. </w:t>
      </w:r>
      <w:r w:rsidR="00E92835" w:rsidRPr="00746ACE">
        <w:rPr>
          <w:i/>
          <w:szCs w:val="24"/>
        </w:rPr>
        <w:t>Requisitos de aptitud de demandas contra normas de derecho viviente</w:t>
      </w:r>
    </w:p>
    <w:p w14:paraId="4ED2E053" w14:textId="700FE74F" w:rsidR="00212AD5" w:rsidRPr="00746ACE" w:rsidRDefault="00212AD5" w:rsidP="001417A1">
      <w:pPr>
        <w:pStyle w:val="Descripcin"/>
        <w:widowControl w:val="0"/>
        <w:rPr>
          <w:b w:val="0"/>
          <w:i/>
          <w:caps w:val="0"/>
          <w:sz w:val="28"/>
          <w:szCs w:val="24"/>
          <w:lang w:val="es-ES"/>
        </w:rPr>
      </w:pPr>
      <w:r w:rsidRPr="00746ACE">
        <w:rPr>
          <w:b w:val="0"/>
          <w:i/>
          <w:caps w:val="0"/>
          <w:sz w:val="28"/>
          <w:szCs w:val="24"/>
          <w:lang w:val="es-ES"/>
        </w:rPr>
        <w:t>Fuente:</w:t>
      </w:r>
      <w:r w:rsidR="00E92835" w:rsidRPr="00746ACE">
        <w:rPr>
          <w:b w:val="0"/>
          <w:i/>
          <w:caps w:val="0"/>
          <w:sz w:val="28"/>
          <w:szCs w:val="24"/>
          <w:lang w:val="es-ES"/>
        </w:rPr>
        <w:t xml:space="preserve"> Sentencia C-097 de 2025</w:t>
      </w:r>
    </w:p>
    <w:tbl>
      <w:tblPr>
        <w:tblStyle w:val="Tablaconcuadrcula"/>
        <w:tblW w:w="0" w:type="auto"/>
        <w:shd w:val="clear" w:color="auto" w:fill="FFFFFF" w:themeFill="background1"/>
        <w:tblLook w:val="04A0" w:firstRow="1" w:lastRow="0" w:firstColumn="1" w:lastColumn="0" w:noHBand="0" w:noVBand="1"/>
      </w:tblPr>
      <w:tblGrid>
        <w:gridCol w:w="1696"/>
        <w:gridCol w:w="7132"/>
      </w:tblGrid>
      <w:tr w:rsidR="00B92597" w:rsidRPr="00746ACE" w14:paraId="3BCB82A5" w14:textId="77777777" w:rsidTr="00212AD5">
        <w:trPr>
          <w:trHeight w:val="370"/>
          <w:tblHeader/>
        </w:trPr>
        <w:tc>
          <w:tcPr>
            <w:tcW w:w="1696" w:type="dxa"/>
            <w:shd w:val="clear" w:color="auto" w:fill="D9E2F3" w:themeFill="accent1" w:themeFillTint="33"/>
            <w:vAlign w:val="center"/>
          </w:tcPr>
          <w:p w14:paraId="07CDB196" w14:textId="77777777" w:rsidR="00E92835" w:rsidRPr="00746ACE" w:rsidRDefault="00E92835" w:rsidP="001417A1">
            <w:pPr>
              <w:pStyle w:val="Prrafodelista"/>
              <w:widowControl w:val="0"/>
              <w:tabs>
                <w:tab w:val="left" w:pos="567"/>
              </w:tabs>
              <w:ind w:left="0"/>
              <w:jc w:val="center"/>
              <w:rPr>
                <w:b/>
                <w:szCs w:val="24"/>
              </w:rPr>
            </w:pPr>
            <w:r w:rsidRPr="00746ACE">
              <w:rPr>
                <w:b/>
                <w:szCs w:val="24"/>
              </w:rPr>
              <w:t>Condición</w:t>
            </w:r>
          </w:p>
        </w:tc>
        <w:tc>
          <w:tcPr>
            <w:tcW w:w="7134" w:type="dxa"/>
            <w:shd w:val="clear" w:color="auto" w:fill="D9E2F3" w:themeFill="accent1" w:themeFillTint="33"/>
            <w:vAlign w:val="center"/>
          </w:tcPr>
          <w:p w14:paraId="79228169" w14:textId="77777777" w:rsidR="00E92835" w:rsidRPr="00746ACE" w:rsidRDefault="00E92835" w:rsidP="001417A1">
            <w:pPr>
              <w:pStyle w:val="Prrafodelista"/>
              <w:widowControl w:val="0"/>
              <w:tabs>
                <w:tab w:val="left" w:pos="567"/>
              </w:tabs>
              <w:ind w:left="0"/>
              <w:jc w:val="center"/>
              <w:rPr>
                <w:b/>
                <w:szCs w:val="24"/>
              </w:rPr>
            </w:pPr>
            <w:r w:rsidRPr="00746ACE">
              <w:rPr>
                <w:b/>
                <w:szCs w:val="24"/>
              </w:rPr>
              <w:t>Alcance específico para demandas contra normas de derecho viviente</w:t>
            </w:r>
          </w:p>
        </w:tc>
      </w:tr>
      <w:tr w:rsidR="00B92597" w:rsidRPr="00746ACE" w14:paraId="39FCD4E7" w14:textId="77777777" w:rsidTr="00212AD5">
        <w:tc>
          <w:tcPr>
            <w:tcW w:w="1696" w:type="dxa"/>
            <w:shd w:val="clear" w:color="auto" w:fill="FFFFFF" w:themeFill="background1"/>
            <w:vAlign w:val="center"/>
          </w:tcPr>
          <w:p w14:paraId="095FC431" w14:textId="77777777" w:rsidR="00E92835" w:rsidRPr="00746ACE" w:rsidRDefault="00E92835" w:rsidP="000B69F5">
            <w:pPr>
              <w:pStyle w:val="Prrafodelista"/>
              <w:widowControl w:val="0"/>
              <w:tabs>
                <w:tab w:val="left" w:pos="567"/>
              </w:tabs>
              <w:ind w:left="0"/>
              <w:rPr>
                <w:szCs w:val="24"/>
              </w:rPr>
            </w:pPr>
            <w:r w:rsidRPr="00746ACE">
              <w:rPr>
                <w:szCs w:val="24"/>
              </w:rPr>
              <w:t>Claridad</w:t>
            </w:r>
          </w:p>
        </w:tc>
        <w:tc>
          <w:tcPr>
            <w:tcW w:w="7134" w:type="dxa"/>
            <w:shd w:val="clear" w:color="auto" w:fill="FFFFFF" w:themeFill="background1"/>
          </w:tcPr>
          <w:p w14:paraId="39F653E2" w14:textId="77777777" w:rsidR="00E92835" w:rsidRPr="00746ACE" w:rsidRDefault="00E92835" w:rsidP="00FC0DFB">
            <w:pPr>
              <w:pStyle w:val="Prrafodelista"/>
              <w:widowControl w:val="0"/>
              <w:tabs>
                <w:tab w:val="left" w:pos="567"/>
              </w:tabs>
              <w:ind w:left="0"/>
              <w:rPr>
                <w:szCs w:val="24"/>
              </w:rPr>
            </w:pPr>
            <w:r w:rsidRPr="00746ACE">
              <w:rPr>
                <w:szCs w:val="24"/>
              </w:rPr>
              <w:t>Consolidar una estructura argumentativa lógica que permita (i) establecer cuál es la norma de derecho viviente cuestionada, es decir, tanto la disposición de la que proviene como el contenido normativo creado por vía de interpretación judicial; y (ii) identificar la postura del actor y comprender los reparos propuestos en su contra. La jurisprudencia ha precisado que para acreditar esta condición es preciso indicar de forma comprensible “cuál es la interpretación de la disposición acusada que considera contraria a la Constitución, dejando de lado todo tipo de ambigüedades o anfibologías en la identificación de la norma impugnada [Sentencia C-802 de 2008]”.</w:t>
            </w:r>
          </w:p>
        </w:tc>
      </w:tr>
      <w:tr w:rsidR="00B92597" w:rsidRPr="00746ACE" w14:paraId="58FAE323" w14:textId="77777777" w:rsidTr="00212AD5">
        <w:tc>
          <w:tcPr>
            <w:tcW w:w="1696" w:type="dxa"/>
            <w:shd w:val="clear" w:color="auto" w:fill="FFFFFF" w:themeFill="background1"/>
            <w:vAlign w:val="center"/>
          </w:tcPr>
          <w:p w14:paraId="3380668E" w14:textId="77777777" w:rsidR="00E92835" w:rsidRPr="00746ACE" w:rsidRDefault="00E92835" w:rsidP="000B69F5">
            <w:pPr>
              <w:pStyle w:val="Prrafodelista"/>
              <w:widowControl w:val="0"/>
              <w:tabs>
                <w:tab w:val="left" w:pos="567"/>
              </w:tabs>
              <w:ind w:left="0"/>
              <w:rPr>
                <w:szCs w:val="24"/>
              </w:rPr>
            </w:pPr>
            <w:r w:rsidRPr="00746ACE">
              <w:rPr>
                <w:szCs w:val="24"/>
              </w:rPr>
              <w:t>Certeza</w:t>
            </w:r>
          </w:p>
        </w:tc>
        <w:tc>
          <w:tcPr>
            <w:tcW w:w="7134" w:type="dxa"/>
            <w:shd w:val="clear" w:color="auto" w:fill="FFFFFF" w:themeFill="background1"/>
          </w:tcPr>
          <w:p w14:paraId="5FEB17BF" w14:textId="77777777" w:rsidR="00E92835" w:rsidRPr="00746ACE" w:rsidRDefault="00E92835" w:rsidP="00FC0DFB">
            <w:pPr>
              <w:pStyle w:val="Prrafodelista"/>
              <w:widowControl w:val="0"/>
              <w:tabs>
                <w:tab w:val="left" w:pos="567"/>
              </w:tabs>
              <w:ind w:left="0"/>
              <w:rPr>
                <w:szCs w:val="24"/>
              </w:rPr>
            </w:pPr>
            <w:r w:rsidRPr="00746ACE">
              <w:rPr>
                <w:szCs w:val="24"/>
              </w:rPr>
              <w:t>Demostrar que la demanda (i) ataca una norma de derecho viviente real, es decir, (a) consistente, (b) consolidada y (c) relevante, y (ii) derivada de disposiciones con fuerza material de ley. Aunado a lo anterior, “no puede considerarse satisfecho el requisito de certeza cuando el reproche de inconstitucionalidad se sustenta en simples ‘hipótesis hermenéuticas’ que no hallan sustento en una real y cierta interpretación judicial [Sentencia C-802 de 2008]”.</w:t>
            </w:r>
          </w:p>
        </w:tc>
      </w:tr>
      <w:tr w:rsidR="00B92597" w:rsidRPr="00746ACE" w14:paraId="3D010915" w14:textId="77777777" w:rsidTr="00212AD5">
        <w:tc>
          <w:tcPr>
            <w:tcW w:w="1696" w:type="dxa"/>
            <w:shd w:val="clear" w:color="auto" w:fill="FFFFFF" w:themeFill="background1"/>
            <w:vAlign w:val="center"/>
          </w:tcPr>
          <w:p w14:paraId="2BE88D02" w14:textId="77777777" w:rsidR="00E92835" w:rsidRPr="00746ACE" w:rsidRDefault="00E92835" w:rsidP="000B69F5">
            <w:pPr>
              <w:pStyle w:val="Prrafodelista"/>
              <w:widowControl w:val="0"/>
              <w:tabs>
                <w:tab w:val="left" w:pos="567"/>
              </w:tabs>
              <w:ind w:left="0"/>
              <w:rPr>
                <w:szCs w:val="24"/>
              </w:rPr>
            </w:pPr>
            <w:r w:rsidRPr="00746ACE">
              <w:rPr>
                <w:szCs w:val="24"/>
              </w:rPr>
              <w:t>Especificidad</w:t>
            </w:r>
          </w:p>
        </w:tc>
        <w:tc>
          <w:tcPr>
            <w:tcW w:w="7134" w:type="dxa"/>
            <w:shd w:val="clear" w:color="auto" w:fill="FFFFFF" w:themeFill="background1"/>
          </w:tcPr>
          <w:p w14:paraId="137650A8" w14:textId="77777777" w:rsidR="00E92835" w:rsidRPr="00746ACE" w:rsidRDefault="00E92835" w:rsidP="00FC0DFB">
            <w:pPr>
              <w:pStyle w:val="Prrafodelista"/>
              <w:widowControl w:val="0"/>
              <w:tabs>
                <w:tab w:val="left" w:pos="567"/>
              </w:tabs>
              <w:ind w:left="0"/>
              <w:rPr>
                <w:szCs w:val="24"/>
              </w:rPr>
            </w:pPr>
            <w:r w:rsidRPr="00746ACE">
              <w:rPr>
                <w:szCs w:val="24"/>
              </w:rPr>
              <w:t>Señalar (i) razones puntuales de inconstitucionalidad, (ii) explicar cómo recaen sobre el contenido normativo viviente y (iii) evidenciar que la norma de derecho viviente es manifiestamente irrazonable desde el punto de vista constitucional. Esto, sin argumentos “vagos, indeterminados, indirectos, abstractos y globales” [Sentencia C-802 de 2008], y con fundamentos precisos y concretos.</w:t>
            </w:r>
          </w:p>
        </w:tc>
      </w:tr>
      <w:tr w:rsidR="00B92597" w:rsidRPr="00746ACE" w14:paraId="500440B9" w14:textId="77777777" w:rsidTr="00212AD5">
        <w:tc>
          <w:tcPr>
            <w:tcW w:w="1696" w:type="dxa"/>
            <w:shd w:val="clear" w:color="auto" w:fill="FFFFFF" w:themeFill="background1"/>
            <w:vAlign w:val="center"/>
          </w:tcPr>
          <w:p w14:paraId="6BC6527A" w14:textId="77777777" w:rsidR="00E92835" w:rsidRPr="00746ACE" w:rsidRDefault="00E92835" w:rsidP="000B69F5">
            <w:pPr>
              <w:pStyle w:val="Prrafodelista"/>
              <w:widowControl w:val="0"/>
              <w:tabs>
                <w:tab w:val="left" w:pos="567"/>
              </w:tabs>
              <w:ind w:left="0"/>
              <w:rPr>
                <w:szCs w:val="24"/>
              </w:rPr>
            </w:pPr>
            <w:r w:rsidRPr="00746ACE">
              <w:rPr>
                <w:szCs w:val="24"/>
              </w:rPr>
              <w:t>Pertinencia</w:t>
            </w:r>
          </w:p>
        </w:tc>
        <w:tc>
          <w:tcPr>
            <w:tcW w:w="7134" w:type="dxa"/>
            <w:shd w:val="clear" w:color="auto" w:fill="FFFFFF" w:themeFill="background1"/>
          </w:tcPr>
          <w:p w14:paraId="32570915" w14:textId="77777777" w:rsidR="00E92835" w:rsidRPr="00746ACE" w:rsidRDefault="00E92835" w:rsidP="00FC0DFB">
            <w:pPr>
              <w:pStyle w:val="Prrafodelista"/>
              <w:widowControl w:val="0"/>
              <w:tabs>
                <w:tab w:val="left" w:pos="567"/>
              </w:tabs>
              <w:ind w:left="0"/>
              <w:rPr>
                <w:szCs w:val="24"/>
              </w:rPr>
            </w:pPr>
            <w:r w:rsidRPr="00746ACE">
              <w:rPr>
                <w:szCs w:val="24"/>
              </w:rPr>
              <w:t>Plantear respecto de la norma de derecho viviente impugnada un debate de carácter constitucional, no legal, doctrinal, práctico, de mera conveniencia o enfocado en el proceso de aplicación o interpretación de la ley, sobre el caso a caso.</w:t>
            </w:r>
          </w:p>
        </w:tc>
      </w:tr>
      <w:tr w:rsidR="00B92597" w:rsidRPr="00746ACE" w14:paraId="25C0A7CF" w14:textId="77777777" w:rsidTr="00212AD5">
        <w:tc>
          <w:tcPr>
            <w:tcW w:w="1696" w:type="dxa"/>
            <w:shd w:val="clear" w:color="auto" w:fill="FFFFFF" w:themeFill="background1"/>
            <w:vAlign w:val="center"/>
          </w:tcPr>
          <w:p w14:paraId="4E33C7BB" w14:textId="77777777" w:rsidR="00E92835" w:rsidRPr="00746ACE" w:rsidRDefault="00E92835" w:rsidP="000B69F5">
            <w:pPr>
              <w:pStyle w:val="Prrafodelista"/>
              <w:widowControl w:val="0"/>
              <w:tabs>
                <w:tab w:val="left" w:pos="567"/>
              </w:tabs>
              <w:ind w:left="0"/>
              <w:rPr>
                <w:szCs w:val="24"/>
              </w:rPr>
            </w:pPr>
            <w:r w:rsidRPr="00746ACE">
              <w:rPr>
                <w:szCs w:val="24"/>
              </w:rPr>
              <w:t>Suficiencia</w:t>
            </w:r>
          </w:p>
        </w:tc>
        <w:tc>
          <w:tcPr>
            <w:tcW w:w="7134" w:type="dxa"/>
            <w:shd w:val="clear" w:color="auto" w:fill="FFFFFF" w:themeFill="background1"/>
          </w:tcPr>
          <w:p w14:paraId="3382388F" w14:textId="77777777" w:rsidR="00E92835" w:rsidRPr="00746ACE" w:rsidRDefault="00E92835" w:rsidP="00FC0DFB">
            <w:pPr>
              <w:pStyle w:val="Prrafodelista"/>
              <w:widowControl w:val="0"/>
              <w:tabs>
                <w:tab w:val="left" w:pos="567"/>
              </w:tabs>
              <w:ind w:left="0"/>
              <w:rPr>
                <w:szCs w:val="24"/>
              </w:rPr>
            </w:pPr>
            <w:r w:rsidRPr="00746ACE">
              <w:rPr>
                <w:szCs w:val="24"/>
              </w:rPr>
              <w:t>Aportar todos los razonamientos necesarios para generar una duda sobre la constitucionalidad de la norma de derecho viviente cuestionada.</w:t>
            </w:r>
          </w:p>
        </w:tc>
      </w:tr>
    </w:tbl>
    <w:p w14:paraId="6AF26C37" w14:textId="77777777" w:rsidR="00E92835" w:rsidRPr="00746ACE" w:rsidRDefault="00E92835" w:rsidP="00FC0DFB">
      <w:pPr>
        <w:widowControl w:val="0"/>
      </w:pPr>
    </w:p>
    <w:p w14:paraId="114E0A6C" w14:textId="5478AD6A" w:rsidR="008A41E1" w:rsidRPr="00746ACE" w:rsidRDefault="008A41E1" w:rsidP="008A41E1">
      <w:pPr>
        <w:pStyle w:val="Ttulo3"/>
        <w:rPr>
          <w:rFonts w:cs="Times New Roman"/>
          <w:color w:val="auto"/>
          <w:sz w:val="28"/>
          <w:szCs w:val="28"/>
        </w:rPr>
      </w:pPr>
      <w:bookmarkStart w:id="25" w:name="_Toc233384176"/>
      <w:r w:rsidRPr="00746ACE">
        <w:rPr>
          <w:rFonts w:cs="Times New Roman"/>
          <w:color w:val="auto"/>
          <w:sz w:val="28"/>
          <w:szCs w:val="28"/>
        </w:rPr>
        <w:t xml:space="preserve">La demanda presentada contra la Senit 5 </w:t>
      </w:r>
      <w:r w:rsidR="001F41C0" w:rsidRPr="00746ACE">
        <w:rPr>
          <w:rFonts w:cs="Times New Roman"/>
          <w:color w:val="auto"/>
          <w:sz w:val="28"/>
          <w:szCs w:val="28"/>
        </w:rPr>
        <w:t>cumple las cargas argumentativas necesarias para iniciar un estudio de fondo</w:t>
      </w:r>
      <w:bookmarkEnd w:id="25"/>
    </w:p>
    <w:p w14:paraId="6D4B0C56" w14:textId="77777777" w:rsidR="008A41E1" w:rsidRPr="00746ACE" w:rsidRDefault="008A41E1" w:rsidP="008A41E1">
      <w:pPr>
        <w:rPr>
          <w:lang w:val="es-CO" w:eastAsia="es-ES_tradnl"/>
        </w:rPr>
      </w:pPr>
    </w:p>
    <w:p w14:paraId="712E66C6" w14:textId="0A87A83E" w:rsidR="00E92835" w:rsidRPr="00746ACE" w:rsidRDefault="00C4011F" w:rsidP="00FC0DFB">
      <w:pPr>
        <w:pStyle w:val="Prrafodelista"/>
        <w:widowControl w:val="0"/>
        <w:numPr>
          <w:ilvl w:val="0"/>
          <w:numId w:val="7"/>
        </w:numPr>
      </w:pPr>
      <w:r w:rsidRPr="00746ACE">
        <w:t>La</w:t>
      </w:r>
      <w:r w:rsidR="00E92835" w:rsidRPr="00746ACE">
        <w:t xml:space="preserve"> Sala</w:t>
      </w:r>
      <w:r w:rsidRPr="00746ACE">
        <w:t xml:space="preserve"> pasa a </w:t>
      </w:r>
      <w:r w:rsidR="00E92835" w:rsidRPr="00746ACE">
        <w:t xml:space="preserve">analizará </w:t>
      </w:r>
      <w:r w:rsidRPr="00746ACE">
        <w:t xml:space="preserve">entonces </w:t>
      </w:r>
      <w:r w:rsidR="00E92835" w:rsidRPr="00746ACE">
        <w:t>el cumplimiento de estas cargas en el caso objeto de estudio.</w:t>
      </w:r>
    </w:p>
    <w:p w14:paraId="1C29B03E" w14:textId="77777777" w:rsidR="00E92835" w:rsidRPr="00746ACE" w:rsidRDefault="00E92835" w:rsidP="00FC0DFB">
      <w:pPr>
        <w:pStyle w:val="Prrafodelista"/>
        <w:widowControl w:val="0"/>
        <w:ind w:left="0"/>
      </w:pPr>
    </w:p>
    <w:p w14:paraId="0C04CA4E" w14:textId="77777777" w:rsidR="00FD1CF6" w:rsidRPr="00746ACE" w:rsidRDefault="00E92835" w:rsidP="00FC0DFB">
      <w:pPr>
        <w:pStyle w:val="Prrafodelista"/>
        <w:widowControl w:val="0"/>
        <w:numPr>
          <w:ilvl w:val="0"/>
          <w:numId w:val="7"/>
        </w:numPr>
      </w:pPr>
      <w:r w:rsidRPr="00746ACE">
        <w:t xml:space="preserve">La demanda es </w:t>
      </w:r>
      <w:r w:rsidRPr="00746ACE">
        <w:rPr>
          <w:i/>
        </w:rPr>
        <w:t>clara</w:t>
      </w:r>
      <w:r w:rsidRPr="00746ACE">
        <w:t xml:space="preserve">. </w:t>
      </w:r>
      <w:r w:rsidR="00FD1CF6" w:rsidRPr="00746ACE">
        <w:t>El</w:t>
      </w:r>
      <w:r w:rsidRPr="00746ACE">
        <w:t xml:space="preserve"> escrito de demanda es plenamente comprensible. Es posible identificar en el texto las premisas del análisis de constitucionalidad, y existe una articulación razonable entre estas y las conclusiones. Los accionantes explican que su intención es que la Corte deje sin efectos una interpretación judicial</w:t>
      </w:r>
      <w:r w:rsidR="00FD1CF6" w:rsidRPr="00746ACE">
        <w:t xml:space="preserve"> de la Sección de Apelación de la JEP (órgano de cierre de la jurisdicción)</w:t>
      </w:r>
      <w:r w:rsidRPr="00746ACE">
        <w:t xml:space="preserve">, a partir de la doctrina del derecho viviente. </w:t>
      </w:r>
    </w:p>
    <w:p w14:paraId="2ED1D852" w14:textId="77777777" w:rsidR="00FD1CF6" w:rsidRPr="00746ACE" w:rsidRDefault="00FD1CF6" w:rsidP="00D62ABF">
      <w:pPr>
        <w:pStyle w:val="Prrafodelista"/>
        <w:widowControl w:val="0"/>
      </w:pPr>
    </w:p>
    <w:p w14:paraId="3011D9B1" w14:textId="3F05DD5B" w:rsidR="00DA4B48" w:rsidRPr="00746ACE" w:rsidRDefault="00DA4B48" w:rsidP="00FC0DFB">
      <w:pPr>
        <w:pStyle w:val="Prrafodelista"/>
        <w:widowControl w:val="0"/>
        <w:numPr>
          <w:ilvl w:val="0"/>
          <w:numId w:val="7"/>
        </w:numPr>
      </w:pPr>
      <w:r w:rsidRPr="00746ACE">
        <w:t xml:space="preserve">Para los accionantes, la </w:t>
      </w:r>
      <w:r w:rsidR="00AC5602" w:rsidRPr="00746ACE">
        <w:t>“</w:t>
      </w:r>
      <w:r w:rsidRPr="00746ACE">
        <w:t>selección de segundo orden</w:t>
      </w:r>
      <w:r w:rsidR="00AC5602" w:rsidRPr="00746ACE">
        <w:t>”</w:t>
      </w:r>
      <w:r w:rsidRPr="00746ACE">
        <w:t xml:space="preserve"> no fue pactada en el Acuerdo Final de Paz. No se encuentra en la ley estatutaria de administración de justicia e implica la extensión indefinida de los procesos, así como una duplicación de funciones entre la Sala de Reconocimiento de Verdad y Responsabilidad y la Sala de Definición de Situaciones Jurídicas. El concepto de </w:t>
      </w:r>
      <w:r w:rsidR="00AC5602" w:rsidRPr="00746ACE">
        <w:t xml:space="preserve">“responsabilidad </w:t>
      </w:r>
      <w:r w:rsidRPr="00746ACE">
        <w:t>del punto medio</w:t>
      </w:r>
      <w:r w:rsidR="00AC5602" w:rsidRPr="00746ACE">
        <w:t>”</w:t>
      </w:r>
      <w:r w:rsidRPr="00746ACE">
        <w:t xml:space="preserve">, por su parte, afecta la concentración de la investigación, juzgamiento y sanción en los máximos responsables, como lo ordena la Constitución (Artículos 66 transitorio de la Constitución; y artículo 5º transitorio del Acto Legislativo 01 de 2017). </w:t>
      </w:r>
    </w:p>
    <w:p w14:paraId="37D917FE" w14:textId="77777777" w:rsidR="00DA4B48" w:rsidRPr="00746ACE" w:rsidRDefault="00DA4B48" w:rsidP="00DA4B48">
      <w:pPr>
        <w:pStyle w:val="Prrafodelista"/>
      </w:pPr>
    </w:p>
    <w:p w14:paraId="065B0D2C" w14:textId="715F6BF0" w:rsidR="00E92835" w:rsidRPr="00746ACE" w:rsidRDefault="00DA4B48" w:rsidP="00FC0DFB">
      <w:pPr>
        <w:pStyle w:val="Prrafodelista"/>
        <w:widowControl w:val="0"/>
        <w:numPr>
          <w:ilvl w:val="0"/>
          <w:numId w:val="7"/>
        </w:numPr>
      </w:pPr>
      <w:r w:rsidRPr="00746ACE">
        <w:t>Por lo tanto, afirman los demandantes, la creación de estos conceptos y categorías</w:t>
      </w:r>
      <w:r w:rsidR="00000819" w:rsidRPr="00746ACE">
        <w:t xml:space="preserve"> (i)</w:t>
      </w:r>
      <w:r w:rsidR="00E92835" w:rsidRPr="00746ACE">
        <w:t xml:space="preserve"> descono</w:t>
      </w:r>
      <w:r w:rsidRPr="00746ACE">
        <w:t>ce</w:t>
      </w:r>
      <w:r w:rsidR="00E92835" w:rsidRPr="00746ACE">
        <w:t xml:space="preserve"> el </w:t>
      </w:r>
      <w:r w:rsidR="00FD1CF6" w:rsidRPr="00746ACE">
        <w:t>A</w:t>
      </w:r>
      <w:r w:rsidR="00E92835" w:rsidRPr="00746ACE">
        <w:t xml:space="preserve">cuerdo </w:t>
      </w:r>
      <w:r w:rsidR="00FD1CF6" w:rsidRPr="00746ACE">
        <w:t>F</w:t>
      </w:r>
      <w:r w:rsidR="00E92835" w:rsidRPr="00746ACE">
        <w:t xml:space="preserve">inal de </w:t>
      </w:r>
      <w:r w:rsidR="00FD1CF6" w:rsidRPr="00746ACE">
        <w:t>P</w:t>
      </w:r>
      <w:r w:rsidR="00E92835" w:rsidRPr="00746ACE">
        <w:t xml:space="preserve">az y el principio </w:t>
      </w:r>
      <w:r w:rsidR="00E92835" w:rsidRPr="00746ACE">
        <w:rPr>
          <w:i/>
        </w:rPr>
        <w:t>pacta sunt servanda</w:t>
      </w:r>
      <w:r w:rsidR="00E92835" w:rsidRPr="00746ACE">
        <w:t xml:space="preserve">, según el cual los acuerdos son para cumplirlos; </w:t>
      </w:r>
      <w:r w:rsidR="00000819" w:rsidRPr="00746ACE">
        <w:t xml:space="preserve">(ii) </w:t>
      </w:r>
      <w:r w:rsidR="00FD1CF6" w:rsidRPr="00746ACE">
        <w:t>viol</w:t>
      </w:r>
      <w:r w:rsidRPr="00746ACE">
        <w:t>a</w:t>
      </w:r>
      <w:r w:rsidR="00FD1CF6" w:rsidRPr="00746ACE">
        <w:t xml:space="preserve"> </w:t>
      </w:r>
      <w:r w:rsidR="00E92835" w:rsidRPr="00746ACE">
        <w:t>el principio de legalidad</w:t>
      </w:r>
      <w:r w:rsidR="00FD1CF6" w:rsidRPr="00746ACE">
        <w:t xml:space="preserve"> en relación con el concepto de </w:t>
      </w:r>
      <w:r w:rsidR="00FD1CF6" w:rsidRPr="00746ACE">
        <w:rPr>
          <w:i/>
        </w:rPr>
        <w:t xml:space="preserve">selección; </w:t>
      </w:r>
      <w:r w:rsidR="00000819" w:rsidRPr="00746ACE">
        <w:t xml:space="preserve">(iii) </w:t>
      </w:r>
      <w:r w:rsidRPr="00746ACE">
        <w:t xml:space="preserve">transgrede </w:t>
      </w:r>
      <w:r w:rsidR="00E92835" w:rsidRPr="00746ACE">
        <w:t xml:space="preserve">el debido proceso </w:t>
      </w:r>
      <w:r w:rsidR="00FD1CF6" w:rsidRPr="00746ACE">
        <w:t>constitucional</w:t>
      </w:r>
      <w:r w:rsidR="00000819" w:rsidRPr="00746ACE">
        <w:t>;</w:t>
      </w:r>
      <w:r w:rsidR="00FD1CF6" w:rsidRPr="00746ACE">
        <w:t xml:space="preserve"> </w:t>
      </w:r>
      <w:r w:rsidR="00E92835" w:rsidRPr="00746ACE">
        <w:t xml:space="preserve">y </w:t>
      </w:r>
      <w:r w:rsidR="00000819" w:rsidRPr="00746ACE">
        <w:t xml:space="preserve">(iv) </w:t>
      </w:r>
      <w:r w:rsidRPr="00746ACE">
        <w:t xml:space="preserve">amenaza </w:t>
      </w:r>
      <w:r w:rsidR="00E92835" w:rsidRPr="00746ACE">
        <w:t xml:space="preserve">el principio de proporcionalidad entre </w:t>
      </w:r>
      <w:r w:rsidRPr="00746ACE">
        <w:t xml:space="preserve">la </w:t>
      </w:r>
      <w:r w:rsidR="00E92835" w:rsidRPr="00746ACE">
        <w:t>conducta y la sanción.</w:t>
      </w:r>
      <w:r w:rsidR="00742777" w:rsidRPr="00746ACE">
        <w:t xml:space="preserve"> </w:t>
      </w:r>
    </w:p>
    <w:p w14:paraId="6E1511DF" w14:textId="77777777" w:rsidR="00E92835" w:rsidRPr="00746ACE" w:rsidRDefault="00E92835" w:rsidP="00FC0DFB">
      <w:pPr>
        <w:widowControl w:val="0"/>
      </w:pPr>
    </w:p>
    <w:p w14:paraId="5DC62E62" w14:textId="51DF14D1" w:rsidR="00FD1CF6" w:rsidRPr="00746ACE" w:rsidRDefault="00E92835" w:rsidP="00FC0DFB">
      <w:pPr>
        <w:pStyle w:val="Prrafodelista"/>
        <w:widowControl w:val="0"/>
        <w:numPr>
          <w:ilvl w:val="0"/>
          <w:numId w:val="7"/>
        </w:numPr>
      </w:pPr>
      <w:r w:rsidRPr="00746ACE">
        <w:t xml:space="preserve">La demanda es </w:t>
      </w:r>
      <w:r w:rsidRPr="00746ACE">
        <w:rPr>
          <w:i/>
        </w:rPr>
        <w:t>cierta</w:t>
      </w:r>
      <w:r w:rsidRPr="00746ACE">
        <w:t>. La Sala estima que</w:t>
      </w:r>
      <w:r w:rsidR="00B27795" w:rsidRPr="00746ACE">
        <w:t xml:space="preserve"> </w:t>
      </w:r>
      <w:r w:rsidRPr="00746ACE">
        <w:t>los párrafos cuestionados de la Senit 5</w:t>
      </w:r>
      <w:r w:rsidR="00FD1CF6" w:rsidRPr="00746ACE">
        <w:t xml:space="preserve"> </w:t>
      </w:r>
      <w:r w:rsidRPr="00746ACE">
        <w:t>se refieren a la responsabilidad del punto medio, a la selección de segundo orden, al rol de la Sala de Definición de Situaciones Jurídicas para aplicarla, en función del deber de investigar, juzgar y sancionar los graves crímenes del conflicto</w:t>
      </w:r>
      <w:r w:rsidR="00FD1CF6" w:rsidRPr="00746ACE">
        <w:t xml:space="preserve">. Estos </w:t>
      </w:r>
      <w:r w:rsidRPr="00746ACE">
        <w:t>son, en efecto, los contenidos normativos que suscitan el cuestionamiento constitucional</w:t>
      </w:r>
      <w:r w:rsidR="00000819" w:rsidRPr="00746ACE">
        <w:t>. C</w:t>
      </w:r>
      <w:r w:rsidR="00FD1CF6" w:rsidRPr="00746ACE">
        <w:t xml:space="preserve">on independencia de la valoración jurídica que se les atribuya, la Sección de Apelación no ha discutido esta aproximación y ha admitido que el contenido cuestionado está identificado de manera adecuada y no puramente subjetiva o caprichosa. </w:t>
      </w:r>
    </w:p>
    <w:p w14:paraId="16EE3FE5" w14:textId="77777777" w:rsidR="00FD1CF6" w:rsidRPr="00746ACE" w:rsidRDefault="00FD1CF6" w:rsidP="00D62ABF">
      <w:pPr>
        <w:pStyle w:val="Prrafodelista"/>
        <w:widowControl w:val="0"/>
      </w:pPr>
    </w:p>
    <w:p w14:paraId="395B7D64" w14:textId="7CCEFD42" w:rsidR="00E92835" w:rsidRPr="00746ACE" w:rsidRDefault="00E92835" w:rsidP="00FC0DFB">
      <w:pPr>
        <w:pStyle w:val="Prrafodelista"/>
        <w:widowControl w:val="0"/>
        <w:numPr>
          <w:ilvl w:val="0"/>
          <w:numId w:val="7"/>
        </w:numPr>
      </w:pPr>
      <w:r w:rsidRPr="00746ACE">
        <w:t xml:space="preserve"> Es posible observar también que los accionantes mencionaron las fuentes que la Sección de Apelación interpretó, las cuales hacen parte de la Ley 1957 de 2019, </w:t>
      </w:r>
      <w:r w:rsidR="00FD1CF6" w:rsidRPr="00746ACE">
        <w:t>E</w:t>
      </w:r>
      <w:r w:rsidRPr="00746ACE">
        <w:t xml:space="preserve">statutaria de la </w:t>
      </w:r>
      <w:r w:rsidR="00FD1CF6" w:rsidRPr="00746ACE">
        <w:t>A</w:t>
      </w:r>
      <w:r w:rsidRPr="00746ACE">
        <w:t xml:space="preserve">dministración de </w:t>
      </w:r>
      <w:r w:rsidR="00FD1CF6" w:rsidRPr="00746ACE">
        <w:t>J</w:t>
      </w:r>
      <w:r w:rsidRPr="00746ACE">
        <w:t>usticia en la JEP</w:t>
      </w:r>
      <w:r w:rsidR="00000819" w:rsidRPr="00746ACE">
        <w:t>.</w:t>
      </w:r>
      <w:r w:rsidRPr="00746ACE">
        <w:t xml:space="preserve"> </w:t>
      </w:r>
      <w:r w:rsidR="00000819" w:rsidRPr="00746ACE">
        <w:t>E</w:t>
      </w:r>
      <w:r w:rsidR="00FD1CF6" w:rsidRPr="00746ACE">
        <w:t>n especial, indican los artículos 19 (criterios de selección), 84 (funciones de la Sala de Definición de Situaciones Jurídicas) y 129 (sanciones inferiores a cinco años)</w:t>
      </w:r>
      <w:r w:rsidRPr="00746ACE">
        <w:t>.</w:t>
      </w:r>
      <w:r w:rsidR="00FD1CF6" w:rsidRPr="00746ACE">
        <w:t xml:space="preserve"> Una vez más, con independencia de que exista una controversia acerca de la manera en que la Senit </w:t>
      </w:r>
      <w:r w:rsidR="00000819" w:rsidRPr="00746ACE">
        <w:t xml:space="preserve">5 </w:t>
      </w:r>
      <w:r w:rsidR="00FD1CF6" w:rsidRPr="00746ACE">
        <w:t>los invocó, en lo que tiene que ver con la aptitud, la carga está satisfecha.</w:t>
      </w:r>
      <w:r w:rsidRPr="00746ACE">
        <w:t xml:space="preserve"> </w:t>
      </w:r>
    </w:p>
    <w:p w14:paraId="782F33D8" w14:textId="77777777" w:rsidR="00D03BA0" w:rsidRPr="00746ACE" w:rsidRDefault="00D03BA0" w:rsidP="00D03BA0">
      <w:pPr>
        <w:pStyle w:val="Prrafodelista"/>
      </w:pPr>
    </w:p>
    <w:p w14:paraId="23791BE0" w14:textId="55A00075" w:rsidR="00D03BA0" w:rsidRPr="00746ACE" w:rsidRDefault="00D03BA0" w:rsidP="00FC0DFB">
      <w:pPr>
        <w:pStyle w:val="Prrafodelista"/>
        <w:widowControl w:val="0"/>
        <w:numPr>
          <w:ilvl w:val="0"/>
          <w:numId w:val="7"/>
        </w:numPr>
      </w:pPr>
      <w:r w:rsidRPr="00746ACE">
        <w:t xml:space="preserve">Ahora bien, la Corte ha exigido que, al presentar una demanda por derecho viviente se demuestre que se trata de una interpretación constante y coherente. De acuerdo con lo explicado en el acápite III.3, este requisito no sería exigible en el caso de las </w:t>
      </w:r>
      <w:r w:rsidRPr="00746ACE">
        <w:rPr>
          <w:i/>
          <w:iCs/>
        </w:rPr>
        <w:t>senit</w:t>
      </w:r>
      <w:r w:rsidRPr="00746ACE">
        <w:t xml:space="preserve"> debido a que se trata de pronunciamientos que, por sí solos pueden crear derecho viviente, debido a su vocación para sistematizar la jurisprudencia de manera temprana y a su facultad de crear criterios orientadores de interpretación amplios e, incluso, generales.</w:t>
      </w:r>
    </w:p>
    <w:p w14:paraId="3CE090FC" w14:textId="77777777" w:rsidR="00D03BA0" w:rsidRPr="00746ACE" w:rsidRDefault="00D03BA0" w:rsidP="00D03BA0">
      <w:pPr>
        <w:pStyle w:val="Prrafodelista"/>
      </w:pPr>
    </w:p>
    <w:p w14:paraId="76B946DD" w14:textId="4CD1ADBB" w:rsidR="00D03BA0" w:rsidRPr="00746ACE" w:rsidRDefault="00D03BA0" w:rsidP="00FC0DFB">
      <w:pPr>
        <w:pStyle w:val="Prrafodelista"/>
        <w:widowControl w:val="0"/>
        <w:numPr>
          <w:ilvl w:val="0"/>
          <w:numId w:val="7"/>
        </w:numPr>
      </w:pPr>
      <w:r w:rsidRPr="00746ACE">
        <w:t xml:space="preserve">Más allá de esta precisión, es cierto también que, en el caso objeto de estudio los accionantes mencionaron que la “selección de segundo orden” ha sido efectivamente aplicada en distintos casos, probablemente con el fin de acreditar las cargas de certeza mencionadas. Sin embargo, para la Sala plena basta con señalar que la senit 5 (y, después las senit 8 y 9) mantienen la selección de segundo orden y la responsabilidad del punto medio, luego denominada responsabilidad cercana a la máxima, en la jurisprudencia del órgano de cierre. </w:t>
      </w:r>
    </w:p>
    <w:p w14:paraId="05E63608" w14:textId="77777777" w:rsidR="00E92835" w:rsidRPr="00746ACE" w:rsidRDefault="00E92835" w:rsidP="00FC0DFB">
      <w:pPr>
        <w:pStyle w:val="Prrafodelista"/>
        <w:widowControl w:val="0"/>
      </w:pPr>
    </w:p>
    <w:p w14:paraId="6BB37611" w14:textId="050D2217" w:rsidR="00E92835" w:rsidRPr="00746ACE" w:rsidRDefault="00E92835" w:rsidP="00FC0DFB">
      <w:pPr>
        <w:pStyle w:val="Prrafodelista"/>
        <w:widowControl w:val="0"/>
        <w:numPr>
          <w:ilvl w:val="0"/>
          <w:numId w:val="7"/>
        </w:numPr>
      </w:pPr>
      <w:r w:rsidRPr="00746ACE">
        <w:t xml:space="preserve">No sobra indicar, </w:t>
      </w:r>
      <w:r w:rsidR="00FD1CF6" w:rsidRPr="00746ACE">
        <w:t xml:space="preserve">como </w:t>
      </w:r>
      <w:r w:rsidRPr="00746ACE">
        <w:t xml:space="preserve">argumento complementario sobre la certeza de la demanda, que </w:t>
      </w:r>
      <w:r w:rsidR="00F57E64" w:rsidRPr="00746ACE">
        <w:t xml:space="preserve">todos </w:t>
      </w:r>
      <w:r w:rsidRPr="00746ACE">
        <w:t>los intervinientes comprendieron que la discusión gira en torno a estos fundamentos. Es cierto</w:t>
      </w:r>
      <w:r w:rsidR="00FD1CF6" w:rsidRPr="00746ACE">
        <w:t>, de nuevo,</w:t>
      </w:r>
      <w:r w:rsidRPr="00746ACE">
        <w:t xml:space="preserve"> que existen divergencias interpretativas ulteriores, pero estas serán objeto de un estudio de fondo, y no del examen de aptitud, en el que solo se descartarían aquellas puramente subjetivas o caprichosas</w:t>
      </w:r>
      <w:r w:rsidR="00000819" w:rsidRPr="00746ACE">
        <w:t>, lo que no sucede en este caso.</w:t>
      </w:r>
    </w:p>
    <w:p w14:paraId="5EC56DF9" w14:textId="77777777" w:rsidR="00E92835" w:rsidRPr="00746ACE" w:rsidRDefault="00E92835" w:rsidP="00FC0DFB">
      <w:pPr>
        <w:widowControl w:val="0"/>
      </w:pPr>
    </w:p>
    <w:p w14:paraId="5718D6C7" w14:textId="77432EFA" w:rsidR="00E92835" w:rsidRPr="00746ACE" w:rsidRDefault="00E92835" w:rsidP="00FC0DFB">
      <w:pPr>
        <w:pStyle w:val="Prrafodelista"/>
        <w:widowControl w:val="0"/>
        <w:numPr>
          <w:ilvl w:val="0"/>
          <w:numId w:val="7"/>
        </w:numPr>
      </w:pPr>
      <w:r w:rsidRPr="00746ACE">
        <w:t xml:space="preserve">La demanda es </w:t>
      </w:r>
      <w:r w:rsidRPr="00746ACE">
        <w:rPr>
          <w:i/>
        </w:rPr>
        <w:t xml:space="preserve">pertinente, </w:t>
      </w:r>
      <w:r w:rsidRPr="00746ACE">
        <w:t xml:space="preserve">pues toma como parámetro de control normas constitucionales, tales como el principio de legalidad, el debido proceso o los principios de igualdad y proporcionalidad de la pena, contenidos en los artículos 28, 29, 121 y 150 de la Constitución Política, </w:t>
      </w:r>
      <w:r w:rsidR="00000819" w:rsidRPr="00746ACE">
        <w:t xml:space="preserve">y se identifica </w:t>
      </w:r>
      <w:r w:rsidRPr="00746ACE">
        <w:t xml:space="preserve">su contenido y su relación con las premisas de la demanda. </w:t>
      </w:r>
    </w:p>
    <w:p w14:paraId="6EF46AA7" w14:textId="77777777" w:rsidR="00E92835" w:rsidRPr="00746ACE" w:rsidRDefault="00E92835" w:rsidP="00FC0DFB">
      <w:pPr>
        <w:widowControl w:val="0"/>
      </w:pPr>
    </w:p>
    <w:p w14:paraId="31AC8B1F" w14:textId="1E0CA177" w:rsidR="00E92835" w:rsidRPr="00746ACE" w:rsidRDefault="00E92835" w:rsidP="00FC0DFB">
      <w:pPr>
        <w:pStyle w:val="Prrafodelista"/>
        <w:widowControl w:val="0"/>
        <w:numPr>
          <w:ilvl w:val="0"/>
          <w:numId w:val="7"/>
        </w:numPr>
      </w:pPr>
      <w:r w:rsidRPr="00746ACE">
        <w:t xml:space="preserve">Sin embargo, existe un cargo que podría generar dudas de pertinencia. Así, los demandantes sostienen que la interpretación de la Sección de Apelación, contenida en la Senit 5, desconoce el Acuerdo Final de Paz. Esta Corporación ha sostenido, de manera reiterada, que el Acuerdo Final de Paz no es una norma jurídica y, por extensión, no es una norma constitucional. </w:t>
      </w:r>
    </w:p>
    <w:p w14:paraId="4361E0E1" w14:textId="77777777" w:rsidR="00E92835" w:rsidRPr="00746ACE" w:rsidRDefault="00E92835" w:rsidP="00FC0DFB">
      <w:pPr>
        <w:pStyle w:val="Prrafodelista"/>
        <w:widowControl w:val="0"/>
      </w:pPr>
    </w:p>
    <w:p w14:paraId="1CFCEF8F" w14:textId="0ED9FFD2" w:rsidR="00E92835" w:rsidRPr="00746ACE" w:rsidRDefault="00FD1CF6" w:rsidP="00FC0DFB">
      <w:pPr>
        <w:pStyle w:val="Prrafodelista"/>
        <w:widowControl w:val="0"/>
        <w:numPr>
          <w:ilvl w:val="0"/>
          <w:numId w:val="7"/>
        </w:numPr>
      </w:pPr>
      <w:r w:rsidRPr="00746ACE">
        <w:t xml:space="preserve">La Sala observa, al respecto, que </w:t>
      </w:r>
      <w:r w:rsidR="00E92835" w:rsidRPr="00746ACE">
        <w:t>los accionantes invocan el Acto Legislativo 02 de 2017 –una norma constitucional–, el cual estableció algunas reglas relevantes sobre el Acuerdo Final de Paz. Los demandantes dijeron, primero, que existía un deber de implementarlo a través de normas jurídicas. Además, señalaron que es deber de todas las autoridades cumplir lo pactado, en el marco de sus competencias, y precisaron que aquellos contenidos que desarrollan normas del derecho internacional humanitario se debían considerar integrados a la Constitución Política.</w:t>
      </w:r>
    </w:p>
    <w:p w14:paraId="2E7EEFEE" w14:textId="77777777" w:rsidR="00E92835" w:rsidRPr="00746ACE" w:rsidRDefault="00E92835" w:rsidP="00FC0DFB">
      <w:pPr>
        <w:widowControl w:val="0"/>
      </w:pPr>
    </w:p>
    <w:p w14:paraId="56C75307" w14:textId="44EA3590" w:rsidR="00E92835" w:rsidRPr="00746ACE" w:rsidRDefault="00FD1CF6" w:rsidP="00FC0DFB">
      <w:pPr>
        <w:pStyle w:val="Prrafodelista"/>
        <w:widowControl w:val="0"/>
        <w:numPr>
          <w:ilvl w:val="0"/>
          <w:numId w:val="7"/>
        </w:numPr>
      </w:pPr>
      <w:r w:rsidRPr="00746ACE">
        <w:t>La mención a</w:t>
      </w:r>
      <w:r w:rsidR="00E92835" w:rsidRPr="00746ACE">
        <w:t xml:space="preserve">l </w:t>
      </w:r>
      <w:r w:rsidR="00D03BA0" w:rsidRPr="00746ACE">
        <w:t xml:space="preserve">cumplimiento del </w:t>
      </w:r>
      <w:r w:rsidR="00E92835" w:rsidRPr="00746ACE">
        <w:t>Acto Legislativo 02 de 2017</w:t>
      </w:r>
      <w:r w:rsidRPr="00746ACE">
        <w:t xml:space="preserve"> permite descartar que </w:t>
      </w:r>
      <w:r w:rsidR="00E92835" w:rsidRPr="00746ACE">
        <w:t xml:space="preserve">la argumentación de la demanda se refiera, de manera exclusiva, a la oposición entre los considerandos cuestionados y el Acuerdo Final de Paz. Esta eventual inobservancia del acuerdo conduciría a la </w:t>
      </w:r>
      <w:r w:rsidRPr="00746ACE">
        <w:t xml:space="preserve">violación </w:t>
      </w:r>
      <w:r w:rsidR="00E92835" w:rsidRPr="00746ACE">
        <w:t xml:space="preserve">del Acto Legislativo </w:t>
      </w:r>
      <w:r w:rsidR="00D03BA0" w:rsidRPr="00746ACE">
        <w:t>01 de 2017 (artículo 3) </w:t>
      </w:r>
      <w:r w:rsidR="00E92835" w:rsidRPr="00746ACE">
        <w:t xml:space="preserve">y también a una modificación del concepto de </w:t>
      </w:r>
      <w:r w:rsidR="00E92835" w:rsidRPr="00746ACE">
        <w:rPr>
          <w:i/>
        </w:rPr>
        <w:t>selección</w:t>
      </w:r>
      <w:r w:rsidR="00E92835" w:rsidRPr="00746ACE">
        <w:t xml:space="preserve"> plasmado en el artículo 19 de la Ley 1957 de 2019.</w:t>
      </w:r>
    </w:p>
    <w:p w14:paraId="37C91E04" w14:textId="77777777" w:rsidR="00E92835" w:rsidRPr="00746ACE" w:rsidRDefault="00E92835" w:rsidP="00FC0DFB">
      <w:pPr>
        <w:widowControl w:val="0"/>
      </w:pPr>
    </w:p>
    <w:p w14:paraId="39915D90" w14:textId="4A13DE1B" w:rsidR="00E92835" w:rsidRPr="00746ACE" w:rsidRDefault="00E92835" w:rsidP="00FC0DFB">
      <w:pPr>
        <w:pStyle w:val="Prrafodelista"/>
        <w:widowControl w:val="0"/>
        <w:numPr>
          <w:ilvl w:val="0"/>
          <w:numId w:val="7"/>
        </w:numPr>
      </w:pPr>
      <w:r w:rsidRPr="00746ACE">
        <w:t xml:space="preserve">Es </w:t>
      </w:r>
      <w:r w:rsidR="00CC3125" w:rsidRPr="00746ACE">
        <w:t>necesario</w:t>
      </w:r>
      <w:r w:rsidRPr="00746ACE">
        <w:t xml:space="preserve"> esclarecer aquí la diferencia entre la primera tesis (violar el Acuerdo Final de Paz) y la segunda (incumplir de mala fe lo pactado). Cuando la Corte Constitucional estudió el problema sobre la fuerza normativa del Acuerdo Final de Paz concluyó que no podría integrarse </w:t>
      </w:r>
      <w:r w:rsidR="00000819" w:rsidRPr="00746ACE">
        <w:t xml:space="preserve">a </w:t>
      </w:r>
      <w:r w:rsidRPr="00746ACE">
        <w:t>la Constitución por dos razones. Primero, porque su origen no es una asamblea, un referendo o un acto legislativo, que son las vías para creación de contenidos constitucionales</w:t>
      </w:r>
      <w:r w:rsidR="001D5638" w:rsidRPr="00746ACE">
        <w:t>; y, s</w:t>
      </w:r>
      <w:r w:rsidRPr="00746ACE">
        <w:t xml:space="preserve">egundo, porque los textos del acuerdo final, de </w:t>
      </w:r>
      <w:r w:rsidR="00D03BA0" w:rsidRPr="00746ACE">
        <w:t>carácter</w:t>
      </w:r>
      <w:r w:rsidRPr="00746ACE">
        <w:t xml:space="preserve"> político, admiten distintas concreciones normativas, las cuales</w:t>
      </w:r>
      <w:r w:rsidR="001D5638" w:rsidRPr="00746ACE">
        <w:t xml:space="preserve"> </w:t>
      </w:r>
      <w:r w:rsidRPr="00746ACE">
        <w:t xml:space="preserve">se </w:t>
      </w:r>
      <w:r w:rsidR="001D5638" w:rsidRPr="00746ACE">
        <w:t xml:space="preserve">materializaron sobre todo </w:t>
      </w:r>
      <w:r w:rsidRPr="00746ACE">
        <w:t xml:space="preserve">en el procedimiento legislativo abreviado, o </w:t>
      </w:r>
      <w:r w:rsidRPr="00746ACE">
        <w:rPr>
          <w:i/>
        </w:rPr>
        <w:t xml:space="preserve">fast track. </w:t>
      </w:r>
    </w:p>
    <w:p w14:paraId="18BF3C8D" w14:textId="77777777" w:rsidR="00E92835" w:rsidRPr="00746ACE" w:rsidRDefault="00E92835" w:rsidP="00FC0DFB">
      <w:pPr>
        <w:widowControl w:val="0"/>
      </w:pPr>
    </w:p>
    <w:p w14:paraId="2B0A2100" w14:textId="77777777" w:rsidR="00DA4B48" w:rsidRPr="00746ACE" w:rsidRDefault="00E92835" w:rsidP="00FC0DFB">
      <w:pPr>
        <w:pStyle w:val="Prrafodelista"/>
        <w:widowControl w:val="0"/>
        <w:numPr>
          <w:ilvl w:val="0"/>
          <w:numId w:val="7"/>
        </w:numPr>
      </w:pPr>
      <w:r w:rsidRPr="00746ACE">
        <w:t xml:space="preserve">La obligación de cumplir lo pactado, </w:t>
      </w:r>
      <w:r w:rsidR="00E36C37" w:rsidRPr="00746ACE">
        <w:t xml:space="preserve">por otra parte, </w:t>
      </w:r>
      <w:r w:rsidRPr="00746ACE">
        <w:t>tiene dos dimensiones principales</w:t>
      </w:r>
      <w:r w:rsidR="00E36C37" w:rsidRPr="00746ACE">
        <w:t xml:space="preserve"> en los términos del Acto Legislativo 02 de 2017</w:t>
      </w:r>
      <w:r w:rsidRPr="00746ACE">
        <w:t xml:space="preserve">. Por una parte, adelantar su implementación normativa y, por otra, respetarlo en el margen de competencias de cada órgano del poder público. </w:t>
      </w:r>
    </w:p>
    <w:p w14:paraId="3EA0BDAA" w14:textId="77777777" w:rsidR="00DA4B48" w:rsidRPr="00746ACE" w:rsidRDefault="00DA4B48" w:rsidP="00DA4B48">
      <w:pPr>
        <w:pStyle w:val="Prrafodelista"/>
      </w:pPr>
    </w:p>
    <w:p w14:paraId="6B9B5609" w14:textId="18D487DD" w:rsidR="00E92835" w:rsidRPr="00746ACE" w:rsidRDefault="00DA4B48" w:rsidP="00DA4B48">
      <w:pPr>
        <w:pStyle w:val="Prrafodelista"/>
        <w:widowControl w:val="0"/>
        <w:numPr>
          <w:ilvl w:val="0"/>
          <w:numId w:val="7"/>
        </w:numPr>
      </w:pPr>
      <w:r w:rsidRPr="00746ACE">
        <w:t>La implementación normativa del acuerdo, en lo que se refiere al componente de justicia, fue adelantada, entre otras, por las leyes 1</w:t>
      </w:r>
      <w:r w:rsidR="000D4395" w:rsidRPr="00746ACE">
        <w:t>8</w:t>
      </w:r>
      <w:r w:rsidRPr="00746ACE">
        <w:t>20 de 201</w:t>
      </w:r>
      <w:r w:rsidR="000D4395" w:rsidRPr="00746ACE">
        <w:t>6</w:t>
      </w:r>
      <w:r w:rsidRPr="00746ACE">
        <w:t xml:space="preserve"> (de amnistía e indulto), 1957 de 2019 (estatutaria de administración de justicia en la JEP) y 1922 de 2018 (de procedimientos dentro de la JEP). Sin embargo, respetar su coherencia en el marco del ejercicio de las funciones sí es una tarea que incumbe también a los órganos que aplican sus normas, como la JEP. Por eso, en un caso como el que se plantea ante la Sala Plena, la </w:t>
      </w:r>
      <w:r w:rsidR="00E92835" w:rsidRPr="00746ACE">
        <w:t xml:space="preserve">pregunta </w:t>
      </w:r>
      <w:r w:rsidR="00E92835" w:rsidRPr="00746ACE">
        <w:rPr>
          <w:i/>
        </w:rPr>
        <w:t>pertinente</w:t>
      </w:r>
      <w:r w:rsidRPr="00746ACE">
        <w:rPr>
          <w:i/>
        </w:rPr>
        <w:t xml:space="preserve"> </w:t>
      </w:r>
      <w:r w:rsidRPr="00746ACE">
        <w:t>que surge</w:t>
      </w:r>
      <w:r w:rsidR="00D03BA0" w:rsidRPr="00746ACE">
        <w:t xml:space="preserve"> de manera </w:t>
      </w:r>
      <w:r w:rsidRPr="00746ACE">
        <w:t>direct</w:t>
      </w:r>
      <w:r w:rsidR="00D03BA0" w:rsidRPr="00746ACE">
        <w:t>a</w:t>
      </w:r>
      <w:r w:rsidRPr="00746ACE">
        <w:t xml:space="preserve"> </w:t>
      </w:r>
      <w:r w:rsidR="00D03BA0" w:rsidRPr="00746ACE">
        <w:t xml:space="preserve">en </w:t>
      </w:r>
      <w:r w:rsidRPr="00746ACE">
        <w:t>la demanda</w:t>
      </w:r>
      <w:r w:rsidR="00E92835" w:rsidRPr="00746ACE">
        <w:t xml:space="preserve"> consiste en determinar si, aun dentro del amplio margen de interpretación del derecho de la transición con el que cuenta la JEP, </w:t>
      </w:r>
      <w:r w:rsidR="00E36C37" w:rsidRPr="00746ACE">
        <w:t xml:space="preserve">las </w:t>
      </w:r>
      <w:r w:rsidR="00E92835" w:rsidRPr="00746ACE">
        <w:t xml:space="preserve">tesis </w:t>
      </w:r>
      <w:r w:rsidR="00E36C37" w:rsidRPr="00746ACE">
        <w:t xml:space="preserve">de la Senit 5 cuestionadas </w:t>
      </w:r>
      <w:r w:rsidR="00E92835" w:rsidRPr="00746ACE">
        <w:t xml:space="preserve">implican un incumplimiento de lo pactado y, por lo tanto, del Acto Legislativo 02 de 2017. </w:t>
      </w:r>
    </w:p>
    <w:p w14:paraId="414078FA" w14:textId="77777777" w:rsidR="00E92835" w:rsidRPr="00746ACE" w:rsidRDefault="00E92835" w:rsidP="00FC0DFB">
      <w:pPr>
        <w:widowControl w:val="0"/>
      </w:pPr>
    </w:p>
    <w:p w14:paraId="616DE343" w14:textId="07EF15D1" w:rsidR="00E92835" w:rsidRPr="00746ACE" w:rsidRDefault="00E92835" w:rsidP="00FC0DFB">
      <w:pPr>
        <w:pStyle w:val="Prrafodelista"/>
        <w:widowControl w:val="0"/>
        <w:numPr>
          <w:ilvl w:val="0"/>
          <w:numId w:val="7"/>
        </w:numPr>
      </w:pPr>
      <w:r w:rsidRPr="00746ACE">
        <w:t xml:space="preserve">La demanda es </w:t>
      </w:r>
      <w:r w:rsidRPr="00746ACE">
        <w:rPr>
          <w:i/>
        </w:rPr>
        <w:t>específica</w:t>
      </w:r>
      <w:r w:rsidRPr="00746ACE">
        <w:t>. Los accionantes plantean que los contenidos demandados desconocen principios que</w:t>
      </w:r>
      <w:r w:rsidR="00E36C37" w:rsidRPr="00746ACE">
        <w:t xml:space="preserve"> </w:t>
      </w:r>
      <w:r w:rsidRPr="00746ACE">
        <w:t xml:space="preserve">hacen parte de la Constitución Política. Primero, el principio de legalidad porque, según su punto de vista, ni la </w:t>
      </w:r>
      <w:r w:rsidR="008D382C" w:rsidRPr="00746ACE">
        <w:t>“</w:t>
      </w:r>
      <w:r w:rsidRPr="00746ACE">
        <w:t>selección de segundo orden</w:t>
      </w:r>
      <w:r w:rsidR="008D382C" w:rsidRPr="00746ACE">
        <w:t>”</w:t>
      </w:r>
      <w:r w:rsidRPr="00746ACE">
        <w:t xml:space="preserve">, ni la </w:t>
      </w:r>
      <w:r w:rsidR="008D382C" w:rsidRPr="00746ACE">
        <w:t>“</w:t>
      </w:r>
      <w:r w:rsidRPr="00746ACE">
        <w:t>responsabilidad del punto medio</w:t>
      </w:r>
      <w:r w:rsidR="008D382C" w:rsidRPr="00746ACE">
        <w:t>”</w:t>
      </w:r>
      <w:r w:rsidRPr="00746ACE">
        <w:t xml:space="preserve">, ni la función de aplicarla a cargo de la Sala de definición de situaciones jurídicas tienen fundamento legal. Segundo, el debido proceso, porque la vaguedad con la que se definieron estos conceptos y facultades afectan intensamente la seguridad jurídica de comparecientes y víctimas. Tercero, el principio de proporcionalidad en la sanción, </w:t>
      </w:r>
      <w:r w:rsidR="00E36C37" w:rsidRPr="00746ACE">
        <w:t xml:space="preserve">debido a </w:t>
      </w:r>
      <w:r w:rsidRPr="00746ACE">
        <w:t>la posibilidad de que partícipes no determinantes reciban consecuencias más intensas que los máximos responsables, en caso de que se decida abrir un juicio adversarial en su contra.</w:t>
      </w:r>
      <w:r w:rsidR="00742777" w:rsidRPr="00746ACE">
        <w:t xml:space="preserve"> </w:t>
      </w:r>
    </w:p>
    <w:p w14:paraId="4FB47661" w14:textId="77777777" w:rsidR="00E92835" w:rsidRPr="00746ACE" w:rsidRDefault="00E92835" w:rsidP="00FC0DFB">
      <w:pPr>
        <w:widowControl w:val="0"/>
      </w:pPr>
    </w:p>
    <w:p w14:paraId="592E3670" w14:textId="53A060B0" w:rsidR="00E92835" w:rsidRPr="00746ACE" w:rsidRDefault="00E92835" w:rsidP="00FC0DFB">
      <w:pPr>
        <w:pStyle w:val="Prrafodelista"/>
        <w:widowControl w:val="0"/>
        <w:numPr>
          <w:ilvl w:val="0"/>
          <w:numId w:val="7"/>
        </w:numPr>
      </w:pPr>
      <w:r w:rsidRPr="00746ACE">
        <w:t xml:space="preserve">La demanda es </w:t>
      </w:r>
      <w:r w:rsidRPr="00746ACE">
        <w:rPr>
          <w:i/>
        </w:rPr>
        <w:t>suficiente</w:t>
      </w:r>
      <w:r w:rsidRPr="00746ACE">
        <w:t xml:space="preserve">. La condición de suficiencia, según se ha explicado, consiste en generar una duda inicial sobre la validez constitucional de la ley o, en el caso del derecho viviente, sobre la interpretación cuestionada. Este requisito se satisface </w:t>
      </w:r>
      <w:r w:rsidR="00E36C37" w:rsidRPr="00746ACE">
        <w:t>porque</w:t>
      </w:r>
      <w:r w:rsidRPr="00746ACE">
        <w:t xml:space="preserve"> la demanda contiene argumentos que, en efecto </w:t>
      </w:r>
      <w:r w:rsidR="00E36C37" w:rsidRPr="00746ACE">
        <w:t xml:space="preserve">se refieren a </w:t>
      </w:r>
      <w:r w:rsidRPr="00746ACE">
        <w:t xml:space="preserve">tensiones constitucionales profundas, susceptibles de ser analizadas a fondo por este tribunal. </w:t>
      </w:r>
      <w:r w:rsidR="00E36C37" w:rsidRPr="00746ACE">
        <w:t xml:space="preserve">Cabe resaltar también, </w:t>
      </w:r>
      <w:r w:rsidRPr="00746ACE">
        <w:t xml:space="preserve">como argumento complementario, que todos los intervinientes han entendido que existe esta tensión constitucional, e incluso, </w:t>
      </w:r>
      <w:r w:rsidR="00E36C37" w:rsidRPr="00746ACE">
        <w:t xml:space="preserve">los </w:t>
      </w:r>
      <w:r w:rsidRPr="00746ACE">
        <w:t>vocero</w:t>
      </w:r>
      <w:r w:rsidR="00E36C37" w:rsidRPr="00746ACE">
        <w:t>s</w:t>
      </w:r>
      <w:r w:rsidRPr="00746ACE">
        <w:t xml:space="preserve"> de la Sección de Apelación</w:t>
      </w:r>
      <w:r w:rsidR="00E36C37" w:rsidRPr="00746ACE">
        <w:t xml:space="preserve"> y la JEP consideran necesario y </w:t>
      </w:r>
      <w:r w:rsidRPr="00746ACE">
        <w:t>relevante un pronunciamiento de fondo de la Corte Constitucional, a la luz de la importancia de la motivación judicial.</w:t>
      </w:r>
    </w:p>
    <w:p w14:paraId="09DDED39" w14:textId="77777777" w:rsidR="00E36C37" w:rsidRPr="00746ACE" w:rsidRDefault="00E36C37" w:rsidP="00D62ABF">
      <w:pPr>
        <w:pStyle w:val="Prrafodelista"/>
        <w:widowControl w:val="0"/>
      </w:pPr>
    </w:p>
    <w:p w14:paraId="5F4C36C4" w14:textId="6C0BED73" w:rsidR="00E36C37" w:rsidRPr="00746ACE" w:rsidRDefault="00E36C37" w:rsidP="00FC0DFB">
      <w:pPr>
        <w:pStyle w:val="Prrafodelista"/>
        <w:widowControl w:val="0"/>
        <w:numPr>
          <w:ilvl w:val="0"/>
          <w:numId w:val="7"/>
        </w:numPr>
      </w:pPr>
      <w:r w:rsidRPr="00746ACE">
        <w:t>Con todo, antes de continuar, es necesario hacer una precisión en torno a la certeza, en lo que tiene que ver con la selección de segundo orden. Como se ha explicado, la Senit 5 sostuvo que un criterio para activarla es que el compareciente (partícipe no determinante con un nivel de responsabilidad del punto o medio o cercana a la máxima) no haya hecho aportes, o haya hecho aportes insuficientes, a la verdad y que no haya reconocido responsabilidad. La Senit 8 eliminó el segundo requisito, lo que conduce a la ineptitud sobreviniente y parcial del quinto cargo, como se explica a continuación.</w:t>
      </w:r>
    </w:p>
    <w:p w14:paraId="5CEB404D" w14:textId="77777777" w:rsidR="00E92835" w:rsidRPr="00746ACE" w:rsidRDefault="00E92835" w:rsidP="00FC0DFB">
      <w:pPr>
        <w:widowControl w:val="0"/>
      </w:pPr>
    </w:p>
    <w:p w14:paraId="480EAD1A" w14:textId="3725FA4E" w:rsidR="00E92835" w:rsidRPr="00746ACE" w:rsidRDefault="00E92835" w:rsidP="001F41C0">
      <w:pPr>
        <w:pStyle w:val="Ttulo3"/>
        <w:rPr>
          <w:rFonts w:cs="Times New Roman"/>
          <w:color w:val="auto"/>
          <w:sz w:val="28"/>
          <w:szCs w:val="28"/>
        </w:rPr>
      </w:pPr>
      <w:bookmarkStart w:id="26" w:name="_Toc233384177"/>
      <w:r w:rsidRPr="00746ACE">
        <w:rPr>
          <w:rFonts w:cs="Times New Roman"/>
          <w:color w:val="auto"/>
          <w:sz w:val="28"/>
          <w:szCs w:val="28"/>
        </w:rPr>
        <w:t>Ineptitud sobreviniente parcial del cargo quinto: violación del derecho al debido proceso, y de los principios de proporcionalidad e igualdad</w:t>
      </w:r>
      <w:bookmarkEnd w:id="26"/>
      <w:r w:rsidRPr="00746ACE">
        <w:rPr>
          <w:rFonts w:cs="Times New Roman"/>
          <w:color w:val="auto"/>
          <w:sz w:val="28"/>
          <w:szCs w:val="28"/>
        </w:rPr>
        <w:t xml:space="preserve"> </w:t>
      </w:r>
    </w:p>
    <w:p w14:paraId="7613A432" w14:textId="77777777" w:rsidR="00E92835" w:rsidRPr="00746ACE" w:rsidRDefault="00E92835" w:rsidP="00FC0DFB">
      <w:pPr>
        <w:widowControl w:val="0"/>
      </w:pPr>
    </w:p>
    <w:p w14:paraId="7FD16381" w14:textId="68AE4761" w:rsidR="00DA4B48" w:rsidRPr="00746ACE" w:rsidRDefault="00E92835" w:rsidP="00FC0DFB">
      <w:pPr>
        <w:pStyle w:val="Prrafodelista"/>
        <w:widowControl w:val="0"/>
        <w:numPr>
          <w:ilvl w:val="0"/>
          <w:numId w:val="7"/>
        </w:numPr>
      </w:pPr>
      <w:r w:rsidRPr="00746ACE">
        <w:t xml:space="preserve">En </w:t>
      </w:r>
      <w:r w:rsidR="00E36C37" w:rsidRPr="00746ACE">
        <w:t>el quinto cargo de la demanda</w:t>
      </w:r>
      <w:r w:rsidRPr="00746ACE">
        <w:t xml:space="preserve">, </w:t>
      </w:r>
      <w:r w:rsidR="00DA4B48" w:rsidRPr="00746ACE">
        <w:t xml:space="preserve">se </w:t>
      </w:r>
      <w:r w:rsidRPr="00746ACE">
        <w:t>reprocha la vulneración del derecho al debido</w:t>
      </w:r>
      <w:r w:rsidR="00D03BA0" w:rsidRPr="00746ACE">
        <w:t>ft</w:t>
      </w:r>
      <w:r w:rsidRPr="00746ACE">
        <w:t xml:space="preserve"> proceso y de los principios de igualdad y proporcionalidad de los comparecientes que no ostentan la calidad de máximos responsables y que pueden ser objeto de la selección de segundo orden. </w:t>
      </w:r>
    </w:p>
    <w:p w14:paraId="0E54D7AC" w14:textId="77777777" w:rsidR="00DA4B48" w:rsidRPr="00746ACE" w:rsidRDefault="00DA4B48" w:rsidP="00DA4B48">
      <w:pPr>
        <w:pStyle w:val="Prrafodelista"/>
        <w:widowControl w:val="0"/>
        <w:ind w:left="0"/>
      </w:pPr>
    </w:p>
    <w:p w14:paraId="79C45B2F" w14:textId="3DFDFA49" w:rsidR="00DA4B48" w:rsidRPr="00746ACE" w:rsidRDefault="00DA4B48" w:rsidP="00FC0DFB">
      <w:pPr>
        <w:pStyle w:val="Prrafodelista"/>
        <w:widowControl w:val="0"/>
        <w:numPr>
          <w:ilvl w:val="0"/>
          <w:numId w:val="7"/>
        </w:numPr>
      </w:pPr>
      <w:r w:rsidRPr="00746ACE">
        <w:t>Así, en lo que tiene que ver con el debido proceso y la igualdad, los demandantes plantean que exigir el reconocimiento de responsabilidad a un partícipe no determinante desconoce el debido proceso porque estos sujetos no tienen los mismos deberes que los presuntos máximos responsables durante la sustanciación del caso por parte de la Sala de Reconocimiento de Verdad, ni cuentan con las mismas oportunidades para efectuar el mencionado reconocimiento de responsabilidad.</w:t>
      </w:r>
    </w:p>
    <w:p w14:paraId="3D2D64A5" w14:textId="77777777" w:rsidR="00DA4B48" w:rsidRPr="00746ACE" w:rsidRDefault="00DA4B48" w:rsidP="00E54557"/>
    <w:p w14:paraId="2FFDF85A" w14:textId="11F71A86" w:rsidR="00DA4B48" w:rsidRPr="00746ACE" w:rsidRDefault="00DA4B48" w:rsidP="00FC0DFB">
      <w:pPr>
        <w:pStyle w:val="Prrafodelista"/>
        <w:widowControl w:val="0"/>
        <w:numPr>
          <w:ilvl w:val="0"/>
          <w:numId w:val="7"/>
        </w:numPr>
      </w:pPr>
      <w:r w:rsidRPr="00746ACE">
        <w:t xml:space="preserve">En la misma línea, </w:t>
      </w:r>
      <w:r w:rsidR="00D03BA0" w:rsidRPr="00746ACE">
        <w:t xml:space="preserve">señalan que </w:t>
      </w:r>
      <w:r w:rsidRPr="00746ACE">
        <w:t xml:space="preserve">esta exigencia desconoce el principio de igualdad, pues mientras que los comparecientes que son vistos como presuntos máximos responsables por parte de la Sala de Reconocimiento son llamados a la audiencia de reconocimiento de verdad y responsabilidad, los partícipes determinantes no cuentan con este espacio, previa la definición de su situación jurídica. </w:t>
      </w:r>
    </w:p>
    <w:p w14:paraId="0D6EFD49" w14:textId="77777777" w:rsidR="00DA4B48" w:rsidRPr="00746ACE" w:rsidRDefault="00DA4B48" w:rsidP="00E54557"/>
    <w:p w14:paraId="7F417694" w14:textId="3176C49E" w:rsidR="00DA4B48" w:rsidRPr="00746ACE" w:rsidRDefault="00DA4B48" w:rsidP="00FC0DFB">
      <w:pPr>
        <w:pStyle w:val="Prrafodelista"/>
        <w:widowControl w:val="0"/>
        <w:numPr>
          <w:ilvl w:val="0"/>
          <w:numId w:val="7"/>
        </w:numPr>
      </w:pPr>
      <w:r w:rsidRPr="00746ACE">
        <w:t>Por último, y de nuevo según la demanda, la previsión de la selección de segundo orden para este conjunto de partícipes no determinantes, con la eventual remisión a la Unidad de Investigación y Acusación para que determine si hay mérito para el inicio de un juicio adversarial</w:t>
      </w:r>
      <w:r w:rsidR="00E54557" w:rsidRPr="00746ACE">
        <w:t>,</w:t>
      </w:r>
      <w:r w:rsidRPr="00746ACE">
        <w:t xml:space="preserve"> conduce a una situación donde los partícipes no determinantes podrían enfrentar sanciones ordinarias de hasta 20 años, mientras que los máximos responsables seleccionados por la Sala de Reconocimiento accederían, en principio, a sanciones propias de entre 5 y 8 años, y sin privación de libertad. Esta hipótesis, sostienen, desconoce abiertamente el principio de proporcionalidad de la sanción. </w:t>
      </w:r>
    </w:p>
    <w:p w14:paraId="0BD7C7E2" w14:textId="77777777" w:rsidR="00E92835" w:rsidRPr="00746ACE" w:rsidRDefault="00E92835" w:rsidP="00FC0DFB">
      <w:pPr>
        <w:pStyle w:val="Prrafodelista"/>
        <w:widowControl w:val="0"/>
        <w:ind w:left="0"/>
      </w:pPr>
    </w:p>
    <w:p w14:paraId="1DA08706" w14:textId="61591A4C" w:rsidR="00DA4B48" w:rsidRPr="00746ACE" w:rsidRDefault="002A4193" w:rsidP="00DA4B48">
      <w:pPr>
        <w:pStyle w:val="Prrafodelista"/>
        <w:widowControl w:val="0"/>
        <w:numPr>
          <w:ilvl w:val="0"/>
          <w:numId w:val="7"/>
        </w:numPr>
      </w:pPr>
      <w:r w:rsidRPr="00746ACE">
        <w:t xml:space="preserve">La </w:t>
      </w:r>
      <w:r w:rsidR="00E92835" w:rsidRPr="00746ACE">
        <w:t xml:space="preserve">Corte </w:t>
      </w:r>
      <w:r w:rsidRPr="00746ACE">
        <w:t>observa que, como lo explic</w:t>
      </w:r>
      <w:r w:rsidR="00DD7BCF" w:rsidRPr="00746ACE">
        <w:t>aron</w:t>
      </w:r>
      <w:r w:rsidRPr="00746ACE">
        <w:t xml:space="preserve"> la JEP y diversos intervinientes, </w:t>
      </w:r>
      <w:r w:rsidR="00E92835" w:rsidRPr="00746ACE">
        <w:t xml:space="preserve">en la Senit 8 la Sección de Apelación reformuló </w:t>
      </w:r>
      <w:r w:rsidR="00DD7BCF" w:rsidRPr="00746ACE">
        <w:t>expresamente</w:t>
      </w:r>
      <w:r w:rsidR="00E92835" w:rsidRPr="00746ACE">
        <w:t xml:space="preserve"> las reglas relacionadas con la exigencia de reconocimiento de responsabilidad para los partícipes no determinantes</w:t>
      </w:r>
      <w:r w:rsidR="00036A73" w:rsidRPr="00746ACE">
        <w:t>,</w:t>
      </w:r>
      <w:r w:rsidR="00E92835" w:rsidRPr="00746ACE">
        <w:t xml:space="preserve"> establecidas previamente en la Senit 5</w:t>
      </w:r>
      <w:r w:rsidR="00E92835" w:rsidRPr="00746ACE">
        <w:rPr>
          <w:rStyle w:val="Refdenotaalpie"/>
        </w:rPr>
        <w:footnoteReference w:id="33"/>
      </w:r>
      <w:r w:rsidR="00E92835" w:rsidRPr="00746ACE">
        <w:t>. En particular, aclaró que el reconocimiento de responsabilidad</w:t>
      </w:r>
      <w:r w:rsidRPr="00746ACE">
        <w:t xml:space="preserve"> </w:t>
      </w:r>
      <w:r w:rsidR="00E92835" w:rsidRPr="00746ACE">
        <w:rPr>
          <w:b/>
        </w:rPr>
        <w:t xml:space="preserve">no </w:t>
      </w:r>
      <w:r w:rsidR="00DD7BCF" w:rsidRPr="00746ACE">
        <w:t>constituye</w:t>
      </w:r>
      <w:r w:rsidRPr="00746ACE">
        <w:t>, en principio,</w:t>
      </w:r>
      <w:r w:rsidR="00E92835" w:rsidRPr="00746ACE">
        <w:t xml:space="preserve"> un requisito para que los partícipes no determinantes puedan acceder a la renuncia condicionada a la persecución pena</w:t>
      </w:r>
      <w:r w:rsidR="00E92835" w:rsidRPr="00746ACE">
        <w:rPr>
          <w:rStyle w:val="Refdenotaalpie"/>
        </w:rPr>
        <w:footnoteReference w:id="34"/>
      </w:r>
      <w:r w:rsidR="00E92835" w:rsidRPr="00746ACE">
        <w:t xml:space="preserve">. </w:t>
      </w:r>
    </w:p>
    <w:p w14:paraId="6D6C1790" w14:textId="77777777" w:rsidR="00DD7BCF" w:rsidRPr="00746ACE" w:rsidRDefault="00DD7BCF" w:rsidP="00FC0DFB">
      <w:pPr>
        <w:widowControl w:val="0"/>
      </w:pPr>
    </w:p>
    <w:p w14:paraId="407625D6" w14:textId="5450AC80" w:rsidR="00E92835" w:rsidRPr="00746ACE" w:rsidRDefault="00E92835" w:rsidP="00FC0DFB">
      <w:pPr>
        <w:pStyle w:val="Prrafodelista"/>
        <w:widowControl w:val="0"/>
        <w:numPr>
          <w:ilvl w:val="0"/>
          <w:numId w:val="7"/>
        </w:numPr>
      </w:pPr>
      <w:r w:rsidRPr="00746ACE">
        <w:t xml:space="preserve">En ese sentido, </w:t>
      </w:r>
      <w:r w:rsidR="00014250" w:rsidRPr="00746ACE">
        <w:t xml:space="preserve">de acuerdo con la Senit 8, </w:t>
      </w:r>
      <w:r w:rsidR="00DD7BCF" w:rsidRPr="00746ACE">
        <w:t xml:space="preserve">cuando </w:t>
      </w:r>
      <w:r w:rsidRPr="00746ACE">
        <w:t>el compareciente que no es máximo responsable reconoce responsabilidad, dicho reconocimiento será valorado como una contribución positiva a</w:t>
      </w:r>
      <w:r w:rsidR="00DD7BCF" w:rsidRPr="00746ACE">
        <w:t xml:space="preserve">l </w:t>
      </w:r>
      <w:r w:rsidRPr="00746ACE">
        <w:t>deber de aportar verdad, en tanto constituye un aporte voluntario y significativo al cumplimiento de los fines del Sistema Integral para la Paz (SIP)</w:t>
      </w:r>
      <w:r w:rsidR="00DD7BCF" w:rsidRPr="00746ACE">
        <w:t>. Sin embargo, no se trata de</w:t>
      </w:r>
      <w:r w:rsidRPr="00746ACE">
        <w:t xml:space="preserve"> una obligación para acceder a la renuncia condicionada a la persecución penal</w:t>
      </w:r>
      <w:r w:rsidRPr="00746ACE">
        <w:rPr>
          <w:rStyle w:val="Refdenotaalpie"/>
        </w:rPr>
        <w:footnoteReference w:id="35"/>
      </w:r>
      <w:r w:rsidRPr="00746ACE">
        <w:t xml:space="preserve">. </w:t>
      </w:r>
    </w:p>
    <w:p w14:paraId="01477480" w14:textId="77777777" w:rsidR="00DD7BCF" w:rsidRPr="00746ACE" w:rsidRDefault="00DD7BCF" w:rsidP="006A2C55">
      <w:pPr>
        <w:widowControl w:val="0"/>
      </w:pPr>
    </w:p>
    <w:p w14:paraId="157EDC69" w14:textId="635D941A" w:rsidR="00E92835" w:rsidRPr="00746ACE" w:rsidRDefault="00DD7BCF" w:rsidP="00FC0DFB">
      <w:pPr>
        <w:pStyle w:val="Prrafodelista"/>
        <w:widowControl w:val="0"/>
        <w:numPr>
          <w:ilvl w:val="0"/>
          <w:numId w:val="7"/>
        </w:numPr>
      </w:pPr>
      <w:r w:rsidRPr="00746ACE">
        <w:t>E</w:t>
      </w:r>
      <w:r w:rsidR="002A4193" w:rsidRPr="00746ACE">
        <w:t>xiste</w:t>
      </w:r>
      <w:r w:rsidRPr="00746ACE">
        <w:t>, sin embargo,</w:t>
      </w:r>
      <w:r w:rsidR="002A4193" w:rsidRPr="00746ACE">
        <w:t xml:space="preserve"> </w:t>
      </w:r>
      <w:r w:rsidR="00E92835" w:rsidRPr="00746ACE">
        <w:t>una excepción</w:t>
      </w:r>
      <w:r w:rsidRPr="00746ACE">
        <w:t>. L</w:t>
      </w:r>
      <w:r w:rsidR="00E92835" w:rsidRPr="00746ACE">
        <w:t>os comparecientes que cuent</w:t>
      </w:r>
      <w:r w:rsidRPr="00746ACE">
        <w:t>a</w:t>
      </w:r>
      <w:r w:rsidR="00E92835" w:rsidRPr="00746ACE">
        <w:t>n con una condena en firme proferida por la jurisdicción penal ordinaria</w:t>
      </w:r>
      <w:r w:rsidR="002A4193" w:rsidRPr="00746ACE">
        <w:t xml:space="preserve"> sí mantienen en la Senit 8 </w:t>
      </w:r>
      <w:r w:rsidR="00E92835" w:rsidRPr="00746ACE">
        <w:t xml:space="preserve">la </w:t>
      </w:r>
      <w:r w:rsidR="002A4193" w:rsidRPr="00746ACE">
        <w:t xml:space="preserve">obligación </w:t>
      </w:r>
      <w:r w:rsidR="00E92835" w:rsidRPr="00746ACE">
        <w:t xml:space="preserve">de </w:t>
      </w:r>
      <w:r w:rsidR="002A4193" w:rsidRPr="00746ACE">
        <w:t xml:space="preserve">reconocer </w:t>
      </w:r>
      <w:r w:rsidR="00E92835" w:rsidRPr="00746ACE">
        <w:t>responsabilidad como manifestación del deber de aportar verdad plena en el marco del Sistema Integral para la Paz</w:t>
      </w:r>
      <w:r w:rsidR="00E92835" w:rsidRPr="00746ACE">
        <w:rPr>
          <w:rStyle w:val="Refdenotaalpie"/>
        </w:rPr>
        <w:footnoteReference w:id="36"/>
      </w:r>
      <w:r w:rsidR="00E92835" w:rsidRPr="00746ACE">
        <w:t xml:space="preserve">, debido a que su presunción de inocencia ha sido </w:t>
      </w:r>
      <w:r w:rsidR="002A4193" w:rsidRPr="00746ACE">
        <w:t>derrotada</w:t>
      </w:r>
      <w:r w:rsidR="00E92835" w:rsidRPr="00746ACE">
        <w:rPr>
          <w:rStyle w:val="Refdenotaalpie"/>
        </w:rPr>
        <w:footnoteReference w:id="37"/>
      </w:r>
      <w:r w:rsidR="002A4193" w:rsidRPr="00746ACE">
        <w:t>,</w:t>
      </w:r>
      <w:r w:rsidR="00E92835" w:rsidRPr="00746ACE">
        <w:t xml:space="preserve"> salvo que el compareciente mantenga su alegato de inocencia y acuda al mecanismo de revisión transicional</w:t>
      </w:r>
      <w:r w:rsidR="00E92835" w:rsidRPr="00746ACE">
        <w:rPr>
          <w:rStyle w:val="Refdenotaalpie"/>
        </w:rPr>
        <w:footnoteReference w:id="38"/>
      </w:r>
      <w:r w:rsidR="00E92835" w:rsidRPr="00746ACE">
        <w:t>.</w:t>
      </w:r>
    </w:p>
    <w:p w14:paraId="5C767A07" w14:textId="77777777" w:rsidR="00DD7BCF" w:rsidRPr="00746ACE" w:rsidRDefault="00DD7BCF" w:rsidP="006A2C55">
      <w:pPr>
        <w:widowControl w:val="0"/>
      </w:pPr>
    </w:p>
    <w:p w14:paraId="58CEC1E2" w14:textId="7FED036C" w:rsidR="00E92835" w:rsidRPr="00746ACE" w:rsidRDefault="00014250" w:rsidP="00FC0DFB">
      <w:pPr>
        <w:pStyle w:val="Prrafodelista"/>
        <w:widowControl w:val="0"/>
        <w:numPr>
          <w:ilvl w:val="0"/>
          <w:numId w:val="7"/>
        </w:numPr>
      </w:pPr>
      <w:r w:rsidRPr="00746ACE">
        <w:t xml:space="preserve">Como </w:t>
      </w:r>
      <w:r w:rsidR="00E92835" w:rsidRPr="00746ACE">
        <w:t xml:space="preserve">la propia Sección de Apelación modificó el alcance normativo de la regla cuestionada, la Corte concluye que </w:t>
      </w:r>
      <w:r w:rsidR="00DD7BCF" w:rsidRPr="00746ACE">
        <w:t>una parte d</w:t>
      </w:r>
      <w:r w:rsidR="00E92835" w:rsidRPr="00746ACE">
        <w:t xml:space="preserve">el </w:t>
      </w:r>
      <w:r w:rsidR="002A4193" w:rsidRPr="00746ACE">
        <w:t xml:space="preserve">quinto </w:t>
      </w:r>
      <w:r w:rsidR="00E92835" w:rsidRPr="00746ACE">
        <w:t xml:space="preserve">cargo </w:t>
      </w:r>
      <w:r w:rsidR="002A4193" w:rsidRPr="00746ACE">
        <w:t xml:space="preserve">de la demanda </w:t>
      </w:r>
      <w:r w:rsidR="00DD7BCF" w:rsidRPr="00746ACE">
        <w:t xml:space="preserve">ya </w:t>
      </w:r>
      <w:r w:rsidR="002A4193" w:rsidRPr="00746ACE">
        <w:t xml:space="preserve">no cumple </w:t>
      </w:r>
      <w:r w:rsidR="00DD7BCF" w:rsidRPr="00746ACE">
        <w:t xml:space="preserve">el requisito </w:t>
      </w:r>
      <w:r w:rsidR="00E92835" w:rsidRPr="00746ACE">
        <w:t>de certeza</w:t>
      </w:r>
      <w:r w:rsidR="00D03BA0" w:rsidRPr="00746ACE">
        <w:t xml:space="preserve"> por razones ajenas a las expuestas en la demanda</w:t>
      </w:r>
      <w:r w:rsidR="00E54557" w:rsidRPr="00746ACE">
        <w:t>,</w:t>
      </w:r>
      <w:r w:rsidR="00E92835" w:rsidRPr="00746ACE">
        <w:t xml:space="preserve"> en relación con la </w:t>
      </w:r>
      <w:r w:rsidR="00DD7BCF" w:rsidRPr="00746ACE">
        <w:t xml:space="preserve">supuesta </w:t>
      </w:r>
      <w:r w:rsidR="00E92835" w:rsidRPr="00746ACE">
        <w:t>exigencia general de reconocimiento de responsabilidad</w:t>
      </w:r>
      <w:r w:rsidR="002A4193" w:rsidRPr="00746ACE">
        <w:t xml:space="preserve"> para los partícipes no determinantes ubicados en el punto medio de responsabilidad.</w:t>
      </w:r>
    </w:p>
    <w:p w14:paraId="5D0BEDC5" w14:textId="77777777" w:rsidR="00DD7BCF" w:rsidRPr="00746ACE" w:rsidRDefault="00DD7BCF" w:rsidP="006A2C55">
      <w:pPr>
        <w:widowControl w:val="0"/>
      </w:pPr>
    </w:p>
    <w:p w14:paraId="08A5A403" w14:textId="7E5D2CBE" w:rsidR="00DD7BCF" w:rsidRPr="00746ACE" w:rsidRDefault="00E92835" w:rsidP="006A2C55">
      <w:pPr>
        <w:pStyle w:val="Prrafodelista"/>
        <w:widowControl w:val="0"/>
        <w:numPr>
          <w:ilvl w:val="0"/>
          <w:numId w:val="7"/>
        </w:numPr>
      </w:pPr>
      <w:r w:rsidRPr="00746ACE">
        <w:t xml:space="preserve">La Corte ha definido </w:t>
      </w:r>
      <w:r w:rsidR="002A4193" w:rsidRPr="00746ACE">
        <w:t>la ineptitud sobreviniente </w:t>
      </w:r>
      <w:r w:rsidRPr="00746ACE">
        <w:t>como aquella</w:t>
      </w:r>
      <w:r w:rsidR="002A4193" w:rsidRPr="00746ACE">
        <w:t xml:space="preserve"> situación </w:t>
      </w:r>
      <w:r w:rsidRPr="00746ACE">
        <w:t xml:space="preserve">en la que </w:t>
      </w:r>
      <w:r w:rsidR="00DD7BCF" w:rsidRPr="00746ACE">
        <w:t xml:space="preserve">se producen </w:t>
      </w:r>
      <w:r w:rsidRPr="00746ACE">
        <w:t>cambios en las normas</w:t>
      </w:r>
      <w:r w:rsidR="006A2C55" w:rsidRPr="00746ACE">
        <w:t xml:space="preserve"> </w:t>
      </w:r>
      <w:r w:rsidR="00092A12" w:rsidRPr="00746ACE">
        <w:t>(y, por extensión, d</w:t>
      </w:r>
      <w:r w:rsidR="006A2C55" w:rsidRPr="00746ACE">
        <w:t>e interpretaciones</w:t>
      </w:r>
      <w:r w:rsidRPr="00746ACE">
        <w:t xml:space="preserve"> impugnadas</w:t>
      </w:r>
      <w:r w:rsidR="00092A12" w:rsidRPr="00746ACE">
        <w:t>)</w:t>
      </w:r>
      <w:r w:rsidRPr="00746ACE">
        <w:t xml:space="preserve"> que afectan los requisitos de aptitud sustantiva de la demanda, incluso </w:t>
      </w:r>
      <w:r w:rsidR="00FE070B" w:rsidRPr="00746ACE">
        <w:t>cuando el</w:t>
      </w:r>
      <w:r w:rsidRPr="00746ACE">
        <w:t xml:space="preserve"> texto objeto de control permanece </w:t>
      </w:r>
      <w:r w:rsidR="00FE070B" w:rsidRPr="00746ACE">
        <w:t xml:space="preserve">formalmente </w:t>
      </w:r>
      <w:r w:rsidRPr="00746ACE">
        <w:t>vigente</w:t>
      </w:r>
      <w:r w:rsidRPr="00746ACE">
        <w:rPr>
          <w:rStyle w:val="Refdenotaalpie"/>
        </w:rPr>
        <w:footnoteReference w:id="39"/>
      </w:r>
      <w:bookmarkStart w:id="27" w:name="_Ref213164249"/>
      <w:r w:rsidR="002A4193" w:rsidRPr="00746ACE">
        <w:t xml:space="preserve">. </w:t>
      </w:r>
    </w:p>
    <w:p w14:paraId="559A7CB9" w14:textId="77777777" w:rsidR="00DD7BCF" w:rsidRPr="00746ACE" w:rsidRDefault="00DD7BCF" w:rsidP="00E54557">
      <w:pPr>
        <w:widowControl w:val="0"/>
      </w:pPr>
    </w:p>
    <w:p w14:paraId="4911A89E" w14:textId="3D7DC314" w:rsidR="00E92835" w:rsidRPr="00746ACE" w:rsidRDefault="00E92835" w:rsidP="00FC0DFB">
      <w:pPr>
        <w:pStyle w:val="Prrafodelista"/>
        <w:widowControl w:val="0"/>
        <w:numPr>
          <w:ilvl w:val="0"/>
          <w:numId w:val="7"/>
        </w:numPr>
      </w:pPr>
      <w:r w:rsidRPr="00746ACE">
        <w:t>Est</w:t>
      </w:r>
      <w:r w:rsidR="00FE070B" w:rsidRPr="00746ACE">
        <w:t>e fenómeno</w:t>
      </w:r>
      <w:r w:rsidRPr="00746ACE">
        <w:t xml:space="preserve"> puede </w:t>
      </w:r>
      <w:r w:rsidR="00FE070B" w:rsidRPr="00746ACE">
        <w:t>presentarse</w:t>
      </w:r>
      <w:r w:rsidRPr="00746ACE">
        <w:t xml:space="preserve">, por ejemplo, cuando la disposición demandada deja de existir, cuando cambia su significado jurídico o cuando, a partir de una modificación posterior, </w:t>
      </w:r>
      <w:r w:rsidR="00FE070B" w:rsidRPr="00746ACE">
        <w:t>deja de</w:t>
      </w:r>
      <w:r w:rsidRPr="00746ACE">
        <w:t xml:space="preserve"> opone</w:t>
      </w:r>
      <w:r w:rsidR="00FE070B" w:rsidRPr="00746ACE">
        <w:t>rse</w:t>
      </w:r>
      <w:r w:rsidRPr="00746ACE">
        <w:t xml:space="preserve"> a la norma superior que se alega infringida</w:t>
      </w:r>
      <w:r w:rsidRPr="00746ACE">
        <w:rPr>
          <w:rStyle w:val="Refdenotaalpie"/>
        </w:rPr>
        <w:footnoteReference w:id="40"/>
      </w:r>
      <w:r w:rsidRPr="00746ACE">
        <w:t>. </w:t>
      </w:r>
      <w:bookmarkEnd w:id="27"/>
      <w:r w:rsidRPr="00746ACE">
        <w:t xml:space="preserve">En este caso, aunque la demanda no versa sobre una norma concreta, se configura </w:t>
      </w:r>
      <w:r w:rsidR="00FE070B" w:rsidRPr="00746ACE">
        <w:t>una</w:t>
      </w:r>
      <w:r w:rsidRPr="00746ACE">
        <w:t xml:space="preserve"> ineptitud sobreviniente</w:t>
      </w:r>
      <w:r w:rsidR="00FE070B" w:rsidRPr="00746ACE">
        <w:t xml:space="preserve"> parcial</w:t>
      </w:r>
      <w:r w:rsidR="006323A3" w:rsidRPr="00746ACE">
        <w:t>: </w:t>
      </w:r>
      <w:r w:rsidR="00FE070B" w:rsidRPr="00746ACE">
        <w:t xml:space="preserve">las reglas interpretativas de </w:t>
      </w:r>
      <w:r w:rsidRPr="00746ACE">
        <w:t>la Senit 5 que los ciudadanos</w:t>
      </w:r>
      <w:r w:rsidR="00FE070B" w:rsidRPr="00746ACE">
        <w:t xml:space="preserve"> cuestionaron respecto del</w:t>
      </w:r>
      <w:r w:rsidRPr="00746ACE">
        <w:t xml:space="preserve"> deber de reconocer responsabilidad para los partícipes no determinantes fueron modificadas expresamente por la Sección de Apelación en la Senit 8.</w:t>
      </w:r>
    </w:p>
    <w:p w14:paraId="6B59AD30" w14:textId="71FEB72A" w:rsidR="00FE070B" w:rsidRPr="00746ACE" w:rsidRDefault="00FE070B" w:rsidP="00FC0DFB">
      <w:pPr>
        <w:widowControl w:val="0"/>
      </w:pPr>
    </w:p>
    <w:p w14:paraId="6925DDF5" w14:textId="2CB8B788" w:rsidR="002A4193" w:rsidRPr="00746ACE" w:rsidRDefault="00FE070B" w:rsidP="00FC0DFB">
      <w:pPr>
        <w:pStyle w:val="Prrafodelista"/>
        <w:widowControl w:val="0"/>
        <w:numPr>
          <w:ilvl w:val="0"/>
          <w:numId w:val="7"/>
        </w:numPr>
      </w:pPr>
      <w:r w:rsidRPr="00746ACE">
        <w:t>No obstante</w:t>
      </w:r>
      <w:r w:rsidR="00E92835" w:rsidRPr="00746ACE">
        <w:t xml:space="preserve">, el </w:t>
      </w:r>
      <w:r w:rsidR="002A4193" w:rsidRPr="00746ACE">
        <w:t xml:space="preserve">quinto </w:t>
      </w:r>
      <w:r w:rsidR="00E92835" w:rsidRPr="00746ACE">
        <w:t xml:space="preserve">cargo </w:t>
      </w:r>
      <w:r w:rsidR="002A4193" w:rsidRPr="00746ACE">
        <w:t xml:space="preserve">sí </w:t>
      </w:r>
      <w:r w:rsidR="00E92835" w:rsidRPr="00746ACE">
        <w:t>mantiene su aptitud para un análisis de fondo respecto de</w:t>
      </w:r>
      <w:r w:rsidRPr="00746ACE">
        <w:t xml:space="preserve"> los </w:t>
      </w:r>
      <w:r w:rsidR="00E92835" w:rsidRPr="00746ACE">
        <w:t>comparecientes sobre los que ya existe una condena en firme</w:t>
      </w:r>
      <w:r w:rsidRPr="00746ACE">
        <w:t xml:space="preserve">, pues respecto de ellos se mantiene la obligación </w:t>
      </w:r>
      <w:r w:rsidR="002A4193" w:rsidRPr="00746ACE">
        <w:t>de aport</w:t>
      </w:r>
      <w:r w:rsidRPr="00746ACE">
        <w:t xml:space="preserve">ar </w:t>
      </w:r>
      <w:r w:rsidR="002A4193" w:rsidRPr="00746ACE">
        <w:t xml:space="preserve">verdad </w:t>
      </w:r>
      <w:r w:rsidRPr="00746ACE">
        <w:t>y reconocer</w:t>
      </w:r>
      <w:r w:rsidR="002A4193" w:rsidRPr="00746ACE">
        <w:t xml:space="preserve"> responsabilidad.</w:t>
      </w:r>
    </w:p>
    <w:p w14:paraId="7201EA29" w14:textId="77777777" w:rsidR="00FE070B" w:rsidRPr="00746ACE" w:rsidRDefault="00FE070B" w:rsidP="006A2C55">
      <w:pPr>
        <w:widowControl w:val="0"/>
      </w:pPr>
    </w:p>
    <w:p w14:paraId="24525CF0" w14:textId="289FF5E3" w:rsidR="00E92835" w:rsidRPr="00746ACE" w:rsidRDefault="00FE070B" w:rsidP="00FC0DFB">
      <w:pPr>
        <w:pStyle w:val="Prrafodelista"/>
        <w:widowControl w:val="0"/>
        <w:numPr>
          <w:ilvl w:val="0"/>
          <w:numId w:val="7"/>
        </w:numPr>
      </w:pPr>
      <w:r w:rsidRPr="00746ACE">
        <w:t>En consecuencia</w:t>
      </w:r>
      <w:r w:rsidR="00E92835" w:rsidRPr="00746ACE">
        <w:t xml:space="preserve">, la Corte </w:t>
      </w:r>
      <w:r w:rsidR="002A4193" w:rsidRPr="00746ACE">
        <w:t xml:space="preserve">analizará el cargo </w:t>
      </w:r>
      <w:r w:rsidRPr="00746ACE">
        <w:t xml:space="preserve">únicamente respecto del </w:t>
      </w:r>
      <w:r w:rsidR="00E92835" w:rsidRPr="00746ACE">
        <w:t xml:space="preserve">conjunto de partícipes no determinantes que </w:t>
      </w:r>
      <w:r w:rsidRPr="00746ACE">
        <w:t>cuentan con una condena en firme</w:t>
      </w:r>
      <w:r w:rsidR="00E92835" w:rsidRPr="00746ACE">
        <w:t xml:space="preserve"> en la justicia ordinaria. </w:t>
      </w:r>
    </w:p>
    <w:p w14:paraId="0CF7D07E" w14:textId="77777777" w:rsidR="00FE070B" w:rsidRPr="00746ACE" w:rsidRDefault="00FE070B" w:rsidP="00FC0DFB">
      <w:pPr>
        <w:widowControl w:val="0"/>
      </w:pPr>
    </w:p>
    <w:p w14:paraId="2C418273" w14:textId="092C20C9" w:rsidR="00E92835" w:rsidRPr="00746ACE" w:rsidRDefault="00E92835" w:rsidP="00FC0DFB">
      <w:pPr>
        <w:pStyle w:val="Prrafodelista"/>
        <w:widowControl w:val="0"/>
        <w:numPr>
          <w:ilvl w:val="0"/>
          <w:numId w:val="7"/>
        </w:numPr>
      </w:pPr>
      <w:r w:rsidRPr="00746ACE">
        <w:t xml:space="preserve">Por otra parte, el cargo </w:t>
      </w:r>
      <w:r w:rsidR="00FE070B" w:rsidRPr="00746ACE">
        <w:t xml:space="preserve">formulado por los accionantes no </w:t>
      </w:r>
      <w:r w:rsidRPr="00746ACE">
        <w:t xml:space="preserve">se agota en la exigencia de </w:t>
      </w:r>
      <w:r w:rsidR="00FE070B" w:rsidRPr="00746ACE">
        <w:t>reconocimiento de responsabilidad</w:t>
      </w:r>
      <w:r w:rsidRPr="00746ACE">
        <w:t xml:space="preserve">. Los ciudadanos también alegan que la interpretación </w:t>
      </w:r>
      <w:r w:rsidR="00FE070B" w:rsidRPr="00746ACE">
        <w:t>fijada por</w:t>
      </w:r>
      <w:r w:rsidRPr="00746ACE">
        <w:t xml:space="preserve"> la Sección de Apelación en la Senit 5 genera un trato desigual y una afectación a</w:t>
      </w:r>
      <w:r w:rsidR="00FE070B" w:rsidRPr="00746ACE">
        <w:t xml:space="preserve">l principio de </w:t>
      </w:r>
      <w:r w:rsidRPr="00746ACE">
        <w:t>proporcionalidad de</w:t>
      </w:r>
      <w:r w:rsidR="002A4193" w:rsidRPr="00746ACE">
        <w:t xml:space="preserve"> </w:t>
      </w:r>
      <w:r w:rsidR="005B6CDD" w:rsidRPr="00746ACE">
        <w:t>las sanciones</w:t>
      </w:r>
      <w:r w:rsidRPr="00746ACE">
        <w:t xml:space="preserve">, en la medida en que los partícipes no determinantes podrían enfrentar consecuencias sancionatorias más gravosas que </w:t>
      </w:r>
      <w:r w:rsidR="00FE070B" w:rsidRPr="00746ACE">
        <w:t>aquellas aplicables a quienes fueron</w:t>
      </w:r>
      <w:r w:rsidRPr="00746ACE">
        <w:t xml:space="preserve"> seleccionados como máximos responsables por la Sala de Reconocimiento de Verdad y Responsabilidad.</w:t>
      </w:r>
    </w:p>
    <w:p w14:paraId="512C5CAB" w14:textId="77777777" w:rsidR="00FE070B" w:rsidRPr="00746ACE" w:rsidRDefault="00FE070B" w:rsidP="00FC0DFB">
      <w:pPr>
        <w:widowControl w:val="0"/>
      </w:pPr>
    </w:p>
    <w:p w14:paraId="01ED67E0" w14:textId="28328486" w:rsidR="00E92835" w:rsidRPr="00746ACE" w:rsidRDefault="00E54557" w:rsidP="00FC0DFB">
      <w:pPr>
        <w:pStyle w:val="Prrafodelista"/>
        <w:widowControl w:val="0"/>
        <w:numPr>
          <w:ilvl w:val="0"/>
          <w:numId w:val="7"/>
        </w:numPr>
      </w:pPr>
      <w:r w:rsidRPr="00746ACE">
        <w:t>Así, l</w:t>
      </w:r>
      <w:r w:rsidR="00E92835" w:rsidRPr="00746ACE">
        <w:t xml:space="preserve">a Corte considera que el cargo conserva su aptitud en cuanto a la </w:t>
      </w:r>
      <w:r w:rsidR="002A4193" w:rsidRPr="00746ACE">
        <w:t xml:space="preserve">supuesta </w:t>
      </w:r>
      <w:r w:rsidR="00E92835" w:rsidRPr="00746ACE">
        <w:t xml:space="preserve">imposibilidad </w:t>
      </w:r>
      <w:r w:rsidR="00FE070B" w:rsidRPr="00746ACE">
        <w:t>de que</w:t>
      </w:r>
      <w:r w:rsidR="00E92835" w:rsidRPr="00746ACE">
        <w:t xml:space="preserve"> los partícipes no determinantes </w:t>
      </w:r>
      <w:r w:rsidR="00FE070B" w:rsidRPr="00746ACE">
        <w:t>accedan</w:t>
      </w:r>
      <w:r w:rsidR="00E92835" w:rsidRPr="00746ACE">
        <w:t xml:space="preserve"> a las sanciones propias, a diferencia de los máximos responsables</w:t>
      </w:r>
      <w:r w:rsidR="00554943" w:rsidRPr="00746ACE">
        <w:t>. En consecuencia, examinará si existe</w:t>
      </w:r>
      <w:r w:rsidR="002A4193" w:rsidRPr="00746ACE">
        <w:t xml:space="preserve"> una diferencia en las </w:t>
      </w:r>
      <w:r w:rsidR="00E92835" w:rsidRPr="00746ACE">
        <w:t xml:space="preserve">consecuencias sancionatorias </w:t>
      </w:r>
      <w:r w:rsidR="002A4193" w:rsidRPr="00746ACE">
        <w:t>que descono</w:t>
      </w:r>
      <w:r w:rsidR="00554943" w:rsidRPr="00746ACE">
        <w:t>zca</w:t>
      </w:r>
      <w:r w:rsidR="002A4193" w:rsidRPr="00746ACE">
        <w:t xml:space="preserve"> </w:t>
      </w:r>
      <w:r w:rsidR="005A4AB1" w:rsidRPr="00746ACE">
        <w:t>el derecho al debido proceso y</w:t>
      </w:r>
      <w:r w:rsidR="00E92835" w:rsidRPr="00746ACE">
        <w:t xml:space="preserve"> los principios de igualdad</w:t>
      </w:r>
      <w:r w:rsidR="00554943" w:rsidRPr="00746ACE">
        <w:t xml:space="preserve"> y</w:t>
      </w:r>
      <w:r w:rsidR="00E92835" w:rsidRPr="00746ACE">
        <w:t xml:space="preserve"> proporcionalidad</w:t>
      </w:r>
      <w:r w:rsidR="005A4AB1" w:rsidRPr="00746ACE">
        <w:t xml:space="preserve"> de las sanciones</w:t>
      </w:r>
      <w:r w:rsidR="002A4193" w:rsidRPr="00746ACE">
        <w:t xml:space="preserve">, tanto </w:t>
      </w:r>
      <w:r w:rsidR="00554943" w:rsidRPr="00746ACE">
        <w:t>respecto de</w:t>
      </w:r>
      <w:r w:rsidR="00E92835" w:rsidRPr="00746ACE">
        <w:t xml:space="preserve"> los partícipes no determinantes que cuentan con una condena en firme como </w:t>
      </w:r>
      <w:r w:rsidR="00554943" w:rsidRPr="00746ACE">
        <w:t xml:space="preserve">respecto de </w:t>
      </w:r>
      <w:r w:rsidR="00E92835" w:rsidRPr="00746ACE">
        <w:t>aquellos que no la tienen.</w:t>
      </w:r>
      <w:r w:rsidR="00742777" w:rsidRPr="00746ACE">
        <w:t xml:space="preserve"> </w:t>
      </w:r>
    </w:p>
    <w:p w14:paraId="62252739" w14:textId="77777777" w:rsidR="00FE070B" w:rsidRPr="00746ACE" w:rsidRDefault="00FE070B" w:rsidP="00FC0DFB">
      <w:pPr>
        <w:widowControl w:val="0"/>
      </w:pPr>
    </w:p>
    <w:p w14:paraId="721EE7DB" w14:textId="26381047" w:rsidR="00DA4B48" w:rsidRPr="00746ACE" w:rsidRDefault="00554943" w:rsidP="00FC0DFB">
      <w:pPr>
        <w:pStyle w:val="Prrafodelista"/>
        <w:widowControl w:val="0"/>
        <w:numPr>
          <w:ilvl w:val="0"/>
          <w:numId w:val="7"/>
        </w:numPr>
      </w:pPr>
      <w:r w:rsidRPr="00746ACE">
        <w:t xml:space="preserve">A continuación, </w:t>
      </w:r>
      <w:r w:rsidR="00856F23" w:rsidRPr="00746ACE">
        <w:t>la Sala analizará la posibilida</w:t>
      </w:r>
      <w:r w:rsidR="00972297" w:rsidRPr="00746ACE">
        <w:t xml:space="preserve">d de </w:t>
      </w:r>
      <w:r w:rsidR="007F63F5" w:rsidRPr="00746ACE">
        <w:t>realizar la integración de la unidad normativa</w:t>
      </w:r>
      <w:r w:rsidR="00DA4B48" w:rsidRPr="00746ACE">
        <w:t xml:space="preserve"> entre los fundamentos cuestionados de la Senit 5 y aquellos relevantes de la Senit 8 y la Senit 9, para la comprensión de los conceptos de “selección de segundo orden” y “responsabilidad del punto medio”.</w:t>
      </w:r>
    </w:p>
    <w:p w14:paraId="2888D28D" w14:textId="77777777" w:rsidR="00DD4E06" w:rsidRPr="00746ACE" w:rsidRDefault="00DD4E06" w:rsidP="00DD4E06">
      <w:pPr>
        <w:pStyle w:val="Prrafodelista"/>
      </w:pPr>
    </w:p>
    <w:p w14:paraId="02754A1E" w14:textId="34B705B2" w:rsidR="00DD4E06" w:rsidRPr="00746ACE" w:rsidRDefault="007F1EA5" w:rsidP="009F2FE8">
      <w:pPr>
        <w:pStyle w:val="Ttulo3"/>
        <w:keepNext w:val="0"/>
        <w:keepLines w:val="0"/>
        <w:widowControl w:val="0"/>
        <w:jc w:val="both"/>
        <w:rPr>
          <w:rFonts w:cs="Times New Roman"/>
          <w:b/>
          <w:color w:val="auto"/>
          <w:sz w:val="28"/>
          <w:szCs w:val="28"/>
          <w:lang w:val="es-ES"/>
        </w:rPr>
      </w:pPr>
      <w:bookmarkStart w:id="28" w:name="_Toc233384178"/>
      <w:r w:rsidRPr="00746ACE">
        <w:rPr>
          <w:rFonts w:cs="Times New Roman"/>
          <w:color w:val="auto"/>
          <w:sz w:val="28"/>
          <w:szCs w:val="28"/>
          <w:lang w:val="es-ES"/>
        </w:rPr>
        <w:t>I</w:t>
      </w:r>
      <w:r w:rsidR="00DD4E06" w:rsidRPr="00746ACE">
        <w:rPr>
          <w:rFonts w:cs="Times New Roman"/>
          <w:color w:val="auto"/>
          <w:sz w:val="28"/>
          <w:szCs w:val="28"/>
          <w:lang w:val="es-ES"/>
        </w:rPr>
        <w:t xml:space="preserve">neptitud </w:t>
      </w:r>
      <w:r w:rsidRPr="00746ACE">
        <w:rPr>
          <w:rFonts w:cs="Times New Roman"/>
          <w:color w:val="auto"/>
          <w:sz w:val="28"/>
          <w:szCs w:val="28"/>
          <w:lang w:val="es-ES"/>
        </w:rPr>
        <w:t>sobreviniente del cargo</w:t>
      </w:r>
      <w:r w:rsidR="00DD4E06" w:rsidRPr="00746ACE">
        <w:rPr>
          <w:rFonts w:cs="Times New Roman"/>
          <w:color w:val="auto"/>
          <w:sz w:val="28"/>
          <w:szCs w:val="28"/>
          <w:lang w:val="es-ES"/>
        </w:rPr>
        <w:t xml:space="preserve"> por violación del debido proceso </w:t>
      </w:r>
      <w:r w:rsidRPr="00746ACE">
        <w:rPr>
          <w:rFonts w:cs="Times New Roman"/>
          <w:color w:val="auto"/>
          <w:sz w:val="28"/>
          <w:szCs w:val="28"/>
          <w:lang w:val="es-ES"/>
        </w:rPr>
        <w:t xml:space="preserve">por la </w:t>
      </w:r>
      <w:r w:rsidR="00DD4E06" w:rsidRPr="00746ACE">
        <w:rPr>
          <w:rFonts w:cs="Times New Roman"/>
          <w:color w:val="auto"/>
          <w:sz w:val="28"/>
          <w:szCs w:val="28"/>
          <w:lang w:val="es-ES"/>
        </w:rPr>
        <w:t>exigencia de reconocer responsabilidad para los partícipes no determinantes que cuentan con una condena en firme de la justicia penal ordinaria</w:t>
      </w:r>
      <w:bookmarkEnd w:id="28"/>
      <w:r w:rsidR="00DD4E06" w:rsidRPr="00746ACE">
        <w:rPr>
          <w:rFonts w:cs="Times New Roman"/>
          <w:color w:val="auto"/>
          <w:sz w:val="28"/>
          <w:szCs w:val="28"/>
          <w:lang w:val="es-ES"/>
        </w:rPr>
        <w:t xml:space="preserve"> </w:t>
      </w:r>
    </w:p>
    <w:p w14:paraId="14EBD438" w14:textId="77777777" w:rsidR="007F1EA5" w:rsidRPr="00746ACE" w:rsidRDefault="007F1EA5" w:rsidP="007F1EA5">
      <w:pPr>
        <w:rPr>
          <w:lang w:eastAsia="es-ES_tradnl"/>
        </w:rPr>
      </w:pPr>
    </w:p>
    <w:p w14:paraId="68A92561" w14:textId="7C89EBAC" w:rsidR="00DD4E06" w:rsidRPr="00746ACE" w:rsidRDefault="00DD4E06" w:rsidP="00DD4E06">
      <w:pPr>
        <w:pStyle w:val="Prrafodelista"/>
        <w:widowControl w:val="0"/>
        <w:numPr>
          <w:ilvl w:val="0"/>
          <w:numId w:val="7"/>
        </w:numPr>
      </w:pPr>
      <w:r w:rsidRPr="00746ACE">
        <w:t>Como se acaba de explicar, la subregla sobre el reconocimiento de responsabilidad a todos los partícipes no determinantes en un punto de medio de responsabilidad prevista en la Senit 5 fue modificada en la Senit 8. De acuerdo con esta última, si un partícipe no determinante tiene una condena en firme de la justicia ordinaria, su presunción de inocencia ha sido desvirtuada. En ese sentido, si el compareciente no ha buscado la revisión de la sentencia dentro el proceso transicional (ante la Sala de Reconocimiento o la Sala de Definición) está reconociendo implícitamente su responsabilidad</w:t>
      </w:r>
      <w:r w:rsidRPr="00746ACE">
        <w:rPr>
          <w:rStyle w:val="Refdenotaalpie"/>
        </w:rPr>
        <w:footnoteReference w:id="41"/>
      </w:r>
      <w:r w:rsidRPr="00746ACE">
        <w:t xml:space="preserve">. </w:t>
      </w:r>
    </w:p>
    <w:p w14:paraId="3C0BFB31" w14:textId="77777777" w:rsidR="00DD4E06" w:rsidRPr="00746ACE" w:rsidRDefault="00DD4E06" w:rsidP="00DD4E06">
      <w:pPr>
        <w:pStyle w:val="Prrafodelista"/>
        <w:widowControl w:val="0"/>
      </w:pPr>
    </w:p>
    <w:p w14:paraId="32B0686F" w14:textId="77777777" w:rsidR="00DD4E06" w:rsidRPr="00746ACE" w:rsidRDefault="00DD4E06" w:rsidP="00DD4E06">
      <w:pPr>
        <w:pStyle w:val="Prrafodelista"/>
        <w:widowControl w:val="0"/>
        <w:numPr>
          <w:ilvl w:val="0"/>
          <w:numId w:val="7"/>
        </w:numPr>
      </w:pPr>
      <w:r w:rsidRPr="00746ACE">
        <w:t xml:space="preserve">Por esta razón, a diferencia del resto de partícipes no determinantes, este conjunto de comparecientes debe reconocer responsabilidad como parte de su deber general de aportar verdad y no como un deber autónomo. </w:t>
      </w:r>
    </w:p>
    <w:p w14:paraId="34A337CD" w14:textId="77777777" w:rsidR="00DD4E06" w:rsidRPr="00746ACE" w:rsidRDefault="00DD4E06" w:rsidP="00DD4E06">
      <w:pPr>
        <w:pStyle w:val="Prrafodelista"/>
        <w:widowControl w:val="0"/>
        <w:spacing w:after="160"/>
        <w:ind w:left="0"/>
      </w:pPr>
    </w:p>
    <w:p w14:paraId="74A08644" w14:textId="11F6D80E" w:rsidR="00DD4E06" w:rsidRPr="00746ACE" w:rsidRDefault="00DD4E06" w:rsidP="00DD4E06">
      <w:pPr>
        <w:pStyle w:val="Prrafodelista"/>
        <w:widowControl w:val="0"/>
        <w:numPr>
          <w:ilvl w:val="0"/>
          <w:numId w:val="7"/>
        </w:numPr>
      </w:pPr>
      <w:r w:rsidRPr="00746ACE">
        <w:t>Según la Sección de Apelación, la obligación de reconocer responsabilidad debe entenderse en sentido amplio y no puede ser valorada con base en parámetros abstractos, sino de acuerdo con cada caso. Así, el compareciente, según sea su decisión, puede ejercer el reconocimiento sobre los hechos individuales que relató y en cuya comisión dijo haber participado, o también sobre su contribución a un patrón macro criminal</w:t>
      </w:r>
      <w:r w:rsidRPr="00746ACE">
        <w:rPr>
          <w:vertAlign w:val="superscript"/>
        </w:rPr>
        <w:footnoteReference w:id="42"/>
      </w:r>
      <w:r w:rsidRPr="00746ACE">
        <w:t>.</w:t>
      </w:r>
    </w:p>
    <w:p w14:paraId="4D4BD3E4" w14:textId="77777777" w:rsidR="00DD4E06" w:rsidRPr="00746ACE" w:rsidRDefault="00DD4E06" w:rsidP="00DD4E06">
      <w:pPr>
        <w:pStyle w:val="Prrafodelista"/>
        <w:widowControl w:val="0"/>
        <w:ind w:left="0"/>
      </w:pPr>
    </w:p>
    <w:p w14:paraId="710CAEF6" w14:textId="77777777" w:rsidR="00DD4E06" w:rsidRPr="00746ACE" w:rsidRDefault="00DD4E06" w:rsidP="00DD4E06">
      <w:pPr>
        <w:pStyle w:val="Prrafodelista"/>
        <w:widowControl w:val="0"/>
        <w:numPr>
          <w:ilvl w:val="0"/>
          <w:numId w:val="7"/>
        </w:numPr>
      </w:pPr>
      <w:r w:rsidRPr="00746ACE">
        <w:t>Según el texto de la demanda y su corrección, la exigencia de reconocer responsabilidad para los partícipes no determinantes implica una vulneración de su debido proceso, en la medida en que el conjunto de comparecientes al que se le exige este deber no tuvo la oportunidad procesal para reconocer responsabilidad ante la Sala de Reconocimiento de Verdad y Responsabilidad (SRVR), una vez esta ejerció su facultad de selección al emitir el auto de determinación de hechos y conductas</w:t>
      </w:r>
      <w:r w:rsidRPr="00746ACE">
        <w:rPr>
          <w:rStyle w:val="Refdenotaalpie"/>
        </w:rPr>
        <w:footnoteReference w:id="43"/>
      </w:r>
      <w:r w:rsidRPr="00746ACE">
        <w:t>, y tampoco el deber procesal de hacerlo</w:t>
      </w:r>
      <w:r w:rsidRPr="00746ACE">
        <w:rPr>
          <w:rStyle w:val="Refdenotaalpie"/>
        </w:rPr>
        <w:footnoteReference w:id="44"/>
      </w:r>
      <w:r w:rsidRPr="00746ACE">
        <w:t xml:space="preserve">. </w:t>
      </w:r>
    </w:p>
    <w:p w14:paraId="0EA10B1B" w14:textId="77777777" w:rsidR="00DD4E06" w:rsidRPr="00746ACE" w:rsidRDefault="00DD4E06" w:rsidP="00DD4E06">
      <w:pPr>
        <w:pStyle w:val="Prrafodelista"/>
        <w:widowControl w:val="0"/>
        <w:ind w:left="0"/>
      </w:pPr>
    </w:p>
    <w:p w14:paraId="5333C853" w14:textId="061EC848" w:rsidR="00DD4E06" w:rsidRPr="00746ACE" w:rsidRDefault="00DD4E06" w:rsidP="00DD4E06">
      <w:pPr>
        <w:pStyle w:val="Prrafodelista"/>
        <w:widowControl w:val="0"/>
        <w:numPr>
          <w:ilvl w:val="0"/>
          <w:numId w:val="7"/>
        </w:numPr>
      </w:pPr>
      <w:r w:rsidRPr="00746ACE">
        <w:t xml:space="preserve">Sin embargo, al examinar el diseño del sistema transicional y el funcionamiento de sus distintas instancias, </w:t>
      </w:r>
      <w:r w:rsidR="004566FE" w:rsidRPr="00746ACE">
        <w:t>se</w:t>
      </w:r>
      <w:r w:rsidRPr="00746ACE">
        <w:t xml:space="preserve"> advierte que los comparecientes no seleccionados sí disponen de diversos escenarios procesales para efectuar aportes voluntarios a la verdad y manifestaciones de reconocimiento de responsabilidad. En efecto, como lo explicó la Sección de Apelación en su intervención, y se ilustrará enseguida, tales oportunidades se presentan en al menos tres momentos del trámite ante la Jurisdicción Especial para la Paz. Además, la Senit 8 es clara al señalar que</w:t>
      </w:r>
      <w:r w:rsidR="004566FE" w:rsidRPr="00746ACE">
        <w:t>,</w:t>
      </w:r>
      <w:r w:rsidRPr="00746ACE">
        <w:t xml:space="preserve"> la exigencia de reconocer responsabilidad en los momentos procesales dispuestos para este fin y para las personas que tienen condenas penales</w:t>
      </w:r>
      <w:r w:rsidR="004566FE" w:rsidRPr="00746ACE">
        <w:t>,</w:t>
      </w:r>
      <w:r w:rsidRPr="00746ACE">
        <w:t xml:space="preserve"> es en realidad consecuencia del deber de aportar verdad, lo que resulta plausible en el marco del sistema.</w:t>
      </w:r>
    </w:p>
    <w:p w14:paraId="0498F6DE" w14:textId="77777777" w:rsidR="00DD4E06" w:rsidRPr="00746ACE" w:rsidRDefault="00DD4E06" w:rsidP="00DD4E06">
      <w:pPr>
        <w:widowControl w:val="0"/>
      </w:pPr>
    </w:p>
    <w:p w14:paraId="7B434689" w14:textId="77777777" w:rsidR="00DD4E06" w:rsidRPr="00746ACE" w:rsidRDefault="00DD4E06" w:rsidP="00DD4E06">
      <w:pPr>
        <w:pStyle w:val="Prrafodelista"/>
        <w:widowControl w:val="0"/>
        <w:numPr>
          <w:ilvl w:val="0"/>
          <w:numId w:val="7"/>
        </w:numPr>
        <w:rPr>
          <w:b/>
        </w:rPr>
      </w:pPr>
      <w:r w:rsidRPr="00746ACE">
        <w:t>Así, ante la Sala de Reconocimiento de Verdad, de Responsabilidad y de Determinación de los Hechos y Conductas, los comparecientes pueden reconocer responsabilidad durante el trámite dialógico, incluso en etapas tempranas previas a la emisión del auto de determinación de hechos y conductas y antes de que fueran identificados como partícipes no determinantes, mediante versiones voluntarias, declaraciones escritas o encuentros directos con las víctimas</w:t>
      </w:r>
      <w:r w:rsidRPr="00746ACE">
        <w:rPr>
          <w:rStyle w:val="Refdenotaalpie"/>
        </w:rPr>
        <w:footnoteReference w:id="45"/>
      </w:r>
      <w:r w:rsidRPr="00746ACE">
        <w:t xml:space="preserve">. </w:t>
      </w:r>
    </w:p>
    <w:p w14:paraId="5EF5F632" w14:textId="77777777" w:rsidR="00DD4E06" w:rsidRPr="00746ACE" w:rsidRDefault="00DD4E06" w:rsidP="00DD4E06">
      <w:pPr>
        <w:pStyle w:val="Prrafodelista"/>
        <w:widowControl w:val="0"/>
      </w:pPr>
    </w:p>
    <w:p w14:paraId="1CF2C2BE" w14:textId="77777777" w:rsidR="00DD4E06" w:rsidRPr="00746ACE" w:rsidRDefault="00DD4E06" w:rsidP="00DD4E06">
      <w:pPr>
        <w:pStyle w:val="Prrafodelista"/>
        <w:widowControl w:val="0"/>
        <w:numPr>
          <w:ilvl w:val="0"/>
          <w:numId w:val="7"/>
        </w:numPr>
      </w:pPr>
      <w:r w:rsidRPr="00746ACE">
        <w:t xml:space="preserve">De igual forma, los comparecientes no seleccionados pueden realizar reconocimientos de responsabilidad ante la Sala de Definición de Situaciones Jurídicas, pues este hace parte del deber de aportar verdad plena como condición para acceder a los tratamientos penales no sancionatorios, como la renuncia a la persecución penal. </w:t>
      </w:r>
    </w:p>
    <w:p w14:paraId="2825C00D" w14:textId="77777777" w:rsidR="00DD4E06" w:rsidRPr="00746ACE" w:rsidRDefault="00DD4E06" w:rsidP="00DD4E06">
      <w:pPr>
        <w:pStyle w:val="Prrafodelista"/>
        <w:widowControl w:val="0"/>
        <w:ind w:left="0"/>
      </w:pPr>
    </w:p>
    <w:p w14:paraId="4B458212" w14:textId="77777777" w:rsidR="00DD4E06" w:rsidRPr="00746ACE" w:rsidRDefault="00DD4E06" w:rsidP="00DD4E06">
      <w:pPr>
        <w:pStyle w:val="Prrafodelista"/>
        <w:widowControl w:val="0"/>
        <w:numPr>
          <w:ilvl w:val="0"/>
          <w:numId w:val="7"/>
        </w:numPr>
      </w:pPr>
      <w:r w:rsidRPr="00746ACE">
        <w:t>Finalmente, cuando el compareciente sea remitido al trámite adversarial ante la Unidad de Investigación y Acusación</w:t>
      </w:r>
      <w:r w:rsidRPr="00746ACE">
        <w:rPr>
          <w:b/>
        </w:rPr>
        <w:t xml:space="preserve"> </w:t>
      </w:r>
      <w:r w:rsidRPr="00746ACE">
        <w:t>por aportes insuficientes a la verdad, cuenta con la oportunidad para reconocer responsabilidad antes de que se dicte la sentencia de primera instancia</w:t>
      </w:r>
      <w:r w:rsidRPr="00746ACE">
        <w:rPr>
          <w:rStyle w:val="Refdenotaalpie"/>
        </w:rPr>
        <w:footnoteReference w:id="46"/>
      </w:r>
      <w:r w:rsidRPr="00746ACE">
        <w:t xml:space="preserve">. Dicho reconocimiento, además, le permite al compareciente acceder a una sanción alternativa de 2 a 5 años en lugar de enfrentar una sanción ordinaria de 5 a 8 años, teniendo en cuenta lo previsto en el artículo 129 de la LEJEP. </w:t>
      </w:r>
    </w:p>
    <w:p w14:paraId="449BD417" w14:textId="77777777" w:rsidR="00DD4E06" w:rsidRPr="00746ACE" w:rsidRDefault="00DD4E06" w:rsidP="00DD4E06">
      <w:pPr>
        <w:widowControl w:val="0"/>
      </w:pPr>
    </w:p>
    <w:p w14:paraId="4553524B" w14:textId="0561190B" w:rsidR="00DD4E06" w:rsidRPr="00746ACE" w:rsidRDefault="00DD4E06" w:rsidP="007F1EA5">
      <w:pPr>
        <w:pStyle w:val="Prrafodelista"/>
        <w:widowControl w:val="0"/>
        <w:numPr>
          <w:ilvl w:val="0"/>
          <w:numId w:val="7"/>
        </w:numPr>
        <w:rPr>
          <w:b/>
        </w:rPr>
      </w:pPr>
      <w:r w:rsidRPr="00746ACE">
        <w:t xml:space="preserve">En consecuencia, la Corte considera que el cargo </w:t>
      </w:r>
      <w:r w:rsidR="007F1EA5" w:rsidRPr="00746ACE">
        <w:t xml:space="preserve">relacionado con la presunta violación al debido proceso debido a la ausencia de espacios para reconocer verdad en cabeza de los partícipes no determinantes con condenas en firme carece </w:t>
      </w:r>
      <w:r w:rsidRPr="00746ACE">
        <w:t xml:space="preserve">de certeza, una vez se considera la precisión jurisprudencial de la Senit 8 ampliamente explicada, debido a que mientras la demanda sostiene que los partícipes no determinantes carecen de instancias para reconocer responsabilidad dentro del sistema transicional, es posible constatar a partir de una lectura del diseño normativo y de las distintas etapas del trámite ante la JEP que los comparecientes no seleccionados </w:t>
      </w:r>
      <w:r w:rsidRPr="00746ACE">
        <w:rPr>
          <w:b/>
        </w:rPr>
        <w:t>que tienen una condena en firme</w:t>
      </w:r>
      <w:r w:rsidRPr="00746ACE">
        <w:t xml:space="preserve"> cuentan con diversos escenarios para reconocer responsabilidad, aunque los efectos jurídicos asociados al reconocimiento varíen según el momento procesal en el que se produzca. </w:t>
      </w:r>
    </w:p>
    <w:p w14:paraId="4464D31A" w14:textId="77777777" w:rsidR="009A549B" w:rsidRPr="00746ACE" w:rsidRDefault="009A549B" w:rsidP="00FC0DFB">
      <w:pPr>
        <w:pStyle w:val="Prrafodelista"/>
        <w:widowControl w:val="0"/>
        <w:ind w:left="0"/>
      </w:pPr>
    </w:p>
    <w:p w14:paraId="6818534C" w14:textId="77777777" w:rsidR="00FB1504" w:rsidRPr="00746ACE" w:rsidRDefault="00FB1504" w:rsidP="00487AC3">
      <w:pPr>
        <w:pStyle w:val="Ttulo2"/>
        <w:rPr>
          <w:rFonts w:cs="Times New Roman"/>
        </w:rPr>
      </w:pPr>
      <w:bookmarkStart w:id="29" w:name="_Toc233384179"/>
      <w:r w:rsidRPr="00746ACE">
        <w:rPr>
          <w:rFonts w:cs="Times New Roman"/>
        </w:rPr>
        <w:t>Integración de la unidad normativa</w:t>
      </w:r>
      <w:bookmarkEnd w:id="29"/>
    </w:p>
    <w:p w14:paraId="0840826C" w14:textId="77777777" w:rsidR="00FB1504" w:rsidRPr="00746ACE" w:rsidRDefault="00FB1504" w:rsidP="00FC0DFB">
      <w:pPr>
        <w:widowControl w:val="0"/>
      </w:pPr>
    </w:p>
    <w:p w14:paraId="2DD82DB8" w14:textId="77777777" w:rsidR="00FB1504" w:rsidRPr="00746ACE" w:rsidRDefault="00FB1504" w:rsidP="00FC0DFB">
      <w:pPr>
        <w:pStyle w:val="Prrafodelista"/>
        <w:widowControl w:val="0"/>
        <w:numPr>
          <w:ilvl w:val="0"/>
          <w:numId w:val="7"/>
        </w:numPr>
      </w:pPr>
      <w:r w:rsidRPr="00746ACE">
        <w:t>La Corte Constitucional adelanta el control de constitucionalidad de las normas legales y, en el caso del derecho viviente, de las reglas jurisprudenciales, con base en las demandas que presentan los ciudadanos. En términos procedimentales, esta situación se conoce como control rogado, para distinguirlo del autónomo u oficioso.</w:t>
      </w:r>
    </w:p>
    <w:p w14:paraId="595EC66E" w14:textId="77777777" w:rsidR="00FB1504" w:rsidRPr="00746ACE" w:rsidRDefault="00FB1504" w:rsidP="00FC0DFB">
      <w:pPr>
        <w:widowControl w:val="0"/>
      </w:pPr>
    </w:p>
    <w:p w14:paraId="23EF5AF4" w14:textId="1BC5042A" w:rsidR="00FB1504" w:rsidRPr="00746ACE" w:rsidRDefault="00FB1504" w:rsidP="00FC0DFB">
      <w:pPr>
        <w:pStyle w:val="Prrafodelista"/>
        <w:widowControl w:val="0"/>
        <w:numPr>
          <w:ilvl w:val="0"/>
          <w:numId w:val="7"/>
        </w:numPr>
      </w:pPr>
      <w:r w:rsidRPr="00746ACE">
        <w:t>En ciertas ocasiones, sin embargo, la demanda se dirige contra un enunciado normativo que no tiene un sentido completo</w:t>
      </w:r>
      <w:r w:rsidR="002A4193" w:rsidRPr="00746ACE">
        <w:t xml:space="preserve"> o que se replica en otras normas. Se trata de eventos excepcionales en los cuales </w:t>
      </w:r>
      <w:r w:rsidRPr="00746ACE">
        <w:t xml:space="preserve">la Corte </w:t>
      </w:r>
      <w:r w:rsidR="002A4193" w:rsidRPr="00746ACE">
        <w:t xml:space="preserve">ha señalado que </w:t>
      </w:r>
      <w:r w:rsidRPr="00746ACE">
        <w:t>tiene la potestad de integrar la unidad normativa,</w:t>
      </w:r>
      <w:r w:rsidRPr="00746ACE">
        <w:rPr>
          <w:i/>
        </w:rPr>
        <w:t xml:space="preserve"> </w:t>
      </w:r>
      <w:r w:rsidRPr="00746ACE">
        <w:t>es decir, incluir en el análisis de constitucionalidad el enunciado demandado junto con otro u otros imprescindibles para que la decisión sea efectiva y su integración al ordenamiento jurídico resulte posible.</w:t>
      </w:r>
      <w:r w:rsidR="00742777" w:rsidRPr="00746ACE">
        <w:t xml:space="preserve"> </w:t>
      </w:r>
    </w:p>
    <w:p w14:paraId="3081192F" w14:textId="77777777" w:rsidR="00FB1504" w:rsidRPr="00746ACE" w:rsidRDefault="00FB1504" w:rsidP="00FC0DFB">
      <w:pPr>
        <w:widowControl w:val="0"/>
      </w:pPr>
    </w:p>
    <w:p w14:paraId="63AFF20B" w14:textId="3B56965C" w:rsidR="00FB1504" w:rsidRPr="00746ACE" w:rsidRDefault="00FB1504" w:rsidP="00FC0DFB">
      <w:pPr>
        <w:pStyle w:val="Prrafodelista"/>
        <w:widowControl w:val="0"/>
        <w:numPr>
          <w:ilvl w:val="0"/>
          <w:numId w:val="7"/>
        </w:numPr>
      </w:pPr>
      <w:r w:rsidRPr="00746ACE">
        <w:t>La integración de la unidad normativa procede en tres supuestos: (i) cuando un ciudadano demanda una disposición sin contenido deóntico claro o unívoco, así que para entenderla es imprescindible relacionarla con otra disposición que no fue demandada, de modo que el contenido normativo sea preciso y completo; (ii) en aquellos casos en que la norma cuestionada se reproduce en otras disposiciones del ordenamiento que no fueron demandadas; (iii) cuando el precepto está relacionado intrínsecamente con otro que, a primera vista, presenta serias dudas de inconstitucionalidad, siempre que</w:t>
      </w:r>
      <w:r w:rsidR="00554943" w:rsidRPr="00746ACE">
        <w:t>:</w:t>
      </w:r>
      <w:r w:rsidRPr="00746ACE">
        <w:t xml:space="preserve"> a) la disposición tenga estrecha relación con los preceptos no cuestionados, que conformarían la unidad normativa; y b) que las normas que no fueron acusadas parezcan inconstitucionales</w:t>
      </w:r>
      <w:r w:rsidRPr="00746ACE">
        <w:rPr>
          <w:rStyle w:val="Refdenotaalpie"/>
        </w:rPr>
        <w:footnoteReference w:id="47"/>
      </w:r>
      <w:r w:rsidRPr="00746ACE">
        <w:t>.</w:t>
      </w:r>
    </w:p>
    <w:p w14:paraId="6FE58542" w14:textId="77777777" w:rsidR="00FB1504" w:rsidRPr="00746ACE" w:rsidRDefault="00FB1504" w:rsidP="00FC0DFB">
      <w:pPr>
        <w:widowControl w:val="0"/>
      </w:pPr>
    </w:p>
    <w:p w14:paraId="53361914" w14:textId="13E41ACF" w:rsidR="00FB1504" w:rsidRPr="00746ACE" w:rsidRDefault="007464EC" w:rsidP="00DA4B48">
      <w:pPr>
        <w:pStyle w:val="Prrafodelista"/>
        <w:widowControl w:val="0"/>
        <w:numPr>
          <w:ilvl w:val="0"/>
          <w:numId w:val="7"/>
        </w:numPr>
      </w:pPr>
      <w:r w:rsidRPr="00746ACE">
        <w:t>E</w:t>
      </w:r>
      <w:r w:rsidR="00FB1504" w:rsidRPr="00746ACE">
        <w:t xml:space="preserve">n el marco del derecho viviente </w:t>
      </w:r>
      <w:r w:rsidRPr="00746ACE">
        <w:t xml:space="preserve">(es decir, de demandas contra interpretaciones judiciales de las fuentes legales) </w:t>
      </w:r>
      <w:r w:rsidR="00FB1504" w:rsidRPr="00746ACE">
        <w:t xml:space="preserve">la integración normativa </w:t>
      </w:r>
      <w:r w:rsidR="00554943" w:rsidRPr="00746ACE">
        <w:t xml:space="preserve">procede en varios supuestos. En primer lugar, cuando </w:t>
      </w:r>
      <w:r w:rsidR="00FB1504" w:rsidRPr="00746ACE">
        <w:t xml:space="preserve">los fundamentos jurídicos o los considerandos cuestionados en una decisión jurisprudencial </w:t>
      </w:r>
      <w:r w:rsidR="00554943" w:rsidRPr="00746ACE">
        <w:t>no tienen</w:t>
      </w:r>
      <w:r w:rsidR="00FB1504" w:rsidRPr="00746ACE">
        <w:t xml:space="preserve"> un contenido normativo claro</w:t>
      </w:r>
      <w:r w:rsidR="00DA4B48" w:rsidRPr="00746ACE">
        <w:t xml:space="preserve"> y para esclarecer la subregla jurisprudencial que contiene sea imprescindible leerlo en armonía</w:t>
      </w:r>
      <w:r w:rsidR="00943804" w:rsidRPr="00746ACE">
        <w:t xml:space="preserve"> </w:t>
      </w:r>
      <w:r w:rsidR="00FB1504" w:rsidRPr="00746ACE">
        <w:t>con otro</w:t>
      </w:r>
      <w:r w:rsidR="00943804" w:rsidRPr="00746ACE">
        <w:t>s</w:t>
      </w:r>
      <w:r w:rsidR="00FB1504" w:rsidRPr="00746ACE">
        <w:t xml:space="preserve"> fundamento</w:t>
      </w:r>
      <w:r w:rsidR="00092A12" w:rsidRPr="00746ACE">
        <w:t>s</w:t>
      </w:r>
      <w:r w:rsidR="00FB1504" w:rsidRPr="00746ACE">
        <w:t xml:space="preserve"> normativo</w:t>
      </w:r>
      <w:r w:rsidR="00092A12" w:rsidRPr="00746ACE">
        <w:t>s</w:t>
      </w:r>
      <w:r w:rsidR="00943804" w:rsidRPr="00746ACE">
        <w:t xml:space="preserve">. En segundo lugar, </w:t>
      </w:r>
      <w:r w:rsidR="00FB1504" w:rsidRPr="00746ACE">
        <w:t xml:space="preserve">cuando el fundamento normativo </w:t>
      </w:r>
      <w:r w:rsidR="00943804" w:rsidRPr="00746ACE">
        <w:t xml:space="preserve">cuestionado </w:t>
      </w:r>
      <w:r w:rsidR="00FB1504" w:rsidRPr="00746ACE">
        <w:t xml:space="preserve">se reproduce en otros apartes de una decisión del mismo órgano judicial y </w:t>
      </w:r>
      <w:r w:rsidR="00943804" w:rsidRPr="00746ACE">
        <w:t xml:space="preserve">vinculados al </w:t>
      </w:r>
      <w:r w:rsidR="00FB1504" w:rsidRPr="00746ACE">
        <w:t>mismo problema jurídico</w:t>
      </w:r>
      <w:r w:rsidR="00943804" w:rsidRPr="00746ACE">
        <w:t>.</w:t>
      </w:r>
      <w:r w:rsidR="00FB1504" w:rsidRPr="00746ACE">
        <w:t xml:space="preserve"> </w:t>
      </w:r>
      <w:r w:rsidR="00943804" w:rsidRPr="00746ACE">
        <w:t>Finalmente,</w:t>
      </w:r>
      <w:r w:rsidR="00FB1504" w:rsidRPr="00746ACE">
        <w:t xml:space="preserve"> cuando </w:t>
      </w:r>
      <w:r w:rsidR="00943804" w:rsidRPr="00746ACE">
        <w:t xml:space="preserve">el fundamento cuestionado </w:t>
      </w:r>
      <w:r w:rsidR="00FB1504" w:rsidRPr="00746ACE">
        <w:t>guard</w:t>
      </w:r>
      <w:r w:rsidR="00943804" w:rsidRPr="00746ACE">
        <w:t>a una</w:t>
      </w:r>
      <w:r w:rsidR="00FB1504" w:rsidRPr="00746ACE">
        <w:t xml:space="preserve"> relaci</w:t>
      </w:r>
      <w:r w:rsidR="00943804" w:rsidRPr="00746ACE">
        <w:t xml:space="preserve">ón estrecha </w:t>
      </w:r>
      <w:r w:rsidR="00FB1504" w:rsidRPr="00746ACE">
        <w:t>con otro que, a primera vista, present</w:t>
      </w:r>
      <w:r w:rsidR="00943804" w:rsidRPr="00746ACE">
        <w:t>a</w:t>
      </w:r>
      <w:r w:rsidR="00FB1504" w:rsidRPr="00746ACE">
        <w:t xml:space="preserve"> serias dudas de inconstitucionalidad. </w:t>
      </w:r>
    </w:p>
    <w:p w14:paraId="5A88A72E" w14:textId="77777777" w:rsidR="00554943" w:rsidRPr="00746ACE" w:rsidRDefault="00554943" w:rsidP="006A2C55">
      <w:pPr>
        <w:widowControl w:val="0"/>
      </w:pPr>
    </w:p>
    <w:p w14:paraId="3AD426FE" w14:textId="5648EAB7" w:rsidR="00FB1504" w:rsidRPr="00746ACE" w:rsidRDefault="00FB1504" w:rsidP="00FC0DFB">
      <w:pPr>
        <w:pStyle w:val="Prrafodelista"/>
        <w:widowControl w:val="0"/>
        <w:numPr>
          <w:ilvl w:val="0"/>
          <w:numId w:val="7"/>
        </w:numPr>
      </w:pPr>
      <w:r w:rsidRPr="00746ACE">
        <w:t>Esta posibilidad</w:t>
      </w:r>
      <w:r w:rsidR="00943804" w:rsidRPr="00746ACE">
        <w:t>, claro está,</w:t>
      </w:r>
      <w:r w:rsidRPr="00746ACE">
        <w:t xml:space="preserve"> solo procede si la demanda permite comprender el alcance del problema jurídico, asunto que se analizará en la aptitud de la demanda.</w:t>
      </w:r>
    </w:p>
    <w:p w14:paraId="77E8B975" w14:textId="77777777" w:rsidR="00FB1504" w:rsidRPr="00746ACE" w:rsidRDefault="00FB1504" w:rsidP="00FC0DFB">
      <w:pPr>
        <w:widowControl w:val="0"/>
      </w:pPr>
    </w:p>
    <w:p w14:paraId="73B52035" w14:textId="77777777" w:rsidR="00D03BA0" w:rsidRPr="00746ACE" w:rsidRDefault="00092A12" w:rsidP="00092A12">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Cs/>
        </w:rPr>
      </w:pPr>
      <w:r w:rsidRPr="00746ACE">
        <w:t>Si bien la integración de la unidad normativa es siempre excepcional, esta cautela resulta aún más necesaria en el ámbito del derecho viviente. La jurisprudencia suele emplear un lenguaje más amplio y reiterativo, y menos preciso o perentorio que el de la ley. El lenguaje de la jurisprudencia va de la mano también de la aspiración de resolver un problema jurídico concreto.</w:t>
      </w:r>
      <w:r w:rsidR="00742777" w:rsidRPr="00746ACE">
        <w:t xml:space="preserve"> </w:t>
      </w:r>
      <w:r w:rsidRPr="00746ACE">
        <w:t xml:space="preserve">Sin embargo, el caso de las sentencias interpretativas de la JEP presenta particularidades. </w:t>
      </w:r>
    </w:p>
    <w:p w14:paraId="06A199ED" w14:textId="77777777" w:rsidR="00D03BA0" w:rsidRPr="00746ACE" w:rsidRDefault="00D03BA0" w:rsidP="00D03BA0">
      <w:pPr>
        <w:pStyle w:val="Prrafodelista"/>
      </w:pPr>
    </w:p>
    <w:p w14:paraId="5A6ACE2F" w14:textId="56DB1F8C" w:rsidR="00092A12" w:rsidRPr="00746ACE" w:rsidRDefault="00092A12" w:rsidP="00092A12">
      <w:pPr>
        <w:pStyle w:val="Prrafodelista"/>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Cs/>
        </w:rPr>
      </w:pPr>
      <w:r w:rsidRPr="00746ACE">
        <w:t xml:space="preserve">En efecto, las Senit, en tanto instrumentos de sistematización pronta de la jurisprudencia, generan reglas con un alto grado de abstracción que, aunque no son idénticas, sí resultan similares a las reglas producidas por vía legal. </w:t>
      </w:r>
      <w:r w:rsidRPr="00746ACE">
        <w:rPr>
          <w:bCs/>
        </w:rPr>
        <w:t>Por esta razón, en este tipo de decisiones puede resultar justificado</w:t>
      </w:r>
      <w:r w:rsidR="00D03BA0" w:rsidRPr="00746ACE">
        <w:rPr>
          <w:bCs/>
        </w:rPr>
        <w:t xml:space="preserve"> </w:t>
      </w:r>
      <w:r w:rsidRPr="00746ACE">
        <w:rPr>
          <w:bCs/>
        </w:rPr>
        <w:t>acudir a la integración de la unidad normativa para identificar con precisión la subregla jurisprudencial relevante, como ocurre en este caso</w:t>
      </w:r>
      <w:r w:rsidR="00D03BA0" w:rsidRPr="00746ACE">
        <w:rPr>
          <w:bCs/>
        </w:rPr>
        <w:t>,</w:t>
      </w:r>
      <w:r w:rsidRPr="00746ACE">
        <w:rPr>
          <w:bCs/>
        </w:rPr>
        <w:t xml:space="preserve"> donde la propia Sección de Apelación, a través de sus voceros, los magistrados Rodolfo Arango Rivadeneira y Alejandro Ramelli Arteaga consideron necesario comprender la Senit 5 en el marco más amplio de la línea que incluye también a la Senit 8 y la Senit 9.</w:t>
      </w:r>
    </w:p>
    <w:p w14:paraId="7B10F6AC" w14:textId="50B5C44D" w:rsidR="00FB1504" w:rsidRPr="00746ACE" w:rsidRDefault="00FB1504" w:rsidP="00FC0DFB">
      <w:pPr>
        <w:widowControl w:val="0"/>
      </w:pPr>
    </w:p>
    <w:p w14:paraId="54D41FD1" w14:textId="1F47B7E6" w:rsidR="00FB1504" w:rsidRPr="00746ACE" w:rsidRDefault="00FB1504" w:rsidP="00FC0DFB">
      <w:pPr>
        <w:pStyle w:val="Prrafodelista"/>
        <w:widowControl w:val="0"/>
        <w:numPr>
          <w:ilvl w:val="0"/>
          <w:numId w:val="7"/>
        </w:numPr>
      </w:pPr>
      <w:r w:rsidRPr="00746ACE">
        <w:t xml:space="preserve">La </w:t>
      </w:r>
      <w:r w:rsidR="00EA232F" w:rsidRPr="00746ACE">
        <w:t>exposición sobre el</w:t>
      </w:r>
      <w:r w:rsidRPr="00746ACE">
        <w:t xml:space="preserve"> derecho viviente </w:t>
      </w:r>
      <w:r w:rsidR="00EA232F" w:rsidRPr="00746ACE">
        <w:t>contenid</w:t>
      </w:r>
      <w:r w:rsidR="00092A12" w:rsidRPr="00746ACE">
        <w:t xml:space="preserve">o </w:t>
      </w:r>
      <w:r w:rsidR="00EA232F" w:rsidRPr="00746ACE">
        <w:t>en</w:t>
      </w:r>
      <w:r w:rsidRPr="00746ACE">
        <w:t xml:space="preserve"> la Senit 5 permite </w:t>
      </w:r>
      <w:r w:rsidR="00EA232F" w:rsidRPr="00746ACE">
        <w:t>advertir</w:t>
      </w:r>
      <w:r w:rsidRPr="00746ACE">
        <w:t xml:space="preserve"> que</w:t>
      </w:r>
      <w:r w:rsidR="00EA232F" w:rsidRPr="00746ACE">
        <w:t xml:space="preserve"> tres elementos tiene una relación intrínseca en la jurisprudencia de la Sección de Apelación:</w:t>
      </w:r>
      <w:r w:rsidRPr="00746ACE">
        <w:t xml:space="preserve"> (i) los conceptos </w:t>
      </w:r>
      <w:r w:rsidR="00D03BA0" w:rsidRPr="00746ACE">
        <w:t>“</w:t>
      </w:r>
      <w:r w:rsidRPr="00746ACE">
        <w:t>responsabilidad del punto medio</w:t>
      </w:r>
      <w:r w:rsidR="00D03BA0" w:rsidRPr="00746ACE">
        <w:t>”</w:t>
      </w:r>
      <w:r w:rsidRPr="00746ACE">
        <w:t xml:space="preserve"> </w:t>
      </w:r>
      <w:r w:rsidR="00092A12" w:rsidRPr="00746ACE">
        <w:t>–</w:t>
      </w:r>
      <w:r w:rsidRPr="00746ACE">
        <w:t xml:space="preserve">y </w:t>
      </w:r>
      <w:r w:rsidR="00D03BA0" w:rsidRPr="00746ACE">
        <w:t>“</w:t>
      </w:r>
      <w:r w:rsidRPr="00746ACE">
        <w:t>cercana a la máxima</w:t>
      </w:r>
      <w:r w:rsidR="00D03BA0" w:rsidRPr="00746ACE">
        <w:t>”</w:t>
      </w:r>
      <w:r w:rsidRPr="00746ACE">
        <w:t xml:space="preserve"> en la Senit 9</w:t>
      </w:r>
      <w:r w:rsidR="00092A12" w:rsidRPr="00746ACE">
        <w:t>–</w:t>
      </w:r>
      <w:r w:rsidRPr="00746ACE">
        <w:t xml:space="preserve">, (ii) </w:t>
      </w:r>
      <w:r w:rsidR="00D03BA0" w:rsidRPr="00746ACE">
        <w:t>la “</w:t>
      </w:r>
      <w:r w:rsidRPr="00746ACE">
        <w:t>selección de segundo orden</w:t>
      </w:r>
      <w:r w:rsidR="00D03BA0" w:rsidRPr="00746ACE">
        <w:t>”</w:t>
      </w:r>
      <w:r w:rsidRPr="00746ACE">
        <w:t xml:space="preserve"> y (iii) la distribución de competencias relacionadas con la selección de segundo orden entre la Sala de Definición de Situaciones Jurídicas, la Unidad de Investigación y Acusación y la Sección de Primera Instancia para casos de Ausencia de Reconocimiento de Verdad componen hoy en día un cuerpo jurisprudencial que incluye los fundamentos jurídicos de la Senit 5 demandados por los accionantes, el fundamento jurídico 200 de la Senit 8 y los párrafos 58 y 60 (en especial, 60.1 y 60.2, en los que se explica la Senit 5) y 62 de la Senit 9, en el cual se explica por qué la Sección de Apelación considera que estos son criterios hermenéuticos y no categorías de responsabilidad.</w:t>
      </w:r>
    </w:p>
    <w:p w14:paraId="05DFAA9E" w14:textId="77777777" w:rsidR="00EA232F" w:rsidRPr="00746ACE" w:rsidRDefault="00EA232F" w:rsidP="00FC0DFB">
      <w:pPr>
        <w:widowControl w:val="0"/>
      </w:pPr>
    </w:p>
    <w:p w14:paraId="5EEA682B" w14:textId="70F5E3A2" w:rsidR="00FB1504" w:rsidRPr="00746ACE" w:rsidRDefault="00FB1504" w:rsidP="00FC0DFB">
      <w:pPr>
        <w:pStyle w:val="Prrafodelista"/>
        <w:widowControl w:val="0"/>
        <w:numPr>
          <w:ilvl w:val="0"/>
          <w:numId w:val="7"/>
        </w:numPr>
      </w:pPr>
      <w:r w:rsidRPr="00746ACE">
        <w:t xml:space="preserve">Otros fundamentos jurídicos de la Senit 8, como la precisión de las rutas de comparecientes que no son partícipes determinantes ante la Sala de Definición de Situaciones Jurídicas, coinciden con lo expresado por la Senit 5. En general, se refieren a la posibilidad de conceder la renuncia condicionada a la persecución penal, el inicio del incidente de cumplimiento del régimen de condicionalidad y la posibilidad de iniciar la </w:t>
      </w:r>
      <w:r w:rsidR="00D03BA0" w:rsidRPr="00746ACE">
        <w:t>“</w:t>
      </w:r>
      <w:r w:rsidRPr="00746ACE">
        <w:t>selección de segundo orden</w:t>
      </w:r>
      <w:r w:rsidR="00D03BA0" w:rsidRPr="00746ACE">
        <w:t>”</w:t>
      </w:r>
      <w:r w:rsidRPr="00746ACE">
        <w:t xml:space="preserve">. </w:t>
      </w:r>
    </w:p>
    <w:p w14:paraId="61AB15DB" w14:textId="77777777" w:rsidR="00FB1504" w:rsidRPr="00746ACE" w:rsidRDefault="00FB1504" w:rsidP="00FC0DFB">
      <w:pPr>
        <w:pStyle w:val="Prrafodelista"/>
        <w:widowControl w:val="0"/>
      </w:pPr>
    </w:p>
    <w:p w14:paraId="7B726366" w14:textId="2074F97B" w:rsidR="00FB1504" w:rsidRPr="00746ACE" w:rsidRDefault="00FB1504" w:rsidP="00FC0DFB">
      <w:pPr>
        <w:pStyle w:val="Prrafodelista"/>
        <w:widowControl w:val="0"/>
        <w:numPr>
          <w:ilvl w:val="0"/>
          <w:numId w:val="7"/>
        </w:numPr>
      </w:pPr>
      <w:r w:rsidRPr="00746ACE">
        <w:t>Con todo, la Senit 8 propone que estas rutas tienen que ver más con el daño que con el juicio de reproche penal o criminal. Este aspecto puede tener relevancia en el estudio de fondo, pero no desvirtúa la existencia de un derecho viviente en torno a los temas que consisten el núcleo de discusión en este proceso.</w:t>
      </w:r>
      <w:r w:rsidR="00092A12" w:rsidRPr="00746ACE">
        <w:t xml:space="preserve"> Por lo tanto, se reitera, aquellas modificaciones no conducen a la desaparición del problema jurídico ni a una decisión de carácter inhibitorio.</w:t>
      </w:r>
    </w:p>
    <w:p w14:paraId="6E5C2F05" w14:textId="77777777" w:rsidR="006D4559" w:rsidRPr="00746ACE" w:rsidRDefault="006D4559" w:rsidP="00FC0DFB">
      <w:pPr>
        <w:pStyle w:val="Prrafodelista"/>
        <w:widowControl w:val="0"/>
      </w:pPr>
    </w:p>
    <w:p w14:paraId="381B4049" w14:textId="77777777" w:rsidR="006D4559" w:rsidRPr="00746ACE" w:rsidRDefault="006D4559" w:rsidP="000B69F5">
      <w:pPr>
        <w:pStyle w:val="Ttulo1"/>
        <w:widowControl w:val="0"/>
        <w:spacing w:before="0" w:beforeAutospacing="0" w:after="0" w:afterAutospacing="0"/>
        <w:jc w:val="both"/>
        <w:rPr>
          <w:sz w:val="28"/>
          <w:szCs w:val="28"/>
          <w:lang w:val="es-ES"/>
        </w:rPr>
      </w:pPr>
      <w:bookmarkStart w:id="30" w:name="_Toc233384180"/>
      <w:r w:rsidRPr="00746ACE">
        <w:rPr>
          <w:sz w:val="28"/>
          <w:szCs w:val="28"/>
          <w:lang w:val="es-ES"/>
        </w:rPr>
        <w:t>PROBLEMAS JURÍDICOS</w:t>
      </w:r>
      <w:bookmarkEnd w:id="30"/>
      <w:r w:rsidRPr="00746ACE">
        <w:rPr>
          <w:sz w:val="28"/>
          <w:szCs w:val="28"/>
          <w:lang w:val="es-ES"/>
        </w:rPr>
        <w:t xml:space="preserve"> </w:t>
      </w:r>
    </w:p>
    <w:p w14:paraId="63F07928" w14:textId="77777777" w:rsidR="006D4559" w:rsidRPr="00746ACE" w:rsidRDefault="006D4559" w:rsidP="00FC0DFB">
      <w:pPr>
        <w:widowControl w:val="0"/>
      </w:pPr>
    </w:p>
    <w:p w14:paraId="5231F38A" w14:textId="42981071" w:rsidR="006D4559" w:rsidRPr="00746ACE" w:rsidRDefault="006D4559" w:rsidP="00FC0DFB">
      <w:pPr>
        <w:pStyle w:val="Prrafodelista"/>
        <w:widowControl w:val="0"/>
        <w:numPr>
          <w:ilvl w:val="0"/>
          <w:numId w:val="7"/>
        </w:numPr>
      </w:pPr>
      <w:r w:rsidRPr="00746ACE">
        <w:t xml:space="preserve">A partir de la demanda y el proceso participativo que se ha realizado dentro de este trámite, la Sala Plena de la Corte Constitucional observa que existen tres problemas jurídicos relacionados con el principio de legalidad y, en especial, </w:t>
      </w:r>
      <w:r w:rsidR="00824B6D" w:rsidRPr="00746ACE">
        <w:t xml:space="preserve">por la supuesta </w:t>
      </w:r>
      <w:r w:rsidRPr="00746ACE">
        <w:t>creación de categorías jurídicas</w:t>
      </w:r>
      <w:r w:rsidR="00824B6D" w:rsidRPr="00746ACE">
        <w:t xml:space="preserve"> como la selección de segundo orden, la responsabilidad del punto medio y las funciones de la sala de definición de situaciones jurídicas. Por otra parte, se presentan cargos por violación al debido proceso, la igualdad y la proporcionalidad de la sanción.</w:t>
      </w:r>
    </w:p>
    <w:p w14:paraId="785A339A" w14:textId="77777777" w:rsidR="00824B6D" w:rsidRPr="00746ACE" w:rsidRDefault="00824B6D" w:rsidP="00FC0DFB">
      <w:pPr>
        <w:pStyle w:val="Prrafodelista"/>
        <w:widowControl w:val="0"/>
        <w:ind w:left="0"/>
      </w:pPr>
    </w:p>
    <w:p w14:paraId="4FF9493F" w14:textId="12AAF0A0" w:rsidR="00264280" w:rsidRPr="00746ACE" w:rsidRDefault="00D07981" w:rsidP="00FC0DFB">
      <w:pPr>
        <w:pStyle w:val="Prrafodelista"/>
        <w:widowControl w:val="0"/>
        <w:numPr>
          <w:ilvl w:val="0"/>
          <w:numId w:val="7"/>
        </w:numPr>
      </w:pPr>
      <w:r w:rsidRPr="00746ACE">
        <w:t xml:space="preserve">A partir de la demanda, el proceso participativo propio de la acción pública de inconstitucionalidad, y los antecedentes expuestos corresponde a la </w:t>
      </w:r>
      <w:r w:rsidR="00824B6D" w:rsidRPr="00746ACE">
        <w:t xml:space="preserve">Sala </w:t>
      </w:r>
      <w:r w:rsidR="002A4193" w:rsidRPr="00746ACE">
        <w:t>Plena de la Corte debe analizar</w:t>
      </w:r>
      <w:r w:rsidR="00824B6D" w:rsidRPr="00746ACE">
        <w:t>:</w:t>
      </w:r>
    </w:p>
    <w:p w14:paraId="4E1155FB" w14:textId="77777777" w:rsidR="008B4817" w:rsidRPr="00746ACE" w:rsidRDefault="008B4817" w:rsidP="001417A1">
      <w:pPr>
        <w:pStyle w:val="Prrafodelista"/>
        <w:widowControl w:val="0"/>
        <w:ind w:left="0"/>
      </w:pPr>
    </w:p>
    <w:p w14:paraId="3BE26124" w14:textId="77F34799" w:rsidR="00824B6D" w:rsidRPr="00746ACE" w:rsidRDefault="002A4193" w:rsidP="001417A1">
      <w:pPr>
        <w:pStyle w:val="Prrafodelista"/>
        <w:widowControl w:val="0"/>
        <w:ind w:left="567"/>
      </w:pPr>
      <w:r w:rsidRPr="00746ACE">
        <w:t>Primero, si l</w:t>
      </w:r>
      <w:r w:rsidR="007121ED" w:rsidRPr="00746ACE">
        <w:t>a Sección de Apelación desconoció el principio de legalidad</w:t>
      </w:r>
      <w:r w:rsidR="0080086B" w:rsidRPr="00746ACE">
        <w:t xml:space="preserve"> (artículo</w:t>
      </w:r>
      <w:r w:rsidR="00D87417" w:rsidRPr="00746ACE">
        <w:t>s</w:t>
      </w:r>
      <w:r w:rsidR="0080086B" w:rsidRPr="00746ACE">
        <w:t xml:space="preserve"> </w:t>
      </w:r>
      <w:r w:rsidR="00D03BA0" w:rsidRPr="00746ACE">
        <w:t xml:space="preserve">6, </w:t>
      </w:r>
      <w:r w:rsidR="0080086B" w:rsidRPr="00746ACE">
        <w:t xml:space="preserve">29 </w:t>
      </w:r>
      <w:r w:rsidR="00D87417" w:rsidRPr="00746ACE">
        <w:t xml:space="preserve">y 121 </w:t>
      </w:r>
      <w:r w:rsidR="0080086B" w:rsidRPr="00746ACE">
        <w:t>de la Constitución Política)</w:t>
      </w:r>
      <w:r w:rsidR="007121ED" w:rsidRPr="00746ACE">
        <w:t xml:space="preserve">, en relación con el principio transicional </w:t>
      </w:r>
      <w:r w:rsidR="0080086B" w:rsidRPr="00746ACE">
        <w:t xml:space="preserve">y constitucional </w:t>
      </w:r>
      <w:r w:rsidR="007121ED" w:rsidRPr="00746ACE">
        <w:t>de selección</w:t>
      </w:r>
      <w:r w:rsidR="0080086B" w:rsidRPr="00746ACE">
        <w:t xml:space="preserve"> (artículos 66 transitorio y 3 del Acto Legislativo 01 de 2017)</w:t>
      </w:r>
      <w:r w:rsidR="007121ED" w:rsidRPr="00746ACE">
        <w:t>, al crear, en la Senit 5, el concepto de selección de segundo orden y atribuir la competencia para ejercerla a la Sala de Definición de Situaciones Jurídicas de la JEP.</w:t>
      </w:r>
    </w:p>
    <w:p w14:paraId="4CE6D01A" w14:textId="3CA89511" w:rsidR="007121ED" w:rsidRPr="00746ACE" w:rsidRDefault="007121ED" w:rsidP="001417A1">
      <w:pPr>
        <w:pStyle w:val="Prrafodelista"/>
        <w:widowControl w:val="0"/>
        <w:ind w:left="1287"/>
      </w:pPr>
    </w:p>
    <w:p w14:paraId="66BB7DA6" w14:textId="1377FC7A" w:rsidR="007121ED" w:rsidRPr="00746ACE" w:rsidRDefault="002A4193" w:rsidP="001417A1">
      <w:pPr>
        <w:pStyle w:val="Prrafodelista"/>
        <w:widowControl w:val="0"/>
        <w:ind w:left="567"/>
      </w:pPr>
      <w:r w:rsidRPr="00746ACE">
        <w:t xml:space="preserve">Segundo, </w:t>
      </w:r>
      <w:r w:rsidR="0080086B" w:rsidRPr="00746ACE">
        <w:t>si la Sección de Apelación desconoció el principio de legalidad (artículo</w:t>
      </w:r>
      <w:r w:rsidR="00D87417" w:rsidRPr="00746ACE">
        <w:t>s</w:t>
      </w:r>
      <w:r w:rsidR="0080086B" w:rsidRPr="00746ACE">
        <w:t xml:space="preserve"> </w:t>
      </w:r>
      <w:r w:rsidR="00D03BA0" w:rsidRPr="00746ACE">
        <w:t xml:space="preserve">6, </w:t>
      </w:r>
      <w:r w:rsidR="0080086B" w:rsidRPr="00746ACE">
        <w:t xml:space="preserve">29 </w:t>
      </w:r>
      <w:r w:rsidR="00D87417" w:rsidRPr="00746ACE">
        <w:t xml:space="preserve">y 121 </w:t>
      </w:r>
      <w:r w:rsidR="0080086B" w:rsidRPr="00746ACE">
        <w:t>de la Constitución Política), en relación con el principio transicional y constitucional de selección (artículos 66 transitorio y 3 del Acto Legislativo 01 de 2017)</w:t>
      </w:r>
      <w:r w:rsidR="007121ED" w:rsidRPr="00746ACE">
        <w:t>, al crear, en la Senit 5, el concepto de selección de segundo orden, sin un fundamento normativo claro, y de naturaleza difusa, vaga o indeterminada.</w:t>
      </w:r>
    </w:p>
    <w:p w14:paraId="5A463634" w14:textId="77777777" w:rsidR="002A4193" w:rsidRPr="00746ACE" w:rsidRDefault="002A4193" w:rsidP="001417A1">
      <w:pPr>
        <w:pStyle w:val="Prrafodelista"/>
        <w:widowControl w:val="0"/>
        <w:ind w:left="1287"/>
      </w:pPr>
    </w:p>
    <w:p w14:paraId="33F50825" w14:textId="34593674" w:rsidR="002A4193" w:rsidRPr="00746ACE" w:rsidRDefault="002A4193" w:rsidP="001417A1">
      <w:pPr>
        <w:pStyle w:val="Prrafodelista"/>
        <w:widowControl w:val="0"/>
        <w:ind w:left="567"/>
      </w:pPr>
      <w:r w:rsidRPr="00746ACE">
        <w:t xml:space="preserve">Tercero, si la Sección de Apelación desconoció el principio de legalidad </w:t>
      </w:r>
      <w:r w:rsidR="0062059E" w:rsidRPr="00746ACE">
        <w:t xml:space="preserve">(artículo 29 de la CP) </w:t>
      </w:r>
      <w:r w:rsidRPr="00746ACE">
        <w:t>el crear, sin un fundamento legal o constitucional, el concepto de responsabilidad del punto medio en la Senit 5 o de responsabilidad cercana a la máxima en la Senit 9.</w:t>
      </w:r>
      <w:r w:rsidR="00742777" w:rsidRPr="00746ACE">
        <w:t xml:space="preserve"> </w:t>
      </w:r>
    </w:p>
    <w:p w14:paraId="41D03C2C" w14:textId="77777777" w:rsidR="007121ED" w:rsidRPr="00746ACE" w:rsidRDefault="007121ED" w:rsidP="001417A1">
      <w:pPr>
        <w:pStyle w:val="Prrafodelista"/>
        <w:widowControl w:val="0"/>
        <w:ind w:left="1287"/>
      </w:pPr>
    </w:p>
    <w:p w14:paraId="3FDAEDEF" w14:textId="4DA88D58" w:rsidR="007121ED" w:rsidRPr="00746ACE" w:rsidRDefault="002A4193" w:rsidP="001417A1">
      <w:pPr>
        <w:pStyle w:val="Prrafodelista"/>
        <w:widowControl w:val="0"/>
        <w:ind w:left="567"/>
        <w:rPr>
          <w:i/>
        </w:rPr>
      </w:pPr>
      <w:r w:rsidRPr="00746ACE">
        <w:t>Cuarto, si l</w:t>
      </w:r>
      <w:r w:rsidR="007121ED" w:rsidRPr="00746ACE">
        <w:t>a Sección de Apelación</w:t>
      </w:r>
      <w:r w:rsidR="008609E0" w:rsidRPr="00746ACE">
        <w:t xml:space="preserve"> desconoció el debido proceso constitucional</w:t>
      </w:r>
      <w:r w:rsidR="002A06F3" w:rsidRPr="00746ACE">
        <w:t xml:space="preserve"> (artículo 29 de la CP)</w:t>
      </w:r>
      <w:r w:rsidR="008609E0" w:rsidRPr="00746ACE">
        <w:t xml:space="preserve">, </w:t>
      </w:r>
      <w:r w:rsidR="00D11AE3" w:rsidRPr="00746ACE">
        <w:t xml:space="preserve">por la ausencia de reglas </w:t>
      </w:r>
      <w:r w:rsidR="006C2460" w:rsidRPr="00746ACE">
        <w:t xml:space="preserve">de procedimiento </w:t>
      </w:r>
      <w:r w:rsidR="00D11AE3" w:rsidRPr="00746ACE">
        <w:t>claras</w:t>
      </w:r>
      <w:r w:rsidR="006C2460" w:rsidRPr="00746ACE">
        <w:t xml:space="preserve"> para quienes sean calificados como responsables del punto medio por la Sala de Definición de Situaciones Jurídicas. </w:t>
      </w:r>
    </w:p>
    <w:p w14:paraId="659B5C5C" w14:textId="1B6A6493" w:rsidR="00AC407D" w:rsidRPr="00746ACE" w:rsidRDefault="00AC407D" w:rsidP="001417A1">
      <w:pPr>
        <w:pStyle w:val="Prrafodelista"/>
        <w:widowControl w:val="0"/>
        <w:ind w:left="1287"/>
      </w:pPr>
    </w:p>
    <w:p w14:paraId="546DD3F8" w14:textId="61D2952A" w:rsidR="00AC407D" w:rsidRPr="00746ACE" w:rsidRDefault="002A4193" w:rsidP="001417A1">
      <w:pPr>
        <w:pStyle w:val="Prrafodelista"/>
        <w:widowControl w:val="0"/>
        <w:ind w:left="567"/>
      </w:pPr>
      <w:r w:rsidRPr="00746ACE">
        <w:t>Quinto, si l</w:t>
      </w:r>
      <w:r w:rsidR="00AC407D" w:rsidRPr="00746ACE">
        <w:t>a Sección de Apelación desconoció el debido proceso</w:t>
      </w:r>
      <w:r w:rsidR="00D87417" w:rsidRPr="00746ACE">
        <w:t xml:space="preserve"> (Art. 29 de la Constitución)</w:t>
      </w:r>
      <w:r w:rsidR="00AC407D" w:rsidRPr="00746ACE">
        <w:t xml:space="preserve">, el principio constitucional de igualdad </w:t>
      </w:r>
      <w:r w:rsidR="00D87417" w:rsidRPr="00746ACE">
        <w:t xml:space="preserve">(Artículo 13, constitucional) </w:t>
      </w:r>
      <w:r w:rsidR="00AC407D" w:rsidRPr="00746ACE">
        <w:t>y el principio de proporcionalidad de la sanción</w:t>
      </w:r>
      <w:r w:rsidR="00D87417" w:rsidRPr="00746ACE">
        <w:t xml:space="preserve"> (Art. 29, ibídem)</w:t>
      </w:r>
      <w:r w:rsidR="00AC407D" w:rsidRPr="00746ACE">
        <w:t xml:space="preserve">, debido a que la </w:t>
      </w:r>
      <w:r w:rsidR="00AC407D" w:rsidRPr="00746ACE">
        <w:rPr>
          <w:i/>
        </w:rPr>
        <w:t xml:space="preserve">selección de segundo orden </w:t>
      </w:r>
      <w:r w:rsidR="00AC407D" w:rsidRPr="00746ACE">
        <w:t xml:space="preserve">puede conducir a la apertura de un juicio adversarial, en el cual </w:t>
      </w:r>
      <w:r w:rsidR="00AC407D" w:rsidRPr="00746ACE">
        <w:rPr>
          <w:i/>
        </w:rPr>
        <w:t xml:space="preserve">partícipes no determinantes </w:t>
      </w:r>
      <w:r w:rsidR="00AC407D" w:rsidRPr="00746ACE">
        <w:t xml:space="preserve">podrían recibir sanciones más graves que los </w:t>
      </w:r>
      <w:r w:rsidR="00AC407D" w:rsidRPr="00746ACE">
        <w:rPr>
          <w:i/>
        </w:rPr>
        <w:t xml:space="preserve">máximos responsables. </w:t>
      </w:r>
    </w:p>
    <w:p w14:paraId="5CB1A256" w14:textId="77777777" w:rsidR="00262044" w:rsidRPr="00746ACE" w:rsidRDefault="00262044" w:rsidP="00FC0DFB">
      <w:pPr>
        <w:pStyle w:val="Prrafodelista"/>
        <w:widowControl w:val="0"/>
      </w:pPr>
    </w:p>
    <w:p w14:paraId="0D86B34F" w14:textId="5A155BD7" w:rsidR="00262044" w:rsidRPr="00746ACE" w:rsidRDefault="00262044" w:rsidP="00FC0DFB">
      <w:pPr>
        <w:pStyle w:val="Prrafodelista"/>
        <w:widowControl w:val="0"/>
        <w:numPr>
          <w:ilvl w:val="0"/>
          <w:numId w:val="7"/>
        </w:numPr>
      </w:pPr>
      <w:r w:rsidRPr="00746ACE">
        <w:t xml:space="preserve">Para resolver estos problemas, la Sala </w:t>
      </w:r>
      <w:r w:rsidR="00A831ED" w:rsidRPr="00746ACE">
        <w:t>abordará</w:t>
      </w:r>
      <w:r w:rsidRPr="00746ACE">
        <w:t xml:space="preserve"> los siguientes aspectos: (i) la justicia transicional restaurativa como marco general de análisis del caso objeto de estudio; (ii) el principio de legalidad y su adecuación a la justicia transicional restaurativa de la JEP; (iii) el principio constitucional y transicional de </w:t>
      </w:r>
      <w:r w:rsidRPr="00746ACE">
        <w:rPr>
          <w:i/>
        </w:rPr>
        <w:t xml:space="preserve">selección; </w:t>
      </w:r>
      <w:r w:rsidR="00121ED2" w:rsidRPr="00746ACE">
        <w:rPr>
          <w:iCs/>
        </w:rPr>
        <w:t xml:space="preserve">y </w:t>
      </w:r>
      <w:r w:rsidRPr="00746ACE">
        <w:t xml:space="preserve">(iv) </w:t>
      </w:r>
      <w:r w:rsidR="00121ED2" w:rsidRPr="00746ACE">
        <w:t>los derechos de las víctimas, sus expectativas y los límites de la lucha contra la impunidad en contextos transicionales</w:t>
      </w:r>
      <w:r w:rsidRPr="00746ACE">
        <w:t>. Sobre este marco normativo, adelantará el estudio de los cargos.</w:t>
      </w:r>
    </w:p>
    <w:p w14:paraId="65BE1FEE" w14:textId="77777777" w:rsidR="005B6CDD" w:rsidRPr="00746ACE" w:rsidRDefault="005B6CDD" w:rsidP="00FC0DFB">
      <w:pPr>
        <w:widowControl w:val="0"/>
      </w:pPr>
    </w:p>
    <w:p w14:paraId="5CE25DA8" w14:textId="338C80B4" w:rsidR="004B33DF" w:rsidRPr="00746ACE" w:rsidRDefault="00951767" w:rsidP="000B69F5">
      <w:pPr>
        <w:pStyle w:val="Ttulo1"/>
        <w:widowControl w:val="0"/>
        <w:spacing w:before="0" w:beforeAutospacing="0" w:after="0" w:afterAutospacing="0"/>
        <w:jc w:val="both"/>
        <w:rPr>
          <w:sz w:val="28"/>
          <w:szCs w:val="28"/>
          <w:lang w:val="es-ES"/>
        </w:rPr>
      </w:pPr>
      <w:bookmarkStart w:id="31" w:name="_Toc233384181"/>
      <w:r w:rsidRPr="00746ACE">
        <w:rPr>
          <w:sz w:val="28"/>
          <w:szCs w:val="28"/>
          <w:lang w:val="es-ES"/>
        </w:rPr>
        <w:t>TERCERA</w:t>
      </w:r>
      <w:r w:rsidR="00EE5245" w:rsidRPr="00746ACE">
        <w:rPr>
          <w:sz w:val="28"/>
          <w:szCs w:val="28"/>
          <w:lang w:val="es-ES"/>
        </w:rPr>
        <w:t xml:space="preserve"> PARTE</w:t>
      </w:r>
      <w:r w:rsidR="0018638A" w:rsidRPr="00746ACE">
        <w:rPr>
          <w:sz w:val="28"/>
          <w:szCs w:val="28"/>
          <w:lang w:val="es-ES"/>
        </w:rPr>
        <w:t>.</w:t>
      </w:r>
      <w:r w:rsidR="000919EA" w:rsidRPr="00746ACE">
        <w:rPr>
          <w:sz w:val="28"/>
          <w:szCs w:val="28"/>
          <w:lang w:val="es-ES"/>
        </w:rPr>
        <w:t xml:space="preserve"> </w:t>
      </w:r>
      <w:r w:rsidR="0018638A" w:rsidRPr="00746ACE">
        <w:rPr>
          <w:sz w:val="28"/>
          <w:szCs w:val="28"/>
          <w:lang w:val="es-ES"/>
        </w:rPr>
        <w:t>JURISPRUDENCIA Y FUNDAMENTO</w:t>
      </w:r>
      <w:r w:rsidR="00424A1A" w:rsidRPr="00746ACE">
        <w:rPr>
          <w:sz w:val="28"/>
          <w:szCs w:val="28"/>
          <w:lang w:val="es-ES"/>
        </w:rPr>
        <w:t>S</w:t>
      </w:r>
      <w:r w:rsidR="0018638A" w:rsidRPr="00746ACE">
        <w:rPr>
          <w:sz w:val="28"/>
          <w:szCs w:val="28"/>
          <w:lang w:val="es-ES"/>
        </w:rPr>
        <w:t xml:space="preserve"> </w:t>
      </w:r>
      <w:r w:rsidR="00424A1A" w:rsidRPr="00746ACE">
        <w:rPr>
          <w:sz w:val="28"/>
          <w:szCs w:val="28"/>
          <w:lang w:val="es-ES"/>
        </w:rPr>
        <w:t>JURÍDICOS</w:t>
      </w:r>
      <w:r w:rsidR="0018638A" w:rsidRPr="00746ACE">
        <w:rPr>
          <w:sz w:val="28"/>
          <w:szCs w:val="28"/>
          <w:lang w:val="es-ES"/>
        </w:rPr>
        <w:t xml:space="preserve"> RELEVANTES</w:t>
      </w:r>
      <w:bookmarkEnd w:id="31"/>
    </w:p>
    <w:p w14:paraId="3E8BFADE" w14:textId="77777777" w:rsidR="0054259F" w:rsidRPr="00746ACE" w:rsidRDefault="0054259F" w:rsidP="00FC0DFB">
      <w:pPr>
        <w:widowControl w:val="0"/>
      </w:pPr>
    </w:p>
    <w:p w14:paraId="7646C9C4" w14:textId="77777777" w:rsidR="00F05A72" w:rsidRPr="00746ACE" w:rsidRDefault="00F05A72" w:rsidP="00BA2223">
      <w:pPr>
        <w:pStyle w:val="Ttulo2"/>
        <w:rPr>
          <w:rFonts w:cs="Times New Roman"/>
        </w:rPr>
      </w:pPr>
      <w:bookmarkStart w:id="32" w:name="_Toc233384182"/>
      <w:r w:rsidRPr="00746ACE">
        <w:rPr>
          <w:rFonts w:cs="Times New Roman"/>
        </w:rPr>
        <w:t xml:space="preserve">La justicia </w:t>
      </w:r>
      <w:r w:rsidRPr="00746ACE">
        <w:rPr>
          <w:rFonts w:eastAsia="Times New Roman" w:cs="Times New Roman"/>
        </w:rPr>
        <w:t>transicional</w:t>
      </w:r>
      <w:r w:rsidRPr="00746ACE">
        <w:rPr>
          <w:rFonts w:cs="Times New Roman"/>
        </w:rPr>
        <w:t xml:space="preserve"> restaurativa</w:t>
      </w:r>
      <w:bookmarkEnd w:id="32"/>
      <w:r w:rsidRPr="00746ACE">
        <w:rPr>
          <w:rFonts w:cs="Times New Roman"/>
        </w:rPr>
        <w:t xml:space="preserve"> </w:t>
      </w:r>
    </w:p>
    <w:p w14:paraId="14B75187" w14:textId="77777777" w:rsidR="00F05A72" w:rsidRPr="00746ACE" w:rsidRDefault="00F05A72" w:rsidP="00FC0DFB">
      <w:pPr>
        <w:pStyle w:val="Prrafodelista"/>
        <w:widowControl w:val="0"/>
        <w:ind w:left="0"/>
      </w:pPr>
    </w:p>
    <w:p w14:paraId="298982DB" w14:textId="4E3E1547" w:rsidR="00E21368" w:rsidRPr="00746ACE" w:rsidRDefault="003967A4" w:rsidP="00FC0DFB">
      <w:pPr>
        <w:pStyle w:val="Prrafodelista"/>
        <w:widowControl w:val="0"/>
        <w:numPr>
          <w:ilvl w:val="0"/>
          <w:numId w:val="7"/>
        </w:numPr>
      </w:pPr>
      <w:r w:rsidRPr="00746ACE">
        <w:t xml:space="preserve">La justicia transicional, entendida como el conjunto de mecanismos institucionales diseñados para </w:t>
      </w:r>
      <w:r w:rsidR="00A20372" w:rsidRPr="00746ACE">
        <w:t xml:space="preserve">la transformación de una situación de conflicto armado a una de paz, o de una dictadura a un sistema democrático, cuenta con diversas manifestaciones en Colombia que reflejan esfuerzos por </w:t>
      </w:r>
      <w:r w:rsidR="007C206F" w:rsidRPr="00746ACE">
        <w:t>superar una historia marcada por la violencia.</w:t>
      </w:r>
      <w:r w:rsidR="00CD47AD" w:rsidRPr="00746ACE">
        <w:t xml:space="preserve"> De manera reciente, </w:t>
      </w:r>
      <w:r w:rsidR="00E24469" w:rsidRPr="00746ACE">
        <w:t>la experiencia</w:t>
      </w:r>
      <w:r w:rsidR="00CD47AD" w:rsidRPr="00746ACE">
        <w:t xml:space="preserve"> de justicia y paz tras la dejación de armas de grupos paramilitares</w:t>
      </w:r>
      <w:r w:rsidR="008C5415" w:rsidRPr="00746ACE">
        <w:t xml:space="preserve"> (Ley 975 de 2005 y</w:t>
      </w:r>
      <w:r w:rsidR="004D4D3C" w:rsidRPr="00746ACE">
        <w:t xml:space="preserve"> Ley 1592 de 201</w:t>
      </w:r>
      <w:r w:rsidR="006E1857" w:rsidRPr="00746ACE">
        <w:t>2</w:t>
      </w:r>
      <w:r w:rsidR="008C5415" w:rsidRPr="00746ACE">
        <w:t>)</w:t>
      </w:r>
      <w:r w:rsidR="00CD47AD" w:rsidRPr="00746ACE">
        <w:t>,</w:t>
      </w:r>
      <w:r w:rsidR="008C5415" w:rsidRPr="00746ACE">
        <w:t xml:space="preserve"> la ley de víctimas y restitución de tierras (</w:t>
      </w:r>
      <w:r w:rsidR="004D4D3C" w:rsidRPr="00746ACE">
        <w:t>Ley 1448 de 2011</w:t>
      </w:r>
      <w:r w:rsidR="00E21368" w:rsidRPr="00746ACE">
        <w:t xml:space="preserve">), el Marco Jurídico para la Paz (Acto Legislativo 02 de 2015) y el </w:t>
      </w:r>
      <w:r w:rsidR="007464EC" w:rsidRPr="00746ACE">
        <w:t>S</w:t>
      </w:r>
      <w:r w:rsidR="00E21368" w:rsidRPr="00746ACE">
        <w:t>istema integral de justicia, verdad, reparación y garantías de no reparación</w:t>
      </w:r>
      <w:r w:rsidR="007464EC" w:rsidRPr="00746ACE">
        <w:t xml:space="preserve"> ––</w:t>
      </w:r>
      <w:r w:rsidR="00E21368" w:rsidRPr="00746ACE">
        <w:t>o Sistema Integral de Paz</w:t>
      </w:r>
      <w:r w:rsidR="007464EC" w:rsidRPr="00746ACE">
        <w:t>––</w:t>
      </w:r>
      <w:r w:rsidR="00E21368" w:rsidRPr="00746ACE">
        <w:t xml:space="preserve"> </w:t>
      </w:r>
      <w:r w:rsidR="006E1857" w:rsidRPr="00746ACE">
        <w:t xml:space="preserve">(Acto Legislativo 01 de 2017) </w:t>
      </w:r>
      <w:r w:rsidR="00E21368" w:rsidRPr="00746ACE">
        <w:t>contienen mecanismos de justicia transicional.</w:t>
      </w:r>
    </w:p>
    <w:p w14:paraId="5E3105E0" w14:textId="77777777" w:rsidR="006E1857" w:rsidRPr="00746ACE" w:rsidRDefault="006E1857" w:rsidP="00FC0DFB">
      <w:pPr>
        <w:pStyle w:val="Prrafodelista"/>
        <w:widowControl w:val="0"/>
        <w:ind w:left="0"/>
      </w:pPr>
    </w:p>
    <w:p w14:paraId="2614EE05" w14:textId="13AE7AA9" w:rsidR="006E1857" w:rsidRPr="00746ACE" w:rsidRDefault="006E1857" w:rsidP="00FC0DFB">
      <w:pPr>
        <w:pStyle w:val="Prrafodelista"/>
        <w:widowControl w:val="0"/>
        <w:numPr>
          <w:ilvl w:val="0"/>
          <w:numId w:val="7"/>
        </w:numPr>
      </w:pPr>
      <w:r w:rsidRPr="00746ACE">
        <w:t xml:space="preserve">En un contexto político más amplio, </w:t>
      </w:r>
      <w:r w:rsidR="00CE2D0F" w:rsidRPr="00746ACE">
        <w:t xml:space="preserve">la Corte Constitucional ha </w:t>
      </w:r>
      <w:r w:rsidR="00277398" w:rsidRPr="00746ACE">
        <w:t xml:space="preserve">considerado que </w:t>
      </w:r>
      <w:r w:rsidR="00CE2D0F" w:rsidRPr="00746ACE">
        <w:t xml:space="preserve">la Constitución Política de 1991 </w:t>
      </w:r>
      <w:r w:rsidR="00277398" w:rsidRPr="00746ACE">
        <w:t>nació, entre otras cosas, como un pacto de paz</w:t>
      </w:r>
      <w:r w:rsidR="00277398" w:rsidRPr="00746ACE">
        <w:rPr>
          <w:rStyle w:val="Refdenotaalpie"/>
        </w:rPr>
        <w:footnoteReference w:id="48"/>
      </w:r>
      <w:r w:rsidR="00277398" w:rsidRPr="00746ACE">
        <w:t xml:space="preserve">. </w:t>
      </w:r>
      <w:r w:rsidR="00215CBB" w:rsidRPr="00746ACE">
        <w:t xml:space="preserve">Durante mucho tiempo, la </w:t>
      </w:r>
      <w:r w:rsidR="00B52D49" w:rsidRPr="00746ACE">
        <w:t xml:space="preserve">justicia transicional se consideró una transacción de </w:t>
      </w:r>
      <w:r w:rsidR="00B52D49" w:rsidRPr="00746ACE">
        <w:rPr>
          <w:i/>
        </w:rPr>
        <w:t xml:space="preserve">menor justicia </w:t>
      </w:r>
      <w:r w:rsidR="00B52D49" w:rsidRPr="00746ACE">
        <w:t xml:space="preserve">para alcanzar </w:t>
      </w:r>
      <w:r w:rsidR="00B52D49" w:rsidRPr="00746ACE">
        <w:rPr>
          <w:i/>
        </w:rPr>
        <w:t xml:space="preserve">mayor estabilidad política. </w:t>
      </w:r>
      <w:r w:rsidR="00B52D49" w:rsidRPr="00746ACE">
        <w:t xml:space="preserve">Tiempo después, este enfoque se ha revaluado pues tanto la paz como la justicia son valores fundantes del Estado Constitucional de Derecho. </w:t>
      </w:r>
      <w:r w:rsidR="00025600" w:rsidRPr="00746ACE">
        <w:t>Por lo tanto, antes que una transacción, en la justicia transicional operan arreglos constitucionales profundos, amplios y flexibles para propiciar el cese de las confrontaciones armadas. La justicia y la paz se persiguen en igual medida</w:t>
      </w:r>
      <w:r w:rsidR="005E7793" w:rsidRPr="00746ACE">
        <w:t xml:space="preserve">, y los mecanismos </w:t>
      </w:r>
      <w:r w:rsidR="007464EC" w:rsidRPr="00746ACE">
        <w:t xml:space="preserve">de justicia transicional </w:t>
      </w:r>
      <w:r w:rsidR="00D03BA0" w:rsidRPr="00746ACE">
        <w:t xml:space="preserve">aspiran cumplir </w:t>
      </w:r>
      <w:r w:rsidR="007464EC" w:rsidRPr="00746ACE">
        <w:t>fines asociados a los derechos de las víctimas y la estabilidad del proceso, tanto de naturaleza judicial como no-jurisdiccional</w:t>
      </w:r>
      <w:r w:rsidR="005E7793" w:rsidRPr="00746ACE">
        <w:rPr>
          <w:rStyle w:val="Refdenotaalpie"/>
        </w:rPr>
        <w:footnoteReference w:id="49"/>
      </w:r>
      <w:r w:rsidR="005E7793" w:rsidRPr="00746ACE">
        <w:t>.</w:t>
      </w:r>
      <w:r w:rsidR="00742777" w:rsidRPr="00746ACE">
        <w:t xml:space="preserve"> </w:t>
      </w:r>
    </w:p>
    <w:p w14:paraId="48A0E6A6" w14:textId="77777777" w:rsidR="007800A7" w:rsidRPr="00746ACE" w:rsidRDefault="007800A7" w:rsidP="001417A1">
      <w:pPr>
        <w:widowControl w:val="0"/>
      </w:pPr>
    </w:p>
    <w:p w14:paraId="552D5EF6" w14:textId="4996E715" w:rsidR="007800A7" w:rsidRPr="00746ACE" w:rsidRDefault="007800A7" w:rsidP="00FC0DFB">
      <w:pPr>
        <w:pStyle w:val="Prrafodelista"/>
        <w:widowControl w:val="0"/>
        <w:numPr>
          <w:ilvl w:val="0"/>
          <w:numId w:val="7"/>
        </w:numPr>
      </w:pPr>
      <w:r w:rsidRPr="00746ACE">
        <w:t>La justicia transicional, desde un punto de vista constitucional exige</w:t>
      </w:r>
      <w:r w:rsidR="00D03BA0" w:rsidRPr="00746ACE">
        <w:t>,</w:t>
      </w:r>
      <w:r w:rsidRPr="00746ACE">
        <w:t xml:space="preserve"> a</w:t>
      </w:r>
      <w:r w:rsidR="005457E4" w:rsidRPr="00746ACE">
        <w:t>l</w:t>
      </w:r>
      <w:r w:rsidR="00D03BA0" w:rsidRPr="00746ACE">
        <w:t xml:space="preserve"> mismo</w:t>
      </w:r>
      <w:r w:rsidRPr="00746ACE">
        <w:t xml:space="preserve"> tiempo</w:t>
      </w:r>
      <w:r w:rsidR="00D03BA0" w:rsidRPr="00746ACE">
        <w:t>,</w:t>
      </w:r>
      <w:r w:rsidRPr="00746ACE">
        <w:t xml:space="preserve"> flexibilidad institucional y preservación de la rigidez de la Constitución Política. Ello explica la diversidad de normas constitucionales que operan como cauces de todo mecanismo diseñado para una paz negociada.</w:t>
      </w:r>
    </w:p>
    <w:p w14:paraId="10E1C3DB" w14:textId="77777777" w:rsidR="00025600" w:rsidRPr="00746ACE" w:rsidRDefault="00025600" w:rsidP="001417A1">
      <w:pPr>
        <w:widowControl w:val="0"/>
      </w:pPr>
    </w:p>
    <w:p w14:paraId="6E96D122" w14:textId="41AEFFA4" w:rsidR="007800A7" w:rsidRPr="00746ACE" w:rsidRDefault="007800A7" w:rsidP="00FC0DFB">
      <w:pPr>
        <w:pStyle w:val="Prrafodelista"/>
        <w:widowControl w:val="0"/>
        <w:numPr>
          <w:ilvl w:val="0"/>
          <w:numId w:val="7"/>
        </w:numPr>
      </w:pPr>
      <w:r w:rsidRPr="00746ACE">
        <w:t>El Acto Legislativo 02 de 2015</w:t>
      </w:r>
      <w:r w:rsidR="007464EC" w:rsidRPr="00746ACE">
        <w:t xml:space="preserve"> ––</w:t>
      </w:r>
      <w:r w:rsidR="00B55E9C" w:rsidRPr="00746ACE">
        <w:t>Marco Jurídico para la Paz</w:t>
      </w:r>
      <w:r w:rsidR="007464EC" w:rsidRPr="00746ACE">
        <w:t>––</w:t>
      </w:r>
      <w:r w:rsidR="00B55E9C" w:rsidRPr="00746ACE">
        <w:t xml:space="preserve"> incluyó medidas como la habilitación de la participación en política</w:t>
      </w:r>
      <w:r w:rsidR="006A373E" w:rsidRPr="00746ACE">
        <w:t xml:space="preserve"> y el diseño de tratamientos penales especiales, en adición a la amnistía y el indulto, previstos ya en el texto original de la Constitución Política, para permitir la dejación de armas, siempre manteniendo </w:t>
      </w:r>
      <w:r w:rsidR="00BD6B77" w:rsidRPr="00746ACE">
        <w:t xml:space="preserve">como norte la satisfacción de los derechos de las víctimas. </w:t>
      </w:r>
      <w:r w:rsidR="00BF4F70" w:rsidRPr="00746ACE">
        <w:t xml:space="preserve">Estas medidas </w:t>
      </w:r>
      <w:r w:rsidR="00DA14B4" w:rsidRPr="00746ACE">
        <w:t>resultaron muy importantes para el proceso de paz entre la entonces guerrilla de las FARC-EP y el estado colombiano (2012-2016).</w:t>
      </w:r>
      <w:r w:rsidR="00742777" w:rsidRPr="00746ACE">
        <w:t xml:space="preserve"> </w:t>
      </w:r>
    </w:p>
    <w:p w14:paraId="2AE2033C" w14:textId="77777777" w:rsidR="007800A7" w:rsidRPr="00746ACE" w:rsidRDefault="007800A7" w:rsidP="00FC0DFB">
      <w:pPr>
        <w:pStyle w:val="Prrafodelista"/>
        <w:widowControl w:val="0"/>
      </w:pPr>
    </w:p>
    <w:p w14:paraId="6D9B4383" w14:textId="5F5848D7" w:rsidR="00DA14B4" w:rsidRPr="00746ACE" w:rsidRDefault="00DA14B4" w:rsidP="00FC0DFB">
      <w:pPr>
        <w:pStyle w:val="Prrafodelista"/>
        <w:widowControl w:val="0"/>
        <w:numPr>
          <w:ilvl w:val="0"/>
          <w:numId w:val="7"/>
        </w:numPr>
      </w:pPr>
      <w:r w:rsidRPr="00746ACE">
        <w:t>El Ac</w:t>
      </w:r>
      <w:r w:rsidR="00120284" w:rsidRPr="00746ACE">
        <w:t xml:space="preserve">uerdo Final de Paz de 2016 es resultado de ese proceso de negociación. </w:t>
      </w:r>
      <w:r w:rsidR="005457E4" w:rsidRPr="00746ACE">
        <w:t xml:space="preserve">Se trata de un </w:t>
      </w:r>
      <w:r w:rsidR="00A156A2" w:rsidRPr="00746ACE">
        <w:t xml:space="preserve">pacto </w:t>
      </w:r>
      <w:r w:rsidR="005457E4" w:rsidRPr="00746ACE">
        <w:t>que propone</w:t>
      </w:r>
      <w:r w:rsidR="00A156A2" w:rsidRPr="00746ACE">
        <w:t xml:space="preserve"> un delicado engranaje de seis </w:t>
      </w:r>
      <w:r w:rsidR="00EE6263" w:rsidRPr="00746ACE">
        <w:t xml:space="preserve">grandes </w:t>
      </w:r>
      <w:r w:rsidR="00DE5A0A" w:rsidRPr="00746ACE">
        <w:t xml:space="preserve">puntos, asociados a </w:t>
      </w:r>
      <w:r w:rsidR="00EE6263" w:rsidRPr="00746ACE">
        <w:t xml:space="preserve">problemas estructurales que, en concepto de las partes, </w:t>
      </w:r>
      <w:r w:rsidR="005457E4" w:rsidRPr="00746ACE">
        <w:t xml:space="preserve">proponían </w:t>
      </w:r>
      <w:r w:rsidR="00FA6D89" w:rsidRPr="00746ACE">
        <w:t xml:space="preserve">arreglos para </w:t>
      </w:r>
      <w:r w:rsidR="009248BA" w:rsidRPr="00746ACE">
        <w:t xml:space="preserve">enfrentar las </w:t>
      </w:r>
      <w:r w:rsidR="00EE6263" w:rsidRPr="00746ACE">
        <w:t xml:space="preserve">causas de la guerra. En especial, habla sobre el problema de tierras y la reforma agraria integral, </w:t>
      </w:r>
      <w:r w:rsidR="00676571" w:rsidRPr="00746ACE">
        <w:t xml:space="preserve">la participación en política, </w:t>
      </w:r>
      <w:r w:rsidR="00652E71" w:rsidRPr="00746ACE">
        <w:t>el cierre o fin del conflicto,</w:t>
      </w:r>
      <w:r w:rsidR="005E4D3F" w:rsidRPr="00746ACE">
        <w:t xml:space="preserve"> </w:t>
      </w:r>
      <w:r w:rsidR="00EE2EBD" w:rsidRPr="00746ACE">
        <w:t xml:space="preserve">incluida la dejación de armas por parte de las FARC, </w:t>
      </w:r>
      <w:r w:rsidR="005E4D3F" w:rsidRPr="00746ACE">
        <w:t xml:space="preserve">las drogas </w:t>
      </w:r>
      <w:r w:rsidR="00EE2EBD" w:rsidRPr="00746ACE">
        <w:t xml:space="preserve">ilícitas </w:t>
      </w:r>
      <w:r w:rsidR="005E4D3F" w:rsidRPr="00746ACE">
        <w:t>y la sustitución de cultivos</w:t>
      </w:r>
      <w:r w:rsidR="00652E71" w:rsidRPr="00746ACE">
        <w:t xml:space="preserve">, </w:t>
      </w:r>
      <w:r w:rsidR="00676571" w:rsidRPr="00746ACE">
        <w:t>los derechos de las víctimas y el enfoque étnico</w:t>
      </w:r>
      <w:r w:rsidR="00920B9F" w:rsidRPr="00746ACE">
        <w:rPr>
          <w:rStyle w:val="Refdenotaalpie"/>
        </w:rPr>
        <w:footnoteReference w:id="50"/>
      </w:r>
      <w:r w:rsidR="00676571" w:rsidRPr="00746ACE">
        <w:t>.</w:t>
      </w:r>
      <w:r w:rsidR="00742777" w:rsidRPr="00746ACE">
        <w:t xml:space="preserve"> </w:t>
      </w:r>
    </w:p>
    <w:p w14:paraId="2E69224D" w14:textId="77777777" w:rsidR="00C35122" w:rsidRPr="00746ACE" w:rsidRDefault="00C35122" w:rsidP="004B5178">
      <w:pPr>
        <w:widowControl w:val="0"/>
      </w:pPr>
    </w:p>
    <w:p w14:paraId="12C51952" w14:textId="5C780E44" w:rsidR="00C35122" w:rsidRPr="00746ACE" w:rsidRDefault="00C35122" w:rsidP="00FC0DFB">
      <w:pPr>
        <w:pStyle w:val="Prrafodelista"/>
        <w:widowControl w:val="0"/>
        <w:numPr>
          <w:ilvl w:val="0"/>
          <w:numId w:val="7"/>
        </w:numPr>
      </w:pPr>
      <w:r w:rsidRPr="00746ACE">
        <w:t xml:space="preserve">La </w:t>
      </w:r>
      <w:r w:rsidR="009248BA" w:rsidRPr="00746ACE">
        <w:t>jurisprudencia constitucional, en particular la</w:t>
      </w:r>
      <w:r w:rsidRPr="00746ACE">
        <w:t xml:space="preserve"> Sentencia C-630 de 2017 que estudió la constitucionalidad del Acto Legislativo 02 de 2017, </w:t>
      </w:r>
      <w:r w:rsidR="004E03A6" w:rsidRPr="00746ACE">
        <w:t xml:space="preserve">afirma </w:t>
      </w:r>
      <w:r w:rsidRPr="00746ACE">
        <w:t xml:space="preserve">que el Acuerdo Final de Paz (i) no es una norma jurídica, ni una norma constitucional. Por lo tanto, (ii) no constituye parámetro de control de constitucionalidad. Sin embargo, (iii) </w:t>
      </w:r>
      <w:r w:rsidR="00805DFF" w:rsidRPr="00746ACE">
        <w:t>es un documento que debe ser implementado a través de normas jurídic</w:t>
      </w:r>
      <w:r w:rsidR="009248BA" w:rsidRPr="00746ACE">
        <w:t>a</w:t>
      </w:r>
      <w:r w:rsidR="00805DFF" w:rsidRPr="00746ACE">
        <w:t>s, misión que se realizó en buena medida a través de un trámite legislativo abreviado (</w:t>
      </w:r>
      <w:r w:rsidR="00805DFF" w:rsidRPr="00746ACE">
        <w:rPr>
          <w:i/>
        </w:rPr>
        <w:t>fast track</w:t>
      </w:r>
      <w:r w:rsidR="00805DFF" w:rsidRPr="00746ACE">
        <w:t xml:space="preserve">); (iv) opera como criterio de interpretación de las normas </w:t>
      </w:r>
      <w:r w:rsidR="008E19FD" w:rsidRPr="00746ACE">
        <w:t>de implementación y (v) es vinculante en lo que tiene que ver con el desarrollo de principios del derecho internacional humanitario.</w:t>
      </w:r>
    </w:p>
    <w:p w14:paraId="1EABB25C" w14:textId="77777777" w:rsidR="005118CC" w:rsidRPr="00746ACE" w:rsidRDefault="005118CC" w:rsidP="004B5178">
      <w:pPr>
        <w:widowControl w:val="0"/>
      </w:pPr>
    </w:p>
    <w:p w14:paraId="57BE8864" w14:textId="40262620" w:rsidR="008E19FD" w:rsidRPr="00746ACE" w:rsidRDefault="008E19FD">
      <w:pPr>
        <w:pStyle w:val="Prrafodelista"/>
        <w:widowControl w:val="0"/>
        <w:numPr>
          <w:ilvl w:val="0"/>
          <w:numId w:val="7"/>
        </w:numPr>
      </w:pPr>
      <w:r w:rsidRPr="00746ACE">
        <w:t xml:space="preserve">Estas premisas serán relevantes al momento de realizar el estudio de fondo, </w:t>
      </w:r>
      <w:r w:rsidR="00DE5A0A" w:rsidRPr="00746ACE">
        <w:t>pues algunos cargos cuestionan el cumplimiento del acuerdo.</w:t>
      </w:r>
    </w:p>
    <w:p w14:paraId="5999BF40" w14:textId="77777777" w:rsidR="00DE5A0A" w:rsidRPr="00746ACE" w:rsidRDefault="00DE5A0A" w:rsidP="004B5178">
      <w:pPr>
        <w:widowControl w:val="0"/>
      </w:pPr>
    </w:p>
    <w:p w14:paraId="20DD01C6" w14:textId="4EDE42C2" w:rsidR="00DE5A0A" w:rsidRPr="00746ACE" w:rsidRDefault="00DE5A0A" w:rsidP="00FC0DFB">
      <w:pPr>
        <w:pStyle w:val="Prrafodelista"/>
        <w:widowControl w:val="0"/>
        <w:numPr>
          <w:ilvl w:val="0"/>
          <w:numId w:val="7"/>
        </w:numPr>
      </w:pPr>
      <w:r w:rsidRPr="00746ACE">
        <w:t xml:space="preserve">El punto </w:t>
      </w:r>
      <w:r w:rsidR="00CA7DCF" w:rsidRPr="00746ACE">
        <w:t>5 del Acuerdo Final de Paz, sobre las víctimas, incluyó la creación de un</w:t>
      </w:r>
      <w:r w:rsidR="00B35F36" w:rsidRPr="00746ACE">
        <w:t>a jurisdicción especial para la paz, promesa que se materializó más tarde a través de normas constitucionales y estatutarias. Las partes negociadoras, en otros términos, comprendiendo la complejidad de lo pactado,</w:t>
      </w:r>
      <w:r w:rsidR="00F84AE9" w:rsidRPr="00746ACE">
        <w:t xml:space="preserve"> consideraron necesaria la garantía de </w:t>
      </w:r>
      <w:r w:rsidR="009D2E41" w:rsidRPr="00746ACE">
        <w:t xml:space="preserve">contar con </w:t>
      </w:r>
      <w:r w:rsidR="00F84AE9" w:rsidRPr="00746ACE">
        <w:t>jueces y órganos de justicia capaces de interpretar y aplicar las normas de implementación, manteniendo en el ejercicio de sus funciones la pretensión de cumplir lo pactado.</w:t>
      </w:r>
      <w:r w:rsidR="00742777" w:rsidRPr="00746ACE">
        <w:t xml:space="preserve"> </w:t>
      </w:r>
    </w:p>
    <w:p w14:paraId="7879F471" w14:textId="77777777" w:rsidR="00DA14B4" w:rsidRPr="00746ACE" w:rsidRDefault="00DA14B4" w:rsidP="00FC0DFB">
      <w:pPr>
        <w:pStyle w:val="Prrafodelista"/>
        <w:widowControl w:val="0"/>
      </w:pPr>
    </w:p>
    <w:p w14:paraId="302DECF5" w14:textId="77777777" w:rsidR="00CF047E" w:rsidRPr="00746ACE" w:rsidRDefault="00872A42" w:rsidP="00FC0DFB">
      <w:pPr>
        <w:pStyle w:val="Prrafodelista"/>
        <w:widowControl w:val="0"/>
        <w:numPr>
          <w:ilvl w:val="0"/>
          <w:numId w:val="7"/>
        </w:numPr>
      </w:pPr>
      <w:r w:rsidRPr="00746ACE">
        <w:t>E</w:t>
      </w:r>
      <w:r w:rsidR="00F05A72" w:rsidRPr="00746ACE">
        <w:t xml:space="preserve">l Acto Legislativo 01 de 2017, </w:t>
      </w:r>
      <w:r w:rsidR="003967A4" w:rsidRPr="00746ACE">
        <w:t xml:space="preserve">por el cual se </w:t>
      </w:r>
      <w:r w:rsidR="00F05A72" w:rsidRPr="00746ACE">
        <w:t xml:space="preserve">crea el Sistema Integral de Paz y lo incorpora a la Constitución Política, </w:t>
      </w:r>
      <w:r w:rsidR="00CF047E" w:rsidRPr="00746ACE">
        <w:t xml:space="preserve">establece las líneas generales del sistema de justicia mencionado y crea </w:t>
      </w:r>
      <w:r w:rsidR="00F05A72" w:rsidRPr="00746ACE">
        <w:t>la J</w:t>
      </w:r>
      <w:r w:rsidR="00CF047E" w:rsidRPr="00746ACE">
        <w:t xml:space="preserve">urisdicción </w:t>
      </w:r>
      <w:r w:rsidR="00F05A72" w:rsidRPr="00746ACE">
        <w:t>E</w:t>
      </w:r>
      <w:r w:rsidR="00CF047E" w:rsidRPr="00746ACE">
        <w:t xml:space="preserve">special para la </w:t>
      </w:r>
      <w:r w:rsidR="00F05A72" w:rsidRPr="00746ACE">
        <w:t>P</w:t>
      </w:r>
      <w:r w:rsidR="00CF047E" w:rsidRPr="00746ACE">
        <w:t>az, a la que define como “</w:t>
      </w:r>
      <w:r w:rsidR="00F05A72" w:rsidRPr="00746ACE">
        <w:rPr>
          <w:i/>
        </w:rPr>
        <w:t>componente de justicia</w:t>
      </w:r>
      <w:r w:rsidR="00CF047E" w:rsidRPr="00746ACE">
        <w:rPr>
          <w:i/>
        </w:rPr>
        <w:t>”</w:t>
      </w:r>
      <w:r w:rsidR="00F05A72" w:rsidRPr="00746ACE">
        <w:rPr>
          <w:i/>
        </w:rPr>
        <w:t xml:space="preserve"> </w:t>
      </w:r>
      <w:r w:rsidR="00F05A72" w:rsidRPr="00746ACE">
        <w:t xml:space="preserve">del sistema. </w:t>
      </w:r>
    </w:p>
    <w:p w14:paraId="6CE833AA" w14:textId="77777777" w:rsidR="00CF047E" w:rsidRPr="00746ACE" w:rsidRDefault="00CF047E" w:rsidP="004B5178">
      <w:pPr>
        <w:widowControl w:val="0"/>
      </w:pPr>
    </w:p>
    <w:p w14:paraId="1AB9453B" w14:textId="57203438" w:rsidR="0088180F" w:rsidRPr="00746ACE" w:rsidRDefault="00F05A72" w:rsidP="0088180F">
      <w:pPr>
        <w:pStyle w:val="Prrafodelista"/>
        <w:widowControl w:val="0"/>
        <w:numPr>
          <w:ilvl w:val="0"/>
          <w:numId w:val="7"/>
        </w:numPr>
      </w:pPr>
      <w:r w:rsidRPr="00746ACE">
        <w:t xml:space="preserve">De acuerdo con el artículo </w:t>
      </w:r>
      <w:r w:rsidR="0084756F" w:rsidRPr="00746ACE">
        <w:t xml:space="preserve">1 </w:t>
      </w:r>
      <w:r w:rsidRPr="00746ACE">
        <w:t xml:space="preserve">transitorio del citado acto legislativo, se trata de una jurisdicción que conjuga los paradigmas de justicia retributiva </w:t>
      </w:r>
      <w:r w:rsidR="007464EC" w:rsidRPr="00746ACE">
        <w:t>y</w:t>
      </w:r>
      <w:r w:rsidRPr="00746ACE">
        <w:t xml:space="preserve"> justicia restaurativa. Esta característica se proyecta en todos los procesos de la JEP, aunque adquiere especial protagonismo en los trámites de reconocimiento de verdad y responsabilidad.</w:t>
      </w:r>
    </w:p>
    <w:p w14:paraId="5FA8768F" w14:textId="77777777" w:rsidR="0088180F" w:rsidRPr="00746ACE" w:rsidRDefault="0088180F" w:rsidP="004B5178">
      <w:pPr>
        <w:pStyle w:val="Prrafodelista"/>
        <w:widowControl w:val="0"/>
        <w:ind w:left="0"/>
      </w:pPr>
    </w:p>
    <w:p w14:paraId="5512E86D" w14:textId="4CCDED9A" w:rsidR="00F05A72" w:rsidRPr="00746ACE" w:rsidRDefault="007464EC" w:rsidP="00FC0DFB">
      <w:pPr>
        <w:pStyle w:val="Prrafodelista"/>
        <w:widowControl w:val="0"/>
        <w:numPr>
          <w:ilvl w:val="0"/>
          <w:numId w:val="7"/>
        </w:numPr>
      </w:pPr>
      <w:r w:rsidRPr="00746ACE">
        <w:t xml:space="preserve">El paradigma de justicia restaurativa es </w:t>
      </w:r>
      <w:r w:rsidR="00BB6D0B" w:rsidRPr="00746ACE">
        <w:t>la</w:t>
      </w:r>
      <w:r w:rsidRPr="00746ACE">
        <w:t xml:space="preserve"> inspiración esencial de </w:t>
      </w:r>
      <w:r w:rsidR="006E1DDB" w:rsidRPr="00746ACE">
        <w:t xml:space="preserve">muchas </w:t>
      </w:r>
      <w:r w:rsidRPr="00746ACE">
        <w:t xml:space="preserve">características del sistema </w:t>
      </w:r>
      <w:r w:rsidR="006E1DDB" w:rsidRPr="00746ACE">
        <w:t xml:space="preserve">que se proyectan en la </w:t>
      </w:r>
      <w:r w:rsidR="00F05A72" w:rsidRPr="00746ACE">
        <w:t>garant</w:t>
      </w:r>
      <w:r w:rsidR="006E1DDB" w:rsidRPr="00746ACE">
        <w:t>ía de</w:t>
      </w:r>
      <w:r w:rsidR="00F05A72" w:rsidRPr="00746ACE">
        <w:t xml:space="preserve"> la participación, la reparación y </w:t>
      </w:r>
      <w:r w:rsidR="006E1DDB" w:rsidRPr="00746ACE">
        <w:t xml:space="preserve">el </w:t>
      </w:r>
      <w:r w:rsidR="00F05A72" w:rsidRPr="00746ACE">
        <w:t xml:space="preserve">trato digno a las víctimas; </w:t>
      </w:r>
      <w:r w:rsidR="00305FEB" w:rsidRPr="00746ACE">
        <w:t xml:space="preserve">así como </w:t>
      </w:r>
      <w:r w:rsidR="006E1DDB" w:rsidRPr="00746ACE">
        <w:t xml:space="preserve">en </w:t>
      </w:r>
      <w:r w:rsidR="00F05A72" w:rsidRPr="00746ACE">
        <w:t xml:space="preserve">propiciar las condiciones para el reconocimiento de responsabilidad de los comparecientes </w:t>
      </w:r>
      <w:r w:rsidR="00165535" w:rsidRPr="00746ACE">
        <w:t>mientras</w:t>
      </w:r>
      <w:r w:rsidR="00F05A72" w:rsidRPr="00746ACE">
        <w:t xml:space="preserve"> avan</w:t>
      </w:r>
      <w:r w:rsidR="00165535" w:rsidRPr="00746ACE">
        <w:t>zan</w:t>
      </w:r>
      <w:r w:rsidR="00F05A72" w:rsidRPr="00746ACE">
        <w:t xml:space="preserve"> en su reintegración a la sociedad.</w:t>
      </w:r>
      <w:r w:rsidR="00742777" w:rsidRPr="00746ACE">
        <w:t xml:space="preserve"> </w:t>
      </w:r>
      <w:r w:rsidRPr="00746ACE">
        <w:t xml:space="preserve">Además, según </w:t>
      </w:r>
      <w:r w:rsidR="00F05A72" w:rsidRPr="00746ACE">
        <w:t>el artículo 4º de la Ley estatutaria de administración de Justicia en la JEP (Ley 1957 de 2018</w:t>
      </w:r>
      <w:r w:rsidR="00765C47" w:rsidRPr="00746ACE">
        <w:t xml:space="preserve"> o LEJEP</w:t>
      </w:r>
      <w:r w:rsidR="00F05A72" w:rsidRPr="00746ACE">
        <w:t xml:space="preserve">), la jurisdicción persigue aplicar una justicia prospectiva o, en otros términos, propiciar la transformación de las condiciones que, en su momento, condujeron a la dilación y degradación del conflicto entre el Estado colombiano y la entonces guerrilla de las FARC. </w:t>
      </w:r>
    </w:p>
    <w:p w14:paraId="516B6ED2" w14:textId="77777777" w:rsidR="00F05A72" w:rsidRPr="00746ACE" w:rsidRDefault="00F05A72" w:rsidP="004B5178">
      <w:pPr>
        <w:widowControl w:val="0"/>
      </w:pPr>
    </w:p>
    <w:p w14:paraId="5AF81318" w14:textId="1CF0F2BC" w:rsidR="00C1479F" w:rsidRPr="00746ACE" w:rsidRDefault="00C1479F" w:rsidP="00FC0DFB">
      <w:pPr>
        <w:pStyle w:val="Prrafodelista"/>
        <w:widowControl w:val="0"/>
        <w:numPr>
          <w:ilvl w:val="0"/>
          <w:numId w:val="7"/>
        </w:numPr>
      </w:pPr>
      <w:r w:rsidRPr="00746ACE">
        <w:t>De acuerdo con las Sentencias C-080 de 2019 y C-538 de 20</w:t>
      </w:r>
      <w:r w:rsidR="00DA4B48" w:rsidRPr="00746ACE">
        <w:t>19</w:t>
      </w:r>
      <w:r w:rsidRPr="00746ACE">
        <w:t>, la justicia restaurativa hace énfasis en la reparación de las víctimas, la reintegración de los victimarios (en la JEP, comparecientes) y la reconstrucción o transformación de las relaciones sociales</w:t>
      </w:r>
      <w:r w:rsidR="008B640F" w:rsidRPr="00746ACE">
        <w:t xml:space="preserve">. Por esa vía, </w:t>
      </w:r>
      <w:r w:rsidRPr="00746ACE">
        <w:t>se preocupa más por el daño que por la violación de la norma, busca maximizar la participación de todos los actores involucrados en el conflicto con el fin de lograr un diálogo equilibrado, y abre espacio a una diversidad de medidas para la satisfacción de derechos</w:t>
      </w:r>
      <w:r w:rsidR="007464EC" w:rsidRPr="00746ACE">
        <w:rPr>
          <w:rStyle w:val="Refdenotaalpie"/>
        </w:rPr>
        <w:footnoteReference w:id="51"/>
      </w:r>
      <w:r w:rsidR="007D5BC7" w:rsidRPr="00746ACE">
        <w:t xml:space="preserve"> y la reparación de los daños</w:t>
      </w:r>
      <w:r w:rsidRPr="00746ACE">
        <w:t>.</w:t>
      </w:r>
    </w:p>
    <w:p w14:paraId="5D517262" w14:textId="77777777" w:rsidR="00F05A72" w:rsidRPr="00746ACE" w:rsidRDefault="00F05A72" w:rsidP="00FC0DFB">
      <w:pPr>
        <w:widowControl w:val="0"/>
      </w:pPr>
    </w:p>
    <w:p w14:paraId="36D3D308" w14:textId="0344D6A1" w:rsidR="00C1467F" w:rsidRPr="00746ACE" w:rsidRDefault="00F05A72" w:rsidP="00FC0DFB">
      <w:pPr>
        <w:pStyle w:val="Prrafodelista"/>
        <w:widowControl w:val="0"/>
        <w:numPr>
          <w:ilvl w:val="0"/>
          <w:numId w:val="7"/>
        </w:numPr>
      </w:pPr>
      <w:r w:rsidRPr="00746ACE">
        <w:t>La justicia restaurativa se encuentra también en la naturaleza dialógica de los procesos que desarrolla la JEP, de acuerdo con el artículo 1º de la Ley 1922 de 2018, que define los procedimientos de la jurisdicción. El principio dialógico aparece acá como alternativa al principio adversarial</w:t>
      </w:r>
      <w:r w:rsidR="00C1467F" w:rsidRPr="00746ACE">
        <w:t>. En el contexto de la justicia restaurativa, el énfasis en el diálogo y la participación tiene la pretensión de que los procesos judiciales se acerquen más a la voz de los directos afectados por un conflicto y, en ciertos momentos del procedimiento, propenden por la generación de confianza entre víctimas, comparecientes, comunidades y jueces. En caso de cumplirse estas metas,</w:t>
      </w:r>
      <w:r w:rsidR="006804AD" w:rsidRPr="00746ACE">
        <w:t xml:space="preserve"> los principios de participación y diálogo </w:t>
      </w:r>
      <w:r w:rsidR="00C1467F" w:rsidRPr="00746ACE">
        <w:t xml:space="preserve">serán </w:t>
      </w:r>
      <w:r w:rsidR="006804AD" w:rsidRPr="00746ACE">
        <w:t>adecuados p</w:t>
      </w:r>
      <w:r w:rsidR="00C1467F" w:rsidRPr="00746ACE">
        <w:t>ara la construcción de un mensaje de rechazo a la violencia y para la comprensión de las condiciones que permitieron el surgimiento del conflicto.</w:t>
      </w:r>
    </w:p>
    <w:p w14:paraId="3C351A85" w14:textId="77777777" w:rsidR="00E67AA9" w:rsidRPr="00746ACE" w:rsidRDefault="00E67AA9" w:rsidP="00FC0DFB">
      <w:pPr>
        <w:pStyle w:val="Prrafodelista"/>
        <w:widowControl w:val="0"/>
        <w:ind w:left="0"/>
      </w:pPr>
    </w:p>
    <w:p w14:paraId="41BFB974" w14:textId="39E6CDC2" w:rsidR="00F05A72" w:rsidRPr="00746ACE" w:rsidRDefault="00F05A72" w:rsidP="00FC0DFB">
      <w:pPr>
        <w:pStyle w:val="Prrafodelista"/>
        <w:widowControl w:val="0"/>
        <w:numPr>
          <w:ilvl w:val="0"/>
          <w:numId w:val="7"/>
        </w:numPr>
      </w:pPr>
      <w:r w:rsidRPr="00746ACE">
        <w:t>El procedimiento dialógico de la JEP incluye algunas figuras procedimentales novedosas, como las audiencias de construcción dialógica de la verdad</w:t>
      </w:r>
      <w:r w:rsidR="0084486B" w:rsidRPr="00746ACE">
        <w:t xml:space="preserve">, así como </w:t>
      </w:r>
      <w:r w:rsidR="008C22B5" w:rsidRPr="00746ACE">
        <w:t xml:space="preserve">premisa de que </w:t>
      </w:r>
      <w:r w:rsidRPr="00746ACE">
        <w:t xml:space="preserve">la verdad debe </w:t>
      </w:r>
      <w:r w:rsidR="008C22B5" w:rsidRPr="00746ACE">
        <w:t xml:space="preserve">construirse </w:t>
      </w:r>
      <w:r w:rsidRPr="00746ACE">
        <w:t xml:space="preserve">a partir </w:t>
      </w:r>
      <w:r w:rsidR="008C22B5" w:rsidRPr="00746ACE">
        <w:t>de escuchar y contrastar</w:t>
      </w:r>
      <w:r w:rsidRPr="00746ACE">
        <w:t xml:space="preserve"> las narrativas de quienes participaron en el conflicto </w:t>
      </w:r>
      <w:r w:rsidR="008C22B5" w:rsidRPr="00746ACE">
        <w:t>armado</w:t>
      </w:r>
      <w:r w:rsidRPr="00746ACE">
        <w:t xml:space="preserve">, </w:t>
      </w:r>
      <w:r w:rsidR="008C22B5" w:rsidRPr="00746ACE">
        <w:t xml:space="preserve">de </w:t>
      </w:r>
      <w:r w:rsidRPr="00746ACE">
        <w:t xml:space="preserve">quienes padecieron con mayor intensidad sus </w:t>
      </w:r>
      <w:r w:rsidR="008C22B5" w:rsidRPr="00746ACE">
        <w:t>efectos</w:t>
      </w:r>
      <w:r w:rsidRPr="00746ACE">
        <w:t xml:space="preserve"> y </w:t>
      </w:r>
      <w:r w:rsidR="008C22B5" w:rsidRPr="00746ACE">
        <w:t xml:space="preserve">del propio </w:t>
      </w:r>
      <w:r w:rsidRPr="00746ACE">
        <w:t>andamiaje estatal que, a</w:t>
      </w:r>
      <w:r w:rsidR="008C22B5" w:rsidRPr="00746ACE">
        <w:t xml:space="preserve">l tiempo </w:t>
      </w:r>
      <w:r w:rsidRPr="00746ACE">
        <w:t xml:space="preserve">que falló en la contención del conflicto desplegó esfuerzos significativos para el juzgamiento de los crímenes. </w:t>
      </w:r>
    </w:p>
    <w:p w14:paraId="733A606C" w14:textId="77777777" w:rsidR="00F05A72" w:rsidRPr="00746ACE" w:rsidRDefault="00F05A72" w:rsidP="006A2C55">
      <w:pPr>
        <w:widowControl w:val="0"/>
      </w:pPr>
    </w:p>
    <w:p w14:paraId="2191F271" w14:textId="5CD6893A" w:rsidR="00F05A72" w:rsidRPr="00746ACE" w:rsidRDefault="00F05A72" w:rsidP="00FC0DFB">
      <w:pPr>
        <w:pStyle w:val="Prrafodelista"/>
        <w:widowControl w:val="0"/>
        <w:numPr>
          <w:ilvl w:val="0"/>
          <w:numId w:val="7"/>
        </w:numPr>
      </w:pPr>
      <w:r w:rsidRPr="00746ACE">
        <w:t>La conjunción de los paradigmas retributivo y restaurativo, por otra parte, se materializa en la existencia de dos grandes rutas de juzgamiento. Una, de carácter dialógico y destinada al reconocimiento de verdad; y otra, que incluye un enfoque adversarial encaminado a desvirtuar la presunción de inocencia del compareciente que llega al sistema y no reconoce responsabilidad en los hechos objeto de investigación, juzgamiento y sanción. Esta última opera de manera similar al derecho penal ordinario, pero no idéntica: aún en la ruta adversarial existen espacios restaurativos y audiencias destinadas a un reconocimiento tardío por parte de los comparecientes.</w:t>
      </w:r>
    </w:p>
    <w:p w14:paraId="770E9F68" w14:textId="77777777" w:rsidR="00F05A72" w:rsidRPr="00746ACE" w:rsidRDefault="00F05A72" w:rsidP="006619FE">
      <w:pPr>
        <w:widowControl w:val="0"/>
      </w:pPr>
    </w:p>
    <w:p w14:paraId="07064821" w14:textId="77777777" w:rsidR="00F05A72" w:rsidRPr="00746ACE" w:rsidRDefault="00F05A72" w:rsidP="00FC0DFB">
      <w:pPr>
        <w:pStyle w:val="Prrafodelista"/>
        <w:widowControl w:val="0"/>
        <w:numPr>
          <w:ilvl w:val="0"/>
          <w:numId w:val="7"/>
        </w:numPr>
      </w:pPr>
      <w:r w:rsidRPr="00746ACE">
        <w:t>La existencia de una jurisdicción transicional que conjuga estos paradigmas se observa con especial claridad en el marco de las sanciones que aplica. Así, la JEP cuenta con un sistema de sanciones propias, alternativas y ordinarias.</w:t>
      </w:r>
    </w:p>
    <w:p w14:paraId="1709CA52" w14:textId="77777777" w:rsidR="00F05A72" w:rsidRPr="00746ACE" w:rsidRDefault="00F05A72" w:rsidP="006619FE">
      <w:pPr>
        <w:widowControl w:val="0"/>
      </w:pPr>
    </w:p>
    <w:p w14:paraId="6DA36555" w14:textId="35415CE9" w:rsidR="00F05A72" w:rsidRPr="00746ACE" w:rsidRDefault="00F05A72" w:rsidP="00FC0DFB">
      <w:pPr>
        <w:pStyle w:val="Prrafodelista"/>
        <w:widowControl w:val="0"/>
        <w:numPr>
          <w:ilvl w:val="0"/>
          <w:numId w:val="7"/>
        </w:numPr>
      </w:pPr>
      <w:r w:rsidRPr="00746ACE">
        <w:t xml:space="preserve">De acuerdo con las normas constitucionales de implementación del Acuerdo Final de Paz, la Ley estatutaria de administración de justicia en la JEP y la jurisprudencia de este tribunal, las </w:t>
      </w:r>
      <w:r w:rsidRPr="00746ACE">
        <w:rPr>
          <w:b/>
        </w:rPr>
        <w:t>sanciones propias</w:t>
      </w:r>
      <w:r w:rsidRPr="00746ACE">
        <w:t xml:space="preserve"> tienen una duración de 5 a 8 años, y las finalidades de garantizar la estabilidad del proceso y satisfacer los derechos de las víctimas</w:t>
      </w:r>
      <w:r w:rsidR="00C1467F" w:rsidRPr="00746ACE">
        <w:t xml:space="preserve">; las </w:t>
      </w:r>
      <w:r w:rsidRPr="00746ACE">
        <w:rPr>
          <w:b/>
        </w:rPr>
        <w:t>sanciones alternativas</w:t>
      </w:r>
      <w:r w:rsidRPr="00746ACE">
        <w:t xml:space="preserve">, aunque comparten las funciones retributiva, preventiva y resocializadora de las del derecho ordinario incluyen una rebaja muy significativa de la </w:t>
      </w:r>
      <w:r w:rsidR="00833383" w:rsidRPr="00746ACE">
        <w:t xml:space="preserve">sanción </w:t>
      </w:r>
      <w:r w:rsidRPr="00746ACE">
        <w:t>en caso de reconocimiento tardío</w:t>
      </w:r>
      <w:r w:rsidR="00C1467F" w:rsidRPr="00746ACE">
        <w:t>, con pena</w:t>
      </w:r>
      <w:r w:rsidR="00833383" w:rsidRPr="00746ACE">
        <w:t>s</w:t>
      </w:r>
      <w:r w:rsidR="00C1467F" w:rsidRPr="00746ACE">
        <w:t xml:space="preserve"> privativa</w:t>
      </w:r>
      <w:r w:rsidR="00833383" w:rsidRPr="00746ACE">
        <w:t>s</w:t>
      </w:r>
      <w:r w:rsidR="00C1467F" w:rsidRPr="00746ACE">
        <w:t xml:space="preserve"> de la libertad de 8 a 12 años</w:t>
      </w:r>
      <w:r w:rsidRPr="00746ACE">
        <w:t xml:space="preserve">; y las </w:t>
      </w:r>
      <w:r w:rsidRPr="00746ACE">
        <w:rPr>
          <w:b/>
        </w:rPr>
        <w:t>sanciones ordinarias</w:t>
      </w:r>
      <w:r w:rsidR="00C1467F" w:rsidRPr="00746ACE">
        <w:t xml:space="preserve"> </w:t>
      </w:r>
      <w:r w:rsidRPr="00746ACE">
        <w:t>operan desde la lógica del derecho penal ordinario</w:t>
      </w:r>
      <w:r w:rsidR="00C1467F" w:rsidRPr="00746ACE">
        <w:t xml:space="preserve">, con privación de la libertad de 15 </w:t>
      </w:r>
      <w:r w:rsidRPr="00746ACE">
        <w:t xml:space="preserve">a 20 años. </w:t>
      </w:r>
    </w:p>
    <w:p w14:paraId="30735AE7" w14:textId="77777777" w:rsidR="00F05A72" w:rsidRPr="00746ACE" w:rsidRDefault="00F05A72" w:rsidP="00FC0DFB">
      <w:pPr>
        <w:pStyle w:val="Prrafodelista"/>
        <w:widowControl w:val="0"/>
      </w:pPr>
    </w:p>
    <w:p w14:paraId="54730E7B" w14:textId="7D471815" w:rsidR="00F05A72" w:rsidRPr="00746ACE" w:rsidRDefault="00F05A72" w:rsidP="00FC0DFB">
      <w:pPr>
        <w:pStyle w:val="Prrafodelista"/>
        <w:widowControl w:val="0"/>
        <w:numPr>
          <w:ilvl w:val="0"/>
          <w:numId w:val="7"/>
        </w:numPr>
      </w:pPr>
      <w:r w:rsidRPr="00746ACE">
        <w:t>Las sanciones propias se deben cumplir mediante dos condiciones</w:t>
      </w:r>
      <w:r w:rsidR="008C22B5" w:rsidRPr="00746ACE">
        <w:t>: (i) un</w:t>
      </w:r>
      <w:r w:rsidRPr="00746ACE">
        <w:t xml:space="preserve"> componente de restricción de libertad que no incluye la privación de la libertad en prisión; y </w:t>
      </w:r>
      <w:r w:rsidR="008C22B5" w:rsidRPr="00746ACE">
        <w:t xml:space="preserve">(ii) </w:t>
      </w:r>
      <w:r w:rsidRPr="00746ACE">
        <w:t>un componente reparador o restaurador que se traduce en la realización de trabajos, obras y actividades que tengan valor para reparar a las víctimas o transformar la sociedad</w:t>
      </w:r>
      <w:r w:rsidR="00A017AD" w:rsidRPr="00746ACE">
        <w:t>, conocidos como TOAR e</w:t>
      </w:r>
      <w:r w:rsidR="002E4456" w:rsidRPr="00746ACE">
        <w:t>n el argot de la JEP</w:t>
      </w:r>
      <w:r w:rsidR="007464EC" w:rsidRPr="00746ACE">
        <w:rPr>
          <w:rStyle w:val="Refdenotaalpie"/>
        </w:rPr>
        <w:footnoteReference w:id="52"/>
      </w:r>
      <w:r w:rsidRPr="00746ACE">
        <w:t xml:space="preserve">. </w:t>
      </w:r>
    </w:p>
    <w:p w14:paraId="5CFF7839" w14:textId="77777777" w:rsidR="00F05A72" w:rsidRPr="00746ACE" w:rsidRDefault="00F05A72" w:rsidP="00FC0DFB">
      <w:pPr>
        <w:pStyle w:val="Prrafodelista"/>
        <w:widowControl w:val="0"/>
      </w:pPr>
    </w:p>
    <w:p w14:paraId="4FB3FFFE" w14:textId="7E7A5FCC" w:rsidR="00F05A72" w:rsidRPr="00746ACE" w:rsidRDefault="00315324" w:rsidP="00C1467F">
      <w:pPr>
        <w:pStyle w:val="Prrafodelista"/>
        <w:widowControl w:val="0"/>
        <w:numPr>
          <w:ilvl w:val="0"/>
          <w:numId w:val="7"/>
        </w:numPr>
      </w:pPr>
      <w:r w:rsidRPr="00746ACE">
        <w:t xml:space="preserve">Los elementos discutidos hasta acá permiten afirmar que </w:t>
      </w:r>
      <w:r w:rsidR="005E0975" w:rsidRPr="00746ACE">
        <w:t>e</w:t>
      </w:r>
      <w:r w:rsidR="00F05A72" w:rsidRPr="00746ACE">
        <w:t>n la justicia restaurativa los directos afectados por el conflicto, en este caso las víctimas, los comparecientes y la comunidad (bien sea local o nacional) discuten sobre las causas del conflicto, las vías de reparación, la posibilidad de eliminar las etiquetas y los estigmas, y el reconocimiento de la responsabilidad. En contraste, en la justicia retributiva, el estado, a través del Congreso define los delitos sin considerar las circunstancias de los seres humanos inmersos en el conflicto</w:t>
      </w:r>
      <w:r w:rsidR="003A77B1" w:rsidRPr="00746ACE">
        <w:t>.</w:t>
      </w:r>
      <w:r w:rsidR="00C1467F" w:rsidRPr="00746ACE">
        <w:t xml:space="preserve"> Esto implica que, mientras en la justicia ordinaria las medidas de reparación son decididas por los jueces, entendidos como terceros al conflicto; en la justicia restaurativa es posible definirlas en el diálogo entre víctimas y comparecientes, con orientación de un mediador experto o, en el caso de la JEP, con la intervención directa del juez especializado</w:t>
      </w:r>
      <w:r w:rsidR="007464EC" w:rsidRPr="00746ACE">
        <w:rPr>
          <w:rStyle w:val="Refdenotaalpie"/>
        </w:rPr>
        <w:footnoteReference w:id="53"/>
      </w:r>
      <w:r w:rsidR="00F05A72" w:rsidRPr="00746ACE">
        <w:t>.</w:t>
      </w:r>
    </w:p>
    <w:p w14:paraId="47709295" w14:textId="77777777" w:rsidR="00F05A72" w:rsidRPr="00746ACE" w:rsidRDefault="00F05A72" w:rsidP="000568CB">
      <w:pPr>
        <w:widowControl w:val="0"/>
      </w:pPr>
    </w:p>
    <w:p w14:paraId="44B439C4" w14:textId="77777777" w:rsidR="00F05A72" w:rsidRPr="00746ACE" w:rsidRDefault="00F05A72" w:rsidP="00FC0DFB">
      <w:pPr>
        <w:pStyle w:val="Prrafodelista"/>
        <w:widowControl w:val="0"/>
        <w:numPr>
          <w:ilvl w:val="0"/>
          <w:numId w:val="7"/>
        </w:numPr>
      </w:pPr>
      <w:r w:rsidRPr="00746ACE">
        <w:t xml:space="preserve">Cada paradigma ha surgido por razones distintas. La justicia penal retributiva, desde la aspiración de lograr un equilibrio social frente al delito, una compensación que evite la justicia por mano propia; y la justicia penal restaurativa desde una nueva comprensión del conflicto, que puede ser gestionada por los ciudadanos, que considera su contexto y en la que prima la reparación, la responsabilización, la reintegración y la transformación social antes que el castigo. </w:t>
      </w:r>
    </w:p>
    <w:p w14:paraId="5118F3A9" w14:textId="77777777" w:rsidR="00F05A72" w:rsidRPr="00746ACE" w:rsidRDefault="00F05A72" w:rsidP="00831D28">
      <w:pPr>
        <w:widowControl w:val="0"/>
      </w:pPr>
    </w:p>
    <w:p w14:paraId="454883F8" w14:textId="3A869D94" w:rsidR="00F05A72" w:rsidRPr="00746ACE" w:rsidRDefault="00F05A72" w:rsidP="00FC0DFB">
      <w:pPr>
        <w:pStyle w:val="Prrafodelista"/>
        <w:widowControl w:val="0"/>
        <w:numPr>
          <w:ilvl w:val="0"/>
          <w:numId w:val="7"/>
        </w:numPr>
      </w:pPr>
      <w:r w:rsidRPr="00746ACE">
        <w:t xml:space="preserve">La JEP ha señalado, en su Senit 1, que los procesos y procedimientos que adelanta la jurisdicción son, o deben ser, en sí mismos restaurativos. Para la Sala Plena de la Corte, estas premisas </w:t>
      </w:r>
      <w:r w:rsidR="003A77B1" w:rsidRPr="00746ACE">
        <w:t>resultan especialmente</w:t>
      </w:r>
      <w:r w:rsidRPr="00746ACE">
        <w:t xml:space="preserve"> relevantes al analizar</w:t>
      </w:r>
      <w:r w:rsidR="003A77B1" w:rsidRPr="00746ACE">
        <w:t>, a</w:t>
      </w:r>
      <w:r w:rsidRPr="00746ACE">
        <w:t xml:space="preserve"> la luz de la Constitución Política</w:t>
      </w:r>
      <w:r w:rsidR="003A77B1" w:rsidRPr="00746ACE">
        <w:t>,</w:t>
      </w:r>
      <w:r w:rsidRPr="00746ACE">
        <w:t xml:space="preserve"> las subreglas </w:t>
      </w:r>
      <w:r w:rsidR="003A77B1" w:rsidRPr="00746ACE">
        <w:t>contenidas en</w:t>
      </w:r>
      <w:r w:rsidRPr="00746ACE">
        <w:t xml:space="preserve"> la Senit 5</w:t>
      </w:r>
      <w:r w:rsidR="003A77B1" w:rsidRPr="00746ACE">
        <w:t xml:space="preserve">. En efecto, </w:t>
      </w:r>
      <w:r w:rsidRPr="00746ACE">
        <w:t>la justicia transicional restaurativa cuenta con bases constitucionales</w:t>
      </w:r>
      <w:r w:rsidR="003A77B1" w:rsidRPr="00746ACE">
        <w:t xml:space="preserve"> que </w:t>
      </w:r>
      <w:r w:rsidRPr="00746ACE">
        <w:t>operan como rieles ineludibles para el actuar de una jurisdicción de paz</w:t>
      </w:r>
      <w:r w:rsidR="003A77B1" w:rsidRPr="00746ACE">
        <w:t xml:space="preserve"> y,</w:t>
      </w:r>
      <w:r w:rsidR="007464EC" w:rsidRPr="00746ACE">
        <w:t xml:space="preserve"> al </w:t>
      </w:r>
      <w:r w:rsidR="003A77B1" w:rsidRPr="00746ACE">
        <w:t xml:space="preserve">mismo </w:t>
      </w:r>
      <w:r w:rsidR="007464EC" w:rsidRPr="00746ACE">
        <w:t>tiempo</w:t>
      </w:r>
      <w:r w:rsidR="003A77B1" w:rsidRPr="00746ACE">
        <w:t>, como</w:t>
      </w:r>
      <w:r w:rsidR="007464EC" w:rsidRPr="00746ACE">
        <w:t xml:space="preserve"> principios </w:t>
      </w:r>
      <w:r w:rsidR="003A77B1" w:rsidRPr="00746ACE">
        <w:t>que</w:t>
      </w:r>
      <w:r w:rsidR="007464EC" w:rsidRPr="00746ACE">
        <w:t xml:space="preserve"> deben </w:t>
      </w:r>
      <w:r w:rsidR="003A77B1" w:rsidRPr="00746ACE">
        <w:t>orientar</w:t>
      </w:r>
      <w:r w:rsidR="007464EC" w:rsidRPr="00746ACE">
        <w:t xml:space="preserve"> el trabajo de este Tribunal</w:t>
      </w:r>
      <w:r w:rsidR="003A77B1" w:rsidRPr="00746ACE">
        <w:t>.</w:t>
      </w:r>
    </w:p>
    <w:p w14:paraId="5B2131CE" w14:textId="77777777" w:rsidR="003A77B1" w:rsidRPr="00746ACE" w:rsidRDefault="003A77B1" w:rsidP="006A2C55">
      <w:pPr>
        <w:widowControl w:val="0"/>
      </w:pPr>
    </w:p>
    <w:p w14:paraId="617677B3" w14:textId="51D6950D" w:rsidR="00E708D2" w:rsidRPr="00746ACE" w:rsidRDefault="00E708D2" w:rsidP="00FC0DFB">
      <w:pPr>
        <w:pStyle w:val="Prrafodelista"/>
        <w:widowControl w:val="0"/>
        <w:numPr>
          <w:ilvl w:val="0"/>
          <w:numId w:val="7"/>
        </w:numPr>
      </w:pPr>
      <w:r w:rsidRPr="00746ACE">
        <w:t xml:space="preserve">Las normas de implementación de la JEP consagran también el principio de legalidad y otras garantías del derecho penal clásico, como la defensa, la contradicción o la favorabilidad. La Corte Constitucional </w:t>
      </w:r>
      <w:r w:rsidR="00D03BA0" w:rsidRPr="00746ACE">
        <w:t xml:space="preserve">abordo el alcance de estos </w:t>
      </w:r>
      <w:r w:rsidRPr="00746ACE">
        <w:t>principios</w:t>
      </w:r>
      <w:r w:rsidR="00D03BA0" w:rsidRPr="00746ACE">
        <w:t xml:space="preserve"> en la JEP</w:t>
      </w:r>
      <w:r w:rsidRPr="00746ACE">
        <w:t xml:space="preserve">, en especial, en las sentencias C-007 de 2018 y C-080 de 2018. En el capítulo siguiente se hará referencia al contenido general del principio de legalidad y su alcance en la justicia transicional restaurativa que administra la JEP. </w:t>
      </w:r>
    </w:p>
    <w:p w14:paraId="796471CE" w14:textId="77777777" w:rsidR="00F05A72" w:rsidRPr="00746ACE" w:rsidRDefault="00F05A72" w:rsidP="00831D28">
      <w:pPr>
        <w:widowControl w:val="0"/>
      </w:pPr>
    </w:p>
    <w:p w14:paraId="4ECDA3EF" w14:textId="77777777" w:rsidR="00F05A72" w:rsidRPr="00746ACE" w:rsidRDefault="00F05A72" w:rsidP="00BA2223">
      <w:pPr>
        <w:pStyle w:val="Ttulo2"/>
        <w:rPr>
          <w:rFonts w:cs="Times New Roman"/>
          <w:lang w:eastAsia="es-ES"/>
        </w:rPr>
      </w:pPr>
      <w:bookmarkStart w:id="33" w:name="_Toc233384183"/>
      <w:r w:rsidRPr="00746ACE">
        <w:rPr>
          <w:rFonts w:eastAsia="Times New Roman" w:cs="Times New Roman"/>
        </w:rPr>
        <w:t>El</w:t>
      </w:r>
      <w:r w:rsidRPr="00746ACE">
        <w:rPr>
          <w:rFonts w:cs="Times New Roman"/>
          <w:lang w:eastAsia="es-ES"/>
        </w:rPr>
        <w:t xml:space="preserve"> principio de legalidad, generalidades, derecho penal y justicia transicional</w:t>
      </w:r>
      <w:bookmarkEnd w:id="33"/>
    </w:p>
    <w:p w14:paraId="4216E855" w14:textId="77777777" w:rsidR="00F05A72" w:rsidRPr="00746ACE" w:rsidRDefault="00F05A72" w:rsidP="00FC0DFB">
      <w:pPr>
        <w:pStyle w:val="Prrafodelista"/>
        <w:widowControl w:val="0"/>
        <w:ind w:left="0"/>
      </w:pPr>
    </w:p>
    <w:p w14:paraId="6FD0DC1F" w14:textId="7E218972" w:rsidR="00F037ED" w:rsidRPr="00746ACE" w:rsidRDefault="00F037ED" w:rsidP="00BA2223">
      <w:pPr>
        <w:pStyle w:val="Ttulo3"/>
        <w:keepNext w:val="0"/>
        <w:keepLines w:val="0"/>
        <w:widowControl w:val="0"/>
        <w:jc w:val="both"/>
        <w:rPr>
          <w:rFonts w:cs="Times New Roman"/>
          <w:color w:val="auto"/>
          <w:sz w:val="28"/>
          <w:szCs w:val="28"/>
          <w:lang w:val="es-ES"/>
        </w:rPr>
      </w:pPr>
      <w:bookmarkStart w:id="34" w:name="_Toc233384184"/>
      <w:r w:rsidRPr="00746ACE">
        <w:rPr>
          <w:rFonts w:cs="Times New Roman"/>
          <w:color w:val="auto"/>
          <w:sz w:val="28"/>
          <w:szCs w:val="28"/>
          <w:lang w:val="es-ES"/>
        </w:rPr>
        <w:t xml:space="preserve">El principio de legalidad </w:t>
      </w:r>
      <w:r w:rsidR="00E73FF9" w:rsidRPr="00746ACE">
        <w:rPr>
          <w:rFonts w:cs="Times New Roman"/>
          <w:color w:val="auto"/>
          <w:sz w:val="28"/>
          <w:szCs w:val="28"/>
          <w:lang w:val="es-ES"/>
        </w:rPr>
        <w:t>como interdicción de la arbitrariedad y fundamento del estado de derecho</w:t>
      </w:r>
      <w:bookmarkEnd w:id="34"/>
      <w:r w:rsidR="00E73FF9" w:rsidRPr="00746ACE">
        <w:rPr>
          <w:rFonts w:cs="Times New Roman"/>
          <w:color w:val="auto"/>
          <w:sz w:val="28"/>
          <w:szCs w:val="28"/>
          <w:lang w:val="es-ES"/>
        </w:rPr>
        <w:t xml:space="preserve"> </w:t>
      </w:r>
    </w:p>
    <w:p w14:paraId="0CB939C4" w14:textId="77777777" w:rsidR="00E73FF9" w:rsidRPr="00746ACE" w:rsidRDefault="00E73FF9" w:rsidP="00FC0DFB">
      <w:pPr>
        <w:widowControl w:val="0"/>
      </w:pPr>
    </w:p>
    <w:p w14:paraId="03DBDCEC" w14:textId="77777777" w:rsidR="00F05A72" w:rsidRPr="00746ACE" w:rsidRDefault="00F05A72" w:rsidP="00FC0DFB">
      <w:pPr>
        <w:pStyle w:val="Prrafodelista"/>
        <w:widowControl w:val="0"/>
        <w:numPr>
          <w:ilvl w:val="0"/>
          <w:numId w:val="7"/>
        </w:numPr>
      </w:pPr>
      <w:r w:rsidRPr="00746ACE">
        <w:rPr>
          <w:lang w:eastAsia="es-ES"/>
        </w:rPr>
        <w:t>El Estado de Derecho es una forma de organización política que se caracteriza porque la actuación de las autoridades está sometida a la ley, cuyo carácter general y abstracto opera como mecanismo para erradicar la arbitrariedad y hacer eficaz el principio de igualdad, en el sentido de que las normas sean aplicables para todos, sin distinción. En el Estado Constitucional de Derecho, además, las normas legales deben orientarse a cumplir fines valiosos para la comunidad y, en especial, favorecer la eficacia de los derechos fundamentales.</w:t>
      </w:r>
    </w:p>
    <w:p w14:paraId="24B70D9F" w14:textId="77777777" w:rsidR="00F05A72" w:rsidRPr="00746ACE" w:rsidRDefault="00F05A72" w:rsidP="00FC0DFB">
      <w:pPr>
        <w:pStyle w:val="Prrafodelista"/>
        <w:widowControl w:val="0"/>
        <w:ind w:left="0"/>
      </w:pPr>
    </w:p>
    <w:p w14:paraId="1D9255F8" w14:textId="212F1ABE" w:rsidR="00F05A72" w:rsidRPr="00746ACE" w:rsidRDefault="00F05A72" w:rsidP="00FC0DFB">
      <w:pPr>
        <w:pStyle w:val="Prrafodelista"/>
        <w:widowControl w:val="0"/>
        <w:numPr>
          <w:ilvl w:val="0"/>
          <w:numId w:val="7"/>
        </w:numPr>
      </w:pPr>
      <w:r w:rsidRPr="00746ACE">
        <w:rPr>
          <w:lang w:eastAsia="es-ES"/>
        </w:rPr>
        <w:t xml:space="preserve">El principio de legalidad </w:t>
      </w:r>
      <w:r w:rsidR="003A77B1" w:rsidRPr="00746ACE">
        <w:rPr>
          <w:lang w:eastAsia="es-ES"/>
        </w:rPr>
        <w:t xml:space="preserve">se deriva </w:t>
      </w:r>
      <w:r w:rsidRPr="00746ACE">
        <w:rPr>
          <w:lang w:eastAsia="es-ES"/>
        </w:rPr>
        <w:t>del principio democrático</w:t>
      </w:r>
      <w:r w:rsidR="00D03BA0" w:rsidRPr="00746ACE">
        <w:rPr>
          <w:lang w:eastAsia="es-ES"/>
        </w:rPr>
        <w:t xml:space="preserve"> (Preámbulo y artículo 1º de la CP)</w:t>
      </w:r>
      <w:r w:rsidRPr="00746ACE">
        <w:rPr>
          <w:lang w:eastAsia="es-ES"/>
        </w:rPr>
        <w:t xml:space="preserve">, </w:t>
      </w:r>
      <w:r w:rsidR="003A77B1" w:rsidRPr="00746ACE">
        <w:rPr>
          <w:lang w:eastAsia="es-ES"/>
        </w:rPr>
        <w:t>que se expre</w:t>
      </w:r>
      <w:r w:rsidR="006A2C55" w:rsidRPr="00746ACE">
        <w:rPr>
          <w:lang w:eastAsia="es-ES"/>
        </w:rPr>
        <w:t>s</w:t>
      </w:r>
      <w:r w:rsidR="003A77B1" w:rsidRPr="00746ACE">
        <w:rPr>
          <w:lang w:eastAsia="es-ES"/>
        </w:rPr>
        <w:t xml:space="preserve">a </w:t>
      </w:r>
      <w:r w:rsidRPr="00746ACE">
        <w:rPr>
          <w:lang w:eastAsia="es-ES"/>
        </w:rPr>
        <w:t xml:space="preserve">en la deliberación y en las decisiones de configuración normativa </w:t>
      </w:r>
      <w:r w:rsidR="003A77B1" w:rsidRPr="00746ACE">
        <w:rPr>
          <w:lang w:eastAsia="es-ES"/>
        </w:rPr>
        <w:t xml:space="preserve">adoptadas por </w:t>
      </w:r>
      <w:r w:rsidRPr="00746ACE">
        <w:rPr>
          <w:lang w:eastAsia="es-ES"/>
        </w:rPr>
        <w:t>el Congreso de la República</w:t>
      </w:r>
      <w:r w:rsidR="003A77B1" w:rsidRPr="00746ACE">
        <w:rPr>
          <w:lang w:eastAsia="es-ES"/>
        </w:rPr>
        <w:t xml:space="preserve">. Además, </w:t>
      </w:r>
      <w:r w:rsidRPr="00746ACE">
        <w:rPr>
          <w:lang w:eastAsia="es-ES"/>
        </w:rPr>
        <w:t xml:space="preserve">se integra al </w:t>
      </w:r>
      <w:r w:rsidR="003A77B1" w:rsidRPr="00746ACE">
        <w:rPr>
          <w:lang w:eastAsia="es-ES"/>
        </w:rPr>
        <w:t xml:space="preserve">derecho al </w:t>
      </w:r>
      <w:r w:rsidRPr="00746ACE">
        <w:rPr>
          <w:lang w:eastAsia="es-ES"/>
        </w:rPr>
        <w:t>debido proceso y a las formas propias de cada juicio</w:t>
      </w:r>
      <w:r w:rsidR="00207BC8" w:rsidRPr="00746ACE">
        <w:rPr>
          <w:lang w:eastAsia="es-ES"/>
        </w:rPr>
        <w:t xml:space="preserve"> (Art. 29, superior)</w:t>
      </w:r>
      <w:r w:rsidR="003A77B1" w:rsidRPr="00746ACE">
        <w:rPr>
          <w:lang w:eastAsia="es-ES"/>
        </w:rPr>
        <w:t>, y</w:t>
      </w:r>
      <w:r w:rsidRPr="00746ACE">
        <w:rPr>
          <w:lang w:eastAsia="es-ES"/>
        </w:rPr>
        <w:t xml:space="preserve"> </w:t>
      </w:r>
      <w:r w:rsidR="003A77B1" w:rsidRPr="00746ACE">
        <w:rPr>
          <w:lang w:eastAsia="es-ES"/>
        </w:rPr>
        <w:t xml:space="preserve">favorece </w:t>
      </w:r>
      <w:r w:rsidRPr="00746ACE">
        <w:rPr>
          <w:lang w:eastAsia="es-ES"/>
        </w:rPr>
        <w:t xml:space="preserve">la autonomía de todas las personas, pues la publicidad de la ley les permite </w:t>
      </w:r>
      <w:r w:rsidR="003A77B1" w:rsidRPr="00746ACE">
        <w:rPr>
          <w:lang w:eastAsia="es-ES"/>
        </w:rPr>
        <w:t xml:space="preserve">orientar su conducta dentro de los límites que el ordenamiento jurídico establece de manera expresa. </w:t>
      </w:r>
      <w:r w:rsidRPr="00746ACE">
        <w:rPr>
          <w:lang w:eastAsia="es-ES"/>
        </w:rPr>
        <w:t xml:space="preserve">En contraste, la cláusula general de competencia </w:t>
      </w:r>
      <w:r w:rsidR="003A77B1" w:rsidRPr="00746ACE">
        <w:rPr>
          <w:lang w:eastAsia="es-ES"/>
        </w:rPr>
        <w:t xml:space="preserve">dispone </w:t>
      </w:r>
      <w:r w:rsidRPr="00746ACE">
        <w:rPr>
          <w:lang w:eastAsia="es-ES"/>
        </w:rPr>
        <w:t xml:space="preserve">que las autoridades solo pueden ejercer sus funciones de conformidad con la </w:t>
      </w:r>
      <w:r w:rsidR="003A77B1" w:rsidRPr="00746ACE">
        <w:rPr>
          <w:lang w:eastAsia="es-ES"/>
        </w:rPr>
        <w:t xml:space="preserve">Constitución, la </w:t>
      </w:r>
      <w:r w:rsidRPr="00746ACE">
        <w:rPr>
          <w:lang w:eastAsia="es-ES"/>
        </w:rPr>
        <w:t>ley y las normas reglamentarias</w:t>
      </w:r>
      <w:r w:rsidR="005C653F" w:rsidRPr="00746ACE">
        <w:rPr>
          <w:lang w:eastAsia="es-ES"/>
        </w:rPr>
        <w:t xml:space="preserve"> (artículos 6 y 121 constitucionales)</w:t>
      </w:r>
      <w:r w:rsidRPr="00746ACE">
        <w:rPr>
          <w:lang w:eastAsia="es-ES"/>
        </w:rPr>
        <w:t xml:space="preserve">. </w:t>
      </w:r>
    </w:p>
    <w:p w14:paraId="61B06C3F" w14:textId="77777777" w:rsidR="003A77B1" w:rsidRPr="00746ACE" w:rsidRDefault="003A77B1" w:rsidP="006A2C55">
      <w:pPr>
        <w:pStyle w:val="Prrafodelista"/>
        <w:widowControl w:val="0"/>
        <w:ind w:left="0"/>
      </w:pPr>
    </w:p>
    <w:p w14:paraId="115CFA10" w14:textId="44444CBD" w:rsidR="00F05A72" w:rsidRPr="00746ACE" w:rsidRDefault="00F05A72" w:rsidP="00FC0DFB">
      <w:pPr>
        <w:pStyle w:val="Prrafodelista"/>
        <w:widowControl w:val="0"/>
        <w:numPr>
          <w:ilvl w:val="0"/>
          <w:numId w:val="7"/>
        </w:numPr>
      </w:pPr>
      <w:r w:rsidRPr="00746ACE">
        <w:rPr>
          <w:lang w:eastAsia="es-ES"/>
        </w:rPr>
        <w:t xml:space="preserve">Esta primera acepción del principio de legalidad, como sujeción a las normas, a la democracia y </w:t>
      </w:r>
      <w:r w:rsidR="003A77B1" w:rsidRPr="00746ACE">
        <w:rPr>
          <w:lang w:eastAsia="es-ES"/>
        </w:rPr>
        <w:t xml:space="preserve">a la </w:t>
      </w:r>
      <w:r w:rsidRPr="00746ACE">
        <w:rPr>
          <w:lang w:eastAsia="es-ES"/>
        </w:rPr>
        <w:t>exclusión de la arbitrariedad se desarrolla después en principios y reglas más específicos, en las distintas áreas del Derecho.</w:t>
      </w:r>
      <w:r w:rsidR="00742777" w:rsidRPr="00746ACE">
        <w:rPr>
          <w:lang w:eastAsia="es-ES"/>
        </w:rPr>
        <w:t xml:space="preserve"> </w:t>
      </w:r>
    </w:p>
    <w:p w14:paraId="36F1FF98" w14:textId="77777777" w:rsidR="00F05A72" w:rsidRPr="00746ACE" w:rsidRDefault="00F05A72" w:rsidP="00BA6AA9">
      <w:pPr>
        <w:widowControl w:val="0"/>
        <w:rPr>
          <w:lang w:eastAsia="es-ES"/>
        </w:rPr>
      </w:pPr>
    </w:p>
    <w:p w14:paraId="7CE74481" w14:textId="18DF5462" w:rsidR="00F05A72" w:rsidRPr="00746ACE" w:rsidRDefault="00F05A72" w:rsidP="00FC0DFB">
      <w:pPr>
        <w:pStyle w:val="Prrafodelista"/>
        <w:widowControl w:val="0"/>
        <w:numPr>
          <w:ilvl w:val="0"/>
          <w:numId w:val="7"/>
        </w:numPr>
      </w:pPr>
      <w:r w:rsidRPr="00746ACE">
        <w:rPr>
          <w:lang w:eastAsia="es-ES"/>
        </w:rPr>
        <w:t xml:space="preserve">En el </w:t>
      </w:r>
      <w:r w:rsidRPr="00746ACE">
        <w:rPr>
          <w:b/>
          <w:bCs/>
          <w:lang w:eastAsia="es-ES"/>
        </w:rPr>
        <w:t>derecho penal</w:t>
      </w:r>
      <w:r w:rsidRPr="00746ACE">
        <w:rPr>
          <w:lang w:eastAsia="es-ES"/>
        </w:rPr>
        <w:t>, el principio de legalidad establece que nadie será juzgado “sino conforme a leyes preexistentes al acto que le imputa, ante juez o tribunal competente y con observancia de la plenitud de las formas propias de cada juicio”</w:t>
      </w:r>
      <w:r w:rsidR="006A2C55" w:rsidRPr="00746ACE">
        <w:rPr>
          <w:rStyle w:val="Refdenotaalpie"/>
          <w:lang w:eastAsia="es-ES"/>
        </w:rPr>
        <w:footnoteReference w:id="54"/>
      </w:r>
      <w:r w:rsidRPr="00746ACE">
        <w:rPr>
          <w:lang w:eastAsia="es-ES"/>
        </w:rPr>
        <w:t xml:space="preserve">. Además, el principio de legalidad exige elegir, dentro de las interpretaciones posibles de la ley, la más favorable al acusado. La preexistencia de la ley, las reglas procedimentales y la autoridad que juzga son entonces principios del derecho penal de carácter constitucional. </w:t>
      </w:r>
    </w:p>
    <w:p w14:paraId="4F3C0458" w14:textId="77777777" w:rsidR="00F05A72" w:rsidRPr="00746ACE" w:rsidRDefault="00F05A72" w:rsidP="004B5178">
      <w:pPr>
        <w:widowControl w:val="0"/>
        <w:rPr>
          <w:lang w:eastAsia="es-ES"/>
        </w:rPr>
      </w:pPr>
    </w:p>
    <w:p w14:paraId="4C7F8AFF" w14:textId="69DB84EB" w:rsidR="00F05A72" w:rsidRPr="00746ACE" w:rsidRDefault="00F05A72" w:rsidP="00FC0DFB">
      <w:pPr>
        <w:pStyle w:val="Prrafodelista"/>
        <w:widowControl w:val="0"/>
        <w:numPr>
          <w:ilvl w:val="0"/>
          <w:numId w:val="7"/>
        </w:numPr>
      </w:pPr>
      <w:r w:rsidRPr="00746ACE">
        <w:rPr>
          <w:lang w:eastAsia="es-ES"/>
        </w:rPr>
        <w:t>Además, en lo que se refiere a las razones para el ejercicio del derecho penal, el papel del principio de legalidad se proyecta en dos dimensiones. Por una parte, la reserva de ley indica que es competencia exclusiva del legislador definir los supuestos que activan el uso del derecho penal</w:t>
      </w:r>
      <w:r w:rsidR="00FD7401" w:rsidRPr="00746ACE">
        <w:rPr>
          <w:lang w:eastAsia="es-ES"/>
        </w:rPr>
        <w:t>. P</w:t>
      </w:r>
      <w:r w:rsidRPr="00746ACE">
        <w:rPr>
          <w:lang w:eastAsia="es-ES"/>
        </w:rPr>
        <w:t xml:space="preserve">or otra parte, la tipicidad o legalidad estricta </w:t>
      </w:r>
      <w:r w:rsidR="00FD7401" w:rsidRPr="00746ACE">
        <w:rPr>
          <w:lang w:eastAsia="es-ES"/>
        </w:rPr>
        <w:t xml:space="preserve">implica </w:t>
      </w:r>
      <w:r w:rsidRPr="00746ACE">
        <w:rPr>
          <w:lang w:eastAsia="es-ES"/>
        </w:rPr>
        <w:t xml:space="preserve">que las conductas susceptibles de castigo sean definidas con especial precisión. </w:t>
      </w:r>
    </w:p>
    <w:p w14:paraId="77FC5EA2" w14:textId="77777777" w:rsidR="00F05A72" w:rsidRPr="00746ACE" w:rsidRDefault="00F05A72" w:rsidP="00FC0DFB">
      <w:pPr>
        <w:widowControl w:val="0"/>
        <w:rPr>
          <w:lang w:eastAsia="es-ES"/>
        </w:rPr>
      </w:pPr>
    </w:p>
    <w:p w14:paraId="27C7712D" w14:textId="329328D2" w:rsidR="00F05A72" w:rsidRPr="00746ACE" w:rsidRDefault="00F05A72" w:rsidP="00FC0DFB">
      <w:pPr>
        <w:pStyle w:val="Prrafodelista"/>
        <w:widowControl w:val="0"/>
        <w:numPr>
          <w:ilvl w:val="0"/>
          <w:numId w:val="7"/>
        </w:numPr>
      </w:pPr>
      <w:r w:rsidRPr="00746ACE">
        <w:rPr>
          <w:lang w:eastAsia="es-ES"/>
        </w:rPr>
        <w:t xml:space="preserve">El principio de legalidad ha enfrentado </w:t>
      </w:r>
      <w:r w:rsidR="007464EC" w:rsidRPr="00746ACE">
        <w:rPr>
          <w:lang w:eastAsia="es-ES"/>
        </w:rPr>
        <w:t xml:space="preserve">también desafíos </w:t>
      </w:r>
      <w:r w:rsidRPr="00746ACE">
        <w:rPr>
          <w:lang w:eastAsia="es-ES"/>
        </w:rPr>
        <w:t xml:space="preserve">en el marco del </w:t>
      </w:r>
      <w:r w:rsidRPr="00746ACE">
        <w:rPr>
          <w:iCs/>
          <w:lang w:eastAsia="es-ES"/>
        </w:rPr>
        <w:t>derecho transicional y el derecho penal internacional.</w:t>
      </w:r>
      <w:r w:rsidRPr="00746ACE">
        <w:rPr>
          <w:lang w:eastAsia="es-ES"/>
        </w:rPr>
        <w:t xml:space="preserve"> El juzgamiento de graves crímenes</w:t>
      </w:r>
      <w:r w:rsidR="007720FF" w:rsidRPr="00746ACE">
        <w:rPr>
          <w:lang w:eastAsia="es-ES"/>
        </w:rPr>
        <w:t xml:space="preserve"> </w:t>
      </w:r>
      <w:r w:rsidRPr="00746ACE">
        <w:rPr>
          <w:lang w:eastAsia="es-ES"/>
        </w:rPr>
        <w:t xml:space="preserve">y </w:t>
      </w:r>
      <w:r w:rsidR="00B81EFB" w:rsidRPr="00746ACE">
        <w:rPr>
          <w:lang w:eastAsia="es-ES"/>
        </w:rPr>
        <w:t xml:space="preserve">graves </w:t>
      </w:r>
      <w:r w:rsidRPr="00746ACE">
        <w:rPr>
          <w:lang w:eastAsia="es-ES"/>
        </w:rPr>
        <w:t xml:space="preserve">violaciones de derechos humanos ha generado preguntas acerca de su alcance y </w:t>
      </w:r>
      <w:r w:rsidR="007464EC" w:rsidRPr="00746ACE">
        <w:rPr>
          <w:lang w:eastAsia="es-ES"/>
        </w:rPr>
        <w:t xml:space="preserve">ha dado lugar a algunos </w:t>
      </w:r>
      <w:r w:rsidRPr="00746ACE">
        <w:rPr>
          <w:lang w:eastAsia="es-ES"/>
        </w:rPr>
        <w:t xml:space="preserve">desarrollos especiales </w:t>
      </w:r>
      <w:r w:rsidR="007464EC" w:rsidRPr="00746ACE">
        <w:rPr>
          <w:lang w:eastAsia="es-ES"/>
        </w:rPr>
        <w:t xml:space="preserve">en las normas y la jurisprudencia, con el fin de </w:t>
      </w:r>
      <w:r w:rsidRPr="00746ACE">
        <w:rPr>
          <w:lang w:eastAsia="es-ES"/>
        </w:rPr>
        <w:t>maximizar los derechos de las víctimas y combatir la impunidad frente a los hechos que, con mayor intensidad, lesionan la dignidad humana.</w:t>
      </w:r>
    </w:p>
    <w:p w14:paraId="294D9CA6" w14:textId="77777777" w:rsidR="00F05A72" w:rsidRPr="00746ACE" w:rsidRDefault="00F05A72" w:rsidP="00FC0DFB">
      <w:pPr>
        <w:pStyle w:val="Prrafodelista"/>
        <w:widowControl w:val="0"/>
        <w:ind w:left="0"/>
      </w:pPr>
    </w:p>
    <w:p w14:paraId="217F42DB" w14:textId="5159FF36" w:rsidR="00F05A72" w:rsidRPr="00746ACE" w:rsidRDefault="001653D7" w:rsidP="00FC0DFB">
      <w:pPr>
        <w:pStyle w:val="Prrafodelista"/>
        <w:widowControl w:val="0"/>
        <w:numPr>
          <w:ilvl w:val="0"/>
          <w:numId w:val="7"/>
        </w:numPr>
      </w:pPr>
      <w:r w:rsidRPr="00746ACE">
        <w:rPr>
          <w:lang w:eastAsia="es-ES"/>
        </w:rPr>
        <w:t>Históricamente</w:t>
      </w:r>
      <w:r w:rsidR="00F05A72" w:rsidRPr="00746ACE">
        <w:rPr>
          <w:lang w:eastAsia="es-ES"/>
        </w:rPr>
        <w:t xml:space="preserve">, el Tribunal de Núremberg enfrentó, </w:t>
      </w:r>
      <w:r w:rsidR="00FD7401" w:rsidRPr="00746ACE">
        <w:rPr>
          <w:lang w:eastAsia="es-ES"/>
        </w:rPr>
        <w:t>por un lado</w:t>
      </w:r>
      <w:r w:rsidR="00F05A72" w:rsidRPr="00746ACE">
        <w:rPr>
          <w:lang w:eastAsia="es-ES"/>
        </w:rPr>
        <w:t>, la existencia de un aparente Derecho Nazi, en el que se escudaban los perpetradores de los crímenes</w:t>
      </w:r>
      <w:r w:rsidR="0037493A" w:rsidRPr="00746ACE">
        <w:rPr>
          <w:lang w:eastAsia="es-ES"/>
        </w:rPr>
        <w:t xml:space="preserve"> </w:t>
      </w:r>
      <w:r w:rsidR="00F05A72" w:rsidRPr="00746ACE">
        <w:rPr>
          <w:lang w:eastAsia="es-ES"/>
        </w:rPr>
        <w:t>para afirmar que no violaron la ley penal</w:t>
      </w:r>
      <w:r w:rsidR="00CC75D2" w:rsidRPr="00746ACE">
        <w:rPr>
          <w:vertAlign w:val="superscript"/>
        </w:rPr>
        <w:footnoteReference w:id="55"/>
      </w:r>
      <w:r w:rsidR="00F05A72" w:rsidRPr="00746ACE">
        <w:rPr>
          <w:lang w:eastAsia="es-ES"/>
        </w:rPr>
        <w:t xml:space="preserve"> y, </w:t>
      </w:r>
      <w:r w:rsidR="00FD7401" w:rsidRPr="00746ACE">
        <w:rPr>
          <w:lang w:eastAsia="es-ES"/>
        </w:rPr>
        <w:t>por el otro</w:t>
      </w:r>
      <w:r w:rsidR="00F05A72" w:rsidRPr="00746ACE">
        <w:rPr>
          <w:lang w:eastAsia="es-ES"/>
        </w:rPr>
        <w:t>, la obligación de juzgarlos, mediante la imputación de crímenes cuyo conocimiento pleno aún se hallaba en construcción</w:t>
      </w:r>
      <w:r w:rsidR="00F05A72" w:rsidRPr="00746ACE">
        <w:rPr>
          <w:vertAlign w:val="superscript"/>
        </w:rPr>
        <w:footnoteReference w:id="56"/>
      </w:r>
      <w:r w:rsidR="00F05A72" w:rsidRPr="00746ACE">
        <w:rPr>
          <w:lang w:eastAsia="es-ES"/>
        </w:rPr>
        <w:t>.</w:t>
      </w:r>
    </w:p>
    <w:p w14:paraId="2A348807" w14:textId="77777777" w:rsidR="00F05A72" w:rsidRPr="00746ACE" w:rsidRDefault="00F05A72" w:rsidP="00914118">
      <w:pPr>
        <w:widowControl w:val="0"/>
        <w:rPr>
          <w:lang w:eastAsia="es-ES"/>
        </w:rPr>
      </w:pPr>
    </w:p>
    <w:p w14:paraId="3C533E6C" w14:textId="5D5D8CAC" w:rsidR="00F05A72" w:rsidRPr="00746ACE" w:rsidRDefault="00F05A72" w:rsidP="00FC0DFB">
      <w:pPr>
        <w:pStyle w:val="Prrafodelista"/>
        <w:widowControl w:val="0"/>
        <w:numPr>
          <w:ilvl w:val="0"/>
          <w:numId w:val="7"/>
        </w:numPr>
      </w:pPr>
      <w:r w:rsidRPr="00746ACE">
        <w:rPr>
          <w:lang w:eastAsia="es-ES"/>
        </w:rPr>
        <w:t>De acuerdo con doctrina autorizada</w:t>
      </w:r>
      <w:r w:rsidRPr="00746ACE">
        <w:rPr>
          <w:vertAlign w:val="superscript"/>
        </w:rPr>
        <w:footnoteReference w:id="57"/>
      </w:r>
      <w:r w:rsidRPr="00746ACE">
        <w:rPr>
          <w:lang w:eastAsia="es-ES"/>
        </w:rPr>
        <w:t xml:space="preserve">, en ese momento histórico, el principio de legalidad se concibió como un </w:t>
      </w:r>
      <w:r w:rsidRPr="00746ACE">
        <w:rPr>
          <w:i/>
          <w:lang w:eastAsia="es-ES"/>
        </w:rPr>
        <w:t xml:space="preserve">principio de justicia, </w:t>
      </w:r>
      <w:r w:rsidRPr="00746ACE">
        <w:rPr>
          <w:lang w:eastAsia="es-ES"/>
        </w:rPr>
        <w:t>cuya aplicación podía flexibilizarse, en ejercicio de la soberanía de los estados vencedores. Sin embargo, poco después, los principales tratados e instrumentos internacionales de derecho humanos comenzaron a definirlo como un derecho subjetivo</w:t>
      </w:r>
      <w:r w:rsidR="001417A1" w:rsidRPr="00746ACE">
        <w:rPr>
          <w:rStyle w:val="Refdenotaalpie"/>
          <w:lang w:eastAsia="es-ES"/>
        </w:rPr>
        <w:footnoteReference w:id="58"/>
      </w:r>
      <w:r w:rsidRPr="00746ACE">
        <w:rPr>
          <w:lang w:eastAsia="es-ES"/>
        </w:rPr>
        <w:t>. En el marco de la Justicia Penal Internacional, el Tribunal Internacional para la Antigua Yugoslavia, el Tribunal Internacional para Ruanda, o la Corte Especial para Sierra Leona, frente a la estrategia de defensa de los acusados de cuestionar su forma de aplicar el principio de legalidad, indicaban que tan solo se les había asignado competencia para conocer de crímenes que ya existían cuando fueron cometidas las conductas</w:t>
      </w:r>
      <w:r w:rsidRPr="00746ACE">
        <w:rPr>
          <w:vertAlign w:val="superscript"/>
        </w:rPr>
        <w:footnoteReference w:id="59"/>
      </w:r>
      <w:r w:rsidR="00FA796F" w:rsidRPr="00746ACE">
        <w:rPr>
          <w:lang w:eastAsia="es-ES"/>
        </w:rPr>
        <w:t>.</w:t>
      </w:r>
    </w:p>
    <w:p w14:paraId="608E92D1" w14:textId="77777777" w:rsidR="00F05A72" w:rsidRPr="00746ACE" w:rsidRDefault="00F05A72" w:rsidP="00DB71AB">
      <w:pPr>
        <w:widowControl w:val="0"/>
        <w:rPr>
          <w:lang w:eastAsia="es-ES"/>
        </w:rPr>
      </w:pPr>
    </w:p>
    <w:p w14:paraId="58A3571B" w14:textId="375D3F09" w:rsidR="00F05A72" w:rsidRPr="00746ACE" w:rsidRDefault="00F05A72" w:rsidP="00FC0DFB">
      <w:pPr>
        <w:pStyle w:val="Prrafodelista"/>
        <w:widowControl w:val="0"/>
        <w:numPr>
          <w:ilvl w:val="0"/>
          <w:numId w:val="7"/>
        </w:numPr>
      </w:pPr>
      <w:r w:rsidRPr="00746ACE">
        <w:rPr>
          <w:lang w:eastAsia="es-ES"/>
        </w:rPr>
        <w:t xml:space="preserve">El Estatuto de Roma estableció una regulación del principio de legalidad, </w:t>
      </w:r>
      <w:r w:rsidR="007464EC" w:rsidRPr="00746ACE">
        <w:rPr>
          <w:lang w:eastAsia="es-ES"/>
        </w:rPr>
        <w:t xml:space="preserve">que se ubica </w:t>
      </w:r>
      <w:r w:rsidRPr="00746ACE">
        <w:rPr>
          <w:lang w:eastAsia="es-ES"/>
        </w:rPr>
        <w:t xml:space="preserve">entre la forma en que es concebido dentro de los países de tradición romano-germánica (como tipicidad), y aquella proveniente del </w:t>
      </w:r>
      <w:r w:rsidRPr="00746ACE">
        <w:rPr>
          <w:i/>
          <w:lang w:eastAsia="es-ES"/>
        </w:rPr>
        <w:t>common</w:t>
      </w:r>
      <w:r w:rsidRPr="00746ACE">
        <w:rPr>
          <w:lang w:eastAsia="es-ES"/>
        </w:rPr>
        <w:t xml:space="preserve"> </w:t>
      </w:r>
      <w:r w:rsidRPr="00746ACE">
        <w:rPr>
          <w:i/>
          <w:lang w:eastAsia="es-ES"/>
        </w:rPr>
        <w:t>law</w:t>
      </w:r>
      <w:r w:rsidRPr="00746ACE">
        <w:rPr>
          <w:lang w:eastAsia="es-ES"/>
        </w:rPr>
        <w:t>, menos estricta, y basada en los conceptos de accesibilidad y previsibilidad, que operaban en el derecho internacional con anterioridad.</w:t>
      </w:r>
    </w:p>
    <w:p w14:paraId="0D519854" w14:textId="77777777" w:rsidR="00F05A72" w:rsidRPr="00746ACE" w:rsidRDefault="00F05A72" w:rsidP="00DB71AB">
      <w:pPr>
        <w:widowControl w:val="0"/>
        <w:rPr>
          <w:lang w:eastAsia="es-ES"/>
        </w:rPr>
      </w:pPr>
    </w:p>
    <w:p w14:paraId="0E4D891D" w14:textId="00548606" w:rsidR="00F05A72" w:rsidRPr="00746ACE" w:rsidRDefault="00F05A72" w:rsidP="00FC0DFB">
      <w:pPr>
        <w:pStyle w:val="Prrafodelista"/>
        <w:widowControl w:val="0"/>
        <w:numPr>
          <w:ilvl w:val="0"/>
          <w:numId w:val="7"/>
        </w:numPr>
      </w:pPr>
      <w:r w:rsidRPr="00746ACE">
        <w:rPr>
          <w:lang w:eastAsia="es-ES"/>
        </w:rPr>
        <w:t xml:space="preserve">En la sentencia C-578 de 2002, </w:t>
      </w:r>
      <w:r w:rsidR="007464EC" w:rsidRPr="00746ACE">
        <w:rPr>
          <w:lang w:eastAsia="es-ES"/>
        </w:rPr>
        <w:t xml:space="preserve">cuando la Corte Constitucional </w:t>
      </w:r>
      <w:r w:rsidRPr="00746ACE">
        <w:rPr>
          <w:lang w:eastAsia="es-ES"/>
        </w:rPr>
        <w:t>estudió la constitucionalidad de la Ley aprobatoria del Estatuto de Roma, este Tribunal señaló que esta relativa indeterminación no desconoce el artículo 29 de la Carta Política, pues el Derecho Penal Internacional “admite un grado de precisión menor en la descripción de las conductas que constituyen crímenes internacionales, básicamente por razones históricas y dada la gravedad de los hechos enjuiciados utilizando estas cuatro categorías”</w:t>
      </w:r>
      <w:r w:rsidR="006A2C55" w:rsidRPr="00746ACE">
        <w:rPr>
          <w:rStyle w:val="Refdenotaalpie"/>
          <w:lang w:eastAsia="es-ES"/>
        </w:rPr>
        <w:footnoteReference w:id="60"/>
      </w:r>
      <w:r w:rsidR="005C3B58" w:rsidRPr="00746ACE">
        <w:rPr>
          <w:lang w:eastAsia="es-ES"/>
        </w:rPr>
        <w:t>.</w:t>
      </w:r>
    </w:p>
    <w:p w14:paraId="4F91D2A9" w14:textId="77777777" w:rsidR="00F05A72" w:rsidRPr="00746ACE" w:rsidRDefault="00F05A72" w:rsidP="00DB71AB">
      <w:pPr>
        <w:widowControl w:val="0"/>
        <w:rPr>
          <w:lang w:eastAsia="es-ES"/>
        </w:rPr>
      </w:pPr>
    </w:p>
    <w:p w14:paraId="5C4C5E88" w14:textId="77777777" w:rsidR="00A7533D" w:rsidRPr="00746ACE" w:rsidRDefault="00F05A72" w:rsidP="00FC0DFB">
      <w:pPr>
        <w:pStyle w:val="Prrafodelista"/>
        <w:widowControl w:val="0"/>
        <w:numPr>
          <w:ilvl w:val="0"/>
          <w:numId w:val="7"/>
        </w:numPr>
      </w:pPr>
      <w:r w:rsidRPr="00746ACE">
        <w:rPr>
          <w:lang w:eastAsia="es-ES"/>
        </w:rPr>
        <w:t xml:space="preserve">En este </w:t>
      </w:r>
      <w:r w:rsidR="000F53D1" w:rsidRPr="00746ACE">
        <w:rPr>
          <w:lang w:eastAsia="es-ES"/>
        </w:rPr>
        <w:t>contexto</w:t>
      </w:r>
      <w:r w:rsidRPr="00746ACE">
        <w:rPr>
          <w:lang w:eastAsia="es-ES"/>
        </w:rPr>
        <w:t xml:space="preserve">, el principio de legalidad penal </w:t>
      </w:r>
      <w:r w:rsidRPr="00746ACE">
        <w:rPr>
          <w:i/>
          <w:lang w:eastAsia="es-ES"/>
        </w:rPr>
        <w:t xml:space="preserve">nullum crimen sine lege </w:t>
      </w:r>
      <w:r w:rsidRPr="00746ACE">
        <w:rPr>
          <w:lang w:eastAsia="es-ES"/>
        </w:rPr>
        <w:t xml:space="preserve">(no hay crimen sin ley) adopta una fórmula más amplia, </w:t>
      </w:r>
      <w:r w:rsidRPr="00746ACE">
        <w:rPr>
          <w:i/>
          <w:lang w:eastAsia="es-ES"/>
        </w:rPr>
        <w:t xml:space="preserve">nullum crimen sine iure </w:t>
      </w:r>
      <w:r w:rsidRPr="00746ACE">
        <w:rPr>
          <w:lang w:eastAsia="es-ES"/>
        </w:rPr>
        <w:t>(no hay crimen sin derecho)</w:t>
      </w:r>
      <w:r w:rsidRPr="00746ACE">
        <w:rPr>
          <w:i/>
          <w:lang w:eastAsia="es-ES"/>
        </w:rPr>
        <w:t xml:space="preserve">, </w:t>
      </w:r>
      <w:r w:rsidRPr="00746ACE">
        <w:rPr>
          <w:lang w:eastAsia="es-ES"/>
        </w:rPr>
        <w:t>que habilita a los tribunales internacionales para adoptar decisiones consultando un conjunto de fuentes que exceden a la ley, en sentido formal</w:t>
      </w:r>
      <w:r w:rsidRPr="00746ACE">
        <w:rPr>
          <w:vertAlign w:val="superscript"/>
        </w:rPr>
        <w:footnoteReference w:id="61"/>
      </w:r>
      <w:r w:rsidRPr="00746ACE">
        <w:rPr>
          <w:lang w:eastAsia="es-ES"/>
        </w:rPr>
        <w:t xml:space="preserve">. </w:t>
      </w:r>
    </w:p>
    <w:p w14:paraId="78D3819C" w14:textId="77777777" w:rsidR="00A7533D" w:rsidRPr="00746ACE" w:rsidRDefault="00A7533D" w:rsidP="004B5178">
      <w:pPr>
        <w:rPr>
          <w:lang w:eastAsia="es-ES"/>
        </w:rPr>
      </w:pPr>
    </w:p>
    <w:p w14:paraId="07862CE8" w14:textId="72A5BDA3" w:rsidR="00FD6053" w:rsidRPr="00746ACE" w:rsidRDefault="00F05A72" w:rsidP="00FC0DFB">
      <w:pPr>
        <w:pStyle w:val="Prrafodelista"/>
        <w:widowControl w:val="0"/>
        <w:numPr>
          <w:ilvl w:val="0"/>
          <w:numId w:val="7"/>
        </w:numPr>
      </w:pPr>
      <w:r w:rsidRPr="00746ACE">
        <w:rPr>
          <w:lang w:eastAsia="es-ES"/>
        </w:rPr>
        <w:t>Existen diversas razones que justifican esta adaptación del concepto.</w:t>
      </w:r>
      <w:r w:rsidR="00A7533D" w:rsidRPr="00746ACE">
        <w:rPr>
          <w:lang w:eastAsia="es-ES"/>
        </w:rPr>
        <w:t xml:space="preserve"> </w:t>
      </w:r>
      <w:r w:rsidR="00FD7401" w:rsidRPr="00746ACE">
        <w:rPr>
          <w:lang w:eastAsia="es-ES"/>
        </w:rPr>
        <w:t>Por un lado, l</w:t>
      </w:r>
      <w:r w:rsidRPr="00746ACE">
        <w:rPr>
          <w:lang w:eastAsia="es-ES"/>
        </w:rPr>
        <w:t xml:space="preserve">as categorías que componen los mayores atentados </w:t>
      </w:r>
      <w:r w:rsidR="00A7533D" w:rsidRPr="00746ACE">
        <w:rPr>
          <w:lang w:eastAsia="es-ES"/>
        </w:rPr>
        <w:t>contra</w:t>
      </w:r>
      <w:r w:rsidRPr="00746ACE">
        <w:rPr>
          <w:lang w:eastAsia="es-ES"/>
        </w:rPr>
        <w:t xml:space="preserve"> la dignidad humana han sido identificadas en un proceso histórico a partir del cual se ha construido un consenso internacional en torno a la gravedad de tales conductas</w:t>
      </w:r>
      <w:r w:rsidR="00FD6053" w:rsidRPr="00746ACE">
        <w:rPr>
          <w:lang w:eastAsia="es-ES"/>
        </w:rPr>
        <w:t>, y hoy se concretan en los crímenes de lesa humanidad, los crímenes de guerra y el genocidio.</w:t>
      </w:r>
      <w:r w:rsidRPr="00746ACE">
        <w:rPr>
          <w:lang w:eastAsia="es-ES"/>
        </w:rPr>
        <w:t xml:space="preserve"> </w:t>
      </w:r>
    </w:p>
    <w:p w14:paraId="41757122" w14:textId="77777777" w:rsidR="00FD6053" w:rsidRPr="00746ACE" w:rsidRDefault="00FD6053" w:rsidP="00DB71AB">
      <w:pPr>
        <w:widowControl w:val="0"/>
        <w:rPr>
          <w:lang w:eastAsia="es-ES"/>
        </w:rPr>
      </w:pPr>
    </w:p>
    <w:p w14:paraId="01588D20" w14:textId="6800F364" w:rsidR="00F05A72" w:rsidRPr="00746ACE" w:rsidRDefault="00F05A72" w:rsidP="00FC0DFB">
      <w:pPr>
        <w:pStyle w:val="Prrafodelista"/>
        <w:widowControl w:val="0"/>
        <w:numPr>
          <w:ilvl w:val="0"/>
          <w:numId w:val="7"/>
        </w:numPr>
      </w:pPr>
      <w:r w:rsidRPr="00746ACE">
        <w:rPr>
          <w:lang w:eastAsia="es-ES"/>
        </w:rPr>
        <w:t>Este consenso mínimo surge a partir del derecho consuetudinario, y se vierte en convenios internacionales de derechos humanos y derecho internacional humanitario. Su carácter histórico y mínimo explica que resulte exigible tanto a los Estados como a los grupos armados: unos y otros están en capacidad de comprender la existencia de la prohibición (</w:t>
      </w:r>
      <w:r w:rsidRPr="00746ACE">
        <w:rPr>
          <w:i/>
          <w:lang w:eastAsia="es-ES"/>
        </w:rPr>
        <w:t>accesibilidad</w:t>
      </w:r>
      <w:r w:rsidRPr="00746ACE">
        <w:rPr>
          <w:lang w:eastAsia="es-ES"/>
        </w:rPr>
        <w:t>) y de prever que esta acarrea sanciones intensas (</w:t>
      </w:r>
      <w:r w:rsidRPr="00746ACE">
        <w:rPr>
          <w:i/>
          <w:lang w:eastAsia="es-ES"/>
        </w:rPr>
        <w:t>previsibilidad</w:t>
      </w:r>
      <w:r w:rsidRPr="00746ACE">
        <w:rPr>
          <w:lang w:eastAsia="es-ES"/>
        </w:rPr>
        <w:t>).</w:t>
      </w:r>
    </w:p>
    <w:p w14:paraId="3D2AA944" w14:textId="77777777" w:rsidR="00F05A72" w:rsidRPr="00746ACE" w:rsidRDefault="00F05A72" w:rsidP="00FC0DFB">
      <w:pPr>
        <w:pStyle w:val="Prrafodelista"/>
        <w:widowControl w:val="0"/>
        <w:rPr>
          <w:lang w:eastAsia="es-ES"/>
        </w:rPr>
      </w:pPr>
    </w:p>
    <w:p w14:paraId="51F6E82C" w14:textId="181AF109" w:rsidR="00F05A72" w:rsidRPr="00746ACE" w:rsidRDefault="00F05A72" w:rsidP="00FC0DFB">
      <w:pPr>
        <w:pStyle w:val="Prrafodelista"/>
        <w:widowControl w:val="0"/>
        <w:numPr>
          <w:ilvl w:val="0"/>
          <w:numId w:val="7"/>
        </w:numPr>
      </w:pPr>
      <w:r w:rsidRPr="00746ACE">
        <w:rPr>
          <w:lang w:eastAsia="es-ES"/>
        </w:rPr>
        <w:t xml:space="preserve">Desconocer la concepción amplia del principio de legalidad, en los términos del </w:t>
      </w:r>
      <w:r w:rsidRPr="00746ACE">
        <w:rPr>
          <w:i/>
          <w:lang w:eastAsia="es-ES"/>
        </w:rPr>
        <w:t xml:space="preserve">nullum crimen sine iure </w:t>
      </w:r>
      <w:r w:rsidRPr="00746ACE">
        <w:rPr>
          <w:lang w:eastAsia="es-ES"/>
        </w:rPr>
        <w:t>generaría el riesgo de admitir excepciones amplias al deber del Estado de investigar, juzgar y sancionar graves violaciones a los derechos humanos y graves infracciones al derecho internacional humanitario; y pasaría por alto la gravedad de los hechos ocurridos durante los conflictos armados o durante las dictaduras</w:t>
      </w:r>
      <w:r w:rsidRPr="00746ACE">
        <w:rPr>
          <w:rStyle w:val="Refdenotaalpie"/>
          <w:lang w:eastAsia="es-ES"/>
        </w:rPr>
        <w:footnoteReference w:id="62"/>
      </w:r>
      <w:r w:rsidRPr="00746ACE">
        <w:rPr>
          <w:lang w:eastAsia="es-ES"/>
        </w:rPr>
        <w:t xml:space="preserve">. Así, para el Derecho Penal Internacional, lo relevante es que, </w:t>
      </w:r>
      <w:r w:rsidR="00434DC4" w:rsidRPr="00746ACE">
        <w:rPr>
          <w:lang w:eastAsia="es-ES"/>
        </w:rPr>
        <w:t>con independencia</w:t>
      </w:r>
      <w:r w:rsidRPr="00746ACE">
        <w:rPr>
          <w:lang w:eastAsia="es-ES"/>
        </w:rPr>
        <w:t xml:space="preserve"> de la denominación de la conducta, se juzguen, investiguen y se sancionen los crímenes que afectan a la comunidad internacional en su conjunto</w:t>
      </w:r>
      <w:r w:rsidRPr="00746ACE">
        <w:rPr>
          <w:vertAlign w:val="superscript"/>
        </w:rPr>
        <w:footnoteReference w:id="63"/>
      </w:r>
      <w:r w:rsidR="00A27636" w:rsidRPr="00746ACE">
        <w:rPr>
          <w:lang w:eastAsia="es-ES"/>
        </w:rPr>
        <w:t>.</w:t>
      </w:r>
    </w:p>
    <w:p w14:paraId="0835C837" w14:textId="77777777" w:rsidR="00F05A72" w:rsidRPr="00746ACE" w:rsidRDefault="00F05A72" w:rsidP="00FC0DFB">
      <w:pPr>
        <w:pStyle w:val="Prrafodelista"/>
        <w:widowControl w:val="0"/>
        <w:rPr>
          <w:lang w:eastAsia="es-ES"/>
        </w:rPr>
      </w:pPr>
    </w:p>
    <w:p w14:paraId="124E8C7F" w14:textId="24BDCF49" w:rsidR="00F05A72" w:rsidRPr="00746ACE" w:rsidRDefault="00FD7401" w:rsidP="00FC0DFB">
      <w:pPr>
        <w:pStyle w:val="Prrafodelista"/>
        <w:widowControl w:val="0"/>
        <w:numPr>
          <w:ilvl w:val="0"/>
          <w:numId w:val="7"/>
        </w:numPr>
      </w:pPr>
      <w:r w:rsidRPr="00746ACE">
        <w:rPr>
          <w:lang w:eastAsia="es-ES"/>
        </w:rPr>
        <w:t>Por otro lado, en</w:t>
      </w:r>
      <w:r w:rsidR="00F05A72" w:rsidRPr="00746ACE">
        <w:rPr>
          <w:lang w:eastAsia="es-ES"/>
        </w:rPr>
        <w:t xml:space="preserve"> lo que se refiere a la competencia y </w:t>
      </w:r>
      <w:r w:rsidR="005B215F" w:rsidRPr="00746ACE">
        <w:rPr>
          <w:lang w:eastAsia="es-ES"/>
        </w:rPr>
        <w:t xml:space="preserve">a </w:t>
      </w:r>
      <w:r w:rsidR="00F05A72" w:rsidRPr="00746ACE">
        <w:rPr>
          <w:lang w:eastAsia="es-ES"/>
        </w:rPr>
        <w:t xml:space="preserve">las normas procedimentales también existen diversas especificidades en materia de legalidad. Así, los tribunales internacionales usualmente comienzan a ejercer funciones después de la ocurrencia de los hechos, de manera que su actividad puede proyectarse sobre conductas que, sin estar tipificadas como una norma de origen legal, sí han sido objeto de </w:t>
      </w:r>
      <w:r w:rsidR="00A17277" w:rsidRPr="00746ACE">
        <w:rPr>
          <w:lang w:eastAsia="es-ES"/>
        </w:rPr>
        <w:t xml:space="preserve">reproche </w:t>
      </w:r>
      <w:r w:rsidR="00F05A72" w:rsidRPr="00746ACE">
        <w:rPr>
          <w:lang w:eastAsia="es-ES"/>
        </w:rPr>
        <w:t>en el ámbito del derecho internacional. Las normas de procedimiento, si bien heredan buena parte de las garantías procesales</w:t>
      </w:r>
      <w:r w:rsidR="00A17277" w:rsidRPr="00746ACE">
        <w:rPr>
          <w:lang w:eastAsia="es-ES"/>
        </w:rPr>
        <w:t>,</w:t>
      </w:r>
      <w:r w:rsidR="00F05A72" w:rsidRPr="00746ACE">
        <w:rPr>
          <w:lang w:eastAsia="es-ES"/>
        </w:rPr>
        <w:t xml:space="preserve"> requieren también precisiones debido a la necesidad de administrar justicia en un término razonable y garantizar derechos de víctimas y responsables.</w:t>
      </w:r>
    </w:p>
    <w:p w14:paraId="6A70A58C" w14:textId="77777777" w:rsidR="00F05A72" w:rsidRPr="00746ACE" w:rsidRDefault="00F05A72" w:rsidP="00DB71AB">
      <w:pPr>
        <w:widowControl w:val="0"/>
        <w:rPr>
          <w:lang w:eastAsia="es-ES"/>
        </w:rPr>
      </w:pPr>
    </w:p>
    <w:p w14:paraId="03A32DD5" w14:textId="712F7362" w:rsidR="00C1467F" w:rsidRPr="00746ACE" w:rsidRDefault="00C1467F" w:rsidP="00FC0DFB">
      <w:pPr>
        <w:pStyle w:val="Prrafodelista"/>
        <w:widowControl w:val="0"/>
        <w:numPr>
          <w:ilvl w:val="0"/>
          <w:numId w:val="7"/>
        </w:numPr>
      </w:pPr>
      <w:r w:rsidRPr="00746ACE">
        <w:rPr>
          <w:lang w:eastAsia="es-ES"/>
        </w:rPr>
        <w:t>Aunque la JEP no es un tribunal internacional, la experiencia citada incide en el ejercicio de sus funciones</w:t>
      </w:r>
      <w:r w:rsidR="007F1EA5" w:rsidRPr="00746ACE">
        <w:rPr>
          <w:lang w:eastAsia="es-ES"/>
        </w:rPr>
        <w:t xml:space="preserve">, debido a que el Acto Legislativo 01 de 2017, es decir, una reforma constitucional dictada para la transición, le confirió competencias </w:t>
      </w:r>
      <w:r w:rsidR="009F2FE8" w:rsidRPr="00746ACE">
        <w:rPr>
          <w:lang w:eastAsia="es-ES"/>
        </w:rPr>
        <w:t>para investigar</w:t>
      </w:r>
      <w:r w:rsidRPr="00746ACE">
        <w:rPr>
          <w:lang w:eastAsia="es-ES"/>
        </w:rPr>
        <w:t>, juzgar y sancionar crímenes internacionales</w:t>
      </w:r>
      <w:r w:rsidR="00632BEE" w:rsidRPr="00746ACE">
        <w:rPr>
          <w:lang w:eastAsia="es-ES"/>
        </w:rPr>
        <w:t>.</w:t>
      </w:r>
    </w:p>
    <w:p w14:paraId="2621FD1A" w14:textId="77777777" w:rsidR="00C1467F" w:rsidRPr="00746ACE" w:rsidRDefault="00C1467F" w:rsidP="004B5178">
      <w:pPr>
        <w:rPr>
          <w:lang w:eastAsia="es-ES"/>
        </w:rPr>
      </w:pPr>
    </w:p>
    <w:p w14:paraId="7E8BDBA6" w14:textId="39C56B58" w:rsidR="00F05A72" w:rsidRPr="00746ACE" w:rsidRDefault="00C1467F" w:rsidP="00C1467F">
      <w:pPr>
        <w:pStyle w:val="Prrafodelista"/>
        <w:widowControl w:val="0"/>
        <w:numPr>
          <w:ilvl w:val="0"/>
          <w:numId w:val="7"/>
        </w:numPr>
        <w:rPr>
          <w:lang w:eastAsia="es-ES"/>
        </w:rPr>
      </w:pPr>
      <w:r w:rsidRPr="00746ACE">
        <w:rPr>
          <w:lang w:eastAsia="es-ES"/>
        </w:rPr>
        <w:t>Así, la JEP surge c</w:t>
      </w:r>
      <w:r w:rsidR="00F05A72" w:rsidRPr="00746ACE">
        <w:rPr>
          <w:lang w:eastAsia="es-ES"/>
        </w:rPr>
        <w:t xml:space="preserve">omo resultado de un acuerdo de paz </w:t>
      </w:r>
      <w:r w:rsidRPr="00746ACE">
        <w:rPr>
          <w:lang w:eastAsia="es-ES"/>
        </w:rPr>
        <w:t xml:space="preserve">donde el componente de justicia se encuentra relacionado con los derechos de las víctimas, y cuya implementación normativa incluyó características novedosas en el sistema jurídico colombiano para la comprensión del conflicto, la búsqueda de la verdad en el ámbito judicial y la reparación de las víctimas. Este sistema conjuga </w:t>
      </w:r>
      <w:r w:rsidR="00F05A72" w:rsidRPr="00746ACE">
        <w:rPr>
          <w:lang w:eastAsia="es-ES"/>
        </w:rPr>
        <w:t>principios mínimos del derecho penal constitucional, como el debido proceso, la favorabilidad</w:t>
      </w:r>
      <w:r w:rsidR="00F05A72" w:rsidRPr="00746ACE">
        <w:rPr>
          <w:rStyle w:val="Refdenotaalpie"/>
          <w:lang w:eastAsia="es-ES"/>
        </w:rPr>
        <w:footnoteReference w:id="64"/>
      </w:r>
      <w:r w:rsidR="00F05A72" w:rsidRPr="00746ACE">
        <w:rPr>
          <w:lang w:eastAsia="es-ES"/>
        </w:rPr>
        <w:t xml:space="preserve"> o la garantía de no </w:t>
      </w:r>
      <w:r w:rsidR="00CF71DC" w:rsidRPr="00746ACE">
        <w:rPr>
          <w:lang w:eastAsia="es-ES"/>
        </w:rPr>
        <w:t>auto incriminarse</w:t>
      </w:r>
      <w:r w:rsidR="00F05A72" w:rsidRPr="00746ACE">
        <w:rPr>
          <w:lang w:eastAsia="es-ES"/>
        </w:rPr>
        <w:t>, con adecuaciones para la transición</w:t>
      </w:r>
      <w:r w:rsidRPr="00746ACE">
        <w:rPr>
          <w:lang w:eastAsia="es-ES"/>
        </w:rPr>
        <w:t xml:space="preserve">, como la pluralidad del sistema de fuentes, la competencia obligatoria sobre ex miembros de las FARC y miembros de la Fuerza Pública presuntamente involucrados en graves crímenes, la facultad de realizar la adecuación típica propia de las conductas, o la definición de sanciones propias con un componente reparador. </w:t>
      </w:r>
    </w:p>
    <w:p w14:paraId="38637698" w14:textId="77777777" w:rsidR="00C1467F" w:rsidRPr="00746ACE" w:rsidRDefault="00C1467F" w:rsidP="004B5178"/>
    <w:p w14:paraId="5BF746C9" w14:textId="425D3E8D" w:rsidR="00C1467F" w:rsidRPr="00746ACE" w:rsidRDefault="00C1467F" w:rsidP="00C1467F">
      <w:pPr>
        <w:pStyle w:val="Prrafodelista"/>
        <w:widowControl w:val="0"/>
        <w:numPr>
          <w:ilvl w:val="0"/>
          <w:numId w:val="7"/>
        </w:numPr>
      </w:pPr>
      <w:r w:rsidRPr="00746ACE">
        <w:t>A continuación, la Sala recuerda algunas decisiones trascendentales en las que la Corte Constitucional ha desarrollado el alcance del principio de legalidad en los procesos judiciales de la JEP.</w:t>
      </w:r>
    </w:p>
    <w:p w14:paraId="5C991FD4" w14:textId="77777777" w:rsidR="00F65917" w:rsidRPr="00746ACE" w:rsidRDefault="00F65917" w:rsidP="00D62ABF">
      <w:pPr>
        <w:pStyle w:val="Prrafodelista"/>
        <w:widowControl w:val="0"/>
      </w:pPr>
    </w:p>
    <w:p w14:paraId="44BCAA4B" w14:textId="24376721" w:rsidR="00211057" w:rsidRPr="00746ACE" w:rsidRDefault="00211057" w:rsidP="000B69F5">
      <w:pPr>
        <w:pStyle w:val="Ttulo3"/>
        <w:keepNext w:val="0"/>
        <w:keepLines w:val="0"/>
        <w:widowControl w:val="0"/>
        <w:jc w:val="both"/>
        <w:rPr>
          <w:rFonts w:cs="Times New Roman"/>
          <w:color w:val="auto"/>
          <w:sz w:val="28"/>
          <w:szCs w:val="28"/>
          <w:lang w:val="es-ES"/>
        </w:rPr>
      </w:pPr>
      <w:bookmarkStart w:id="35" w:name="_Toc233384185"/>
      <w:r w:rsidRPr="00746ACE">
        <w:rPr>
          <w:rFonts w:cs="Times New Roman"/>
          <w:color w:val="auto"/>
          <w:sz w:val="28"/>
          <w:szCs w:val="28"/>
          <w:lang w:val="es-ES"/>
        </w:rPr>
        <w:t>Principio de legalidad</w:t>
      </w:r>
      <w:r w:rsidR="007464EC" w:rsidRPr="00746ACE">
        <w:rPr>
          <w:rFonts w:cs="Times New Roman"/>
          <w:color w:val="auto"/>
          <w:sz w:val="28"/>
          <w:szCs w:val="28"/>
          <w:lang w:val="es-ES"/>
        </w:rPr>
        <w:t>, entre la configuración del Congreso y la interpretación judicial</w:t>
      </w:r>
      <w:bookmarkEnd w:id="35"/>
      <w:r w:rsidR="002C2E5F" w:rsidRPr="00746ACE">
        <w:rPr>
          <w:rFonts w:cs="Times New Roman"/>
          <w:color w:val="auto"/>
          <w:sz w:val="28"/>
          <w:szCs w:val="28"/>
          <w:lang w:val="es-ES"/>
        </w:rPr>
        <w:t xml:space="preserve"> </w:t>
      </w:r>
    </w:p>
    <w:p w14:paraId="42A73920" w14:textId="77777777" w:rsidR="002C2E5F" w:rsidRPr="00746ACE" w:rsidRDefault="002C2E5F" w:rsidP="00D62ABF">
      <w:pPr>
        <w:widowControl w:val="0"/>
      </w:pPr>
    </w:p>
    <w:p w14:paraId="084289F7" w14:textId="06205E16" w:rsidR="00AB7347" w:rsidRPr="00746ACE" w:rsidRDefault="00F65917">
      <w:pPr>
        <w:pStyle w:val="Prrafodelista"/>
        <w:widowControl w:val="0"/>
        <w:numPr>
          <w:ilvl w:val="0"/>
          <w:numId w:val="7"/>
        </w:numPr>
      </w:pPr>
      <w:r w:rsidRPr="00746ACE">
        <w:rPr>
          <w:lang w:eastAsia="es-ES"/>
        </w:rPr>
        <w:t xml:space="preserve">La Sentencia C-674 de 2017 </w:t>
      </w:r>
      <w:r w:rsidR="00121503" w:rsidRPr="00746ACE">
        <w:rPr>
          <w:lang w:eastAsia="es-ES"/>
        </w:rPr>
        <w:t>–mediante la cual la Corte</w:t>
      </w:r>
      <w:r w:rsidRPr="00746ACE">
        <w:rPr>
          <w:lang w:eastAsia="es-ES"/>
        </w:rPr>
        <w:t xml:space="preserve"> </w:t>
      </w:r>
      <w:r w:rsidR="00121503" w:rsidRPr="00746ACE">
        <w:rPr>
          <w:lang w:eastAsia="es-ES"/>
        </w:rPr>
        <w:t xml:space="preserve">revisó </w:t>
      </w:r>
      <w:r w:rsidRPr="00746ACE">
        <w:rPr>
          <w:lang w:eastAsia="es-ES"/>
        </w:rPr>
        <w:t>la constitucionalidad del Acto Legislativo 01 de 201</w:t>
      </w:r>
      <w:r w:rsidR="00CF71DC" w:rsidRPr="00746ACE">
        <w:rPr>
          <w:lang w:eastAsia="es-ES"/>
        </w:rPr>
        <w:t>7</w:t>
      </w:r>
      <w:r w:rsidR="00C12FA5" w:rsidRPr="00746ACE">
        <w:rPr>
          <w:lang w:eastAsia="es-ES"/>
        </w:rPr>
        <w:t>–</w:t>
      </w:r>
      <w:r w:rsidR="00CF71DC" w:rsidRPr="00746ACE">
        <w:rPr>
          <w:lang w:eastAsia="es-ES"/>
        </w:rPr>
        <w:t xml:space="preserve"> </w:t>
      </w:r>
      <w:r w:rsidR="00AB7347" w:rsidRPr="00746ACE">
        <w:rPr>
          <w:lang w:eastAsia="es-ES"/>
        </w:rPr>
        <w:t xml:space="preserve">estableció aspectos relacionados con el principio de legalidad. </w:t>
      </w:r>
      <w:r w:rsidR="009C332F" w:rsidRPr="00746ACE">
        <w:rPr>
          <w:lang w:eastAsia="es-ES"/>
        </w:rPr>
        <w:t>Para empezar</w:t>
      </w:r>
      <w:r w:rsidR="00AB7347" w:rsidRPr="00746ACE">
        <w:rPr>
          <w:lang w:eastAsia="es-ES"/>
        </w:rPr>
        <w:t>, la Corte</w:t>
      </w:r>
      <w:r w:rsidR="00CF71DC" w:rsidRPr="00746ACE">
        <w:rPr>
          <w:lang w:eastAsia="es-ES"/>
        </w:rPr>
        <w:t xml:space="preserve"> </w:t>
      </w:r>
      <w:r w:rsidRPr="00746ACE">
        <w:rPr>
          <w:lang w:eastAsia="es-ES"/>
        </w:rPr>
        <w:t xml:space="preserve">se refirió </w:t>
      </w:r>
      <w:r w:rsidR="00FD7401" w:rsidRPr="00746ACE">
        <w:rPr>
          <w:lang w:eastAsia="es-ES"/>
        </w:rPr>
        <w:t>a</w:t>
      </w:r>
      <w:r w:rsidRPr="00746ACE">
        <w:rPr>
          <w:lang w:eastAsia="es-ES"/>
        </w:rPr>
        <w:t xml:space="preserve"> la validez de establecer una jurisdicción como la JEP</w:t>
      </w:r>
      <w:r w:rsidR="00121503" w:rsidRPr="00746ACE">
        <w:rPr>
          <w:lang w:eastAsia="es-ES"/>
        </w:rPr>
        <w:t xml:space="preserve"> con p</w:t>
      </w:r>
      <w:r w:rsidRPr="00746ACE">
        <w:rPr>
          <w:lang w:eastAsia="es-ES"/>
        </w:rPr>
        <w:t>osterior</w:t>
      </w:r>
      <w:r w:rsidR="00121503" w:rsidRPr="00746ACE">
        <w:rPr>
          <w:lang w:eastAsia="es-ES"/>
        </w:rPr>
        <w:t>idad</w:t>
      </w:r>
      <w:r w:rsidRPr="00746ACE">
        <w:rPr>
          <w:lang w:eastAsia="es-ES"/>
        </w:rPr>
        <w:t xml:space="preserve"> a </w:t>
      </w:r>
      <w:r w:rsidR="00121503" w:rsidRPr="00746ACE">
        <w:rPr>
          <w:lang w:eastAsia="es-ES"/>
        </w:rPr>
        <w:t>la comisión de crímenes</w:t>
      </w:r>
      <w:r w:rsidRPr="00746ACE">
        <w:rPr>
          <w:lang w:eastAsia="es-ES"/>
        </w:rPr>
        <w:t xml:space="preserve">, en tanto mecanismo de justicia transicional </w:t>
      </w:r>
      <w:r w:rsidR="00121503" w:rsidRPr="00746ACE">
        <w:rPr>
          <w:lang w:eastAsia="es-ES"/>
        </w:rPr>
        <w:t>destinado a juzgar</w:t>
      </w:r>
      <w:r w:rsidRPr="00746ACE">
        <w:rPr>
          <w:lang w:eastAsia="es-ES"/>
        </w:rPr>
        <w:t xml:space="preserve"> a quienes suscribieron el </w:t>
      </w:r>
      <w:r w:rsidR="00121503" w:rsidRPr="00746ACE">
        <w:rPr>
          <w:lang w:eastAsia="es-ES"/>
        </w:rPr>
        <w:t>A</w:t>
      </w:r>
      <w:r w:rsidRPr="00746ACE">
        <w:rPr>
          <w:lang w:eastAsia="es-ES"/>
        </w:rPr>
        <w:t xml:space="preserve">cuerdo </w:t>
      </w:r>
      <w:r w:rsidR="00121503" w:rsidRPr="00746ACE">
        <w:rPr>
          <w:lang w:eastAsia="es-ES"/>
        </w:rPr>
        <w:t>F</w:t>
      </w:r>
      <w:r w:rsidRPr="00746ACE">
        <w:rPr>
          <w:lang w:eastAsia="es-ES"/>
        </w:rPr>
        <w:t xml:space="preserve">inal de </w:t>
      </w:r>
      <w:r w:rsidR="00121503" w:rsidRPr="00746ACE">
        <w:rPr>
          <w:lang w:eastAsia="es-ES"/>
        </w:rPr>
        <w:t>P</w:t>
      </w:r>
      <w:r w:rsidRPr="00746ACE">
        <w:rPr>
          <w:lang w:eastAsia="es-ES"/>
        </w:rPr>
        <w:t>az</w:t>
      </w:r>
      <w:r w:rsidR="00121503" w:rsidRPr="00746ACE">
        <w:rPr>
          <w:lang w:eastAsia="es-ES"/>
        </w:rPr>
        <w:t xml:space="preserve"> y, de manera voluntaria, a terceros que hubieren participado en el conflicto.</w:t>
      </w:r>
    </w:p>
    <w:p w14:paraId="12A2982E" w14:textId="77777777" w:rsidR="002C68A1" w:rsidRPr="00746ACE" w:rsidRDefault="002C68A1" w:rsidP="002C68A1">
      <w:pPr>
        <w:pStyle w:val="Prrafodelista"/>
        <w:widowControl w:val="0"/>
        <w:ind w:left="0"/>
      </w:pPr>
    </w:p>
    <w:p w14:paraId="2715FA4A" w14:textId="5FEFE614" w:rsidR="002C68A1" w:rsidRPr="00746ACE" w:rsidRDefault="002C68A1" w:rsidP="002C68A1">
      <w:pPr>
        <w:pStyle w:val="Prrafodelista"/>
        <w:widowControl w:val="0"/>
        <w:numPr>
          <w:ilvl w:val="0"/>
          <w:numId w:val="7"/>
        </w:numPr>
      </w:pPr>
      <w:r w:rsidRPr="00746ACE">
        <w:t>En esta decisión,</w:t>
      </w:r>
      <w:r w:rsidR="009C332F" w:rsidRPr="00746ACE">
        <w:t xml:space="preserve"> además,</w:t>
      </w:r>
      <w:r w:rsidRPr="00746ACE">
        <w:t xml:space="preserve"> la Corte </w:t>
      </w:r>
      <w:r w:rsidR="00C12FA5" w:rsidRPr="00746ACE">
        <w:t>expresó</w:t>
      </w:r>
      <w:r w:rsidRPr="00746ACE">
        <w:t xml:space="preserve"> que el marco normativo del sistema especial de justicia </w:t>
      </w:r>
      <w:r w:rsidR="009C332F" w:rsidRPr="00746ACE">
        <w:t>es</w:t>
      </w:r>
      <w:r w:rsidRPr="00746ACE">
        <w:t xml:space="preserve"> amplio </w:t>
      </w:r>
      <w:r w:rsidR="009C332F" w:rsidRPr="00746ACE">
        <w:t xml:space="preserve">y </w:t>
      </w:r>
      <w:r w:rsidRPr="00746ACE">
        <w:t xml:space="preserve">no se </w:t>
      </w:r>
      <w:r w:rsidR="009C332F" w:rsidRPr="00746ACE">
        <w:t xml:space="preserve">encuentra </w:t>
      </w:r>
      <w:r w:rsidRPr="00746ACE">
        <w:t xml:space="preserve">consolidado en un solo cuerpo normativo, sino que </w:t>
      </w:r>
      <w:r w:rsidR="009C332F" w:rsidRPr="00746ACE">
        <w:t xml:space="preserve">es </w:t>
      </w:r>
      <w:r w:rsidRPr="00746ACE">
        <w:t>resultado de una integración compleja de múltiples normas de distinta naturaleza</w:t>
      </w:r>
      <w:r w:rsidR="008D0DCC" w:rsidRPr="00746ACE">
        <w:t xml:space="preserve"> que incluyen</w:t>
      </w:r>
      <w:r w:rsidRPr="00746ACE">
        <w:t xml:space="preserve"> el propio Acto Legislativo 01 de 2017; la legislación penal</w:t>
      </w:r>
      <w:r w:rsidR="008D0DCC" w:rsidRPr="00746ACE">
        <w:t xml:space="preserve"> ordinaria</w:t>
      </w:r>
      <w:r w:rsidRPr="00746ACE">
        <w:t>; leyes estatutarias y ordinarias que deben expedidas por el Congreso de la República; instrumentos internacionales de derechos humanos, y la reglamentación de la propia Jurisdicción Especial para la Paz, entre otros</w:t>
      </w:r>
      <w:r w:rsidRPr="00746ACE">
        <w:rPr>
          <w:rStyle w:val="Refdenotaalpie"/>
        </w:rPr>
        <w:footnoteReference w:id="65"/>
      </w:r>
      <w:r w:rsidRPr="00746ACE">
        <w:t>.</w:t>
      </w:r>
    </w:p>
    <w:p w14:paraId="403C7753" w14:textId="77777777" w:rsidR="00A33776" w:rsidRPr="00746ACE" w:rsidRDefault="00A33776" w:rsidP="000B69F5">
      <w:pPr>
        <w:pStyle w:val="Prrafodelista"/>
      </w:pPr>
    </w:p>
    <w:p w14:paraId="34EE97A5" w14:textId="4A4FA002" w:rsidR="00A33776" w:rsidRPr="00746ACE" w:rsidRDefault="00D46550" w:rsidP="000B69F5">
      <w:pPr>
        <w:pStyle w:val="Prrafodelista"/>
        <w:widowControl w:val="0"/>
        <w:numPr>
          <w:ilvl w:val="0"/>
          <w:numId w:val="7"/>
        </w:numPr>
      </w:pPr>
      <w:r w:rsidRPr="00746ACE">
        <w:t>L</w:t>
      </w:r>
      <w:r w:rsidR="00A33776" w:rsidRPr="00746ACE">
        <w:t xml:space="preserve">a Corte reconoció </w:t>
      </w:r>
      <w:r w:rsidRPr="00746ACE">
        <w:t xml:space="preserve">también </w:t>
      </w:r>
      <w:r w:rsidR="00460CE0" w:rsidRPr="00746ACE">
        <w:t xml:space="preserve">que </w:t>
      </w:r>
      <w:r w:rsidR="00A33776" w:rsidRPr="00746ACE">
        <w:t>el</w:t>
      </w:r>
      <w:r w:rsidR="00460CE0" w:rsidRPr="00746ACE">
        <w:t xml:space="preserve"> artículo 5 del</w:t>
      </w:r>
      <w:r w:rsidR="00A33776" w:rsidRPr="00746ACE">
        <w:t xml:space="preserve"> acto legislativo </w:t>
      </w:r>
      <w:r w:rsidR="00460CE0" w:rsidRPr="00746ACE">
        <w:t>era una expresión del principio de legalidad al establecer que la JEP</w:t>
      </w:r>
      <w:r w:rsidR="00215FF9" w:rsidRPr="00746ACE">
        <w:t>,</w:t>
      </w:r>
      <w:r w:rsidR="00460CE0" w:rsidRPr="00746ACE">
        <w:t xml:space="preserve"> al adoptar sus resoluciones o sentencias</w:t>
      </w:r>
      <w:r w:rsidR="00215FF9" w:rsidRPr="00746ACE">
        <w:t>,</w:t>
      </w:r>
      <w:r w:rsidR="00460CE0" w:rsidRPr="00746ACE">
        <w:t xml:space="preserve"> haría una calificación jurídica propia con base en el </w:t>
      </w:r>
      <w:r w:rsidR="00A33776" w:rsidRPr="00746ACE">
        <w:t>Código Penal colombiano y a los instrumentos del Derecho Internacional Humanitario, del Derecho Internacional de los Derechos Humanos, y del Derecho Penal Internacional</w:t>
      </w:r>
      <w:r w:rsidR="0038100A" w:rsidRPr="00746ACE">
        <w:t xml:space="preserve">. Ello </w:t>
      </w:r>
      <w:r w:rsidR="00A33776" w:rsidRPr="00746ACE">
        <w:t>con el fin de calificar las infracciones penales cometidas en el marco del conflicto armado y que la determinación de las penas no se efectuaba con base en estos instrumentos, sino en el esquema sancionatorio previsto directamente en el punto 5.1.2 del Acuerdo Final.</w:t>
      </w:r>
    </w:p>
    <w:p w14:paraId="0E9151AE" w14:textId="77777777" w:rsidR="002C68A1" w:rsidRPr="00746ACE" w:rsidRDefault="002C68A1" w:rsidP="000B69F5"/>
    <w:p w14:paraId="70CC4AF2" w14:textId="47B73215" w:rsidR="000D71D4" w:rsidRPr="00746ACE" w:rsidRDefault="00ED6CD4" w:rsidP="00ED6CD4">
      <w:pPr>
        <w:pStyle w:val="Prrafodelista"/>
        <w:widowControl w:val="0"/>
        <w:numPr>
          <w:ilvl w:val="0"/>
          <w:numId w:val="7"/>
        </w:numPr>
      </w:pPr>
      <w:r w:rsidRPr="00746ACE">
        <w:t xml:space="preserve">En </w:t>
      </w:r>
      <w:r w:rsidR="00C5211A" w:rsidRPr="00746ACE">
        <w:t xml:space="preserve">la misma sentencia, </w:t>
      </w:r>
      <w:r w:rsidR="002C68A1" w:rsidRPr="00746ACE">
        <w:t xml:space="preserve">este Tribunal </w:t>
      </w:r>
      <w:r w:rsidRPr="00746ACE">
        <w:t>hizo un llamado al legislador para que regulara, entre otras materias</w:t>
      </w:r>
      <w:r w:rsidR="0038100A" w:rsidRPr="00746ACE">
        <w:t>:</w:t>
      </w:r>
      <w:r w:rsidRPr="00746ACE">
        <w:t xml:space="preserve"> (i) los principios, la organización, las reglas de distribución de competencias entre la jurisdicción ordinaria y la Jurisdicción Especial para la Paz, los procedimientos, los mecanismos de participación de las víctimas, y el régimen sancionatorio, que remite al Acuerdo Final; (i</w:t>
      </w:r>
      <w:r w:rsidR="003A0468" w:rsidRPr="00746ACE">
        <w:t>i</w:t>
      </w:r>
      <w:r w:rsidRPr="00746ACE">
        <w:t>) el procedimiento que rige en la Jurisdicción Especial para la Paz, que debe garantizar los principios de imparcialidad, independencia judicial, debida motivación, publicidad, debido proceso, contradicción, derecho a la defensa, presunción de inocencia, favorabilidad</w:t>
      </w:r>
      <w:r w:rsidR="001F17CC" w:rsidRPr="00746ACE">
        <w:t xml:space="preserve"> y participación </w:t>
      </w:r>
      <w:r w:rsidRPr="00746ACE">
        <w:t>de las víctimas</w:t>
      </w:r>
      <w:r w:rsidR="001F17CC" w:rsidRPr="00746ACE">
        <w:t>;</w:t>
      </w:r>
      <w:r w:rsidRPr="00746ACE">
        <w:t xml:space="preserve"> (</w:t>
      </w:r>
      <w:r w:rsidR="003A0468" w:rsidRPr="00746ACE">
        <w:t>iii</w:t>
      </w:r>
      <w:r w:rsidRPr="00746ACE">
        <w:t>) los parámetros que deben ser utilizados por la Jurisdicción Especial para la Paz para determinar si se han presentado incumplimientos, y para determinar las consecuencias de tales incumplimientos, según lo establecido en el Acuerdo Final</w:t>
      </w:r>
      <w:r w:rsidRPr="00746ACE">
        <w:rPr>
          <w:vertAlign w:val="superscript"/>
        </w:rPr>
        <w:footnoteReference w:id="66"/>
      </w:r>
      <w:r w:rsidR="00B05853" w:rsidRPr="00746ACE">
        <w:t>.</w:t>
      </w:r>
    </w:p>
    <w:p w14:paraId="6864072B" w14:textId="77777777" w:rsidR="000D71D4" w:rsidRPr="00746ACE" w:rsidRDefault="000D71D4" w:rsidP="00926889"/>
    <w:p w14:paraId="7D974269" w14:textId="77777777" w:rsidR="000D71D4" w:rsidRPr="00746ACE" w:rsidRDefault="000D71D4" w:rsidP="009630A4">
      <w:pPr>
        <w:pStyle w:val="Ttulo3"/>
        <w:rPr>
          <w:rFonts w:cs="Times New Roman"/>
          <w:color w:val="auto"/>
          <w:sz w:val="28"/>
          <w:szCs w:val="28"/>
        </w:rPr>
      </w:pPr>
      <w:bookmarkStart w:id="36" w:name="_Toc233384186"/>
      <w:r w:rsidRPr="00746ACE">
        <w:rPr>
          <w:rFonts w:cs="Times New Roman"/>
          <w:color w:val="auto"/>
          <w:sz w:val="28"/>
          <w:szCs w:val="28"/>
        </w:rPr>
        <w:t>Sobre la estructura del sistema, las funciones de sus órganos y la relación entre ley ordinaria y ley estatutaria</w:t>
      </w:r>
      <w:bookmarkEnd w:id="36"/>
    </w:p>
    <w:p w14:paraId="5AC9DB68" w14:textId="77777777" w:rsidR="000D71D4" w:rsidRPr="00746ACE" w:rsidRDefault="000D71D4" w:rsidP="000D71D4"/>
    <w:p w14:paraId="68E6B624" w14:textId="77777777" w:rsidR="000D71D4" w:rsidRPr="00746ACE" w:rsidRDefault="005F364A" w:rsidP="00ED6CD4">
      <w:pPr>
        <w:pStyle w:val="Prrafodelista"/>
        <w:widowControl w:val="0"/>
        <w:numPr>
          <w:ilvl w:val="0"/>
          <w:numId w:val="7"/>
        </w:numPr>
      </w:pPr>
      <w:r w:rsidRPr="00746ACE">
        <w:t>En el caso objeto de estudio se discute si la JEP creó una función nueva en cabeza de la Sala de definición de situaciones jurídicas o si, por el contrario, interpretó las funciones definidas en el artículo 84.c de la Ley estatutaria de administración de justicia en la JEP.</w:t>
      </w:r>
    </w:p>
    <w:p w14:paraId="23701F0F" w14:textId="77777777" w:rsidR="000D71D4" w:rsidRPr="00746ACE" w:rsidRDefault="000D71D4" w:rsidP="000D71D4">
      <w:pPr>
        <w:pStyle w:val="Prrafodelista"/>
        <w:widowControl w:val="0"/>
        <w:ind w:left="0"/>
      </w:pPr>
    </w:p>
    <w:p w14:paraId="4E50EC60" w14:textId="77777777" w:rsidR="000D71D4" w:rsidRPr="00746ACE" w:rsidRDefault="005F364A" w:rsidP="00ED6CD4">
      <w:pPr>
        <w:pStyle w:val="Prrafodelista"/>
        <w:widowControl w:val="0"/>
        <w:numPr>
          <w:ilvl w:val="0"/>
          <w:numId w:val="7"/>
        </w:numPr>
      </w:pPr>
      <w:r w:rsidRPr="00746ACE">
        <w:t>En la Sentencia C-080 de 2018, la Sala Plena se refirió a la reserva de ley estatutaria y al hecho de que la estructura de la JEP haya sido definida mediante una normativa de esa especial jerarquía. A grandes rasgos, la Corte recordó que la administración de justicia es uno de los aspectos sujetos a reserva de ley estatutaria y añadió que también los derechos de las víctimas, en sus elementos estructurales, están sometidos a esta reserva.</w:t>
      </w:r>
    </w:p>
    <w:p w14:paraId="1188EADB" w14:textId="77777777" w:rsidR="000D71D4" w:rsidRPr="00746ACE" w:rsidRDefault="000D71D4" w:rsidP="000D71D4">
      <w:pPr>
        <w:pStyle w:val="Prrafodelista"/>
      </w:pPr>
    </w:p>
    <w:p w14:paraId="6037C72B" w14:textId="105EC02B" w:rsidR="000D71D4" w:rsidRPr="00746ACE" w:rsidRDefault="005F364A" w:rsidP="00ED6CD4">
      <w:pPr>
        <w:pStyle w:val="Prrafodelista"/>
        <w:widowControl w:val="0"/>
        <w:numPr>
          <w:ilvl w:val="0"/>
          <w:numId w:val="7"/>
        </w:numPr>
      </w:pPr>
      <w:r w:rsidRPr="00746ACE">
        <w:t xml:space="preserve">Acto seguido, la Corte Constitucional precisó que no todos los aspectos relativos a estas materias están sujetos a la citada reserva, y mencionó dos ejemplos relevantes. </w:t>
      </w:r>
      <w:r w:rsidR="0038100A" w:rsidRPr="00746ACE">
        <w:t>Primero, ilustró que, e</w:t>
      </w:r>
      <w:r w:rsidRPr="00746ACE">
        <w:t xml:space="preserve">n el derecho ordinario, aspectos centrales de la estructura y principios de la administración de justicia están sometidos a reserva de ley estatutaria, mientras que los procedimientos son desarrollados por el legislador ordinario. </w:t>
      </w:r>
      <w:r w:rsidR="0038100A" w:rsidRPr="00746ACE">
        <w:t>Segundo, señaló que,</w:t>
      </w:r>
      <w:r w:rsidRPr="00746ACE">
        <w:t xml:space="preserve"> en lo que tiene que ver con los derechos de las víctimas, la Ley 975 de 2005</w:t>
      </w:r>
      <w:r w:rsidR="00FF2E31" w:rsidRPr="00746ACE">
        <w:t xml:space="preserve"> (J</w:t>
      </w:r>
      <w:r w:rsidRPr="00746ACE">
        <w:t xml:space="preserve">usticia y </w:t>
      </w:r>
      <w:r w:rsidR="00FF2E31" w:rsidRPr="00746ACE">
        <w:t>P</w:t>
      </w:r>
      <w:r w:rsidRPr="00746ACE">
        <w:t>az</w:t>
      </w:r>
      <w:r w:rsidR="00FF2E31" w:rsidRPr="00746ACE">
        <w:t>)</w:t>
      </w:r>
      <w:r w:rsidRPr="00746ACE">
        <w:t xml:space="preserve"> </w:t>
      </w:r>
      <w:r w:rsidR="00FF2E31" w:rsidRPr="00746ACE">
        <w:t>fue</w:t>
      </w:r>
      <w:r w:rsidR="0038100A" w:rsidRPr="00746ACE">
        <w:t xml:space="preserve"> válida</w:t>
      </w:r>
      <w:r w:rsidR="00FF2E31" w:rsidRPr="00746ACE">
        <w:t>mente</w:t>
      </w:r>
      <w:r w:rsidR="0038100A" w:rsidRPr="00746ACE">
        <w:t xml:space="preserve"> exped</w:t>
      </w:r>
      <w:r w:rsidR="00FF2E31" w:rsidRPr="00746ACE">
        <w:t xml:space="preserve">ida mediante una </w:t>
      </w:r>
      <w:r w:rsidR="0038100A" w:rsidRPr="00746ACE">
        <w:t xml:space="preserve">ley ordinaria, </w:t>
      </w:r>
      <w:r w:rsidR="00FF2E31" w:rsidRPr="00746ACE">
        <w:t>pues regulaba</w:t>
      </w:r>
      <w:r w:rsidRPr="00746ACE">
        <w:t xml:space="preserve"> de </w:t>
      </w:r>
      <w:r w:rsidR="00FF2E31" w:rsidRPr="00746ACE">
        <w:t>manera amplia un modelo de</w:t>
      </w:r>
      <w:r w:rsidRPr="00746ACE">
        <w:t xml:space="preserve"> justicia transicional</w:t>
      </w:r>
      <w:r w:rsidR="00FF2E31" w:rsidRPr="00746ACE">
        <w:t>, sin modificar el núcleo esencial de los derechos de las víctimas</w:t>
      </w:r>
      <w:r w:rsidR="00F93F58" w:rsidRPr="00746ACE">
        <w:rPr>
          <w:rStyle w:val="Refdenotaalpie"/>
        </w:rPr>
        <w:footnoteReference w:id="67"/>
      </w:r>
      <w:r w:rsidRPr="00746ACE">
        <w:t xml:space="preserve">. </w:t>
      </w:r>
    </w:p>
    <w:p w14:paraId="56E0B75A" w14:textId="77777777" w:rsidR="000D71D4" w:rsidRPr="00746ACE" w:rsidRDefault="000D71D4" w:rsidP="00314A49"/>
    <w:p w14:paraId="66FB5C16" w14:textId="169C8664" w:rsidR="000D71D4" w:rsidRPr="00746ACE" w:rsidRDefault="00F93F58" w:rsidP="000D71D4">
      <w:pPr>
        <w:pStyle w:val="Prrafodelista"/>
        <w:widowControl w:val="0"/>
        <w:numPr>
          <w:ilvl w:val="0"/>
          <w:numId w:val="7"/>
        </w:numPr>
      </w:pPr>
      <w:r w:rsidRPr="00746ACE">
        <w:t>Después, la Sala Plena consideró que el proyecto objeto de estudio</w:t>
      </w:r>
      <w:r w:rsidR="00D03BA0" w:rsidRPr="00746ACE">
        <w:t xml:space="preserve"> (hoy, Ley 1957 de 2018)</w:t>
      </w:r>
      <w:r w:rsidRPr="00746ACE">
        <w:t xml:space="preserve"> incluía </w:t>
      </w:r>
      <w:r w:rsidR="00314A49" w:rsidRPr="00746ACE">
        <w:t xml:space="preserve">asuntos </w:t>
      </w:r>
      <w:r w:rsidRPr="00746ACE">
        <w:t>propios de la reserva estatutaria, aspectos protegidos por reserva de ley orgánica, como algunos de naturaleza presupuestal y normas cobijadas por reserva de ley ordinaria, en especial, en materia procedimental. La Corte tuvo en consideración</w:t>
      </w:r>
      <w:r w:rsidR="00FF2E31" w:rsidRPr="00746ACE">
        <w:t>,</w:t>
      </w:r>
      <w:r w:rsidRPr="00746ACE">
        <w:t xml:space="preserve"> también</w:t>
      </w:r>
      <w:r w:rsidR="00FF2E31" w:rsidRPr="00746ACE">
        <w:t>,</w:t>
      </w:r>
      <w:r w:rsidRPr="00746ACE">
        <w:t xml:space="preserve"> la existencia de una ley de amnistías e indultos</w:t>
      </w:r>
      <w:r w:rsidR="00314A49" w:rsidRPr="00746ACE">
        <w:t xml:space="preserve">, que tiene el carácter de </w:t>
      </w:r>
      <w:r w:rsidRPr="00746ACE">
        <w:t>ley ordinaria</w:t>
      </w:r>
      <w:r w:rsidR="00314A49" w:rsidRPr="00746ACE">
        <w:t xml:space="preserve">, pero debe aprobarse con </w:t>
      </w:r>
      <w:r w:rsidRPr="00746ACE">
        <w:t xml:space="preserve">mayorías especiales, en cumplimiento del artículo </w:t>
      </w:r>
      <w:r w:rsidR="00314A49" w:rsidRPr="00746ACE">
        <w:t xml:space="preserve">150.17 </w:t>
      </w:r>
      <w:r w:rsidRPr="00746ACE">
        <w:t>de la Carta Política</w:t>
      </w:r>
      <w:r w:rsidR="00314A49" w:rsidRPr="00746ACE">
        <w:rPr>
          <w:rStyle w:val="Refdenotaalpie"/>
        </w:rPr>
        <w:footnoteReference w:id="68"/>
      </w:r>
      <w:r w:rsidRPr="00746ACE">
        <w:t>; y normas propias de la ley ordinaria, en especial, asociadas a los procedimientos, que podrían ser complementadas por una ley dictada por iniciativa de la propia JEP (actualmente, Ley 1922 de 2018)</w:t>
      </w:r>
      <w:r w:rsidRPr="00746ACE">
        <w:rPr>
          <w:rStyle w:val="Refdenotaalpie"/>
        </w:rPr>
        <w:footnoteReference w:id="69"/>
      </w:r>
      <w:r w:rsidRPr="00746ACE">
        <w:t xml:space="preserve">. </w:t>
      </w:r>
    </w:p>
    <w:p w14:paraId="54089760" w14:textId="77777777" w:rsidR="000D71D4" w:rsidRPr="00746ACE" w:rsidRDefault="000D71D4" w:rsidP="000D71D4">
      <w:pPr>
        <w:pStyle w:val="Prrafodelista"/>
        <w:rPr>
          <w:rFonts w:eastAsia="Times New Roman"/>
          <w:szCs w:val="27"/>
          <w:lang w:val="es-CO" w:eastAsia="es-MX"/>
        </w:rPr>
      </w:pPr>
    </w:p>
    <w:p w14:paraId="5507DE5A" w14:textId="77777777" w:rsidR="000D71D4" w:rsidRPr="00746ACE" w:rsidRDefault="000D71D4" w:rsidP="009630A4">
      <w:pPr>
        <w:ind w:left="567"/>
        <w:textAlignment w:val="baseline"/>
        <w:rPr>
          <w:rFonts w:eastAsia="Times New Roman"/>
          <w:szCs w:val="24"/>
          <w:lang w:val="es-CO" w:eastAsia="es-MX"/>
        </w:rPr>
      </w:pPr>
      <w:r w:rsidRPr="00746ACE">
        <w:rPr>
          <w:rFonts w:eastAsia="Times New Roman"/>
          <w:szCs w:val="24"/>
          <w:lang w:val="es-CO" w:eastAsia="es-MX"/>
        </w:rPr>
        <w:t>“(…) Conforme a tales criterios, reiterados posteriormente en la sentencia C-370 de 2006, ha de concluirse que los contenidos del Proyecto de Ley bajo estudio regulan asuntos de indudable reserva estatutaria. En efecto, el Proyecto de Ley estructura y regula una nueva jurisdicción, independiente de la Rama Judicial, que fue creada por la Constitución a través del Acto Legislativo 01 de 2017, y que no se encuentra reglada en ningún cuerpo estatutario. La Ley Estatutaria de la Administración de Justicia, Ley 270 de 1996, estructura y desarrolla las jurisdicciones ordinaria, de lo contencioso administrativo y constitucional mediante regulaciones que no son aplicables a la Jurisdicción Especial para la Paz –JEP–.”</w:t>
      </w:r>
    </w:p>
    <w:p w14:paraId="63FACFEB" w14:textId="77777777" w:rsidR="000D71D4" w:rsidRPr="00746ACE" w:rsidRDefault="000D71D4" w:rsidP="009630A4">
      <w:pPr>
        <w:rPr>
          <w:rFonts w:eastAsia="Times New Roman"/>
          <w:szCs w:val="27"/>
          <w:lang w:val="es-CO" w:eastAsia="es-MX"/>
        </w:rPr>
      </w:pPr>
    </w:p>
    <w:p w14:paraId="561CA257" w14:textId="17A30D96" w:rsidR="000D71D4" w:rsidRPr="00746ACE" w:rsidRDefault="00F93F58" w:rsidP="000D71D4">
      <w:pPr>
        <w:pStyle w:val="Prrafodelista"/>
        <w:widowControl w:val="0"/>
        <w:numPr>
          <w:ilvl w:val="0"/>
          <w:numId w:val="7"/>
        </w:numPr>
      </w:pPr>
      <w:r w:rsidRPr="00746ACE">
        <w:rPr>
          <w:rFonts w:eastAsia="Times New Roman"/>
          <w:szCs w:val="27"/>
          <w:lang w:val="es-CO" w:eastAsia="es-MX"/>
        </w:rPr>
        <w:t xml:space="preserve">Después de recordar los distintos títulos de la ley </w:t>
      </w:r>
      <w:r w:rsidR="00943B5A" w:rsidRPr="00746ACE">
        <w:rPr>
          <w:rFonts w:eastAsia="Times New Roman"/>
          <w:szCs w:val="27"/>
          <w:lang w:val="es-CO" w:eastAsia="es-MX"/>
        </w:rPr>
        <w:t xml:space="preserve">la Corte concluyó que algunas normas dictadas con base en los artículos 1 y 5 del Acto Legislativo 01 de 2017 (sobre principios del sistema) tienen reserva de ley estatutaria, pues tienen como objetivo garantizar los derechos de las víctimas dentro del Sistema Integral de Paz, así como aquellas que definen tratamientos penales especiales y las derivadas del artículo 66 transitorio de la Constitución Política. </w:t>
      </w:r>
    </w:p>
    <w:p w14:paraId="43605F06" w14:textId="77777777" w:rsidR="000D71D4" w:rsidRPr="00746ACE" w:rsidRDefault="000D71D4" w:rsidP="000D71D4">
      <w:pPr>
        <w:pStyle w:val="Prrafodelista"/>
        <w:widowControl w:val="0"/>
        <w:ind w:left="0"/>
      </w:pPr>
    </w:p>
    <w:p w14:paraId="799627F3" w14:textId="074D53BE" w:rsidR="000D71D4" w:rsidRPr="00746ACE" w:rsidRDefault="00943B5A" w:rsidP="000D71D4">
      <w:pPr>
        <w:pStyle w:val="Prrafodelista"/>
        <w:widowControl w:val="0"/>
        <w:numPr>
          <w:ilvl w:val="0"/>
          <w:numId w:val="7"/>
        </w:numPr>
      </w:pPr>
      <w:r w:rsidRPr="00746ACE">
        <w:rPr>
          <w:rFonts w:eastAsia="Times New Roman"/>
          <w:szCs w:val="27"/>
          <w:lang w:val="es-CO" w:eastAsia="es-MX"/>
        </w:rPr>
        <w:t xml:space="preserve">En </w:t>
      </w:r>
      <w:r w:rsidR="00230F56" w:rsidRPr="00746ACE">
        <w:rPr>
          <w:rFonts w:eastAsia="Times New Roman"/>
          <w:szCs w:val="27"/>
          <w:lang w:val="es-CO" w:eastAsia="es-MX"/>
        </w:rPr>
        <w:t>síntesis</w:t>
      </w:r>
      <w:r w:rsidRPr="00746ACE">
        <w:rPr>
          <w:rFonts w:eastAsia="Times New Roman"/>
          <w:szCs w:val="27"/>
          <w:lang w:val="es-CO" w:eastAsia="es-MX"/>
        </w:rPr>
        <w:t xml:space="preserve">, </w:t>
      </w:r>
      <w:r w:rsidR="00230F56" w:rsidRPr="00746ACE">
        <w:rPr>
          <w:rFonts w:eastAsia="Times New Roman"/>
          <w:szCs w:val="27"/>
          <w:lang w:val="es-CO" w:eastAsia="es-MX"/>
        </w:rPr>
        <w:t>para la Corte</w:t>
      </w:r>
      <w:r w:rsidRPr="00746ACE">
        <w:rPr>
          <w:rFonts w:eastAsia="Times New Roman"/>
          <w:szCs w:val="27"/>
          <w:lang w:val="es-CO" w:eastAsia="es-MX"/>
        </w:rPr>
        <w:t xml:space="preserve"> son asuntos privativos de ley estatutaria en materia de justicia transicional: </w:t>
      </w:r>
      <w:r w:rsidR="005F364A" w:rsidRPr="00746ACE">
        <w:rPr>
          <w:rFonts w:eastAsia="Times New Roman"/>
          <w:szCs w:val="27"/>
          <w:lang w:val="es-CO" w:eastAsia="es-MX"/>
        </w:rPr>
        <w:t>(i)</w:t>
      </w:r>
      <w:r w:rsidR="005F364A" w:rsidRPr="00746ACE">
        <w:rPr>
          <w:rFonts w:eastAsia="Times New Roman"/>
          <w:i/>
          <w:iCs/>
          <w:szCs w:val="27"/>
          <w:lang w:val="es-CO" w:eastAsia="es-MX"/>
        </w:rPr>
        <w:t> </w:t>
      </w:r>
      <w:r w:rsidR="005F364A" w:rsidRPr="00746ACE">
        <w:rPr>
          <w:rFonts w:eastAsia="Times New Roman"/>
          <w:szCs w:val="27"/>
          <w:lang w:val="es-CO" w:eastAsia="es-MX"/>
        </w:rPr>
        <w:t>el tratamiento diferenciado para miembros de grupos ilegales y agentes del Estado responsables de hechos en el marco del conflicto armado; (ii)</w:t>
      </w:r>
      <w:r w:rsidR="005F364A" w:rsidRPr="00746ACE">
        <w:rPr>
          <w:rFonts w:eastAsia="Times New Roman"/>
          <w:i/>
          <w:iCs/>
          <w:szCs w:val="27"/>
          <w:lang w:val="es-CO" w:eastAsia="es-MX"/>
        </w:rPr>
        <w:t> </w:t>
      </w:r>
      <w:r w:rsidR="005F364A" w:rsidRPr="00746ACE">
        <w:rPr>
          <w:rFonts w:eastAsia="Times New Roman"/>
          <w:szCs w:val="27"/>
          <w:lang w:val="es-CO" w:eastAsia="es-MX"/>
        </w:rPr>
        <w:t>los instrumentos judiciales y extrajudiciales de investigación y sanción; y (iii)</w:t>
      </w:r>
      <w:r w:rsidR="005F364A" w:rsidRPr="00746ACE">
        <w:rPr>
          <w:rFonts w:eastAsia="Times New Roman"/>
          <w:i/>
          <w:iCs/>
          <w:szCs w:val="27"/>
          <w:lang w:val="es-CO" w:eastAsia="es-MX"/>
        </w:rPr>
        <w:t> </w:t>
      </w:r>
      <w:r w:rsidR="005F364A" w:rsidRPr="00746ACE">
        <w:rPr>
          <w:rFonts w:eastAsia="Times New Roman"/>
          <w:szCs w:val="27"/>
          <w:lang w:val="es-CO" w:eastAsia="es-MX"/>
        </w:rPr>
        <w:t>los criterios de selección y el tratamiento penal que se dará a los responsables de los hechos que no resulten seleccionados.</w:t>
      </w:r>
    </w:p>
    <w:p w14:paraId="1087939C" w14:textId="77777777" w:rsidR="000D71D4" w:rsidRPr="00746ACE" w:rsidRDefault="000D71D4" w:rsidP="000D71D4">
      <w:pPr>
        <w:pStyle w:val="Prrafodelista"/>
      </w:pPr>
    </w:p>
    <w:p w14:paraId="0CF3DD4F" w14:textId="1A16D92C" w:rsidR="00943B5A" w:rsidRPr="00746ACE" w:rsidRDefault="00943B5A" w:rsidP="000D71D4">
      <w:pPr>
        <w:pStyle w:val="Prrafodelista"/>
        <w:widowControl w:val="0"/>
        <w:numPr>
          <w:ilvl w:val="0"/>
          <w:numId w:val="7"/>
        </w:numPr>
      </w:pPr>
      <w:r w:rsidRPr="00746ACE">
        <w:t xml:space="preserve">Más adelante, en la misma sentencia, la Corte se refirió a la inclusión de aspectos propios de ley ordinaria en el proyecto: </w:t>
      </w:r>
    </w:p>
    <w:p w14:paraId="4FFB62E8" w14:textId="7C7E5467" w:rsidR="00943B5A" w:rsidRPr="00746ACE" w:rsidRDefault="00943B5A" w:rsidP="00943B5A">
      <w:pPr>
        <w:spacing w:line="360" w:lineRule="atLeast"/>
        <w:textAlignment w:val="baseline"/>
      </w:pPr>
    </w:p>
    <w:p w14:paraId="62FBA52B" w14:textId="35DA938B" w:rsidR="00943B5A" w:rsidRPr="00746ACE" w:rsidRDefault="00943B5A" w:rsidP="00D03BA0">
      <w:pPr>
        <w:ind w:left="567"/>
        <w:textAlignment w:val="baseline"/>
        <w:rPr>
          <w:rFonts w:eastAsia="Times New Roman"/>
          <w:szCs w:val="24"/>
          <w:lang w:val="es-CO" w:eastAsia="es-MX"/>
        </w:rPr>
      </w:pPr>
      <w:r w:rsidRPr="00746ACE">
        <w:rPr>
          <w:szCs w:val="24"/>
        </w:rPr>
        <w:t>“L</w:t>
      </w:r>
      <w:r w:rsidRPr="00746ACE">
        <w:rPr>
          <w:rFonts w:eastAsia="Times New Roman"/>
          <w:szCs w:val="24"/>
          <w:lang w:val="es-CO" w:eastAsia="es-MX"/>
        </w:rPr>
        <w:t>a Sala observa que el legislador estatutario desarrolló algunos aspectos en un alto nivel de detalle, a tal punto que podrían haber sido materia de ley ordinaria, como la Ley de Procedimiento a que se refiere el artículo transitorio 12 del Acto Legislativo 01 de 2017. Dichos asuntos, siempre que no hagan parte del núcleo central de los contenidos estatutarios definidos en el acápite correspondiente no entran a formar parte de las materias sujetas a la reserva de ley estatutaria en materia de administración de justicia </w:t>
      </w:r>
      <w:r w:rsidR="005B69F5" w:rsidRPr="00746ACE">
        <w:rPr>
          <w:rFonts w:eastAsia="Times New Roman"/>
          <w:szCs w:val="24"/>
          <w:lang w:val="es-CO" w:eastAsia="es-MX"/>
        </w:rPr>
        <w:t xml:space="preserve">(…) </w:t>
      </w:r>
      <w:r w:rsidRPr="00746ACE">
        <w:rPr>
          <w:rFonts w:eastAsia="Times New Roman"/>
          <w:szCs w:val="24"/>
          <w:lang w:val="es-CO" w:eastAsia="es-MX"/>
        </w:rPr>
        <w:t>En efecto, asuntos propios de los códigos de procedimiento no tienen naturaleza estatutaria. Estos asuntos son, por ejemplo, los procedimientos, los recursos, los términos, el régimen probatorio o el régimen de medidas cautelares. También son asuntos de ley ordinaria la regulación </w:t>
      </w:r>
      <w:r w:rsidRPr="00746ACE">
        <w:rPr>
          <w:rFonts w:eastAsia="Times New Roman"/>
          <w:i/>
          <w:iCs/>
          <w:szCs w:val="24"/>
          <w:lang w:val="es-CO" w:eastAsia="es-MX"/>
        </w:rPr>
        <w:t>específica</w:t>
      </w:r>
      <w:r w:rsidRPr="00746ACE">
        <w:rPr>
          <w:rFonts w:eastAsia="Times New Roman"/>
          <w:szCs w:val="24"/>
          <w:lang w:val="es-CO" w:eastAsia="es-MX"/>
        </w:rPr>
        <w:t> de las competencias atribuidas a las Salas y Secciones del Tribunal para la Paz”.</w:t>
      </w:r>
    </w:p>
    <w:p w14:paraId="7CA1CD04" w14:textId="431FC713" w:rsidR="005B69F5" w:rsidRPr="00746ACE" w:rsidRDefault="00943B5A" w:rsidP="005B69F5">
      <w:pPr>
        <w:spacing w:line="360" w:lineRule="atLeast"/>
        <w:textAlignment w:val="baseline"/>
        <w:rPr>
          <w:rFonts w:eastAsia="Times New Roman"/>
          <w:szCs w:val="27"/>
          <w:lang w:val="es-CO" w:eastAsia="es-MX"/>
        </w:rPr>
      </w:pPr>
      <w:r w:rsidRPr="00746ACE">
        <w:rPr>
          <w:rFonts w:eastAsia="Times New Roman"/>
          <w:szCs w:val="27"/>
          <w:lang w:val="es-CO" w:eastAsia="es-MX"/>
        </w:rPr>
        <w:t> </w:t>
      </w:r>
    </w:p>
    <w:p w14:paraId="2AA85A59" w14:textId="0FC4C7FD" w:rsidR="005B69F5" w:rsidRPr="00746ACE" w:rsidRDefault="005B69F5" w:rsidP="005B69F5">
      <w:pPr>
        <w:pStyle w:val="Prrafodelista"/>
        <w:widowControl w:val="0"/>
        <w:numPr>
          <w:ilvl w:val="0"/>
          <w:numId w:val="7"/>
        </w:numPr>
      </w:pPr>
      <w:r w:rsidRPr="00746ACE">
        <w:t>Así las cosas, con fines de analizar si se desconoció la reserva de ley ordinaria o estatutaria por parte de la JEP al dictar las Senit 5, 8 y 9, la Sala recuerda qu</w:t>
      </w:r>
      <w:r w:rsidR="00230F56" w:rsidRPr="00746ACE">
        <w:t>e los</w:t>
      </w:r>
      <w:r w:rsidRPr="00746ACE">
        <w:t xml:space="preserve"> aspectos relacionados con la estructura y principios de la jurisdicción, </w:t>
      </w:r>
      <w:r w:rsidR="00230F56" w:rsidRPr="00746ACE">
        <w:t>así como</w:t>
      </w:r>
      <w:r w:rsidRPr="00746ACE">
        <w:t xml:space="preserve"> asuntos </w:t>
      </w:r>
      <w:r w:rsidR="00230F56" w:rsidRPr="00746ACE">
        <w:t>relacionados con los</w:t>
      </w:r>
      <w:r w:rsidRPr="00746ACE">
        <w:t xml:space="preserve"> derechos de las víctimas</w:t>
      </w:r>
      <w:r w:rsidR="00230F56" w:rsidRPr="00746ACE">
        <w:t xml:space="preserve">, </w:t>
      </w:r>
      <w:r w:rsidRPr="00746ACE">
        <w:t xml:space="preserve">definidos en los artículos 1º y 5º </w:t>
      </w:r>
      <w:r w:rsidR="00D03BA0" w:rsidRPr="00746ACE">
        <w:t xml:space="preserve">transitorios </w:t>
      </w:r>
      <w:r w:rsidRPr="00746ACE">
        <w:t>del Acto Legislativo 01 de 2017</w:t>
      </w:r>
      <w:r w:rsidR="00230F56" w:rsidRPr="00746ACE">
        <w:t xml:space="preserve"> – que incluyen </w:t>
      </w:r>
      <w:r w:rsidRPr="00746ACE">
        <w:t>la aplicación</w:t>
      </w:r>
      <w:r w:rsidR="00314A49" w:rsidRPr="00746ACE">
        <w:t xml:space="preserve"> conjunta de del modelo de justicia restaurativa junto con el modelo de justicia retributiva</w:t>
      </w:r>
      <w:r w:rsidRPr="00746ACE">
        <w:t xml:space="preserve">, los fines del sistema integral de paz y las fuentes para la calificación jurídica, y (iii) el principio de selección y los tratamientos penales </w:t>
      </w:r>
      <w:r w:rsidR="00D03BA0" w:rsidRPr="00746ACE">
        <w:t>diferenciados</w:t>
      </w:r>
      <w:r w:rsidRPr="00746ACE">
        <w:t xml:space="preserve"> están sometidos a reserva de ley estatutaria. En cambio, la definición de funciones específicas está sujeta a reserva de ley ordinaria, siempre que esta no constituya un desarrollo directo del Acto Legislativo 01 de 2017.</w:t>
      </w:r>
    </w:p>
    <w:p w14:paraId="0E890E6C" w14:textId="77777777" w:rsidR="00E01569" w:rsidRPr="00746ACE" w:rsidRDefault="00E01569" w:rsidP="005B69F5">
      <w:pPr>
        <w:pStyle w:val="Prrafodelista"/>
        <w:widowControl w:val="0"/>
        <w:ind w:left="0"/>
      </w:pPr>
    </w:p>
    <w:p w14:paraId="06252B11" w14:textId="48002AEA" w:rsidR="005B69F5" w:rsidRPr="00746ACE" w:rsidRDefault="00E01569" w:rsidP="00E01569">
      <w:pPr>
        <w:pStyle w:val="Ttulo3"/>
        <w:rPr>
          <w:rFonts w:cs="Times New Roman"/>
          <w:color w:val="auto"/>
          <w:sz w:val="28"/>
        </w:rPr>
      </w:pPr>
      <w:bookmarkStart w:id="37" w:name="_Toc233384187"/>
      <w:r w:rsidRPr="00746ACE">
        <w:rPr>
          <w:rFonts w:cs="Times New Roman"/>
          <w:color w:val="auto"/>
          <w:sz w:val="28"/>
          <w:szCs w:val="28"/>
        </w:rPr>
        <w:t>Conclusiones sobre el principio de legalidad y el juez transicional</w:t>
      </w:r>
      <w:bookmarkEnd w:id="37"/>
      <w:r w:rsidRPr="00746ACE">
        <w:rPr>
          <w:rFonts w:cs="Times New Roman"/>
          <w:color w:val="auto"/>
          <w:sz w:val="28"/>
          <w:szCs w:val="28"/>
        </w:rPr>
        <w:t xml:space="preserve"> </w:t>
      </w:r>
      <w:r w:rsidR="005B69F5" w:rsidRPr="00746ACE">
        <w:rPr>
          <w:rFonts w:cs="Times New Roman"/>
          <w:color w:val="auto"/>
          <w:sz w:val="28"/>
        </w:rPr>
        <w:t xml:space="preserve"> </w:t>
      </w:r>
    </w:p>
    <w:p w14:paraId="0E34D4BC" w14:textId="77777777" w:rsidR="00E01569" w:rsidRPr="00746ACE" w:rsidRDefault="00E01569" w:rsidP="00E01569">
      <w:pPr>
        <w:rPr>
          <w:lang w:val="es-CO" w:eastAsia="es-ES_tradnl"/>
        </w:rPr>
      </w:pPr>
    </w:p>
    <w:p w14:paraId="7A0C228F" w14:textId="06D3CB26" w:rsidR="00F65917" w:rsidRPr="00746ACE" w:rsidRDefault="00AE67C8" w:rsidP="00D62ABF">
      <w:pPr>
        <w:pStyle w:val="Prrafodelista"/>
        <w:widowControl w:val="0"/>
        <w:numPr>
          <w:ilvl w:val="0"/>
          <w:numId w:val="7"/>
        </w:numPr>
      </w:pPr>
      <w:r w:rsidRPr="00746ACE">
        <w:rPr>
          <w:lang w:eastAsia="es-MX"/>
        </w:rPr>
        <w:t>A partir d</w:t>
      </w:r>
      <w:r w:rsidR="00A91FC8" w:rsidRPr="00746ACE">
        <w:rPr>
          <w:lang w:eastAsia="es-MX"/>
        </w:rPr>
        <w:t xml:space="preserve">el recuento </w:t>
      </w:r>
      <w:r w:rsidRPr="00746ACE">
        <w:rPr>
          <w:lang w:eastAsia="es-MX"/>
        </w:rPr>
        <w:t>jurisprudencial</w:t>
      </w:r>
      <w:r w:rsidR="005A4036" w:rsidRPr="00746ACE">
        <w:rPr>
          <w:lang w:eastAsia="es-MX"/>
        </w:rPr>
        <w:t xml:space="preserve"> sobre </w:t>
      </w:r>
      <w:r w:rsidR="002B42AA" w:rsidRPr="00746ACE">
        <w:rPr>
          <w:lang w:eastAsia="es-MX"/>
        </w:rPr>
        <w:t>el</w:t>
      </w:r>
      <w:r w:rsidR="005A4036" w:rsidRPr="00746ACE">
        <w:rPr>
          <w:lang w:eastAsia="es-MX"/>
        </w:rPr>
        <w:t xml:space="preserve"> principio de legalidad en la JEP </w:t>
      </w:r>
      <w:r w:rsidRPr="00746ACE">
        <w:rPr>
          <w:lang w:eastAsia="es-MX"/>
        </w:rPr>
        <w:t>la Corte concluye</w:t>
      </w:r>
      <w:r w:rsidR="005A4036" w:rsidRPr="00746ACE">
        <w:rPr>
          <w:lang w:eastAsia="es-MX"/>
        </w:rPr>
        <w:t xml:space="preserve"> que </w:t>
      </w:r>
      <w:r w:rsidR="002B42AA" w:rsidRPr="00746ACE">
        <w:rPr>
          <w:lang w:eastAsia="es-MX"/>
        </w:rPr>
        <w:t>dicho principio</w:t>
      </w:r>
      <w:r w:rsidR="00F65917" w:rsidRPr="00746ACE">
        <w:rPr>
          <w:lang w:eastAsia="es-MX"/>
        </w:rPr>
        <w:t xml:space="preserve"> no se opone a la existencia de un amplio margen de interpretación y aplicación en cabeza del juez transicional</w:t>
      </w:r>
      <w:r w:rsidR="00121503" w:rsidRPr="00746ACE">
        <w:rPr>
          <w:lang w:eastAsia="es-MX"/>
        </w:rPr>
        <w:t>. Esto ocurre</w:t>
      </w:r>
      <w:r w:rsidR="00F65917" w:rsidRPr="00746ACE">
        <w:rPr>
          <w:lang w:eastAsia="es-MX"/>
        </w:rPr>
        <w:t xml:space="preserve"> no solo porque todo juez cuenta con la potestad de interpretar el derecho, sino también porque las normas </w:t>
      </w:r>
      <w:r w:rsidR="00121503" w:rsidRPr="00746ACE">
        <w:rPr>
          <w:lang w:eastAsia="es-MX"/>
        </w:rPr>
        <w:t xml:space="preserve">que rigen </w:t>
      </w:r>
      <w:r w:rsidR="00F65917" w:rsidRPr="00746ACE">
        <w:rPr>
          <w:lang w:eastAsia="es-MX"/>
        </w:rPr>
        <w:t>la JEP son complejas y el conflicto</w:t>
      </w:r>
      <w:r w:rsidR="00121503" w:rsidRPr="00746ACE">
        <w:rPr>
          <w:lang w:eastAsia="es-MX"/>
        </w:rPr>
        <w:t xml:space="preserve"> armado -</w:t>
      </w:r>
      <w:r w:rsidR="00F65917" w:rsidRPr="00746ACE">
        <w:rPr>
          <w:lang w:eastAsia="es-MX"/>
        </w:rPr>
        <w:t>profundo y degradado</w:t>
      </w:r>
      <w:r w:rsidR="00121503" w:rsidRPr="00746ACE">
        <w:rPr>
          <w:lang w:eastAsia="es-MX"/>
        </w:rPr>
        <w:t>-</w:t>
      </w:r>
      <w:r w:rsidR="00F65917" w:rsidRPr="00746ACE">
        <w:rPr>
          <w:lang w:eastAsia="es-MX"/>
        </w:rPr>
        <w:t xml:space="preserve"> </w:t>
      </w:r>
      <w:r w:rsidR="00121503" w:rsidRPr="00746ACE">
        <w:rPr>
          <w:lang w:eastAsia="es-MX"/>
        </w:rPr>
        <w:t>plantea</w:t>
      </w:r>
      <w:r w:rsidR="00F65917" w:rsidRPr="00746ACE">
        <w:rPr>
          <w:lang w:eastAsia="es-MX"/>
        </w:rPr>
        <w:t xml:space="preserve"> problemas jurídicos</w:t>
      </w:r>
      <w:r w:rsidR="00121503" w:rsidRPr="00746ACE">
        <w:rPr>
          <w:lang w:eastAsia="es-MX"/>
        </w:rPr>
        <w:t xml:space="preserve"> difíciles de anticipar por el </w:t>
      </w:r>
      <w:r w:rsidR="00F65917" w:rsidRPr="00746ACE">
        <w:rPr>
          <w:lang w:eastAsia="es-MX"/>
        </w:rPr>
        <w:t xml:space="preserve">legislador. </w:t>
      </w:r>
      <w:r w:rsidR="00121503" w:rsidRPr="00746ACE">
        <w:rPr>
          <w:lang w:eastAsia="es-MX"/>
        </w:rPr>
        <w:t>De allí surge un dilema que atraviesa los</w:t>
      </w:r>
      <w:r w:rsidR="00F65917" w:rsidRPr="00746ACE">
        <w:rPr>
          <w:lang w:eastAsia="es-MX"/>
        </w:rPr>
        <w:t xml:space="preserve"> problemas jurídicos planteados</w:t>
      </w:r>
      <w:r w:rsidR="00121503" w:rsidRPr="00746ACE">
        <w:rPr>
          <w:lang w:eastAsia="es-MX"/>
        </w:rPr>
        <w:t xml:space="preserve"> en esta demanda</w:t>
      </w:r>
      <w:r w:rsidR="00F65917" w:rsidRPr="00746ACE">
        <w:rPr>
          <w:lang w:eastAsia="es-MX"/>
        </w:rPr>
        <w:t xml:space="preserve">: </w:t>
      </w:r>
      <w:r w:rsidR="00121503" w:rsidRPr="00746ACE">
        <w:rPr>
          <w:lang w:eastAsia="es-MX"/>
        </w:rPr>
        <w:t xml:space="preserve">determinar </w:t>
      </w:r>
      <w:r w:rsidR="00F65917" w:rsidRPr="00746ACE">
        <w:rPr>
          <w:lang w:eastAsia="es-MX"/>
        </w:rPr>
        <w:t xml:space="preserve">si la JEP creó un concepto por fuera del marco jurídico </w:t>
      </w:r>
      <w:r w:rsidR="00121503" w:rsidRPr="00746ACE">
        <w:rPr>
          <w:lang w:eastAsia="es-MX"/>
        </w:rPr>
        <w:t xml:space="preserve">vigente </w:t>
      </w:r>
      <w:r w:rsidR="00F65917" w:rsidRPr="00746ACE">
        <w:rPr>
          <w:lang w:eastAsia="es-MX"/>
        </w:rPr>
        <w:t>o si</w:t>
      </w:r>
      <w:r w:rsidR="00121503" w:rsidRPr="00746ACE">
        <w:rPr>
          <w:lang w:eastAsia="es-MX"/>
        </w:rPr>
        <w:t xml:space="preserve">, por el contrario, desarrolló </w:t>
      </w:r>
      <w:r w:rsidR="00F65917" w:rsidRPr="00746ACE">
        <w:rPr>
          <w:lang w:eastAsia="es-MX"/>
        </w:rPr>
        <w:t>ese marco</w:t>
      </w:r>
      <w:r w:rsidR="008E3C7B" w:rsidRPr="00746ACE">
        <w:rPr>
          <w:lang w:eastAsia="es-MX"/>
        </w:rPr>
        <w:t xml:space="preserve"> </w:t>
      </w:r>
      <w:r w:rsidR="00F65917" w:rsidRPr="00746ACE">
        <w:rPr>
          <w:lang w:eastAsia="es-MX"/>
        </w:rPr>
        <w:t>en ejercicio de su misión institucional</w:t>
      </w:r>
      <w:r w:rsidR="008E3C7B" w:rsidRPr="00746ACE">
        <w:rPr>
          <w:lang w:eastAsia="es-MX"/>
        </w:rPr>
        <w:t xml:space="preserve">. Esta </w:t>
      </w:r>
      <w:r w:rsidR="00CF71DC" w:rsidRPr="00746ACE">
        <w:rPr>
          <w:lang w:eastAsia="es-MX"/>
        </w:rPr>
        <w:t xml:space="preserve">pregunta </w:t>
      </w:r>
      <w:r w:rsidR="008E3C7B" w:rsidRPr="00746ACE">
        <w:rPr>
          <w:lang w:eastAsia="es-MX"/>
        </w:rPr>
        <w:t xml:space="preserve">orientará </w:t>
      </w:r>
      <w:r w:rsidR="00CF71DC" w:rsidRPr="00746ACE">
        <w:rPr>
          <w:lang w:eastAsia="es-MX"/>
        </w:rPr>
        <w:t xml:space="preserve">el estudio de dos de los cargos </w:t>
      </w:r>
      <w:r w:rsidR="008E3C7B" w:rsidRPr="00746ACE">
        <w:rPr>
          <w:lang w:eastAsia="es-MX"/>
        </w:rPr>
        <w:t>formulados por los demandantes</w:t>
      </w:r>
      <w:r w:rsidR="002B42AA" w:rsidRPr="00746ACE">
        <w:rPr>
          <w:lang w:eastAsia="es-MX"/>
        </w:rPr>
        <w:t xml:space="preserve"> relacionados con el principio de legalidad</w:t>
      </w:r>
      <w:r w:rsidR="00CF71DC" w:rsidRPr="00746ACE">
        <w:rPr>
          <w:lang w:eastAsia="es-MX"/>
        </w:rPr>
        <w:t>.</w:t>
      </w:r>
    </w:p>
    <w:p w14:paraId="725D7DBE" w14:textId="77777777" w:rsidR="00121503" w:rsidRPr="00746ACE" w:rsidRDefault="00121503" w:rsidP="006A2C55">
      <w:pPr>
        <w:widowControl w:val="0"/>
      </w:pPr>
    </w:p>
    <w:p w14:paraId="365616B3" w14:textId="6E7702E8" w:rsidR="00F65917" w:rsidRPr="00746ACE" w:rsidRDefault="00F65917" w:rsidP="00FC0DFB">
      <w:pPr>
        <w:pStyle w:val="Prrafodelista"/>
        <w:widowControl w:val="0"/>
        <w:numPr>
          <w:ilvl w:val="0"/>
          <w:numId w:val="7"/>
        </w:numPr>
      </w:pPr>
      <w:r w:rsidRPr="00746ACE">
        <w:t xml:space="preserve">Por último, el principio de legalidad exige </w:t>
      </w:r>
      <w:r w:rsidR="00CF71DC" w:rsidRPr="00746ACE">
        <w:t xml:space="preserve">un nivel adecuado de </w:t>
      </w:r>
      <w:r w:rsidRPr="00746ACE">
        <w:t>claridad en las normas jurídicas. Este requisito es particularmente intenso en la dimensión punitiva del derecho penal (es decir, en la definición del precepto que establece un delito), aunque cede o se torna más amplio en aspectos que no son punitivos</w:t>
      </w:r>
      <w:r w:rsidR="004077A3" w:rsidRPr="00746ACE">
        <w:rPr>
          <w:rStyle w:val="Refdenotaalpie"/>
        </w:rPr>
        <w:footnoteReference w:id="70"/>
      </w:r>
      <w:r w:rsidRPr="00746ACE">
        <w:t xml:space="preserve">. </w:t>
      </w:r>
      <w:r w:rsidR="004077A3" w:rsidRPr="00746ACE">
        <w:t>Con todo, l</w:t>
      </w:r>
      <w:r w:rsidRPr="00746ACE">
        <w:t>a determinación de la ley</w:t>
      </w:r>
      <w:r w:rsidR="00C1467F" w:rsidRPr="00746ACE">
        <w:t xml:space="preserve"> </w:t>
      </w:r>
      <w:r w:rsidRPr="00746ACE">
        <w:t>nunca es absoluta</w:t>
      </w:r>
      <w:r w:rsidR="00C1467F" w:rsidRPr="00746ACE">
        <w:t xml:space="preserve">, lo que significa que, </w:t>
      </w:r>
      <w:r w:rsidR="00934405" w:rsidRPr="00746ACE">
        <w:t>aun</w:t>
      </w:r>
      <w:r w:rsidR="00C1467F" w:rsidRPr="00746ACE">
        <w:t xml:space="preserve"> cuando el Congreso de la República realiza una definición depurada de los supuestos de hecho de una regla, como ocurre en la dimensión sancionatoria del derecho penal, existen márgenes de interpretación que deben ser colmados por el juez</w:t>
      </w:r>
      <w:r w:rsidR="000241DC" w:rsidRPr="00746ACE">
        <w:rPr>
          <w:rStyle w:val="Refdenotaalpie"/>
        </w:rPr>
        <w:footnoteReference w:id="71"/>
      </w:r>
      <w:r w:rsidR="00C1467F" w:rsidRPr="00746ACE">
        <w:t xml:space="preserve">. </w:t>
      </w:r>
    </w:p>
    <w:p w14:paraId="1FB19BA9" w14:textId="77777777" w:rsidR="00F65917" w:rsidRPr="00746ACE" w:rsidRDefault="00F65917" w:rsidP="000561B7">
      <w:pPr>
        <w:widowControl w:val="0"/>
      </w:pPr>
    </w:p>
    <w:p w14:paraId="7BAD5292" w14:textId="2E3E00E8" w:rsidR="00F65917" w:rsidRPr="00746ACE" w:rsidRDefault="00CF71DC" w:rsidP="00FC0DFB">
      <w:pPr>
        <w:pStyle w:val="Prrafodelista"/>
        <w:widowControl w:val="0"/>
        <w:numPr>
          <w:ilvl w:val="0"/>
          <w:numId w:val="7"/>
        </w:numPr>
      </w:pPr>
      <w:r w:rsidRPr="00746ACE">
        <w:t xml:space="preserve">Así, </w:t>
      </w:r>
      <w:r w:rsidR="008E3C7B" w:rsidRPr="00746ACE">
        <w:t>en el ordenamiento</w:t>
      </w:r>
      <w:r w:rsidR="00F65917" w:rsidRPr="00746ACE">
        <w:t xml:space="preserve"> jurídico existen múltiples </w:t>
      </w:r>
      <w:r w:rsidR="008E3C7B" w:rsidRPr="00746ACE">
        <w:t>normas que emplean conceptos de contenido</w:t>
      </w:r>
      <w:r w:rsidR="00F65917" w:rsidRPr="00746ACE">
        <w:t xml:space="preserve"> indeterminado o de textura abierta</w:t>
      </w:r>
      <w:r w:rsidR="008E3C7B" w:rsidRPr="00746ACE">
        <w:t xml:space="preserve">. No obstante, </w:t>
      </w:r>
      <w:r w:rsidR="00F65917" w:rsidRPr="00746ACE">
        <w:t xml:space="preserve">la jurisprudencia constitucional ha señalado que (i) los conceptos jurídicos indeterminados no </w:t>
      </w:r>
      <w:r w:rsidR="00377D4B" w:rsidRPr="00746ACE">
        <w:t xml:space="preserve">necesariamente </w:t>
      </w:r>
      <w:r w:rsidR="00F65917" w:rsidRPr="00746ACE">
        <w:t xml:space="preserve">suponen </w:t>
      </w:r>
      <w:r w:rsidR="00185624" w:rsidRPr="00746ACE">
        <w:t xml:space="preserve">el ejercicio de una </w:t>
      </w:r>
      <w:r w:rsidR="00F65917" w:rsidRPr="00746ACE">
        <w:t xml:space="preserve">discrecionalidad </w:t>
      </w:r>
      <w:r w:rsidR="00185624" w:rsidRPr="00746ACE">
        <w:t xml:space="preserve">ilimitada por parte </w:t>
      </w:r>
      <w:r w:rsidR="00F65917" w:rsidRPr="00746ACE">
        <w:t xml:space="preserve">de las autoridades; (ii) </w:t>
      </w:r>
      <w:r w:rsidR="008E3C7B" w:rsidRPr="00746ACE">
        <w:t xml:space="preserve">aunque </w:t>
      </w:r>
      <w:r w:rsidR="00185624" w:rsidRPr="00746ACE">
        <w:t xml:space="preserve">es admisible </w:t>
      </w:r>
      <w:r w:rsidR="00F65917" w:rsidRPr="00746ACE">
        <w:t xml:space="preserve">cierto grado de indeterminación y ambigüedad en el lenguaje jurídico, </w:t>
      </w:r>
      <w:r w:rsidR="008E3C7B" w:rsidRPr="00746ACE">
        <w:t xml:space="preserve">debe evitarse </w:t>
      </w:r>
      <w:r w:rsidR="00F65917" w:rsidRPr="00746ACE">
        <w:t xml:space="preserve">el uso de conceptos </w:t>
      </w:r>
      <w:r w:rsidR="008E3C7B" w:rsidRPr="00746ACE">
        <w:t xml:space="preserve">cuyo nivel </w:t>
      </w:r>
      <w:r w:rsidR="00F65917" w:rsidRPr="00746ACE">
        <w:t xml:space="preserve">de </w:t>
      </w:r>
      <w:r w:rsidR="00D845B3" w:rsidRPr="00746ACE">
        <w:t xml:space="preserve">indeterminación </w:t>
      </w:r>
      <w:r w:rsidR="008E3C7B" w:rsidRPr="00746ACE">
        <w:t>afecte</w:t>
      </w:r>
      <w:r w:rsidR="00F65917" w:rsidRPr="00746ACE">
        <w:t xml:space="preserve"> la certeza del derecho y lleve a interpretaci</w:t>
      </w:r>
      <w:r w:rsidR="008E3C7B" w:rsidRPr="00746ACE">
        <w:t>ones</w:t>
      </w:r>
      <w:r w:rsidR="00F65917" w:rsidRPr="00746ACE">
        <w:t xml:space="preserve"> absolutamente discrecional</w:t>
      </w:r>
      <w:r w:rsidR="008E3C7B" w:rsidRPr="00746ACE">
        <w:t>es</w:t>
      </w:r>
      <w:r w:rsidR="00377D4B" w:rsidRPr="00746ACE">
        <w:t>, en especial, en el marco del derecho penal</w:t>
      </w:r>
      <w:r w:rsidR="00F65917" w:rsidRPr="00746ACE">
        <w:t xml:space="preserve">; (iii) cuando </w:t>
      </w:r>
      <w:r w:rsidR="008E3C7B" w:rsidRPr="00746ACE">
        <w:t>un</w:t>
      </w:r>
      <w:r w:rsidR="00F65917" w:rsidRPr="00746ACE">
        <w:t xml:space="preserve"> concepto es tan </w:t>
      </w:r>
      <w:r w:rsidR="00D03BA0" w:rsidRPr="00746ACE">
        <w:t>vago</w:t>
      </w:r>
      <w:r w:rsidR="00F65917" w:rsidRPr="00746ACE">
        <w:t xml:space="preserve"> que no puede </w:t>
      </w:r>
      <w:r w:rsidR="008E3C7B" w:rsidRPr="00746ACE">
        <w:t>concretarse</w:t>
      </w:r>
      <w:r w:rsidR="00F65917" w:rsidRPr="00746ACE">
        <w:t xml:space="preserve"> </w:t>
      </w:r>
      <w:r w:rsidR="003F0419" w:rsidRPr="00746ACE">
        <w:t xml:space="preserve">de manera razonable con </w:t>
      </w:r>
      <w:r w:rsidR="00F65917" w:rsidRPr="00746ACE">
        <w:t xml:space="preserve">las herramientas interpretativas que ofrece el propio ordenamiento jurídico, se desconoce el principio de legalidad; y (iv) en materia sancionatoria, ya sea penal o disciplinaria, la exigencia de certeza sobre el supuesto de hecho de una norma es </w:t>
      </w:r>
      <w:r w:rsidR="008E3C7B" w:rsidRPr="00746ACE">
        <w:t>más estricta</w:t>
      </w:r>
      <w:r w:rsidR="00F65917" w:rsidRPr="00746ACE">
        <w:t xml:space="preserve">, </w:t>
      </w:r>
      <w:r w:rsidR="008E3C7B" w:rsidRPr="00746ACE">
        <w:t>pues su</w:t>
      </w:r>
      <w:r w:rsidR="00F65917" w:rsidRPr="00746ACE">
        <w:t xml:space="preserve"> aplicación puede implicar una afectación </w:t>
      </w:r>
      <w:r w:rsidR="008E3C7B" w:rsidRPr="00746ACE">
        <w:t>intensa</w:t>
      </w:r>
      <w:r w:rsidR="00F65917" w:rsidRPr="00746ACE">
        <w:t xml:space="preserve"> de los derechos y libertades constitucionalmente protegid</w:t>
      </w:r>
      <w:r w:rsidR="008E3C7B" w:rsidRPr="00746ACE">
        <w:t>o</w:t>
      </w:r>
      <w:r w:rsidR="00F65917" w:rsidRPr="00746ACE">
        <w:t>s</w:t>
      </w:r>
      <w:r w:rsidR="00F65917" w:rsidRPr="00746ACE">
        <w:rPr>
          <w:vertAlign w:val="superscript"/>
        </w:rPr>
        <w:footnoteReference w:id="72"/>
      </w:r>
      <w:r w:rsidR="00F65917" w:rsidRPr="00746ACE">
        <w:t>.</w:t>
      </w:r>
    </w:p>
    <w:p w14:paraId="6DA9E529" w14:textId="77777777" w:rsidR="008E3C7B" w:rsidRPr="00746ACE" w:rsidRDefault="008E3C7B" w:rsidP="006A2C55">
      <w:pPr>
        <w:widowControl w:val="0"/>
      </w:pPr>
    </w:p>
    <w:p w14:paraId="4FE5436C" w14:textId="75972E33" w:rsidR="00C1467F" w:rsidRPr="00746ACE" w:rsidRDefault="00F65917" w:rsidP="00FC0DFB">
      <w:pPr>
        <w:pStyle w:val="Prrafodelista"/>
        <w:widowControl w:val="0"/>
        <w:numPr>
          <w:ilvl w:val="0"/>
          <w:numId w:val="7"/>
        </w:numPr>
      </w:pPr>
      <w:r w:rsidRPr="00746ACE">
        <w:t xml:space="preserve">Como se ha indicado, en la justicia transicional </w:t>
      </w:r>
      <w:r w:rsidR="00CF71DC" w:rsidRPr="00746ACE">
        <w:t xml:space="preserve">es admisible adscribir </w:t>
      </w:r>
      <w:r w:rsidRPr="00746ACE">
        <w:t xml:space="preserve">un </w:t>
      </w:r>
      <w:r w:rsidR="00CF71DC" w:rsidRPr="00746ACE">
        <w:t xml:space="preserve">contenido </w:t>
      </w:r>
      <w:r w:rsidRPr="00746ACE">
        <w:t xml:space="preserve">amplio del principio de legalidad. Sin embargo, un nivel mínimo de claridad en las reglas de juego es imprescindible para la estabilidad del proceso y para la satisfacción de sus fines. </w:t>
      </w:r>
      <w:r w:rsidR="00D03BA0" w:rsidRPr="00746ACE">
        <w:t>En el acápite anterior se explicaron diversas adecuaciones del principio de legalidad a los fines del sistema integral de paz;</w:t>
      </w:r>
      <w:r w:rsidR="00C1467F" w:rsidRPr="00746ACE">
        <w:t xml:space="preserve"> </w:t>
      </w:r>
      <w:r w:rsidR="00AA7069" w:rsidRPr="00746ACE">
        <w:t xml:space="preserve">No obstante, </w:t>
      </w:r>
      <w:r w:rsidR="00C1467F" w:rsidRPr="00746ACE">
        <w:t xml:space="preserve">para garantizar seguridad jurídica en temas </w:t>
      </w:r>
      <w:r w:rsidR="00377D4B" w:rsidRPr="00746ACE">
        <w:t>tan relevantes para la transición como la comprensión profunda de los crímenes, los estándares de prueba aplicados por la jurisdicción, la reparación a las víctimas, la reintegración de los comparecientes o la transformación de las condiciones que propiciaron el conflicto</w:t>
      </w:r>
      <w:r w:rsidR="009455E0" w:rsidRPr="00746ACE">
        <w:t xml:space="preserve"> es necesario también el mínimo de certeza mencionado.</w:t>
      </w:r>
    </w:p>
    <w:p w14:paraId="55555808" w14:textId="77777777" w:rsidR="00F65917" w:rsidRPr="00746ACE" w:rsidRDefault="00F65917" w:rsidP="00377D4B">
      <w:pPr>
        <w:widowControl w:val="0"/>
      </w:pPr>
    </w:p>
    <w:p w14:paraId="461F1E85" w14:textId="6E068E8A" w:rsidR="00F65917" w:rsidRPr="00746ACE" w:rsidRDefault="00F65917" w:rsidP="00FC0DFB">
      <w:pPr>
        <w:pStyle w:val="Prrafodelista"/>
        <w:widowControl w:val="0"/>
        <w:numPr>
          <w:ilvl w:val="0"/>
          <w:numId w:val="7"/>
        </w:numPr>
      </w:pPr>
      <w:r w:rsidRPr="00746ACE">
        <w:t>En el caso analizado, es importante resaltar que</w:t>
      </w:r>
      <w:r w:rsidR="00CF71DC" w:rsidRPr="00746ACE">
        <w:t>,</w:t>
      </w:r>
      <w:r w:rsidRPr="00746ACE">
        <w:t xml:space="preserve"> si bien </w:t>
      </w:r>
      <w:r w:rsidR="00CF71DC" w:rsidRPr="00746ACE">
        <w:t xml:space="preserve">la Sección de Apelación </w:t>
      </w:r>
      <w:r w:rsidRPr="00746ACE">
        <w:t>cuenta con facultades interpretativas amplias, asociadas a una comprensión amplia del principio de legalidad, lo cierto es que estas capacidades no son absolutas, sino que deben respetar límites constitucionales. En concreto, las autoridades judiciales no pueden crear conceptos de una indeterminación tal</w:t>
      </w:r>
      <w:r w:rsidR="00CF71DC" w:rsidRPr="00746ACE">
        <w:t>,</w:t>
      </w:r>
      <w:r w:rsidRPr="00746ACE">
        <w:t xml:space="preserve"> que </w:t>
      </w:r>
      <w:r w:rsidR="00CF71DC" w:rsidRPr="00746ACE">
        <w:t xml:space="preserve">resulte imposible concretar su sentido </w:t>
      </w:r>
      <w:r w:rsidRPr="00746ACE">
        <w:t>con herramientas interpretativas que ofrece el propio ordenamiento jurídico. En los casos en los que esto ocurre se vulnera el principio de legalidad.</w:t>
      </w:r>
    </w:p>
    <w:p w14:paraId="1A506FBE" w14:textId="77777777" w:rsidR="00F65917" w:rsidRPr="00746ACE" w:rsidRDefault="00F65917" w:rsidP="00740B81">
      <w:pPr>
        <w:widowControl w:val="0"/>
        <w:rPr>
          <w:lang w:eastAsia="es-MX"/>
        </w:rPr>
      </w:pPr>
    </w:p>
    <w:p w14:paraId="379B51AD" w14:textId="25D32865" w:rsidR="00F65917" w:rsidRPr="00746ACE" w:rsidRDefault="00F65917" w:rsidP="00D62ABF">
      <w:pPr>
        <w:pStyle w:val="Prrafodelista"/>
        <w:widowControl w:val="0"/>
        <w:numPr>
          <w:ilvl w:val="0"/>
          <w:numId w:val="7"/>
        </w:numPr>
        <w:rPr>
          <w:lang w:eastAsia="es-ES"/>
        </w:rPr>
      </w:pPr>
      <w:r w:rsidRPr="00746ACE">
        <w:t xml:space="preserve">A partir de las distintas esferas del principio de legalidad, la </w:t>
      </w:r>
      <w:r w:rsidR="00F36397" w:rsidRPr="00746ACE">
        <w:t xml:space="preserve">Corte </w:t>
      </w:r>
      <w:r w:rsidR="00A33A87" w:rsidRPr="00746ACE">
        <w:t>adopta las siguientes subreglas de análisis constitucional sobre la potestad interpretativa que la LEJEP</w:t>
      </w:r>
      <w:r w:rsidR="00757745" w:rsidRPr="00746ACE">
        <w:t xml:space="preserve"> le</w:t>
      </w:r>
      <w:r w:rsidR="00A33A87" w:rsidRPr="00746ACE">
        <w:t xml:space="preserve"> reconoce a la Sección de Apelación:</w:t>
      </w:r>
      <w:r w:rsidRPr="00746ACE">
        <w:t xml:space="preserve"> </w:t>
      </w:r>
      <w:r w:rsidRPr="00746ACE">
        <w:rPr>
          <w:lang w:eastAsia="es-MX"/>
        </w:rPr>
        <w:t>(i) la facultad</w:t>
      </w:r>
      <w:r w:rsidR="00E01569" w:rsidRPr="00746ACE">
        <w:rPr>
          <w:lang w:eastAsia="es-MX"/>
        </w:rPr>
        <w:t xml:space="preserve"> de interpretar las normas del sistema</w:t>
      </w:r>
      <w:r w:rsidRPr="00746ACE">
        <w:rPr>
          <w:lang w:eastAsia="es-MX"/>
        </w:rPr>
        <w:t xml:space="preserve"> encuentra un límite definitivo en el principio constitucional </w:t>
      </w:r>
      <w:r w:rsidR="00130D46" w:rsidRPr="00746ACE">
        <w:rPr>
          <w:lang w:eastAsia="es-MX"/>
        </w:rPr>
        <w:t xml:space="preserve">y transicional </w:t>
      </w:r>
      <w:r w:rsidRPr="00746ACE">
        <w:rPr>
          <w:lang w:eastAsia="es-MX"/>
        </w:rPr>
        <w:t xml:space="preserve">de </w:t>
      </w:r>
      <w:r w:rsidRPr="00746ACE">
        <w:rPr>
          <w:i/>
          <w:lang w:eastAsia="es-MX"/>
        </w:rPr>
        <w:t>selección</w:t>
      </w:r>
      <w:r w:rsidR="00D03BA0" w:rsidRPr="00746ACE">
        <w:rPr>
          <w:i/>
          <w:lang w:eastAsia="es-MX"/>
        </w:rPr>
        <w:t xml:space="preserve">, </w:t>
      </w:r>
      <w:r w:rsidR="00D03BA0" w:rsidRPr="00746ACE">
        <w:rPr>
          <w:iCs/>
          <w:lang w:eastAsia="es-MX"/>
        </w:rPr>
        <w:t>herramienta esencial de la justicia transicional, entendida</w:t>
      </w:r>
      <w:r w:rsidRPr="00746ACE">
        <w:rPr>
          <w:i/>
          <w:lang w:eastAsia="es-MX"/>
        </w:rPr>
        <w:t xml:space="preserve"> </w:t>
      </w:r>
      <w:r w:rsidRPr="00746ACE">
        <w:rPr>
          <w:lang w:eastAsia="es-MX"/>
        </w:rPr>
        <w:t>como concentración de la investigación en los máximos responsables de los crímenes más graves y representativos; (ii) la Sección de Apelación debe respetar la ley estatutaria de administración de justicia en lo que tiene que ver con los criterios de selección</w:t>
      </w:r>
      <w:r w:rsidRPr="00746ACE">
        <w:rPr>
          <w:i/>
          <w:lang w:eastAsia="es-MX"/>
        </w:rPr>
        <w:t xml:space="preserve"> </w:t>
      </w:r>
      <w:r w:rsidRPr="00746ACE">
        <w:rPr>
          <w:lang w:eastAsia="es-MX"/>
        </w:rPr>
        <w:t xml:space="preserve">y las funciones que allí se definen para las salas y secciones de la JEP, aunque cuenta con su facultad ordinaria de interpretación de estas normas en casos de dudas, vacíos o contradicciones; y (iii) la JEP cuenta con un margen más amplio de interpretación en asuntos propios de la transición como la adecuación de la conducta o la participación en los crímenes, así como en las reglas procedimentales del sistema. </w:t>
      </w:r>
    </w:p>
    <w:p w14:paraId="2C4D5C6D" w14:textId="77777777" w:rsidR="000955AA" w:rsidRPr="00746ACE" w:rsidRDefault="000955AA" w:rsidP="00E01569">
      <w:pPr>
        <w:widowControl w:val="0"/>
      </w:pPr>
    </w:p>
    <w:p w14:paraId="741387CB" w14:textId="7845693B" w:rsidR="000955AA" w:rsidRPr="00746ACE" w:rsidRDefault="00960734" w:rsidP="00FC0DFB">
      <w:pPr>
        <w:pStyle w:val="Prrafodelista"/>
        <w:widowControl w:val="0"/>
        <w:numPr>
          <w:ilvl w:val="0"/>
          <w:numId w:val="7"/>
        </w:numPr>
      </w:pPr>
      <w:r w:rsidRPr="00746ACE">
        <w:t xml:space="preserve">Como se verá al abordar el estudio de fondo, estos aspectos se relacionan con distintas </w:t>
      </w:r>
      <w:r w:rsidR="004234B4" w:rsidRPr="00746ACE">
        <w:t xml:space="preserve">facetas del principio de legalidad como interdicción de arbitrariedad, </w:t>
      </w:r>
      <w:r w:rsidR="00941E5A" w:rsidRPr="00746ACE">
        <w:t xml:space="preserve">la </w:t>
      </w:r>
      <w:r w:rsidR="004234B4" w:rsidRPr="00746ACE">
        <w:t xml:space="preserve">sujeción de las autoridades a las normas sustantivas, </w:t>
      </w:r>
      <w:r w:rsidR="00F824D9" w:rsidRPr="00746ACE">
        <w:t xml:space="preserve">el principio de que no existe pena sin </w:t>
      </w:r>
      <w:r w:rsidR="00941E5A" w:rsidRPr="00746ACE">
        <w:t>delito previamente concebido jurídicamente</w:t>
      </w:r>
      <w:r w:rsidR="004234B4" w:rsidRPr="00746ACE">
        <w:t xml:space="preserve"> </w:t>
      </w:r>
      <w:r w:rsidR="00487B69" w:rsidRPr="00746ACE">
        <w:t>(</w:t>
      </w:r>
      <w:r w:rsidR="00941E5A" w:rsidRPr="00746ACE">
        <w:rPr>
          <w:i/>
          <w:iCs/>
        </w:rPr>
        <w:t>nulla poena sine crimen</w:t>
      </w:r>
      <w:r w:rsidR="00941E5A" w:rsidRPr="00746ACE">
        <w:t xml:space="preserve"> </w:t>
      </w:r>
      <w:r w:rsidR="00487B69" w:rsidRPr="00746ACE">
        <w:t xml:space="preserve">en la tipificación de conductas) y </w:t>
      </w:r>
      <w:r w:rsidR="00941E5A" w:rsidRPr="00746ACE">
        <w:t xml:space="preserve">la </w:t>
      </w:r>
      <w:r w:rsidR="00487B69" w:rsidRPr="00746ACE">
        <w:t xml:space="preserve">definición precisa de las categorías que pueden tener consecuencias sancionatorias. </w:t>
      </w:r>
    </w:p>
    <w:p w14:paraId="140EF907" w14:textId="77777777" w:rsidR="00F05A72" w:rsidRPr="00746ACE" w:rsidRDefault="00F05A72" w:rsidP="00FC0DFB">
      <w:pPr>
        <w:pStyle w:val="Prrafodelista"/>
        <w:widowControl w:val="0"/>
        <w:ind w:left="0"/>
      </w:pPr>
    </w:p>
    <w:p w14:paraId="629D3D3B" w14:textId="432580C0" w:rsidR="00AC38A5" w:rsidRPr="00746ACE" w:rsidRDefault="000F6E05" w:rsidP="00C12FA5">
      <w:pPr>
        <w:pStyle w:val="Ttulo2"/>
        <w:rPr>
          <w:rFonts w:cs="Times New Roman"/>
        </w:rPr>
      </w:pPr>
      <w:bookmarkStart w:id="38" w:name="_Toc233384188"/>
      <w:r w:rsidRPr="00746ACE">
        <w:rPr>
          <w:rFonts w:cs="Times New Roman"/>
        </w:rPr>
        <w:t xml:space="preserve">El </w:t>
      </w:r>
      <w:r w:rsidRPr="00746ACE">
        <w:rPr>
          <w:rFonts w:eastAsia="Times New Roman" w:cs="Times New Roman"/>
        </w:rPr>
        <w:t>principio</w:t>
      </w:r>
      <w:r w:rsidRPr="00746ACE">
        <w:rPr>
          <w:rFonts w:cs="Times New Roman"/>
        </w:rPr>
        <w:t xml:space="preserve"> </w:t>
      </w:r>
      <w:r w:rsidR="0019085B" w:rsidRPr="00746ACE">
        <w:rPr>
          <w:rFonts w:cs="Times New Roman"/>
        </w:rPr>
        <w:t xml:space="preserve">constitucional </w:t>
      </w:r>
      <w:r w:rsidR="00130D46" w:rsidRPr="00746ACE">
        <w:rPr>
          <w:rFonts w:cs="Times New Roman"/>
        </w:rPr>
        <w:t xml:space="preserve">y transicional </w:t>
      </w:r>
      <w:r w:rsidRPr="00746ACE">
        <w:rPr>
          <w:rFonts w:cs="Times New Roman"/>
        </w:rPr>
        <w:t>de selección en la justicia transicional</w:t>
      </w:r>
      <w:r w:rsidR="00D50C52" w:rsidRPr="00746ACE">
        <w:rPr>
          <w:rFonts w:cs="Times New Roman"/>
        </w:rPr>
        <w:t xml:space="preserve"> (artículos 66 transitorio de la Constitución Política</w:t>
      </w:r>
      <w:r w:rsidR="00130D46" w:rsidRPr="00746ACE">
        <w:rPr>
          <w:rFonts w:cs="Times New Roman"/>
        </w:rPr>
        <w:t xml:space="preserve">, modificado por el artículo </w:t>
      </w:r>
      <w:r w:rsidR="00D50C52" w:rsidRPr="00746ACE">
        <w:rPr>
          <w:rFonts w:cs="Times New Roman"/>
        </w:rPr>
        <w:t>3º</w:t>
      </w:r>
      <w:r w:rsidR="00130D46" w:rsidRPr="00746ACE">
        <w:rPr>
          <w:rFonts w:cs="Times New Roman"/>
        </w:rPr>
        <w:t xml:space="preserve"> transitorio </w:t>
      </w:r>
      <w:r w:rsidR="00D50C52" w:rsidRPr="00746ACE">
        <w:rPr>
          <w:rFonts w:cs="Times New Roman"/>
        </w:rPr>
        <w:t>Acto Legislativo 01 de 2017)</w:t>
      </w:r>
      <w:r w:rsidR="008C6E86" w:rsidRPr="00746ACE">
        <w:rPr>
          <w:rFonts w:cs="Times New Roman"/>
        </w:rPr>
        <w:t>.</w:t>
      </w:r>
      <w:bookmarkEnd w:id="38"/>
      <w:r w:rsidR="008C6E86" w:rsidRPr="00746ACE">
        <w:rPr>
          <w:rFonts w:cs="Times New Roman"/>
        </w:rPr>
        <w:t xml:space="preserve"> </w:t>
      </w:r>
    </w:p>
    <w:p w14:paraId="37C0495F" w14:textId="77777777" w:rsidR="000F6E05" w:rsidRPr="00746ACE" w:rsidRDefault="000F6E05" w:rsidP="00FC0DFB">
      <w:pPr>
        <w:pStyle w:val="Prrafodelista"/>
        <w:widowControl w:val="0"/>
        <w:ind w:left="0"/>
      </w:pPr>
    </w:p>
    <w:p w14:paraId="6F68318F" w14:textId="45D9AB88" w:rsidR="00783CBF" w:rsidRPr="00746ACE" w:rsidRDefault="0019085B" w:rsidP="00FC0DFB">
      <w:pPr>
        <w:pStyle w:val="Prrafodelista"/>
        <w:widowControl w:val="0"/>
        <w:numPr>
          <w:ilvl w:val="0"/>
          <w:numId w:val="7"/>
        </w:numPr>
      </w:pPr>
      <w:r w:rsidRPr="00746ACE">
        <w:t>L</w:t>
      </w:r>
      <w:r w:rsidR="00783CBF" w:rsidRPr="00746ACE">
        <w:t xml:space="preserve">os procesos de justicia transicional </w:t>
      </w:r>
      <w:r w:rsidRPr="00746ACE">
        <w:t xml:space="preserve">enfrentan el reto de pronunciarse sobre un </w:t>
      </w:r>
      <w:r w:rsidR="00783CBF" w:rsidRPr="00746ACE">
        <w:t>universo de crímenes, actores y víctimas involucrados en los conflictos</w:t>
      </w:r>
      <w:r w:rsidRPr="00746ACE">
        <w:t>, que alcanza dimensiones inabarcables para cualquier sistema ordinario de justicia.</w:t>
      </w:r>
      <w:r w:rsidR="00783CBF" w:rsidRPr="00746ACE">
        <w:t xml:space="preserve"> Este universo </w:t>
      </w:r>
      <w:r w:rsidRPr="00746ACE">
        <w:t xml:space="preserve">hace </w:t>
      </w:r>
      <w:r w:rsidR="00783CBF" w:rsidRPr="00746ACE">
        <w:t xml:space="preserve">imposible procesar y sancionar a todos los responsables, teniendo en cuenta </w:t>
      </w:r>
      <w:r w:rsidRPr="00746ACE">
        <w:t xml:space="preserve">la </w:t>
      </w:r>
      <w:r w:rsidR="00783CBF" w:rsidRPr="00746ACE">
        <w:t xml:space="preserve">capacidad institucional y </w:t>
      </w:r>
      <w:r w:rsidRPr="00746ACE">
        <w:t xml:space="preserve">los </w:t>
      </w:r>
      <w:r w:rsidR="00783CBF" w:rsidRPr="00746ACE">
        <w:t xml:space="preserve">recursos </w:t>
      </w:r>
      <w:r w:rsidRPr="00746ACE">
        <w:t>limitados de un sistema de justicia transicional</w:t>
      </w:r>
      <w:r w:rsidR="00783CBF" w:rsidRPr="00746ACE">
        <w:t xml:space="preserve">. </w:t>
      </w:r>
    </w:p>
    <w:p w14:paraId="0B422A12" w14:textId="77777777" w:rsidR="00783CBF" w:rsidRPr="00746ACE" w:rsidRDefault="00783CBF" w:rsidP="00FC0DFB">
      <w:pPr>
        <w:pStyle w:val="Prrafodelista"/>
        <w:widowControl w:val="0"/>
        <w:ind w:left="0"/>
      </w:pPr>
    </w:p>
    <w:p w14:paraId="26D0244C" w14:textId="62BA001C" w:rsidR="00D254D8" w:rsidRPr="00746ACE" w:rsidRDefault="00783CBF" w:rsidP="00945FF9">
      <w:pPr>
        <w:pStyle w:val="Prrafodelista"/>
        <w:widowControl w:val="0"/>
        <w:numPr>
          <w:ilvl w:val="0"/>
          <w:numId w:val="7"/>
        </w:numPr>
      </w:pPr>
      <w:r w:rsidRPr="00746ACE">
        <w:t xml:space="preserve">El caso colombiano no es ajeno a este desafío. En efecto, </w:t>
      </w:r>
      <w:r w:rsidR="00D254D8" w:rsidRPr="00746ACE">
        <w:t>las estimaciones de</w:t>
      </w:r>
      <w:r w:rsidR="007D0557" w:rsidRPr="00746ACE">
        <w:t>l proyecto conjunto de</w:t>
      </w:r>
      <w:r w:rsidR="00D254D8" w:rsidRPr="00746ACE">
        <w:t xml:space="preserve"> la Comisión para el Esclarecimiento de la Verdad</w:t>
      </w:r>
      <w:r w:rsidR="007D0557" w:rsidRPr="00746ACE">
        <w:t>,</w:t>
      </w:r>
      <w:r w:rsidR="00D254D8" w:rsidRPr="00746ACE">
        <w:t xml:space="preserve"> la JEP</w:t>
      </w:r>
      <w:r w:rsidR="007D0557" w:rsidRPr="00746ACE">
        <w:t xml:space="preserve"> y </w:t>
      </w:r>
      <w:r w:rsidR="00D254D8" w:rsidRPr="00746ACE">
        <w:t>el Grupo de Análisis de Datos en Violaciones de Derechos Humanos (HRDAG)</w:t>
      </w:r>
      <w:r w:rsidR="001358A4" w:rsidRPr="00746ACE">
        <w:t xml:space="preserve"> </w:t>
      </w:r>
      <w:r w:rsidR="00D254D8" w:rsidRPr="00746ACE">
        <w:t>reportan</w:t>
      </w:r>
      <w:r w:rsidR="001358A4" w:rsidRPr="00746ACE">
        <w:t xml:space="preserve">: (i) </w:t>
      </w:r>
      <w:r w:rsidR="00945FF9" w:rsidRPr="00746ACE">
        <w:t xml:space="preserve"> 450.664 homicidios entre 1985 y 2018</w:t>
      </w:r>
      <w:r w:rsidR="001358A4" w:rsidRPr="00746ACE">
        <w:t>;</w:t>
      </w:r>
      <w:r w:rsidR="00945FF9" w:rsidRPr="00746ACE">
        <w:t xml:space="preserve"> </w:t>
      </w:r>
      <w:r w:rsidR="001358A4" w:rsidRPr="00746ACE">
        <w:t xml:space="preserve">(ii) </w:t>
      </w:r>
      <w:r w:rsidR="00945FF9" w:rsidRPr="00746ACE">
        <w:t>121.768 desapariciones forzadas entre 1985 y 2016</w:t>
      </w:r>
      <w:r w:rsidR="001358A4" w:rsidRPr="00746ACE">
        <w:t>;</w:t>
      </w:r>
      <w:r w:rsidR="00945FF9" w:rsidRPr="00746ACE">
        <w:t xml:space="preserve"> </w:t>
      </w:r>
      <w:r w:rsidR="001358A4" w:rsidRPr="00746ACE">
        <w:t xml:space="preserve">(iii) </w:t>
      </w:r>
      <w:r w:rsidR="00945FF9" w:rsidRPr="00746ACE">
        <w:t>50.770 víctimas de secuestro y toma de rehenes entre 1990 y 2018</w:t>
      </w:r>
      <w:r w:rsidR="001358A4" w:rsidRPr="00746ACE">
        <w:t>;</w:t>
      </w:r>
      <w:r w:rsidR="00945FF9" w:rsidRPr="00746ACE">
        <w:t xml:space="preserve"> </w:t>
      </w:r>
      <w:r w:rsidR="001358A4" w:rsidRPr="00746ACE">
        <w:t xml:space="preserve">(iv) </w:t>
      </w:r>
      <w:r w:rsidR="00945FF9" w:rsidRPr="00746ACE">
        <w:t xml:space="preserve">16.238 casos de reclutamiento de niños, niñas y adolescentes </w:t>
      </w:r>
      <w:r w:rsidR="001358A4" w:rsidRPr="00746ACE">
        <w:t xml:space="preserve">entre </w:t>
      </w:r>
      <w:r w:rsidR="00945FF9" w:rsidRPr="00746ACE">
        <w:t xml:space="preserve">1990 </w:t>
      </w:r>
      <w:r w:rsidR="001358A4" w:rsidRPr="00746ACE">
        <w:t>y</w:t>
      </w:r>
      <w:r w:rsidR="00945FF9" w:rsidRPr="00746ACE">
        <w:t xml:space="preserve"> 2017</w:t>
      </w:r>
      <w:r w:rsidR="001358A4" w:rsidRPr="00746ACE">
        <w:t xml:space="preserve">; </w:t>
      </w:r>
      <w:r w:rsidR="00945FF9" w:rsidRPr="00746ACE">
        <w:t>y</w:t>
      </w:r>
      <w:r w:rsidR="001358A4" w:rsidRPr="00746ACE">
        <w:t xml:space="preserve"> (v) </w:t>
      </w:r>
      <w:r w:rsidR="00945FF9" w:rsidRPr="00746ACE">
        <w:t>752.964 víctimas de desplazamiento forzado entre 1985 y 2019</w:t>
      </w:r>
      <w:r w:rsidR="007D0557" w:rsidRPr="00746ACE">
        <w:rPr>
          <w:rStyle w:val="Refdenotaalpie"/>
        </w:rPr>
        <w:footnoteReference w:id="73"/>
      </w:r>
      <w:r w:rsidR="00945FF9" w:rsidRPr="00746ACE">
        <w:t xml:space="preserve">. </w:t>
      </w:r>
      <w:r w:rsidR="000F3838" w:rsidRPr="00746ACE">
        <w:t>Las cifras son aún más altas teniendo en cuenta el subregistro de estos hechos</w:t>
      </w:r>
      <w:r w:rsidR="007D0557" w:rsidRPr="00746ACE">
        <w:rPr>
          <w:rStyle w:val="Refdenotaalpie"/>
        </w:rPr>
        <w:footnoteReference w:id="74"/>
      </w:r>
      <w:r w:rsidR="000F3838" w:rsidRPr="00746ACE">
        <w:t xml:space="preserve">. </w:t>
      </w:r>
    </w:p>
    <w:p w14:paraId="2B9CC46D" w14:textId="77777777" w:rsidR="001358A4" w:rsidRPr="00746ACE" w:rsidRDefault="001358A4" w:rsidP="00FC0DFB">
      <w:pPr>
        <w:widowControl w:val="0"/>
      </w:pPr>
    </w:p>
    <w:p w14:paraId="6022D705" w14:textId="4A79F655" w:rsidR="00783CBF" w:rsidRPr="00746ACE" w:rsidRDefault="00783CBF" w:rsidP="00FC0DFB">
      <w:pPr>
        <w:pStyle w:val="Prrafodelista"/>
        <w:widowControl w:val="0"/>
        <w:numPr>
          <w:ilvl w:val="0"/>
          <w:numId w:val="7"/>
        </w:numPr>
      </w:pPr>
      <w:r w:rsidRPr="00746ACE">
        <w:t xml:space="preserve">En respuesta a la magnitud de este universo, cuya investigación y juzgamiento integral desborda las capacidades del sistema de justicia ordinario en Colombia, el Constituyente incorporó herramientas propias de la justicia transicional, como la selección y </w:t>
      </w:r>
      <w:r w:rsidR="00D10049" w:rsidRPr="00746ACE">
        <w:t xml:space="preserve">la </w:t>
      </w:r>
      <w:r w:rsidRPr="00746ACE">
        <w:t>priorización, con el objetivo de que dicho modelo pueda, desde una perspectiva material y sustancial, alcanzar el cumplimiento de sus fines</w:t>
      </w:r>
      <w:r w:rsidRPr="00746ACE">
        <w:rPr>
          <w:vertAlign w:val="superscript"/>
        </w:rPr>
        <w:footnoteReference w:id="75"/>
      </w:r>
      <w:r w:rsidRPr="00746ACE">
        <w:t xml:space="preserve">. </w:t>
      </w:r>
    </w:p>
    <w:p w14:paraId="339FCA9C" w14:textId="77777777" w:rsidR="00783CBF" w:rsidRPr="00746ACE" w:rsidRDefault="00783CBF" w:rsidP="00FC0DFB">
      <w:pPr>
        <w:pStyle w:val="Prrafodelista"/>
        <w:widowControl w:val="0"/>
        <w:ind w:left="0"/>
      </w:pPr>
    </w:p>
    <w:p w14:paraId="4221BCA6" w14:textId="63B9B5EB" w:rsidR="00DF434A" w:rsidRPr="00746ACE" w:rsidRDefault="00783CBF" w:rsidP="009F2FE8">
      <w:pPr>
        <w:pStyle w:val="Prrafodelista"/>
        <w:widowControl w:val="0"/>
        <w:numPr>
          <w:ilvl w:val="0"/>
          <w:numId w:val="7"/>
        </w:numPr>
      </w:pPr>
      <w:r w:rsidRPr="00746ACE">
        <w:t>En particular, la selección encuentra su fundamento en el artículo 66 transitorio de la Constitución, el cual la define como la facultad de “centrar los esfuerzos</w:t>
      </w:r>
      <w:r w:rsidRPr="00746ACE">
        <w:rPr>
          <w:b/>
        </w:rPr>
        <w:t xml:space="preserve"> en la investigación penal de los máximos responsables de todos los delitos que adquieran la connotación de crímenes de lesa humanidad, genocidio, o crímenes de guerra cometidos de manera sistemática</w:t>
      </w:r>
      <w:r w:rsidRPr="00746ACE">
        <w:t>” (negrilla fuera del texto original)</w:t>
      </w:r>
      <w:r w:rsidRPr="00746ACE">
        <w:rPr>
          <w:rStyle w:val="Refdenotaalpie"/>
        </w:rPr>
        <w:footnoteReference w:id="76"/>
      </w:r>
      <w:r w:rsidR="00A70C97" w:rsidRPr="00746ACE">
        <w:t xml:space="preserve">; y en el artículo 3 </w:t>
      </w:r>
      <w:r w:rsidR="00AD7022" w:rsidRPr="00746ACE">
        <w:t xml:space="preserve">transitorio </w:t>
      </w:r>
      <w:r w:rsidR="00A70C97" w:rsidRPr="00746ACE">
        <w:t xml:space="preserve">del Acto Legislativo 01 de 2017, que </w:t>
      </w:r>
      <w:r w:rsidR="00DF434A" w:rsidRPr="00746ACE">
        <w:t xml:space="preserve">modifica el artículo 66 transitorio y </w:t>
      </w:r>
      <w:r w:rsidR="00A70C97" w:rsidRPr="00746ACE">
        <w:t>desarrolla el principio en el ámbito de la JEP</w:t>
      </w:r>
      <w:r w:rsidR="000E26C3" w:rsidRPr="00746ACE">
        <w:rPr>
          <w:rStyle w:val="Refdenotaalpie"/>
        </w:rPr>
        <w:footnoteReference w:id="77"/>
      </w:r>
      <w:r w:rsidR="001358A4" w:rsidRPr="00746ACE">
        <w:t>.</w:t>
      </w:r>
    </w:p>
    <w:p w14:paraId="5B95ADEF" w14:textId="77777777" w:rsidR="005414A6" w:rsidRPr="00746ACE" w:rsidRDefault="005414A6" w:rsidP="00005ACC">
      <w:pPr>
        <w:widowControl w:val="0"/>
      </w:pPr>
    </w:p>
    <w:p w14:paraId="142C9CD0" w14:textId="24F218D7" w:rsidR="00783CBF" w:rsidRPr="00746ACE" w:rsidRDefault="00783CBF" w:rsidP="00FC0DFB">
      <w:pPr>
        <w:pStyle w:val="Prrafodelista"/>
        <w:widowControl w:val="0"/>
        <w:numPr>
          <w:ilvl w:val="0"/>
          <w:numId w:val="7"/>
        </w:numPr>
      </w:pPr>
      <w:r w:rsidRPr="00746ACE">
        <w:t>A su vez, el concepto de máximo responsable ha sido definido por la jurisprudencia constitucional como “aquella persona que tiene un rol esencial en la organización criminal para la comisión de cada delito, es decir, que haya: dirigido, tenido el control o financiado la comisión de los delitos”</w:t>
      </w:r>
      <w:r w:rsidRPr="00746ACE">
        <w:rPr>
          <w:rStyle w:val="Refdenotaalpie"/>
        </w:rPr>
        <w:footnoteReference w:id="78"/>
      </w:r>
      <w:r w:rsidRPr="00746ACE">
        <w:t>. En este marco, como consecuencia de la selección y la atribución de los casos más graves y representativos a los máximos responsables, la JEP debe privilegiar la construcción de macroprocesos, lo cual excluye la investigación caso a caso</w:t>
      </w:r>
      <w:r w:rsidRPr="00746ACE">
        <w:rPr>
          <w:rStyle w:val="Refdenotaalpie"/>
        </w:rPr>
        <w:footnoteReference w:id="79"/>
      </w:r>
      <w:r w:rsidRPr="00746ACE">
        <w:t xml:space="preserve">. </w:t>
      </w:r>
    </w:p>
    <w:p w14:paraId="0E889EBF" w14:textId="77777777" w:rsidR="00783CBF" w:rsidRPr="00746ACE" w:rsidRDefault="00783CBF" w:rsidP="00FC0DFB">
      <w:pPr>
        <w:pStyle w:val="Prrafodelista"/>
        <w:widowControl w:val="0"/>
        <w:ind w:left="0"/>
      </w:pPr>
    </w:p>
    <w:p w14:paraId="4E4B8C86" w14:textId="5D8BF894" w:rsidR="00D23C94" w:rsidRPr="00746ACE" w:rsidRDefault="00783CBF" w:rsidP="00FC0DFB">
      <w:pPr>
        <w:pStyle w:val="Prrafodelista"/>
        <w:widowControl w:val="0"/>
        <w:numPr>
          <w:ilvl w:val="0"/>
          <w:numId w:val="7"/>
        </w:numPr>
        <w:rPr>
          <w:i/>
        </w:rPr>
      </w:pPr>
      <w:r w:rsidRPr="00746ACE">
        <w:t>La Corte Constitucional se ha pronunciado sobre la figura de la selección en el marco de la justicia transicional, principalmente, en las sentencias C-579 de 2013 y C-080 de 2018</w:t>
      </w:r>
      <w:r w:rsidRPr="00746ACE">
        <w:rPr>
          <w:rStyle w:val="Refdenotaalpie"/>
        </w:rPr>
        <w:footnoteReference w:id="80"/>
      </w:r>
      <w:r w:rsidRPr="00746ACE">
        <w:t xml:space="preserve">. En particular, en la C-579 de 2013, esta Corporación determinó la constitucionalidad de la figura de la selección y sostuvo que la obligación del modelo transicional de garantizar los derechos humanos se cumple al encausar la investigación de los delitos de lesa humanidad, genocidio y crímenes de guerra cometidos de manera sistemática a través de </w:t>
      </w:r>
      <w:r w:rsidR="0019085B" w:rsidRPr="00746ACE">
        <w:t>macro casos</w:t>
      </w:r>
      <w:r w:rsidRPr="00746ACE">
        <w:t>.</w:t>
      </w:r>
    </w:p>
    <w:p w14:paraId="5EFAB892" w14:textId="77777777" w:rsidR="00D23C94" w:rsidRPr="00746ACE" w:rsidRDefault="00D23C94" w:rsidP="00FC0DFB">
      <w:pPr>
        <w:pStyle w:val="Prrafodelista"/>
        <w:widowControl w:val="0"/>
        <w:ind w:left="0"/>
        <w:rPr>
          <w:i/>
        </w:rPr>
      </w:pPr>
    </w:p>
    <w:p w14:paraId="2A3ECE4B" w14:textId="62D4895E" w:rsidR="00783CBF" w:rsidRPr="00746ACE" w:rsidRDefault="00783CBF" w:rsidP="00FC0DFB">
      <w:pPr>
        <w:pStyle w:val="Prrafodelista"/>
        <w:widowControl w:val="0"/>
        <w:numPr>
          <w:ilvl w:val="0"/>
          <w:numId w:val="7"/>
        </w:numPr>
        <w:rPr>
          <w:i/>
        </w:rPr>
      </w:pPr>
      <w:r w:rsidRPr="00746ACE">
        <w:t xml:space="preserve">A su vez, los </w:t>
      </w:r>
      <w:r w:rsidR="0019085B" w:rsidRPr="00746ACE">
        <w:t>macro casos</w:t>
      </w:r>
      <w:r w:rsidRPr="00746ACE">
        <w:t xml:space="preserve"> deben responder a los principios de gravedad y representatividad, así como a otros criterios como el lugar, el tiempo, la forma de comisión, los sujetos pasivos o grupos sociales afectados, los sujetos activos, la escala de comisión o la evidencia disponible, que deberán ser determinados mediante ley estatutaria</w:t>
      </w:r>
      <w:r w:rsidRPr="00746ACE">
        <w:rPr>
          <w:rStyle w:val="Refdenotaalpie"/>
        </w:rPr>
        <w:footnoteReference w:id="81"/>
      </w:r>
      <w:r w:rsidR="00D23C94" w:rsidRPr="00746ACE">
        <w:t xml:space="preserve">, </w:t>
      </w:r>
      <w:r w:rsidRPr="00746ACE">
        <w:t>con el fin de evitar la “metodología de la investigación caso a caso” y de dar una respuesta pronta a las víctimas que sufrieron la violación de sus derechos</w:t>
      </w:r>
      <w:r w:rsidRPr="00746ACE">
        <w:rPr>
          <w:rStyle w:val="Refdenotaalpie"/>
        </w:rPr>
        <w:footnoteReference w:id="82"/>
      </w:r>
      <w:r w:rsidRPr="00746ACE">
        <w:t xml:space="preserve">. </w:t>
      </w:r>
    </w:p>
    <w:p w14:paraId="467CE2F8" w14:textId="77777777" w:rsidR="00783CBF" w:rsidRPr="00746ACE" w:rsidRDefault="00783CBF" w:rsidP="00FC0DFB">
      <w:pPr>
        <w:pStyle w:val="Prrafodelista"/>
        <w:widowControl w:val="0"/>
        <w:ind w:left="0"/>
      </w:pPr>
    </w:p>
    <w:p w14:paraId="6EA7CFFD" w14:textId="2A6B4B51" w:rsidR="006849D3" w:rsidRPr="00746ACE" w:rsidRDefault="00783CBF" w:rsidP="00FC0DFB">
      <w:pPr>
        <w:pStyle w:val="Prrafodelista"/>
        <w:widowControl w:val="0"/>
        <w:numPr>
          <w:ilvl w:val="0"/>
          <w:numId w:val="7"/>
        </w:numPr>
      </w:pPr>
      <w:r w:rsidRPr="00746ACE">
        <w:t xml:space="preserve">Ahora bien, la Sentencia C-080 de 2018 </w:t>
      </w:r>
      <w:r w:rsidR="00095151" w:rsidRPr="00746ACE">
        <w:t xml:space="preserve">destacó </w:t>
      </w:r>
      <w:r w:rsidRPr="00746ACE">
        <w:t xml:space="preserve">que la facultad de selección opera, según el mismo artículo 66 transitorio, “[s]in perjuicio del deber general del Estado de investigar y sancionar las graves violaciones a los Derechos Humanos y al Derecho Internacional Humanitario, en el marco de la justicia transicional”. </w:t>
      </w:r>
    </w:p>
    <w:p w14:paraId="36E31F36" w14:textId="77777777" w:rsidR="006849D3" w:rsidRPr="00746ACE" w:rsidRDefault="006849D3" w:rsidP="00E93BA8">
      <w:pPr>
        <w:widowControl w:val="0"/>
      </w:pPr>
    </w:p>
    <w:p w14:paraId="401C2820" w14:textId="695AAD47" w:rsidR="00783CBF" w:rsidRPr="00746ACE" w:rsidRDefault="00783CBF" w:rsidP="00FC0DFB">
      <w:pPr>
        <w:pStyle w:val="Prrafodelista"/>
        <w:widowControl w:val="0"/>
        <w:numPr>
          <w:ilvl w:val="0"/>
          <w:numId w:val="7"/>
        </w:numPr>
      </w:pPr>
      <w:r w:rsidRPr="00746ACE">
        <w:t>En este sentido, resulta claro para la Corte que las graves violaciones a los derechos humanos no son amnistiables, de manera que frente a estas persiste la obligación de investigar, juzgar y sancionar. Sin embargo, como lo explicó este Tribunal, “la obligación de investigar, juzgar y sancionar tales violaciones se pued</w:t>
      </w:r>
      <w:r w:rsidR="006F0627" w:rsidRPr="00746ACE">
        <w:t>[e]</w:t>
      </w:r>
      <w:r w:rsidRPr="00746ACE">
        <w:t xml:space="preserve"> centrar en los máximos responsables</w:t>
      </w:r>
      <w:r w:rsidR="00720FE7" w:rsidRPr="00746ACE">
        <w:t>”</w:t>
      </w:r>
      <w:r w:rsidRPr="00746ACE">
        <w:t>,</w:t>
      </w:r>
      <w:r w:rsidR="00720FE7" w:rsidRPr="00746ACE">
        <w:t xml:space="preserve"> a través de una estrategia de selección basada en criterios definidos por el legislador estatutario.</w:t>
      </w:r>
      <w:r w:rsidRPr="00746ACE">
        <w:rPr>
          <w:b/>
        </w:rPr>
        <w:t xml:space="preserve"> </w:t>
      </w:r>
      <w:r w:rsidRPr="00746ACE">
        <w:t>Así, según la Sentencia C-579 de 2013, “en este esquema ninguno de estos crímenes quedará en la impunidad, sino que todos tendrán que ser imputados a sus máximos responsables”</w:t>
      </w:r>
      <w:r w:rsidR="00720FE7" w:rsidRPr="00746ACE">
        <w:rPr>
          <w:rStyle w:val="Refdenotaalpie"/>
        </w:rPr>
        <w:footnoteReference w:id="83"/>
      </w:r>
      <w:r w:rsidRPr="00746ACE">
        <w:t>.</w:t>
      </w:r>
    </w:p>
    <w:p w14:paraId="133C19E9" w14:textId="77777777" w:rsidR="00783CBF" w:rsidRPr="00746ACE" w:rsidRDefault="00783CBF" w:rsidP="00FC0DFB">
      <w:pPr>
        <w:widowControl w:val="0"/>
      </w:pPr>
    </w:p>
    <w:p w14:paraId="03BAC1A9" w14:textId="34250B1B" w:rsidR="00783CBF" w:rsidRPr="00746ACE" w:rsidRDefault="00783CBF" w:rsidP="00FC0DFB">
      <w:pPr>
        <w:pStyle w:val="Prrafodelista"/>
        <w:widowControl w:val="0"/>
        <w:numPr>
          <w:ilvl w:val="0"/>
          <w:numId w:val="7"/>
        </w:numPr>
      </w:pPr>
      <w:r w:rsidRPr="00746ACE">
        <w:t xml:space="preserve">En línea con lo </w:t>
      </w:r>
      <w:r w:rsidR="0019085B" w:rsidRPr="00746ACE">
        <w:t>expuesto</w:t>
      </w:r>
      <w:r w:rsidRPr="00746ACE">
        <w:t xml:space="preserve">, la Sentencia C-579 de 2013 precisó que la imputación de los </w:t>
      </w:r>
      <w:r w:rsidR="0019085B" w:rsidRPr="00746ACE">
        <w:t xml:space="preserve">crímenes </w:t>
      </w:r>
      <w:r w:rsidRPr="00746ACE">
        <w:t xml:space="preserve">a los máximos responsables no </w:t>
      </w:r>
      <w:r w:rsidR="0019085B" w:rsidRPr="00746ACE">
        <w:t xml:space="preserve">es </w:t>
      </w:r>
      <w:r w:rsidRPr="00746ACE">
        <w:t xml:space="preserve">una renuncia del Estado a sus obligaciones internacionales y, en particular, de su obligación de no amnistiar las graves violaciones a los derechos humanos. </w:t>
      </w:r>
      <w:r w:rsidR="0019085B" w:rsidRPr="00746ACE">
        <w:t xml:space="preserve">En primer </w:t>
      </w:r>
      <w:r w:rsidR="001653D7" w:rsidRPr="00746ACE">
        <w:t>lugar,</w:t>
      </w:r>
      <w:r w:rsidR="0019085B" w:rsidRPr="00746ACE">
        <w:t xml:space="preserve"> </w:t>
      </w:r>
      <w:r w:rsidRPr="00746ACE">
        <w:t xml:space="preserve">porque concentrar la responsabilidad en los máximos responsables no implica que se dejen de investigar todos los delitos de lesa humanidad, genocidio y crímenes de guerra cometidos de manera sistemática, sino que permite que sean imputados a quienes cumplieron un rol esencial en su comisión. Y, en segundo lugar, </w:t>
      </w:r>
      <w:r w:rsidR="00433BBA" w:rsidRPr="00746ACE">
        <w:t xml:space="preserve">porque la selección </w:t>
      </w:r>
      <w:r w:rsidRPr="00746ACE">
        <w:t xml:space="preserve">contribuye a desvertebrar macroestructuras de criminalidad y a revelar patrones de violaciones masivas de derechos humanos, </w:t>
      </w:r>
      <w:r w:rsidR="00047A6D" w:rsidRPr="00746ACE">
        <w:t xml:space="preserve">como garantía de </w:t>
      </w:r>
      <w:r w:rsidRPr="00746ACE">
        <w:t xml:space="preserve">no repetición. </w:t>
      </w:r>
    </w:p>
    <w:p w14:paraId="2EA424D9" w14:textId="77777777" w:rsidR="00783CBF" w:rsidRPr="00746ACE" w:rsidRDefault="00783CBF" w:rsidP="00FC0DFB">
      <w:pPr>
        <w:widowControl w:val="0"/>
      </w:pPr>
    </w:p>
    <w:p w14:paraId="6A265200" w14:textId="4B208A38" w:rsidR="00783CBF" w:rsidRPr="00746ACE" w:rsidRDefault="00783CBF" w:rsidP="00FC0DFB">
      <w:pPr>
        <w:pStyle w:val="Prrafodelista"/>
        <w:widowControl w:val="0"/>
        <w:numPr>
          <w:ilvl w:val="0"/>
          <w:numId w:val="7"/>
        </w:numPr>
      </w:pPr>
      <w:r w:rsidRPr="00746ACE">
        <w:t>En consecuencia, la selección</w:t>
      </w:r>
      <w:r w:rsidR="0019085B" w:rsidRPr="00746ACE">
        <w:t xml:space="preserve"> tal como ha sido definida en las normas constitucionales</w:t>
      </w:r>
      <w:r w:rsidRPr="00746ACE">
        <w:t xml:space="preserve"> </w:t>
      </w:r>
      <w:r w:rsidR="0019085B" w:rsidRPr="00746ACE">
        <w:t xml:space="preserve">citadas es </w:t>
      </w:r>
      <w:r w:rsidRPr="00746ACE">
        <w:t>una estrategia legítima, que garantiza el cumplimiento de los fines del modelo transicional en concordancia con las obligaciones constitucionales e internaciones del Estado colombiano</w:t>
      </w:r>
      <w:r w:rsidR="0019085B" w:rsidRPr="00746ACE">
        <w:t xml:space="preserve">, siempre y </w:t>
      </w:r>
      <w:r w:rsidRPr="00746ACE">
        <w:t>cuando se realice de conformidad con los criterios definidos por el legislador estatutario.</w:t>
      </w:r>
    </w:p>
    <w:p w14:paraId="5B24BA8A" w14:textId="77777777" w:rsidR="00783CBF" w:rsidRPr="00746ACE" w:rsidRDefault="00783CBF" w:rsidP="00FC0DFB">
      <w:pPr>
        <w:widowControl w:val="0"/>
      </w:pPr>
    </w:p>
    <w:p w14:paraId="2B153998" w14:textId="753A0107" w:rsidR="00783CBF" w:rsidRPr="00746ACE" w:rsidRDefault="0019085B" w:rsidP="00FC0DFB">
      <w:pPr>
        <w:pStyle w:val="Prrafodelista"/>
        <w:widowControl w:val="0"/>
        <w:numPr>
          <w:ilvl w:val="0"/>
          <w:numId w:val="7"/>
        </w:numPr>
      </w:pPr>
      <w:r w:rsidRPr="00746ACE">
        <w:t>T</w:t>
      </w:r>
      <w:r w:rsidR="00783CBF" w:rsidRPr="00746ACE">
        <w:t>eniendo en cuenta lo previsto en el artículo transitorio 66 de la Constitución, la Sentencia C-080 de 2018 precisó que “[a]quellas personas responsables de graves violaciones a los derechos humanos e infracciones al Derecho Internacional Humanitario que no sean seleccionadas, podrán acceder a tratamientos penales especiales como la «suspensión de la ejecución de la pena […] la aplicación de sanciones extrajudiciales, de penas alternativas, o de modalidades especiales de ejecución y cumplimiento de la pena; y […] la renuncia condicionada a la persecución judicial penal»”</w:t>
      </w:r>
      <w:r w:rsidRPr="00746ACE">
        <w:t xml:space="preserve">; y añadió que el </w:t>
      </w:r>
      <w:r w:rsidR="00783CBF" w:rsidRPr="00746ACE">
        <w:t>artículo 66 transitorio autoriza</w:t>
      </w:r>
      <w:r w:rsidR="001664BA" w:rsidRPr="00746ACE">
        <w:t xml:space="preserve"> </w:t>
      </w:r>
      <w:r w:rsidR="00783CBF" w:rsidRPr="00746ACE">
        <w:t xml:space="preserve">la renuncia condicionada a la persecución judicial penal de los casos no seleccionados. </w:t>
      </w:r>
    </w:p>
    <w:p w14:paraId="684F408D" w14:textId="77777777" w:rsidR="00783CBF" w:rsidRPr="00746ACE" w:rsidRDefault="00783CBF" w:rsidP="00976C08">
      <w:pPr>
        <w:widowControl w:val="0"/>
      </w:pPr>
    </w:p>
    <w:p w14:paraId="2929B265" w14:textId="437CFD27" w:rsidR="007C2D1B" w:rsidRPr="00746ACE" w:rsidRDefault="0019085B" w:rsidP="00FC0DFB">
      <w:pPr>
        <w:pStyle w:val="Prrafodelista"/>
        <w:widowControl w:val="0"/>
        <w:numPr>
          <w:ilvl w:val="0"/>
          <w:numId w:val="7"/>
        </w:numPr>
      </w:pPr>
      <w:r w:rsidRPr="00746ACE">
        <w:t>L</w:t>
      </w:r>
      <w:r w:rsidR="00783CBF" w:rsidRPr="00746ACE">
        <w:t xml:space="preserve">a Corte </w:t>
      </w:r>
      <w:r w:rsidR="008206DC" w:rsidRPr="00746ACE">
        <w:t xml:space="preserve">Constitucional </w:t>
      </w:r>
      <w:r w:rsidR="00783CBF" w:rsidRPr="00746ACE">
        <w:t xml:space="preserve">aclaró que el acceso a </w:t>
      </w:r>
      <w:r w:rsidRPr="00746ACE">
        <w:t xml:space="preserve">los </w:t>
      </w:r>
      <w:r w:rsidR="00783CBF" w:rsidRPr="00746ACE">
        <w:t xml:space="preserve">tratamientos </w:t>
      </w:r>
      <w:r w:rsidRPr="00746ACE">
        <w:t xml:space="preserve">penales especiales </w:t>
      </w:r>
      <w:r w:rsidR="00783CBF" w:rsidRPr="00746ACE">
        <w:t xml:space="preserve">está sujeto a un nivel de condicionalidad más estricto que el aplicable a la renuncia a la persecución penal por delitos amnistiables. Además, como consecuencia de este alto nivel de condicionalidad, la JEP debe contar con mecanismos adecuados y eficaces de seguimiento y supervisión del cumplimiento de las condiciones impuestas a los comparecientes que, siendo responsables de los hechos no seleccionados, reciban alguno de estos tratamientos penales especiales. </w:t>
      </w:r>
    </w:p>
    <w:p w14:paraId="2DE87B08" w14:textId="77777777" w:rsidR="00783CBF" w:rsidRPr="00746ACE" w:rsidRDefault="00783CBF" w:rsidP="00976C08">
      <w:pPr>
        <w:widowControl w:val="0"/>
      </w:pPr>
    </w:p>
    <w:p w14:paraId="649B9163" w14:textId="77777777" w:rsidR="005B3AA3" w:rsidRPr="00746ACE" w:rsidRDefault="00783CBF" w:rsidP="00D62ABF">
      <w:pPr>
        <w:pStyle w:val="Prrafodelista"/>
        <w:widowControl w:val="0"/>
        <w:numPr>
          <w:ilvl w:val="0"/>
          <w:numId w:val="7"/>
        </w:numPr>
      </w:pPr>
      <w:r w:rsidRPr="00746ACE">
        <w:t xml:space="preserve">En síntesis, la facultad de selección, tal como ha sido diseñada por el Constituyente y desarrollada por la jurisprudencia constitucional, constituye un instrumento central de la justicia transicional orientado a hacer viable el cumplimiento de sus fines en contextos de violencia masiva y sistemática. Esta facultad permite concentrar la investigación y el juzgamiento en los máximos responsables, sin desconocer el deber general del Estado de investigar, juzgar y sancionar las graves violaciones a los derechos humanos y al Derecho Internacional Humanitario, ni </w:t>
      </w:r>
      <w:r w:rsidR="00372DAA" w:rsidRPr="00746ACE">
        <w:t xml:space="preserve">la prohibición de </w:t>
      </w:r>
      <w:r w:rsidRPr="00746ACE">
        <w:t xml:space="preserve">amnistía </w:t>
      </w:r>
      <w:r w:rsidR="00372DAA" w:rsidRPr="00746ACE">
        <w:t xml:space="preserve">y en especial de auto amnistías </w:t>
      </w:r>
      <w:r w:rsidRPr="00746ACE">
        <w:t xml:space="preserve">sobre estas conductas. </w:t>
      </w:r>
    </w:p>
    <w:p w14:paraId="3F256605" w14:textId="77777777" w:rsidR="005B3AA3" w:rsidRPr="00746ACE" w:rsidRDefault="005B3AA3" w:rsidP="00976C08">
      <w:pPr>
        <w:widowControl w:val="0"/>
      </w:pPr>
    </w:p>
    <w:p w14:paraId="08102553" w14:textId="58A3BBB8" w:rsidR="00783CBF" w:rsidRPr="00746ACE" w:rsidRDefault="000849A7" w:rsidP="00FC0DFB">
      <w:pPr>
        <w:pStyle w:val="Prrafodelista"/>
        <w:widowControl w:val="0"/>
        <w:numPr>
          <w:ilvl w:val="0"/>
          <w:numId w:val="7"/>
        </w:numPr>
      </w:pPr>
      <w:r w:rsidRPr="00746ACE">
        <w:t>El</w:t>
      </w:r>
      <w:r w:rsidR="00783CBF" w:rsidRPr="00746ACE">
        <w:t xml:space="preserve"> diseño </w:t>
      </w:r>
      <w:r w:rsidRPr="00746ACE">
        <w:t>descrito</w:t>
      </w:r>
      <w:r w:rsidR="00783CBF" w:rsidRPr="00746ACE">
        <w:t xml:space="preserve"> se extiende al tratamiento de los casos no seleccionados, respecto de los cuales la renuncia a la acción penal y el acceso a tratamientos diferenciados se encuentra sujeto al cumplimiento efectivo de las condiciones impuestas, bajo un régimen de seguimiento y supervisión que permite, en caso de incumplimiento, la reactivación plena de la acción punitiva del Estado.</w:t>
      </w:r>
      <w:r w:rsidR="00F819EF" w:rsidRPr="00746ACE">
        <w:t xml:space="preserve"> Además, constituye un medio idóneo para la satisfacción de los derechos de las víctimas en el contexto de la</w:t>
      </w:r>
      <w:r w:rsidR="0048135E" w:rsidRPr="00746ACE">
        <w:t xml:space="preserve"> limitación de las capacidades institucionales para combatir la impunidad, así como garantizar una gestión digna de sus expectativas, como se explica a continuación. </w:t>
      </w:r>
    </w:p>
    <w:p w14:paraId="16CE827D" w14:textId="77777777" w:rsidR="00783CBF" w:rsidRPr="00746ACE" w:rsidRDefault="00783CBF" w:rsidP="00FC0DFB">
      <w:pPr>
        <w:pStyle w:val="Prrafodelista"/>
        <w:widowControl w:val="0"/>
        <w:ind w:left="0"/>
      </w:pPr>
    </w:p>
    <w:p w14:paraId="11B0DAD5" w14:textId="0955551C" w:rsidR="000F6E05" w:rsidRPr="00746ACE" w:rsidRDefault="0060275F" w:rsidP="00C12FA5">
      <w:pPr>
        <w:pStyle w:val="Ttulo2"/>
        <w:rPr>
          <w:rFonts w:cs="Times New Roman"/>
        </w:rPr>
      </w:pPr>
      <w:bookmarkStart w:id="39" w:name="_Toc233384189"/>
      <w:r w:rsidRPr="00746ACE">
        <w:rPr>
          <w:rFonts w:cs="Times New Roman"/>
        </w:rPr>
        <w:t xml:space="preserve">Los derechos de las víctimas, </w:t>
      </w:r>
      <w:r w:rsidR="00E4400D" w:rsidRPr="00746ACE">
        <w:rPr>
          <w:rFonts w:cs="Times New Roman"/>
        </w:rPr>
        <w:t>sus expectativas frente a mecanismos transicionales y los límites de la lucha contra la impunidad</w:t>
      </w:r>
      <w:bookmarkEnd w:id="39"/>
    </w:p>
    <w:p w14:paraId="5F648D5F" w14:textId="77777777" w:rsidR="00471C7A" w:rsidRPr="00746ACE" w:rsidRDefault="00471C7A" w:rsidP="00FC0DFB">
      <w:pPr>
        <w:pStyle w:val="Prrafodelista"/>
        <w:widowControl w:val="0"/>
        <w:ind w:left="0"/>
      </w:pPr>
    </w:p>
    <w:p w14:paraId="79ACA99E" w14:textId="41956B09" w:rsidR="00AA23B8" w:rsidRPr="00746ACE" w:rsidRDefault="00DD0389" w:rsidP="00D62ABF">
      <w:pPr>
        <w:pStyle w:val="Prrafodelista"/>
        <w:widowControl w:val="0"/>
        <w:numPr>
          <w:ilvl w:val="0"/>
          <w:numId w:val="7"/>
        </w:numPr>
      </w:pPr>
      <w:r w:rsidRPr="00746ACE">
        <w:t>La justicia transicional se distingue de otras herramientas orientadas a superar regímenes autoritarios o conflictos armados por los fines que persigue: reconocer a las víctimas como titulares de derechos, fomentar la confianza entre conciudadan</w:t>
      </w:r>
      <w:r w:rsidR="00F903F2" w:rsidRPr="00746ACE">
        <w:t>o</w:t>
      </w:r>
      <w:r w:rsidRPr="00746ACE">
        <w:t>s y frente al Estado, contribuir a la reconciliación y, finalmente, fortalecer el Estado de derecho</w:t>
      </w:r>
      <w:r w:rsidRPr="00746ACE">
        <w:rPr>
          <w:rStyle w:val="Refdenotaalpie"/>
        </w:rPr>
        <w:footnoteReference w:id="84"/>
      </w:r>
      <w:r w:rsidRPr="00746ACE">
        <w:t xml:space="preserve">. Este conjunto de medidas judiciales y extrajudiciales encuentra </w:t>
      </w:r>
      <w:r w:rsidR="00737A2B" w:rsidRPr="00746ACE">
        <w:t>sus raíces</w:t>
      </w:r>
      <w:r w:rsidRPr="00746ACE">
        <w:t xml:space="preserve"> en los pilares de verdad, justicia, reparación, no repetición y memorialización</w:t>
      </w:r>
      <w:r w:rsidRPr="00746ACE">
        <w:rPr>
          <w:rStyle w:val="Refdenotaalpie"/>
        </w:rPr>
        <w:footnoteReference w:id="85"/>
      </w:r>
      <w:r w:rsidRPr="00746ACE">
        <w:t xml:space="preserve">. </w:t>
      </w:r>
      <w:r w:rsidR="00CF37E4" w:rsidRPr="00746ACE">
        <w:t>Dichos componentes</w:t>
      </w:r>
      <w:r w:rsidRPr="00746ACE">
        <w:t xml:space="preserve"> son también el elenco de derechos que tanto a nivel constitucional como internacional se reconoce en cabeza de las víctimas de graves violaciones a los derechos humanos e infracciones al derecho internacional humanitario.</w:t>
      </w:r>
    </w:p>
    <w:p w14:paraId="6FF415BF" w14:textId="77777777" w:rsidR="00AA23B8" w:rsidRPr="00746ACE" w:rsidRDefault="00AA23B8" w:rsidP="00D62ABF">
      <w:pPr>
        <w:pStyle w:val="Prrafodelista"/>
        <w:widowControl w:val="0"/>
        <w:ind w:left="0"/>
      </w:pPr>
    </w:p>
    <w:p w14:paraId="300626B6" w14:textId="689B5AA6" w:rsidR="00D42D60" w:rsidRPr="00746ACE" w:rsidRDefault="00DD0389" w:rsidP="00D62ABF">
      <w:pPr>
        <w:pStyle w:val="Prrafodelista"/>
        <w:widowControl w:val="0"/>
        <w:numPr>
          <w:ilvl w:val="0"/>
          <w:numId w:val="7"/>
        </w:numPr>
      </w:pPr>
      <w:r w:rsidRPr="00746ACE">
        <w:t xml:space="preserve">La satisfacción de estas garantías no </w:t>
      </w:r>
      <w:r w:rsidR="008B5962" w:rsidRPr="00746ACE">
        <w:t xml:space="preserve">sigue </w:t>
      </w:r>
      <w:r w:rsidRPr="00746ACE">
        <w:t xml:space="preserve">fórmulas </w:t>
      </w:r>
      <w:r w:rsidR="00737A2B" w:rsidRPr="00746ACE">
        <w:t>únicas</w:t>
      </w:r>
      <w:r w:rsidRPr="00746ACE">
        <w:rPr>
          <w:rStyle w:val="Refdenotaalpie"/>
        </w:rPr>
        <w:footnoteReference w:id="86"/>
      </w:r>
      <w:r w:rsidR="008B5962" w:rsidRPr="00746ACE">
        <w:t xml:space="preserve">; por </w:t>
      </w:r>
      <w:r w:rsidRPr="00746ACE">
        <w:t>el contrario, exige actos de creatividad sensibles al entorno pues los mecanismos de justicia transicional son en esencia instrumentales a fines como la paz, la democracia, o cualquier otro que sea relevante para la sociedad que los adopta. En todo caso, la naturaleza flexible y contextual de las transiciones no supone la inexistencia de límites</w:t>
      </w:r>
      <w:r w:rsidR="00F07610" w:rsidRPr="00746ACE">
        <w:t>.</w:t>
      </w:r>
      <w:r w:rsidRPr="00746ACE">
        <w:t xml:space="preserve"> </w:t>
      </w:r>
    </w:p>
    <w:p w14:paraId="7707E9D5" w14:textId="77777777" w:rsidR="00D42D60" w:rsidRPr="00746ACE" w:rsidRDefault="00D42D60" w:rsidP="00293888"/>
    <w:p w14:paraId="01F32A44" w14:textId="7645F338" w:rsidR="00AA23B8" w:rsidRPr="00746ACE" w:rsidRDefault="00293888" w:rsidP="00D62ABF">
      <w:pPr>
        <w:pStyle w:val="Prrafodelista"/>
        <w:widowControl w:val="0"/>
        <w:numPr>
          <w:ilvl w:val="0"/>
          <w:numId w:val="7"/>
        </w:numPr>
      </w:pPr>
      <w:r w:rsidRPr="00746ACE">
        <w:t>N</w:t>
      </w:r>
      <w:r w:rsidR="00D42D60" w:rsidRPr="00746ACE">
        <w:t>o sobra recordar que</w:t>
      </w:r>
      <w:r w:rsidR="00DD0389" w:rsidRPr="00746ACE">
        <w:t xml:space="preserve"> el campo de la justicia de transición surgió como una apuesta en la que se funden, por un lado, las necesidades políticas concretas para superar una </w:t>
      </w:r>
      <w:r w:rsidR="003718A8" w:rsidRPr="00746ACE">
        <w:t>profunda</w:t>
      </w:r>
      <w:r w:rsidR="00DD0389" w:rsidRPr="00746ACE">
        <w:t xml:space="preserve"> herida colectiva producto de la atrocidad y, por otro, los límites jurídicos a la facultad de pactar las condiciones de ese proceso</w:t>
      </w:r>
      <w:r w:rsidR="00DD0389" w:rsidRPr="00746ACE">
        <w:rPr>
          <w:rStyle w:val="Refdenotaalpie"/>
        </w:rPr>
        <w:footnoteReference w:id="87"/>
      </w:r>
      <w:r w:rsidR="00DD0389" w:rsidRPr="00746ACE">
        <w:t>.</w:t>
      </w:r>
    </w:p>
    <w:p w14:paraId="68A91924" w14:textId="77777777" w:rsidR="00AA23B8" w:rsidRPr="00746ACE" w:rsidRDefault="00AA23B8" w:rsidP="00D62ABF">
      <w:pPr>
        <w:widowControl w:val="0"/>
      </w:pPr>
    </w:p>
    <w:p w14:paraId="6462F00A" w14:textId="77777777" w:rsidR="00F903F2" w:rsidRPr="00746ACE" w:rsidRDefault="00DD0389" w:rsidP="00FC3A12">
      <w:pPr>
        <w:pStyle w:val="Prrafodelista"/>
        <w:widowControl w:val="0"/>
        <w:numPr>
          <w:ilvl w:val="0"/>
          <w:numId w:val="7"/>
        </w:numPr>
      </w:pPr>
      <w:r w:rsidRPr="00746ACE">
        <w:t>En lo relevante para esta providencia, es indispensable mencionar que la lucha contra la impunidad fue (y sigue siendo) un límite ético, filosófico y político a la capacidad de definir el alcance de las medidas transicionales</w:t>
      </w:r>
      <w:r w:rsidR="00F903F2" w:rsidRPr="00746ACE">
        <w:t>; al tiempo que la satisfacción de derechos de las víctimas y la estabilidad de la paz aparecen como finalidades centrales del Acuerdo Final de Paz</w:t>
      </w:r>
      <w:r w:rsidRPr="00746ACE">
        <w:t xml:space="preserve">. </w:t>
      </w:r>
    </w:p>
    <w:p w14:paraId="70CDE98D" w14:textId="77777777" w:rsidR="002E5A69" w:rsidRPr="00746ACE" w:rsidRDefault="002E5A69" w:rsidP="00314A49"/>
    <w:p w14:paraId="282049CD" w14:textId="4241CCAA" w:rsidR="0085613F" w:rsidRPr="00746ACE" w:rsidRDefault="00F903F2" w:rsidP="00FC3A12">
      <w:pPr>
        <w:pStyle w:val="Prrafodelista"/>
        <w:widowControl w:val="0"/>
        <w:numPr>
          <w:ilvl w:val="0"/>
          <w:numId w:val="7"/>
        </w:numPr>
      </w:pPr>
      <w:r w:rsidRPr="00746ACE">
        <w:t xml:space="preserve">La lucha contra la impunidad impulsó </w:t>
      </w:r>
      <w:r w:rsidR="00CD6EC7" w:rsidRPr="00746ACE">
        <w:t>el discurso de la justicia transicional, como lo reconoce la</w:t>
      </w:r>
      <w:r w:rsidR="00DD0389" w:rsidRPr="00746ACE">
        <w:t xml:space="preserve"> literatura especializada</w:t>
      </w:r>
      <w:r w:rsidR="002E5A69" w:rsidRPr="00746ACE">
        <w:t xml:space="preserve"> </w:t>
      </w:r>
      <w:r w:rsidR="00113BE9" w:rsidRPr="00746ACE">
        <w:t>y la propia jurisprudencia constitucional</w:t>
      </w:r>
      <w:r w:rsidR="00113BE9" w:rsidRPr="00746ACE">
        <w:rPr>
          <w:rStyle w:val="Refdenotaalpie"/>
        </w:rPr>
        <w:footnoteReference w:id="88"/>
      </w:r>
      <w:r w:rsidR="0039178B" w:rsidRPr="00746ACE">
        <w:t>.</w:t>
      </w:r>
      <w:r w:rsidR="00DD0389" w:rsidRPr="00746ACE">
        <w:t xml:space="preserve"> </w:t>
      </w:r>
      <w:r w:rsidR="0039178B" w:rsidRPr="00746ACE">
        <w:t>E</w:t>
      </w:r>
      <w:r w:rsidR="002E5A69" w:rsidRPr="00746ACE">
        <w:t xml:space="preserve">n </w:t>
      </w:r>
      <w:r w:rsidR="0039178B" w:rsidRPr="00746ACE">
        <w:t xml:space="preserve">general, </w:t>
      </w:r>
      <w:r w:rsidR="002E5A69" w:rsidRPr="00746ACE">
        <w:t xml:space="preserve">constituye </w:t>
      </w:r>
      <w:r w:rsidR="0039178B" w:rsidRPr="00746ACE">
        <w:t xml:space="preserve">una de las principales expectativas </w:t>
      </w:r>
      <w:r w:rsidR="002E5A69" w:rsidRPr="00746ACE">
        <w:t xml:space="preserve">de </w:t>
      </w:r>
      <w:r w:rsidR="00F53664" w:rsidRPr="00746ACE">
        <w:t xml:space="preserve">quienes </w:t>
      </w:r>
      <w:r w:rsidR="00D617C4" w:rsidRPr="00746ACE">
        <w:t>experimentan</w:t>
      </w:r>
      <w:r w:rsidR="00F53664" w:rsidRPr="00746ACE">
        <w:t xml:space="preserve"> el dolor de la guerra y sus consecuencias. No en vano</w:t>
      </w:r>
      <w:r w:rsidR="002E5A69" w:rsidRPr="00746ACE">
        <w:t>,</w:t>
      </w:r>
      <w:r w:rsidR="00CA7A04" w:rsidRPr="00746ACE">
        <w:t xml:space="preserve"> </w:t>
      </w:r>
      <w:r w:rsidR="000F0AF4" w:rsidRPr="00746ACE">
        <w:t>a la investigación</w:t>
      </w:r>
      <w:r w:rsidR="002E5A69" w:rsidRPr="00746ACE">
        <w:t xml:space="preserve">, juzgamiento y </w:t>
      </w:r>
      <w:r w:rsidR="000F0AF4" w:rsidRPr="00746ACE">
        <w:t>sanción de crímenes atroces suelen atribuírsele</w:t>
      </w:r>
      <w:r w:rsidR="002E5A69" w:rsidRPr="00746ACE">
        <w:t>s</w:t>
      </w:r>
      <w:r w:rsidR="000F0AF4" w:rsidRPr="00746ACE">
        <w:t xml:space="preserve"> múltiples finalidades</w:t>
      </w:r>
      <w:r w:rsidR="008432B9" w:rsidRPr="00746ACE">
        <w:t xml:space="preserve"> </w:t>
      </w:r>
      <w:r w:rsidR="002E5A69" w:rsidRPr="00746ACE">
        <w:t xml:space="preserve">desde </w:t>
      </w:r>
      <w:r w:rsidR="008432B9" w:rsidRPr="00746ACE">
        <w:t>la</w:t>
      </w:r>
      <w:r w:rsidR="002E5A69" w:rsidRPr="00746ACE">
        <w:t xml:space="preserve"> perspectiva de las</w:t>
      </w:r>
      <w:r w:rsidR="008432B9" w:rsidRPr="00746ACE">
        <w:t xml:space="preserve"> víctimas</w:t>
      </w:r>
      <w:r w:rsidR="002E5A69" w:rsidRPr="00746ACE">
        <w:t>:</w:t>
      </w:r>
      <w:r w:rsidR="000F0AF4" w:rsidRPr="00746ACE">
        <w:t xml:space="preserve"> </w:t>
      </w:r>
      <w:r w:rsidR="002E5A69" w:rsidRPr="00746ACE">
        <w:t>contribuir a la construcción de relatos históricos</w:t>
      </w:r>
      <w:r w:rsidR="00732BEA" w:rsidRPr="00746ACE">
        <w:t xml:space="preserve"> </w:t>
      </w:r>
      <w:r w:rsidR="0075716F" w:rsidRPr="00746ACE">
        <w:t xml:space="preserve">dignificantes, </w:t>
      </w:r>
      <w:r w:rsidR="0090360A" w:rsidRPr="00746ACE">
        <w:t xml:space="preserve">ofrecer </w:t>
      </w:r>
      <w:r w:rsidR="002E5A69" w:rsidRPr="00746ACE">
        <w:t>escenarios</w:t>
      </w:r>
      <w:r w:rsidR="0090360A" w:rsidRPr="00746ACE">
        <w:t xml:space="preserve"> catártico</w:t>
      </w:r>
      <w:r w:rsidR="002E5A69" w:rsidRPr="00746ACE">
        <w:t>s</w:t>
      </w:r>
      <w:r w:rsidR="0090360A" w:rsidRPr="00746ACE">
        <w:t xml:space="preserve"> para experiencias individuales y colectivas,</w:t>
      </w:r>
      <w:r w:rsidR="002E5A69" w:rsidRPr="00746ACE">
        <w:t xml:space="preserve"> fortalecer </w:t>
      </w:r>
      <w:r w:rsidR="0090360A" w:rsidRPr="00746ACE">
        <w:t>el respeto por el Estado de derecho</w:t>
      </w:r>
      <w:r w:rsidR="002E5A69" w:rsidRPr="00746ACE">
        <w:t>,</w:t>
      </w:r>
      <w:r w:rsidR="008432B9" w:rsidRPr="00746ACE">
        <w:t xml:space="preserve"> disuadir</w:t>
      </w:r>
      <w:r w:rsidR="00C56187" w:rsidRPr="00746ACE">
        <w:t xml:space="preserve"> </w:t>
      </w:r>
      <w:r w:rsidR="00782B98" w:rsidRPr="00746ACE">
        <w:t>de</w:t>
      </w:r>
      <w:r w:rsidR="008432B9" w:rsidRPr="00746ACE">
        <w:t xml:space="preserve"> la comisión de hechos similares </w:t>
      </w:r>
      <w:r w:rsidR="002E5A69" w:rsidRPr="00746ACE">
        <w:t>y</w:t>
      </w:r>
      <w:r w:rsidR="008432B9" w:rsidRPr="00746ACE">
        <w:t xml:space="preserve"> </w:t>
      </w:r>
      <w:r w:rsidR="002E5A69" w:rsidRPr="00746ACE">
        <w:t>servir</w:t>
      </w:r>
      <w:r w:rsidR="008432B9" w:rsidRPr="00746ACE">
        <w:t xml:space="preserve"> como mecanismo reparador</w:t>
      </w:r>
      <w:r w:rsidR="008432B9" w:rsidRPr="00746ACE">
        <w:rPr>
          <w:rStyle w:val="Refdenotaalpie"/>
        </w:rPr>
        <w:footnoteReference w:id="89"/>
      </w:r>
      <w:r w:rsidR="009630A4" w:rsidRPr="00746ACE">
        <w:t>, entre otr</w:t>
      </w:r>
      <w:r w:rsidR="002E5A69" w:rsidRPr="00746ACE">
        <w:t>as</w:t>
      </w:r>
      <w:r w:rsidR="009630A4" w:rsidRPr="00746ACE">
        <w:t>.</w:t>
      </w:r>
    </w:p>
    <w:p w14:paraId="4FF5A4B3" w14:textId="77777777" w:rsidR="002E5A69" w:rsidRPr="00746ACE" w:rsidRDefault="002E5A69" w:rsidP="009630A4">
      <w:pPr>
        <w:pStyle w:val="Prrafodelista"/>
        <w:widowControl w:val="0"/>
        <w:ind w:left="0"/>
      </w:pPr>
    </w:p>
    <w:p w14:paraId="0F3FE861" w14:textId="2665C603" w:rsidR="002E5A69" w:rsidRPr="00746ACE" w:rsidRDefault="00A1087D" w:rsidP="00314A49">
      <w:pPr>
        <w:pStyle w:val="Prrafodelista"/>
        <w:widowControl w:val="0"/>
        <w:numPr>
          <w:ilvl w:val="0"/>
          <w:numId w:val="7"/>
        </w:numPr>
      </w:pPr>
      <w:r w:rsidRPr="00746ACE">
        <w:t xml:space="preserve">Detrás de </w:t>
      </w:r>
      <w:r w:rsidR="002E5A69" w:rsidRPr="00746ACE">
        <w:t>estas expectativas subyacen</w:t>
      </w:r>
      <w:r w:rsidR="00B961FE" w:rsidRPr="00746ACE">
        <w:t xml:space="preserve"> emociones</w:t>
      </w:r>
      <w:r w:rsidR="000D76F2" w:rsidRPr="00746ACE">
        <w:t xml:space="preserve"> complejas</w:t>
      </w:r>
      <w:r w:rsidR="00B961FE" w:rsidRPr="00746ACE">
        <w:t xml:space="preserve">. </w:t>
      </w:r>
      <w:r w:rsidR="00705BE2" w:rsidRPr="00746ACE">
        <w:t xml:space="preserve">Quienes </w:t>
      </w:r>
      <w:r w:rsidR="00187215" w:rsidRPr="00746ACE">
        <w:t xml:space="preserve">conviven con las heridas de la atrocidad </w:t>
      </w:r>
      <w:r w:rsidR="004E023F" w:rsidRPr="00746ACE">
        <w:t>atraviesan</w:t>
      </w:r>
      <w:r w:rsidR="000D76F2" w:rsidRPr="00746ACE">
        <w:t xml:space="preserve"> </w:t>
      </w:r>
      <w:r w:rsidR="004E023F" w:rsidRPr="00746ACE">
        <w:t>experiencia</w:t>
      </w:r>
      <w:r w:rsidR="000D76F2" w:rsidRPr="00746ACE">
        <w:t>s</w:t>
      </w:r>
      <w:r w:rsidR="004E023F" w:rsidRPr="00746ACE">
        <w:t xml:space="preserve"> emocional</w:t>
      </w:r>
      <w:r w:rsidR="000D76F2" w:rsidRPr="00746ACE">
        <w:t>es que influyen en</w:t>
      </w:r>
      <w:r w:rsidR="004B00CB" w:rsidRPr="00746ACE">
        <w:t xml:space="preserve"> la </w:t>
      </w:r>
      <w:r w:rsidR="000D76F2" w:rsidRPr="00746ACE">
        <w:t xml:space="preserve">manera </w:t>
      </w:r>
      <w:r w:rsidR="004B00CB" w:rsidRPr="00746ACE">
        <w:t xml:space="preserve">en que se relacionan con </w:t>
      </w:r>
      <w:r w:rsidR="002C7532" w:rsidRPr="00746ACE">
        <w:t xml:space="preserve">el </w:t>
      </w:r>
      <w:r w:rsidR="000D76F2" w:rsidRPr="00746ACE">
        <w:t>juzgamiento</w:t>
      </w:r>
      <w:r w:rsidR="002C7532" w:rsidRPr="00746ACE">
        <w:t xml:space="preserve"> en contextos transicionales</w:t>
      </w:r>
      <w:r w:rsidR="004B00CB" w:rsidRPr="00746ACE">
        <w:t xml:space="preserve">. Al mismo tiempo, </w:t>
      </w:r>
      <w:r w:rsidR="000E102E" w:rsidRPr="00746ACE">
        <w:t xml:space="preserve">la forma en </w:t>
      </w:r>
      <w:r w:rsidR="000D76F2" w:rsidRPr="00746ACE">
        <w:t>que se diseña el componente judicial de la transición – sus finalidades, reglas y mecanismos-</w:t>
      </w:r>
      <w:r w:rsidR="002C7532" w:rsidRPr="00746ACE">
        <w:t xml:space="preserve"> </w:t>
      </w:r>
      <w:r w:rsidR="000D76F2" w:rsidRPr="00746ACE">
        <w:t>también incide</w:t>
      </w:r>
      <w:r w:rsidR="00380586" w:rsidRPr="00746ACE">
        <w:t xml:space="preserve"> en las emociones</w:t>
      </w:r>
      <w:r w:rsidR="00C825A6" w:rsidRPr="00746ACE">
        <w:t xml:space="preserve"> de las víctimas y, por lo tanto, en sus expectativas de justicia. </w:t>
      </w:r>
      <w:r w:rsidR="000D76F2" w:rsidRPr="00746ACE">
        <w:t>En otras palabras</w:t>
      </w:r>
      <w:r w:rsidR="00780BC3" w:rsidRPr="00746ACE">
        <w:t xml:space="preserve">, las emociones </w:t>
      </w:r>
      <w:r w:rsidR="000D76F2" w:rsidRPr="00746ACE">
        <w:t xml:space="preserve">de las víctimas </w:t>
      </w:r>
      <w:r w:rsidR="00780BC3" w:rsidRPr="00746ACE">
        <w:t xml:space="preserve">y </w:t>
      </w:r>
      <w:r w:rsidR="00BB3105" w:rsidRPr="00746ACE">
        <w:t>l</w:t>
      </w:r>
      <w:r w:rsidR="000D76F2" w:rsidRPr="00746ACE">
        <w:t xml:space="preserve">as expectativas sobre los resultados del proceso transicional mantienen una relación recíproca con el diseño y la implementación </w:t>
      </w:r>
      <w:r w:rsidR="00BB3105" w:rsidRPr="00746ACE">
        <w:t xml:space="preserve">del </w:t>
      </w:r>
      <w:r w:rsidR="00EC7CD3" w:rsidRPr="00746ACE">
        <w:t>mecanismo judicial transicional</w:t>
      </w:r>
      <w:r w:rsidR="006F2505" w:rsidRPr="00746ACE">
        <w:rPr>
          <w:rStyle w:val="Refdenotaalpie"/>
        </w:rPr>
        <w:footnoteReference w:id="90"/>
      </w:r>
      <w:r w:rsidR="00EC7CD3" w:rsidRPr="00746ACE">
        <w:t xml:space="preserve">. </w:t>
      </w:r>
    </w:p>
    <w:p w14:paraId="3EB20EEB" w14:textId="77777777" w:rsidR="002E5A69" w:rsidRPr="00746ACE" w:rsidRDefault="002E5A69" w:rsidP="00EC7CD3"/>
    <w:p w14:paraId="290CA3BE" w14:textId="051FFD4F" w:rsidR="0054569D" w:rsidRPr="00746ACE" w:rsidRDefault="001E1253" w:rsidP="007F1EA5">
      <w:pPr>
        <w:pStyle w:val="Prrafodelista"/>
        <w:widowControl w:val="0"/>
        <w:numPr>
          <w:ilvl w:val="0"/>
          <w:numId w:val="7"/>
        </w:numPr>
      </w:pPr>
      <w:r w:rsidRPr="00746ACE">
        <w:t>El tiempo</w:t>
      </w:r>
      <w:r w:rsidR="0018545F" w:rsidRPr="00746ACE">
        <w:t xml:space="preserve"> es, tal vez, la variable </w:t>
      </w:r>
      <w:r w:rsidR="00D42837" w:rsidRPr="00746ACE">
        <w:t xml:space="preserve">que </w:t>
      </w:r>
      <w:r w:rsidR="0018545F" w:rsidRPr="00746ACE">
        <w:t xml:space="preserve">más </w:t>
      </w:r>
      <w:r w:rsidR="00D42837" w:rsidRPr="00746ACE">
        <w:t>impacta</w:t>
      </w:r>
      <w:r w:rsidR="0018545F" w:rsidRPr="00746ACE">
        <w:t xml:space="preserve"> </w:t>
      </w:r>
      <w:r w:rsidR="000D76F2" w:rsidRPr="00746ACE">
        <w:t xml:space="preserve">en </w:t>
      </w:r>
      <w:r w:rsidR="0013419C" w:rsidRPr="00746ACE">
        <w:t xml:space="preserve">las emociones de las víctimas. </w:t>
      </w:r>
      <w:r w:rsidR="00BB7000" w:rsidRPr="00746ACE">
        <w:t>La urgencia</w:t>
      </w:r>
      <w:r w:rsidR="0074440D" w:rsidRPr="00746ACE">
        <w:t xml:space="preserve"> y</w:t>
      </w:r>
      <w:r w:rsidR="00BB7000" w:rsidRPr="00746ACE">
        <w:t xml:space="preserve"> la impaciencia</w:t>
      </w:r>
      <w:r w:rsidR="0074440D" w:rsidRPr="00746ACE">
        <w:t xml:space="preserve"> por obtener una respuesta</w:t>
      </w:r>
      <w:r w:rsidR="000D76F2" w:rsidRPr="00746ACE">
        <w:t xml:space="preserve"> </w:t>
      </w:r>
      <w:r w:rsidR="0074440D" w:rsidRPr="00746ACE">
        <w:t>de la justicia</w:t>
      </w:r>
      <w:r w:rsidR="005721AB" w:rsidRPr="00746ACE">
        <w:t xml:space="preserve"> condicionan</w:t>
      </w:r>
      <w:r w:rsidR="00BB7000" w:rsidRPr="00746ACE">
        <w:t xml:space="preserve"> </w:t>
      </w:r>
      <w:r w:rsidR="005721AB" w:rsidRPr="00746ACE">
        <w:t xml:space="preserve">la </w:t>
      </w:r>
      <w:r w:rsidR="000D76F2" w:rsidRPr="00746ACE">
        <w:t>permanencia de esas</w:t>
      </w:r>
      <w:r w:rsidR="005721AB" w:rsidRPr="00746ACE">
        <w:t xml:space="preserve"> emociones</w:t>
      </w:r>
      <w:r w:rsidR="00314A49" w:rsidRPr="00746ACE">
        <w:t xml:space="preserve">; </w:t>
      </w:r>
      <w:r w:rsidR="007F1EA5" w:rsidRPr="00746ACE">
        <w:t xml:space="preserve">las expectativas de alcanzar justicia y verdad se proyectan a través de la empatía por el sufrimiento de otros, en diversos sectores de la sociedad, al momento de terminación del conflicto o al final de un régimen autoritario; y tanto las emociones como las expectativa descritas despiertan interés por el castigo de los responsables y reivindicaciones de alcanzar una reparación adecuada. </w:t>
      </w:r>
      <w:r w:rsidR="00205685" w:rsidRPr="00746ACE">
        <w:t xml:space="preserve">Según diversas investigaciones empíricas, el paso </w:t>
      </w:r>
      <w:r w:rsidR="00A118B2" w:rsidRPr="00746ACE">
        <w:t xml:space="preserve">del tiempo </w:t>
      </w:r>
      <w:r w:rsidR="006A1C29" w:rsidRPr="00746ACE">
        <w:t xml:space="preserve">permite </w:t>
      </w:r>
      <w:r w:rsidR="00205685" w:rsidRPr="00746ACE">
        <w:t>advertir</w:t>
      </w:r>
      <w:r w:rsidR="00D03BA0" w:rsidRPr="00746ACE">
        <w:t xml:space="preserve"> un tránsito </w:t>
      </w:r>
      <w:r w:rsidR="006A1C29" w:rsidRPr="00746ACE">
        <w:t>de</w:t>
      </w:r>
      <w:r w:rsidR="00205685" w:rsidRPr="00746ACE">
        <w:t>l</w:t>
      </w:r>
      <w:r w:rsidR="006A1C29" w:rsidRPr="00746ACE">
        <w:t xml:space="preserve"> énfasis </w:t>
      </w:r>
      <w:r w:rsidR="00205685" w:rsidRPr="00746ACE">
        <w:t xml:space="preserve">predominantemente </w:t>
      </w:r>
      <w:r w:rsidR="006A1C29" w:rsidRPr="00746ACE">
        <w:t>retributivo a</w:t>
      </w:r>
      <w:r w:rsidR="00205685" w:rsidRPr="00746ACE">
        <w:t xml:space="preserve"> uno más</w:t>
      </w:r>
      <w:r w:rsidR="002F2D93" w:rsidRPr="00746ACE">
        <w:t xml:space="preserve"> reparador</w:t>
      </w:r>
      <w:r w:rsidR="00D03BA0" w:rsidRPr="00746ACE">
        <w:rPr>
          <w:rStyle w:val="Refdenotaalpie"/>
        </w:rPr>
        <w:footnoteReference w:id="91"/>
      </w:r>
      <w:r w:rsidR="002F2D93" w:rsidRPr="00746ACE">
        <w:t xml:space="preserve">. </w:t>
      </w:r>
    </w:p>
    <w:p w14:paraId="0FA5BF48" w14:textId="77777777" w:rsidR="000D76F2" w:rsidRPr="00746ACE" w:rsidRDefault="000D76F2" w:rsidP="00D62ABF">
      <w:pPr>
        <w:widowControl w:val="0"/>
      </w:pPr>
    </w:p>
    <w:p w14:paraId="598F825B" w14:textId="78CE653E" w:rsidR="00EB08A3" w:rsidRPr="00746ACE" w:rsidRDefault="00DD0389" w:rsidP="00D62ABF">
      <w:pPr>
        <w:pStyle w:val="Prrafodelista"/>
        <w:widowControl w:val="0"/>
        <w:numPr>
          <w:ilvl w:val="0"/>
          <w:numId w:val="7"/>
        </w:numPr>
      </w:pPr>
      <w:r w:rsidRPr="00746ACE">
        <w:t>E</w:t>
      </w:r>
      <w:r w:rsidR="005C2D7B" w:rsidRPr="00746ACE">
        <w:t xml:space="preserve">l interés por enfrentar la impunidad frente a graves crímenes </w:t>
      </w:r>
      <w:r w:rsidR="00292291" w:rsidRPr="00746ACE">
        <w:t xml:space="preserve">tiene </w:t>
      </w:r>
      <w:r w:rsidRPr="00746ACE">
        <w:t xml:space="preserve">como manifestación </w:t>
      </w:r>
      <w:r w:rsidR="00292291" w:rsidRPr="00746ACE">
        <w:t xml:space="preserve">relevante en el derecho internacional de los derechos humanos, </w:t>
      </w:r>
      <w:r w:rsidR="00F448B2" w:rsidRPr="00746ACE">
        <w:t>e</w:t>
      </w:r>
      <w:r w:rsidR="00292291" w:rsidRPr="00746ACE">
        <w:t xml:space="preserve">l </w:t>
      </w:r>
      <w:r w:rsidRPr="00746ACE">
        <w:t xml:space="preserve">conjunto de principios internacionales en el seno de la Organización de las Naciones Unidas a lo largo de la década de 1990, </w:t>
      </w:r>
      <w:r w:rsidR="00F448B2" w:rsidRPr="00746ACE">
        <w:t xml:space="preserve">así como el </w:t>
      </w:r>
      <w:r w:rsidRPr="00746ACE">
        <w:t>proceso de consolidación del estándar de debida diligencia asociado al derecho de acceso a la justicia en la década subsiguiente</w:t>
      </w:r>
      <w:r w:rsidRPr="00746ACE">
        <w:rPr>
          <w:rStyle w:val="Refdenotaalpie"/>
        </w:rPr>
        <w:footnoteReference w:id="92"/>
      </w:r>
      <w:r w:rsidRPr="00746ACE">
        <w:t>. En el caso de la ONU, es destacable el proceso que condujo a la adopción del Conjunto de principios para la protección y la promoción de los derechos humanos mediante la lucha contra la impunidad de</w:t>
      </w:r>
      <w:r w:rsidR="00441F39" w:rsidRPr="00746ACE">
        <w:t xml:space="preserve"> 1997 (actualizados en</w:t>
      </w:r>
      <w:r w:rsidRPr="00746ACE">
        <w:t xml:space="preserve"> 2005</w:t>
      </w:r>
      <w:r w:rsidR="00441F39" w:rsidRPr="00746ACE">
        <w:t>)</w:t>
      </w:r>
      <w:r w:rsidR="00A57836" w:rsidRPr="00746ACE">
        <w:rPr>
          <w:rStyle w:val="Refdenotaalpie"/>
        </w:rPr>
        <w:footnoteReference w:id="93"/>
      </w:r>
      <w:r w:rsidR="00F77E76" w:rsidRPr="00746ACE">
        <w:t>.</w:t>
      </w:r>
      <w:r w:rsidR="002F394E" w:rsidRPr="00746ACE">
        <w:t xml:space="preserve"> </w:t>
      </w:r>
    </w:p>
    <w:p w14:paraId="7188CA74" w14:textId="77777777" w:rsidR="00EB08A3" w:rsidRPr="00746ACE" w:rsidRDefault="00EB08A3" w:rsidP="00D62ABF">
      <w:pPr>
        <w:widowControl w:val="0"/>
      </w:pPr>
    </w:p>
    <w:p w14:paraId="2C8FE1E6" w14:textId="31D040F2" w:rsidR="00F01892" w:rsidRPr="00746ACE" w:rsidRDefault="00EB08A3" w:rsidP="00870A22">
      <w:pPr>
        <w:pStyle w:val="Prrafodelista"/>
        <w:widowControl w:val="0"/>
        <w:numPr>
          <w:ilvl w:val="0"/>
          <w:numId w:val="7"/>
        </w:numPr>
      </w:pPr>
      <w:r w:rsidRPr="00746ACE">
        <w:t xml:space="preserve">Los Principios </w:t>
      </w:r>
      <w:r w:rsidR="001E6C6F" w:rsidRPr="00746ACE">
        <w:t xml:space="preserve">recién mencionados </w:t>
      </w:r>
      <w:r w:rsidRPr="00746ACE">
        <w:t xml:space="preserve">definen la impunidad como la inexistencia de responsabilidad penal por parte de los responsables de graves violaciones a los derechos humanos, pues escapan a la investigación destinada a inculparlos, detenerlos, procesarlos y, de ser el caso, condenarlos. A dicha definición se suma también la falta de reparación. </w:t>
      </w:r>
    </w:p>
    <w:p w14:paraId="26DA015C" w14:textId="77777777" w:rsidR="00F01892" w:rsidRPr="00746ACE" w:rsidRDefault="00F01892" w:rsidP="00F01892"/>
    <w:p w14:paraId="40E3ABE9" w14:textId="2A464F37" w:rsidR="006E6E69" w:rsidRPr="00746ACE" w:rsidRDefault="00490073" w:rsidP="006E6E69">
      <w:pPr>
        <w:pStyle w:val="Prrafodelista"/>
        <w:widowControl w:val="0"/>
        <w:numPr>
          <w:ilvl w:val="0"/>
          <w:numId w:val="7"/>
        </w:numPr>
      </w:pPr>
      <w:r w:rsidRPr="00746ACE">
        <w:t xml:space="preserve">De </w:t>
      </w:r>
      <w:r w:rsidR="00EB08A3" w:rsidRPr="00746ACE">
        <w:t>acuerdo con los Principios</w:t>
      </w:r>
      <w:r w:rsidRPr="00746ACE">
        <w:t xml:space="preserve"> citados</w:t>
      </w:r>
      <w:r w:rsidR="00EB08A3" w:rsidRPr="00746ACE">
        <w:t xml:space="preserve">, el Estado </w:t>
      </w:r>
      <w:r w:rsidRPr="00746ACE">
        <w:t xml:space="preserve">debe </w:t>
      </w:r>
      <w:r w:rsidR="00EB08A3" w:rsidRPr="00746ACE">
        <w:t>emprend</w:t>
      </w:r>
      <w:r w:rsidRPr="00746ACE">
        <w:t>er</w:t>
      </w:r>
      <w:r w:rsidR="00EB08A3" w:rsidRPr="00746ACE">
        <w:t xml:space="preserve"> investigaciones “rápidas, minuciosas, independientes e imparciales de las violaciones de los derechos humanos y el derecho internacional humanitario”, de modo que los autores sean procesado</w:t>
      </w:r>
      <w:r w:rsidRPr="00746ACE">
        <w:t>s</w:t>
      </w:r>
      <w:r w:rsidR="00EB08A3" w:rsidRPr="00746ACE">
        <w:t>, juzgados y condenados penalmente</w:t>
      </w:r>
      <w:r w:rsidR="00EB08A3" w:rsidRPr="00746ACE">
        <w:rPr>
          <w:rStyle w:val="Refdenotaalpie"/>
        </w:rPr>
        <w:footnoteReference w:id="94"/>
      </w:r>
      <w:r w:rsidR="00EB08A3" w:rsidRPr="00746ACE">
        <w:t>. Asimismo, demanda la garantía de participación jurídica amplia de las víctimas en el proceso judicial</w:t>
      </w:r>
      <w:r w:rsidR="006E6E69" w:rsidRPr="00746ACE">
        <w:rPr>
          <w:rStyle w:val="Refdenotaalpie"/>
        </w:rPr>
        <w:footnoteReference w:id="95"/>
      </w:r>
      <w:r w:rsidR="006E6E69" w:rsidRPr="00746ACE">
        <w:t>.</w:t>
      </w:r>
    </w:p>
    <w:p w14:paraId="335714BD" w14:textId="77777777" w:rsidR="004E3F1D" w:rsidRPr="00746ACE" w:rsidRDefault="004E3F1D" w:rsidP="00550213"/>
    <w:p w14:paraId="4439E4E6" w14:textId="5E58A0CB" w:rsidR="00D05A63" w:rsidRPr="00746ACE" w:rsidRDefault="004E3F1D" w:rsidP="00FC3A12">
      <w:pPr>
        <w:pStyle w:val="Prrafodelista"/>
        <w:numPr>
          <w:ilvl w:val="0"/>
          <w:numId w:val="7"/>
        </w:numPr>
      </w:pPr>
      <w:r w:rsidRPr="00746ACE">
        <w:t xml:space="preserve">Por su parte, en </w:t>
      </w:r>
      <w:r w:rsidR="00205685" w:rsidRPr="00746ACE">
        <w:t>ámbito regional interamericano</w:t>
      </w:r>
      <w:r w:rsidRPr="00746ACE">
        <w:t>,</w:t>
      </w:r>
      <w:r w:rsidR="00271F97" w:rsidRPr="00746ACE">
        <w:rPr>
          <w:rStyle w:val="Refdenotaalpie"/>
        </w:rPr>
        <w:footnoteReference w:id="96"/>
      </w:r>
      <w:r w:rsidR="00CD6F45" w:rsidRPr="00746ACE">
        <w:t xml:space="preserve"> l</w:t>
      </w:r>
      <w:r w:rsidR="00325895" w:rsidRPr="00746ACE">
        <w:t xml:space="preserve">a </w:t>
      </w:r>
      <w:r w:rsidR="0013043F" w:rsidRPr="00746ACE">
        <w:t xml:space="preserve">incompatibilidad </w:t>
      </w:r>
      <w:r w:rsidR="00325895" w:rsidRPr="00746ACE">
        <w:t>de la impunidad con la Convención Americana se de</w:t>
      </w:r>
      <w:r w:rsidR="00205685" w:rsidRPr="00746ACE">
        <w:t>riva</w:t>
      </w:r>
      <w:r w:rsidR="00325895" w:rsidRPr="00746ACE">
        <w:t xml:space="preserve"> de</w:t>
      </w:r>
      <w:r w:rsidR="009D227B" w:rsidRPr="00746ACE">
        <w:t xml:space="preserve"> la obligación de garantizar los derechos humanos</w:t>
      </w:r>
      <w:r w:rsidR="00A72495" w:rsidRPr="00746ACE">
        <w:t xml:space="preserve"> con debida </w:t>
      </w:r>
      <w:r w:rsidR="00DC6BB5" w:rsidRPr="00746ACE">
        <w:t>diligencia, cuya manifestación más importante es el deber de investigar, juzgar y sancionar a los autores de graves violaciones a los derechos humanos</w:t>
      </w:r>
      <w:r w:rsidRPr="00746ACE">
        <w:rPr>
          <w:rStyle w:val="Refdenotaalpie"/>
        </w:rPr>
        <w:footnoteReference w:id="97"/>
      </w:r>
      <w:r w:rsidRPr="00746ACE">
        <w:t xml:space="preserve">. </w:t>
      </w:r>
      <w:r w:rsidR="00530FEF" w:rsidRPr="00746ACE">
        <w:t xml:space="preserve">Aunque es </w:t>
      </w:r>
      <w:r w:rsidR="005C0C8A" w:rsidRPr="00746ACE">
        <w:t>una obligación</w:t>
      </w:r>
      <w:r w:rsidR="00530FEF" w:rsidRPr="00746ACE">
        <w:t xml:space="preserve"> de medios y no de resultados, </w:t>
      </w:r>
      <w:r w:rsidR="00C8438B" w:rsidRPr="00746ACE">
        <w:t xml:space="preserve">el Estado debe </w:t>
      </w:r>
      <w:r w:rsidR="00FC1CD9" w:rsidRPr="00746ACE">
        <w:t xml:space="preserve">asumirla </w:t>
      </w:r>
      <w:r w:rsidR="00C8438B" w:rsidRPr="00746ACE">
        <w:t>“</w:t>
      </w:r>
      <w:r w:rsidR="00DF6A27" w:rsidRPr="00746ACE">
        <w:t>con seriedad y no como una simple formalidad condenada de antemano a ser infructuosa</w:t>
      </w:r>
      <w:r w:rsidR="007E7DC1" w:rsidRPr="00746ACE">
        <w:t>”</w:t>
      </w:r>
      <w:r w:rsidR="00DF6A27" w:rsidRPr="00746ACE">
        <w:t>.</w:t>
      </w:r>
      <w:r w:rsidR="007E7DC1" w:rsidRPr="00746ACE">
        <w:t xml:space="preserve"> </w:t>
      </w:r>
    </w:p>
    <w:p w14:paraId="1263B8CC" w14:textId="77777777" w:rsidR="00B22E03" w:rsidRPr="00746ACE" w:rsidRDefault="00B22E03" w:rsidP="00B22E03">
      <w:pPr>
        <w:pStyle w:val="Prrafodelista"/>
        <w:ind w:left="0"/>
      </w:pPr>
    </w:p>
    <w:p w14:paraId="0C2A9C7D" w14:textId="29897273" w:rsidR="006E5E2B" w:rsidRPr="00746ACE" w:rsidRDefault="00F903F2" w:rsidP="00FD4344">
      <w:pPr>
        <w:pStyle w:val="Prrafodelista"/>
        <w:numPr>
          <w:ilvl w:val="0"/>
          <w:numId w:val="7"/>
        </w:numPr>
      </w:pPr>
      <w:r w:rsidRPr="00746ACE">
        <w:t xml:space="preserve">En </w:t>
      </w:r>
      <w:r w:rsidR="00205685" w:rsidRPr="00746ACE">
        <w:t>su</w:t>
      </w:r>
      <w:r w:rsidRPr="00746ACE">
        <w:t xml:space="preserve"> dimensión de maximización de derechos, </w:t>
      </w:r>
      <w:r w:rsidR="006E5E2B" w:rsidRPr="00746ACE">
        <w:t xml:space="preserve">la justicia transicional ha avanzado, </w:t>
      </w:r>
      <w:r w:rsidR="00205685" w:rsidRPr="00746ACE">
        <w:t>especialmente</w:t>
      </w:r>
      <w:r w:rsidR="006E5E2B" w:rsidRPr="00746ACE">
        <w:t xml:space="preserve"> en medidas de esclarecimiento de la verdad, construcción de memoria histórica, búsqueda de personas dadas por desaparecidas y reparación. E</w:t>
      </w:r>
      <w:r w:rsidR="00205685" w:rsidRPr="00746ACE">
        <w:t>n este sentido, el</w:t>
      </w:r>
      <w:r w:rsidR="006E5E2B" w:rsidRPr="00746ACE">
        <w:t xml:space="preserve"> sistema colombiano </w:t>
      </w:r>
      <w:r w:rsidR="00C7400E" w:rsidRPr="00746ACE">
        <w:t>cuenta con instituciones como</w:t>
      </w:r>
      <w:r w:rsidR="006E5E2B" w:rsidRPr="00746ACE">
        <w:t xml:space="preserve"> </w:t>
      </w:r>
      <w:r w:rsidR="00C7400E" w:rsidRPr="00746ACE">
        <w:t xml:space="preserve">la Comisión para el Esclarecimiento de la Verdad, </w:t>
      </w:r>
      <w:r w:rsidR="006E5E2B" w:rsidRPr="00746ACE">
        <w:t>que produjo su informe en 2022</w:t>
      </w:r>
      <w:r w:rsidR="00C7400E" w:rsidRPr="00746ACE">
        <w:t>,</w:t>
      </w:r>
      <w:r w:rsidR="006E5E2B" w:rsidRPr="00746ACE">
        <w:t xml:space="preserve"> y la Unidad de Búsqueda de </w:t>
      </w:r>
      <w:r w:rsidR="00C7400E" w:rsidRPr="00746ACE">
        <w:t>P</w:t>
      </w:r>
      <w:r w:rsidR="006E5E2B" w:rsidRPr="00746ACE">
        <w:t xml:space="preserve">ersonas dadas por Desaparecidas, que continúa </w:t>
      </w:r>
      <w:r w:rsidR="00C7400E" w:rsidRPr="00746ACE">
        <w:t>ejerciendo su mandato</w:t>
      </w:r>
      <w:r w:rsidR="006E5E2B" w:rsidRPr="00746ACE">
        <w:t>.</w:t>
      </w:r>
    </w:p>
    <w:p w14:paraId="1DCDBF16" w14:textId="77777777" w:rsidR="00205685" w:rsidRPr="00746ACE" w:rsidRDefault="00205685" w:rsidP="00314A49"/>
    <w:p w14:paraId="07A25D7B" w14:textId="4E938433" w:rsidR="00F903F2" w:rsidRPr="00746ACE" w:rsidRDefault="006E5E2B" w:rsidP="00FD4344">
      <w:pPr>
        <w:pStyle w:val="Prrafodelista"/>
        <w:numPr>
          <w:ilvl w:val="0"/>
          <w:numId w:val="7"/>
        </w:numPr>
      </w:pPr>
      <w:r w:rsidRPr="00746ACE">
        <w:t xml:space="preserve">Sin embargo, dada la relación de interdependencia entre los distintos derechos de las víctimas, el componente de justicia </w:t>
      </w:r>
      <w:r w:rsidR="00C7400E" w:rsidRPr="00746ACE">
        <w:t xml:space="preserve">también </w:t>
      </w:r>
      <w:r w:rsidRPr="00746ACE">
        <w:t xml:space="preserve">persigue un </w:t>
      </w:r>
      <w:r w:rsidR="00C7400E" w:rsidRPr="00746ACE">
        <w:t xml:space="preserve">amplio </w:t>
      </w:r>
      <w:r w:rsidRPr="00746ACE">
        <w:t>nivel de verdad, que se beneficia del sistema de investigación por macro casos y debe articular</w:t>
      </w:r>
      <w:r w:rsidR="00C7400E" w:rsidRPr="00746ACE">
        <w:t>se</w:t>
      </w:r>
      <w:r w:rsidRPr="00746ACE">
        <w:t xml:space="preserve"> </w:t>
      </w:r>
      <w:r w:rsidR="00C7400E" w:rsidRPr="00746ACE">
        <w:t>con el</w:t>
      </w:r>
      <w:r w:rsidRPr="00746ACE">
        <w:t xml:space="preserve"> sistema general de reparación previo al </w:t>
      </w:r>
      <w:r w:rsidR="00C7400E" w:rsidRPr="00746ACE">
        <w:t>A</w:t>
      </w:r>
      <w:r w:rsidRPr="00746ACE">
        <w:t xml:space="preserve">cuerdo. La reparación </w:t>
      </w:r>
      <w:r w:rsidR="00C7400E" w:rsidRPr="00746ACE">
        <w:t>constituye, además,</w:t>
      </w:r>
      <w:r w:rsidRPr="00746ACE">
        <w:t xml:space="preserve"> un componente de las sanciones propias y una finalidad del procedimiento restaurativo de la JEP. </w:t>
      </w:r>
      <w:r w:rsidR="00AA4627" w:rsidRPr="00746ACE">
        <w:t>El régimen de condicionalidad, ordinario y estricto es</w:t>
      </w:r>
      <w:r w:rsidR="00C7400E" w:rsidRPr="00746ACE">
        <w:t>,</w:t>
      </w:r>
      <w:r w:rsidR="00AA4627" w:rsidRPr="00746ACE">
        <w:t xml:space="preserve"> ante todo</w:t>
      </w:r>
      <w:r w:rsidR="00C7400E" w:rsidRPr="00746ACE">
        <w:t>,</w:t>
      </w:r>
      <w:r w:rsidR="00AA4627" w:rsidRPr="00746ACE">
        <w:t xml:space="preserve"> un compromiso con los derechos de las víctimas. </w:t>
      </w:r>
    </w:p>
    <w:p w14:paraId="2866D9DB" w14:textId="77777777" w:rsidR="00C7400E" w:rsidRPr="00746ACE" w:rsidRDefault="00C7400E" w:rsidP="00314A49"/>
    <w:p w14:paraId="22E16C8E" w14:textId="15B1ED5A" w:rsidR="006E5E2B" w:rsidRPr="00746ACE" w:rsidRDefault="006E5E2B" w:rsidP="00FD4344">
      <w:pPr>
        <w:pStyle w:val="Prrafodelista"/>
        <w:numPr>
          <w:ilvl w:val="0"/>
          <w:numId w:val="7"/>
        </w:numPr>
      </w:pPr>
      <w:r w:rsidRPr="00746ACE">
        <w:t xml:space="preserve">En </w:t>
      </w:r>
      <w:r w:rsidR="00AA4627" w:rsidRPr="00746ACE">
        <w:t>el sistema que administra la JEP, de justicia transicional y restaurativa</w:t>
      </w:r>
      <w:r w:rsidRPr="00746ACE">
        <w:t xml:space="preserve">, </w:t>
      </w:r>
      <w:r w:rsidR="00AA4627" w:rsidRPr="00746ACE">
        <w:t xml:space="preserve">la </w:t>
      </w:r>
      <w:r w:rsidRPr="00746ACE">
        <w:t>lucha contra la impunidad y la maximización de derechos de las víctimas deben ir de la mano, pues el castigo por sí solo no tiene la potencialidad de reconstruir los lazos rotos por el conflicto, de reparar a las víctimas y de alcanzar una verdad por cauces que dignifiquen su presencia en la jurisdicción. Esta es también una consecuencia del principio de centralidad de las víctimas, definido en el Acto Legislativo 01 de 2017</w:t>
      </w:r>
      <w:r w:rsidRPr="00746ACE">
        <w:rPr>
          <w:rStyle w:val="Refdenotaalpie"/>
        </w:rPr>
        <w:footnoteReference w:id="98"/>
      </w:r>
      <w:r w:rsidRPr="00746ACE">
        <w:t xml:space="preserve">. </w:t>
      </w:r>
    </w:p>
    <w:p w14:paraId="7AE8F5DF" w14:textId="77777777" w:rsidR="00F903F2" w:rsidRPr="00746ACE" w:rsidRDefault="00F903F2" w:rsidP="00F903F2">
      <w:pPr>
        <w:pStyle w:val="Prrafodelista"/>
      </w:pPr>
    </w:p>
    <w:p w14:paraId="4E09CDBF" w14:textId="3245F2E5" w:rsidR="00041073" w:rsidRPr="00746ACE" w:rsidRDefault="00D05A63" w:rsidP="00FD4344">
      <w:pPr>
        <w:pStyle w:val="Prrafodelista"/>
        <w:numPr>
          <w:ilvl w:val="0"/>
          <w:numId w:val="7"/>
        </w:numPr>
      </w:pPr>
      <w:r w:rsidRPr="00746ACE">
        <w:t xml:space="preserve">La Corte Constitucional </w:t>
      </w:r>
      <w:r w:rsidR="00D03BA0" w:rsidRPr="00746ACE">
        <w:t xml:space="preserve">ha sostenido, en efecto, </w:t>
      </w:r>
      <w:r w:rsidR="00C02265" w:rsidRPr="00746ACE">
        <w:t xml:space="preserve">que cualquier iniciativa transicional que fomente una salida </w:t>
      </w:r>
      <w:r w:rsidR="00174E86" w:rsidRPr="00746ACE">
        <w:t xml:space="preserve">no bélica al conflicto armado debe </w:t>
      </w:r>
      <w:r w:rsidR="003A4E36" w:rsidRPr="00746ACE">
        <w:t>privilegiar la garantía de los derechos de las víctimas</w:t>
      </w:r>
      <w:r w:rsidR="00FF3A3B" w:rsidRPr="00746ACE">
        <w:rPr>
          <w:rStyle w:val="Refdenotaalpie"/>
        </w:rPr>
        <w:footnoteReference w:id="99"/>
      </w:r>
      <w:r w:rsidR="003A4E36" w:rsidRPr="00746ACE">
        <w:t xml:space="preserve">. </w:t>
      </w:r>
    </w:p>
    <w:p w14:paraId="17635B06" w14:textId="77777777" w:rsidR="00FD4344" w:rsidRPr="00746ACE" w:rsidRDefault="00FD4344" w:rsidP="00FD4344">
      <w:pPr>
        <w:pStyle w:val="Prrafodelista"/>
        <w:ind w:left="0"/>
      </w:pPr>
    </w:p>
    <w:p w14:paraId="7A5A6E7E" w14:textId="42629133" w:rsidR="00585132" w:rsidRPr="00746ACE" w:rsidRDefault="00585132" w:rsidP="00041073">
      <w:pPr>
        <w:pStyle w:val="Prrafodelista"/>
        <w:numPr>
          <w:ilvl w:val="0"/>
          <w:numId w:val="7"/>
        </w:numPr>
        <w:rPr>
          <w:lang w:val="es-419"/>
        </w:rPr>
      </w:pPr>
      <w:r w:rsidRPr="00746ACE">
        <w:rPr>
          <w:lang w:val="es-419"/>
        </w:rPr>
        <w:t>Para dar alcance al cumplimiento de estos deber</w:t>
      </w:r>
      <w:r w:rsidR="007F00A6" w:rsidRPr="00746ACE">
        <w:rPr>
          <w:lang w:val="es-419"/>
        </w:rPr>
        <w:t>es</w:t>
      </w:r>
      <w:r w:rsidRPr="00746ACE">
        <w:rPr>
          <w:lang w:val="es-419"/>
        </w:rPr>
        <w:t xml:space="preserve">, el Estado tiene </w:t>
      </w:r>
      <w:r w:rsidR="008452CE" w:rsidRPr="00746ACE">
        <w:rPr>
          <w:lang w:val="es-419"/>
        </w:rPr>
        <w:t>un margen de acción para gestionar de forma eficaz la garantía del acceso a la justicia, en atención a la complejidad del contexto y a la multiplicidad de víctimas</w:t>
      </w:r>
      <w:r w:rsidR="00B037DA" w:rsidRPr="00746ACE">
        <w:rPr>
          <w:lang w:val="es-419"/>
        </w:rPr>
        <w:t>.</w:t>
      </w:r>
      <w:r w:rsidR="008452CE" w:rsidRPr="00746ACE">
        <w:rPr>
          <w:lang w:val="es-419"/>
        </w:rPr>
        <w:t xml:space="preserve"> </w:t>
      </w:r>
      <w:r w:rsidR="00443E4F" w:rsidRPr="00746ACE">
        <w:rPr>
          <w:lang w:val="es-419"/>
        </w:rPr>
        <w:t xml:space="preserve">Por lo mismo, </w:t>
      </w:r>
      <w:r w:rsidR="001E645C" w:rsidRPr="00746ACE">
        <w:rPr>
          <w:lang w:val="es-419"/>
        </w:rPr>
        <w:t>el Estado puede acudir a fórmulas como la priorizac</w:t>
      </w:r>
      <w:r w:rsidR="004B0C8A" w:rsidRPr="00746ACE">
        <w:rPr>
          <w:lang w:val="es-419"/>
        </w:rPr>
        <w:t>ión</w:t>
      </w:r>
      <w:r w:rsidR="00CD4D77" w:rsidRPr="00746ACE">
        <w:rPr>
          <w:lang w:val="es-419"/>
        </w:rPr>
        <w:t xml:space="preserve"> de casos</w:t>
      </w:r>
      <w:r w:rsidR="004B0C8A" w:rsidRPr="00746ACE">
        <w:rPr>
          <w:lang w:val="es-419"/>
        </w:rPr>
        <w:t xml:space="preserve"> y la selección de máximos responsables</w:t>
      </w:r>
      <w:r w:rsidR="00A05D32" w:rsidRPr="00746ACE">
        <w:rPr>
          <w:rStyle w:val="Refdenotaalpie"/>
          <w:lang w:val="es-419"/>
        </w:rPr>
        <w:footnoteReference w:id="100"/>
      </w:r>
      <w:r w:rsidR="00113883" w:rsidRPr="00746ACE">
        <w:rPr>
          <w:lang w:val="es-419"/>
        </w:rPr>
        <w:t xml:space="preserve">, siempre que la transición propicie la maximización de otros derechos como el derecho a </w:t>
      </w:r>
      <w:r w:rsidR="00CD4D77" w:rsidRPr="00746ACE">
        <w:rPr>
          <w:lang w:val="es-419"/>
        </w:rPr>
        <w:t>conocer</w:t>
      </w:r>
      <w:r w:rsidR="00113883" w:rsidRPr="00746ACE">
        <w:rPr>
          <w:lang w:val="es-419"/>
        </w:rPr>
        <w:t xml:space="preserve"> la verdad y a la reparación integral</w:t>
      </w:r>
      <w:r w:rsidR="00113883" w:rsidRPr="00746ACE">
        <w:rPr>
          <w:rStyle w:val="Refdenotaalpie"/>
          <w:lang w:val="es-419"/>
        </w:rPr>
        <w:footnoteReference w:id="101"/>
      </w:r>
      <w:r w:rsidR="00113883" w:rsidRPr="00746ACE">
        <w:rPr>
          <w:lang w:val="es-419"/>
        </w:rPr>
        <w:t>.</w:t>
      </w:r>
    </w:p>
    <w:p w14:paraId="6E2B82E6" w14:textId="77777777" w:rsidR="00EB7040" w:rsidRPr="00746ACE" w:rsidRDefault="00EB7040" w:rsidP="00EB7040">
      <w:pPr>
        <w:pStyle w:val="Prrafodelista"/>
        <w:ind w:left="0"/>
        <w:rPr>
          <w:lang w:val="es-419"/>
        </w:rPr>
      </w:pPr>
    </w:p>
    <w:p w14:paraId="2E59193B" w14:textId="77777777" w:rsidR="009B0909" w:rsidRPr="00746ACE" w:rsidRDefault="00D03BA0" w:rsidP="00041073">
      <w:pPr>
        <w:pStyle w:val="Prrafodelista"/>
        <w:numPr>
          <w:ilvl w:val="0"/>
          <w:numId w:val="7"/>
        </w:numPr>
        <w:rPr>
          <w:lang w:val="es-419"/>
        </w:rPr>
      </w:pPr>
      <w:r w:rsidRPr="00746ACE">
        <w:rPr>
          <w:lang w:val="es-419"/>
        </w:rPr>
        <w:t xml:space="preserve">Sobre el </w:t>
      </w:r>
      <w:r w:rsidR="00EB7040" w:rsidRPr="00746ACE">
        <w:rPr>
          <w:lang w:val="es-419"/>
        </w:rPr>
        <w:t>modelo de priorización y selección definido en el Acuerdo Final de Paz e incorporado a la Constitución mediante el A</w:t>
      </w:r>
      <w:r w:rsidR="00B072EA" w:rsidRPr="00746ACE">
        <w:rPr>
          <w:lang w:val="es-419"/>
        </w:rPr>
        <w:t xml:space="preserve">cto </w:t>
      </w:r>
      <w:r w:rsidR="00EB7040" w:rsidRPr="00746ACE">
        <w:rPr>
          <w:lang w:val="es-419"/>
        </w:rPr>
        <w:t>L</w:t>
      </w:r>
      <w:r w:rsidR="00B072EA" w:rsidRPr="00746ACE">
        <w:rPr>
          <w:lang w:val="es-419"/>
        </w:rPr>
        <w:t>egislativo</w:t>
      </w:r>
      <w:r w:rsidR="00EB7040" w:rsidRPr="00746ACE">
        <w:rPr>
          <w:lang w:val="es-419"/>
        </w:rPr>
        <w:t xml:space="preserve"> 01 de 2017, tanto la Corte Interamericana de Derechos Humanos</w:t>
      </w:r>
      <w:r w:rsidR="00934D9F" w:rsidRPr="00746ACE">
        <w:rPr>
          <w:rStyle w:val="Refdenotaalpie"/>
          <w:lang w:val="es-419"/>
        </w:rPr>
        <w:footnoteReference w:id="102"/>
      </w:r>
      <w:r w:rsidR="00EB7040" w:rsidRPr="00746ACE">
        <w:rPr>
          <w:lang w:val="es-419"/>
        </w:rPr>
        <w:t xml:space="preserve"> como el </w:t>
      </w:r>
      <w:r w:rsidR="00ED5FA8" w:rsidRPr="00746ACE">
        <w:t xml:space="preserve">Relator Especial sobre la promoción de la verdad, la justicia, la reparación y las garantías de no repetición han señalado que se trata de mecanismos compatibles, en abstracto, con el derecho de proveer un recurso judicial efectivo a las víctimas de graves violaciones a los derechos humanos y el derecho internacional humanitario. </w:t>
      </w:r>
    </w:p>
    <w:p w14:paraId="2B29B018" w14:textId="77777777" w:rsidR="009B0909" w:rsidRPr="00746ACE" w:rsidRDefault="009B0909" w:rsidP="009B0909">
      <w:pPr>
        <w:pStyle w:val="Prrafodelista"/>
      </w:pPr>
    </w:p>
    <w:p w14:paraId="10A163D3" w14:textId="3DF30023" w:rsidR="00E7125E" w:rsidRPr="00746ACE" w:rsidRDefault="00ED5FA8" w:rsidP="00041073">
      <w:pPr>
        <w:pStyle w:val="Prrafodelista"/>
        <w:numPr>
          <w:ilvl w:val="0"/>
          <w:numId w:val="7"/>
        </w:numPr>
        <w:rPr>
          <w:lang w:val="es-419"/>
        </w:rPr>
      </w:pPr>
      <w:r w:rsidRPr="00746ACE">
        <w:t>El Relator</w:t>
      </w:r>
      <w:r w:rsidR="00A86AEC" w:rsidRPr="00746ACE">
        <w:t>,</w:t>
      </w:r>
      <w:r w:rsidRPr="00746ACE">
        <w:t xml:space="preserve"> en particular, señaló en su informe </w:t>
      </w:r>
      <w:r w:rsidR="005A6940" w:rsidRPr="00746ACE">
        <w:t xml:space="preserve">de 2021 </w:t>
      </w:r>
      <w:r w:rsidR="0053059B" w:rsidRPr="00746ACE">
        <w:t>que el esquema de macro</w:t>
      </w:r>
      <w:r w:rsidR="00A86AEC" w:rsidRPr="00746ACE">
        <w:t xml:space="preserve"> </w:t>
      </w:r>
      <w:r w:rsidR="0053059B" w:rsidRPr="00746ACE">
        <w:t xml:space="preserve">casos </w:t>
      </w:r>
      <w:r w:rsidR="005A6940" w:rsidRPr="00746ACE">
        <w:t>de</w:t>
      </w:r>
      <w:r w:rsidR="0053059B" w:rsidRPr="00746ACE">
        <w:t xml:space="preserve"> la JEP </w:t>
      </w:r>
      <w:r w:rsidR="005A6940" w:rsidRPr="00746ACE">
        <w:t>constituye</w:t>
      </w:r>
      <w:r w:rsidR="009477AB" w:rsidRPr="00746ACE">
        <w:t xml:space="preserve"> una buena práctica </w:t>
      </w:r>
      <w:r w:rsidR="008362BE" w:rsidRPr="00746ACE">
        <w:t xml:space="preserve">porque muestra un fortalecimiento en las capacidades técnicas </w:t>
      </w:r>
      <w:r w:rsidR="00E43984" w:rsidRPr="00746ACE">
        <w:t xml:space="preserve">del Estado </w:t>
      </w:r>
      <w:r w:rsidR="008362BE" w:rsidRPr="00746ACE">
        <w:t xml:space="preserve">para </w:t>
      </w:r>
      <w:r w:rsidR="00E43984" w:rsidRPr="00746ACE">
        <w:t>emprender</w:t>
      </w:r>
      <w:r w:rsidR="008362BE" w:rsidRPr="00746ACE">
        <w:t xml:space="preserve"> </w:t>
      </w:r>
      <w:r w:rsidR="00B200EA" w:rsidRPr="00746ACE">
        <w:t>un enjuiciamiento efectivo y eficiente</w:t>
      </w:r>
      <w:r w:rsidR="00B200EA" w:rsidRPr="00746ACE">
        <w:rPr>
          <w:rStyle w:val="Refdenotaalpie"/>
        </w:rPr>
        <w:footnoteReference w:id="103"/>
      </w:r>
      <w:r w:rsidR="00B200EA" w:rsidRPr="00746ACE">
        <w:t>.</w:t>
      </w:r>
    </w:p>
    <w:p w14:paraId="754415C2" w14:textId="77777777" w:rsidR="00FA0BB9" w:rsidRPr="00746ACE" w:rsidRDefault="00FA0BB9" w:rsidP="00FA0BB9">
      <w:pPr>
        <w:rPr>
          <w:lang w:val="es-419"/>
        </w:rPr>
      </w:pPr>
    </w:p>
    <w:p w14:paraId="7B167042" w14:textId="77777777" w:rsidR="009B0909" w:rsidRPr="00746ACE" w:rsidRDefault="00041073" w:rsidP="009B0909">
      <w:pPr>
        <w:pStyle w:val="Prrafodelista"/>
        <w:numPr>
          <w:ilvl w:val="0"/>
          <w:numId w:val="7"/>
        </w:numPr>
        <w:rPr>
          <w:lang w:val="es-419"/>
        </w:rPr>
      </w:pPr>
      <w:r w:rsidRPr="00746ACE">
        <w:rPr>
          <w:lang w:val="es-419"/>
        </w:rPr>
        <w:t xml:space="preserve">A nivel político, estas coordenadas demarcan una frontera sobre elementos que resultan innegociables en el tránsito hacia la democracia </w:t>
      </w:r>
      <w:r w:rsidR="001F5A18" w:rsidRPr="00746ACE">
        <w:rPr>
          <w:lang w:val="es-419"/>
        </w:rPr>
        <w:t>y</w:t>
      </w:r>
      <w:r w:rsidRPr="00746ACE">
        <w:rPr>
          <w:lang w:val="es-419"/>
        </w:rPr>
        <w:t xml:space="preserve"> la paz. En el plano ético y filosófico, son a la vez una manifestación de las expectativas de las víctimas y un catalizador de nuevas emociones que </w:t>
      </w:r>
      <w:r w:rsidR="00162E0A" w:rsidRPr="00746ACE">
        <w:rPr>
          <w:lang w:val="es-419"/>
        </w:rPr>
        <w:t>el desarrollo</w:t>
      </w:r>
      <w:r w:rsidRPr="00746ACE">
        <w:rPr>
          <w:lang w:val="es-419"/>
        </w:rPr>
        <w:t xml:space="preserve"> del proceso judicial </w:t>
      </w:r>
      <w:r w:rsidR="000B7671" w:rsidRPr="00746ACE">
        <w:rPr>
          <w:lang w:val="es-419"/>
        </w:rPr>
        <w:t xml:space="preserve">transicional </w:t>
      </w:r>
      <w:r w:rsidRPr="00746ACE">
        <w:rPr>
          <w:lang w:val="es-419"/>
        </w:rPr>
        <w:t xml:space="preserve">deberá </w:t>
      </w:r>
      <w:r w:rsidR="000B7671" w:rsidRPr="00746ACE">
        <w:rPr>
          <w:lang w:val="es-419"/>
        </w:rPr>
        <w:t>gestionar</w:t>
      </w:r>
      <w:r w:rsidRPr="00746ACE">
        <w:rPr>
          <w:lang w:val="es-419"/>
        </w:rPr>
        <w:t xml:space="preserve"> de forma digna.</w:t>
      </w:r>
      <w:r w:rsidR="009B0909" w:rsidRPr="00746ACE">
        <w:rPr>
          <w:lang w:val="es-419"/>
        </w:rPr>
        <w:t xml:space="preserve"> </w:t>
      </w:r>
    </w:p>
    <w:p w14:paraId="26DD8A24" w14:textId="77777777" w:rsidR="009B0909" w:rsidRPr="00746ACE" w:rsidRDefault="009B0909" w:rsidP="009B0909">
      <w:pPr>
        <w:pStyle w:val="Prrafodelista"/>
        <w:rPr>
          <w:lang w:val="es-419"/>
        </w:rPr>
      </w:pPr>
    </w:p>
    <w:p w14:paraId="462AA1C8" w14:textId="79DBAA05" w:rsidR="00FA0BB9" w:rsidRPr="00746ACE" w:rsidRDefault="00FA0BB9" w:rsidP="009B0909">
      <w:pPr>
        <w:pStyle w:val="Prrafodelista"/>
        <w:numPr>
          <w:ilvl w:val="0"/>
          <w:numId w:val="7"/>
        </w:numPr>
        <w:rPr>
          <w:lang w:val="es-419"/>
        </w:rPr>
      </w:pPr>
      <w:r w:rsidRPr="00746ACE">
        <w:rPr>
          <w:lang w:val="es-419"/>
        </w:rPr>
        <w:t xml:space="preserve">En todo caso, como no existen fórmulas </w:t>
      </w:r>
      <w:r w:rsidR="00AC075C" w:rsidRPr="00746ACE">
        <w:rPr>
          <w:lang w:val="es-419"/>
        </w:rPr>
        <w:t>judiciales transicionales cer</w:t>
      </w:r>
      <w:r w:rsidR="00DC41D2" w:rsidRPr="00746ACE">
        <w:rPr>
          <w:lang w:val="es-419"/>
        </w:rPr>
        <w:t>radas porque</w:t>
      </w:r>
      <w:r w:rsidRPr="00746ACE">
        <w:rPr>
          <w:lang w:val="es-419"/>
        </w:rPr>
        <w:t xml:space="preserve"> </w:t>
      </w:r>
      <w:r w:rsidR="00DC41D2" w:rsidRPr="00746ACE">
        <w:rPr>
          <w:lang w:val="es-419"/>
        </w:rPr>
        <w:t>cada Estado necesita asumir</w:t>
      </w:r>
      <w:r w:rsidRPr="00746ACE">
        <w:rPr>
          <w:lang w:val="es-419"/>
        </w:rPr>
        <w:t xml:space="preserve"> </w:t>
      </w:r>
      <w:r w:rsidR="00AC075C" w:rsidRPr="00746ACE">
        <w:rPr>
          <w:lang w:val="es-419"/>
        </w:rPr>
        <w:t>el deber de investigar</w:t>
      </w:r>
      <w:r w:rsidR="00D763DE" w:rsidRPr="00746ACE">
        <w:rPr>
          <w:lang w:val="es-419"/>
        </w:rPr>
        <w:t>, juzgar y sancionar</w:t>
      </w:r>
      <w:r w:rsidRPr="00746ACE">
        <w:rPr>
          <w:lang w:val="es-419"/>
        </w:rPr>
        <w:t xml:space="preserve"> según su contexto, la gestión de </w:t>
      </w:r>
      <w:r w:rsidR="00D763DE" w:rsidRPr="00746ACE">
        <w:rPr>
          <w:lang w:val="es-419"/>
        </w:rPr>
        <w:t xml:space="preserve">las </w:t>
      </w:r>
      <w:r w:rsidRPr="00746ACE">
        <w:rPr>
          <w:lang w:val="es-419"/>
        </w:rPr>
        <w:t xml:space="preserve">expectativas </w:t>
      </w:r>
      <w:r w:rsidR="00D763DE" w:rsidRPr="00746ACE">
        <w:rPr>
          <w:lang w:val="es-419"/>
        </w:rPr>
        <w:t xml:space="preserve">de las víctimas </w:t>
      </w:r>
      <w:r w:rsidRPr="00746ACE">
        <w:rPr>
          <w:lang w:val="es-419"/>
        </w:rPr>
        <w:t>puede adelantarse mediante estrategias como la priorización y</w:t>
      </w:r>
      <w:r w:rsidR="00D763DE" w:rsidRPr="00746ACE">
        <w:rPr>
          <w:lang w:val="es-419"/>
        </w:rPr>
        <w:t xml:space="preserve"> la</w:t>
      </w:r>
      <w:r w:rsidRPr="00746ACE">
        <w:rPr>
          <w:lang w:val="es-419"/>
        </w:rPr>
        <w:t xml:space="preserve"> selección de casos, siempre que las reglas para su aplicación sean claras, uniformes y maximi</w:t>
      </w:r>
      <w:r w:rsidR="0095602E" w:rsidRPr="00746ACE">
        <w:rPr>
          <w:lang w:val="es-419"/>
        </w:rPr>
        <w:t xml:space="preserve">cen </w:t>
      </w:r>
      <w:r w:rsidRPr="00746ACE">
        <w:rPr>
          <w:lang w:val="es-419"/>
        </w:rPr>
        <w:t>la satisfacción de derechos</w:t>
      </w:r>
      <w:r w:rsidR="00AC50BC" w:rsidRPr="00746ACE">
        <w:rPr>
          <w:lang w:val="es-419"/>
        </w:rPr>
        <w:t xml:space="preserve"> como la verdad o la reparación</w:t>
      </w:r>
      <w:r w:rsidR="003E0EA2" w:rsidRPr="00746ACE">
        <w:rPr>
          <w:lang w:val="es-419"/>
        </w:rPr>
        <w:t>.</w:t>
      </w:r>
    </w:p>
    <w:p w14:paraId="09302AFD" w14:textId="77777777" w:rsidR="00B42C09" w:rsidRPr="00746ACE" w:rsidRDefault="00B42C09" w:rsidP="00D763DE">
      <w:pPr>
        <w:rPr>
          <w:lang w:val="es-419"/>
        </w:rPr>
      </w:pPr>
    </w:p>
    <w:p w14:paraId="530530DB" w14:textId="3B5A931B" w:rsidR="00B42C09" w:rsidRPr="00746ACE" w:rsidRDefault="00D03BA0" w:rsidP="00041073">
      <w:pPr>
        <w:pStyle w:val="Prrafodelista"/>
        <w:numPr>
          <w:ilvl w:val="0"/>
          <w:numId w:val="7"/>
        </w:numPr>
        <w:rPr>
          <w:lang w:val="es-419"/>
        </w:rPr>
      </w:pPr>
      <w:r w:rsidRPr="00746ACE">
        <w:rPr>
          <w:lang w:val="es-419"/>
        </w:rPr>
        <w:t>L</w:t>
      </w:r>
      <w:r w:rsidR="00B42C09" w:rsidRPr="00746ACE">
        <w:rPr>
          <w:lang w:val="es-419"/>
        </w:rPr>
        <w:t xml:space="preserve">a Corte pasa </w:t>
      </w:r>
      <w:r w:rsidRPr="00746ACE">
        <w:rPr>
          <w:lang w:val="es-419"/>
        </w:rPr>
        <w:t xml:space="preserve">ahora </w:t>
      </w:r>
      <w:r w:rsidR="00B42C09" w:rsidRPr="00746ACE">
        <w:rPr>
          <w:lang w:val="es-419"/>
        </w:rPr>
        <w:t>a analizar los cargos formulados por los accionantes.</w:t>
      </w:r>
    </w:p>
    <w:p w14:paraId="07459465" w14:textId="77777777" w:rsidR="007F1EA5" w:rsidRPr="00746ACE" w:rsidRDefault="007F1EA5" w:rsidP="009B0909">
      <w:pPr>
        <w:pStyle w:val="Ttulo1"/>
        <w:widowControl w:val="0"/>
        <w:numPr>
          <w:ilvl w:val="0"/>
          <w:numId w:val="0"/>
        </w:numPr>
        <w:spacing w:before="0" w:beforeAutospacing="0" w:after="0" w:afterAutospacing="0"/>
        <w:jc w:val="both"/>
        <w:rPr>
          <w:sz w:val="28"/>
          <w:szCs w:val="28"/>
          <w:lang w:val="es-ES"/>
        </w:rPr>
      </w:pPr>
    </w:p>
    <w:p w14:paraId="1C3D6995" w14:textId="77777777" w:rsidR="009B0909" w:rsidRPr="00746ACE" w:rsidRDefault="009B0909" w:rsidP="009B0909">
      <w:pPr>
        <w:pStyle w:val="Ttulo1"/>
        <w:widowControl w:val="0"/>
        <w:numPr>
          <w:ilvl w:val="0"/>
          <w:numId w:val="0"/>
        </w:numPr>
        <w:spacing w:before="0" w:beforeAutospacing="0" w:after="0" w:afterAutospacing="0"/>
        <w:jc w:val="both"/>
        <w:rPr>
          <w:sz w:val="28"/>
          <w:szCs w:val="28"/>
          <w:lang w:val="es-ES"/>
        </w:rPr>
      </w:pPr>
    </w:p>
    <w:p w14:paraId="634FECB1" w14:textId="284A9CFC" w:rsidR="0043161D" w:rsidRPr="00746ACE" w:rsidRDefault="00934E93" w:rsidP="009B0909">
      <w:pPr>
        <w:pStyle w:val="Ttulo1"/>
        <w:widowControl w:val="0"/>
        <w:spacing w:before="0" w:beforeAutospacing="0" w:after="0" w:afterAutospacing="0"/>
        <w:jc w:val="center"/>
        <w:rPr>
          <w:sz w:val="28"/>
          <w:szCs w:val="28"/>
          <w:lang w:val="es-ES"/>
        </w:rPr>
      </w:pPr>
      <w:bookmarkStart w:id="40" w:name="_Toc233384190"/>
      <w:r w:rsidRPr="00746ACE">
        <w:rPr>
          <w:sz w:val="28"/>
          <w:szCs w:val="28"/>
          <w:lang w:val="es-ES"/>
        </w:rPr>
        <w:t xml:space="preserve">CUARTA </w:t>
      </w:r>
      <w:r w:rsidR="0018638A" w:rsidRPr="00746ACE">
        <w:rPr>
          <w:sz w:val="28"/>
          <w:szCs w:val="28"/>
          <w:lang w:val="es-ES"/>
        </w:rPr>
        <w:t xml:space="preserve">PARTE. </w:t>
      </w:r>
      <w:r w:rsidR="00732C2E" w:rsidRPr="00746ACE">
        <w:rPr>
          <w:sz w:val="28"/>
          <w:szCs w:val="28"/>
          <w:lang w:val="es-ES"/>
        </w:rPr>
        <w:t>ANÁLISIS DE LOS CARGOS</w:t>
      </w:r>
      <w:bookmarkEnd w:id="40"/>
    </w:p>
    <w:p w14:paraId="0093E8D2" w14:textId="77777777" w:rsidR="009B0909" w:rsidRPr="00746ACE" w:rsidRDefault="009B0909" w:rsidP="00D62ABF">
      <w:pPr>
        <w:pStyle w:val="Prrafodelista"/>
        <w:widowControl w:val="0"/>
        <w:ind w:left="0"/>
        <w:rPr>
          <w:lang w:eastAsia="es-ES"/>
        </w:rPr>
      </w:pPr>
    </w:p>
    <w:p w14:paraId="7BA62C67" w14:textId="3B9FAA5A" w:rsidR="00DA338C" w:rsidRPr="00746ACE" w:rsidRDefault="00133328" w:rsidP="00903DF7">
      <w:pPr>
        <w:pStyle w:val="Prrafodelista"/>
        <w:widowControl w:val="0"/>
        <w:numPr>
          <w:ilvl w:val="0"/>
          <w:numId w:val="7"/>
        </w:numPr>
        <w:rPr>
          <w:lang w:eastAsia="es-ES"/>
        </w:rPr>
      </w:pPr>
      <w:r w:rsidRPr="00746ACE">
        <w:rPr>
          <w:lang w:eastAsia="es-ES"/>
        </w:rPr>
        <w:t>Con</w:t>
      </w:r>
      <w:r w:rsidR="00196D13" w:rsidRPr="00746ACE">
        <w:rPr>
          <w:lang w:eastAsia="es-ES"/>
        </w:rPr>
        <w:t xml:space="preserve"> el </w:t>
      </w:r>
      <w:r w:rsidRPr="00746ACE">
        <w:rPr>
          <w:lang w:eastAsia="es-ES"/>
        </w:rPr>
        <w:t>ánimo de ofrecer un</w:t>
      </w:r>
      <w:r w:rsidR="00196D13" w:rsidRPr="00746ACE">
        <w:rPr>
          <w:lang w:eastAsia="es-ES"/>
        </w:rPr>
        <w:t xml:space="preserve"> </w:t>
      </w:r>
      <w:r w:rsidRPr="00746ACE">
        <w:rPr>
          <w:lang w:eastAsia="es-ES"/>
        </w:rPr>
        <w:t xml:space="preserve">contexto pedagógico </w:t>
      </w:r>
      <w:r w:rsidR="00797479" w:rsidRPr="00746ACE">
        <w:rPr>
          <w:lang w:eastAsia="es-ES"/>
        </w:rPr>
        <w:t>introductorio</w:t>
      </w:r>
      <w:r w:rsidRPr="00746ACE">
        <w:rPr>
          <w:lang w:eastAsia="es-ES"/>
        </w:rPr>
        <w:t xml:space="preserve"> </w:t>
      </w:r>
      <w:r w:rsidR="00373D7D" w:rsidRPr="00746ACE">
        <w:rPr>
          <w:lang w:eastAsia="es-ES"/>
        </w:rPr>
        <w:t>al</w:t>
      </w:r>
      <w:r w:rsidR="00196D13" w:rsidRPr="00746ACE">
        <w:rPr>
          <w:lang w:eastAsia="es-ES"/>
        </w:rPr>
        <w:t xml:space="preserve"> análisis de constitucionalidad</w:t>
      </w:r>
      <w:r w:rsidR="001D6009" w:rsidRPr="00746ACE">
        <w:rPr>
          <w:lang w:eastAsia="es-ES"/>
        </w:rPr>
        <w:t xml:space="preserve">, </w:t>
      </w:r>
      <w:r w:rsidR="005B7D3B" w:rsidRPr="00746ACE">
        <w:rPr>
          <w:lang w:eastAsia="es-ES"/>
        </w:rPr>
        <w:t xml:space="preserve">para </w:t>
      </w:r>
      <w:r w:rsidR="00555133" w:rsidRPr="00746ACE">
        <w:rPr>
          <w:lang w:eastAsia="es-ES"/>
        </w:rPr>
        <w:t>l</w:t>
      </w:r>
      <w:r w:rsidR="005D397F" w:rsidRPr="00746ACE">
        <w:rPr>
          <w:lang w:eastAsia="es-ES"/>
        </w:rPr>
        <w:t xml:space="preserve">a Corte </w:t>
      </w:r>
      <w:r w:rsidR="005B7D3B" w:rsidRPr="00746ACE">
        <w:rPr>
          <w:lang w:eastAsia="es-ES"/>
        </w:rPr>
        <w:t xml:space="preserve">es importante </w:t>
      </w:r>
      <w:r w:rsidR="0035751E" w:rsidRPr="00746ACE">
        <w:rPr>
          <w:lang w:eastAsia="es-ES"/>
        </w:rPr>
        <w:t xml:space="preserve">reiterar </w:t>
      </w:r>
      <w:r w:rsidR="005D397F" w:rsidRPr="00746ACE">
        <w:rPr>
          <w:lang w:eastAsia="es-ES"/>
        </w:rPr>
        <w:t>que la Senit 5</w:t>
      </w:r>
      <w:r w:rsidR="00A26E84" w:rsidRPr="00746ACE">
        <w:rPr>
          <w:lang w:eastAsia="es-ES"/>
        </w:rPr>
        <w:t xml:space="preserve">, y posteriormente las Senit 8 y 9, desarrollaron el alcance de las rutas procesales </w:t>
      </w:r>
      <w:r w:rsidR="001205BF" w:rsidRPr="00746ACE">
        <w:rPr>
          <w:lang w:eastAsia="es-ES"/>
        </w:rPr>
        <w:t xml:space="preserve">con las que cuenta la Sala de Definición de Situaciones Jurídicas cuando </w:t>
      </w:r>
      <w:r w:rsidR="00A913C2" w:rsidRPr="00746ACE">
        <w:rPr>
          <w:lang w:eastAsia="es-ES"/>
        </w:rPr>
        <w:t>un compareciente es objeto de selección negativa por parte de la Sala de Reconocimiento de Verdad y Responsabilidad. Es decir, las opciones</w:t>
      </w:r>
      <w:r w:rsidR="00E76C03" w:rsidRPr="00746ACE">
        <w:rPr>
          <w:lang w:eastAsia="es-ES"/>
        </w:rPr>
        <w:t xml:space="preserve"> procesales</w:t>
      </w:r>
      <w:r w:rsidR="00A913C2" w:rsidRPr="00746ACE">
        <w:rPr>
          <w:lang w:eastAsia="es-ES"/>
        </w:rPr>
        <w:t xml:space="preserve"> que se activan </w:t>
      </w:r>
      <w:r w:rsidR="0035751E" w:rsidRPr="00746ACE">
        <w:rPr>
          <w:lang w:eastAsia="es-ES"/>
        </w:rPr>
        <w:t>cuando se concluye</w:t>
      </w:r>
      <w:r w:rsidR="00376583" w:rsidRPr="00746ACE">
        <w:rPr>
          <w:lang w:eastAsia="es-ES"/>
        </w:rPr>
        <w:t xml:space="preserve"> que una persona no tiene la calidad de máximo responsable</w:t>
      </w:r>
      <w:r w:rsidR="0035751E" w:rsidRPr="00746ACE">
        <w:rPr>
          <w:lang w:eastAsia="es-ES"/>
        </w:rPr>
        <w:t>, dado que, aunque</w:t>
      </w:r>
      <w:r w:rsidR="000459E0" w:rsidRPr="00746ACE">
        <w:rPr>
          <w:lang w:eastAsia="es-ES"/>
        </w:rPr>
        <w:t xml:space="preserve"> participó en conductas </w:t>
      </w:r>
      <w:r w:rsidR="0035751E" w:rsidRPr="00746ACE">
        <w:rPr>
          <w:lang w:eastAsia="es-ES"/>
        </w:rPr>
        <w:t>sometidas</w:t>
      </w:r>
      <w:r w:rsidR="00C52D7A" w:rsidRPr="00746ACE">
        <w:rPr>
          <w:lang w:eastAsia="es-ES"/>
        </w:rPr>
        <w:t xml:space="preserve"> </w:t>
      </w:r>
      <w:r w:rsidR="0035751E" w:rsidRPr="00746ACE">
        <w:rPr>
          <w:lang w:eastAsia="es-ES"/>
        </w:rPr>
        <w:t>al</w:t>
      </w:r>
      <w:r w:rsidR="00C52D7A" w:rsidRPr="00746ACE">
        <w:rPr>
          <w:lang w:eastAsia="es-ES"/>
        </w:rPr>
        <w:t xml:space="preserve"> conocimiento de la JEP, dicha participación no fue determinante. </w:t>
      </w:r>
    </w:p>
    <w:p w14:paraId="2D25FAC3" w14:textId="77777777" w:rsidR="0035751E" w:rsidRPr="00746ACE" w:rsidRDefault="0035751E" w:rsidP="00D42616">
      <w:pPr>
        <w:rPr>
          <w:lang w:eastAsia="es-ES"/>
        </w:rPr>
      </w:pPr>
    </w:p>
    <w:p w14:paraId="739CBAB5" w14:textId="77777777" w:rsidR="009B0909" w:rsidRPr="00746ACE" w:rsidRDefault="00BE3380" w:rsidP="000459E0">
      <w:pPr>
        <w:pStyle w:val="Prrafodelista"/>
        <w:widowControl w:val="0"/>
        <w:numPr>
          <w:ilvl w:val="0"/>
          <w:numId w:val="7"/>
        </w:numPr>
        <w:rPr>
          <w:lang w:eastAsia="es-ES"/>
        </w:rPr>
      </w:pPr>
      <w:r w:rsidRPr="00746ACE">
        <w:rPr>
          <w:lang w:eastAsia="es-ES"/>
        </w:rPr>
        <w:t>L</w:t>
      </w:r>
      <w:r w:rsidR="00467F45" w:rsidRPr="00746ACE">
        <w:rPr>
          <w:lang w:eastAsia="es-ES"/>
        </w:rPr>
        <w:t xml:space="preserve">a </w:t>
      </w:r>
      <w:r w:rsidR="00F26011" w:rsidRPr="00746ACE">
        <w:rPr>
          <w:lang w:eastAsia="es-ES"/>
        </w:rPr>
        <w:t>Sala</w:t>
      </w:r>
      <w:r w:rsidR="00467F45" w:rsidRPr="00746ACE">
        <w:rPr>
          <w:lang w:eastAsia="es-ES"/>
        </w:rPr>
        <w:t xml:space="preserve"> de </w:t>
      </w:r>
      <w:r w:rsidR="00F26011" w:rsidRPr="00746ACE">
        <w:rPr>
          <w:lang w:eastAsia="es-ES"/>
        </w:rPr>
        <w:t>Definición debe definir la</w:t>
      </w:r>
      <w:r w:rsidR="00467F45" w:rsidRPr="00746ACE">
        <w:rPr>
          <w:lang w:eastAsia="es-ES"/>
        </w:rPr>
        <w:t xml:space="preserve"> ruta procesal </w:t>
      </w:r>
      <w:r w:rsidR="00F26011" w:rsidRPr="00746ACE">
        <w:rPr>
          <w:lang w:eastAsia="es-ES"/>
        </w:rPr>
        <w:t>aplicable al</w:t>
      </w:r>
      <w:r w:rsidR="00640117" w:rsidRPr="00746ACE">
        <w:rPr>
          <w:lang w:eastAsia="es-ES"/>
        </w:rPr>
        <w:t xml:space="preserve"> compareciente </w:t>
      </w:r>
      <w:r w:rsidR="00AD700D" w:rsidRPr="00746ACE">
        <w:rPr>
          <w:lang w:eastAsia="es-ES"/>
        </w:rPr>
        <w:t xml:space="preserve">no seleccionado </w:t>
      </w:r>
      <w:r w:rsidR="00F26011" w:rsidRPr="00746ACE">
        <w:rPr>
          <w:lang w:eastAsia="es-ES"/>
        </w:rPr>
        <w:t xml:space="preserve">a partir de una valoración </w:t>
      </w:r>
      <w:r w:rsidR="00B02608" w:rsidRPr="00746ACE">
        <w:rPr>
          <w:lang w:eastAsia="es-ES"/>
        </w:rPr>
        <w:t>de su aporte a la verdad</w:t>
      </w:r>
      <w:r w:rsidR="00035DCC" w:rsidRPr="00746ACE">
        <w:rPr>
          <w:lang w:eastAsia="es-ES"/>
        </w:rPr>
        <w:t xml:space="preserve">, pues la maximización de este derecho </w:t>
      </w:r>
      <w:r w:rsidR="00BB0D78" w:rsidRPr="00746ACE">
        <w:rPr>
          <w:lang w:eastAsia="es-ES"/>
        </w:rPr>
        <w:t xml:space="preserve">es lo que permite a la jurisdicción </w:t>
      </w:r>
      <w:r w:rsidR="0035751E" w:rsidRPr="00746ACE">
        <w:rPr>
          <w:lang w:eastAsia="es-ES"/>
        </w:rPr>
        <w:t xml:space="preserve">abstenerse de </w:t>
      </w:r>
      <w:r w:rsidR="00BB0D78" w:rsidRPr="00746ACE">
        <w:rPr>
          <w:lang w:eastAsia="es-ES"/>
        </w:rPr>
        <w:t xml:space="preserve">proseguir con su enjuiciamiento. Para </w:t>
      </w:r>
      <w:r w:rsidR="00803BB0" w:rsidRPr="00746ACE">
        <w:rPr>
          <w:lang w:eastAsia="es-ES"/>
        </w:rPr>
        <w:t xml:space="preserve">analizar </w:t>
      </w:r>
      <w:r w:rsidR="0035751E" w:rsidRPr="00746ACE">
        <w:rPr>
          <w:lang w:eastAsia="es-ES"/>
        </w:rPr>
        <w:t xml:space="preserve">dicho </w:t>
      </w:r>
      <w:r w:rsidR="00803BB0" w:rsidRPr="00746ACE">
        <w:rPr>
          <w:lang w:eastAsia="es-ES"/>
        </w:rPr>
        <w:t xml:space="preserve">aporte, según las Senit 5, 8 y 9, la Sala cuenta con </w:t>
      </w:r>
      <w:r w:rsidR="004F443E" w:rsidRPr="00746ACE">
        <w:rPr>
          <w:lang w:eastAsia="es-ES"/>
        </w:rPr>
        <w:t>un margen amplio</w:t>
      </w:r>
      <w:r w:rsidR="009B6D0A" w:rsidRPr="00746ACE">
        <w:rPr>
          <w:lang w:eastAsia="es-ES"/>
        </w:rPr>
        <w:t xml:space="preserve"> </w:t>
      </w:r>
      <w:r w:rsidR="00662DBE" w:rsidRPr="00746ACE">
        <w:rPr>
          <w:lang w:eastAsia="es-ES"/>
        </w:rPr>
        <w:t>de</w:t>
      </w:r>
      <w:r w:rsidR="005C4681" w:rsidRPr="00746ACE">
        <w:rPr>
          <w:lang w:eastAsia="es-ES"/>
        </w:rPr>
        <w:t xml:space="preserve"> apreciación</w:t>
      </w:r>
      <w:r w:rsidR="004237ED" w:rsidRPr="00746ACE">
        <w:rPr>
          <w:lang w:eastAsia="es-ES"/>
        </w:rPr>
        <w:t xml:space="preserve">. </w:t>
      </w:r>
    </w:p>
    <w:p w14:paraId="5EB3B3AE" w14:textId="77777777" w:rsidR="009B0909" w:rsidRPr="00746ACE" w:rsidRDefault="009B0909" w:rsidP="009B0909">
      <w:pPr>
        <w:pStyle w:val="Prrafodelista"/>
        <w:rPr>
          <w:lang w:eastAsia="es-ES"/>
        </w:rPr>
      </w:pPr>
    </w:p>
    <w:p w14:paraId="7CCB790E" w14:textId="77777777" w:rsidR="009B0909" w:rsidRPr="00746ACE" w:rsidRDefault="004237ED" w:rsidP="000459E0">
      <w:pPr>
        <w:pStyle w:val="Prrafodelista"/>
        <w:widowControl w:val="0"/>
        <w:numPr>
          <w:ilvl w:val="0"/>
          <w:numId w:val="7"/>
        </w:numPr>
        <w:rPr>
          <w:lang w:eastAsia="es-ES"/>
        </w:rPr>
      </w:pPr>
      <w:r w:rsidRPr="00746ACE">
        <w:rPr>
          <w:lang w:eastAsia="es-ES"/>
        </w:rPr>
        <w:t xml:space="preserve">Dentro de </w:t>
      </w:r>
      <w:r w:rsidR="0035751E" w:rsidRPr="00746ACE">
        <w:rPr>
          <w:lang w:eastAsia="es-ES"/>
        </w:rPr>
        <w:t>este</w:t>
      </w:r>
      <w:r w:rsidRPr="00746ACE">
        <w:rPr>
          <w:lang w:eastAsia="es-ES"/>
        </w:rPr>
        <w:t xml:space="preserve">, </w:t>
      </w:r>
      <w:r w:rsidR="0035751E" w:rsidRPr="00746ACE">
        <w:rPr>
          <w:lang w:eastAsia="es-ES"/>
        </w:rPr>
        <w:t>señala</w:t>
      </w:r>
      <w:r w:rsidRPr="00746ACE">
        <w:rPr>
          <w:lang w:eastAsia="es-ES"/>
        </w:rPr>
        <w:t xml:space="preserve"> la Senit 9, se enc</w:t>
      </w:r>
      <w:r w:rsidR="0035751E" w:rsidRPr="00746ACE">
        <w:rPr>
          <w:lang w:eastAsia="es-ES"/>
        </w:rPr>
        <w:t>uentra</w:t>
      </w:r>
      <w:r w:rsidRPr="00746ACE">
        <w:rPr>
          <w:lang w:eastAsia="es-ES"/>
        </w:rPr>
        <w:t xml:space="preserve"> la responsabilidad del punto medio </w:t>
      </w:r>
      <w:r w:rsidR="00E76EB9" w:rsidRPr="00746ACE">
        <w:rPr>
          <w:lang w:eastAsia="es-ES"/>
        </w:rPr>
        <w:t>como criterio heurístico</w:t>
      </w:r>
      <w:r w:rsidR="00084060" w:rsidRPr="00746ACE">
        <w:rPr>
          <w:lang w:eastAsia="es-ES"/>
        </w:rPr>
        <w:t xml:space="preserve">, </w:t>
      </w:r>
      <w:r w:rsidR="00A723AC" w:rsidRPr="00746ACE">
        <w:rPr>
          <w:lang w:eastAsia="es-ES"/>
        </w:rPr>
        <w:t xml:space="preserve">entendida como una </w:t>
      </w:r>
      <w:r w:rsidR="00084060" w:rsidRPr="00746ACE">
        <w:rPr>
          <w:lang w:eastAsia="es-ES"/>
        </w:rPr>
        <w:t>categoría intermedia de responsabilidad entre la m</w:t>
      </w:r>
      <w:r w:rsidR="0093728B" w:rsidRPr="00746ACE">
        <w:rPr>
          <w:lang w:eastAsia="es-ES"/>
        </w:rPr>
        <w:t xml:space="preserve">áxima y la </w:t>
      </w:r>
      <w:r w:rsidR="00EE46C3" w:rsidRPr="00746ACE">
        <w:rPr>
          <w:lang w:eastAsia="es-ES"/>
        </w:rPr>
        <w:t xml:space="preserve">participación no determinante. Esta </w:t>
      </w:r>
      <w:r w:rsidR="00A723AC" w:rsidRPr="00746ACE">
        <w:rPr>
          <w:lang w:eastAsia="es-ES"/>
        </w:rPr>
        <w:t>noción</w:t>
      </w:r>
      <w:r w:rsidR="00EE46C3" w:rsidRPr="00746ACE">
        <w:rPr>
          <w:lang w:eastAsia="es-ES"/>
        </w:rPr>
        <w:t xml:space="preserve"> se refiere, básicamente, al compareciente que</w:t>
      </w:r>
      <w:r w:rsidR="00A723AC" w:rsidRPr="00746ACE">
        <w:rPr>
          <w:lang w:eastAsia="es-ES"/>
        </w:rPr>
        <w:t>,</w:t>
      </w:r>
      <w:r w:rsidR="00EE46C3" w:rsidRPr="00746ACE">
        <w:rPr>
          <w:lang w:eastAsia="es-ES"/>
        </w:rPr>
        <w:t xml:space="preserve"> según la </w:t>
      </w:r>
      <w:r w:rsidR="00A723AC" w:rsidRPr="00746ACE">
        <w:rPr>
          <w:lang w:eastAsia="es-ES"/>
        </w:rPr>
        <w:t>valoración</w:t>
      </w:r>
      <w:r w:rsidR="00EE46C3" w:rsidRPr="00746ACE">
        <w:rPr>
          <w:lang w:eastAsia="es-ES"/>
        </w:rPr>
        <w:t xml:space="preserve"> de la Sala</w:t>
      </w:r>
      <w:r w:rsidR="00A723AC" w:rsidRPr="00746ACE">
        <w:rPr>
          <w:lang w:eastAsia="es-ES"/>
        </w:rPr>
        <w:t>,</w:t>
      </w:r>
      <w:r w:rsidR="00EE46C3" w:rsidRPr="00746ACE">
        <w:rPr>
          <w:lang w:eastAsia="es-ES"/>
        </w:rPr>
        <w:t xml:space="preserve"> no es máximo responsable de crímenes atroces, pero </w:t>
      </w:r>
      <w:r w:rsidR="00A723AC" w:rsidRPr="00746ACE">
        <w:rPr>
          <w:lang w:eastAsia="es-ES"/>
        </w:rPr>
        <w:t>cuya</w:t>
      </w:r>
      <w:r w:rsidR="00EE46C3" w:rsidRPr="00746ACE">
        <w:rPr>
          <w:lang w:eastAsia="es-ES"/>
        </w:rPr>
        <w:t xml:space="preserve"> participación fue</w:t>
      </w:r>
      <w:r w:rsidR="00A723AC" w:rsidRPr="00746ACE">
        <w:rPr>
          <w:lang w:eastAsia="es-ES"/>
        </w:rPr>
        <w:t>,</w:t>
      </w:r>
      <w:r w:rsidR="00EE46C3" w:rsidRPr="00746ACE">
        <w:rPr>
          <w:lang w:eastAsia="es-ES"/>
        </w:rPr>
        <w:t xml:space="preserve"> sin duda</w:t>
      </w:r>
      <w:r w:rsidR="00A723AC" w:rsidRPr="00746ACE">
        <w:rPr>
          <w:lang w:eastAsia="es-ES"/>
        </w:rPr>
        <w:t>,</w:t>
      </w:r>
      <w:r w:rsidR="00EE46C3" w:rsidRPr="00746ACE">
        <w:rPr>
          <w:lang w:eastAsia="es-ES"/>
        </w:rPr>
        <w:t xml:space="preserve"> relevante</w:t>
      </w:r>
      <w:r w:rsidR="00BF0C35" w:rsidRPr="00746ACE">
        <w:rPr>
          <w:lang w:eastAsia="es-ES"/>
        </w:rPr>
        <w:t xml:space="preserve">. </w:t>
      </w:r>
    </w:p>
    <w:p w14:paraId="24F01406" w14:textId="77777777" w:rsidR="009B0909" w:rsidRPr="00746ACE" w:rsidRDefault="009B0909" w:rsidP="009B0909">
      <w:pPr>
        <w:pStyle w:val="Prrafodelista"/>
        <w:rPr>
          <w:lang w:eastAsia="es-ES"/>
        </w:rPr>
      </w:pPr>
    </w:p>
    <w:p w14:paraId="5031D04C" w14:textId="1857D678" w:rsidR="00D42616" w:rsidRPr="00746ACE" w:rsidRDefault="00BF0C35" w:rsidP="000459E0">
      <w:pPr>
        <w:pStyle w:val="Prrafodelista"/>
        <w:widowControl w:val="0"/>
        <w:numPr>
          <w:ilvl w:val="0"/>
          <w:numId w:val="7"/>
        </w:numPr>
        <w:rPr>
          <w:lang w:eastAsia="es-ES"/>
        </w:rPr>
      </w:pPr>
      <w:r w:rsidRPr="00746ACE">
        <w:rPr>
          <w:lang w:eastAsia="es-ES"/>
        </w:rPr>
        <w:t>Tanto</w:t>
      </w:r>
      <w:r w:rsidR="00A723AC" w:rsidRPr="00746ACE">
        <w:rPr>
          <w:lang w:eastAsia="es-ES"/>
        </w:rPr>
        <w:t xml:space="preserve"> así</w:t>
      </w:r>
      <w:r w:rsidRPr="00746ACE">
        <w:rPr>
          <w:lang w:eastAsia="es-ES"/>
        </w:rPr>
        <w:t xml:space="preserve"> que su aporte estaría </w:t>
      </w:r>
      <w:r w:rsidR="00EC03EF" w:rsidRPr="00746ACE">
        <w:rPr>
          <w:lang w:eastAsia="es-ES"/>
        </w:rPr>
        <w:t xml:space="preserve">más </w:t>
      </w:r>
      <w:r w:rsidR="00A723AC" w:rsidRPr="00746ACE">
        <w:rPr>
          <w:lang w:eastAsia="es-ES"/>
        </w:rPr>
        <w:t xml:space="preserve">próximo a </w:t>
      </w:r>
      <w:r w:rsidR="00EC03EF" w:rsidRPr="00746ACE">
        <w:rPr>
          <w:lang w:eastAsia="es-ES"/>
        </w:rPr>
        <w:t xml:space="preserve">la máxima responsabilidad que </w:t>
      </w:r>
      <w:r w:rsidR="00A723AC" w:rsidRPr="00746ACE">
        <w:rPr>
          <w:lang w:eastAsia="es-ES"/>
        </w:rPr>
        <w:t>a</w:t>
      </w:r>
      <w:r w:rsidR="00EC03EF" w:rsidRPr="00746ACE">
        <w:rPr>
          <w:lang w:eastAsia="es-ES"/>
        </w:rPr>
        <w:t xml:space="preserve"> la participación no determinante</w:t>
      </w:r>
      <w:r w:rsidR="0073200F" w:rsidRPr="00746ACE">
        <w:rPr>
          <w:lang w:eastAsia="es-ES"/>
        </w:rPr>
        <w:t xml:space="preserve"> y, en consecuencia, se le debe exigir </w:t>
      </w:r>
      <w:r w:rsidR="00A723AC" w:rsidRPr="00746ACE">
        <w:rPr>
          <w:lang w:eastAsia="es-ES"/>
        </w:rPr>
        <w:t>mayor</w:t>
      </w:r>
      <w:r w:rsidR="00EB53FC" w:rsidRPr="00746ACE">
        <w:rPr>
          <w:lang w:eastAsia="es-ES"/>
        </w:rPr>
        <w:t xml:space="preserve"> aporte a la verdad.</w:t>
      </w:r>
    </w:p>
    <w:p w14:paraId="7A3249B3" w14:textId="77777777" w:rsidR="0035751E" w:rsidRPr="00746ACE" w:rsidRDefault="0035751E" w:rsidP="00BE3380">
      <w:pPr>
        <w:rPr>
          <w:lang w:eastAsia="es-ES"/>
        </w:rPr>
      </w:pPr>
    </w:p>
    <w:p w14:paraId="7B1E9FE7" w14:textId="48335127" w:rsidR="00EC03EF" w:rsidRPr="00746ACE" w:rsidRDefault="00EC03EF" w:rsidP="000459E0">
      <w:pPr>
        <w:pStyle w:val="Prrafodelista"/>
        <w:widowControl w:val="0"/>
        <w:numPr>
          <w:ilvl w:val="0"/>
          <w:numId w:val="7"/>
        </w:numPr>
        <w:rPr>
          <w:lang w:eastAsia="es-ES"/>
        </w:rPr>
      </w:pPr>
      <w:r w:rsidRPr="00746ACE">
        <w:rPr>
          <w:lang w:eastAsia="es-ES"/>
        </w:rPr>
        <w:t>En el siguiente diagrama, la Corte sintetiza las rutas procesales que describen las Senit 5, 8 y 9, donde resalta</w:t>
      </w:r>
      <w:r w:rsidR="00197297" w:rsidRPr="00746ACE">
        <w:rPr>
          <w:lang w:eastAsia="es-ES"/>
        </w:rPr>
        <w:t xml:space="preserve"> </w:t>
      </w:r>
      <w:r w:rsidRPr="00746ACE">
        <w:rPr>
          <w:lang w:eastAsia="es-ES"/>
        </w:rPr>
        <w:t xml:space="preserve">de forma particular la llamada </w:t>
      </w:r>
      <w:r w:rsidRPr="00746ACE">
        <w:rPr>
          <w:i/>
          <w:lang w:eastAsia="es-ES"/>
        </w:rPr>
        <w:t xml:space="preserve">selección de segundo orden, </w:t>
      </w:r>
      <w:r w:rsidR="007007C1" w:rsidRPr="00746ACE">
        <w:rPr>
          <w:lang w:eastAsia="es-ES"/>
        </w:rPr>
        <w:t xml:space="preserve">es decir, la facultad de </w:t>
      </w:r>
      <w:r w:rsidR="00381469" w:rsidRPr="00746ACE">
        <w:rPr>
          <w:lang w:eastAsia="es-ES"/>
        </w:rPr>
        <w:t xml:space="preserve">surtir un nuevo proceso de selección para remitir al compareciente </w:t>
      </w:r>
      <w:r w:rsidR="00DF3F69" w:rsidRPr="00746ACE">
        <w:rPr>
          <w:lang w:eastAsia="es-ES"/>
        </w:rPr>
        <w:t xml:space="preserve">a un juicio adversarial ante la Unidad de Investigación y Acusación, cuando la Sala concluya que su aporte a la verdad fue insuficiente o </w:t>
      </w:r>
      <w:r w:rsidR="001A4440" w:rsidRPr="00746ACE">
        <w:rPr>
          <w:lang w:eastAsia="es-ES"/>
        </w:rPr>
        <w:t>ausente.</w:t>
      </w:r>
    </w:p>
    <w:p w14:paraId="33F31BBC" w14:textId="77777777" w:rsidR="007F1EA5" w:rsidRPr="00746ACE" w:rsidRDefault="007F1EA5" w:rsidP="00BE3380">
      <w:pPr>
        <w:rPr>
          <w:lang w:eastAsia="es-ES"/>
        </w:rPr>
      </w:pPr>
    </w:p>
    <w:p w14:paraId="456E89FB" w14:textId="77777777" w:rsidR="009B0909" w:rsidRPr="00746ACE" w:rsidRDefault="009B0909" w:rsidP="00BE3380">
      <w:pPr>
        <w:rPr>
          <w:lang w:eastAsia="es-ES"/>
        </w:rPr>
      </w:pPr>
    </w:p>
    <w:p w14:paraId="51DB8E41" w14:textId="06CFA6C7" w:rsidR="009B0909" w:rsidRPr="00746ACE" w:rsidRDefault="009B0909">
      <w:pPr>
        <w:rPr>
          <w:lang w:eastAsia="es-ES"/>
        </w:rPr>
      </w:pPr>
      <w:r w:rsidRPr="00746ACE">
        <w:rPr>
          <w:lang w:eastAsia="es-ES"/>
        </w:rPr>
        <w:br w:type="page"/>
      </w:r>
    </w:p>
    <w:p w14:paraId="673DC528" w14:textId="77777777" w:rsidR="009B0909" w:rsidRPr="00746ACE" w:rsidRDefault="009B0909" w:rsidP="00BE3380">
      <w:pPr>
        <w:rPr>
          <w:lang w:eastAsia="es-ES"/>
        </w:rPr>
      </w:pPr>
    </w:p>
    <w:p w14:paraId="590A3547" w14:textId="5DA06149" w:rsidR="001A4440" w:rsidRPr="00746ACE" w:rsidRDefault="00CC15F2" w:rsidP="00690FB5">
      <w:pPr>
        <w:pStyle w:val="Prrafodelista"/>
        <w:widowControl w:val="0"/>
        <w:ind w:left="0"/>
        <w:jc w:val="center"/>
        <w:rPr>
          <w:i/>
          <w:szCs w:val="24"/>
          <w:lang w:eastAsia="es-ES"/>
        </w:rPr>
      </w:pPr>
      <w:r w:rsidRPr="00746ACE">
        <w:rPr>
          <w:b/>
          <w:szCs w:val="24"/>
          <w:lang w:eastAsia="es-ES"/>
        </w:rPr>
        <w:t xml:space="preserve">Diagrama 1. </w:t>
      </w:r>
      <w:r w:rsidR="00A61763" w:rsidRPr="00746ACE">
        <w:rPr>
          <w:i/>
          <w:szCs w:val="24"/>
          <w:lang w:eastAsia="es-ES"/>
        </w:rPr>
        <w:t xml:space="preserve">Rutas procesales para </w:t>
      </w:r>
      <w:r w:rsidR="00690FB5" w:rsidRPr="00746ACE">
        <w:rPr>
          <w:i/>
          <w:szCs w:val="24"/>
          <w:lang w:eastAsia="es-ES"/>
        </w:rPr>
        <w:t>comparecientes</w:t>
      </w:r>
      <w:r w:rsidR="00BC0D06" w:rsidRPr="00746ACE">
        <w:rPr>
          <w:i/>
          <w:szCs w:val="24"/>
          <w:lang w:eastAsia="es-ES"/>
        </w:rPr>
        <w:t xml:space="preserve"> no </w:t>
      </w:r>
      <w:r w:rsidR="00690FB5" w:rsidRPr="00746ACE">
        <w:rPr>
          <w:i/>
          <w:szCs w:val="24"/>
          <w:lang w:eastAsia="es-ES"/>
        </w:rPr>
        <w:t>seleccionados</w:t>
      </w:r>
      <w:r w:rsidR="0007624A" w:rsidRPr="00746ACE">
        <w:rPr>
          <w:i/>
          <w:szCs w:val="24"/>
          <w:lang w:eastAsia="es-ES"/>
        </w:rPr>
        <w:t xml:space="preserve"> (Senit 5 y Senit 8)</w:t>
      </w:r>
      <w:r w:rsidR="00690FB5" w:rsidRPr="00746ACE">
        <w:rPr>
          <w:i/>
          <w:szCs w:val="24"/>
          <w:lang w:eastAsia="es-ES"/>
        </w:rPr>
        <w:t>.</w:t>
      </w:r>
    </w:p>
    <w:p w14:paraId="59EA070C" w14:textId="4C32BD09" w:rsidR="005D397F" w:rsidRPr="00746ACE" w:rsidRDefault="005D397F" w:rsidP="00903DF7">
      <w:pPr>
        <w:pStyle w:val="Prrafodelista"/>
        <w:widowControl w:val="0"/>
        <w:ind w:left="0"/>
        <w:rPr>
          <w:lang w:eastAsia="es-ES"/>
        </w:rPr>
      </w:pPr>
      <w:r w:rsidRPr="00746ACE">
        <w:rPr>
          <w:noProof/>
          <w:lang w:val="es-US"/>
        </w:rPr>
        <w:drawing>
          <wp:anchor distT="0" distB="0" distL="114300" distR="114300" simplePos="0" relativeHeight="251658241" behindDoc="0" locked="0" layoutInCell="1" allowOverlap="1" wp14:anchorId="2746D320" wp14:editId="50CE5D31">
            <wp:simplePos x="0" y="0"/>
            <wp:positionH relativeFrom="column">
              <wp:posOffset>0</wp:posOffset>
            </wp:positionH>
            <wp:positionV relativeFrom="paragraph">
              <wp:posOffset>201295</wp:posOffset>
            </wp:positionV>
            <wp:extent cx="5793740" cy="5134610"/>
            <wp:effectExtent l="38100" t="0" r="16510" b="27940"/>
            <wp:wrapSquare wrapText="bothSides"/>
            <wp:docPr id="2"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
    <w:p w14:paraId="0C382EA7" w14:textId="77777777" w:rsidR="0043161D" w:rsidRPr="00746ACE" w:rsidRDefault="0043161D" w:rsidP="006A2C55">
      <w:pPr>
        <w:pStyle w:val="Ttulo2"/>
        <w:keepNext w:val="0"/>
        <w:keepLines w:val="0"/>
        <w:widowControl w:val="0"/>
        <w:rPr>
          <w:rFonts w:cs="Times New Roman"/>
          <w:szCs w:val="28"/>
          <w:lang w:eastAsia="es-ES"/>
        </w:rPr>
      </w:pPr>
      <w:bookmarkStart w:id="41" w:name="_Toc233384191"/>
      <w:r w:rsidRPr="00746ACE">
        <w:rPr>
          <w:rFonts w:cs="Times New Roman"/>
          <w:szCs w:val="28"/>
        </w:rPr>
        <w:t>Primer cargo. La selección de segundo orden como función de la Sala de Definición de Situaciones Jurídicas y el principio de legalidad</w:t>
      </w:r>
      <w:bookmarkEnd w:id="41"/>
      <w:r w:rsidRPr="00746ACE">
        <w:rPr>
          <w:rFonts w:cs="Times New Roman"/>
          <w:szCs w:val="28"/>
        </w:rPr>
        <w:t xml:space="preserve"> </w:t>
      </w:r>
    </w:p>
    <w:p w14:paraId="626262CE" w14:textId="77777777" w:rsidR="0043161D" w:rsidRPr="00746ACE" w:rsidRDefault="0043161D" w:rsidP="00D62ABF">
      <w:pPr>
        <w:pStyle w:val="Prrafodelista"/>
        <w:widowControl w:val="0"/>
        <w:ind w:left="0"/>
        <w:rPr>
          <w:rFonts w:eastAsiaTheme="majorEastAsia"/>
          <w:lang w:eastAsia="es-ES"/>
        </w:rPr>
      </w:pPr>
    </w:p>
    <w:p w14:paraId="73756421" w14:textId="77777777" w:rsidR="0043161D" w:rsidRPr="00746ACE" w:rsidRDefault="0043161D" w:rsidP="000B69F5">
      <w:pPr>
        <w:pStyle w:val="Ttulo3"/>
        <w:keepNext w:val="0"/>
        <w:keepLines w:val="0"/>
        <w:widowControl w:val="0"/>
        <w:jc w:val="both"/>
        <w:rPr>
          <w:rFonts w:cs="Times New Roman"/>
          <w:color w:val="auto"/>
          <w:sz w:val="28"/>
          <w:szCs w:val="28"/>
          <w:lang w:val="es-ES" w:eastAsia="es-ES"/>
        </w:rPr>
      </w:pPr>
      <w:bookmarkStart w:id="42" w:name="_Toc233384192"/>
      <w:r w:rsidRPr="00746ACE">
        <w:rPr>
          <w:rFonts w:cs="Times New Roman"/>
          <w:color w:val="auto"/>
          <w:sz w:val="28"/>
          <w:szCs w:val="28"/>
          <w:lang w:val="es-ES" w:eastAsia="es-ES"/>
        </w:rPr>
        <w:t>Síntesis de la discusión</w:t>
      </w:r>
      <w:bookmarkEnd w:id="42"/>
    </w:p>
    <w:p w14:paraId="798F4A62" w14:textId="77777777" w:rsidR="0043161D" w:rsidRPr="00746ACE" w:rsidRDefault="0043161D" w:rsidP="00D62ABF">
      <w:pPr>
        <w:pStyle w:val="Prrafodelista"/>
        <w:widowControl w:val="0"/>
        <w:ind w:left="0"/>
        <w:rPr>
          <w:i/>
          <w:iCs/>
          <w:lang w:eastAsia="es-ES"/>
        </w:rPr>
      </w:pPr>
    </w:p>
    <w:p w14:paraId="0925904F" w14:textId="0ADE3156" w:rsidR="0043161D" w:rsidRPr="00746ACE" w:rsidRDefault="0043161D" w:rsidP="00FC0DFB">
      <w:pPr>
        <w:pStyle w:val="Prrafodelista"/>
        <w:widowControl w:val="0"/>
        <w:numPr>
          <w:ilvl w:val="0"/>
          <w:numId w:val="7"/>
        </w:numPr>
      </w:pPr>
      <w:r w:rsidRPr="00746ACE">
        <w:rPr>
          <w:lang w:eastAsia="es-ES"/>
        </w:rPr>
        <w:t xml:space="preserve">De acuerdo con los demandantes, la Senit 5 desconoce el principio de legalidad porque (i) </w:t>
      </w:r>
      <w:r w:rsidRPr="00746ACE">
        <w:rPr>
          <w:b/>
          <w:bCs/>
          <w:lang w:eastAsia="es-ES"/>
        </w:rPr>
        <w:t>crea</w:t>
      </w:r>
      <w:r w:rsidRPr="00746ACE">
        <w:rPr>
          <w:lang w:eastAsia="es-ES"/>
        </w:rPr>
        <w:t xml:space="preserve"> una función en cabeza de la Sala de Definición de Situaciones Jurídicas, denominada </w:t>
      </w:r>
      <w:r w:rsidRPr="00746ACE">
        <w:rPr>
          <w:i/>
          <w:lang w:eastAsia="es-ES"/>
        </w:rPr>
        <w:t>selección de segundo orden</w:t>
      </w:r>
      <w:r w:rsidRPr="00746ACE">
        <w:rPr>
          <w:lang w:eastAsia="es-ES"/>
        </w:rPr>
        <w:t xml:space="preserve">; (ii) </w:t>
      </w:r>
      <w:r w:rsidRPr="00746ACE">
        <w:rPr>
          <w:b/>
          <w:bCs/>
          <w:lang w:eastAsia="es-ES"/>
        </w:rPr>
        <w:t>crea</w:t>
      </w:r>
      <w:r w:rsidRPr="00746ACE">
        <w:rPr>
          <w:lang w:eastAsia="es-ES"/>
        </w:rPr>
        <w:t xml:space="preserve"> una categoría de comparecientes o de responsabilidad, presentada por la Sección de Apelación como </w:t>
      </w:r>
      <w:r w:rsidRPr="00746ACE">
        <w:rPr>
          <w:i/>
          <w:lang w:eastAsia="es-ES"/>
        </w:rPr>
        <w:t>los responsables del punto intermedio</w:t>
      </w:r>
      <w:r w:rsidRPr="00746ACE">
        <w:rPr>
          <w:lang w:eastAsia="es-ES"/>
        </w:rPr>
        <w:t xml:space="preserve">, la </w:t>
      </w:r>
      <w:r w:rsidRPr="00746ACE">
        <w:rPr>
          <w:i/>
          <w:lang w:eastAsia="es-ES"/>
        </w:rPr>
        <w:t xml:space="preserve">responsabilidad del punto intermedio </w:t>
      </w:r>
      <w:r w:rsidRPr="00746ACE">
        <w:rPr>
          <w:lang w:eastAsia="es-ES"/>
        </w:rPr>
        <w:t xml:space="preserve">o </w:t>
      </w:r>
      <w:r w:rsidRPr="00746ACE">
        <w:rPr>
          <w:i/>
          <w:lang w:eastAsia="es-ES"/>
        </w:rPr>
        <w:t xml:space="preserve">la responsabilidad cercana a la máxima; </w:t>
      </w:r>
      <w:r w:rsidRPr="00746ACE">
        <w:rPr>
          <w:lang w:eastAsia="es-ES"/>
        </w:rPr>
        <w:t>y porque</w:t>
      </w:r>
      <w:r w:rsidRPr="00746ACE">
        <w:rPr>
          <w:i/>
          <w:lang w:eastAsia="es-ES"/>
        </w:rPr>
        <w:t xml:space="preserve"> </w:t>
      </w:r>
      <w:r w:rsidRPr="00746ACE">
        <w:rPr>
          <w:lang w:eastAsia="es-ES"/>
        </w:rPr>
        <w:t>(iii) esta categoría de responsabilidad tiene un grado excesivo de vaguedad e indeterminación.</w:t>
      </w:r>
    </w:p>
    <w:p w14:paraId="011DE02C" w14:textId="77777777" w:rsidR="00060DCF" w:rsidRPr="00746ACE" w:rsidRDefault="00060DCF" w:rsidP="00FC0DFB">
      <w:pPr>
        <w:pStyle w:val="Prrafodelista"/>
        <w:widowControl w:val="0"/>
        <w:ind w:left="0"/>
      </w:pPr>
    </w:p>
    <w:p w14:paraId="11D82E74" w14:textId="16B3771A" w:rsidR="0043161D" w:rsidRPr="00746ACE" w:rsidRDefault="00060DCF" w:rsidP="00D62ABF">
      <w:pPr>
        <w:pStyle w:val="Prrafodelista"/>
        <w:widowControl w:val="0"/>
        <w:numPr>
          <w:ilvl w:val="0"/>
          <w:numId w:val="7"/>
        </w:numPr>
        <w:rPr>
          <w:lang w:eastAsia="es-ES"/>
        </w:rPr>
      </w:pPr>
      <w:r w:rsidRPr="00746ACE">
        <w:rPr>
          <w:lang w:eastAsia="es-ES"/>
        </w:rPr>
        <w:t>Para los actores, la Sección de Apelación desbordó su margen de interpretación e, incluso, traicionó el Acuerdo Final de Paz</w:t>
      </w:r>
      <w:r w:rsidR="00720FE7" w:rsidRPr="00746ACE">
        <w:rPr>
          <w:lang w:eastAsia="es-ES"/>
        </w:rPr>
        <w:t xml:space="preserve"> y excede el marco normativo del Acto Legislativo 01 de 2017 y de la Ley estatutaria de administración de justicia en la JEP (Ley 1957 de 2019)</w:t>
      </w:r>
      <w:r w:rsidR="0019085B" w:rsidRPr="00746ACE">
        <w:rPr>
          <w:lang w:eastAsia="es-ES"/>
        </w:rPr>
        <w:t>. L</w:t>
      </w:r>
      <w:r w:rsidRPr="00746ACE">
        <w:rPr>
          <w:lang w:eastAsia="es-ES"/>
        </w:rPr>
        <w:t xml:space="preserve">a selección de segundo orden, </w:t>
      </w:r>
      <w:r w:rsidR="00105B3D" w:rsidRPr="00746ACE">
        <w:rPr>
          <w:lang w:eastAsia="es-ES"/>
        </w:rPr>
        <w:t xml:space="preserve">según </w:t>
      </w:r>
      <w:r w:rsidRPr="00746ACE">
        <w:rPr>
          <w:lang w:eastAsia="es-ES"/>
        </w:rPr>
        <w:t>explica</w:t>
      </w:r>
      <w:r w:rsidR="00105B3D" w:rsidRPr="00746ACE">
        <w:rPr>
          <w:lang w:eastAsia="es-ES"/>
        </w:rPr>
        <w:t>ro</w:t>
      </w:r>
      <w:r w:rsidRPr="00746ACE">
        <w:rPr>
          <w:lang w:eastAsia="es-ES"/>
        </w:rPr>
        <w:t>n, no fue parte de la negociación</w:t>
      </w:r>
      <w:r w:rsidR="0019085B" w:rsidRPr="00746ACE">
        <w:rPr>
          <w:lang w:eastAsia="es-ES"/>
        </w:rPr>
        <w:t>, e</w:t>
      </w:r>
      <w:r w:rsidR="0043161D" w:rsidRPr="00746ACE">
        <w:rPr>
          <w:lang w:eastAsia="es-ES"/>
        </w:rPr>
        <w:t xml:space="preserve">s contraria a lo pactado y, por lo tanto, constituye </w:t>
      </w:r>
      <w:r w:rsidR="00720FE7" w:rsidRPr="00746ACE">
        <w:rPr>
          <w:lang w:eastAsia="es-ES"/>
        </w:rPr>
        <w:t>“</w:t>
      </w:r>
      <w:r w:rsidR="0043161D" w:rsidRPr="00746ACE">
        <w:rPr>
          <w:i/>
          <w:iCs/>
          <w:lang w:eastAsia="es-ES"/>
        </w:rPr>
        <w:t>perfidia</w:t>
      </w:r>
      <w:r w:rsidR="00720FE7" w:rsidRPr="00746ACE">
        <w:rPr>
          <w:i/>
          <w:iCs/>
          <w:lang w:eastAsia="es-ES"/>
        </w:rPr>
        <w:t>”</w:t>
      </w:r>
      <w:r w:rsidR="00092A12" w:rsidRPr="00746ACE">
        <w:rPr>
          <w:rStyle w:val="Refdenotaalpie"/>
          <w:i/>
          <w:iCs/>
          <w:lang w:eastAsia="es-ES"/>
        </w:rPr>
        <w:footnoteReference w:id="104"/>
      </w:r>
      <w:r w:rsidR="0043161D" w:rsidRPr="00746ACE">
        <w:rPr>
          <w:i/>
          <w:iCs/>
          <w:lang w:eastAsia="es-ES"/>
        </w:rPr>
        <w:t xml:space="preserve">. </w:t>
      </w:r>
      <w:r w:rsidR="0019085B" w:rsidRPr="00746ACE">
        <w:rPr>
          <w:lang w:eastAsia="es-ES"/>
        </w:rPr>
        <w:t>Más aún, se convierte en un obstáculo para cumplir el acuerdo y genera incentivos a los comparecientes</w:t>
      </w:r>
      <w:r w:rsidR="00105B3D" w:rsidRPr="00746ACE">
        <w:rPr>
          <w:lang w:eastAsia="es-ES"/>
        </w:rPr>
        <w:t xml:space="preserve"> para que </w:t>
      </w:r>
      <w:r w:rsidR="0043161D" w:rsidRPr="00746ACE">
        <w:rPr>
          <w:lang w:eastAsia="es-ES"/>
        </w:rPr>
        <w:t xml:space="preserve">regresen de nuevo al conflicto, debido a los grupos emergentes que les ofrecen condiciones </w:t>
      </w:r>
      <w:r w:rsidR="0019085B" w:rsidRPr="00746ACE">
        <w:rPr>
          <w:lang w:eastAsia="es-ES"/>
        </w:rPr>
        <w:t xml:space="preserve">materiales </w:t>
      </w:r>
      <w:r w:rsidR="0043161D" w:rsidRPr="00746ACE">
        <w:rPr>
          <w:lang w:eastAsia="es-ES"/>
        </w:rPr>
        <w:t>para hacerlo</w:t>
      </w:r>
      <w:r w:rsidR="0019085B" w:rsidRPr="00746ACE">
        <w:rPr>
          <w:lang w:eastAsia="es-ES"/>
        </w:rPr>
        <w:t>, mientras la demora de los procesos los mantiene en una condición de vulnerabilidad, y sin su situación jurídica resuelta.</w:t>
      </w:r>
      <w:r w:rsidR="00742777" w:rsidRPr="00746ACE">
        <w:rPr>
          <w:lang w:eastAsia="es-ES"/>
        </w:rPr>
        <w:t xml:space="preserve"> </w:t>
      </w:r>
    </w:p>
    <w:p w14:paraId="2D7AE205" w14:textId="77777777" w:rsidR="0043161D" w:rsidRPr="00746ACE" w:rsidRDefault="0043161D" w:rsidP="00CF1AD1">
      <w:pPr>
        <w:widowControl w:val="0"/>
        <w:rPr>
          <w:lang w:eastAsia="es-ES"/>
        </w:rPr>
      </w:pPr>
    </w:p>
    <w:p w14:paraId="5E3DB766" w14:textId="1B147F4A" w:rsidR="0043161D" w:rsidRPr="00746ACE" w:rsidRDefault="0019085B" w:rsidP="00D62ABF">
      <w:pPr>
        <w:pStyle w:val="Prrafodelista"/>
        <w:widowControl w:val="0"/>
        <w:numPr>
          <w:ilvl w:val="0"/>
          <w:numId w:val="7"/>
        </w:numPr>
        <w:rPr>
          <w:lang w:eastAsia="es-ES"/>
        </w:rPr>
      </w:pPr>
      <w:r w:rsidRPr="00746ACE">
        <w:rPr>
          <w:lang w:eastAsia="es-ES"/>
        </w:rPr>
        <w:t>Según la demanda, l</w:t>
      </w:r>
      <w:r w:rsidR="0043161D" w:rsidRPr="00746ACE">
        <w:rPr>
          <w:lang w:eastAsia="es-ES"/>
        </w:rPr>
        <w:t xml:space="preserve">a JEP no tiene competencia para crear la selección de segundo orden, ni </w:t>
      </w:r>
      <w:r w:rsidRPr="00746ACE">
        <w:rPr>
          <w:lang w:eastAsia="es-ES"/>
        </w:rPr>
        <w:t xml:space="preserve">atribuir </w:t>
      </w:r>
      <w:r w:rsidR="0043161D" w:rsidRPr="00746ACE">
        <w:rPr>
          <w:lang w:eastAsia="es-ES"/>
        </w:rPr>
        <w:t xml:space="preserve">funciones en cabeza de la Sala de Definición de Situaciones Jurídicas, </w:t>
      </w:r>
      <w:r w:rsidRPr="00746ACE">
        <w:rPr>
          <w:lang w:eastAsia="es-ES"/>
        </w:rPr>
        <w:t xml:space="preserve">distintas a las que </w:t>
      </w:r>
      <w:r w:rsidR="0043161D" w:rsidRPr="00746ACE">
        <w:rPr>
          <w:lang w:eastAsia="es-ES"/>
        </w:rPr>
        <w:t xml:space="preserve">se encuentran definidas en la Ley </w:t>
      </w:r>
      <w:r w:rsidRPr="00746ACE">
        <w:rPr>
          <w:lang w:eastAsia="es-ES"/>
        </w:rPr>
        <w:t>E</w:t>
      </w:r>
      <w:r w:rsidR="0043161D" w:rsidRPr="00746ACE">
        <w:rPr>
          <w:lang w:eastAsia="es-ES"/>
        </w:rPr>
        <w:t xml:space="preserve">statutaria de </w:t>
      </w:r>
      <w:r w:rsidRPr="00746ACE">
        <w:rPr>
          <w:lang w:eastAsia="es-ES"/>
        </w:rPr>
        <w:t>A</w:t>
      </w:r>
      <w:r w:rsidR="0043161D" w:rsidRPr="00746ACE">
        <w:rPr>
          <w:lang w:eastAsia="es-ES"/>
        </w:rPr>
        <w:t>dministración de Justicia en la JEP</w:t>
      </w:r>
      <w:r w:rsidRPr="00746ACE">
        <w:rPr>
          <w:lang w:eastAsia="es-ES"/>
        </w:rPr>
        <w:t xml:space="preserve"> (Ley 1957 de 2019)</w:t>
      </w:r>
      <w:r w:rsidR="0043161D" w:rsidRPr="00746ACE">
        <w:rPr>
          <w:lang w:eastAsia="es-ES"/>
        </w:rPr>
        <w:t xml:space="preserve">. </w:t>
      </w:r>
    </w:p>
    <w:p w14:paraId="00B1BF3E" w14:textId="77777777" w:rsidR="0043161D" w:rsidRPr="00746ACE" w:rsidRDefault="0043161D" w:rsidP="00D62ABF">
      <w:pPr>
        <w:pStyle w:val="Prrafodelista"/>
        <w:widowControl w:val="0"/>
        <w:rPr>
          <w:lang w:eastAsia="es-ES"/>
        </w:rPr>
      </w:pPr>
    </w:p>
    <w:p w14:paraId="3E025250" w14:textId="7C6405DB" w:rsidR="0043161D" w:rsidRPr="00746ACE" w:rsidRDefault="0019085B" w:rsidP="00D62ABF">
      <w:pPr>
        <w:pStyle w:val="Prrafodelista"/>
        <w:widowControl w:val="0"/>
        <w:numPr>
          <w:ilvl w:val="0"/>
          <w:numId w:val="7"/>
        </w:numPr>
        <w:rPr>
          <w:lang w:eastAsia="es-ES"/>
        </w:rPr>
      </w:pPr>
      <w:r w:rsidRPr="00746ACE">
        <w:rPr>
          <w:lang w:eastAsia="es-ES"/>
        </w:rPr>
        <w:t xml:space="preserve">Los demandantes </w:t>
      </w:r>
      <w:r w:rsidR="00105B3D" w:rsidRPr="00746ACE">
        <w:rPr>
          <w:lang w:eastAsia="es-ES"/>
        </w:rPr>
        <w:t xml:space="preserve">sostuvieron </w:t>
      </w:r>
      <w:r w:rsidRPr="00746ACE">
        <w:rPr>
          <w:lang w:eastAsia="es-ES"/>
        </w:rPr>
        <w:t>que</w:t>
      </w:r>
      <w:r w:rsidR="00105B3D" w:rsidRPr="00746ACE">
        <w:rPr>
          <w:lang w:eastAsia="es-ES"/>
        </w:rPr>
        <w:t>,</w:t>
      </w:r>
      <w:r w:rsidRPr="00746ACE">
        <w:rPr>
          <w:lang w:eastAsia="es-ES"/>
        </w:rPr>
        <w:t xml:space="preserve"> más allá del caso objeto de estudio, l</w:t>
      </w:r>
      <w:r w:rsidR="0043161D" w:rsidRPr="00746ACE">
        <w:rPr>
          <w:lang w:eastAsia="es-ES"/>
        </w:rPr>
        <w:t>a Sección de Apelación no debería dictar más sentencias interpretativas. Su función es aplicar lo acordado y no modificarlo por vía de interpretación judicial. Este tipo de pronunciamientos supone un exceso en el ejercicio de sus funciones, pues su misión debería limitarse a colmar vacíos y no a definir nuevas reglas.</w:t>
      </w:r>
    </w:p>
    <w:p w14:paraId="7A1CA805" w14:textId="77777777" w:rsidR="0043161D" w:rsidRPr="00746ACE" w:rsidRDefault="0043161D" w:rsidP="00D62ABF">
      <w:pPr>
        <w:pStyle w:val="Prrafodelista"/>
        <w:widowControl w:val="0"/>
        <w:rPr>
          <w:lang w:eastAsia="es-ES"/>
        </w:rPr>
      </w:pPr>
    </w:p>
    <w:p w14:paraId="3866AEC5" w14:textId="76D3D03D" w:rsidR="0043161D" w:rsidRPr="00746ACE" w:rsidRDefault="0043161D" w:rsidP="00D62ABF">
      <w:pPr>
        <w:pStyle w:val="Prrafodelista"/>
        <w:widowControl w:val="0"/>
        <w:numPr>
          <w:ilvl w:val="0"/>
          <w:numId w:val="7"/>
        </w:numPr>
        <w:rPr>
          <w:lang w:eastAsia="es-ES"/>
        </w:rPr>
      </w:pPr>
      <w:r w:rsidRPr="00746ACE">
        <w:rPr>
          <w:lang w:eastAsia="es-ES"/>
        </w:rPr>
        <w:t xml:space="preserve">Estos argumentos fueron presentados por la demanda y, en buena medida, son compartidos por el </w:t>
      </w:r>
      <w:r w:rsidR="00E546E4" w:rsidRPr="00746ACE">
        <w:rPr>
          <w:lang w:eastAsia="es-ES"/>
        </w:rPr>
        <w:t>expresidente</w:t>
      </w:r>
      <w:r w:rsidRPr="00746ACE">
        <w:rPr>
          <w:lang w:eastAsia="es-ES"/>
        </w:rPr>
        <w:t xml:space="preserve"> Juan Manuel Santos Calderón, el entonces negociador de las FARC-EP, Rodrigo Londoño y la mayor parte de los expertos que intervinieron en el trámite y en la Audiencia Pública de 24 de octubre de 2025, aunque con algunos matices</w:t>
      </w:r>
      <w:r w:rsidR="00720FE7" w:rsidRPr="00746ACE">
        <w:rPr>
          <w:lang w:eastAsia="es-ES"/>
        </w:rPr>
        <w:t xml:space="preserve">. Estos matices se perciben, por ejemplo, en aquellas intervenciones que </w:t>
      </w:r>
      <w:r w:rsidRPr="00746ACE">
        <w:rPr>
          <w:lang w:eastAsia="es-ES"/>
        </w:rPr>
        <w:t xml:space="preserve">consideran que la selección de segundo orden podría tener un fundamento normativo, pero debería ser excepcional e integrarse a una ruta restaurativa y no abrir el espacio </w:t>
      </w:r>
      <w:r w:rsidR="00060DCF" w:rsidRPr="00746ACE">
        <w:rPr>
          <w:lang w:eastAsia="es-ES"/>
        </w:rPr>
        <w:t xml:space="preserve">para </w:t>
      </w:r>
      <w:r w:rsidRPr="00746ACE">
        <w:rPr>
          <w:lang w:eastAsia="es-ES"/>
        </w:rPr>
        <w:t>un juicio adversarial.</w:t>
      </w:r>
      <w:r w:rsidR="00720FE7" w:rsidRPr="00746ACE">
        <w:rPr>
          <w:lang w:eastAsia="es-ES"/>
        </w:rPr>
        <w:t xml:space="preserve"> </w:t>
      </w:r>
    </w:p>
    <w:p w14:paraId="0FD13A5F" w14:textId="77777777" w:rsidR="000C087D" w:rsidRPr="00746ACE" w:rsidRDefault="000C087D" w:rsidP="00CF1AD1">
      <w:pPr>
        <w:pStyle w:val="Prrafodelista"/>
        <w:widowControl w:val="0"/>
        <w:rPr>
          <w:lang w:eastAsia="es-ES"/>
        </w:rPr>
      </w:pPr>
    </w:p>
    <w:p w14:paraId="413455ED" w14:textId="3EA56454" w:rsidR="000C087D" w:rsidRPr="00746ACE" w:rsidRDefault="000C087D" w:rsidP="00D62ABF">
      <w:pPr>
        <w:pStyle w:val="Prrafodelista"/>
        <w:widowControl w:val="0"/>
        <w:numPr>
          <w:ilvl w:val="0"/>
          <w:numId w:val="7"/>
        </w:numPr>
        <w:rPr>
          <w:lang w:eastAsia="es-ES"/>
        </w:rPr>
      </w:pPr>
      <w:r w:rsidRPr="00746ACE">
        <w:rPr>
          <w:lang w:eastAsia="es-ES"/>
        </w:rPr>
        <w:t>En el diagrama a continuación, se recogen estos argumentos:</w:t>
      </w:r>
    </w:p>
    <w:p w14:paraId="1ED03DF1" w14:textId="77777777" w:rsidR="009C7163" w:rsidRPr="00746ACE" w:rsidRDefault="009C7163" w:rsidP="009C7163">
      <w:pPr>
        <w:pStyle w:val="Prrafodelista"/>
        <w:widowControl w:val="0"/>
        <w:ind w:left="0"/>
        <w:rPr>
          <w:lang w:eastAsia="es-ES"/>
        </w:rPr>
      </w:pPr>
    </w:p>
    <w:p w14:paraId="6B56C62F" w14:textId="4A5995DF" w:rsidR="000C087D" w:rsidRPr="00746ACE" w:rsidRDefault="000C087D" w:rsidP="00CF1AD1">
      <w:pPr>
        <w:pStyle w:val="Prrafodelista"/>
        <w:widowControl w:val="0"/>
        <w:rPr>
          <w:i/>
          <w:szCs w:val="24"/>
        </w:rPr>
      </w:pPr>
      <w:r w:rsidRPr="00746ACE">
        <w:rPr>
          <w:b/>
          <w:szCs w:val="24"/>
        </w:rPr>
        <w:t xml:space="preserve">Diagrama </w:t>
      </w:r>
      <w:r w:rsidR="006B78F8" w:rsidRPr="00746ACE">
        <w:rPr>
          <w:b/>
          <w:szCs w:val="24"/>
        </w:rPr>
        <w:t>2</w:t>
      </w:r>
      <w:r w:rsidRPr="00746ACE">
        <w:rPr>
          <w:b/>
          <w:szCs w:val="24"/>
        </w:rPr>
        <w:t>.</w:t>
      </w:r>
      <w:r w:rsidRPr="00746ACE">
        <w:rPr>
          <w:szCs w:val="24"/>
        </w:rPr>
        <w:t xml:space="preserve"> </w:t>
      </w:r>
      <w:r w:rsidRPr="00746ACE">
        <w:rPr>
          <w:i/>
          <w:szCs w:val="24"/>
        </w:rPr>
        <w:t>Esquema de argumentos de la demanda frente al primer cargo.</w:t>
      </w:r>
    </w:p>
    <w:p w14:paraId="2611645E" w14:textId="77777777" w:rsidR="000C087D" w:rsidRPr="00746ACE" w:rsidRDefault="000C087D" w:rsidP="00CF1AD1">
      <w:pPr>
        <w:widowControl w:val="0"/>
        <w:rPr>
          <w:b/>
          <w:lang w:eastAsia="es-ES"/>
        </w:rPr>
      </w:pPr>
    </w:p>
    <w:p w14:paraId="2A3CE4A6" w14:textId="77777777" w:rsidR="00060DCF" w:rsidRPr="00746ACE" w:rsidRDefault="0043161D" w:rsidP="00D62ABF">
      <w:pPr>
        <w:pStyle w:val="Prrafodelista"/>
        <w:widowControl w:val="0"/>
        <w:ind w:left="0"/>
        <w:rPr>
          <w:lang w:eastAsia="es-ES"/>
        </w:rPr>
      </w:pPr>
      <w:r w:rsidRPr="00746ACE">
        <w:rPr>
          <w:noProof/>
          <w:lang w:eastAsia="es-ES"/>
        </w:rPr>
        <w:drawing>
          <wp:inline distT="0" distB="0" distL="0" distR="0" wp14:anchorId="1FA2A24E" wp14:editId="575CD993">
            <wp:extent cx="5486400" cy="3200400"/>
            <wp:effectExtent l="19050" t="0" r="19050" b="19050"/>
            <wp:docPr id="3"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00060DCF" w:rsidRPr="00746ACE">
        <w:rPr>
          <w:lang w:eastAsia="es-ES"/>
        </w:rPr>
        <w:t xml:space="preserve"> </w:t>
      </w:r>
    </w:p>
    <w:p w14:paraId="7D1C775D" w14:textId="77777777" w:rsidR="00060DCF" w:rsidRPr="00746ACE" w:rsidRDefault="00060DCF" w:rsidP="00D62ABF">
      <w:pPr>
        <w:pStyle w:val="Prrafodelista"/>
        <w:widowControl w:val="0"/>
        <w:ind w:left="0"/>
      </w:pPr>
    </w:p>
    <w:p w14:paraId="481C1A6E" w14:textId="2405B9A3" w:rsidR="00060DCF" w:rsidRPr="00746ACE" w:rsidRDefault="00060DCF" w:rsidP="00D62ABF">
      <w:pPr>
        <w:pStyle w:val="Prrafodelista"/>
        <w:widowControl w:val="0"/>
        <w:numPr>
          <w:ilvl w:val="0"/>
          <w:numId w:val="7"/>
        </w:numPr>
      </w:pPr>
      <w:r w:rsidRPr="00746ACE">
        <w:rPr>
          <w:lang w:eastAsia="es-ES"/>
        </w:rPr>
        <w:t>En contraste, de acuerdo con las intervenciones de la JEP dentro de este proceso (en especial, lo expresado por el Magistrado Rodolfo Arango Rivadeneira en la audiencia pública</w:t>
      </w:r>
      <w:r w:rsidR="00720FE7" w:rsidRPr="00746ACE">
        <w:rPr>
          <w:lang w:eastAsia="es-ES"/>
        </w:rPr>
        <w:t>, en su calidad de magistrado y vocero de la Sección de Apelación</w:t>
      </w:r>
      <w:r w:rsidRPr="00746ACE">
        <w:rPr>
          <w:lang w:eastAsia="es-ES"/>
        </w:rPr>
        <w:t xml:space="preserve">), la JEP </w:t>
      </w:r>
      <w:r w:rsidRPr="00746ACE">
        <w:rPr>
          <w:i/>
          <w:lang w:eastAsia="es-ES"/>
        </w:rPr>
        <w:t xml:space="preserve">no ha creado nada </w:t>
      </w:r>
      <w:r w:rsidRPr="00746ACE">
        <w:rPr>
          <w:lang w:eastAsia="es-ES"/>
        </w:rPr>
        <w:t xml:space="preserve">de lo que se dice en la demanda, sino que ha interpretado las normas de implementación y colmado los vacíos que presentan. </w:t>
      </w:r>
    </w:p>
    <w:p w14:paraId="792EBA29" w14:textId="77777777" w:rsidR="00060DCF" w:rsidRPr="00746ACE" w:rsidRDefault="00060DCF" w:rsidP="00D62ABF">
      <w:pPr>
        <w:pStyle w:val="Prrafodelista"/>
        <w:widowControl w:val="0"/>
        <w:rPr>
          <w:lang w:eastAsia="es-ES"/>
        </w:rPr>
      </w:pPr>
    </w:p>
    <w:p w14:paraId="10A8ACAF" w14:textId="2ED9F2B8" w:rsidR="00060DCF" w:rsidRPr="00746ACE" w:rsidRDefault="0019085B" w:rsidP="00D62ABF">
      <w:pPr>
        <w:pStyle w:val="Prrafodelista"/>
        <w:widowControl w:val="0"/>
        <w:numPr>
          <w:ilvl w:val="0"/>
          <w:numId w:val="7"/>
        </w:numPr>
      </w:pPr>
      <w:r w:rsidRPr="00746ACE">
        <w:rPr>
          <w:lang w:eastAsia="es-ES"/>
        </w:rPr>
        <w:t>En criterio de</w:t>
      </w:r>
      <w:r w:rsidR="00720FE7" w:rsidRPr="00746ACE">
        <w:rPr>
          <w:lang w:eastAsia="es-ES"/>
        </w:rPr>
        <w:t xml:space="preserve"> </w:t>
      </w:r>
      <w:r w:rsidRPr="00746ACE">
        <w:rPr>
          <w:lang w:eastAsia="es-ES"/>
        </w:rPr>
        <w:t>l</w:t>
      </w:r>
      <w:r w:rsidR="00720FE7" w:rsidRPr="00746ACE">
        <w:rPr>
          <w:lang w:eastAsia="es-ES"/>
        </w:rPr>
        <w:t>a Sección de Apelación</w:t>
      </w:r>
      <w:r w:rsidRPr="00746ACE">
        <w:rPr>
          <w:lang w:eastAsia="es-ES"/>
        </w:rPr>
        <w:t xml:space="preserve">, </w:t>
      </w:r>
      <w:r w:rsidR="00060DCF" w:rsidRPr="00746ACE">
        <w:rPr>
          <w:lang w:eastAsia="es-ES"/>
        </w:rPr>
        <w:t xml:space="preserve">sí existe un fundamento legal que sostiene las tesis contenidas en la Senit 5 acerca de la selección. </w:t>
      </w:r>
      <w:r w:rsidRPr="00746ACE">
        <w:rPr>
          <w:lang w:eastAsia="es-ES"/>
        </w:rPr>
        <w:t>L</w:t>
      </w:r>
      <w:r w:rsidR="00060DCF" w:rsidRPr="00746ACE">
        <w:rPr>
          <w:lang w:eastAsia="es-ES"/>
        </w:rPr>
        <w:t xml:space="preserve">a </w:t>
      </w:r>
      <w:r w:rsidR="00A41187" w:rsidRPr="00746ACE">
        <w:rPr>
          <w:lang w:eastAsia="es-ES"/>
        </w:rPr>
        <w:t>“</w:t>
      </w:r>
      <w:r w:rsidR="00060DCF" w:rsidRPr="00746ACE">
        <w:rPr>
          <w:iCs/>
          <w:lang w:eastAsia="es-ES"/>
        </w:rPr>
        <w:t>selección de segundo orden</w:t>
      </w:r>
      <w:r w:rsidR="00A41187" w:rsidRPr="00746ACE">
        <w:rPr>
          <w:iCs/>
          <w:lang w:eastAsia="es-ES"/>
        </w:rPr>
        <w:t>”</w:t>
      </w:r>
      <w:r w:rsidR="00060DCF" w:rsidRPr="00746ACE">
        <w:rPr>
          <w:lang w:eastAsia="es-ES"/>
        </w:rPr>
        <w:t xml:space="preserve"> se habría pensado desde el Acuerdo Final de Paz y fue incluida en la Ley estatutaria de </w:t>
      </w:r>
      <w:r w:rsidR="00105B3D" w:rsidRPr="00746ACE">
        <w:rPr>
          <w:lang w:eastAsia="es-ES"/>
        </w:rPr>
        <w:t>A</w:t>
      </w:r>
      <w:r w:rsidR="00060DCF" w:rsidRPr="00746ACE">
        <w:rPr>
          <w:lang w:eastAsia="es-ES"/>
        </w:rPr>
        <w:t xml:space="preserve">dministración de </w:t>
      </w:r>
      <w:r w:rsidR="00105B3D" w:rsidRPr="00746ACE">
        <w:rPr>
          <w:lang w:eastAsia="es-ES"/>
        </w:rPr>
        <w:t>J</w:t>
      </w:r>
      <w:r w:rsidR="00060DCF" w:rsidRPr="00746ACE">
        <w:rPr>
          <w:lang w:eastAsia="es-ES"/>
        </w:rPr>
        <w:t xml:space="preserve">usticia </w:t>
      </w:r>
      <w:r w:rsidR="00105B3D" w:rsidRPr="00746ACE">
        <w:rPr>
          <w:lang w:eastAsia="es-ES"/>
        </w:rPr>
        <w:t xml:space="preserve">en </w:t>
      </w:r>
      <w:r w:rsidR="00060DCF" w:rsidRPr="00746ACE">
        <w:rPr>
          <w:lang w:eastAsia="es-ES"/>
        </w:rPr>
        <w:t xml:space="preserve">la JEP (Ley 1957 de 2019), cuya validez fue reconocida en la Sentencia C-080 de 2018 de la Corte Constitucional. </w:t>
      </w:r>
      <w:r w:rsidRPr="00746ACE">
        <w:rPr>
          <w:lang w:eastAsia="es-ES"/>
        </w:rPr>
        <w:t>E</w:t>
      </w:r>
      <w:r w:rsidR="0043161D" w:rsidRPr="00746ACE">
        <w:rPr>
          <w:lang w:eastAsia="es-ES"/>
        </w:rPr>
        <w:t>s</w:t>
      </w:r>
      <w:r w:rsidR="00060DCF" w:rsidRPr="00746ACE">
        <w:rPr>
          <w:lang w:eastAsia="es-ES"/>
        </w:rPr>
        <w:t xml:space="preserve"> el resultado de una lectura sistemática de los artículos </w:t>
      </w:r>
      <w:r w:rsidR="00267EFA" w:rsidRPr="00746ACE">
        <w:rPr>
          <w:lang w:eastAsia="es-ES"/>
        </w:rPr>
        <w:t xml:space="preserve">19 (criterios de selección), </w:t>
      </w:r>
      <w:r w:rsidR="00060DCF" w:rsidRPr="00746ACE">
        <w:rPr>
          <w:lang w:eastAsia="es-ES"/>
        </w:rPr>
        <w:t xml:space="preserve">84 (funciones de la Sala de </w:t>
      </w:r>
      <w:r w:rsidR="00105B3D" w:rsidRPr="00746ACE">
        <w:rPr>
          <w:lang w:eastAsia="es-ES"/>
        </w:rPr>
        <w:t>R</w:t>
      </w:r>
      <w:r w:rsidR="00060DCF" w:rsidRPr="00746ACE">
        <w:rPr>
          <w:lang w:eastAsia="es-ES"/>
        </w:rPr>
        <w:t xml:space="preserve">econocimiento de </w:t>
      </w:r>
      <w:r w:rsidR="00105B3D" w:rsidRPr="00746ACE">
        <w:rPr>
          <w:lang w:eastAsia="es-ES"/>
        </w:rPr>
        <w:t>Verdad</w:t>
      </w:r>
      <w:r w:rsidR="00060DCF" w:rsidRPr="00746ACE">
        <w:rPr>
          <w:lang w:eastAsia="es-ES"/>
        </w:rPr>
        <w:t xml:space="preserve">), 79 (funciones de la Sala de </w:t>
      </w:r>
      <w:r w:rsidR="00105B3D" w:rsidRPr="00746ACE">
        <w:rPr>
          <w:lang w:eastAsia="es-ES"/>
        </w:rPr>
        <w:t xml:space="preserve">Definición </w:t>
      </w:r>
      <w:r w:rsidR="00060DCF" w:rsidRPr="00746ACE">
        <w:rPr>
          <w:lang w:eastAsia="es-ES"/>
        </w:rPr>
        <w:t xml:space="preserve">de </w:t>
      </w:r>
      <w:r w:rsidR="00105B3D" w:rsidRPr="00746ACE">
        <w:rPr>
          <w:lang w:eastAsia="es-ES"/>
        </w:rPr>
        <w:t>Situaciones Jurídicas</w:t>
      </w:r>
      <w:r w:rsidR="00060DCF" w:rsidRPr="00746ACE">
        <w:rPr>
          <w:lang w:eastAsia="es-ES"/>
        </w:rPr>
        <w:t xml:space="preserve">) y 129 (sanciones propias y alternativas de dos a cinco años) de la Ley Estatutaria de Administración de Justicia. </w:t>
      </w:r>
    </w:p>
    <w:p w14:paraId="31F57DBB" w14:textId="77777777" w:rsidR="00060DCF" w:rsidRPr="00746ACE" w:rsidRDefault="00060DCF" w:rsidP="00D62ABF">
      <w:pPr>
        <w:pStyle w:val="Prrafodelista"/>
        <w:widowControl w:val="0"/>
        <w:ind w:left="0"/>
      </w:pPr>
    </w:p>
    <w:p w14:paraId="31E545B4" w14:textId="0E8BE254" w:rsidR="00060DCF" w:rsidRPr="00746ACE" w:rsidRDefault="0043161D" w:rsidP="00D62ABF">
      <w:pPr>
        <w:pStyle w:val="Prrafodelista"/>
        <w:widowControl w:val="0"/>
        <w:numPr>
          <w:ilvl w:val="0"/>
          <w:numId w:val="7"/>
        </w:numPr>
        <w:rPr>
          <w:lang w:eastAsia="es-ES"/>
        </w:rPr>
      </w:pPr>
      <w:r w:rsidRPr="00746ACE">
        <w:rPr>
          <w:lang w:eastAsia="es-ES"/>
        </w:rPr>
        <w:t>La</w:t>
      </w:r>
      <w:r w:rsidR="00060DCF" w:rsidRPr="00746ACE">
        <w:rPr>
          <w:lang w:eastAsia="es-ES"/>
        </w:rPr>
        <w:t xml:space="preserve"> </w:t>
      </w:r>
      <w:r w:rsidR="00A41187" w:rsidRPr="00746ACE">
        <w:rPr>
          <w:lang w:eastAsia="es-ES"/>
        </w:rPr>
        <w:t>“</w:t>
      </w:r>
      <w:r w:rsidR="00060DCF" w:rsidRPr="00746ACE">
        <w:rPr>
          <w:lang w:eastAsia="es-ES"/>
        </w:rPr>
        <w:t>selección de segundo orden</w:t>
      </w:r>
      <w:r w:rsidR="00A41187" w:rsidRPr="00746ACE">
        <w:rPr>
          <w:lang w:eastAsia="es-ES"/>
        </w:rPr>
        <w:t>”</w:t>
      </w:r>
      <w:r w:rsidR="00060DCF" w:rsidRPr="00746ACE">
        <w:rPr>
          <w:lang w:eastAsia="es-ES"/>
        </w:rPr>
        <w:t xml:space="preserve"> responde a un imperativo del Derecho Internacional de los Derechos Humanos, relacionado con la prohibición definitiva de conceder amnistías o autoamnistías por graves violaciones de derechos humanos. Esta prohibición pesa sobre la JEP y, en especial, sobre la Sala de Definición de Situaciones Jurídicas. </w:t>
      </w:r>
      <w:r w:rsidR="0019085B" w:rsidRPr="00746ACE">
        <w:rPr>
          <w:lang w:eastAsia="es-ES"/>
        </w:rPr>
        <w:t>En consecuencia, es necesaria para cumplir obligaciones del D</w:t>
      </w:r>
      <w:r w:rsidR="00060DCF" w:rsidRPr="00746ACE">
        <w:rPr>
          <w:lang w:eastAsia="es-ES"/>
        </w:rPr>
        <w:t xml:space="preserve">erecho </w:t>
      </w:r>
      <w:r w:rsidR="0019085B" w:rsidRPr="00746ACE">
        <w:rPr>
          <w:lang w:eastAsia="es-ES"/>
        </w:rPr>
        <w:t>I</w:t>
      </w:r>
      <w:r w:rsidR="00060DCF" w:rsidRPr="00746ACE">
        <w:rPr>
          <w:lang w:eastAsia="es-ES"/>
        </w:rPr>
        <w:t xml:space="preserve">nternacional de los </w:t>
      </w:r>
      <w:r w:rsidR="0019085B" w:rsidRPr="00746ACE">
        <w:rPr>
          <w:lang w:eastAsia="es-ES"/>
        </w:rPr>
        <w:t>D</w:t>
      </w:r>
      <w:r w:rsidR="00060DCF" w:rsidRPr="00746ACE">
        <w:rPr>
          <w:lang w:eastAsia="es-ES"/>
        </w:rPr>
        <w:t xml:space="preserve">erechos </w:t>
      </w:r>
      <w:r w:rsidR="0019085B" w:rsidRPr="00746ACE">
        <w:rPr>
          <w:lang w:eastAsia="es-ES"/>
        </w:rPr>
        <w:t>H</w:t>
      </w:r>
      <w:r w:rsidR="00060DCF" w:rsidRPr="00746ACE">
        <w:rPr>
          <w:lang w:eastAsia="es-ES"/>
        </w:rPr>
        <w:t>umanos.</w:t>
      </w:r>
    </w:p>
    <w:p w14:paraId="43AFCAE7" w14:textId="77777777" w:rsidR="00060DCF" w:rsidRPr="00746ACE" w:rsidRDefault="00060DCF" w:rsidP="00D62ABF">
      <w:pPr>
        <w:pStyle w:val="Prrafodelista"/>
        <w:widowControl w:val="0"/>
      </w:pPr>
    </w:p>
    <w:p w14:paraId="2C7B7F28" w14:textId="19EC0267" w:rsidR="00060DCF" w:rsidRPr="00746ACE" w:rsidRDefault="00060DCF" w:rsidP="00AA2BA9">
      <w:pPr>
        <w:pStyle w:val="Prrafodelista"/>
        <w:widowControl w:val="0"/>
        <w:numPr>
          <w:ilvl w:val="0"/>
          <w:numId w:val="7"/>
        </w:numPr>
        <w:rPr>
          <w:lang w:eastAsia="es-ES"/>
        </w:rPr>
      </w:pPr>
      <w:r w:rsidRPr="00746ACE">
        <w:rPr>
          <w:lang w:eastAsia="es-ES"/>
        </w:rPr>
        <w:t xml:space="preserve">La </w:t>
      </w:r>
      <w:r w:rsidR="0014666A" w:rsidRPr="00746ACE">
        <w:rPr>
          <w:lang w:eastAsia="es-ES"/>
        </w:rPr>
        <w:t>“</w:t>
      </w:r>
      <w:r w:rsidRPr="00746ACE">
        <w:rPr>
          <w:lang w:eastAsia="es-ES"/>
        </w:rPr>
        <w:t>selección de segundo orden</w:t>
      </w:r>
      <w:r w:rsidR="0014666A" w:rsidRPr="00746ACE">
        <w:rPr>
          <w:lang w:eastAsia="es-ES"/>
        </w:rPr>
        <w:t>”</w:t>
      </w:r>
      <w:r w:rsidRPr="00746ACE">
        <w:rPr>
          <w:lang w:eastAsia="es-ES"/>
        </w:rPr>
        <w:t xml:space="preserve"> no puede ser calificada como </w:t>
      </w:r>
      <w:r w:rsidRPr="00746ACE">
        <w:rPr>
          <w:i/>
          <w:lang w:eastAsia="es-ES"/>
        </w:rPr>
        <w:t>perfidia</w:t>
      </w:r>
      <w:r w:rsidRPr="00746ACE">
        <w:rPr>
          <w:lang w:eastAsia="es-ES"/>
        </w:rPr>
        <w:t xml:space="preserve">, sino como respuesta a este imperativo y como mecanismo para blindar a la JEP de un escrutinio desde instancias internacionales. </w:t>
      </w:r>
      <w:r w:rsidR="0043161D" w:rsidRPr="00746ACE">
        <w:rPr>
          <w:lang w:eastAsia="es-ES"/>
        </w:rPr>
        <w:t xml:space="preserve">La </w:t>
      </w:r>
      <w:r w:rsidR="00DA1F1D" w:rsidRPr="00746ACE">
        <w:rPr>
          <w:lang w:eastAsia="es-ES"/>
        </w:rPr>
        <w:t>“</w:t>
      </w:r>
      <w:r w:rsidR="0043161D" w:rsidRPr="00746ACE">
        <w:rPr>
          <w:lang w:eastAsia="es-ES"/>
        </w:rPr>
        <w:t>selección de segundo orden</w:t>
      </w:r>
      <w:r w:rsidR="00DA1F1D" w:rsidRPr="00746ACE">
        <w:rPr>
          <w:lang w:eastAsia="es-ES"/>
        </w:rPr>
        <w:t>”</w:t>
      </w:r>
      <w:r w:rsidR="0043161D" w:rsidRPr="00746ACE">
        <w:rPr>
          <w:lang w:eastAsia="es-ES"/>
        </w:rPr>
        <w:t xml:space="preserve"> opera</w:t>
      </w:r>
      <w:r w:rsidR="000C087D" w:rsidRPr="00746ACE">
        <w:rPr>
          <w:lang w:eastAsia="es-ES"/>
        </w:rPr>
        <w:t>, entonces,</w:t>
      </w:r>
      <w:r w:rsidR="0043161D" w:rsidRPr="00746ACE">
        <w:rPr>
          <w:lang w:eastAsia="es-ES"/>
        </w:rPr>
        <w:t xml:space="preserve"> como un mecanismo de defensa a la jurisdicción. </w:t>
      </w:r>
    </w:p>
    <w:p w14:paraId="265F5F90" w14:textId="77777777" w:rsidR="00720FE7" w:rsidRPr="00746ACE" w:rsidRDefault="00720FE7" w:rsidP="00720FE7">
      <w:pPr>
        <w:pStyle w:val="Prrafodelista"/>
        <w:widowControl w:val="0"/>
        <w:ind w:left="0"/>
        <w:rPr>
          <w:lang w:eastAsia="es-ES"/>
        </w:rPr>
      </w:pPr>
    </w:p>
    <w:p w14:paraId="18C9E438" w14:textId="02512D7D" w:rsidR="0043161D" w:rsidRPr="00746ACE" w:rsidRDefault="000C087D" w:rsidP="00D62ABF">
      <w:pPr>
        <w:pStyle w:val="Prrafodelista"/>
        <w:widowControl w:val="0"/>
        <w:numPr>
          <w:ilvl w:val="0"/>
          <w:numId w:val="7"/>
        </w:numPr>
      </w:pPr>
      <w:r w:rsidRPr="00746ACE">
        <w:rPr>
          <w:lang w:eastAsia="es-ES"/>
        </w:rPr>
        <w:t>D</w:t>
      </w:r>
      <w:r w:rsidR="0019085B" w:rsidRPr="00746ACE">
        <w:rPr>
          <w:lang w:eastAsia="es-ES"/>
        </w:rPr>
        <w:t>e acuerdo con el vocero de la JEP, l</w:t>
      </w:r>
      <w:r w:rsidR="0043161D" w:rsidRPr="00746ACE">
        <w:rPr>
          <w:lang w:eastAsia="es-ES"/>
        </w:rPr>
        <w:t>as víctimas no admitirían que la Sala de Definición de Situaciones Jurídicas conceda beneficios, incluida la renuncia a la persecución penal, a una persona que no ha aportado verdad ni reconocido su responsabilidad</w:t>
      </w:r>
      <w:r w:rsidRPr="00746ACE">
        <w:rPr>
          <w:lang w:eastAsia="es-ES"/>
        </w:rPr>
        <w:t>, pues e</w:t>
      </w:r>
      <w:r w:rsidR="0043161D" w:rsidRPr="00746ACE">
        <w:rPr>
          <w:lang w:eastAsia="es-ES"/>
        </w:rPr>
        <w:t>llo se opone a un concepto de justicia básico. En este argumento se conjugan las emociones, necesidades y expectativas de las víctimas con e</w:t>
      </w:r>
      <w:r w:rsidRPr="00746ACE">
        <w:rPr>
          <w:lang w:eastAsia="es-ES"/>
        </w:rPr>
        <w:t>l</w:t>
      </w:r>
      <w:r w:rsidR="0043161D" w:rsidRPr="00746ACE">
        <w:rPr>
          <w:lang w:eastAsia="es-ES"/>
        </w:rPr>
        <w:t xml:space="preserve"> citado concepto de justicia. </w:t>
      </w:r>
      <w:r w:rsidRPr="00746ACE">
        <w:rPr>
          <w:lang w:eastAsia="es-ES"/>
        </w:rPr>
        <w:t xml:space="preserve">Por su parte, el magistrado Alejandro Ramelli Arteaga, </w:t>
      </w:r>
      <w:r w:rsidR="001653D7" w:rsidRPr="00746ACE">
        <w:rPr>
          <w:lang w:eastAsia="es-ES"/>
        </w:rPr>
        <w:t>presidente</w:t>
      </w:r>
      <w:r w:rsidRPr="00746ACE">
        <w:rPr>
          <w:lang w:eastAsia="es-ES"/>
        </w:rPr>
        <w:t xml:space="preserve"> de la Jurisdicción, expuso unas consideraciones</w:t>
      </w:r>
      <w:r w:rsidRPr="00746ACE" w:rsidDel="000C087D">
        <w:rPr>
          <w:lang w:eastAsia="es-ES"/>
        </w:rPr>
        <w:t xml:space="preserve"> </w:t>
      </w:r>
      <w:r w:rsidRPr="00746ACE">
        <w:rPr>
          <w:lang w:eastAsia="es-ES"/>
        </w:rPr>
        <w:t>s</w:t>
      </w:r>
      <w:r w:rsidR="0019085B" w:rsidRPr="00746ACE">
        <w:rPr>
          <w:lang w:eastAsia="es-ES"/>
        </w:rPr>
        <w:t xml:space="preserve">imilares. </w:t>
      </w:r>
      <w:r w:rsidR="0043161D" w:rsidRPr="00746ACE">
        <w:t>Esta línea refleja una orientación axiológica, asociada a una interpretación sobre las necesidades de las víctimas.</w:t>
      </w:r>
      <w:r w:rsidR="00742777" w:rsidRPr="00746ACE">
        <w:t xml:space="preserve"> </w:t>
      </w:r>
    </w:p>
    <w:p w14:paraId="14450526" w14:textId="77777777" w:rsidR="0043161D" w:rsidRPr="00746ACE" w:rsidRDefault="0043161D" w:rsidP="00D62ABF">
      <w:pPr>
        <w:pStyle w:val="Prrafodelista"/>
        <w:widowControl w:val="0"/>
        <w:rPr>
          <w:lang w:eastAsia="es-ES"/>
        </w:rPr>
      </w:pPr>
    </w:p>
    <w:p w14:paraId="0161ACD4" w14:textId="5D2019A2" w:rsidR="000C087D" w:rsidRPr="00746ACE" w:rsidRDefault="0043161D" w:rsidP="00D62ABF">
      <w:pPr>
        <w:pStyle w:val="Prrafodelista"/>
        <w:widowControl w:val="0"/>
        <w:numPr>
          <w:ilvl w:val="0"/>
          <w:numId w:val="7"/>
        </w:numPr>
        <w:rPr>
          <w:lang w:eastAsia="es-ES"/>
        </w:rPr>
      </w:pPr>
      <w:r w:rsidRPr="00746ACE">
        <w:rPr>
          <w:lang w:eastAsia="es-ES"/>
        </w:rPr>
        <w:t xml:space="preserve">Todos </w:t>
      </w:r>
      <w:r w:rsidR="000C087D" w:rsidRPr="00746ACE">
        <w:rPr>
          <w:lang w:eastAsia="es-ES"/>
        </w:rPr>
        <w:t xml:space="preserve">estos </w:t>
      </w:r>
      <w:r w:rsidRPr="00746ACE">
        <w:rPr>
          <w:lang w:eastAsia="es-ES"/>
        </w:rPr>
        <w:t>razonamientos comparten una premisa ilustrada en la audiencia pública por los magistrados de la JEP: la posición de la Sección de Apelación como intérprete autorizado de las normas de implementación del Acuerdo Final de Paz y lo que denominan su deber de actualizarlas en el conocimiento de los casos a su cargo. Esta premisa alude a la competencia y posición institucional de la Sección de Apelación.</w:t>
      </w:r>
    </w:p>
    <w:p w14:paraId="1B2FF6D1" w14:textId="77777777" w:rsidR="000C087D" w:rsidRPr="00746ACE" w:rsidRDefault="000C087D" w:rsidP="00CF1AD1">
      <w:pPr>
        <w:pStyle w:val="Prrafodelista"/>
        <w:widowControl w:val="0"/>
        <w:rPr>
          <w:lang w:eastAsia="es-ES"/>
        </w:rPr>
      </w:pPr>
    </w:p>
    <w:p w14:paraId="36E33D40" w14:textId="70763D12" w:rsidR="0043161D" w:rsidRPr="00746ACE" w:rsidRDefault="000C087D" w:rsidP="00D62ABF">
      <w:pPr>
        <w:pStyle w:val="Prrafodelista"/>
        <w:widowControl w:val="0"/>
        <w:numPr>
          <w:ilvl w:val="0"/>
          <w:numId w:val="7"/>
        </w:numPr>
        <w:rPr>
          <w:lang w:eastAsia="es-ES"/>
        </w:rPr>
      </w:pPr>
      <w:r w:rsidRPr="00746ACE">
        <w:rPr>
          <w:lang w:eastAsia="es-ES"/>
        </w:rPr>
        <w:t>Los argumentos mencionados se recogen en el diagrama a continuación:</w:t>
      </w:r>
      <w:r w:rsidR="00742777" w:rsidRPr="00746ACE">
        <w:rPr>
          <w:lang w:eastAsia="es-ES"/>
        </w:rPr>
        <w:t xml:space="preserve"> </w:t>
      </w:r>
      <w:r w:rsidR="0043161D" w:rsidRPr="00746ACE">
        <w:rPr>
          <w:lang w:eastAsia="es-ES"/>
        </w:rPr>
        <w:t xml:space="preserve"> </w:t>
      </w:r>
    </w:p>
    <w:p w14:paraId="46B18DCD" w14:textId="77777777" w:rsidR="0043161D" w:rsidRPr="00746ACE" w:rsidRDefault="0043161D" w:rsidP="00D62ABF">
      <w:pPr>
        <w:pStyle w:val="Prrafodelista"/>
        <w:widowControl w:val="0"/>
        <w:ind w:left="0"/>
      </w:pPr>
    </w:p>
    <w:p w14:paraId="1FDE9A7C" w14:textId="327D3BE1" w:rsidR="000C087D" w:rsidRPr="00746ACE" w:rsidRDefault="000C087D" w:rsidP="00D62ABF">
      <w:pPr>
        <w:pStyle w:val="Prrafodelista"/>
        <w:widowControl w:val="0"/>
        <w:rPr>
          <w:i/>
          <w:szCs w:val="24"/>
        </w:rPr>
      </w:pPr>
      <w:r w:rsidRPr="00746ACE">
        <w:rPr>
          <w:b/>
          <w:szCs w:val="24"/>
        </w:rPr>
        <w:t xml:space="preserve">Diagrama </w:t>
      </w:r>
      <w:r w:rsidR="00E93FD0" w:rsidRPr="00746ACE">
        <w:rPr>
          <w:b/>
          <w:szCs w:val="24"/>
        </w:rPr>
        <w:t>3</w:t>
      </w:r>
      <w:r w:rsidRPr="00746ACE">
        <w:rPr>
          <w:b/>
          <w:szCs w:val="24"/>
        </w:rPr>
        <w:t>.</w:t>
      </w:r>
      <w:r w:rsidRPr="00746ACE">
        <w:rPr>
          <w:szCs w:val="24"/>
        </w:rPr>
        <w:t xml:space="preserve"> </w:t>
      </w:r>
      <w:r w:rsidRPr="00746ACE">
        <w:rPr>
          <w:i/>
          <w:szCs w:val="24"/>
        </w:rPr>
        <w:t>Esquema de argumentos de la JEP frente al primer cargo.</w:t>
      </w:r>
    </w:p>
    <w:p w14:paraId="32BBDD9A" w14:textId="39D94384" w:rsidR="000C087D" w:rsidRPr="00746ACE" w:rsidRDefault="000C087D" w:rsidP="00D62ABF">
      <w:pPr>
        <w:pStyle w:val="Prrafodelista"/>
        <w:widowControl w:val="0"/>
        <w:ind w:left="0"/>
      </w:pPr>
    </w:p>
    <w:p w14:paraId="2499CB3D" w14:textId="77777777" w:rsidR="0043161D" w:rsidRPr="00746ACE" w:rsidRDefault="0043161D" w:rsidP="00D62ABF">
      <w:pPr>
        <w:pStyle w:val="Prrafodelista"/>
        <w:widowControl w:val="0"/>
        <w:ind w:left="0"/>
      </w:pPr>
      <w:r w:rsidRPr="00746ACE">
        <w:rPr>
          <w:noProof/>
        </w:rPr>
        <w:drawing>
          <wp:inline distT="0" distB="0" distL="0" distR="0" wp14:anchorId="5904FAB9" wp14:editId="7EC8C882">
            <wp:extent cx="5486400" cy="3200400"/>
            <wp:effectExtent l="19050" t="0" r="19050" b="19050"/>
            <wp:docPr id="4"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018D4CB" w14:textId="77777777" w:rsidR="0043161D" w:rsidRPr="00746ACE" w:rsidRDefault="0043161D" w:rsidP="00D62ABF">
      <w:pPr>
        <w:widowControl w:val="0"/>
      </w:pPr>
    </w:p>
    <w:p w14:paraId="72E2EB33" w14:textId="6CCB47E3" w:rsidR="0019085B" w:rsidRPr="00746ACE" w:rsidRDefault="0019085B" w:rsidP="00D62ABF">
      <w:pPr>
        <w:widowControl w:val="0"/>
      </w:pPr>
      <w:r w:rsidRPr="00746ACE">
        <w:t xml:space="preserve">Las organizaciones de víctimas que participaron en la sesión técnica de 27 de abril de 2026 expusieron puntos de vista diversos acerca de la </w:t>
      </w:r>
      <w:r w:rsidR="00694EB6" w:rsidRPr="00746ACE">
        <w:t>“</w:t>
      </w:r>
      <w:r w:rsidRPr="00746ACE">
        <w:t>selección de segundo orden</w:t>
      </w:r>
      <w:r w:rsidR="00694EB6" w:rsidRPr="00746ACE">
        <w:t>”</w:t>
      </w:r>
      <w:r w:rsidRPr="00746ACE">
        <w:t>.</w:t>
      </w:r>
    </w:p>
    <w:p w14:paraId="6F60F07A" w14:textId="77777777" w:rsidR="0019085B" w:rsidRPr="00746ACE" w:rsidRDefault="0019085B" w:rsidP="00D62ABF">
      <w:pPr>
        <w:widowControl w:val="0"/>
      </w:pPr>
    </w:p>
    <w:p w14:paraId="09A943E2" w14:textId="4090289E" w:rsidR="0059189D" w:rsidRPr="00746ACE" w:rsidRDefault="0019085B" w:rsidP="00D62ABF">
      <w:pPr>
        <w:widowControl w:val="0"/>
      </w:pPr>
      <w:r w:rsidRPr="00746ACE">
        <w:t>Algunas organizaciones</w:t>
      </w:r>
      <w:r w:rsidR="00092A12" w:rsidRPr="00746ACE">
        <w:t xml:space="preserve"> </w:t>
      </w:r>
      <w:r w:rsidRPr="00746ACE">
        <w:t xml:space="preserve">que acompañan o representan víctimas en los casos 01 y 03 (secuestro y muertes ilegítimamente presentadas como bajas en combate, respectivamente), estiman que la selección de segundo orden puede ser una respuesta al riesgo de impunidad. </w:t>
      </w:r>
      <w:r w:rsidR="00723D60" w:rsidRPr="00746ACE">
        <w:t xml:space="preserve">El Consejo Regional Indígena del Cauca (CRIC), por ejemplo, </w:t>
      </w:r>
      <w:r w:rsidR="00092A12" w:rsidRPr="00746ACE">
        <w:t>sostuvo</w:t>
      </w:r>
      <w:r w:rsidR="00723D60" w:rsidRPr="00746ACE">
        <w:t xml:space="preserve"> que</w:t>
      </w:r>
      <w:r w:rsidR="00092A12" w:rsidRPr="00746ACE">
        <w:t xml:space="preserve">: </w:t>
      </w:r>
    </w:p>
    <w:p w14:paraId="0E122E56" w14:textId="07155FAA" w:rsidR="0059189D" w:rsidRPr="00746ACE" w:rsidRDefault="0059189D" w:rsidP="00D62ABF">
      <w:pPr>
        <w:pStyle w:val="Textoindependiente"/>
        <w:widowControl w:val="0"/>
        <w:ind w:left="567" w:right="567"/>
        <w:jc w:val="both"/>
        <w:rPr>
          <w:sz w:val="28"/>
          <w:lang w:val="es-ES"/>
        </w:rPr>
      </w:pPr>
      <w:r w:rsidRPr="00746ACE">
        <w:rPr>
          <w:sz w:val="28"/>
          <w:lang w:val="es-ES" w:eastAsia="es-MX"/>
        </w:rPr>
        <w:t>“</w:t>
      </w:r>
      <w:r w:rsidRPr="00746ACE">
        <w:rPr>
          <w:sz w:val="28"/>
          <w:lang w:val="es-ES"/>
        </w:rPr>
        <w:t>Entonces, digamos que de ahí también la importancia de la interpretación de la Senit 5, porque consideramos que si la sala de reconocimiento pues no tiene todos los insumos de valoración para poder, digamos, encontrar a los máximos responsables, pueden, digamos, las víctimas participar en otras instancias”</w:t>
      </w:r>
      <w:r w:rsidRPr="00746ACE">
        <w:rPr>
          <w:rStyle w:val="Refdenotaalpie"/>
          <w:sz w:val="28"/>
          <w:lang w:val="es-ES"/>
        </w:rPr>
        <w:footnoteReference w:id="105"/>
      </w:r>
      <w:r w:rsidRPr="00746ACE">
        <w:rPr>
          <w:sz w:val="28"/>
          <w:lang w:val="es-ES"/>
        </w:rPr>
        <w:t>.</w:t>
      </w:r>
    </w:p>
    <w:p w14:paraId="2C2C665F" w14:textId="51D3E6E5" w:rsidR="0019085B" w:rsidRPr="00746ACE" w:rsidRDefault="00723D60" w:rsidP="00092A12">
      <w:pPr>
        <w:widowControl w:val="0"/>
      </w:pPr>
      <w:r w:rsidRPr="00746ACE">
        <w:t>Alianza Cinco Claves, que reúne a diversas o</w:t>
      </w:r>
      <w:r w:rsidR="00092A12" w:rsidRPr="00746ACE">
        <w:t xml:space="preserve">rganizaciones que defienden los derechos de las mujeres </w:t>
      </w:r>
      <w:r w:rsidRPr="00746ACE">
        <w:t xml:space="preserve">y la población LGBTIQ+ </w:t>
      </w:r>
      <w:r w:rsidR="00092A12" w:rsidRPr="00746ACE">
        <w:t>en los macro casos que adelanta la JEP</w:t>
      </w:r>
      <w:r w:rsidRPr="00746ACE">
        <w:t>, plant</w:t>
      </w:r>
      <w:r w:rsidR="009F2FE8" w:rsidRPr="00746ACE">
        <w:t>e</w:t>
      </w:r>
      <w:r w:rsidRPr="00746ACE">
        <w:t xml:space="preserve">ó </w:t>
      </w:r>
      <w:r w:rsidR="0019085B" w:rsidRPr="00746ACE">
        <w:t>que esta medida sería útil solo si existe mayor claridad sobre su aplicación, o sostienen</w:t>
      </w:r>
      <w:r w:rsidR="00092A12" w:rsidRPr="00746ACE">
        <w:t xml:space="preserve"> </w:t>
      </w:r>
      <w:r w:rsidR="0019085B" w:rsidRPr="00746ACE">
        <w:t xml:space="preserve">que la categoría es incierta y que genera cargas procesales en las víctimas, así como expectativas cuyo cumplimiento no es claro. </w:t>
      </w:r>
    </w:p>
    <w:p w14:paraId="088DAED3" w14:textId="77777777" w:rsidR="00C6267B" w:rsidRPr="00746ACE" w:rsidRDefault="00C6267B" w:rsidP="00D62ABF">
      <w:pPr>
        <w:widowControl w:val="0"/>
      </w:pPr>
    </w:p>
    <w:p w14:paraId="38483238" w14:textId="77777777" w:rsidR="00C6267B" w:rsidRPr="00746ACE" w:rsidRDefault="00C6267B" w:rsidP="00D62ABF">
      <w:pPr>
        <w:pStyle w:val="Textoindependiente"/>
        <w:widowControl w:val="0"/>
        <w:spacing w:before="0" w:beforeAutospacing="0" w:after="0" w:afterAutospacing="0"/>
        <w:ind w:left="567" w:right="567"/>
        <w:jc w:val="both"/>
        <w:rPr>
          <w:sz w:val="28"/>
          <w:lang w:val="es-ES"/>
        </w:rPr>
      </w:pPr>
      <w:r w:rsidRPr="00746ACE">
        <w:rPr>
          <w:sz w:val="28"/>
          <w:lang w:val="es-ES" w:eastAsia="es-MX"/>
        </w:rPr>
        <w:t>“</w:t>
      </w:r>
      <w:r w:rsidRPr="00746ACE">
        <w:rPr>
          <w:sz w:val="28"/>
          <w:lang w:val="es-ES"/>
        </w:rPr>
        <w:t>También hay riesgos que no desconocemos (…): dilución del enfoque de máximos responsables perdiéndose el importante capital de responsabilidad política histórica; sabemos que esto puede implicar que se amplíe la burocracia para la revisión de casos seleccionados en segundo orden (con lo cual no estamos de acuerdo); sabemos que la celeridad se puede ver comprometida. Para cerrar queremos manifestar que las víctimas no esperan una justicia perfecta, esperan una justicia valiente”</w:t>
      </w:r>
      <w:r w:rsidRPr="00746ACE">
        <w:rPr>
          <w:rStyle w:val="Refdenotaalpie"/>
          <w:sz w:val="28"/>
          <w:lang w:val="es-ES" w:eastAsia="es-MX"/>
        </w:rPr>
        <w:t xml:space="preserve"> </w:t>
      </w:r>
      <w:r w:rsidRPr="00746ACE">
        <w:rPr>
          <w:rStyle w:val="Refdenotaalpie"/>
          <w:sz w:val="28"/>
          <w:lang w:val="es-ES" w:eastAsia="es-MX"/>
        </w:rPr>
        <w:footnoteReference w:id="106"/>
      </w:r>
      <w:r w:rsidRPr="00746ACE">
        <w:rPr>
          <w:sz w:val="28"/>
          <w:lang w:val="es-ES"/>
        </w:rPr>
        <w:t xml:space="preserve">. </w:t>
      </w:r>
    </w:p>
    <w:p w14:paraId="2D25CC71" w14:textId="77777777" w:rsidR="0019085B" w:rsidRPr="00746ACE" w:rsidRDefault="0019085B" w:rsidP="00D62ABF">
      <w:pPr>
        <w:widowControl w:val="0"/>
      </w:pPr>
    </w:p>
    <w:p w14:paraId="6D916810" w14:textId="10DE6A90" w:rsidR="001730BE" w:rsidRPr="00746ACE" w:rsidRDefault="00092A12" w:rsidP="00D62ABF">
      <w:pPr>
        <w:widowControl w:val="0"/>
      </w:pPr>
      <w:r w:rsidRPr="00746ACE">
        <w:t xml:space="preserve">Posteriormente, la misma </w:t>
      </w:r>
      <w:r w:rsidR="00723D60" w:rsidRPr="00746ACE">
        <w:t>intervención sostuvo q</w:t>
      </w:r>
      <w:r w:rsidRPr="00746ACE">
        <w:t xml:space="preserve">ue: </w:t>
      </w:r>
    </w:p>
    <w:p w14:paraId="50A4B7BB" w14:textId="77777777" w:rsidR="001730BE" w:rsidRPr="00746ACE" w:rsidRDefault="001730BE" w:rsidP="00D62ABF">
      <w:pPr>
        <w:widowControl w:val="0"/>
      </w:pPr>
    </w:p>
    <w:p w14:paraId="4035A670" w14:textId="2DE1D3D2" w:rsidR="001730BE" w:rsidRPr="00746ACE" w:rsidRDefault="001730BE" w:rsidP="00D62ABF">
      <w:pPr>
        <w:widowControl w:val="0"/>
        <w:ind w:left="567" w:right="567"/>
        <w:rPr>
          <w:szCs w:val="24"/>
        </w:rPr>
      </w:pPr>
      <w:r w:rsidRPr="00746ACE">
        <w:rPr>
          <w:szCs w:val="24"/>
        </w:rPr>
        <w:t>“</w:t>
      </w:r>
      <w:r w:rsidR="00E546E4" w:rsidRPr="00746ACE">
        <w:rPr>
          <w:szCs w:val="24"/>
        </w:rPr>
        <w:t>[E]</w:t>
      </w:r>
      <w:r w:rsidRPr="00746ACE">
        <w:rPr>
          <w:szCs w:val="24"/>
        </w:rPr>
        <w:t>n relación con la selección de máximos responsables o responsables de segundo orden nuestro interés no es que haya más personas sancionadas</w:t>
      </w:r>
      <w:r w:rsidR="00CC52A3" w:rsidRPr="00746ACE">
        <w:rPr>
          <w:szCs w:val="24"/>
        </w:rPr>
        <w:t>,</w:t>
      </w:r>
      <w:r w:rsidRPr="00746ACE">
        <w:rPr>
          <w:szCs w:val="24"/>
        </w:rPr>
        <w:t xml:space="preserve"> no nos interesa entrar en un debate resuelto</w:t>
      </w:r>
      <w:r w:rsidR="00CC52A3" w:rsidRPr="00746ACE">
        <w:rPr>
          <w:szCs w:val="24"/>
        </w:rPr>
        <w:t>.</w:t>
      </w:r>
      <w:r w:rsidRPr="00746ACE">
        <w:rPr>
          <w:szCs w:val="24"/>
        </w:rPr>
        <w:t xml:space="preserve"> </w:t>
      </w:r>
      <w:r w:rsidR="00CC52A3" w:rsidRPr="00746ACE">
        <w:rPr>
          <w:szCs w:val="24"/>
        </w:rPr>
        <w:t>E</w:t>
      </w:r>
      <w:r w:rsidRPr="00746ACE">
        <w:rPr>
          <w:szCs w:val="24"/>
        </w:rPr>
        <w:t>stamos convencidas de que la justicia transicional no se mide por condenas</w:t>
      </w:r>
      <w:r w:rsidR="006B173D" w:rsidRPr="00746ACE">
        <w:rPr>
          <w:szCs w:val="24"/>
        </w:rPr>
        <w:t>,</w:t>
      </w:r>
      <w:r w:rsidRPr="00746ACE">
        <w:rPr>
          <w:szCs w:val="24"/>
        </w:rPr>
        <w:t xml:space="preserve"> se mide por su capacidad de transformar estructuras de poder que permitieron la violencia y también por su capacidad de desmontar discursos que la siguen sosteniendo”</w:t>
      </w:r>
      <w:r w:rsidRPr="00746ACE">
        <w:rPr>
          <w:rStyle w:val="Refdenotaalpie"/>
          <w:szCs w:val="24"/>
          <w:lang w:eastAsia="es-MX"/>
        </w:rPr>
        <w:t xml:space="preserve"> </w:t>
      </w:r>
      <w:r w:rsidRPr="00746ACE">
        <w:rPr>
          <w:rStyle w:val="Refdenotaalpie"/>
          <w:szCs w:val="24"/>
          <w:lang w:eastAsia="es-MX"/>
        </w:rPr>
        <w:footnoteReference w:id="107"/>
      </w:r>
      <w:r w:rsidR="00C34452" w:rsidRPr="00746ACE">
        <w:rPr>
          <w:szCs w:val="24"/>
          <w:lang w:eastAsia="es-MX"/>
        </w:rPr>
        <w:t>.</w:t>
      </w:r>
    </w:p>
    <w:p w14:paraId="509718EB" w14:textId="77777777" w:rsidR="001730BE" w:rsidRPr="00746ACE" w:rsidRDefault="001730BE" w:rsidP="00D62ABF">
      <w:pPr>
        <w:widowControl w:val="0"/>
      </w:pPr>
    </w:p>
    <w:p w14:paraId="42D0A938" w14:textId="7E146773" w:rsidR="001A5BE9" w:rsidRPr="00746ACE" w:rsidRDefault="00723D60" w:rsidP="00D62ABF">
      <w:pPr>
        <w:widowControl w:val="0"/>
      </w:pPr>
      <w:r w:rsidRPr="00746ACE">
        <w:t xml:space="preserve">La Organización Rosa Blanca, </w:t>
      </w:r>
      <w:r w:rsidR="00092A12" w:rsidRPr="00746ACE">
        <w:t xml:space="preserve">que trabaja </w:t>
      </w:r>
      <w:r w:rsidRPr="00746ACE">
        <w:t xml:space="preserve">también en </w:t>
      </w:r>
      <w:r w:rsidR="00092A12" w:rsidRPr="00746ACE">
        <w:t>la defensa de los derechos de las mujeres víctimas del conflicto</w:t>
      </w:r>
      <w:r w:rsidRPr="00746ACE">
        <w:t>, sañeló</w:t>
      </w:r>
      <w:r w:rsidR="00092A12" w:rsidRPr="00746ACE">
        <w:t xml:space="preserve">: </w:t>
      </w:r>
    </w:p>
    <w:p w14:paraId="3151627E" w14:textId="77777777" w:rsidR="001A5BE9" w:rsidRPr="00746ACE" w:rsidRDefault="001A5BE9" w:rsidP="00D62ABF">
      <w:pPr>
        <w:widowControl w:val="0"/>
      </w:pPr>
    </w:p>
    <w:p w14:paraId="50970B12" w14:textId="4EE1969C" w:rsidR="0019085B" w:rsidRPr="00746ACE" w:rsidRDefault="001A5BE9" w:rsidP="00D62ABF">
      <w:pPr>
        <w:widowControl w:val="0"/>
        <w:ind w:left="567" w:right="567"/>
        <w:rPr>
          <w:szCs w:val="24"/>
        </w:rPr>
      </w:pPr>
      <w:r w:rsidRPr="00746ACE">
        <w:rPr>
          <w:szCs w:val="24"/>
        </w:rPr>
        <w:t>“</w:t>
      </w:r>
      <w:r w:rsidRPr="00746ACE">
        <w:rPr>
          <w:szCs w:val="24"/>
          <w:lang w:eastAsia="es-MX"/>
        </w:rPr>
        <w:t>Frente a los comparecientes, quiero decirles, honorables magistrados, a las víctimas no nos interesa la sanción. No interesa la sanción. De verdad, en todos estos años de trabajo con las víctimas nadie me ha dicho que yo quiero verlos la cárcel. Ninguno. A las víctimas les interesa la verdad. Que manifiesten la verdad y que reconozcan responsabilidad. Esa es la satisfacción y la expectativa que quieren las víctimas”</w:t>
      </w:r>
      <w:r w:rsidRPr="00746ACE">
        <w:rPr>
          <w:rStyle w:val="Refdenotaalpie"/>
          <w:szCs w:val="24"/>
          <w:lang w:eastAsia="es-MX"/>
        </w:rPr>
        <w:footnoteReference w:id="108"/>
      </w:r>
      <w:r w:rsidR="00C34452" w:rsidRPr="00746ACE">
        <w:rPr>
          <w:szCs w:val="24"/>
          <w:lang w:eastAsia="es-MX"/>
        </w:rPr>
        <w:t>.</w:t>
      </w:r>
    </w:p>
    <w:p w14:paraId="3775CA52" w14:textId="77777777" w:rsidR="0019085B" w:rsidRPr="00746ACE" w:rsidRDefault="0019085B" w:rsidP="00D62ABF">
      <w:pPr>
        <w:widowControl w:val="0"/>
      </w:pPr>
    </w:p>
    <w:p w14:paraId="3EC6C852" w14:textId="7E6D952D" w:rsidR="0019085B" w:rsidRPr="00746ACE" w:rsidRDefault="00092A12" w:rsidP="00E546E4">
      <w:pPr>
        <w:widowControl w:val="0"/>
      </w:pPr>
      <w:r w:rsidRPr="00746ACE">
        <w:t>Defensores de derechos de las víctimas en diversos macro casos</w:t>
      </w:r>
      <w:r w:rsidR="0019085B" w:rsidRPr="00746ACE">
        <w:t xml:space="preserve"> </w:t>
      </w:r>
      <w:r w:rsidRPr="00746ACE">
        <w:t xml:space="preserve">señalaron </w:t>
      </w:r>
      <w:r w:rsidR="0019085B" w:rsidRPr="00746ACE">
        <w:t xml:space="preserve">que </w:t>
      </w:r>
      <w:r w:rsidR="00E546E4" w:rsidRPr="00746ACE">
        <w:t xml:space="preserve">la selección </w:t>
      </w:r>
      <w:r w:rsidR="0019085B" w:rsidRPr="00746ACE">
        <w:t>es una puerta de cierre y, por lo tanto, debe condicionarse adecuadamente</w:t>
      </w:r>
      <w:r w:rsidR="00E546E4" w:rsidRPr="00746ACE">
        <w:t xml:space="preserve">; y, en sentido similar, Ilex, </w:t>
      </w:r>
      <w:r w:rsidR="0019085B" w:rsidRPr="00746ACE">
        <w:t xml:space="preserve">Acción Jurídica, que acompaña comunidades negras o afrocolombianas, en casos como el 02 (situación de Tumaco Ricaurte y Nariño) plantean dudas acerca de la capacidad institucional para adelantar la selección de segundo orden, y cuestionan su falta de claridad. Indican que el cambio de reglas en este campo afecta no solo el debido proceso de comparecientes, sino también la seguridad jurídica de las víctimas. </w:t>
      </w:r>
    </w:p>
    <w:p w14:paraId="021DABAE" w14:textId="77777777" w:rsidR="00602C9F" w:rsidRPr="00746ACE" w:rsidRDefault="00602C9F" w:rsidP="00D62ABF">
      <w:pPr>
        <w:widowControl w:val="0"/>
        <w:rPr>
          <w:szCs w:val="24"/>
        </w:rPr>
      </w:pPr>
    </w:p>
    <w:p w14:paraId="4A859418" w14:textId="63677882" w:rsidR="00122CBA" w:rsidRPr="00746ACE" w:rsidRDefault="00122CBA" w:rsidP="00D62ABF">
      <w:pPr>
        <w:pStyle w:val="Textoindependiente"/>
        <w:widowControl w:val="0"/>
        <w:spacing w:before="0" w:beforeAutospacing="0" w:after="0" w:afterAutospacing="0"/>
        <w:ind w:left="567" w:right="567"/>
        <w:jc w:val="both"/>
        <w:rPr>
          <w:sz w:val="28"/>
          <w:lang w:val="es-ES"/>
        </w:rPr>
      </w:pPr>
      <w:r w:rsidRPr="00746ACE">
        <w:rPr>
          <w:sz w:val="28"/>
          <w:lang w:val="es-ES"/>
        </w:rPr>
        <w:t>“</w:t>
      </w:r>
      <w:r w:rsidR="00602C9F" w:rsidRPr="00746ACE">
        <w:rPr>
          <w:sz w:val="28"/>
          <w:lang w:val="es-ES"/>
        </w:rPr>
        <w:t>La seguridad jurídica, reconocida como un pilar del sistema integral, protege también a las víctimas. Les garantiza reglas claras, estabilidad en las decisiones estructurales y una trayectoria procesal orientada hacia el cierre. Asimismo, la ampliación progresiva del universo de responsables incide en la confianza legítima de quienes fueron excluidos del foco sancionatorio y en la estabilidad del régimen de condicionalidad”</w:t>
      </w:r>
      <w:r w:rsidR="00602C9F" w:rsidRPr="00746ACE">
        <w:rPr>
          <w:rStyle w:val="Refdenotaalpie"/>
          <w:sz w:val="28"/>
          <w:lang w:val="es-ES"/>
        </w:rPr>
        <w:footnoteReference w:id="109"/>
      </w:r>
      <w:r w:rsidRPr="00746ACE">
        <w:rPr>
          <w:sz w:val="28"/>
          <w:lang w:val="es-ES"/>
        </w:rPr>
        <w:t xml:space="preserve"> “La redefinición sucesiva del universo de responsables sin límites claros y sin reglas precisas, reiteramos, puede incidir en la coherencia narrativa del patrón investigado y con ello en la garantía del derecho a la verdad colectiva que el acto legislativo 01 de 2017 ordena satisfacer de manera prevalente”</w:t>
      </w:r>
      <w:r w:rsidRPr="00746ACE">
        <w:rPr>
          <w:rStyle w:val="Refdenotaalpie"/>
          <w:sz w:val="28"/>
          <w:lang w:val="es-ES" w:eastAsia="es-MX"/>
        </w:rPr>
        <w:t xml:space="preserve"> </w:t>
      </w:r>
      <w:r w:rsidRPr="00746ACE">
        <w:rPr>
          <w:rStyle w:val="Refdenotaalpie"/>
          <w:sz w:val="28"/>
          <w:lang w:val="es-ES" w:eastAsia="es-MX"/>
        </w:rPr>
        <w:footnoteReference w:id="110"/>
      </w:r>
      <w:r w:rsidRPr="00746ACE">
        <w:rPr>
          <w:sz w:val="28"/>
          <w:lang w:val="es-ES"/>
        </w:rPr>
        <w:t xml:space="preserve">. </w:t>
      </w:r>
    </w:p>
    <w:p w14:paraId="637D1B8C" w14:textId="77777777" w:rsidR="0019085B" w:rsidRPr="00746ACE" w:rsidRDefault="0019085B" w:rsidP="00D62ABF">
      <w:pPr>
        <w:widowControl w:val="0"/>
      </w:pPr>
    </w:p>
    <w:p w14:paraId="1D40829D" w14:textId="73CF6978" w:rsidR="0019085B" w:rsidRPr="00746ACE" w:rsidRDefault="00092A12" w:rsidP="00D62ABF">
      <w:pPr>
        <w:widowControl w:val="0"/>
      </w:pPr>
      <w:r w:rsidRPr="00746ACE">
        <w:t xml:space="preserve">Para terminar, una organización que trabaja en la defensa de pueblos étnicos </w:t>
      </w:r>
      <w:r w:rsidR="0019085B" w:rsidRPr="00746ACE">
        <w:t>mencionó que quizás el problema se encuentra en la identificación de los máximos responsables, pues existen mandos medios que conocen la estructura y las relaciones territoriales, al tiempo que reclamó seguridad jurídica, concebida como la no modificación de las reglas de juego, en especial, en materia de reparación y justicia restaurativa.</w:t>
      </w:r>
    </w:p>
    <w:p w14:paraId="49437492" w14:textId="77777777" w:rsidR="00C6267B" w:rsidRPr="00746ACE" w:rsidRDefault="00C6267B" w:rsidP="00D62ABF">
      <w:pPr>
        <w:widowControl w:val="0"/>
      </w:pPr>
    </w:p>
    <w:p w14:paraId="03A863F7" w14:textId="77777777" w:rsidR="0043161D" w:rsidRPr="00746ACE" w:rsidRDefault="0043161D" w:rsidP="000B69F5">
      <w:pPr>
        <w:pStyle w:val="Ttulo3"/>
        <w:keepNext w:val="0"/>
        <w:keepLines w:val="0"/>
        <w:widowControl w:val="0"/>
        <w:jc w:val="both"/>
        <w:rPr>
          <w:rFonts w:cs="Times New Roman"/>
          <w:i/>
          <w:color w:val="auto"/>
          <w:sz w:val="28"/>
          <w:szCs w:val="28"/>
          <w:lang w:val="es-ES"/>
        </w:rPr>
      </w:pPr>
      <w:bookmarkStart w:id="43" w:name="_Toc233384193"/>
      <w:r w:rsidRPr="00746ACE">
        <w:rPr>
          <w:rFonts w:cs="Times New Roman"/>
          <w:color w:val="auto"/>
          <w:sz w:val="28"/>
          <w:szCs w:val="28"/>
          <w:lang w:val="es-ES"/>
        </w:rPr>
        <w:t>Análisis</w:t>
      </w:r>
      <w:r w:rsidRPr="00746ACE">
        <w:rPr>
          <w:rFonts w:eastAsia="Times New Roman" w:cs="Times New Roman"/>
          <w:color w:val="auto"/>
          <w:sz w:val="28"/>
          <w:szCs w:val="28"/>
          <w:lang w:val="es-ES"/>
        </w:rPr>
        <w:t xml:space="preserve"> de fondo</w:t>
      </w:r>
      <w:bookmarkEnd w:id="43"/>
    </w:p>
    <w:p w14:paraId="6E0FA3B7" w14:textId="77777777" w:rsidR="0043161D" w:rsidRPr="00746ACE" w:rsidRDefault="0043161D" w:rsidP="00D62ABF">
      <w:pPr>
        <w:pStyle w:val="Prrafodelista"/>
        <w:widowControl w:val="0"/>
        <w:ind w:left="0"/>
      </w:pPr>
    </w:p>
    <w:p w14:paraId="5490D36E" w14:textId="6CA1185F" w:rsidR="0019085B" w:rsidRPr="00746ACE" w:rsidRDefault="0043161D" w:rsidP="00C06997">
      <w:pPr>
        <w:pStyle w:val="Prrafodelista"/>
        <w:widowControl w:val="0"/>
        <w:numPr>
          <w:ilvl w:val="0"/>
          <w:numId w:val="7"/>
        </w:numPr>
        <w:rPr>
          <w:lang w:eastAsia="es-ES"/>
        </w:rPr>
      </w:pPr>
      <w:r w:rsidRPr="00746ACE">
        <w:rPr>
          <w:lang w:eastAsia="es-ES"/>
        </w:rPr>
        <w:t xml:space="preserve">Las posiciones sobre la legalidad de la facultad de selección de segundo orden evidencian un problema hermenéutico profundo. Esta discusión </w:t>
      </w:r>
      <w:r w:rsidR="0019085B" w:rsidRPr="00746ACE">
        <w:rPr>
          <w:lang w:eastAsia="es-ES"/>
        </w:rPr>
        <w:t xml:space="preserve">enfrenta una </w:t>
      </w:r>
      <w:r w:rsidRPr="00746ACE">
        <w:rPr>
          <w:lang w:eastAsia="es-ES"/>
        </w:rPr>
        <w:t xml:space="preserve">visión </w:t>
      </w:r>
      <w:r w:rsidR="0019085B" w:rsidRPr="00746ACE">
        <w:rPr>
          <w:lang w:eastAsia="es-ES"/>
        </w:rPr>
        <w:t xml:space="preserve">de </w:t>
      </w:r>
      <w:r w:rsidRPr="00746ACE">
        <w:rPr>
          <w:lang w:eastAsia="es-ES"/>
        </w:rPr>
        <w:t xml:space="preserve">la Senit 5 como </w:t>
      </w:r>
      <w:r w:rsidRPr="00746ACE">
        <w:rPr>
          <w:i/>
          <w:iCs/>
          <w:lang w:eastAsia="es-ES"/>
        </w:rPr>
        <w:t xml:space="preserve">creación de derecho </w:t>
      </w:r>
      <w:r w:rsidR="0019085B" w:rsidRPr="00746ACE">
        <w:rPr>
          <w:lang w:eastAsia="es-ES"/>
        </w:rPr>
        <w:t>con</w:t>
      </w:r>
      <w:r w:rsidR="00EA0FCD" w:rsidRPr="00746ACE">
        <w:rPr>
          <w:lang w:eastAsia="es-ES"/>
        </w:rPr>
        <w:t>tra</w:t>
      </w:r>
      <w:r w:rsidR="0019085B" w:rsidRPr="00746ACE">
        <w:rPr>
          <w:lang w:eastAsia="es-ES"/>
        </w:rPr>
        <w:t xml:space="preserve"> otra visión que la concibe como </w:t>
      </w:r>
      <w:r w:rsidR="0019085B" w:rsidRPr="00746ACE">
        <w:rPr>
          <w:i/>
          <w:iCs/>
          <w:lang w:eastAsia="es-ES"/>
        </w:rPr>
        <w:t>desarrollo y</w:t>
      </w:r>
      <w:r w:rsidRPr="00746ACE">
        <w:rPr>
          <w:lang w:eastAsia="es-ES"/>
        </w:rPr>
        <w:t xml:space="preserve"> </w:t>
      </w:r>
      <w:r w:rsidRPr="00746ACE">
        <w:rPr>
          <w:i/>
          <w:iCs/>
          <w:lang w:eastAsia="es-ES"/>
        </w:rPr>
        <w:t>aplicación del derecho existente.</w:t>
      </w:r>
      <w:r w:rsidR="0019085B" w:rsidRPr="00746ACE">
        <w:rPr>
          <w:i/>
          <w:iCs/>
          <w:lang w:eastAsia="es-ES"/>
        </w:rPr>
        <w:t xml:space="preserve"> </w:t>
      </w:r>
      <w:r w:rsidR="00B76400" w:rsidRPr="00746ACE">
        <w:rPr>
          <w:lang w:eastAsia="es-ES"/>
        </w:rPr>
        <w:t xml:space="preserve">Además, en </w:t>
      </w:r>
      <w:r w:rsidR="0019085B" w:rsidRPr="00746ACE">
        <w:rPr>
          <w:lang w:eastAsia="es-ES"/>
        </w:rPr>
        <w:t>torno a las consecuencias normativas de esta categoría se abren miradas diversas, en especial, en el universo de las víctimas</w:t>
      </w:r>
      <w:r w:rsidR="00B76400" w:rsidRPr="00746ACE">
        <w:rPr>
          <w:lang w:eastAsia="es-ES"/>
        </w:rPr>
        <w:t xml:space="preserve">. </w:t>
      </w:r>
    </w:p>
    <w:p w14:paraId="1D90E007" w14:textId="77777777" w:rsidR="00E546E4" w:rsidRPr="00746ACE" w:rsidRDefault="00E546E4" w:rsidP="00E546E4">
      <w:pPr>
        <w:pStyle w:val="Prrafodelista"/>
        <w:widowControl w:val="0"/>
        <w:ind w:left="0"/>
        <w:rPr>
          <w:lang w:eastAsia="es-ES"/>
        </w:rPr>
      </w:pPr>
    </w:p>
    <w:p w14:paraId="69088B07" w14:textId="54E44751" w:rsidR="0043161D" w:rsidRPr="00746ACE" w:rsidRDefault="0043161D" w:rsidP="00D62ABF">
      <w:pPr>
        <w:pStyle w:val="Prrafodelista"/>
        <w:widowControl w:val="0"/>
        <w:numPr>
          <w:ilvl w:val="0"/>
          <w:numId w:val="7"/>
        </w:numPr>
        <w:rPr>
          <w:lang w:eastAsia="es-ES"/>
        </w:rPr>
      </w:pPr>
      <w:r w:rsidRPr="00746ACE">
        <w:rPr>
          <w:lang w:eastAsia="es-ES"/>
        </w:rPr>
        <w:t>Entre la naturaleza política de lo pactado, la rigidez de la Constitución Política, la función de aplicación del derecho de la JEP y las necesidades cotidianas de la transición</w:t>
      </w:r>
      <w:r w:rsidRPr="00746ACE">
        <w:t xml:space="preserve"> existe una cadena de actuaciones de diversos órganos que ejercen el poder público y que han trabajado en la implementación del Acuerdo Final de Paz y la interpretación de sus normas de desarrollo. </w:t>
      </w:r>
    </w:p>
    <w:p w14:paraId="03631350" w14:textId="77777777" w:rsidR="001D3B00" w:rsidRPr="00746ACE" w:rsidRDefault="001D3B00" w:rsidP="00FC0DFB">
      <w:pPr>
        <w:pStyle w:val="Prrafodelista"/>
        <w:widowControl w:val="0"/>
        <w:ind w:left="0"/>
        <w:rPr>
          <w:lang w:eastAsia="es-ES"/>
        </w:rPr>
      </w:pPr>
    </w:p>
    <w:p w14:paraId="44A27DAB" w14:textId="09A14CED" w:rsidR="00FB4D7B" w:rsidRPr="00746ACE" w:rsidRDefault="0043161D" w:rsidP="00FC0DFB">
      <w:pPr>
        <w:pStyle w:val="Prrafodelista"/>
        <w:widowControl w:val="0"/>
        <w:numPr>
          <w:ilvl w:val="0"/>
          <w:numId w:val="7"/>
        </w:numPr>
      </w:pPr>
      <w:r w:rsidRPr="00746ACE">
        <w:rPr>
          <w:lang w:eastAsia="es-ES"/>
        </w:rPr>
        <w:t xml:space="preserve">Aunque </w:t>
      </w:r>
      <w:r w:rsidR="00723D60" w:rsidRPr="00746ACE">
        <w:rPr>
          <w:lang w:eastAsia="es-ES"/>
        </w:rPr>
        <w:t xml:space="preserve">no es siempre posible </w:t>
      </w:r>
      <w:r w:rsidRPr="00746ACE">
        <w:rPr>
          <w:lang w:eastAsia="es-ES"/>
        </w:rPr>
        <w:t xml:space="preserve">trazar una frontera definitiva entre la creación y la interpretación del </w:t>
      </w:r>
      <w:r w:rsidR="00B76400" w:rsidRPr="00746ACE">
        <w:rPr>
          <w:lang w:eastAsia="es-ES"/>
        </w:rPr>
        <w:t>derecho</w:t>
      </w:r>
      <w:r w:rsidRPr="00746ACE">
        <w:rPr>
          <w:lang w:eastAsia="es-ES"/>
        </w:rPr>
        <w:t xml:space="preserve">, existen diferencias de grado entre el </w:t>
      </w:r>
      <w:r w:rsidR="00B76400" w:rsidRPr="00746ACE">
        <w:rPr>
          <w:lang w:eastAsia="es-ES"/>
        </w:rPr>
        <w:t xml:space="preserve">derecho </w:t>
      </w:r>
      <w:r w:rsidRPr="00746ACE">
        <w:rPr>
          <w:lang w:eastAsia="es-ES"/>
        </w:rPr>
        <w:t xml:space="preserve">que crea el Congreso en ejercicio de su facultad de configuración política, y el </w:t>
      </w:r>
      <w:r w:rsidR="00B76400" w:rsidRPr="00746ACE">
        <w:rPr>
          <w:lang w:eastAsia="es-ES"/>
        </w:rPr>
        <w:t xml:space="preserve">derecho </w:t>
      </w:r>
      <w:r w:rsidRPr="00746ACE">
        <w:rPr>
          <w:lang w:eastAsia="es-ES"/>
        </w:rPr>
        <w:t xml:space="preserve">que crean y aplican los </w:t>
      </w:r>
      <w:r w:rsidR="00B76400" w:rsidRPr="00746ACE">
        <w:rPr>
          <w:lang w:eastAsia="es-ES"/>
        </w:rPr>
        <w:t>jueces</w:t>
      </w:r>
      <w:r w:rsidRPr="00746ACE">
        <w:rPr>
          <w:lang w:eastAsia="es-ES"/>
        </w:rPr>
        <w:t xml:space="preserve">. </w:t>
      </w:r>
      <w:r w:rsidR="002003BF" w:rsidRPr="00746ACE">
        <w:rPr>
          <w:lang w:eastAsia="es-ES"/>
        </w:rPr>
        <w:t xml:space="preserve">Para empezar, los jueces están sometidos al imperio de la ley (o del </w:t>
      </w:r>
      <w:r w:rsidR="00B76400" w:rsidRPr="00746ACE">
        <w:rPr>
          <w:lang w:eastAsia="es-ES"/>
        </w:rPr>
        <w:t>derecho</w:t>
      </w:r>
      <w:r w:rsidR="002003BF" w:rsidRPr="00746ACE">
        <w:rPr>
          <w:lang w:eastAsia="es-ES"/>
        </w:rPr>
        <w:t>, como lo ha explicado la Corte Constitucional</w:t>
      </w:r>
      <w:r w:rsidR="002003BF" w:rsidRPr="00746ACE">
        <w:rPr>
          <w:rStyle w:val="Refdenotaalpie"/>
          <w:lang w:eastAsia="es-ES"/>
        </w:rPr>
        <w:footnoteReference w:id="111"/>
      </w:r>
      <w:r w:rsidR="002003BF" w:rsidRPr="00746ACE">
        <w:rPr>
          <w:lang w:eastAsia="es-ES"/>
        </w:rPr>
        <w:t xml:space="preserve">), según el artículo 230 de la Constitución Política. Sin embargo, el </w:t>
      </w:r>
      <w:r w:rsidR="00B76400" w:rsidRPr="00746ACE">
        <w:rPr>
          <w:lang w:eastAsia="es-ES"/>
        </w:rPr>
        <w:t xml:space="preserve">derecho </w:t>
      </w:r>
      <w:r w:rsidR="002003BF" w:rsidRPr="00746ACE">
        <w:rPr>
          <w:lang w:eastAsia="es-ES"/>
        </w:rPr>
        <w:t xml:space="preserve">no constituye un sistema cerrado, completo y autosuficiente, que los jueces puedan descubrir y aplicar sin ninguna iniciativa </w:t>
      </w:r>
      <w:r w:rsidRPr="00746ACE">
        <w:rPr>
          <w:lang w:eastAsia="es-ES"/>
        </w:rPr>
        <w:t>o intervención creadora.</w:t>
      </w:r>
      <w:r w:rsidR="002003BF" w:rsidRPr="00746ACE">
        <w:rPr>
          <w:lang w:eastAsia="es-ES"/>
        </w:rPr>
        <w:t xml:space="preserve"> </w:t>
      </w:r>
    </w:p>
    <w:p w14:paraId="28BBDE47" w14:textId="77777777" w:rsidR="00FB4D7B" w:rsidRPr="00746ACE" w:rsidRDefault="00FB4D7B" w:rsidP="00CF1AD1">
      <w:pPr>
        <w:widowControl w:val="0"/>
        <w:rPr>
          <w:lang w:eastAsia="es-ES"/>
        </w:rPr>
      </w:pPr>
    </w:p>
    <w:p w14:paraId="4A4B2129" w14:textId="30FE5513" w:rsidR="00FB4D7B" w:rsidRPr="00746ACE" w:rsidRDefault="002003BF" w:rsidP="00FC0DFB">
      <w:pPr>
        <w:pStyle w:val="Prrafodelista"/>
        <w:widowControl w:val="0"/>
        <w:numPr>
          <w:ilvl w:val="0"/>
          <w:numId w:val="7"/>
        </w:numPr>
      </w:pPr>
      <w:r w:rsidRPr="00746ACE">
        <w:rPr>
          <w:lang w:eastAsia="es-ES"/>
        </w:rPr>
        <w:t>Los fenómenos propios del lenguaje ordinario, como su vaguedad, su ambigüedad y, en general, su textura abierta, afectan la interpretación de las normas jurídicas.</w:t>
      </w:r>
      <w:r w:rsidR="00720FE7" w:rsidRPr="00746ACE">
        <w:rPr>
          <w:lang w:eastAsia="es-ES"/>
        </w:rPr>
        <w:t xml:space="preserve"> </w:t>
      </w:r>
      <w:r w:rsidRPr="00746ACE">
        <w:rPr>
          <w:lang w:eastAsia="es-ES"/>
        </w:rPr>
        <w:t xml:space="preserve">El volumen de producción de normas legislativas y reglamentarias hace imprescindible el ejercicio de interpretación, </w:t>
      </w:r>
      <w:r w:rsidR="00BE7DDB" w:rsidRPr="00746ACE">
        <w:rPr>
          <w:lang w:eastAsia="es-ES"/>
        </w:rPr>
        <w:t xml:space="preserve">y un enfoque dirigido a la </w:t>
      </w:r>
      <w:r w:rsidRPr="00746ACE">
        <w:rPr>
          <w:lang w:eastAsia="es-ES"/>
        </w:rPr>
        <w:t xml:space="preserve">solución de controversias. </w:t>
      </w:r>
      <w:r w:rsidR="00BE7DDB" w:rsidRPr="00746ACE">
        <w:rPr>
          <w:lang w:eastAsia="es-ES"/>
        </w:rPr>
        <w:t>En algunas ocasiones</w:t>
      </w:r>
      <w:r w:rsidRPr="00746ACE">
        <w:rPr>
          <w:lang w:eastAsia="es-ES"/>
        </w:rPr>
        <w:t xml:space="preserve">, el sistema jurídico no presenta una respuesta expresa, o su aplicación puede derivar en situaciones abiertamente injustas. En todos estos supuestos, le corresponde al juez aplicar principios amplios, realizar analogías y colmar lagunas por vía de </w:t>
      </w:r>
      <w:r w:rsidR="00BE7DDB" w:rsidRPr="00746ACE">
        <w:rPr>
          <w:lang w:eastAsia="es-ES"/>
        </w:rPr>
        <w:t>interpretación o la analogía.</w:t>
      </w:r>
    </w:p>
    <w:p w14:paraId="3F43F3CB" w14:textId="77777777" w:rsidR="00FB4D7B" w:rsidRPr="00746ACE" w:rsidRDefault="00FB4D7B" w:rsidP="00FC0DFB">
      <w:pPr>
        <w:pStyle w:val="Prrafodelista"/>
        <w:widowControl w:val="0"/>
        <w:rPr>
          <w:lang w:eastAsia="es-ES"/>
        </w:rPr>
      </w:pPr>
    </w:p>
    <w:p w14:paraId="2CEC7AAE" w14:textId="106820C9" w:rsidR="0043161D" w:rsidRPr="00746ACE" w:rsidRDefault="00361936" w:rsidP="00FC0DFB">
      <w:pPr>
        <w:pStyle w:val="Prrafodelista"/>
        <w:widowControl w:val="0"/>
        <w:numPr>
          <w:ilvl w:val="0"/>
          <w:numId w:val="7"/>
        </w:numPr>
      </w:pPr>
      <w:r w:rsidRPr="00746ACE">
        <w:rPr>
          <w:lang w:eastAsia="es-ES"/>
        </w:rPr>
        <w:t>Así, c</w:t>
      </w:r>
      <w:r w:rsidR="0043161D" w:rsidRPr="00746ACE">
        <w:rPr>
          <w:lang w:eastAsia="es-ES"/>
        </w:rPr>
        <w:t xml:space="preserve">uando el juez interpreta y aplica la ley en estos escenarios, la línea entre la aplicación de un derecho preexistente y la creación de una norma que resuelve el caso se hace menos nítida. Cuando el juez </w:t>
      </w:r>
      <w:r w:rsidR="0043161D" w:rsidRPr="00746ACE">
        <w:rPr>
          <w:i/>
          <w:iCs/>
          <w:lang w:eastAsia="es-ES"/>
        </w:rPr>
        <w:t>pondera</w:t>
      </w:r>
      <w:r w:rsidR="0019085B" w:rsidRPr="00746ACE">
        <w:rPr>
          <w:lang w:eastAsia="es-ES"/>
        </w:rPr>
        <w:t xml:space="preserve"> o</w:t>
      </w:r>
      <w:r w:rsidR="0043161D" w:rsidRPr="00746ACE">
        <w:rPr>
          <w:lang w:eastAsia="es-ES"/>
        </w:rPr>
        <w:t xml:space="preserve"> </w:t>
      </w:r>
      <w:r w:rsidR="0043161D" w:rsidRPr="00746ACE">
        <w:rPr>
          <w:i/>
          <w:iCs/>
          <w:lang w:eastAsia="es-ES"/>
        </w:rPr>
        <w:t>armoniza</w:t>
      </w:r>
      <w:r w:rsidR="0043161D" w:rsidRPr="00746ACE">
        <w:rPr>
          <w:lang w:eastAsia="es-ES"/>
        </w:rPr>
        <w:t xml:space="preserve"> normas que orientan la decisión en direcciones distintas, difícilmente cabría sostener que su sentencia </w:t>
      </w:r>
      <w:r w:rsidRPr="00746ACE">
        <w:rPr>
          <w:lang w:eastAsia="es-ES"/>
        </w:rPr>
        <w:t xml:space="preserve">implica </w:t>
      </w:r>
      <w:r w:rsidR="0019085B" w:rsidRPr="00746ACE">
        <w:rPr>
          <w:lang w:eastAsia="es-ES"/>
        </w:rPr>
        <w:t>e</w:t>
      </w:r>
      <w:r w:rsidR="0043161D" w:rsidRPr="00746ACE">
        <w:rPr>
          <w:lang w:eastAsia="es-ES"/>
        </w:rPr>
        <w:t xml:space="preserve">l descubrimiento de una respuesta plenamente determinada. </w:t>
      </w:r>
    </w:p>
    <w:p w14:paraId="072B2714" w14:textId="77777777" w:rsidR="0043161D" w:rsidRPr="00746ACE" w:rsidRDefault="0043161D" w:rsidP="00FC0DFB">
      <w:pPr>
        <w:pStyle w:val="Prrafodelista"/>
        <w:widowControl w:val="0"/>
        <w:rPr>
          <w:lang w:eastAsia="es-ES"/>
        </w:rPr>
      </w:pPr>
    </w:p>
    <w:p w14:paraId="1D86D0C8" w14:textId="05BE689C" w:rsidR="0043161D" w:rsidRPr="00746ACE" w:rsidRDefault="0043161D" w:rsidP="00FC0DFB">
      <w:pPr>
        <w:pStyle w:val="Prrafodelista"/>
        <w:widowControl w:val="0"/>
        <w:numPr>
          <w:ilvl w:val="0"/>
          <w:numId w:val="7"/>
        </w:numPr>
      </w:pPr>
      <w:r w:rsidRPr="00746ACE">
        <w:rPr>
          <w:lang w:eastAsia="es-ES"/>
        </w:rPr>
        <w:t xml:space="preserve">De igual manera, cuando las cortes o tribunales de cierre adoptan decisiones con un alto grado de generalidad, como ocurre en la acción pública de inconstitucionalidad, donde las sentencias de la Corte pueden integrarse a la lectura de la ley con efectos </w:t>
      </w:r>
      <w:r w:rsidRPr="00746ACE">
        <w:rPr>
          <w:i/>
          <w:lang w:eastAsia="es-ES"/>
        </w:rPr>
        <w:t>erga omnes</w:t>
      </w:r>
      <w:r w:rsidRPr="00746ACE">
        <w:rPr>
          <w:lang w:eastAsia="es-ES"/>
        </w:rPr>
        <w:t xml:space="preserve">; o en el caso de las sentencias interpretativas de la Sección de Apelación, donde el resultado de sus orientaciones, estándares y reglas se aplicará a un número muy amplio de procesos por parte de las salas y secciones de la Jurisdicción, los márgenes de interpretación se ensanchan. </w:t>
      </w:r>
    </w:p>
    <w:p w14:paraId="58044A11" w14:textId="77777777" w:rsidR="0043161D" w:rsidRPr="00746ACE" w:rsidRDefault="0043161D" w:rsidP="00FC0DFB">
      <w:pPr>
        <w:pStyle w:val="Prrafodelista"/>
        <w:widowControl w:val="0"/>
        <w:rPr>
          <w:lang w:eastAsia="es-ES"/>
        </w:rPr>
      </w:pPr>
    </w:p>
    <w:p w14:paraId="4988CF81" w14:textId="02D01D63" w:rsidR="0019085B" w:rsidRPr="00746ACE" w:rsidRDefault="0043161D" w:rsidP="00D62ABF">
      <w:pPr>
        <w:pStyle w:val="Prrafodelista"/>
        <w:widowControl w:val="0"/>
        <w:numPr>
          <w:ilvl w:val="0"/>
          <w:numId w:val="7"/>
        </w:numPr>
      </w:pPr>
      <w:r w:rsidRPr="00746ACE">
        <w:rPr>
          <w:lang w:eastAsia="es-ES"/>
        </w:rPr>
        <w:t xml:space="preserve">Por eso, aunque diversas intervenciones cuestionaron el ejercicio de una interpretación demasiado amplia por parte de la Sección de Apelación </w:t>
      </w:r>
      <w:r w:rsidR="00720FE7" w:rsidRPr="00746ACE">
        <w:rPr>
          <w:lang w:eastAsia="es-ES"/>
        </w:rPr>
        <w:t>–</w:t>
      </w:r>
      <w:r w:rsidRPr="00746ACE">
        <w:rPr>
          <w:lang w:eastAsia="es-ES"/>
        </w:rPr>
        <w:t xml:space="preserve">y unas más </w:t>
      </w:r>
      <w:r w:rsidR="0019085B" w:rsidRPr="00746ACE">
        <w:rPr>
          <w:lang w:eastAsia="es-ES"/>
        </w:rPr>
        <w:t xml:space="preserve">cuestionaron </w:t>
      </w:r>
      <w:r w:rsidRPr="00746ACE">
        <w:rPr>
          <w:lang w:eastAsia="es-ES"/>
        </w:rPr>
        <w:t>de manera específica la facultad de dictar sentencias interpretativas</w:t>
      </w:r>
      <w:r w:rsidR="00720FE7" w:rsidRPr="00746ACE">
        <w:rPr>
          <w:lang w:eastAsia="es-ES"/>
        </w:rPr>
        <w:t>–</w:t>
      </w:r>
      <w:r w:rsidRPr="00746ACE">
        <w:rPr>
          <w:lang w:eastAsia="es-ES"/>
        </w:rPr>
        <w:t xml:space="preserve">, la Corte Constitucional reconoce que la Sección de Apelación ejerce una función interpretativa imprescindible para la JEP. </w:t>
      </w:r>
      <w:r w:rsidR="0019085B" w:rsidRPr="00746ACE">
        <w:rPr>
          <w:lang w:eastAsia="es-ES"/>
        </w:rPr>
        <w:t xml:space="preserve">La denuncia de traición al Acuerdo Final de Paz exige recordar también que la JEP es un producto de esta negociación, y que, si se pensó en la necesidad de jueces, </w:t>
      </w:r>
      <w:r w:rsidR="00361936" w:rsidRPr="00746ACE">
        <w:rPr>
          <w:lang w:eastAsia="es-ES"/>
        </w:rPr>
        <w:t xml:space="preserve">hay </w:t>
      </w:r>
      <w:r w:rsidR="0019085B" w:rsidRPr="00746ACE">
        <w:rPr>
          <w:lang w:eastAsia="es-ES"/>
        </w:rPr>
        <w:t>que reconocer que en la negociación exist</w:t>
      </w:r>
      <w:r w:rsidR="00361936" w:rsidRPr="00746ACE">
        <w:rPr>
          <w:lang w:eastAsia="es-ES"/>
        </w:rPr>
        <w:t>ió</w:t>
      </w:r>
      <w:r w:rsidR="0019085B" w:rsidRPr="00746ACE">
        <w:rPr>
          <w:lang w:eastAsia="es-ES"/>
        </w:rPr>
        <w:t xml:space="preserve"> una conciencia profunda sobre la importancia de su misión en la interpretación de un sistema complejo de normas y con miras a la protección de los derechos de las víctimas</w:t>
      </w:r>
      <w:r w:rsidR="00720FE7" w:rsidRPr="00746ACE">
        <w:rPr>
          <w:lang w:eastAsia="es-ES"/>
        </w:rPr>
        <w:t xml:space="preserve">, incluyendo la apuesta por desentrañar el máximo de verdad. </w:t>
      </w:r>
    </w:p>
    <w:p w14:paraId="208D7749" w14:textId="77777777" w:rsidR="0019085B" w:rsidRPr="00746ACE" w:rsidRDefault="0019085B" w:rsidP="00D62ABF">
      <w:pPr>
        <w:pStyle w:val="Prrafodelista"/>
        <w:widowControl w:val="0"/>
        <w:rPr>
          <w:lang w:eastAsia="es-ES"/>
        </w:rPr>
      </w:pPr>
    </w:p>
    <w:p w14:paraId="77D6244B" w14:textId="1D2C7368" w:rsidR="00FB4D7B" w:rsidRPr="00746ACE" w:rsidRDefault="0043161D" w:rsidP="00C06997">
      <w:pPr>
        <w:pStyle w:val="Prrafodelista"/>
        <w:widowControl w:val="0"/>
        <w:numPr>
          <w:ilvl w:val="0"/>
          <w:numId w:val="7"/>
        </w:numPr>
        <w:rPr>
          <w:lang w:eastAsia="es-ES"/>
        </w:rPr>
      </w:pPr>
      <w:r w:rsidRPr="00746ACE">
        <w:rPr>
          <w:lang w:eastAsia="es-ES"/>
        </w:rPr>
        <w:t>E</w:t>
      </w:r>
      <w:r w:rsidR="0019085B" w:rsidRPr="00746ACE">
        <w:rPr>
          <w:lang w:eastAsia="es-ES"/>
        </w:rPr>
        <w:t>n es</w:t>
      </w:r>
      <w:r w:rsidR="00361936" w:rsidRPr="00746ACE">
        <w:rPr>
          <w:lang w:eastAsia="es-ES"/>
        </w:rPr>
        <w:t>t</w:t>
      </w:r>
      <w:r w:rsidR="0019085B" w:rsidRPr="00746ACE">
        <w:rPr>
          <w:lang w:eastAsia="es-ES"/>
        </w:rPr>
        <w:t>e contexto, e</w:t>
      </w:r>
      <w:r w:rsidRPr="00746ACE">
        <w:rPr>
          <w:lang w:eastAsia="es-ES"/>
        </w:rPr>
        <w:t>l problema acerca de las instituciones jurídicas mencionadas en la Senit 5 (y, después, en la Senit 8 y 9) es</w:t>
      </w:r>
      <w:r w:rsidR="0019085B" w:rsidRPr="00746ACE">
        <w:rPr>
          <w:lang w:eastAsia="es-ES"/>
        </w:rPr>
        <w:t xml:space="preserve"> </w:t>
      </w:r>
      <w:r w:rsidRPr="00746ACE">
        <w:rPr>
          <w:lang w:eastAsia="es-ES"/>
        </w:rPr>
        <w:t>más sutil y complejo. Tiene que ver con la manera en que la Sección de Apelación ejerce sus funciones en un marco condicionado por diversos parámetros normativos e institucionales</w:t>
      </w:r>
      <w:r w:rsidR="00BF19A9" w:rsidRPr="00746ACE">
        <w:rPr>
          <w:lang w:eastAsia="es-ES"/>
        </w:rPr>
        <w:t>, en especial,</w:t>
      </w:r>
      <w:r w:rsidR="00E546E4" w:rsidRPr="00746ACE">
        <w:rPr>
          <w:lang w:eastAsia="es-ES"/>
        </w:rPr>
        <w:t xml:space="preserve"> </w:t>
      </w:r>
      <w:r w:rsidR="00F864EC" w:rsidRPr="00746ACE">
        <w:rPr>
          <w:lang w:eastAsia="es-ES"/>
        </w:rPr>
        <w:t xml:space="preserve">debe seguir los cauces </w:t>
      </w:r>
      <w:r w:rsidR="00E546E4" w:rsidRPr="00746ACE">
        <w:rPr>
          <w:lang w:eastAsia="es-ES"/>
        </w:rPr>
        <w:t>constitucionales.</w:t>
      </w:r>
    </w:p>
    <w:p w14:paraId="4A55B7EA" w14:textId="77777777" w:rsidR="00E546E4" w:rsidRPr="00746ACE" w:rsidRDefault="00E546E4" w:rsidP="00E546E4">
      <w:pPr>
        <w:pStyle w:val="Prrafodelista"/>
        <w:widowControl w:val="0"/>
        <w:ind w:left="0"/>
        <w:rPr>
          <w:lang w:eastAsia="es-ES"/>
        </w:rPr>
      </w:pPr>
    </w:p>
    <w:p w14:paraId="6D3B3DE4" w14:textId="520B56EC" w:rsidR="0043161D" w:rsidRPr="00746ACE" w:rsidRDefault="0043161D" w:rsidP="00FC0DFB">
      <w:pPr>
        <w:pStyle w:val="Prrafodelista"/>
        <w:widowControl w:val="0"/>
        <w:numPr>
          <w:ilvl w:val="0"/>
          <w:numId w:val="7"/>
        </w:numPr>
      </w:pPr>
      <w:r w:rsidRPr="00746ACE">
        <w:rPr>
          <w:lang w:eastAsia="es-ES"/>
        </w:rPr>
        <w:t>Las sentencias interpretativas cuestionadas no surgieron en un vacío normativo, sino que se inscriben en un marco jurídico definido por la Constitución y la Ley Estatutaria</w:t>
      </w:r>
      <w:r w:rsidR="00E546E4" w:rsidRPr="00746ACE">
        <w:rPr>
          <w:lang w:eastAsia="es-ES"/>
        </w:rPr>
        <w:t xml:space="preserve"> de Administración de Justicia en la JEP</w:t>
      </w:r>
      <w:r w:rsidRPr="00746ACE">
        <w:rPr>
          <w:lang w:eastAsia="es-ES"/>
        </w:rPr>
        <w:t>. Es necesario ahora relacionar las facetas de la selección con las distintas dimensiones del principio de legalidad.</w:t>
      </w:r>
    </w:p>
    <w:p w14:paraId="14C23C35" w14:textId="77777777" w:rsidR="0043161D" w:rsidRPr="00746ACE" w:rsidRDefault="0043161D" w:rsidP="00FC0DFB">
      <w:pPr>
        <w:pStyle w:val="Prrafodelista"/>
        <w:widowControl w:val="0"/>
        <w:ind w:left="0"/>
      </w:pPr>
    </w:p>
    <w:p w14:paraId="7A8C71C7" w14:textId="395738F9" w:rsidR="0043161D" w:rsidRPr="00746ACE" w:rsidRDefault="0043161D" w:rsidP="00FC0DFB">
      <w:pPr>
        <w:pStyle w:val="Prrafodelista"/>
        <w:widowControl w:val="0"/>
        <w:numPr>
          <w:ilvl w:val="0"/>
          <w:numId w:val="7"/>
        </w:numPr>
      </w:pPr>
      <w:r w:rsidRPr="00746ACE">
        <w:rPr>
          <w:lang w:eastAsia="es-ES"/>
        </w:rPr>
        <w:t>E</w:t>
      </w:r>
      <w:r w:rsidR="00361936" w:rsidRPr="00746ACE">
        <w:rPr>
          <w:lang w:eastAsia="es-ES"/>
        </w:rPr>
        <w:t>n efecto, e</w:t>
      </w:r>
      <w:r w:rsidRPr="00746ACE">
        <w:rPr>
          <w:lang w:eastAsia="es-ES"/>
        </w:rPr>
        <w:t xml:space="preserve">xisten normas constitucionales y estatutarias que hablan de la selección. El artículo 66 transitorio de la Constitución Política, y el artículo </w:t>
      </w:r>
      <w:r w:rsidR="00F864EC" w:rsidRPr="00746ACE">
        <w:rPr>
          <w:lang w:eastAsia="es-ES"/>
        </w:rPr>
        <w:t>3</w:t>
      </w:r>
      <w:r w:rsidRPr="00746ACE">
        <w:rPr>
          <w:lang w:eastAsia="es-ES"/>
        </w:rPr>
        <w:t xml:space="preserve"> transitorio del Acto Legislativo 01 de 2017</w:t>
      </w:r>
      <w:r w:rsidR="00AD7022" w:rsidRPr="00746ACE">
        <w:rPr>
          <w:lang w:eastAsia="es-ES"/>
        </w:rPr>
        <w:t>, que modifica el artículo 66 transitorio de la Constitución Política,</w:t>
      </w:r>
      <w:r w:rsidRPr="00746ACE">
        <w:rPr>
          <w:lang w:eastAsia="es-ES"/>
        </w:rPr>
        <w:t xml:space="preserve"> establecen que la selección es una herramienta inherente a la justicia transicional, mientras que la Ley Estatutaria de Administración de Justicia en la JEP (Ley 1957 de 2019) define los criterios de selección en su artículo 19; y los artículos 79 y 84 de la misma ley se refieren a las funciones de la Sala de </w:t>
      </w:r>
      <w:r w:rsidR="00361936" w:rsidRPr="00746ACE">
        <w:rPr>
          <w:lang w:eastAsia="es-ES"/>
        </w:rPr>
        <w:t xml:space="preserve">Reconocimiento </w:t>
      </w:r>
      <w:r w:rsidRPr="00746ACE">
        <w:rPr>
          <w:lang w:eastAsia="es-ES"/>
        </w:rPr>
        <w:t xml:space="preserve">de </w:t>
      </w:r>
      <w:r w:rsidR="00361936" w:rsidRPr="00746ACE">
        <w:rPr>
          <w:lang w:eastAsia="es-ES"/>
        </w:rPr>
        <w:t>Verdad</w:t>
      </w:r>
      <w:r w:rsidRPr="00746ACE">
        <w:rPr>
          <w:lang w:eastAsia="es-ES"/>
        </w:rPr>
        <w:t xml:space="preserve"> y de la Sala de </w:t>
      </w:r>
      <w:r w:rsidR="00361936" w:rsidRPr="00746ACE">
        <w:rPr>
          <w:lang w:eastAsia="es-ES"/>
        </w:rPr>
        <w:t xml:space="preserve">Definición </w:t>
      </w:r>
      <w:r w:rsidRPr="00746ACE">
        <w:rPr>
          <w:lang w:eastAsia="es-ES"/>
        </w:rPr>
        <w:t xml:space="preserve">de </w:t>
      </w:r>
      <w:r w:rsidR="00361936" w:rsidRPr="00746ACE">
        <w:rPr>
          <w:lang w:eastAsia="es-ES"/>
        </w:rPr>
        <w:t>Situaciones Jurídicas</w:t>
      </w:r>
      <w:r w:rsidRPr="00746ACE">
        <w:rPr>
          <w:lang w:eastAsia="es-ES"/>
        </w:rPr>
        <w:t xml:space="preserve">, incluidos aspectos relacionados con la selección. </w:t>
      </w:r>
    </w:p>
    <w:p w14:paraId="78F5C5CB" w14:textId="77777777" w:rsidR="0043161D" w:rsidRPr="00746ACE" w:rsidRDefault="0043161D" w:rsidP="00FC0DFB">
      <w:pPr>
        <w:pStyle w:val="Prrafodelista"/>
        <w:widowControl w:val="0"/>
        <w:ind w:left="0"/>
      </w:pPr>
    </w:p>
    <w:p w14:paraId="07B1E92C" w14:textId="77777777" w:rsidR="0043161D" w:rsidRPr="00746ACE" w:rsidRDefault="0043161D" w:rsidP="00FC0DFB">
      <w:pPr>
        <w:pStyle w:val="Prrafodelista"/>
        <w:widowControl w:val="0"/>
        <w:numPr>
          <w:ilvl w:val="0"/>
          <w:numId w:val="7"/>
        </w:numPr>
      </w:pPr>
      <w:r w:rsidRPr="00746ACE">
        <w:rPr>
          <w:lang w:eastAsia="es-ES"/>
        </w:rPr>
        <w:t xml:space="preserve">Estas normas han sido objeto de pronunciamientos por parte de este tribunal. La Sentencia C-579 de 2013 explicó la importancia constitucional de la selección en el marco jurídico para la paz; mientras que la Sentencia C-080 de 2018 efectuó el control integral y definitivo de constitucionalidad de la Ley 1957 de 2019, en el marco del procedimiento legislativo abreviado o </w:t>
      </w:r>
      <w:r w:rsidRPr="00746ACE">
        <w:rPr>
          <w:i/>
          <w:lang w:eastAsia="es-ES"/>
        </w:rPr>
        <w:t xml:space="preserve">fast-track. </w:t>
      </w:r>
    </w:p>
    <w:p w14:paraId="4F4AEA2A" w14:textId="77777777" w:rsidR="0043161D" w:rsidRPr="00746ACE" w:rsidRDefault="0043161D" w:rsidP="00CF1AD1">
      <w:pPr>
        <w:pStyle w:val="Prrafodelista"/>
        <w:widowControl w:val="0"/>
      </w:pPr>
    </w:p>
    <w:p w14:paraId="08063B68" w14:textId="482AD7D6" w:rsidR="0043161D" w:rsidRPr="00746ACE" w:rsidRDefault="0043161D" w:rsidP="00FC0DFB">
      <w:pPr>
        <w:pStyle w:val="Prrafodelista"/>
        <w:widowControl w:val="0"/>
        <w:numPr>
          <w:ilvl w:val="0"/>
          <w:numId w:val="7"/>
        </w:numPr>
      </w:pPr>
      <w:r w:rsidRPr="00746ACE">
        <w:t xml:space="preserve">La definición fundamental de la selección </w:t>
      </w:r>
      <w:r w:rsidR="0019085B" w:rsidRPr="00746ACE">
        <w:t xml:space="preserve">como concentración de la investigación, juzgamiento y sanción en unos individuos y unos crímenes específicos </w:t>
      </w:r>
      <w:r w:rsidRPr="00746ACE">
        <w:t xml:space="preserve">será llamada, en lo que sigue, el </w:t>
      </w:r>
      <w:r w:rsidRPr="00746ACE">
        <w:rPr>
          <w:i/>
        </w:rPr>
        <w:t xml:space="preserve">principio constitucional </w:t>
      </w:r>
      <w:r w:rsidR="00130D46" w:rsidRPr="00746ACE">
        <w:rPr>
          <w:i/>
        </w:rPr>
        <w:t xml:space="preserve">y transicional </w:t>
      </w:r>
      <w:r w:rsidRPr="00746ACE">
        <w:rPr>
          <w:i/>
        </w:rPr>
        <w:t xml:space="preserve">de selección, </w:t>
      </w:r>
      <w:r w:rsidRPr="00746ACE">
        <w:t xml:space="preserve">mientas que las normas que desarrollan el principio se denominarán </w:t>
      </w:r>
      <w:r w:rsidRPr="00746ACE">
        <w:rPr>
          <w:i/>
        </w:rPr>
        <w:t>reglas de selección</w:t>
      </w:r>
      <w:r w:rsidR="0019085B" w:rsidRPr="00746ACE">
        <w:rPr>
          <w:i/>
        </w:rPr>
        <w:t>,</w:t>
      </w:r>
      <w:r w:rsidR="0019085B" w:rsidRPr="00746ACE">
        <w:t xml:space="preserve"> siguiendo una estipulación prevista en la sentencia C-080 de 2018.</w:t>
      </w:r>
      <w:r w:rsidR="001F3220" w:rsidRPr="00746ACE">
        <w:rPr>
          <w:rStyle w:val="Refdenotaalpie"/>
        </w:rPr>
        <w:footnoteReference w:id="112"/>
      </w:r>
    </w:p>
    <w:p w14:paraId="7221B8B4" w14:textId="77777777" w:rsidR="0043161D" w:rsidRPr="00746ACE" w:rsidRDefault="0043161D" w:rsidP="00FC0DFB">
      <w:pPr>
        <w:pStyle w:val="Prrafodelista"/>
        <w:widowControl w:val="0"/>
        <w:ind w:left="0"/>
      </w:pPr>
    </w:p>
    <w:p w14:paraId="1B236CD0" w14:textId="5D326363" w:rsidR="00E546E4" w:rsidRPr="00746ACE" w:rsidRDefault="0043161D" w:rsidP="00FC0DFB">
      <w:pPr>
        <w:pStyle w:val="Prrafodelista"/>
        <w:widowControl w:val="0"/>
        <w:numPr>
          <w:ilvl w:val="0"/>
          <w:numId w:val="7"/>
        </w:numPr>
      </w:pPr>
      <w:r w:rsidRPr="00746ACE">
        <w:t xml:space="preserve">El principio constitucional </w:t>
      </w:r>
      <w:r w:rsidR="00130D46" w:rsidRPr="00746ACE">
        <w:t xml:space="preserve">y transicional </w:t>
      </w:r>
      <w:r w:rsidRPr="00746ACE">
        <w:t xml:space="preserve">de selección ha sido desarrollado en normas que definen </w:t>
      </w:r>
      <w:r w:rsidR="00624B9B" w:rsidRPr="00746ACE">
        <w:t xml:space="preserve">tanto los criterios de selección (artículo 19 de la Ley 1957 de 2019) como </w:t>
      </w:r>
      <w:r w:rsidRPr="00746ACE">
        <w:t xml:space="preserve">la competencia para realizar la selección </w:t>
      </w:r>
      <w:r w:rsidR="00624B9B" w:rsidRPr="00746ACE">
        <w:t xml:space="preserve">(artículos 79 y 84 de la misma </w:t>
      </w:r>
      <w:r w:rsidR="00361936" w:rsidRPr="00746ACE">
        <w:t>ley</w:t>
      </w:r>
      <w:r w:rsidR="00624B9B" w:rsidRPr="00746ACE">
        <w:t>)</w:t>
      </w:r>
      <w:r w:rsidRPr="00746ACE">
        <w:t xml:space="preserve">. </w:t>
      </w:r>
      <w:r w:rsidR="00624B9B" w:rsidRPr="00746ACE">
        <w:t>Cabe señalar que e</w:t>
      </w:r>
      <w:r w:rsidRPr="00746ACE">
        <w:t xml:space="preserve">l sistema de justicia que administra la JEP tiene una particularidad y es que la mayor parte de las competencias y funciones están definidas en una ley estatutaria, mientras que </w:t>
      </w:r>
      <w:r w:rsidR="00720FE7" w:rsidRPr="00746ACE">
        <w:t xml:space="preserve">las normas de competencia de los procedimientos ordinarios (en el sentido de no-transicionales) </w:t>
      </w:r>
      <w:r w:rsidRPr="00746ACE">
        <w:t>suele</w:t>
      </w:r>
      <w:r w:rsidR="00720FE7" w:rsidRPr="00746ACE">
        <w:t>n</w:t>
      </w:r>
      <w:r w:rsidRPr="00746ACE">
        <w:t xml:space="preserve"> tener una mezcla de normas estatutarias y ordinarias. </w:t>
      </w:r>
    </w:p>
    <w:p w14:paraId="39122A06" w14:textId="77777777" w:rsidR="00E546E4" w:rsidRPr="00746ACE" w:rsidRDefault="00E546E4" w:rsidP="00E546E4">
      <w:pPr>
        <w:pStyle w:val="Prrafodelista"/>
      </w:pPr>
    </w:p>
    <w:p w14:paraId="12B7CCE0" w14:textId="18128FCD" w:rsidR="0043161D" w:rsidRPr="00746ACE" w:rsidRDefault="00361936" w:rsidP="00FC0DFB">
      <w:pPr>
        <w:pStyle w:val="Prrafodelista"/>
        <w:widowControl w:val="0"/>
        <w:numPr>
          <w:ilvl w:val="0"/>
          <w:numId w:val="7"/>
        </w:numPr>
      </w:pPr>
      <w:r w:rsidRPr="00746ACE">
        <w:t xml:space="preserve">Se trata de un </w:t>
      </w:r>
      <w:r w:rsidR="00624B9B" w:rsidRPr="00746ACE">
        <w:t xml:space="preserve">diseño que </w:t>
      </w:r>
      <w:r w:rsidR="0043161D" w:rsidRPr="00746ACE">
        <w:t xml:space="preserve">obedece, de manera razonable, a la necesidad de definir </w:t>
      </w:r>
      <w:r w:rsidRPr="00746ACE">
        <w:t xml:space="preserve">a través de </w:t>
      </w:r>
      <w:r w:rsidR="0043161D" w:rsidRPr="00746ACE">
        <w:t xml:space="preserve">una norma </w:t>
      </w:r>
      <w:r w:rsidRPr="00746ACE">
        <w:t xml:space="preserve">de </w:t>
      </w:r>
      <w:r w:rsidR="0043161D" w:rsidRPr="00746ACE">
        <w:t xml:space="preserve">especial jerarquía, un </w:t>
      </w:r>
      <w:r w:rsidR="00624B9B" w:rsidRPr="00746ACE">
        <w:t xml:space="preserve">mecanismo de justicia </w:t>
      </w:r>
      <w:r w:rsidR="0043161D" w:rsidRPr="00746ACE">
        <w:t>que toca aspectos centrales de la constitución</w:t>
      </w:r>
      <w:r w:rsidR="00624B9B" w:rsidRPr="00746ACE">
        <w:t>,</w:t>
      </w:r>
      <w:r w:rsidR="0043161D" w:rsidRPr="00746ACE">
        <w:t xml:space="preserve"> como el juzgamiento de los crímenes más graves y los derechos de las víctimas. </w:t>
      </w:r>
    </w:p>
    <w:p w14:paraId="303B6E0A" w14:textId="77777777" w:rsidR="0043161D" w:rsidRPr="00746ACE" w:rsidRDefault="0043161D" w:rsidP="00FC0DFB">
      <w:pPr>
        <w:pStyle w:val="Prrafodelista"/>
        <w:widowControl w:val="0"/>
        <w:ind w:left="0"/>
      </w:pPr>
    </w:p>
    <w:p w14:paraId="72F9461A" w14:textId="56DF168A" w:rsidR="0043161D" w:rsidRPr="00746ACE" w:rsidRDefault="0043161D" w:rsidP="00720FE7">
      <w:pPr>
        <w:pStyle w:val="Prrafodelista"/>
        <w:widowControl w:val="0"/>
        <w:numPr>
          <w:ilvl w:val="0"/>
          <w:numId w:val="7"/>
        </w:numPr>
      </w:pPr>
      <w:r w:rsidRPr="00746ACE">
        <w:t xml:space="preserve">El principio constitucional </w:t>
      </w:r>
      <w:r w:rsidR="00130D46" w:rsidRPr="00746ACE">
        <w:t xml:space="preserve">y transicional </w:t>
      </w:r>
      <w:r w:rsidRPr="00746ACE">
        <w:t>de selección</w:t>
      </w:r>
      <w:r w:rsidR="00720FE7" w:rsidRPr="00746ACE">
        <w:t xml:space="preserve">, entendido como la concentración de la investigación, juzgamiento y sanción en los máximos responsables de los crímenes más graves y representativos es una norma constitucional prevista en el artículo 66 transitorio de la Constitución a partir del Acto Legislativo 02 de 2015 y en el artículo </w:t>
      </w:r>
      <w:r w:rsidR="00BE7DDB" w:rsidRPr="00746ACE">
        <w:t>3</w:t>
      </w:r>
      <w:r w:rsidR="00720FE7" w:rsidRPr="00746ACE">
        <w:t>º transitorio del Acto Legislativo 01 de 2017. Por su posición jerárquica y su valor para la comprensión constitucional de la justicia transicional, este principio n</w:t>
      </w:r>
      <w:r w:rsidRPr="00746ACE">
        <w:t>o puede ser alterado por vía de interpretación, pues este tiene una relación directa con la interdicción de la arbitrariedad y el sentido de la justicia transicional en la Constitución</w:t>
      </w:r>
      <w:r w:rsidR="00361936" w:rsidRPr="00746ACE">
        <w:t>. Asimismo,</w:t>
      </w:r>
      <w:r w:rsidRPr="00746ACE">
        <w:t xml:space="preserve"> los criterios de selección, definidos en el artículo 19 de la Ley Estatutaria de Administración de Justicia tienen reserva de ley estatutaria, así que el ejercicio de interpretarlos debe centrarse en su comprensión frente al caso concreto, y no en la creación de nuevos supuestos. </w:t>
      </w:r>
    </w:p>
    <w:p w14:paraId="600356CB" w14:textId="77777777" w:rsidR="0043161D" w:rsidRPr="00746ACE" w:rsidRDefault="0043161D" w:rsidP="00CF1AD1">
      <w:pPr>
        <w:pStyle w:val="Prrafodelista"/>
        <w:widowControl w:val="0"/>
      </w:pPr>
    </w:p>
    <w:p w14:paraId="24B5B040" w14:textId="67A229A6" w:rsidR="00720FE7" w:rsidRPr="00746ACE" w:rsidRDefault="00361936" w:rsidP="00723D60">
      <w:pPr>
        <w:pStyle w:val="Prrafodelista"/>
        <w:widowControl w:val="0"/>
        <w:numPr>
          <w:ilvl w:val="0"/>
          <w:numId w:val="7"/>
        </w:numPr>
      </w:pPr>
      <w:r w:rsidRPr="00746ACE">
        <w:t>Por su parte, l</w:t>
      </w:r>
      <w:r w:rsidR="0043161D" w:rsidRPr="00746ACE">
        <w:t>as reglas de competencia en materia de selección</w:t>
      </w:r>
      <w:r w:rsidR="00624B9B" w:rsidRPr="00746ACE">
        <w:t xml:space="preserve"> </w:t>
      </w:r>
      <w:r w:rsidR="0043161D" w:rsidRPr="00746ACE">
        <w:t>admiten un margen más amplio de interpretación</w:t>
      </w:r>
      <w:r w:rsidR="00624B9B" w:rsidRPr="00746ACE">
        <w:t xml:space="preserve">, </w:t>
      </w:r>
      <w:r w:rsidR="00720FE7" w:rsidRPr="00746ACE">
        <w:t>en especial, debido a que las normas que definen las funciones de los órganos de la JEP prevén una multiplicidad de supuestos que pueden dar lugar a espacios de duda, a vacíos o contradicciones normativas –</w:t>
      </w:r>
      <w:r w:rsidR="00BE7DDB" w:rsidRPr="00746ACE">
        <w:t xml:space="preserve">reales o </w:t>
      </w:r>
      <w:r w:rsidR="00720FE7" w:rsidRPr="00746ACE">
        <w:t>aparentes–. En este complejo entramado, la interpretación oportuna y responsable del juez natural de la transició</w:t>
      </w:r>
      <w:r w:rsidR="000F321B" w:rsidRPr="00746ACE">
        <w:t>n es válida e incluso</w:t>
      </w:r>
      <w:r w:rsidR="00BE7DDB" w:rsidRPr="00746ACE">
        <w:t xml:space="preserve"> necesaria</w:t>
      </w:r>
      <w:r w:rsidR="000F321B" w:rsidRPr="00746ACE">
        <w:t xml:space="preserve"> </w:t>
      </w:r>
      <w:r w:rsidR="00720FE7" w:rsidRPr="00746ACE">
        <w:t>para el adecuado funcionamiento de la jurisdicción</w:t>
      </w:r>
    </w:p>
    <w:p w14:paraId="40616FF3" w14:textId="77777777" w:rsidR="00723D60" w:rsidRPr="00746ACE" w:rsidRDefault="00723D60" w:rsidP="00723D60">
      <w:pPr>
        <w:pStyle w:val="Prrafodelista"/>
        <w:widowControl w:val="0"/>
        <w:ind w:left="0"/>
      </w:pPr>
    </w:p>
    <w:p w14:paraId="7B25939E" w14:textId="6C8CC307" w:rsidR="0043161D" w:rsidRPr="00746ACE" w:rsidRDefault="00720FE7" w:rsidP="00723D60">
      <w:pPr>
        <w:pStyle w:val="Prrafodelista"/>
        <w:widowControl w:val="0"/>
        <w:numPr>
          <w:ilvl w:val="0"/>
          <w:numId w:val="7"/>
        </w:numPr>
      </w:pPr>
      <w:r w:rsidRPr="00746ACE">
        <w:t xml:space="preserve">A pesar de este margen, que se ubica en el campo de la armonización y sistematización del derecho legislado, la </w:t>
      </w:r>
      <w:r w:rsidR="00624B9B" w:rsidRPr="00746ACE">
        <w:t>creación de una competencia completamente nueva resultaría ajena a un diseño plasmado en normas de semejante jerarquía</w:t>
      </w:r>
      <w:r w:rsidR="0043161D" w:rsidRPr="00746ACE">
        <w:t>.</w:t>
      </w:r>
    </w:p>
    <w:p w14:paraId="6B9D077C" w14:textId="77777777" w:rsidR="0043161D" w:rsidRPr="00746ACE" w:rsidRDefault="0043161D" w:rsidP="00CF1AD1">
      <w:pPr>
        <w:pStyle w:val="Prrafodelista"/>
        <w:widowControl w:val="0"/>
      </w:pPr>
    </w:p>
    <w:p w14:paraId="02352041" w14:textId="377A5E78" w:rsidR="0043161D" w:rsidRPr="00746ACE" w:rsidRDefault="00624B9B" w:rsidP="00FC0DFB">
      <w:pPr>
        <w:pStyle w:val="Prrafodelista"/>
        <w:widowControl w:val="0"/>
        <w:numPr>
          <w:ilvl w:val="0"/>
          <w:numId w:val="7"/>
        </w:numPr>
      </w:pPr>
      <w:r w:rsidRPr="00746ACE">
        <w:t>Para materializar el acercamiento recién descrito</w:t>
      </w:r>
      <w:r w:rsidR="0043161D" w:rsidRPr="00746ACE">
        <w:t xml:space="preserve"> resulta </w:t>
      </w:r>
      <w:r w:rsidRPr="00746ACE">
        <w:t xml:space="preserve">plausible </w:t>
      </w:r>
      <w:r w:rsidR="0043161D" w:rsidRPr="00746ACE">
        <w:t xml:space="preserve">sostener </w:t>
      </w:r>
      <w:r w:rsidR="0043161D" w:rsidRPr="00746ACE">
        <w:rPr>
          <w:lang w:eastAsia="es-ES"/>
        </w:rPr>
        <w:t>que cuanto mayor es el grado de definición de las reglas constitucionales y estatutarias aplicables</w:t>
      </w:r>
      <w:r w:rsidR="00361936" w:rsidRPr="00746ACE">
        <w:rPr>
          <w:lang w:eastAsia="es-ES"/>
        </w:rPr>
        <w:t>,</w:t>
      </w:r>
      <w:r w:rsidR="0043161D" w:rsidRPr="00746ACE">
        <w:rPr>
          <w:lang w:eastAsia="es-ES"/>
        </w:rPr>
        <w:t xml:space="preserve"> más delimitado se encuentra el margen de interpretación judicial, como manifestación de la sujeción del juez al estado de derecho.</w:t>
      </w:r>
    </w:p>
    <w:p w14:paraId="4B2308FF" w14:textId="77777777" w:rsidR="0043161D" w:rsidRPr="00746ACE" w:rsidRDefault="0043161D" w:rsidP="00CF1AD1">
      <w:pPr>
        <w:widowControl w:val="0"/>
        <w:rPr>
          <w:lang w:eastAsia="es-ES"/>
        </w:rPr>
      </w:pPr>
    </w:p>
    <w:p w14:paraId="1A1CFF00" w14:textId="5CB9800A" w:rsidR="0043161D" w:rsidRPr="00746ACE" w:rsidRDefault="0043161D" w:rsidP="00FC0DFB">
      <w:pPr>
        <w:pStyle w:val="Prrafodelista"/>
        <w:widowControl w:val="0"/>
        <w:numPr>
          <w:ilvl w:val="0"/>
          <w:numId w:val="7"/>
        </w:numPr>
      </w:pPr>
      <w:r w:rsidRPr="00746ACE">
        <w:rPr>
          <w:lang w:eastAsia="es-ES"/>
        </w:rPr>
        <w:t xml:space="preserve">La </w:t>
      </w:r>
      <w:r w:rsidR="004D1E2E" w:rsidRPr="00746ACE">
        <w:rPr>
          <w:lang w:eastAsia="es-ES"/>
        </w:rPr>
        <w:t>Corte</w:t>
      </w:r>
      <w:r w:rsidRPr="00746ACE">
        <w:rPr>
          <w:lang w:eastAsia="es-ES"/>
        </w:rPr>
        <w:t xml:space="preserve"> procede</w:t>
      </w:r>
      <w:r w:rsidR="00361936" w:rsidRPr="00746ACE">
        <w:rPr>
          <w:lang w:eastAsia="es-ES"/>
        </w:rPr>
        <w:t>,</w:t>
      </w:r>
      <w:r w:rsidRPr="00746ACE">
        <w:rPr>
          <w:lang w:eastAsia="es-ES"/>
        </w:rPr>
        <w:t xml:space="preserve"> entonces</w:t>
      </w:r>
      <w:r w:rsidR="00361936" w:rsidRPr="00746ACE">
        <w:rPr>
          <w:lang w:eastAsia="es-ES"/>
        </w:rPr>
        <w:t>,</w:t>
      </w:r>
      <w:r w:rsidRPr="00746ACE">
        <w:rPr>
          <w:lang w:eastAsia="es-ES"/>
        </w:rPr>
        <w:t xml:space="preserve"> a verificar si la interpretación de las Senit 5, 8 y 9 constituye un ejercicio de interpretación amplio y válido a la luz de los preceptos constitucionales o si se trata de un desconocimiento de límites infranqueables para el juez transicional, incluso, cuando se trata del órgano de cierre. </w:t>
      </w:r>
    </w:p>
    <w:p w14:paraId="656F5DBE" w14:textId="77777777" w:rsidR="0043161D" w:rsidRPr="00746ACE" w:rsidRDefault="0043161D" w:rsidP="00CF1AD1">
      <w:pPr>
        <w:widowControl w:val="0"/>
        <w:rPr>
          <w:lang w:eastAsia="es-ES"/>
        </w:rPr>
      </w:pPr>
    </w:p>
    <w:p w14:paraId="7C6C2B72" w14:textId="3A266B0C" w:rsidR="0043161D" w:rsidRPr="00746ACE" w:rsidRDefault="0043161D" w:rsidP="00CF1AD1">
      <w:pPr>
        <w:pStyle w:val="Prrafodelista"/>
        <w:widowControl w:val="0"/>
        <w:numPr>
          <w:ilvl w:val="0"/>
          <w:numId w:val="7"/>
        </w:numPr>
        <w:rPr>
          <w:lang w:eastAsia="es-ES"/>
        </w:rPr>
      </w:pPr>
      <w:r w:rsidRPr="00746ACE">
        <w:rPr>
          <w:lang w:eastAsia="es-ES"/>
        </w:rPr>
        <w:t>Para determinar los estándares constitucionales que limitan el margen interpretativo de la Sección de Apelación, es preciso recordar algunos aspectos centrales de la jurisprudencia constitucional sobre el principio constitucional</w:t>
      </w:r>
      <w:r w:rsidR="00130D46" w:rsidRPr="00746ACE">
        <w:rPr>
          <w:lang w:eastAsia="es-ES"/>
        </w:rPr>
        <w:t xml:space="preserve"> y transicional</w:t>
      </w:r>
      <w:r w:rsidRPr="00746ACE">
        <w:rPr>
          <w:lang w:eastAsia="es-ES"/>
        </w:rPr>
        <w:t xml:space="preserve"> de selección, </w:t>
      </w:r>
      <w:r w:rsidR="00361936" w:rsidRPr="00746ACE">
        <w:rPr>
          <w:lang w:eastAsia="es-ES"/>
        </w:rPr>
        <w:t xml:space="preserve">teniendo en cuenta </w:t>
      </w:r>
      <w:r w:rsidRPr="00746ACE">
        <w:rPr>
          <w:lang w:eastAsia="es-ES"/>
        </w:rPr>
        <w:t xml:space="preserve">los actos legislativos 02 de 2015 y 01 de 2017 y las sentencias C-579 de 2013 y C-080 de 2018. </w:t>
      </w:r>
    </w:p>
    <w:p w14:paraId="5CCBA40E" w14:textId="77777777" w:rsidR="0043161D" w:rsidRPr="00746ACE" w:rsidRDefault="0043161D" w:rsidP="00CF1AD1">
      <w:pPr>
        <w:pStyle w:val="Prrafodelista"/>
        <w:widowControl w:val="0"/>
        <w:ind w:left="0"/>
        <w:rPr>
          <w:lang w:eastAsia="es-ES"/>
        </w:rPr>
      </w:pPr>
    </w:p>
    <w:p w14:paraId="0B619FA8" w14:textId="69EF1DB3" w:rsidR="0043161D" w:rsidRPr="00746ACE" w:rsidRDefault="0043161D" w:rsidP="00FC0DFB">
      <w:pPr>
        <w:pStyle w:val="Prrafodelista"/>
        <w:widowControl w:val="0"/>
        <w:numPr>
          <w:ilvl w:val="0"/>
          <w:numId w:val="7"/>
        </w:numPr>
      </w:pPr>
      <w:r w:rsidRPr="00746ACE">
        <w:rPr>
          <w:lang w:eastAsia="es-ES"/>
        </w:rPr>
        <w:t>De acuerdo con las normas constitucionales y la jurisprudencia mencionada, (i) la selección es esencial para la justicia transicional; (ii) los criterios de selección deben ser definidos por el legislador estatutario, pues se relacionan con los derechos de las víctimas y el deber de investigar, juzgar y sancionar las graves violaciones de derechos humanos</w:t>
      </w:r>
      <w:r w:rsidRPr="00746ACE">
        <w:rPr>
          <w:rStyle w:val="Refdenotaalpie"/>
          <w:lang w:eastAsia="es-ES"/>
        </w:rPr>
        <w:footnoteReference w:id="113"/>
      </w:r>
      <w:r w:rsidRPr="00746ACE">
        <w:rPr>
          <w:lang w:eastAsia="es-ES"/>
        </w:rPr>
        <w:t xml:space="preserve">; (iii) la selección tiene dos dimensiones: (iii.a) por una parte, es un </w:t>
      </w:r>
      <w:r w:rsidRPr="00746ACE">
        <w:rPr>
          <w:b/>
          <w:lang w:eastAsia="es-ES"/>
        </w:rPr>
        <w:t>principio</w:t>
      </w:r>
      <w:r w:rsidRPr="00746ACE">
        <w:rPr>
          <w:lang w:eastAsia="es-ES"/>
        </w:rPr>
        <w:t xml:space="preserve"> que se concreta en concentrar la obligación en los máximos responsables y, (iii.b) por otra, se materializa en un conjunto de reglas en las que se definen los criterios, la competencia y el procedimiento para su aplicación</w:t>
      </w:r>
      <w:r w:rsidR="00361936" w:rsidRPr="00746ACE">
        <w:rPr>
          <w:lang w:eastAsia="es-ES"/>
        </w:rPr>
        <w:t>; y</w:t>
      </w:r>
      <w:r w:rsidRPr="00746ACE">
        <w:rPr>
          <w:lang w:eastAsia="es-ES"/>
        </w:rPr>
        <w:t xml:space="preserve"> (iv) </w:t>
      </w:r>
      <w:r w:rsidR="00361936" w:rsidRPr="00746ACE">
        <w:rPr>
          <w:lang w:eastAsia="es-ES"/>
        </w:rPr>
        <w:t>l</w:t>
      </w:r>
      <w:r w:rsidRPr="00746ACE">
        <w:rPr>
          <w:lang w:eastAsia="es-ES"/>
        </w:rPr>
        <w:t xml:space="preserve">a selección es incompatible con la investigación caso a caso. </w:t>
      </w:r>
    </w:p>
    <w:p w14:paraId="3B369918" w14:textId="77777777" w:rsidR="0043161D" w:rsidRPr="00746ACE" w:rsidRDefault="0043161D" w:rsidP="00FC0DFB">
      <w:pPr>
        <w:pStyle w:val="Prrafodelista"/>
        <w:widowControl w:val="0"/>
        <w:rPr>
          <w:lang w:eastAsia="es-ES"/>
        </w:rPr>
      </w:pPr>
    </w:p>
    <w:p w14:paraId="389BF5E0" w14:textId="25892FE3" w:rsidR="0043161D" w:rsidRPr="00746ACE" w:rsidRDefault="0043161D" w:rsidP="00FC0DFB">
      <w:pPr>
        <w:pStyle w:val="Prrafodelista"/>
        <w:widowControl w:val="0"/>
        <w:numPr>
          <w:ilvl w:val="0"/>
          <w:numId w:val="7"/>
        </w:numPr>
      </w:pPr>
      <w:r w:rsidRPr="00746ACE">
        <w:rPr>
          <w:lang w:eastAsia="es-ES"/>
        </w:rPr>
        <w:t>Además, (v) tanto la Sala de Reconocimiento de Verdad y Responsabilidad como la Sala de Definición de Situaciones Jurídicas tienen funciones de selección, previstas en los artículos 79 y 84.c de la L</w:t>
      </w:r>
      <w:r w:rsidR="00624B9B" w:rsidRPr="00746ACE">
        <w:rPr>
          <w:lang w:eastAsia="es-ES"/>
        </w:rPr>
        <w:t xml:space="preserve">ey </w:t>
      </w:r>
      <w:r w:rsidRPr="00746ACE">
        <w:rPr>
          <w:lang w:eastAsia="es-ES"/>
        </w:rPr>
        <w:t>E</w:t>
      </w:r>
      <w:r w:rsidR="00624B9B" w:rsidRPr="00746ACE">
        <w:rPr>
          <w:lang w:eastAsia="es-ES"/>
        </w:rPr>
        <w:t xml:space="preserve">statutaria de </w:t>
      </w:r>
      <w:r w:rsidRPr="00746ACE">
        <w:rPr>
          <w:lang w:eastAsia="es-ES"/>
        </w:rPr>
        <w:t>A</w:t>
      </w:r>
      <w:r w:rsidR="00624B9B" w:rsidRPr="00746ACE">
        <w:rPr>
          <w:lang w:eastAsia="es-ES"/>
        </w:rPr>
        <w:t xml:space="preserve">dministración de </w:t>
      </w:r>
      <w:r w:rsidRPr="00746ACE">
        <w:rPr>
          <w:lang w:eastAsia="es-ES"/>
        </w:rPr>
        <w:t>J</w:t>
      </w:r>
      <w:r w:rsidR="00624B9B" w:rsidRPr="00746ACE">
        <w:rPr>
          <w:lang w:eastAsia="es-ES"/>
        </w:rPr>
        <w:t>usticia en la JE</w:t>
      </w:r>
      <w:r w:rsidRPr="00746ACE">
        <w:rPr>
          <w:lang w:eastAsia="es-ES"/>
        </w:rPr>
        <w:t xml:space="preserve">P, aunque esto no significa que su misión sea idéntica. </w:t>
      </w:r>
    </w:p>
    <w:p w14:paraId="52346924" w14:textId="77777777" w:rsidR="0043161D" w:rsidRPr="00746ACE" w:rsidRDefault="0043161D" w:rsidP="00FC0DFB">
      <w:pPr>
        <w:pStyle w:val="Prrafodelista"/>
        <w:widowControl w:val="0"/>
        <w:rPr>
          <w:lang w:eastAsia="es-ES"/>
        </w:rPr>
      </w:pPr>
    </w:p>
    <w:p w14:paraId="3FB270F4" w14:textId="4DBF7FCF" w:rsidR="0043161D" w:rsidRPr="00746ACE" w:rsidRDefault="0043161D" w:rsidP="00FC0DFB">
      <w:pPr>
        <w:pStyle w:val="Prrafodelista"/>
        <w:widowControl w:val="0"/>
        <w:numPr>
          <w:ilvl w:val="0"/>
          <w:numId w:val="7"/>
        </w:numPr>
      </w:pPr>
      <w:r w:rsidRPr="00746ACE">
        <w:rPr>
          <w:lang w:eastAsia="es-ES"/>
        </w:rPr>
        <w:t xml:space="preserve">La Corte Constitucional precisó los puntos </w:t>
      </w:r>
      <w:r w:rsidR="00E546E4" w:rsidRPr="00746ACE">
        <w:rPr>
          <w:lang w:eastAsia="es-ES"/>
        </w:rPr>
        <w:t>(i</w:t>
      </w:r>
      <w:r w:rsidRPr="00746ACE">
        <w:rPr>
          <w:lang w:eastAsia="es-ES"/>
        </w:rPr>
        <w:t>v</w:t>
      </w:r>
      <w:r w:rsidR="00E546E4" w:rsidRPr="00746ACE">
        <w:rPr>
          <w:lang w:eastAsia="es-ES"/>
        </w:rPr>
        <w:t>)</w:t>
      </w:r>
      <w:r w:rsidRPr="00746ACE">
        <w:rPr>
          <w:lang w:eastAsia="es-ES"/>
        </w:rPr>
        <w:t xml:space="preserve"> y </w:t>
      </w:r>
      <w:r w:rsidR="00E546E4" w:rsidRPr="00746ACE">
        <w:rPr>
          <w:lang w:eastAsia="es-ES"/>
        </w:rPr>
        <w:t>(</w:t>
      </w:r>
      <w:r w:rsidRPr="00746ACE">
        <w:rPr>
          <w:lang w:eastAsia="es-ES"/>
        </w:rPr>
        <w:t>v</w:t>
      </w:r>
      <w:r w:rsidR="00E546E4" w:rsidRPr="00746ACE">
        <w:rPr>
          <w:lang w:eastAsia="es-ES"/>
        </w:rPr>
        <w:t>) de los párrafos previos</w:t>
      </w:r>
      <w:r w:rsidRPr="00746ACE">
        <w:rPr>
          <w:lang w:eastAsia="es-ES"/>
        </w:rPr>
        <w:t xml:space="preserve"> en la Sentencia C-080 de 2018. Expres</w:t>
      </w:r>
      <w:r w:rsidR="00624B9B" w:rsidRPr="00746ACE">
        <w:rPr>
          <w:lang w:eastAsia="es-ES"/>
        </w:rPr>
        <w:t xml:space="preserve">ó </w:t>
      </w:r>
      <w:r w:rsidRPr="00746ACE">
        <w:rPr>
          <w:lang w:eastAsia="es-ES"/>
        </w:rPr>
        <w:t xml:space="preserve">que a la Sala de Reconocimiento de Verdad y Responsabilidad le corresponde la </w:t>
      </w:r>
      <w:r w:rsidRPr="00746ACE">
        <w:rPr>
          <w:i/>
          <w:lang w:eastAsia="es-ES"/>
        </w:rPr>
        <w:t xml:space="preserve">selección global </w:t>
      </w:r>
      <w:r w:rsidRPr="00746ACE">
        <w:rPr>
          <w:lang w:eastAsia="es-ES"/>
        </w:rPr>
        <w:t xml:space="preserve">y a la Sala de Definición de Situaciones Jurídicas la </w:t>
      </w:r>
      <w:r w:rsidRPr="00746ACE">
        <w:rPr>
          <w:i/>
          <w:lang w:eastAsia="es-ES"/>
        </w:rPr>
        <w:t xml:space="preserve">selección individual. </w:t>
      </w:r>
      <w:r w:rsidRPr="00746ACE">
        <w:rPr>
          <w:lang w:eastAsia="es-ES"/>
        </w:rPr>
        <w:t xml:space="preserve">La primera se adelanta mediante la sustanciación de </w:t>
      </w:r>
      <w:r w:rsidR="00E546E4" w:rsidRPr="00746ACE">
        <w:rPr>
          <w:lang w:eastAsia="es-ES"/>
        </w:rPr>
        <w:t>macro casos</w:t>
      </w:r>
      <w:r w:rsidRPr="00746ACE">
        <w:rPr>
          <w:lang w:eastAsia="es-ES"/>
        </w:rPr>
        <w:t xml:space="preserve">, en los que se </w:t>
      </w:r>
      <w:r w:rsidR="002C306B" w:rsidRPr="00746ACE">
        <w:rPr>
          <w:lang w:eastAsia="es-ES"/>
        </w:rPr>
        <w:t xml:space="preserve">investiga </w:t>
      </w:r>
      <w:r w:rsidRPr="00746ACE">
        <w:rPr>
          <w:lang w:eastAsia="es-ES"/>
        </w:rPr>
        <w:t xml:space="preserve">a los máximos responsables de los crímenes más graves y representativos, mientras que la segunda se ejerce en casos individuales y tiene ante todo una dimensión negativa, la de conceder la renuncia a la persecución penal o la suspensión de la persecución penal. </w:t>
      </w:r>
    </w:p>
    <w:p w14:paraId="534C4E8B" w14:textId="17D35C6B" w:rsidR="00DD4E06" w:rsidRPr="00746ACE" w:rsidRDefault="00DD4E06" w:rsidP="00DD4E06">
      <w:pPr>
        <w:widowControl w:val="0"/>
        <w:rPr>
          <w:lang w:eastAsia="es-ES"/>
        </w:rPr>
      </w:pPr>
    </w:p>
    <w:p w14:paraId="23DA785D" w14:textId="5C56D86B" w:rsidR="0043161D" w:rsidRPr="00746ACE" w:rsidRDefault="0043161D" w:rsidP="000B69F5">
      <w:pPr>
        <w:pStyle w:val="Ttulo3"/>
        <w:keepNext w:val="0"/>
        <w:keepLines w:val="0"/>
        <w:widowControl w:val="0"/>
        <w:jc w:val="both"/>
        <w:rPr>
          <w:rFonts w:cs="Times New Roman"/>
          <w:color w:val="auto"/>
          <w:sz w:val="28"/>
          <w:szCs w:val="28"/>
          <w:lang w:val="es-ES" w:eastAsia="es-ES"/>
        </w:rPr>
      </w:pPr>
      <w:bookmarkStart w:id="44" w:name="_Toc233384194"/>
      <w:r w:rsidRPr="00746ACE">
        <w:rPr>
          <w:rFonts w:cs="Times New Roman"/>
          <w:color w:val="auto"/>
          <w:sz w:val="28"/>
          <w:szCs w:val="28"/>
          <w:lang w:val="es-ES" w:eastAsia="es-ES"/>
        </w:rPr>
        <w:t xml:space="preserve">La </w:t>
      </w:r>
      <w:r w:rsidR="00BE7DDB" w:rsidRPr="00746ACE">
        <w:rPr>
          <w:rFonts w:cs="Times New Roman"/>
          <w:color w:val="auto"/>
          <w:sz w:val="28"/>
          <w:szCs w:val="28"/>
          <w:lang w:val="es-ES" w:eastAsia="es-ES"/>
        </w:rPr>
        <w:t>“</w:t>
      </w:r>
      <w:r w:rsidRPr="00746ACE">
        <w:rPr>
          <w:rFonts w:cs="Times New Roman"/>
          <w:color w:val="auto"/>
          <w:sz w:val="28"/>
          <w:szCs w:val="28"/>
          <w:lang w:val="es-ES" w:eastAsia="es-ES"/>
        </w:rPr>
        <w:t>selección de segundo orden</w:t>
      </w:r>
      <w:r w:rsidR="00BE7DDB" w:rsidRPr="00746ACE">
        <w:rPr>
          <w:rFonts w:cs="Times New Roman"/>
          <w:color w:val="auto"/>
          <w:sz w:val="28"/>
          <w:szCs w:val="28"/>
          <w:lang w:val="es-ES" w:eastAsia="es-ES"/>
        </w:rPr>
        <w:t>”</w:t>
      </w:r>
      <w:r w:rsidRPr="00746ACE">
        <w:rPr>
          <w:rFonts w:cs="Times New Roman"/>
          <w:color w:val="auto"/>
          <w:sz w:val="28"/>
          <w:szCs w:val="28"/>
          <w:lang w:val="es-ES" w:eastAsia="es-ES"/>
        </w:rPr>
        <w:t xml:space="preserve"> no es equivalente a la selección individual</w:t>
      </w:r>
      <w:bookmarkEnd w:id="44"/>
    </w:p>
    <w:p w14:paraId="0F484A7A" w14:textId="77777777" w:rsidR="0043161D" w:rsidRPr="00746ACE" w:rsidRDefault="0043161D" w:rsidP="00FC0DFB">
      <w:pPr>
        <w:pStyle w:val="Prrafodelista"/>
        <w:widowControl w:val="0"/>
        <w:rPr>
          <w:lang w:eastAsia="es-ES"/>
        </w:rPr>
      </w:pPr>
    </w:p>
    <w:p w14:paraId="635DD0C2" w14:textId="4B4AC04E" w:rsidR="0043161D" w:rsidRPr="00746ACE" w:rsidRDefault="0043161D" w:rsidP="00FC0DFB">
      <w:pPr>
        <w:pStyle w:val="Prrafodelista"/>
        <w:widowControl w:val="0"/>
        <w:numPr>
          <w:ilvl w:val="0"/>
          <w:numId w:val="7"/>
        </w:numPr>
      </w:pPr>
      <w:r w:rsidRPr="00746ACE">
        <w:rPr>
          <w:lang w:eastAsia="es-ES"/>
        </w:rPr>
        <w:t xml:space="preserve">Las Senit 5, 8 y 9 plantean un concepto de selección novedoso, la </w:t>
      </w:r>
      <w:r w:rsidR="00BE7DDB" w:rsidRPr="00746ACE">
        <w:rPr>
          <w:lang w:eastAsia="es-ES"/>
        </w:rPr>
        <w:t>“</w:t>
      </w:r>
      <w:r w:rsidRPr="00746ACE">
        <w:rPr>
          <w:i/>
          <w:iCs/>
          <w:lang w:eastAsia="es-ES"/>
        </w:rPr>
        <w:t>selección de</w:t>
      </w:r>
      <w:r w:rsidRPr="00746ACE">
        <w:rPr>
          <w:lang w:eastAsia="es-ES"/>
        </w:rPr>
        <w:t xml:space="preserve"> </w:t>
      </w:r>
      <w:r w:rsidRPr="00746ACE">
        <w:rPr>
          <w:i/>
          <w:lang w:eastAsia="es-ES"/>
        </w:rPr>
        <w:t>segundo orden</w:t>
      </w:r>
      <w:r w:rsidR="00BE7DDB" w:rsidRPr="00746ACE">
        <w:rPr>
          <w:i/>
          <w:lang w:eastAsia="es-ES"/>
        </w:rPr>
        <w:t>”</w:t>
      </w:r>
      <w:r w:rsidRPr="00746ACE">
        <w:rPr>
          <w:i/>
          <w:lang w:eastAsia="es-ES"/>
        </w:rPr>
        <w:t>.</w:t>
      </w:r>
    </w:p>
    <w:p w14:paraId="211E8349" w14:textId="77777777" w:rsidR="0043161D" w:rsidRPr="00746ACE" w:rsidRDefault="0043161D" w:rsidP="00FC0DFB">
      <w:pPr>
        <w:pStyle w:val="Prrafodelista"/>
        <w:widowControl w:val="0"/>
        <w:ind w:left="0"/>
      </w:pPr>
    </w:p>
    <w:p w14:paraId="2A9F5512" w14:textId="1C003A00" w:rsidR="0043161D" w:rsidRPr="00746ACE" w:rsidRDefault="0043161D" w:rsidP="00FC0DFB">
      <w:pPr>
        <w:pStyle w:val="Prrafodelista"/>
        <w:widowControl w:val="0"/>
        <w:numPr>
          <w:ilvl w:val="0"/>
          <w:numId w:val="7"/>
        </w:numPr>
        <w:rPr>
          <w:lang w:eastAsia="es-ES"/>
        </w:rPr>
      </w:pPr>
      <w:r w:rsidRPr="00746ACE">
        <w:rPr>
          <w:lang w:eastAsia="es-ES"/>
        </w:rPr>
        <w:t xml:space="preserve">Según la Sección de Apelación, la selección de segundo orden encuentra fundamento en el punto 5.1 del Acuerdo Final de Paz, que </w:t>
      </w:r>
      <w:r w:rsidR="00361936" w:rsidRPr="00746ACE">
        <w:rPr>
          <w:lang w:eastAsia="es-ES"/>
        </w:rPr>
        <w:t xml:space="preserve">le </w:t>
      </w:r>
      <w:r w:rsidRPr="00746ACE">
        <w:rPr>
          <w:lang w:eastAsia="es-ES"/>
        </w:rPr>
        <w:t xml:space="preserve">reconoce a la Sala de Definición </w:t>
      </w:r>
      <w:r w:rsidR="004F4B1F" w:rsidRPr="00746ACE">
        <w:rPr>
          <w:lang w:eastAsia="es-ES"/>
        </w:rPr>
        <w:t xml:space="preserve">de Situaciones Jurídicas </w:t>
      </w:r>
      <w:r w:rsidRPr="00746ACE">
        <w:rPr>
          <w:lang w:eastAsia="es-ES"/>
        </w:rPr>
        <w:t xml:space="preserve">la facultad de priorizar y seleccionar casos en el marco de los trámites no sancionatorios; </w:t>
      </w:r>
      <w:r w:rsidR="00BE7DDB" w:rsidRPr="00746ACE">
        <w:rPr>
          <w:lang w:eastAsia="es-ES"/>
        </w:rPr>
        <w:t xml:space="preserve">en el artículo 84, literal c de la Ley estatutaria 1957 de 2018, </w:t>
      </w:r>
      <w:r w:rsidRPr="00746ACE">
        <w:rPr>
          <w:lang w:eastAsia="es-ES"/>
        </w:rPr>
        <w:t>y en la Sentencia C-080 de 2018, donde la Corte expresó que citada Sala de Definición tiene la de selección individual. Para la Sección</w:t>
      </w:r>
      <w:r w:rsidR="00624B9B" w:rsidRPr="00746ACE">
        <w:rPr>
          <w:lang w:eastAsia="es-ES"/>
        </w:rPr>
        <w:t xml:space="preserve"> citada</w:t>
      </w:r>
      <w:r w:rsidRPr="00746ACE">
        <w:rPr>
          <w:lang w:eastAsia="es-ES"/>
        </w:rPr>
        <w:t xml:space="preserve">, la </w:t>
      </w:r>
      <w:r w:rsidR="00BE7DDB" w:rsidRPr="00746ACE">
        <w:rPr>
          <w:lang w:eastAsia="es-ES"/>
        </w:rPr>
        <w:t>“</w:t>
      </w:r>
      <w:r w:rsidRPr="00746ACE">
        <w:rPr>
          <w:lang w:eastAsia="es-ES"/>
        </w:rPr>
        <w:t>selección de segundo orden</w:t>
      </w:r>
      <w:r w:rsidR="00BE7DDB" w:rsidRPr="00746ACE">
        <w:rPr>
          <w:lang w:eastAsia="es-ES"/>
        </w:rPr>
        <w:t>”</w:t>
      </w:r>
      <w:r w:rsidRPr="00746ACE">
        <w:rPr>
          <w:lang w:eastAsia="es-ES"/>
        </w:rPr>
        <w:t xml:space="preserve"> es equivalente a la selección individual. </w:t>
      </w:r>
    </w:p>
    <w:p w14:paraId="3D8F6D4E" w14:textId="77777777" w:rsidR="0043161D" w:rsidRPr="00746ACE" w:rsidRDefault="0043161D" w:rsidP="00FC0DFB">
      <w:pPr>
        <w:pStyle w:val="Prrafodelista"/>
        <w:widowControl w:val="0"/>
        <w:rPr>
          <w:lang w:eastAsia="es-ES"/>
        </w:rPr>
      </w:pPr>
    </w:p>
    <w:p w14:paraId="4261140A" w14:textId="77777777" w:rsidR="0043161D" w:rsidRPr="00746ACE" w:rsidRDefault="0043161D" w:rsidP="00FC0DFB">
      <w:pPr>
        <w:pStyle w:val="Prrafodelista"/>
        <w:widowControl w:val="0"/>
        <w:numPr>
          <w:ilvl w:val="0"/>
          <w:numId w:val="7"/>
        </w:numPr>
      </w:pPr>
      <w:r w:rsidRPr="00746ACE">
        <w:rPr>
          <w:lang w:eastAsia="es-ES"/>
        </w:rPr>
        <w:t xml:space="preserve">A pesar de que el argumento de la Sección es en principio persuasivo, la Sala Plena observa que las ideas centrales contenidas en las sentencias interpretativas de la Sección de Apelación no coinciden con lo expresado en la Sentencia C-080 de 2018. </w:t>
      </w:r>
    </w:p>
    <w:p w14:paraId="214AA125" w14:textId="77777777" w:rsidR="0043161D" w:rsidRPr="00746ACE" w:rsidRDefault="0043161D" w:rsidP="00CF1AD1">
      <w:pPr>
        <w:pStyle w:val="Prrafodelista"/>
        <w:widowControl w:val="0"/>
      </w:pPr>
    </w:p>
    <w:p w14:paraId="4714D64B" w14:textId="01D0E71B" w:rsidR="0043161D" w:rsidRPr="00746ACE" w:rsidRDefault="0043161D" w:rsidP="00CF1AD1">
      <w:pPr>
        <w:pStyle w:val="Prrafodelista"/>
        <w:widowControl w:val="0"/>
        <w:numPr>
          <w:ilvl w:val="0"/>
          <w:numId w:val="7"/>
        </w:numPr>
      </w:pPr>
      <w:r w:rsidRPr="00746ACE">
        <w:rPr>
          <w:lang w:eastAsia="es-ES"/>
        </w:rPr>
        <w:t>La selección individual</w:t>
      </w:r>
      <w:r w:rsidR="00624B9B" w:rsidRPr="00746ACE">
        <w:rPr>
          <w:lang w:eastAsia="es-ES"/>
        </w:rPr>
        <w:t>,</w:t>
      </w:r>
      <w:r w:rsidRPr="00746ACE">
        <w:rPr>
          <w:lang w:eastAsia="es-ES"/>
        </w:rPr>
        <w:t xml:space="preserve"> de la que habla</w:t>
      </w:r>
      <w:r w:rsidR="004F4B1F" w:rsidRPr="00746ACE">
        <w:rPr>
          <w:lang w:eastAsia="es-ES"/>
        </w:rPr>
        <w:t>n</w:t>
      </w:r>
      <w:r w:rsidRPr="00746ACE">
        <w:rPr>
          <w:lang w:eastAsia="es-ES"/>
        </w:rPr>
        <w:t xml:space="preserve"> el artículo 84</w:t>
      </w:r>
      <w:r w:rsidR="00BE7DDB" w:rsidRPr="00746ACE">
        <w:rPr>
          <w:lang w:eastAsia="es-ES"/>
        </w:rPr>
        <w:t>, literal c,</w:t>
      </w:r>
      <w:r w:rsidRPr="00746ACE">
        <w:rPr>
          <w:lang w:eastAsia="es-ES"/>
        </w:rPr>
        <w:t xml:space="preserve"> de la Ley Estatutaria de Administración de Justicia en la JEP y la Sentencia C-080 de 2018</w:t>
      </w:r>
      <w:r w:rsidR="004F4B1F" w:rsidRPr="00746ACE">
        <w:rPr>
          <w:lang w:eastAsia="es-ES"/>
        </w:rPr>
        <w:t>,</w:t>
      </w:r>
      <w:r w:rsidRPr="00746ACE">
        <w:rPr>
          <w:lang w:eastAsia="es-ES"/>
        </w:rPr>
        <w:t xml:space="preserve"> tiene el propósito de excluir del ámbito sancionatorio a aquellos comparecientes que no son identificados como máximos responsables de los crímenes más graves; y se articula con la competencia de verificar el régimen de condicionalidad.</w:t>
      </w:r>
      <w:r w:rsidR="00742777" w:rsidRPr="00746ACE">
        <w:rPr>
          <w:lang w:eastAsia="es-ES"/>
        </w:rPr>
        <w:t xml:space="preserve"> </w:t>
      </w:r>
    </w:p>
    <w:p w14:paraId="056DCA86" w14:textId="77777777" w:rsidR="0043161D" w:rsidRPr="00746ACE" w:rsidRDefault="0043161D" w:rsidP="00FC0DFB">
      <w:pPr>
        <w:pStyle w:val="Prrafodelista"/>
        <w:widowControl w:val="0"/>
        <w:rPr>
          <w:lang w:eastAsia="es-ES"/>
        </w:rPr>
      </w:pPr>
    </w:p>
    <w:p w14:paraId="5FFF30E6" w14:textId="463E9AB3" w:rsidR="0043161D" w:rsidRPr="00746ACE" w:rsidRDefault="0043161D" w:rsidP="00FC0DFB">
      <w:pPr>
        <w:pStyle w:val="Prrafodelista"/>
        <w:widowControl w:val="0"/>
        <w:numPr>
          <w:ilvl w:val="0"/>
          <w:numId w:val="7"/>
        </w:numPr>
      </w:pPr>
      <w:r w:rsidRPr="00746ACE">
        <w:t xml:space="preserve">Por </w:t>
      </w:r>
      <w:r w:rsidR="00624B9B" w:rsidRPr="00746ACE">
        <w:t xml:space="preserve">estas razones, </w:t>
      </w:r>
      <w:r w:rsidRPr="00746ACE">
        <w:t xml:space="preserve">la selección individual tiene un carácter negativo. </w:t>
      </w:r>
      <w:r w:rsidR="00624B9B" w:rsidRPr="00746ACE">
        <w:t>S</w:t>
      </w:r>
      <w:r w:rsidRPr="00746ACE">
        <w:t>e aplica cuando un compareciente no es identificado como máximo responsable de los crímenes más graves y representativos y es remitido a la Sala de Definición de Situaciones Jurídicas para que adopte una decisión definitiva sobre su situación jurídica, lo que puede implicar el otorgamiento de un beneficio transicional definitivo (usualmente, la renuncia condicionada a la persecución penal)</w:t>
      </w:r>
      <w:r w:rsidR="00624B9B" w:rsidRPr="00746ACE">
        <w:t>, la imposición de obligaciones en el régimen de condicionalidad estricto o el inicio de un incidente de incumplimiento al citado régimen</w:t>
      </w:r>
      <w:r w:rsidRPr="00746ACE">
        <w:t xml:space="preserve">. </w:t>
      </w:r>
    </w:p>
    <w:p w14:paraId="5C03C690" w14:textId="77777777" w:rsidR="0043161D" w:rsidRPr="00746ACE" w:rsidRDefault="0043161D" w:rsidP="00FC0DFB">
      <w:pPr>
        <w:pStyle w:val="Prrafodelista"/>
        <w:widowControl w:val="0"/>
      </w:pPr>
    </w:p>
    <w:p w14:paraId="17E56871" w14:textId="08401F88" w:rsidR="001E1475" w:rsidRPr="00746ACE" w:rsidRDefault="0043161D" w:rsidP="00FC0DFB">
      <w:pPr>
        <w:pStyle w:val="Prrafodelista"/>
        <w:widowControl w:val="0"/>
        <w:numPr>
          <w:ilvl w:val="0"/>
          <w:numId w:val="7"/>
        </w:numPr>
      </w:pPr>
      <w:r w:rsidRPr="00746ACE">
        <w:t xml:space="preserve">Por el contrario, la denominada </w:t>
      </w:r>
      <w:r w:rsidR="00BE7DDB" w:rsidRPr="00746ACE">
        <w:t>“</w:t>
      </w:r>
      <w:r w:rsidRPr="00746ACE">
        <w:t>selección de segundo orden</w:t>
      </w:r>
      <w:r w:rsidR="00BE7DDB" w:rsidRPr="00746ACE">
        <w:t>”</w:t>
      </w:r>
      <w:r w:rsidR="002003BF" w:rsidRPr="00746ACE">
        <w:t xml:space="preserve"> tiene un carácter positivo, pues permite que comparecientes que inicialmente no fueron seleccionados como máximos responsables puedan ser remitidos a instancias investigativas o sancionatorias, cuando la Sala de Definición de Situaciones Jurídicas advierte que su grado de contribución al patrón macro</w:t>
      </w:r>
      <w:r w:rsidR="00940081" w:rsidRPr="00746ACE">
        <w:t xml:space="preserve"> </w:t>
      </w:r>
      <w:r w:rsidR="002003BF" w:rsidRPr="00746ACE">
        <w:t>criminal investigado fue significativamente mayor de lo inicialmente considerado.</w:t>
      </w:r>
    </w:p>
    <w:p w14:paraId="56E480A1" w14:textId="77777777" w:rsidR="001E1475" w:rsidRPr="00746ACE" w:rsidRDefault="001E1475" w:rsidP="00FC0DFB">
      <w:pPr>
        <w:pStyle w:val="Prrafodelista"/>
        <w:widowControl w:val="0"/>
      </w:pPr>
    </w:p>
    <w:p w14:paraId="17278891" w14:textId="1269B7B9" w:rsidR="001E1475" w:rsidRPr="00746ACE" w:rsidRDefault="002003BF" w:rsidP="00FC0DFB">
      <w:pPr>
        <w:pStyle w:val="Prrafodelista"/>
        <w:widowControl w:val="0"/>
        <w:numPr>
          <w:ilvl w:val="0"/>
          <w:numId w:val="7"/>
        </w:numPr>
      </w:pPr>
      <w:r w:rsidRPr="00746ACE">
        <w:t xml:space="preserve">En consecuencia, mientras que la selección individual reconocida por la Corte </w:t>
      </w:r>
      <w:r w:rsidR="00310023" w:rsidRPr="00746ACE">
        <w:t xml:space="preserve">en su análisis de la Ley 1957 de 2018 </w:t>
      </w:r>
      <w:r w:rsidRPr="00746ACE">
        <w:t xml:space="preserve">opera para excluir definitivamente a ciertos comparecientes del ámbito sancionatorio, la selección de segundo orden permite revertir esa exclusión inicial y reintroducirlos en el circuito de investigación o sanción. </w:t>
      </w:r>
      <w:r w:rsidR="0043161D" w:rsidRPr="00746ACE">
        <w:t>Se</w:t>
      </w:r>
      <w:r w:rsidRPr="00746ACE">
        <w:t xml:space="preserve"> trata</w:t>
      </w:r>
      <w:r w:rsidR="004F4B1F" w:rsidRPr="00746ACE">
        <w:t>,</w:t>
      </w:r>
      <w:r w:rsidRPr="00746ACE">
        <w:t xml:space="preserve"> </w:t>
      </w:r>
      <w:r w:rsidR="00624B9B" w:rsidRPr="00746ACE">
        <w:t>entonces</w:t>
      </w:r>
      <w:r w:rsidR="004F4B1F" w:rsidRPr="00746ACE">
        <w:t>,</w:t>
      </w:r>
      <w:r w:rsidR="00624B9B" w:rsidRPr="00746ACE">
        <w:t xml:space="preserve"> </w:t>
      </w:r>
      <w:r w:rsidRPr="00746ACE">
        <w:t>de una figura esencialmente distinta.</w:t>
      </w:r>
    </w:p>
    <w:p w14:paraId="62AEE19D" w14:textId="77777777" w:rsidR="001E1475" w:rsidRPr="00746ACE" w:rsidRDefault="001E1475" w:rsidP="00FC0DFB">
      <w:pPr>
        <w:pStyle w:val="Prrafodelista"/>
        <w:widowControl w:val="0"/>
        <w:rPr>
          <w:lang w:eastAsia="es-ES"/>
        </w:rPr>
      </w:pPr>
    </w:p>
    <w:p w14:paraId="6A12340D" w14:textId="77777777" w:rsidR="001E1475" w:rsidRPr="00746ACE" w:rsidRDefault="002003BF" w:rsidP="00FC0DFB">
      <w:pPr>
        <w:pStyle w:val="Prrafodelista"/>
        <w:widowControl w:val="0"/>
        <w:numPr>
          <w:ilvl w:val="0"/>
          <w:numId w:val="7"/>
        </w:numPr>
      </w:pPr>
      <w:r w:rsidRPr="00746ACE">
        <w:rPr>
          <w:lang w:eastAsia="es-ES"/>
        </w:rPr>
        <w:t xml:space="preserve">A continuación, se explica </w:t>
      </w:r>
      <w:r w:rsidR="001E1475" w:rsidRPr="00746ACE">
        <w:rPr>
          <w:lang w:eastAsia="es-ES"/>
        </w:rPr>
        <w:t>con mayor profundidad esta afirmación</w:t>
      </w:r>
      <w:r w:rsidRPr="00746ACE">
        <w:rPr>
          <w:lang w:eastAsia="es-ES"/>
        </w:rPr>
        <w:t xml:space="preserve">: </w:t>
      </w:r>
    </w:p>
    <w:p w14:paraId="5763C5C4" w14:textId="19F3C74B" w:rsidR="001E1475" w:rsidRPr="00746ACE" w:rsidRDefault="004566D6" w:rsidP="00FC0DFB">
      <w:pPr>
        <w:pStyle w:val="Prrafodelista"/>
        <w:widowControl w:val="0"/>
        <w:rPr>
          <w:i/>
          <w:lang w:eastAsia="es-ES"/>
        </w:rPr>
      </w:pPr>
      <w:r w:rsidRPr="00746ACE">
        <w:rPr>
          <w:i/>
          <w:lang w:eastAsia="es-ES"/>
        </w:rPr>
        <w:t xml:space="preserve"> </w:t>
      </w:r>
      <w:r w:rsidRPr="00746ACE">
        <w:rPr>
          <w:i/>
          <w:lang w:eastAsia="es-ES"/>
        </w:rPr>
        <w:tab/>
      </w:r>
    </w:p>
    <w:p w14:paraId="29A6D163" w14:textId="77777777" w:rsidR="001E1475" w:rsidRPr="00746ACE" w:rsidRDefault="001E1475" w:rsidP="000B69F5">
      <w:pPr>
        <w:pStyle w:val="Prrafodelista"/>
        <w:widowControl w:val="0"/>
        <w:numPr>
          <w:ilvl w:val="0"/>
          <w:numId w:val="8"/>
        </w:numPr>
        <w:rPr>
          <w:i/>
          <w:szCs w:val="24"/>
          <w:lang w:eastAsia="es-ES"/>
        </w:rPr>
      </w:pPr>
      <w:r w:rsidRPr="00746ACE">
        <w:rPr>
          <w:i/>
          <w:szCs w:val="24"/>
          <w:lang w:eastAsia="es-ES"/>
        </w:rPr>
        <w:t xml:space="preserve">Paralelo entre la selección de segundo orden y las sentencias de </w:t>
      </w:r>
      <w:r w:rsidRPr="00746ACE">
        <w:rPr>
          <w:szCs w:val="24"/>
        </w:rPr>
        <w:t>la</w:t>
      </w:r>
      <w:r w:rsidRPr="00746ACE">
        <w:rPr>
          <w:i/>
          <w:szCs w:val="24"/>
          <w:lang w:eastAsia="es-ES"/>
        </w:rPr>
        <w:t xml:space="preserve"> Corte Constitucional en materia de selección</w:t>
      </w:r>
    </w:p>
    <w:p w14:paraId="7FBB8CFE" w14:textId="77777777" w:rsidR="00212AD5" w:rsidRPr="00746ACE" w:rsidRDefault="00212AD5" w:rsidP="000B69F5">
      <w:pPr>
        <w:widowControl w:val="0"/>
        <w:rPr>
          <w:b/>
          <w:i/>
          <w:szCs w:val="24"/>
          <w:lang w:eastAsia="es-ES"/>
        </w:rPr>
      </w:pPr>
    </w:p>
    <w:tbl>
      <w:tblPr>
        <w:tblStyle w:val="Tablaconcuadrcula"/>
        <w:tblW w:w="0" w:type="auto"/>
        <w:tblLook w:val="04A0" w:firstRow="1" w:lastRow="0" w:firstColumn="1" w:lastColumn="0" w:noHBand="0" w:noVBand="1"/>
      </w:tblPr>
      <w:tblGrid>
        <w:gridCol w:w="4414"/>
        <w:gridCol w:w="4414"/>
      </w:tblGrid>
      <w:tr w:rsidR="00B92597" w:rsidRPr="00746ACE" w14:paraId="153F00B7" w14:textId="77777777" w:rsidTr="00212AD5">
        <w:trPr>
          <w:trHeight w:val="324"/>
        </w:trPr>
        <w:tc>
          <w:tcPr>
            <w:tcW w:w="4414" w:type="dxa"/>
            <w:shd w:val="clear" w:color="auto" w:fill="D9E2F3" w:themeFill="accent1" w:themeFillTint="33"/>
            <w:vAlign w:val="center"/>
          </w:tcPr>
          <w:p w14:paraId="591CD7CB" w14:textId="77777777" w:rsidR="001E1475" w:rsidRPr="00746ACE" w:rsidRDefault="001E1475" w:rsidP="00C32A50">
            <w:pPr>
              <w:pStyle w:val="Prrafodelista"/>
              <w:widowControl w:val="0"/>
              <w:ind w:left="0"/>
              <w:jc w:val="center"/>
              <w:rPr>
                <w:b/>
                <w:szCs w:val="24"/>
                <w:lang w:eastAsia="es-ES"/>
              </w:rPr>
            </w:pPr>
            <w:r w:rsidRPr="00746ACE">
              <w:rPr>
                <w:b/>
                <w:szCs w:val="24"/>
                <w:lang w:eastAsia="es-ES"/>
              </w:rPr>
              <w:t>Sentencia C-080 de 2018</w:t>
            </w:r>
          </w:p>
        </w:tc>
        <w:tc>
          <w:tcPr>
            <w:tcW w:w="4414" w:type="dxa"/>
            <w:shd w:val="clear" w:color="auto" w:fill="D9E2F3" w:themeFill="accent1" w:themeFillTint="33"/>
            <w:vAlign w:val="center"/>
          </w:tcPr>
          <w:p w14:paraId="428F79C3" w14:textId="77777777" w:rsidR="001E1475" w:rsidRPr="00746ACE" w:rsidRDefault="001E1475" w:rsidP="00C32A50">
            <w:pPr>
              <w:pStyle w:val="Prrafodelista"/>
              <w:widowControl w:val="0"/>
              <w:ind w:left="0"/>
              <w:jc w:val="center"/>
              <w:rPr>
                <w:b/>
                <w:szCs w:val="24"/>
                <w:lang w:eastAsia="es-ES"/>
              </w:rPr>
            </w:pPr>
            <w:r w:rsidRPr="00746ACE">
              <w:rPr>
                <w:b/>
                <w:szCs w:val="24"/>
                <w:lang w:eastAsia="es-ES"/>
              </w:rPr>
              <w:t>Sentencias interpretativas 5, 8 y 9</w:t>
            </w:r>
          </w:p>
        </w:tc>
      </w:tr>
      <w:tr w:rsidR="00B92597" w:rsidRPr="00746ACE" w14:paraId="48192F24" w14:textId="77777777">
        <w:tc>
          <w:tcPr>
            <w:tcW w:w="4414" w:type="dxa"/>
          </w:tcPr>
          <w:p w14:paraId="2D0B1BE9" w14:textId="77777777" w:rsidR="001E1475" w:rsidRPr="00746ACE" w:rsidRDefault="001E1475" w:rsidP="00FC0DFB">
            <w:pPr>
              <w:pStyle w:val="Prrafodelista"/>
              <w:widowControl w:val="0"/>
              <w:ind w:left="0"/>
              <w:rPr>
                <w:szCs w:val="24"/>
                <w:lang w:eastAsia="es-ES"/>
              </w:rPr>
            </w:pPr>
            <w:r w:rsidRPr="00746ACE">
              <w:rPr>
                <w:szCs w:val="24"/>
                <w:lang w:eastAsia="es-ES"/>
              </w:rPr>
              <w:t>Existe una selección global y una individual,</w:t>
            </w:r>
          </w:p>
        </w:tc>
        <w:tc>
          <w:tcPr>
            <w:tcW w:w="4414" w:type="dxa"/>
          </w:tcPr>
          <w:p w14:paraId="1E3A92A9" w14:textId="77777777" w:rsidR="001E1475" w:rsidRPr="00746ACE" w:rsidRDefault="001E1475" w:rsidP="00FC0DFB">
            <w:pPr>
              <w:pStyle w:val="Prrafodelista"/>
              <w:widowControl w:val="0"/>
              <w:ind w:left="0"/>
              <w:rPr>
                <w:szCs w:val="24"/>
                <w:lang w:eastAsia="es-ES"/>
              </w:rPr>
            </w:pPr>
            <w:r w:rsidRPr="00746ACE">
              <w:rPr>
                <w:szCs w:val="24"/>
                <w:lang w:eastAsia="es-ES"/>
              </w:rPr>
              <w:t>Existe una selección de primer orden y otra de segundo orden</w:t>
            </w:r>
          </w:p>
        </w:tc>
      </w:tr>
      <w:tr w:rsidR="00B92597" w:rsidRPr="00746ACE" w14:paraId="641459DF" w14:textId="77777777">
        <w:tc>
          <w:tcPr>
            <w:tcW w:w="4414" w:type="dxa"/>
          </w:tcPr>
          <w:p w14:paraId="09325871" w14:textId="77777777" w:rsidR="001E1475" w:rsidRPr="00746ACE" w:rsidRDefault="001E1475" w:rsidP="00FC0DFB">
            <w:pPr>
              <w:pStyle w:val="Prrafodelista"/>
              <w:widowControl w:val="0"/>
              <w:ind w:left="0"/>
              <w:rPr>
                <w:szCs w:val="24"/>
                <w:lang w:eastAsia="es-ES"/>
              </w:rPr>
            </w:pPr>
            <w:r w:rsidRPr="00746ACE">
              <w:rPr>
                <w:szCs w:val="24"/>
                <w:lang w:eastAsia="es-ES"/>
              </w:rPr>
              <w:t xml:space="preserve">La selección global está a cargo de la Sala de Reconocimiento de Verdad y Responsabilidad. Es de carácter positivo, pues consiste en la identificación de los máximos responsables de los crímenes más graves y representativos. </w:t>
            </w:r>
          </w:p>
        </w:tc>
        <w:tc>
          <w:tcPr>
            <w:tcW w:w="4414" w:type="dxa"/>
          </w:tcPr>
          <w:p w14:paraId="6B778ACA" w14:textId="77777777" w:rsidR="001E1475" w:rsidRPr="00746ACE" w:rsidRDefault="001E1475" w:rsidP="00FC0DFB">
            <w:pPr>
              <w:pStyle w:val="Prrafodelista"/>
              <w:widowControl w:val="0"/>
              <w:ind w:left="0"/>
              <w:rPr>
                <w:szCs w:val="24"/>
                <w:lang w:eastAsia="es-ES"/>
              </w:rPr>
            </w:pPr>
            <w:r w:rsidRPr="00746ACE">
              <w:rPr>
                <w:szCs w:val="24"/>
                <w:lang w:eastAsia="es-ES"/>
              </w:rPr>
              <w:t>La selección de primer orden está a cargo de la Sala de Reconocimiento de Verdad y Responsabilidad. Es de carácter positivo, pues consiste en la identificación de los máximos responsables de los crímenes más graves y representativos.</w:t>
            </w:r>
          </w:p>
        </w:tc>
      </w:tr>
      <w:tr w:rsidR="00B92597" w:rsidRPr="00746ACE" w14:paraId="48951C6C" w14:textId="77777777">
        <w:tc>
          <w:tcPr>
            <w:tcW w:w="4414" w:type="dxa"/>
          </w:tcPr>
          <w:p w14:paraId="7BC8AED4" w14:textId="77777777" w:rsidR="001E1475" w:rsidRPr="00746ACE" w:rsidRDefault="001E1475" w:rsidP="00FC0DFB">
            <w:pPr>
              <w:pStyle w:val="Prrafodelista"/>
              <w:widowControl w:val="0"/>
              <w:ind w:left="0"/>
              <w:rPr>
                <w:szCs w:val="24"/>
                <w:lang w:eastAsia="es-ES"/>
              </w:rPr>
            </w:pPr>
            <w:r w:rsidRPr="00746ACE">
              <w:rPr>
                <w:szCs w:val="24"/>
                <w:lang w:eastAsia="es-ES"/>
              </w:rPr>
              <w:t xml:space="preserve">La selección individual corresponde a la Sala de Definición de Situaciones Jurídicas. Se efectúa sobre comparecientes que no tienen la condición de máximos responsables y ocurre con posterioridad a la selección global. </w:t>
            </w:r>
          </w:p>
        </w:tc>
        <w:tc>
          <w:tcPr>
            <w:tcW w:w="4414" w:type="dxa"/>
          </w:tcPr>
          <w:p w14:paraId="5CE7EDA8" w14:textId="77777777" w:rsidR="001E1475" w:rsidRPr="00746ACE" w:rsidRDefault="001E1475" w:rsidP="00FC0DFB">
            <w:pPr>
              <w:pStyle w:val="Prrafodelista"/>
              <w:widowControl w:val="0"/>
              <w:ind w:left="0"/>
              <w:rPr>
                <w:szCs w:val="24"/>
                <w:lang w:eastAsia="es-ES"/>
              </w:rPr>
            </w:pPr>
            <w:r w:rsidRPr="00746ACE">
              <w:rPr>
                <w:szCs w:val="24"/>
                <w:lang w:eastAsia="es-ES"/>
              </w:rPr>
              <w:t>La selección de segundo orden es individual y corresponde a la Sala de Definición de Situaciones Jurídicas. Se efectúa sobre comparecientes que no tienen la condición de máximos responsables y ocurre con posterioridad a la selección global.</w:t>
            </w:r>
          </w:p>
        </w:tc>
      </w:tr>
      <w:tr w:rsidR="00B92597" w:rsidRPr="00746ACE" w14:paraId="6313A9A0" w14:textId="77777777">
        <w:tc>
          <w:tcPr>
            <w:tcW w:w="4414" w:type="dxa"/>
          </w:tcPr>
          <w:p w14:paraId="1B7045A3" w14:textId="77777777" w:rsidR="001E1475" w:rsidRPr="00746ACE" w:rsidRDefault="001E1475" w:rsidP="00FC0DFB">
            <w:pPr>
              <w:pStyle w:val="Prrafodelista"/>
              <w:widowControl w:val="0"/>
              <w:ind w:left="0"/>
              <w:rPr>
                <w:szCs w:val="24"/>
                <w:lang w:eastAsia="es-ES"/>
              </w:rPr>
            </w:pPr>
            <w:r w:rsidRPr="00746ACE">
              <w:rPr>
                <w:szCs w:val="24"/>
                <w:lang w:eastAsia="es-ES"/>
              </w:rPr>
              <w:t>Es, en esencia, la selección que hace la Sala de Definición es negativa y se concreta en mecanismos de renuncia o suspensión de la persecución penal.</w:t>
            </w:r>
          </w:p>
        </w:tc>
        <w:tc>
          <w:tcPr>
            <w:tcW w:w="4414" w:type="dxa"/>
          </w:tcPr>
          <w:p w14:paraId="3D2C2EFE" w14:textId="77777777" w:rsidR="001E1475" w:rsidRPr="00746ACE" w:rsidRDefault="001E1475" w:rsidP="00FC0DFB">
            <w:pPr>
              <w:widowControl w:val="0"/>
              <w:rPr>
                <w:szCs w:val="24"/>
                <w:lang w:eastAsia="es-ES"/>
              </w:rPr>
            </w:pPr>
            <w:r w:rsidRPr="00746ACE">
              <w:rPr>
                <w:szCs w:val="24"/>
                <w:lang w:eastAsia="es-ES"/>
              </w:rPr>
              <w:t xml:space="preserve">Es, en esencia, la selección de segundo orden es positiva y se concreta en la facultad de la Sala de Definición de Situaciones Jurídicas para verificar el rol del compareciente y su aporte al sistema. </w:t>
            </w:r>
          </w:p>
        </w:tc>
      </w:tr>
      <w:tr w:rsidR="001E1475" w:rsidRPr="00746ACE" w14:paraId="1168CDEC" w14:textId="77777777">
        <w:tc>
          <w:tcPr>
            <w:tcW w:w="4414" w:type="dxa"/>
          </w:tcPr>
          <w:p w14:paraId="045F59C9" w14:textId="77777777" w:rsidR="001E1475" w:rsidRPr="00746ACE" w:rsidRDefault="001E1475" w:rsidP="00FC0DFB">
            <w:pPr>
              <w:pStyle w:val="Prrafodelista"/>
              <w:widowControl w:val="0"/>
              <w:ind w:left="0"/>
              <w:rPr>
                <w:szCs w:val="24"/>
                <w:lang w:eastAsia="es-ES"/>
              </w:rPr>
            </w:pPr>
          </w:p>
        </w:tc>
        <w:tc>
          <w:tcPr>
            <w:tcW w:w="4414" w:type="dxa"/>
          </w:tcPr>
          <w:p w14:paraId="590434C2" w14:textId="77777777" w:rsidR="001E1475" w:rsidRPr="00746ACE" w:rsidRDefault="001E1475" w:rsidP="00FC0DFB">
            <w:pPr>
              <w:widowControl w:val="0"/>
              <w:rPr>
                <w:szCs w:val="24"/>
                <w:lang w:eastAsia="es-ES"/>
              </w:rPr>
            </w:pPr>
            <w:r w:rsidRPr="00746ACE">
              <w:rPr>
                <w:szCs w:val="24"/>
                <w:lang w:eastAsia="es-ES"/>
              </w:rPr>
              <w:t>La evaluación de la Sala de Definición de Situaciones Jurídicas puede conducir en la remisión a la Unidad de Investigación y Acusación, para que esta determine si existe mérito para iniciar un juicio adversarial ante la Sección de ausencia de reconocimiento de verdad y responsabilidad.</w:t>
            </w:r>
          </w:p>
        </w:tc>
      </w:tr>
    </w:tbl>
    <w:p w14:paraId="7CB0893C" w14:textId="77777777" w:rsidR="001E1475" w:rsidRPr="00746ACE" w:rsidRDefault="001E1475" w:rsidP="00CF1AD1">
      <w:pPr>
        <w:widowControl w:val="0"/>
        <w:rPr>
          <w:lang w:eastAsia="es-ES"/>
        </w:rPr>
      </w:pPr>
    </w:p>
    <w:p w14:paraId="1B8DACF9" w14:textId="546983A3" w:rsidR="001E1475" w:rsidRPr="00746ACE" w:rsidRDefault="004F4B1F" w:rsidP="00FC0DFB">
      <w:pPr>
        <w:pStyle w:val="Prrafodelista"/>
        <w:widowControl w:val="0"/>
        <w:numPr>
          <w:ilvl w:val="0"/>
          <w:numId w:val="7"/>
        </w:numPr>
      </w:pPr>
      <w:r w:rsidRPr="00746ACE">
        <w:rPr>
          <w:lang w:eastAsia="es-ES"/>
        </w:rPr>
        <w:t xml:space="preserve">Asimismo, la </w:t>
      </w:r>
      <w:r w:rsidR="002003BF" w:rsidRPr="00746ACE">
        <w:rPr>
          <w:lang w:eastAsia="es-ES"/>
        </w:rPr>
        <w:t xml:space="preserve">selección de segundo orden permite que </w:t>
      </w:r>
      <w:r w:rsidRPr="00746ACE">
        <w:rPr>
          <w:lang w:eastAsia="es-ES"/>
        </w:rPr>
        <w:t xml:space="preserve">los </w:t>
      </w:r>
      <w:r w:rsidR="002003BF" w:rsidRPr="00746ACE">
        <w:rPr>
          <w:lang w:eastAsia="es-ES"/>
        </w:rPr>
        <w:t>comparecientes que habían sido excluidos puedan ser nuevamente incorporados al circuito de investigación o sanción, en atención a una nueva valoración de su nivel de contribución</w:t>
      </w:r>
      <w:r w:rsidR="00624B9B" w:rsidRPr="00746ACE">
        <w:rPr>
          <w:lang w:eastAsia="es-ES"/>
        </w:rPr>
        <w:t xml:space="preserve"> a la verdad y, en algunos casos, a su reconocimiento de responsabilidad</w:t>
      </w:r>
      <w:r w:rsidR="002003BF" w:rsidRPr="00746ACE">
        <w:rPr>
          <w:lang w:eastAsia="es-ES"/>
        </w:rPr>
        <w:t xml:space="preserve">. Esta diferencia resulta sustancial desde la perspectiva de los derechos de los comparecientes y la arquitectura del sistema, pues mientras la </w:t>
      </w:r>
      <w:r w:rsidR="00624B9B" w:rsidRPr="00746ACE">
        <w:rPr>
          <w:lang w:eastAsia="es-ES"/>
        </w:rPr>
        <w:t xml:space="preserve">selección individual </w:t>
      </w:r>
      <w:r w:rsidR="002003BF" w:rsidRPr="00746ACE">
        <w:rPr>
          <w:lang w:eastAsia="es-ES"/>
        </w:rPr>
        <w:t xml:space="preserve">opera como un mecanismo de exclusión, la </w:t>
      </w:r>
      <w:r w:rsidRPr="00746ACE">
        <w:rPr>
          <w:lang w:eastAsia="es-ES"/>
        </w:rPr>
        <w:t xml:space="preserve">selección </w:t>
      </w:r>
      <w:r w:rsidR="00624B9B" w:rsidRPr="00746ACE">
        <w:rPr>
          <w:lang w:eastAsia="es-ES"/>
        </w:rPr>
        <w:t xml:space="preserve">de segundo orden </w:t>
      </w:r>
      <w:r w:rsidR="002003BF" w:rsidRPr="00746ACE">
        <w:rPr>
          <w:lang w:eastAsia="es-ES"/>
        </w:rPr>
        <w:t xml:space="preserve">abre la posibilidad de reactivar el sometimiento </w:t>
      </w:r>
      <w:r w:rsidRPr="00746ACE">
        <w:rPr>
          <w:lang w:eastAsia="es-ES"/>
        </w:rPr>
        <w:t>d</w:t>
      </w:r>
      <w:r w:rsidR="002003BF" w:rsidRPr="00746ACE">
        <w:rPr>
          <w:lang w:eastAsia="es-ES"/>
        </w:rPr>
        <w:t>e los comparecientes a procedimientos investigativos o sancionatorios.</w:t>
      </w:r>
    </w:p>
    <w:p w14:paraId="66F781B0" w14:textId="77777777" w:rsidR="00624B9B" w:rsidRPr="00746ACE" w:rsidRDefault="00624B9B" w:rsidP="00CF1AD1">
      <w:pPr>
        <w:widowControl w:val="0"/>
      </w:pPr>
    </w:p>
    <w:p w14:paraId="7A120551" w14:textId="34B5E887" w:rsidR="00624B9B" w:rsidRPr="00746ACE" w:rsidRDefault="00624B9B" w:rsidP="00FC0DFB">
      <w:pPr>
        <w:pStyle w:val="Prrafodelista"/>
        <w:widowControl w:val="0"/>
        <w:numPr>
          <w:ilvl w:val="0"/>
          <w:numId w:val="7"/>
        </w:numPr>
      </w:pPr>
      <w:r w:rsidRPr="00746ACE">
        <w:rPr>
          <w:lang w:eastAsia="es-ES"/>
        </w:rPr>
        <w:t xml:space="preserve">El panorama descrito conduce al retorno al sistema de investigación y juzgamiento </w:t>
      </w:r>
      <w:r w:rsidR="004F4B1F" w:rsidRPr="00746ACE">
        <w:rPr>
          <w:lang w:eastAsia="es-ES"/>
        </w:rPr>
        <w:t xml:space="preserve">a un sistema </w:t>
      </w:r>
      <w:r w:rsidRPr="00746ACE">
        <w:rPr>
          <w:lang w:eastAsia="es-ES"/>
        </w:rPr>
        <w:t>“caso a caso”, pues la selección de segundo orden opera desde la lógica de evaluar cada hecho, cada compareciente y cada aporte al sistema, y no solo con miras a una evaluación del régimen de condicionalidad, sino también con el propósito de iniciar juicios adversariales que, potencialmente, culminarían con sanciones alternativas u ordinarias de prisión.</w:t>
      </w:r>
    </w:p>
    <w:p w14:paraId="2062EB57" w14:textId="77777777" w:rsidR="00624B9B" w:rsidRPr="00746ACE" w:rsidRDefault="00624B9B" w:rsidP="00FC0DFB">
      <w:pPr>
        <w:pStyle w:val="Prrafodelista"/>
        <w:widowControl w:val="0"/>
        <w:rPr>
          <w:lang w:eastAsia="es-ES"/>
        </w:rPr>
      </w:pPr>
    </w:p>
    <w:p w14:paraId="0DEB2646" w14:textId="04192375" w:rsidR="00624B9B" w:rsidRPr="00746ACE" w:rsidRDefault="00624B9B" w:rsidP="00FC0DFB">
      <w:pPr>
        <w:pStyle w:val="Prrafodelista"/>
        <w:widowControl w:val="0"/>
        <w:numPr>
          <w:ilvl w:val="0"/>
          <w:numId w:val="7"/>
        </w:numPr>
      </w:pPr>
      <w:r w:rsidRPr="00746ACE">
        <w:rPr>
          <w:lang w:eastAsia="es-ES"/>
        </w:rPr>
        <w:t xml:space="preserve">La Sección de Apelación sostuvo que asumir que la selección de segundo orden implica la eventual reapertura de todos los procesos es exagerado, ya que esta figura no conduce necesariamente a la apertura de una investigación ni a la imposición de una sanción. En ese sentido, explicó que en este esquema se abren tres líneas de acción y </w:t>
      </w:r>
      <w:r w:rsidR="004F4B1F" w:rsidRPr="00746ACE">
        <w:rPr>
          <w:lang w:eastAsia="es-ES"/>
        </w:rPr>
        <w:t xml:space="preserve">solo </w:t>
      </w:r>
      <w:r w:rsidRPr="00746ACE">
        <w:rPr>
          <w:lang w:eastAsia="es-ES"/>
        </w:rPr>
        <w:t xml:space="preserve">una de ellas conduce, en efecto, a la renuncia a la persecución penal. </w:t>
      </w:r>
    </w:p>
    <w:p w14:paraId="63382BA3" w14:textId="77777777" w:rsidR="00624B9B" w:rsidRPr="00746ACE" w:rsidRDefault="00624B9B" w:rsidP="00E546E4">
      <w:pPr>
        <w:widowControl w:val="0"/>
      </w:pPr>
    </w:p>
    <w:p w14:paraId="0E12E5CA" w14:textId="1D5BC19E" w:rsidR="00723D60" w:rsidRPr="00746ACE" w:rsidRDefault="00624B9B" w:rsidP="00723D60">
      <w:pPr>
        <w:pStyle w:val="Prrafodelista"/>
        <w:widowControl w:val="0"/>
        <w:numPr>
          <w:ilvl w:val="0"/>
          <w:numId w:val="7"/>
        </w:numPr>
      </w:pPr>
      <w:r w:rsidRPr="00746ACE">
        <w:rPr>
          <w:lang w:eastAsia="es-ES"/>
        </w:rPr>
        <w:t xml:space="preserve">La Corte no pasa por alto que las </w:t>
      </w:r>
      <w:r w:rsidRPr="00746ACE">
        <w:rPr>
          <w:i/>
          <w:iCs/>
          <w:lang w:eastAsia="es-ES"/>
        </w:rPr>
        <w:t xml:space="preserve">senit </w:t>
      </w:r>
      <w:r w:rsidRPr="00746ACE">
        <w:rPr>
          <w:lang w:eastAsia="es-ES"/>
        </w:rPr>
        <w:t xml:space="preserve">5 y 8 prevén </w:t>
      </w:r>
      <w:r w:rsidR="00723D60" w:rsidRPr="00746ACE">
        <w:rPr>
          <w:lang w:eastAsia="es-ES"/>
        </w:rPr>
        <w:t xml:space="preserve">diversas situaciones y </w:t>
      </w:r>
      <w:r w:rsidRPr="00746ACE">
        <w:rPr>
          <w:lang w:eastAsia="es-ES"/>
        </w:rPr>
        <w:t xml:space="preserve">rutas procesales frente a los comparecientes remitidos por la Sala de Reconocimiento de Verdad y Responsabilidad a la Sala de Definición de Situaciones Jurídicas a partir de la resolución de conclusiones, en función del reconocimiento de verdad o, en general, de contribución al sistema integral de paz. </w:t>
      </w:r>
    </w:p>
    <w:p w14:paraId="25C49A29" w14:textId="77777777" w:rsidR="00723D60" w:rsidRPr="00746ACE" w:rsidRDefault="00723D60" w:rsidP="00723D60">
      <w:pPr>
        <w:pStyle w:val="Prrafodelista"/>
      </w:pPr>
    </w:p>
    <w:p w14:paraId="285D7E57" w14:textId="33AB48A9" w:rsidR="00723D60" w:rsidRPr="00746ACE" w:rsidRDefault="00723D60" w:rsidP="00723D60">
      <w:pPr>
        <w:pStyle w:val="Prrafodelista"/>
        <w:widowControl w:val="0"/>
        <w:numPr>
          <w:ilvl w:val="0"/>
          <w:numId w:val="7"/>
        </w:numPr>
      </w:pPr>
      <w:r w:rsidRPr="00746ACE">
        <w:t>Así, primero, plantea tres situaciones distintas en función del reconocimiento de verdad: aporte de verdad plena, aporte insuficiente y ausencia de aporte. Estos supuestos, a su vez, abren distintas hipótesis y consecuencias normativas</w:t>
      </w:r>
      <w:r w:rsidR="00A723AC" w:rsidRPr="00746ACE">
        <w:t>, a saber:</w:t>
      </w:r>
      <w:r w:rsidRPr="00746ACE">
        <w:t xml:space="preserve"> </w:t>
      </w:r>
    </w:p>
    <w:p w14:paraId="799CFE39" w14:textId="77777777" w:rsidR="00723D60" w:rsidRPr="00746ACE" w:rsidRDefault="00723D60" w:rsidP="00723D60">
      <w:pPr>
        <w:pStyle w:val="Prrafodelista"/>
      </w:pPr>
    </w:p>
    <w:p w14:paraId="38E30E01" w14:textId="3A06E265" w:rsidR="00723D60" w:rsidRPr="00746ACE" w:rsidRDefault="00A723AC" w:rsidP="00723D60">
      <w:pPr>
        <w:pStyle w:val="Prrafodelista"/>
        <w:widowControl w:val="0"/>
        <w:numPr>
          <w:ilvl w:val="0"/>
          <w:numId w:val="7"/>
        </w:numPr>
      </w:pPr>
      <w:r w:rsidRPr="00746ACE">
        <w:t>Primero, p</w:t>
      </w:r>
      <w:r w:rsidR="00723D60" w:rsidRPr="00746ACE">
        <w:t xml:space="preserve">ara quienes aporten verdad plena se prevé, en especial, la renuncia a la persecución penal; </w:t>
      </w:r>
      <w:r w:rsidRPr="00746ACE">
        <w:t>segundo, p</w:t>
      </w:r>
      <w:r w:rsidR="00723D60" w:rsidRPr="00746ACE">
        <w:t>ara quienes realicen aportes insuficientes, según la evaluación de cada caso puede proceder (i) la renuncia a la persecución penal, (ii) la apertura del incidente de incumplimiento del régimen de condicionalidad o (iii) la selección de segundo orden, con la eventual iniciación de un juicio adversarial en su contra, si la Unidad de Investigación y Acusación considera que existen méritos para solicitar su apertura; y</w:t>
      </w:r>
      <w:r w:rsidRPr="00746ACE">
        <w:t>, tercero, p</w:t>
      </w:r>
      <w:r w:rsidR="00723D60" w:rsidRPr="00746ACE">
        <w:t xml:space="preserve">ara quienes no realizan ningún aporte, (i) la negación del mecanismo no sancionatorio (en especial, la renuncia a la persecución penal), (ii) la apertura del incidente de incumplimiento del régimen de condicionalidad o. (iii) la remisión para la Unidad de Investigación y Acusación, es decir, la selección de segundo orden (ver, tabla 5). </w:t>
      </w:r>
    </w:p>
    <w:p w14:paraId="345B9668" w14:textId="77777777" w:rsidR="00723D60" w:rsidRPr="00746ACE" w:rsidRDefault="00723D60" w:rsidP="00723D60">
      <w:pPr>
        <w:pStyle w:val="Prrafodelista"/>
      </w:pPr>
    </w:p>
    <w:p w14:paraId="06063986" w14:textId="326D18A4" w:rsidR="00723D60" w:rsidRPr="00746ACE" w:rsidRDefault="00723D60" w:rsidP="00723D60">
      <w:pPr>
        <w:pStyle w:val="Prrafodelista"/>
        <w:widowControl w:val="0"/>
        <w:numPr>
          <w:ilvl w:val="0"/>
          <w:numId w:val="7"/>
        </w:numPr>
      </w:pPr>
      <w:r w:rsidRPr="00746ACE">
        <w:t>Como puede verse, la selección de segundo orden solo opera como una de tres rutas posibles en la situación de partícipes determinantes que aportan verdad insuficiente o no aportan verdad. Además, según los órganos de la JEP (en especial, la Sección de Apelación y la Sala de Definición de Situaciones Jurídicas) debe considerarse una vía excepcional.</w:t>
      </w:r>
    </w:p>
    <w:p w14:paraId="7F46AA67" w14:textId="77777777" w:rsidR="00624B9B" w:rsidRPr="00746ACE" w:rsidRDefault="00624B9B" w:rsidP="00CF1AD1">
      <w:pPr>
        <w:pStyle w:val="Prrafodelista"/>
        <w:widowControl w:val="0"/>
      </w:pPr>
    </w:p>
    <w:p w14:paraId="0A1E3A96" w14:textId="3FB795A6" w:rsidR="00720FE7" w:rsidRPr="00746ACE" w:rsidRDefault="00723D60" w:rsidP="00723D60">
      <w:pPr>
        <w:pStyle w:val="Prrafodelista"/>
        <w:widowControl w:val="0"/>
        <w:numPr>
          <w:ilvl w:val="0"/>
          <w:numId w:val="7"/>
        </w:numPr>
      </w:pPr>
      <w:r w:rsidRPr="00746ACE">
        <w:t>E</w:t>
      </w:r>
      <w:r w:rsidR="00624B9B" w:rsidRPr="00746ACE">
        <w:t>ste carácter residual o excepcional</w:t>
      </w:r>
      <w:r w:rsidRPr="00746ACE">
        <w:t>, sin embargo,</w:t>
      </w:r>
      <w:r w:rsidR="00624B9B" w:rsidRPr="00746ACE">
        <w:t xml:space="preserve"> no desvirtúa la conclusión alcanzada. </w:t>
      </w:r>
      <w:r w:rsidR="00720FE7" w:rsidRPr="00746ACE">
        <w:t xml:space="preserve">En este sentido, de </w:t>
      </w:r>
      <w:r w:rsidRPr="00746ACE">
        <w:t xml:space="preserve">las </w:t>
      </w:r>
      <w:r w:rsidR="00720FE7" w:rsidRPr="00746ACE">
        <w:t xml:space="preserve">posibles rutas para partícipes no determinantes, </w:t>
      </w:r>
      <w:r w:rsidRPr="00746ACE">
        <w:t xml:space="preserve">una de ellas es la selección de segundo orden y, cuando esta se aplique es posible que se inicie un juicio adversarial, donde se investigue, juzgue y sancione a personas excluidas de la selección positiva por la Sala de Reconocimiento de Verdad y Responsabilidad. En este preciso evento, que no es una posibilidad eventual sino una vía definida por el órgano de cierre de la Jurisdicción especial para la paz se concreta la dispersión </w:t>
      </w:r>
      <w:r w:rsidR="00720FE7" w:rsidRPr="00746ACE">
        <w:t>la investigación y juzgamiento de los máximos responsables en otros sujetos, al tiempo que implica dar a la Sala de Definición de Situaciones Jurídicas una facultad de selección que puede contradecir las conclusiones de la Sala de Reconocimiento de Verdad y Responsabilidad.</w:t>
      </w:r>
    </w:p>
    <w:p w14:paraId="15EB5B5B" w14:textId="77777777" w:rsidR="00720FE7" w:rsidRPr="00746ACE" w:rsidRDefault="00720FE7" w:rsidP="00720FE7">
      <w:pPr>
        <w:pStyle w:val="Prrafodelista"/>
      </w:pPr>
    </w:p>
    <w:p w14:paraId="108488CA" w14:textId="13633918" w:rsidR="00624B9B" w:rsidRPr="00746ACE" w:rsidRDefault="00720FE7" w:rsidP="00FC0DFB">
      <w:pPr>
        <w:pStyle w:val="Prrafodelista"/>
        <w:widowControl w:val="0"/>
        <w:numPr>
          <w:ilvl w:val="0"/>
          <w:numId w:val="7"/>
        </w:numPr>
      </w:pPr>
      <w:r w:rsidRPr="00746ACE">
        <w:t>Cabe advertir que,</w:t>
      </w:r>
      <w:r w:rsidR="00624B9B" w:rsidRPr="00746ACE">
        <w:t xml:space="preserve"> </w:t>
      </w:r>
      <w:r w:rsidRPr="00746ACE">
        <w:rPr>
          <w:lang w:eastAsia="es-ES"/>
        </w:rPr>
        <w:t>e</w:t>
      </w:r>
      <w:r w:rsidR="00624B9B" w:rsidRPr="00746ACE">
        <w:rPr>
          <w:lang w:eastAsia="es-ES"/>
        </w:rPr>
        <w:t xml:space="preserve">n criterio de la Sala Plena de la Corte Constitucional, el sentido de la selección de segundo orden es mantener el juzgamiento sobre hechos y sujetos no incluidos en la resolución de conclusiones. </w:t>
      </w:r>
    </w:p>
    <w:p w14:paraId="478077DD" w14:textId="77777777" w:rsidR="00624B9B" w:rsidRPr="00746ACE" w:rsidRDefault="00624B9B" w:rsidP="00FC0DFB">
      <w:pPr>
        <w:pStyle w:val="Prrafodelista"/>
        <w:widowControl w:val="0"/>
        <w:rPr>
          <w:lang w:eastAsia="es-ES"/>
        </w:rPr>
      </w:pPr>
    </w:p>
    <w:p w14:paraId="268321E4" w14:textId="388F4CE0" w:rsidR="00624B9B" w:rsidRPr="00746ACE" w:rsidRDefault="00624B9B" w:rsidP="00CF1AD1">
      <w:pPr>
        <w:pStyle w:val="Prrafodelista"/>
        <w:widowControl w:val="0"/>
        <w:numPr>
          <w:ilvl w:val="0"/>
          <w:numId w:val="7"/>
        </w:numPr>
      </w:pPr>
      <w:r w:rsidRPr="00746ACE">
        <w:rPr>
          <w:lang w:eastAsia="es-ES"/>
        </w:rPr>
        <w:t>Así lo confirmaron diversas intervenciones de la JEP en este proceso. A manera de ejemplo, el magistrado Arango Rivadeneira planteó que continuar la investigación, juzgamiento y sanción de ciertos individuos es una exigencia del derecho internacional y que por esta razón la selección de segundo orden “blinda” a la JEP</w:t>
      </w:r>
      <w:r w:rsidR="004F4B1F" w:rsidRPr="00746ACE">
        <w:rPr>
          <w:lang w:eastAsia="es-ES"/>
        </w:rPr>
        <w:t>.</w:t>
      </w:r>
      <w:r w:rsidR="00742777" w:rsidRPr="00746ACE">
        <w:rPr>
          <w:lang w:eastAsia="es-ES"/>
        </w:rPr>
        <w:t xml:space="preserve"> </w:t>
      </w:r>
      <w:r w:rsidR="004F4B1F" w:rsidRPr="00746ACE">
        <w:rPr>
          <w:lang w:eastAsia="es-ES"/>
        </w:rPr>
        <w:t xml:space="preserve">Por su parte, </w:t>
      </w:r>
      <w:r w:rsidRPr="00746ACE">
        <w:rPr>
          <w:lang w:eastAsia="es-ES"/>
        </w:rPr>
        <w:t>el magistrado Ramelli Arteaga sostuvo que la verdad sobre los patrones</w:t>
      </w:r>
      <w:r w:rsidRPr="00746ACE">
        <w:rPr>
          <w:i/>
          <w:lang w:eastAsia="es-ES"/>
        </w:rPr>
        <w:t xml:space="preserve"> </w:t>
      </w:r>
      <w:r w:rsidRPr="00746ACE">
        <w:rPr>
          <w:lang w:eastAsia="es-ES"/>
        </w:rPr>
        <w:t>de macro criminalidad la tienen los máximos responsables, pero la verdad sobre los hechos</w:t>
      </w:r>
      <w:r w:rsidRPr="00746ACE">
        <w:rPr>
          <w:i/>
          <w:lang w:eastAsia="es-ES"/>
        </w:rPr>
        <w:t xml:space="preserve"> </w:t>
      </w:r>
      <w:r w:rsidRPr="00746ACE">
        <w:rPr>
          <w:lang w:eastAsia="es-ES"/>
        </w:rPr>
        <w:t xml:space="preserve">la tienen quienes no son máximos. </w:t>
      </w:r>
      <w:r w:rsidR="004F4B1F" w:rsidRPr="00746ACE">
        <w:rPr>
          <w:lang w:eastAsia="es-ES"/>
        </w:rPr>
        <w:t>Además</w:t>
      </w:r>
      <w:r w:rsidRPr="00746ACE">
        <w:rPr>
          <w:lang w:eastAsia="es-ES"/>
        </w:rPr>
        <w:t xml:space="preserve">, ambos magistrados invocaron las expectativas de las víctimas o las demandas de verdad de las víctimas para defender su posición. </w:t>
      </w:r>
    </w:p>
    <w:p w14:paraId="0FB8020C" w14:textId="77777777" w:rsidR="00624B9B" w:rsidRPr="00746ACE" w:rsidRDefault="00624B9B" w:rsidP="00CF1AD1">
      <w:pPr>
        <w:widowControl w:val="0"/>
        <w:rPr>
          <w:lang w:eastAsia="es-ES"/>
        </w:rPr>
      </w:pPr>
    </w:p>
    <w:p w14:paraId="21332E26" w14:textId="77777777" w:rsidR="00624B9B" w:rsidRPr="00746ACE" w:rsidRDefault="00624B9B" w:rsidP="00CF1AD1">
      <w:pPr>
        <w:pStyle w:val="Prrafodelista"/>
        <w:widowControl w:val="0"/>
        <w:numPr>
          <w:ilvl w:val="0"/>
          <w:numId w:val="7"/>
        </w:numPr>
      </w:pPr>
      <w:r w:rsidRPr="00746ACE">
        <w:rPr>
          <w:lang w:eastAsia="es-ES"/>
        </w:rPr>
        <w:t>Es imprescindible recordar que el juzgamiento de macro casos implica, en su concepción y diseño, dar respuesta a todas las víctimas a través de la sanción impuesta a los máximos responsables; y conocer la verdad mediante patrones, políticas y planes</w:t>
      </w:r>
      <w:r w:rsidRPr="00746ACE">
        <w:rPr>
          <w:i/>
          <w:lang w:eastAsia="es-ES"/>
        </w:rPr>
        <w:t xml:space="preserve"> </w:t>
      </w:r>
      <w:r w:rsidRPr="00746ACE">
        <w:rPr>
          <w:lang w:eastAsia="es-ES"/>
        </w:rPr>
        <w:t>que constituyen ataques a la población civil, que son sistemáticos o generalizados.</w:t>
      </w:r>
    </w:p>
    <w:p w14:paraId="437E2C97" w14:textId="77777777" w:rsidR="00624B9B" w:rsidRPr="00746ACE" w:rsidRDefault="00624B9B" w:rsidP="00CF1AD1">
      <w:pPr>
        <w:pStyle w:val="Prrafodelista"/>
        <w:widowControl w:val="0"/>
        <w:rPr>
          <w:lang w:eastAsia="es-ES"/>
        </w:rPr>
      </w:pPr>
    </w:p>
    <w:p w14:paraId="5A816CF4" w14:textId="48ACAFC1" w:rsidR="00624B9B" w:rsidRPr="00746ACE" w:rsidRDefault="00624B9B" w:rsidP="00FC0DFB">
      <w:pPr>
        <w:pStyle w:val="Prrafodelista"/>
        <w:widowControl w:val="0"/>
        <w:numPr>
          <w:ilvl w:val="0"/>
          <w:numId w:val="7"/>
        </w:numPr>
      </w:pPr>
      <w:r w:rsidRPr="00746ACE">
        <w:rPr>
          <w:lang w:eastAsia="es-ES"/>
        </w:rPr>
        <w:t xml:space="preserve">El principio constitucional </w:t>
      </w:r>
      <w:r w:rsidR="00130D46" w:rsidRPr="00746ACE">
        <w:rPr>
          <w:lang w:eastAsia="es-ES"/>
        </w:rPr>
        <w:t xml:space="preserve">y transicional </w:t>
      </w:r>
      <w:r w:rsidRPr="00746ACE">
        <w:rPr>
          <w:lang w:eastAsia="es-ES"/>
        </w:rPr>
        <w:t>de selección concebido de esta manera responde al siguiente escenario: la pretensión de juzgar millones de conductas desborda a cualquier sistema de justicia</w:t>
      </w:r>
      <w:r w:rsidR="004F4B1F" w:rsidRPr="00746ACE">
        <w:rPr>
          <w:lang w:eastAsia="es-ES"/>
        </w:rPr>
        <w:t xml:space="preserve">. </w:t>
      </w:r>
      <w:r w:rsidRPr="00746ACE">
        <w:rPr>
          <w:lang w:eastAsia="es-ES"/>
        </w:rPr>
        <w:t xml:space="preserve">Por eso, los mecanismos de justicia transicional incluyen medidas judiciales y extrajudiciales y no se limitan a la administración de justicia, sino que </w:t>
      </w:r>
      <w:r w:rsidR="00E546E4" w:rsidRPr="00746ACE">
        <w:rPr>
          <w:lang w:eastAsia="es-ES"/>
        </w:rPr>
        <w:t xml:space="preserve">crean también </w:t>
      </w:r>
      <w:r w:rsidRPr="00746ACE">
        <w:rPr>
          <w:lang w:eastAsia="es-ES"/>
        </w:rPr>
        <w:t xml:space="preserve">programas de reparación, comisiones de reconstrucción de la verdad y órganos de búsqueda de personas dadas por desaparecidas, entre otros. </w:t>
      </w:r>
    </w:p>
    <w:p w14:paraId="323DAD26" w14:textId="77777777" w:rsidR="00624B9B" w:rsidRPr="00746ACE" w:rsidRDefault="00624B9B" w:rsidP="00CF1AD1">
      <w:pPr>
        <w:pStyle w:val="Prrafodelista"/>
        <w:widowControl w:val="0"/>
        <w:rPr>
          <w:lang w:eastAsia="es-ES"/>
        </w:rPr>
      </w:pPr>
    </w:p>
    <w:p w14:paraId="032862D9" w14:textId="2C4E3A37" w:rsidR="00624B9B" w:rsidRPr="00746ACE" w:rsidRDefault="00624B9B" w:rsidP="00FC0DFB">
      <w:pPr>
        <w:pStyle w:val="Prrafodelista"/>
        <w:widowControl w:val="0"/>
        <w:numPr>
          <w:ilvl w:val="0"/>
          <w:numId w:val="7"/>
        </w:numPr>
      </w:pPr>
      <w:r w:rsidRPr="00746ACE">
        <w:rPr>
          <w:lang w:eastAsia="es-ES"/>
        </w:rPr>
        <w:t xml:space="preserve">Los macro casos agrupan conductas y hechos en patrones criminales, </w:t>
      </w:r>
      <w:r w:rsidR="004F4B1F" w:rsidRPr="00746ACE">
        <w:rPr>
          <w:lang w:eastAsia="es-ES"/>
        </w:rPr>
        <w:t xml:space="preserve">y con ello </w:t>
      </w:r>
      <w:r w:rsidRPr="00746ACE">
        <w:rPr>
          <w:lang w:eastAsia="es-ES"/>
        </w:rPr>
        <w:t>responden a millones de víctimas y miles de comparecientes. Por eso deben conducir a caminos ciertos</w:t>
      </w:r>
      <w:r w:rsidR="00720FE7" w:rsidRPr="00746ACE">
        <w:rPr>
          <w:lang w:eastAsia="es-ES"/>
        </w:rPr>
        <w:t xml:space="preserve"> y posibles de cumplir</w:t>
      </w:r>
      <w:r w:rsidRPr="00746ACE">
        <w:rPr>
          <w:lang w:eastAsia="es-ES"/>
        </w:rPr>
        <w:t xml:space="preserve"> para </w:t>
      </w:r>
      <w:r w:rsidR="00720FE7" w:rsidRPr="00746ACE">
        <w:rPr>
          <w:lang w:eastAsia="es-ES"/>
        </w:rPr>
        <w:t xml:space="preserve">efectos de </w:t>
      </w:r>
      <w:r w:rsidRPr="00746ACE">
        <w:rPr>
          <w:lang w:eastAsia="es-ES"/>
        </w:rPr>
        <w:t xml:space="preserve">la </w:t>
      </w:r>
      <w:r w:rsidR="00720FE7" w:rsidRPr="00746ACE">
        <w:rPr>
          <w:lang w:eastAsia="es-ES"/>
        </w:rPr>
        <w:t xml:space="preserve">imposición de la </w:t>
      </w:r>
      <w:r w:rsidRPr="00746ACE">
        <w:rPr>
          <w:lang w:eastAsia="es-ES"/>
        </w:rPr>
        <w:t>sanción o la definición de la situación jurídica de los interesados</w:t>
      </w:r>
      <w:r w:rsidRPr="00746ACE">
        <w:rPr>
          <w:rStyle w:val="Refdenotaalpie"/>
          <w:lang w:eastAsia="es-ES"/>
        </w:rPr>
        <w:footnoteReference w:id="114"/>
      </w:r>
      <w:r w:rsidR="004F4B1F" w:rsidRPr="00746ACE">
        <w:rPr>
          <w:lang w:eastAsia="es-ES"/>
        </w:rPr>
        <w:t>,</w:t>
      </w:r>
      <w:r w:rsidRPr="00746ACE">
        <w:rPr>
          <w:lang w:eastAsia="es-ES"/>
        </w:rPr>
        <w:t xml:space="preserve"> y para que las víctimas sepan lo que el sistema persigue </w:t>
      </w:r>
      <w:r w:rsidR="00BE7DDB" w:rsidRPr="00746ACE">
        <w:rPr>
          <w:lang w:eastAsia="es-ES"/>
        </w:rPr>
        <w:t xml:space="preserve">y puede ofrecer </w:t>
      </w:r>
      <w:r w:rsidRPr="00746ACE">
        <w:rPr>
          <w:lang w:eastAsia="es-ES"/>
        </w:rPr>
        <w:t>como vía de satisfacción de sus derechos.</w:t>
      </w:r>
    </w:p>
    <w:p w14:paraId="3F64E2B8" w14:textId="77777777" w:rsidR="00624B9B" w:rsidRPr="00746ACE" w:rsidRDefault="00624B9B" w:rsidP="00FC0DFB">
      <w:pPr>
        <w:pStyle w:val="Prrafodelista"/>
        <w:widowControl w:val="0"/>
        <w:rPr>
          <w:lang w:eastAsia="es-ES"/>
        </w:rPr>
      </w:pPr>
    </w:p>
    <w:p w14:paraId="6946001B" w14:textId="49139077" w:rsidR="00624B9B" w:rsidRPr="00746ACE" w:rsidRDefault="00624B9B" w:rsidP="00FC0DFB">
      <w:pPr>
        <w:pStyle w:val="Prrafodelista"/>
        <w:widowControl w:val="0"/>
        <w:numPr>
          <w:ilvl w:val="0"/>
          <w:numId w:val="7"/>
        </w:numPr>
      </w:pPr>
      <w:r w:rsidRPr="00746ACE">
        <w:rPr>
          <w:lang w:eastAsia="es-ES"/>
        </w:rPr>
        <w:t xml:space="preserve">Cuando la Corte Constitucional explicó que el modelo de investigación y juzgamiento caso a caso conduce a la impunidad </w:t>
      </w:r>
      <w:r w:rsidRPr="00746ACE">
        <w:rPr>
          <w:i/>
          <w:iCs/>
          <w:lang w:eastAsia="es-ES"/>
        </w:rPr>
        <w:t>de facto</w:t>
      </w:r>
      <w:r w:rsidRPr="00746ACE">
        <w:rPr>
          <w:lang w:eastAsia="es-ES"/>
        </w:rPr>
        <w:t xml:space="preserve"> (</w:t>
      </w:r>
      <w:r w:rsidR="001653D7" w:rsidRPr="00746ACE">
        <w:rPr>
          <w:lang w:eastAsia="es-ES"/>
        </w:rPr>
        <w:t>o,</w:t>
      </w:r>
      <w:r w:rsidRPr="00746ACE">
        <w:rPr>
          <w:lang w:eastAsia="es-ES"/>
        </w:rPr>
        <w:t xml:space="preserve"> de hecho) no se basó únicamente en un cálculo hipotético. Observó también la experiencia previa de tribunales internacionales y la de los tribunales </w:t>
      </w:r>
      <w:r w:rsidR="004F4B1F" w:rsidRPr="00746ACE">
        <w:rPr>
          <w:lang w:eastAsia="es-ES"/>
        </w:rPr>
        <w:t xml:space="preserve">nacionales </w:t>
      </w:r>
      <w:r w:rsidRPr="00746ACE">
        <w:rPr>
          <w:lang w:eastAsia="es-ES"/>
        </w:rPr>
        <w:t xml:space="preserve">de </w:t>
      </w:r>
      <w:r w:rsidR="004F4B1F" w:rsidRPr="00746ACE">
        <w:rPr>
          <w:lang w:eastAsia="es-ES"/>
        </w:rPr>
        <w:t>J</w:t>
      </w:r>
      <w:r w:rsidRPr="00746ACE">
        <w:rPr>
          <w:lang w:eastAsia="es-ES"/>
        </w:rPr>
        <w:t xml:space="preserve">usticia y </w:t>
      </w:r>
      <w:r w:rsidR="004F4B1F" w:rsidRPr="00746ACE">
        <w:rPr>
          <w:lang w:eastAsia="es-ES"/>
        </w:rPr>
        <w:t>P</w:t>
      </w:r>
      <w:r w:rsidRPr="00746ACE">
        <w:rPr>
          <w:lang w:eastAsia="es-ES"/>
        </w:rPr>
        <w:t>az,</w:t>
      </w:r>
      <w:r w:rsidR="004F4B1F" w:rsidRPr="00746ACE">
        <w:rPr>
          <w:lang w:eastAsia="es-ES"/>
        </w:rPr>
        <w:t xml:space="preserve"> los cuales estuvieron</w:t>
      </w:r>
      <w:r w:rsidRPr="00746ACE">
        <w:rPr>
          <w:lang w:eastAsia="es-ES"/>
        </w:rPr>
        <w:t xml:space="preserve"> absolutamente desbordados antes de la reforma que introdujo la selección en sus procesos</w:t>
      </w:r>
      <w:r w:rsidR="004F4B1F" w:rsidRPr="00746ACE">
        <w:rPr>
          <w:lang w:eastAsia="es-ES"/>
        </w:rPr>
        <w:t>. Además,</w:t>
      </w:r>
      <w:r w:rsidRPr="00746ACE">
        <w:rPr>
          <w:lang w:eastAsia="es-ES"/>
        </w:rPr>
        <w:t xml:space="preserve"> consideró la temporalidad de la JEP y la dimensión del conflicto que le correspondía juzgar</w:t>
      </w:r>
      <w:r w:rsidRPr="00746ACE">
        <w:rPr>
          <w:rStyle w:val="Refdenotaalpie"/>
          <w:lang w:eastAsia="es-ES"/>
        </w:rPr>
        <w:footnoteReference w:id="115"/>
      </w:r>
      <w:r w:rsidRPr="00746ACE">
        <w:rPr>
          <w:lang w:eastAsia="es-ES"/>
        </w:rPr>
        <w:t xml:space="preserve">. </w:t>
      </w:r>
      <w:r w:rsidR="00720FE7" w:rsidRPr="00746ACE">
        <w:rPr>
          <w:lang w:eastAsia="es-ES"/>
        </w:rPr>
        <w:t xml:space="preserve">Una vez se ha definido el principio constitucional </w:t>
      </w:r>
      <w:r w:rsidR="00130D46" w:rsidRPr="00746ACE">
        <w:rPr>
          <w:lang w:eastAsia="es-ES"/>
        </w:rPr>
        <w:t xml:space="preserve">y transicional </w:t>
      </w:r>
      <w:r w:rsidR="00720FE7" w:rsidRPr="00746ACE">
        <w:rPr>
          <w:lang w:eastAsia="es-ES"/>
        </w:rPr>
        <w:t>de selección, el paso o el regreso a un juzgamiento caso a caso podría cambiar las reglas de juego de un acuerdo de paz, atentando contra su estabilidad y la confianza en futuros acuerdos de similar naturaleza.</w:t>
      </w:r>
    </w:p>
    <w:p w14:paraId="4937DB7B" w14:textId="77777777" w:rsidR="00624B9B" w:rsidRPr="00746ACE" w:rsidRDefault="00624B9B" w:rsidP="00FC0DFB">
      <w:pPr>
        <w:pStyle w:val="Prrafodelista"/>
        <w:widowControl w:val="0"/>
        <w:ind w:left="0"/>
      </w:pPr>
    </w:p>
    <w:p w14:paraId="36F5F294" w14:textId="341D587B" w:rsidR="00060DCF" w:rsidRPr="00746ACE" w:rsidRDefault="00624B9B" w:rsidP="000B69F5">
      <w:pPr>
        <w:pStyle w:val="Ttulo3"/>
        <w:keepNext w:val="0"/>
        <w:keepLines w:val="0"/>
        <w:widowControl w:val="0"/>
        <w:jc w:val="both"/>
        <w:rPr>
          <w:rFonts w:cs="Times New Roman"/>
          <w:color w:val="auto"/>
          <w:sz w:val="28"/>
          <w:szCs w:val="28"/>
          <w:lang w:val="es-ES"/>
        </w:rPr>
      </w:pPr>
      <w:bookmarkStart w:id="45" w:name="_Toc233384195"/>
      <w:r w:rsidRPr="00746ACE">
        <w:rPr>
          <w:rFonts w:cs="Times New Roman"/>
          <w:color w:val="auto"/>
          <w:sz w:val="28"/>
          <w:szCs w:val="28"/>
          <w:lang w:val="es-ES"/>
        </w:rPr>
        <w:t>Contraargumentos relevantes</w:t>
      </w:r>
      <w:bookmarkEnd w:id="45"/>
    </w:p>
    <w:p w14:paraId="1467EF23" w14:textId="77777777" w:rsidR="00060DCF" w:rsidRPr="00746ACE" w:rsidRDefault="00060DCF" w:rsidP="00CF1AD1">
      <w:pPr>
        <w:pStyle w:val="Prrafodelista"/>
        <w:widowControl w:val="0"/>
        <w:ind w:left="0"/>
      </w:pPr>
    </w:p>
    <w:p w14:paraId="640C2982" w14:textId="0B8BBE7A" w:rsidR="00624B9B" w:rsidRPr="00746ACE" w:rsidRDefault="00624B9B" w:rsidP="00FC0DFB">
      <w:pPr>
        <w:pStyle w:val="Prrafodelista"/>
        <w:widowControl w:val="0"/>
        <w:numPr>
          <w:ilvl w:val="0"/>
          <w:numId w:val="7"/>
        </w:numPr>
      </w:pPr>
      <w:r w:rsidRPr="00746ACE">
        <w:t xml:space="preserve">Con todo, es para la Sala necesario, en virtud del principio de deferencia hacia el juez natural de la transición, </w:t>
      </w:r>
      <w:r w:rsidR="004F4B1F" w:rsidRPr="00746ACE">
        <w:t>referirse</w:t>
      </w:r>
      <w:r w:rsidRPr="00746ACE">
        <w:t xml:space="preserve"> ahora a algunos argumentos que podrían entenderse como objeciones a esta conclusión.</w:t>
      </w:r>
    </w:p>
    <w:p w14:paraId="63E99111" w14:textId="77777777" w:rsidR="00624B9B" w:rsidRPr="00746ACE" w:rsidRDefault="00624B9B" w:rsidP="00FC0DFB">
      <w:pPr>
        <w:pStyle w:val="Prrafodelista"/>
        <w:widowControl w:val="0"/>
        <w:ind w:left="0"/>
      </w:pPr>
    </w:p>
    <w:p w14:paraId="724DBD3F" w14:textId="1DB1BC39" w:rsidR="009E45E4" w:rsidRPr="00746ACE" w:rsidRDefault="0043161D" w:rsidP="00FC0DFB">
      <w:pPr>
        <w:pStyle w:val="Prrafodelista"/>
        <w:widowControl w:val="0"/>
        <w:numPr>
          <w:ilvl w:val="0"/>
          <w:numId w:val="7"/>
        </w:numPr>
      </w:pPr>
      <w:r w:rsidRPr="00746ACE">
        <w:rPr>
          <w:lang w:eastAsia="es-ES"/>
        </w:rPr>
        <w:t>En esta sentencia se ha reconocido</w:t>
      </w:r>
      <w:r w:rsidR="002003BF" w:rsidRPr="00746ACE">
        <w:rPr>
          <w:lang w:eastAsia="es-ES"/>
        </w:rPr>
        <w:t xml:space="preserve"> que los jueces pueden ejercer una función </w:t>
      </w:r>
      <w:r w:rsidR="00720FE7" w:rsidRPr="00746ACE">
        <w:rPr>
          <w:lang w:eastAsia="es-ES"/>
        </w:rPr>
        <w:t xml:space="preserve">interpretativa amplia </w:t>
      </w:r>
      <w:r w:rsidR="002003BF" w:rsidRPr="00746ACE">
        <w:rPr>
          <w:lang w:eastAsia="es-ES"/>
        </w:rPr>
        <w:t>para satisfacer derechos y principios constitucionales</w:t>
      </w:r>
      <w:r w:rsidR="00624B9B" w:rsidRPr="00746ACE">
        <w:rPr>
          <w:lang w:eastAsia="es-ES"/>
        </w:rPr>
        <w:t>.</w:t>
      </w:r>
      <w:r w:rsidR="002003BF" w:rsidRPr="00746ACE">
        <w:rPr>
          <w:lang w:eastAsia="es-ES"/>
        </w:rPr>
        <w:t xml:space="preserve"> </w:t>
      </w:r>
      <w:r w:rsidR="004F4B1F" w:rsidRPr="00746ACE">
        <w:rPr>
          <w:lang w:eastAsia="es-ES"/>
        </w:rPr>
        <w:t xml:space="preserve">Por lo tanto, podría </w:t>
      </w:r>
      <w:r w:rsidR="002003BF" w:rsidRPr="00746ACE">
        <w:rPr>
          <w:lang w:eastAsia="es-ES"/>
        </w:rPr>
        <w:t xml:space="preserve">argumentarse a favor de las Senit 5, 8 y 9, que la Sección </w:t>
      </w:r>
      <w:r w:rsidR="00BE7DDB" w:rsidRPr="00746ACE">
        <w:rPr>
          <w:lang w:eastAsia="es-ES"/>
        </w:rPr>
        <w:t xml:space="preserve">de apelación de la JEP </w:t>
      </w:r>
      <w:r w:rsidR="002003BF" w:rsidRPr="00746ACE">
        <w:rPr>
          <w:lang w:eastAsia="es-ES"/>
        </w:rPr>
        <w:t xml:space="preserve">solo desarrolló una función novedosa en el marco general de la selección, para responder a </w:t>
      </w:r>
      <w:r w:rsidR="004F4B1F" w:rsidRPr="00746ACE">
        <w:rPr>
          <w:lang w:eastAsia="es-ES"/>
        </w:rPr>
        <w:t xml:space="preserve">los </w:t>
      </w:r>
      <w:r w:rsidR="002003BF" w:rsidRPr="00746ACE">
        <w:rPr>
          <w:lang w:eastAsia="es-ES"/>
        </w:rPr>
        <w:t xml:space="preserve">desafíos de </w:t>
      </w:r>
      <w:r w:rsidR="00BE7DDB" w:rsidRPr="00746ACE">
        <w:rPr>
          <w:lang w:eastAsia="es-ES"/>
        </w:rPr>
        <w:t xml:space="preserve">esta jurisdicción especial, </w:t>
      </w:r>
      <w:r w:rsidR="002003BF" w:rsidRPr="00746ACE">
        <w:rPr>
          <w:lang w:eastAsia="es-ES"/>
        </w:rPr>
        <w:t>que se han ido conociendo a medida que se sustancian los macro</w:t>
      </w:r>
      <w:r w:rsidR="00033EC4" w:rsidRPr="00746ACE">
        <w:rPr>
          <w:lang w:eastAsia="es-ES"/>
        </w:rPr>
        <w:t xml:space="preserve"> </w:t>
      </w:r>
      <w:r w:rsidR="002003BF" w:rsidRPr="00746ACE">
        <w:rPr>
          <w:lang w:eastAsia="es-ES"/>
        </w:rPr>
        <w:t xml:space="preserve">casos. </w:t>
      </w:r>
      <w:r w:rsidR="00720FE7" w:rsidRPr="00746ACE">
        <w:rPr>
          <w:lang w:eastAsia="es-ES"/>
        </w:rPr>
        <w:t>También podría indicarse q</w:t>
      </w:r>
      <w:r w:rsidR="00E546E4" w:rsidRPr="00746ACE">
        <w:rPr>
          <w:lang w:eastAsia="es-ES"/>
        </w:rPr>
        <w:t xml:space="preserve">ue los conceptos cuestionados en la demandan en realidad son </w:t>
      </w:r>
      <w:r w:rsidR="00E546E4" w:rsidRPr="00746ACE">
        <w:t xml:space="preserve">una </w:t>
      </w:r>
      <w:r w:rsidR="00060DCF" w:rsidRPr="00746ACE">
        <w:t>orientación</w:t>
      </w:r>
      <w:r w:rsidR="002003BF" w:rsidRPr="00746ACE">
        <w:t xml:space="preserve"> </w:t>
      </w:r>
      <w:r w:rsidR="002003BF" w:rsidRPr="00746ACE">
        <w:rPr>
          <w:lang w:eastAsia="es-ES"/>
        </w:rPr>
        <w:t>sería necesari</w:t>
      </w:r>
      <w:r w:rsidR="00033EC4" w:rsidRPr="00746ACE">
        <w:rPr>
          <w:lang w:eastAsia="es-ES"/>
        </w:rPr>
        <w:t>a</w:t>
      </w:r>
      <w:r w:rsidR="002003BF" w:rsidRPr="00746ACE">
        <w:rPr>
          <w:lang w:eastAsia="es-ES"/>
        </w:rPr>
        <w:t xml:space="preserve"> para no violar principios constitucionales y podría armonizarse con las demás reglas que desarrollan el principio constitucional </w:t>
      </w:r>
      <w:r w:rsidR="00130D46" w:rsidRPr="00746ACE">
        <w:rPr>
          <w:lang w:eastAsia="es-ES"/>
        </w:rPr>
        <w:t xml:space="preserve">y transicional </w:t>
      </w:r>
      <w:r w:rsidR="002003BF" w:rsidRPr="00746ACE">
        <w:rPr>
          <w:lang w:eastAsia="es-ES"/>
        </w:rPr>
        <w:t>de selección.</w:t>
      </w:r>
    </w:p>
    <w:p w14:paraId="2B62082F" w14:textId="77777777" w:rsidR="009E45E4" w:rsidRPr="00746ACE" w:rsidRDefault="009E45E4" w:rsidP="00FC0DFB">
      <w:pPr>
        <w:pStyle w:val="Prrafodelista"/>
        <w:widowControl w:val="0"/>
        <w:rPr>
          <w:lang w:eastAsia="es-ES"/>
        </w:rPr>
      </w:pPr>
    </w:p>
    <w:p w14:paraId="6AE0B4EF" w14:textId="49F79FBB" w:rsidR="009E45E4" w:rsidRPr="00746ACE" w:rsidRDefault="004F4B1F" w:rsidP="00FC0DFB">
      <w:pPr>
        <w:pStyle w:val="Prrafodelista"/>
        <w:widowControl w:val="0"/>
        <w:numPr>
          <w:ilvl w:val="0"/>
          <w:numId w:val="7"/>
        </w:numPr>
      </w:pPr>
      <w:r w:rsidRPr="00746ACE">
        <w:rPr>
          <w:lang w:eastAsia="es-ES"/>
        </w:rPr>
        <w:t>No obstante, l</w:t>
      </w:r>
      <w:r w:rsidR="00033EC4" w:rsidRPr="00746ACE">
        <w:rPr>
          <w:lang w:eastAsia="es-ES"/>
        </w:rPr>
        <w:t>a Sala Plena de la Corte</w:t>
      </w:r>
      <w:r w:rsidR="002003BF" w:rsidRPr="00746ACE">
        <w:rPr>
          <w:lang w:eastAsia="es-ES"/>
        </w:rPr>
        <w:t xml:space="preserve"> </w:t>
      </w:r>
      <w:r w:rsidR="00624B9B" w:rsidRPr="00746ACE">
        <w:rPr>
          <w:lang w:eastAsia="es-ES"/>
        </w:rPr>
        <w:t>no considera que esta posición sea acertada</w:t>
      </w:r>
      <w:r w:rsidR="002003BF" w:rsidRPr="00746ACE">
        <w:rPr>
          <w:lang w:eastAsia="es-ES"/>
        </w:rPr>
        <w:t xml:space="preserve">, pues la </w:t>
      </w:r>
      <w:r w:rsidR="00BE7DDB" w:rsidRPr="00746ACE">
        <w:rPr>
          <w:lang w:eastAsia="es-ES"/>
        </w:rPr>
        <w:t>“</w:t>
      </w:r>
      <w:r w:rsidR="002003BF" w:rsidRPr="00746ACE">
        <w:rPr>
          <w:lang w:eastAsia="es-ES"/>
        </w:rPr>
        <w:t>selección de segundo orden</w:t>
      </w:r>
      <w:r w:rsidR="00BE7DDB" w:rsidRPr="00746ACE">
        <w:rPr>
          <w:lang w:eastAsia="es-ES"/>
        </w:rPr>
        <w:t>”</w:t>
      </w:r>
      <w:r w:rsidR="002003BF" w:rsidRPr="00746ACE">
        <w:rPr>
          <w:lang w:eastAsia="es-ES"/>
        </w:rPr>
        <w:t xml:space="preserve"> es incompatible con </w:t>
      </w:r>
      <w:r w:rsidRPr="00746ACE">
        <w:rPr>
          <w:lang w:eastAsia="es-ES"/>
        </w:rPr>
        <w:t xml:space="preserve">las </w:t>
      </w:r>
      <w:r w:rsidR="002003BF" w:rsidRPr="00746ACE">
        <w:rPr>
          <w:lang w:eastAsia="es-ES"/>
        </w:rPr>
        <w:t xml:space="preserve">normas de la </w:t>
      </w:r>
      <w:r w:rsidRPr="00746ACE">
        <w:t>Ley Estatutaria de Administración de Justicia de la JEP</w:t>
      </w:r>
      <w:r w:rsidR="002003BF" w:rsidRPr="00746ACE">
        <w:rPr>
          <w:lang w:eastAsia="es-ES"/>
        </w:rPr>
        <w:t xml:space="preserve">, y con otras reglas jurisprudenciales sentadas en la Sentencia C-080 de 2018, que, además, tienen un antecedente preciso </w:t>
      </w:r>
      <w:r w:rsidRPr="00746ACE">
        <w:rPr>
          <w:lang w:eastAsia="es-ES"/>
        </w:rPr>
        <w:t xml:space="preserve">en </w:t>
      </w:r>
      <w:r w:rsidR="002003BF" w:rsidRPr="00746ACE">
        <w:rPr>
          <w:lang w:eastAsia="es-ES"/>
        </w:rPr>
        <w:t xml:space="preserve">la Sentencia C-579 de 2013, </w:t>
      </w:r>
      <w:r w:rsidRPr="00746ACE">
        <w:rPr>
          <w:lang w:eastAsia="es-ES"/>
        </w:rPr>
        <w:t xml:space="preserve">según </w:t>
      </w:r>
      <w:r w:rsidR="002003BF" w:rsidRPr="00746ACE">
        <w:rPr>
          <w:lang w:eastAsia="es-ES"/>
        </w:rPr>
        <w:t xml:space="preserve">se explicará a continuación. </w:t>
      </w:r>
    </w:p>
    <w:p w14:paraId="498A2810" w14:textId="77777777" w:rsidR="009E45E4" w:rsidRPr="00746ACE" w:rsidRDefault="009E45E4" w:rsidP="00FC0DFB">
      <w:pPr>
        <w:pStyle w:val="Prrafodelista"/>
        <w:widowControl w:val="0"/>
        <w:rPr>
          <w:lang w:eastAsia="es-ES"/>
        </w:rPr>
      </w:pPr>
    </w:p>
    <w:p w14:paraId="542FD596" w14:textId="71684A8B" w:rsidR="009E45E4" w:rsidRPr="00746ACE" w:rsidRDefault="002003BF" w:rsidP="00FC0DFB">
      <w:pPr>
        <w:pStyle w:val="Prrafodelista"/>
        <w:widowControl w:val="0"/>
        <w:numPr>
          <w:ilvl w:val="0"/>
          <w:numId w:val="7"/>
        </w:numPr>
      </w:pPr>
      <w:r w:rsidRPr="00746ACE">
        <w:rPr>
          <w:lang w:eastAsia="es-ES"/>
        </w:rPr>
        <w:t>La sentencia C-080 de 2018 precisó que, aunque las salas de reconocimiento de verdad y responsabilidad, por una parte, y de definición de situaciones jurídicas, por otra, tienen funciones de selección</w:t>
      </w:r>
      <w:r w:rsidR="00FC0DFB" w:rsidRPr="00746ACE">
        <w:rPr>
          <w:lang w:eastAsia="es-ES"/>
        </w:rPr>
        <w:t>, estas</w:t>
      </w:r>
      <w:r w:rsidRPr="00746ACE">
        <w:rPr>
          <w:lang w:eastAsia="es-ES"/>
        </w:rPr>
        <w:t xml:space="preserve"> </w:t>
      </w:r>
      <w:r w:rsidRPr="00746ACE">
        <w:rPr>
          <w:b/>
          <w:lang w:eastAsia="es-ES"/>
        </w:rPr>
        <w:t>no las desarrollan de igual manera ni su ejercicio debería conducir a una repetición o duplicación de procesos</w:t>
      </w:r>
      <w:r w:rsidRPr="00746ACE">
        <w:rPr>
          <w:lang w:eastAsia="es-ES"/>
        </w:rPr>
        <w:t xml:space="preserve">. </w:t>
      </w:r>
    </w:p>
    <w:p w14:paraId="4A21CB49" w14:textId="77777777" w:rsidR="009E45E4" w:rsidRPr="00746ACE" w:rsidRDefault="009E45E4" w:rsidP="00FC0DFB">
      <w:pPr>
        <w:pStyle w:val="Prrafodelista"/>
        <w:widowControl w:val="0"/>
        <w:rPr>
          <w:lang w:eastAsia="es-ES"/>
        </w:rPr>
      </w:pPr>
    </w:p>
    <w:p w14:paraId="0D8089A9" w14:textId="77777777" w:rsidR="009E45E4" w:rsidRPr="00746ACE" w:rsidRDefault="002003BF" w:rsidP="00FC0DFB">
      <w:pPr>
        <w:pStyle w:val="Prrafodelista"/>
        <w:widowControl w:val="0"/>
        <w:numPr>
          <w:ilvl w:val="0"/>
          <w:numId w:val="7"/>
        </w:numPr>
        <w:rPr>
          <w:lang w:eastAsia="es-ES"/>
        </w:rPr>
      </w:pPr>
      <w:r w:rsidRPr="00746ACE">
        <w:rPr>
          <w:lang w:eastAsia="es-ES"/>
        </w:rPr>
        <w:t xml:space="preserve">La </w:t>
      </w:r>
      <w:r w:rsidRPr="00746ACE">
        <w:rPr>
          <w:i/>
          <w:iCs/>
          <w:lang w:eastAsia="es-ES"/>
        </w:rPr>
        <w:t>selección de segundo orden</w:t>
      </w:r>
      <w:r w:rsidRPr="00746ACE">
        <w:rPr>
          <w:lang w:eastAsia="es-ES"/>
        </w:rPr>
        <w:t xml:space="preserve"> desconoce esta regla </w:t>
      </w:r>
      <w:r w:rsidR="00060DCF" w:rsidRPr="00746ACE">
        <w:rPr>
          <w:lang w:eastAsia="es-ES"/>
        </w:rPr>
        <w:t>porque</w:t>
      </w:r>
      <w:r w:rsidRPr="00746ACE">
        <w:rPr>
          <w:lang w:eastAsia="es-ES"/>
        </w:rPr>
        <w:t xml:space="preserve"> opera sobre sujetos que no fueron considerados máximos responsables o merecedores de una sanción alternativa por parte de la Sala de Reconocimiento de Verdad. Es decir</w:t>
      </w:r>
      <w:r w:rsidR="00E50BB6" w:rsidRPr="00746ACE">
        <w:rPr>
          <w:lang w:eastAsia="es-ES"/>
        </w:rPr>
        <w:t xml:space="preserve"> que conduce a</w:t>
      </w:r>
      <w:r w:rsidRPr="00746ACE">
        <w:rPr>
          <w:lang w:eastAsia="es-ES"/>
        </w:rPr>
        <w:t xml:space="preserve"> una </w:t>
      </w:r>
      <w:r w:rsidR="00060DCF" w:rsidRPr="00746ACE">
        <w:rPr>
          <w:lang w:eastAsia="es-ES"/>
        </w:rPr>
        <w:t>duplicación de procesos, en la medida en que</w:t>
      </w:r>
      <w:r w:rsidRPr="00746ACE">
        <w:rPr>
          <w:lang w:eastAsia="es-ES"/>
        </w:rPr>
        <w:t xml:space="preserve"> reabre la posibilidad de activar el sometimiento de los comparecientes a procedimientos investigativos o sancionatorios.</w:t>
      </w:r>
      <w:r w:rsidR="0043161D" w:rsidRPr="00746ACE">
        <w:rPr>
          <w:lang w:eastAsia="es-ES"/>
        </w:rPr>
        <w:t xml:space="preserve"> </w:t>
      </w:r>
      <w:r w:rsidRPr="00746ACE">
        <w:rPr>
          <w:lang w:eastAsia="es-ES"/>
        </w:rPr>
        <w:t xml:space="preserve">Es oportuno recordar las reflexiones de la Sentencia C-080 de 2018 sobre la manera en que las dos salas intervienen en la selección, de forma distinta y sucesiva. </w:t>
      </w:r>
    </w:p>
    <w:p w14:paraId="172DDF94" w14:textId="77777777" w:rsidR="009E45E4" w:rsidRPr="00746ACE" w:rsidRDefault="009E45E4" w:rsidP="00FC0DFB">
      <w:pPr>
        <w:pStyle w:val="Prrafodelista"/>
        <w:widowControl w:val="0"/>
        <w:rPr>
          <w:lang w:eastAsia="es-ES"/>
        </w:rPr>
      </w:pPr>
    </w:p>
    <w:p w14:paraId="55E6F9AB" w14:textId="51EFD81F" w:rsidR="00060DCF" w:rsidRPr="00746ACE" w:rsidRDefault="00060DCF" w:rsidP="00CF1AD1">
      <w:pPr>
        <w:widowControl w:val="0"/>
        <w:shd w:val="clear" w:color="auto" w:fill="FFFFFF"/>
        <w:ind w:left="567" w:right="567"/>
        <w:textAlignment w:val="baseline"/>
      </w:pPr>
      <w:r w:rsidRPr="00746ACE">
        <w:rPr>
          <w:shd w:val="clear" w:color="auto" w:fill="FFFFFF"/>
        </w:rPr>
        <w:t xml:space="preserve"> (…)</w:t>
      </w:r>
      <w:r w:rsidR="00624B9B" w:rsidRPr="00746ACE">
        <w:rPr>
          <w:shd w:val="clear" w:color="auto" w:fill="FFFFFF"/>
        </w:rPr>
        <w:t xml:space="preserve"> </w:t>
      </w:r>
      <w:r w:rsidRPr="00746ACE">
        <w:rPr>
          <w:shd w:val="clear" w:color="auto" w:fill="FFFFFF"/>
        </w:rPr>
        <w:t xml:space="preserve">cuando el Proyecto de Ley Estatutaria fijó la facultad de aplicar la decisión de selección a varias instancias de la jurisdicción, no se puede entender que dichas funciones </w:t>
      </w:r>
      <w:r w:rsidR="00624B9B" w:rsidRPr="00746ACE">
        <w:rPr>
          <w:shd w:val="clear" w:color="auto" w:fill="FFFFFF"/>
        </w:rPr>
        <w:t xml:space="preserve">(…) </w:t>
      </w:r>
      <w:r w:rsidRPr="00746ACE">
        <w:rPr>
          <w:shd w:val="clear" w:color="auto" w:fill="FFFFFF"/>
        </w:rPr>
        <w:t>se pueden ejercer simultáneamente sobre las mismas situaciones, pues cada instancia lo debe hacer en el marco de sus competencias. Así las cosas, la competencia </w:t>
      </w:r>
      <w:r w:rsidRPr="00746ACE">
        <w:rPr>
          <w:i/>
          <w:shd w:val="clear" w:color="auto" w:fill="FFFFFF"/>
        </w:rPr>
        <w:t>global</w:t>
      </w:r>
      <w:r w:rsidRPr="00746ACE">
        <w:rPr>
          <w:shd w:val="clear" w:color="auto" w:fill="FFFFFF"/>
        </w:rPr>
        <w:t xml:space="preserve"> de aplicación de la facultad de selección conforme a los criterios constitucionales y estatutarios, es de la Sala de Reconocimiento. En una etapa posterior, para los hechos no seleccionados, la Sala de Definición de Situaciones Jurídicas </w:t>
      </w:r>
      <w:r w:rsidRPr="00746ACE">
        <w:rPr>
          <w:b/>
          <w:shd w:val="clear" w:color="auto" w:fill="FFFFFF"/>
        </w:rPr>
        <w:t>definirá la no selección en el caso concreto, y concederá los tratamientos penales especiales que correspondan</w:t>
      </w:r>
      <w:r w:rsidRPr="00746ACE">
        <w:rPr>
          <w:shd w:val="clear" w:color="auto" w:fill="FFFFFF"/>
        </w:rPr>
        <w:t>. De esta manera, la SDSJ aplica la selección en cada caso </w:t>
      </w:r>
      <w:r w:rsidRPr="00746ACE">
        <w:rPr>
          <w:i/>
          <w:shd w:val="clear" w:color="auto" w:fill="FFFFFF"/>
        </w:rPr>
        <w:t>individual</w:t>
      </w:r>
      <w:r w:rsidRPr="00746ACE">
        <w:rPr>
          <w:shd w:val="clear" w:color="auto" w:fill="FFFFFF"/>
        </w:rPr>
        <w:t>, verificando el cumplimiento del régimen de condicionalidad sobre el universo de casos no seleccionados y remitido por la SRVR a la SDSJ. Así las cosas, y como se señaló, mientras que la competencia de selección de la SRVR es </w:t>
      </w:r>
      <w:r w:rsidRPr="00746ACE">
        <w:rPr>
          <w:i/>
          <w:shd w:val="clear" w:color="auto" w:fill="FFFFFF"/>
        </w:rPr>
        <w:t>global</w:t>
      </w:r>
      <w:r w:rsidRPr="00746ACE">
        <w:rPr>
          <w:shd w:val="clear" w:color="auto" w:fill="FFFFFF"/>
        </w:rPr>
        <w:t> y se da primero en el tiempo, la competencia de selección de la SDSJ es </w:t>
      </w:r>
      <w:r w:rsidRPr="00746ACE">
        <w:rPr>
          <w:i/>
          <w:shd w:val="clear" w:color="auto" w:fill="FFFFFF"/>
        </w:rPr>
        <w:t>individual</w:t>
      </w:r>
      <w:r w:rsidRPr="00746ACE">
        <w:rPr>
          <w:shd w:val="clear" w:color="auto" w:fill="FFFFFF"/>
        </w:rPr>
        <w:t>, y se da en un momento posterior a la decisión </w:t>
      </w:r>
      <w:r w:rsidRPr="00746ACE">
        <w:rPr>
          <w:i/>
          <w:shd w:val="clear" w:color="auto" w:fill="FFFFFF"/>
        </w:rPr>
        <w:t>global</w:t>
      </w:r>
      <w:r w:rsidRPr="00746ACE">
        <w:rPr>
          <w:shd w:val="clear" w:color="auto" w:fill="FFFFFF"/>
        </w:rPr>
        <w:t> de selección de la SRVR. Para la Corte, este literal va en línea con este propósito, razón por la cual se encuentra ajustado a la Carta Política”</w:t>
      </w:r>
      <w:r w:rsidRPr="00746ACE">
        <w:rPr>
          <w:rStyle w:val="Refdenotaalpie"/>
          <w:shd w:val="clear" w:color="auto" w:fill="FFFFFF"/>
        </w:rPr>
        <w:footnoteReference w:id="116"/>
      </w:r>
      <w:r w:rsidRPr="00746ACE">
        <w:rPr>
          <w:shd w:val="clear" w:color="auto" w:fill="FFFFFF"/>
        </w:rPr>
        <w:t>. (</w:t>
      </w:r>
      <w:r w:rsidR="00FC0DFB" w:rsidRPr="00746ACE">
        <w:rPr>
          <w:shd w:val="clear" w:color="auto" w:fill="FFFFFF"/>
        </w:rPr>
        <w:t>Negrilla fuera del texto original</w:t>
      </w:r>
      <w:r w:rsidRPr="00746ACE">
        <w:rPr>
          <w:shd w:val="clear" w:color="auto" w:fill="FFFFFF"/>
        </w:rPr>
        <w:t>).</w:t>
      </w:r>
    </w:p>
    <w:p w14:paraId="1C5BBACE" w14:textId="77777777" w:rsidR="00763363" w:rsidRPr="00746ACE" w:rsidRDefault="00763363" w:rsidP="00FC0DFB">
      <w:pPr>
        <w:pStyle w:val="Prrafodelista"/>
        <w:widowControl w:val="0"/>
        <w:ind w:left="0"/>
      </w:pPr>
    </w:p>
    <w:p w14:paraId="061A32DA" w14:textId="6A4C5061" w:rsidR="009E45E4" w:rsidRPr="00746ACE" w:rsidRDefault="002003BF" w:rsidP="00FC0DFB">
      <w:pPr>
        <w:pStyle w:val="Prrafodelista"/>
        <w:widowControl w:val="0"/>
        <w:numPr>
          <w:ilvl w:val="0"/>
          <w:numId w:val="7"/>
        </w:numPr>
      </w:pPr>
      <w:r w:rsidRPr="00746ACE">
        <w:rPr>
          <w:lang w:eastAsia="es-ES"/>
        </w:rPr>
        <w:t xml:space="preserve">Así las cosas, si la </w:t>
      </w:r>
      <w:r w:rsidRPr="00746ACE">
        <w:rPr>
          <w:i/>
          <w:iCs/>
          <w:lang w:eastAsia="es-ES"/>
        </w:rPr>
        <w:t xml:space="preserve">selección como principio </w:t>
      </w:r>
      <w:r w:rsidR="00763363" w:rsidRPr="00746ACE">
        <w:rPr>
          <w:i/>
          <w:iCs/>
          <w:lang w:eastAsia="es-ES"/>
        </w:rPr>
        <w:t>constitucional</w:t>
      </w:r>
      <w:r w:rsidR="00763363" w:rsidRPr="00746ACE">
        <w:rPr>
          <w:lang w:eastAsia="es-ES"/>
        </w:rPr>
        <w:t xml:space="preserve"> </w:t>
      </w:r>
      <w:r w:rsidRPr="00746ACE">
        <w:rPr>
          <w:lang w:eastAsia="es-ES"/>
        </w:rPr>
        <w:t xml:space="preserve">se concreta en la concentración de la investigación en unas conductas (las más graves y representativas) y en unos sujetos (los máximos responsables), </w:t>
      </w:r>
      <w:r w:rsidR="00624B9B" w:rsidRPr="00746ACE">
        <w:rPr>
          <w:lang w:eastAsia="es-ES"/>
        </w:rPr>
        <w:t xml:space="preserve">mientras que </w:t>
      </w:r>
      <w:r w:rsidRPr="00746ACE">
        <w:rPr>
          <w:lang w:eastAsia="es-ES"/>
        </w:rPr>
        <w:t xml:space="preserve">la </w:t>
      </w:r>
      <w:r w:rsidRPr="00746ACE">
        <w:rPr>
          <w:i/>
          <w:iCs/>
          <w:lang w:eastAsia="es-ES"/>
        </w:rPr>
        <w:t>selección de segundo orden</w:t>
      </w:r>
      <w:r w:rsidRPr="00746ACE">
        <w:rPr>
          <w:i/>
          <w:lang w:eastAsia="es-ES"/>
        </w:rPr>
        <w:t xml:space="preserve"> </w:t>
      </w:r>
      <w:r w:rsidR="00624B9B" w:rsidRPr="00746ACE">
        <w:rPr>
          <w:lang w:eastAsia="es-ES"/>
        </w:rPr>
        <w:t xml:space="preserve">va en dirección opuesta, dado que conduce a </w:t>
      </w:r>
      <w:r w:rsidRPr="00746ACE">
        <w:rPr>
          <w:lang w:eastAsia="es-ES"/>
        </w:rPr>
        <w:t>la desconcentración y la dispersión de la investigación, el juzgamiento y sanción</w:t>
      </w:r>
      <w:r w:rsidRPr="00746ACE">
        <w:rPr>
          <w:i/>
          <w:lang w:eastAsia="es-ES"/>
        </w:rPr>
        <w:t xml:space="preserve"> </w:t>
      </w:r>
      <w:r w:rsidRPr="00746ACE">
        <w:rPr>
          <w:lang w:eastAsia="es-ES"/>
        </w:rPr>
        <w:t>de sujetos que no son máximos responsables</w:t>
      </w:r>
      <w:r w:rsidR="00624B9B" w:rsidRPr="00746ACE">
        <w:rPr>
          <w:lang w:eastAsia="es-ES"/>
        </w:rPr>
        <w:t xml:space="preserve"> y que tampoco fueron identificados como posibles destinatarios de sanciones inferiores a cinco años por la Sala de Reconocimiento de Verdad y Responsabilidad</w:t>
      </w:r>
      <w:r w:rsidRPr="00746ACE">
        <w:rPr>
          <w:rStyle w:val="Refdenotaalpie"/>
          <w:lang w:eastAsia="es-ES"/>
        </w:rPr>
        <w:footnoteReference w:id="117"/>
      </w:r>
      <w:r w:rsidRPr="00746ACE">
        <w:rPr>
          <w:lang w:eastAsia="es-ES"/>
        </w:rPr>
        <w:t>.</w:t>
      </w:r>
    </w:p>
    <w:p w14:paraId="361D89A5" w14:textId="77777777" w:rsidR="009E45E4" w:rsidRPr="00746ACE" w:rsidRDefault="009E45E4" w:rsidP="00FC0DFB">
      <w:pPr>
        <w:pStyle w:val="Prrafodelista"/>
        <w:widowControl w:val="0"/>
        <w:ind w:left="0"/>
      </w:pPr>
    </w:p>
    <w:p w14:paraId="16A68418" w14:textId="00756EBB" w:rsidR="00624B9B" w:rsidRPr="00746ACE" w:rsidRDefault="002003BF" w:rsidP="00FC0DFB">
      <w:pPr>
        <w:pStyle w:val="Prrafodelista"/>
        <w:widowControl w:val="0"/>
        <w:numPr>
          <w:ilvl w:val="0"/>
          <w:numId w:val="7"/>
        </w:numPr>
        <w:rPr>
          <w:lang w:eastAsia="es-ES"/>
        </w:rPr>
      </w:pPr>
      <w:r w:rsidRPr="00746ACE">
        <w:rPr>
          <w:lang w:eastAsia="es-ES"/>
        </w:rPr>
        <w:t>La Sala no ignora la advertencia de</w:t>
      </w:r>
      <w:r w:rsidR="00720FE7" w:rsidRPr="00746ACE">
        <w:rPr>
          <w:lang w:eastAsia="es-ES"/>
        </w:rPr>
        <w:t xml:space="preserve"> la Sección de Apelación de la JEP, a través de su vocero, e</w:t>
      </w:r>
      <w:r w:rsidRPr="00746ACE">
        <w:rPr>
          <w:lang w:eastAsia="es-ES"/>
        </w:rPr>
        <w:t>l magistrado Rodolfo Arango</w:t>
      </w:r>
      <w:r w:rsidR="00763363" w:rsidRPr="00746ACE">
        <w:rPr>
          <w:lang w:eastAsia="es-ES"/>
        </w:rPr>
        <w:t xml:space="preserve"> Rivadeneira</w:t>
      </w:r>
      <w:r w:rsidR="00624B9B" w:rsidRPr="00746ACE">
        <w:rPr>
          <w:lang w:eastAsia="es-ES"/>
        </w:rPr>
        <w:t xml:space="preserve">: no </w:t>
      </w:r>
      <w:r w:rsidR="00060DCF" w:rsidRPr="00746ACE">
        <w:rPr>
          <w:lang w:eastAsia="es-ES"/>
        </w:rPr>
        <w:t>debe confundirse la ruta sancionatoria con</w:t>
      </w:r>
      <w:r w:rsidRPr="00746ACE">
        <w:rPr>
          <w:lang w:eastAsia="es-ES"/>
        </w:rPr>
        <w:t xml:space="preserve"> la ruta </w:t>
      </w:r>
      <w:r w:rsidR="00060DCF" w:rsidRPr="00746ACE">
        <w:rPr>
          <w:lang w:eastAsia="es-ES"/>
        </w:rPr>
        <w:t>no sancionatoria</w:t>
      </w:r>
      <w:r w:rsidR="00624B9B" w:rsidRPr="00746ACE">
        <w:rPr>
          <w:lang w:eastAsia="es-ES"/>
        </w:rPr>
        <w:t>. En este sentido, la demanda y las intervenciones que comparten su punto de vista fallarían al pensar que la remisión a la Sala de Definición de Situaciones Jurídicas equivale a crear nuevos procesos de carácter sancionatorio.</w:t>
      </w:r>
    </w:p>
    <w:p w14:paraId="0D2656AE" w14:textId="77777777" w:rsidR="00624B9B" w:rsidRPr="00746ACE" w:rsidRDefault="00624B9B" w:rsidP="00CF1AD1">
      <w:pPr>
        <w:pStyle w:val="Prrafodelista"/>
        <w:widowControl w:val="0"/>
        <w:rPr>
          <w:lang w:eastAsia="es-ES"/>
        </w:rPr>
      </w:pPr>
    </w:p>
    <w:p w14:paraId="0ED33881" w14:textId="26F6E41A" w:rsidR="009E45E4" w:rsidRPr="00746ACE" w:rsidRDefault="00624B9B" w:rsidP="00FC0DFB">
      <w:pPr>
        <w:pStyle w:val="Prrafodelista"/>
        <w:widowControl w:val="0"/>
        <w:numPr>
          <w:ilvl w:val="0"/>
          <w:numId w:val="7"/>
        </w:numPr>
        <w:rPr>
          <w:lang w:eastAsia="es-ES"/>
        </w:rPr>
      </w:pPr>
      <w:r w:rsidRPr="00746ACE">
        <w:rPr>
          <w:lang w:eastAsia="es-ES"/>
        </w:rPr>
        <w:t xml:space="preserve">Sin embargo, en el marco del estudio del cargo, es posible observar que precisamente la distinción que hace el magistrado </w:t>
      </w:r>
      <w:r w:rsidR="00060DCF" w:rsidRPr="00746ACE">
        <w:rPr>
          <w:lang w:eastAsia="es-ES"/>
        </w:rPr>
        <w:t>permite comprender</w:t>
      </w:r>
      <w:r w:rsidR="002003BF" w:rsidRPr="00746ACE">
        <w:rPr>
          <w:lang w:eastAsia="es-ES"/>
        </w:rPr>
        <w:t xml:space="preserve"> que la Sala de Definición de Situaciones Jurídicas no debería propiciar la iniciación de juicios adversariales, sino concentrarse en la renuncia a la persecución penal de quienes no son máximos responsables</w:t>
      </w:r>
      <w:r w:rsidRPr="00746ACE">
        <w:rPr>
          <w:lang w:eastAsia="es-ES"/>
        </w:rPr>
        <w:t xml:space="preserve">, de modo que entre </w:t>
      </w:r>
      <w:r w:rsidR="002003BF" w:rsidRPr="00746ACE">
        <w:rPr>
          <w:lang w:eastAsia="es-ES"/>
        </w:rPr>
        <w:t>sus misiones no se encuentra la selección positiva</w:t>
      </w:r>
      <w:r w:rsidR="00FC0DFB" w:rsidRPr="00746ACE">
        <w:rPr>
          <w:lang w:eastAsia="es-ES"/>
        </w:rPr>
        <w:t>. En ese sentido, si</w:t>
      </w:r>
      <w:r w:rsidRPr="00746ACE">
        <w:rPr>
          <w:iCs/>
          <w:lang w:eastAsia="es-ES"/>
        </w:rPr>
        <w:t xml:space="preserve"> </w:t>
      </w:r>
      <w:r w:rsidR="002003BF" w:rsidRPr="00746ACE">
        <w:rPr>
          <w:lang w:eastAsia="es-ES"/>
        </w:rPr>
        <w:t>se trata de verificar el cumplimiento de las obligaciones de los comparecientes, el escenario es la verificación del régimen de condicionalidad</w:t>
      </w:r>
      <w:r w:rsidRPr="00746ACE">
        <w:rPr>
          <w:lang w:eastAsia="es-ES"/>
        </w:rPr>
        <w:t>; y, si se discute un abierto incumplimiento, procede el Incidente de Incumplimiento del Régimen de Condicionalidad, que puede conducir en los casos más graves a la exclusión del sistema</w:t>
      </w:r>
      <w:r w:rsidR="002003BF" w:rsidRPr="00746ACE">
        <w:rPr>
          <w:lang w:eastAsia="es-ES"/>
        </w:rPr>
        <w:t xml:space="preserve">. </w:t>
      </w:r>
    </w:p>
    <w:p w14:paraId="642ABC8E" w14:textId="77777777" w:rsidR="0043161D" w:rsidRPr="00746ACE" w:rsidRDefault="0043161D" w:rsidP="00FC0DFB">
      <w:pPr>
        <w:pStyle w:val="Prrafodelista"/>
        <w:widowControl w:val="0"/>
        <w:rPr>
          <w:lang w:eastAsia="es-ES"/>
        </w:rPr>
      </w:pPr>
    </w:p>
    <w:p w14:paraId="4E5DA520" w14:textId="4EF9990B" w:rsidR="00A723AC" w:rsidRPr="00746ACE" w:rsidRDefault="00FC0DFB" w:rsidP="00314A49">
      <w:pPr>
        <w:pStyle w:val="Prrafodelista"/>
        <w:widowControl w:val="0"/>
        <w:numPr>
          <w:ilvl w:val="0"/>
          <w:numId w:val="7"/>
        </w:numPr>
        <w:rPr>
          <w:lang w:eastAsia="es-ES"/>
        </w:rPr>
      </w:pPr>
      <w:r w:rsidRPr="00746ACE">
        <w:rPr>
          <w:lang w:eastAsia="es-ES"/>
        </w:rPr>
        <w:t xml:space="preserve">De igual forma, la </w:t>
      </w:r>
      <w:r w:rsidR="0043161D" w:rsidRPr="00746ACE">
        <w:rPr>
          <w:i/>
          <w:iCs/>
          <w:lang w:eastAsia="es-ES"/>
        </w:rPr>
        <w:t>verdad</w:t>
      </w:r>
      <w:r w:rsidR="0043161D" w:rsidRPr="00746ACE">
        <w:rPr>
          <w:lang w:eastAsia="es-ES"/>
        </w:rPr>
        <w:t xml:space="preserve"> </w:t>
      </w:r>
      <w:r w:rsidR="0043161D" w:rsidRPr="00746ACE">
        <w:rPr>
          <w:i/>
          <w:iCs/>
          <w:lang w:eastAsia="es-ES"/>
        </w:rPr>
        <w:t>del caso individual</w:t>
      </w:r>
      <w:r w:rsidR="0043161D" w:rsidRPr="00746ACE">
        <w:rPr>
          <w:lang w:eastAsia="es-ES"/>
        </w:rPr>
        <w:t xml:space="preserve"> </w:t>
      </w:r>
      <w:r w:rsidR="00624B9B" w:rsidRPr="00746ACE">
        <w:rPr>
          <w:lang w:eastAsia="es-ES"/>
        </w:rPr>
        <w:t xml:space="preserve">tampoco </w:t>
      </w:r>
      <w:r w:rsidR="00A723AC" w:rsidRPr="00746ACE">
        <w:rPr>
          <w:lang w:eastAsia="es-ES"/>
        </w:rPr>
        <w:t>constituye una</w:t>
      </w:r>
      <w:r w:rsidR="0043161D" w:rsidRPr="00746ACE">
        <w:rPr>
          <w:lang w:eastAsia="es-ES"/>
        </w:rPr>
        <w:t xml:space="preserve"> razón </w:t>
      </w:r>
      <w:r w:rsidR="00CF1AD1" w:rsidRPr="00746ACE">
        <w:rPr>
          <w:lang w:eastAsia="es-ES"/>
        </w:rPr>
        <w:t xml:space="preserve">suficiente </w:t>
      </w:r>
      <w:r w:rsidR="0043161D" w:rsidRPr="00746ACE">
        <w:rPr>
          <w:lang w:eastAsia="es-ES"/>
        </w:rPr>
        <w:t xml:space="preserve">para desdibujar el sistema, pues este </w:t>
      </w:r>
      <w:r w:rsidR="00A723AC" w:rsidRPr="00746ACE">
        <w:rPr>
          <w:lang w:eastAsia="es-ES"/>
        </w:rPr>
        <w:t>busca satisfacer el derecho a la</w:t>
      </w:r>
      <w:r w:rsidR="0043161D" w:rsidRPr="00746ACE">
        <w:rPr>
          <w:lang w:eastAsia="es-ES"/>
        </w:rPr>
        <w:t xml:space="preserve"> verdad a </w:t>
      </w:r>
      <w:r w:rsidR="00A723AC" w:rsidRPr="00746ACE">
        <w:rPr>
          <w:lang w:eastAsia="es-ES"/>
        </w:rPr>
        <w:t xml:space="preserve">partir </w:t>
      </w:r>
      <w:r w:rsidR="0043161D" w:rsidRPr="00746ACE">
        <w:rPr>
          <w:lang w:eastAsia="es-ES"/>
        </w:rPr>
        <w:t>de patrones</w:t>
      </w:r>
      <w:r w:rsidR="00CF1AD1" w:rsidRPr="00746ACE">
        <w:rPr>
          <w:lang w:eastAsia="es-ES"/>
        </w:rPr>
        <w:t xml:space="preserve">, </w:t>
      </w:r>
      <w:r w:rsidR="00A723AC" w:rsidRPr="00746ACE">
        <w:rPr>
          <w:lang w:eastAsia="es-ES"/>
        </w:rPr>
        <w:t>lo que abre</w:t>
      </w:r>
      <w:r w:rsidR="00CF1AD1" w:rsidRPr="00746ACE">
        <w:rPr>
          <w:lang w:eastAsia="es-ES"/>
        </w:rPr>
        <w:t xml:space="preserve"> la posibilidad de una </w:t>
      </w:r>
      <w:r w:rsidR="00BE7DDB" w:rsidRPr="00746ACE">
        <w:rPr>
          <w:lang w:eastAsia="es-ES"/>
        </w:rPr>
        <w:t>“</w:t>
      </w:r>
      <w:r w:rsidR="00CF1AD1" w:rsidRPr="00746ACE">
        <w:rPr>
          <w:lang w:eastAsia="es-ES"/>
        </w:rPr>
        <w:t>selección de segundo orden</w:t>
      </w:r>
      <w:r w:rsidR="00BE7DDB" w:rsidRPr="00746ACE">
        <w:rPr>
          <w:lang w:eastAsia="es-ES"/>
        </w:rPr>
        <w:t>”</w:t>
      </w:r>
      <w:r w:rsidR="00A723AC" w:rsidRPr="00746ACE">
        <w:rPr>
          <w:lang w:eastAsia="es-ES"/>
        </w:rPr>
        <w:t>.</w:t>
      </w:r>
      <w:r w:rsidR="00CF1AD1" w:rsidRPr="00746ACE">
        <w:rPr>
          <w:lang w:eastAsia="es-ES"/>
        </w:rPr>
        <w:t xml:space="preserve"> </w:t>
      </w:r>
      <w:r w:rsidR="00A723AC" w:rsidRPr="00746ACE">
        <w:rPr>
          <w:lang w:eastAsia="es-ES"/>
        </w:rPr>
        <w:t xml:space="preserve">Ello, </w:t>
      </w:r>
      <w:r w:rsidR="00CF1AD1" w:rsidRPr="00746ACE">
        <w:rPr>
          <w:lang w:eastAsia="es-ES"/>
        </w:rPr>
        <w:t xml:space="preserve">sin perjuicio de que sea posible alcanzar </w:t>
      </w:r>
      <w:r w:rsidR="00A723AC" w:rsidRPr="00746ACE">
        <w:rPr>
          <w:lang w:eastAsia="es-ES"/>
        </w:rPr>
        <w:t>mayores niveles de verdad</w:t>
      </w:r>
      <w:r w:rsidR="00CF1AD1" w:rsidRPr="00746ACE">
        <w:rPr>
          <w:lang w:eastAsia="es-ES"/>
        </w:rPr>
        <w:t xml:space="preserve"> en el marco del régimen de condicionalidad estricto ante la Sala de Definición de Situaciones Jurídicas</w:t>
      </w:r>
      <w:r w:rsidR="00A723AC" w:rsidRPr="00746ACE">
        <w:rPr>
          <w:lang w:eastAsia="es-ES"/>
        </w:rPr>
        <w:t>;</w:t>
      </w:r>
      <w:r w:rsidR="00CB6476" w:rsidRPr="00746ACE">
        <w:rPr>
          <w:lang w:eastAsia="es-ES"/>
        </w:rPr>
        <w:t xml:space="preserve"> por ejemplo</w:t>
      </w:r>
      <w:r w:rsidR="0017726A" w:rsidRPr="00746ACE">
        <w:rPr>
          <w:lang w:eastAsia="es-ES"/>
        </w:rPr>
        <w:t>,</w:t>
      </w:r>
      <w:r w:rsidR="00CB6476" w:rsidRPr="00746ACE">
        <w:rPr>
          <w:lang w:eastAsia="es-ES"/>
        </w:rPr>
        <w:t xml:space="preserve"> </w:t>
      </w:r>
      <w:r w:rsidR="00A723AC" w:rsidRPr="00746ACE">
        <w:rPr>
          <w:lang w:eastAsia="es-ES"/>
        </w:rPr>
        <w:t>mediante</w:t>
      </w:r>
      <w:r w:rsidR="00CB6476" w:rsidRPr="00746ACE">
        <w:rPr>
          <w:lang w:eastAsia="es-ES"/>
        </w:rPr>
        <w:t xml:space="preserve"> las audiencias de la ruta no sancionatoria, </w:t>
      </w:r>
      <w:r w:rsidR="00A723AC" w:rsidRPr="00746ACE">
        <w:rPr>
          <w:lang w:eastAsia="es-ES"/>
        </w:rPr>
        <w:t xml:space="preserve">enmarcadas </w:t>
      </w:r>
      <w:r w:rsidR="00CB6476" w:rsidRPr="00746ACE">
        <w:rPr>
          <w:lang w:eastAsia="es-ES"/>
        </w:rPr>
        <w:t xml:space="preserve">en el </w:t>
      </w:r>
      <w:r w:rsidR="0017726A" w:rsidRPr="00746ACE">
        <w:rPr>
          <w:lang w:eastAsia="es-ES"/>
        </w:rPr>
        <w:t>cumplimiento de</w:t>
      </w:r>
      <w:r w:rsidR="00A723AC" w:rsidRPr="00746ACE">
        <w:rPr>
          <w:lang w:eastAsia="es-ES"/>
        </w:rPr>
        <w:t xml:space="preserve"> dicho régimen. </w:t>
      </w:r>
    </w:p>
    <w:p w14:paraId="00BFC040" w14:textId="77777777" w:rsidR="00A723AC" w:rsidRPr="00746ACE" w:rsidRDefault="00A723AC" w:rsidP="00314A49">
      <w:pPr>
        <w:rPr>
          <w:lang w:eastAsia="es-ES"/>
        </w:rPr>
      </w:pPr>
    </w:p>
    <w:p w14:paraId="5C1C6EA5" w14:textId="5871270B" w:rsidR="00CF041A" w:rsidRPr="00746ACE" w:rsidRDefault="00CF041A" w:rsidP="00CF1AD1">
      <w:pPr>
        <w:pStyle w:val="Prrafodelista"/>
        <w:widowControl w:val="0"/>
        <w:numPr>
          <w:ilvl w:val="0"/>
          <w:numId w:val="7"/>
        </w:numPr>
        <w:rPr>
          <w:lang w:eastAsia="es-ES"/>
        </w:rPr>
      </w:pPr>
      <w:r w:rsidRPr="00746ACE">
        <w:rPr>
          <w:lang w:eastAsia="es-ES"/>
        </w:rPr>
        <w:t xml:space="preserve">La Sala de definición de situaciones Jurídicas sostuvo, en este sentido, que su lógica siempre opera </w:t>
      </w:r>
      <w:r w:rsidRPr="00746ACE">
        <w:rPr>
          <w:i/>
          <w:iCs/>
          <w:lang w:eastAsia="es-ES"/>
        </w:rPr>
        <w:t xml:space="preserve">caso a caso. </w:t>
      </w:r>
      <w:r w:rsidRPr="00746ACE">
        <w:rPr>
          <w:lang w:eastAsia="es-ES"/>
        </w:rPr>
        <w:t xml:space="preserve">Esta afirmación puede ser correcta, en el sentido de que concede beneficios a comparecientes </w:t>
      </w:r>
      <w:r w:rsidR="002812F7" w:rsidRPr="00746ACE">
        <w:rPr>
          <w:lang w:eastAsia="es-ES"/>
        </w:rPr>
        <w:t xml:space="preserve">en consideración a </w:t>
      </w:r>
      <w:r w:rsidRPr="00746ACE">
        <w:rPr>
          <w:lang w:eastAsia="es-ES"/>
        </w:rPr>
        <w:t xml:space="preserve">su situación individual, y también puede verificar el cumplimiento del régimen de condicionalidad uno a uno. Pero esta situación no implica, claro está, que pueda realizar exámenes de responsabilidad y selección de la misma manera, por las razones ampliamente expuestas en este capítulo.  </w:t>
      </w:r>
    </w:p>
    <w:p w14:paraId="224C4B98" w14:textId="77777777" w:rsidR="00CF1AD1" w:rsidRPr="00746ACE" w:rsidRDefault="00CF1AD1" w:rsidP="00CF1AD1">
      <w:pPr>
        <w:pStyle w:val="Prrafodelista"/>
        <w:widowControl w:val="0"/>
        <w:ind w:left="0"/>
        <w:rPr>
          <w:lang w:eastAsia="es-ES"/>
        </w:rPr>
      </w:pPr>
    </w:p>
    <w:p w14:paraId="21066BC2" w14:textId="19B74C8D" w:rsidR="00720FE7" w:rsidRPr="00746ACE" w:rsidRDefault="0043161D" w:rsidP="00FC0DFB">
      <w:pPr>
        <w:pStyle w:val="Prrafodelista"/>
        <w:widowControl w:val="0"/>
        <w:numPr>
          <w:ilvl w:val="0"/>
          <w:numId w:val="7"/>
        </w:numPr>
      </w:pPr>
      <w:r w:rsidRPr="00746ACE">
        <w:rPr>
          <w:lang w:eastAsia="es-ES"/>
        </w:rPr>
        <w:t xml:space="preserve">La concentración de los esfuerzos </w:t>
      </w:r>
      <w:r w:rsidR="00AF0573" w:rsidRPr="00746ACE">
        <w:rPr>
          <w:lang w:eastAsia="es-ES"/>
        </w:rPr>
        <w:t xml:space="preserve">institucionales </w:t>
      </w:r>
      <w:r w:rsidRPr="00746ACE">
        <w:rPr>
          <w:lang w:eastAsia="es-ES"/>
        </w:rPr>
        <w:t xml:space="preserve">mediante el principio constitucional </w:t>
      </w:r>
      <w:r w:rsidR="00130D46" w:rsidRPr="00746ACE">
        <w:rPr>
          <w:lang w:eastAsia="es-ES"/>
        </w:rPr>
        <w:t xml:space="preserve">y transicional </w:t>
      </w:r>
      <w:r w:rsidRPr="00746ACE">
        <w:rPr>
          <w:lang w:eastAsia="es-ES"/>
        </w:rPr>
        <w:t xml:space="preserve">de selección se basa precisamente en una interpretación de estos órdenes jurídicos, razón por la cual fue avalada por la Corte Constitucional. </w:t>
      </w:r>
    </w:p>
    <w:p w14:paraId="0E60BC55" w14:textId="77777777" w:rsidR="00720FE7" w:rsidRPr="00746ACE" w:rsidRDefault="00720FE7" w:rsidP="00720FE7">
      <w:pPr>
        <w:pStyle w:val="Prrafodelista"/>
        <w:rPr>
          <w:lang w:eastAsia="es-ES"/>
        </w:rPr>
      </w:pPr>
    </w:p>
    <w:p w14:paraId="71879C54" w14:textId="7AC31AC2" w:rsidR="0043161D" w:rsidRPr="00746ACE" w:rsidRDefault="0043161D" w:rsidP="00FC0DFB">
      <w:pPr>
        <w:pStyle w:val="Prrafodelista"/>
        <w:widowControl w:val="0"/>
        <w:numPr>
          <w:ilvl w:val="0"/>
          <w:numId w:val="7"/>
        </w:numPr>
      </w:pPr>
      <w:r w:rsidRPr="00746ACE">
        <w:rPr>
          <w:lang w:eastAsia="es-ES"/>
        </w:rPr>
        <w:t xml:space="preserve">Más aún, si llega el momento en el que una decisión de selección suscita la intervención de un tribunal internacional en virtud de una acción o queja </w:t>
      </w:r>
      <w:r w:rsidR="00720FE7" w:rsidRPr="00746ACE">
        <w:rPr>
          <w:lang w:eastAsia="es-ES"/>
        </w:rPr>
        <w:t xml:space="preserve">contra </w:t>
      </w:r>
      <w:r w:rsidRPr="00746ACE">
        <w:rPr>
          <w:lang w:eastAsia="es-ES"/>
        </w:rPr>
        <w:t>la JEP, será necesari</w:t>
      </w:r>
      <w:r w:rsidR="00720FE7" w:rsidRPr="00746ACE">
        <w:rPr>
          <w:lang w:eastAsia="es-ES"/>
        </w:rPr>
        <w:t>o</w:t>
      </w:r>
      <w:r w:rsidRPr="00746ACE">
        <w:rPr>
          <w:lang w:eastAsia="es-ES"/>
        </w:rPr>
        <w:t xml:space="preserve"> exponer ante estos </w:t>
      </w:r>
      <w:r w:rsidR="00BE7DDB" w:rsidRPr="00746ACE">
        <w:rPr>
          <w:lang w:eastAsia="es-ES"/>
        </w:rPr>
        <w:t xml:space="preserve">órganos </w:t>
      </w:r>
      <w:r w:rsidRPr="00746ACE">
        <w:rPr>
          <w:lang w:eastAsia="es-ES"/>
        </w:rPr>
        <w:t xml:space="preserve">el sentido de la selección en el sistema integral de justicia, demostrando la debida diligencia en el cumplimiento de las funciones del sistema. </w:t>
      </w:r>
    </w:p>
    <w:p w14:paraId="7A8531DB" w14:textId="77777777" w:rsidR="0043161D" w:rsidRPr="00746ACE" w:rsidRDefault="0043161D" w:rsidP="00CF1AD1">
      <w:pPr>
        <w:pStyle w:val="Prrafodelista"/>
        <w:widowControl w:val="0"/>
        <w:rPr>
          <w:lang w:eastAsia="es-ES"/>
        </w:rPr>
      </w:pPr>
    </w:p>
    <w:p w14:paraId="62D69B9D" w14:textId="03AE39E5" w:rsidR="0043161D" w:rsidRPr="00746ACE" w:rsidRDefault="0043161D" w:rsidP="00FC0DFB">
      <w:pPr>
        <w:pStyle w:val="Prrafodelista"/>
        <w:widowControl w:val="0"/>
        <w:numPr>
          <w:ilvl w:val="0"/>
          <w:numId w:val="7"/>
        </w:numPr>
        <w:rPr>
          <w:lang w:eastAsia="es-ES"/>
        </w:rPr>
      </w:pPr>
      <w:r w:rsidRPr="00746ACE">
        <w:rPr>
          <w:lang w:eastAsia="es-ES"/>
        </w:rPr>
        <w:t xml:space="preserve">Existe acá un imperativo de claridad en la comunicación </w:t>
      </w:r>
      <w:r w:rsidR="002E0CB0" w:rsidRPr="00746ACE">
        <w:rPr>
          <w:lang w:eastAsia="es-ES"/>
        </w:rPr>
        <w:t xml:space="preserve">que resulta </w:t>
      </w:r>
      <w:r w:rsidRPr="00746ACE">
        <w:rPr>
          <w:lang w:eastAsia="es-ES"/>
        </w:rPr>
        <w:t xml:space="preserve">determinante para </w:t>
      </w:r>
      <w:r w:rsidR="006E163B" w:rsidRPr="00746ACE">
        <w:rPr>
          <w:lang w:eastAsia="es-ES"/>
        </w:rPr>
        <w:t>transmitir a la sociedad el sentido del principio de selección</w:t>
      </w:r>
      <w:r w:rsidRPr="00746ACE">
        <w:rPr>
          <w:lang w:eastAsia="es-ES"/>
        </w:rPr>
        <w:t>. Como lo expresó la Corte en la Sentencia C-080 de 2018, “</w:t>
      </w:r>
      <w:r w:rsidR="00FC0DFB" w:rsidRPr="00746ACE">
        <w:rPr>
          <w:lang w:eastAsia="es-ES"/>
        </w:rPr>
        <w:t>[</w:t>
      </w:r>
      <w:r w:rsidRPr="00746ACE">
        <w:rPr>
          <w:lang w:eastAsia="es-ES"/>
        </w:rPr>
        <w:t>l</w:t>
      </w:r>
      <w:r w:rsidR="00FC0DFB" w:rsidRPr="00746ACE">
        <w:rPr>
          <w:lang w:eastAsia="es-ES"/>
        </w:rPr>
        <w:t>]</w:t>
      </w:r>
      <w:r w:rsidRPr="00746ACE">
        <w:t>a </w:t>
      </w:r>
      <w:r w:rsidRPr="00746ACE">
        <w:rPr>
          <w:i/>
        </w:rPr>
        <w:t>selección</w:t>
      </w:r>
      <w:r w:rsidRPr="00746ACE">
        <w:t> es esencial para el cumplimiento de los fines de la Jurisdicción Especial para la Paz, en particular la realización de justicia en un plazo razonable. Por tal razón, deberá aplicar de manera transparente, rigurosa y técnica, los criterios de selección, cumpliendo los más altos estándares de argumentación jurídica y fáctica”.</w:t>
      </w:r>
    </w:p>
    <w:p w14:paraId="5E1CB604" w14:textId="77777777" w:rsidR="0043161D" w:rsidRPr="00746ACE" w:rsidRDefault="0043161D" w:rsidP="00FC0DFB">
      <w:pPr>
        <w:widowControl w:val="0"/>
        <w:rPr>
          <w:lang w:eastAsia="es-ES"/>
        </w:rPr>
      </w:pPr>
    </w:p>
    <w:p w14:paraId="0E7FAB72" w14:textId="3778134E" w:rsidR="0043161D" w:rsidRPr="00746ACE" w:rsidRDefault="0043161D" w:rsidP="00720FE7">
      <w:pPr>
        <w:pStyle w:val="Prrafodelista"/>
        <w:widowControl w:val="0"/>
        <w:numPr>
          <w:ilvl w:val="0"/>
          <w:numId w:val="7"/>
        </w:numPr>
        <w:rPr>
          <w:lang w:eastAsia="es-ES"/>
        </w:rPr>
      </w:pPr>
      <w:r w:rsidRPr="00746ACE">
        <w:rPr>
          <w:lang w:eastAsia="es-ES"/>
        </w:rPr>
        <w:t xml:space="preserve">En sentido similar, </w:t>
      </w:r>
      <w:r w:rsidRPr="00746ACE">
        <w:rPr>
          <w:i/>
          <w:iCs/>
          <w:lang w:eastAsia="es-ES"/>
        </w:rPr>
        <w:t>blindar el sistema</w:t>
      </w:r>
      <w:r w:rsidRPr="00746ACE">
        <w:rPr>
          <w:lang w:eastAsia="es-ES"/>
        </w:rPr>
        <w:t xml:space="preserve"> </w:t>
      </w:r>
      <w:r w:rsidR="00720FE7" w:rsidRPr="00746ACE">
        <w:rPr>
          <w:lang w:eastAsia="es-ES"/>
        </w:rPr>
        <w:t>–</w:t>
      </w:r>
      <w:r w:rsidR="00BE7DDB" w:rsidRPr="00746ACE">
        <w:rPr>
          <w:lang w:eastAsia="es-ES"/>
        </w:rPr>
        <w:t xml:space="preserve">como </w:t>
      </w:r>
      <w:r w:rsidR="00720FE7" w:rsidRPr="00746ACE">
        <w:rPr>
          <w:lang w:eastAsia="es-ES"/>
        </w:rPr>
        <w:t xml:space="preserve">argumento de la JEP para defender la </w:t>
      </w:r>
      <w:r w:rsidR="00690C87" w:rsidRPr="00746ACE">
        <w:rPr>
          <w:lang w:eastAsia="es-ES"/>
        </w:rPr>
        <w:t>“</w:t>
      </w:r>
      <w:r w:rsidR="00720FE7" w:rsidRPr="00746ACE">
        <w:rPr>
          <w:lang w:eastAsia="es-ES"/>
        </w:rPr>
        <w:t>selección de segundo orden</w:t>
      </w:r>
      <w:r w:rsidR="00690C87" w:rsidRPr="00746ACE">
        <w:rPr>
          <w:lang w:eastAsia="es-ES"/>
        </w:rPr>
        <w:t>”</w:t>
      </w:r>
      <w:r w:rsidR="00720FE7" w:rsidRPr="00746ACE">
        <w:rPr>
          <w:lang w:eastAsia="es-ES"/>
        </w:rPr>
        <w:t xml:space="preserve">– </w:t>
      </w:r>
      <w:r w:rsidRPr="00746ACE">
        <w:rPr>
          <w:lang w:eastAsia="es-ES"/>
        </w:rPr>
        <w:t xml:space="preserve">no constituye un motivo para intervenir en </w:t>
      </w:r>
      <w:r w:rsidR="002127BC" w:rsidRPr="00746ACE">
        <w:rPr>
          <w:lang w:eastAsia="es-ES"/>
        </w:rPr>
        <w:t xml:space="preserve">su </w:t>
      </w:r>
      <w:r w:rsidRPr="00746ACE">
        <w:rPr>
          <w:lang w:eastAsia="es-ES"/>
        </w:rPr>
        <w:t xml:space="preserve">diseño </w:t>
      </w:r>
      <w:r w:rsidR="002127BC" w:rsidRPr="00746ACE">
        <w:rPr>
          <w:lang w:eastAsia="es-ES"/>
        </w:rPr>
        <w:t>constitucional</w:t>
      </w:r>
      <w:r w:rsidRPr="00746ACE">
        <w:rPr>
          <w:lang w:eastAsia="es-ES"/>
        </w:rPr>
        <w:t xml:space="preserve">. </w:t>
      </w:r>
      <w:r w:rsidR="00720FE7" w:rsidRPr="00746ACE">
        <w:rPr>
          <w:lang w:eastAsia="es-ES"/>
        </w:rPr>
        <w:t xml:space="preserve">Es posible concebir este argumento como un interés en cumplir al máximo </w:t>
      </w:r>
      <w:r w:rsidRPr="00746ACE">
        <w:rPr>
          <w:lang w:eastAsia="es-ES"/>
        </w:rPr>
        <w:t xml:space="preserve">las obligaciones de investigar, juzgar y sancionar y en la satisfacción de los derechos de las víctimas. </w:t>
      </w:r>
      <w:r w:rsidR="00FC0DFB" w:rsidRPr="00746ACE">
        <w:rPr>
          <w:lang w:eastAsia="es-ES"/>
        </w:rPr>
        <w:t xml:space="preserve">Sin embargo, este </w:t>
      </w:r>
      <w:r w:rsidRPr="00746ACE">
        <w:rPr>
          <w:lang w:eastAsia="es-ES"/>
        </w:rPr>
        <w:t>no debe conducir a generar nuevos procesos y nuevas rutas,</w:t>
      </w:r>
      <w:r w:rsidR="00E546E4" w:rsidRPr="00746ACE">
        <w:rPr>
          <w:lang w:eastAsia="es-ES"/>
        </w:rPr>
        <w:t xml:space="preserve"> o</w:t>
      </w:r>
      <w:r w:rsidRPr="00746ACE">
        <w:rPr>
          <w:lang w:eastAsia="es-ES"/>
        </w:rPr>
        <w:t xml:space="preserve"> a moverse por fuera de los cauces mínimos que impone la Constitución a la JEP, dentro de los cuales la selección es el eje que articula</w:t>
      </w:r>
      <w:r w:rsidR="00F23CAB" w:rsidRPr="00746ACE">
        <w:rPr>
          <w:lang w:eastAsia="es-ES"/>
        </w:rPr>
        <w:t xml:space="preserve"> los</w:t>
      </w:r>
      <w:r w:rsidRPr="00746ACE">
        <w:rPr>
          <w:lang w:eastAsia="es-ES"/>
        </w:rPr>
        <w:t xml:space="preserve"> derechos de las víctimas, </w:t>
      </w:r>
      <w:r w:rsidR="00F23CAB" w:rsidRPr="00746ACE">
        <w:rPr>
          <w:lang w:eastAsia="es-ES"/>
        </w:rPr>
        <w:t xml:space="preserve">la </w:t>
      </w:r>
      <w:r w:rsidRPr="00746ACE">
        <w:rPr>
          <w:lang w:eastAsia="es-ES"/>
        </w:rPr>
        <w:t xml:space="preserve">capacidad del sistema y </w:t>
      </w:r>
      <w:r w:rsidR="00F23CAB" w:rsidRPr="00746ACE">
        <w:rPr>
          <w:lang w:eastAsia="es-ES"/>
        </w:rPr>
        <w:t xml:space="preserve">las </w:t>
      </w:r>
      <w:r w:rsidRPr="00746ACE">
        <w:rPr>
          <w:lang w:eastAsia="es-ES"/>
        </w:rPr>
        <w:t>obligaciones internacionales.</w:t>
      </w:r>
    </w:p>
    <w:p w14:paraId="195DC510" w14:textId="77777777" w:rsidR="00720FE7" w:rsidRPr="00746ACE" w:rsidRDefault="00720FE7" w:rsidP="00720FE7">
      <w:pPr>
        <w:pStyle w:val="Prrafodelista"/>
        <w:rPr>
          <w:lang w:eastAsia="es-ES"/>
        </w:rPr>
      </w:pPr>
    </w:p>
    <w:p w14:paraId="49F3645B" w14:textId="66500721" w:rsidR="00720FE7" w:rsidRPr="00746ACE" w:rsidRDefault="00720FE7" w:rsidP="00720FE7">
      <w:pPr>
        <w:pStyle w:val="Prrafodelista"/>
        <w:widowControl w:val="0"/>
        <w:numPr>
          <w:ilvl w:val="0"/>
          <w:numId w:val="7"/>
        </w:numPr>
        <w:rPr>
          <w:lang w:eastAsia="es-ES"/>
        </w:rPr>
      </w:pPr>
      <w:r w:rsidRPr="00746ACE">
        <w:rPr>
          <w:lang w:eastAsia="es-ES"/>
        </w:rPr>
        <w:t>Es importante</w:t>
      </w:r>
      <w:r w:rsidR="002127BC" w:rsidRPr="00746ACE">
        <w:rPr>
          <w:lang w:eastAsia="es-ES"/>
        </w:rPr>
        <w:t>,</w:t>
      </w:r>
      <w:r w:rsidRPr="00746ACE">
        <w:rPr>
          <w:lang w:eastAsia="es-ES"/>
        </w:rPr>
        <w:t xml:space="preserve"> como lo señalaron diversas intervenciones en la Audiencia Pública, preservar la estabilidad de un acuerdo de paz para propiciar su eficacia.</w:t>
      </w:r>
    </w:p>
    <w:p w14:paraId="52E0EEC8" w14:textId="77777777" w:rsidR="0043161D" w:rsidRPr="00746ACE" w:rsidRDefault="0043161D" w:rsidP="00FC0DFB">
      <w:pPr>
        <w:pStyle w:val="Prrafodelista"/>
        <w:widowControl w:val="0"/>
        <w:ind w:left="0"/>
      </w:pPr>
    </w:p>
    <w:p w14:paraId="1A355B9B" w14:textId="41A3C520" w:rsidR="0043161D" w:rsidRPr="00746ACE" w:rsidRDefault="0043161D" w:rsidP="00720FE7">
      <w:pPr>
        <w:pStyle w:val="Prrafodelista"/>
        <w:widowControl w:val="0"/>
        <w:numPr>
          <w:ilvl w:val="0"/>
          <w:numId w:val="7"/>
        </w:numPr>
        <w:rPr>
          <w:lang w:eastAsia="es-ES"/>
        </w:rPr>
      </w:pPr>
      <w:r w:rsidRPr="00746ACE">
        <w:rPr>
          <w:lang w:eastAsia="es-ES"/>
        </w:rPr>
        <w:t xml:space="preserve">En otros términos, </w:t>
      </w:r>
      <w:r w:rsidR="00720FE7" w:rsidRPr="00746ACE">
        <w:rPr>
          <w:lang w:eastAsia="es-ES"/>
        </w:rPr>
        <w:t xml:space="preserve">el sistema se protege cumpliendo de manera rigurosa las funciones de cada sala y sección, pero no se protege concibiendo funciones ajenas al diseño constitucional del sistema. Esta alternativa, en cambio, puede generar </w:t>
      </w:r>
      <w:r w:rsidR="00FC0DFB" w:rsidRPr="00746ACE">
        <w:rPr>
          <w:lang w:eastAsia="es-ES"/>
        </w:rPr>
        <w:t xml:space="preserve">una </w:t>
      </w:r>
      <w:r w:rsidRPr="00746ACE">
        <w:rPr>
          <w:lang w:eastAsia="es-ES"/>
        </w:rPr>
        <w:t>profunda inseguridad jurídica, que es uno de los valores más importantes para la estabilidad de la transición. La sucesiva corrección de la Senit 8 y la Senit 9, aunque valiosa en algunos puntos como se explicará en el siguiente acápite, tiene el problema de agravar esta inseguridad, pues se trata de tres decisiones de unificación dictadas en menos de dos años.</w:t>
      </w:r>
      <w:r w:rsidR="00720FE7" w:rsidRPr="00746ACE">
        <w:rPr>
          <w:lang w:eastAsia="es-ES"/>
        </w:rPr>
        <w:t xml:space="preserve"> </w:t>
      </w:r>
    </w:p>
    <w:p w14:paraId="566C9F0F" w14:textId="77777777" w:rsidR="00720FE7" w:rsidRPr="00746ACE" w:rsidRDefault="00720FE7" w:rsidP="00720FE7">
      <w:pPr>
        <w:pStyle w:val="Prrafodelista"/>
        <w:rPr>
          <w:lang w:eastAsia="es-ES"/>
        </w:rPr>
      </w:pPr>
    </w:p>
    <w:p w14:paraId="3D39332A" w14:textId="29A1A4AF" w:rsidR="00720FE7" w:rsidRPr="00746ACE" w:rsidRDefault="00720FE7" w:rsidP="00720FE7">
      <w:pPr>
        <w:pStyle w:val="Prrafodelista"/>
        <w:widowControl w:val="0"/>
        <w:numPr>
          <w:ilvl w:val="0"/>
          <w:numId w:val="7"/>
        </w:numPr>
        <w:rPr>
          <w:lang w:eastAsia="es-ES"/>
        </w:rPr>
      </w:pPr>
      <w:r w:rsidRPr="00746ACE">
        <w:rPr>
          <w:lang w:eastAsia="es-ES"/>
        </w:rPr>
        <w:t xml:space="preserve">Los ajustes jurisprudenciales pueden ser necesarios en un sistema complejo como de la JEP, pero este cambio constante de conceptos que la Corte considera centrales para </w:t>
      </w:r>
      <w:r w:rsidR="00F74A9D" w:rsidRPr="00746ACE">
        <w:rPr>
          <w:lang w:eastAsia="es-ES"/>
        </w:rPr>
        <w:t xml:space="preserve">la </w:t>
      </w:r>
      <w:r w:rsidRPr="00746ACE">
        <w:rPr>
          <w:lang w:eastAsia="es-ES"/>
        </w:rPr>
        <w:t>justicia transicional puede conducir a una indefinición inadmisible y generar amenazas y daños al proceso, en lo que tiene que ver con la seguridad física y jurídica de los firmantes y la garantía de los derechos de las víctimas en plazos oportunos.</w:t>
      </w:r>
    </w:p>
    <w:p w14:paraId="0C0800D5" w14:textId="77777777" w:rsidR="0043161D" w:rsidRPr="00746ACE" w:rsidRDefault="0043161D" w:rsidP="00FC0DFB">
      <w:pPr>
        <w:pStyle w:val="Prrafodelista"/>
        <w:widowControl w:val="0"/>
        <w:rPr>
          <w:lang w:eastAsia="es-ES"/>
        </w:rPr>
      </w:pPr>
    </w:p>
    <w:p w14:paraId="2A14B5B6" w14:textId="07665111" w:rsidR="009E45E4" w:rsidRPr="00746ACE" w:rsidRDefault="00FC0DFB" w:rsidP="00FC0DFB">
      <w:pPr>
        <w:pStyle w:val="Prrafodelista"/>
        <w:widowControl w:val="0"/>
        <w:numPr>
          <w:ilvl w:val="0"/>
          <w:numId w:val="7"/>
        </w:numPr>
      </w:pPr>
      <w:r w:rsidRPr="00746ACE">
        <w:rPr>
          <w:lang w:eastAsia="es-ES"/>
        </w:rPr>
        <w:t>En el mismo sentido, l</w:t>
      </w:r>
      <w:r w:rsidR="002003BF" w:rsidRPr="00746ACE">
        <w:rPr>
          <w:lang w:eastAsia="es-ES"/>
        </w:rPr>
        <w:t xml:space="preserve">a intención de blindar el sistema en virtud de un sentido de justicia </w:t>
      </w:r>
      <w:r w:rsidR="00BE620C" w:rsidRPr="00746ACE">
        <w:rPr>
          <w:lang w:eastAsia="es-ES"/>
        </w:rPr>
        <w:t>–</w:t>
      </w:r>
      <w:r w:rsidR="002003BF" w:rsidRPr="00746ACE">
        <w:rPr>
          <w:lang w:eastAsia="es-ES"/>
        </w:rPr>
        <w:t>defendida en la audiencia pública</w:t>
      </w:r>
      <w:r w:rsidR="00192879" w:rsidRPr="00746ACE">
        <w:rPr>
          <w:lang w:eastAsia="es-ES"/>
        </w:rPr>
        <w:t xml:space="preserve"> de</w:t>
      </w:r>
      <w:r w:rsidRPr="00746ACE">
        <w:rPr>
          <w:lang w:eastAsia="es-ES"/>
        </w:rPr>
        <w:t>l</w:t>
      </w:r>
      <w:r w:rsidR="00192879" w:rsidRPr="00746ACE">
        <w:rPr>
          <w:lang w:eastAsia="es-ES"/>
        </w:rPr>
        <w:t xml:space="preserve"> 24 de octubre de 2024 por </w:t>
      </w:r>
      <w:r w:rsidRPr="00746ACE">
        <w:rPr>
          <w:lang w:eastAsia="es-ES"/>
        </w:rPr>
        <w:t xml:space="preserve">los </w:t>
      </w:r>
      <w:r w:rsidR="0043161D" w:rsidRPr="00746ACE">
        <w:rPr>
          <w:lang w:eastAsia="es-ES"/>
        </w:rPr>
        <w:t>magistrados de la JEP</w:t>
      </w:r>
      <w:r w:rsidR="00BE620C" w:rsidRPr="00746ACE">
        <w:rPr>
          <w:lang w:eastAsia="es-ES"/>
        </w:rPr>
        <w:t>–</w:t>
      </w:r>
      <w:r w:rsidR="002003BF" w:rsidRPr="00746ACE">
        <w:rPr>
          <w:lang w:eastAsia="es-ES"/>
        </w:rPr>
        <w:t xml:space="preserve"> desconoce otros aspectos del sistema transicional </w:t>
      </w:r>
      <w:r w:rsidR="00060DCF" w:rsidRPr="00746ACE">
        <w:rPr>
          <w:lang w:eastAsia="es-ES"/>
        </w:rPr>
        <w:t>–</w:t>
      </w:r>
      <w:r w:rsidR="00BE620C" w:rsidRPr="00746ACE">
        <w:rPr>
          <w:lang w:eastAsia="es-ES"/>
        </w:rPr>
        <w:t xml:space="preserve">y </w:t>
      </w:r>
      <w:r w:rsidR="00060DCF" w:rsidRPr="00746ACE">
        <w:rPr>
          <w:lang w:eastAsia="es-ES"/>
        </w:rPr>
        <w:t>constitucional– en curso</w:t>
      </w:r>
      <w:r w:rsidR="00060DCF" w:rsidRPr="00746ACE">
        <w:rPr>
          <w:rStyle w:val="Refdenotaalpie"/>
          <w:lang w:eastAsia="es-ES"/>
        </w:rPr>
        <w:footnoteReference w:id="118"/>
      </w:r>
      <w:r w:rsidR="00DE1EC3" w:rsidRPr="00746ACE">
        <w:rPr>
          <w:lang w:eastAsia="es-ES"/>
        </w:rPr>
        <w:t xml:space="preserve">, como el hecho de que la renuncia condicionada a la persecución penal no equivale a la amnistía o la autoamnistía. </w:t>
      </w:r>
      <w:r w:rsidR="0050061F" w:rsidRPr="00746ACE">
        <w:rPr>
          <w:lang w:eastAsia="es-ES"/>
        </w:rPr>
        <w:t>Vale la pena recordar que e</w:t>
      </w:r>
      <w:r w:rsidR="00060DCF" w:rsidRPr="00746ACE">
        <w:rPr>
          <w:lang w:eastAsia="es-ES"/>
        </w:rPr>
        <w:t>l parágrafo 2º del artículo 19 de la Ley estatutaria de administración de justicia prohibía renunciar a la persecución penal para eventos individuales de graves crímenes, sin mencionar la concentración en los máximos responsables, y la Corte Constitucional declaró su inconstitucionalidad porque esa norma privaba de contenido al principio de selección</w:t>
      </w:r>
      <w:r w:rsidR="00060DCF" w:rsidRPr="00746ACE">
        <w:rPr>
          <w:rStyle w:val="Refdenotaalpie"/>
          <w:lang w:eastAsia="es-ES"/>
        </w:rPr>
        <w:footnoteReference w:id="119"/>
      </w:r>
      <w:r w:rsidR="00060DCF" w:rsidRPr="00746ACE">
        <w:rPr>
          <w:lang w:eastAsia="es-ES"/>
        </w:rPr>
        <w:t>.</w:t>
      </w:r>
      <w:r w:rsidR="002003BF" w:rsidRPr="00746ACE">
        <w:rPr>
          <w:lang w:eastAsia="es-ES"/>
        </w:rPr>
        <w:t xml:space="preserve"> </w:t>
      </w:r>
    </w:p>
    <w:p w14:paraId="27315046" w14:textId="77777777" w:rsidR="002A0FC8" w:rsidRPr="00746ACE" w:rsidRDefault="002A0FC8" w:rsidP="002A0FC8">
      <w:pPr>
        <w:pStyle w:val="Prrafodelista"/>
      </w:pPr>
    </w:p>
    <w:p w14:paraId="1BF4EB77" w14:textId="0687C06F" w:rsidR="002A0FC8" w:rsidRPr="00746ACE" w:rsidRDefault="002A0FC8" w:rsidP="002A0FC8">
      <w:pPr>
        <w:pStyle w:val="Prrafodelista"/>
        <w:numPr>
          <w:ilvl w:val="0"/>
          <w:numId w:val="7"/>
        </w:numPr>
        <w:rPr>
          <w:lang w:val="es-ES_tradnl"/>
        </w:rPr>
      </w:pPr>
      <w:r w:rsidRPr="00746ACE">
        <w:rPr>
          <w:lang w:val="es-ES_tradnl"/>
        </w:rPr>
        <w:t>La Sección de apelación considera también que el artículo 84, literal c</w:t>
      </w:r>
      <w:r w:rsidRPr="00746ACE">
        <w:rPr>
          <w:rStyle w:val="Refdenotaalpie"/>
          <w:lang w:val="es-ES_tradnl"/>
        </w:rPr>
        <w:footnoteReference w:id="120"/>
      </w:r>
      <w:r w:rsidRPr="00746ACE">
        <w:rPr>
          <w:lang w:val="es-ES_tradnl"/>
        </w:rPr>
        <w:t xml:space="preserve">, es una fuente legislativa directa de la </w:t>
      </w:r>
      <w:r w:rsidR="00BE620C" w:rsidRPr="00746ACE">
        <w:rPr>
          <w:lang w:val="es-ES_tradnl"/>
        </w:rPr>
        <w:t>“</w:t>
      </w:r>
      <w:r w:rsidRPr="00746ACE">
        <w:rPr>
          <w:lang w:val="es-ES_tradnl"/>
        </w:rPr>
        <w:t>selección de segundo orden</w:t>
      </w:r>
      <w:r w:rsidR="00BE620C" w:rsidRPr="00746ACE">
        <w:rPr>
          <w:lang w:val="es-ES_tradnl"/>
        </w:rPr>
        <w:t>”</w:t>
      </w:r>
      <w:r w:rsidRPr="00746ACE">
        <w:rPr>
          <w:lang w:val="es-ES_tradnl"/>
        </w:rPr>
        <w:t>. En este sentido</w:t>
      </w:r>
      <w:r w:rsidR="00045076" w:rsidRPr="00746ACE">
        <w:rPr>
          <w:lang w:val="es-ES_tradnl"/>
        </w:rPr>
        <w:t xml:space="preserve"> </w:t>
      </w:r>
      <w:r w:rsidRPr="00746ACE">
        <w:rPr>
          <w:lang w:val="es-ES_tradnl"/>
        </w:rPr>
        <w:t>indica que</w:t>
      </w:r>
      <w:r w:rsidR="0017301D" w:rsidRPr="00746ACE">
        <w:rPr>
          <w:lang w:val="es-ES_tradnl"/>
        </w:rPr>
        <w:t>, primero,</w:t>
      </w:r>
      <w:r w:rsidRPr="00746ACE">
        <w:rPr>
          <w:lang w:val="es-ES_tradnl"/>
        </w:rPr>
        <w:t xml:space="preserve"> este enunciado prevé las funciones de la Sala de definición de situaciones jurídicas; </w:t>
      </w:r>
      <w:r w:rsidR="0017301D" w:rsidRPr="00746ACE">
        <w:rPr>
          <w:lang w:val="es-ES_tradnl"/>
        </w:rPr>
        <w:t xml:space="preserve">segundo, </w:t>
      </w:r>
      <w:r w:rsidRPr="00746ACE">
        <w:rPr>
          <w:lang w:val="es-ES_tradnl"/>
        </w:rPr>
        <w:t>que entre ellas se encuentra la de selección; y, tercero, que incluso la existencia de</w:t>
      </w:r>
      <w:r w:rsidR="0017301D" w:rsidRPr="00746ACE">
        <w:rPr>
          <w:lang w:val="es-ES_tradnl"/>
        </w:rPr>
        <w:t xml:space="preserve"> la posibilidad de impugnar la decisión de selección, prevista </w:t>
      </w:r>
      <w:r w:rsidRPr="00746ACE">
        <w:rPr>
          <w:lang w:val="es-ES_tradnl"/>
        </w:rPr>
        <w:t xml:space="preserve">en cabeza de la Unidad de investigación y acusación, </w:t>
      </w:r>
      <w:r w:rsidR="0017301D" w:rsidRPr="00746ACE">
        <w:rPr>
          <w:lang w:val="es-ES_tradnl"/>
        </w:rPr>
        <w:t xml:space="preserve">demuestra </w:t>
      </w:r>
      <w:r w:rsidRPr="00746ACE">
        <w:rPr>
          <w:lang w:val="es-ES_tradnl"/>
        </w:rPr>
        <w:t>que</w:t>
      </w:r>
      <w:r w:rsidR="0017301D" w:rsidRPr="00746ACE">
        <w:rPr>
          <w:lang w:val="es-ES_tradnl"/>
        </w:rPr>
        <w:t xml:space="preserve"> </w:t>
      </w:r>
      <w:r w:rsidR="00A5333B" w:rsidRPr="00746ACE">
        <w:rPr>
          <w:lang w:val="es-ES_tradnl"/>
        </w:rPr>
        <w:t>la “</w:t>
      </w:r>
      <w:r w:rsidRPr="00746ACE">
        <w:rPr>
          <w:lang w:val="es-ES_tradnl"/>
        </w:rPr>
        <w:t>de selección de segundo orden</w:t>
      </w:r>
      <w:r w:rsidR="00A5333B" w:rsidRPr="00746ACE">
        <w:rPr>
          <w:lang w:val="es-ES_tradnl"/>
        </w:rPr>
        <w:t>” es un mecanismo previsto desde la Ley estatutaria de administración de justicia en la JEP</w:t>
      </w:r>
      <w:r w:rsidRPr="00746ACE">
        <w:rPr>
          <w:lang w:val="es-ES_tradnl"/>
        </w:rPr>
        <w:t>.</w:t>
      </w:r>
    </w:p>
    <w:p w14:paraId="0FF78FE6" w14:textId="77777777" w:rsidR="002812F7" w:rsidRPr="00746ACE" w:rsidRDefault="002812F7" w:rsidP="006E2B79">
      <w:pPr>
        <w:pStyle w:val="Prrafodelista"/>
        <w:ind w:left="0"/>
        <w:rPr>
          <w:lang w:val="es-ES_tradnl"/>
        </w:rPr>
      </w:pPr>
    </w:p>
    <w:p w14:paraId="1865DA7B" w14:textId="0F68D3A3" w:rsidR="002A0FC8" w:rsidRPr="00746ACE" w:rsidRDefault="002A0FC8" w:rsidP="002A0FC8">
      <w:pPr>
        <w:pStyle w:val="Prrafodelista"/>
        <w:numPr>
          <w:ilvl w:val="0"/>
          <w:numId w:val="7"/>
        </w:numPr>
        <w:rPr>
          <w:lang w:val="es-ES_tradnl"/>
        </w:rPr>
      </w:pPr>
      <w:r w:rsidRPr="00746ACE">
        <w:rPr>
          <w:lang w:val="es-ES_tradnl"/>
        </w:rPr>
        <w:t xml:space="preserve">Este argumento es relevante, pues </w:t>
      </w:r>
      <w:r w:rsidR="002812F7" w:rsidRPr="00746ACE">
        <w:rPr>
          <w:lang w:val="es-ES_tradnl"/>
        </w:rPr>
        <w:t xml:space="preserve">plantea </w:t>
      </w:r>
      <w:r w:rsidRPr="00746ACE">
        <w:rPr>
          <w:lang w:val="es-ES_tradnl"/>
        </w:rPr>
        <w:t xml:space="preserve">una aproximación </w:t>
      </w:r>
      <w:r w:rsidR="00BD1942" w:rsidRPr="00746ACE">
        <w:rPr>
          <w:lang w:val="es-ES_tradnl"/>
        </w:rPr>
        <w:t>hermenéutica</w:t>
      </w:r>
      <w:r w:rsidRPr="00746ACE">
        <w:rPr>
          <w:lang w:val="es-ES_tradnl"/>
        </w:rPr>
        <w:t xml:space="preserve"> a la disposición citada que, en principio, </w:t>
      </w:r>
      <w:r w:rsidR="002812F7" w:rsidRPr="00746ACE">
        <w:rPr>
          <w:lang w:val="es-ES_tradnl"/>
        </w:rPr>
        <w:t>permitiría</w:t>
      </w:r>
      <w:r w:rsidRPr="00746ACE">
        <w:rPr>
          <w:lang w:val="es-ES_tradnl"/>
        </w:rPr>
        <w:t xml:space="preserve"> atribuir a la </w:t>
      </w:r>
      <w:r w:rsidR="002812F7" w:rsidRPr="00746ACE">
        <w:rPr>
          <w:lang w:val="es-ES_tradnl"/>
        </w:rPr>
        <w:t>S</w:t>
      </w:r>
      <w:r w:rsidRPr="00746ACE">
        <w:rPr>
          <w:lang w:val="es-ES_tradnl"/>
        </w:rPr>
        <w:t xml:space="preserve">ala de </w:t>
      </w:r>
      <w:r w:rsidR="002812F7" w:rsidRPr="00746ACE">
        <w:rPr>
          <w:lang w:val="es-ES_tradnl"/>
        </w:rPr>
        <w:t>D</w:t>
      </w:r>
      <w:r w:rsidRPr="00746ACE">
        <w:rPr>
          <w:lang w:val="es-ES_tradnl"/>
        </w:rPr>
        <w:t xml:space="preserve">efinición de </w:t>
      </w:r>
      <w:r w:rsidR="002812F7" w:rsidRPr="00746ACE">
        <w:rPr>
          <w:lang w:val="es-ES_tradnl"/>
        </w:rPr>
        <w:t>S</w:t>
      </w:r>
      <w:r w:rsidRPr="00746ACE">
        <w:rPr>
          <w:lang w:val="es-ES_tradnl"/>
        </w:rPr>
        <w:t xml:space="preserve">ituaciones </w:t>
      </w:r>
      <w:r w:rsidR="002812F7" w:rsidRPr="00746ACE">
        <w:rPr>
          <w:lang w:val="es-ES_tradnl"/>
        </w:rPr>
        <w:t>J</w:t>
      </w:r>
      <w:r w:rsidRPr="00746ACE">
        <w:rPr>
          <w:lang w:val="es-ES_tradnl"/>
        </w:rPr>
        <w:t xml:space="preserve">urídicas la </w:t>
      </w:r>
      <w:r w:rsidR="002812F7" w:rsidRPr="00746ACE">
        <w:rPr>
          <w:lang w:val="es-ES_tradnl"/>
        </w:rPr>
        <w:t>mencionada</w:t>
      </w:r>
      <w:r w:rsidRPr="00746ACE">
        <w:rPr>
          <w:lang w:val="es-ES_tradnl"/>
        </w:rPr>
        <w:t xml:space="preserve"> facultad. Sin embargo, es importante recordar que, a</w:t>
      </w:r>
      <w:r w:rsidR="00BE7DDB" w:rsidRPr="00746ACE">
        <w:rPr>
          <w:lang w:val="es-ES_tradnl"/>
        </w:rPr>
        <w:t>u</w:t>
      </w:r>
      <w:r w:rsidRPr="00746ACE">
        <w:rPr>
          <w:lang w:val="es-ES_tradnl"/>
        </w:rPr>
        <w:t xml:space="preserve">n con la deferencia que la Sala Plena de </w:t>
      </w:r>
      <w:r w:rsidR="002812F7" w:rsidRPr="00746ACE">
        <w:rPr>
          <w:lang w:val="es-ES_tradnl"/>
        </w:rPr>
        <w:t>esta</w:t>
      </w:r>
      <w:r w:rsidRPr="00746ACE">
        <w:rPr>
          <w:lang w:val="es-ES_tradnl"/>
        </w:rPr>
        <w:t xml:space="preserve"> Corte </w:t>
      </w:r>
      <w:r w:rsidR="002812F7" w:rsidRPr="00746ACE">
        <w:rPr>
          <w:lang w:val="es-ES_tradnl"/>
        </w:rPr>
        <w:t>reconoce</w:t>
      </w:r>
      <w:r w:rsidRPr="00746ACE">
        <w:rPr>
          <w:lang w:val="es-ES_tradnl"/>
        </w:rPr>
        <w:t xml:space="preserve"> a </w:t>
      </w:r>
      <w:r w:rsidR="002812F7" w:rsidRPr="00746ACE">
        <w:rPr>
          <w:lang w:val="es-ES_tradnl"/>
        </w:rPr>
        <w:t xml:space="preserve">las </w:t>
      </w:r>
      <w:r w:rsidRPr="00746ACE">
        <w:rPr>
          <w:lang w:val="es-ES_tradnl"/>
        </w:rPr>
        <w:t xml:space="preserve">interpretaciones judiciales proferidas por los órganos de cierre de cada jurisdicción, </w:t>
      </w:r>
      <w:r w:rsidR="002812F7" w:rsidRPr="00746ACE">
        <w:rPr>
          <w:lang w:val="es-ES_tradnl"/>
        </w:rPr>
        <w:t>dichas</w:t>
      </w:r>
      <w:r w:rsidRPr="00746ACE">
        <w:rPr>
          <w:lang w:val="es-ES_tradnl"/>
        </w:rPr>
        <w:t xml:space="preserve"> interpretaciones deben ceñirse al marco</w:t>
      </w:r>
      <w:r w:rsidR="002812F7" w:rsidRPr="00746ACE">
        <w:rPr>
          <w:lang w:val="es-ES_tradnl"/>
        </w:rPr>
        <w:t xml:space="preserve"> impuesto por la</w:t>
      </w:r>
      <w:r w:rsidRPr="00746ACE">
        <w:rPr>
          <w:lang w:val="es-ES_tradnl"/>
        </w:rPr>
        <w:t xml:space="preserve"> Constitución</w:t>
      </w:r>
      <w:r w:rsidR="002812F7" w:rsidRPr="00746ACE">
        <w:rPr>
          <w:lang w:val="es-ES_tradnl"/>
        </w:rPr>
        <w:t>. Este marco comprende, además, la l</w:t>
      </w:r>
      <w:r w:rsidRPr="00746ACE">
        <w:rPr>
          <w:lang w:val="es-ES_tradnl"/>
        </w:rPr>
        <w:t>ey estatutaria de administración de justicia en la JEP</w:t>
      </w:r>
      <w:r w:rsidR="002812F7" w:rsidRPr="00746ACE">
        <w:rPr>
          <w:lang w:val="es-ES_tradnl"/>
        </w:rPr>
        <w:t xml:space="preserve"> (Ley 1957 de 2018)</w:t>
      </w:r>
      <w:r w:rsidRPr="00746ACE">
        <w:rPr>
          <w:lang w:val="es-ES_tradnl"/>
        </w:rPr>
        <w:t xml:space="preserve">, </w:t>
      </w:r>
      <w:r w:rsidR="002812F7" w:rsidRPr="00746ACE">
        <w:rPr>
          <w:lang w:val="es-ES_tradnl"/>
        </w:rPr>
        <w:t xml:space="preserve">en tanto </w:t>
      </w:r>
      <w:r w:rsidRPr="00746ACE">
        <w:rPr>
          <w:lang w:val="es-ES_tradnl"/>
        </w:rPr>
        <w:t>bloque de c</w:t>
      </w:r>
      <w:r w:rsidR="002812F7" w:rsidRPr="00746ACE">
        <w:rPr>
          <w:lang w:val="es-ES_tradnl"/>
        </w:rPr>
        <w:t>o</w:t>
      </w:r>
      <w:r w:rsidRPr="00746ACE">
        <w:rPr>
          <w:lang w:val="es-ES_tradnl"/>
        </w:rPr>
        <w:t xml:space="preserve">nstitucionalidad en sentido lato, </w:t>
      </w:r>
      <w:r w:rsidR="00EE15D2" w:rsidRPr="00746ACE">
        <w:rPr>
          <w:lang w:val="es-ES_tradnl"/>
        </w:rPr>
        <w:t xml:space="preserve">así como </w:t>
      </w:r>
      <w:r w:rsidRPr="00746ACE">
        <w:rPr>
          <w:lang w:val="es-ES_tradnl"/>
        </w:rPr>
        <w:t xml:space="preserve">a la jurisprudencia de la Corte </w:t>
      </w:r>
      <w:r w:rsidR="002812F7" w:rsidRPr="00746ACE">
        <w:rPr>
          <w:lang w:val="es-ES_tradnl"/>
        </w:rPr>
        <w:t>C</w:t>
      </w:r>
      <w:r w:rsidRPr="00746ACE">
        <w:rPr>
          <w:lang w:val="es-ES_tradnl"/>
        </w:rPr>
        <w:t>onstitucional</w:t>
      </w:r>
      <w:r w:rsidR="00EE15D2" w:rsidRPr="00746ACE">
        <w:rPr>
          <w:lang w:val="es-ES_tradnl"/>
        </w:rPr>
        <w:t>, como intérprete autorizada de la Constitución</w:t>
      </w:r>
      <w:r w:rsidRPr="00746ACE">
        <w:rPr>
          <w:lang w:val="es-ES_tradnl"/>
        </w:rPr>
        <w:t>.</w:t>
      </w:r>
    </w:p>
    <w:p w14:paraId="63F012A3" w14:textId="77777777" w:rsidR="002812F7" w:rsidRPr="00746ACE" w:rsidRDefault="002812F7" w:rsidP="006E2B79">
      <w:pPr>
        <w:pStyle w:val="Prrafodelista"/>
        <w:ind w:left="0"/>
        <w:rPr>
          <w:lang w:val="es-ES_tradnl"/>
        </w:rPr>
      </w:pPr>
    </w:p>
    <w:p w14:paraId="157C3D71" w14:textId="438BCEA9" w:rsidR="002A0FC8" w:rsidRPr="00746ACE" w:rsidRDefault="002A0FC8" w:rsidP="002A0FC8">
      <w:pPr>
        <w:pStyle w:val="Prrafodelista"/>
        <w:numPr>
          <w:ilvl w:val="0"/>
          <w:numId w:val="7"/>
        </w:numPr>
        <w:rPr>
          <w:lang w:val="es-ES_tradnl"/>
        </w:rPr>
      </w:pPr>
      <w:r w:rsidRPr="00746ACE">
        <w:rPr>
          <w:lang w:val="es-ES_tradnl"/>
        </w:rPr>
        <w:t>En la Sentencia C-080 de 2018 la Corte Constitucional se pronunció sobre el principio de selección, en general, y sobre la constitucionalidad de cada uno de los artículos de la ley estatutaria de la administración de justicia en la JEP</w:t>
      </w:r>
      <w:r w:rsidR="002812F7" w:rsidRPr="00746ACE">
        <w:rPr>
          <w:lang w:val="es-ES_tradnl"/>
        </w:rPr>
        <w:t>.</w:t>
      </w:r>
      <w:r w:rsidRPr="00746ACE">
        <w:rPr>
          <w:lang w:val="es-ES_tradnl"/>
        </w:rPr>
        <w:t xml:space="preserve"> </w:t>
      </w:r>
    </w:p>
    <w:p w14:paraId="5A4DE1F7" w14:textId="77777777" w:rsidR="002A0FC8" w:rsidRPr="00746ACE" w:rsidRDefault="002A0FC8" w:rsidP="006E2B79">
      <w:pPr>
        <w:pStyle w:val="Prrafodelista"/>
        <w:ind w:left="0"/>
        <w:rPr>
          <w:lang w:val="es-ES_tradnl"/>
        </w:rPr>
      </w:pPr>
    </w:p>
    <w:p w14:paraId="78E2B4FB" w14:textId="74E963A2" w:rsidR="002A0FC8" w:rsidRPr="00746ACE" w:rsidRDefault="002A0FC8" w:rsidP="002A0FC8">
      <w:pPr>
        <w:pStyle w:val="Prrafodelista"/>
        <w:numPr>
          <w:ilvl w:val="0"/>
          <w:numId w:val="7"/>
        </w:numPr>
        <w:rPr>
          <w:lang w:val="es-ES_tradnl"/>
        </w:rPr>
      </w:pPr>
      <w:r w:rsidRPr="00746ACE">
        <w:rPr>
          <w:lang w:val="es-ES_tradnl"/>
        </w:rPr>
        <w:t xml:space="preserve">En lo que tiene que ver con el artículo 84.c, la Corte constitucional reconoció que, en efecto, tanto la Sala de reconocimiento de verdad como la Sala de </w:t>
      </w:r>
      <w:r w:rsidR="00314A49" w:rsidRPr="00746ACE">
        <w:rPr>
          <w:lang w:val="es-ES_tradnl"/>
        </w:rPr>
        <w:t>D</w:t>
      </w:r>
      <w:r w:rsidRPr="00746ACE">
        <w:rPr>
          <w:lang w:val="es-ES_tradnl"/>
        </w:rPr>
        <w:t xml:space="preserve">efinición de </w:t>
      </w:r>
      <w:r w:rsidR="00314A49" w:rsidRPr="00746ACE">
        <w:rPr>
          <w:lang w:val="es-ES_tradnl"/>
        </w:rPr>
        <w:t>S</w:t>
      </w:r>
      <w:r w:rsidRPr="00746ACE">
        <w:rPr>
          <w:lang w:val="es-ES_tradnl"/>
        </w:rPr>
        <w:t xml:space="preserve">ituaciones </w:t>
      </w:r>
      <w:r w:rsidR="00314A49" w:rsidRPr="00746ACE">
        <w:rPr>
          <w:lang w:val="es-ES_tradnl"/>
        </w:rPr>
        <w:t>J</w:t>
      </w:r>
      <w:r w:rsidRPr="00746ACE">
        <w:rPr>
          <w:lang w:val="es-ES_tradnl"/>
        </w:rPr>
        <w:t>urídicas tienen funciones de selección, y ambas aplican, en lo pertinente, los criterios establecidos en el artículo 19 de la misma ley. Sin embargo, la Sala precisó que estas funciones no se ejercen de igual manera, ni de forma simultánea. En especial, indicó que la selección a cargo de la Sala de definición de situaciones jurídicas es individual, negativa, y posterior en el tiempo que la decisión de selección global de la Sala de reconocimiento de verdad y responsabilidad.</w:t>
      </w:r>
    </w:p>
    <w:p w14:paraId="2C45E72A" w14:textId="77777777" w:rsidR="002A0FC8" w:rsidRPr="00746ACE" w:rsidRDefault="002A0FC8" w:rsidP="006E2B79">
      <w:pPr>
        <w:pStyle w:val="paragraph"/>
        <w:shd w:val="clear" w:color="auto" w:fill="FFFFFF"/>
        <w:spacing w:before="0" w:beforeAutospacing="0" w:after="0" w:afterAutospacing="0"/>
        <w:jc w:val="both"/>
        <w:textAlignment w:val="baseline"/>
        <w:rPr>
          <w:rStyle w:val="normaltextrun"/>
          <w:rFonts w:eastAsiaTheme="majorEastAsia"/>
          <w:sz w:val="28"/>
          <w:szCs w:val="28"/>
        </w:rPr>
      </w:pPr>
    </w:p>
    <w:p w14:paraId="10C1F1FB" w14:textId="22E3BB27" w:rsidR="002A0FC8" w:rsidRPr="00746ACE" w:rsidRDefault="006E2B79" w:rsidP="006E2B79">
      <w:pPr>
        <w:pStyle w:val="paragraph"/>
        <w:shd w:val="clear" w:color="auto" w:fill="FFFFFF"/>
        <w:spacing w:before="0" w:beforeAutospacing="0" w:after="0" w:afterAutospacing="0"/>
        <w:ind w:left="567"/>
        <w:jc w:val="both"/>
        <w:textAlignment w:val="baseline"/>
        <w:rPr>
          <w:rStyle w:val="eop"/>
          <w:sz w:val="28"/>
        </w:rPr>
      </w:pPr>
      <w:r w:rsidRPr="00746ACE">
        <w:rPr>
          <w:rStyle w:val="normaltextrun"/>
          <w:sz w:val="28"/>
        </w:rPr>
        <w:t>“</w:t>
      </w:r>
      <w:r w:rsidR="002A0FC8" w:rsidRPr="00746ACE">
        <w:rPr>
          <w:rStyle w:val="normaltextrun"/>
          <w:sz w:val="28"/>
        </w:rPr>
        <w:t>Como se señaló al analizar el artículo 19, el Proyecto de Ley Estatutaria fija la facultad de aplicar la decisión de selección a varias instancias de la jurisdicción. En el artículo 19 asigna la facultad a la SRVR y a la SDSJ; el literal t del artículo 79 bajo análisis, asigna esta función a la SRVR; el artículo 84 (literales c y g) asigna esta facultad a la SDSJ; y, por último, el artículo 87 (literal d) lo asigna a la Unidad de Investigación y Acusación. </w:t>
      </w:r>
      <w:r w:rsidR="002A0FC8" w:rsidRPr="00746ACE">
        <w:rPr>
          <w:rStyle w:val="normaltextrun"/>
          <w:b/>
          <w:bCs/>
          <w:sz w:val="28"/>
        </w:rPr>
        <w:t>Como se enfatizó al analizar el artículo 19, no se puede entender que dichas funciones de las diferentes instancias se pueden ejercer simultáneamente sobre las mismas situaciones, pues cada instancia lo debe hacer en el marco de sus competencias.</w:t>
      </w:r>
      <w:r w:rsidR="002A0FC8" w:rsidRPr="00746ACE">
        <w:rPr>
          <w:rStyle w:val="eop"/>
          <w:sz w:val="28"/>
        </w:rPr>
        <w:t> </w:t>
      </w:r>
    </w:p>
    <w:p w14:paraId="158F8104" w14:textId="77777777" w:rsidR="002812F7" w:rsidRPr="00746ACE" w:rsidRDefault="002812F7" w:rsidP="006E2B79">
      <w:pPr>
        <w:pStyle w:val="paragraph"/>
        <w:shd w:val="clear" w:color="auto" w:fill="FFFFFF"/>
        <w:spacing w:before="0" w:beforeAutospacing="0" w:after="0" w:afterAutospacing="0"/>
        <w:ind w:left="567"/>
        <w:jc w:val="both"/>
        <w:textAlignment w:val="baseline"/>
        <w:rPr>
          <w:sz w:val="28"/>
        </w:rPr>
      </w:pPr>
    </w:p>
    <w:p w14:paraId="192A5D75" w14:textId="27068280" w:rsidR="002A0FC8" w:rsidRPr="00746ACE" w:rsidRDefault="002A0FC8" w:rsidP="006E2B79">
      <w:pPr>
        <w:pStyle w:val="paragraph"/>
        <w:shd w:val="clear" w:color="auto" w:fill="FFFFFF"/>
        <w:spacing w:before="0" w:beforeAutospacing="0" w:after="0" w:afterAutospacing="0"/>
        <w:ind w:left="567"/>
        <w:jc w:val="both"/>
        <w:textAlignment w:val="baseline"/>
        <w:rPr>
          <w:sz w:val="28"/>
          <w:szCs w:val="28"/>
        </w:rPr>
      </w:pPr>
      <w:r w:rsidRPr="00746ACE">
        <w:rPr>
          <w:rStyle w:val="normaltextrun"/>
          <w:b/>
          <w:bCs/>
          <w:sz w:val="28"/>
        </w:rPr>
        <w:t>La competencia global de aplicación de la facultad de selección, conforme a los criterios constitucionales y estatutarios, es de la Sala de Reconocimiento pues, conforme a lo establecido en los literales b, c y d y k, es esta Sala la que tendrá los informes que permitan a la jurisdicción tener un análisis global de los hechos y situaciones que constituyen graves violaciones a derechos humanos e infracciones a Derecho Internacional Humanitario, su eventual configuración como crímenes de guerra, crímenes de lesa humanidad o violaciones graves a los derechos humanos. </w:t>
      </w:r>
      <w:r w:rsidRPr="00746ACE">
        <w:rPr>
          <w:rStyle w:val="normaltextrun"/>
          <w:sz w:val="28"/>
        </w:rPr>
        <w:t>Con  fundamento en el contraste de dicha información con las declaraciones de aporte de verdad y reconocimiento de responsabilidad de que trata el literal i, podría definir los patrones, los hechos más graves y representativos, los máximos responsables, y atribuir responsabilidades a través del informe de conclusiones conforme a lo definido en el literal m, y aplicar los criterios de selección resolviendo la no selección en aquellos casos en que proceda, aplicando los criterios generales del artículo 19 del Proyecto de Ley. </w:t>
      </w:r>
      <w:r w:rsidRPr="00746ACE">
        <w:rPr>
          <w:rStyle w:val="normaltextrun"/>
          <w:b/>
          <w:bCs/>
          <w:sz w:val="28"/>
        </w:rPr>
        <w:t>En una etapa posterior, para los hechos no seleccionados, la Sala de Definición de Situaciones Jurídicas definirá la no selección en el caso concreto, y concederá los tratamientos penales especiales que correspondan. De esta manera, la SDSJ aplica la selección en cada caso individual, verificando el cumplimiento del régimen de condicionalidad sobre el universo de casos no seleccionados y remitido por la SRVR a la SDSJ de conformidad con los literales n, o y p del artículo 79 del Proyecto de Ley que se analiza</w:t>
      </w:r>
      <w:r w:rsidRPr="00746ACE">
        <w:rPr>
          <w:rStyle w:val="normaltextrun"/>
          <w:sz w:val="28"/>
        </w:rPr>
        <w:t>. En consecuencia, mientras que la competencia de selección de la SRVR es global y se da primero en el tiempo, la competencia de selección de la SDSJ es individual, y se da en un momento posterior a la decisión global de selección de la SRVR</w:t>
      </w:r>
      <w:r w:rsidR="006E2B79" w:rsidRPr="00746ACE">
        <w:rPr>
          <w:rStyle w:val="normaltextrun"/>
          <w:sz w:val="28"/>
        </w:rPr>
        <w:t>”</w:t>
      </w:r>
      <w:r w:rsidRPr="00746ACE">
        <w:rPr>
          <w:rStyle w:val="normaltextrun"/>
          <w:sz w:val="28"/>
        </w:rPr>
        <w:t>.</w:t>
      </w:r>
      <w:r w:rsidRPr="00746ACE">
        <w:rPr>
          <w:rStyle w:val="eop"/>
          <w:sz w:val="28"/>
          <w:szCs w:val="28"/>
        </w:rPr>
        <w:t> </w:t>
      </w:r>
    </w:p>
    <w:p w14:paraId="095022A8" w14:textId="77777777" w:rsidR="002A0FC8" w:rsidRPr="00746ACE" w:rsidRDefault="002A0FC8" w:rsidP="006E2B79">
      <w:pPr>
        <w:pStyle w:val="paragraph"/>
        <w:spacing w:before="0" w:beforeAutospacing="0" w:after="0" w:afterAutospacing="0"/>
        <w:textAlignment w:val="baseline"/>
        <w:rPr>
          <w:sz w:val="28"/>
          <w:szCs w:val="28"/>
        </w:rPr>
      </w:pPr>
      <w:r w:rsidRPr="00746ACE">
        <w:rPr>
          <w:rStyle w:val="normaltextrun"/>
          <w:sz w:val="28"/>
          <w:szCs w:val="28"/>
        </w:rPr>
        <w:t> </w:t>
      </w:r>
      <w:r w:rsidRPr="00746ACE">
        <w:rPr>
          <w:rStyle w:val="eop"/>
          <w:sz w:val="28"/>
          <w:szCs w:val="28"/>
        </w:rPr>
        <w:t> </w:t>
      </w:r>
    </w:p>
    <w:p w14:paraId="624E2FA4" w14:textId="51D8CA84" w:rsidR="002A0FC8" w:rsidRPr="00746ACE" w:rsidRDefault="002A0FC8">
      <w:pPr>
        <w:pStyle w:val="paragraph"/>
        <w:numPr>
          <w:ilvl w:val="0"/>
          <w:numId w:val="7"/>
        </w:numPr>
        <w:spacing w:before="0" w:beforeAutospacing="0" w:after="0" w:afterAutospacing="0"/>
        <w:jc w:val="both"/>
        <w:textAlignment w:val="baseline"/>
        <w:rPr>
          <w:rStyle w:val="normaltextrun"/>
          <w:rFonts w:eastAsiaTheme="majorEastAsia"/>
          <w:sz w:val="28"/>
          <w:szCs w:val="28"/>
        </w:rPr>
      </w:pPr>
      <w:r w:rsidRPr="00746ACE">
        <w:rPr>
          <w:rStyle w:val="normaltextrun"/>
          <w:sz w:val="28"/>
          <w:szCs w:val="28"/>
        </w:rPr>
        <w:t xml:space="preserve">Los apartes resaltados </w:t>
      </w:r>
      <w:r w:rsidRPr="00746ACE">
        <w:rPr>
          <w:rStyle w:val="normaltextrun"/>
          <w:rFonts w:eastAsiaTheme="majorEastAsia"/>
          <w:sz w:val="28"/>
          <w:szCs w:val="28"/>
        </w:rPr>
        <w:t xml:space="preserve">contienen consideraciones </w:t>
      </w:r>
      <w:r w:rsidRPr="00746ACE">
        <w:rPr>
          <w:rStyle w:val="normaltextrun"/>
          <w:sz w:val="28"/>
          <w:szCs w:val="28"/>
        </w:rPr>
        <w:t>importantes</w:t>
      </w:r>
      <w:r w:rsidR="002812F7" w:rsidRPr="00746ACE">
        <w:rPr>
          <w:rStyle w:val="normaltextrun"/>
          <w:sz w:val="28"/>
          <w:szCs w:val="28"/>
        </w:rPr>
        <w:t>, entre ellas, que</w:t>
      </w:r>
      <w:r w:rsidRPr="00746ACE">
        <w:rPr>
          <w:rStyle w:val="normaltextrun"/>
          <w:sz w:val="28"/>
          <w:szCs w:val="28"/>
        </w:rPr>
        <w:t xml:space="preserve"> la Sala de reconocimiento y la Sala de definición tienen competencia para aplicar la selección, </w:t>
      </w:r>
      <w:r w:rsidR="00364B93" w:rsidRPr="00746ACE">
        <w:rPr>
          <w:rStyle w:val="normaltextrun"/>
          <w:sz w:val="28"/>
          <w:szCs w:val="28"/>
        </w:rPr>
        <w:t>y deben aplicar</w:t>
      </w:r>
      <w:r w:rsidR="002812F7" w:rsidRPr="00746ACE">
        <w:rPr>
          <w:rStyle w:val="normaltextrun"/>
          <w:sz w:val="28"/>
          <w:szCs w:val="28"/>
        </w:rPr>
        <w:t xml:space="preserve">la </w:t>
      </w:r>
      <w:r w:rsidRPr="00746ACE">
        <w:rPr>
          <w:rStyle w:val="normaltextrun"/>
          <w:sz w:val="28"/>
          <w:szCs w:val="28"/>
        </w:rPr>
        <w:t>con base en los criterios del artículo 19 de la misma ley (gravedad, representatividad, rol del compareciente, condiciones de la víctima y disponibilidad probatoria). Sin embargo, no lo hacen de la misma manera. La Sala de reconocimiento adelanta la selección global porque tiene el panorama del macro caso</w:t>
      </w:r>
      <w:r w:rsidRPr="00746ACE">
        <w:rPr>
          <w:rStyle w:val="normaltextrun"/>
          <w:rFonts w:eastAsiaTheme="majorEastAsia"/>
          <w:sz w:val="28"/>
          <w:szCs w:val="28"/>
        </w:rPr>
        <w:t>; y</w:t>
      </w:r>
      <w:r w:rsidRPr="00746ACE">
        <w:rPr>
          <w:rStyle w:val="normaltextrun"/>
          <w:sz w:val="28"/>
          <w:szCs w:val="28"/>
        </w:rPr>
        <w:t xml:space="preserve"> la Sala de definición, en una etapa posterior, define la </w:t>
      </w:r>
      <w:r w:rsidRPr="00746ACE">
        <w:rPr>
          <w:rStyle w:val="normaltextrun"/>
          <w:i/>
          <w:iCs/>
          <w:sz w:val="28"/>
          <w:szCs w:val="28"/>
        </w:rPr>
        <w:t>no selección </w:t>
      </w:r>
      <w:r w:rsidRPr="00746ACE">
        <w:rPr>
          <w:rStyle w:val="normaltextrun"/>
          <w:sz w:val="28"/>
          <w:szCs w:val="28"/>
        </w:rPr>
        <w:t>del caso individual. </w:t>
      </w:r>
    </w:p>
    <w:p w14:paraId="6C8691A6" w14:textId="77777777" w:rsidR="002A0FC8" w:rsidRPr="00746ACE" w:rsidRDefault="002A0FC8" w:rsidP="006E2B79">
      <w:pPr>
        <w:pStyle w:val="paragraph"/>
        <w:spacing w:before="0" w:beforeAutospacing="0" w:after="0" w:afterAutospacing="0"/>
        <w:jc w:val="both"/>
        <w:textAlignment w:val="baseline"/>
        <w:rPr>
          <w:rStyle w:val="normaltextrun"/>
          <w:rFonts w:eastAsiaTheme="majorEastAsia"/>
          <w:sz w:val="28"/>
          <w:szCs w:val="28"/>
        </w:rPr>
      </w:pPr>
    </w:p>
    <w:p w14:paraId="018E7CCD" w14:textId="65F1A895" w:rsidR="002A0FC8" w:rsidRPr="00746ACE" w:rsidRDefault="002A0FC8" w:rsidP="002A0FC8">
      <w:pPr>
        <w:pStyle w:val="paragraph"/>
        <w:numPr>
          <w:ilvl w:val="0"/>
          <w:numId w:val="7"/>
        </w:numPr>
        <w:spacing w:before="0" w:beforeAutospacing="0" w:after="0" w:afterAutospacing="0"/>
        <w:jc w:val="both"/>
        <w:textAlignment w:val="baseline"/>
        <w:rPr>
          <w:sz w:val="28"/>
          <w:szCs w:val="28"/>
        </w:rPr>
      </w:pPr>
      <w:r w:rsidRPr="00746ACE">
        <w:rPr>
          <w:rStyle w:val="normaltextrun"/>
          <w:sz w:val="28"/>
          <w:szCs w:val="28"/>
        </w:rPr>
        <w:t xml:space="preserve">Estas </w:t>
      </w:r>
      <w:r w:rsidRPr="00746ACE">
        <w:rPr>
          <w:rStyle w:val="normaltextrun"/>
          <w:rFonts w:eastAsiaTheme="majorEastAsia"/>
          <w:sz w:val="28"/>
          <w:szCs w:val="28"/>
        </w:rPr>
        <w:t xml:space="preserve">subreglas </w:t>
      </w:r>
      <w:r w:rsidRPr="00746ACE">
        <w:rPr>
          <w:rStyle w:val="normaltextrun"/>
          <w:sz w:val="28"/>
          <w:szCs w:val="28"/>
        </w:rPr>
        <w:t>son muy importantes, no solo porque reflejan la posición de la Corte Constitucional sobre cómo se ejercerían estas funciones, sino también porque son razonables</w:t>
      </w:r>
      <w:r w:rsidR="00364B93" w:rsidRPr="00746ACE">
        <w:rPr>
          <w:rStyle w:val="normaltextrun"/>
          <w:sz w:val="28"/>
          <w:szCs w:val="28"/>
        </w:rPr>
        <w:t xml:space="preserve"> a la luz de la lógica del sistema transicional y restaurativo de la JEP</w:t>
      </w:r>
      <w:r w:rsidR="00662618" w:rsidRPr="00746ACE">
        <w:rPr>
          <w:rStyle w:val="normaltextrun"/>
          <w:sz w:val="28"/>
          <w:szCs w:val="28"/>
        </w:rPr>
        <w:t>:</w:t>
      </w:r>
      <w:r w:rsidR="00364B93" w:rsidRPr="00746ACE">
        <w:rPr>
          <w:rStyle w:val="normaltextrun"/>
          <w:sz w:val="28"/>
          <w:szCs w:val="28"/>
        </w:rPr>
        <w:t xml:space="preserve"> </w:t>
      </w:r>
      <w:r w:rsidR="00662618" w:rsidRPr="00746ACE">
        <w:rPr>
          <w:rStyle w:val="normaltextrun"/>
          <w:sz w:val="28"/>
          <w:szCs w:val="28"/>
        </w:rPr>
        <w:t>s</w:t>
      </w:r>
      <w:r w:rsidRPr="00746ACE">
        <w:rPr>
          <w:rStyle w:val="normaltextrun"/>
          <w:sz w:val="28"/>
          <w:szCs w:val="28"/>
        </w:rPr>
        <w:t xml:space="preserve">i la selección positiva (identificación de máximos responsables y crímenes más graves y representativos) se hiciera caso a caso, se </w:t>
      </w:r>
      <w:r w:rsidR="00662618" w:rsidRPr="00746ACE">
        <w:rPr>
          <w:rStyle w:val="normaltextrun"/>
          <w:sz w:val="28"/>
          <w:szCs w:val="28"/>
        </w:rPr>
        <w:t>borraría</w:t>
      </w:r>
      <w:r w:rsidRPr="00746ACE">
        <w:rPr>
          <w:rStyle w:val="normaltextrun"/>
          <w:sz w:val="28"/>
          <w:szCs w:val="28"/>
        </w:rPr>
        <w:t xml:space="preserve"> la frontera que separa la justicia transicional de la ordinaria. Este es, precisamente, el defecto de la </w:t>
      </w:r>
      <w:r w:rsidR="00662618" w:rsidRPr="00746ACE">
        <w:rPr>
          <w:rStyle w:val="normaltextrun"/>
          <w:sz w:val="28"/>
          <w:szCs w:val="28"/>
        </w:rPr>
        <w:t>“</w:t>
      </w:r>
      <w:r w:rsidRPr="00746ACE">
        <w:rPr>
          <w:rStyle w:val="normaltextrun"/>
          <w:sz w:val="28"/>
          <w:szCs w:val="28"/>
        </w:rPr>
        <w:t>selección de segundo orden</w:t>
      </w:r>
      <w:r w:rsidR="00662618" w:rsidRPr="00746ACE">
        <w:rPr>
          <w:rStyle w:val="normaltextrun"/>
          <w:sz w:val="28"/>
          <w:szCs w:val="28"/>
        </w:rPr>
        <w:t>”</w:t>
      </w:r>
      <w:r w:rsidRPr="00746ACE">
        <w:rPr>
          <w:rStyle w:val="normaltextrun"/>
          <w:sz w:val="28"/>
          <w:szCs w:val="28"/>
        </w:rPr>
        <w:t>. </w:t>
      </w:r>
      <w:r w:rsidRPr="00746ACE">
        <w:rPr>
          <w:rStyle w:val="eop"/>
          <w:sz w:val="28"/>
          <w:szCs w:val="28"/>
        </w:rPr>
        <w:t> </w:t>
      </w:r>
    </w:p>
    <w:p w14:paraId="525682BD" w14:textId="529A14A5" w:rsidR="002A0FC8" w:rsidRPr="00746ACE" w:rsidRDefault="002A0FC8" w:rsidP="006E2B79">
      <w:pPr>
        <w:pStyle w:val="paragraph"/>
        <w:spacing w:before="0" w:beforeAutospacing="0" w:after="0" w:afterAutospacing="0"/>
        <w:jc w:val="both"/>
        <w:textAlignment w:val="baseline"/>
        <w:rPr>
          <w:sz w:val="28"/>
          <w:szCs w:val="28"/>
        </w:rPr>
      </w:pPr>
    </w:p>
    <w:p w14:paraId="5BE26453" w14:textId="73A66DA1" w:rsidR="002A0FC8" w:rsidRPr="00746ACE" w:rsidRDefault="002A0FC8" w:rsidP="002A0FC8">
      <w:pPr>
        <w:pStyle w:val="Prrafodelista"/>
        <w:numPr>
          <w:ilvl w:val="0"/>
          <w:numId w:val="7"/>
        </w:numPr>
        <w:shd w:val="clear" w:color="auto" w:fill="FFFFFF"/>
        <w:rPr>
          <w:rStyle w:val="normaltextrun"/>
          <w:rFonts w:eastAsiaTheme="majorEastAsia"/>
        </w:rPr>
      </w:pPr>
      <w:r w:rsidRPr="00746ACE">
        <w:rPr>
          <w:rStyle w:val="normaltextrun"/>
          <w:rFonts w:eastAsiaTheme="majorEastAsia"/>
        </w:rPr>
        <w:t>Es necesario señalar que el artículo 84.c no se refiere en ningún aparte a la expresión “segundo orden”, y que, como se ha explicado, la Corte Constitucional tampoco lo hizo en la Sentencia C-080 de 2018, sino que habló de la selección global y la individual.</w:t>
      </w:r>
    </w:p>
    <w:p w14:paraId="172FBD64" w14:textId="77777777" w:rsidR="002A0FC8" w:rsidRPr="00746ACE" w:rsidRDefault="002A0FC8" w:rsidP="006E2B79">
      <w:pPr>
        <w:pStyle w:val="Prrafodelista"/>
        <w:shd w:val="clear" w:color="auto" w:fill="FFFFFF"/>
        <w:ind w:left="0"/>
        <w:rPr>
          <w:rStyle w:val="normaltextrun"/>
          <w:rFonts w:eastAsiaTheme="majorEastAsia"/>
        </w:rPr>
      </w:pPr>
    </w:p>
    <w:p w14:paraId="12792A16" w14:textId="2F2E7202" w:rsidR="00A553D2" w:rsidRPr="00746ACE" w:rsidRDefault="00662618" w:rsidP="00314A49">
      <w:pPr>
        <w:pStyle w:val="Prrafodelista"/>
        <w:numPr>
          <w:ilvl w:val="0"/>
          <w:numId w:val="7"/>
        </w:numPr>
        <w:shd w:val="clear" w:color="auto" w:fill="FFFFFF"/>
      </w:pPr>
      <w:r w:rsidRPr="00746ACE">
        <w:rPr>
          <w:rStyle w:val="normaltextrun"/>
          <w:rFonts w:eastAsiaTheme="majorEastAsia"/>
        </w:rPr>
        <w:t>Además de lo expuesto</w:t>
      </w:r>
      <w:r w:rsidR="002A0FC8" w:rsidRPr="00746ACE">
        <w:rPr>
          <w:rStyle w:val="normaltextrun"/>
          <w:rFonts w:eastAsiaTheme="majorEastAsia"/>
        </w:rPr>
        <w:t xml:space="preserve">, </w:t>
      </w:r>
      <w:r w:rsidR="002A0FC8" w:rsidRPr="00746ACE">
        <w:rPr>
          <w:rStyle w:val="normaltextrun"/>
        </w:rPr>
        <w:t>el artículo 84.c</w:t>
      </w:r>
      <w:r w:rsidR="00B30839" w:rsidRPr="00746ACE">
        <w:rPr>
          <w:rStyle w:val="normaltextrun"/>
        </w:rPr>
        <w:t xml:space="preserve"> </w:t>
      </w:r>
      <w:r w:rsidR="002A0FC8" w:rsidRPr="00746ACE">
        <w:rPr>
          <w:rStyle w:val="normaltextrun"/>
        </w:rPr>
        <w:t xml:space="preserve">confiere a la Unidad de investigación y acusación </w:t>
      </w:r>
      <w:r w:rsidR="00A553D2" w:rsidRPr="00746ACE">
        <w:rPr>
          <w:rStyle w:val="normaltextrun"/>
        </w:rPr>
        <w:t xml:space="preserve">la facultad </w:t>
      </w:r>
      <w:r w:rsidR="002A0FC8" w:rsidRPr="00746ACE">
        <w:rPr>
          <w:rStyle w:val="normaltextrun"/>
        </w:rPr>
        <w:t>de recurrir las decisiones de selección</w:t>
      </w:r>
      <w:r w:rsidR="00A553D2" w:rsidRPr="00746ACE">
        <w:rPr>
          <w:rStyle w:val="normaltextrun"/>
        </w:rPr>
        <w:t xml:space="preserve">. </w:t>
      </w:r>
      <w:r w:rsidR="002A0FC8" w:rsidRPr="00746ACE">
        <w:rPr>
          <w:rStyle w:val="normaltextrun"/>
        </w:rPr>
        <w:t xml:space="preserve"> </w:t>
      </w:r>
      <w:r w:rsidR="00A553D2" w:rsidRPr="00746ACE">
        <w:rPr>
          <w:rStyle w:val="normaltextrun"/>
          <w:rFonts w:eastAsiaTheme="majorEastAsia"/>
        </w:rPr>
        <w:t xml:space="preserve">Sin embargo, </w:t>
      </w:r>
      <w:r w:rsidR="002A0FC8" w:rsidRPr="00746ACE">
        <w:rPr>
          <w:rStyle w:val="normaltextrun"/>
          <w:rFonts w:eastAsiaTheme="majorEastAsia"/>
        </w:rPr>
        <w:t xml:space="preserve">este hecho no define ni justifica la </w:t>
      </w:r>
      <w:r w:rsidR="00A553D2" w:rsidRPr="00746ACE">
        <w:rPr>
          <w:rStyle w:val="normaltextrun"/>
          <w:rFonts w:eastAsiaTheme="majorEastAsia"/>
        </w:rPr>
        <w:t xml:space="preserve">denominada </w:t>
      </w:r>
      <w:r w:rsidR="00B30839" w:rsidRPr="00746ACE">
        <w:rPr>
          <w:rStyle w:val="normaltextrun"/>
          <w:rFonts w:eastAsiaTheme="majorEastAsia"/>
        </w:rPr>
        <w:t>“</w:t>
      </w:r>
      <w:r w:rsidR="002A0FC8" w:rsidRPr="00746ACE">
        <w:rPr>
          <w:rStyle w:val="normaltextrun"/>
          <w:rFonts w:eastAsiaTheme="majorEastAsia"/>
        </w:rPr>
        <w:t>selección de segundo orden</w:t>
      </w:r>
      <w:r w:rsidR="00B30839" w:rsidRPr="00746ACE">
        <w:rPr>
          <w:rStyle w:val="normaltextrun"/>
          <w:rFonts w:eastAsiaTheme="majorEastAsia"/>
        </w:rPr>
        <w:t>”</w:t>
      </w:r>
      <w:r w:rsidR="002A0FC8" w:rsidRPr="00746ACE">
        <w:rPr>
          <w:rStyle w:val="normaltextrun"/>
          <w:rFonts w:eastAsiaTheme="majorEastAsia"/>
        </w:rPr>
        <w:t xml:space="preserve">, pues </w:t>
      </w:r>
      <w:r w:rsidR="00A553D2" w:rsidRPr="00746ACE">
        <w:rPr>
          <w:rStyle w:val="normaltextrun"/>
          <w:rFonts w:eastAsiaTheme="majorEastAsia"/>
        </w:rPr>
        <w:t>de conformidad con el mismo artículo 84, literal c, parágrafo 3, únicamente</w:t>
      </w:r>
      <w:r w:rsidR="002A0FC8" w:rsidRPr="00746ACE">
        <w:rPr>
          <w:rStyle w:val="normaltextrun"/>
          <w:rFonts w:eastAsiaTheme="majorEastAsia"/>
        </w:rPr>
        <w:t xml:space="preserve"> la decisión de selección negativa es susceptible de</w:t>
      </w:r>
      <w:r w:rsidR="00A553D2" w:rsidRPr="00746ACE">
        <w:rPr>
          <w:rStyle w:val="normaltextrun"/>
          <w:rFonts w:eastAsiaTheme="majorEastAsia"/>
        </w:rPr>
        <w:t xml:space="preserve"> impugnación. En efecto, dicha disposición establece que: </w:t>
      </w:r>
      <w:r w:rsidR="002A0FC8" w:rsidRPr="00746ACE">
        <w:rPr>
          <w:rStyle w:val="normaltextrun"/>
          <w:rFonts w:eastAsiaTheme="majorEastAsia"/>
        </w:rPr>
        <w:t>“</w:t>
      </w:r>
      <w:r w:rsidR="002A0FC8" w:rsidRPr="00746ACE">
        <w:rPr>
          <w:shd w:val="clear" w:color="auto" w:fill="FFFFFF"/>
        </w:rPr>
        <w:t>Los criterios de priorización y selección de casos ·en la JEP, deberá respetar los siguientes principios:</w:t>
      </w:r>
      <w:r w:rsidR="002A0FC8" w:rsidRPr="00746ACE">
        <w:rPr>
          <w:rStyle w:val="normaltextrun"/>
          <w:rFonts w:eastAsiaTheme="majorEastAsia"/>
          <w:i/>
          <w:iCs/>
        </w:rPr>
        <w:t xml:space="preserve"> </w:t>
      </w:r>
      <w:r w:rsidR="002A0FC8" w:rsidRPr="00746ACE">
        <w:rPr>
          <w:rStyle w:val="normaltextrun"/>
          <w:rFonts w:eastAsiaTheme="majorEastAsia"/>
        </w:rPr>
        <w:t>(…</w:t>
      </w:r>
      <w:r w:rsidR="00A553D2" w:rsidRPr="00746ACE">
        <w:rPr>
          <w:rStyle w:val="normaltextrun"/>
          <w:rFonts w:eastAsiaTheme="majorEastAsia"/>
        </w:rPr>
        <w:t>) (</w:t>
      </w:r>
      <w:r w:rsidR="002A0FC8" w:rsidRPr="00746ACE">
        <w:rPr>
          <w:rStyle w:val="normaltextrun"/>
          <w:rFonts w:eastAsiaTheme="majorEastAsia"/>
        </w:rPr>
        <w:t>iii) r</w:t>
      </w:r>
      <w:r w:rsidR="002A0FC8" w:rsidRPr="00746ACE">
        <w:rPr>
          <w:rFonts w:eastAsia="Times New Roman"/>
          <w:lang w:eastAsia="es-MX"/>
        </w:rPr>
        <w:t>ecurso efectivo por la Unidad de Investigación y Acusación para en su caso impugnar la decisión. (sic) de no seleccionar un determinado caso que se considere prioritario”.</w:t>
      </w:r>
    </w:p>
    <w:p w14:paraId="21A10A48" w14:textId="77777777" w:rsidR="00A553D2" w:rsidRPr="00746ACE" w:rsidRDefault="00A553D2" w:rsidP="00FC0DFB">
      <w:pPr>
        <w:pStyle w:val="Prrafodelista"/>
        <w:widowControl w:val="0"/>
        <w:ind w:left="0"/>
      </w:pPr>
    </w:p>
    <w:p w14:paraId="47961E7A" w14:textId="24EBE731" w:rsidR="009E45E4" w:rsidRPr="00746ACE" w:rsidRDefault="002003BF" w:rsidP="00FC0DFB">
      <w:pPr>
        <w:pStyle w:val="Prrafodelista"/>
        <w:widowControl w:val="0"/>
        <w:numPr>
          <w:ilvl w:val="0"/>
          <w:numId w:val="7"/>
        </w:numPr>
      </w:pPr>
      <w:r w:rsidRPr="00746ACE">
        <w:t xml:space="preserve">En conclusión, la creación de la </w:t>
      </w:r>
      <w:r w:rsidR="001F094E" w:rsidRPr="00746ACE">
        <w:t>“</w:t>
      </w:r>
      <w:r w:rsidRPr="00746ACE">
        <w:t>selección de segundo orden</w:t>
      </w:r>
      <w:r w:rsidR="001F094E" w:rsidRPr="00746ACE">
        <w:t>”</w:t>
      </w:r>
      <w:r w:rsidRPr="00746ACE">
        <w:t xml:space="preserve"> y su atribución a la Sala de Definición de Situaciones Jurídicas desconoce la Constitución y, en especial, el principio de legalidad concebido como la sujeción de todas las autoridades al Derecho y a la Constitución </w:t>
      </w:r>
      <w:r w:rsidR="00BE7DDB" w:rsidRPr="00746ACE">
        <w:t>(Artículos 6 y 121 de la Constitución Política)</w:t>
      </w:r>
      <w:r w:rsidR="00636E77" w:rsidRPr="00746ACE">
        <w:t xml:space="preserve">. Lo anterior, </w:t>
      </w:r>
      <w:r w:rsidRPr="00746ACE">
        <w:t>por</w:t>
      </w:r>
      <w:r w:rsidR="00A57E02" w:rsidRPr="00746ACE">
        <w:t xml:space="preserve">que altera </w:t>
      </w:r>
      <w:r w:rsidRPr="00746ACE">
        <w:t xml:space="preserve">el sentido del principio constitucional </w:t>
      </w:r>
      <w:r w:rsidR="00130D46" w:rsidRPr="00746ACE">
        <w:t xml:space="preserve">y transicional </w:t>
      </w:r>
      <w:r w:rsidRPr="00746ACE">
        <w:t>de selección</w:t>
      </w:r>
      <w:r w:rsidR="00A57E02" w:rsidRPr="00746ACE">
        <w:t xml:space="preserve"> y las subreglas de la Sentencia C-080 de 2018 recién citadas</w:t>
      </w:r>
      <w:r w:rsidRPr="00746ACE">
        <w:t xml:space="preserve">. </w:t>
      </w:r>
    </w:p>
    <w:p w14:paraId="4B6F0FDE" w14:textId="77777777" w:rsidR="00624B9B" w:rsidRPr="00746ACE" w:rsidRDefault="00624B9B" w:rsidP="00CF1AD1">
      <w:pPr>
        <w:pStyle w:val="Prrafodelista"/>
        <w:widowControl w:val="0"/>
      </w:pPr>
    </w:p>
    <w:p w14:paraId="37C0496E" w14:textId="4D0DABA9" w:rsidR="00720FE7" w:rsidRPr="00746ACE" w:rsidRDefault="00720FE7" w:rsidP="00720FE7">
      <w:pPr>
        <w:pStyle w:val="Prrafodelista"/>
        <w:widowControl w:val="0"/>
        <w:numPr>
          <w:ilvl w:val="0"/>
          <w:numId w:val="7"/>
        </w:numPr>
      </w:pPr>
      <w:r w:rsidRPr="00746ACE">
        <w:t>De todas maneras, no sobra señalar que la Sala Plena no ha dejado de considerar en su estudio la participación de las organizaciones de víctimas. Como se ilustró al inicio de esta providencia, en ellas hay distintas valoraciones acerca de la selección de segundo orden. Algunas consideran que podría contribuir a fortalecer la rendición de cuentas y a reducir la impunidad. Otras, en ca</w:t>
      </w:r>
      <w:r w:rsidR="00824DC1" w:rsidRPr="00746ACE">
        <w:t>m</w:t>
      </w:r>
      <w:r w:rsidRPr="00746ACE">
        <w:t>bio, la observan con cautela</w:t>
      </w:r>
      <w:r w:rsidR="00824DC1" w:rsidRPr="00746ACE">
        <w:t xml:space="preserve"> y coinciden con los demandantes en que puede alterar la lógica del sistema</w:t>
      </w:r>
      <w:r w:rsidRPr="00746ACE">
        <w:t xml:space="preserve">. </w:t>
      </w:r>
      <w:r w:rsidR="00992026" w:rsidRPr="00746ACE">
        <w:t>M</w:t>
      </w:r>
      <w:r w:rsidRPr="00746ACE">
        <w:t xml:space="preserve">ás allá de estas diferencias, varias de estas organizaciones coinciden en </w:t>
      </w:r>
      <w:r w:rsidR="00992026" w:rsidRPr="00746ACE">
        <w:t xml:space="preserve">algunas </w:t>
      </w:r>
      <w:r w:rsidRPr="00746ACE">
        <w:t>preocupaciones comunes: la necesidad de claridad en las reglas aplicables; la exigencia de que la JEP cuente con la capacidad institucional para desarrollar las rutas que propone; y el llamado a que la introducción de nuevas figuras</w:t>
      </w:r>
      <w:r w:rsidR="00992026" w:rsidRPr="00746ACE">
        <w:t xml:space="preserve"> </w:t>
      </w:r>
      <w:r w:rsidRPr="00746ACE">
        <w:t>no desvíe los esfuerzos que actualmente adelanta la jurisdicción.</w:t>
      </w:r>
      <w:r w:rsidR="00742777" w:rsidRPr="00746ACE">
        <w:t xml:space="preserve"> </w:t>
      </w:r>
      <w:r w:rsidRPr="00746ACE">
        <w:t xml:space="preserve">Así mismo, han </w:t>
      </w:r>
      <w:r w:rsidR="006D6011" w:rsidRPr="00746ACE">
        <w:t xml:space="preserve">expresado su preocupación por que </w:t>
      </w:r>
      <w:r w:rsidRPr="00746ACE">
        <w:t xml:space="preserve">la eventual creación de nuevas cargas para las víctimas y la generación de expectativas que podrían ser difíciles de cumplir. </w:t>
      </w:r>
    </w:p>
    <w:p w14:paraId="259CDF59" w14:textId="77777777" w:rsidR="00624B9B" w:rsidRPr="00746ACE" w:rsidRDefault="00624B9B" w:rsidP="00CF1AD1">
      <w:pPr>
        <w:pStyle w:val="Prrafodelista"/>
        <w:widowControl w:val="0"/>
      </w:pPr>
    </w:p>
    <w:p w14:paraId="0DBBDC1D" w14:textId="53330FF5" w:rsidR="00720FE7" w:rsidRPr="00746ACE" w:rsidRDefault="00720FE7" w:rsidP="00720FE7">
      <w:pPr>
        <w:pStyle w:val="Prrafodelista"/>
        <w:widowControl w:val="0"/>
        <w:numPr>
          <w:ilvl w:val="0"/>
          <w:numId w:val="7"/>
        </w:numPr>
      </w:pPr>
      <w:r w:rsidRPr="00746ACE">
        <w:t>Estas consideraciones permiten recordar que</w:t>
      </w:r>
      <w:r w:rsidR="00971F9D" w:rsidRPr="00746ACE">
        <w:t>, por una parte, la seguridad jurídica es también un asunto esencial para la centralidad de las víctimas</w:t>
      </w:r>
      <w:r w:rsidRPr="00746ACE">
        <w:t xml:space="preserve"> la JEP</w:t>
      </w:r>
      <w:r w:rsidR="00971F9D" w:rsidRPr="00746ACE">
        <w:t>; y, por otra, que la jurisdicción</w:t>
      </w:r>
      <w:r w:rsidRPr="00746ACE">
        <w:t xml:space="preserve"> cuenta con mecanismos orientados a profundizar la verdad y la reparación, como las audiencias para el aporte de verdad en la ruta no sancionatoria de la SDSJ y la </w:t>
      </w:r>
      <w:r w:rsidR="008939D9" w:rsidRPr="00746ACE">
        <w:t xml:space="preserve">excepcional </w:t>
      </w:r>
      <w:r w:rsidRPr="00746ACE">
        <w:t xml:space="preserve">vinculación a TOAR </w:t>
      </w:r>
      <w:r w:rsidR="008939D9" w:rsidRPr="00746ACE">
        <w:t>mencionada en la Senit 8 (párrafo 212 y siguientes)</w:t>
      </w:r>
      <w:r w:rsidRPr="00746ACE">
        <w:t xml:space="preserve">. En criterio de la Sala, estos mecanismos reflejan la centralidad de las víctimas y </w:t>
      </w:r>
      <w:r w:rsidR="00092A12" w:rsidRPr="00746ACE">
        <w:t xml:space="preserve">desarrollan el </w:t>
      </w:r>
      <w:r w:rsidRPr="00746ACE">
        <w:t>paradigma de justicia restaurativa, como se explicará en las precisiones finales de esta providencia.</w:t>
      </w:r>
    </w:p>
    <w:p w14:paraId="651BFBB8" w14:textId="77777777" w:rsidR="009E45E4" w:rsidRPr="00746ACE" w:rsidRDefault="009E45E4" w:rsidP="00FC0DFB">
      <w:pPr>
        <w:pStyle w:val="Prrafodelista"/>
        <w:widowControl w:val="0"/>
        <w:ind w:left="0"/>
      </w:pPr>
    </w:p>
    <w:p w14:paraId="7D94B408" w14:textId="304AADA2" w:rsidR="00060DCF" w:rsidRPr="00746ACE" w:rsidRDefault="00060DCF" w:rsidP="00CF1AD1">
      <w:pPr>
        <w:pStyle w:val="Prrafodelista"/>
        <w:widowControl w:val="0"/>
        <w:numPr>
          <w:ilvl w:val="0"/>
          <w:numId w:val="7"/>
        </w:numPr>
      </w:pPr>
      <w:r w:rsidRPr="00746ACE">
        <w:t xml:space="preserve">Las </w:t>
      </w:r>
      <w:r w:rsidR="00C372D3" w:rsidRPr="00746ACE">
        <w:t>conclusiones</w:t>
      </w:r>
      <w:r w:rsidRPr="00746ACE">
        <w:t xml:space="preserve"> </w:t>
      </w:r>
      <w:r w:rsidR="00875225" w:rsidRPr="00746ACE">
        <w:t>alcanzadas</w:t>
      </w:r>
      <w:r w:rsidRPr="00746ACE">
        <w:t xml:space="preserve"> sobre el principio de legalidad y la conclusión sobre la selección de segundo orden permiten abordar, de manera sucinta, el cuestionamiento sobre la atribución de esta competencia a la Sala de Definición de Situaciones Jurídicas.</w:t>
      </w:r>
    </w:p>
    <w:p w14:paraId="4CCB9037" w14:textId="77777777" w:rsidR="00875225" w:rsidRPr="00746ACE" w:rsidRDefault="00875225" w:rsidP="00CF1AD1">
      <w:pPr>
        <w:pStyle w:val="Prrafodelista"/>
        <w:widowControl w:val="0"/>
      </w:pPr>
    </w:p>
    <w:p w14:paraId="38686AD1" w14:textId="64D5341F" w:rsidR="0043161D" w:rsidRPr="00746ACE" w:rsidRDefault="00624B9B" w:rsidP="000B69F5">
      <w:pPr>
        <w:pStyle w:val="Ttulo3"/>
        <w:keepNext w:val="0"/>
        <w:keepLines w:val="0"/>
        <w:widowControl w:val="0"/>
        <w:jc w:val="both"/>
        <w:rPr>
          <w:rFonts w:cs="Times New Roman"/>
          <w:color w:val="auto"/>
          <w:sz w:val="28"/>
          <w:szCs w:val="28"/>
          <w:lang w:val="es-ES"/>
        </w:rPr>
      </w:pPr>
      <w:bookmarkStart w:id="46" w:name="_Toc233384196"/>
      <w:r w:rsidRPr="00746ACE">
        <w:rPr>
          <w:rFonts w:cs="Times New Roman"/>
          <w:color w:val="auto"/>
          <w:sz w:val="28"/>
          <w:szCs w:val="28"/>
          <w:lang w:val="es-ES"/>
        </w:rPr>
        <w:t>L</w:t>
      </w:r>
      <w:r w:rsidR="0043161D" w:rsidRPr="00746ACE">
        <w:rPr>
          <w:rFonts w:cs="Times New Roman"/>
          <w:color w:val="auto"/>
          <w:sz w:val="28"/>
          <w:szCs w:val="28"/>
          <w:lang w:val="es-ES"/>
        </w:rPr>
        <w:t>a competencia de la Sala de Definición de Situaciones Jurídica, en el sentido de realizar la selección de segundo orden</w:t>
      </w:r>
      <w:bookmarkEnd w:id="46"/>
    </w:p>
    <w:p w14:paraId="18D6AFCA" w14:textId="77777777" w:rsidR="0043161D" w:rsidRPr="00746ACE" w:rsidRDefault="0043161D" w:rsidP="00CF1AD1">
      <w:pPr>
        <w:pStyle w:val="Prrafodelista"/>
        <w:widowControl w:val="0"/>
        <w:ind w:left="0"/>
      </w:pPr>
    </w:p>
    <w:p w14:paraId="7F22A661" w14:textId="77777777" w:rsidR="0043161D" w:rsidRPr="00746ACE" w:rsidRDefault="0043161D" w:rsidP="00CF1AD1">
      <w:pPr>
        <w:pStyle w:val="Prrafodelista"/>
        <w:widowControl w:val="0"/>
        <w:numPr>
          <w:ilvl w:val="0"/>
          <w:numId w:val="7"/>
        </w:numPr>
      </w:pPr>
      <w:r w:rsidRPr="00746ACE">
        <w:t xml:space="preserve">En este ámbito aparece de nuevo la tensión entre la sujeción a la ley y su facultad de interpretación. </w:t>
      </w:r>
    </w:p>
    <w:p w14:paraId="6F55DACF" w14:textId="77777777" w:rsidR="0043161D" w:rsidRPr="00746ACE" w:rsidRDefault="0043161D" w:rsidP="00CF1AD1">
      <w:pPr>
        <w:pStyle w:val="Prrafodelista"/>
        <w:widowControl w:val="0"/>
        <w:ind w:left="0"/>
      </w:pPr>
    </w:p>
    <w:p w14:paraId="4BB835E7" w14:textId="00101A9C" w:rsidR="0043161D" w:rsidRPr="00746ACE" w:rsidRDefault="00624B9B" w:rsidP="00CF1AD1">
      <w:pPr>
        <w:pStyle w:val="Prrafodelista"/>
        <w:widowControl w:val="0"/>
        <w:numPr>
          <w:ilvl w:val="0"/>
          <w:numId w:val="7"/>
        </w:numPr>
      </w:pPr>
      <w:r w:rsidRPr="00746ACE">
        <w:t xml:space="preserve">Como se indicó en el </w:t>
      </w:r>
      <w:r w:rsidR="00E546E4" w:rsidRPr="00746ACE">
        <w:t xml:space="preserve">acápite </w:t>
      </w:r>
      <w:r w:rsidRPr="00746ACE">
        <w:t xml:space="preserve">anterior, aunque </w:t>
      </w:r>
      <w:r w:rsidR="0043161D" w:rsidRPr="00746ACE">
        <w:t xml:space="preserve">los órganos que administran justicia suelen tener funciones definidas en la ley ordinaria, en el caso de la JEP muchas de ellas tienen rango de ley estatutaria, debido a la creación de un diseño integral de justicia con serias implicaciones en los derechos de las víctimas. </w:t>
      </w:r>
      <w:r w:rsidRPr="00746ACE">
        <w:t>L</w:t>
      </w:r>
      <w:r w:rsidR="0043161D" w:rsidRPr="00746ACE">
        <w:t>a creación de una función “desde cero”</w:t>
      </w:r>
      <w:r w:rsidR="007D23D9" w:rsidRPr="00746ACE">
        <w:t xml:space="preserve"> por parte del juez transicional</w:t>
      </w:r>
      <w:r w:rsidR="0043161D" w:rsidRPr="00746ACE">
        <w:t xml:space="preserve"> escapa a las facultades de la JEP, </w:t>
      </w:r>
      <w:r w:rsidRPr="00746ACE">
        <w:t xml:space="preserve">mientras que </w:t>
      </w:r>
      <w:r w:rsidR="0043161D" w:rsidRPr="00746ACE">
        <w:t xml:space="preserve">la precisión de funciones ya existentes puede ser una expresión de su margen interpretativo. </w:t>
      </w:r>
    </w:p>
    <w:p w14:paraId="74F8BEC0" w14:textId="77777777" w:rsidR="0043161D" w:rsidRPr="00746ACE" w:rsidRDefault="0043161D" w:rsidP="00CF1AD1">
      <w:pPr>
        <w:pStyle w:val="Prrafodelista"/>
        <w:widowControl w:val="0"/>
        <w:ind w:left="0"/>
      </w:pPr>
    </w:p>
    <w:p w14:paraId="05BAB1CE" w14:textId="0969F783" w:rsidR="0043161D" w:rsidRPr="00746ACE" w:rsidRDefault="0043161D" w:rsidP="00FC0DFB">
      <w:pPr>
        <w:pStyle w:val="Prrafodelista"/>
        <w:widowControl w:val="0"/>
        <w:numPr>
          <w:ilvl w:val="0"/>
          <w:numId w:val="7"/>
        </w:numPr>
        <w:rPr>
          <w:lang w:eastAsia="es-ES"/>
        </w:rPr>
      </w:pPr>
      <w:r w:rsidRPr="00746ACE">
        <w:rPr>
          <w:lang w:eastAsia="es-ES"/>
        </w:rPr>
        <w:t xml:space="preserve">La </w:t>
      </w:r>
      <w:r w:rsidRPr="00746ACE">
        <w:rPr>
          <w:i/>
          <w:iCs/>
          <w:lang w:eastAsia="es-ES"/>
        </w:rPr>
        <w:t>cláusula general de competencia</w:t>
      </w:r>
      <w:r w:rsidR="007D23D9" w:rsidRPr="00746ACE">
        <w:rPr>
          <w:lang w:eastAsia="es-ES"/>
        </w:rPr>
        <w:t xml:space="preserve"> (artículos </w:t>
      </w:r>
      <w:r w:rsidR="00926889" w:rsidRPr="00746ACE">
        <w:rPr>
          <w:lang w:eastAsia="es-ES"/>
        </w:rPr>
        <w:t xml:space="preserve">1º, </w:t>
      </w:r>
      <w:r w:rsidR="007D23D9" w:rsidRPr="00746ACE">
        <w:rPr>
          <w:lang w:eastAsia="es-ES"/>
        </w:rPr>
        <w:t>6 y 121 de la Constitución)</w:t>
      </w:r>
      <w:r w:rsidRPr="00746ACE">
        <w:rPr>
          <w:lang w:eastAsia="es-ES"/>
        </w:rPr>
        <w:t xml:space="preserve">, que atribuye a las autoridades la facultad </w:t>
      </w:r>
      <w:r w:rsidR="00624B9B" w:rsidRPr="00746ACE">
        <w:rPr>
          <w:lang w:eastAsia="es-ES"/>
        </w:rPr>
        <w:t xml:space="preserve">y el deber </w:t>
      </w:r>
      <w:r w:rsidRPr="00746ACE">
        <w:rPr>
          <w:lang w:eastAsia="es-ES"/>
        </w:rPr>
        <w:t xml:space="preserve">de actuar solo conforme a funciones legales, es imprescindible para combatir la arbitrariedad, el capricho y el abuso de poder. Las funciones de los órganos que administran justicia están definidas en la ley, y los principios esenciales de acceso a la justicia se plasman en leyes estatutarias. </w:t>
      </w:r>
    </w:p>
    <w:p w14:paraId="6643EE72" w14:textId="77777777" w:rsidR="0043161D" w:rsidRPr="00746ACE" w:rsidRDefault="0043161D" w:rsidP="00CF1AD1">
      <w:pPr>
        <w:pStyle w:val="Prrafodelista"/>
        <w:widowControl w:val="0"/>
      </w:pPr>
    </w:p>
    <w:p w14:paraId="571F779C" w14:textId="49BF7545" w:rsidR="0043161D" w:rsidRPr="00746ACE" w:rsidRDefault="00624B9B" w:rsidP="00CF1AD1">
      <w:pPr>
        <w:pStyle w:val="Prrafodelista"/>
        <w:widowControl w:val="0"/>
        <w:numPr>
          <w:ilvl w:val="0"/>
          <w:numId w:val="7"/>
        </w:numPr>
      </w:pPr>
      <w:r w:rsidRPr="00746ACE">
        <w:t>E</w:t>
      </w:r>
      <w:r w:rsidR="0043161D" w:rsidRPr="00746ACE">
        <w:t xml:space="preserve">s oportuno recordar que en la Sentencia C-111 de 2023, la Corte Constitucional concluyó que una norma de la Ley 1922 de 2018, de procedimientos de la JEP, no podría ampliar las competencias de la Sección con Reconocimiento de Verdad previstas en la Constitución Política y la Ley </w:t>
      </w:r>
      <w:r w:rsidR="00FC0DFB" w:rsidRPr="00746ACE">
        <w:t xml:space="preserve">Estatutaria </w:t>
      </w:r>
      <w:r w:rsidR="0043161D" w:rsidRPr="00746ACE">
        <w:t xml:space="preserve">de </w:t>
      </w:r>
      <w:r w:rsidR="00FC0DFB" w:rsidRPr="00746ACE">
        <w:t xml:space="preserve">Administración </w:t>
      </w:r>
      <w:r w:rsidR="0043161D" w:rsidRPr="00746ACE">
        <w:t xml:space="preserve">de </w:t>
      </w:r>
      <w:r w:rsidR="00FC0DFB" w:rsidRPr="00746ACE">
        <w:t xml:space="preserve">Justicia en </w:t>
      </w:r>
      <w:r w:rsidR="0043161D" w:rsidRPr="00746ACE">
        <w:t>la JEP, en especial, en relación con la competencia para decidir acciones de tutela.</w:t>
      </w:r>
      <w:r w:rsidRPr="00746ACE">
        <w:t xml:space="preserve"> </w:t>
      </w:r>
      <w:r w:rsidR="00FC0DFB" w:rsidRPr="00746ACE">
        <w:t xml:space="preserve">Así, surge en </w:t>
      </w:r>
      <w:r w:rsidRPr="00746ACE">
        <w:t>esta decisión un criterio que es aplicable también a este caso, considerando las diferencias relevantes entre la función del legislador ordinario y la del intérprete autorizado de las normas estatutarias.</w:t>
      </w:r>
      <w:r w:rsidR="0043161D" w:rsidRPr="00746ACE">
        <w:t xml:space="preserve"> </w:t>
      </w:r>
    </w:p>
    <w:p w14:paraId="6D3C8099" w14:textId="77777777" w:rsidR="0043161D" w:rsidRPr="00746ACE" w:rsidRDefault="0043161D" w:rsidP="00FC0DFB">
      <w:pPr>
        <w:widowControl w:val="0"/>
      </w:pPr>
    </w:p>
    <w:p w14:paraId="451E611F" w14:textId="05E29F6D" w:rsidR="0043161D" w:rsidRPr="00746ACE" w:rsidRDefault="00720FE7" w:rsidP="00FC0DFB">
      <w:pPr>
        <w:pStyle w:val="Prrafodelista"/>
        <w:widowControl w:val="0"/>
        <w:numPr>
          <w:ilvl w:val="0"/>
          <w:numId w:val="7"/>
        </w:numPr>
      </w:pPr>
      <w:r w:rsidRPr="00746ACE">
        <w:rPr>
          <w:lang w:eastAsia="es-ES"/>
        </w:rPr>
        <w:t xml:space="preserve">Según </w:t>
      </w:r>
      <w:r w:rsidR="00624B9B" w:rsidRPr="00746ACE">
        <w:rPr>
          <w:lang w:eastAsia="es-ES"/>
        </w:rPr>
        <w:t xml:space="preserve">este criterio, </w:t>
      </w:r>
      <w:r w:rsidR="0043161D" w:rsidRPr="00746ACE">
        <w:rPr>
          <w:lang w:eastAsia="es-ES"/>
        </w:rPr>
        <w:t>cuando las competencias de los órganos de la JEP han sido definidas de manera precisa en normas constitucionales y estatutarias, no resulta válida su modificación o la creación de competencias distintas a nivel legal</w:t>
      </w:r>
      <w:r w:rsidR="00FC0DFB" w:rsidRPr="00746ACE">
        <w:rPr>
          <w:lang w:eastAsia="es-ES"/>
        </w:rPr>
        <w:t>. E</w:t>
      </w:r>
      <w:r w:rsidR="0043161D" w:rsidRPr="00746ACE">
        <w:rPr>
          <w:lang w:eastAsia="es-ES"/>
        </w:rPr>
        <w:t xml:space="preserve">n los términos de la Sentencia C-111 de 2023, </w:t>
      </w:r>
      <w:r w:rsidR="0043161D" w:rsidRPr="00746ACE">
        <w:t>“</w:t>
      </w:r>
      <w:r w:rsidR="0043161D" w:rsidRPr="00746ACE">
        <w:rPr>
          <w:b/>
        </w:rPr>
        <w:t>a mayor grado de definición de una determinada competencia en la Constitución, menor es entonces el margen de libre configuración de que goza el Legislador para regular tal materia”.</w:t>
      </w:r>
    </w:p>
    <w:p w14:paraId="6E10B135" w14:textId="77777777" w:rsidR="00624B9B" w:rsidRPr="00746ACE" w:rsidRDefault="00624B9B" w:rsidP="00CF1AD1">
      <w:pPr>
        <w:pStyle w:val="Prrafodelista"/>
        <w:widowControl w:val="0"/>
        <w:rPr>
          <w:lang w:eastAsia="es-ES"/>
        </w:rPr>
      </w:pPr>
    </w:p>
    <w:p w14:paraId="61C9A16F" w14:textId="765EF7A4" w:rsidR="0043161D" w:rsidRPr="00746ACE" w:rsidRDefault="00624B9B" w:rsidP="00CF1AD1">
      <w:pPr>
        <w:pStyle w:val="Prrafodelista"/>
        <w:widowControl w:val="0"/>
        <w:numPr>
          <w:ilvl w:val="0"/>
          <w:numId w:val="7"/>
        </w:numPr>
      </w:pPr>
      <w:r w:rsidRPr="00746ACE">
        <w:t>De acuerdo con lo expuesto,</w:t>
      </w:r>
      <w:r w:rsidRPr="00746ACE">
        <w:rPr>
          <w:lang w:eastAsia="es-ES"/>
        </w:rPr>
        <w:t xml:space="preserve"> </w:t>
      </w:r>
      <w:r w:rsidR="0043161D" w:rsidRPr="00746ACE">
        <w:rPr>
          <w:lang w:eastAsia="es-ES"/>
        </w:rPr>
        <w:t xml:space="preserve">si bien la Sección de Apelación cuenta con la competencia para precisar aspectos del ejercicio de funciones de cada órgano de la JEP, no tiene la facultad de adoptar decisiones que desconozcan la estructura definida en la Ley 1957 de 2019. </w:t>
      </w:r>
      <w:r w:rsidRPr="00746ACE">
        <w:rPr>
          <w:lang w:eastAsia="es-ES"/>
        </w:rPr>
        <w:t xml:space="preserve">Como la </w:t>
      </w:r>
      <w:r w:rsidR="004C77EA" w:rsidRPr="00746ACE">
        <w:rPr>
          <w:lang w:eastAsia="es-ES"/>
        </w:rPr>
        <w:t>“</w:t>
      </w:r>
      <w:r w:rsidRPr="00746ACE">
        <w:rPr>
          <w:i/>
          <w:iCs/>
          <w:lang w:eastAsia="es-ES"/>
        </w:rPr>
        <w:t>selección de segundo orden</w:t>
      </w:r>
      <w:r w:rsidR="004C77EA" w:rsidRPr="00746ACE">
        <w:rPr>
          <w:i/>
          <w:iCs/>
          <w:lang w:eastAsia="es-ES"/>
        </w:rPr>
        <w:t>”</w:t>
      </w:r>
      <w:r w:rsidRPr="00746ACE">
        <w:rPr>
          <w:i/>
          <w:iCs/>
          <w:lang w:eastAsia="es-ES"/>
        </w:rPr>
        <w:t xml:space="preserve"> </w:t>
      </w:r>
      <w:r w:rsidRPr="00746ACE">
        <w:rPr>
          <w:lang w:eastAsia="es-ES"/>
        </w:rPr>
        <w:t xml:space="preserve">no es la misma </w:t>
      </w:r>
      <w:r w:rsidRPr="00746ACE">
        <w:rPr>
          <w:i/>
          <w:iCs/>
          <w:lang w:eastAsia="es-ES"/>
        </w:rPr>
        <w:t xml:space="preserve">selección individual, </w:t>
      </w:r>
      <w:r w:rsidRPr="00746ACE">
        <w:rPr>
          <w:lang w:eastAsia="es-ES"/>
        </w:rPr>
        <w:t xml:space="preserve">sino una figura totalmente nueva, </w:t>
      </w:r>
      <w:r w:rsidRPr="00746ACE">
        <w:t>entonces resulta necesario concluir que a</w:t>
      </w:r>
      <w:r w:rsidR="0043161D" w:rsidRPr="00746ACE">
        <w:t xml:space="preserve">tribuir competencia </w:t>
      </w:r>
      <w:r w:rsidR="004C77EA" w:rsidRPr="00746ACE">
        <w:t>a</w:t>
      </w:r>
      <w:r w:rsidR="0043161D" w:rsidRPr="00746ACE">
        <w:t xml:space="preserve"> la Sala de Definición de Situaciones Jurídicas para realizar la </w:t>
      </w:r>
      <w:r w:rsidR="004C77EA" w:rsidRPr="00746ACE">
        <w:t>“</w:t>
      </w:r>
      <w:r w:rsidR="0043161D" w:rsidRPr="00746ACE">
        <w:rPr>
          <w:i/>
        </w:rPr>
        <w:t>selección de segundo orden</w:t>
      </w:r>
      <w:r w:rsidR="004C77EA" w:rsidRPr="00746ACE">
        <w:rPr>
          <w:i/>
        </w:rPr>
        <w:t>”</w:t>
      </w:r>
      <w:r w:rsidR="0043161D" w:rsidRPr="00746ACE">
        <w:rPr>
          <w:i/>
        </w:rPr>
        <w:t xml:space="preserve"> </w:t>
      </w:r>
      <w:r w:rsidR="0043161D" w:rsidRPr="00746ACE">
        <w:t xml:space="preserve">desborda el marco y distribución de competencias concebidas en la </w:t>
      </w:r>
      <w:r w:rsidR="00D35C96" w:rsidRPr="00746ACE">
        <w:t xml:space="preserve">Ley Estatutaria </w:t>
      </w:r>
      <w:r w:rsidR="0043161D" w:rsidRPr="00746ACE">
        <w:t xml:space="preserve">de </w:t>
      </w:r>
      <w:r w:rsidR="00D35C96" w:rsidRPr="00746ACE">
        <w:t xml:space="preserve">Administración </w:t>
      </w:r>
      <w:r w:rsidR="0043161D" w:rsidRPr="00746ACE">
        <w:t xml:space="preserve">de </w:t>
      </w:r>
      <w:r w:rsidR="00D35C96" w:rsidRPr="00746ACE">
        <w:t xml:space="preserve">Justicia </w:t>
      </w:r>
      <w:r w:rsidR="0043161D" w:rsidRPr="00746ACE">
        <w:t xml:space="preserve">en la JEP (Ley 1957 de 2019), y considerada constitucional en la Sentencia C-080 de 2018. </w:t>
      </w:r>
    </w:p>
    <w:p w14:paraId="14AF0D04" w14:textId="77777777" w:rsidR="00624B9B" w:rsidRPr="00746ACE" w:rsidRDefault="00624B9B" w:rsidP="00CF1AD1">
      <w:pPr>
        <w:pStyle w:val="Prrafodelista"/>
        <w:widowControl w:val="0"/>
      </w:pPr>
    </w:p>
    <w:p w14:paraId="60255EB4" w14:textId="26194476" w:rsidR="00624B9B" w:rsidRPr="00746ACE" w:rsidRDefault="00624B9B" w:rsidP="00CF1AD1">
      <w:pPr>
        <w:pStyle w:val="Prrafodelista"/>
        <w:widowControl w:val="0"/>
        <w:numPr>
          <w:ilvl w:val="0"/>
          <w:numId w:val="7"/>
        </w:numPr>
      </w:pPr>
      <w:r w:rsidRPr="00746ACE">
        <w:t>A</w:t>
      </w:r>
      <w:r w:rsidR="00720FE7" w:rsidRPr="00746ACE">
        <w:t xml:space="preserve">hora, </w:t>
      </w:r>
      <w:r w:rsidRPr="00746ACE">
        <w:t>la Sala Plena avanzará en el análisis, con base en la deferencia hacia la JEP y la pedagogía constitucional en torno a la justicia transicional restaurativa.</w:t>
      </w:r>
    </w:p>
    <w:p w14:paraId="0F4308E7" w14:textId="77777777" w:rsidR="004E60B3" w:rsidRPr="00746ACE" w:rsidRDefault="004E60B3" w:rsidP="00CF1AD1">
      <w:pPr>
        <w:pStyle w:val="Prrafodelista"/>
        <w:widowControl w:val="0"/>
        <w:ind w:left="0"/>
      </w:pPr>
    </w:p>
    <w:p w14:paraId="19B936C6" w14:textId="037D2DA1" w:rsidR="00060DCF" w:rsidRPr="00746ACE" w:rsidRDefault="00060DCF" w:rsidP="00CF1AD1">
      <w:pPr>
        <w:pStyle w:val="Prrafodelista"/>
        <w:widowControl w:val="0"/>
        <w:numPr>
          <w:ilvl w:val="0"/>
          <w:numId w:val="7"/>
        </w:numPr>
      </w:pPr>
      <w:r w:rsidRPr="00746ACE">
        <w:t xml:space="preserve">En el diseño de la JEP, la Sala de Definición de Situaciones Jurídicas cumple diversas funciones, como la concesión de beneficios transitorios y definitivos a comparecientes de la Fuerza Pública y terceros, o la verificación del régimen de condicionalidad, incluido el de carácter estricto, que puede conducir a la realización de </w:t>
      </w:r>
      <w:r w:rsidR="00D35C96" w:rsidRPr="00746ACE">
        <w:t>Trabajos</w:t>
      </w:r>
      <w:r w:rsidRPr="00746ACE">
        <w:t xml:space="preserve">, </w:t>
      </w:r>
      <w:r w:rsidR="00D35C96" w:rsidRPr="00746ACE">
        <w:t xml:space="preserve">Obras </w:t>
      </w:r>
      <w:r w:rsidRPr="00746ACE">
        <w:t xml:space="preserve">y </w:t>
      </w:r>
      <w:r w:rsidR="00D35C96" w:rsidRPr="00746ACE">
        <w:t xml:space="preserve">Actividades </w:t>
      </w:r>
      <w:r w:rsidRPr="00746ACE">
        <w:t xml:space="preserve">de contenido </w:t>
      </w:r>
      <w:r w:rsidR="00D35C96" w:rsidRPr="00746ACE">
        <w:t>Reparador (TOAR)</w:t>
      </w:r>
      <w:r w:rsidRPr="00746ACE">
        <w:t xml:space="preserve">. De igual manera, analiza los proyectos </w:t>
      </w:r>
      <w:r w:rsidR="00316D7E" w:rsidRPr="00746ACE">
        <w:t xml:space="preserve">y </w:t>
      </w:r>
      <w:r w:rsidRPr="00746ACE">
        <w:t>programa</w:t>
      </w:r>
      <w:r w:rsidR="00316D7E" w:rsidRPr="00746ACE">
        <w:t>s</w:t>
      </w:r>
      <w:r w:rsidRPr="00746ACE">
        <w:t xml:space="preserve"> de reparación de terceros que quieren acceder como comparecientes voluntarios al sistema. La </w:t>
      </w:r>
      <w:r w:rsidR="007277A0" w:rsidRPr="00746ACE">
        <w:t>“</w:t>
      </w:r>
      <w:r w:rsidRPr="00746ACE">
        <w:t>selección de segundo orden</w:t>
      </w:r>
      <w:r w:rsidR="007277A0" w:rsidRPr="00746ACE">
        <w:t>”</w:t>
      </w:r>
      <w:r w:rsidRPr="00746ACE">
        <w:rPr>
          <w:i/>
        </w:rPr>
        <w:t xml:space="preserve">, </w:t>
      </w:r>
      <w:r w:rsidRPr="00746ACE">
        <w:t xml:space="preserve">sin embargo, abre la posibilidad de que se inicie un juicio adversarial, incluso, frente a personas que no han sido consideradas potenciales sujetos destinatarios de una sanción por la Sala de Reconocimiento de Verdad y Responsabilidad. </w:t>
      </w:r>
      <w:r w:rsidRPr="00746ACE">
        <w:tab/>
      </w:r>
    </w:p>
    <w:p w14:paraId="1FB85255" w14:textId="77777777" w:rsidR="00720FE7" w:rsidRPr="00746ACE" w:rsidRDefault="00720FE7" w:rsidP="00092A12">
      <w:pPr>
        <w:widowControl w:val="0"/>
      </w:pPr>
    </w:p>
    <w:p w14:paraId="7D3B576C" w14:textId="34D9DCB2" w:rsidR="00720FE7" w:rsidRPr="00746ACE" w:rsidRDefault="00720FE7" w:rsidP="00720FE7">
      <w:pPr>
        <w:pStyle w:val="Prrafodelista"/>
        <w:widowControl w:val="0"/>
        <w:numPr>
          <w:ilvl w:val="0"/>
          <w:numId w:val="7"/>
        </w:numPr>
      </w:pPr>
      <w:r w:rsidRPr="00746ACE">
        <w:t xml:space="preserve">Como se ha indicado, para la Corte la facultad de selección positiva y caso a caso por parte de la Sala de Definición de Situaciones Jurídicas – denominada selección de segundo orden- constituye una competencia inédita en las normas de implementación del Acuerdo Final. Esta facultad tiene como efecto ampliar el universo de personas sometidas a juzgamiento más allá de los máximos responsables. En consecuencia, se trata de una figura que viola el principio constitucional </w:t>
      </w:r>
      <w:r w:rsidR="00130D46" w:rsidRPr="00746ACE">
        <w:t xml:space="preserve">y transicional </w:t>
      </w:r>
      <w:r w:rsidRPr="00746ACE">
        <w:t xml:space="preserve">de selección, desdibuja la lógica de los macro casos (que se deriva directamente del principio constitucional </w:t>
      </w:r>
      <w:r w:rsidR="00130D46" w:rsidRPr="00746ACE">
        <w:t xml:space="preserve">y transicional </w:t>
      </w:r>
      <w:r w:rsidRPr="00746ACE">
        <w:t xml:space="preserve">de selección) y genera el riesgo de una duplicidad de exámenes de responsabilidad. </w:t>
      </w:r>
    </w:p>
    <w:p w14:paraId="22724B7A" w14:textId="77777777" w:rsidR="0043161D" w:rsidRPr="00746ACE" w:rsidRDefault="0043161D" w:rsidP="00CF1AD1">
      <w:pPr>
        <w:pStyle w:val="Prrafodelista"/>
        <w:widowControl w:val="0"/>
      </w:pPr>
    </w:p>
    <w:p w14:paraId="75A9FDA7" w14:textId="2D9590B7" w:rsidR="0043161D" w:rsidRPr="00746ACE" w:rsidRDefault="00624B9B" w:rsidP="00CF1AD1">
      <w:pPr>
        <w:pStyle w:val="Prrafodelista"/>
        <w:widowControl w:val="0"/>
        <w:numPr>
          <w:ilvl w:val="0"/>
          <w:numId w:val="7"/>
        </w:numPr>
        <w:rPr>
          <w:lang w:eastAsia="es-MX"/>
        </w:rPr>
      </w:pPr>
      <w:r w:rsidRPr="00746ACE">
        <w:t>Para terminar, la Sala recuerda que t</w:t>
      </w:r>
      <w:r w:rsidR="0043161D" w:rsidRPr="00746ACE">
        <w:t>odo lo expuesto puede resultar incompatible con la estricta temporalidad de la JEP y</w:t>
      </w:r>
      <w:r w:rsidRPr="00746ACE">
        <w:t xml:space="preserve"> genera tanto expectativas como riesgos en la garantía de los derechos de las víctimas. Como existe una incertidumbre acerca de cómo funciona la </w:t>
      </w:r>
      <w:r w:rsidR="00364BFC" w:rsidRPr="00746ACE">
        <w:t>“</w:t>
      </w:r>
      <w:r w:rsidRPr="00746ACE">
        <w:t>selección de segundo orden</w:t>
      </w:r>
      <w:r w:rsidR="00364BFC" w:rsidRPr="00746ACE">
        <w:t>”</w:t>
      </w:r>
      <w:r w:rsidRPr="00746ACE">
        <w:t>, en criterio de la Sala</w:t>
      </w:r>
      <w:r w:rsidR="00D35C96" w:rsidRPr="00746ACE">
        <w:t xml:space="preserve"> Plena</w:t>
      </w:r>
      <w:r w:rsidRPr="00746ACE">
        <w:t xml:space="preserve">, las expectativas, entendidas como promesas de mayor satisfacción de derechos, no superan los riesgos mencionados. Debe recordarse también que una promesa institucional que se incumple genera también daños, </w:t>
      </w:r>
      <w:r w:rsidR="00D35C96" w:rsidRPr="00746ACE">
        <w:t>los cuales</w:t>
      </w:r>
      <w:r w:rsidRPr="00746ACE">
        <w:t xml:space="preserve">, en el contexto de la respuesta estatal a los crímenes serían de especial gravedad. </w:t>
      </w:r>
    </w:p>
    <w:p w14:paraId="55CF61A8" w14:textId="77777777" w:rsidR="00723D60" w:rsidRPr="00746ACE" w:rsidRDefault="00723D60" w:rsidP="00723D60">
      <w:pPr>
        <w:pStyle w:val="Prrafodelista"/>
        <w:widowControl w:val="0"/>
        <w:ind w:left="0"/>
      </w:pPr>
    </w:p>
    <w:p w14:paraId="28D7AE36" w14:textId="77777777" w:rsidR="00723D60" w:rsidRPr="00746ACE" w:rsidRDefault="00723D60" w:rsidP="00723D60">
      <w:pPr>
        <w:pStyle w:val="Prrafodelista"/>
        <w:widowControl w:val="0"/>
        <w:numPr>
          <w:ilvl w:val="0"/>
          <w:numId w:val="7"/>
        </w:numPr>
      </w:pPr>
      <w:r w:rsidRPr="00746ACE">
        <w:t xml:space="preserve">Con fines ilustrativos, pues no corresponde a la Corte profundizar en el alcance de cada una de estas figuras, una vez eliminada la facultad de selección de segundo orden, las rutas procesales que seguirán los partícipes no determinantes en la Sala de Definición de Situaciones Jurídicas serían las siguientes: </w:t>
      </w:r>
    </w:p>
    <w:p w14:paraId="7543031D" w14:textId="77777777" w:rsidR="00723D60" w:rsidRPr="00746ACE" w:rsidRDefault="00723D60" w:rsidP="00723D60">
      <w:pPr>
        <w:widowControl w:val="0"/>
        <w:rPr>
          <w:lang w:eastAsia="es-ES"/>
        </w:rPr>
      </w:pPr>
    </w:p>
    <w:p w14:paraId="26DB63E7" w14:textId="77777777" w:rsidR="00723D60" w:rsidRPr="00746ACE" w:rsidRDefault="00723D60" w:rsidP="00723D60">
      <w:pPr>
        <w:pStyle w:val="Prrafodelista"/>
        <w:widowControl w:val="0"/>
        <w:ind w:left="0"/>
        <w:jc w:val="center"/>
        <w:rPr>
          <w:b/>
        </w:rPr>
      </w:pPr>
      <w:r w:rsidRPr="00746ACE">
        <w:rPr>
          <w:b/>
          <w:bCs/>
          <w:szCs w:val="24"/>
        </w:rPr>
        <w:t xml:space="preserve">Diagrama 5. </w:t>
      </w:r>
      <w:r w:rsidRPr="00746ACE">
        <w:rPr>
          <w:i/>
          <w:iCs/>
          <w:szCs w:val="24"/>
        </w:rPr>
        <w:t>Rutas procesales sin selección de segundo orden.</w:t>
      </w:r>
    </w:p>
    <w:p w14:paraId="7EB7E914" w14:textId="34A04BAD" w:rsidR="00723D60" w:rsidRPr="00746ACE" w:rsidRDefault="00723D60" w:rsidP="00723D60">
      <w:pPr>
        <w:widowControl w:val="0"/>
      </w:pPr>
      <w:r w:rsidRPr="00746ACE">
        <w:rPr>
          <w:noProof/>
          <w:lang w:val="es-US"/>
        </w:rPr>
        <w:drawing>
          <wp:inline distT="0" distB="0" distL="0" distR="0" wp14:anchorId="592E566A" wp14:editId="639C4996">
            <wp:extent cx="5612130" cy="3931200"/>
            <wp:effectExtent l="38100" t="0" r="64770" b="0"/>
            <wp:docPr id="5"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574D799" w14:textId="312AFC14" w:rsidR="0043161D" w:rsidRPr="00746ACE" w:rsidRDefault="0043161D" w:rsidP="00672AC0">
      <w:pPr>
        <w:pStyle w:val="Ttulo2"/>
        <w:rPr>
          <w:rFonts w:cs="Times New Roman"/>
        </w:rPr>
      </w:pPr>
      <w:bookmarkStart w:id="47" w:name="_Toc233384197"/>
      <w:r w:rsidRPr="00746ACE">
        <w:rPr>
          <w:rFonts w:cs="Times New Roman"/>
        </w:rPr>
        <w:t>Segundo cargo. La categoría de responsabilidad del punto medio desconoce al principio de legalidad</w:t>
      </w:r>
      <w:r w:rsidR="009016C0" w:rsidRPr="00746ACE">
        <w:rPr>
          <w:rFonts w:cs="Times New Roman"/>
        </w:rPr>
        <w:t xml:space="preserve"> (Artículo 29 CP y </w:t>
      </w:r>
      <w:r w:rsidR="00EF0C4B" w:rsidRPr="00746ACE">
        <w:rPr>
          <w:rFonts w:cs="Times New Roman"/>
        </w:rPr>
        <w:t>10 de la Ley estatutaria de administración de justicia en la JEP)</w:t>
      </w:r>
      <w:r w:rsidRPr="00746ACE">
        <w:rPr>
          <w:rFonts w:cs="Times New Roman"/>
        </w:rPr>
        <w:t xml:space="preserve">, en relación con el principio constitucional </w:t>
      </w:r>
      <w:r w:rsidR="00130D46" w:rsidRPr="00746ACE">
        <w:rPr>
          <w:rFonts w:cs="Times New Roman"/>
        </w:rPr>
        <w:t xml:space="preserve">y transicional </w:t>
      </w:r>
      <w:r w:rsidRPr="00746ACE">
        <w:rPr>
          <w:rFonts w:cs="Times New Roman"/>
        </w:rPr>
        <w:t xml:space="preserve">de selección </w:t>
      </w:r>
      <w:r w:rsidR="00EF0C4B" w:rsidRPr="00746ACE">
        <w:rPr>
          <w:rFonts w:cs="Times New Roman"/>
        </w:rPr>
        <w:t>(Artículo 66 transitorio</w:t>
      </w:r>
      <w:r w:rsidR="00130D46" w:rsidRPr="00746ACE">
        <w:rPr>
          <w:rFonts w:cs="Times New Roman"/>
        </w:rPr>
        <w:t xml:space="preserve">, modificado por el artículo </w:t>
      </w:r>
      <w:r w:rsidR="00EF0C4B" w:rsidRPr="00746ACE">
        <w:rPr>
          <w:rFonts w:cs="Times New Roman"/>
        </w:rPr>
        <w:t xml:space="preserve">3 </w:t>
      </w:r>
      <w:r w:rsidR="00130D46" w:rsidRPr="00746ACE">
        <w:rPr>
          <w:rFonts w:cs="Times New Roman"/>
        </w:rPr>
        <w:t xml:space="preserve">transitorio </w:t>
      </w:r>
      <w:r w:rsidR="00EF0C4B" w:rsidRPr="00746ACE">
        <w:rPr>
          <w:rFonts w:cs="Times New Roman"/>
        </w:rPr>
        <w:t xml:space="preserve">del Acto Legislativo 01 de 2017), debido a que </w:t>
      </w:r>
      <w:r w:rsidR="00132C41" w:rsidRPr="00746ACE">
        <w:rPr>
          <w:rFonts w:cs="Times New Roman"/>
        </w:rPr>
        <w:t xml:space="preserve">su excesiva indeterminación </w:t>
      </w:r>
      <w:r w:rsidR="00F05291" w:rsidRPr="00746ACE">
        <w:rPr>
          <w:rFonts w:cs="Times New Roman"/>
        </w:rPr>
        <w:t xml:space="preserve">es incompatible con </w:t>
      </w:r>
      <w:r w:rsidRPr="00746ACE">
        <w:rPr>
          <w:rFonts w:cs="Times New Roman"/>
        </w:rPr>
        <w:t>la seguridad jurídica</w:t>
      </w:r>
      <w:bookmarkEnd w:id="47"/>
    </w:p>
    <w:p w14:paraId="3E7FB9A9" w14:textId="77777777" w:rsidR="0043161D" w:rsidRPr="00746ACE" w:rsidRDefault="0043161D" w:rsidP="00FC0DFB">
      <w:pPr>
        <w:widowControl w:val="0"/>
        <w:rPr>
          <w:lang w:eastAsia="es-MX"/>
        </w:rPr>
      </w:pPr>
    </w:p>
    <w:p w14:paraId="45026142" w14:textId="77777777" w:rsidR="0043161D" w:rsidRPr="00746ACE" w:rsidRDefault="0043161D" w:rsidP="000B69F5">
      <w:pPr>
        <w:pStyle w:val="Ttulo3"/>
        <w:keepNext w:val="0"/>
        <w:keepLines w:val="0"/>
        <w:widowControl w:val="0"/>
        <w:jc w:val="both"/>
        <w:rPr>
          <w:rFonts w:cs="Times New Roman"/>
          <w:color w:val="auto"/>
          <w:sz w:val="28"/>
          <w:szCs w:val="28"/>
          <w:lang w:val="es-ES"/>
        </w:rPr>
      </w:pPr>
      <w:bookmarkStart w:id="48" w:name="_Toc233384198"/>
      <w:r w:rsidRPr="00746ACE">
        <w:rPr>
          <w:rFonts w:cs="Times New Roman"/>
          <w:color w:val="auto"/>
          <w:sz w:val="28"/>
          <w:szCs w:val="28"/>
          <w:lang w:val="es-ES" w:eastAsia="es-ES"/>
        </w:rPr>
        <w:t>Síntesis de la discusión sobre la responsabilidad del punto medio y el principio de legalidad (demanda, posición de la JEP e intervenciones)</w:t>
      </w:r>
      <w:bookmarkEnd w:id="48"/>
    </w:p>
    <w:p w14:paraId="075A0B27" w14:textId="77777777" w:rsidR="0043161D" w:rsidRPr="00746ACE" w:rsidRDefault="0043161D" w:rsidP="00CF1AD1">
      <w:pPr>
        <w:pStyle w:val="Prrafodelista"/>
        <w:widowControl w:val="0"/>
      </w:pPr>
    </w:p>
    <w:p w14:paraId="246A9968" w14:textId="594155A4" w:rsidR="0043161D" w:rsidRPr="00746ACE" w:rsidRDefault="0043161D" w:rsidP="00CF1AD1">
      <w:pPr>
        <w:pStyle w:val="Prrafodelista"/>
        <w:widowControl w:val="0"/>
        <w:numPr>
          <w:ilvl w:val="0"/>
          <w:numId w:val="7"/>
        </w:numPr>
      </w:pPr>
      <w:r w:rsidRPr="00746ACE">
        <w:t>Para los demandantes</w:t>
      </w:r>
      <w:r w:rsidR="00D35C96" w:rsidRPr="00746ACE">
        <w:t>,</w:t>
      </w:r>
      <w:r w:rsidRPr="00746ACE">
        <w:t xml:space="preserve"> no existe un fundamento legal ni constitucional para la creación de la categoría </w:t>
      </w:r>
      <w:r w:rsidRPr="00746ACE">
        <w:rPr>
          <w:i/>
        </w:rPr>
        <w:t xml:space="preserve">responsabilidad de punto medio, </w:t>
      </w:r>
      <w:r w:rsidRPr="00746ACE">
        <w:t xml:space="preserve">o, en otros términos, para sostener que hay comparecientes en un punto de responsabilidad entre la participación no determinante y la máxima responsabilidad. En su concepto, la responsabilidad del punto medio viola el principio constitucional </w:t>
      </w:r>
      <w:r w:rsidR="00130D46" w:rsidRPr="00746ACE">
        <w:t xml:space="preserve">y transicional </w:t>
      </w:r>
      <w:r w:rsidRPr="00746ACE">
        <w:t xml:space="preserve">de selección, pues, tal como fue concebido en el Acuerdo Final de Paz, el Acto Legislativo 01 de 2017 y la </w:t>
      </w:r>
      <w:r w:rsidR="00D35C96" w:rsidRPr="00746ACE">
        <w:t xml:space="preserve">Ley Estatutaria </w:t>
      </w:r>
      <w:r w:rsidRPr="00746ACE">
        <w:t xml:space="preserve">de </w:t>
      </w:r>
      <w:r w:rsidR="00D35C96" w:rsidRPr="00746ACE">
        <w:t xml:space="preserve">Administración </w:t>
      </w:r>
      <w:r w:rsidRPr="00746ACE">
        <w:t xml:space="preserve">de </w:t>
      </w:r>
      <w:r w:rsidR="00D35C96" w:rsidRPr="00746ACE">
        <w:t>Justicia en la JEP</w:t>
      </w:r>
      <w:r w:rsidRPr="00746ACE">
        <w:t>, este exige la concentración de la investigación, juzgamiento y sanción en los máximos responsables y no en otro tipo de partícipes.</w:t>
      </w:r>
    </w:p>
    <w:p w14:paraId="288BF423" w14:textId="77777777" w:rsidR="0043161D" w:rsidRPr="00746ACE" w:rsidRDefault="0043161D" w:rsidP="00CF1AD1">
      <w:pPr>
        <w:pStyle w:val="Prrafodelista"/>
        <w:widowControl w:val="0"/>
        <w:ind w:left="0"/>
      </w:pPr>
      <w:r w:rsidRPr="00746ACE">
        <w:t xml:space="preserve"> </w:t>
      </w:r>
    </w:p>
    <w:p w14:paraId="4028B6F8" w14:textId="77777777" w:rsidR="00720FE7" w:rsidRPr="00746ACE" w:rsidRDefault="00720FE7" w:rsidP="00720FE7">
      <w:pPr>
        <w:pStyle w:val="Prrafodelista"/>
        <w:widowControl w:val="0"/>
        <w:numPr>
          <w:ilvl w:val="0"/>
          <w:numId w:val="7"/>
        </w:numPr>
      </w:pPr>
      <w:r w:rsidRPr="00746ACE">
        <w:t xml:space="preserve">La Sección de Apelación de la JEP ha sostenido diversas tesis en defensa del concepto de responsabilidad del punto medio. En particular, en la Senit 5 expresó que </w:t>
      </w:r>
      <w:r w:rsidRPr="00746ACE">
        <w:rPr>
          <w:i/>
        </w:rPr>
        <w:t xml:space="preserve">en el amplio espectro de la responsabilidad </w:t>
      </w:r>
      <w:r w:rsidRPr="00746ACE">
        <w:t xml:space="preserve">existen sujetos que se encuentran en aquel punto intermedio. En la Senit 8, manifestó que la responsabilidad intermedia es un criterio destinado a conocer mejor el daño y a evaluar los aportes de cada compareciente en el sistema. Por último, en la Senit 9 se sostuvo que esta categoría es un criterio heurístico, como también lo manifestó el magistrado Arango Mejía en audiencia pública de 24 de octubre de 2024. </w:t>
      </w:r>
    </w:p>
    <w:p w14:paraId="544B90C4" w14:textId="77777777" w:rsidR="0043161D" w:rsidRPr="00746ACE" w:rsidRDefault="0043161D" w:rsidP="00CF1AD1">
      <w:pPr>
        <w:pStyle w:val="Prrafodelista"/>
        <w:widowControl w:val="0"/>
        <w:ind w:left="0"/>
      </w:pPr>
    </w:p>
    <w:p w14:paraId="71FD9E18" w14:textId="47F907FF" w:rsidR="0043161D" w:rsidRPr="00746ACE" w:rsidRDefault="0043161D" w:rsidP="000B69F5">
      <w:pPr>
        <w:pStyle w:val="Prrafodelista"/>
        <w:widowControl w:val="0"/>
        <w:rPr>
          <w:b/>
          <w:i/>
          <w:szCs w:val="24"/>
        </w:rPr>
      </w:pPr>
      <w:r w:rsidRPr="00746ACE">
        <w:rPr>
          <w:b/>
          <w:szCs w:val="24"/>
        </w:rPr>
        <w:t xml:space="preserve">Tabla </w:t>
      </w:r>
      <w:r w:rsidR="00AA74E9" w:rsidRPr="00746ACE">
        <w:rPr>
          <w:b/>
          <w:szCs w:val="24"/>
        </w:rPr>
        <w:t>5</w:t>
      </w:r>
      <w:r w:rsidRPr="00746ACE">
        <w:rPr>
          <w:b/>
          <w:szCs w:val="24"/>
        </w:rPr>
        <w:t>.</w:t>
      </w:r>
      <w:r w:rsidRPr="00746ACE">
        <w:rPr>
          <w:b/>
          <w:i/>
          <w:szCs w:val="24"/>
        </w:rPr>
        <w:t xml:space="preserve"> </w:t>
      </w:r>
      <w:r w:rsidRPr="00746ACE">
        <w:rPr>
          <w:i/>
          <w:szCs w:val="24"/>
        </w:rPr>
        <w:t>Justificación de la responsabilidad del punto medio (y cercana a la máxima en las Senit 5, 8 y 9</w:t>
      </w:r>
      <w:r w:rsidR="00D35C96" w:rsidRPr="00746ACE">
        <w:rPr>
          <w:i/>
          <w:szCs w:val="24"/>
        </w:rPr>
        <w:t>.</w:t>
      </w:r>
    </w:p>
    <w:p w14:paraId="195E58FB" w14:textId="77777777" w:rsidR="00D35C96" w:rsidRPr="00746ACE" w:rsidRDefault="00D35C96" w:rsidP="000B69F5">
      <w:pPr>
        <w:pStyle w:val="Prrafodelista"/>
        <w:widowControl w:val="0"/>
        <w:rPr>
          <w:b/>
          <w:i/>
          <w:szCs w:val="24"/>
        </w:rPr>
      </w:pPr>
    </w:p>
    <w:tbl>
      <w:tblPr>
        <w:tblStyle w:val="Tablaconcuadrcula"/>
        <w:tblW w:w="0" w:type="auto"/>
        <w:tblLook w:val="04A0" w:firstRow="1" w:lastRow="0" w:firstColumn="1" w:lastColumn="0" w:noHBand="0" w:noVBand="1"/>
      </w:tblPr>
      <w:tblGrid>
        <w:gridCol w:w="3004"/>
        <w:gridCol w:w="5780"/>
      </w:tblGrid>
      <w:tr w:rsidR="00B92597" w:rsidRPr="00746ACE" w14:paraId="29C75DDC" w14:textId="77777777" w:rsidTr="00C32A50">
        <w:trPr>
          <w:trHeight w:val="322"/>
        </w:trPr>
        <w:tc>
          <w:tcPr>
            <w:tcW w:w="3004" w:type="dxa"/>
            <w:vMerge w:val="restart"/>
            <w:shd w:val="clear" w:color="auto" w:fill="D5DCE4" w:themeFill="text2" w:themeFillTint="33"/>
            <w:vAlign w:val="center"/>
          </w:tcPr>
          <w:p w14:paraId="719ECB77" w14:textId="5F626BAC" w:rsidR="00D35C96" w:rsidRPr="00746ACE" w:rsidRDefault="00D35C96" w:rsidP="000B69F5">
            <w:pPr>
              <w:pStyle w:val="Prrafodelista"/>
              <w:widowControl w:val="0"/>
              <w:ind w:left="0"/>
              <w:rPr>
                <w:b/>
                <w:szCs w:val="24"/>
              </w:rPr>
            </w:pPr>
            <w:r w:rsidRPr="00746ACE">
              <w:rPr>
                <w:b/>
                <w:szCs w:val="24"/>
              </w:rPr>
              <w:t>Responsabilidad del punto medio y responsabilidad cercana a la máxima</w:t>
            </w:r>
          </w:p>
        </w:tc>
        <w:tc>
          <w:tcPr>
            <w:tcW w:w="5780" w:type="dxa"/>
          </w:tcPr>
          <w:p w14:paraId="3CFF50B1" w14:textId="5DC9908E" w:rsidR="00D35C96" w:rsidRPr="00746ACE" w:rsidRDefault="00D35C96" w:rsidP="00CF1AD1">
            <w:pPr>
              <w:pStyle w:val="Prrafodelista"/>
              <w:widowControl w:val="0"/>
              <w:ind w:left="0"/>
              <w:rPr>
                <w:szCs w:val="24"/>
              </w:rPr>
            </w:pPr>
            <w:r w:rsidRPr="00746ACE">
              <w:rPr>
                <w:szCs w:val="24"/>
              </w:rPr>
              <w:t>Senit 5: describe la situación de las personas que, en el amplio espectro de la responsabilidad, ocupan un lugar entre el máximo responsable y el partícipe no determinante (Fj. 140)</w:t>
            </w:r>
          </w:p>
        </w:tc>
      </w:tr>
      <w:tr w:rsidR="00B92597" w:rsidRPr="00746ACE" w14:paraId="6F9E1AD3" w14:textId="77777777" w:rsidTr="00C32A50">
        <w:trPr>
          <w:trHeight w:val="322"/>
        </w:trPr>
        <w:tc>
          <w:tcPr>
            <w:tcW w:w="3004" w:type="dxa"/>
            <w:vMerge/>
            <w:shd w:val="clear" w:color="auto" w:fill="D5DCE4" w:themeFill="text2" w:themeFillTint="33"/>
          </w:tcPr>
          <w:p w14:paraId="6E9DE1F4" w14:textId="77777777" w:rsidR="00D35C96" w:rsidRPr="00746ACE" w:rsidRDefault="00D35C96" w:rsidP="00FC0DFB">
            <w:pPr>
              <w:pStyle w:val="Prrafodelista"/>
              <w:widowControl w:val="0"/>
              <w:ind w:left="0"/>
              <w:rPr>
                <w:szCs w:val="24"/>
              </w:rPr>
            </w:pPr>
          </w:p>
        </w:tc>
        <w:tc>
          <w:tcPr>
            <w:tcW w:w="5780" w:type="dxa"/>
          </w:tcPr>
          <w:p w14:paraId="24F53FD2" w14:textId="20D28AFF" w:rsidR="00D35C96" w:rsidRPr="00746ACE" w:rsidRDefault="00D35C96" w:rsidP="00CF1AD1">
            <w:pPr>
              <w:pStyle w:val="Prrafodelista"/>
              <w:widowControl w:val="0"/>
              <w:ind w:left="0"/>
              <w:rPr>
                <w:szCs w:val="24"/>
              </w:rPr>
            </w:pPr>
            <w:r w:rsidRPr="00746ACE">
              <w:rPr>
                <w:szCs w:val="24"/>
              </w:rPr>
              <w:t>Senit 8: la responsabilidad del punto medio es, ante todo, un criterio para la evaluación del daño y el aporte de los comparecientes al sistema.</w:t>
            </w:r>
            <w:r w:rsidR="00742777" w:rsidRPr="00746ACE">
              <w:rPr>
                <w:szCs w:val="24"/>
              </w:rPr>
              <w:t xml:space="preserve"> </w:t>
            </w:r>
          </w:p>
        </w:tc>
      </w:tr>
      <w:tr w:rsidR="00B92597" w:rsidRPr="00746ACE" w14:paraId="6E59F5F1" w14:textId="77777777" w:rsidTr="00C32A50">
        <w:trPr>
          <w:trHeight w:val="322"/>
        </w:trPr>
        <w:tc>
          <w:tcPr>
            <w:tcW w:w="3004" w:type="dxa"/>
            <w:vMerge/>
            <w:shd w:val="clear" w:color="auto" w:fill="D5DCE4" w:themeFill="text2" w:themeFillTint="33"/>
          </w:tcPr>
          <w:p w14:paraId="1B629A1A" w14:textId="77777777" w:rsidR="00D35C96" w:rsidRPr="00746ACE" w:rsidRDefault="00D35C96" w:rsidP="00FC0DFB">
            <w:pPr>
              <w:pStyle w:val="Prrafodelista"/>
              <w:widowControl w:val="0"/>
              <w:ind w:left="0"/>
              <w:rPr>
                <w:szCs w:val="24"/>
              </w:rPr>
            </w:pPr>
          </w:p>
        </w:tc>
        <w:tc>
          <w:tcPr>
            <w:tcW w:w="5780" w:type="dxa"/>
          </w:tcPr>
          <w:p w14:paraId="5C59713C" w14:textId="3648C889" w:rsidR="00D35C96" w:rsidRPr="00746ACE" w:rsidRDefault="00D35C96" w:rsidP="00CF1AD1">
            <w:pPr>
              <w:pStyle w:val="Prrafodelista"/>
              <w:widowControl w:val="0"/>
              <w:ind w:left="0"/>
              <w:rPr>
                <w:szCs w:val="24"/>
              </w:rPr>
            </w:pPr>
            <w:r w:rsidRPr="00746ACE">
              <w:rPr>
                <w:szCs w:val="24"/>
              </w:rPr>
              <w:t>Senit 9: la responsabilidad cercana a la máxima (y la responsabilidad del punto medio) no son categoría ni normas jurídicas; son criterios heurísticos.</w:t>
            </w:r>
            <w:r w:rsidR="00742777" w:rsidRPr="00746ACE">
              <w:rPr>
                <w:szCs w:val="24"/>
              </w:rPr>
              <w:t xml:space="preserve"> </w:t>
            </w:r>
          </w:p>
        </w:tc>
      </w:tr>
    </w:tbl>
    <w:p w14:paraId="0C3D1504" w14:textId="77777777" w:rsidR="0043161D" w:rsidRPr="00746ACE" w:rsidRDefault="0043161D" w:rsidP="00CF1AD1">
      <w:pPr>
        <w:widowControl w:val="0"/>
      </w:pPr>
    </w:p>
    <w:p w14:paraId="1E5BF4AD" w14:textId="0A9D2ED7" w:rsidR="0043161D" w:rsidRPr="00746ACE" w:rsidRDefault="00D35C96" w:rsidP="00FC0DFB">
      <w:pPr>
        <w:pStyle w:val="Prrafodelista"/>
        <w:widowControl w:val="0"/>
        <w:numPr>
          <w:ilvl w:val="0"/>
          <w:numId w:val="7"/>
        </w:numPr>
      </w:pPr>
      <w:r w:rsidRPr="00746ACE">
        <w:t>En contraste, p</w:t>
      </w:r>
      <w:r w:rsidR="0043161D" w:rsidRPr="00746ACE">
        <w:t xml:space="preserve">ara los accionantes, la responsabilidad del punto medio desconoce el principio constitucional </w:t>
      </w:r>
      <w:r w:rsidR="00130D46" w:rsidRPr="00746ACE">
        <w:t xml:space="preserve">y transicional </w:t>
      </w:r>
      <w:r w:rsidR="0043161D" w:rsidRPr="00746ACE">
        <w:t>de selección, pues este solo distingue entre máximos responsables y partícipes no determinantes</w:t>
      </w:r>
      <w:r w:rsidRPr="00746ACE">
        <w:t xml:space="preserve">. Además, </w:t>
      </w:r>
      <w:r w:rsidR="0043161D" w:rsidRPr="00746ACE">
        <w:t xml:space="preserve">supone un ejercicio ilegítimo de creación de derecho en torno al concepto de responsabilidad, el cual debe ser claro para que los comparecientes tengan seguridad jurídica, las víctimas conozcan las rutas claras que ofrece el sistema y la sociedad pueda comprender el alcance de los procesos que adelanta la JEP. </w:t>
      </w:r>
    </w:p>
    <w:p w14:paraId="48C6497E" w14:textId="77777777" w:rsidR="0043161D" w:rsidRPr="00746ACE" w:rsidRDefault="0043161D" w:rsidP="00FC0DFB">
      <w:pPr>
        <w:pStyle w:val="Prrafodelista"/>
        <w:widowControl w:val="0"/>
        <w:ind w:left="0"/>
      </w:pPr>
    </w:p>
    <w:p w14:paraId="158ADAFD" w14:textId="0C7CC54B" w:rsidR="00D35C96" w:rsidRPr="00746ACE" w:rsidRDefault="0043161D" w:rsidP="00FC0DFB">
      <w:pPr>
        <w:pStyle w:val="Prrafodelista"/>
        <w:widowControl w:val="0"/>
        <w:numPr>
          <w:ilvl w:val="0"/>
          <w:numId w:val="7"/>
        </w:numPr>
      </w:pPr>
      <w:r w:rsidRPr="00746ACE">
        <w:t>Para la Sección de Apelación</w:t>
      </w:r>
      <w:r w:rsidR="00D35C96" w:rsidRPr="00746ACE">
        <w:t>,</w:t>
      </w:r>
      <w:r w:rsidRPr="00746ACE">
        <w:t xml:space="preserve"> este concepto no desconoce el principio de selección, sino que responde a la realidad que enfrenta la jurisdicción al conocer los macro casos y el conflicto armado interno. </w:t>
      </w:r>
      <w:r w:rsidR="00D35C96" w:rsidRPr="00746ACE">
        <w:t>Por lo tanto, n</w:t>
      </w:r>
      <w:r w:rsidRPr="00746ACE">
        <w:t xml:space="preserve">o va en contra del principio constitucional </w:t>
      </w:r>
      <w:r w:rsidR="00C03C1A" w:rsidRPr="00746ACE">
        <w:t xml:space="preserve">y transicional </w:t>
      </w:r>
      <w:r w:rsidRPr="00746ACE">
        <w:t xml:space="preserve">de selección, la ley estatutaria y la jurisprudencia, sino que lo desarrolla en el marco de casos concretos. </w:t>
      </w:r>
    </w:p>
    <w:p w14:paraId="0AFFE0C6" w14:textId="77777777" w:rsidR="00D35C96" w:rsidRPr="00746ACE" w:rsidRDefault="00D35C96" w:rsidP="00CF1AD1">
      <w:pPr>
        <w:pStyle w:val="Prrafodelista"/>
      </w:pPr>
    </w:p>
    <w:p w14:paraId="79FE4CE6" w14:textId="6AB78AE0" w:rsidR="0043161D" w:rsidRPr="00746ACE" w:rsidRDefault="00D35C96" w:rsidP="00FC0DFB">
      <w:pPr>
        <w:pStyle w:val="Prrafodelista"/>
        <w:widowControl w:val="0"/>
        <w:numPr>
          <w:ilvl w:val="0"/>
          <w:numId w:val="7"/>
        </w:numPr>
      </w:pPr>
      <w:r w:rsidRPr="00746ACE">
        <w:t xml:space="preserve">Por todo lo anterior, le corresponde </w:t>
      </w:r>
      <w:r w:rsidR="0043161D" w:rsidRPr="00746ACE">
        <w:t>a la Sala Plena determinar si la responsabilidad del punto medio (en sus distintas vertientes argumentativas) desconoce el principio de legalidad.</w:t>
      </w:r>
    </w:p>
    <w:p w14:paraId="2BD90380" w14:textId="77777777" w:rsidR="0043161D" w:rsidRPr="00746ACE" w:rsidRDefault="0043161D" w:rsidP="00FC0DFB">
      <w:pPr>
        <w:pStyle w:val="Prrafodelista"/>
        <w:widowControl w:val="0"/>
        <w:ind w:left="0"/>
      </w:pPr>
    </w:p>
    <w:p w14:paraId="05B22A97" w14:textId="1B736CAD" w:rsidR="00720FE7" w:rsidRPr="00746ACE" w:rsidRDefault="00720FE7" w:rsidP="00720FE7">
      <w:pPr>
        <w:pStyle w:val="Prrafodelista"/>
        <w:widowControl w:val="0"/>
        <w:numPr>
          <w:ilvl w:val="0"/>
          <w:numId w:val="7"/>
        </w:numPr>
      </w:pPr>
      <w:r w:rsidRPr="00746ACE">
        <w:t xml:space="preserve">Los intervinientes tienen posiciones diversas sobre este punto. </w:t>
      </w:r>
      <w:r w:rsidR="009749F4" w:rsidRPr="00746ACE">
        <w:t>P</w:t>
      </w:r>
      <w:r w:rsidRPr="00746ACE">
        <w:t xml:space="preserve">or ejemplo, algunos consideran que la responsabilidad es un asunto que admite diversas interpretaciones por parte de los jueces, mientras que otros coinciden con los demandantes en que el </w:t>
      </w:r>
      <w:r w:rsidRPr="00746ACE">
        <w:rPr>
          <w:i/>
          <w:iCs/>
        </w:rPr>
        <w:t>punto medio</w:t>
      </w:r>
      <w:r w:rsidRPr="00746ACE">
        <w:t xml:space="preserve"> no está previsto en el Acuerdo Final de la Paz ni en sus normas de implementación. Algunos más estiman que, si bien la categoría es plausible, debe ser definida con claridad. En esta línea, además, distintas organizaciones que representan víctimas sostuvieron que la categoría en sí misma puede ser funcional a los derechos de las víctimas, siempre que sean claras sus consecuencias.</w:t>
      </w:r>
      <w:r w:rsidR="00742777" w:rsidRPr="00746ACE">
        <w:t xml:space="preserve"> </w:t>
      </w:r>
    </w:p>
    <w:p w14:paraId="4DA577BF" w14:textId="77777777" w:rsidR="00B960D6" w:rsidRPr="00746ACE" w:rsidRDefault="00B960D6" w:rsidP="00CF1AD1">
      <w:pPr>
        <w:pStyle w:val="Prrafodelista"/>
        <w:widowControl w:val="0"/>
      </w:pPr>
    </w:p>
    <w:p w14:paraId="0F2C91EC" w14:textId="50B03F05" w:rsidR="00720FE7" w:rsidRPr="00746ACE" w:rsidRDefault="00720FE7" w:rsidP="00720FE7">
      <w:pPr>
        <w:pStyle w:val="Prrafodelista"/>
        <w:widowControl w:val="0"/>
        <w:numPr>
          <w:ilvl w:val="0"/>
          <w:numId w:val="7"/>
        </w:numPr>
      </w:pPr>
      <w:r w:rsidRPr="00746ACE">
        <w:t xml:space="preserve">Las organizaciones de víctimas también proyectaron miradas distintas sobre la </w:t>
      </w:r>
      <w:r w:rsidR="00E96829" w:rsidRPr="00746ACE">
        <w:t>“</w:t>
      </w:r>
      <w:r w:rsidRPr="00746ACE">
        <w:t>responsabilidad del punto medio</w:t>
      </w:r>
      <w:r w:rsidR="00E96829" w:rsidRPr="00746ACE">
        <w:t>”</w:t>
      </w:r>
      <w:r w:rsidRPr="00746ACE">
        <w:t xml:space="preserve">. Para empezar, las organizaciones reclamaron claridad acerca del alcance y consecuencias del uso de esta categoría. Sin embargo, consideraron plausible entender de manera más amplia los conceptos de participación y responsabilidad y, en especial, plantearon dudas acerca de: (i) si la selección de máximos responsables se hace de manera adecuada, o si la Jurisdicción está fallando al no incluir a partícipes que, sin tener un alto rango en la estructura armada, sí tuvieron un rol muy relevante en la comisión de los crímenes; (ii) si la JEP está analizando de manera adecuada el uso de los mecanismos de renuncia condicionada a la persecución penal, seguimiento al régimen de condicionalidad estricto e incidente de incumplimiento del citado régimen; y (iii) si la categoría podría contribuir de mejor manera a la reparación. </w:t>
      </w:r>
    </w:p>
    <w:p w14:paraId="57221B1D" w14:textId="77777777" w:rsidR="00B960D6" w:rsidRPr="00746ACE" w:rsidRDefault="00B960D6" w:rsidP="00CF1AD1">
      <w:pPr>
        <w:widowControl w:val="0"/>
      </w:pPr>
    </w:p>
    <w:p w14:paraId="5BEE117F" w14:textId="43877D37" w:rsidR="00B960D6" w:rsidRPr="00746ACE" w:rsidRDefault="00B960D6" w:rsidP="00FC0DFB">
      <w:pPr>
        <w:pStyle w:val="Prrafodelista"/>
        <w:widowControl w:val="0"/>
        <w:numPr>
          <w:ilvl w:val="0"/>
          <w:numId w:val="7"/>
        </w:numPr>
      </w:pPr>
      <w:r w:rsidRPr="00746ACE">
        <w:t xml:space="preserve">A continuación, </w:t>
      </w:r>
      <w:r w:rsidR="00867802" w:rsidRPr="00746ACE">
        <w:t>esta Corporación</w:t>
      </w:r>
      <w:r w:rsidRPr="00746ACE">
        <w:t xml:space="preserve"> recordará la manera en que la responsabilidad del punto medio ha sido comprendida en la sentencia demandada.</w:t>
      </w:r>
    </w:p>
    <w:p w14:paraId="14E987EC" w14:textId="77777777" w:rsidR="0043161D" w:rsidRPr="00746ACE" w:rsidRDefault="0043161D" w:rsidP="00FC0DFB">
      <w:pPr>
        <w:widowControl w:val="0"/>
        <w:rPr>
          <w:i/>
          <w:iCs/>
          <w:lang w:eastAsia="es-MX"/>
        </w:rPr>
      </w:pPr>
    </w:p>
    <w:p w14:paraId="5E103263" w14:textId="0EB7FD92" w:rsidR="0043161D" w:rsidRPr="00746ACE" w:rsidRDefault="0043161D" w:rsidP="000B69F5">
      <w:pPr>
        <w:pStyle w:val="Ttulo3"/>
        <w:keepNext w:val="0"/>
        <w:keepLines w:val="0"/>
        <w:widowControl w:val="0"/>
        <w:jc w:val="both"/>
        <w:rPr>
          <w:rFonts w:cs="Times New Roman"/>
          <w:color w:val="auto"/>
          <w:sz w:val="28"/>
          <w:szCs w:val="28"/>
          <w:lang w:val="es-ES" w:eastAsia="es-MX"/>
        </w:rPr>
      </w:pPr>
      <w:bookmarkStart w:id="49" w:name="_Toc233384199"/>
      <w:r w:rsidRPr="00746ACE">
        <w:rPr>
          <w:rFonts w:cs="Times New Roman"/>
          <w:color w:val="auto"/>
          <w:sz w:val="28"/>
          <w:szCs w:val="28"/>
          <w:lang w:val="es-ES" w:eastAsia="es-MX"/>
        </w:rPr>
        <w:t>La responsabilidad del punto medio en la Senit 5</w:t>
      </w:r>
      <w:bookmarkEnd w:id="49"/>
    </w:p>
    <w:p w14:paraId="2E69EF03" w14:textId="77777777" w:rsidR="004E60B3" w:rsidRPr="00746ACE" w:rsidRDefault="004E60B3" w:rsidP="00FC0DFB">
      <w:pPr>
        <w:widowControl w:val="0"/>
        <w:rPr>
          <w:rStyle w:val="nfasis"/>
          <w:lang w:eastAsia="es-MX"/>
        </w:rPr>
      </w:pPr>
    </w:p>
    <w:p w14:paraId="310300E9" w14:textId="77777777" w:rsidR="0017489D" w:rsidRPr="00746ACE" w:rsidRDefault="00EE672C" w:rsidP="00FC0DFB">
      <w:pPr>
        <w:pStyle w:val="Prrafodelista"/>
        <w:widowControl w:val="0"/>
        <w:numPr>
          <w:ilvl w:val="0"/>
          <w:numId w:val="7"/>
        </w:numPr>
      </w:pPr>
      <w:r w:rsidRPr="00746ACE">
        <w:rPr>
          <w:lang w:eastAsia="es-MX"/>
        </w:rPr>
        <w:t>El fundamento jurídico 140 de la Senit 5, uno de los cuestionados en este caso, habla sobre la existencia de personas ubicadas en un punto medio de responsabilidad, en los siguientes términos:</w:t>
      </w:r>
    </w:p>
    <w:p w14:paraId="5B46B4AC" w14:textId="77777777" w:rsidR="0017489D" w:rsidRPr="00746ACE" w:rsidRDefault="0017489D" w:rsidP="00FC0DFB">
      <w:pPr>
        <w:pStyle w:val="Prrafodelista"/>
        <w:widowControl w:val="0"/>
        <w:ind w:left="0"/>
      </w:pPr>
    </w:p>
    <w:p w14:paraId="428E1602" w14:textId="2B7109DD" w:rsidR="0017489D" w:rsidRPr="00746ACE" w:rsidRDefault="00442987" w:rsidP="00FC0DFB">
      <w:pPr>
        <w:widowControl w:val="0"/>
        <w:shd w:val="clear" w:color="auto" w:fill="FFFFFF" w:themeFill="background1"/>
        <w:ind w:left="567" w:right="567"/>
        <w:textAlignment w:val="baseline"/>
        <w:rPr>
          <w:szCs w:val="24"/>
          <w:lang w:eastAsia="es-MX"/>
        </w:rPr>
      </w:pPr>
      <w:r w:rsidRPr="00746ACE">
        <w:rPr>
          <w:szCs w:val="24"/>
        </w:rPr>
        <w:t>“</w:t>
      </w:r>
      <w:r w:rsidR="0017489D" w:rsidRPr="00746ACE">
        <w:rPr>
          <w:szCs w:val="24"/>
        </w:rPr>
        <w:t>140. El interés general en el descubrimiento de los patrones macro criminales es lo que justifica la potestad excepcional de la SDSJ de seleccionar, en segundo orden, a partícipes no determinantes. Dentro del amplio espectro de la responsabilidad, algunas personas se ubican en un punto medio, entre la máxima responsabilidad y la participación no determinante. Por ello, su procesamiento mediante el trámite adversarial puede resultar pertinente para los fines de la transición</w:t>
      </w:r>
      <w:r w:rsidRPr="00746ACE">
        <w:rPr>
          <w:szCs w:val="24"/>
        </w:rPr>
        <w:t>”</w:t>
      </w:r>
      <w:r w:rsidR="0017489D" w:rsidRPr="00746ACE">
        <w:rPr>
          <w:szCs w:val="24"/>
        </w:rPr>
        <w:t xml:space="preserve"> </w:t>
      </w:r>
      <w:r w:rsidR="0017489D" w:rsidRPr="00746ACE">
        <w:rPr>
          <w:szCs w:val="24"/>
          <w:lang w:eastAsia="es-MX"/>
        </w:rPr>
        <w:t>(Senit 5, Sección de Apelación, Tribunal para la Paz).</w:t>
      </w:r>
    </w:p>
    <w:p w14:paraId="5FEF174D" w14:textId="77777777" w:rsidR="0017489D" w:rsidRPr="00746ACE" w:rsidRDefault="0017489D" w:rsidP="00FC0DFB">
      <w:pPr>
        <w:pStyle w:val="Prrafodelista"/>
        <w:widowControl w:val="0"/>
        <w:ind w:left="0"/>
      </w:pPr>
    </w:p>
    <w:p w14:paraId="725DD73C" w14:textId="18B9DE04" w:rsidR="0017489D" w:rsidRPr="00746ACE" w:rsidRDefault="00B960D6" w:rsidP="00FC0DFB">
      <w:pPr>
        <w:pStyle w:val="Prrafodelista"/>
        <w:widowControl w:val="0"/>
        <w:numPr>
          <w:ilvl w:val="0"/>
          <w:numId w:val="7"/>
        </w:numPr>
      </w:pPr>
      <w:r w:rsidRPr="00746ACE">
        <w:rPr>
          <w:lang w:eastAsia="es-MX"/>
        </w:rPr>
        <w:t>L</w:t>
      </w:r>
      <w:r w:rsidR="00EE672C" w:rsidRPr="00746ACE">
        <w:rPr>
          <w:lang w:eastAsia="es-MX"/>
        </w:rPr>
        <w:t xml:space="preserve">a Senit 5 fue dictada a </w:t>
      </w:r>
      <w:r w:rsidRPr="00746ACE">
        <w:rPr>
          <w:lang w:eastAsia="es-MX"/>
        </w:rPr>
        <w:t xml:space="preserve">raíz </w:t>
      </w:r>
      <w:r w:rsidR="00EE672C" w:rsidRPr="00746ACE">
        <w:rPr>
          <w:lang w:eastAsia="es-MX"/>
        </w:rPr>
        <w:t>de un recurso de apelación presentado por la Procuraduría General de la Nación, en el que cuestionaba a la Sala de Reconocimiento de Verdad y Responsabilidad por no haber seleccionado (positivamente) a algunos partícipes no determinantes con miras a la imposición de sanciones inferiores a cinco años, es decir, del artículo 129 de la Ley 1957 de 2019, estatutaria de administración de justicia en la JEP.</w:t>
      </w:r>
    </w:p>
    <w:p w14:paraId="15171914" w14:textId="77777777" w:rsidR="0017489D" w:rsidRPr="00746ACE" w:rsidRDefault="0017489D" w:rsidP="00FC0DFB">
      <w:pPr>
        <w:pStyle w:val="Prrafodelista"/>
        <w:widowControl w:val="0"/>
        <w:ind w:left="0"/>
      </w:pPr>
    </w:p>
    <w:p w14:paraId="3229C68B" w14:textId="1CC17CC4" w:rsidR="0017489D" w:rsidRPr="00746ACE" w:rsidRDefault="00EE672C" w:rsidP="00FC0DFB">
      <w:pPr>
        <w:pStyle w:val="Prrafodelista"/>
        <w:widowControl w:val="0"/>
        <w:numPr>
          <w:ilvl w:val="0"/>
          <w:numId w:val="7"/>
        </w:numPr>
      </w:pPr>
      <w:r w:rsidRPr="00746ACE">
        <w:rPr>
          <w:lang w:eastAsia="es-MX"/>
        </w:rPr>
        <w:t xml:space="preserve">La Sección de Apelación no accedió al recurso pues, en su criterio, la aplicación del citado artículo es de ejercicio potestativo de la Sala de Reconocimiento de Verdad y Responsabilidad, como lo señala su contenido literal. </w:t>
      </w:r>
      <w:r w:rsidR="00060DCF" w:rsidRPr="00746ACE">
        <w:rPr>
          <w:lang w:eastAsia="es-MX"/>
        </w:rPr>
        <w:t>Además, añadió que la Sala citada</w:t>
      </w:r>
      <w:r w:rsidRPr="00746ACE">
        <w:rPr>
          <w:lang w:eastAsia="es-MX"/>
        </w:rPr>
        <w:t xml:space="preserve"> no está obligada a exponer una motivación muy profunda sobre la </w:t>
      </w:r>
      <w:r w:rsidRPr="00746ACE">
        <w:rPr>
          <w:i/>
          <w:lang w:eastAsia="es-MX"/>
        </w:rPr>
        <w:t>selección global negativa</w:t>
      </w:r>
      <w:r w:rsidRPr="00746ACE">
        <w:rPr>
          <w:lang w:eastAsia="es-MX"/>
        </w:rPr>
        <w:t xml:space="preserve">, es decir, la remisión de partícipes no determinantes a la Sala de </w:t>
      </w:r>
      <w:r w:rsidR="00867802" w:rsidRPr="00746ACE">
        <w:rPr>
          <w:lang w:eastAsia="es-MX"/>
        </w:rPr>
        <w:t xml:space="preserve">Definición </w:t>
      </w:r>
      <w:r w:rsidRPr="00746ACE">
        <w:rPr>
          <w:lang w:eastAsia="es-MX"/>
        </w:rPr>
        <w:t xml:space="preserve">de </w:t>
      </w:r>
      <w:r w:rsidR="00867802" w:rsidRPr="00746ACE">
        <w:rPr>
          <w:lang w:eastAsia="es-MX"/>
        </w:rPr>
        <w:t>Situaciones Jurídicas</w:t>
      </w:r>
      <w:r w:rsidRPr="00746ACE">
        <w:rPr>
          <w:lang w:eastAsia="es-MX"/>
        </w:rPr>
        <w:t>.</w:t>
      </w:r>
    </w:p>
    <w:p w14:paraId="07B297C5" w14:textId="77777777" w:rsidR="0017489D" w:rsidRPr="00746ACE" w:rsidRDefault="0017489D" w:rsidP="00FC0DFB">
      <w:pPr>
        <w:pStyle w:val="Prrafodelista"/>
        <w:widowControl w:val="0"/>
        <w:rPr>
          <w:lang w:eastAsia="es-MX"/>
        </w:rPr>
      </w:pPr>
    </w:p>
    <w:p w14:paraId="59D127DD" w14:textId="77777777" w:rsidR="00720FE7" w:rsidRPr="00746ACE" w:rsidRDefault="00720FE7" w:rsidP="00720FE7">
      <w:pPr>
        <w:pStyle w:val="Prrafodelista"/>
        <w:widowControl w:val="0"/>
        <w:numPr>
          <w:ilvl w:val="0"/>
          <w:numId w:val="7"/>
        </w:numPr>
        <w:rPr>
          <w:lang w:eastAsia="es-MX"/>
        </w:rPr>
      </w:pPr>
      <w:r w:rsidRPr="00746ACE">
        <w:rPr>
          <w:lang w:eastAsia="es-MX"/>
        </w:rPr>
        <w:t xml:space="preserve">Sin embargo, como puede verse en el párrafo 140 de la decisión, la Sección de Apelación inició un ejercicio hermenéutico adicional. En efecto, la sección señaló que existen personas que se ubican en un punto medio dentro del amplio espectro de la responsabilidad y que, por esta razón, no solo la Sala de Reconocimiento de Verdad y Responsabilidad, sino también la Sala de Definición de Situaciones Jurídicas, pueden aplicar el artículo 129 de la Ley Estatutaria de Administración de Justicia en la JEP. Esta disposición permite la selección de partícipes no determinantes para efectos de la imposición de sanciones entre dos y cinco años. </w:t>
      </w:r>
    </w:p>
    <w:p w14:paraId="49DF8F11" w14:textId="77777777" w:rsidR="0043161D" w:rsidRPr="00746ACE" w:rsidRDefault="0043161D" w:rsidP="00CF1AD1">
      <w:pPr>
        <w:pStyle w:val="Prrafodelista"/>
        <w:widowControl w:val="0"/>
        <w:rPr>
          <w:lang w:eastAsia="es-MX"/>
        </w:rPr>
      </w:pPr>
    </w:p>
    <w:p w14:paraId="20805CEA" w14:textId="121EDB1E" w:rsidR="00060DCF" w:rsidRPr="00746ACE" w:rsidRDefault="00867802" w:rsidP="00CF1AD1">
      <w:pPr>
        <w:pStyle w:val="Prrafodelista"/>
        <w:widowControl w:val="0"/>
        <w:numPr>
          <w:ilvl w:val="0"/>
          <w:numId w:val="7"/>
        </w:numPr>
      </w:pPr>
      <w:r w:rsidRPr="00746ACE">
        <w:rPr>
          <w:lang w:eastAsia="es-MX"/>
        </w:rPr>
        <w:t xml:space="preserve">Además, la </w:t>
      </w:r>
      <w:r w:rsidR="0043161D" w:rsidRPr="00746ACE">
        <w:rPr>
          <w:lang w:eastAsia="es-MX"/>
        </w:rPr>
        <w:t>Senit 5 fue más allá, y planteó</w:t>
      </w:r>
      <w:r w:rsidR="00374B45" w:rsidRPr="00746ACE">
        <w:rPr>
          <w:lang w:eastAsia="es-MX"/>
        </w:rPr>
        <w:t xml:space="preserve"> que estos sujetos podrían recibir también sanciones ordinarias, la</w:t>
      </w:r>
      <w:r w:rsidRPr="00746ACE">
        <w:rPr>
          <w:lang w:eastAsia="es-MX"/>
        </w:rPr>
        <w:t>s</w:t>
      </w:r>
      <w:r w:rsidR="00374B45" w:rsidRPr="00746ACE">
        <w:rPr>
          <w:lang w:eastAsia="es-MX"/>
        </w:rPr>
        <w:t xml:space="preserve"> cuales tienen una duración de 15 a 20 años, con pena privativa de la libertad</w:t>
      </w:r>
      <w:r w:rsidR="00B960D6" w:rsidRPr="00746ACE">
        <w:rPr>
          <w:lang w:eastAsia="es-MX"/>
        </w:rPr>
        <w:t>, aspecto que se estudiará en el quinto cargo.</w:t>
      </w:r>
    </w:p>
    <w:p w14:paraId="77793966" w14:textId="77777777" w:rsidR="00060DCF" w:rsidRPr="00746ACE" w:rsidRDefault="00060DCF" w:rsidP="00CF1AD1">
      <w:pPr>
        <w:pStyle w:val="Prrafodelista"/>
        <w:widowControl w:val="0"/>
        <w:rPr>
          <w:lang w:eastAsia="es-MX"/>
        </w:rPr>
      </w:pPr>
    </w:p>
    <w:p w14:paraId="243FFC1C" w14:textId="14F5757D" w:rsidR="0060599E" w:rsidRPr="00746ACE" w:rsidRDefault="00007180" w:rsidP="009F2FE8">
      <w:pPr>
        <w:pStyle w:val="Prrafodelista"/>
        <w:widowControl w:val="0"/>
        <w:numPr>
          <w:ilvl w:val="0"/>
          <w:numId w:val="7"/>
        </w:numPr>
      </w:pPr>
      <w:r w:rsidRPr="00746ACE">
        <w:rPr>
          <w:lang w:eastAsia="es-MX"/>
        </w:rPr>
        <w:t>Por su parte, l</w:t>
      </w:r>
      <w:r w:rsidR="00060DCF" w:rsidRPr="00746ACE">
        <w:rPr>
          <w:lang w:eastAsia="es-MX"/>
        </w:rPr>
        <w:t>a Senit 8</w:t>
      </w:r>
      <w:r w:rsidR="00E546E4" w:rsidRPr="00746ACE">
        <w:rPr>
          <w:lang w:eastAsia="es-MX"/>
        </w:rPr>
        <w:t>, no h</w:t>
      </w:r>
      <w:r w:rsidR="00F12F1B" w:rsidRPr="00746ACE">
        <w:rPr>
          <w:lang w:eastAsia="es-MX"/>
        </w:rPr>
        <w:t>izo</w:t>
      </w:r>
      <w:r w:rsidR="00E546E4" w:rsidRPr="00746ACE">
        <w:rPr>
          <w:lang w:eastAsia="es-MX"/>
        </w:rPr>
        <w:t xml:space="preserve"> mención explícita al concepto de responsabilidad del punto medio, pero mant</w:t>
      </w:r>
      <w:r w:rsidR="00F12F1B" w:rsidRPr="00746ACE">
        <w:rPr>
          <w:lang w:eastAsia="es-MX"/>
        </w:rPr>
        <w:t>uvo</w:t>
      </w:r>
      <w:r w:rsidR="00E546E4" w:rsidRPr="00746ACE">
        <w:rPr>
          <w:lang w:eastAsia="es-MX"/>
        </w:rPr>
        <w:t xml:space="preserve"> las rutas para partícipes no determinantes de la Senit 5, </w:t>
      </w:r>
      <w:r w:rsidR="00DD4E06" w:rsidRPr="00746ACE">
        <w:rPr>
          <w:lang w:eastAsia="es-MX"/>
        </w:rPr>
        <w:t xml:space="preserve">una </w:t>
      </w:r>
      <w:r w:rsidR="00E546E4" w:rsidRPr="00746ACE">
        <w:rPr>
          <w:lang w:eastAsia="es-MX"/>
        </w:rPr>
        <w:t>de las cuales, como se ha explicado, conduce a la selección de segundo orden.</w:t>
      </w:r>
      <w:r w:rsidR="00060DCF" w:rsidRPr="00746ACE">
        <w:rPr>
          <w:lang w:eastAsia="es-MX"/>
        </w:rPr>
        <w:t xml:space="preserve"> Esta sentencia se dictó en el marco de tres recursos de apelación independientes, dirigidos en contra de la decisión de la Sala de </w:t>
      </w:r>
      <w:r w:rsidRPr="00746ACE">
        <w:rPr>
          <w:lang w:eastAsia="es-MX"/>
        </w:rPr>
        <w:t xml:space="preserve">Definición </w:t>
      </w:r>
      <w:r w:rsidR="00060DCF" w:rsidRPr="00746ACE">
        <w:rPr>
          <w:lang w:eastAsia="es-MX"/>
        </w:rPr>
        <w:t xml:space="preserve">de </w:t>
      </w:r>
      <w:r w:rsidRPr="00746ACE">
        <w:rPr>
          <w:lang w:eastAsia="es-MX"/>
        </w:rPr>
        <w:t xml:space="preserve">Situaciones Jurídicas </w:t>
      </w:r>
      <w:r w:rsidR="00060DCF" w:rsidRPr="00746ACE">
        <w:rPr>
          <w:lang w:eastAsia="es-MX"/>
        </w:rPr>
        <w:t xml:space="preserve">de integrar comparecientes a </w:t>
      </w:r>
      <w:r w:rsidR="0060599E" w:rsidRPr="00746ACE">
        <w:rPr>
          <w:i/>
          <w:lang w:eastAsia="es-MX"/>
        </w:rPr>
        <w:t xml:space="preserve">TOAR </w:t>
      </w:r>
      <w:r w:rsidR="00060DCF" w:rsidRPr="00746ACE">
        <w:rPr>
          <w:i/>
          <w:lang w:eastAsia="es-MX"/>
        </w:rPr>
        <w:t>exploratorios</w:t>
      </w:r>
      <w:r w:rsidR="0060599E" w:rsidRPr="00746ACE">
        <w:rPr>
          <w:rStyle w:val="Refdenotaalpie"/>
          <w:i/>
          <w:lang w:eastAsia="es-MX"/>
        </w:rPr>
        <w:footnoteReference w:id="121"/>
      </w:r>
      <w:r w:rsidR="00060DCF" w:rsidRPr="00746ACE">
        <w:rPr>
          <w:i/>
          <w:lang w:eastAsia="es-MX"/>
        </w:rPr>
        <w:t>.</w:t>
      </w:r>
    </w:p>
    <w:p w14:paraId="4C5F500C" w14:textId="5C758A1A" w:rsidR="00E546E4" w:rsidRPr="00746ACE" w:rsidRDefault="00060DCF" w:rsidP="0060599E">
      <w:pPr>
        <w:pStyle w:val="Prrafodelista"/>
        <w:widowControl w:val="0"/>
        <w:ind w:left="0"/>
      </w:pPr>
      <w:r w:rsidRPr="00746ACE">
        <w:rPr>
          <w:i/>
          <w:lang w:eastAsia="es-MX"/>
        </w:rPr>
        <w:t xml:space="preserve"> </w:t>
      </w:r>
    </w:p>
    <w:p w14:paraId="733D2718" w14:textId="5370639C" w:rsidR="00720FE7" w:rsidRPr="00746ACE" w:rsidRDefault="00720FE7" w:rsidP="00720FE7">
      <w:pPr>
        <w:pStyle w:val="Prrafodelista"/>
        <w:widowControl w:val="0"/>
        <w:numPr>
          <w:ilvl w:val="0"/>
          <w:numId w:val="7"/>
        </w:numPr>
      </w:pPr>
      <w:r w:rsidRPr="00746ACE">
        <w:t xml:space="preserve">La Sala de Definición de Situaciones Jurídicas adoptó las decisiones objeto de apelación en el proceso que dio lugar a la Senit 8, con base en un nuevo concepto, el </w:t>
      </w:r>
      <w:r w:rsidRPr="00746ACE">
        <w:rPr>
          <w:i/>
        </w:rPr>
        <w:t>ámbito de movilidad</w:t>
      </w:r>
      <w:r w:rsidRPr="00746ACE">
        <w:t xml:space="preserve">, acuñado para estudiar la responsabilidad máxima, media y menor, en función de elementos como: (i) la gravedad de las conductas cometidas, (ii) el nivel de participación o rol desempeñado en cada una de las conductas, (iii) el número de hechos o conductas atribuidas a cada compareciente, (iv) </w:t>
      </w:r>
      <w:r w:rsidR="004672A2" w:rsidRPr="00746ACE">
        <w:t xml:space="preserve">el </w:t>
      </w:r>
      <w:r w:rsidRPr="00746ACE">
        <w:t xml:space="preserve">número de unidades militares diferentes en las cuales el compareciente perpetró actos criminales, (v) sus características individuales, (vi) </w:t>
      </w:r>
      <w:r w:rsidR="004672A2" w:rsidRPr="00746ACE">
        <w:t xml:space="preserve">el </w:t>
      </w:r>
      <w:r w:rsidRPr="00746ACE">
        <w:t xml:space="preserve">número y </w:t>
      </w:r>
      <w:r w:rsidR="004672A2" w:rsidRPr="00746ACE">
        <w:t xml:space="preserve">las </w:t>
      </w:r>
      <w:r w:rsidRPr="00746ACE">
        <w:t xml:space="preserve">características específicas de las víctimas de los delitos atribuidos y (vii) </w:t>
      </w:r>
      <w:r w:rsidR="004672A2" w:rsidRPr="00746ACE">
        <w:t xml:space="preserve">la </w:t>
      </w:r>
      <w:r w:rsidRPr="00746ACE">
        <w:t>situación jurídica en la Justicia penal ordinaria y la disponibilidad probatoria.</w:t>
      </w:r>
    </w:p>
    <w:p w14:paraId="5DA88C97" w14:textId="77777777" w:rsidR="00E546E4" w:rsidRPr="00746ACE" w:rsidRDefault="00E546E4" w:rsidP="00E546E4">
      <w:pPr>
        <w:pStyle w:val="Prrafodelista"/>
        <w:rPr>
          <w:lang w:eastAsia="es-MX"/>
        </w:rPr>
      </w:pPr>
    </w:p>
    <w:p w14:paraId="41016890" w14:textId="417FF9BE" w:rsidR="00E546E4" w:rsidRPr="00746ACE" w:rsidRDefault="00060DCF" w:rsidP="00CF1AD1">
      <w:pPr>
        <w:pStyle w:val="Prrafodelista"/>
        <w:widowControl w:val="0"/>
        <w:numPr>
          <w:ilvl w:val="0"/>
          <w:numId w:val="7"/>
        </w:numPr>
      </w:pPr>
      <w:r w:rsidRPr="00746ACE">
        <w:rPr>
          <w:lang w:eastAsia="es-MX"/>
        </w:rPr>
        <w:t xml:space="preserve">La Senit 8 planteó que </w:t>
      </w:r>
      <w:r w:rsidR="00EE672C" w:rsidRPr="00746ACE">
        <w:rPr>
          <w:lang w:eastAsia="es-MX"/>
        </w:rPr>
        <w:t xml:space="preserve">el </w:t>
      </w:r>
      <w:r w:rsidR="00DD4E06" w:rsidRPr="00746ACE">
        <w:rPr>
          <w:lang w:eastAsia="es-MX"/>
        </w:rPr>
        <w:t>“</w:t>
      </w:r>
      <w:r w:rsidR="00EE672C" w:rsidRPr="00746ACE">
        <w:rPr>
          <w:i/>
          <w:lang w:eastAsia="es-MX"/>
        </w:rPr>
        <w:t>ámbito de movilidad</w:t>
      </w:r>
      <w:r w:rsidR="00DD4E06" w:rsidRPr="00746ACE">
        <w:rPr>
          <w:i/>
          <w:lang w:eastAsia="es-MX"/>
        </w:rPr>
        <w:t xml:space="preserve">” </w:t>
      </w:r>
      <w:r w:rsidR="00DD4E06" w:rsidRPr="00746ACE">
        <w:rPr>
          <w:iCs/>
          <w:lang w:eastAsia="es-MX"/>
        </w:rPr>
        <w:t>creado por la Sala de definición de situaciones jurídicas</w:t>
      </w:r>
      <w:r w:rsidR="00EE672C" w:rsidRPr="00746ACE">
        <w:rPr>
          <w:lang w:eastAsia="es-MX"/>
        </w:rPr>
        <w:t xml:space="preserve"> </w:t>
      </w:r>
      <w:r w:rsidRPr="00746ACE">
        <w:rPr>
          <w:lang w:eastAsia="es-MX"/>
        </w:rPr>
        <w:t>refleja</w:t>
      </w:r>
      <w:r w:rsidR="00DD4E06" w:rsidRPr="00746ACE">
        <w:rPr>
          <w:lang w:eastAsia="es-MX"/>
        </w:rPr>
        <w:t>ba</w:t>
      </w:r>
      <w:r w:rsidRPr="00746ACE">
        <w:rPr>
          <w:lang w:eastAsia="es-MX"/>
        </w:rPr>
        <w:t xml:space="preserve"> un enfoque equivocado y una mala interpretación de la Senit 5.</w:t>
      </w:r>
      <w:r w:rsidR="00EE672C" w:rsidRPr="00746ACE">
        <w:rPr>
          <w:lang w:eastAsia="es-MX"/>
        </w:rPr>
        <w:t xml:space="preserve"> En especial, </w:t>
      </w:r>
      <w:r w:rsidR="001E6B7D" w:rsidRPr="00746ACE">
        <w:rPr>
          <w:lang w:eastAsia="es-MX"/>
        </w:rPr>
        <w:t>cuestionó</w:t>
      </w:r>
      <w:r w:rsidR="00EE672C" w:rsidRPr="00746ACE">
        <w:rPr>
          <w:lang w:eastAsia="es-MX"/>
        </w:rPr>
        <w:t xml:space="preserve"> la graduación de tres categorías de responsabilidad en función de elementos propios del derecho penal.</w:t>
      </w:r>
      <w:r w:rsidR="00742777" w:rsidRPr="00746ACE">
        <w:rPr>
          <w:lang w:eastAsia="es-MX"/>
        </w:rPr>
        <w:t xml:space="preserve"> </w:t>
      </w:r>
      <w:r w:rsidR="00EE672C" w:rsidRPr="00746ACE">
        <w:rPr>
          <w:lang w:eastAsia="es-MX"/>
        </w:rPr>
        <w:t xml:space="preserve">Consecuente con esta crítica al </w:t>
      </w:r>
      <w:r w:rsidR="00EE672C" w:rsidRPr="00746ACE">
        <w:rPr>
          <w:i/>
          <w:lang w:eastAsia="es-MX"/>
        </w:rPr>
        <w:t xml:space="preserve">ámbito de movilidad, </w:t>
      </w:r>
      <w:r w:rsidR="00EE672C" w:rsidRPr="00746ACE">
        <w:rPr>
          <w:lang w:eastAsia="es-MX"/>
        </w:rPr>
        <w:t xml:space="preserve">la Sección de Apelación </w:t>
      </w:r>
      <w:r w:rsidR="00E546E4" w:rsidRPr="00746ACE">
        <w:rPr>
          <w:lang w:eastAsia="es-MX"/>
        </w:rPr>
        <w:t xml:space="preserve">dijo que el concepto </w:t>
      </w:r>
      <w:r w:rsidR="00EE672C" w:rsidRPr="00746ACE">
        <w:rPr>
          <w:lang w:eastAsia="es-MX"/>
        </w:rPr>
        <w:t>de</w:t>
      </w:r>
      <w:r w:rsidR="00E546E4" w:rsidRPr="00746ACE">
        <w:rPr>
          <w:lang w:eastAsia="es-MX"/>
        </w:rPr>
        <w:t xml:space="preserve"> </w:t>
      </w:r>
      <w:r w:rsidR="00EE672C" w:rsidRPr="00746ACE">
        <w:rPr>
          <w:i/>
          <w:lang w:eastAsia="es-MX"/>
        </w:rPr>
        <w:t xml:space="preserve">responsabilidad </w:t>
      </w:r>
      <w:r w:rsidR="00E546E4" w:rsidRPr="00746ACE">
        <w:rPr>
          <w:iCs/>
          <w:lang w:eastAsia="es-MX"/>
        </w:rPr>
        <w:t xml:space="preserve">definido en la Senit 5 debe comprenderse </w:t>
      </w:r>
      <w:r w:rsidR="00EE672C" w:rsidRPr="00746ACE">
        <w:rPr>
          <w:lang w:eastAsia="es-MX"/>
        </w:rPr>
        <w:t xml:space="preserve">como una manera de evaluar </w:t>
      </w:r>
      <w:r w:rsidR="00EE672C" w:rsidRPr="00746ACE">
        <w:rPr>
          <w:i/>
          <w:lang w:eastAsia="es-MX"/>
        </w:rPr>
        <w:t xml:space="preserve">el daño </w:t>
      </w:r>
      <w:r w:rsidR="00EE672C" w:rsidRPr="00746ACE">
        <w:rPr>
          <w:lang w:eastAsia="es-MX"/>
        </w:rPr>
        <w:t xml:space="preserve">y </w:t>
      </w:r>
      <w:r w:rsidR="00EE672C" w:rsidRPr="00746ACE">
        <w:rPr>
          <w:i/>
          <w:lang w:eastAsia="es-MX"/>
        </w:rPr>
        <w:t xml:space="preserve">los aportes al sistema. </w:t>
      </w:r>
    </w:p>
    <w:p w14:paraId="6E154103" w14:textId="77777777" w:rsidR="00E546E4" w:rsidRPr="00746ACE" w:rsidRDefault="00E546E4" w:rsidP="00E546E4">
      <w:pPr>
        <w:pStyle w:val="Prrafodelista"/>
        <w:rPr>
          <w:lang w:eastAsia="es-MX"/>
        </w:rPr>
      </w:pPr>
    </w:p>
    <w:p w14:paraId="0B289A51" w14:textId="44AD9E3C" w:rsidR="0043161D" w:rsidRPr="00746ACE" w:rsidRDefault="0043161D" w:rsidP="00CF1AD1">
      <w:pPr>
        <w:pStyle w:val="Prrafodelista"/>
        <w:widowControl w:val="0"/>
        <w:numPr>
          <w:ilvl w:val="0"/>
          <w:numId w:val="7"/>
        </w:numPr>
      </w:pPr>
      <w:r w:rsidRPr="00746ACE">
        <w:rPr>
          <w:lang w:eastAsia="es-MX"/>
        </w:rPr>
        <w:t xml:space="preserve">En esta consideración </w:t>
      </w:r>
      <w:r w:rsidR="00DD4E06" w:rsidRPr="00746ACE">
        <w:rPr>
          <w:lang w:eastAsia="es-MX"/>
        </w:rPr>
        <w:t xml:space="preserve">se percibe </w:t>
      </w:r>
      <w:r w:rsidR="00092A12" w:rsidRPr="00746ACE">
        <w:rPr>
          <w:lang w:eastAsia="es-MX"/>
        </w:rPr>
        <w:t xml:space="preserve">un avance jurisprudencial </w:t>
      </w:r>
      <w:r w:rsidRPr="00746ACE">
        <w:rPr>
          <w:lang w:eastAsia="es-MX"/>
        </w:rPr>
        <w:t>de especial interés para el caso concreto. Se trata del paso, en el plano de las razones subyacentes, de la responsabilidad como condición y presupuesto de la sanción a la responsabilidad como mecanismo para la comprensión del daño y los aportes al sistema. Y este movimiento argumentativo es trascendental porque supone</w:t>
      </w:r>
      <w:r w:rsidR="00DD4E06" w:rsidRPr="00746ACE">
        <w:rPr>
          <w:lang w:eastAsia="es-MX"/>
        </w:rPr>
        <w:t xml:space="preserve"> también </w:t>
      </w:r>
      <w:r w:rsidRPr="00746ACE">
        <w:rPr>
          <w:lang w:eastAsia="es-MX"/>
        </w:rPr>
        <w:t>un tránsito de la retribución a la restauración. La Sala analizará esta transformación después de hacer referencia a la Senit 9.</w:t>
      </w:r>
    </w:p>
    <w:p w14:paraId="2FB4BF03" w14:textId="77777777" w:rsidR="006653FE" w:rsidRPr="00746ACE" w:rsidRDefault="006653FE" w:rsidP="00FC0DFB">
      <w:pPr>
        <w:pStyle w:val="Prrafodelista"/>
        <w:widowControl w:val="0"/>
        <w:ind w:left="0"/>
        <w:rPr>
          <w:lang w:eastAsia="es-MX"/>
        </w:rPr>
      </w:pPr>
    </w:p>
    <w:p w14:paraId="5B32B4E9" w14:textId="290B8A22" w:rsidR="00720FE7" w:rsidRPr="00746ACE" w:rsidRDefault="00720FE7" w:rsidP="00720FE7">
      <w:pPr>
        <w:pStyle w:val="Prrafodelista"/>
        <w:widowControl w:val="0"/>
        <w:numPr>
          <w:ilvl w:val="0"/>
          <w:numId w:val="7"/>
        </w:numPr>
      </w:pPr>
      <w:r w:rsidRPr="00746ACE">
        <w:rPr>
          <w:lang w:eastAsia="es-MX"/>
        </w:rPr>
        <w:t xml:space="preserve">La Senit 9, por último, habla de </w:t>
      </w:r>
      <w:r w:rsidR="00EC16FF" w:rsidRPr="00746ACE">
        <w:rPr>
          <w:lang w:eastAsia="es-MX"/>
        </w:rPr>
        <w:t>“</w:t>
      </w:r>
      <w:r w:rsidRPr="00746ACE">
        <w:rPr>
          <w:i/>
          <w:lang w:eastAsia="es-MX"/>
        </w:rPr>
        <w:t>responsabilidad cercana a la máxima</w:t>
      </w:r>
      <w:r w:rsidR="00EC16FF" w:rsidRPr="00746ACE">
        <w:rPr>
          <w:i/>
          <w:lang w:eastAsia="es-MX"/>
        </w:rPr>
        <w:t>”</w:t>
      </w:r>
      <w:r w:rsidRPr="00746ACE">
        <w:rPr>
          <w:i/>
          <w:lang w:eastAsia="es-MX"/>
        </w:rPr>
        <w:t xml:space="preserve">. </w:t>
      </w:r>
      <w:r w:rsidRPr="00746ACE">
        <w:rPr>
          <w:lang w:eastAsia="es-MX"/>
        </w:rPr>
        <w:t xml:space="preserve">Esta decisión llevó a los demandantes y diversos intervinientes a cuestionar la multiplicación de las categorías de responsabilidad, mientras que la JEP, en sus intervenciones dentro de este proceso, sostuvo que la </w:t>
      </w:r>
      <w:r w:rsidR="00EC16FF" w:rsidRPr="00746ACE">
        <w:rPr>
          <w:lang w:eastAsia="es-MX"/>
        </w:rPr>
        <w:t>“</w:t>
      </w:r>
      <w:r w:rsidRPr="00746ACE">
        <w:rPr>
          <w:lang w:eastAsia="es-MX"/>
        </w:rPr>
        <w:t>responsabilidad cercana a la máxima</w:t>
      </w:r>
      <w:r w:rsidR="00EC16FF" w:rsidRPr="00746ACE">
        <w:rPr>
          <w:lang w:eastAsia="es-MX"/>
        </w:rPr>
        <w:t>”</w:t>
      </w:r>
      <w:r w:rsidRPr="00746ACE">
        <w:rPr>
          <w:lang w:eastAsia="es-MX"/>
        </w:rPr>
        <w:t xml:space="preserve"> es más bien un sinónimo de </w:t>
      </w:r>
      <w:r w:rsidR="00EC16FF" w:rsidRPr="00746ACE">
        <w:rPr>
          <w:lang w:eastAsia="es-MX"/>
        </w:rPr>
        <w:t>“</w:t>
      </w:r>
      <w:r w:rsidRPr="00746ACE">
        <w:rPr>
          <w:lang w:eastAsia="es-MX"/>
        </w:rPr>
        <w:t>responsabilidad del punto medio</w:t>
      </w:r>
      <w:r w:rsidR="00EC16FF" w:rsidRPr="00746ACE">
        <w:rPr>
          <w:lang w:eastAsia="es-MX"/>
        </w:rPr>
        <w:t>”</w:t>
      </w:r>
      <w:r w:rsidRPr="00746ACE">
        <w:rPr>
          <w:lang w:eastAsia="es-MX"/>
        </w:rPr>
        <w:t xml:space="preserve"> y que ambas son solo </w:t>
      </w:r>
      <w:r w:rsidRPr="00746ACE">
        <w:rPr>
          <w:i/>
          <w:lang w:eastAsia="es-MX"/>
        </w:rPr>
        <w:t>criterios heurísticos</w:t>
      </w:r>
      <w:r w:rsidR="00DD4E06" w:rsidRPr="00746ACE">
        <w:rPr>
          <w:i/>
          <w:lang w:eastAsia="es-MX"/>
        </w:rPr>
        <w:t xml:space="preserve">, </w:t>
      </w:r>
      <w:r w:rsidR="00DD4E06" w:rsidRPr="00746ACE">
        <w:rPr>
          <w:iCs/>
          <w:lang w:eastAsia="es-MX"/>
        </w:rPr>
        <w:t xml:space="preserve">es decir, </w:t>
      </w:r>
      <w:r w:rsidRPr="00746ACE">
        <w:rPr>
          <w:iCs/>
          <w:lang w:eastAsia="es-MX"/>
        </w:rPr>
        <w:t>criterio</w:t>
      </w:r>
      <w:r w:rsidR="00DD4E06" w:rsidRPr="00746ACE">
        <w:rPr>
          <w:iCs/>
          <w:lang w:eastAsia="es-MX"/>
        </w:rPr>
        <w:t>s</w:t>
      </w:r>
      <w:r w:rsidRPr="00746ACE">
        <w:rPr>
          <w:iCs/>
          <w:lang w:eastAsia="es-MX"/>
        </w:rPr>
        <w:t xml:space="preserve"> orientador</w:t>
      </w:r>
      <w:r w:rsidR="00DD4E06" w:rsidRPr="00746ACE">
        <w:rPr>
          <w:iCs/>
          <w:lang w:eastAsia="es-MX"/>
        </w:rPr>
        <w:t>es</w:t>
      </w:r>
      <w:r w:rsidRPr="00746ACE">
        <w:rPr>
          <w:lang w:eastAsia="es-MX"/>
        </w:rPr>
        <w:t xml:space="preserve"> para el ejercicio hermenéutico que deben realizar las salas y secciones en la atribución de responsabilidad por un crimen.</w:t>
      </w:r>
    </w:p>
    <w:p w14:paraId="4E233BAD" w14:textId="77777777" w:rsidR="00060DCF" w:rsidRPr="00746ACE" w:rsidRDefault="00060DCF" w:rsidP="00CF1AD1">
      <w:pPr>
        <w:pStyle w:val="Prrafodelista"/>
        <w:widowControl w:val="0"/>
        <w:rPr>
          <w:lang w:eastAsia="es-MX"/>
        </w:rPr>
      </w:pPr>
    </w:p>
    <w:p w14:paraId="38B54559" w14:textId="7A9E304E" w:rsidR="0043161D" w:rsidRPr="00746ACE" w:rsidRDefault="0043161D" w:rsidP="00CF1AD1">
      <w:pPr>
        <w:pStyle w:val="Prrafodelista"/>
        <w:widowControl w:val="0"/>
        <w:numPr>
          <w:ilvl w:val="0"/>
          <w:numId w:val="7"/>
        </w:numPr>
        <w:rPr>
          <w:lang w:eastAsia="es-MX"/>
        </w:rPr>
      </w:pPr>
      <w:r w:rsidRPr="00746ACE">
        <w:rPr>
          <w:lang w:eastAsia="es-MX"/>
        </w:rPr>
        <w:t xml:space="preserve">Esta formulación </w:t>
      </w:r>
      <w:r w:rsidR="00DD4E06" w:rsidRPr="00746ACE">
        <w:rPr>
          <w:lang w:eastAsia="es-MX"/>
        </w:rPr>
        <w:t>implica</w:t>
      </w:r>
      <w:r w:rsidRPr="00746ACE">
        <w:rPr>
          <w:lang w:eastAsia="es-MX"/>
        </w:rPr>
        <w:t xml:space="preserve"> entonces un segundo ejercicio </w:t>
      </w:r>
      <w:r w:rsidR="00092A12" w:rsidRPr="00746ACE">
        <w:rPr>
          <w:lang w:eastAsia="es-MX"/>
        </w:rPr>
        <w:t>o avance jurisprudencial</w:t>
      </w:r>
      <w:r w:rsidRPr="00746ACE">
        <w:rPr>
          <w:lang w:eastAsia="es-MX"/>
        </w:rPr>
        <w:t xml:space="preserve">, que va de lo </w:t>
      </w:r>
      <w:r w:rsidRPr="00746ACE">
        <w:rPr>
          <w:i/>
          <w:iCs/>
          <w:lang w:eastAsia="es-MX"/>
        </w:rPr>
        <w:t>normativo</w:t>
      </w:r>
      <w:r w:rsidRPr="00746ACE">
        <w:rPr>
          <w:lang w:eastAsia="es-MX"/>
        </w:rPr>
        <w:t xml:space="preserve"> a lo </w:t>
      </w:r>
      <w:r w:rsidRPr="00746ACE">
        <w:rPr>
          <w:i/>
          <w:iCs/>
          <w:lang w:eastAsia="es-MX"/>
        </w:rPr>
        <w:t>hermenéutico</w:t>
      </w:r>
      <w:r w:rsidRPr="00746ACE">
        <w:rPr>
          <w:lang w:eastAsia="es-MX"/>
        </w:rPr>
        <w:t xml:space="preserve">, </w:t>
      </w:r>
      <w:r w:rsidR="00007180" w:rsidRPr="00746ACE">
        <w:rPr>
          <w:lang w:eastAsia="es-MX"/>
        </w:rPr>
        <w:t xml:space="preserve">o </w:t>
      </w:r>
      <w:r w:rsidRPr="00746ACE">
        <w:rPr>
          <w:lang w:eastAsia="es-MX"/>
        </w:rPr>
        <w:t xml:space="preserve">de lo </w:t>
      </w:r>
      <w:r w:rsidRPr="00746ACE">
        <w:rPr>
          <w:i/>
          <w:iCs/>
          <w:lang w:eastAsia="es-MX"/>
        </w:rPr>
        <w:t>vinculante</w:t>
      </w:r>
      <w:r w:rsidRPr="00746ACE">
        <w:rPr>
          <w:lang w:eastAsia="es-MX"/>
        </w:rPr>
        <w:t xml:space="preserve"> a lo </w:t>
      </w:r>
      <w:r w:rsidRPr="00746ACE">
        <w:rPr>
          <w:i/>
          <w:iCs/>
          <w:lang w:eastAsia="es-MX"/>
        </w:rPr>
        <w:t>orientador</w:t>
      </w:r>
      <w:r w:rsidRPr="00746ACE">
        <w:rPr>
          <w:lang w:eastAsia="es-MX"/>
        </w:rPr>
        <w:t xml:space="preserve">. </w:t>
      </w:r>
    </w:p>
    <w:p w14:paraId="1D323795" w14:textId="77777777" w:rsidR="0043161D" w:rsidRPr="00746ACE" w:rsidRDefault="0043161D" w:rsidP="00CF1AD1">
      <w:pPr>
        <w:pStyle w:val="Prrafodelista"/>
        <w:widowControl w:val="0"/>
        <w:ind w:left="0"/>
        <w:rPr>
          <w:lang w:eastAsia="es-MX"/>
        </w:rPr>
      </w:pPr>
    </w:p>
    <w:p w14:paraId="2A8B1736" w14:textId="0B081A9B" w:rsidR="0043161D" w:rsidRPr="00746ACE" w:rsidRDefault="0043161D" w:rsidP="00CF1AD1">
      <w:pPr>
        <w:pStyle w:val="Prrafodelista"/>
        <w:widowControl w:val="0"/>
        <w:numPr>
          <w:ilvl w:val="0"/>
          <w:numId w:val="7"/>
        </w:numPr>
      </w:pPr>
      <w:r w:rsidRPr="00746ACE">
        <w:rPr>
          <w:lang w:eastAsia="es-MX"/>
        </w:rPr>
        <w:t xml:space="preserve">Consciente de este doble movimiento jurisprudencial, en el cual, por una parte, la categoría </w:t>
      </w:r>
      <w:r w:rsidR="00007180" w:rsidRPr="00746ACE">
        <w:rPr>
          <w:lang w:eastAsia="es-MX"/>
        </w:rPr>
        <w:t xml:space="preserve">de la responsabilidad del punto medio </w:t>
      </w:r>
      <w:r w:rsidRPr="00746ACE">
        <w:rPr>
          <w:lang w:eastAsia="es-MX"/>
        </w:rPr>
        <w:t>y sus consecuencias se mantienen y, por otra, su comprensión y sentido varían en las Senit 5, 8</w:t>
      </w:r>
      <w:r w:rsidR="00CF1AD1" w:rsidRPr="00746ACE">
        <w:rPr>
          <w:rStyle w:val="Refdenotaalpie"/>
          <w:lang w:eastAsia="es-MX"/>
        </w:rPr>
        <w:footnoteReference w:id="122"/>
      </w:r>
      <w:r w:rsidRPr="00746ACE">
        <w:rPr>
          <w:lang w:eastAsia="es-MX"/>
        </w:rPr>
        <w:t xml:space="preserve"> y 9</w:t>
      </w:r>
      <w:r w:rsidR="00CF1AD1" w:rsidRPr="00746ACE">
        <w:rPr>
          <w:rStyle w:val="Refdenotaalpie"/>
          <w:lang w:eastAsia="es-MX"/>
        </w:rPr>
        <w:footnoteReference w:id="123"/>
      </w:r>
      <w:r w:rsidRPr="00746ACE">
        <w:rPr>
          <w:lang w:eastAsia="es-MX"/>
        </w:rPr>
        <w:t xml:space="preserve">, es necesario evaluar si esta construcción jurisprudencial desconoce el principio de legalidad. A manera ilustrativa, la Sala </w:t>
      </w:r>
      <w:r w:rsidR="00007180" w:rsidRPr="00746ACE">
        <w:rPr>
          <w:lang w:eastAsia="es-MX"/>
        </w:rPr>
        <w:t xml:space="preserve">se referirá </w:t>
      </w:r>
      <w:r w:rsidRPr="00746ACE">
        <w:rPr>
          <w:lang w:eastAsia="es-MX"/>
        </w:rPr>
        <w:t xml:space="preserve">a continuación </w:t>
      </w:r>
      <w:r w:rsidR="004B4B79" w:rsidRPr="00746ACE">
        <w:rPr>
          <w:lang w:eastAsia="es-MX"/>
        </w:rPr>
        <w:t>a</w:t>
      </w:r>
      <w:r w:rsidRPr="00746ACE">
        <w:rPr>
          <w:lang w:eastAsia="es-MX"/>
        </w:rPr>
        <w:t xml:space="preserve"> estas precisiones hermenéuticas, como </w:t>
      </w:r>
      <w:r w:rsidR="00092A12" w:rsidRPr="00746ACE">
        <w:rPr>
          <w:iCs/>
          <w:lang w:eastAsia="es-MX"/>
        </w:rPr>
        <w:t>el primer y el segundo avance jurisprudencial de la JEP en torno al punto medio de responsabilidad.</w:t>
      </w:r>
    </w:p>
    <w:p w14:paraId="3506426B" w14:textId="77777777" w:rsidR="0043161D" w:rsidRPr="00746ACE" w:rsidRDefault="0043161D" w:rsidP="00CF1AD1">
      <w:pPr>
        <w:pStyle w:val="Prrafodelista"/>
        <w:widowControl w:val="0"/>
        <w:ind w:left="0"/>
      </w:pPr>
    </w:p>
    <w:p w14:paraId="4C2EC781" w14:textId="30AE1B57" w:rsidR="0043161D" w:rsidRPr="00746ACE" w:rsidRDefault="00723D60" w:rsidP="000B69F5">
      <w:pPr>
        <w:pStyle w:val="Ttulo3"/>
        <w:keepNext w:val="0"/>
        <w:keepLines w:val="0"/>
        <w:widowControl w:val="0"/>
        <w:jc w:val="both"/>
        <w:rPr>
          <w:rFonts w:cs="Times New Roman"/>
          <w:color w:val="auto"/>
          <w:sz w:val="28"/>
          <w:szCs w:val="28"/>
          <w:lang w:val="es-ES"/>
        </w:rPr>
      </w:pPr>
      <w:bookmarkStart w:id="50" w:name="_Toc233384200"/>
      <w:r w:rsidRPr="00746ACE">
        <w:rPr>
          <w:rFonts w:cs="Times New Roman"/>
          <w:color w:val="auto"/>
          <w:sz w:val="28"/>
          <w:szCs w:val="28"/>
          <w:lang w:val="es-ES"/>
        </w:rPr>
        <w:t xml:space="preserve">Análisis </w:t>
      </w:r>
      <w:r w:rsidR="0043161D" w:rsidRPr="00746ACE">
        <w:rPr>
          <w:rFonts w:cs="Times New Roman"/>
          <w:color w:val="auto"/>
          <w:sz w:val="28"/>
          <w:szCs w:val="28"/>
          <w:lang w:val="es-ES"/>
        </w:rPr>
        <w:t>de fondo</w:t>
      </w:r>
      <w:bookmarkEnd w:id="50"/>
    </w:p>
    <w:p w14:paraId="39A88864" w14:textId="77777777" w:rsidR="0043161D" w:rsidRPr="00746ACE" w:rsidRDefault="0043161D" w:rsidP="00CF1AD1">
      <w:pPr>
        <w:widowControl w:val="0"/>
        <w:rPr>
          <w:lang w:eastAsia="es-MX"/>
        </w:rPr>
      </w:pPr>
    </w:p>
    <w:p w14:paraId="118526B8" w14:textId="7B85FE7C" w:rsidR="0043161D" w:rsidRPr="00746ACE" w:rsidRDefault="0043161D" w:rsidP="00FC0DFB">
      <w:pPr>
        <w:pStyle w:val="Prrafodelista"/>
        <w:widowControl w:val="0"/>
        <w:numPr>
          <w:ilvl w:val="0"/>
          <w:numId w:val="7"/>
        </w:numPr>
      </w:pPr>
      <w:r w:rsidRPr="00746ACE">
        <w:rPr>
          <w:lang w:eastAsia="es-MX"/>
        </w:rPr>
        <w:t xml:space="preserve">La responsabilidad es un concepto muy complejo y profundo en el </w:t>
      </w:r>
      <w:r w:rsidR="00007180" w:rsidRPr="00746ACE">
        <w:rPr>
          <w:lang w:eastAsia="es-MX"/>
        </w:rPr>
        <w:t xml:space="preserve">derecho </w:t>
      </w:r>
      <w:r w:rsidRPr="00746ACE">
        <w:rPr>
          <w:lang w:eastAsia="es-MX"/>
        </w:rPr>
        <w:t xml:space="preserve">y, en especial, en el derecho penal. Una persona está llamada a </w:t>
      </w:r>
      <w:r w:rsidRPr="00746ACE">
        <w:rPr>
          <w:i/>
          <w:lang w:eastAsia="es-MX"/>
        </w:rPr>
        <w:t xml:space="preserve">responder </w:t>
      </w:r>
      <w:r w:rsidRPr="00746ACE">
        <w:rPr>
          <w:lang w:eastAsia="es-MX"/>
        </w:rPr>
        <w:t>por una conducta si tenía conocimiento de una prohibición legal y decidió infringirl</w:t>
      </w:r>
      <w:r w:rsidR="007D52A5" w:rsidRPr="00746ACE">
        <w:rPr>
          <w:lang w:eastAsia="es-MX"/>
        </w:rPr>
        <w:t>a</w:t>
      </w:r>
      <w:r w:rsidRPr="00746ACE">
        <w:rPr>
          <w:lang w:eastAsia="es-MX"/>
        </w:rPr>
        <w:t xml:space="preserve"> pudiendo cumplirla. De manera más profunda, la responsabilidad </w:t>
      </w:r>
      <w:r w:rsidR="00DD4E06" w:rsidRPr="00746ACE">
        <w:rPr>
          <w:lang w:eastAsia="es-MX"/>
        </w:rPr>
        <w:t>se basa en</w:t>
      </w:r>
      <w:r w:rsidRPr="00746ACE">
        <w:rPr>
          <w:lang w:eastAsia="es-MX"/>
        </w:rPr>
        <w:t xml:space="preserve"> la creencia de que el ser humano adopta decisiones o presume que puede hacerlo, de modo que se asocia a la autonomía y la dignidad humana. Por eso</w:t>
      </w:r>
      <w:r w:rsidR="00007180" w:rsidRPr="00746ACE">
        <w:rPr>
          <w:lang w:eastAsia="es-MX"/>
        </w:rPr>
        <w:t>, el concepto de la responsabilidad</w:t>
      </w:r>
      <w:r w:rsidRPr="00746ACE">
        <w:rPr>
          <w:lang w:eastAsia="es-MX"/>
        </w:rPr>
        <w:t xml:space="preserve"> se proyecta sobre la </w:t>
      </w:r>
      <w:r w:rsidR="00B960D6" w:rsidRPr="00746ACE">
        <w:rPr>
          <w:lang w:eastAsia="es-MX"/>
        </w:rPr>
        <w:t xml:space="preserve">pregunta por la </w:t>
      </w:r>
      <w:r w:rsidRPr="00746ACE">
        <w:rPr>
          <w:lang w:eastAsia="es-MX"/>
        </w:rPr>
        <w:t xml:space="preserve">función de la pena o el </w:t>
      </w:r>
      <w:r w:rsidR="00B960D6" w:rsidRPr="00746ACE">
        <w:rPr>
          <w:lang w:eastAsia="es-MX"/>
        </w:rPr>
        <w:t xml:space="preserve">sentido del </w:t>
      </w:r>
      <w:r w:rsidRPr="00746ACE">
        <w:rPr>
          <w:lang w:eastAsia="es-MX"/>
        </w:rPr>
        <w:t>castigo en una sociedad democrática.</w:t>
      </w:r>
    </w:p>
    <w:p w14:paraId="3C2B11C6" w14:textId="77777777" w:rsidR="0043161D" w:rsidRPr="00746ACE" w:rsidRDefault="0043161D" w:rsidP="00FC0DFB">
      <w:pPr>
        <w:pStyle w:val="Prrafodelista"/>
        <w:widowControl w:val="0"/>
        <w:rPr>
          <w:lang w:eastAsia="es-MX"/>
        </w:rPr>
      </w:pPr>
    </w:p>
    <w:p w14:paraId="5B55A3DB" w14:textId="57B3D02E" w:rsidR="0043161D" w:rsidRPr="00746ACE" w:rsidRDefault="0043161D" w:rsidP="00FC0DFB">
      <w:pPr>
        <w:pStyle w:val="Prrafodelista"/>
        <w:widowControl w:val="0"/>
        <w:numPr>
          <w:ilvl w:val="0"/>
          <w:numId w:val="7"/>
        </w:numPr>
      </w:pPr>
      <w:r w:rsidRPr="00746ACE">
        <w:rPr>
          <w:lang w:eastAsia="es-MX"/>
        </w:rPr>
        <w:t xml:space="preserve">De este acercamiento surge el principio de </w:t>
      </w:r>
      <w:r w:rsidRPr="00746ACE">
        <w:rPr>
          <w:i/>
          <w:lang w:eastAsia="es-MX"/>
        </w:rPr>
        <w:t xml:space="preserve">culpabilidad </w:t>
      </w:r>
      <w:r w:rsidRPr="00746ACE">
        <w:rPr>
          <w:lang w:eastAsia="es-MX"/>
        </w:rPr>
        <w:t xml:space="preserve">en el derecho penal. Sin embargo, la responsabilidad se hace más compleja aún en el juzgamiento de los más graves crímenes. En un escenario de conflicto o de violaciones sistemáticas de derechos humanos han surgido discusiones </w:t>
      </w:r>
      <w:r w:rsidR="0002150C" w:rsidRPr="00746ACE">
        <w:rPr>
          <w:lang w:eastAsia="es-MX"/>
        </w:rPr>
        <w:t xml:space="preserve">constantes </w:t>
      </w:r>
      <w:r w:rsidR="00B960D6" w:rsidRPr="00746ACE">
        <w:rPr>
          <w:lang w:eastAsia="es-MX"/>
        </w:rPr>
        <w:t>acerca de</w:t>
      </w:r>
      <w:r w:rsidRPr="00746ACE">
        <w:rPr>
          <w:lang w:eastAsia="es-MX"/>
        </w:rPr>
        <w:t xml:space="preserve"> la prohibición de la obediencia como eximente de responsabilidad, la responsabilidad del superior de mando </w:t>
      </w:r>
      <w:r w:rsidR="001653D7" w:rsidRPr="00746ACE">
        <w:rPr>
          <w:lang w:eastAsia="es-MX"/>
        </w:rPr>
        <w:t>o</w:t>
      </w:r>
      <w:r w:rsidRPr="00746ACE">
        <w:rPr>
          <w:lang w:eastAsia="es-MX"/>
        </w:rPr>
        <w:t xml:space="preserve"> de hecho</w:t>
      </w:r>
      <w:r w:rsidR="00B960D6" w:rsidRPr="00746ACE">
        <w:rPr>
          <w:lang w:eastAsia="es-MX"/>
        </w:rPr>
        <w:t>,</w:t>
      </w:r>
      <w:r w:rsidRPr="00746ACE">
        <w:rPr>
          <w:lang w:eastAsia="es-MX"/>
        </w:rPr>
        <w:t xml:space="preserve"> o la responsabilidad de personas jurídicas. Si a ello se suma el concepto de participación, para hablar de la manera en que una persona interviene en la comisión de un crimen, los supuestos </w:t>
      </w:r>
      <w:r w:rsidR="00B960D6" w:rsidRPr="00746ACE">
        <w:rPr>
          <w:lang w:eastAsia="es-MX"/>
        </w:rPr>
        <w:t xml:space="preserve">se </w:t>
      </w:r>
      <w:r w:rsidRPr="00746ACE">
        <w:rPr>
          <w:lang w:eastAsia="es-MX"/>
        </w:rPr>
        <w:t>multiplican.</w:t>
      </w:r>
    </w:p>
    <w:p w14:paraId="7F7BFAF8" w14:textId="77777777" w:rsidR="0043161D" w:rsidRPr="00746ACE" w:rsidRDefault="0043161D" w:rsidP="00FC0DFB">
      <w:pPr>
        <w:pStyle w:val="Prrafodelista"/>
        <w:widowControl w:val="0"/>
        <w:rPr>
          <w:lang w:eastAsia="es-MX"/>
        </w:rPr>
      </w:pPr>
    </w:p>
    <w:p w14:paraId="52580A4F" w14:textId="13841B5B" w:rsidR="0017489D" w:rsidRPr="00746ACE" w:rsidRDefault="0043161D" w:rsidP="00FC0DFB">
      <w:pPr>
        <w:pStyle w:val="Prrafodelista"/>
        <w:widowControl w:val="0"/>
        <w:numPr>
          <w:ilvl w:val="0"/>
          <w:numId w:val="7"/>
        </w:numPr>
      </w:pPr>
      <w:r w:rsidRPr="00746ACE">
        <w:rPr>
          <w:lang w:eastAsia="es-MX"/>
        </w:rPr>
        <w:t>Así las cosas, las</w:t>
      </w:r>
      <w:r w:rsidR="00EE672C" w:rsidRPr="00746ACE">
        <w:rPr>
          <w:lang w:eastAsia="es-MX"/>
        </w:rPr>
        <w:t xml:space="preserve"> discusiones sobre la responsabilidad en la investigación, juzgamiento y sanción de graves crímenes </w:t>
      </w:r>
      <w:r w:rsidR="00975E96" w:rsidRPr="00746ACE">
        <w:rPr>
          <w:lang w:eastAsia="es-MX"/>
        </w:rPr>
        <w:t>constituyen</w:t>
      </w:r>
      <w:r w:rsidR="00EE672C" w:rsidRPr="00746ACE">
        <w:rPr>
          <w:lang w:eastAsia="es-MX"/>
        </w:rPr>
        <w:t xml:space="preserve"> un espacio donde el juez transicional debe preservar tanto el respeto por la legalidad, entendida como </w:t>
      </w:r>
      <w:r w:rsidR="00060DCF" w:rsidRPr="00746ACE">
        <w:rPr>
          <w:lang w:eastAsia="es-MX"/>
        </w:rPr>
        <w:t xml:space="preserve">la obligación de ceñirse a </w:t>
      </w:r>
      <w:r w:rsidR="0002150C" w:rsidRPr="00746ACE">
        <w:rPr>
          <w:lang w:eastAsia="es-MX"/>
        </w:rPr>
        <w:t xml:space="preserve">las </w:t>
      </w:r>
      <w:r w:rsidR="00060DCF" w:rsidRPr="00746ACE">
        <w:rPr>
          <w:lang w:eastAsia="es-MX"/>
        </w:rPr>
        <w:t>fuentes legítimas del sistema, como un alto grado de creatividad destinado a comprender procesos macro criminales de décadas, estructuras complejas y victimización masiva.</w:t>
      </w:r>
      <w:r w:rsidR="00EE672C" w:rsidRPr="00746ACE">
        <w:rPr>
          <w:lang w:eastAsia="es-MX"/>
        </w:rPr>
        <w:t xml:space="preserve"> </w:t>
      </w:r>
    </w:p>
    <w:p w14:paraId="1690491A" w14:textId="77777777" w:rsidR="0017489D" w:rsidRPr="00746ACE" w:rsidRDefault="0017489D" w:rsidP="00FC0DFB">
      <w:pPr>
        <w:pStyle w:val="Prrafodelista"/>
        <w:widowControl w:val="0"/>
        <w:rPr>
          <w:lang w:eastAsia="es-MX"/>
        </w:rPr>
      </w:pPr>
    </w:p>
    <w:p w14:paraId="38511A1A" w14:textId="200C0F6B" w:rsidR="0017489D" w:rsidRPr="00746ACE" w:rsidRDefault="00EE672C" w:rsidP="00FC0DFB">
      <w:pPr>
        <w:pStyle w:val="Prrafodelista"/>
        <w:widowControl w:val="0"/>
        <w:numPr>
          <w:ilvl w:val="0"/>
          <w:numId w:val="7"/>
        </w:numPr>
      </w:pPr>
      <w:r w:rsidRPr="00746ACE">
        <w:rPr>
          <w:lang w:eastAsia="es-MX"/>
        </w:rPr>
        <w:t>En ese ámbito</w:t>
      </w:r>
      <w:r w:rsidR="0002150C" w:rsidRPr="00746ACE">
        <w:rPr>
          <w:lang w:eastAsia="es-MX"/>
        </w:rPr>
        <w:t>,</w:t>
      </w:r>
      <w:r w:rsidR="00B960D6" w:rsidRPr="00746ACE">
        <w:rPr>
          <w:lang w:eastAsia="es-MX"/>
        </w:rPr>
        <w:t xml:space="preserve"> </w:t>
      </w:r>
      <w:r w:rsidRPr="00746ACE">
        <w:rPr>
          <w:lang w:eastAsia="es-MX"/>
        </w:rPr>
        <w:t xml:space="preserve">ha sido el trabajo de los tribunales internacionales </w:t>
      </w:r>
      <w:r w:rsidRPr="00746ACE">
        <w:rPr>
          <w:i/>
          <w:lang w:eastAsia="es-MX"/>
        </w:rPr>
        <w:t>ad hoc</w:t>
      </w:r>
      <w:r w:rsidRPr="00746ACE">
        <w:rPr>
          <w:lang w:eastAsia="es-MX"/>
        </w:rPr>
        <w:t xml:space="preserve"> el que ha conducido a la comprensión de categorías de responsabilidad tan importantes como la responsabilidad de mando o del superior, o a negar la obediencia legítima como eximente de responsabilidad. Estos avances, en su</w:t>
      </w:r>
      <w:r w:rsidR="0002150C" w:rsidRPr="00746ACE">
        <w:rPr>
          <w:lang w:eastAsia="es-MX"/>
        </w:rPr>
        <w:t>s</w:t>
      </w:r>
      <w:r w:rsidRPr="00746ACE">
        <w:rPr>
          <w:lang w:eastAsia="es-MX"/>
        </w:rPr>
        <w:t xml:space="preserve"> </w:t>
      </w:r>
      <w:r w:rsidR="0002150C" w:rsidRPr="00746ACE">
        <w:rPr>
          <w:lang w:eastAsia="es-MX"/>
        </w:rPr>
        <w:t>orígenes</w:t>
      </w:r>
      <w:r w:rsidRPr="00746ACE">
        <w:rPr>
          <w:lang w:eastAsia="es-MX"/>
        </w:rPr>
        <w:t xml:space="preserve"> jurisprudenciales, han sido parcialmente incorporados al </w:t>
      </w:r>
      <w:r w:rsidR="005D1583" w:rsidRPr="00746ACE">
        <w:rPr>
          <w:lang w:eastAsia="es-MX"/>
        </w:rPr>
        <w:t>E</w:t>
      </w:r>
      <w:r w:rsidRPr="00746ACE">
        <w:rPr>
          <w:lang w:eastAsia="es-MX"/>
        </w:rPr>
        <w:t xml:space="preserve">statuto de Roma y </w:t>
      </w:r>
      <w:r w:rsidR="0002150C" w:rsidRPr="00746ACE">
        <w:rPr>
          <w:lang w:eastAsia="es-MX"/>
        </w:rPr>
        <w:t xml:space="preserve">a </w:t>
      </w:r>
      <w:r w:rsidRPr="00746ACE">
        <w:rPr>
          <w:lang w:eastAsia="es-MX"/>
        </w:rPr>
        <w:t xml:space="preserve">algunas normas nacionales. Pero, aun así, </w:t>
      </w:r>
      <w:r w:rsidR="005D1583" w:rsidRPr="00746ACE">
        <w:rPr>
          <w:lang w:eastAsia="es-MX"/>
        </w:rPr>
        <w:t>parten de</w:t>
      </w:r>
      <w:r w:rsidRPr="00746ACE">
        <w:rPr>
          <w:lang w:eastAsia="es-MX"/>
        </w:rPr>
        <w:t xml:space="preserve"> un papel activo del juez, pues su misión consiste en desentrañar y revelar los mecanismos profundos de la violencia, cuando esta niega por completo la dignidad y, en este ámbito, la capacidad del legislador es limitada, pues no puede ver el contexto, prever la dimensión de la violencia o conocer las relaciones que atraviesan un conflicto armado o el alcance del daño.</w:t>
      </w:r>
    </w:p>
    <w:p w14:paraId="1A631F01" w14:textId="77777777" w:rsidR="0017489D" w:rsidRPr="00746ACE" w:rsidRDefault="0017489D" w:rsidP="00FC0DFB">
      <w:pPr>
        <w:pStyle w:val="Prrafodelista"/>
        <w:widowControl w:val="0"/>
        <w:rPr>
          <w:lang w:eastAsia="es-MX"/>
        </w:rPr>
      </w:pPr>
    </w:p>
    <w:p w14:paraId="67A92EBF" w14:textId="03447258" w:rsidR="0017489D" w:rsidRPr="00746ACE" w:rsidRDefault="0043161D" w:rsidP="00FC0DFB">
      <w:pPr>
        <w:pStyle w:val="Prrafodelista"/>
        <w:widowControl w:val="0"/>
        <w:numPr>
          <w:ilvl w:val="0"/>
          <w:numId w:val="7"/>
        </w:numPr>
      </w:pPr>
      <w:r w:rsidRPr="00746ACE">
        <w:rPr>
          <w:lang w:eastAsia="es-MX"/>
        </w:rPr>
        <w:t xml:space="preserve">Estas discusiones también </w:t>
      </w:r>
      <w:r w:rsidR="009F677E" w:rsidRPr="00746ACE">
        <w:rPr>
          <w:lang w:eastAsia="es-MX"/>
        </w:rPr>
        <w:t xml:space="preserve">han sido </w:t>
      </w:r>
      <w:r w:rsidR="00B92597" w:rsidRPr="00746ACE">
        <w:rPr>
          <w:lang w:eastAsia="es-MX"/>
        </w:rPr>
        <w:t>abordadas</w:t>
      </w:r>
      <w:r w:rsidR="009F677E" w:rsidRPr="00746ACE">
        <w:rPr>
          <w:lang w:eastAsia="es-MX"/>
        </w:rPr>
        <w:t xml:space="preserve"> por </w:t>
      </w:r>
      <w:r w:rsidRPr="00746ACE">
        <w:rPr>
          <w:lang w:eastAsia="es-MX"/>
        </w:rPr>
        <w:t xml:space="preserve">la jurisprudencia constitucional. </w:t>
      </w:r>
      <w:r w:rsidR="00EE672C" w:rsidRPr="00746ACE">
        <w:rPr>
          <w:lang w:eastAsia="es-MX"/>
        </w:rPr>
        <w:t xml:space="preserve">Dos ejemplos de la manera en que </w:t>
      </w:r>
      <w:r w:rsidRPr="00746ACE">
        <w:rPr>
          <w:lang w:eastAsia="es-MX"/>
        </w:rPr>
        <w:t>estos problemas han sido abordados por la Corte Constitucional</w:t>
      </w:r>
      <w:r w:rsidR="00EE672C" w:rsidRPr="00746ACE">
        <w:rPr>
          <w:lang w:eastAsia="es-MX"/>
        </w:rPr>
        <w:t xml:space="preserve"> se encuentran en la Sentencia C-1184 de 2001, en la que se analizó la responsabilidad por omisión y </w:t>
      </w:r>
      <w:r w:rsidR="0002150C" w:rsidRPr="00746ACE">
        <w:rPr>
          <w:lang w:eastAsia="es-MX"/>
        </w:rPr>
        <w:t xml:space="preserve">la </w:t>
      </w:r>
      <w:r w:rsidR="00EE672C" w:rsidRPr="00746ACE">
        <w:rPr>
          <w:lang w:eastAsia="es-MX"/>
        </w:rPr>
        <w:t>Sentencia C-578 de 2002, en la que se adelantó el estudio de constitucionalidad del Estatuto de Roma.</w:t>
      </w:r>
    </w:p>
    <w:p w14:paraId="607336DE" w14:textId="77777777" w:rsidR="0017489D" w:rsidRPr="00746ACE" w:rsidRDefault="0017489D" w:rsidP="00FC0DFB">
      <w:pPr>
        <w:pStyle w:val="Prrafodelista"/>
        <w:widowControl w:val="0"/>
        <w:rPr>
          <w:lang w:eastAsia="es-MX"/>
        </w:rPr>
      </w:pPr>
    </w:p>
    <w:p w14:paraId="3F0CC88D" w14:textId="083D08D9" w:rsidR="0017489D" w:rsidRPr="00746ACE" w:rsidRDefault="009F677E" w:rsidP="00FC0DFB">
      <w:pPr>
        <w:pStyle w:val="Prrafodelista"/>
        <w:widowControl w:val="0"/>
        <w:numPr>
          <w:ilvl w:val="0"/>
          <w:numId w:val="7"/>
        </w:numPr>
      </w:pPr>
      <w:r w:rsidRPr="00746ACE">
        <w:rPr>
          <w:lang w:eastAsia="es-MX"/>
        </w:rPr>
        <w:t>E</w:t>
      </w:r>
      <w:r w:rsidR="0002150C" w:rsidRPr="00746ACE">
        <w:rPr>
          <w:lang w:eastAsia="es-MX"/>
        </w:rPr>
        <w:t xml:space="preserve">n </w:t>
      </w:r>
      <w:r w:rsidR="00EE672C" w:rsidRPr="00746ACE">
        <w:rPr>
          <w:lang w:eastAsia="es-MX"/>
        </w:rPr>
        <w:t>la Sentencia SU-1184 de 2001</w:t>
      </w:r>
      <w:r w:rsidR="0002150C" w:rsidRPr="00746ACE">
        <w:rPr>
          <w:lang w:eastAsia="es-MX"/>
        </w:rPr>
        <w:t>,</w:t>
      </w:r>
      <w:r w:rsidR="00EE672C" w:rsidRPr="00746ACE">
        <w:rPr>
          <w:lang w:eastAsia="es-MX"/>
        </w:rPr>
        <w:t xml:space="preserve"> la Corte Constitucional estudió una tutela contra providencia judicial, dictada por el Consejo Superior de la Judicatura, al resolver un conflicto de competencia entre la justicia ordinaria y la penal militar, en el marco de la investigación por diversos crímenes ocurridos durante la llamada </w:t>
      </w:r>
      <w:r w:rsidR="00EE672C" w:rsidRPr="00746ACE">
        <w:rPr>
          <w:i/>
          <w:lang w:eastAsia="es-MX"/>
        </w:rPr>
        <w:t xml:space="preserve">masacre de Mapiripán, </w:t>
      </w:r>
      <w:r w:rsidR="00EE672C" w:rsidRPr="00746ACE">
        <w:rPr>
          <w:lang w:eastAsia="es-MX"/>
        </w:rPr>
        <w:t xml:space="preserve">por los que se investigaba la actuación y responsabilidad de un teniente coronel y un brigadier general del Ejército colombiano, General Jaime Humberto Uscátegui. </w:t>
      </w:r>
    </w:p>
    <w:p w14:paraId="6876A442" w14:textId="77777777" w:rsidR="0017489D" w:rsidRPr="00746ACE" w:rsidRDefault="0017489D" w:rsidP="00FC0DFB">
      <w:pPr>
        <w:pStyle w:val="Prrafodelista"/>
        <w:widowControl w:val="0"/>
        <w:rPr>
          <w:lang w:eastAsia="es-MX"/>
        </w:rPr>
      </w:pPr>
    </w:p>
    <w:p w14:paraId="2A886C6B" w14:textId="6A7C889B" w:rsidR="0017489D" w:rsidRPr="00746ACE" w:rsidRDefault="0002150C" w:rsidP="00FC0DFB">
      <w:pPr>
        <w:pStyle w:val="Prrafodelista"/>
        <w:widowControl w:val="0"/>
        <w:numPr>
          <w:ilvl w:val="0"/>
          <w:numId w:val="7"/>
        </w:numPr>
      </w:pPr>
      <w:r w:rsidRPr="00746ACE">
        <w:rPr>
          <w:lang w:eastAsia="es-MX"/>
        </w:rPr>
        <w:t xml:space="preserve">En esa providencia, además </w:t>
      </w:r>
      <w:r w:rsidR="00EE672C" w:rsidRPr="00746ACE">
        <w:rPr>
          <w:lang w:eastAsia="es-MX"/>
        </w:rPr>
        <w:t xml:space="preserve">de referirse al principio de juez natural, la Corte Constitucional inició una exposición acerca del concepto de </w:t>
      </w:r>
      <w:r w:rsidR="00EE672C" w:rsidRPr="00746ACE">
        <w:rPr>
          <w:i/>
          <w:lang w:eastAsia="es-MX"/>
        </w:rPr>
        <w:t xml:space="preserve">posición de garante, </w:t>
      </w:r>
      <w:r w:rsidR="00EE672C" w:rsidRPr="00746ACE">
        <w:rPr>
          <w:lang w:eastAsia="es-MX"/>
        </w:rPr>
        <w:t xml:space="preserve">base doctrinaria de la responsabilidad penal por omisión. </w:t>
      </w:r>
      <w:r w:rsidR="00060DCF" w:rsidRPr="00746ACE">
        <w:rPr>
          <w:lang w:eastAsia="es-MX"/>
        </w:rPr>
        <w:t>Así</w:t>
      </w:r>
      <w:r w:rsidR="00EE672C" w:rsidRPr="00746ACE">
        <w:rPr>
          <w:lang w:eastAsia="es-MX"/>
        </w:rPr>
        <w:t>, la Sala se refirió al ámbito funcional de la fuerza pública</w:t>
      </w:r>
      <w:r w:rsidRPr="00746ACE">
        <w:rPr>
          <w:lang w:eastAsia="es-MX"/>
        </w:rPr>
        <w:t xml:space="preserve"> y </w:t>
      </w:r>
      <w:r w:rsidR="00EE672C" w:rsidRPr="00746ACE">
        <w:rPr>
          <w:lang w:eastAsia="es-MX"/>
        </w:rPr>
        <w:t>a su posición de garante para prevenir graves violaciones de derechos humanos</w:t>
      </w:r>
      <w:r w:rsidR="00B666B9" w:rsidRPr="00746ACE">
        <w:rPr>
          <w:lang w:eastAsia="es-MX"/>
        </w:rPr>
        <w:t>,</w:t>
      </w:r>
      <w:r w:rsidR="00EE672C" w:rsidRPr="00746ACE">
        <w:rPr>
          <w:lang w:eastAsia="es-MX"/>
        </w:rPr>
        <w:t xml:space="preserve"> para luego concluir que la responsabilidad por omisión de un superior en la fuerza pública debía ser imputada como un crimen de lesa humanidad, lo que, a su vez, conducía a mantener el caso en la justicia ordinaria</w:t>
      </w:r>
      <w:r w:rsidR="00EE672C" w:rsidRPr="00746ACE">
        <w:rPr>
          <w:rStyle w:val="Refdenotaalpie"/>
          <w:lang w:eastAsia="es-MX"/>
        </w:rPr>
        <w:footnoteReference w:id="124"/>
      </w:r>
      <w:r w:rsidR="00EE672C" w:rsidRPr="00746ACE">
        <w:rPr>
          <w:lang w:eastAsia="es-MX"/>
        </w:rPr>
        <w:t xml:space="preserve">. </w:t>
      </w:r>
    </w:p>
    <w:p w14:paraId="4EB402B0" w14:textId="77777777" w:rsidR="0017489D" w:rsidRPr="00746ACE" w:rsidRDefault="0017489D" w:rsidP="00FC0DFB">
      <w:pPr>
        <w:pStyle w:val="Prrafodelista"/>
        <w:widowControl w:val="0"/>
        <w:rPr>
          <w:lang w:eastAsia="es-MX"/>
        </w:rPr>
      </w:pPr>
    </w:p>
    <w:p w14:paraId="6AD7EE28" w14:textId="77777777" w:rsidR="0017489D" w:rsidRPr="00746ACE" w:rsidRDefault="00EE672C" w:rsidP="00FC0DFB">
      <w:pPr>
        <w:pStyle w:val="Prrafodelista"/>
        <w:widowControl w:val="0"/>
        <w:numPr>
          <w:ilvl w:val="0"/>
          <w:numId w:val="7"/>
        </w:numPr>
      </w:pPr>
      <w:r w:rsidRPr="00746ACE">
        <w:rPr>
          <w:lang w:eastAsia="es-MX"/>
        </w:rPr>
        <w:t xml:space="preserve">Este es un claro ejercicio de articulación de las categorías del derecho penal internacional y la doctrina autorizada para comprender fenómenos criminales de largo aliento, más allá de que las respuestas específicas puedan ser cuestionadas </w:t>
      </w:r>
      <w:r w:rsidR="0043161D" w:rsidRPr="00746ACE">
        <w:rPr>
          <w:lang w:eastAsia="es-MX"/>
        </w:rPr>
        <w:t>en instancias judiciales.</w:t>
      </w:r>
      <w:r w:rsidRPr="00746ACE">
        <w:rPr>
          <w:lang w:eastAsia="es-MX"/>
        </w:rPr>
        <w:t xml:space="preserve"> </w:t>
      </w:r>
    </w:p>
    <w:p w14:paraId="78D854A9" w14:textId="77777777" w:rsidR="0017489D" w:rsidRPr="00746ACE" w:rsidRDefault="0017489D" w:rsidP="00FC0DFB">
      <w:pPr>
        <w:pStyle w:val="Prrafodelista"/>
        <w:widowControl w:val="0"/>
        <w:rPr>
          <w:lang w:eastAsia="es-MX"/>
        </w:rPr>
      </w:pPr>
    </w:p>
    <w:p w14:paraId="1E34D966" w14:textId="37F3840B" w:rsidR="0017489D" w:rsidRPr="00746ACE" w:rsidRDefault="00EE672C" w:rsidP="00FC0DFB">
      <w:pPr>
        <w:pStyle w:val="Prrafodelista"/>
        <w:widowControl w:val="0"/>
        <w:numPr>
          <w:ilvl w:val="0"/>
          <w:numId w:val="7"/>
        </w:numPr>
      </w:pPr>
      <w:r w:rsidRPr="00746ACE">
        <w:rPr>
          <w:lang w:eastAsia="es-MX"/>
        </w:rPr>
        <w:t xml:space="preserve">En la Sentencia C-578 de 2002, la Corte Constitucional estudió la inclusión en el </w:t>
      </w:r>
      <w:r w:rsidR="0002150C" w:rsidRPr="00746ACE">
        <w:rPr>
          <w:lang w:eastAsia="es-MX"/>
        </w:rPr>
        <w:t xml:space="preserve">Estatuto </w:t>
      </w:r>
      <w:r w:rsidRPr="00746ACE">
        <w:rPr>
          <w:lang w:eastAsia="es-MX"/>
        </w:rPr>
        <w:t xml:space="preserve">de Roma de la responsabilidad </w:t>
      </w:r>
      <w:r w:rsidR="00060DCF" w:rsidRPr="00746ACE">
        <w:rPr>
          <w:lang w:eastAsia="es-MX"/>
        </w:rPr>
        <w:t>de mando y la responsabilidad del superior, sin correlato en el orden jurídico interno.</w:t>
      </w:r>
      <w:r w:rsidRPr="00746ACE">
        <w:rPr>
          <w:lang w:eastAsia="es-MX"/>
        </w:rPr>
        <w:t xml:space="preserve"> </w:t>
      </w:r>
      <w:r w:rsidR="0043161D" w:rsidRPr="00746ACE">
        <w:rPr>
          <w:lang w:eastAsia="es-MX"/>
        </w:rPr>
        <w:t>La Sala Plena</w:t>
      </w:r>
      <w:r w:rsidRPr="00746ACE">
        <w:rPr>
          <w:lang w:eastAsia="es-MX"/>
        </w:rPr>
        <w:t xml:space="preserve">, además de considerarla válida, adelantó consideraciones sobre la necesidad de este ejercicio de integración normativa entre el derecho nacional y el derecho penal internacional, con miras a erradicar la impunidad en las más graves violaciones de derechos humanos. </w:t>
      </w:r>
    </w:p>
    <w:p w14:paraId="6C84D739" w14:textId="77777777" w:rsidR="0017489D" w:rsidRPr="00746ACE" w:rsidRDefault="0017489D" w:rsidP="00FC0DFB">
      <w:pPr>
        <w:pStyle w:val="Prrafodelista"/>
        <w:widowControl w:val="0"/>
        <w:rPr>
          <w:lang w:eastAsia="es-MX"/>
        </w:rPr>
      </w:pPr>
    </w:p>
    <w:p w14:paraId="3F419640" w14:textId="171A3B5A" w:rsidR="0017489D" w:rsidRPr="00746ACE" w:rsidRDefault="00EE672C" w:rsidP="00FC0DFB">
      <w:pPr>
        <w:pStyle w:val="Prrafodelista"/>
        <w:widowControl w:val="0"/>
        <w:numPr>
          <w:ilvl w:val="0"/>
          <w:numId w:val="7"/>
        </w:numPr>
      </w:pPr>
      <w:r w:rsidRPr="00746ACE">
        <w:rPr>
          <w:lang w:eastAsia="es-MX"/>
        </w:rPr>
        <w:t xml:space="preserve">Para la Corte, la lucha contra la impunidad frente a crímenes atroces llevó a la codificación de la doctrina de responsabilidad del superior en el </w:t>
      </w:r>
      <w:r w:rsidR="0002150C" w:rsidRPr="00746ACE">
        <w:rPr>
          <w:lang w:eastAsia="es-MX"/>
        </w:rPr>
        <w:t xml:space="preserve">Estatuto </w:t>
      </w:r>
      <w:r w:rsidRPr="00746ACE">
        <w:rPr>
          <w:lang w:eastAsia="es-MX"/>
        </w:rPr>
        <w:t xml:space="preserve">de </w:t>
      </w:r>
      <w:r w:rsidR="0002150C" w:rsidRPr="00746ACE">
        <w:rPr>
          <w:lang w:eastAsia="es-MX"/>
        </w:rPr>
        <w:t>Roma</w:t>
      </w:r>
      <w:r w:rsidRPr="00746ACE">
        <w:rPr>
          <w:lang w:eastAsia="es-MX"/>
        </w:rPr>
        <w:t xml:space="preserve">, y no solo a los jefes militares sino también a los de grupos irregulares, tanto por razones oficiales como </w:t>
      </w:r>
      <w:r w:rsidR="006039B4" w:rsidRPr="00746ACE">
        <w:rPr>
          <w:i/>
          <w:lang w:eastAsia="es-MX"/>
        </w:rPr>
        <w:t xml:space="preserve">de </w:t>
      </w:r>
      <w:r w:rsidRPr="00746ACE">
        <w:rPr>
          <w:i/>
          <w:lang w:eastAsia="es-MX"/>
        </w:rPr>
        <w:t>facto</w:t>
      </w:r>
      <w:r w:rsidR="006039B4" w:rsidRPr="00746ACE">
        <w:rPr>
          <w:i/>
          <w:lang w:eastAsia="es-MX"/>
        </w:rPr>
        <w:t xml:space="preserve"> </w:t>
      </w:r>
      <w:r w:rsidR="006039B4" w:rsidRPr="00746ACE">
        <w:rPr>
          <w:lang w:eastAsia="es-MX"/>
        </w:rPr>
        <w:t>(o de hecho)</w:t>
      </w:r>
      <w:r w:rsidRPr="00746ACE">
        <w:rPr>
          <w:lang w:eastAsia="es-MX"/>
        </w:rPr>
        <w:t>, únicamente</w:t>
      </w:r>
      <w:r w:rsidR="006039B4" w:rsidRPr="00746ACE">
        <w:rPr>
          <w:lang w:eastAsia="es-MX"/>
        </w:rPr>
        <w:t>,</w:t>
      </w:r>
      <w:r w:rsidRPr="00746ACE">
        <w:rPr>
          <w:lang w:eastAsia="es-MX"/>
        </w:rPr>
        <w:t xml:space="preserve"> si este sujeto sabía o ha debido saber que las personas a su cargo estaban cometiendo o cometerían un crimen y, a pesar de ello</w:t>
      </w:r>
      <w:r w:rsidR="0002150C" w:rsidRPr="00746ACE">
        <w:rPr>
          <w:lang w:eastAsia="es-MX"/>
        </w:rPr>
        <w:t>,</w:t>
      </w:r>
      <w:r w:rsidRPr="00746ACE">
        <w:rPr>
          <w:lang w:eastAsia="es-MX"/>
        </w:rPr>
        <w:t xml:space="preserve"> omitió cualquier medida para evitarlo, impedirlo o iniciar una investigación. </w:t>
      </w:r>
      <w:r w:rsidR="0043161D" w:rsidRPr="00746ACE">
        <w:rPr>
          <w:lang w:eastAsia="es-MX"/>
        </w:rPr>
        <w:t>La Sala Plena sostuvo también que se trataba de una ampliación de la responsabilidad, basada en la experiencia internacional y, en especial, en un caso conocido por el tribunal internacional para la antigua Yugoslavia</w:t>
      </w:r>
      <w:r w:rsidRPr="00746ACE">
        <w:rPr>
          <w:lang w:eastAsia="es-MX"/>
        </w:rPr>
        <w:t>.</w:t>
      </w:r>
    </w:p>
    <w:p w14:paraId="522DE858" w14:textId="77777777" w:rsidR="0017489D" w:rsidRPr="00746ACE" w:rsidRDefault="0017489D" w:rsidP="00FC0DFB">
      <w:pPr>
        <w:pStyle w:val="Prrafodelista"/>
        <w:widowControl w:val="0"/>
      </w:pPr>
    </w:p>
    <w:p w14:paraId="463762AB" w14:textId="77777777" w:rsidR="0017489D" w:rsidRPr="00746ACE" w:rsidRDefault="00EE672C" w:rsidP="00FC0DFB">
      <w:pPr>
        <w:pStyle w:val="Prrafodelista"/>
        <w:widowControl w:val="0"/>
        <w:numPr>
          <w:ilvl w:val="0"/>
          <w:numId w:val="7"/>
        </w:numPr>
      </w:pPr>
      <w:r w:rsidRPr="00746ACE">
        <w:t>La Corte aclar</w:t>
      </w:r>
      <w:r w:rsidR="007F77C7" w:rsidRPr="00746ACE">
        <w:t>ó</w:t>
      </w:r>
      <w:r w:rsidRPr="00746ACE">
        <w:t xml:space="preserve"> que no se requiere una prueba de que el alto mando o superior haya impartido una orden, pues puede ser responsable por actos que no haya conocido, pero que debía conocer, impedir, reprimir o denunciar, de acuerdo con otra doctrina de origen judicial, concebida en el caso Yamashita. En suma, la Corte admitió que estas figuras constituían un intento de codificación de doctrina y jurisprudencia internacional y, tras referirse a la Sentencia SU-1184 de 2001 y su comprensión de la responsabilidad por omisión, señaló que “en Colombia la responsabilidad del jefe o superior tiene cabida respecto del jefe militar, oficial o de facto”.</w:t>
      </w:r>
    </w:p>
    <w:p w14:paraId="55D106C6" w14:textId="77777777" w:rsidR="0017489D" w:rsidRPr="00746ACE" w:rsidRDefault="0017489D" w:rsidP="00FC0DFB">
      <w:pPr>
        <w:pStyle w:val="Prrafodelista"/>
        <w:widowControl w:val="0"/>
      </w:pPr>
    </w:p>
    <w:p w14:paraId="4EFDACCD" w14:textId="1D522486" w:rsidR="0017489D" w:rsidRPr="00746ACE" w:rsidRDefault="00EE672C" w:rsidP="00FC0DFB">
      <w:pPr>
        <w:pStyle w:val="Prrafodelista"/>
        <w:widowControl w:val="0"/>
        <w:numPr>
          <w:ilvl w:val="0"/>
          <w:numId w:val="7"/>
        </w:numPr>
      </w:pPr>
      <w:r w:rsidRPr="00746ACE">
        <w:t xml:space="preserve">Así las cosas, para la Sala Plena no existe un obstáculo derivado del principio de legalidad para que la Sección de Apelación profundice en la comprensión de la responsabilidad por graves crímenes y, en especial, por crímenes de guerra, de lesa humanidad o genocidio. Es este, justamente, el ámbito donde el juez natural de la transición despliega una de sus más funciones más importantes, no necesariamente en </w:t>
      </w:r>
      <w:r w:rsidR="00B960D6" w:rsidRPr="00746ACE">
        <w:t xml:space="preserve">un </w:t>
      </w:r>
      <w:r w:rsidRPr="00746ACE">
        <w:t>espacio vacío del derecho</w:t>
      </w:r>
      <w:r w:rsidR="00B960D6" w:rsidRPr="00746ACE">
        <w:t>,</w:t>
      </w:r>
      <w:r w:rsidRPr="00746ACE">
        <w:t xml:space="preserve"> sino desde la articulación de sistemas de fuentes, y desde el conocimiento del contexto del conflicto, las versiones y narrativas de la historia reciente. </w:t>
      </w:r>
    </w:p>
    <w:p w14:paraId="74DB0A43" w14:textId="77777777" w:rsidR="0017489D" w:rsidRPr="00746ACE" w:rsidRDefault="0017489D" w:rsidP="00FC0DFB">
      <w:pPr>
        <w:pStyle w:val="Prrafodelista"/>
        <w:widowControl w:val="0"/>
        <w:rPr>
          <w:lang w:eastAsia="es-MX"/>
        </w:rPr>
      </w:pPr>
    </w:p>
    <w:p w14:paraId="56159B23" w14:textId="3CC93A01" w:rsidR="00720FE7" w:rsidRPr="00746ACE" w:rsidRDefault="00720FE7" w:rsidP="00720FE7">
      <w:pPr>
        <w:pStyle w:val="Prrafodelista"/>
        <w:widowControl w:val="0"/>
        <w:numPr>
          <w:ilvl w:val="0"/>
          <w:numId w:val="7"/>
        </w:numPr>
      </w:pPr>
      <w:r w:rsidRPr="00746ACE">
        <w:rPr>
          <w:lang w:eastAsia="es-MX"/>
        </w:rPr>
        <w:t xml:space="preserve">Por lo tanto, no </w:t>
      </w:r>
      <w:r w:rsidR="00AF33E9" w:rsidRPr="00746ACE">
        <w:rPr>
          <w:lang w:eastAsia="es-MX"/>
        </w:rPr>
        <w:t xml:space="preserve">toda </w:t>
      </w:r>
      <w:r w:rsidRPr="00746ACE">
        <w:rPr>
          <w:lang w:eastAsia="es-MX"/>
        </w:rPr>
        <w:t xml:space="preserve">interpretación </w:t>
      </w:r>
      <w:r w:rsidR="00955BA5" w:rsidRPr="00746ACE">
        <w:rPr>
          <w:lang w:eastAsia="es-MX"/>
        </w:rPr>
        <w:t xml:space="preserve">que desarrolle el concepto </w:t>
      </w:r>
      <w:r w:rsidRPr="00746ACE">
        <w:rPr>
          <w:lang w:eastAsia="es-MX"/>
        </w:rPr>
        <w:t>de responsabilidad desconoc</w:t>
      </w:r>
      <w:r w:rsidR="00955BA5" w:rsidRPr="00746ACE">
        <w:rPr>
          <w:lang w:eastAsia="es-MX"/>
        </w:rPr>
        <w:t xml:space="preserve">e </w:t>
      </w:r>
      <w:r w:rsidRPr="00746ACE">
        <w:rPr>
          <w:lang w:eastAsia="es-MX"/>
        </w:rPr>
        <w:t xml:space="preserve">la Constitución Política. Por el contrario, </w:t>
      </w:r>
      <w:r w:rsidR="00955BA5" w:rsidRPr="00746ACE">
        <w:rPr>
          <w:lang w:eastAsia="es-MX"/>
        </w:rPr>
        <w:t xml:space="preserve">este ejercicio es </w:t>
      </w:r>
      <w:r w:rsidRPr="00746ACE">
        <w:rPr>
          <w:lang w:eastAsia="es-MX"/>
        </w:rPr>
        <w:t xml:space="preserve">imprescindible para cumplir el deber de investigar, juzgar y sancionar y para responder a las víctimas. No resulta válido, sin embargo, </w:t>
      </w:r>
      <w:r w:rsidRPr="00746ACE">
        <w:t xml:space="preserve">que el juez natural de la transición modifique, altere o desconozca el principio constitucional </w:t>
      </w:r>
      <w:r w:rsidR="00C03C1A" w:rsidRPr="00746ACE">
        <w:t xml:space="preserve">y transicional </w:t>
      </w:r>
      <w:r w:rsidRPr="00746ACE">
        <w:t xml:space="preserve">de selección a través de una comprensión inadecuada de la responsabilidad. </w:t>
      </w:r>
      <w:r w:rsidR="00955BA5" w:rsidRPr="00746ACE">
        <w:t xml:space="preserve">Hacerlo así, </w:t>
      </w:r>
      <w:r w:rsidRPr="00746ACE">
        <w:t xml:space="preserve">podría desconocer la dimensión más profunda de la legalidad, es decir, la interdicción de la arbitrariedad. A continuación, la Sala </w:t>
      </w:r>
      <w:r w:rsidR="00827D2F" w:rsidRPr="00746ACE">
        <w:t xml:space="preserve">asumirá el </w:t>
      </w:r>
      <w:r w:rsidRPr="00746ACE">
        <w:t>análisis de si este límite fue desbordado.</w:t>
      </w:r>
      <w:r w:rsidR="00742777" w:rsidRPr="00746ACE">
        <w:t xml:space="preserve"> </w:t>
      </w:r>
    </w:p>
    <w:p w14:paraId="4A398397" w14:textId="77777777" w:rsidR="0017489D" w:rsidRPr="00746ACE" w:rsidRDefault="0017489D" w:rsidP="00FC0DFB">
      <w:pPr>
        <w:pStyle w:val="Prrafodelista"/>
        <w:widowControl w:val="0"/>
        <w:rPr>
          <w:lang w:eastAsia="es-MX"/>
        </w:rPr>
      </w:pPr>
    </w:p>
    <w:p w14:paraId="1B7A1837" w14:textId="12CD1270" w:rsidR="0017489D" w:rsidRPr="00746ACE" w:rsidRDefault="0017489D" w:rsidP="000B69F5">
      <w:pPr>
        <w:pStyle w:val="Ttulo3"/>
        <w:keepNext w:val="0"/>
        <w:keepLines w:val="0"/>
        <w:widowControl w:val="0"/>
        <w:jc w:val="both"/>
        <w:rPr>
          <w:rFonts w:cs="Times New Roman"/>
          <w:color w:val="auto"/>
          <w:sz w:val="28"/>
          <w:szCs w:val="28"/>
          <w:lang w:val="es-ES" w:eastAsia="es-MX"/>
        </w:rPr>
      </w:pPr>
      <w:bookmarkStart w:id="51" w:name="_Toc233384201"/>
      <w:r w:rsidRPr="00746ACE">
        <w:rPr>
          <w:rFonts w:cs="Times New Roman"/>
          <w:color w:val="auto"/>
          <w:sz w:val="28"/>
          <w:szCs w:val="28"/>
          <w:lang w:val="es-ES" w:eastAsia="es-MX"/>
        </w:rPr>
        <w:t>La responsabilidad del punto medio, como supuesto de aplicación por la S</w:t>
      </w:r>
      <w:r w:rsidR="00622186" w:rsidRPr="00746ACE">
        <w:rPr>
          <w:rFonts w:cs="Times New Roman"/>
          <w:color w:val="auto"/>
          <w:sz w:val="28"/>
          <w:szCs w:val="28"/>
          <w:lang w:val="es-ES" w:eastAsia="es-MX"/>
        </w:rPr>
        <w:t xml:space="preserve">ala de </w:t>
      </w:r>
      <w:r w:rsidRPr="00746ACE">
        <w:rPr>
          <w:rFonts w:cs="Times New Roman"/>
          <w:color w:val="auto"/>
          <w:sz w:val="28"/>
          <w:szCs w:val="28"/>
          <w:lang w:val="es-ES" w:eastAsia="es-MX"/>
        </w:rPr>
        <w:t>D</w:t>
      </w:r>
      <w:r w:rsidR="00622186" w:rsidRPr="00746ACE">
        <w:rPr>
          <w:rFonts w:cs="Times New Roman"/>
          <w:color w:val="auto"/>
          <w:sz w:val="28"/>
          <w:szCs w:val="28"/>
          <w:lang w:val="es-ES" w:eastAsia="es-MX"/>
        </w:rPr>
        <w:t xml:space="preserve">efinición de </w:t>
      </w:r>
      <w:r w:rsidRPr="00746ACE">
        <w:rPr>
          <w:rFonts w:cs="Times New Roman"/>
          <w:color w:val="auto"/>
          <w:sz w:val="28"/>
          <w:szCs w:val="28"/>
          <w:lang w:val="es-ES" w:eastAsia="es-MX"/>
        </w:rPr>
        <w:t>S</w:t>
      </w:r>
      <w:r w:rsidR="00622186" w:rsidRPr="00746ACE">
        <w:rPr>
          <w:rFonts w:cs="Times New Roman"/>
          <w:color w:val="auto"/>
          <w:sz w:val="28"/>
          <w:szCs w:val="28"/>
          <w:lang w:val="es-ES" w:eastAsia="es-MX"/>
        </w:rPr>
        <w:t xml:space="preserve">ituaciones </w:t>
      </w:r>
      <w:r w:rsidRPr="00746ACE">
        <w:rPr>
          <w:rFonts w:cs="Times New Roman"/>
          <w:color w:val="auto"/>
          <w:sz w:val="28"/>
          <w:szCs w:val="28"/>
          <w:lang w:val="es-ES" w:eastAsia="es-MX"/>
        </w:rPr>
        <w:t>J</w:t>
      </w:r>
      <w:r w:rsidR="00622186" w:rsidRPr="00746ACE">
        <w:rPr>
          <w:rFonts w:cs="Times New Roman"/>
          <w:color w:val="auto"/>
          <w:sz w:val="28"/>
          <w:szCs w:val="28"/>
          <w:lang w:val="es-ES" w:eastAsia="es-MX"/>
        </w:rPr>
        <w:t>urídicas</w:t>
      </w:r>
      <w:r w:rsidRPr="00746ACE">
        <w:rPr>
          <w:rFonts w:cs="Times New Roman"/>
          <w:color w:val="auto"/>
          <w:sz w:val="28"/>
          <w:szCs w:val="28"/>
          <w:lang w:val="es-ES" w:eastAsia="es-MX"/>
        </w:rPr>
        <w:t xml:space="preserve"> para la </w:t>
      </w:r>
      <w:r w:rsidRPr="00746ACE">
        <w:rPr>
          <w:rFonts w:cs="Times New Roman"/>
          <w:color w:val="auto"/>
          <w:sz w:val="28"/>
          <w:szCs w:val="28"/>
          <w:lang w:val="es-ES"/>
        </w:rPr>
        <w:t>remisión</w:t>
      </w:r>
      <w:r w:rsidRPr="00746ACE">
        <w:rPr>
          <w:rFonts w:cs="Times New Roman"/>
          <w:color w:val="auto"/>
          <w:sz w:val="28"/>
          <w:szCs w:val="28"/>
          <w:lang w:val="es-ES" w:eastAsia="es-MX"/>
        </w:rPr>
        <w:t xml:space="preserve"> a la U</w:t>
      </w:r>
      <w:r w:rsidR="00622186" w:rsidRPr="00746ACE">
        <w:rPr>
          <w:rFonts w:cs="Times New Roman"/>
          <w:color w:val="auto"/>
          <w:sz w:val="28"/>
          <w:szCs w:val="28"/>
          <w:lang w:val="es-ES" w:eastAsia="es-MX"/>
        </w:rPr>
        <w:t xml:space="preserve">nidad de </w:t>
      </w:r>
      <w:r w:rsidRPr="00746ACE">
        <w:rPr>
          <w:rFonts w:cs="Times New Roman"/>
          <w:color w:val="auto"/>
          <w:sz w:val="28"/>
          <w:szCs w:val="28"/>
          <w:lang w:val="es-ES" w:eastAsia="es-MX"/>
        </w:rPr>
        <w:t>I</w:t>
      </w:r>
      <w:r w:rsidR="00622186" w:rsidRPr="00746ACE">
        <w:rPr>
          <w:rFonts w:cs="Times New Roman"/>
          <w:color w:val="auto"/>
          <w:sz w:val="28"/>
          <w:szCs w:val="28"/>
          <w:lang w:val="es-ES" w:eastAsia="es-MX"/>
        </w:rPr>
        <w:t xml:space="preserve">nvestigación y </w:t>
      </w:r>
      <w:r w:rsidRPr="00746ACE">
        <w:rPr>
          <w:rFonts w:cs="Times New Roman"/>
          <w:color w:val="auto"/>
          <w:sz w:val="28"/>
          <w:szCs w:val="28"/>
          <w:lang w:val="es-ES" w:eastAsia="es-MX"/>
        </w:rPr>
        <w:t>A</w:t>
      </w:r>
      <w:r w:rsidR="00622186" w:rsidRPr="00746ACE">
        <w:rPr>
          <w:rFonts w:cs="Times New Roman"/>
          <w:color w:val="auto"/>
          <w:sz w:val="28"/>
          <w:szCs w:val="28"/>
          <w:lang w:val="es-ES" w:eastAsia="es-MX"/>
        </w:rPr>
        <w:t>cusación</w:t>
      </w:r>
      <w:r w:rsidRPr="00746ACE">
        <w:rPr>
          <w:rFonts w:cs="Times New Roman"/>
          <w:color w:val="auto"/>
          <w:sz w:val="28"/>
          <w:szCs w:val="28"/>
          <w:lang w:val="es-ES" w:eastAsia="es-MX"/>
        </w:rPr>
        <w:t xml:space="preserve"> desconoce la interdicción de la </w:t>
      </w:r>
      <w:r w:rsidRPr="00746ACE">
        <w:rPr>
          <w:rFonts w:cs="Times New Roman"/>
          <w:color w:val="auto"/>
          <w:sz w:val="28"/>
          <w:szCs w:val="28"/>
          <w:lang w:val="es-ES"/>
        </w:rPr>
        <w:t>arbitrariedad</w:t>
      </w:r>
      <w:r w:rsidRPr="00746ACE">
        <w:rPr>
          <w:rFonts w:cs="Times New Roman"/>
          <w:color w:val="auto"/>
          <w:sz w:val="28"/>
          <w:szCs w:val="28"/>
          <w:lang w:val="es-ES" w:eastAsia="es-MX"/>
        </w:rPr>
        <w:t xml:space="preserve"> y el principio constitucional </w:t>
      </w:r>
      <w:r w:rsidR="00C03C1A" w:rsidRPr="00746ACE">
        <w:rPr>
          <w:rFonts w:cs="Times New Roman"/>
          <w:color w:val="auto"/>
          <w:sz w:val="28"/>
          <w:szCs w:val="28"/>
          <w:lang w:val="es-ES" w:eastAsia="es-MX"/>
        </w:rPr>
        <w:t xml:space="preserve">y transicional </w:t>
      </w:r>
      <w:r w:rsidRPr="00746ACE">
        <w:rPr>
          <w:rFonts w:cs="Times New Roman"/>
          <w:color w:val="auto"/>
          <w:sz w:val="28"/>
          <w:szCs w:val="28"/>
          <w:lang w:val="es-ES" w:eastAsia="es-MX"/>
        </w:rPr>
        <w:t>de selección</w:t>
      </w:r>
      <w:bookmarkEnd w:id="51"/>
    </w:p>
    <w:p w14:paraId="35FFC016" w14:textId="77777777" w:rsidR="0017489D" w:rsidRPr="00746ACE" w:rsidRDefault="0017489D" w:rsidP="00FC0DFB">
      <w:pPr>
        <w:pStyle w:val="Prrafodelista"/>
        <w:widowControl w:val="0"/>
        <w:ind w:left="0"/>
      </w:pPr>
    </w:p>
    <w:p w14:paraId="2F78D81F" w14:textId="2607194F" w:rsidR="0017489D" w:rsidRPr="00746ACE" w:rsidRDefault="00EE672C" w:rsidP="00FC0DFB">
      <w:pPr>
        <w:pStyle w:val="Prrafodelista"/>
        <w:widowControl w:val="0"/>
        <w:numPr>
          <w:ilvl w:val="0"/>
          <w:numId w:val="7"/>
        </w:numPr>
      </w:pPr>
      <w:r w:rsidRPr="00746ACE">
        <w:rPr>
          <w:lang w:eastAsia="es-MX"/>
        </w:rPr>
        <w:t xml:space="preserve">Si el foco del análisis se dirige hacia el </w:t>
      </w:r>
      <w:r w:rsidRPr="00746ACE">
        <w:rPr>
          <w:b/>
          <w:lang w:eastAsia="es-MX"/>
        </w:rPr>
        <w:t>principio constitucional</w:t>
      </w:r>
      <w:r w:rsidR="00C03C1A" w:rsidRPr="00746ACE">
        <w:rPr>
          <w:b/>
          <w:lang w:eastAsia="es-MX"/>
        </w:rPr>
        <w:t xml:space="preserve"> y transicional</w:t>
      </w:r>
      <w:r w:rsidRPr="00746ACE">
        <w:rPr>
          <w:b/>
          <w:lang w:eastAsia="es-MX"/>
        </w:rPr>
        <w:t xml:space="preserve"> de selección</w:t>
      </w:r>
      <w:r w:rsidRPr="00746ACE">
        <w:rPr>
          <w:lang w:eastAsia="es-MX"/>
        </w:rPr>
        <w:t xml:space="preserve">, las categorías </w:t>
      </w:r>
      <w:r w:rsidR="0043161D" w:rsidRPr="00746ACE">
        <w:rPr>
          <w:lang w:eastAsia="es-MX"/>
        </w:rPr>
        <w:t>“</w:t>
      </w:r>
      <w:r w:rsidR="0043161D" w:rsidRPr="00746ACE">
        <w:rPr>
          <w:i/>
          <w:lang w:eastAsia="es-MX"/>
        </w:rPr>
        <w:t>máximos responsables”</w:t>
      </w:r>
      <w:r w:rsidR="0043161D" w:rsidRPr="00746ACE">
        <w:rPr>
          <w:lang w:eastAsia="es-MX"/>
        </w:rPr>
        <w:t xml:space="preserve"> y “</w:t>
      </w:r>
      <w:r w:rsidR="0043161D" w:rsidRPr="00746ACE">
        <w:rPr>
          <w:i/>
          <w:lang w:eastAsia="es-MX"/>
        </w:rPr>
        <w:t xml:space="preserve">partícipes no determinantes” </w:t>
      </w:r>
      <w:r w:rsidR="0043161D" w:rsidRPr="00746ACE">
        <w:rPr>
          <w:iCs/>
          <w:lang w:eastAsia="es-MX"/>
        </w:rPr>
        <w:t>son exhaustivas</w:t>
      </w:r>
      <w:r w:rsidR="0043161D" w:rsidRPr="00746ACE">
        <w:rPr>
          <w:lang w:eastAsia="es-MX"/>
        </w:rPr>
        <w:t xml:space="preserve"> y excluyentes entre sí</w:t>
      </w:r>
      <w:r w:rsidR="002C306B" w:rsidRPr="00746ACE">
        <w:rPr>
          <w:lang w:eastAsia="es-MX"/>
        </w:rPr>
        <w:t>, dentro de un macro caso</w:t>
      </w:r>
      <w:r w:rsidR="0043161D" w:rsidRPr="00746ACE">
        <w:rPr>
          <w:lang w:eastAsia="es-MX"/>
        </w:rPr>
        <w:t xml:space="preserve">. Esto significa que una persona que ha participado en el conflicto, si es compareciente ante la </w:t>
      </w:r>
      <w:r w:rsidR="00910215" w:rsidRPr="00746ACE">
        <w:rPr>
          <w:lang w:eastAsia="es-MX"/>
        </w:rPr>
        <w:t>JEP, puede</w:t>
      </w:r>
      <w:r w:rsidR="0043161D" w:rsidRPr="00746ACE">
        <w:rPr>
          <w:lang w:eastAsia="es-MX"/>
        </w:rPr>
        <w:t xml:space="preserve"> tener una condición u otra, y que no</w:t>
      </w:r>
      <w:r w:rsidRPr="00746ACE">
        <w:rPr>
          <w:lang w:eastAsia="es-MX"/>
        </w:rPr>
        <w:t xml:space="preserve"> hay una tercera posibilidad</w:t>
      </w:r>
      <w:r w:rsidR="00910215" w:rsidRPr="00746ACE">
        <w:rPr>
          <w:lang w:eastAsia="es-MX"/>
        </w:rPr>
        <w:t>. De esta forma,</w:t>
      </w:r>
      <w:r w:rsidRPr="00746ACE">
        <w:rPr>
          <w:lang w:eastAsia="es-MX"/>
        </w:rPr>
        <w:t xml:space="preserve"> la categoría de responsabilidad del punto medio es, en principio, sospechosa.</w:t>
      </w:r>
    </w:p>
    <w:p w14:paraId="4A07E5B8" w14:textId="77777777" w:rsidR="0017489D" w:rsidRPr="00746ACE" w:rsidRDefault="0017489D" w:rsidP="00FC0DFB">
      <w:pPr>
        <w:pStyle w:val="Prrafodelista"/>
        <w:widowControl w:val="0"/>
        <w:ind w:left="0"/>
      </w:pPr>
    </w:p>
    <w:p w14:paraId="2C04901F" w14:textId="661747FE" w:rsidR="0043161D" w:rsidRPr="00746ACE" w:rsidRDefault="0043161D" w:rsidP="00FC0DFB">
      <w:pPr>
        <w:pStyle w:val="Prrafodelista"/>
        <w:widowControl w:val="0"/>
        <w:numPr>
          <w:ilvl w:val="0"/>
          <w:numId w:val="7"/>
        </w:numPr>
      </w:pPr>
      <w:r w:rsidRPr="00746ACE">
        <w:rPr>
          <w:lang w:eastAsia="es-MX"/>
        </w:rPr>
        <w:t xml:space="preserve">Dado que solo existen dos niveles constitucionales de responsabilidad para la JEP, en la misión de </w:t>
      </w:r>
      <w:r w:rsidRPr="00746ACE">
        <w:rPr>
          <w:b/>
          <w:lang w:eastAsia="es-MX"/>
        </w:rPr>
        <w:t xml:space="preserve">concentrar </w:t>
      </w:r>
      <w:r w:rsidRPr="00746ACE">
        <w:rPr>
          <w:lang w:eastAsia="es-MX"/>
        </w:rPr>
        <w:t xml:space="preserve">la investigación, el juzgamiento y sanción, la creación de una nueva categoría como la </w:t>
      </w:r>
      <w:r w:rsidR="00A121FA" w:rsidRPr="00746ACE">
        <w:rPr>
          <w:lang w:eastAsia="es-MX"/>
        </w:rPr>
        <w:t>“</w:t>
      </w:r>
      <w:r w:rsidRPr="00746ACE">
        <w:rPr>
          <w:i/>
          <w:iCs/>
          <w:lang w:eastAsia="es-MX"/>
        </w:rPr>
        <w:t>responsabilidad del punto medio</w:t>
      </w:r>
      <w:r w:rsidR="00A121FA" w:rsidRPr="00746ACE">
        <w:rPr>
          <w:i/>
          <w:iCs/>
          <w:lang w:eastAsia="es-MX"/>
        </w:rPr>
        <w:t>”</w:t>
      </w:r>
      <w:r w:rsidRPr="00746ACE">
        <w:rPr>
          <w:lang w:eastAsia="es-MX"/>
        </w:rPr>
        <w:t xml:space="preserve"> y, con mayor razón, la multiplicación de categorías derivada de la </w:t>
      </w:r>
      <w:r w:rsidR="00A121FA" w:rsidRPr="00746ACE">
        <w:rPr>
          <w:lang w:eastAsia="es-MX"/>
        </w:rPr>
        <w:t>“</w:t>
      </w:r>
      <w:r w:rsidRPr="00746ACE">
        <w:rPr>
          <w:i/>
          <w:iCs/>
          <w:lang w:eastAsia="es-MX"/>
        </w:rPr>
        <w:t>responsabilidad cercana a la máxima</w:t>
      </w:r>
      <w:r w:rsidR="00A121FA" w:rsidRPr="00746ACE">
        <w:rPr>
          <w:i/>
          <w:iCs/>
          <w:lang w:eastAsia="es-MX"/>
        </w:rPr>
        <w:t>”</w:t>
      </w:r>
      <w:r w:rsidRPr="00746ACE">
        <w:rPr>
          <w:lang w:eastAsia="es-MX"/>
        </w:rPr>
        <w:t xml:space="preserve"> resulta inconstitucional, porque la multiplicación de categorías en el plano normativo se traduce en la dispersión de la investigación en la práctica de la JEP. </w:t>
      </w:r>
    </w:p>
    <w:p w14:paraId="4619CBA7" w14:textId="77777777" w:rsidR="0043161D" w:rsidRPr="00746ACE" w:rsidRDefault="0043161D" w:rsidP="00CF1AD1">
      <w:pPr>
        <w:pStyle w:val="Prrafodelista"/>
        <w:widowControl w:val="0"/>
        <w:rPr>
          <w:lang w:eastAsia="es-MX"/>
        </w:rPr>
      </w:pPr>
    </w:p>
    <w:p w14:paraId="66A6B010" w14:textId="77777777" w:rsidR="0017489D" w:rsidRPr="00746ACE" w:rsidRDefault="00060DCF" w:rsidP="00FC0DFB">
      <w:pPr>
        <w:pStyle w:val="Prrafodelista"/>
        <w:widowControl w:val="0"/>
        <w:numPr>
          <w:ilvl w:val="0"/>
          <w:numId w:val="7"/>
        </w:numPr>
      </w:pPr>
      <w:r w:rsidRPr="00746ACE">
        <w:rPr>
          <w:lang w:eastAsia="es-MX"/>
        </w:rPr>
        <w:t xml:space="preserve">Ahora bien, aunque esta conclusión parece perentoria, la Sala debe </w:t>
      </w:r>
      <w:r w:rsidR="0043161D" w:rsidRPr="00746ACE">
        <w:rPr>
          <w:lang w:eastAsia="es-MX"/>
        </w:rPr>
        <w:t>evaluar con especial</w:t>
      </w:r>
      <w:r w:rsidRPr="00746ACE">
        <w:rPr>
          <w:lang w:eastAsia="es-MX"/>
        </w:rPr>
        <w:t xml:space="preserve"> atención </w:t>
      </w:r>
      <w:r w:rsidR="0043161D" w:rsidRPr="00746ACE">
        <w:rPr>
          <w:lang w:eastAsia="es-MX"/>
        </w:rPr>
        <w:t>las razones de la JEP.</w:t>
      </w:r>
      <w:r w:rsidR="00EE672C" w:rsidRPr="00746ACE">
        <w:rPr>
          <w:lang w:eastAsia="es-MX"/>
        </w:rPr>
        <w:t xml:space="preserve"> </w:t>
      </w:r>
    </w:p>
    <w:p w14:paraId="23BD5352" w14:textId="77777777" w:rsidR="0017489D" w:rsidRPr="00746ACE" w:rsidRDefault="0017489D" w:rsidP="00FC0DFB">
      <w:pPr>
        <w:pStyle w:val="Prrafodelista"/>
        <w:widowControl w:val="0"/>
        <w:rPr>
          <w:lang w:eastAsia="es-MX"/>
        </w:rPr>
      </w:pPr>
    </w:p>
    <w:p w14:paraId="31322DC8" w14:textId="713ED676" w:rsidR="0017489D" w:rsidRPr="00746ACE" w:rsidRDefault="0017489D" w:rsidP="000B69F5">
      <w:pPr>
        <w:pStyle w:val="Ttulo3"/>
        <w:keepNext w:val="0"/>
        <w:keepLines w:val="0"/>
        <w:widowControl w:val="0"/>
        <w:jc w:val="both"/>
        <w:rPr>
          <w:rFonts w:cs="Times New Roman"/>
          <w:color w:val="auto"/>
          <w:sz w:val="28"/>
          <w:szCs w:val="28"/>
          <w:lang w:val="es-ES" w:eastAsia="es-MX"/>
        </w:rPr>
      </w:pPr>
      <w:bookmarkStart w:id="52" w:name="_Toc233384202"/>
      <w:r w:rsidRPr="00746ACE">
        <w:rPr>
          <w:rFonts w:cs="Times New Roman"/>
          <w:color w:val="auto"/>
          <w:sz w:val="28"/>
          <w:szCs w:val="28"/>
          <w:lang w:val="es-ES" w:eastAsia="es-MX"/>
        </w:rPr>
        <w:t xml:space="preserve">El artículo 129 de la Ley </w:t>
      </w:r>
      <w:r w:rsidR="002B56C8" w:rsidRPr="00746ACE">
        <w:rPr>
          <w:rFonts w:cs="Times New Roman"/>
          <w:color w:val="auto"/>
          <w:sz w:val="28"/>
          <w:szCs w:val="28"/>
          <w:lang w:val="es-ES" w:eastAsia="es-MX"/>
        </w:rPr>
        <w:t xml:space="preserve">Estatutaria </w:t>
      </w:r>
      <w:r w:rsidRPr="00746ACE">
        <w:rPr>
          <w:rFonts w:cs="Times New Roman"/>
          <w:color w:val="auto"/>
          <w:sz w:val="28"/>
          <w:szCs w:val="28"/>
          <w:lang w:val="es-ES" w:eastAsia="es-MX"/>
        </w:rPr>
        <w:t xml:space="preserve">de la </w:t>
      </w:r>
      <w:r w:rsidR="002B56C8" w:rsidRPr="00746ACE">
        <w:rPr>
          <w:rFonts w:cs="Times New Roman"/>
          <w:color w:val="auto"/>
          <w:sz w:val="28"/>
          <w:szCs w:val="28"/>
          <w:lang w:val="es-ES" w:eastAsia="es-MX"/>
        </w:rPr>
        <w:t xml:space="preserve">Administración </w:t>
      </w:r>
      <w:r w:rsidRPr="00746ACE">
        <w:rPr>
          <w:rFonts w:cs="Times New Roman"/>
          <w:color w:val="auto"/>
          <w:sz w:val="28"/>
          <w:szCs w:val="28"/>
          <w:lang w:val="es-ES" w:eastAsia="es-MX"/>
        </w:rPr>
        <w:t xml:space="preserve">de </w:t>
      </w:r>
      <w:r w:rsidR="002B56C8" w:rsidRPr="00746ACE">
        <w:rPr>
          <w:rFonts w:cs="Times New Roman"/>
          <w:color w:val="auto"/>
          <w:sz w:val="28"/>
          <w:szCs w:val="28"/>
          <w:lang w:val="es-ES"/>
        </w:rPr>
        <w:t>Justicia en la JEP</w:t>
      </w:r>
      <w:bookmarkEnd w:id="52"/>
    </w:p>
    <w:p w14:paraId="6D1325F3" w14:textId="77777777" w:rsidR="0017489D" w:rsidRPr="00746ACE" w:rsidRDefault="0017489D" w:rsidP="00FC0DFB">
      <w:pPr>
        <w:pStyle w:val="Prrafodelista"/>
        <w:widowControl w:val="0"/>
        <w:rPr>
          <w:lang w:eastAsia="es-MX"/>
        </w:rPr>
      </w:pPr>
    </w:p>
    <w:p w14:paraId="12A3C262" w14:textId="66AB1513" w:rsidR="0017489D" w:rsidRPr="00746ACE" w:rsidRDefault="00DD4E06" w:rsidP="00FC0DFB">
      <w:pPr>
        <w:pStyle w:val="Prrafodelista"/>
        <w:widowControl w:val="0"/>
        <w:numPr>
          <w:ilvl w:val="0"/>
          <w:numId w:val="7"/>
        </w:numPr>
      </w:pPr>
      <w:r w:rsidRPr="00746ACE">
        <w:rPr>
          <w:lang w:eastAsia="es-MX"/>
        </w:rPr>
        <w:t xml:space="preserve">Otro </w:t>
      </w:r>
      <w:r w:rsidR="00EE672C" w:rsidRPr="00746ACE">
        <w:rPr>
          <w:lang w:eastAsia="es-MX"/>
        </w:rPr>
        <w:t xml:space="preserve">fundamento de las decisiones adoptadas por la JEP y analizadas en este proceso </w:t>
      </w:r>
      <w:r w:rsidR="0043161D" w:rsidRPr="00746ACE">
        <w:rPr>
          <w:lang w:eastAsia="es-MX"/>
        </w:rPr>
        <w:t>es</w:t>
      </w:r>
      <w:r w:rsidR="00EE672C" w:rsidRPr="00746ACE">
        <w:rPr>
          <w:lang w:eastAsia="es-MX"/>
        </w:rPr>
        <w:t xml:space="preserve"> la existencia del artículo 129 de la Ley </w:t>
      </w:r>
      <w:r w:rsidR="002B56C8" w:rsidRPr="00746ACE">
        <w:rPr>
          <w:lang w:eastAsia="es-MX"/>
        </w:rPr>
        <w:t xml:space="preserve">Estatutaria </w:t>
      </w:r>
      <w:r w:rsidR="00EE672C" w:rsidRPr="00746ACE">
        <w:rPr>
          <w:lang w:eastAsia="es-MX"/>
        </w:rPr>
        <w:t xml:space="preserve">de </w:t>
      </w:r>
      <w:r w:rsidR="002B56C8" w:rsidRPr="00746ACE">
        <w:rPr>
          <w:lang w:eastAsia="es-MX"/>
        </w:rPr>
        <w:t xml:space="preserve">Administración </w:t>
      </w:r>
      <w:r w:rsidR="00EE672C" w:rsidRPr="00746ACE">
        <w:rPr>
          <w:lang w:eastAsia="es-MX"/>
        </w:rPr>
        <w:t xml:space="preserve">de </w:t>
      </w:r>
      <w:r w:rsidR="002B56C8" w:rsidRPr="00746ACE">
        <w:rPr>
          <w:lang w:eastAsia="es-MX"/>
        </w:rPr>
        <w:t xml:space="preserve">Justicia </w:t>
      </w:r>
      <w:r w:rsidR="00EE672C" w:rsidRPr="00746ACE">
        <w:rPr>
          <w:lang w:eastAsia="es-MX"/>
        </w:rPr>
        <w:t xml:space="preserve">en la JEP, según el cual podrán imponerse sanciones propias o alternativas de 2 a 5 años a partícipes no determinantes. Justamente, en virtud de este artículo, la Sección de </w:t>
      </w:r>
      <w:r w:rsidR="00B960D6" w:rsidRPr="00746ACE">
        <w:rPr>
          <w:lang w:eastAsia="es-MX"/>
        </w:rPr>
        <w:t>A</w:t>
      </w:r>
      <w:r w:rsidR="00EE672C" w:rsidRPr="00746ACE">
        <w:rPr>
          <w:lang w:eastAsia="es-MX"/>
        </w:rPr>
        <w:t>pelación comenz</w:t>
      </w:r>
      <w:r w:rsidR="002B56C8" w:rsidRPr="00746ACE">
        <w:rPr>
          <w:lang w:eastAsia="es-MX"/>
        </w:rPr>
        <w:t>ó</w:t>
      </w:r>
      <w:r w:rsidR="00EE672C" w:rsidRPr="00746ACE">
        <w:rPr>
          <w:lang w:eastAsia="es-MX"/>
        </w:rPr>
        <w:t xml:space="preserve"> a concebir el punto medio de responsabilidad. El artículo 129 de la L</w:t>
      </w:r>
      <w:r w:rsidR="00B960D6" w:rsidRPr="00746ACE">
        <w:rPr>
          <w:lang w:eastAsia="es-MX"/>
        </w:rPr>
        <w:t>ey Estatutaria de Administración de Justicia en la JEP</w:t>
      </w:r>
      <w:r w:rsidR="00EE672C" w:rsidRPr="00746ACE">
        <w:rPr>
          <w:lang w:eastAsia="es-MX"/>
        </w:rPr>
        <w:t xml:space="preserve"> parece reflejar una contradicción en el nivel de las normas supralegales del sistema, pues, si la </w:t>
      </w:r>
      <w:r w:rsidR="00EE672C" w:rsidRPr="00746ACE">
        <w:rPr>
          <w:i/>
          <w:lang w:eastAsia="es-MX"/>
        </w:rPr>
        <w:t xml:space="preserve">sanción </w:t>
      </w:r>
      <w:r w:rsidR="00EE672C" w:rsidRPr="00746ACE">
        <w:rPr>
          <w:lang w:eastAsia="es-MX"/>
        </w:rPr>
        <w:t xml:space="preserve">se concentra en los máximos responsables y los partícipes determinantes no lo son, entonces la posibilidad misma de que </w:t>
      </w:r>
      <w:r w:rsidR="0043161D" w:rsidRPr="00746ACE">
        <w:rPr>
          <w:lang w:eastAsia="es-MX"/>
        </w:rPr>
        <w:t>sean sancionados es llamativa.</w:t>
      </w:r>
      <w:r w:rsidR="00EE672C" w:rsidRPr="00746ACE">
        <w:rPr>
          <w:lang w:eastAsia="es-MX"/>
        </w:rPr>
        <w:t xml:space="preserve"> </w:t>
      </w:r>
    </w:p>
    <w:p w14:paraId="2F64DAAE" w14:textId="77777777" w:rsidR="0017489D" w:rsidRPr="00746ACE" w:rsidRDefault="0017489D" w:rsidP="00FC0DFB">
      <w:pPr>
        <w:pStyle w:val="Prrafodelista"/>
        <w:widowControl w:val="0"/>
        <w:ind w:left="0"/>
      </w:pPr>
    </w:p>
    <w:p w14:paraId="4B261E13" w14:textId="77777777" w:rsidR="00060DCF" w:rsidRPr="00746ACE" w:rsidRDefault="00060DCF" w:rsidP="00CF1AD1">
      <w:pPr>
        <w:pStyle w:val="Prrafodelista"/>
        <w:widowControl w:val="0"/>
        <w:numPr>
          <w:ilvl w:val="0"/>
          <w:numId w:val="7"/>
        </w:numPr>
      </w:pPr>
      <w:r w:rsidRPr="00746ACE">
        <w:rPr>
          <w:lang w:eastAsia="es-MX"/>
        </w:rPr>
        <w:t xml:space="preserve">Sin embargo, es necesario recordar que ya la Corte Constitucional analizó la validez de este artículo en la Sentencia C-080 de 2019, y concluyó que esta norma se ajusta a la Constitución Política. </w:t>
      </w:r>
    </w:p>
    <w:p w14:paraId="105CA914" w14:textId="77777777" w:rsidR="00060DCF" w:rsidRPr="00746ACE" w:rsidRDefault="00060DCF" w:rsidP="00CF1AD1">
      <w:pPr>
        <w:pStyle w:val="Prrafodelista"/>
        <w:widowControl w:val="0"/>
        <w:rPr>
          <w:lang w:eastAsia="es-MX"/>
        </w:rPr>
      </w:pPr>
    </w:p>
    <w:p w14:paraId="4DCF2680" w14:textId="0A9C01A0" w:rsidR="00060DCF" w:rsidRPr="00746ACE" w:rsidRDefault="00060DCF" w:rsidP="00CF1AD1">
      <w:pPr>
        <w:pStyle w:val="Prrafodelista"/>
        <w:widowControl w:val="0"/>
        <w:numPr>
          <w:ilvl w:val="0"/>
          <w:numId w:val="7"/>
        </w:numPr>
      </w:pPr>
      <w:r w:rsidRPr="00746ACE">
        <w:rPr>
          <w:lang w:eastAsia="es-MX"/>
        </w:rPr>
        <w:t>Si bien el estudio de la Sentencia C-080 de 2019 es escueto en torno a las sanciones inferiores a 5 años, dado que se limita a mencionar que se trata de un desarrollo del principio de legalidad de la pena, y que no constituye ni amnistía, ni indulto, ni renuncia a la persecución penal, lo cierto es que en un estudio sistemático de la Ley 1957 de 2019 y las demás consideraciones de la sentencia citada, esta facultad solo encuentra sentido si es aplicada por la Sección con Reconocimiento de Verdad y Responsabilidad.</w:t>
      </w:r>
    </w:p>
    <w:p w14:paraId="1F04EC38" w14:textId="77777777" w:rsidR="00060DCF" w:rsidRPr="00746ACE" w:rsidRDefault="00060DCF" w:rsidP="00CF1AD1">
      <w:pPr>
        <w:pStyle w:val="Prrafodelista"/>
        <w:widowControl w:val="0"/>
        <w:rPr>
          <w:lang w:eastAsia="es-MX"/>
        </w:rPr>
      </w:pPr>
    </w:p>
    <w:p w14:paraId="1AE6F384" w14:textId="6E2E570F" w:rsidR="0017489D" w:rsidRPr="00746ACE" w:rsidRDefault="00AC6983" w:rsidP="00FC0DFB">
      <w:pPr>
        <w:pStyle w:val="Prrafodelista"/>
        <w:widowControl w:val="0"/>
        <w:numPr>
          <w:ilvl w:val="0"/>
          <w:numId w:val="7"/>
        </w:numPr>
      </w:pPr>
      <w:r w:rsidRPr="00746ACE">
        <w:rPr>
          <w:lang w:eastAsia="es-MX"/>
        </w:rPr>
        <w:t>Desde esta mirada sistemática</w:t>
      </w:r>
      <w:r w:rsidR="00060DCF" w:rsidRPr="00746ACE">
        <w:rPr>
          <w:lang w:eastAsia="es-MX"/>
        </w:rPr>
        <w:t>,</w:t>
      </w:r>
      <w:r w:rsidR="00EE672C" w:rsidRPr="00746ACE">
        <w:rPr>
          <w:lang w:eastAsia="es-MX"/>
        </w:rPr>
        <w:t xml:space="preserve"> el artículo 129 de la Ley </w:t>
      </w:r>
      <w:r w:rsidR="00B960D6" w:rsidRPr="00746ACE">
        <w:rPr>
          <w:lang w:eastAsia="es-MX"/>
        </w:rPr>
        <w:t>E</w:t>
      </w:r>
      <w:r w:rsidR="00EE672C" w:rsidRPr="00746ACE">
        <w:rPr>
          <w:lang w:eastAsia="es-MX"/>
        </w:rPr>
        <w:t xml:space="preserve">statutaria de </w:t>
      </w:r>
      <w:r w:rsidR="00B960D6" w:rsidRPr="00746ACE">
        <w:rPr>
          <w:lang w:eastAsia="es-MX"/>
        </w:rPr>
        <w:t>A</w:t>
      </w:r>
      <w:r w:rsidR="00EE672C" w:rsidRPr="00746ACE">
        <w:rPr>
          <w:lang w:eastAsia="es-MX"/>
        </w:rPr>
        <w:t xml:space="preserve">dministración de </w:t>
      </w:r>
      <w:r w:rsidR="00B960D6" w:rsidRPr="00746ACE">
        <w:rPr>
          <w:lang w:eastAsia="es-MX"/>
        </w:rPr>
        <w:t>J</w:t>
      </w:r>
      <w:r w:rsidR="00EE672C" w:rsidRPr="00746ACE">
        <w:rPr>
          <w:lang w:eastAsia="es-MX"/>
        </w:rPr>
        <w:t>usticia no puede ser leído de manera tal que implique la apertura de la concentración de la investigación, juzgamiento y sanción en los máximos responsables de los crímenes más graves y representativos. Es claro, además, que estos partícipes no determinantes deberían recibir sanciones inferiores a cinco años</w:t>
      </w:r>
      <w:r w:rsidR="0043161D" w:rsidRPr="00746ACE">
        <w:rPr>
          <w:lang w:eastAsia="es-MX"/>
        </w:rPr>
        <w:t>,</w:t>
      </w:r>
      <w:r w:rsidR="00EE672C" w:rsidRPr="00746ACE">
        <w:rPr>
          <w:lang w:eastAsia="es-MX"/>
        </w:rPr>
        <w:t xml:space="preserve"> y no de carácter ordinario, de hasta 20 años de prisión. </w:t>
      </w:r>
    </w:p>
    <w:p w14:paraId="2918DA42" w14:textId="77777777" w:rsidR="0017489D" w:rsidRPr="00746ACE" w:rsidRDefault="0017489D" w:rsidP="00FC0DFB">
      <w:pPr>
        <w:pStyle w:val="Prrafodelista"/>
        <w:widowControl w:val="0"/>
        <w:rPr>
          <w:lang w:eastAsia="es-MX"/>
        </w:rPr>
      </w:pPr>
    </w:p>
    <w:p w14:paraId="3979DE82" w14:textId="249C8DDA" w:rsidR="0017489D" w:rsidRPr="00746ACE" w:rsidRDefault="00B960D6" w:rsidP="00FC0DFB">
      <w:pPr>
        <w:pStyle w:val="Prrafodelista"/>
        <w:widowControl w:val="0"/>
        <w:numPr>
          <w:ilvl w:val="0"/>
          <w:numId w:val="7"/>
        </w:numPr>
      </w:pPr>
      <w:r w:rsidRPr="00746ACE">
        <w:rPr>
          <w:lang w:eastAsia="es-MX"/>
        </w:rPr>
        <w:t xml:space="preserve">Esta aproximación sistemática al artículo 129 de la citada ley conduce a la </w:t>
      </w:r>
      <w:r w:rsidR="0043161D" w:rsidRPr="00746ACE">
        <w:rPr>
          <w:lang w:eastAsia="es-MX"/>
        </w:rPr>
        <w:t>Sala Plena</w:t>
      </w:r>
      <w:r w:rsidRPr="00746ACE">
        <w:rPr>
          <w:lang w:eastAsia="es-MX"/>
        </w:rPr>
        <w:t xml:space="preserve"> a concluir que el </w:t>
      </w:r>
      <w:r w:rsidR="00063A92" w:rsidRPr="00746ACE">
        <w:rPr>
          <w:lang w:eastAsia="es-MX"/>
        </w:rPr>
        <w:t xml:space="preserve">artículo </w:t>
      </w:r>
      <w:r w:rsidRPr="00746ACE">
        <w:rPr>
          <w:lang w:eastAsia="es-MX"/>
        </w:rPr>
        <w:t xml:space="preserve">citado </w:t>
      </w:r>
      <w:r w:rsidR="00063A92" w:rsidRPr="00746ACE">
        <w:rPr>
          <w:lang w:eastAsia="es-MX"/>
        </w:rPr>
        <w:t>solo</w:t>
      </w:r>
      <w:r w:rsidR="00EE672C" w:rsidRPr="00746ACE">
        <w:rPr>
          <w:lang w:eastAsia="es-MX"/>
        </w:rPr>
        <w:t xml:space="preserve"> puede ser aplicado por la Sala de Reconocimiento de Verdad y Responsabilidad </w:t>
      </w:r>
      <w:r w:rsidR="002021A9" w:rsidRPr="00746ACE">
        <w:rPr>
          <w:lang w:eastAsia="es-MX"/>
        </w:rPr>
        <w:t xml:space="preserve">como </w:t>
      </w:r>
      <w:r w:rsidR="00EE672C" w:rsidRPr="00746ACE">
        <w:rPr>
          <w:lang w:eastAsia="es-MX"/>
        </w:rPr>
        <w:t xml:space="preserve">ejercicio </w:t>
      </w:r>
      <w:r w:rsidR="00EE672C" w:rsidRPr="00746ACE">
        <w:rPr>
          <w:i/>
          <w:lang w:eastAsia="es-MX"/>
        </w:rPr>
        <w:t xml:space="preserve">excepcional </w:t>
      </w:r>
      <w:r w:rsidR="00EE672C" w:rsidRPr="00746ACE">
        <w:rPr>
          <w:lang w:eastAsia="es-MX"/>
        </w:rPr>
        <w:t xml:space="preserve">y </w:t>
      </w:r>
      <w:r w:rsidR="00EE672C" w:rsidRPr="00746ACE">
        <w:rPr>
          <w:i/>
          <w:lang w:eastAsia="es-MX"/>
        </w:rPr>
        <w:t xml:space="preserve">facultativo </w:t>
      </w:r>
      <w:r w:rsidR="00EE672C" w:rsidRPr="00746ACE">
        <w:rPr>
          <w:lang w:eastAsia="es-MX"/>
        </w:rPr>
        <w:t>(debido al uso del verbo “podrá”) de selección positiva</w:t>
      </w:r>
      <w:r w:rsidR="002021A9" w:rsidRPr="00746ACE">
        <w:rPr>
          <w:lang w:eastAsia="es-MX"/>
        </w:rPr>
        <w:t>,</w:t>
      </w:r>
      <w:r w:rsidR="00EE672C" w:rsidRPr="00746ACE">
        <w:rPr>
          <w:lang w:eastAsia="es-MX"/>
        </w:rPr>
        <w:t xml:space="preserve"> </w:t>
      </w:r>
      <w:r w:rsidR="002021A9" w:rsidRPr="00746ACE">
        <w:rPr>
          <w:lang w:eastAsia="es-MX"/>
        </w:rPr>
        <w:t>pues</w:t>
      </w:r>
      <w:r w:rsidR="00EE672C" w:rsidRPr="00746ACE">
        <w:rPr>
          <w:lang w:eastAsia="es-MX"/>
        </w:rPr>
        <w:t xml:space="preserve">, como se concluyó en el capítulo anterior, solo </w:t>
      </w:r>
      <w:r w:rsidRPr="00746ACE">
        <w:rPr>
          <w:lang w:eastAsia="es-MX"/>
        </w:rPr>
        <w:t xml:space="preserve">la </w:t>
      </w:r>
      <w:r w:rsidR="00EE672C" w:rsidRPr="00746ACE">
        <w:rPr>
          <w:lang w:eastAsia="es-MX"/>
        </w:rPr>
        <w:t xml:space="preserve">Sala </w:t>
      </w:r>
      <w:r w:rsidRPr="00746ACE">
        <w:rPr>
          <w:lang w:eastAsia="es-MX"/>
        </w:rPr>
        <w:t xml:space="preserve">de </w:t>
      </w:r>
      <w:r w:rsidR="002B56C8" w:rsidRPr="00746ACE">
        <w:rPr>
          <w:lang w:eastAsia="es-MX"/>
        </w:rPr>
        <w:t xml:space="preserve">Reconocimiento </w:t>
      </w:r>
      <w:r w:rsidR="00EE672C" w:rsidRPr="00746ACE">
        <w:rPr>
          <w:lang w:eastAsia="es-MX"/>
        </w:rPr>
        <w:t xml:space="preserve">cuenta con </w:t>
      </w:r>
      <w:r w:rsidRPr="00746ACE">
        <w:rPr>
          <w:lang w:eastAsia="es-MX"/>
        </w:rPr>
        <w:t xml:space="preserve">la </w:t>
      </w:r>
      <w:r w:rsidR="00EE672C" w:rsidRPr="00746ACE">
        <w:rPr>
          <w:lang w:eastAsia="es-MX"/>
        </w:rPr>
        <w:t>potestad</w:t>
      </w:r>
      <w:r w:rsidRPr="00746ACE">
        <w:rPr>
          <w:lang w:eastAsia="es-MX"/>
        </w:rPr>
        <w:t xml:space="preserve"> de selección positiva</w:t>
      </w:r>
      <w:r w:rsidR="00EE672C" w:rsidRPr="00746ACE">
        <w:rPr>
          <w:lang w:eastAsia="es-MX"/>
        </w:rPr>
        <w:t>.</w:t>
      </w:r>
    </w:p>
    <w:p w14:paraId="1359F47A" w14:textId="77777777" w:rsidR="0017489D" w:rsidRPr="00746ACE" w:rsidRDefault="0017489D" w:rsidP="00FC0DFB">
      <w:pPr>
        <w:pStyle w:val="Prrafodelista"/>
        <w:widowControl w:val="0"/>
        <w:rPr>
          <w:lang w:eastAsia="es-MX"/>
        </w:rPr>
      </w:pPr>
    </w:p>
    <w:p w14:paraId="72F5B6C9" w14:textId="5FD4318A" w:rsidR="00B960D6" w:rsidRPr="00746ACE" w:rsidRDefault="00EE672C" w:rsidP="00FC0DFB">
      <w:pPr>
        <w:pStyle w:val="Prrafodelista"/>
        <w:widowControl w:val="0"/>
        <w:numPr>
          <w:ilvl w:val="0"/>
          <w:numId w:val="7"/>
        </w:numPr>
      </w:pPr>
      <w:r w:rsidRPr="00746ACE">
        <w:rPr>
          <w:lang w:eastAsia="es-MX"/>
        </w:rPr>
        <w:t>La razón de esta exclusividad</w:t>
      </w:r>
      <w:r w:rsidR="00B960D6" w:rsidRPr="00746ACE">
        <w:rPr>
          <w:lang w:eastAsia="es-MX"/>
        </w:rPr>
        <w:t xml:space="preserve"> </w:t>
      </w:r>
      <w:r w:rsidRPr="00746ACE">
        <w:rPr>
          <w:lang w:eastAsia="es-MX"/>
        </w:rPr>
        <w:t xml:space="preserve">se basa en la comprensión integral del sistema, </w:t>
      </w:r>
      <w:r w:rsidR="00060DCF" w:rsidRPr="00746ACE">
        <w:rPr>
          <w:lang w:eastAsia="es-MX"/>
        </w:rPr>
        <w:t xml:space="preserve">bajo la luz del principio constitucional </w:t>
      </w:r>
      <w:r w:rsidR="00C03C1A" w:rsidRPr="00746ACE">
        <w:rPr>
          <w:lang w:eastAsia="es-MX"/>
        </w:rPr>
        <w:t xml:space="preserve">y transicional </w:t>
      </w:r>
      <w:r w:rsidR="00060DCF" w:rsidRPr="00746ACE">
        <w:rPr>
          <w:lang w:eastAsia="es-MX"/>
        </w:rPr>
        <w:t>de selección.</w:t>
      </w:r>
      <w:r w:rsidRPr="00746ACE">
        <w:rPr>
          <w:lang w:eastAsia="es-MX"/>
        </w:rPr>
        <w:t xml:space="preserve"> </w:t>
      </w:r>
    </w:p>
    <w:p w14:paraId="5772241F" w14:textId="77777777" w:rsidR="00B960D6" w:rsidRPr="00746ACE" w:rsidRDefault="00B960D6" w:rsidP="00CF1AD1">
      <w:pPr>
        <w:pStyle w:val="Prrafodelista"/>
        <w:widowControl w:val="0"/>
        <w:rPr>
          <w:lang w:eastAsia="es-MX"/>
        </w:rPr>
      </w:pPr>
    </w:p>
    <w:p w14:paraId="1BDBD92B" w14:textId="2CFEB2D3" w:rsidR="002075E5" w:rsidRPr="00746ACE" w:rsidRDefault="00B960D6" w:rsidP="00FC0DFB">
      <w:pPr>
        <w:pStyle w:val="Prrafodelista"/>
        <w:widowControl w:val="0"/>
        <w:numPr>
          <w:ilvl w:val="0"/>
          <w:numId w:val="7"/>
        </w:numPr>
      </w:pPr>
      <w:r w:rsidRPr="00746ACE">
        <w:rPr>
          <w:lang w:eastAsia="es-MX"/>
        </w:rPr>
        <w:t>L</w:t>
      </w:r>
      <w:r w:rsidR="00EE672C" w:rsidRPr="00746ACE">
        <w:rPr>
          <w:lang w:eastAsia="es-MX"/>
        </w:rPr>
        <w:t xml:space="preserve">a Sala de Reconocimiento de Verdad y Responsabilidad tiene la función de ejercer la priorización, relatoría y sustanciación de los macro casos que investiga y juzga la JEP. Esta misión incluye la recepción de versiones voluntarias de cientos de comparecientes, así como las observaciones y demandas de verdad y reparación de las víctimas. </w:t>
      </w:r>
      <w:r w:rsidR="002B56C8" w:rsidRPr="00746ACE">
        <w:rPr>
          <w:lang w:eastAsia="es-MX"/>
        </w:rPr>
        <w:t xml:space="preserve">Dicha </w:t>
      </w:r>
      <w:r w:rsidR="00EE672C" w:rsidRPr="00746ACE">
        <w:rPr>
          <w:lang w:eastAsia="es-MX"/>
        </w:rPr>
        <w:t>Sala</w:t>
      </w:r>
      <w:r w:rsidRPr="00746ACE">
        <w:rPr>
          <w:lang w:eastAsia="es-MX"/>
        </w:rPr>
        <w:t xml:space="preserve"> </w:t>
      </w:r>
      <w:r w:rsidR="00EE672C" w:rsidRPr="00746ACE">
        <w:rPr>
          <w:lang w:eastAsia="es-MX"/>
        </w:rPr>
        <w:t>tiene una facultad amplia de decreto de pruebas y, con base en estas tres fuentes de conocimiento</w:t>
      </w:r>
      <w:r w:rsidR="00060DCF" w:rsidRPr="00746ACE">
        <w:rPr>
          <w:lang w:eastAsia="es-MX"/>
        </w:rPr>
        <w:t>,</w:t>
      </w:r>
      <w:r w:rsidR="00EE672C" w:rsidRPr="00746ACE">
        <w:rPr>
          <w:lang w:eastAsia="es-MX"/>
        </w:rPr>
        <w:t xml:space="preserve"> debe efectuar un ejercicio de </w:t>
      </w:r>
      <w:r w:rsidR="00EE672C" w:rsidRPr="00746ACE">
        <w:rPr>
          <w:i/>
          <w:lang w:eastAsia="es-MX"/>
        </w:rPr>
        <w:t xml:space="preserve">contrastación </w:t>
      </w:r>
      <w:r w:rsidR="00EE672C" w:rsidRPr="00746ACE">
        <w:rPr>
          <w:lang w:eastAsia="es-MX"/>
        </w:rPr>
        <w:t>para aproximarse a la verdad: una verdad compleja, donde confluyen narrativas de sujetos que conocieron, participaron y sufrieron el conflicto</w:t>
      </w:r>
      <w:r w:rsidR="00282971" w:rsidRPr="00746ACE">
        <w:rPr>
          <w:lang w:eastAsia="es-MX"/>
        </w:rPr>
        <w:t>; y una verdad</w:t>
      </w:r>
      <w:r w:rsidR="00EE672C" w:rsidRPr="00746ACE">
        <w:rPr>
          <w:lang w:eastAsia="es-MX"/>
        </w:rPr>
        <w:t xml:space="preserve"> que </w:t>
      </w:r>
      <w:r w:rsidR="00282971" w:rsidRPr="00746ACE">
        <w:rPr>
          <w:lang w:eastAsia="es-MX"/>
        </w:rPr>
        <w:t>exige</w:t>
      </w:r>
      <w:r w:rsidR="00EE672C" w:rsidRPr="00746ACE">
        <w:rPr>
          <w:lang w:eastAsia="es-MX"/>
        </w:rPr>
        <w:t xml:space="preserve"> la indagación por contextos, políticas y patrones criminales. </w:t>
      </w:r>
    </w:p>
    <w:p w14:paraId="5C26F5F9" w14:textId="77777777" w:rsidR="002075E5" w:rsidRPr="00746ACE" w:rsidRDefault="002075E5" w:rsidP="00FC0DFB">
      <w:pPr>
        <w:pStyle w:val="Prrafodelista"/>
        <w:widowControl w:val="0"/>
        <w:rPr>
          <w:lang w:eastAsia="es-MX"/>
        </w:rPr>
      </w:pPr>
    </w:p>
    <w:p w14:paraId="5DB749DE" w14:textId="6CC35CC5" w:rsidR="002075E5" w:rsidRPr="00746ACE" w:rsidRDefault="00EE672C" w:rsidP="00FC0DFB">
      <w:pPr>
        <w:pStyle w:val="Prrafodelista"/>
        <w:widowControl w:val="0"/>
        <w:numPr>
          <w:ilvl w:val="0"/>
          <w:numId w:val="7"/>
        </w:numPr>
      </w:pPr>
      <w:r w:rsidRPr="00746ACE">
        <w:rPr>
          <w:lang w:eastAsia="es-MX"/>
        </w:rPr>
        <w:t xml:space="preserve">Es </w:t>
      </w:r>
      <w:r w:rsidR="00E546E4" w:rsidRPr="00746ACE">
        <w:rPr>
          <w:lang w:eastAsia="es-MX"/>
        </w:rPr>
        <w:t xml:space="preserve">un hecho </w:t>
      </w:r>
      <w:r w:rsidRPr="00746ACE">
        <w:rPr>
          <w:lang w:eastAsia="es-MX"/>
        </w:rPr>
        <w:t xml:space="preserve">que la propia ley estatutaria entiende que en el universo de los partícipes </w:t>
      </w:r>
      <w:r w:rsidRPr="00746ACE">
        <w:rPr>
          <w:i/>
          <w:lang w:eastAsia="es-MX"/>
        </w:rPr>
        <w:t xml:space="preserve">no determinantes </w:t>
      </w:r>
      <w:r w:rsidRPr="00746ACE">
        <w:rPr>
          <w:lang w:eastAsia="es-MX"/>
        </w:rPr>
        <w:t xml:space="preserve">que, analíticamente, </w:t>
      </w:r>
      <w:r w:rsidRPr="00746ACE">
        <w:rPr>
          <w:i/>
          <w:lang w:eastAsia="es-MX"/>
        </w:rPr>
        <w:t xml:space="preserve">no son </w:t>
      </w:r>
      <w:r w:rsidRPr="00746ACE">
        <w:rPr>
          <w:lang w:eastAsia="es-MX"/>
        </w:rPr>
        <w:t>máximos responsables, existen algunos que deberían recibir una sanción, aunque distinta a la de los máximos responsables. La razón institucional para llegar a esta conclusión reposa sobre el conocimiento de la Sala</w:t>
      </w:r>
      <w:r w:rsidR="002B56C8" w:rsidRPr="00746ACE">
        <w:rPr>
          <w:lang w:eastAsia="es-MX"/>
        </w:rPr>
        <w:t xml:space="preserve"> de Reconocimiento de Verdad y Responsabilidad</w:t>
      </w:r>
      <w:r w:rsidRPr="00746ACE">
        <w:rPr>
          <w:lang w:eastAsia="es-MX"/>
        </w:rPr>
        <w:t xml:space="preserve"> acerca del rol que cada participante tuvo en el conflicto, el daño que causó, su reconocimiento de responsabilidad y su voluntad y capacidad para reparar. </w:t>
      </w:r>
    </w:p>
    <w:p w14:paraId="5B999F84" w14:textId="77777777" w:rsidR="002075E5" w:rsidRPr="00746ACE" w:rsidRDefault="002075E5" w:rsidP="00FC0DFB">
      <w:pPr>
        <w:pStyle w:val="Prrafodelista"/>
        <w:widowControl w:val="0"/>
        <w:rPr>
          <w:lang w:eastAsia="es-MX"/>
        </w:rPr>
      </w:pPr>
    </w:p>
    <w:p w14:paraId="2F896AF0" w14:textId="7F0574FA" w:rsidR="002075E5" w:rsidRPr="00746ACE" w:rsidRDefault="00B960D6" w:rsidP="00FC0DFB">
      <w:pPr>
        <w:pStyle w:val="Prrafodelista"/>
        <w:widowControl w:val="0"/>
        <w:numPr>
          <w:ilvl w:val="0"/>
          <w:numId w:val="7"/>
        </w:numPr>
      </w:pPr>
      <w:r w:rsidRPr="00746ACE">
        <w:rPr>
          <w:lang w:eastAsia="es-MX"/>
        </w:rPr>
        <w:t>Así las cosas, e</w:t>
      </w:r>
      <w:r w:rsidR="00EE672C" w:rsidRPr="00746ACE">
        <w:rPr>
          <w:lang w:eastAsia="es-MX"/>
        </w:rPr>
        <w:t>l artículo 129 recuerda la complejidad del juzgamiento de los crímenes en el espectro de los miles de perpetradores</w:t>
      </w:r>
      <w:r w:rsidR="00093B4F" w:rsidRPr="00746ACE">
        <w:rPr>
          <w:lang w:eastAsia="es-MX"/>
        </w:rPr>
        <w:t>, p</w:t>
      </w:r>
      <w:r w:rsidR="00EE672C" w:rsidRPr="00746ACE">
        <w:rPr>
          <w:lang w:eastAsia="es-MX"/>
        </w:rPr>
        <w:t>ero no es un fundamento válido para la dispersión de la investigación, el juzgamiento y la sanción que genera la selección de segundo orden.</w:t>
      </w:r>
    </w:p>
    <w:p w14:paraId="45D846D0" w14:textId="77777777" w:rsidR="002075E5" w:rsidRPr="00746ACE" w:rsidRDefault="002075E5" w:rsidP="00FC0DFB">
      <w:pPr>
        <w:pStyle w:val="Prrafodelista"/>
        <w:widowControl w:val="0"/>
        <w:rPr>
          <w:lang w:eastAsia="es-MX"/>
        </w:rPr>
      </w:pPr>
    </w:p>
    <w:p w14:paraId="15217A4C" w14:textId="39DEEE52" w:rsidR="0043161D" w:rsidRPr="00746ACE" w:rsidRDefault="00B960D6" w:rsidP="00FC0DFB">
      <w:pPr>
        <w:pStyle w:val="Prrafodelista"/>
        <w:widowControl w:val="0"/>
        <w:numPr>
          <w:ilvl w:val="0"/>
          <w:numId w:val="7"/>
        </w:numPr>
      </w:pPr>
      <w:r w:rsidRPr="00746ACE">
        <w:rPr>
          <w:lang w:eastAsia="es-MX"/>
        </w:rPr>
        <w:t xml:space="preserve">La </w:t>
      </w:r>
      <w:r w:rsidR="00131102" w:rsidRPr="00746ACE">
        <w:rPr>
          <w:lang w:eastAsia="es-MX"/>
        </w:rPr>
        <w:t xml:space="preserve">Corte </w:t>
      </w:r>
      <w:r w:rsidRPr="00746ACE">
        <w:rPr>
          <w:lang w:eastAsia="es-MX"/>
        </w:rPr>
        <w:t>observ</w:t>
      </w:r>
      <w:r w:rsidR="00E546E4" w:rsidRPr="00746ACE">
        <w:rPr>
          <w:lang w:eastAsia="es-MX"/>
        </w:rPr>
        <w:t>a ahora</w:t>
      </w:r>
      <w:r w:rsidRPr="00746ACE">
        <w:rPr>
          <w:lang w:eastAsia="es-MX"/>
        </w:rPr>
        <w:t xml:space="preserve"> que </w:t>
      </w:r>
      <w:r w:rsidR="00EE672C" w:rsidRPr="00746ACE">
        <w:rPr>
          <w:lang w:eastAsia="es-MX"/>
        </w:rPr>
        <w:t>exist</w:t>
      </w:r>
      <w:r w:rsidR="00720FE7" w:rsidRPr="00746ACE">
        <w:rPr>
          <w:lang w:eastAsia="es-MX"/>
        </w:rPr>
        <w:t>e</w:t>
      </w:r>
      <w:r w:rsidR="004C696F" w:rsidRPr="00746ACE">
        <w:rPr>
          <w:lang w:eastAsia="es-MX"/>
        </w:rPr>
        <w:t xml:space="preserve">n ciertas dudas </w:t>
      </w:r>
      <w:r w:rsidR="00131102" w:rsidRPr="00746ACE">
        <w:rPr>
          <w:lang w:eastAsia="es-MX"/>
        </w:rPr>
        <w:t>dentro</w:t>
      </w:r>
      <w:r w:rsidR="00EE672C" w:rsidRPr="00746ACE">
        <w:rPr>
          <w:lang w:eastAsia="es-MX"/>
        </w:rPr>
        <w:t xml:space="preserve"> de la propia jurisdicción </w:t>
      </w:r>
      <w:r w:rsidR="004C696F" w:rsidRPr="00746ACE">
        <w:rPr>
          <w:lang w:eastAsia="es-MX"/>
        </w:rPr>
        <w:t xml:space="preserve">especial para la paz </w:t>
      </w:r>
      <w:r w:rsidR="00EE672C" w:rsidRPr="00746ACE">
        <w:rPr>
          <w:lang w:eastAsia="es-MX"/>
        </w:rPr>
        <w:t xml:space="preserve">en torno a la dicotomía </w:t>
      </w:r>
      <w:r w:rsidR="00EE672C" w:rsidRPr="00746ACE">
        <w:rPr>
          <w:i/>
          <w:lang w:eastAsia="es-MX"/>
        </w:rPr>
        <w:t xml:space="preserve">partícipe no determinante </w:t>
      </w:r>
      <w:r w:rsidR="00EE672C" w:rsidRPr="00746ACE">
        <w:rPr>
          <w:lang w:eastAsia="es-MX"/>
        </w:rPr>
        <w:t xml:space="preserve">y </w:t>
      </w:r>
      <w:r w:rsidR="00EE672C" w:rsidRPr="00746ACE">
        <w:rPr>
          <w:i/>
          <w:lang w:eastAsia="es-MX"/>
        </w:rPr>
        <w:t xml:space="preserve">máximo responsable. </w:t>
      </w:r>
      <w:r w:rsidR="0043161D" w:rsidRPr="00746ACE">
        <w:rPr>
          <w:iCs/>
          <w:lang w:eastAsia="es-MX"/>
        </w:rPr>
        <w:t>Esta se muestra de dos maneras</w:t>
      </w:r>
      <w:r w:rsidR="004F1CCD" w:rsidRPr="00746ACE">
        <w:rPr>
          <w:iCs/>
          <w:lang w:eastAsia="es-MX"/>
        </w:rPr>
        <w:t>. Primero</w:t>
      </w:r>
      <w:r w:rsidR="0043161D" w:rsidRPr="00746ACE">
        <w:rPr>
          <w:iCs/>
          <w:lang w:eastAsia="es-MX"/>
        </w:rPr>
        <w:t xml:space="preserve"> mediante la apertura del espectro de responsabilidad, ya mencionada, y </w:t>
      </w:r>
      <w:r w:rsidR="004F1CCD" w:rsidRPr="00746ACE">
        <w:rPr>
          <w:iCs/>
          <w:lang w:eastAsia="es-MX"/>
        </w:rPr>
        <w:t xml:space="preserve">segundo, </w:t>
      </w:r>
      <w:r w:rsidR="0043161D" w:rsidRPr="00746ACE">
        <w:rPr>
          <w:iCs/>
          <w:lang w:eastAsia="es-MX"/>
        </w:rPr>
        <w:t xml:space="preserve">mediante la pregunta de qué ocurre si la selección realizada por la Sala de Reconocimiento de Verdad y Responsabilidad deja por fuera a sujetos que debieron ser incluidos en la resolución de conclusiones. </w:t>
      </w:r>
    </w:p>
    <w:p w14:paraId="405D7C31" w14:textId="77777777" w:rsidR="0043161D" w:rsidRPr="00746ACE" w:rsidRDefault="0043161D" w:rsidP="00CF1AD1">
      <w:pPr>
        <w:pStyle w:val="Prrafodelista"/>
        <w:widowControl w:val="0"/>
        <w:rPr>
          <w:lang w:eastAsia="es-MX"/>
        </w:rPr>
      </w:pPr>
    </w:p>
    <w:p w14:paraId="5D7241AF" w14:textId="49C463BE" w:rsidR="002075E5" w:rsidRPr="00746ACE" w:rsidRDefault="004C696F" w:rsidP="00FC0DFB">
      <w:pPr>
        <w:pStyle w:val="Prrafodelista"/>
        <w:widowControl w:val="0"/>
        <w:numPr>
          <w:ilvl w:val="0"/>
          <w:numId w:val="7"/>
        </w:numPr>
      </w:pPr>
      <w:r w:rsidRPr="00746ACE">
        <w:rPr>
          <w:lang w:eastAsia="es-MX"/>
        </w:rPr>
        <w:t xml:space="preserve">Estas dudas son comprensibles por la complejidad de la misión de la JEP en la satisfacción de los derechos de las víctimas y el ejercicio del deber de investigar, juzgar y sancionar los crímenes más graves. </w:t>
      </w:r>
      <w:r w:rsidR="004F1CCD" w:rsidRPr="00746ACE">
        <w:rPr>
          <w:lang w:eastAsia="es-MX"/>
        </w:rPr>
        <w:t xml:space="preserve">Sin embargo, </w:t>
      </w:r>
      <w:r w:rsidR="00EE672C" w:rsidRPr="00746ACE">
        <w:rPr>
          <w:lang w:eastAsia="es-MX"/>
        </w:rPr>
        <w:t xml:space="preserve">ello no puede conducir a un ejercicio en el que la Sala de Definición de Situaciones Jurídicas, en la lógica caso a caso, convierta </w:t>
      </w:r>
      <w:r w:rsidR="001206CF" w:rsidRPr="00746ACE">
        <w:rPr>
          <w:lang w:eastAsia="es-MX"/>
        </w:rPr>
        <w:t xml:space="preserve">a partícipes no determinantes </w:t>
      </w:r>
      <w:r w:rsidR="00EE672C" w:rsidRPr="00746ACE">
        <w:rPr>
          <w:lang w:eastAsia="es-MX"/>
        </w:rPr>
        <w:t xml:space="preserve">en máximos responsables, como si corrigiera la decisión de selección positiva de la Sala de Reconocimiento de Verdad. </w:t>
      </w:r>
      <w:r w:rsidR="001206CF" w:rsidRPr="00746ACE">
        <w:rPr>
          <w:lang w:eastAsia="es-MX"/>
        </w:rPr>
        <w:t>L</w:t>
      </w:r>
      <w:r w:rsidR="004F1CCD" w:rsidRPr="00746ACE">
        <w:rPr>
          <w:lang w:eastAsia="es-MX"/>
        </w:rPr>
        <w:t xml:space="preserve">a </w:t>
      </w:r>
      <w:r w:rsidR="0043161D" w:rsidRPr="00746ACE">
        <w:rPr>
          <w:lang w:eastAsia="es-MX"/>
        </w:rPr>
        <w:t xml:space="preserve">revisión de errores (hipotéticos o reales) de </w:t>
      </w:r>
      <w:r w:rsidR="001206CF" w:rsidRPr="00746ACE">
        <w:rPr>
          <w:lang w:eastAsia="es-MX"/>
        </w:rPr>
        <w:t xml:space="preserve">la </w:t>
      </w:r>
      <w:r w:rsidR="0043161D" w:rsidRPr="00746ACE">
        <w:rPr>
          <w:lang w:eastAsia="es-MX"/>
        </w:rPr>
        <w:t xml:space="preserve">Sala </w:t>
      </w:r>
      <w:r w:rsidR="001206CF" w:rsidRPr="00746ACE">
        <w:rPr>
          <w:lang w:eastAsia="es-MX"/>
        </w:rPr>
        <w:t xml:space="preserve">de Reconocimiento </w:t>
      </w:r>
      <w:r w:rsidR="0043161D" w:rsidRPr="00746ACE">
        <w:rPr>
          <w:lang w:eastAsia="es-MX"/>
        </w:rPr>
        <w:t>solo puede llevarse a cabo</w:t>
      </w:r>
      <w:r w:rsidR="00EE672C" w:rsidRPr="00746ACE">
        <w:rPr>
          <w:lang w:eastAsia="es-MX"/>
        </w:rPr>
        <w:t xml:space="preserve"> mediante los recursos legales intra orgánicos o la siempre excepcional tutela contra providencia judicial.</w:t>
      </w:r>
    </w:p>
    <w:p w14:paraId="034EC745" w14:textId="77777777" w:rsidR="002075E5" w:rsidRPr="00746ACE" w:rsidRDefault="002075E5" w:rsidP="00FC0DFB">
      <w:pPr>
        <w:pStyle w:val="Prrafodelista"/>
        <w:widowControl w:val="0"/>
        <w:rPr>
          <w:lang w:eastAsia="es-MX"/>
        </w:rPr>
      </w:pPr>
    </w:p>
    <w:p w14:paraId="003F5CBD" w14:textId="5598B508" w:rsidR="002075E5" w:rsidRPr="00746ACE" w:rsidRDefault="00EE672C" w:rsidP="00FC0DFB">
      <w:pPr>
        <w:pStyle w:val="Prrafodelista"/>
        <w:widowControl w:val="0"/>
        <w:numPr>
          <w:ilvl w:val="0"/>
          <w:numId w:val="7"/>
        </w:numPr>
      </w:pPr>
      <w:r w:rsidRPr="00746ACE">
        <w:rPr>
          <w:lang w:eastAsia="es-MX"/>
        </w:rPr>
        <w:t xml:space="preserve">En suma, la Sala de </w:t>
      </w:r>
      <w:r w:rsidR="004F1CCD" w:rsidRPr="00746ACE">
        <w:rPr>
          <w:lang w:eastAsia="es-MX"/>
        </w:rPr>
        <w:t xml:space="preserve">Reconocimiento </w:t>
      </w:r>
      <w:r w:rsidRPr="00746ACE">
        <w:rPr>
          <w:lang w:eastAsia="es-MX"/>
        </w:rPr>
        <w:t xml:space="preserve">cuenta con una visión panorámica de los macro casos, incluida la sistematicidad o la generalidad, en caso de los crímenes de lesa humanidad; </w:t>
      </w:r>
      <w:r w:rsidR="004F1CCD" w:rsidRPr="00746ACE">
        <w:rPr>
          <w:lang w:eastAsia="es-MX"/>
        </w:rPr>
        <w:t>d</w:t>
      </w:r>
      <w:r w:rsidRPr="00746ACE">
        <w:rPr>
          <w:lang w:eastAsia="es-MX"/>
        </w:rPr>
        <w:t xml:space="preserve">el conflicto armado, para los crímenes de guerra; y </w:t>
      </w:r>
      <w:r w:rsidR="004F1CCD" w:rsidRPr="00746ACE">
        <w:rPr>
          <w:lang w:eastAsia="es-MX"/>
        </w:rPr>
        <w:t xml:space="preserve">de </w:t>
      </w:r>
      <w:r w:rsidRPr="00746ACE">
        <w:rPr>
          <w:lang w:eastAsia="es-MX"/>
        </w:rPr>
        <w:t>los elementos propios de la discriminación para el crimen de genocidio</w:t>
      </w:r>
      <w:r w:rsidR="004F1CCD" w:rsidRPr="00746ACE">
        <w:rPr>
          <w:lang w:eastAsia="es-MX"/>
        </w:rPr>
        <w:t xml:space="preserve">. Asimismo, la Sala </w:t>
      </w:r>
      <w:r w:rsidRPr="00746ACE">
        <w:rPr>
          <w:lang w:eastAsia="es-MX"/>
        </w:rPr>
        <w:t xml:space="preserve">conoce también el rol de cada sujeto en la comisión de un crimen complejo, lo que le permite evaluar si ejerce la facultad excepcional del artículo 129. </w:t>
      </w:r>
    </w:p>
    <w:p w14:paraId="19D57AC2" w14:textId="77777777" w:rsidR="002075E5" w:rsidRPr="00746ACE" w:rsidRDefault="002075E5" w:rsidP="00FC0DFB">
      <w:pPr>
        <w:pStyle w:val="Prrafodelista"/>
        <w:widowControl w:val="0"/>
        <w:rPr>
          <w:lang w:eastAsia="es-MX"/>
        </w:rPr>
      </w:pPr>
    </w:p>
    <w:p w14:paraId="2DD32283" w14:textId="5E65CCD8" w:rsidR="0043161D" w:rsidRPr="00746ACE" w:rsidRDefault="002C20C3" w:rsidP="00FC0DFB">
      <w:pPr>
        <w:pStyle w:val="Prrafodelista"/>
        <w:widowControl w:val="0"/>
        <w:numPr>
          <w:ilvl w:val="0"/>
          <w:numId w:val="7"/>
        </w:numPr>
        <w:rPr>
          <w:lang w:eastAsia="es-MX"/>
        </w:rPr>
      </w:pPr>
      <w:r w:rsidRPr="00746ACE">
        <w:rPr>
          <w:lang w:eastAsia="es-MX"/>
        </w:rPr>
        <w:t xml:space="preserve">Por lo tanto, resulta </w:t>
      </w:r>
      <w:r w:rsidR="0043161D" w:rsidRPr="00746ACE">
        <w:rPr>
          <w:lang w:eastAsia="es-MX"/>
        </w:rPr>
        <w:t xml:space="preserve">ajeno a la Ley 1957 de 2019 atribuir esta función también a la Sala de Definición de Situaciones Jurídicas y, más aún, hacerlo en el marco de una evaluación caso a caso. </w:t>
      </w:r>
    </w:p>
    <w:p w14:paraId="17DFD475" w14:textId="77777777" w:rsidR="002075E5" w:rsidRPr="00746ACE" w:rsidRDefault="002075E5" w:rsidP="00FC0DFB">
      <w:pPr>
        <w:pStyle w:val="Prrafodelista"/>
        <w:widowControl w:val="0"/>
        <w:ind w:left="0"/>
        <w:rPr>
          <w:lang w:eastAsia="es-MX"/>
        </w:rPr>
      </w:pPr>
    </w:p>
    <w:p w14:paraId="00E65051" w14:textId="317997FB" w:rsidR="002075E5" w:rsidRPr="00746ACE" w:rsidRDefault="00B960D6" w:rsidP="00FC0DFB">
      <w:pPr>
        <w:pStyle w:val="Prrafodelista"/>
        <w:widowControl w:val="0"/>
        <w:numPr>
          <w:ilvl w:val="0"/>
          <w:numId w:val="7"/>
        </w:numPr>
      </w:pPr>
      <w:r w:rsidRPr="00746ACE">
        <w:rPr>
          <w:lang w:eastAsia="es-MX"/>
        </w:rPr>
        <w:t>Es necesario recordar que t</w:t>
      </w:r>
      <w:r w:rsidR="00EE672C" w:rsidRPr="00746ACE">
        <w:rPr>
          <w:lang w:eastAsia="es-MX"/>
        </w:rPr>
        <w:t>oda violación de derechos humanos ofende la dignidad humana y un sinnúmero de hechos de la guerra son, además, violaciones de especial gravedad a estos valores intrínsecos al ser humano.</w:t>
      </w:r>
      <w:r w:rsidRPr="00746ACE">
        <w:rPr>
          <w:lang w:eastAsia="es-MX"/>
        </w:rPr>
        <w:t xml:space="preserve"> Todo el sistema jurídico se debe orientar a prevenir, evitar, controlar; investigar, juzgar y sancionar tales conductas. </w:t>
      </w:r>
    </w:p>
    <w:p w14:paraId="1EA3F5AA" w14:textId="77777777" w:rsidR="002075E5" w:rsidRPr="00746ACE" w:rsidRDefault="002075E5" w:rsidP="00FC0DFB">
      <w:pPr>
        <w:pStyle w:val="Prrafodelista"/>
        <w:widowControl w:val="0"/>
        <w:rPr>
          <w:lang w:eastAsia="es-MX"/>
        </w:rPr>
      </w:pPr>
    </w:p>
    <w:p w14:paraId="1314441E" w14:textId="2E9F9049" w:rsidR="002075E5" w:rsidRPr="00746ACE" w:rsidRDefault="002C20C3" w:rsidP="00FC0DFB">
      <w:pPr>
        <w:pStyle w:val="Prrafodelista"/>
        <w:widowControl w:val="0"/>
        <w:numPr>
          <w:ilvl w:val="0"/>
          <w:numId w:val="7"/>
        </w:numPr>
      </w:pPr>
      <w:r w:rsidRPr="00746ACE">
        <w:rPr>
          <w:lang w:eastAsia="es-MX"/>
        </w:rPr>
        <w:t>A pesar de ello</w:t>
      </w:r>
      <w:r w:rsidR="00B960D6" w:rsidRPr="00746ACE">
        <w:rPr>
          <w:lang w:eastAsia="es-MX"/>
        </w:rPr>
        <w:t>, en el ámbito de la justicia transicional</w:t>
      </w:r>
      <w:r w:rsidRPr="00746ACE">
        <w:rPr>
          <w:lang w:eastAsia="es-MX"/>
        </w:rPr>
        <w:t>,</w:t>
      </w:r>
      <w:r w:rsidR="00B960D6" w:rsidRPr="00746ACE">
        <w:rPr>
          <w:lang w:eastAsia="es-MX"/>
        </w:rPr>
        <w:t xml:space="preserve"> esta premisa inevitable </w:t>
      </w:r>
      <w:r w:rsidR="0043161D" w:rsidRPr="00746ACE">
        <w:rPr>
          <w:lang w:eastAsia="es-MX"/>
        </w:rPr>
        <w:t>conduce</w:t>
      </w:r>
      <w:r w:rsidR="00B960D6" w:rsidRPr="00746ACE">
        <w:rPr>
          <w:lang w:eastAsia="es-MX"/>
        </w:rPr>
        <w:t xml:space="preserve"> </w:t>
      </w:r>
      <w:r w:rsidR="0043161D" w:rsidRPr="00746ACE">
        <w:rPr>
          <w:lang w:eastAsia="es-MX"/>
        </w:rPr>
        <w:t>a un dilema</w:t>
      </w:r>
      <w:r w:rsidR="00B960D6" w:rsidRPr="00746ACE">
        <w:rPr>
          <w:lang w:eastAsia="es-MX"/>
        </w:rPr>
        <w:t>: u</w:t>
      </w:r>
      <w:r w:rsidR="00EE672C" w:rsidRPr="00746ACE">
        <w:rPr>
          <w:lang w:eastAsia="es-MX"/>
        </w:rPr>
        <w:t xml:space="preserve">na evaluación caso a caso de los hechos y las conductas realizada al margen del mapa general de un macro caso </w:t>
      </w:r>
      <w:r w:rsidR="00DD4E06" w:rsidRPr="00746ACE">
        <w:rPr>
          <w:lang w:eastAsia="es-MX"/>
        </w:rPr>
        <w:t xml:space="preserve">y basada </w:t>
      </w:r>
      <w:r w:rsidR="00B960D6" w:rsidRPr="00746ACE">
        <w:rPr>
          <w:lang w:eastAsia="es-MX"/>
        </w:rPr>
        <w:t xml:space="preserve">en el argumento de la lucha contra la impunidad </w:t>
      </w:r>
      <w:r w:rsidR="0043161D" w:rsidRPr="00746ACE">
        <w:rPr>
          <w:lang w:eastAsia="es-MX"/>
        </w:rPr>
        <w:t>conduce, de manera casi inexorable, a considerar que cada evento debe ser investigado, juzgado y sancionado. El dilema</w:t>
      </w:r>
      <w:r w:rsidR="00EE672C" w:rsidRPr="00746ACE">
        <w:rPr>
          <w:lang w:eastAsia="es-MX"/>
        </w:rPr>
        <w:t xml:space="preserve"> </w:t>
      </w:r>
      <w:r w:rsidR="00B960D6" w:rsidRPr="00746ACE">
        <w:rPr>
          <w:lang w:eastAsia="es-MX"/>
        </w:rPr>
        <w:t xml:space="preserve">se concreta en que, </w:t>
      </w:r>
      <w:r w:rsidR="00EE672C" w:rsidRPr="00746ACE">
        <w:rPr>
          <w:lang w:eastAsia="es-MX"/>
        </w:rPr>
        <w:t xml:space="preserve">al </w:t>
      </w:r>
      <w:r w:rsidR="00060DCF" w:rsidRPr="00746ACE">
        <w:rPr>
          <w:lang w:eastAsia="es-MX"/>
        </w:rPr>
        <w:t>intentar observar a la vez</w:t>
      </w:r>
      <w:r w:rsidR="00EE672C" w:rsidRPr="00746ACE">
        <w:rPr>
          <w:lang w:eastAsia="es-MX"/>
        </w:rPr>
        <w:t xml:space="preserve"> todos los puntos del mapa, la investigación, el juzgamiento y la sanción de los hechos más graves y representativos se diluye, al igual que la atribución de responsabilidad en los máximos responsables. </w:t>
      </w:r>
    </w:p>
    <w:p w14:paraId="0B85EB36" w14:textId="77777777" w:rsidR="002075E5" w:rsidRPr="00746ACE" w:rsidRDefault="002075E5" w:rsidP="00E546E4">
      <w:pPr>
        <w:widowControl w:val="0"/>
        <w:rPr>
          <w:lang w:eastAsia="es-MX"/>
        </w:rPr>
      </w:pPr>
    </w:p>
    <w:p w14:paraId="2B9D2A35" w14:textId="39A9B50A" w:rsidR="002075E5" w:rsidRPr="00746ACE" w:rsidRDefault="00EE672C" w:rsidP="00FC0DFB">
      <w:pPr>
        <w:pStyle w:val="Prrafodelista"/>
        <w:widowControl w:val="0"/>
        <w:numPr>
          <w:ilvl w:val="0"/>
          <w:numId w:val="7"/>
        </w:numPr>
      </w:pPr>
      <w:r w:rsidRPr="00746ACE">
        <w:rPr>
          <w:lang w:eastAsia="es-MX"/>
        </w:rPr>
        <w:t>En el mediano y largo plazo, este enfoque deriva en la impunidad de facto</w:t>
      </w:r>
      <w:r w:rsidR="002C20C3" w:rsidRPr="00746ACE">
        <w:rPr>
          <w:lang w:eastAsia="es-MX"/>
        </w:rPr>
        <w:t xml:space="preserve"> y, en consecuencia</w:t>
      </w:r>
      <w:r w:rsidRPr="00746ACE">
        <w:rPr>
          <w:lang w:eastAsia="es-MX"/>
        </w:rPr>
        <w:t xml:space="preserve">, en la imposibilidad de dar respuesta a lo más acuciante por el intento fallido de intentar responderlo todo. </w:t>
      </w:r>
    </w:p>
    <w:p w14:paraId="4768FC32" w14:textId="77777777" w:rsidR="002075E5" w:rsidRPr="00746ACE" w:rsidRDefault="002075E5" w:rsidP="00FC0DFB">
      <w:pPr>
        <w:pStyle w:val="Prrafodelista"/>
        <w:widowControl w:val="0"/>
        <w:rPr>
          <w:lang w:eastAsia="es-MX"/>
        </w:rPr>
      </w:pPr>
    </w:p>
    <w:p w14:paraId="219FF08E" w14:textId="3A6F0827" w:rsidR="002075E5" w:rsidRPr="00746ACE" w:rsidRDefault="00B960D6" w:rsidP="00FC0DFB">
      <w:pPr>
        <w:pStyle w:val="Prrafodelista"/>
        <w:widowControl w:val="0"/>
        <w:numPr>
          <w:ilvl w:val="0"/>
          <w:numId w:val="7"/>
        </w:numPr>
      </w:pPr>
      <w:r w:rsidRPr="00746ACE">
        <w:rPr>
          <w:lang w:eastAsia="es-MX"/>
        </w:rPr>
        <w:t>E</w:t>
      </w:r>
      <w:r w:rsidR="00EE672C" w:rsidRPr="00746ACE">
        <w:rPr>
          <w:lang w:eastAsia="es-MX"/>
        </w:rPr>
        <w:t xml:space="preserve">s </w:t>
      </w:r>
      <w:r w:rsidR="00E546E4" w:rsidRPr="00746ACE">
        <w:rPr>
          <w:lang w:eastAsia="es-MX"/>
        </w:rPr>
        <w:t>verdad también</w:t>
      </w:r>
      <w:r w:rsidR="002C20C3" w:rsidRPr="00746ACE">
        <w:rPr>
          <w:lang w:eastAsia="es-MX"/>
        </w:rPr>
        <w:t>,</w:t>
      </w:r>
      <w:r w:rsidR="00E546E4" w:rsidRPr="00746ACE">
        <w:rPr>
          <w:lang w:eastAsia="es-MX"/>
        </w:rPr>
        <w:t xml:space="preserve"> </w:t>
      </w:r>
      <w:r w:rsidRPr="00746ACE">
        <w:rPr>
          <w:lang w:eastAsia="es-MX"/>
        </w:rPr>
        <w:t>como en el cargo anterior</w:t>
      </w:r>
      <w:r w:rsidR="002C20C3" w:rsidRPr="00746ACE">
        <w:rPr>
          <w:lang w:eastAsia="es-MX"/>
        </w:rPr>
        <w:t>,</w:t>
      </w:r>
      <w:r w:rsidRPr="00746ACE">
        <w:rPr>
          <w:lang w:eastAsia="es-MX"/>
        </w:rPr>
        <w:t xml:space="preserve"> </w:t>
      </w:r>
      <w:r w:rsidR="001653D7" w:rsidRPr="00746ACE">
        <w:rPr>
          <w:lang w:eastAsia="es-MX"/>
        </w:rPr>
        <w:t>que,</w:t>
      </w:r>
      <w:r w:rsidR="00EE672C" w:rsidRPr="00746ACE">
        <w:rPr>
          <w:lang w:eastAsia="es-MX"/>
        </w:rPr>
        <w:t xml:space="preserve"> si la posibilidad de calificar a un sujeto como responsable del punto medio es excepcional, entonces no todos los procesos, ni todas las conductas, ni todos los participantes del conflicto serán juzgados debido a la selección de segundo orden. Pero sí se iniciará una evaluación </w:t>
      </w:r>
      <w:r w:rsidR="00EE672C" w:rsidRPr="00746ACE">
        <w:rPr>
          <w:i/>
          <w:lang w:eastAsia="es-MX"/>
        </w:rPr>
        <w:t xml:space="preserve">caso a caso </w:t>
      </w:r>
      <w:r w:rsidR="00EE672C" w:rsidRPr="00746ACE">
        <w:rPr>
          <w:lang w:eastAsia="es-MX"/>
        </w:rPr>
        <w:t>de los partícipes, con miras a establecer cuál de las rutas definidas en la Senit 5 y la Senit 8 les corresponde</w:t>
      </w:r>
      <w:r w:rsidR="002C20C3" w:rsidRPr="00746ACE">
        <w:rPr>
          <w:lang w:eastAsia="es-MX"/>
        </w:rPr>
        <w:t>:</w:t>
      </w:r>
      <w:r w:rsidR="00EE672C" w:rsidRPr="00746ACE">
        <w:rPr>
          <w:lang w:eastAsia="es-MX"/>
        </w:rPr>
        <w:t xml:space="preserve"> si la verificación del régimen de condicionalidad, la selección negativa o renuncia condicionada a la persecución penal, o la </w:t>
      </w:r>
      <w:r w:rsidR="00EE672C" w:rsidRPr="00746ACE">
        <w:rPr>
          <w:i/>
          <w:lang w:eastAsia="es-MX"/>
        </w:rPr>
        <w:t xml:space="preserve">selección de segundo orden. </w:t>
      </w:r>
    </w:p>
    <w:p w14:paraId="2FFCEDE5" w14:textId="77777777" w:rsidR="00B960D6" w:rsidRPr="00746ACE" w:rsidRDefault="00B960D6" w:rsidP="00CF1AD1">
      <w:pPr>
        <w:pStyle w:val="Prrafodelista"/>
        <w:widowControl w:val="0"/>
      </w:pPr>
    </w:p>
    <w:p w14:paraId="3B52E7BA" w14:textId="77777777" w:rsidR="00720FE7" w:rsidRPr="00746ACE" w:rsidRDefault="00720FE7" w:rsidP="00720FE7">
      <w:pPr>
        <w:pStyle w:val="Prrafodelista"/>
        <w:widowControl w:val="0"/>
        <w:numPr>
          <w:ilvl w:val="0"/>
          <w:numId w:val="7"/>
        </w:numPr>
      </w:pPr>
      <w:r w:rsidRPr="00746ACE">
        <w:t xml:space="preserve">También las organizaciones de víctimas y las personas expertas que participaron en la sesión técnica y la audiencia pública del 27 de febrero de 2026 y del 24 de octubre de 2025, respectivamente, comparten preocupaciones similares a la ya expresada. De su contribución a este trámite surgen preguntas apremiantes para un sistema transicional restaurativo y constitucional. En particular, si la identificación de los máximos responsables se reduce a la jerarquía estructural de los cuerpos armados, entonces se limita el concepto previsto en la Ley 1957 de 2019 y esta decisión puede tener un impacto negativo en los casos territoriales, en los que, además, se concretan los enfoques étnico y racial. </w:t>
      </w:r>
    </w:p>
    <w:p w14:paraId="04C0388A" w14:textId="77777777" w:rsidR="00B960D6" w:rsidRPr="00746ACE" w:rsidRDefault="00B960D6" w:rsidP="00CF1AD1">
      <w:pPr>
        <w:widowControl w:val="0"/>
      </w:pPr>
    </w:p>
    <w:p w14:paraId="4434931F" w14:textId="0CD85A19" w:rsidR="00B960D6" w:rsidRPr="00746ACE" w:rsidRDefault="00B960D6" w:rsidP="00FC0DFB">
      <w:pPr>
        <w:pStyle w:val="Prrafodelista"/>
        <w:widowControl w:val="0"/>
        <w:numPr>
          <w:ilvl w:val="0"/>
          <w:numId w:val="7"/>
        </w:numPr>
      </w:pPr>
      <w:r w:rsidRPr="00746ACE">
        <w:t>Si la</w:t>
      </w:r>
      <w:r w:rsidR="00C9045A" w:rsidRPr="00746ACE">
        <w:t xml:space="preserve"> lucha contra la</w:t>
      </w:r>
      <w:r w:rsidRPr="00746ACE">
        <w:t xml:space="preserve"> impunidad se concibe solo como castigo</w:t>
      </w:r>
      <w:r w:rsidR="002C20C3" w:rsidRPr="00746ACE">
        <w:t>,</w:t>
      </w:r>
      <w:r w:rsidRPr="00746ACE">
        <w:t xml:space="preserve"> se pierde la oportunidad de buscar respuestas que, por la vía del reconocimiento de responsabilidad, la toma de conciencia sobre los daños causados y las capacidades de los comparecientes puedan conducir a la reparación y la reconciliación. Y, finalmente, si la</w:t>
      </w:r>
      <w:r w:rsidR="00336C3B" w:rsidRPr="00746ACE">
        <w:t>s</w:t>
      </w:r>
      <w:r w:rsidRPr="00746ACE">
        <w:t xml:space="preserve"> categoría</w:t>
      </w:r>
      <w:r w:rsidR="00336C3B" w:rsidRPr="00746ACE">
        <w:t>s centrales de máximo responsable y partícipe no determinante</w:t>
      </w:r>
      <w:r w:rsidRPr="00746ACE">
        <w:t xml:space="preserve"> no </w:t>
      </w:r>
      <w:r w:rsidR="00336C3B" w:rsidRPr="00746ACE">
        <w:t xml:space="preserve">son </w:t>
      </w:r>
      <w:r w:rsidRPr="00746ACE">
        <w:t>clara</w:t>
      </w:r>
      <w:r w:rsidR="00336C3B" w:rsidRPr="00746ACE">
        <w:t>s</w:t>
      </w:r>
      <w:r w:rsidRPr="00746ACE">
        <w:t xml:space="preserve"> puede</w:t>
      </w:r>
      <w:r w:rsidR="00336C3B" w:rsidRPr="00746ACE">
        <w:t>n</w:t>
      </w:r>
      <w:r w:rsidRPr="00746ACE">
        <w:t xml:space="preserve"> generar expectativas y cargas en las víctimas, en especial, acerca de cómo adelantan la defensa de sus intereses y cómo gestionan sus emociones frente al proceso ante la JEP. </w:t>
      </w:r>
      <w:r w:rsidR="00DD4E06" w:rsidRPr="00746ACE">
        <w:t xml:space="preserve">Es necesario considerar, además, que </w:t>
      </w:r>
      <w:r w:rsidR="00E546E4" w:rsidRPr="00746ACE">
        <w:t>la impunidad</w:t>
      </w:r>
      <w:r w:rsidR="00DD4E06" w:rsidRPr="00746ACE">
        <w:t xml:space="preserve"> ––</w:t>
      </w:r>
      <w:r w:rsidR="00E546E4" w:rsidRPr="00746ACE">
        <w:t>como lo señalaron intervenciones en la audiencia pública de 24 de octubre de 2024</w:t>
      </w:r>
      <w:r w:rsidR="00DD4E06" w:rsidRPr="00746ACE">
        <w:t>––</w:t>
      </w:r>
      <w:r w:rsidR="00E546E4" w:rsidRPr="00746ACE">
        <w:t xml:space="preserve"> debe concebirse también como deficiencia </w:t>
      </w:r>
      <w:r w:rsidR="00E21EDD" w:rsidRPr="00746ACE">
        <w:t xml:space="preserve">o ausencia de </w:t>
      </w:r>
      <w:r w:rsidR="00E546E4" w:rsidRPr="00746ACE">
        <w:t>garantía de derechos, en especial, una vez se integra el paradigma de justicia restaurativa al trabajo de la JEP</w:t>
      </w:r>
      <w:r w:rsidR="00E546E4" w:rsidRPr="00746ACE">
        <w:rPr>
          <w:rStyle w:val="Refdenotaalpie"/>
        </w:rPr>
        <w:footnoteReference w:id="125"/>
      </w:r>
      <w:r w:rsidR="00E546E4" w:rsidRPr="00746ACE">
        <w:t>.</w:t>
      </w:r>
    </w:p>
    <w:p w14:paraId="45A7198A" w14:textId="77777777" w:rsidR="00B960D6" w:rsidRPr="00746ACE" w:rsidRDefault="00B960D6" w:rsidP="00CF1AD1">
      <w:pPr>
        <w:pStyle w:val="Prrafodelista"/>
        <w:widowControl w:val="0"/>
      </w:pPr>
    </w:p>
    <w:p w14:paraId="6F986D54" w14:textId="2D44E101" w:rsidR="00B960D6" w:rsidRPr="00746ACE" w:rsidRDefault="00B960D6" w:rsidP="00FC0DFB">
      <w:pPr>
        <w:pStyle w:val="Prrafodelista"/>
        <w:widowControl w:val="0"/>
        <w:numPr>
          <w:ilvl w:val="0"/>
          <w:numId w:val="7"/>
        </w:numPr>
      </w:pPr>
      <w:r w:rsidRPr="00746ACE">
        <w:t xml:space="preserve">Estas consideraciones se retomarán en el acápite de </w:t>
      </w:r>
      <w:r w:rsidR="00E21EDD" w:rsidRPr="00746ACE">
        <w:t>“</w:t>
      </w:r>
      <w:r w:rsidRPr="00746ACE">
        <w:t>precisiones finales</w:t>
      </w:r>
      <w:r w:rsidR="00E21EDD" w:rsidRPr="00746ACE">
        <w:t>”</w:t>
      </w:r>
      <w:r w:rsidRPr="00746ACE">
        <w:t>, como una manera de avanzar en un proceso constitucional restaurativo, y en la construcción de un mensaje social relevante acerca de la importancia de contar con un sistema de justicia transicional restaurativo.</w:t>
      </w:r>
    </w:p>
    <w:p w14:paraId="0FDC466A" w14:textId="77777777" w:rsidR="002075E5" w:rsidRPr="00746ACE" w:rsidRDefault="002075E5" w:rsidP="00FC0DFB">
      <w:pPr>
        <w:pStyle w:val="Prrafodelista"/>
        <w:widowControl w:val="0"/>
        <w:rPr>
          <w:lang w:eastAsia="es-MX"/>
        </w:rPr>
      </w:pPr>
    </w:p>
    <w:p w14:paraId="10860749" w14:textId="54A29812" w:rsidR="002075E5" w:rsidRPr="00746ACE" w:rsidRDefault="00B960D6" w:rsidP="00FC0DFB">
      <w:pPr>
        <w:pStyle w:val="Prrafodelista"/>
        <w:widowControl w:val="0"/>
        <w:numPr>
          <w:ilvl w:val="0"/>
          <w:numId w:val="7"/>
        </w:numPr>
      </w:pPr>
      <w:r w:rsidRPr="00746ACE">
        <w:rPr>
          <w:lang w:eastAsia="es-MX"/>
        </w:rPr>
        <w:t xml:space="preserve">Por las razones expuestas, </w:t>
      </w:r>
      <w:r w:rsidR="002C20C3" w:rsidRPr="00746ACE">
        <w:rPr>
          <w:lang w:eastAsia="es-MX"/>
        </w:rPr>
        <w:t>esta Corporación</w:t>
      </w:r>
      <w:r w:rsidRPr="00746ACE">
        <w:rPr>
          <w:lang w:eastAsia="es-MX"/>
        </w:rPr>
        <w:t xml:space="preserve"> reitera que e</w:t>
      </w:r>
      <w:r w:rsidR="00EE672C" w:rsidRPr="00746ACE">
        <w:rPr>
          <w:lang w:eastAsia="es-MX"/>
        </w:rPr>
        <w:t xml:space="preserve">l desconocimiento del principio constitucional </w:t>
      </w:r>
      <w:r w:rsidR="00C03C1A" w:rsidRPr="00746ACE">
        <w:rPr>
          <w:lang w:eastAsia="es-MX"/>
        </w:rPr>
        <w:t xml:space="preserve">y transicional </w:t>
      </w:r>
      <w:r w:rsidR="00EE672C" w:rsidRPr="00746ACE">
        <w:rPr>
          <w:lang w:eastAsia="es-MX"/>
        </w:rPr>
        <w:t xml:space="preserve">de selección </w:t>
      </w:r>
      <w:r w:rsidR="007F4F66" w:rsidRPr="00746ACE">
        <w:rPr>
          <w:lang w:eastAsia="es-MX"/>
        </w:rPr>
        <w:t xml:space="preserve">(Art. 66 transitorio de la Constitución y 3º del Acto Legislativo 01 de 2017) </w:t>
      </w:r>
      <w:r w:rsidR="00EE672C" w:rsidRPr="00746ACE">
        <w:rPr>
          <w:lang w:eastAsia="es-MX"/>
        </w:rPr>
        <w:t>es una violación al principio de legalidad concebido como interdicción de la arbitrariedad</w:t>
      </w:r>
      <w:r w:rsidR="007F4F66" w:rsidRPr="00746ACE">
        <w:rPr>
          <w:lang w:eastAsia="es-MX"/>
        </w:rPr>
        <w:t xml:space="preserve"> (artículos 6 y 121 de la CP)</w:t>
      </w:r>
      <w:r w:rsidR="00EE672C" w:rsidRPr="00746ACE">
        <w:rPr>
          <w:lang w:eastAsia="es-MX"/>
        </w:rPr>
        <w:t xml:space="preserve">, y </w:t>
      </w:r>
      <w:r w:rsidR="002C20C3" w:rsidRPr="00746ACE">
        <w:rPr>
          <w:lang w:eastAsia="es-MX"/>
        </w:rPr>
        <w:t xml:space="preserve">que </w:t>
      </w:r>
      <w:r w:rsidR="00EE672C" w:rsidRPr="00746ACE">
        <w:rPr>
          <w:lang w:eastAsia="es-MX"/>
        </w:rPr>
        <w:t xml:space="preserve">las razones de la JEP para prever la responsabilidad del punto medio no se sostienen a la luz del diseño del sistema. Con todo, la Senit 8 intenta concebir de una manera distinta la </w:t>
      </w:r>
      <w:r w:rsidR="00EE672C" w:rsidRPr="00746ACE">
        <w:rPr>
          <w:i/>
          <w:lang w:eastAsia="es-MX"/>
        </w:rPr>
        <w:t xml:space="preserve">responsabilidad del punto medio, </w:t>
      </w:r>
      <w:r w:rsidR="00EE672C" w:rsidRPr="00746ACE">
        <w:rPr>
          <w:lang w:eastAsia="es-MX"/>
        </w:rPr>
        <w:t>visión que se estudiará en lo que sigue</w:t>
      </w:r>
      <w:r w:rsidR="00060DCF" w:rsidRPr="00746ACE">
        <w:rPr>
          <w:lang w:eastAsia="es-MX"/>
        </w:rPr>
        <w:t xml:space="preserve"> y que, con fines ilustrativos</w:t>
      </w:r>
      <w:r w:rsidR="006019A1" w:rsidRPr="00746ACE">
        <w:rPr>
          <w:lang w:eastAsia="es-MX"/>
        </w:rPr>
        <w:t>, ha denominado</w:t>
      </w:r>
      <w:r w:rsidR="0043161D" w:rsidRPr="00746ACE">
        <w:rPr>
          <w:lang w:eastAsia="es-MX"/>
        </w:rPr>
        <w:t xml:space="preserve"> </w:t>
      </w:r>
      <w:r w:rsidR="00092A12" w:rsidRPr="00746ACE">
        <w:rPr>
          <w:lang w:eastAsia="es-MX"/>
        </w:rPr>
        <w:t xml:space="preserve">el primer </w:t>
      </w:r>
      <w:r w:rsidR="006019A1" w:rsidRPr="00746ACE">
        <w:rPr>
          <w:lang w:eastAsia="es-MX"/>
        </w:rPr>
        <w:t xml:space="preserve">y segundo </w:t>
      </w:r>
      <w:r w:rsidR="00092A12" w:rsidRPr="00746ACE">
        <w:rPr>
          <w:lang w:eastAsia="es-MX"/>
        </w:rPr>
        <w:t>avance jurisprudencial sobre la responsabilidad del punto medio.</w:t>
      </w:r>
    </w:p>
    <w:p w14:paraId="00D22688" w14:textId="77777777" w:rsidR="002075E5" w:rsidRPr="00746ACE" w:rsidRDefault="002075E5" w:rsidP="00FC0DFB">
      <w:pPr>
        <w:pStyle w:val="Prrafodelista"/>
        <w:widowControl w:val="0"/>
        <w:ind w:left="0"/>
      </w:pPr>
    </w:p>
    <w:p w14:paraId="191CECED" w14:textId="0D11220A" w:rsidR="002075E5" w:rsidRPr="00746ACE" w:rsidRDefault="00092A12" w:rsidP="000B69F5">
      <w:pPr>
        <w:pStyle w:val="Ttulo3"/>
        <w:keepNext w:val="0"/>
        <w:keepLines w:val="0"/>
        <w:widowControl w:val="0"/>
        <w:jc w:val="both"/>
        <w:rPr>
          <w:rFonts w:cs="Times New Roman"/>
          <w:color w:val="auto"/>
          <w:sz w:val="28"/>
          <w:szCs w:val="28"/>
          <w:lang w:val="es-ES" w:eastAsia="es-MX"/>
        </w:rPr>
      </w:pPr>
      <w:bookmarkStart w:id="53" w:name="_Toc233384203"/>
      <w:r w:rsidRPr="00746ACE">
        <w:rPr>
          <w:rFonts w:cs="Times New Roman"/>
          <w:color w:val="auto"/>
          <w:sz w:val="28"/>
          <w:szCs w:val="28"/>
          <w:lang w:val="es-ES" w:eastAsia="es-MX"/>
        </w:rPr>
        <w:t>Primer avance jurisprudencial: l</w:t>
      </w:r>
      <w:r w:rsidR="002075E5" w:rsidRPr="00746ACE">
        <w:rPr>
          <w:rFonts w:cs="Times New Roman"/>
          <w:color w:val="auto"/>
          <w:sz w:val="28"/>
          <w:szCs w:val="28"/>
          <w:lang w:val="es-ES" w:eastAsia="es-MX"/>
        </w:rPr>
        <w:t>a responsabilidad del punto medio como criterio para la comprensión del daño y los aportes del compareciente (Senit 8)</w:t>
      </w:r>
      <w:bookmarkEnd w:id="53"/>
    </w:p>
    <w:p w14:paraId="05B9F873" w14:textId="77777777" w:rsidR="002075E5" w:rsidRPr="00746ACE" w:rsidRDefault="002075E5" w:rsidP="00FC0DFB">
      <w:pPr>
        <w:pStyle w:val="Prrafodelista"/>
        <w:widowControl w:val="0"/>
        <w:rPr>
          <w:lang w:eastAsia="es-MX"/>
        </w:rPr>
      </w:pPr>
    </w:p>
    <w:p w14:paraId="38EF7156" w14:textId="18E5C896" w:rsidR="004E651E" w:rsidRPr="00746ACE" w:rsidRDefault="0043161D" w:rsidP="00FC0DFB">
      <w:pPr>
        <w:pStyle w:val="Prrafodelista"/>
        <w:widowControl w:val="0"/>
        <w:numPr>
          <w:ilvl w:val="0"/>
          <w:numId w:val="7"/>
        </w:numPr>
      </w:pPr>
      <w:r w:rsidRPr="00746ACE">
        <w:rPr>
          <w:lang w:eastAsia="es-MX"/>
        </w:rPr>
        <w:t>Existen</w:t>
      </w:r>
      <w:r w:rsidR="00EE672C" w:rsidRPr="00746ACE">
        <w:rPr>
          <w:lang w:eastAsia="es-MX"/>
        </w:rPr>
        <w:t xml:space="preserve"> razones constitucionales muy fuertes que operan en contra del concepto de </w:t>
      </w:r>
      <w:r w:rsidR="002C20C3" w:rsidRPr="00746ACE">
        <w:rPr>
          <w:lang w:eastAsia="es-MX"/>
        </w:rPr>
        <w:t xml:space="preserve">la </w:t>
      </w:r>
      <w:r w:rsidR="006019A1" w:rsidRPr="00746ACE">
        <w:rPr>
          <w:lang w:eastAsia="es-MX"/>
        </w:rPr>
        <w:t>“</w:t>
      </w:r>
      <w:r w:rsidR="00EE672C" w:rsidRPr="00746ACE">
        <w:rPr>
          <w:lang w:eastAsia="es-MX"/>
        </w:rPr>
        <w:t>responsabilidad del punto medio</w:t>
      </w:r>
      <w:r w:rsidR="006019A1" w:rsidRPr="00746ACE">
        <w:rPr>
          <w:lang w:eastAsia="es-MX"/>
        </w:rPr>
        <w:t>”</w:t>
      </w:r>
      <w:r w:rsidR="00EE672C" w:rsidRPr="00746ACE">
        <w:rPr>
          <w:lang w:eastAsia="es-MX"/>
        </w:rPr>
        <w:t xml:space="preserve">. Sin embargo, la Sección de Apelación decidió dar un alcance más amplio a este concepto en la Senit 8. </w:t>
      </w:r>
    </w:p>
    <w:p w14:paraId="0FC6C6FB" w14:textId="77777777" w:rsidR="00B960D6" w:rsidRPr="00746ACE" w:rsidRDefault="00B960D6" w:rsidP="00FC0DFB">
      <w:pPr>
        <w:pStyle w:val="Prrafodelista"/>
        <w:widowControl w:val="0"/>
        <w:ind w:left="0"/>
      </w:pPr>
    </w:p>
    <w:p w14:paraId="54DBB0E8" w14:textId="13FBA334" w:rsidR="00E5599F" w:rsidRPr="00746ACE" w:rsidRDefault="00EE672C" w:rsidP="00FC0DFB">
      <w:pPr>
        <w:pStyle w:val="Prrafodelista"/>
        <w:widowControl w:val="0"/>
        <w:numPr>
          <w:ilvl w:val="0"/>
          <w:numId w:val="7"/>
        </w:numPr>
      </w:pPr>
      <w:r w:rsidRPr="00746ACE">
        <w:rPr>
          <w:lang w:eastAsia="es-MX"/>
        </w:rPr>
        <w:t xml:space="preserve">La Sala de Definición de Situaciones Jurídicas dictó la Resolución 3891 de 2023, con el fin de cumplir lo decidido en la Senit 5. Para hacerlo presentó una metodología de análisis de tres niveles de responsabilidad, la máxima, la media y la menor. </w:t>
      </w:r>
      <w:r w:rsidR="0043161D" w:rsidRPr="00746ACE">
        <w:rPr>
          <w:lang w:eastAsia="es-MX"/>
        </w:rPr>
        <w:t>La Sala de Definición llamó a esta metodología el “ámbito de movilidad” y en decisiones ulteriores</w:t>
      </w:r>
      <w:r w:rsidRPr="00746ACE">
        <w:rPr>
          <w:lang w:eastAsia="es-MX"/>
        </w:rPr>
        <w:t xml:space="preserve"> la utilizó para determinar la procedencia de la vinculación de comparecientes a los “TOAR exploratorios”</w:t>
      </w:r>
      <w:r w:rsidR="00720FE7" w:rsidRPr="00746ACE">
        <w:rPr>
          <w:rStyle w:val="Refdenotaalpie"/>
          <w:lang w:eastAsia="es-MX"/>
        </w:rPr>
        <w:footnoteReference w:id="126"/>
      </w:r>
      <w:r w:rsidRPr="00746ACE">
        <w:rPr>
          <w:lang w:eastAsia="es-MX"/>
        </w:rPr>
        <w:t>.</w:t>
      </w:r>
    </w:p>
    <w:p w14:paraId="0B1E84C2" w14:textId="77777777" w:rsidR="00E5599F" w:rsidRPr="00746ACE" w:rsidRDefault="00E5599F" w:rsidP="00FC0DFB">
      <w:pPr>
        <w:pStyle w:val="Prrafodelista"/>
        <w:widowControl w:val="0"/>
        <w:rPr>
          <w:lang w:eastAsia="es-MX"/>
        </w:rPr>
      </w:pPr>
    </w:p>
    <w:p w14:paraId="681810DC" w14:textId="0B82CD86" w:rsidR="00060DCF" w:rsidRPr="00746ACE" w:rsidRDefault="0043161D" w:rsidP="00CF1AD1">
      <w:pPr>
        <w:pStyle w:val="Prrafodelista"/>
        <w:widowControl w:val="0"/>
        <w:numPr>
          <w:ilvl w:val="0"/>
          <w:numId w:val="7"/>
        </w:numPr>
      </w:pPr>
      <w:r w:rsidRPr="00746ACE">
        <w:rPr>
          <w:lang w:eastAsia="es-MX"/>
        </w:rPr>
        <w:t>La Senit 8, además de resolver tres recursos contra decisiones de vinculación a estas actividades, decidió abordar el alcance de la Resolución 3891 y del ámbito de movilidad</w:t>
      </w:r>
      <w:r w:rsidRPr="00746ACE">
        <w:rPr>
          <w:rStyle w:val="Refdenotaalpie"/>
          <w:lang w:eastAsia="es-MX"/>
        </w:rPr>
        <w:footnoteReference w:id="127"/>
      </w:r>
      <w:r w:rsidRPr="00746ACE">
        <w:rPr>
          <w:lang w:eastAsia="es-MX"/>
        </w:rPr>
        <w:t xml:space="preserve">. La Sección de Apelación </w:t>
      </w:r>
      <w:r w:rsidR="00EE672C" w:rsidRPr="00746ACE">
        <w:rPr>
          <w:lang w:eastAsia="es-MX"/>
        </w:rPr>
        <w:t>consideró que este concepto, así como los criterios para definir el nivel de responsabilidad resultaban afines a una lógica de juez penal, y no a la ruta no sancionatoria, propia de la Sala de Definición de Situaciones Jurídicas</w:t>
      </w:r>
      <w:r w:rsidR="00EE672C" w:rsidRPr="00746ACE">
        <w:rPr>
          <w:rStyle w:val="Refdenotaalpie"/>
          <w:lang w:eastAsia="es-MX"/>
        </w:rPr>
        <w:footnoteReference w:id="128"/>
      </w:r>
      <w:r w:rsidR="00EE672C" w:rsidRPr="00746ACE">
        <w:rPr>
          <w:lang w:eastAsia="es-MX"/>
        </w:rPr>
        <w:t>.</w:t>
      </w:r>
      <w:r w:rsidR="00742777" w:rsidRPr="00746ACE">
        <w:rPr>
          <w:lang w:eastAsia="es-MX"/>
        </w:rPr>
        <w:t xml:space="preserve"> </w:t>
      </w:r>
    </w:p>
    <w:p w14:paraId="7E4BA5F4" w14:textId="77777777" w:rsidR="00060DCF" w:rsidRPr="00746ACE" w:rsidRDefault="00060DCF" w:rsidP="00CF1AD1">
      <w:pPr>
        <w:pStyle w:val="Prrafodelista"/>
        <w:widowControl w:val="0"/>
        <w:rPr>
          <w:lang w:eastAsia="es-MX"/>
        </w:rPr>
      </w:pPr>
    </w:p>
    <w:p w14:paraId="372A8045" w14:textId="3F601173" w:rsidR="003D109F" w:rsidRPr="00746ACE" w:rsidRDefault="00EE672C" w:rsidP="00FC0DFB">
      <w:pPr>
        <w:pStyle w:val="Prrafodelista"/>
        <w:widowControl w:val="0"/>
        <w:numPr>
          <w:ilvl w:val="0"/>
          <w:numId w:val="7"/>
        </w:numPr>
      </w:pPr>
      <w:r w:rsidRPr="00746ACE">
        <w:rPr>
          <w:lang w:eastAsia="es-MX"/>
        </w:rPr>
        <w:t xml:space="preserve">La Senit 8 planteó una aproximación </w:t>
      </w:r>
      <w:r w:rsidR="00060DCF" w:rsidRPr="00746ACE">
        <w:rPr>
          <w:lang w:eastAsia="es-MX"/>
        </w:rPr>
        <w:t xml:space="preserve">distinta a la que contiene la Senit 5 sobre </w:t>
      </w:r>
      <w:r w:rsidR="00B960D6" w:rsidRPr="00746ACE">
        <w:rPr>
          <w:lang w:eastAsia="es-MX"/>
        </w:rPr>
        <w:t xml:space="preserve">la </w:t>
      </w:r>
      <w:r w:rsidR="00060DCF" w:rsidRPr="00746ACE">
        <w:rPr>
          <w:lang w:eastAsia="es-MX"/>
        </w:rPr>
        <w:t>responsabilidad.</w:t>
      </w:r>
      <w:r w:rsidRPr="00746ACE">
        <w:rPr>
          <w:lang w:eastAsia="es-MX"/>
        </w:rPr>
        <w:t xml:space="preserve"> Mientras en la Senit 5 la responsabilidad del punto medio se concreta en la afirmación de que existe un espectro amplio de responsabilidad, donde hay personas ubicadas en un punto medio, y en la posibilidad de que se lleve a cabo la </w:t>
      </w:r>
      <w:r w:rsidR="00DD4E06" w:rsidRPr="00746ACE">
        <w:rPr>
          <w:lang w:eastAsia="es-MX"/>
        </w:rPr>
        <w:t>“</w:t>
      </w:r>
      <w:r w:rsidRPr="00746ACE">
        <w:rPr>
          <w:lang w:eastAsia="es-MX"/>
        </w:rPr>
        <w:t>selección de segundo orden</w:t>
      </w:r>
      <w:r w:rsidR="00DD4E06" w:rsidRPr="00746ACE">
        <w:rPr>
          <w:lang w:eastAsia="es-MX"/>
        </w:rPr>
        <w:t>”</w:t>
      </w:r>
      <w:r w:rsidRPr="00746ACE">
        <w:rPr>
          <w:lang w:eastAsia="es-MX"/>
        </w:rPr>
        <w:t xml:space="preserve">, con fines de iniciar un juicio adversarial, en la Senit 8 </w:t>
      </w:r>
      <w:r w:rsidR="00E546E4" w:rsidRPr="00746ACE">
        <w:rPr>
          <w:lang w:eastAsia="es-MX"/>
        </w:rPr>
        <w:t xml:space="preserve">se explicó que el análisis sobre el espectro de la </w:t>
      </w:r>
      <w:r w:rsidRPr="00746ACE">
        <w:rPr>
          <w:iCs/>
          <w:lang w:eastAsia="es-MX"/>
        </w:rPr>
        <w:t xml:space="preserve">responsabilidad </w:t>
      </w:r>
      <w:r w:rsidR="00E546E4" w:rsidRPr="00746ACE">
        <w:rPr>
          <w:iCs/>
          <w:lang w:eastAsia="es-MX"/>
        </w:rPr>
        <w:t xml:space="preserve">mencionado en la Senit 5 es un concepto </w:t>
      </w:r>
      <w:r w:rsidR="00E546E4" w:rsidRPr="00746ACE">
        <w:rPr>
          <w:lang w:eastAsia="es-MX"/>
        </w:rPr>
        <w:t xml:space="preserve">asociado más bien a </w:t>
      </w:r>
      <w:r w:rsidRPr="00746ACE">
        <w:rPr>
          <w:lang w:eastAsia="es-MX"/>
        </w:rPr>
        <w:t xml:space="preserve">la reparación y la contribución al sistema. </w:t>
      </w:r>
    </w:p>
    <w:p w14:paraId="7487AFDB" w14:textId="77777777" w:rsidR="003D109F" w:rsidRPr="00746ACE" w:rsidRDefault="003D109F" w:rsidP="00CF1AD1">
      <w:pPr>
        <w:widowControl w:val="0"/>
        <w:rPr>
          <w:lang w:eastAsia="es-MX"/>
        </w:rPr>
      </w:pPr>
    </w:p>
    <w:p w14:paraId="4306F124" w14:textId="77777777" w:rsidR="00C95AFA" w:rsidRPr="00746ACE" w:rsidRDefault="00EE672C" w:rsidP="00FC0DFB">
      <w:pPr>
        <w:pStyle w:val="Prrafodelista"/>
        <w:widowControl w:val="0"/>
        <w:numPr>
          <w:ilvl w:val="0"/>
          <w:numId w:val="7"/>
        </w:numPr>
      </w:pPr>
      <w:r w:rsidRPr="00746ACE">
        <w:rPr>
          <w:lang w:eastAsia="es-MX"/>
        </w:rPr>
        <w:t xml:space="preserve">Esta </w:t>
      </w:r>
      <w:r w:rsidR="00765935" w:rsidRPr="00746ACE">
        <w:rPr>
          <w:lang w:eastAsia="es-MX"/>
        </w:rPr>
        <w:t xml:space="preserve">aproximación al </w:t>
      </w:r>
      <w:r w:rsidRPr="00746ACE">
        <w:rPr>
          <w:lang w:eastAsia="es-MX"/>
        </w:rPr>
        <w:t xml:space="preserve">concepto </w:t>
      </w:r>
      <w:r w:rsidR="00765935" w:rsidRPr="00746ACE">
        <w:rPr>
          <w:lang w:eastAsia="es-MX"/>
        </w:rPr>
        <w:t>de reparación</w:t>
      </w:r>
      <w:r w:rsidRPr="00746ACE">
        <w:rPr>
          <w:lang w:eastAsia="es-MX"/>
        </w:rPr>
        <w:t xml:space="preserve"> es de interés en el marco de la justicia transicional restaurativa. Así, mientras el derecho penal clásico asocia la responsabilidad (capacidad y deber de responder) a la culpabilidad (juicio de reproche), en la justicia restaurativa opera la finalidad de que el sujeto que ha causado un daño se </w:t>
      </w:r>
      <w:r w:rsidRPr="00746ACE">
        <w:rPr>
          <w:i/>
          <w:lang w:eastAsia="es-MX"/>
        </w:rPr>
        <w:t xml:space="preserve">responsabilice </w:t>
      </w:r>
      <w:r w:rsidRPr="00746ACE">
        <w:rPr>
          <w:lang w:eastAsia="es-MX"/>
        </w:rPr>
        <w:t xml:space="preserve">por su conducta y lo que esta ocasionó en la vida de otras personas. </w:t>
      </w:r>
    </w:p>
    <w:p w14:paraId="7F37F08F" w14:textId="77777777" w:rsidR="003D109F" w:rsidRPr="00746ACE" w:rsidRDefault="003D109F" w:rsidP="00FC0DFB">
      <w:pPr>
        <w:widowControl w:val="0"/>
        <w:rPr>
          <w:lang w:eastAsia="es-MX"/>
        </w:rPr>
      </w:pPr>
    </w:p>
    <w:p w14:paraId="20148D4C" w14:textId="39226C1F" w:rsidR="003D109F" w:rsidRPr="00746ACE" w:rsidRDefault="00EE672C" w:rsidP="00FC0DFB">
      <w:pPr>
        <w:pStyle w:val="Prrafodelista"/>
        <w:widowControl w:val="0"/>
        <w:numPr>
          <w:ilvl w:val="0"/>
          <w:numId w:val="7"/>
        </w:numPr>
      </w:pPr>
      <w:r w:rsidRPr="00746ACE">
        <w:rPr>
          <w:lang w:eastAsia="es-MX"/>
        </w:rPr>
        <w:t xml:space="preserve">La </w:t>
      </w:r>
      <w:r w:rsidRPr="00746ACE">
        <w:rPr>
          <w:i/>
          <w:lang w:eastAsia="es-MX"/>
        </w:rPr>
        <w:t>responsabilización</w:t>
      </w:r>
      <w:r w:rsidRPr="00746ACE">
        <w:rPr>
          <w:lang w:eastAsia="es-MX"/>
        </w:rPr>
        <w:t xml:space="preserve"> exige la voluntad del compareciente y es condición para la reparación y la reintegración, así que est</w:t>
      </w:r>
      <w:r w:rsidR="00A9556B" w:rsidRPr="00746ACE">
        <w:rPr>
          <w:lang w:eastAsia="es-MX"/>
        </w:rPr>
        <w:t xml:space="preserve">e avance jurisprudencial </w:t>
      </w:r>
      <w:r w:rsidRPr="00746ACE">
        <w:rPr>
          <w:lang w:eastAsia="es-MX"/>
        </w:rPr>
        <w:t>podría estar asociad</w:t>
      </w:r>
      <w:r w:rsidR="00A9556B" w:rsidRPr="00746ACE">
        <w:rPr>
          <w:lang w:eastAsia="es-MX"/>
        </w:rPr>
        <w:t>o</w:t>
      </w:r>
      <w:r w:rsidRPr="00746ACE">
        <w:rPr>
          <w:lang w:eastAsia="es-MX"/>
        </w:rPr>
        <w:t xml:space="preserve"> a fines profundos de un sistema de justicia transicional restaurativa. </w:t>
      </w:r>
      <w:r w:rsidR="00BB6431" w:rsidRPr="00746ACE">
        <w:rPr>
          <w:lang w:eastAsia="es-MX"/>
        </w:rPr>
        <w:t>L</w:t>
      </w:r>
      <w:r w:rsidR="00060DCF" w:rsidRPr="00746ACE">
        <w:rPr>
          <w:lang w:eastAsia="es-MX"/>
        </w:rPr>
        <w:t xml:space="preserve">a Sección de Apelación </w:t>
      </w:r>
      <w:r w:rsidR="00BB6431" w:rsidRPr="00746ACE">
        <w:rPr>
          <w:lang w:eastAsia="es-MX"/>
        </w:rPr>
        <w:t xml:space="preserve">se dirige en este sentido al </w:t>
      </w:r>
      <w:r w:rsidR="00CA0E87" w:rsidRPr="00746ACE">
        <w:rPr>
          <w:lang w:eastAsia="es-MX"/>
        </w:rPr>
        <w:t>explica</w:t>
      </w:r>
      <w:r w:rsidR="00BB6431" w:rsidRPr="00746ACE">
        <w:rPr>
          <w:lang w:eastAsia="es-MX"/>
        </w:rPr>
        <w:t>r</w:t>
      </w:r>
      <w:r w:rsidR="00CA0E87" w:rsidRPr="00746ACE">
        <w:rPr>
          <w:lang w:eastAsia="es-MX"/>
        </w:rPr>
        <w:t xml:space="preserve"> </w:t>
      </w:r>
      <w:r w:rsidR="00060DCF" w:rsidRPr="00746ACE">
        <w:rPr>
          <w:lang w:eastAsia="es-MX"/>
        </w:rPr>
        <w:t>este cambio de enfoque</w:t>
      </w:r>
      <w:r w:rsidR="00CA0E87" w:rsidRPr="00746ACE">
        <w:rPr>
          <w:lang w:eastAsia="es-MX"/>
        </w:rPr>
        <w:t xml:space="preserve"> </w:t>
      </w:r>
      <w:r w:rsidR="00BB6431" w:rsidRPr="00746ACE">
        <w:rPr>
          <w:lang w:eastAsia="es-MX"/>
        </w:rPr>
        <w:t>con las siguientes palabras</w:t>
      </w:r>
      <w:r w:rsidR="00060DCF" w:rsidRPr="00746ACE">
        <w:rPr>
          <w:lang w:eastAsia="es-MX"/>
        </w:rPr>
        <w:t>:</w:t>
      </w:r>
      <w:r w:rsidRPr="00746ACE">
        <w:rPr>
          <w:lang w:eastAsia="es-MX"/>
        </w:rPr>
        <w:t xml:space="preserve"> </w:t>
      </w:r>
    </w:p>
    <w:p w14:paraId="4F7D4CF0" w14:textId="77777777" w:rsidR="003D109F" w:rsidRPr="00746ACE" w:rsidRDefault="003D109F" w:rsidP="00FC0DFB">
      <w:pPr>
        <w:pStyle w:val="Prrafodelista"/>
        <w:widowControl w:val="0"/>
        <w:shd w:val="clear" w:color="auto" w:fill="FFFFFF"/>
        <w:ind w:left="0" w:right="567"/>
        <w:textAlignment w:val="baseline"/>
      </w:pPr>
    </w:p>
    <w:p w14:paraId="14FD7319" w14:textId="77777777" w:rsidR="003D109F" w:rsidRPr="00746ACE" w:rsidRDefault="003D109F" w:rsidP="00FC0DFB">
      <w:pPr>
        <w:pStyle w:val="Prrafodelista"/>
        <w:widowControl w:val="0"/>
        <w:shd w:val="clear" w:color="auto" w:fill="FFFFFF"/>
        <w:ind w:left="567" w:right="567"/>
        <w:textAlignment w:val="baseline"/>
        <w:rPr>
          <w:szCs w:val="24"/>
        </w:rPr>
      </w:pPr>
      <w:r w:rsidRPr="00746ACE">
        <w:rPr>
          <w:szCs w:val="24"/>
        </w:rPr>
        <w:t>183. Entiende la SA que la distinción entre comparecientes es necesaria para poder determinar sus obligaciones de reparar a las víctimas, tal y como se sostuvo en la TP-SA SENIT 5 de 2023. Pero esto no implica hacer un nuevo examen de la conducta atribuida por parte de la SRVR. Lo que en cambio debe analizarse es el daño causado a las víctimas. A este respecto es necesario apelar a criterios que atiendan a la categoría del daño más que al grado o nivel de participación del compareciente en la conducta.</w:t>
      </w:r>
    </w:p>
    <w:p w14:paraId="5A354CBD" w14:textId="77777777" w:rsidR="00060DCF" w:rsidRPr="00746ACE" w:rsidRDefault="00060DCF" w:rsidP="00CF1AD1">
      <w:pPr>
        <w:pStyle w:val="Prrafodelista"/>
        <w:widowControl w:val="0"/>
        <w:shd w:val="clear" w:color="auto" w:fill="FFFFFF"/>
        <w:ind w:left="567" w:right="567"/>
        <w:textAlignment w:val="baseline"/>
        <w:rPr>
          <w:szCs w:val="24"/>
        </w:rPr>
      </w:pPr>
      <w:r w:rsidRPr="00746ACE">
        <w:rPr>
          <w:szCs w:val="24"/>
        </w:rPr>
        <w:t xml:space="preserve">(…) </w:t>
      </w:r>
      <w:r w:rsidRPr="00746ACE">
        <w:rPr>
          <w:b/>
          <w:szCs w:val="24"/>
        </w:rPr>
        <w:t xml:space="preserve">Los criterios contenidos en la Resolución No. 3479 de 2023, por definición, no sólo no están llamados a tener mayor arraigo en la justicia restaurativa, sino que no son aplicables para definir el contenido de la obligación de contribución a la reparación que se debe exigir a los comparecientes sujetos a un RCE. </w:t>
      </w:r>
      <w:r w:rsidRPr="00746ACE">
        <w:rPr>
          <w:szCs w:val="24"/>
        </w:rPr>
        <w:t>Sobre todo, en los procedimientos de la SDSJ, en los que se deja de lado la actividad puramente punitiva del Estado y, por el contrario, se da curso en un contexto dialógico a la toma de conciencia del estado de vulnerabilidad de las víctimas como resultado de las masivas afectaciones de sus derechos y, en términos de remedios, a la forma como la dignidad se restaura a partir de la máxima verdad que se pueda obtener por conducto de los perpetradores, y de sus acciones concretas y puntuales de satisfacción de sus derechos”</w:t>
      </w:r>
      <w:r w:rsidR="00C41302" w:rsidRPr="00746ACE">
        <w:rPr>
          <w:rStyle w:val="Refdenotaalpie"/>
          <w:szCs w:val="24"/>
        </w:rPr>
        <w:footnoteReference w:id="129"/>
      </w:r>
      <w:r w:rsidRPr="00746ACE">
        <w:rPr>
          <w:szCs w:val="24"/>
        </w:rPr>
        <w:t>.</w:t>
      </w:r>
      <w:r w:rsidR="00C41302" w:rsidRPr="00746ACE">
        <w:rPr>
          <w:szCs w:val="24"/>
        </w:rPr>
        <w:t xml:space="preserve"> (Destaca la Sala)</w:t>
      </w:r>
    </w:p>
    <w:p w14:paraId="49CDD383" w14:textId="77777777" w:rsidR="00060DCF" w:rsidRPr="00746ACE" w:rsidRDefault="00060DCF" w:rsidP="00CF1AD1">
      <w:pPr>
        <w:widowControl w:val="0"/>
        <w:rPr>
          <w:lang w:eastAsia="es-MX"/>
        </w:rPr>
      </w:pPr>
    </w:p>
    <w:p w14:paraId="63DB48B6" w14:textId="4ACB71D4" w:rsidR="00E546E4" w:rsidRPr="00746ACE" w:rsidRDefault="00060DCF" w:rsidP="005B1CED">
      <w:pPr>
        <w:pStyle w:val="Prrafodelista"/>
        <w:widowControl w:val="0"/>
        <w:numPr>
          <w:ilvl w:val="0"/>
          <w:numId w:val="7"/>
        </w:numPr>
      </w:pPr>
      <w:r w:rsidRPr="00746ACE">
        <w:rPr>
          <w:lang w:eastAsia="es-MX"/>
        </w:rPr>
        <w:t xml:space="preserve">En criterio de la Corte Constitucional, la Senit 8 </w:t>
      </w:r>
      <w:r w:rsidR="0043161D" w:rsidRPr="00746ACE">
        <w:rPr>
          <w:lang w:eastAsia="es-MX"/>
        </w:rPr>
        <w:t xml:space="preserve">tiene una inspiración distinta a la Senit 5. Plantea que la responsabilidad </w:t>
      </w:r>
      <w:r w:rsidR="00E546E4" w:rsidRPr="00746ACE">
        <w:rPr>
          <w:lang w:eastAsia="es-MX"/>
        </w:rPr>
        <w:t xml:space="preserve">concebida </w:t>
      </w:r>
      <w:r w:rsidR="00CF1AD1" w:rsidRPr="00746ACE">
        <w:rPr>
          <w:lang w:eastAsia="es-MX"/>
        </w:rPr>
        <w:t xml:space="preserve">por la Senit 5 </w:t>
      </w:r>
      <w:r w:rsidR="00E546E4" w:rsidRPr="00746ACE">
        <w:rPr>
          <w:lang w:eastAsia="es-MX"/>
        </w:rPr>
        <w:t xml:space="preserve">y que pretendió desarrollar </w:t>
      </w:r>
      <w:r w:rsidR="00CF1AD1" w:rsidRPr="00746ACE">
        <w:rPr>
          <w:lang w:eastAsia="es-MX"/>
        </w:rPr>
        <w:t xml:space="preserve">la Sala de Definición de Situaciones Jurídicas </w:t>
      </w:r>
      <w:r w:rsidR="0043161D" w:rsidRPr="00746ACE">
        <w:rPr>
          <w:iCs/>
          <w:lang w:eastAsia="es-MX"/>
        </w:rPr>
        <w:t>es</w:t>
      </w:r>
      <w:r w:rsidR="00DD4E06" w:rsidRPr="00746ACE">
        <w:rPr>
          <w:iCs/>
          <w:lang w:eastAsia="es-MX"/>
        </w:rPr>
        <w:t>,</w:t>
      </w:r>
      <w:r w:rsidR="0043161D" w:rsidRPr="00746ACE">
        <w:rPr>
          <w:i/>
          <w:lang w:eastAsia="es-MX"/>
        </w:rPr>
        <w:t xml:space="preserve"> </w:t>
      </w:r>
      <w:r w:rsidR="0043161D" w:rsidRPr="00746ACE">
        <w:rPr>
          <w:iCs/>
          <w:lang w:eastAsia="es-MX"/>
        </w:rPr>
        <w:t>en el fondo</w:t>
      </w:r>
      <w:r w:rsidR="00DD4E06" w:rsidRPr="00746ACE">
        <w:rPr>
          <w:iCs/>
          <w:lang w:eastAsia="es-MX"/>
        </w:rPr>
        <w:t>,</w:t>
      </w:r>
      <w:r w:rsidRPr="00746ACE">
        <w:rPr>
          <w:iCs/>
          <w:lang w:eastAsia="es-MX"/>
        </w:rPr>
        <w:t xml:space="preserve"> </w:t>
      </w:r>
      <w:r w:rsidRPr="00746ACE">
        <w:rPr>
          <w:lang w:eastAsia="es-MX"/>
        </w:rPr>
        <w:t xml:space="preserve">un tema de </w:t>
      </w:r>
      <w:r w:rsidR="00CA0E87" w:rsidRPr="00746ACE">
        <w:rPr>
          <w:lang w:eastAsia="es-MX"/>
        </w:rPr>
        <w:t xml:space="preserve">responsabilización, </w:t>
      </w:r>
      <w:r w:rsidR="002C20C3" w:rsidRPr="00746ACE">
        <w:rPr>
          <w:lang w:eastAsia="es-MX"/>
        </w:rPr>
        <w:t xml:space="preserve">entendida como una </w:t>
      </w:r>
      <w:r w:rsidR="00CA0E87" w:rsidRPr="00746ACE">
        <w:rPr>
          <w:lang w:eastAsia="es-MX"/>
        </w:rPr>
        <w:t>toma de conciencia e intención de aportar verdad y contribuir a la reparación.</w:t>
      </w:r>
      <w:r w:rsidRPr="00746ACE">
        <w:rPr>
          <w:lang w:eastAsia="es-MX"/>
        </w:rPr>
        <w:t xml:space="preserve"> Esta inspiración modifica el panorama de la responsabilidad del punto medio</w:t>
      </w:r>
      <w:r w:rsidR="00E546E4" w:rsidRPr="00746ACE">
        <w:rPr>
          <w:lang w:eastAsia="es-MX"/>
        </w:rPr>
        <w:t xml:space="preserve">, más allá de que las palabras “punto medio” no hagan parte de la Senit 8, pues esta última justamente pretende precisar cómo debería asumir la Sala de Definición de Situaciones Jurídicas la evaluación de partícipes no determinantes “cualificados”. </w:t>
      </w:r>
    </w:p>
    <w:p w14:paraId="6E816A0C" w14:textId="77777777" w:rsidR="00E546E4" w:rsidRPr="00746ACE" w:rsidRDefault="00E546E4" w:rsidP="00E546E4">
      <w:pPr>
        <w:pStyle w:val="Prrafodelista"/>
        <w:rPr>
          <w:lang w:eastAsia="es-MX"/>
        </w:rPr>
      </w:pPr>
    </w:p>
    <w:p w14:paraId="1F5C474E" w14:textId="5FCEC330" w:rsidR="00060DCF" w:rsidRPr="00746ACE" w:rsidRDefault="00E546E4" w:rsidP="00CF1AD1">
      <w:pPr>
        <w:pStyle w:val="Prrafodelista"/>
        <w:widowControl w:val="0"/>
        <w:numPr>
          <w:ilvl w:val="0"/>
          <w:numId w:val="7"/>
        </w:numPr>
      </w:pPr>
      <w:r w:rsidRPr="00746ACE">
        <w:rPr>
          <w:lang w:eastAsia="es-MX"/>
        </w:rPr>
        <w:t xml:space="preserve">A pesar del enfoque asumido en la Senit 8, </w:t>
      </w:r>
      <w:r w:rsidR="00060DCF" w:rsidRPr="00746ACE">
        <w:rPr>
          <w:lang w:eastAsia="es-MX"/>
        </w:rPr>
        <w:t xml:space="preserve">el uso de la expresión </w:t>
      </w:r>
      <w:r w:rsidR="00832102" w:rsidRPr="00746ACE">
        <w:rPr>
          <w:lang w:eastAsia="es-MX"/>
        </w:rPr>
        <w:t>“</w:t>
      </w:r>
      <w:r w:rsidR="00060DCF" w:rsidRPr="00746ACE">
        <w:rPr>
          <w:lang w:eastAsia="es-MX"/>
        </w:rPr>
        <w:t>responsabilidad</w:t>
      </w:r>
      <w:r w:rsidR="00832102" w:rsidRPr="00746ACE">
        <w:rPr>
          <w:lang w:eastAsia="es-MX"/>
        </w:rPr>
        <w:t>”</w:t>
      </w:r>
      <w:r w:rsidR="00060DCF" w:rsidRPr="00746ACE">
        <w:rPr>
          <w:lang w:eastAsia="es-MX"/>
        </w:rPr>
        <w:t xml:space="preserve"> (con su larga historia en el derecho penal)</w:t>
      </w:r>
      <w:r w:rsidR="00CF1AD1" w:rsidRPr="00746ACE">
        <w:rPr>
          <w:lang w:eastAsia="es-MX"/>
        </w:rPr>
        <w:t xml:space="preserve">, al igual que </w:t>
      </w:r>
      <w:r w:rsidR="00060DCF" w:rsidRPr="00746ACE">
        <w:rPr>
          <w:lang w:eastAsia="es-MX"/>
        </w:rPr>
        <w:t xml:space="preserve">la permanencia de la </w:t>
      </w:r>
      <w:r w:rsidR="00832102" w:rsidRPr="00746ACE">
        <w:rPr>
          <w:lang w:eastAsia="es-MX"/>
        </w:rPr>
        <w:t>“</w:t>
      </w:r>
      <w:r w:rsidR="00060DCF" w:rsidRPr="00746ACE">
        <w:rPr>
          <w:lang w:eastAsia="es-MX"/>
        </w:rPr>
        <w:t>selección de segundo orden</w:t>
      </w:r>
      <w:r w:rsidR="00832102" w:rsidRPr="00746ACE">
        <w:rPr>
          <w:lang w:eastAsia="es-MX"/>
        </w:rPr>
        <w:t>”</w:t>
      </w:r>
      <w:r w:rsidR="00060DCF" w:rsidRPr="00746ACE">
        <w:rPr>
          <w:lang w:eastAsia="es-MX"/>
        </w:rPr>
        <w:t xml:space="preserve"> en cabeza de la Sala de Definición de Situaciones Jurídicas</w:t>
      </w:r>
      <w:r w:rsidR="00C8000E" w:rsidRPr="00746ACE">
        <w:rPr>
          <w:lang w:eastAsia="es-MX"/>
        </w:rPr>
        <w:t xml:space="preserve">, </w:t>
      </w:r>
      <w:r w:rsidR="00CF1AD1" w:rsidRPr="00746ACE">
        <w:rPr>
          <w:lang w:eastAsia="es-MX"/>
        </w:rPr>
        <w:t xml:space="preserve">entendida como </w:t>
      </w:r>
      <w:r w:rsidR="00060DCF" w:rsidRPr="00746ACE">
        <w:rPr>
          <w:lang w:eastAsia="es-MX"/>
        </w:rPr>
        <w:t>la facultad de solicitar ante otros órganos de la JEP el inicio de un juicio adversarial</w:t>
      </w:r>
      <w:r w:rsidR="00C8000E" w:rsidRPr="00746ACE">
        <w:rPr>
          <w:lang w:eastAsia="es-MX"/>
        </w:rPr>
        <w:t>,</w:t>
      </w:r>
      <w:r w:rsidR="000D00A3" w:rsidRPr="00746ACE">
        <w:rPr>
          <w:lang w:eastAsia="es-MX"/>
        </w:rPr>
        <w:t xml:space="preserve"> contradice la inspiración reparadora</w:t>
      </w:r>
      <w:r w:rsidR="00C8000E" w:rsidRPr="00746ACE">
        <w:rPr>
          <w:lang w:eastAsia="es-MX"/>
        </w:rPr>
        <w:t xml:space="preserve"> de la Senit 8</w:t>
      </w:r>
      <w:r w:rsidR="00744F96" w:rsidRPr="00746ACE">
        <w:rPr>
          <w:lang w:eastAsia="es-MX"/>
        </w:rPr>
        <w:t>.</w:t>
      </w:r>
      <w:r w:rsidR="00742777" w:rsidRPr="00746ACE">
        <w:rPr>
          <w:lang w:eastAsia="es-MX"/>
        </w:rPr>
        <w:t xml:space="preserve"> </w:t>
      </w:r>
    </w:p>
    <w:p w14:paraId="4B5C2A71" w14:textId="77777777" w:rsidR="0043161D" w:rsidRPr="00746ACE" w:rsidRDefault="0043161D" w:rsidP="00CF1AD1">
      <w:pPr>
        <w:pStyle w:val="Prrafodelista"/>
        <w:widowControl w:val="0"/>
        <w:rPr>
          <w:lang w:eastAsia="es-MX"/>
        </w:rPr>
      </w:pPr>
    </w:p>
    <w:p w14:paraId="29D4FEC1" w14:textId="791279CD" w:rsidR="0043161D" w:rsidRPr="00746ACE" w:rsidRDefault="0043161D" w:rsidP="00E546E4">
      <w:pPr>
        <w:pStyle w:val="Prrafodelista"/>
        <w:widowControl w:val="0"/>
        <w:numPr>
          <w:ilvl w:val="0"/>
          <w:numId w:val="7"/>
        </w:numPr>
        <w:rPr>
          <w:lang w:eastAsia="es-MX"/>
        </w:rPr>
      </w:pPr>
      <w:r w:rsidRPr="00746ACE">
        <w:rPr>
          <w:lang w:eastAsia="es-MX"/>
        </w:rPr>
        <w:t xml:space="preserve">En efecto, las distintas rutas que expone la Senit 8 para </w:t>
      </w:r>
      <w:r w:rsidR="00E546E4" w:rsidRPr="00746ACE">
        <w:rPr>
          <w:lang w:eastAsia="es-MX"/>
        </w:rPr>
        <w:t xml:space="preserve">aquellos partícipes no determinantes enviados a la Sala de Definición de Situaciones Jurídicas después de que la Sala de Reconocimiento de Verdad y Responsabilidad obtenga sus conclusiones de calificación jurídica, </w:t>
      </w:r>
      <w:r w:rsidRPr="00746ACE">
        <w:rPr>
          <w:lang w:eastAsia="es-MX"/>
        </w:rPr>
        <w:t>culminan</w:t>
      </w:r>
      <w:r w:rsidR="00E546E4" w:rsidRPr="00746ACE">
        <w:rPr>
          <w:lang w:eastAsia="es-MX"/>
        </w:rPr>
        <w:t xml:space="preserve"> ––</w:t>
      </w:r>
      <w:r w:rsidRPr="00746ACE">
        <w:rPr>
          <w:lang w:eastAsia="es-MX"/>
        </w:rPr>
        <w:t>tal como ocurre en la Senit 5</w:t>
      </w:r>
      <w:r w:rsidR="00E546E4" w:rsidRPr="00746ACE">
        <w:rPr>
          <w:lang w:eastAsia="es-MX"/>
        </w:rPr>
        <w:t>––</w:t>
      </w:r>
      <w:r w:rsidRPr="00746ACE">
        <w:rPr>
          <w:lang w:eastAsia="es-MX"/>
        </w:rPr>
        <w:t xml:space="preserve"> con la ruta excepcional que permite la remisión del asunto a la </w:t>
      </w:r>
      <w:r w:rsidR="00C8000E" w:rsidRPr="00746ACE">
        <w:rPr>
          <w:lang w:eastAsia="es-MX"/>
        </w:rPr>
        <w:t xml:space="preserve">Unidad de Investigación y Acusación </w:t>
      </w:r>
      <w:r w:rsidRPr="00746ACE">
        <w:rPr>
          <w:lang w:eastAsia="es-MX"/>
        </w:rPr>
        <w:t xml:space="preserve">con fines de que se evalúe el inicio de un juicio adversarial. Así, la ruta no sancionatoria de la </w:t>
      </w:r>
      <w:r w:rsidR="00C8000E" w:rsidRPr="00746ACE">
        <w:rPr>
          <w:lang w:eastAsia="es-MX"/>
        </w:rPr>
        <w:t>Sala de Definición de Situaciones Jurídicas</w:t>
      </w:r>
      <w:r w:rsidR="00C8000E" w:rsidRPr="00746ACE" w:rsidDel="00C8000E">
        <w:rPr>
          <w:lang w:eastAsia="es-MX"/>
        </w:rPr>
        <w:t xml:space="preserve"> </w:t>
      </w:r>
      <w:r w:rsidRPr="00746ACE">
        <w:rPr>
          <w:lang w:eastAsia="es-MX"/>
        </w:rPr>
        <w:t>culmina articulándose con la ruta sancionatoria más estricta del sistema.</w:t>
      </w:r>
    </w:p>
    <w:p w14:paraId="2B79D148" w14:textId="77777777" w:rsidR="003D109F" w:rsidRPr="00746ACE" w:rsidRDefault="003D109F" w:rsidP="00CF1AD1">
      <w:pPr>
        <w:widowControl w:val="0"/>
      </w:pPr>
    </w:p>
    <w:p w14:paraId="64749CA6" w14:textId="77777777" w:rsidR="00720FE7" w:rsidRPr="00746ACE" w:rsidRDefault="00720FE7" w:rsidP="00720FE7">
      <w:pPr>
        <w:pStyle w:val="Prrafodelista"/>
        <w:widowControl w:val="0"/>
        <w:numPr>
          <w:ilvl w:val="0"/>
          <w:numId w:val="7"/>
        </w:numPr>
        <w:rPr>
          <w:i/>
        </w:rPr>
      </w:pPr>
      <w:r w:rsidRPr="00746ACE">
        <w:t>Diversas intervenciones de la audiencia pública de 24 de octubre de 2025 consideraron que podría existir algún espacio para la selección de segundo orden, siempre y cuando esta se entienda a la luz de la justicia transicional restaurativa</w:t>
      </w:r>
      <w:r w:rsidRPr="00746ACE">
        <w:rPr>
          <w:i/>
        </w:rPr>
        <w:t xml:space="preserve">. </w:t>
      </w:r>
      <w:r w:rsidRPr="00746ACE">
        <w:t xml:space="preserve">En la sesión técnica con organizaciones de víctimas, del 27 de febrero de 2026, también se alzaron voces en esta dirección. </w:t>
      </w:r>
    </w:p>
    <w:p w14:paraId="68AA7BF2" w14:textId="77777777" w:rsidR="00720FE7" w:rsidRPr="00746ACE" w:rsidRDefault="00720FE7" w:rsidP="00720FE7">
      <w:pPr>
        <w:pStyle w:val="Prrafodelista"/>
        <w:widowControl w:val="0"/>
        <w:rPr>
          <w:i/>
        </w:rPr>
      </w:pPr>
    </w:p>
    <w:p w14:paraId="037EB7E3" w14:textId="65BA6AF1" w:rsidR="0043161D" w:rsidRPr="00746ACE" w:rsidRDefault="00720FE7" w:rsidP="00FC3A12">
      <w:pPr>
        <w:pStyle w:val="Prrafodelista"/>
        <w:widowControl w:val="0"/>
        <w:numPr>
          <w:ilvl w:val="0"/>
          <w:numId w:val="7"/>
        </w:numPr>
      </w:pPr>
      <w:r w:rsidRPr="00746ACE">
        <w:t>La Sala Plena estima relevante el cambio de inspiración que refleja la Senit 8 frente a la responsabilidad de partícipes no determinantes remitidos a la Sala de Definición de Situaciones Jurídicas. Sin duda, la Senit 8 avanza en la comprensión de la responsabilidad no solo desde una mirada punitiva, sino también desde una restauradora y reparadora. Sin embargo, mientras se preserve la selección de segundo orden como posible desenlace de estas rutas, el discurso se verá frustrado por la potencial apertura y dispersión de la investigación, juzgamiento y sanción de los más graves crímenes, en cabeza de los máximos responsables hacia otros sujetos</w:t>
      </w:r>
      <w:r w:rsidR="00DD4E06" w:rsidRPr="00746ACE">
        <w:t>.</w:t>
      </w:r>
    </w:p>
    <w:p w14:paraId="581D2CC1" w14:textId="77777777" w:rsidR="00DD4E06" w:rsidRPr="00746ACE" w:rsidRDefault="00DD4E06" w:rsidP="00DD4E06">
      <w:pPr>
        <w:pStyle w:val="Prrafodelista"/>
        <w:widowControl w:val="0"/>
        <w:ind w:left="0"/>
      </w:pPr>
    </w:p>
    <w:p w14:paraId="2F611F3C" w14:textId="184666C5" w:rsidR="0043161D" w:rsidRPr="00746ACE" w:rsidRDefault="0043161D" w:rsidP="00CF1AD1">
      <w:pPr>
        <w:pStyle w:val="Prrafodelista"/>
        <w:widowControl w:val="0"/>
        <w:numPr>
          <w:ilvl w:val="0"/>
          <w:numId w:val="7"/>
        </w:numPr>
      </w:pPr>
      <w:r w:rsidRPr="00746ACE">
        <w:t>Este punto se retomará en las precisiones finales. Ahora,</w:t>
      </w:r>
      <w:r w:rsidR="00C8000E" w:rsidRPr="00746ACE">
        <w:t xml:space="preserve"> le</w:t>
      </w:r>
      <w:r w:rsidRPr="00746ACE">
        <w:t xml:space="preserve"> corresponde a la Sala evaluar </w:t>
      </w:r>
      <w:r w:rsidR="00092A12" w:rsidRPr="00746ACE">
        <w:t xml:space="preserve">el segundo avance </w:t>
      </w:r>
      <w:r w:rsidR="001D7725" w:rsidRPr="00746ACE">
        <w:t>jurisprudencial</w:t>
      </w:r>
      <w:r w:rsidR="00092A12" w:rsidRPr="00746ACE">
        <w:t xml:space="preserve"> en materia de responsabilidad: </w:t>
      </w:r>
      <w:r w:rsidRPr="00746ACE">
        <w:t xml:space="preserve">es decir, la responsabilidad del punto medio y cercana a la máxima como criterio heurístico. </w:t>
      </w:r>
    </w:p>
    <w:p w14:paraId="3BF81B3C" w14:textId="77777777" w:rsidR="0043161D" w:rsidRPr="00746ACE" w:rsidRDefault="0043161D" w:rsidP="00FC0DFB">
      <w:pPr>
        <w:widowControl w:val="0"/>
        <w:rPr>
          <w:lang w:eastAsia="es-MX"/>
        </w:rPr>
      </w:pPr>
    </w:p>
    <w:p w14:paraId="3839AFDA" w14:textId="52FF0EEF" w:rsidR="0043161D" w:rsidRPr="00746ACE" w:rsidRDefault="0043161D" w:rsidP="000B69F5">
      <w:pPr>
        <w:pStyle w:val="Ttulo3"/>
        <w:keepNext w:val="0"/>
        <w:keepLines w:val="0"/>
        <w:widowControl w:val="0"/>
        <w:jc w:val="both"/>
        <w:rPr>
          <w:rFonts w:cs="Times New Roman"/>
          <w:color w:val="auto"/>
          <w:sz w:val="28"/>
          <w:szCs w:val="28"/>
          <w:lang w:val="es-ES" w:eastAsia="es-MX"/>
        </w:rPr>
      </w:pPr>
      <w:bookmarkStart w:id="54" w:name="_Toc233384204"/>
      <w:r w:rsidRPr="00746ACE">
        <w:rPr>
          <w:rFonts w:cs="Times New Roman"/>
          <w:color w:val="auto"/>
          <w:sz w:val="28"/>
          <w:szCs w:val="28"/>
          <w:lang w:val="es-ES" w:eastAsia="es-MX"/>
        </w:rPr>
        <w:t>La Senit 9, de las categorías normativas a los criterios heurísticos</w:t>
      </w:r>
      <w:r w:rsidR="00C8000E" w:rsidRPr="00746ACE">
        <w:rPr>
          <w:rFonts w:cs="Times New Roman"/>
          <w:color w:val="auto"/>
          <w:sz w:val="28"/>
          <w:szCs w:val="28"/>
          <w:lang w:val="es-ES" w:eastAsia="es-MX"/>
        </w:rPr>
        <w:t>.</w:t>
      </w:r>
      <w:bookmarkEnd w:id="54"/>
    </w:p>
    <w:p w14:paraId="181C1CFB" w14:textId="77777777" w:rsidR="0043161D" w:rsidRPr="00746ACE" w:rsidRDefault="0043161D" w:rsidP="00FC0DFB">
      <w:pPr>
        <w:widowControl w:val="0"/>
        <w:rPr>
          <w:lang w:eastAsia="es-MX"/>
        </w:rPr>
      </w:pPr>
    </w:p>
    <w:p w14:paraId="09909A69" w14:textId="77777777" w:rsidR="0043161D" w:rsidRPr="00746ACE" w:rsidRDefault="0043161D" w:rsidP="00FC0DFB">
      <w:pPr>
        <w:pStyle w:val="Prrafodelista"/>
        <w:widowControl w:val="0"/>
        <w:numPr>
          <w:ilvl w:val="0"/>
          <w:numId w:val="7"/>
        </w:numPr>
      </w:pPr>
      <w:r w:rsidRPr="00746ACE">
        <w:rPr>
          <w:lang w:eastAsia="es-MX"/>
        </w:rPr>
        <w:t xml:space="preserve">La Senit 9 no habla de la responsabilidad del punto medio, sino que introduce un concepto adicional, la “responsabilidad cercana a la máxima”. </w:t>
      </w:r>
    </w:p>
    <w:p w14:paraId="0B805DBA" w14:textId="77777777" w:rsidR="0043161D" w:rsidRPr="00746ACE" w:rsidRDefault="0043161D" w:rsidP="00FC0DFB">
      <w:pPr>
        <w:pStyle w:val="Prrafodelista"/>
        <w:widowControl w:val="0"/>
        <w:ind w:left="0"/>
      </w:pPr>
    </w:p>
    <w:p w14:paraId="56986928" w14:textId="74876FE4" w:rsidR="0043161D" w:rsidRPr="00746ACE" w:rsidRDefault="0043161D" w:rsidP="00FC0DFB">
      <w:pPr>
        <w:pStyle w:val="Prrafodelista"/>
        <w:widowControl w:val="0"/>
        <w:numPr>
          <w:ilvl w:val="0"/>
          <w:numId w:val="7"/>
        </w:numPr>
      </w:pPr>
      <w:r w:rsidRPr="00746ACE">
        <w:rPr>
          <w:lang w:eastAsia="es-MX"/>
        </w:rPr>
        <w:t xml:space="preserve">La JEP ha explicado que la responsabilidad del punto medio y la responsabilidad cercana a la máxima son, en realidad, conceptos equivalentes. Si bien la </w:t>
      </w:r>
      <w:r w:rsidR="00C8000E" w:rsidRPr="00746ACE">
        <w:rPr>
          <w:lang w:eastAsia="es-MX"/>
        </w:rPr>
        <w:t xml:space="preserve">Corte </w:t>
      </w:r>
      <w:r w:rsidRPr="00746ACE">
        <w:rPr>
          <w:lang w:eastAsia="es-MX"/>
        </w:rPr>
        <w:t>puede comprender esta afirmación, preocupa que estas definiciones, que pueden impactar la situación jurídica de comparecientes y los derechos de las víctimas no tengan un enunciado y un sentido unívocos, como se analizará al abordar cargos por violación al debido proceso. Como lo expresó un interviniente en este proceso, este acercamiento parece multiplicar aún más las categorías y, por lo tanto, agravar los problemas asociados al principio de legalidad y la seguridad jurídica</w:t>
      </w:r>
      <w:r w:rsidR="00A82D08" w:rsidRPr="00746ACE">
        <w:rPr>
          <w:lang w:eastAsia="es-MX"/>
        </w:rPr>
        <w:t xml:space="preserve">, aspecto relacionado también con el cuarto cargo. </w:t>
      </w:r>
    </w:p>
    <w:p w14:paraId="30071367" w14:textId="77777777" w:rsidR="0043161D" w:rsidRPr="00746ACE" w:rsidRDefault="0043161D" w:rsidP="00FC0DFB">
      <w:pPr>
        <w:pStyle w:val="Prrafodelista"/>
        <w:widowControl w:val="0"/>
        <w:ind w:left="0"/>
        <w:rPr>
          <w:lang w:eastAsia="es-MX"/>
        </w:rPr>
      </w:pPr>
    </w:p>
    <w:p w14:paraId="1A80112A" w14:textId="098B2DD2" w:rsidR="00DF762F" w:rsidRPr="00746ACE" w:rsidRDefault="00EE672C" w:rsidP="00FC0DFB">
      <w:pPr>
        <w:pStyle w:val="Prrafodelista"/>
        <w:widowControl w:val="0"/>
        <w:numPr>
          <w:ilvl w:val="0"/>
          <w:numId w:val="7"/>
        </w:numPr>
        <w:rPr>
          <w:lang w:eastAsia="es-MX"/>
        </w:rPr>
      </w:pPr>
      <w:r w:rsidRPr="00746ACE">
        <w:rPr>
          <w:lang w:eastAsia="es-MX"/>
        </w:rPr>
        <w:t xml:space="preserve">El punto central de la Senit 9 consiste en desvirtuar que la </w:t>
      </w:r>
      <w:r w:rsidR="00DD4E06" w:rsidRPr="00746ACE">
        <w:rPr>
          <w:lang w:eastAsia="es-MX"/>
        </w:rPr>
        <w:t>“</w:t>
      </w:r>
      <w:r w:rsidRPr="00746ACE">
        <w:rPr>
          <w:lang w:eastAsia="es-MX"/>
        </w:rPr>
        <w:t>responsabilidad del punto medio</w:t>
      </w:r>
      <w:r w:rsidR="00DD4E06" w:rsidRPr="00746ACE">
        <w:rPr>
          <w:lang w:eastAsia="es-MX"/>
        </w:rPr>
        <w:t>”</w:t>
      </w:r>
      <w:r w:rsidRPr="00746ACE">
        <w:rPr>
          <w:lang w:eastAsia="es-MX"/>
        </w:rPr>
        <w:t xml:space="preserve"> sea una categoría normativa. En cambio, dice la Sección de Apelación, se trata de un criterio heurístico. </w:t>
      </w:r>
      <w:r w:rsidR="00C8000E" w:rsidRPr="00746ACE">
        <w:rPr>
          <w:lang w:eastAsia="es-MX"/>
        </w:rPr>
        <w:t>Así, s</w:t>
      </w:r>
      <w:r w:rsidRPr="00746ACE">
        <w:rPr>
          <w:lang w:eastAsia="es-MX"/>
        </w:rPr>
        <w:t>e refiere una vez más a los responsables del punto medio y plantea la existencia de tres rutas para atender su situación, en función de su reconocimiento de verdad</w:t>
      </w:r>
      <w:r w:rsidR="00DF762F" w:rsidRPr="00746ACE">
        <w:rPr>
          <w:lang w:eastAsia="es-MX"/>
        </w:rPr>
        <w:t>.</w:t>
      </w:r>
    </w:p>
    <w:p w14:paraId="3E1F3B52" w14:textId="77777777" w:rsidR="00251C9C" w:rsidRPr="00746ACE" w:rsidRDefault="00251C9C" w:rsidP="00FC0DFB">
      <w:pPr>
        <w:widowControl w:val="0"/>
        <w:rPr>
          <w:lang w:eastAsia="es-MX"/>
        </w:rPr>
      </w:pPr>
    </w:p>
    <w:p w14:paraId="4F338211" w14:textId="07E3EB48" w:rsidR="00251C9C" w:rsidRPr="00746ACE" w:rsidRDefault="00EE672C" w:rsidP="00FC0DFB">
      <w:pPr>
        <w:pStyle w:val="Prrafodelista"/>
        <w:widowControl w:val="0"/>
        <w:numPr>
          <w:ilvl w:val="0"/>
          <w:numId w:val="7"/>
        </w:numPr>
      </w:pPr>
      <w:r w:rsidRPr="00746ACE">
        <w:rPr>
          <w:lang w:eastAsia="es-MX"/>
        </w:rPr>
        <w:t xml:space="preserve">La expresión </w:t>
      </w:r>
      <w:r w:rsidRPr="00746ACE">
        <w:rPr>
          <w:i/>
          <w:lang w:eastAsia="es-MX"/>
        </w:rPr>
        <w:t xml:space="preserve">heurística </w:t>
      </w:r>
      <w:r w:rsidRPr="00746ACE">
        <w:rPr>
          <w:lang w:eastAsia="es-MX"/>
        </w:rPr>
        <w:t xml:space="preserve">remite a la filosofía y a la epistemología. Sin que sea esta sentencia el espacio indicado para profundizar en su contenido y alcance, </w:t>
      </w:r>
      <w:r w:rsidR="00C8000E" w:rsidRPr="00746ACE">
        <w:rPr>
          <w:lang w:eastAsia="es-MX"/>
        </w:rPr>
        <w:t>esta Corporación</w:t>
      </w:r>
      <w:r w:rsidRPr="00746ACE">
        <w:rPr>
          <w:lang w:eastAsia="es-MX"/>
        </w:rPr>
        <w:t xml:space="preserve"> retoma lo expresado por el Magistrado Arango para aproximarse a su sentido más intuitivo. La </w:t>
      </w:r>
      <w:r w:rsidRPr="00746ACE">
        <w:rPr>
          <w:i/>
          <w:lang w:eastAsia="es-MX"/>
        </w:rPr>
        <w:t xml:space="preserve">heurística </w:t>
      </w:r>
      <w:r w:rsidRPr="00746ACE">
        <w:rPr>
          <w:lang w:eastAsia="es-MX"/>
        </w:rPr>
        <w:t xml:space="preserve">es un </w:t>
      </w:r>
      <w:r w:rsidR="00720FE7" w:rsidRPr="00746ACE">
        <w:rPr>
          <w:lang w:eastAsia="es-MX"/>
        </w:rPr>
        <w:t>criterio orientador</w:t>
      </w:r>
      <w:r w:rsidRPr="00746ACE">
        <w:rPr>
          <w:lang w:eastAsia="es-MX"/>
        </w:rPr>
        <w:t xml:space="preserve">, un apoyo o una barandilla para el pensamiento, y, por lo tanto, una herramienta hermenéutica para los jueces. </w:t>
      </w:r>
    </w:p>
    <w:p w14:paraId="0611B8BF" w14:textId="77777777" w:rsidR="00251C9C" w:rsidRPr="00746ACE" w:rsidRDefault="00251C9C" w:rsidP="00FC0DFB">
      <w:pPr>
        <w:pStyle w:val="Prrafodelista"/>
        <w:widowControl w:val="0"/>
        <w:rPr>
          <w:lang w:eastAsia="es-MX"/>
        </w:rPr>
      </w:pPr>
    </w:p>
    <w:p w14:paraId="70E92072" w14:textId="49446A60" w:rsidR="0043161D" w:rsidRPr="00746ACE" w:rsidRDefault="0043161D" w:rsidP="00FC0DFB">
      <w:pPr>
        <w:pStyle w:val="Prrafodelista"/>
        <w:widowControl w:val="0"/>
        <w:numPr>
          <w:ilvl w:val="0"/>
          <w:numId w:val="7"/>
        </w:numPr>
      </w:pPr>
      <w:r w:rsidRPr="00746ACE">
        <w:rPr>
          <w:lang w:eastAsia="es-MX"/>
        </w:rPr>
        <w:t>En criterio de la Corte Constitucional</w:t>
      </w:r>
      <w:r w:rsidR="00C8000E" w:rsidRPr="00746ACE">
        <w:rPr>
          <w:lang w:eastAsia="es-MX"/>
        </w:rPr>
        <w:t>,</w:t>
      </w:r>
      <w:r w:rsidRPr="00746ACE">
        <w:rPr>
          <w:lang w:eastAsia="es-MX"/>
        </w:rPr>
        <w:t xml:space="preserve"> esta aproximación no contribuye a esclarecer las dudas acerca del cumplimiento del principio de legalidad, comprendido como interdicción de la arbitrariedad en la línea jurisprudencial que va de la Senit 5 a la Senit 9, pasando por la Senit 8. Lo que resulta más problemático es que la categoría de </w:t>
      </w:r>
      <w:r w:rsidRPr="00746ACE">
        <w:rPr>
          <w:i/>
          <w:lang w:eastAsia="es-MX"/>
        </w:rPr>
        <w:t xml:space="preserve">responsabilidad </w:t>
      </w:r>
      <w:r w:rsidRPr="00746ACE">
        <w:rPr>
          <w:lang w:eastAsia="es-MX"/>
        </w:rPr>
        <w:t xml:space="preserve">es muy importante tanto para la atribución de un crimen y la imposición de una sanción, a la luz del derecho penal clásico y del derecho penal internacional, como para el proceso de </w:t>
      </w:r>
      <w:r w:rsidRPr="00746ACE">
        <w:rPr>
          <w:i/>
          <w:lang w:eastAsia="es-MX"/>
        </w:rPr>
        <w:t xml:space="preserve">comprensión del daño </w:t>
      </w:r>
      <w:r w:rsidRPr="00746ACE">
        <w:rPr>
          <w:lang w:eastAsia="es-MX"/>
        </w:rPr>
        <w:t xml:space="preserve">y </w:t>
      </w:r>
      <w:r w:rsidRPr="00746ACE">
        <w:rPr>
          <w:i/>
          <w:lang w:eastAsia="es-MX"/>
        </w:rPr>
        <w:t xml:space="preserve">evaluación de los aportes </w:t>
      </w:r>
      <w:r w:rsidRPr="00746ACE">
        <w:rPr>
          <w:lang w:eastAsia="es-MX"/>
        </w:rPr>
        <w:t xml:space="preserve">de un compareciente, si se percibe de manera más amplia como </w:t>
      </w:r>
      <w:r w:rsidRPr="00746ACE">
        <w:rPr>
          <w:i/>
          <w:lang w:eastAsia="es-MX"/>
        </w:rPr>
        <w:t xml:space="preserve">responsabilidad </w:t>
      </w:r>
      <w:r w:rsidRPr="00746ACE">
        <w:rPr>
          <w:lang w:eastAsia="es-MX"/>
        </w:rPr>
        <w:t xml:space="preserve">de carácter restaurativo. </w:t>
      </w:r>
    </w:p>
    <w:p w14:paraId="3A8EA3EF" w14:textId="77777777" w:rsidR="0043161D" w:rsidRPr="00746ACE" w:rsidRDefault="0043161D" w:rsidP="00FC0DFB">
      <w:pPr>
        <w:pStyle w:val="Prrafodelista"/>
        <w:widowControl w:val="0"/>
        <w:rPr>
          <w:lang w:eastAsia="es-MX"/>
        </w:rPr>
      </w:pPr>
    </w:p>
    <w:p w14:paraId="0D33DEAB" w14:textId="280106F2" w:rsidR="0043161D" w:rsidRPr="00746ACE" w:rsidRDefault="00EE672C" w:rsidP="00FC0DFB">
      <w:pPr>
        <w:pStyle w:val="Prrafodelista"/>
        <w:widowControl w:val="0"/>
        <w:numPr>
          <w:ilvl w:val="0"/>
          <w:numId w:val="7"/>
        </w:numPr>
        <w:rPr>
          <w:lang w:eastAsia="es-MX"/>
        </w:rPr>
      </w:pPr>
      <w:r w:rsidRPr="00746ACE">
        <w:rPr>
          <w:lang w:eastAsia="es-MX"/>
        </w:rPr>
        <w:t>P</w:t>
      </w:r>
      <w:r w:rsidR="000D60DE" w:rsidRPr="00746ACE">
        <w:rPr>
          <w:lang w:eastAsia="es-MX"/>
        </w:rPr>
        <w:t>or lo tanto, p</w:t>
      </w:r>
      <w:r w:rsidRPr="00746ACE">
        <w:rPr>
          <w:lang w:eastAsia="es-MX"/>
        </w:rPr>
        <w:t xml:space="preserve">rivar de carácter normativo a una expresión con semejante fuerza </w:t>
      </w:r>
      <w:r w:rsidR="00A82D08" w:rsidRPr="00746ACE">
        <w:rPr>
          <w:lang w:eastAsia="es-MX"/>
        </w:rPr>
        <w:t xml:space="preserve">jurídica y consecuencias normativas y fácticas </w:t>
      </w:r>
      <w:r w:rsidRPr="00746ACE">
        <w:rPr>
          <w:lang w:eastAsia="es-MX"/>
        </w:rPr>
        <w:t>dentro del sistema de la JEP resulta extraño y genera</w:t>
      </w:r>
      <w:r w:rsidR="00C175F5" w:rsidRPr="00746ACE">
        <w:rPr>
          <w:lang w:eastAsia="es-MX"/>
        </w:rPr>
        <w:t xml:space="preserve"> nuevas</w:t>
      </w:r>
      <w:r w:rsidRPr="00746ACE">
        <w:rPr>
          <w:lang w:eastAsia="es-MX"/>
        </w:rPr>
        <w:t xml:space="preserve"> dudas acerca del efecto útil de incluir esta expresión</w:t>
      </w:r>
      <w:r w:rsidR="00C175F5" w:rsidRPr="00746ACE">
        <w:rPr>
          <w:lang w:eastAsia="es-MX"/>
        </w:rPr>
        <w:t xml:space="preserve"> en decisiones tan importantes como las sentencias interpretativas analizadas</w:t>
      </w:r>
      <w:r w:rsidRPr="00746ACE">
        <w:rPr>
          <w:lang w:eastAsia="es-MX"/>
        </w:rPr>
        <w:t xml:space="preserve">. </w:t>
      </w:r>
    </w:p>
    <w:p w14:paraId="19F20D9B" w14:textId="77777777" w:rsidR="0043161D" w:rsidRPr="00746ACE" w:rsidRDefault="0043161D" w:rsidP="00CF1AD1">
      <w:pPr>
        <w:pStyle w:val="Prrafodelista"/>
        <w:widowControl w:val="0"/>
        <w:rPr>
          <w:lang w:eastAsia="es-MX"/>
        </w:rPr>
      </w:pPr>
    </w:p>
    <w:p w14:paraId="7600B1B9" w14:textId="3F398B34" w:rsidR="0088603B" w:rsidRPr="00746ACE" w:rsidRDefault="00EE672C" w:rsidP="00FC0DFB">
      <w:pPr>
        <w:pStyle w:val="Prrafodelista"/>
        <w:widowControl w:val="0"/>
        <w:numPr>
          <w:ilvl w:val="0"/>
          <w:numId w:val="7"/>
        </w:numPr>
        <w:rPr>
          <w:lang w:eastAsia="es-MX"/>
        </w:rPr>
      </w:pPr>
      <w:r w:rsidRPr="00746ACE">
        <w:rPr>
          <w:lang w:eastAsia="es-MX"/>
        </w:rPr>
        <w:t>Además, es contradictorio con las dos grandes aproximaciones al concepto presentadas en la Senit 5 y en la Senit 8 y, con más razón, con las consecuencias de su inclusión en el sistema. Así, a la luz de la Senit 5 esta categoría</w:t>
      </w:r>
      <w:r w:rsidR="0088603B" w:rsidRPr="00746ACE">
        <w:rPr>
          <w:lang w:eastAsia="es-MX"/>
        </w:rPr>
        <w:t xml:space="preserve"> </w:t>
      </w:r>
      <w:r w:rsidRPr="00746ACE">
        <w:rPr>
          <w:lang w:eastAsia="es-MX"/>
        </w:rPr>
        <w:t xml:space="preserve">puede conducir a una modificación directa y vinculante de los partícipes no determinantes. </w:t>
      </w:r>
      <w:r w:rsidR="0043161D" w:rsidRPr="00746ACE">
        <w:rPr>
          <w:lang w:eastAsia="es-MX"/>
        </w:rPr>
        <w:t xml:space="preserve">Y, desde el </w:t>
      </w:r>
      <w:r w:rsidR="0088603B" w:rsidRPr="00746ACE">
        <w:rPr>
          <w:lang w:eastAsia="es-MX"/>
        </w:rPr>
        <w:t xml:space="preserve">norte de </w:t>
      </w:r>
      <w:r w:rsidRPr="00746ACE">
        <w:rPr>
          <w:lang w:eastAsia="es-MX"/>
        </w:rPr>
        <w:t xml:space="preserve">la Senit 8 conduce </w:t>
      </w:r>
      <w:r w:rsidR="0088603B" w:rsidRPr="00746ACE">
        <w:rPr>
          <w:lang w:eastAsia="es-MX"/>
        </w:rPr>
        <w:t xml:space="preserve">a la determinación del </w:t>
      </w:r>
      <w:r w:rsidRPr="00746ACE">
        <w:rPr>
          <w:lang w:eastAsia="es-MX"/>
        </w:rPr>
        <w:t>daño y la exigencia de reparación</w:t>
      </w:r>
      <w:r w:rsidR="0088603B" w:rsidRPr="00746ACE">
        <w:rPr>
          <w:lang w:eastAsia="es-MX"/>
        </w:rPr>
        <w:t xml:space="preserve">. Estos caminos no </w:t>
      </w:r>
      <w:r w:rsidR="0043161D" w:rsidRPr="00746ACE">
        <w:rPr>
          <w:lang w:eastAsia="es-MX"/>
        </w:rPr>
        <w:t>muestran</w:t>
      </w:r>
      <w:r w:rsidR="0088603B" w:rsidRPr="00746ACE">
        <w:rPr>
          <w:lang w:eastAsia="es-MX"/>
        </w:rPr>
        <w:t xml:space="preserve"> la responsabilidad del punto medio como un </w:t>
      </w:r>
      <w:r w:rsidR="00DD4E06" w:rsidRPr="00746ACE">
        <w:rPr>
          <w:lang w:eastAsia="es-MX"/>
        </w:rPr>
        <w:t>apoyo hermenéutico</w:t>
      </w:r>
      <w:r w:rsidR="0088603B" w:rsidRPr="00746ACE">
        <w:rPr>
          <w:lang w:eastAsia="es-MX"/>
        </w:rPr>
        <w:t>, sino como una categoría con consecuencias normativas muy serias en el sistema de justicia integral de la JEP.</w:t>
      </w:r>
    </w:p>
    <w:p w14:paraId="13AEEBD0" w14:textId="77777777" w:rsidR="00251C9C" w:rsidRPr="00746ACE" w:rsidRDefault="00251C9C" w:rsidP="00FC0DFB">
      <w:pPr>
        <w:pStyle w:val="Prrafodelista"/>
        <w:widowControl w:val="0"/>
        <w:ind w:left="0"/>
        <w:rPr>
          <w:lang w:eastAsia="es-MX"/>
        </w:rPr>
      </w:pPr>
    </w:p>
    <w:p w14:paraId="389949BA" w14:textId="7473FFC0" w:rsidR="00251C9C" w:rsidRPr="00746ACE" w:rsidRDefault="00EE672C" w:rsidP="00FC0DFB">
      <w:pPr>
        <w:pStyle w:val="Prrafodelista"/>
        <w:widowControl w:val="0"/>
        <w:numPr>
          <w:ilvl w:val="0"/>
          <w:numId w:val="7"/>
        </w:numPr>
      </w:pPr>
      <w:r w:rsidRPr="00746ACE">
        <w:rPr>
          <w:lang w:eastAsia="es-MX"/>
        </w:rPr>
        <w:t xml:space="preserve">La </w:t>
      </w:r>
      <w:r w:rsidR="000D60DE" w:rsidRPr="00746ACE">
        <w:rPr>
          <w:lang w:eastAsia="es-MX"/>
        </w:rPr>
        <w:t xml:space="preserve">Corte </w:t>
      </w:r>
      <w:r w:rsidR="00B30D7F" w:rsidRPr="00746ACE">
        <w:rPr>
          <w:lang w:eastAsia="es-MX"/>
        </w:rPr>
        <w:t xml:space="preserve">Constitucional </w:t>
      </w:r>
      <w:r w:rsidR="00251C9C" w:rsidRPr="00746ACE">
        <w:rPr>
          <w:lang w:eastAsia="es-MX"/>
        </w:rPr>
        <w:t>insiste</w:t>
      </w:r>
      <w:r w:rsidR="000D60DE" w:rsidRPr="00746ACE">
        <w:rPr>
          <w:lang w:eastAsia="es-MX"/>
        </w:rPr>
        <w:t xml:space="preserve"> en que</w:t>
      </w:r>
      <w:r w:rsidR="00251C9C" w:rsidRPr="00746ACE">
        <w:rPr>
          <w:lang w:eastAsia="es-MX"/>
        </w:rPr>
        <w:t xml:space="preserve">, mientras </w:t>
      </w:r>
      <w:r w:rsidRPr="00746ACE">
        <w:rPr>
          <w:lang w:eastAsia="es-MX"/>
        </w:rPr>
        <w:t>se preserve la selección de segundo orden, las modificaciones introducidas en la doctrina o el discurso que anima a las sentencias Senit 5 y Senit 8 están llamadas al fracaso, pues la responsabilidad del punto medio tendrá, necesariamente, efectos normativos</w:t>
      </w:r>
      <w:r w:rsidR="004C5F57" w:rsidRPr="00746ACE">
        <w:rPr>
          <w:lang w:eastAsia="es-MX"/>
        </w:rPr>
        <w:t xml:space="preserve"> directos y profundos en los derechos de las víctimas y el debido proceso de los comparecientes</w:t>
      </w:r>
      <w:r w:rsidRPr="00746ACE">
        <w:rPr>
          <w:lang w:eastAsia="es-MX"/>
        </w:rPr>
        <w:t xml:space="preserve">. El problema es claro. </w:t>
      </w:r>
      <w:r w:rsidR="0043161D" w:rsidRPr="00746ACE">
        <w:rPr>
          <w:lang w:eastAsia="es-MX"/>
        </w:rPr>
        <w:t xml:space="preserve">Si bien los criterios heurísticos no solo </w:t>
      </w:r>
      <w:r w:rsidR="000D60DE" w:rsidRPr="00746ACE">
        <w:rPr>
          <w:lang w:eastAsia="es-MX"/>
        </w:rPr>
        <w:t xml:space="preserve">son </w:t>
      </w:r>
      <w:r w:rsidRPr="00746ACE">
        <w:rPr>
          <w:lang w:eastAsia="es-MX"/>
        </w:rPr>
        <w:t xml:space="preserve">adecuados sino necesarios para la adjudicación, lo cierto es que un mínimo de legalidad, entendida como </w:t>
      </w:r>
      <w:r w:rsidRPr="00746ACE">
        <w:rPr>
          <w:i/>
          <w:lang w:eastAsia="es-MX"/>
        </w:rPr>
        <w:t xml:space="preserve">precisión, </w:t>
      </w:r>
      <w:r w:rsidRPr="00746ACE">
        <w:rPr>
          <w:lang w:eastAsia="es-MX"/>
        </w:rPr>
        <w:t xml:space="preserve">y no como </w:t>
      </w:r>
      <w:r w:rsidRPr="00746ACE">
        <w:rPr>
          <w:i/>
          <w:lang w:eastAsia="es-MX"/>
        </w:rPr>
        <w:t xml:space="preserve">orientación, </w:t>
      </w:r>
      <w:r w:rsidRPr="00746ACE">
        <w:rPr>
          <w:lang w:eastAsia="es-MX"/>
        </w:rPr>
        <w:t>es imprescindible.</w:t>
      </w:r>
    </w:p>
    <w:p w14:paraId="6BAE4321" w14:textId="77777777" w:rsidR="00251C9C" w:rsidRPr="00746ACE" w:rsidRDefault="00251C9C" w:rsidP="00FC0DFB">
      <w:pPr>
        <w:widowControl w:val="0"/>
        <w:rPr>
          <w:lang w:eastAsia="es-MX"/>
        </w:rPr>
      </w:pPr>
    </w:p>
    <w:p w14:paraId="17522BAC" w14:textId="77777777" w:rsidR="00251C9C" w:rsidRPr="00746ACE" w:rsidRDefault="00EE672C" w:rsidP="00FC0DFB">
      <w:pPr>
        <w:pStyle w:val="Prrafodelista"/>
        <w:widowControl w:val="0"/>
        <w:numPr>
          <w:ilvl w:val="0"/>
          <w:numId w:val="7"/>
        </w:numPr>
      </w:pPr>
      <w:r w:rsidRPr="00746ACE">
        <w:rPr>
          <w:lang w:eastAsia="es-MX"/>
        </w:rPr>
        <w:t>Hablar de la responsabilidad del punto medio como un criterio heurístico implica, una vez más, diluir el concepto, hacerlo difuso, cuando las distintas personas, actores, pueblos, comunidades, grupos poblacionales e instituciones inmersas en los procesos de la JEP requieren mínimos de seguridad jurídica.</w:t>
      </w:r>
    </w:p>
    <w:p w14:paraId="46622180" w14:textId="77777777" w:rsidR="00251C9C" w:rsidRPr="00746ACE" w:rsidRDefault="00251C9C" w:rsidP="00FC0DFB">
      <w:pPr>
        <w:pStyle w:val="Prrafodelista"/>
        <w:widowControl w:val="0"/>
        <w:rPr>
          <w:lang w:eastAsia="es-ES"/>
        </w:rPr>
      </w:pPr>
    </w:p>
    <w:p w14:paraId="3DAC184C" w14:textId="7733EAEC" w:rsidR="00251C9C" w:rsidRPr="00746ACE" w:rsidRDefault="00D254D8" w:rsidP="00672AC0">
      <w:pPr>
        <w:pStyle w:val="Ttulo2"/>
        <w:rPr>
          <w:rFonts w:cs="Times New Roman"/>
          <w:lang w:eastAsia="es-ES"/>
        </w:rPr>
      </w:pPr>
      <w:bookmarkStart w:id="55" w:name="_Toc233384205"/>
      <w:r w:rsidRPr="00746ACE">
        <w:rPr>
          <w:rFonts w:cs="Times New Roman"/>
        </w:rPr>
        <w:t xml:space="preserve">Tercer cargo. </w:t>
      </w:r>
      <w:r w:rsidR="00251C9C" w:rsidRPr="00746ACE">
        <w:rPr>
          <w:rFonts w:cs="Times New Roman"/>
        </w:rPr>
        <w:t>Violación del principio de legalidad en cuanto a la creación de la categoría dogmática intermedia entre la máxima responsabilidad y la participación no determinante, por ser de carácter abstracto y difuso</w:t>
      </w:r>
      <w:bookmarkEnd w:id="55"/>
      <w:r w:rsidR="00251C9C" w:rsidRPr="00746ACE">
        <w:rPr>
          <w:rFonts w:cs="Times New Roman"/>
        </w:rPr>
        <w:t xml:space="preserve"> </w:t>
      </w:r>
    </w:p>
    <w:p w14:paraId="0E2CEB90" w14:textId="77777777" w:rsidR="00251C9C" w:rsidRPr="00746ACE" w:rsidRDefault="00251C9C" w:rsidP="00FC0DFB">
      <w:pPr>
        <w:widowControl w:val="0"/>
        <w:rPr>
          <w:lang w:eastAsia="es-ES"/>
        </w:rPr>
      </w:pPr>
    </w:p>
    <w:p w14:paraId="6C559F85" w14:textId="77777777" w:rsidR="00543754" w:rsidRPr="00746ACE" w:rsidRDefault="00543754" w:rsidP="000B69F5">
      <w:pPr>
        <w:pStyle w:val="Ttulo3"/>
        <w:keepNext w:val="0"/>
        <w:keepLines w:val="0"/>
        <w:widowControl w:val="0"/>
        <w:jc w:val="both"/>
        <w:rPr>
          <w:rFonts w:cs="Times New Roman"/>
          <w:color w:val="auto"/>
          <w:sz w:val="28"/>
          <w:szCs w:val="28"/>
          <w:lang w:val="es-ES"/>
        </w:rPr>
      </w:pPr>
      <w:bookmarkStart w:id="56" w:name="_Toc233384206"/>
      <w:r w:rsidRPr="00746ACE">
        <w:rPr>
          <w:rFonts w:cs="Times New Roman"/>
          <w:color w:val="auto"/>
          <w:sz w:val="28"/>
          <w:szCs w:val="28"/>
          <w:lang w:val="es-ES" w:eastAsia="es-ES"/>
        </w:rPr>
        <w:t>Síntesis de la discusión sobre</w:t>
      </w:r>
      <w:r w:rsidR="002C56A6" w:rsidRPr="00746ACE">
        <w:rPr>
          <w:rFonts w:cs="Times New Roman"/>
          <w:color w:val="auto"/>
          <w:sz w:val="28"/>
          <w:szCs w:val="28"/>
          <w:lang w:val="es-ES" w:eastAsia="es-ES"/>
        </w:rPr>
        <w:t xml:space="preserve"> la excesiva vaguedad de</w:t>
      </w:r>
      <w:r w:rsidRPr="00746ACE">
        <w:rPr>
          <w:rFonts w:cs="Times New Roman"/>
          <w:color w:val="auto"/>
          <w:sz w:val="28"/>
          <w:szCs w:val="28"/>
          <w:lang w:val="es-ES" w:eastAsia="es-ES"/>
        </w:rPr>
        <w:t xml:space="preserve"> la responsabilidad del punto medio y el principio de legalidad (demanda, posición de la JEP e intervenciones</w:t>
      </w:r>
      <w:r w:rsidR="002C56A6" w:rsidRPr="00746ACE">
        <w:rPr>
          <w:rFonts w:cs="Times New Roman"/>
          <w:color w:val="auto"/>
          <w:sz w:val="28"/>
          <w:szCs w:val="28"/>
          <w:lang w:val="es-ES" w:eastAsia="es-ES"/>
        </w:rPr>
        <w:t>)</w:t>
      </w:r>
      <w:bookmarkEnd w:id="56"/>
    </w:p>
    <w:p w14:paraId="2BD5919A" w14:textId="77777777" w:rsidR="00543754" w:rsidRPr="00746ACE" w:rsidRDefault="00543754" w:rsidP="00FC0DFB">
      <w:pPr>
        <w:widowControl w:val="0"/>
        <w:rPr>
          <w:lang w:eastAsia="es-ES"/>
        </w:rPr>
      </w:pPr>
    </w:p>
    <w:p w14:paraId="3B3F8428" w14:textId="05036E09" w:rsidR="00251C9C" w:rsidRPr="00746ACE" w:rsidRDefault="5E661975" w:rsidP="00FC0DFB">
      <w:pPr>
        <w:pStyle w:val="Prrafodelista"/>
        <w:widowControl w:val="0"/>
        <w:numPr>
          <w:ilvl w:val="0"/>
          <w:numId w:val="7"/>
        </w:numPr>
      </w:pPr>
      <w:r w:rsidRPr="00746ACE">
        <w:t>Para los demandantes, la categoría intermedia de responsabilidad creada por la Senit 5 tiene un carácter difuso y abstracto</w:t>
      </w:r>
      <w:r w:rsidR="00B907CD" w:rsidRPr="00746ACE">
        <w:t>,</w:t>
      </w:r>
      <w:r w:rsidRPr="00746ACE">
        <w:t xml:space="preserve"> porque no está provista de criterios para establecer cuándo un compareciente puede ubicarse dentro de dicho grupo. Los actores sostuvieron que la normativa y la jurisprudencia constitucional establecen con claridad que solo existen dos categorías de comparecientes: los máximos responsables y los partícipes no determinantes y que cada una de estas categorías cuenta con consecuencias jurídicas específicas.</w:t>
      </w:r>
    </w:p>
    <w:p w14:paraId="0EBDC9C0" w14:textId="77777777" w:rsidR="00251C9C" w:rsidRPr="00746ACE" w:rsidRDefault="00251C9C" w:rsidP="00FC0DFB">
      <w:pPr>
        <w:pStyle w:val="Prrafodelista"/>
        <w:widowControl w:val="0"/>
        <w:ind w:left="0"/>
      </w:pPr>
    </w:p>
    <w:p w14:paraId="21F18EB6" w14:textId="77777777" w:rsidR="00ED1A0A" w:rsidRPr="00746ACE" w:rsidRDefault="2D69552A" w:rsidP="00FC0DFB">
      <w:pPr>
        <w:pStyle w:val="Prrafodelista"/>
        <w:widowControl w:val="0"/>
        <w:numPr>
          <w:ilvl w:val="0"/>
          <w:numId w:val="7"/>
        </w:numPr>
      </w:pPr>
      <w:r w:rsidRPr="00746ACE">
        <w:t xml:space="preserve">Los ciudadanos expusieron que la categoría del “punto medio” de responsabilidad carece de elementos concretos que definan su aplicación y que esta indeterminación desconoce el principio de legalidad porque (i) no proporciona información suficiente para que el destinatario comprenda su alcance y aplicación, (ii) no existe un consenso sobre su significado, y (iii) se trata de una expresión con un alto grado de indeterminación, susceptible de múltiples interpretaciones “dentro de márgenes excesivamente amplios”. </w:t>
      </w:r>
    </w:p>
    <w:p w14:paraId="4AFCAC4A" w14:textId="77777777" w:rsidR="00ED1A0A" w:rsidRPr="00746ACE" w:rsidRDefault="00ED1A0A" w:rsidP="00CF1AD1">
      <w:pPr>
        <w:pStyle w:val="Prrafodelista"/>
        <w:widowControl w:val="0"/>
      </w:pPr>
    </w:p>
    <w:p w14:paraId="5A6A7A5C" w14:textId="5C324098" w:rsidR="00251C9C" w:rsidRPr="00746ACE" w:rsidRDefault="2D69552A" w:rsidP="00FC0DFB">
      <w:pPr>
        <w:pStyle w:val="Prrafodelista"/>
        <w:widowControl w:val="0"/>
        <w:numPr>
          <w:ilvl w:val="0"/>
          <w:numId w:val="7"/>
        </w:numPr>
      </w:pPr>
      <w:r w:rsidRPr="00746ACE">
        <w:t>De esta manera, a juicio de los accionantes</w:t>
      </w:r>
      <w:r w:rsidR="009A0CD8" w:rsidRPr="00746ACE">
        <w:t>,</w:t>
      </w:r>
      <w:r w:rsidRPr="00746ACE">
        <w:t xml:space="preserve"> se impide a los comparecientes saber cuáles son los criterios que justifican su inclusión en esta categoría y conocer con certeza su situación jurídica pues no son claros los criterios bajo los cuales un compareciente sería calificado como “responsable intermedio”</w:t>
      </w:r>
      <w:r w:rsidR="00AE564C" w:rsidRPr="00746ACE">
        <w:t>,</w:t>
      </w:r>
      <w:r w:rsidRPr="00746ACE">
        <w:t xml:space="preserve"> ya que el concepto no </w:t>
      </w:r>
      <w:r w:rsidR="00473B9B" w:rsidRPr="00746ACE">
        <w:t>tiene</w:t>
      </w:r>
      <w:r w:rsidRPr="00746ACE">
        <w:t xml:space="preserve"> un desarrollo normativo previo.</w:t>
      </w:r>
    </w:p>
    <w:p w14:paraId="41E4EF57" w14:textId="77777777" w:rsidR="00251C9C" w:rsidRPr="00746ACE" w:rsidRDefault="00251C9C" w:rsidP="00FC0DFB">
      <w:pPr>
        <w:widowControl w:val="0"/>
      </w:pPr>
    </w:p>
    <w:p w14:paraId="06BEC73B" w14:textId="6DFDE2F6" w:rsidR="00251C9C" w:rsidRPr="00746ACE" w:rsidRDefault="2D69552A" w:rsidP="00FC0DFB">
      <w:pPr>
        <w:pStyle w:val="Prrafodelista"/>
        <w:widowControl w:val="0"/>
        <w:numPr>
          <w:ilvl w:val="0"/>
          <w:numId w:val="7"/>
        </w:numPr>
      </w:pPr>
      <w:r w:rsidRPr="00746ACE">
        <w:t xml:space="preserve">Así las cosas, </w:t>
      </w:r>
      <w:r w:rsidR="00AE564C" w:rsidRPr="00746ACE">
        <w:t xml:space="preserve">le </w:t>
      </w:r>
      <w:r w:rsidRPr="00746ACE">
        <w:t>corresponde a la Corte analizar si la creación de la categoría dogmática intermedia entre la máxima responsabilidad y la participación no determinante desconoce el principio de legalidad por su carácter abstracto y difuso.</w:t>
      </w:r>
    </w:p>
    <w:p w14:paraId="5FEDE81E" w14:textId="77777777" w:rsidR="002C56A6" w:rsidRPr="00746ACE" w:rsidRDefault="002C56A6" w:rsidP="00FC0DFB">
      <w:pPr>
        <w:pStyle w:val="Prrafodelista"/>
        <w:widowControl w:val="0"/>
        <w:ind w:left="0"/>
      </w:pPr>
    </w:p>
    <w:p w14:paraId="44EE9DE4" w14:textId="77777777" w:rsidR="0043161D" w:rsidRPr="00746ACE" w:rsidRDefault="0043161D" w:rsidP="000B69F5">
      <w:pPr>
        <w:pStyle w:val="Ttulo3"/>
        <w:keepNext w:val="0"/>
        <w:keepLines w:val="0"/>
        <w:widowControl w:val="0"/>
        <w:jc w:val="both"/>
        <w:rPr>
          <w:rFonts w:cs="Times New Roman"/>
          <w:color w:val="auto"/>
          <w:sz w:val="28"/>
          <w:szCs w:val="28"/>
          <w:lang w:val="es-ES"/>
        </w:rPr>
      </w:pPr>
      <w:bookmarkStart w:id="57" w:name="_Toc233384207"/>
      <w:r w:rsidRPr="00746ACE">
        <w:rPr>
          <w:rFonts w:cs="Times New Roman"/>
          <w:color w:val="auto"/>
          <w:sz w:val="28"/>
          <w:szCs w:val="28"/>
          <w:lang w:val="es-ES"/>
        </w:rPr>
        <w:t>Precisión o indeterminación de la responsabilidad del punto medio</w:t>
      </w:r>
      <w:bookmarkEnd w:id="57"/>
    </w:p>
    <w:p w14:paraId="112C0940" w14:textId="77777777" w:rsidR="00021D3A" w:rsidRPr="00746ACE" w:rsidRDefault="00021D3A" w:rsidP="00CF1AD1">
      <w:pPr>
        <w:widowControl w:val="0"/>
      </w:pPr>
    </w:p>
    <w:p w14:paraId="616B926C" w14:textId="72A54659" w:rsidR="003F77AB" w:rsidRPr="00746ACE" w:rsidRDefault="2D69552A" w:rsidP="00FC0DFB">
      <w:pPr>
        <w:pStyle w:val="Prrafodelista"/>
        <w:widowControl w:val="0"/>
        <w:numPr>
          <w:ilvl w:val="0"/>
          <w:numId w:val="7"/>
        </w:numPr>
      </w:pPr>
      <w:r w:rsidRPr="00746ACE">
        <w:t xml:space="preserve">Como se </w:t>
      </w:r>
      <w:r w:rsidR="00021D3A" w:rsidRPr="00746ACE">
        <w:t>ha señalado</w:t>
      </w:r>
      <w:r w:rsidRPr="00746ACE">
        <w:t xml:space="preserve">, el principio de legalidad es un elemento central del Estado Social de Derecho que debe conducir todas las actuaciones de las </w:t>
      </w:r>
      <w:r w:rsidR="001653D7" w:rsidRPr="00746ACE">
        <w:t>autoridades</w:t>
      </w:r>
      <w:r w:rsidRPr="00746ACE">
        <w:t xml:space="preserve"> </w:t>
      </w:r>
      <w:r w:rsidR="00071127" w:rsidRPr="00746ACE">
        <w:t xml:space="preserve">en cauces normativos previos, </w:t>
      </w:r>
      <w:r w:rsidRPr="00746ACE">
        <w:t xml:space="preserve">con el fin de evitar la arbitrariedad. No obstante, en contextos de justicia transicional en los que se pretende judicializar graves y masivas violaciones a los derechos humanos, este principio no se aplica de manera rígida, sino que </w:t>
      </w:r>
      <w:r w:rsidR="003F77AB" w:rsidRPr="00746ACE">
        <w:t>debe adaptarse a las finalidades del sistema y, en especial, a la garantía de</w:t>
      </w:r>
      <w:r w:rsidRPr="00746ACE">
        <w:t xml:space="preserve"> los derechos de las victimas a la verdad, justicia y reparación. </w:t>
      </w:r>
    </w:p>
    <w:p w14:paraId="76DD1F95" w14:textId="77777777" w:rsidR="003F77AB" w:rsidRPr="00746ACE" w:rsidRDefault="003F77AB" w:rsidP="00CF1AD1">
      <w:pPr>
        <w:widowControl w:val="0"/>
      </w:pPr>
    </w:p>
    <w:p w14:paraId="1C119BFB" w14:textId="77777777" w:rsidR="00251C9C" w:rsidRPr="00746ACE" w:rsidRDefault="0043161D" w:rsidP="00FC0DFB">
      <w:pPr>
        <w:pStyle w:val="Prrafodelista"/>
        <w:widowControl w:val="0"/>
        <w:numPr>
          <w:ilvl w:val="0"/>
          <w:numId w:val="7"/>
        </w:numPr>
      </w:pPr>
      <w:r w:rsidRPr="00746ACE">
        <w:t>En</w:t>
      </w:r>
      <w:r w:rsidR="2D69552A" w:rsidRPr="00746ACE">
        <w:t xml:space="preserve"> materia penal, la jurisprudencia ha reconocido que los estados pueden investigar y juzgar a los autores de “comportamientos constitutivos de delitos internacionales, aunque no se encuentren tipificados dentro de la legislación interna del Estado”</w:t>
      </w:r>
      <w:r w:rsidR="002003BF" w:rsidRPr="00746ACE">
        <w:rPr>
          <w:vertAlign w:val="superscript"/>
        </w:rPr>
        <w:footnoteReference w:id="130"/>
      </w:r>
      <w:r w:rsidR="51817D95" w:rsidRPr="00746ACE">
        <w:t xml:space="preserve"> </w:t>
      </w:r>
      <w:r w:rsidR="2D69552A" w:rsidRPr="00746ACE">
        <w:t xml:space="preserve">si se trata de conductas reconocidas como delitos en los tratados internacionales, el </w:t>
      </w:r>
      <w:r w:rsidR="2D69552A" w:rsidRPr="00746ACE">
        <w:rPr>
          <w:i/>
        </w:rPr>
        <w:t>ius cogens</w:t>
      </w:r>
      <w:r w:rsidR="2D69552A" w:rsidRPr="00746ACE">
        <w:t xml:space="preserve"> y la costumbre internacional.</w:t>
      </w:r>
    </w:p>
    <w:p w14:paraId="6A99A19B" w14:textId="77777777" w:rsidR="00251C9C" w:rsidRPr="00746ACE" w:rsidRDefault="00251C9C" w:rsidP="00FC0DFB">
      <w:pPr>
        <w:pStyle w:val="Prrafodelista"/>
        <w:widowControl w:val="0"/>
      </w:pPr>
    </w:p>
    <w:p w14:paraId="22D9A4B5" w14:textId="12CD32FE" w:rsidR="00251C9C" w:rsidRPr="00746ACE" w:rsidRDefault="2D69552A" w:rsidP="00FC0DFB">
      <w:pPr>
        <w:pStyle w:val="Prrafodelista"/>
        <w:widowControl w:val="0"/>
        <w:numPr>
          <w:ilvl w:val="0"/>
          <w:numId w:val="7"/>
        </w:numPr>
      </w:pPr>
      <w:r w:rsidRPr="00746ACE">
        <w:t>En Colombia, el Acuerdo Final de Paz estableció que la JEP adoptaría decisiones que otorguen plena seguridad jurídica a quienes participaron de manera directa o indirecta en el conflicto armado que supongan graves infracciones del Derecho Internacional Humanitario y graves violaciones de los derechos humanos</w:t>
      </w:r>
      <w:r w:rsidR="002003BF" w:rsidRPr="00746ACE">
        <w:rPr>
          <w:vertAlign w:val="superscript"/>
        </w:rPr>
        <w:footnoteReference w:id="131"/>
      </w:r>
      <w:r w:rsidRPr="00746ACE">
        <w:t xml:space="preserve">. Sin embargo, el acuerdo admitió </w:t>
      </w:r>
      <w:r w:rsidR="00B23069" w:rsidRPr="00746ACE">
        <w:t xml:space="preserve">una comprensión amplia del principio de </w:t>
      </w:r>
      <w:r w:rsidRPr="00746ACE">
        <w:t>legalidad</w:t>
      </w:r>
      <w:r w:rsidR="00B23069" w:rsidRPr="00746ACE">
        <w:t>, en relación</w:t>
      </w:r>
      <w:r w:rsidRPr="00746ACE">
        <w:t xml:space="preserve"> con (i) la inclusión del principio de favorabilidad en la aplicación de las fuentes de derecho establecidas (art. 23 </w:t>
      </w:r>
      <w:r w:rsidR="00AE564C" w:rsidRPr="00746ACE">
        <w:t xml:space="preserve">de la </w:t>
      </w:r>
      <w:r w:rsidRPr="00746ACE">
        <w:t>Ley 1957 de 2017); (ii) la imprescriptibilidad de los crímenes; y (iii) la posibilidad de que la JEP realice una calificación jurídica propia de las conductas analizadas por el sistema (art. 23</w:t>
      </w:r>
      <w:r w:rsidR="00AE564C" w:rsidRPr="00746ACE">
        <w:t xml:space="preserve"> de la</w:t>
      </w:r>
      <w:r w:rsidRPr="00746ACE">
        <w:t xml:space="preserve"> Ley 1957 de 2017)</w:t>
      </w:r>
      <w:r w:rsidR="001F44AD" w:rsidRPr="00746ACE">
        <w:rPr>
          <w:rStyle w:val="Refdenotaalpie"/>
        </w:rPr>
        <w:footnoteReference w:id="132"/>
      </w:r>
      <w:r w:rsidRPr="00746ACE">
        <w:t>.</w:t>
      </w:r>
    </w:p>
    <w:p w14:paraId="12906EBA" w14:textId="77777777" w:rsidR="00251C9C" w:rsidRPr="00746ACE" w:rsidRDefault="00251C9C" w:rsidP="00CF1AD1">
      <w:pPr>
        <w:widowControl w:val="0"/>
      </w:pPr>
    </w:p>
    <w:p w14:paraId="1F47A14D" w14:textId="77777777" w:rsidR="002D6969" w:rsidRPr="00746ACE" w:rsidRDefault="0043161D" w:rsidP="00FC0DFB">
      <w:pPr>
        <w:pStyle w:val="Prrafodelista"/>
        <w:widowControl w:val="0"/>
        <w:numPr>
          <w:ilvl w:val="0"/>
          <w:numId w:val="7"/>
        </w:numPr>
      </w:pPr>
      <w:r w:rsidRPr="00746ACE">
        <w:t>Ahora bien, este</w:t>
      </w:r>
      <w:r w:rsidR="2D69552A" w:rsidRPr="00746ACE">
        <w:t xml:space="preserve"> Tribunal</w:t>
      </w:r>
      <w:r w:rsidR="68CE85FC" w:rsidRPr="00746ACE">
        <w:t xml:space="preserve"> </w:t>
      </w:r>
      <w:r w:rsidR="2D69552A" w:rsidRPr="00746ACE">
        <w:t>ha reconocido que los regímenes especiales de transición hacia la paz deben respetar límites constitucionales relacionados con la garantía de los derechos de las víctimas a la verdad, la justicia, la reparación, y a las garantías de no repetición; los principios constitucionales; y el derecho internacional</w:t>
      </w:r>
      <w:r w:rsidR="00AE564C" w:rsidRPr="00746ACE">
        <w:rPr>
          <w:vertAlign w:val="superscript"/>
        </w:rPr>
        <w:footnoteReference w:id="133"/>
      </w:r>
      <w:r w:rsidR="2D69552A" w:rsidRPr="00746ACE">
        <w:t xml:space="preserve">. </w:t>
      </w:r>
    </w:p>
    <w:p w14:paraId="1A03C9BD" w14:textId="77777777" w:rsidR="002D6969" w:rsidRPr="00746ACE" w:rsidRDefault="002D6969" w:rsidP="002D6969">
      <w:pPr>
        <w:pStyle w:val="Prrafodelista"/>
      </w:pPr>
    </w:p>
    <w:p w14:paraId="49F4872C" w14:textId="058D782A" w:rsidR="00B57ACE" w:rsidRPr="00746ACE" w:rsidRDefault="00167427" w:rsidP="00FC0DFB">
      <w:pPr>
        <w:pStyle w:val="Prrafodelista"/>
        <w:widowControl w:val="0"/>
        <w:numPr>
          <w:ilvl w:val="0"/>
          <w:numId w:val="7"/>
        </w:numPr>
      </w:pPr>
      <w:r w:rsidRPr="00746ACE">
        <w:t>Específicamente, en la Sentencia C-080 de 2018 la Corte reconoció que el deber de la JEP de administrar justicia está regido por el principio de legalidad, que hace parte de los derechos al debido proceso y al acceso a la administración de justicia</w:t>
      </w:r>
      <w:r w:rsidR="005D515C" w:rsidRPr="00746ACE">
        <w:t xml:space="preserve">. Así, en los casos en los que se presentan vacíos normativos, la JEP </w:t>
      </w:r>
      <w:r w:rsidR="0051427F" w:rsidRPr="00746ACE">
        <w:t xml:space="preserve">debe respetar el debido proceso desde una perspectiva amplia del principio de </w:t>
      </w:r>
      <w:r w:rsidR="00574524" w:rsidRPr="00746ACE">
        <w:t>legalidad</w:t>
      </w:r>
      <w:r w:rsidR="00F3559C" w:rsidRPr="00746ACE">
        <w:t>,</w:t>
      </w:r>
      <w:r w:rsidR="00233B16" w:rsidRPr="00746ACE">
        <w:t xml:space="preserve"> </w:t>
      </w:r>
      <w:r w:rsidR="00F96CA7" w:rsidRPr="00746ACE">
        <w:t>haciéndolo compatible con la naturaleza de las funciones de la justicia especial y</w:t>
      </w:r>
      <w:r w:rsidR="00F3559C" w:rsidRPr="00746ACE">
        <w:t xml:space="preserve"> acudiendo a las regl</w:t>
      </w:r>
      <w:r w:rsidR="00F47EE6" w:rsidRPr="00746ACE">
        <w:t xml:space="preserve">as previstas </w:t>
      </w:r>
      <w:r w:rsidR="003D3FE1" w:rsidRPr="00746ACE">
        <w:t>en el ordenamiento jurídico para la aplicación del derecho en casos en los que se presenten vacíos en la regulación</w:t>
      </w:r>
      <w:r w:rsidR="000F732F" w:rsidRPr="00746ACE">
        <w:rPr>
          <w:rStyle w:val="Refdenotaalpie"/>
        </w:rPr>
        <w:footnoteReference w:id="134"/>
      </w:r>
      <w:r w:rsidR="003D3FE1" w:rsidRPr="00746ACE">
        <w:t xml:space="preserve">. </w:t>
      </w:r>
    </w:p>
    <w:p w14:paraId="44F28644" w14:textId="77777777" w:rsidR="00B57ACE" w:rsidRPr="00746ACE" w:rsidRDefault="00B57ACE" w:rsidP="000F732F">
      <w:pPr>
        <w:widowControl w:val="0"/>
      </w:pPr>
    </w:p>
    <w:p w14:paraId="762AC09A" w14:textId="537B6B32" w:rsidR="00122E44" w:rsidRPr="00746ACE" w:rsidRDefault="00780B80" w:rsidP="000F732F">
      <w:pPr>
        <w:pStyle w:val="Prrafodelista"/>
        <w:widowControl w:val="0"/>
        <w:numPr>
          <w:ilvl w:val="0"/>
          <w:numId w:val="7"/>
        </w:numPr>
      </w:pPr>
      <w:r w:rsidRPr="00746ACE">
        <w:t>En</w:t>
      </w:r>
      <w:r w:rsidR="2D69552A" w:rsidRPr="00746ACE">
        <w:t xml:space="preserve"> los contextos de conflicto armado en los que se han causado graves violaciones a los derechos humanos, el proceso de transición debe contribuir al restablecimiento de la confianza en el Estado Social de Derecho y en la democracia. De esta manera, el modelo de justicia implementado debe garantizar: (i) el cumplimiento de las obligaciones del Estado de prevenir, juzgar y sancionar las graves violaciones de los derechos humanos; (ii) la obligación del Estado de luchar contra la impunidad; (iii) la obligación de establecer mecanismos de acceso ágil y oportuno para la protección especial de los derechos de las víctimas; (iv) el respeto del derecho al debido proceso y a las reglas que se establezcan; y (v) el deber del Estado de establecer plazos razonables para los procesos judiciales, entre otros</w:t>
      </w:r>
      <w:r w:rsidR="002003BF" w:rsidRPr="00746ACE">
        <w:rPr>
          <w:vertAlign w:val="superscript"/>
        </w:rPr>
        <w:footnoteReference w:id="135"/>
      </w:r>
      <w:r w:rsidR="0E668DDF" w:rsidRPr="00746ACE">
        <w:t>.</w:t>
      </w:r>
    </w:p>
    <w:p w14:paraId="4842A511" w14:textId="77777777" w:rsidR="005E3BAA" w:rsidRPr="00746ACE" w:rsidRDefault="005E3BAA" w:rsidP="005E3BAA">
      <w:pPr>
        <w:widowControl w:val="0"/>
      </w:pPr>
    </w:p>
    <w:p w14:paraId="3FC366D3" w14:textId="675C501E" w:rsidR="005E3BAA" w:rsidRPr="00746ACE" w:rsidRDefault="005E3BAA" w:rsidP="005E3BAA">
      <w:pPr>
        <w:pStyle w:val="Prrafodelista"/>
        <w:widowControl w:val="0"/>
        <w:numPr>
          <w:ilvl w:val="0"/>
          <w:numId w:val="7"/>
        </w:numPr>
      </w:pPr>
      <w:r w:rsidRPr="00746ACE">
        <w:t xml:space="preserve">En la justicia transicional, la seguridad jurídica es imprescindible. Si bien es cierto que la guerra en Colombia no ha cesado, </w:t>
      </w:r>
      <w:r w:rsidR="00636E77" w:rsidRPr="00746ACE">
        <w:t>el cumplimiento y la implementación de lo pactado constituyen un presupuesto de toda futura negociación posible.</w:t>
      </w:r>
      <w:r w:rsidRPr="00746ACE">
        <w:t xml:space="preserve"> </w:t>
      </w:r>
      <w:r w:rsidR="00636E77" w:rsidRPr="00746ACE">
        <w:t xml:space="preserve"> Se trata del</w:t>
      </w:r>
      <w:r w:rsidRPr="00746ACE">
        <w:t xml:space="preserve"> primer cimiento para la reintegración y la estabilidad de lo</w:t>
      </w:r>
      <w:r w:rsidR="00636E77" w:rsidRPr="00746ACE">
        <w:t>s acuerdos alcanzados</w:t>
      </w:r>
      <w:r w:rsidRPr="00746ACE">
        <w:t xml:space="preserve">. </w:t>
      </w:r>
      <w:r w:rsidR="00636E77" w:rsidRPr="00746ACE">
        <w:t>Asimismo, representa una</w:t>
      </w:r>
      <w:r w:rsidRPr="00746ACE">
        <w:t xml:space="preserve"> garantía de no repetición, </w:t>
      </w:r>
      <w:r w:rsidR="00636E77" w:rsidRPr="00746ACE">
        <w:t xml:space="preserve">especialmente frente al riesgo </w:t>
      </w:r>
      <w:r w:rsidRPr="00746ACE">
        <w:t xml:space="preserve">de que nuevos grupos armados atraigan a quienes dejaron las armas y </w:t>
      </w:r>
      <w:r w:rsidR="00636E77" w:rsidRPr="00746ACE">
        <w:t>aún no</w:t>
      </w:r>
      <w:r w:rsidRPr="00746ACE">
        <w:t xml:space="preserve"> han logrado definir su situación jurídica.</w:t>
      </w:r>
      <w:r w:rsidR="00636E77" w:rsidRPr="00746ACE">
        <w:t xml:space="preserve"> </w:t>
      </w:r>
      <w:r w:rsidRPr="00746ACE">
        <w:t>Por estas razones, la</w:t>
      </w:r>
      <w:r w:rsidR="00636E77" w:rsidRPr="00746ACE">
        <w:t xml:space="preserve">s categorías de </w:t>
      </w:r>
      <w:r w:rsidRPr="00746ACE">
        <w:t xml:space="preserve">responsabilidad del punto medio y </w:t>
      </w:r>
      <w:r w:rsidR="00636E77" w:rsidRPr="00746ACE">
        <w:t xml:space="preserve">de </w:t>
      </w:r>
      <w:r w:rsidRPr="00746ACE">
        <w:t xml:space="preserve">responsabilidad cercana a la máxima no resultan constitucionalmente válidas. </w:t>
      </w:r>
    </w:p>
    <w:p w14:paraId="4D3E3491" w14:textId="77777777" w:rsidR="00636E77" w:rsidRPr="00746ACE" w:rsidRDefault="00636E77" w:rsidP="005E3BAA">
      <w:pPr>
        <w:pStyle w:val="Prrafodelista"/>
        <w:widowControl w:val="0"/>
        <w:ind w:left="0"/>
      </w:pPr>
    </w:p>
    <w:p w14:paraId="05E6FD46" w14:textId="165F01AB" w:rsidR="00860081" w:rsidRPr="00746ACE" w:rsidRDefault="00723D60" w:rsidP="000B69F5">
      <w:pPr>
        <w:pStyle w:val="Ttulo3"/>
        <w:keepNext w:val="0"/>
        <w:keepLines w:val="0"/>
        <w:widowControl w:val="0"/>
        <w:jc w:val="both"/>
        <w:rPr>
          <w:rFonts w:cs="Times New Roman"/>
          <w:color w:val="auto"/>
          <w:sz w:val="28"/>
          <w:szCs w:val="28"/>
          <w:lang w:val="es-ES"/>
        </w:rPr>
      </w:pPr>
      <w:bookmarkStart w:id="58" w:name="_Toc233384208"/>
      <w:r w:rsidRPr="00746ACE">
        <w:rPr>
          <w:rFonts w:cs="Times New Roman"/>
          <w:color w:val="auto"/>
          <w:sz w:val="28"/>
          <w:szCs w:val="28"/>
          <w:lang w:val="es-ES"/>
        </w:rPr>
        <w:t>Análisis de fond</w:t>
      </w:r>
      <w:r w:rsidR="00636E77" w:rsidRPr="00746ACE">
        <w:rPr>
          <w:rFonts w:cs="Times New Roman"/>
          <w:color w:val="auto"/>
          <w:sz w:val="28"/>
          <w:szCs w:val="28"/>
          <w:lang w:val="es-ES"/>
        </w:rPr>
        <w:t>o</w:t>
      </w:r>
      <w:r w:rsidRPr="00746ACE">
        <w:rPr>
          <w:rFonts w:cs="Times New Roman"/>
          <w:color w:val="auto"/>
          <w:sz w:val="28"/>
          <w:szCs w:val="28"/>
          <w:lang w:val="es-ES"/>
        </w:rPr>
        <w:t>.</w:t>
      </w:r>
      <w:bookmarkEnd w:id="58"/>
      <w:r w:rsidRPr="00746ACE">
        <w:rPr>
          <w:rFonts w:cs="Times New Roman"/>
          <w:color w:val="auto"/>
          <w:sz w:val="28"/>
          <w:szCs w:val="28"/>
          <w:lang w:val="es-ES"/>
        </w:rPr>
        <w:t xml:space="preserve"> </w:t>
      </w:r>
    </w:p>
    <w:p w14:paraId="098F1C75" w14:textId="77777777" w:rsidR="00E73C56" w:rsidRPr="00746ACE" w:rsidRDefault="00E73C56" w:rsidP="00CF1AD1">
      <w:pPr>
        <w:widowControl w:val="0"/>
      </w:pPr>
    </w:p>
    <w:p w14:paraId="5243668E" w14:textId="6682158C" w:rsidR="00251C9C" w:rsidRPr="00746ACE" w:rsidRDefault="2D69552A" w:rsidP="00FC0DFB">
      <w:pPr>
        <w:pStyle w:val="Prrafodelista"/>
        <w:widowControl w:val="0"/>
        <w:numPr>
          <w:ilvl w:val="0"/>
          <w:numId w:val="7"/>
        </w:numPr>
      </w:pPr>
      <w:r w:rsidRPr="00746ACE">
        <w:t>En este caso, para la Corte Constitucional</w:t>
      </w:r>
      <w:r w:rsidR="00AE564C" w:rsidRPr="00746ACE">
        <w:t>,</w:t>
      </w:r>
      <w:r w:rsidRPr="00746ACE">
        <w:t xml:space="preserve"> la creación de la categoría de </w:t>
      </w:r>
      <w:r w:rsidR="008C0A21" w:rsidRPr="00746ACE">
        <w:t>“</w:t>
      </w:r>
      <w:r w:rsidRPr="00746ACE">
        <w:t xml:space="preserve">responsabilidad </w:t>
      </w:r>
      <w:r w:rsidR="008C0A21" w:rsidRPr="00746ACE">
        <w:t xml:space="preserve">del punto medio” </w:t>
      </w:r>
      <w:r w:rsidRPr="00746ACE">
        <w:t>por parte de la Senit 5 desconoció el principio de legalidad debido a su carácter difuso y abstracto por las siguientes razones:</w:t>
      </w:r>
    </w:p>
    <w:p w14:paraId="7EC23C4F" w14:textId="77777777" w:rsidR="00251C9C" w:rsidRPr="00746ACE" w:rsidRDefault="00251C9C" w:rsidP="00FC0DFB">
      <w:pPr>
        <w:pStyle w:val="Prrafodelista"/>
        <w:widowControl w:val="0"/>
        <w:ind w:left="0"/>
      </w:pPr>
    </w:p>
    <w:p w14:paraId="7C90A406" w14:textId="77777777" w:rsidR="0026635C" w:rsidRPr="00746ACE" w:rsidRDefault="0043161D" w:rsidP="00FC0DFB">
      <w:pPr>
        <w:pStyle w:val="Prrafodelista"/>
        <w:widowControl w:val="0"/>
        <w:numPr>
          <w:ilvl w:val="0"/>
          <w:numId w:val="7"/>
        </w:numPr>
      </w:pPr>
      <w:r w:rsidRPr="00746ACE">
        <w:t xml:space="preserve">Primero, el criterio de “responsabilidad del punto medio” establecido en la Senit 5, no fue definido por el Acuerdo Final de Paz ni por las normas jurídicas que lo desarrollaron, de manera que no es posible determinar su contenido y alcance a partir del marco normativo que regula la JEP. En ese sentido, es posible sostener que su carácter indeterminado desconoce el principio de legalidad. </w:t>
      </w:r>
      <w:r w:rsidR="2D69552A" w:rsidRPr="00746ACE">
        <w:t xml:space="preserve">Además, la creación de esta nueva categoría amenaza la certeza sobre los criterios de responsabilidad establecidos en el Acuerdo Final de Paz y el marco normativo que lo incorporó al ordenamiento jurídico. </w:t>
      </w:r>
    </w:p>
    <w:p w14:paraId="53F167A6" w14:textId="77777777" w:rsidR="0026635C" w:rsidRPr="00746ACE" w:rsidRDefault="0026635C" w:rsidP="00CF1AD1">
      <w:pPr>
        <w:pStyle w:val="Prrafodelista"/>
        <w:widowControl w:val="0"/>
      </w:pPr>
    </w:p>
    <w:p w14:paraId="6F2233AD" w14:textId="4D1ECF22" w:rsidR="00251C9C" w:rsidRPr="00746ACE" w:rsidRDefault="2D69552A" w:rsidP="00FC0DFB">
      <w:pPr>
        <w:pStyle w:val="Prrafodelista"/>
        <w:widowControl w:val="0"/>
        <w:numPr>
          <w:ilvl w:val="0"/>
          <w:numId w:val="7"/>
        </w:numPr>
      </w:pPr>
      <w:r w:rsidRPr="00746ACE">
        <w:t xml:space="preserve">Aunque en el marco de la justicia transicional se </w:t>
      </w:r>
      <w:r w:rsidR="00AE564C" w:rsidRPr="00746ACE">
        <w:t xml:space="preserve">admite </w:t>
      </w:r>
      <w:r w:rsidRPr="00746ACE">
        <w:t xml:space="preserve">cierta </w:t>
      </w:r>
      <w:r w:rsidR="0026635C" w:rsidRPr="00746ACE">
        <w:t>amplitud</w:t>
      </w:r>
      <w:r w:rsidRPr="00746ACE">
        <w:t xml:space="preserve"> del principio de legalidad</w:t>
      </w:r>
      <w:r w:rsidR="00AE564C" w:rsidRPr="00746ACE">
        <w:t>,</w:t>
      </w:r>
      <w:r w:rsidRPr="00746ACE">
        <w:t xml:space="preserve"> esto no quiere decir que la autoridad judicial pueda redefinir el alcance del derecho o crear nuevas categorías autónomas de responsabilidad. Por el contrario, cualquier interpretación o desarrollo jurisprudencial debe </w:t>
      </w:r>
      <w:r w:rsidR="001A3677" w:rsidRPr="00746ACE">
        <w:t xml:space="preserve">tener un fundamento en la Constitución y la ley, </w:t>
      </w:r>
      <w:r w:rsidRPr="00746ACE">
        <w:t xml:space="preserve">y </w:t>
      </w:r>
      <w:r w:rsidR="001A3677" w:rsidRPr="00746ACE">
        <w:t>ser</w:t>
      </w:r>
      <w:r w:rsidRPr="00746ACE">
        <w:t xml:space="preserve"> acorde con los derechos y libertades constitucionalmente protegidos, especialmente en materia sancionatoria y disciplinaria. Esto, con el fin de evitar decisiones que desborden el marco normativo vigente o que desconozcan estándares mínimos de seguridad jurídica.</w:t>
      </w:r>
    </w:p>
    <w:p w14:paraId="0E257507" w14:textId="77777777" w:rsidR="00251C9C" w:rsidRPr="00746ACE" w:rsidRDefault="00251C9C" w:rsidP="00FC0DFB">
      <w:pPr>
        <w:pStyle w:val="Prrafodelista"/>
        <w:widowControl w:val="0"/>
      </w:pPr>
    </w:p>
    <w:p w14:paraId="4E0746B6" w14:textId="5882AF38" w:rsidR="007732DD" w:rsidRPr="00746ACE" w:rsidRDefault="007732DD" w:rsidP="00FC0DFB">
      <w:pPr>
        <w:pStyle w:val="Prrafodelista"/>
        <w:widowControl w:val="0"/>
        <w:numPr>
          <w:ilvl w:val="0"/>
          <w:numId w:val="7"/>
        </w:numPr>
      </w:pPr>
      <w:r w:rsidRPr="00746ACE">
        <w:t xml:space="preserve">Segundo, el carácter difuso y abstracto de la categoría de responsabilidad del punto medio </w:t>
      </w:r>
      <w:r w:rsidR="00AE564C" w:rsidRPr="00746ACE">
        <w:t xml:space="preserve">afecta la </w:t>
      </w:r>
      <w:r w:rsidRPr="00746ACE">
        <w:t xml:space="preserve">seguridad jurídica y amenaza la estabilidad del proceso de paz. </w:t>
      </w:r>
    </w:p>
    <w:p w14:paraId="0830A4AA" w14:textId="48BF7EE9" w:rsidR="007732DD" w:rsidRPr="00746ACE" w:rsidRDefault="00742777" w:rsidP="00FC0DFB">
      <w:pPr>
        <w:pStyle w:val="Prrafodelista"/>
        <w:widowControl w:val="0"/>
        <w:ind w:left="0"/>
      </w:pPr>
      <w:r w:rsidRPr="00746ACE">
        <w:t xml:space="preserve"> </w:t>
      </w:r>
    </w:p>
    <w:p w14:paraId="524956D3" w14:textId="6E45C777" w:rsidR="007732DD" w:rsidRPr="00746ACE" w:rsidRDefault="00AE564C" w:rsidP="00A1115F">
      <w:pPr>
        <w:pStyle w:val="Prrafodelista"/>
        <w:widowControl w:val="0"/>
        <w:numPr>
          <w:ilvl w:val="0"/>
          <w:numId w:val="7"/>
        </w:numPr>
      </w:pPr>
      <w:r w:rsidRPr="00746ACE">
        <w:t>En efecto, l</w:t>
      </w:r>
      <w:r w:rsidR="007732DD" w:rsidRPr="00746ACE">
        <w:t xml:space="preserve">a seguridad jurídica es un principio central del ordenamiento jurídico que, en términos generales, supone una garantía de certeza en las relaciones sociales y para el ejercicio de otros derechos fundamentales. En el ámbito jurídico, la seguridad jurídica garantiza a los ciudadanos que las normas que regulan su situación, así como las sentencias que resuelven un conflicto o avanzan en la interpretación de las fuentes jurídicas, no serán modificadas de forma abrupta e irrazonable. </w:t>
      </w:r>
      <w:r w:rsidR="00A1115F" w:rsidRPr="00746ACE">
        <w:t>En este marco</w:t>
      </w:r>
      <w:r w:rsidRPr="00746ACE">
        <w:t>,</w:t>
      </w:r>
      <w:r w:rsidR="00A1115F" w:rsidRPr="00746ACE">
        <w:t xml:space="preserve"> e</w:t>
      </w:r>
      <w:r w:rsidR="007732DD" w:rsidRPr="00746ACE">
        <w:t>ste Tribunal ha reconocido que el principio de seguridad jurídica “constituye un elemento de legalidad inscrito en el derecho al debido proceso”</w:t>
      </w:r>
      <w:r w:rsidR="007732DD" w:rsidRPr="00746ACE">
        <w:rPr>
          <w:vertAlign w:val="superscript"/>
        </w:rPr>
        <w:footnoteReference w:id="136"/>
      </w:r>
      <w:r w:rsidR="007732DD" w:rsidRPr="00746ACE">
        <w:t>.</w:t>
      </w:r>
    </w:p>
    <w:p w14:paraId="6294AF85" w14:textId="77777777" w:rsidR="007732DD" w:rsidRPr="00746ACE" w:rsidRDefault="007732DD" w:rsidP="00FC0DFB">
      <w:pPr>
        <w:pStyle w:val="Prrafodelista"/>
        <w:widowControl w:val="0"/>
      </w:pPr>
    </w:p>
    <w:p w14:paraId="7D1E7D78" w14:textId="30208742" w:rsidR="007732DD" w:rsidRPr="00746ACE" w:rsidRDefault="007732DD" w:rsidP="00FC0DFB">
      <w:pPr>
        <w:pStyle w:val="Prrafodelista"/>
        <w:widowControl w:val="0"/>
        <w:numPr>
          <w:ilvl w:val="0"/>
          <w:numId w:val="7"/>
        </w:numPr>
      </w:pPr>
      <w:r w:rsidRPr="00746ACE">
        <w:t xml:space="preserve">El principio de seguridad jurídica adquiere una connotación especial en el contexto transicional, debido a que la certeza de que se cumplirá con lo pactado entre las partes es una condición para que la promesa de paz se transforme en una realidad duradera. Por esa razón, el principio de seguridad jurídica no puede entenderse como un formalismo legal, sino </w:t>
      </w:r>
      <w:r w:rsidR="00A1115F" w:rsidRPr="00746ACE">
        <w:t xml:space="preserve">que debe </w:t>
      </w:r>
      <w:r w:rsidRPr="00746ACE">
        <w:t>aplicarse como un compromiso político indeclinable, que garantiza los derechos de las víctimas y de quienes decidieron dejar las armas.</w:t>
      </w:r>
    </w:p>
    <w:p w14:paraId="15C063FA" w14:textId="77777777" w:rsidR="007732DD" w:rsidRPr="00746ACE" w:rsidRDefault="007732DD" w:rsidP="00FC0DFB">
      <w:pPr>
        <w:pStyle w:val="Prrafodelista"/>
        <w:widowControl w:val="0"/>
      </w:pPr>
    </w:p>
    <w:p w14:paraId="10C81935" w14:textId="7C8772A4" w:rsidR="007732DD" w:rsidRPr="00746ACE" w:rsidRDefault="00A1115F" w:rsidP="00FC0DFB">
      <w:pPr>
        <w:pStyle w:val="Prrafodelista"/>
        <w:widowControl w:val="0"/>
        <w:numPr>
          <w:ilvl w:val="0"/>
          <w:numId w:val="7"/>
        </w:numPr>
      </w:pPr>
      <w:r w:rsidRPr="00746ACE">
        <w:t xml:space="preserve">Es así </w:t>
      </w:r>
      <w:r w:rsidR="001653D7" w:rsidRPr="00746ACE">
        <w:t>como</w:t>
      </w:r>
      <w:r w:rsidR="00B30D7F" w:rsidRPr="00746ACE">
        <w:t xml:space="preserve">, en criterio de esta Sala Plena, </w:t>
      </w:r>
      <w:r w:rsidRPr="00746ACE">
        <w:t>b</w:t>
      </w:r>
      <w:r w:rsidR="007732DD" w:rsidRPr="00746ACE">
        <w:t xml:space="preserve">rindar seguridad jurídica al Acuerdo Final de Paz suscrito entre las antiguas FARC-EP y el Estado colombiano constituye un mandato constitucional de obligatorio cumplimiento para las autoridades. </w:t>
      </w:r>
    </w:p>
    <w:p w14:paraId="677BC03F" w14:textId="77777777" w:rsidR="007732DD" w:rsidRPr="00746ACE" w:rsidRDefault="007732DD" w:rsidP="00CF1AD1">
      <w:pPr>
        <w:pStyle w:val="Prrafodelista"/>
        <w:widowControl w:val="0"/>
      </w:pPr>
    </w:p>
    <w:p w14:paraId="118B215B" w14:textId="5E008098" w:rsidR="007732DD" w:rsidRPr="00746ACE" w:rsidRDefault="007732DD" w:rsidP="00FC0DFB">
      <w:pPr>
        <w:pStyle w:val="Prrafodelista"/>
        <w:widowControl w:val="0"/>
        <w:numPr>
          <w:ilvl w:val="0"/>
          <w:numId w:val="7"/>
        </w:numPr>
      </w:pPr>
      <w:r w:rsidRPr="00746ACE">
        <w:t xml:space="preserve">En efecto, el Acto Legislativo 02 de 2017 estableció la obligación de implementar a través de normas jurídicas el Acuerdo Final de Paz; y el deber de las </w:t>
      </w:r>
      <w:r w:rsidR="001653D7" w:rsidRPr="00746ACE">
        <w:t>autoridades</w:t>
      </w:r>
      <w:r w:rsidRPr="00746ACE">
        <w:t xml:space="preserve"> a garantizar su “integridad y coherencia”, en el ejercicio de sus funciones. En virtud del principio de buena fe y del Acto Legislativo recién citado, las normas de implementación del acuerdo son exigible a las partes. La certeza en el cumplimiento de lo pactado, en los términos aquí descritos, es esencial para que las víctimas vean satisfechas sus demandas de verdad, justicia, reparación y no repetición y para que quienes decidieron abandonar las armas puedan confiar en que su tránsito hacia la vida civil no será traicionado. </w:t>
      </w:r>
    </w:p>
    <w:p w14:paraId="218B6C30" w14:textId="77777777" w:rsidR="007732DD" w:rsidRPr="00746ACE" w:rsidRDefault="007732DD" w:rsidP="00CF1AD1">
      <w:pPr>
        <w:pStyle w:val="Prrafodelista"/>
        <w:widowControl w:val="0"/>
      </w:pPr>
    </w:p>
    <w:p w14:paraId="7CC235E4" w14:textId="77777777" w:rsidR="007732DD" w:rsidRPr="00746ACE" w:rsidRDefault="007732DD" w:rsidP="00FC0DFB">
      <w:pPr>
        <w:pStyle w:val="Prrafodelista"/>
        <w:widowControl w:val="0"/>
        <w:numPr>
          <w:ilvl w:val="0"/>
          <w:numId w:val="7"/>
        </w:numPr>
      </w:pPr>
      <w:r w:rsidRPr="00746ACE">
        <w:t>Asimismo, la sociedad en general requiere de las autoridades el mensaje de que los compromisos pactados son estables y no se desvanecerán ante cualquier coyuntura política, sino que, por el contrario, son la semilla de instituciones sólidas y legítimas, capaces de garantizar la superación definitiva de las causas que dieron origen al conflicto armado y de asegurar que estas no se repitan en el futuro.</w:t>
      </w:r>
    </w:p>
    <w:p w14:paraId="419A5E78" w14:textId="77777777" w:rsidR="00251C9C" w:rsidRPr="00746ACE" w:rsidRDefault="00251C9C" w:rsidP="00FC0DFB">
      <w:pPr>
        <w:pStyle w:val="Prrafodelista"/>
        <w:widowControl w:val="0"/>
      </w:pPr>
    </w:p>
    <w:p w14:paraId="5A26F7FC" w14:textId="77777777" w:rsidR="007732DD" w:rsidRPr="00746ACE" w:rsidRDefault="2D69552A" w:rsidP="00FC0DFB">
      <w:pPr>
        <w:pStyle w:val="Prrafodelista"/>
        <w:widowControl w:val="0"/>
        <w:numPr>
          <w:ilvl w:val="0"/>
          <w:numId w:val="7"/>
        </w:numPr>
      </w:pPr>
      <w:r w:rsidRPr="00746ACE">
        <w:t xml:space="preserve">En el caso objeto de análisis, el Acuerdo Final de Paz suscrito entre las FARC-EP y el Estado colombiano estableció los conceptos de máximos responsables y partícipes no determinantes con el fin de clasificar la responsabilidad y participación de los comparecientes en los crímenes más graves y representativos. </w:t>
      </w:r>
    </w:p>
    <w:p w14:paraId="240468F2" w14:textId="77777777" w:rsidR="007732DD" w:rsidRPr="00746ACE" w:rsidRDefault="007732DD" w:rsidP="00CF1AD1">
      <w:pPr>
        <w:pStyle w:val="Prrafodelista"/>
        <w:widowControl w:val="0"/>
      </w:pPr>
    </w:p>
    <w:p w14:paraId="583AE30E" w14:textId="5602C4A1" w:rsidR="00251C9C" w:rsidRPr="00746ACE" w:rsidRDefault="2D69552A" w:rsidP="00FC0DFB">
      <w:pPr>
        <w:pStyle w:val="Prrafodelista"/>
        <w:widowControl w:val="0"/>
        <w:numPr>
          <w:ilvl w:val="0"/>
          <w:numId w:val="7"/>
        </w:numPr>
      </w:pPr>
      <w:r w:rsidRPr="00746ACE">
        <w:t xml:space="preserve">Así, por un lado, los máximos responsables </w:t>
      </w:r>
      <w:r w:rsidR="007732DD" w:rsidRPr="00746ACE">
        <w:t>son</w:t>
      </w:r>
      <w:r w:rsidRPr="00746ACE">
        <w:t xml:space="preserve"> aquellas personas que, “en razón de su posición jerárquica, rango o liderazgo, de </w:t>
      </w:r>
      <w:r w:rsidRPr="00746ACE">
        <w:rPr>
          <w:i/>
        </w:rPr>
        <w:t>facto</w:t>
      </w:r>
      <w:r w:rsidRPr="00746ACE">
        <w:t xml:space="preserve"> o de </w:t>
      </w:r>
      <w:r w:rsidRPr="00746ACE">
        <w:rPr>
          <w:i/>
        </w:rPr>
        <w:t>iure</w:t>
      </w:r>
      <w:r w:rsidRPr="00746ACE">
        <w:t xml:space="preserve">, de tipo militar, político, económico o social, han tenido una participación determinante en la generación, desenvolvimiento o ejecución de patrones de </w:t>
      </w:r>
      <w:r w:rsidR="00B30D7F" w:rsidRPr="00746ACE">
        <w:t>macro criminalidad</w:t>
      </w:r>
      <w:r w:rsidRPr="00746ACE">
        <w:t>”</w:t>
      </w:r>
      <w:r w:rsidR="002003BF" w:rsidRPr="00746ACE">
        <w:rPr>
          <w:vertAlign w:val="superscript"/>
        </w:rPr>
        <w:footnoteReference w:id="137"/>
      </w:r>
      <w:r w:rsidR="6AE9EEC4" w:rsidRPr="00746ACE">
        <w:t xml:space="preserve"> </w:t>
      </w:r>
      <w:r w:rsidRPr="00746ACE">
        <w:t xml:space="preserve">ocurridos en el conflicto armado no internacional. Por otro lado, los </w:t>
      </w:r>
      <w:r w:rsidR="3F92924A" w:rsidRPr="00746ACE">
        <w:t>partícipes</w:t>
      </w:r>
      <w:r w:rsidRPr="00746ACE">
        <w:t xml:space="preserve"> no determinantes son quienes no desempeñaron un rol esencial en los crímenes más graves y </w:t>
      </w:r>
      <w:r w:rsidR="007732DD" w:rsidRPr="00746ACE">
        <w:t>representativos.</w:t>
      </w:r>
      <w:r w:rsidRPr="00746ACE">
        <w:t xml:space="preserve"> Las normas que regulan los procedimientos ante la JEP establecen los tratamientos y beneficios a los que pueden acceder quienes sean clasificados en estas dos categorías.</w:t>
      </w:r>
    </w:p>
    <w:p w14:paraId="66257370" w14:textId="77777777" w:rsidR="00251C9C" w:rsidRPr="00746ACE" w:rsidRDefault="00251C9C" w:rsidP="00FC0DFB">
      <w:pPr>
        <w:pStyle w:val="Prrafodelista"/>
        <w:widowControl w:val="0"/>
      </w:pPr>
    </w:p>
    <w:p w14:paraId="45CA8A58" w14:textId="201DB290" w:rsidR="00251C9C" w:rsidRPr="00746ACE" w:rsidRDefault="2D69552A" w:rsidP="00FC0DFB">
      <w:pPr>
        <w:pStyle w:val="Prrafodelista"/>
        <w:widowControl w:val="0"/>
        <w:numPr>
          <w:ilvl w:val="0"/>
          <w:numId w:val="7"/>
        </w:numPr>
      </w:pPr>
      <w:r w:rsidRPr="00746ACE">
        <w:t xml:space="preserve">Como se puede observar, ni el Acuerdo Final de Paz ni las normas que lo desarrollaron contemplaron la creación de un punto medio de responsabilidad y solo diferencian entre los comparecientes que tuvieron una participación determinante y quienes no. </w:t>
      </w:r>
    </w:p>
    <w:p w14:paraId="062A3913" w14:textId="77777777" w:rsidR="007732DD" w:rsidRPr="00746ACE" w:rsidRDefault="007732DD" w:rsidP="00CF1AD1">
      <w:pPr>
        <w:pStyle w:val="Prrafodelista"/>
        <w:widowControl w:val="0"/>
      </w:pPr>
    </w:p>
    <w:p w14:paraId="1CDC3EFC" w14:textId="465E3D57" w:rsidR="007732DD" w:rsidRPr="00746ACE" w:rsidRDefault="007732DD" w:rsidP="00FC0DFB">
      <w:pPr>
        <w:pStyle w:val="Prrafodelista"/>
        <w:widowControl w:val="0"/>
        <w:numPr>
          <w:ilvl w:val="0"/>
          <w:numId w:val="7"/>
        </w:numPr>
      </w:pPr>
      <w:r w:rsidRPr="00746ACE">
        <w:t>Además, al hacer referencia a esta categoría de responsabilidad en las sentencias interpretativas, el Tribunal para la Paz no ha establecido con claridad cuáles son sus características</w:t>
      </w:r>
      <w:r w:rsidR="00B30D7F" w:rsidRPr="00746ACE">
        <w:t>,</w:t>
      </w:r>
      <w:r w:rsidR="00A1115F" w:rsidRPr="00746ACE">
        <w:t xml:space="preserve"> ni</w:t>
      </w:r>
      <w:r w:rsidRPr="00746ACE">
        <w:t xml:space="preserve"> de qué manera sería aplicable. Esto resulta notorio en la formulación de la categoría propuesta en la Senit 5, según la cual, </w:t>
      </w:r>
      <w:r w:rsidRPr="00746ACE">
        <w:rPr>
          <w:i/>
        </w:rPr>
        <w:t>en el amplio espectro de la responsabilidad</w:t>
      </w:r>
      <w:r w:rsidR="00A1115F" w:rsidRPr="00746ACE">
        <w:rPr>
          <w:i/>
        </w:rPr>
        <w:t>,</w:t>
      </w:r>
      <w:r w:rsidRPr="00746ACE">
        <w:rPr>
          <w:i/>
        </w:rPr>
        <w:t xml:space="preserve"> </w:t>
      </w:r>
      <w:r w:rsidRPr="00746ACE">
        <w:t>hay sujetos ubicados en un punto medio entre el máximo responsable y el partícipe no determinante. La situación no cambia en la Senit 8, donde lo que se advierte es un cambio en las razones que inspiran la categoría, mas no en sus contornos. Y</w:t>
      </w:r>
      <w:r w:rsidR="00A1115F" w:rsidRPr="00746ACE">
        <w:t>, además,</w:t>
      </w:r>
      <w:r w:rsidRPr="00746ACE">
        <w:t xml:space="preserve"> se torna un poco más borrosa en la Senit 9 cuando se dice que no es una categoría normativa sino un criterio heurístico.</w:t>
      </w:r>
    </w:p>
    <w:p w14:paraId="4868FC0C" w14:textId="77777777" w:rsidR="007732DD" w:rsidRPr="00746ACE" w:rsidRDefault="007732DD" w:rsidP="00CF1AD1">
      <w:pPr>
        <w:pStyle w:val="Prrafodelista"/>
        <w:widowControl w:val="0"/>
      </w:pPr>
    </w:p>
    <w:p w14:paraId="7E9A4287" w14:textId="77777777" w:rsidR="007732DD" w:rsidRPr="00746ACE" w:rsidRDefault="007732DD" w:rsidP="00FC0DFB">
      <w:pPr>
        <w:pStyle w:val="Prrafodelista"/>
        <w:widowControl w:val="0"/>
        <w:numPr>
          <w:ilvl w:val="0"/>
          <w:numId w:val="7"/>
        </w:numPr>
      </w:pPr>
      <w:r w:rsidRPr="00746ACE">
        <w:t>A pesar de que la Senit 9 indicó que la “responsabilidad cercana a la máxima” (que según intervenciones de la JEP es la misma responsabilidad del punto medio) no es una nueva categoría de comparecientes, lo cierto es que esta categoría ha tenido efectos concretos en la definición de la situación jurídicos de los comparecientes y en la garantía de los derechos de las víctimas, pues este concepto permite a la Sala de Definición de Situaciones Jurídicas adelantar la selección de segundo orden y, en consecuencia, remitir comparecientes a la Unidad de Investigación y Acusación para que se adelante un juicio adversarial.</w:t>
      </w:r>
    </w:p>
    <w:p w14:paraId="7EF74401" w14:textId="77777777" w:rsidR="00251C9C" w:rsidRPr="00746ACE" w:rsidRDefault="00251C9C" w:rsidP="00FC0DFB">
      <w:pPr>
        <w:pStyle w:val="Prrafodelista"/>
        <w:widowControl w:val="0"/>
      </w:pPr>
    </w:p>
    <w:p w14:paraId="6EF8CA14" w14:textId="77777777" w:rsidR="007732DD" w:rsidRPr="00746ACE" w:rsidRDefault="2D69552A" w:rsidP="00FC0DFB">
      <w:pPr>
        <w:pStyle w:val="Prrafodelista"/>
        <w:widowControl w:val="0"/>
        <w:numPr>
          <w:ilvl w:val="0"/>
          <w:numId w:val="7"/>
        </w:numPr>
      </w:pPr>
      <w:r w:rsidRPr="00746ACE">
        <w:t xml:space="preserve">Para la Corte, la creación de la categoría de responsabilidad intermedia desconoce el principio de legalidad porque </w:t>
      </w:r>
      <w:r w:rsidR="007732DD" w:rsidRPr="00746ACE">
        <w:t>su vaguedad afecta</w:t>
      </w:r>
      <w:r w:rsidRPr="00746ACE">
        <w:t xml:space="preserve"> la certeza que tienen las víctimas y los comparecientes sobre los procedimientos adelantados en la Jurisdicción Especial para la Paz. </w:t>
      </w:r>
    </w:p>
    <w:p w14:paraId="596D5ADF" w14:textId="77777777" w:rsidR="007732DD" w:rsidRPr="00746ACE" w:rsidRDefault="007732DD" w:rsidP="00CF1AD1">
      <w:pPr>
        <w:pStyle w:val="Prrafodelista"/>
        <w:widowControl w:val="0"/>
      </w:pPr>
    </w:p>
    <w:p w14:paraId="534415B8" w14:textId="7D7DBC7D" w:rsidR="007732DD" w:rsidRPr="00746ACE" w:rsidRDefault="007732DD" w:rsidP="00FC0DFB">
      <w:pPr>
        <w:pStyle w:val="Prrafodelista"/>
        <w:widowControl w:val="0"/>
        <w:numPr>
          <w:ilvl w:val="0"/>
          <w:numId w:val="7"/>
        </w:numPr>
      </w:pPr>
      <w:r w:rsidRPr="00746ACE">
        <w:t>De acuerdo con las conclusiones del acápite anterior, la JEP cuenta con un amplio margen de interpretación en torno a la categoría de responsabilidad, aunque siempre bajo líneas definidas por la Constitución y la Ley estatutaria de administración de justicia en la JEP. La responsabilidad del punto medio, como hipótesis capaz de activar la selección de segundo orden</w:t>
      </w:r>
      <w:r w:rsidR="0043161D" w:rsidRPr="00746ACE">
        <w:t xml:space="preserve">, desconoce el principio de legalidad porque contradice </w:t>
      </w:r>
      <w:r w:rsidR="00DD4E06" w:rsidRPr="00746ACE">
        <w:t xml:space="preserve">a su vez </w:t>
      </w:r>
      <w:r w:rsidR="0043161D" w:rsidRPr="00746ACE">
        <w:t xml:space="preserve">el principio constitucional </w:t>
      </w:r>
      <w:r w:rsidR="00C03C1A" w:rsidRPr="00746ACE">
        <w:t xml:space="preserve">y transicional </w:t>
      </w:r>
      <w:r w:rsidR="0043161D" w:rsidRPr="00746ACE">
        <w:t>de selección.</w:t>
      </w:r>
      <w:r w:rsidRPr="00746ACE">
        <w:t xml:space="preserve"> De acuerdo con las consideraciones previas, la categoría también desconoce el principio de legalidad porque es excesivamente vaga, genera incertidumbre, y puede traer consecuencias jurídicas imprevisibles para los comparecientes sin un fundamento normativo previo.</w:t>
      </w:r>
      <w:r w:rsidR="00742777" w:rsidRPr="00746ACE">
        <w:t xml:space="preserve"> </w:t>
      </w:r>
    </w:p>
    <w:p w14:paraId="76022595" w14:textId="77777777" w:rsidR="007732DD" w:rsidRPr="00746ACE" w:rsidRDefault="007732DD" w:rsidP="00CF1AD1">
      <w:pPr>
        <w:pStyle w:val="Prrafodelista"/>
        <w:widowControl w:val="0"/>
      </w:pPr>
    </w:p>
    <w:p w14:paraId="4B68BAFE" w14:textId="1A3B98BB" w:rsidR="007732DD" w:rsidRPr="00746ACE" w:rsidRDefault="2D69552A" w:rsidP="00FC0DFB">
      <w:pPr>
        <w:pStyle w:val="Prrafodelista"/>
        <w:widowControl w:val="0"/>
        <w:numPr>
          <w:ilvl w:val="0"/>
          <w:numId w:val="7"/>
        </w:numPr>
      </w:pPr>
      <w:r w:rsidRPr="00746ACE">
        <w:t xml:space="preserve">La alteración sustancial de lo pactado, a través de la introducción de nuevas categorías de responsabilidad, somete a quienes acuden al sistema a un escenario de incertidumbre y desconfianza que </w:t>
      </w:r>
      <w:r w:rsidR="007732DD" w:rsidRPr="00746ACE">
        <w:t>puede poner</w:t>
      </w:r>
      <w:r w:rsidRPr="00746ACE">
        <w:t xml:space="preserve"> en riesgo la estabilidad del proceso de paz</w:t>
      </w:r>
      <w:r w:rsidR="00A1115F" w:rsidRPr="00746ACE">
        <w:t>,</w:t>
      </w:r>
      <w:r w:rsidRPr="00746ACE">
        <w:t xml:space="preserve"> </w:t>
      </w:r>
      <w:r w:rsidR="00A1115F" w:rsidRPr="00746ACE">
        <w:t xml:space="preserve">pues supone que </w:t>
      </w:r>
      <w:r w:rsidRPr="00746ACE">
        <w:t xml:space="preserve">los procedimientos dejan de adelantarse con base en normas que fueron previamente definidas y acordadas. </w:t>
      </w:r>
    </w:p>
    <w:p w14:paraId="0BDA717A" w14:textId="77777777" w:rsidR="007732DD" w:rsidRPr="00746ACE" w:rsidRDefault="007732DD" w:rsidP="00CF1AD1">
      <w:pPr>
        <w:pStyle w:val="Prrafodelista"/>
        <w:widowControl w:val="0"/>
      </w:pPr>
    </w:p>
    <w:p w14:paraId="1CC4C6D3" w14:textId="77777777" w:rsidR="00020518" w:rsidRPr="00746ACE" w:rsidRDefault="2D69552A" w:rsidP="000B69F5">
      <w:pPr>
        <w:pStyle w:val="Prrafodelista"/>
        <w:widowControl w:val="0"/>
        <w:numPr>
          <w:ilvl w:val="0"/>
          <w:numId w:val="7"/>
        </w:numPr>
      </w:pPr>
      <w:r w:rsidRPr="00746ACE">
        <w:t xml:space="preserve">La garantía del principio de legalidad, </w:t>
      </w:r>
      <w:r w:rsidR="007732DD" w:rsidRPr="00746ACE">
        <w:t>también en la justicia transicional</w:t>
      </w:r>
      <w:r w:rsidRPr="00746ACE">
        <w:t>, exige que las categorías de responsabilidad aplicables a los comparecientes estén previamente establecidas, de manera que se eviten ambigüedades o innovaciones que puedan alterar las reglas del juego acordadas.</w:t>
      </w:r>
      <w:r w:rsidR="00881833" w:rsidRPr="00746ACE">
        <w:t xml:space="preserve"> </w:t>
      </w:r>
    </w:p>
    <w:p w14:paraId="440C424D" w14:textId="77777777" w:rsidR="00020518" w:rsidRPr="00746ACE" w:rsidRDefault="00020518" w:rsidP="00020518">
      <w:pPr>
        <w:pStyle w:val="Prrafodelista"/>
      </w:pPr>
    </w:p>
    <w:p w14:paraId="67117A97" w14:textId="58B6634F" w:rsidR="00881833" w:rsidRPr="00746ACE" w:rsidRDefault="00881833" w:rsidP="000B69F5">
      <w:pPr>
        <w:pStyle w:val="Prrafodelista"/>
        <w:widowControl w:val="0"/>
        <w:numPr>
          <w:ilvl w:val="0"/>
          <w:numId w:val="7"/>
        </w:numPr>
      </w:pPr>
      <w:r w:rsidRPr="00746ACE">
        <w:t xml:space="preserve">En este sentido, al analizar el </w:t>
      </w:r>
      <w:r w:rsidRPr="00746ACE">
        <w:rPr>
          <w:shd w:val="clear" w:color="auto" w:fill="FFFFFF"/>
        </w:rPr>
        <w:t xml:space="preserve">Acto Legislativo 01 de 2017, la Corte reconoció que el sistema especial de justicia había fijado una serie de directrices </w:t>
      </w:r>
      <w:r w:rsidR="00A33776" w:rsidRPr="00746ACE">
        <w:rPr>
          <w:shd w:val="clear" w:color="auto" w:fill="FFFFFF"/>
        </w:rPr>
        <w:t xml:space="preserve">encaminadas a judicializar </w:t>
      </w:r>
      <w:r w:rsidRPr="00746ACE">
        <w:rPr>
          <w:shd w:val="clear" w:color="auto" w:fill="FFFFFF"/>
        </w:rPr>
        <w:t xml:space="preserve">a los máximos responsables de los delitos más graves y representativos. </w:t>
      </w:r>
      <w:r w:rsidR="00DD4E06" w:rsidRPr="00746ACE">
        <w:rPr>
          <w:shd w:val="clear" w:color="auto" w:fill="FFFFFF"/>
        </w:rPr>
        <w:t>E</w:t>
      </w:r>
      <w:r w:rsidR="00A33776" w:rsidRPr="00746ACE">
        <w:rPr>
          <w:shd w:val="clear" w:color="auto" w:fill="FFFFFF"/>
        </w:rPr>
        <w:t>l Acto Legislativo mencionado</w:t>
      </w:r>
      <w:r w:rsidR="00636E77" w:rsidRPr="00746ACE">
        <w:rPr>
          <w:shd w:val="clear" w:color="auto" w:fill="FFFFFF"/>
        </w:rPr>
        <w:t xml:space="preserve"> estableció:</w:t>
      </w:r>
      <w:r w:rsidRPr="00746ACE">
        <w:rPr>
          <w:shd w:val="clear" w:color="auto" w:fill="FFFFFF"/>
        </w:rPr>
        <w:t xml:space="preserve"> (i) el marco jurídico</w:t>
      </w:r>
      <w:r w:rsidR="00A33776" w:rsidRPr="00746ACE">
        <w:rPr>
          <w:shd w:val="clear" w:color="auto" w:fill="FFFFFF"/>
        </w:rPr>
        <w:t xml:space="preserve"> aplicable, que est</w:t>
      </w:r>
      <w:r w:rsidR="00C9385A" w:rsidRPr="00746ACE">
        <w:rPr>
          <w:shd w:val="clear" w:color="auto" w:fill="FFFFFF"/>
        </w:rPr>
        <w:t>á</w:t>
      </w:r>
      <w:r w:rsidR="00A33776" w:rsidRPr="00746ACE">
        <w:rPr>
          <w:shd w:val="clear" w:color="auto" w:fill="FFFFFF"/>
        </w:rPr>
        <w:t xml:space="preserve"> </w:t>
      </w:r>
      <w:r w:rsidR="00C9385A" w:rsidRPr="00746ACE">
        <w:rPr>
          <w:shd w:val="clear" w:color="auto" w:fill="FFFFFF"/>
        </w:rPr>
        <w:t xml:space="preserve">conformado </w:t>
      </w:r>
      <w:r w:rsidRPr="00746ACE">
        <w:rPr>
          <w:shd w:val="clear" w:color="auto" w:fill="FFFFFF"/>
        </w:rPr>
        <w:t xml:space="preserve">por el Código Penal, el Derecho Internacional Humanitario como regla especial, y las reglas operacionales de la fuerza pública; (ii) los elementos constitutivos </w:t>
      </w:r>
      <w:r w:rsidR="00A33776" w:rsidRPr="00746ACE">
        <w:rPr>
          <w:shd w:val="clear" w:color="auto" w:fill="FFFFFF"/>
        </w:rPr>
        <w:t>de las modalidades</w:t>
      </w:r>
      <w:r w:rsidRPr="00746ACE">
        <w:rPr>
          <w:shd w:val="clear" w:color="auto" w:fill="FFFFFF"/>
        </w:rPr>
        <w:t xml:space="preserve"> de responsabilidad de los superiores jerárquicos por los delitos cometidos por sus subordinados</w:t>
      </w:r>
      <w:r w:rsidR="00A33776" w:rsidRPr="00746ACE">
        <w:rPr>
          <w:shd w:val="clear" w:color="auto" w:fill="FFFFFF"/>
        </w:rPr>
        <w:t>; y (iii) las bases del modelo de persecución penal, a partir de tres elementos</w:t>
      </w:r>
      <w:r w:rsidR="00636E77" w:rsidRPr="00746ACE">
        <w:rPr>
          <w:shd w:val="clear" w:color="auto" w:fill="FFFFFF"/>
        </w:rPr>
        <w:t xml:space="preserve">: </w:t>
      </w:r>
      <w:r w:rsidR="00A33776" w:rsidRPr="00746ACE">
        <w:rPr>
          <w:shd w:val="clear" w:color="auto" w:fill="FFFFFF"/>
        </w:rPr>
        <w:t>(a) la universalidad del sistema, para que la función persecutoria se extienda a todos los actores del conflicto armado; (b) la selectividad en la función persecutoria, para que el deber de investigar, juzgar y sancionar se concentre en los máximos responsables de los delitos más graves y representativos; (c) la creación de un esquema de incentivos condicionados</w:t>
      </w:r>
      <w:r w:rsidR="00A33776" w:rsidRPr="00746ACE">
        <w:rPr>
          <w:rStyle w:val="Refdenotaalpie"/>
          <w:shd w:val="clear" w:color="auto" w:fill="FFFFFF"/>
        </w:rPr>
        <w:footnoteReference w:id="138"/>
      </w:r>
      <w:r w:rsidR="00A33776" w:rsidRPr="00746ACE">
        <w:rPr>
          <w:shd w:val="clear" w:color="auto" w:fill="FFFFFF"/>
        </w:rPr>
        <w:t>.</w:t>
      </w:r>
    </w:p>
    <w:p w14:paraId="7195AC2B" w14:textId="77777777" w:rsidR="00251C9C" w:rsidRPr="00746ACE" w:rsidRDefault="00251C9C" w:rsidP="000B69F5">
      <w:pPr>
        <w:widowControl w:val="0"/>
      </w:pPr>
    </w:p>
    <w:p w14:paraId="15FAD360" w14:textId="14079706" w:rsidR="00251C9C" w:rsidRPr="00746ACE" w:rsidRDefault="2D69552A" w:rsidP="00FC0DFB">
      <w:pPr>
        <w:pStyle w:val="Prrafodelista"/>
        <w:widowControl w:val="0"/>
        <w:numPr>
          <w:ilvl w:val="0"/>
          <w:numId w:val="7"/>
        </w:numPr>
      </w:pPr>
      <w:r w:rsidRPr="00746ACE">
        <w:t xml:space="preserve">En ese sentido, introducir una nueva categoría de responsabilidad no contemplada originalmente implica modificar el marco normativo aceptado por las víctimas y por quienes se sometieron al sistema. </w:t>
      </w:r>
      <w:r w:rsidR="007732DD" w:rsidRPr="00746ACE">
        <w:t>Para los comparecientes, supone una variación de las condiciones de atribución de responsabilidad y de las consecuencias jurídicas asociadas; y</w:t>
      </w:r>
      <w:r w:rsidR="00B30D7F" w:rsidRPr="00746ACE">
        <w:t xml:space="preserve"> despierta también</w:t>
      </w:r>
      <w:r w:rsidR="007732DD" w:rsidRPr="00746ACE">
        <w:t xml:space="preserve"> para las víctimas el riesgo de demoras excesivas en la garantía de sus derechos a la verdad, justicia y reparación prometidas. </w:t>
      </w:r>
    </w:p>
    <w:p w14:paraId="528BD6FA" w14:textId="77777777" w:rsidR="00251C9C" w:rsidRPr="00746ACE" w:rsidRDefault="00251C9C" w:rsidP="00CF1AD1">
      <w:pPr>
        <w:pStyle w:val="Prrafodelista"/>
        <w:widowControl w:val="0"/>
      </w:pPr>
    </w:p>
    <w:p w14:paraId="59C30B23" w14:textId="77777777" w:rsidR="007732DD" w:rsidRPr="00746ACE" w:rsidRDefault="007732DD" w:rsidP="00FC0DFB">
      <w:pPr>
        <w:pStyle w:val="Prrafodelista"/>
        <w:widowControl w:val="0"/>
        <w:numPr>
          <w:ilvl w:val="0"/>
          <w:numId w:val="7"/>
        </w:numPr>
      </w:pPr>
      <w:r w:rsidRPr="00746ACE">
        <w:t xml:space="preserve">La Corte advierte que la estabilidad del modelo de justicia transicional depende del respeto y el seguimiento de las reglas previamente definidas, y recuerda que una alteración de lo acordado, en puntos sustanciales, como el concepto de quiénes serán juzgados y sancionados afecta la confianza en el sistema y debilita la seguridad jurídica. Ambas, condiciones mínimas de eficacia de un acuerdo de paz. </w:t>
      </w:r>
    </w:p>
    <w:p w14:paraId="2A8F2125" w14:textId="77777777" w:rsidR="007732DD" w:rsidRPr="00746ACE" w:rsidRDefault="007732DD" w:rsidP="00FC0DFB">
      <w:pPr>
        <w:pStyle w:val="Prrafodelista"/>
        <w:widowControl w:val="0"/>
        <w:ind w:left="0"/>
      </w:pPr>
    </w:p>
    <w:p w14:paraId="4FF763B4" w14:textId="77777777" w:rsidR="007732DD" w:rsidRPr="00746ACE" w:rsidRDefault="007732DD" w:rsidP="00FC0DFB">
      <w:pPr>
        <w:pStyle w:val="Prrafodelista"/>
        <w:widowControl w:val="0"/>
        <w:numPr>
          <w:ilvl w:val="0"/>
          <w:numId w:val="7"/>
        </w:numPr>
      </w:pPr>
      <w:r w:rsidRPr="00746ACE">
        <w:t xml:space="preserve">No resulta válido, en suma, crear escenarios de incertidumbre, imprevisibles para comparecientes y víctimas, y que atrasen de manera injustificada la administración de justicia en la JEP. </w:t>
      </w:r>
    </w:p>
    <w:p w14:paraId="60B8D35F" w14:textId="77777777" w:rsidR="00251C9C" w:rsidRPr="00746ACE" w:rsidRDefault="00251C9C" w:rsidP="00FC0DFB">
      <w:pPr>
        <w:widowControl w:val="0"/>
      </w:pPr>
    </w:p>
    <w:p w14:paraId="2D91BB54" w14:textId="77777777" w:rsidR="00251C9C" w:rsidRPr="00746ACE" w:rsidRDefault="2D69552A" w:rsidP="00FC0DFB">
      <w:pPr>
        <w:pStyle w:val="Prrafodelista"/>
        <w:widowControl w:val="0"/>
        <w:numPr>
          <w:ilvl w:val="0"/>
          <w:numId w:val="7"/>
        </w:numPr>
      </w:pPr>
      <w:r w:rsidRPr="00746ACE">
        <w:t xml:space="preserve">Tercero, la selección de segundo orden no es un mecanismo ágil ni oportuno para los fines del sistema porque conduce a dispersar los esfuerzos institucionales de la JEP. Así, en lugar de </w:t>
      </w:r>
      <w:r w:rsidR="001D3398" w:rsidRPr="00746ACE">
        <w:t>contr</w:t>
      </w:r>
      <w:r w:rsidR="00227A5B" w:rsidRPr="00746ACE">
        <w:t>i</w:t>
      </w:r>
      <w:r w:rsidR="001D3398" w:rsidRPr="00746ACE">
        <w:t xml:space="preserve">buir a que la </w:t>
      </w:r>
      <w:r w:rsidR="00227A5B" w:rsidRPr="00746ACE">
        <w:t xml:space="preserve">Jurisdicción concentre sus </w:t>
      </w:r>
      <w:r w:rsidRPr="00746ACE">
        <w:t xml:space="preserve">recursos humanos, técnicos y presupuestales en la persecución de los máximos responsables de los crímenes más graves y representativos, este mecanismo tiende a fragmentar la actuación judicial, generando cargas adicionales y dilaciones innecesarias. </w:t>
      </w:r>
    </w:p>
    <w:p w14:paraId="4ACC5ADC" w14:textId="77777777" w:rsidR="00251C9C" w:rsidRPr="00746ACE" w:rsidRDefault="00251C9C" w:rsidP="00FC0DFB">
      <w:pPr>
        <w:pStyle w:val="Prrafodelista"/>
        <w:widowControl w:val="0"/>
      </w:pPr>
    </w:p>
    <w:p w14:paraId="1CC67F7E" w14:textId="77777777" w:rsidR="00251C9C" w:rsidRPr="00746ACE" w:rsidRDefault="2D69552A" w:rsidP="00FC0DFB">
      <w:pPr>
        <w:pStyle w:val="Prrafodelista"/>
        <w:widowControl w:val="0"/>
        <w:numPr>
          <w:ilvl w:val="0"/>
          <w:numId w:val="7"/>
        </w:numPr>
      </w:pPr>
      <w:r w:rsidRPr="00746ACE">
        <w:t xml:space="preserve">El carácter vago y difuso de la responsabilidad </w:t>
      </w:r>
      <w:r w:rsidR="004F141F" w:rsidRPr="00746ACE">
        <w:t>del punto medio</w:t>
      </w:r>
      <w:r w:rsidRPr="00746ACE">
        <w:t xml:space="preserve"> no solo dificulta su aplicación uniforme, sino que además produce un escenario de inseguridad jurídica, pues</w:t>
      </w:r>
      <w:r w:rsidR="00925119" w:rsidRPr="00746ACE">
        <w:t>,</w:t>
      </w:r>
      <w:r w:rsidRPr="00746ACE">
        <w:t xml:space="preserve"> aun después de la resolución de conclusiones, los comparecientes no tendrán claridad suficiente sobre su situación definitiva frente al sistema, ni sobre el alcance de las obligaciones que se derivan para ellos.</w:t>
      </w:r>
    </w:p>
    <w:p w14:paraId="0615C8E3" w14:textId="77777777" w:rsidR="00251C9C" w:rsidRPr="00746ACE" w:rsidRDefault="00251C9C" w:rsidP="00FC0DFB">
      <w:pPr>
        <w:pStyle w:val="Prrafodelista"/>
        <w:widowControl w:val="0"/>
      </w:pPr>
    </w:p>
    <w:p w14:paraId="0CC86437" w14:textId="77777777" w:rsidR="00251C9C" w:rsidRPr="00746ACE" w:rsidRDefault="2D69552A" w:rsidP="00FC0DFB">
      <w:pPr>
        <w:pStyle w:val="Prrafodelista"/>
        <w:widowControl w:val="0"/>
        <w:numPr>
          <w:ilvl w:val="0"/>
          <w:numId w:val="7"/>
        </w:numPr>
      </w:pPr>
      <w:r w:rsidRPr="00746ACE">
        <w:t xml:space="preserve">En este sentido, resulta llamativo que la Senit 9 se haya dictado a instancias de la Sección de Revisión y la Sala de Definición de Situaciones Jurídicas, precisamente con el propósito de alcanzar una mejor comprensión de la responsabilidad del llamado “punto medio” y de la propia </w:t>
      </w:r>
      <w:r w:rsidR="005A64F7" w:rsidRPr="00746ACE">
        <w:t>“</w:t>
      </w:r>
      <w:r w:rsidRPr="00746ACE">
        <w:t>selección de segundo orden</w:t>
      </w:r>
      <w:r w:rsidR="005A64F7" w:rsidRPr="00746ACE">
        <w:t>”</w:t>
      </w:r>
      <w:r w:rsidRPr="00746ACE">
        <w:t>. Que estas instancias hayan considerado necesario promover tal pronunciamiento evidencia que no se trata de una discusión meramente teórica, sino de una problemática práctica que impacta directamente la toma de decisiones y la coherencia interna del modelo de justicia transicional adoptado.</w:t>
      </w:r>
    </w:p>
    <w:p w14:paraId="7EB94AD9" w14:textId="77777777" w:rsidR="00251C9C" w:rsidRPr="00746ACE" w:rsidRDefault="00251C9C" w:rsidP="00FC0DFB">
      <w:pPr>
        <w:pStyle w:val="Prrafodelista"/>
        <w:widowControl w:val="0"/>
      </w:pPr>
    </w:p>
    <w:p w14:paraId="257961DE" w14:textId="77777777" w:rsidR="00251C9C" w:rsidRPr="00746ACE" w:rsidRDefault="2D69552A" w:rsidP="00FC0DFB">
      <w:pPr>
        <w:pStyle w:val="Prrafodelista"/>
        <w:widowControl w:val="0"/>
        <w:numPr>
          <w:ilvl w:val="0"/>
          <w:numId w:val="7"/>
        </w:numPr>
      </w:pPr>
      <w:r w:rsidRPr="00746ACE">
        <w:t>Si esta incertidumbre afecta incluso a las Salas y Secciones de la JEP, encargadas de interpretar y aplicar las reglas del sistema, con mayor razón repercute en quienes esperan una respuesta clara y definitiva: tanto los excombatientes como las víctimas que acudieron a la JEP con el fin de ver satisfechos sus derechos a la verdad, la justicia, la reparación y las garantías de no repetición. La falta de criterios estables y previsibles no solo erosiona la confianza en la institución, sino que también puede afectar la percepción de legitimidad de sus decisiones.</w:t>
      </w:r>
    </w:p>
    <w:p w14:paraId="3CAC3EDE" w14:textId="77777777" w:rsidR="00251C9C" w:rsidRPr="00746ACE" w:rsidRDefault="00251C9C" w:rsidP="00FC0DFB">
      <w:pPr>
        <w:pStyle w:val="Prrafodelista"/>
        <w:widowControl w:val="0"/>
      </w:pPr>
    </w:p>
    <w:p w14:paraId="36F48D7C" w14:textId="77777777" w:rsidR="00251C9C" w:rsidRPr="00746ACE" w:rsidRDefault="46D41116" w:rsidP="00FC0DFB">
      <w:pPr>
        <w:pStyle w:val="Prrafodelista"/>
        <w:widowControl w:val="0"/>
        <w:numPr>
          <w:ilvl w:val="0"/>
          <w:numId w:val="7"/>
        </w:numPr>
      </w:pPr>
      <w:r w:rsidRPr="00746ACE">
        <w:t xml:space="preserve">Y, si </w:t>
      </w:r>
      <w:r w:rsidR="2D69552A" w:rsidRPr="00746ACE">
        <w:t xml:space="preserve">bien se ha explicado que el principio de legalidad en este ámbito no es equiparable a la tipicidad estricta del derecho penal ordinario —dado el carácter propio de la justicia transicional—, lo cierto es que el cambio constante de las categorías aplicables, en asuntos tan sensibles como la determinación de la responsabilidad (o, en los términos de la Senit 8, la reparación), sí generan un nivel de incertidumbre </w:t>
      </w:r>
      <w:r w:rsidR="004A1AFB" w:rsidRPr="00746ACE">
        <w:t>susceptible de afectar el debido proceso</w:t>
      </w:r>
      <w:r w:rsidR="2D69552A" w:rsidRPr="00746ACE">
        <w:t xml:space="preserve">. </w:t>
      </w:r>
    </w:p>
    <w:p w14:paraId="5EE4A8C9" w14:textId="77777777" w:rsidR="00251C9C" w:rsidRPr="00746ACE" w:rsidRDefault="00251C9C" w:rsidP="00FC0DFB">
      <w:pPr>
        <w:pStyle w:val="Prrafodelista"/>
        <w:widowControl w:val="0"/>
      </w:pPr>
    </w:p>
    <w:p w14:paraId="052BFF97" w14:textId="77777777" w:rsidR="00251C9C" w:rsidRPr="00746ACE" w:rsidRDefault="2D69552A" w:rsidP="00FC0DFB">
      <w:pPr>
        <w:pStyle w:val="Prrafodelista"/>
        <w:widowControl w:val="0"/>
        <w:numPr>
          <w:ilvl w:val="0"/>
          <w:numId w:val="7"/>
        </w:numPr>
      </w:pPr>
      <w:r w:rsidRPr="00746ACE">
        <w:t xml:space="preserve">La </w:t>
      </w:r>
      <w:r w:rsidR="00B5075F" w:rsidRPr="00746ACE">
        <w:t>amplitud</w:t>
      </w:r>
      <w:r w:rsidRPr="00746ACE">
        <w:t xml:space="preserve"> propia del modelo no puede traducirse en indeterminación estructural. Cuando las reglas sobre quién responde, por qué responde y en qué condiciones puede acceder a beneficios se transforman de manera reiterada o carecen de precisión suficiente, se compromete la seguridad jurídica y se tensionan los principios de igualdad y confianza legítima, pilares indispensables de cualquier sistema de administración de justicia</w:t>
      </w:r>
      <w:r w:rsidR="61E4E276" w:rsidRPr="00746ACE">
        <w:t>.</w:t>
      </w:r>
    </w:p>
    <w:p w14:paraId="03F8EBCC" w14:textId="77777777" w:rsidR="00251C9C" w:rsidRPr="00746ACE" w:rsidRDefault="00251C9C" w:rsidP="00FC0DFB">
      <w:pPr>
        <w:pStyle w:val="Prrafodelista"/>
        <w:widowControl w:val="0"/>
      </w:pPr>
    </w:p>
    <w:p w14:paraId="7F7A9D77" w14:textId="77777777" w:rsidR="00F04AA5" w:rsidRPr="00746ACE" w:rsidRDefault="2D69552A" w:rsidP="00FC0DFB">
      <w:pPr>
        <w:pStyle w:val="Prrafodelista"/>
        <w:widowControl w:val="0"/>
        <w:numPr>
          <w:ilvl w:val="0"/>
          <w:numId w:val="7"/>
        </w:numPr>
      </w:pPr>
      <w:r w:rsidRPr="00746ACE">
        <w:t>Por las razones expuestas, la Corte Constitucional concluye que la categoría de responsabilidad intermedia establecida en la Senit 5 desconoce el principio de legalidad por su carácter indeterminado.</w:t>
      </w:r>
    </w:p>
    <w:p w14:paraId="1DF7CC74" w14:textId="77777777" w:rsidR="00F04AA5" w:rsidRPr="00746ACE" w:rsidRDefault="00F04AA5" w:rsidP="00FC0DFB">
      <w:pPr>
        <w:pStyle w:val="Prrafodelista"/>
        <w:widowControl w:val="0"/>
        <w:ind w:left="0"/>
      </w:pPr>
    </w:p>
    <w:p w14:paraId="466B391C" w14:textId="337FB642" w:rsidR="00F04AA5" w:rsidRPr="00746ACE" w:rsidRDefault="00D254D8" w:rsidP="00672AC0">
      <w:pPr>
        <w:pStyle w:val="Ttulo2"/>
        <w:rPr>
          <w:rFonts w:cs="Times New Roman"/>
        </w:rPr>
      </w:pPr>
      <w:bookmarkStart w:id="59" w:name="_Toc233384209"/>
      <w:r w:rsidRPr="00746ACE">
        <w:rPr>
          <w:rFonts w:cs="Times New Roman"/>
        </w:rPr>
        <w:t xml:space="preserve">Cuarto cargo. </w:t>
      </w:r>
      <w:r w:rsidR="00F04AA5" w:rsidRPr="00746ACE">
        <w:rPr>
          <w:rFonts w:cs="Times New Roman"/>
        </w:rPr>
        <w:t>Violación del derecho al debido proceso y del marco constitucional del régimen de condicionalidad</w:t>
      </w:r>
      <w:r w:rsidR="008C4BED" w:rsidRPr="00746ACE">
        <w:rPr>
          <w:rFonts w:cs="Times New Roman"/>
        </w:rPr>
        <w:t>,</w:t>
      </w:r>
      <w:r w:rsidR="00F04AA5" w:rsidRPr="00746ACE">
        <w:rPr>
          <w:rFonts w:cs="Times New Roman"/>
        </w:rPr>
        <w:t xml:space="preserve"> pues no son claras las reglas aplicables a quienes, según la JEP, se encuentran el punto medio entre la máxima responsabilidad y la participación no determinante</w:t>
      </w:r>
      <w:bookmarkEnd w:id="59"/>
      <w:r w:rsidR="00F04AA5" w:rsidRPr="00746ACE">
        <w:rPr>
          <w:rFonts w:cs="Times New Roman"/>
        </w:rPr>
        <w:t xml:space="preserve"> </w:t>
      </w:r>
    </w:p>
    <w:p w14:paraId="1A7ABF24" w14:textId="77777777" w:rsidR="00F04AA5" w:rsidRPr="00746ACE" w:rsidRDefault="00F04AA5" w:rsidP="00FC0DFB">
      <w:pPr>
        <w:pStyle w:val="Prrafodelista"/>
        <w:widowControl w:val="0"/>
      </w:pPr>
    </w:p>
    <w:p w14:paraId="720384FE" w14:textId="77777777" w:rsidR="00C90FC9" w:rsidRPr="00746ACE" w:rsidRDefault="00C90FC9" w:rsidP="000B69F5">
      <w:pPr>
        <w:pStyle w:val="Ttulo3"/>
        <w:keepNext w:val="0"/>
        <w:keepLines w:val="0"/>
        <w:widowControl w:val="0"/>
        <w:jc w:val="both"/>
        <w:rPr>
          <w:rFonts w:cs="Times New Roman"/>
          <w:color w:val="auto"/>
          <w:sz w:val="28"/>
          <w:szCs w:val="28"/>
          <w:lang w:val="es-ES"/>
        </w:rPr>
      </w:pPr>
      <w:bookmarkStart w:id="60" w:name="_Toc233384210"/>
      <w:r w:rsidRPr="00746ACE">
        <w:rPr>
          <w:rFonts w:cs="Times New Roman"/>
          <w:color w:val="auto"/>
          <w:sz w:val="28"/>
          <w:szCs w:val="28"/>
          <w:lang w:val="es-ES" w:eastAsia="es-ES"/>
        </w:rPr>
        <w:t xml:space="preserve">Síntesis de la discusión sobre la </w:t>
      </w:r>
      <w:r w:rsidR="001068BF" w:rsidRPr="00746ACE">
        <w:rPr>
          <w:rFonts w:cs="Times New Roman"/>
          <w:color w:val="auto"/>
          <w:sz w:val="28"/>
          <w:szCs w:val="28"/>
          <w:lang w:val="es-ES" w:eastAsia="es-ES"/>
        </w:rPr>
        <w:t xml:space="preserve">presunta violación al debido proceso por ausencia de reglas claras en la aplicación de la responsabilidad del </w:t>
      </w:r>
      <w:r w:rsidRPr="00746ACE">
        <w:rPr>
          <w:rFonts w:cs="Times New Roman"/>
          <w:color w:val="auto"/>
          <w:sz w:val="28"/>
          <w:szCs w:val="28"/>
          <w:lang w:val="es-ES" w:eastAsia="es-ES"/>
        </w:rPr>
        <w:t>punto medio (demanda, posición de la JEP e intervenciones)</w:t>
      </w:r>
      <w:bookmarkEnd w:id="60"/>
    </w:p>
    <w:p w14:paraId="0C11F7F7" w14:textId="77777777" w:rsidR="00C90FC9" w:rsidRPr="00746ACE" w:rsidRDefault="00C90FC9" w:rsidP="00FC0DFB">
      <w:pPr>
        <w:pStyle w:val="Prrafodelista"/>
        <w:widowControl w:val="0"/>
      </w:pPr>
    </w:p>
    <w:p w14:paraId="1F6419EB" w14:textId="77777777" w:rsidR="00720FE7" w:rsidRPr="00746ACE" w:rsidRDefault="00720FE7" w:rsidP="00720FE7">
      <w:pPr>
        <w:pStyle w:val="Prrafodelista"/>
        <w:widowControl w:val="0"/>
        <w:numPr>
          <w:ilvl w:val="0"/>
          <w:numId w:val="7"/>
        </w:numPr>
      </w:pPr>
      <w:r w:rsidRPr="00746ACE">
        <w:t>Para los demandantes, los párrafos 137 y 143 de la Senit 5 desconocen el régimen de condicionalidad establecido en el Acuerdo Final de Paz; los artículos transitorios 1 y 5 del Acto Legislativo 01 de 2017; el artículo 29 de la Constitución Política, y los artículos 8 y 9 de la Convención Americana sobre Derechos Humanos. Esto se debe a que, según la interpretación cuestionada, los partícipes no determinantes –y no seleccionados por la Sala de Reconocimiento de Verdad y Responsabilidad– que hayan incumplido con sus obligaciones asociadas al régimen de condicionalidad pueden ser sometidos a consecuencias diferentes a las que estableció la ley.</w:t>
      </w:r>
    </w:p>
    <w:p w14:paraId="665F0EEC" w14:textId="77777777" w:rsidR="00F04AA5" w:rsidRPr="00746ACE" w:rsidRDefault="00F04AA5" w:rsidP="00FC0DFB">
      <w:pPr>
        <w:pStyle w:val="Prrafodelista"/>
        <w:widowControl w:val="0"/>
        <w:ind w:left="0"/>
      </w:pPr>
    </w:p>
    <w:p w14:paraId="67CC501E" w14:textId="77777777" w:rsidR="00F04AA5" w:rsidRPr="00746ACE" w:rsidRDefault="5255DF95" w:rsidP="00FC0DFB">
      <w:pPr>
        <w:pStyle w:val="Prrafodelista"/>
        <w:widowControl w:val="0"/>
        <w:numPr>
          <w:ilvl w:val="0"/>
          <w:numId w:val="7"/>
        </w:numPr>
      </w:pPr>
      <w:r w:rsidRPr="00746ACE">
        <w:t xml:space="preserve">De acuerdo con el párrafo 137 </w:t>
      </w:r>
      <w:r w:rsidR="006F6D42" w:rsidRPr="00746ACE">
        <w:t xml:space="preserve">de la Senit 5 </w:t>
      </w:r>
      <w:r w:rsidRPr="00746ACE">
        <w:t>demandado, la Sala de Definición de Situaciones Jurídicas est</w:t>
      </w:r>
      <w:r w:rsidR="00F911B3" w:rsidRPr="00746ACE">
        <w:t>á</w:t>
      </w:r>
      <w:r w:rsidRPr="00746ACE">
        <w:t xml:space="preserve"> facultada para remitir a la UIA a personas no seleccionadas por la Sala de Reconocimiento</w:t>
      </w:r>
      <w:r w:rsidR="00F6265D" w:rsidRPr="00746ACE">
        <w:t xml:space="preserve"> de Verdad y Responsabilidad</w:t>
      </w:r>
      <w:r w:rsidRPr="00746ACE">
        <w:t xml:space="preserve">, cuando no han reconocido responsabilidad por los hechos individuales, enmarcados en </w:t>
      </w:r>
      <w:r w:rsidR="006F6D42" w:rsidRPr="00746ACE">
        <w:t xml:space="preserve">los </w:t>
      </w:r>
      <w:r w:rsidRPr="00746ACE">
        <w:t>pat</w:t>
      </w:r>
      <w:r w:rsidR="006F6D42" w:rsidRPr="00746ACE">
        <w:t xml:space="preserve">rones </w:t>
      </w:r>
      <w:r w:rsidRPr="00746ACE">
        <w:t xml:space="preserve">de </w:t>
      </w:r>
      <w:r w:rsidR="0043161D" w:rsidRPr="00746ACE">
        <w:t>macro criminalidad</w:t>
      </w:r>
      <w:r w:rsidRPr="00746ACE">
        <w:t xml:space="preserve"> en que se vieron involucradas.</w:t>
      </w:r>
    </w:p>
    <w:p w14:paraId="242A8DAE" w14:textId="77777777" w:rsidR="771FAA9B" w:rsidRPr="00746ACE" w:rsidRDefault="771FAA9B" w:rsidP="00CF1AD1">
      <w:pPr>
        <w:pStyle w:val="Prrafodelista"/>
        <w:widowControl w:val="0"/>
        <w:ind w:left="0"/>
      </w:pPr>
    </w:p>
    <w:p w14:paraId="0F8A0C94" w14:textId="77777777" w:rsidR="771FAA9B" w:rsidRPr="00746ACE" w:rsidRDefault="008120B0" w:rsidP="00CF1AD1">
      <w:pPr>
        <w:pStyle w:val="Prrafodelista"/>
        <w:widowControl w:val="0"/>
        <w:numPr>
          <w:ilvl w:val="0"/>
          <w:numId w:val="7"/>
        </w:numPr>
      </w:pPr>
      <w:r w:rsidRPr="00746ACE">
        <w:t>L</w:t>
      </w:r>
      <w:r w:rsidR="4FDB0F2E" w:rsidRPr="00746ACE">
        <w:t xml:space="preserve">a Sección de Apelación </w:t>
      </w:r>
      <w:r w:rsidRPr="00746ACE">
        <w:t>explicó, al respecto, </w:t>
      </w:r>
      <w:r w:rsidR="4FDB0F2E" w:rsidRPr="00746ACE">
        <w:t xml:space="preserve">que </w:t>
      </w:r>
      <w:r w:rsidR="45966904" w:rsidRPr="00746ACE">
        <w:t xml:space="preserve">en los casos en los que </w:t>
      </w:r>
      <w:r w:rsidR="7A1AC3E6" w:rsidRPr="00746ACE">
        <w:t>hay evidencias</w:t>
      </w:r>
      <w:r w:rsidR="45966904" w:rsidRPr="00746ACE">
        <w:t xml:space="preserve"> significativas de responsabilidad</w:t>
      </w:r>
      <w:r w:rsidR="6C0A554B" w:rsidRPr="00746ACE">
        <w:t xml:space="preserve"> de los comparecientes y los aportes de verdad son insuficientes, el incidente de incumplimiento del régimen de condicionalidad es insuficiente</w:t>
      </w:r>
      <w:r w:rsidR="00946EF6" w:rsidRPr="00746ACE">
        <w:t>,</w:t>
      </w:r>
      <w:r w:rsidR="55DA0527" w:rsidRPr="00746ACE">
        <w:t xml:space="preserve"> por</w:t>
      </w:r>
      <w:r w:rsidR="6C0A554B" w:rsidRPr="00746ACE">
        <w:t xml:space="preserve"> lo que </w:t>
      </w:r>
      <w:r w:rsidR="07E1AC3F" w:rsidRPr="00746ACE">
        <w:t xml:space="preserve">se </w:t>
      </w:r>
      <w:r w:rsidR="6C0A554B" w:rsidRPr="00746ACE">
        <w:t xml:space="preserve">justifica </w:t>
      </w:r>
      <w:r w:rsidR="269726E9" w:rsidRPr="00746ACE">
        <w:t xml:space="preserve">adelantar </w:t>
      </w:r>
      <w:r w:rsidR="6C0A554B" w:rsidRPr="00746ACE">
        <w:t>la selección de segundo orden</w:t>
      </w:r>
      <w:r w:rsidR="3F043576" w:rsidRPr="00746ACE">
        <w:t>,</w:t>
      </w:r>
      <w:r w:rsidR="6C0A554B" w:rsidRPr="00746ACE">
        <w:t xml:space="preserve"> </w:t>
      </w:r>
      <w:r w:rsidR="058D5972" w:rsidRPr="00746ACE">
        <w:t xml:space="preserve">con el fin de activar la ruta adversarial. </w:t>
      </w:r>
      <w:r w:rsidR="001F331D" w:rsidRPr="00746ACE">
        <w:t xml:space="preserve">En ese mismo sentido, el magistrado Ramelli Arteaga indicó que </w:t>
      </w:r>
      <w:r w:rsidR="00FC16AD" w:rsidRPr="00746ACE">
        <w:t xml:space="preserve">en </w:t>
      </w:r>
      <w:r w:rsidR="49DD3866" w:rsidRPr="00746ACE">
        <w:t>la aplicación d</w:t>
      </w:r>
      <w:r w:rsidR="001F331D" w:rsidRPr="00746ACE">
        <w:t xml:space="preserve">el principio de centralidad de las víctimas </w:t>
      </w:r>
      <w:r w:rsidR="5B425368" w:rsidRPr="00746ACE">
        <w:t xml:space="preserve">se admitió que la Sala de Definición de Situaciones Jurídicas </w:t>
      </w:r>
      <w:r w:rsidR="7F9CB669" w:rsidRPr="00746ACE">
        <w:t>evalúe</w:t>
      </w:r>
      <w:r w:rsidR="5B425368" w:rsidRPr="00746ACE">
        <w:t xml:space="preserve">, a través de la facultad de selección de segundo orden, si una persona </w:t>
      </w:r>
      <w:r w:rsidR="3BF9873D" w:rsidRPr="00746ACE">
        <w:t xml:space="preserve">debe ser remitida </w:t>
      </w:r>
      <w:r w:rsidR="5742323A" w:rsidRPr="00746ACE">
        <w:t>a la Unidad de Investigación y Acusación.</w:t>
      </w:r>
    </w:p>
    <w:p w14:paraId="3E113E5E" w14:textId="77777777" w:rsidR="07885725" w:rsidRPr="00746ACE" w:rsidRDefault="07885725" w:rsidP="00CF1AD1">
      <w:pPr>
        <w:pStyle w:val="Prrafodelista"/>
        <w:widowControl w:val="0"/>
        <w:ind w:left="0"/>
      </w:pPr>
    </w:p>
    <w:p w14:paraId="36926342" w14:textId="77777777" w:rsidR="0043161D" w:rsidRPr="00746ACE" w:rsidRDefault="1F04A66F" w:rsidP="00CF1AD1">
      <w:pPr>
        <w:pStyle w:val="Prrafodelista"/>
        <w:widowControl w:val="0"/>
        <w:numPr>
          <w:ilvl w:val="0"/>
          <w:numId w:val="7"/>
        </w:numPr>
      </w:pPr>
      <w:r w:rsidRPr="00746ACE">
        <w:t xml:space="preserve">Varios intervinientes apoyaron lo expuesto </w:t>
      </w:r>
      <w:r w:rsidR="2995BB29" w:rsidRPr="00746ACE">
        <w:t xml:space="preserve">por los demandantes. Por ejemplo, </w:t>
      </w:r>
      <w:r w:rsidR="092C0E21" w:rsidRPr="00746ACE">
        <w:t>la Comisión Colombiana de Juristas señaló que al permitir que la Sala de Definición de Situaciones Jurídicas remita directamente a comparecientes no seleccionados a la U</w:t>
      </w:r>
      <w:r w:rsidR="3CED05BE" w:rsidRPr="00746ACE">
        <w:t xml:space="preserve">nidad de </w:t>
      </w:r>
      <w:r w:rsidR="092C0E21" w:rsidRPr="00746ACE">
        <w:t>I</w:t>
      </w:r>
      <w:r w:rsidR="0C041277" w:rsidRPr="00746ACE">
        <w:t xml:space="preserve">nvestigación y </w:t>
      </w:r>
      <w:r w:rsidR="092C0E21" w:rsidRPr="00746ACE">
        <w:t>A</w:t>
      </w:r>
      <w:r w:rsidR="2CF02053" w:rsidRPr="00746ACE">
        <w:t>cusación</w:t>
      </w:r>
      <w:r w:rsidR="092C0E21" w:rsidRPr="00746ACE">
        <w:t xml:space="preserve">, mediante una “selección de segundo orden”, se introduce una consecuencia jurídica no prevista por el ordenamiento porque el sistema está diseñado para que el incumplimiento de las obligaciones </w:t>
      </w:r>
      <w:r w:rsidR="12D5B22B" w:rsidRPr="00746ACE">
        <w:t>sea</w:t>
      </w:r>
      <w:r w:rsidR="092C0E21" w:rsidRPr="00746ACE">
        <w:t xml:space="preserve"> </w:t>
      </w:r>
      <w:r w:rsidR="3737A4FF" w:rsidRPr="00746ACE">
        <w:t>evaluado</w:t>
      </w:r>
      <w:r w:rsidR="092C0E21" w:rsidRPr="00746ACE">
        <w:t xml:space="preserve"> a través del incidente prev</w:t>
      </w:r>
      <w:r w:rsidR="48FC95C0" w:rsidRPr="00746ACE">
        <w:t xml:space="preserve">isto. </w:t>
      </w:r>
    </w:p>
    <w:p w14:paraId="28F69CEA" w14:textId="77777777" w:rsidR="0043161D" w:rsidRPr="00746ACE" w:rsidRDefault="0043161D" w:rsidP="00CF1AD1">
      <w:pPr>
        <w:pStyle w:val="Prrafodelista"/>
        <w:widowControl w:val="0"/>
      </w:pPr>
    </w:p>
    <w:p w14:paraId="17EE90DB" w14:textId="7B5EF2D4" w:rsidR="092C0E21" w:rsidRPr="00746ACE" w:rsidRDefault="62E86C0D" w:rsidP="00CF1AD1">
      <w:pPr>
        <w:pStyle w:val="Prrafodelista"/>
        <w:widowControl w:val="0"/>
        <w:numPr>
          <w:ilvl w:val="0"/>
          <w:numId w:val="7"/>
        </w:numPr>
      </w:pPr>
      <w:r w:rsidRPr="00746ACE">
        <w:t xml:space="preserve">En el mismo sentido, el Ministerio de Justicia indicó que </w:t>
      </w:r>
      <w:r w:rsidR="610B21FC" w:rsidRPr="00746ACE">
        <w:t xml:space="preserve">la remisión de estos comparecientes a la </w:t>
      </w:r>
      <w:r w:rsidR="008C4BED" w:rsidRPr="00746ACE">
        <w:t>Unidad de Investigación y Acusación</w:t>
      </w:r>
      <w:r w:rsidR="008C4BED" w:rsidRPr="00746ACE" w:rsidDel="008C4BED">
        <w:t xml:space="preserve"> </w:t>
      </w:r>
      <w:r w:rsidR="610B21FC" w:rsidRPr="00746ACE">
        <w:t>no se traduce necesariamente en mayores garantías de verdad y reparación a favor de las víctimas.</w:t>
      </w:r>
    </w:p>
    <w:p w14:paraId="3637DEDA" w14:textId="77777777" w:rsidR="709CD74A" w:rsidRPr="00746ACE" w:rsidRDefault="709CD74A" w:rsidP="00CF1AD1">
      <w:pPr>
        <w:pStyle w:val="Prrafodelista"/>
        <w:widowControl w:val="0"/>
        <w:ind w:left="0"/>
      </w:pPr>
    </w:p>
    <w:p w14:paraId="186D1B01" w14:textId="343708C3" w:rsidR="4E316F62" w:rsidRPr="00746ACE" w:rsidRDefault="27C58EF1" w:rsidP="00CF1AD1">
      <w:pPr>
        <w:pStyle w:val="Prrafodelista"/>
        <w:widowControl w:val="0"/>
        <w:numPr>
          <w:ilvl w:val="0"/>
          <w:numId w:val="7"/>
        </w:numPr>
      </w:pPr>
      <w:r w:rsidRPr="00746ACE">
        <w:t xml:space="preserve">Además, el Centro Internacional para la Justicia Transicional indicó que la remisión de los comparecientes con responsabilidad </w:t>
      </w:r>
      <w:r w:rsidR="00B30D7F" w:rsidRPr="00746ACE">
        <w:t xml:space="preserve">del punto medio </w:t>
      </w:r>
      <w:r w:rsidRPr="00746ACE">
        <w:t xml:space="preserve">a la Unidad de Investigación y Acusación </w:t>
      </w:r>
      <w:r w:rsidR="4E316F62" w:rsidRPr="00746ACE">
        <w:t xml:space="preserve">equiparaba la realización de un juicio adversarial con el incidente de incumplimiento del régimen de condicionalidad. Por su parte, la Procuraduría General de la Nación </w:t>
      </w:r>
      <w:r w:rsidR="36765E43" w:rsidRPr="00746ACE">
        <w:t>señaló</w:t>
      </w:r>
      <w:r w:rsidR="4E316F62" w:rsidRPr="00746ACE">
        <w:t xml:space="preserve"> que los sujetos en el grado intermedio de responsabilidad deberían recibir tratamientos alternativos por parte de la Sala de Definición de Situaciones </w:t>
      </w:r>
      <w:r w:rsidR="008C4BED" w:rsidRPr="00746ACE">
        <w:t xml:space="preserve">Jurídicas </w:t>
      </w:r>
      <w:r w:rsidR="32568436" w:rsidRPr="00746ACE">
        <w:t xml:space="preserve">en lugar de ser remitidos </w:t>
      </w:r>
      <w:r w:rsidR="2F4AE18E" w:rsidRPr="00746ACE">
        <w:t xml:space="preserve">a la Unidad de Investigación </w:t>
      </w:r>
      <w:r w:rsidR="09FBC15C" w:rsidRPr="00746ACE">
        <w:t>para un juicio adversarial.</w:t>
      </w:r>
      <w:r w:rsidR="00742777" w:rsidRPr="00746ACE">
        <w:t xml:space="preserve"> </w:t>
      </w:r>
    </w:p>
    <w:p w14:paraId="71F3878C" w14:textId="77777777" w:rsidR="00A82D08" w:rsidRPr="00746ACE" w:rsidRDefault="00A82D08" w:rsidP="00B30D7F">
      <w:pPr>
        <w:widowControl w:val="0"/>
      </w:pPr>
    </w:p>
    <w:p w14:paraId="5094A7BB" w14:textId="1A0BAA58" w:rsidR="00A82D08" w:rsidRPr="00746ACE" w:rsidRDefault="00A82D08" w:rsidP="00CF1AD1">
      <w:pPr>
        <w:pStyle w:val="Prrafodelista"/>
        <w:widowControl w:val="0"/>
        <w:numPr>
          <w:ilvl w:val="0"/>
          <w:numId w:val="7"/>
        </w:numPr>
      </w:pPr>
      <w:r w:rsidRPr="00746ACE">
        <w:t xml:space="preserve">En la sesión técnica con organizaciones de víctimas, </w:t>
      </w:r>
      <w:r w:rsidR="008C4BED" w:rsidRPr="00746ACE">
        <w:t xml:space="preserve">celebrada el 27 de febrero de 2026, </w:t>
      </w:r>
      <w:r w:rsidRPr="00746ACE">
        <w:t xml:space="preserve">esta preocupación fue recurrente y se manifestó en las intervenciones de la Alianza Cinco Claves, Unidad Indígena del Pueblo Awá, Colectivo Orlando Fals Borda, Ilex Acción Jurídica y también desde la Defensoría del Pueblo. Todas estas organizaciones hablaron sobre la importancia de que las rutas de la JEP sean claras, no solo para los comparecientes, sino también para las víctimas. Algunas se refirieron a las cargas que supone el litigio en la jurisdicción, y a la relevancia de que su presencia en la JEP parta del derecho a definir sus prioridades, encauzar sus observaciones y demandas. </w:t>
      </w:r>
    </w:p>
    <w:p w14:paraId="26C2A207" w14:textId="77777777" w:rsidR="00A82D08" w:rsidRPr="00746ACE" w:rsidRDefault="00A82D08" w:rsidP="00CF1AD1">
      <w:pPr>
        <w:pStyle w:val="Prrafodelista"/>
        <w:widowControl w:val="0"/>
      </w:pPr>
    </w:p>
    <w:p w14:paraId="54CBBA9B" w14:textId="36D76B5A" w:rsidR="00A82D08" w:rsidRPr="00746ACE" w:rsidRDefault="00A82D08" w:rsidP="00CF1AD1">
      <w:pPr>
        <w:pStyle w:val="Prrafodelista"/>
        <w:widowControl w:val="0"/>
        <w:numPr>
          <w:ilvl w:val="0"/>
          <w:numId w:val="7"/>
        </w:numPr>
      </w:pPr>
      <w:r w:rsidRPr="00746ACE">
        <w:t xml:space="preserve">Con todo, organizaciones como el Colectivo de Abogados José </w:t>
      </w:r>
      <w:r w:rsidR="001653D7" w:rsidRPr="00746ACE">
        <w:t>Alvear</w:t>
      </w:r>
      <w:r w:rsidRPr="00746ACE">
        <w:t xml:space="preserve"> Restrepo, la Federación de Víctimas de las FARC y la Corporación Rosa Blanca se ubicaron más cerca de la defensa de un margen de apreciación para la JEP que permita superar desafíos de casos concretos. Así, mencionaron ejemplos de casos donde una víctima que acompañan no encuentra respuesta, pues su victimario no ha sido considerado máximo responsable, el </w:t>
      </w:r>
      <w:r w:rsidR="00B666B9" w:rsidRPr="00746ACE">
        <w:t xml:space="preserve">rol que pudieron desempeñar </w:t>
      </w:r>
      <w:r w:rsidRPr="00746ACE">
        <w:t xml:space="preserve">los mandos medios en </w:t>
      </w:r>
      <w:r w:rsidR="00B666B9" w:rsidRPr="00746ACE">
        <w:t xml:space="preserve">la concepción o materialización de </w:t>
      </w:r>
      <w:r w:rsidRPr="00746ACE">
        <w:t>ciertos patrones criminales o la carencia de significado que puede tener para las víctimas de violencia sexual el juzgamiento de un máximo responsable.</w:t>
      </w:r>
    </w:p>
    <w:p w14:paraId="3C8E0F62" w14:textId="77777777" w:rsidR="00F04AA5" w:rsidRPr="00746ACE" w:rsidRDefault="00F04AA5" w:rsidP="00CF1AD1">
      <w:pPr>
        <w:pStyle w:val="Prrafodelista"/>
        <w:widowControl w:val="0"/>
        <w:ind w:left="0"/>
      </w:pPr>
    </w:p>
    <w:p w14:paraId="30F10715" w14:textId="68480D78" w:rsidR="00F04AA5" w:rsidRPr="00746ACE" w:rsidRDefault="00DD4E06" w:rsidP="00CF1AD1">
      <w:pPr>
        <w:pStyle w:val="Prrafodelista"/>
        <w:widowControl w:val="0"/>
        <w:numPr>
          <w:ilvl w:val="0"/>
          <w:numId w:val="7"/>
        </w:numPr>
      </w:pPr>
      <w:r w:rsidRPr="00746ACE">
        <w:t>Con este contexto</w:t>
      </w:r>
      <w:r w:rsidR="6FA1E228" w:rsidRPr="00746ACE">
        <w:t xml:space="preserve">, </w:t>
      </w:r>
      <w:r w:rsidR="00613ECC" w:rsidRPr="00746ACE">
        <w:t xml:space="preserve">le </w:t>
      </w:r>
      <w:r w:rsidR="1BF2D5BA" w:rsidRPr="00746ACE">
        <w:t xml:space="preserve">corresponde a la Corte Constitucional establecer si </w:t>
      </w:r>
      <w:r w:rsidR="70070BBC" w:rsidRPr="00746ACE">
        <w:t>desconoce el debido proceso la aplicación de la categoría de responsabilidad intermedia, derivada de la Senit 5, dado que no existen reglas claras para identificar a los comparecientes ubicados en el “punto medio”.</w:t>
      </w:r>
    </w:p>
    <w:p w14:paraId="29A97A5C" w14:textId="77777777" w:rsidR="00F04AA5" w:rsidRPr="00746ACE" w:rsidRDefault="00F04AA5" w:rsidP="00FC0DFB">
      <w:pPr>
        <w:pStyle w:val="Prrafodelista"/>
        <w:widowControl w:val="0"/>
      </w:pPr>
    </w:p>
    <w:p w14:paraId="65C7EB12" w14:textId="77777777" w:rsidR="00C232A4" w:rsidRPr="00746ACE" w:rsidRDefault="00C232A4" w:rsidP="000B69F5">
      <w:pPr>
        <w:pStyle w:val="Ttulo3"/>
        <w:keepNext w:val="0"/>
        <w:keepLines w:val="0"/>
        <w:widowControl w:val="0"/>
        <w:jc w:val="both"/>
        <w:rPr>
          <w:rFonts w:cs="Times New Roman"/>
          <w:color w:val="auto"/>
          <w:sz w:val="28"/>
          <w:szCs w:val="28"/>
          <w:lang w:val="es-ES"/>
        </w:rPr>
      </w:pPr>
      <w:bookmarkStart w:id="61" w:name="_Toc233384211"/>
      <w:r w:rsidRPr="00746ACE">
        <w:rPr>
          <w:rFonts w:cs="Times New Roman"/>
          <w:color w:val="auto"/>
          <w:sz w:val="28"/>
          <w:szCs w:val="28"/>
          <w:lang w:val="es-ES"/>
        </w:rPr>
        <w:t>La situación de los partícipes no determinantes que podrían hallarse en el punto medio de responsabilidad, de acuerdo con la Senit 5 y la Senit 8</w:t>
      </w:r>
      <w:bookmarkEnd w:id="61"/>
    </w:p>
    <w:p w14:paraId="4191EE9A" w14:textId="77777777" w:rsidR="00C232A4" w:rsidRPr="00746ACE" w:rsidRDefault="00C232A4" w:rsidP="00CF1AD1">
      <w:pPr>
        <w:widowControl w:val="0"/>
      </w:pPr>
    </w:p>
    <w:p w14:paraId="07D61F33" w14:textId="77777777" w:rsidR="00720FE7" w:rsidRPr="00746ACE" w:rsidRDefault="00720FE7" w:rsidP="00720FE7">
      <w:pPr>
        <w:pStyle w:val="Prrafodelista"/>
        <w:widowControl w:val="0"/>
        <w:numPr>
          <w:ilvl w:val="0"/>
          <w:numId w:val="7"/>
        </w:numPr>
      </w:pPr>
      <w:r w:rsidRPr="00746ACE">
        <w:t>El párrafo 143 de la Senit 5 establece que los partícipes no determinantes excluidos por la Sala de Reconocimiento que no reconozcan responsabilidad enfrentan tres posibles consecuencias: (i) la expulsión de la JEP por incumplimiento del régimen de condicionalidad; (ii) la remisión a la Unidad de Investigación y Acusación, para la eventual iniciación de un juicio adversarial; o (iii) el acceso al beneficio de la renuncia a la persecución penal, “en caso en que no existan pruebas que pongan en duda su inocencia”, bajo el régimen de condicionalidad estricto.</w:t>
      </w:r>
    </w:p>
    <w:p w14:paraId="145FC256" w14:textId="77777777" w:rsidR="00F04AA5" w:rsidRPr="00746ACE" w:rsidRDefault="00F04AA5" w:rsidP="00FC0DFB">
      <w:pPr>
        <w:pStyle w:val="Prrafodelista"/>
        <w:widowControl w:val="0"/>
      </w:pPr>
    </w:p>
    <w:p w14:paraId="38AF1537" w14:textId="752BA32F" w:rsidR="00F04AA5" w:rsidRPr="00746ACE" w:rsidRDefault="00B30D7F" w:rsidP="00FC0DFB">
      <w:pPr>
        <w:pStyle w:val="Prrafodelista"/>
        <w:widowControl w:val="0"/>
        <w:numPr>
          <w:ilvl w:val="0"/>
          <w:numId w:val="7"/>
        </w:numPr>
      </w:pPr>
      <w:r w:rsidRPr="00746ACE">
        <w:t xml:space="preserve">Además, </w:t>
      </w:r>
      <w:r w:rsidR="5255DF95" w:rsidRPr="00746ACE">
        <w:t>la Senit 8 precisó que la Sala de Definición de Situaciones Jurídicas “no debe exigir el reconocimiento de responsabilidad por parte los comparecientes como si se tratara de una obligación independiente del deber de aportar a la verdad plena y, en su lugar, debe concentrar su análisis en los aportes a la verdad plena, así como la eficacia y grado de contribución a las otras medidas del Sistema”</w:t>
      </w:r>
      <w:r w:rsidR="5255DF95" w:rsidRPr="00746ACE">
        <w:rPr>
          <w:vertAlign w:val="superscript"/>
        </w:rPr>
        <w:footnoteReference w:id="139"/>
      </w:r>
      <w:r w:rsidR="5255DF95" w:rsidRPr="00746ACE">
        <w:t xml:space="preserve">. </w:t>
      </w:r>
    </w:p>
    <w:p w14:paraId="2FCDACC2" w14:textId="77777777" w:rsidR="00F04AA5" w:rsidRPr="00746ACE" w:rsidRDefault="00F04AA5" w:rsidP="00FC0DFB">
      <w:pPr>
        <w:pStyle w:val="Prrafodelista"/>
        <w:widowControl w:val="0"/>
      </w:pPr>
    </w:p>
    <w:p w14:paraId="006956C9" w14:textId="69215F85" w:rsidR="00F04AA5" w:rsidRPr="00746ACE" w:rsidRDefault="5255DF95" w:rsidP="00FC0DFB">
      <w:pPr>
        <w:pStyle w:val="Prrafodelista"/>
        <w:widowControl w:val="0"/>
        <w:numPr>
          <w:ilvl w:val="0"/>
          <w:numId w:val="7"/>
        </w:numPr>
      </w:pPr>
      <w:r w:rsidRPr="00746ACE">
        <w:t>En relación</w:t>
      </w:r>
      <w:r w:rsidR="0066650D" w:rsidRPr="00746ACE">
        <w:t xml:space="preserve"> con</w:t>
      </w:r>
      <w:r w:rsidRPr="00746ACE">
        <w:t xml:space="preserve"> las consecuencias por el incumplimiento del régimen de condicionalidad, el artículo transitorio 1 del Acto Legislativo 1 de 2017 dispuso que el acceso a los beneficios del Sistema Integral de Verdad, Justicia, Reparación y No Repetición depende del cumplimiento de las obligaciones pactadas: aportar verdad plena, reparar a las víctimas y garantizar la no repetición</w:t>
      </w:r>
      <w:r w:rsidRPr="00746ACE">
        <w:rPr>
          <w:vertAlign w:val="superscript"/>
        </w:rPr>
        <w:footnoteReference w:id="140"/>
      </w:r>
      <w:r w:rsidRPr="00746ACE">
        <w:t>. En la Sentencia C-674 de 2017</w:t>
      </w:r>
      <w:r w:rsidR="008C4BED" w:rsidRPr="00746ACE">
        <w:t>,</w:t>
      </w:r>
      <w:r w:rsidRPr="00746ACE">
        <w:t xml:space="preserve"> esta Corporación señaló que el régimen de condicionalidad</w:t>
      </w:r>
      <w:r w:rsidR="00CE1E92" w:rsidRPr="00746ACE">
        <w:t xml:space="preserve"> </w:t>
      </w:r>
      <w:r w:rsidRPr="00746ACE">
        <w:t>es una institución jurídico-procesal propia de la justicia transicional, que permite flexibilizar las sanciones de carácter penal y otorgar beneficios siempre que los comparecientes ofrezcan a las víctimas garantías de verdad, justicia, reparación y no repetición.</w:t>
      </w:r>
    </w:p>
    <w:p w14:paraId="64331B5C" w14:textId="77777777" w:rsidR="00F04AA5" w:rsidRPr="00746ACE" w:rsidRDefault="00F04AA5" w:rsidP="00FC0DFB">
      <w:pPr>
        <w:pStyle w:val="Prrafodelista"/>
        <w:widowControl w:val="0"/>
      </w:pPr>
    </w:p>
    <w:p w14:paraId="17AD7710" w14:textId="77777777" w:rsidR="00F04AA5" w:rsidRPr="00746ACE" w:rsidRDefault="5255DF95" w:rsidP="00FC0DFB">
      <w:pPr>
        <w:pStyle w:val="Prrafodelista"/>
        <w:widowControl w:val="0"/>
        <w:numPr>
          <w:ilvl w:val="0"/>
          <w:numId w:val="7"/>
        </w:numPr>
      </w:pPr>
      <w:r w:rsidRPr="00746ACE">
        <w:t>Por su parte, el artículo 5 transitorio del mismo acto legislativo estableció que</w:t>
      </w:r>
      <w:r w:rsidR="007C6B8D" w:rsidRPr="00746ACE">
        <w:t>,</w:t>
      </w:r>
      <w:r w:rsidRPr="00746ACE">
        <w:t xml:space="preserve"> para acceder a los tratamientos especiales del sistema</w:t>
      </w:r>
      <w:r w:rsidR="007C6B8D" w:rsidRPr="00746ACE">
        <w:t>,</w:t>
      </w:r>
      <w:r w:rsidRPr="00746ACE">
        <w:t xml:space="preserve"> </w:t>
      </w:r>
      <w:r w:rsidR="009860D1" w:rsidRPr="00746ACE">
        <w:t xml:space="preserve">el compareciente </w:t>
      </w:r>
      <w:r w:rsidRPr="00746ACE">
        <w:t>debe cumplir con las obligaciones mencionadas y que “quien aporte de manera dolosa información falsa, o incumpla cualquiera de las condiciones del Sistema, perderá el tratamiento especial de justicia”. Al analizar esta norma, la Corte señaló que</w:t>
      </w:r>
      <w:r w:rsidR="00D5228B" w:rsidRPr="00746ACE">
        <w:t>,</w:t>
      </w:r>
      <w:r w:rsidRPr="00746ACE">
        <w:t xml:space="preserve"> ante posibles </w:t>
      </w:r>
      <w:r w:rsidR="00D5228B" w:rsidRPr="00746ACE">
        <w:t xml:space="preserve">incumplimientos </w:t>
      </w:r>
      <w:r w:rsidRPr="00746ACE">
        <w:t xml:space="preserve">del régimen de condicionalidad, la JEP debía considerar la gravedad </w:t>
      </w:r>
      <w:r w:rsidR="004F3DD0" w:rsidRPr="00746ACE">
        <w:t>de</w:t>
      </w:r>
      <w:r w:rsidRPr="00746ACE">
        <w:t xml:space="preserve"> la infracción con el fin de establecer las consecuencias</w:t>
      </w:r>
      <w:r w:rsidR="003F1552" w:rsidRPr="00746ACE">
        <w:t xml:space="preserve">, </w:t>
      </w:r>
      <w:r w:rsidRPr="00746ACE">
        <w:t>que pueden ir desde la negación de los beneficios hasta la pérdida de los tratamientos especiales</w:t>
      </w:r>
      <w:r w:rsidRPr="00746ACE">
        <w:rPr>
          <w:vertAlign w:val="superscript"/>
        </w:rPr>
        <w:footnoteReference w:id="141"/>
      </w:r>
      <w:r w:rsidRPr="00746ACE">
        <w:t>.</w:t>
      </w:r>
    </w:p>
    <w:p w14:paraId="74BD4C1E" w14:textId="77777777" w:rsidR="00F04AA5" w:rsidRPr="00746ACE" w:rsidRDefault="00F04AA5" w:rsidP="00FC0DFB">
      <w:pPr>
        <w:pStyle w:val="Prrafodelista"/>
        <w:widowControl w:val="0"/>
      </w:pPr>
    </w:p>
    <w:p w14:paraId="1D1E1AA7" w14:textId="4CF71C63" w:rsidR="00F04AA5" w:rsidRPr="00746ACE" w:rsidRDefault="5255DF95" w:rsidP="00FC0DFB">
      <w:pPr>
        <w:pStyle w:val="Prrafodelista"/>
        <w:widowControl w:val="0"/>
        <w:numPr>
          <w:ilvl w:val="0"/>
          <w:numId w:val="7"/>
        </w:numPr>
      </w:pPr>
      <w:r w:rsidRPr="00746ACE">
        <w:t>Los procedimientos relacionados con el régimen de condicionalidad están regulados por los artículos 20 y 63 de la Ley 1957 de 2019 (Ley Estatutaria de la JEP)</w:t>
      </w:r>
      <w:r w:rsidR="00B24572" w:rsidRPr="00746ACE">
        <w:t>,</w:t>
      </w:r>
      <w:r w:rsidRPr="00746ACE">
        <w:t xml:space="preserve"> y </w:t>
      </w:r>
      <w:r w:rsidR="00B24572" w:rsidRPr="00746ACE">
        <w:t>en</w:t>
      </w:r>
      <w:r w:rsidRPr="00746ACE">
        <w:t xml:space="preserve"> el artículo 67 de la Ley 1922 de 2018 (Ley de procedimiento de la JEP</w:t>
      </w:r>
      <w:r w:rsidR="008C4BED" w:rsidRPr="00746ACE">
        <w:t>)</w:t>
      </w:r>
      <w:r w:rsidRPr="00746ACE">
        <w:t>.</w:t>
      </w:r>
      <w:r w:rsidR="00742777" w:rsidRPr="00746ACE">
        <w:t xml:space="preserve"> </w:t>
      </w:r>
      <w:r w:rsidRPr="00746ACE">
        <w:t>El artículo 20 de la Ley 1957 de 2019 señala que los comparecientes están en la obligación de aportar verdad plena, reparar a las víctimas y garantizar la no repetición; que le corresponde a la JEP verificar los posibles incumplimientos al régimen de condicionalidad; y que el incumplimiento intencional de cualquiera de las condiciones conlleva</w:t>
      </w:r>
      <w:r w:rsidR="008450D5" w:rsidRPr="00746ACE">
        <w:t>,</w:t>
      </w:r>
      <w:r w:rsidRPr="00746ACE">
        <w:t xml:space="preserve"> necesariamente</w:t>
      </w:r>
      <w:r w:rsidR="008450D5" w:rsidRPr="00746ACE">
        <w:t>,</w:t>
      </w:r>
      <w:r w:rsidRPr="00746ACE">
        <w:t xml:space="preserve"> a la pérdida de los beneficios.</w:t>
      </w:r>
    </w:p>
    <w:p w14:paraId="26F146F8" w14:textId="77777777" w:rsidR="00F04AA5" w:rsidRPr="00746ACE" w:rsidRDefault="00F04AA5" w:rsidP="00FC0DFB">
      <w:pPr>
        <w:pStyle w:val="Prrafodelista"/>
        <w:widowControl w:val="0"/>
      </w:pPr>
    </w:p>
    <w:p w14:paraId="113C6AD1" w14:textId="77777777" w:rsidR="00F04AA5" w:rsidRPr="00746ACE" w:rsidRDefault="5255DF95" w:rsidP="00FC0DFB">
      <w:pPr>
        <w:pStyle w:val="Prrafodelista"/>
        <w:widowControl w:val="0"/>
        <w:numPr>
          <w:ilvl w:val="0"/>
          <w:numId w:val="7"/>
        </w:numPr>
      </w:pPr>
      <w:r w:rsidRPr="00746ACE">
        <w:t>Además, la Ley 1922 de 2018 reguló el incidente de verificación de cumplimiento de las obligaciones relacionadas con el régimen de condicionalidad. Específicamente</w:t>
      </w:r>
      <w:r w:rsidR="0085341E" w:rsidRPr="00746ACE">
        <w:t>,</w:t>
      </w:r>
      <w:r w:rsidRPr="00746ACE">
        <w:t xml:space="preserve"> el artículo 67 </w:t>
      </w:r>
      <w:r w:rsidR="0085341E" w:rsidRPr="00746ACE">
        <w:t xml:space="preserve">de la Ley 1922 de 2018 </w:t>
      </w:r>
      <w:r w:rsidRPr="00746ACE">
        <w:t xml:space="preserve">estableció que las </w:t>
      </w:r>
      <w:r w:rsidR="00637A79" w:rsidRPr="00746ACE">
        <w:t>s</w:t>
      </w:r>
      <w:r w:rsidRPr="00746ACE">
        <w:t xml:space="preserve">alas y </w:t>
      </w:r>
      <w:r w:rsidR="00637A79" w:rsidRPr="00746ACE">
        <w:t>s</w:t>
      </w:r>
      <w:r w:rsidRPr="00746ACE">
        <w:t xml:space="preserve">ecciones </w:t>
      </w:r>
      <w:r w:rsidR="00637A79" w:rsidRPr="00746ACE">
        <w:t>de la JEP</w:t>
      </w:r>
      <w:r w:rsidRPr="00746ACE">
        <w:t xml:space="preserve"> </w:t>
      </w:r>
      <w:r w:rsidR="00283116" w:rsidRPr="00746ACE">
        <w:t xml:space="preserve">deben </w:t>
      </w:r>
      <w:r w:rsidRPr="00746ACE">
        <w:t>evaluar “si se ha presentado o no incumplimiento de las condiciones del sistema o de las sanciones, así como la forma de graduar en cada caso las consecuencias que tales incumplimientos acarreen, siempre dentro de los parámetros fijados en el Acuerdo Final, con criterios de proporcionalidad para determinar la gravedad del incumplimiento”.</w:t>
      </w:r>
    </w:p>
    <w:p w14:paraId="55DA9BC8" w14:textId="77777777" w:rsidR="00F04AA5" w:rsidRPr="00746ACE" w:rsidRDefault="00F04AA5" w:rsidP="00FC0DFB">
      <w:pPr>
        <w:pStyle w:val="Prrafodelista"/>
        <w:widowControl w:val="0"/>
      </w:pPr>
    </w:p>
    <w:p w14:paraId="3E9728EA" w14:textId="77777777" w:rsidR="00F04AA5" w:rsidRPr="00746ACE" w:rsidRDefault="5255DF95" w:rsidP="00FC0DFB">
      <w:pPr>
        <w:pStyle w:val="Prrafodelista"/>
        <w:widowControl w:val="0"/>
        <w:numPr>
          <w:ilvl w:val="0"/>
          <w:numId w:val="7"/>
        </w:numPr>
      </w:pPr>
      <w:r w:rsidRPr="00746ACE">
        <w:t xml:space="preserve">En el mismo sentido, el artículo 68 </w:t>
      </w:r>
      <w:r w:rsidR="00741591" w:rsidRPr="00746ACE">
        <w:t xml:space="preserve">de la Ley 1922 de 2018 </w:t>
      </w:r>
      <w:r w:rsidRPr="00746ACE">
        <w:t>dispuso que “[e]l incumplimiento por parte de las personas sometidas […] tendrá como efecto […] la pérdida de tratamientos especiales, beneficios, renuncias, derechos y garantías, según el caso. Dicho cumplimiento será verificado, caso por caso y de manera rigurosa por la Jurisdicción Especial para la Paz, con base en criterios de proporcionalidad y razonabilidad”.</w:t>
      </w:r>
    </w:p>
    <w:p w14:paraId="48096A01" w14:textId="77777777" w:rsidR="00F04AA5" w:rsidRPr="00746ACE" w:rsidRDefault="00F04AA5" w:rsidP="00FC0DFB">
      <w:pPr>
        <w:pStyle w:val="Prrafodelista"/>
        <w:widowControl w:val="0"/>
      </w:pPr>
    </w:p>
    <w:p w14:paraId="2C348FC4" w14:textId="7F0394C5" w:rsidR="00F04AA5" w:rsidRPr="00746ACE" w:rsidRDefault="5255DF95" w:rsidP="00FC0DFB">
      <w:pPr>
        <w:pStyle w:val="Prrafodelista"/>
        <w:widowControl w:val="0"/>
        <w:numPr>
          <w:ilvl w:val="0"/>
          <w:numId w:val="7"/>
        </w:numPr>
      </w:pPr>
      <w:r w:rsidRPr="00746ACE">
        <w:t>La jurisprudencia constitucional ha reconocido que el régimen de condicionalidad tiene una doble connotación. Por un lado, es una garantía en favor de las víctimas del conflicto armado porque condiciona la concesión de beneficios a la satisfacción de las obligaciones del sistema</w:t>
      </w:r>
      <w:r w:rsidR="00613ECC" w:rsidRPr="00746ACE">
        <w:t>. P</w:t>
      </w:r>
      <w:r w:rsidRPr="00746ACE">
        <w:t>or otro lado, el trámite para la verificación de posibles incumplimientos guarda relación con el derecho al debido proceso de los comparecientes pues</w:t>
      </w:r>
      <w:r w:rsidR="005909C6" w:rsidRPr="00746ACE">
        <w:t>,</w:t>
      </w:r>
      <w:r w:rsidRPr="00746ACE">
        <w:t xml:space="preserve"> para garantizar una adecuada implementación de esta figura, las consecuencias previstas </w:t>
      </w:r>
      <w:r w:rsidR="0016016F" w:rsidRPr="00746ACE">
        <w:t xml:space="preserve">de un </w:t>
      </w:r>
      <w:r w:rsidRPr="00746ACE">
        <w:t>incumplimiento deben atender a los principios de gradualidad y proporcionalidad, de manera que no tod</w:t>
      </w:r>
      <w:r w:rsidR="0030068C" w:rsidRPr="00746ACE">
        <w:t>a insatisfacción de las condiciones impuestas a los comparecientes conduzca </w:t>
      </w:r>
      <w:r w:rsidRPr="00746ACE">
        <w:t xml:space="preserve">a </w:t>
      </w:r>
      <w:r w:rsidR="00F813CF" w:rsidRPr="00746ACE">
        <w:t xml:space="preserve">la </w:t>
      </w:r>
      <w:r w:rsidRPr="00746ACE">
        <w:t>pérdida de todos los tratamientos</w:t>
      </w:r>
      <w:r w:rsidRPr="00746ACE">
        <w:rPr>
          <w:vertAlign w:val="superscript"/>
        </w:rPr>
        <w:footnoteReference w:id="142"/>
      </w:r>
      <w:r w:rsidRPr="00746ACE">
        <w:t>.</w:t>
      </w:r>
    </w:p>
    <w:p w14:paraId="777C1F27" w14:textId="77777777" w:rsidR="00F04AA5" w:rsidRPr="00746ACE" w:rsidRDefault="00F04AA5" w:rsidP="00FC0DFB">
      <w:pPr>
        <w:pStyle w:val="Prrafodelista"/>
        <w:widowControl w:val="0"/>
      </w:pPr>
    </w:p>
    <w:p w14:paraId="6FC409E9" w14:textId="5528F7A9" w:rsidR="00F04AA5" w:rsidRPr="00746ACE" w:rsidRDefault="008C4BED" w:rsidP="00FC0DFB">
      <w:pPr>
        <w:pStyle w:val="Prrafodelista"/>
        <w:widowControl w:val="0"/>
        <w:numPr>
          <w:ilvl w:val="0"/>
          <w:numId w:val="7"/>
        </w:numPr>
      </w:pPr>
      <w:r w:rsidRPr="00746ACE">
        <w:t>Adicionalmente,</w:t>
      </w:r>
      <w:r w:rsidR="00F0346A" w:rsidRPr="00746ACE">
        <w:t xml:space="preserve"> según</w:t>
      </w:r>
      <w:r w:rsidRPr="00746ACE">
        <w:t xml:space="preserve"> el </w:t>
      </w:r>
      <w:r w:rsidR="5255DF95" w:rsidRPr="00746ACE">
        <w:t xml:space="preserve">literal c) </w:t>
      </w:r>
      <w:r w:rsidR="1E1263F1" w:rsidRPr="00746ACE">
        <w:t>del artículo 84</w:t>
      </w:r>
      <w:r w:rsidR="5255DF95" w:rsidRPr="00746ACE">
        <w:t xml:space="preserve"> de la </w:t>
      </w:r>
      <w:r w:rsidR="00E15BE7" w:rsidRPr="00746ACE">
        <w:t>L</w:t>
      </w:r>
      <w:r w:rsidR="5255DF95" w:rsidRPr="00746ACE">
        <w:t xml:space="preserve">ey </w:t>
      </w:r>
      <w:r w:rsidR="00DE3290" w:rsidRPr="00746ACE">
        <w:t>1957 de 2019, E</w:t>
      </w:r>
      <w:r w:rsidR="5255DF95" w:rsidRPr="00746ACE">
        <w:t xml:space="preserve">statutaria </w:t>
      </w:r>
      <w:r w:rsidR="00DE3290" w:rsidRPr="00746ACE">
        <w:t xml:space="preserve">de </w:t>
      </w:r>
      <w:r w:rsidRPr="00746ACE">
        <w:t xml:space="preserve">Administración </w:t>
      </w:r>
      <w:r w:rsidR="5255DF95" w:rsidRPr="00746ACE">
        <w:t xml:space="preserve">de </w:t>
      </w:r>
      <w:r w:rsidRPr="00746ACE">
        <w:t xml:space="preserve">Justicia </w:t>
      </w:r>
      <w:r w:rsidR="00DE3290" w:rsidRPr="00746ACE">
        <w:t xml:space="preserve">en </w:t>
      </w:r>
      <w:r w:rsidR="5255DF95" w:rsidRPr="00746ACE">
        <w:t>la JEP</w:t>
      </w:r>
      <w:r w:rsidR="00DE3290" w:rsidRPr="00746ACE">
        <w:t>,</w:t>
      </w:r>
      <w:r w:rsidR="5255DF95" w:rsidRPr="00746ACE">
        <w:t xml:space="preserve"> la Sala de Definición de Situaciones Jurídicas deberá establecer los posibles mecanismos procesales de selección y priorización para los </w:t>
      </w:r>
      <w:r w:rsidR="00952DD8" w:rsidRPr="00746ACE">
        <w:t>partícipes</w:t>
      </w:r>
      <w:r w:rsidR="5255DF95" w:rsidRPr="00746ACE">
        <w:t xml:space="preserve"> no determinantes, no seleccionados por la Sala de Reconocimiento que no reconozcan verdad y responsabilidad. Esto quiere decir que, ante el incumplimiento de la obligación de aportar verdad plena por parte de quienes fueron identificados como participes no determinantes, le corresponde a la Sala de Definición de Situaciones Jurídicas determinar las consecuencias jurídicas del desconocimiento de las obligaciones del sistema, con base en los principios de gradualidad y proporcionalidad.</w:t>
      </w:r>
    </w:p>
    <w:p w14:paraId="4EBD1B51" w14:textId="77777777" w:rsidR="00F04AA5" w:rsidRPr="00746ACE" w:rsidRDefault="00F04AA5" w:rsidP="00FC0DFB">
      <w:pPr>
        <w:pStyle w:val="Prrafodelista"/>
        <w:widowControl w:val="0"/>
      </w:pPr>
    </w:p>
    <w:p w14:paraId="47CDCD04" w14:textId="6ECBD6A2" w:rsidR="00F04AA5" w:rsidRPr="00746ACE" w:rsidRDefault="76805B8C" w:rsidP="00FC0DFB">
      <w:pPr>
        <w:pStyle w:val="Prrafodelista"/>
        <w:widowControl w:val="0"/>
        <w:numPr>
          <w:ilvl w:val="0"/>
          <w:numId w:val="7"/>
        </w:numPr>
      </w:pPr>
      <w:r w:rsidRPr="00746ACE">
        <w:t>Po</w:t>
      </w:r>
      <w:r w:rsidR="5255DF95" w:rsidRPr="00746ACE">
        <w:t xml:space="preserve">r regla general, ante los posibles incumplimientos al aporte de verdad por parte de los </w:t>
      </w:r>
      <w:r w:rsidR="004F28C4" w:rsidRPr="00746ACE">
        <w:t>partícipes</w:t>
      </w:r>
      <w:r w:rsidR="5255DF95" w:rsidRPr="00746ACE">
        <w:t xml:space="preserve"> no determinantes, la Sala de Definición de Situaciones Jurídicas puede</w:t>
      </w:r>
      <w:r w:rsidR="0FAB247C" w:rsidRPr="00746ACE">
        <w:t>; (i) aplicar el juicio de prevalencia jurisdiccional en los cas</w:t>
      </w:r>
      <w:r w:rsidR="1E0DF82E" w:rsidRPr="00746ACE">
        <w:t>os en los que no se ha admitido el sometimiento o</w:t>
      </w:r>
      <w:r w:rsidR="0FAB247C" w:rsidRPr="00746ACE">
        <w:t xml:space="preserve"> (ii)</w:t>
      </w:r>
      <w:r w:rsidR="5255DF95" w:rsidRPr="00746ACE">
        <w:t xml:space="preserve"> iniciar el incidente de incumplimiento del régimen de condicionalidad</w:t>
      </w:r>
      <w:r w:rsidR="008C4BED" w:rsidRPr="00746ACE">
        <w:t>, como se explica en el diagrama a continuación.</w:t>
      </w:r>
    </w:p>
    <w:p w14:paraId="3D3EDD15" w14:textId="77777777" w:rsidR="00F04AA5" w:rsidRPr="00746ACE" w:rsidRDefault="00F04AA5" w:rsidP="00FC0DFB">
      <w:pPr>
        <w:pStyle w:val="Prrafodelista"/>
        <w:widowControl w:val="0"/>
        <w:rPr>
          <w:szCs w:val="24"/>
        </w:rPr>
      </w:pPr>
    </w:p>
    <w:p w14:paraId="320A8021" w14:textId="55B7CE09" w:rsidR="008C4BED" w:rsidRPr="00746ACE" w:rsidRDefault="008C4BED" w:rsidP="000B69F5">
      <w:pPr>
        <w:pStyle w:val="Prrafodelista"/>
        <w:widowControl w:val="0"/>
        <w:rPr>
          <w:i/>
          <w:szCs w:val="24"/>
        </w:rPr>
      </w:pPr>
      <w:r w:rsidRPr="00746ACE">
        <w:rPr>
          <w:b/>
          <w:szCs w:val="24"/>
        </w:rPr>
        <w:t xml:space="preserve">Diagrama </w:t>
      </w:r>
      <w:r w:rsidR="00A11D01" w:rsidRPr="00746ACE">
        <w:rPr>
          <w:b/>
          <w:szCs w:val="24"/>
        </w:rPr>
        <w:t>4</w:t>
      </w:r>
      <w:r w:rsidRPr="00746ACE">
        <w:rPr>
          <w:b/>
          <w:szCs w:val="24"/>
        </w:rPr>
        <w:t xml:space="preserve">. </w:t>
      </w:r>
      <w:r w:rsidRPr="00746ACE">
        <w:rPr>
          <w:i/>
          <w:szCs w:val="24"/>
        </w:rPr>
        <w:t xml:space="preserve">Rutas ante los posibles incumplimientos al aporte a la verdad por parte de los partícipes no determinantes </w:t>
      </w:r>
    </w:p>
    <w:p w14:paraId="48E87A3F" w14:textId="704B624D" w:rsidR="1BD9A65A" w:rsidRPr="00746ACE" w:rsidRDefault="3BBBDCE7" w:rsidP="00FC0DFB">
      <w:pPr>
        <w:widowControl w:val="0"/>
        <w:ind w:left="567"/>
      </w:pPr>
      <w:r w:rsidRPr="00746ACE">
        <w:rPr>
          <w:noProof/>
        </w:rPr>
        <w:drawing>
          <wp:inline distT="0" distB="0" distL="0" distR="0" wp14:anchorId="697F3A0B" wp14:editId="5AB4AF6D">
            <wp:extent cx="4955540" cy="3059723"/>
            <wp:effectExtent l="0" t="0" r="0" b="0"/>
            <wp:docPr id="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203159" name="Picture 825203159"/>
                    <pic:cNvPicPr/>
                  </pic:nvPicPr>
                  <pic:blipFill>
                    <a:blip r:embed="rId28">
                      <a:extLst>
                        <a:ext uri="{28A0092B-C50C-407E-A947-70E740481C1C}">
                          <a14:useLocalDpi xmlns:a14="http://schemas.microsoft.com/office/drawing/2010/main"/>
                        </a:ext>
                      </a:extLst>
                    </a:blip>
                    <a:stretch>
                      <a:fillRect/>
                    </a:stretch>
                  </pic:blipFill>
                  <pic:spPr>
                    <a:xfrm>
                      <a:off x="0" y="0"/>
                      <a:ext cx="5030593" cy="3106063"/>
                    </a:xfrm>
                    <a:prstGeom prst="rect">
                      <a:avLst/>
                    </a:prstGeom>
                  </pic:spPr>
                </pic:pic>
              </a:graphicData>
            </a:graphic>
          </wp:inline>
        </w:drawing>
      </w:r>
    </w:p>
    <w:p w14:paraId="4B4B534E" w14:textId="09BED0D4" w:rsidR="00F04AA5" w:rsidRPr="00746ACE" w:rsidRDefault="00F04AA5" w:rsidP="00FC0DFB">
      <w:pPr>
        <w:widowControl w:val="0"/>
      </w:pPr>
    </w:p>
    <w:p w14:paraId="594FD7E7" w14:textId="77777777" w:rsidR="002E7115" w:rsidRPr="00746ACE" w:rsidRDefault="002E7115" w:rsidP="000B69F5">
      <w:pPr>
        <w:pStyle w:val="Ttulo3"/>
        <w:keepNext w:val="0"/>
        <w:keepLines w:val="0"/>
        <w:widowControl w:val="0"/>
        <w:jc w:val="both"/>
        <w:rPr>
          <w:rFonts w:cs="Times New Roman"/>
          <w:color w:val="auto"/>
          <w:sz w:val="28"/>
          <w:szCs w:val="28"/>
          <w:lang w:val="es-ES"/>
        </w:rPr>
      </w:pPr>
      <w:bookmarkStart w:id="62" w:name="_Toc233384212"/>
      <w:r w:rsidRPr="00746ACE">
        <w:rPr>
          <w:rFonts w:cs="Times New Roman"/>
          <w:color w:val="auto"/>
          <w:sz w:val="28"/>
          <w:szCs w:val="28"/>
          <w:lang w:val="es-ES"/>
        </w:rPr>
        <w:t>Evaluación de las rutas descritas frente al debido proceso</w:t>
      </w:r>
      <w:bookmarkEnd w:id="62"/>
      <w:r w:rsidRPr="00746ACE">
        <w:rPr>
          <w:rFonts w:cs="Times New Roman"/>
          <w:color w:val="auto"/>
          <w:sz w:val="28"/>
          <w:szCs w:val="28"/>
          <w:lang w:val="es-ES"/>
        </w:rPr>
        <w:t xml:space="preserve"> </w:t>
      </w:r>
    </w:p>
    <w:p w14:paraId="671A9D05" w14:textId="77777777" w:rsidR="002E7115" w:rsidRPr="00746ACE" w:rsidRDefault="002E7115" w:rsidP="00CF1AD1">
      <w:pPr>
        <w:pStyle w:val="Prrafodelista"/>
        <w:widowControl w:val="0"/>
        <w:ind w:left="360"/>
      </w:pPr>
    </w:p>
    <w:p w14:paraId="0306BC6F" w14:textId="1CF605CE" w:rsidR="00F04AA5" w:rsidRPr="00746ACE" w:rsidRDefault="00EC37EC" w:rsidP="00CF1AD1">
      <w:pPr>
        <w:pStyle w:val="Prrafodelista"/>
        <w:widowControl w:val="0"/>
        <w:numPr>
          <w:ilvl w:val="0"/>
          <w:numId w:val="7"/>
        </w:numPr>
      </w:pPr>
      <w:r w:rsidRPr="00746ACE">
        <w:t xml:space="preserve">Al </w:t>
      </w:r>
      <w:r w:rsidR="00B52BBF" w:rsidRPr="00746ACE">
        <w:t xml:space="preserve">observar las rutas descritas en </w:t>
      </w:r>
      <w:r w:rsidR="005B7C77" w:rsidRPr="00746ACE">
        <w:t xml:space="preserve">los </w:t>
      </w:r>
      <w:r w:rsidR="00B52BBF" w:rsidRPr="00746ACE">
        <w:t>párrafos precedentes, es claro que las sentencias interpretativas Senit 5 y Senit 8</w:t>
      </w:r>
      <w:r w:rsidR="5255DF95" w:rsidRPr="00746ACE">
        <w:t xml:space="preserve"> introduce</w:t>
      </w:r>
      <w:r w:rsidR="00496AE9" w:rsidRPr="00746ACE">
        <w:t>n</w:t>
      </w:r>
      <w:r w:rsidR="5255DF95" w:rsidRPr="00746ACE">
        <w:t xml:space="preserve"> una nueva consecuencia relacionada con el incumplimiento de la obligación de aportar verdad plena, que consiste en la remisión a la Unidad de Investigación y Acusación, de quienes a juicio de </w:t>
      </w:r>
      <w:r w:rsidR="007F2F22" w:rsidRPr="00746ACE">
        <w:t xml:space="preserve">dicha </w:t>
      </w:r>
      <w:r w:rsidR="5255DF95" w:rsidRPr="00746ACE">
        <w:t>Sala ostenten un</w:t>
      </w:r>
      <w:r w:rsidR="00A82D08" w:rsidRPr="00746ACE">
        <w:t>a</w:t>
      </w:r>
      <w:r w:rsidR="5255DF95" w:rsidRPr="00746ACE">
        <w:t xml:space="preserve"> “responsabilidad</w:t>
      </w:r>
      <w:r w:rsidR="00A82D08" w:rsidRPr="00746ACE">
        <w:t xml:space="preserve"> del punto medio</w:t>
      </w:r>
      <w:r w:rsidR="5255DF95" w:rsidRPr="00746ACE">
        <w:t>”.</w:t>
      </w:r>
    </w:p>
    <w:p w14:paraId="3477AC37" w14:textId="77777777" w:rsidR="00F04AA5" w:rsidRPr="00746ACE" w:rsidRDefault="00F04AA5" w:rsidP="00CF1AD1">
      <w:pPr>
        <w:pStyle w:val="Prrafodelista"/>
        <w:widowControl w:val="0"/>
        <w:ind w:left="0"/>
      </w:pPr>
    </w:p>
    <w:p w14:paraId="5644FD2E" w14:textId="77777777" w:rsidR="00720FE7" w:rsidRPr="00746ACE" w:rsidRDefault="00720FE7" w:rsidP="00720FE7">
      <w:pPr>
        <w:pStyle w:val="Prrafodelista"/>
        <w:widowControl w:val="0"/>
        <w:numPr>
          <w:ilvl w:val="0"/>
          <w:numId w:val="7"/>
        </w:numPr>
      </w:pPr>
      <w:r w:rsidRPr="00746ACE">
        <w:t>Esta Corporación ha reconocido que el derecho al debido proceso tiene una serie de características esenciales para su interpretación constitucional, entre las que se cuentan: (i) el derecho a un plazo razonable, es decir a que el proceso se tramite sin dilaciones injustificadas; (ii) al juez natural o la garantía de ser juzgado por el juez legalmente competente para adelantar el trámite y adoptar una decisión de fondo; (iii) el derecho a ser juzgado con la plenitud de las formas propias de cada juicio; (iv) el acceso a la justicia sin dilaciones injustificadas; y (v) el derecho a contar con un juez imparcial que decida “con fundamento en los hechos, de acuerdo con los imperativos del orden jurídico, sin designios anticipados ni prevenciones, presiones o influencias ilícitas”</w:t>
      </w:r>
      <w:r w:rsidRPr="00746ACE">
        <w:rPr>
          <w:vertAlign w:val="superscript"/>
        </w:rPr>
        <w:footnoteReference w:id="143"/>
      </w:r>
      <w:r w:rsidRPr="00746ACE">
        <w:t>.</w:t>
      </w:r>
    </w:p>
    <w:p w14:paraId="5349ED16" w14:textId="77777777" w:rsidR="00881833" w:rsidRPr="00746ACE" w:rsidRDefault="00881833" w:rsidP="000B69F5">
      <w:pPr>
        <w:pStyle w:val="Prrafodelista"/>
      </w:pPr>
    </w:p>
    <w:p w14:paraId="132A27EA" w14:textId="7866F2C4" w:rsidR="00881833" w:rsidRPr="00746ACE" w:rsidRDefault="00881833" w:rsidP="000B69F5">
      <w:pPr>
        <w:pStyle w:val="Prrafodelista"/>
        <w:numPr>
          <w:ilvl w:val="0"/>
          <w:numId w:val="7"/>
        </w:numPr>
      </w:pPr>
      <w:r w:rsidRPr="00746ACE">
        <w:t xml:space="preserve">Específicamente, la Sentencia C-674 de 2014 que analizó el Acto Legislativo 01 de 2017 señaló que la garantía del derecho al debido proceso en el sistema especial de paz estaba estrechamente relacionada con el derecho a la justicia y exigía: (i) la preexistencia de un juez; (ii) </w:t>
      </w:r>
      <w:r w:rsidRPr="00746ACE">
        <w:rPr>
          <w:shd w:val="clear" w:color="auto" w:fill="FFFFFF"/>
        </w:rPr>
        <w:t>la determinación legal y previa de su competencia en abstracto; (iii) la garantía de que el juez no será excluido del conocimiento del asunto una vez ha asumido regularmente competencia.</w:t>
      </w:r>
    </w:p>
    <w:p w14:paraId="746B98F9" w14:textId="77777777" w:rsidR="000A009B" w:rsidRPr="00746ACE" w:rsidRDefault="000A009B" w:rsidP="000A009B">
      <w:pPr>
        <w:pStyle w:val="Prrafodelista"/>
      </w:pPr>
    </w:p>
    <w:p w14:paraId="24B8401E" w14:textId="2C4C42F2" w:rsidR="00ED3B9A" w:rsidRPr="00746ACE" w:rsidRDefault="00ED3B9A" w:rsidP="00882D89">
      <w:pPr>
        <w:pStyle w:val="Prrafodelista"/>
        <w:numPr>
          <w:ilvl w:val="0"/>
          <w:numId w:val="7"/>
        </w:numPr>
      </w:pPr>
      <w:r w:rsidRPr="00746ACE">
        <w:t xml:space="preserve">En la Sentencia C-200 de 2002 en la que la Corte analizó la potestad del legislador para distribuir competencias entre organismos que administran justicia y el principio de juez natural </w:t>
      </w:r>
      <w:r w:rsidR="00275568" w:rsidRPr="00746ACE">
        <w:t xml:space="preserve">reconoció que el legislador tiene amplias competencias en materia legislativa para distribuir </w:t>
      </w:r>
      <w:r w:rsidR="008D4E9A" w:rsidRPr="00746ACE">
        <w:t>competencias entre organismos que administran justicia</w:t>
      </w:r>
      <w:r w:rsidR="00882D89" w:rsidRPr="00746ACE">
        <w:rPr>
          <w:rStyle w:val="Refdenotaalpie"/>
        </w:rPr>
        <w:footnoteReference w:id="144"/>
      </w:r>
      <w:r w:rsidR="008D4E9A" w:rsidRPr="00746ACE">
        <w:t>.</w:t>
      </w:r>
    </w:p>
    <w:p w14:paraId="7EA2433B" w14:textId="77777777" w:rsidR="00F04AA5" w:rsidRPr="00746ACE" w:rsidRDefault="00F04AA5" w:rsidP="00CF1AD1">
      <w:pPr>
        <w:pStyle w:val="Prrafodelista"/>
        <w:widowControl w:val="0"/>
        <w:ind w:left="0"/>
      </w:pPr>
    </w:p>
    <w:p w14:paraId="18C4912A" w14:textId="3B85AA5D" w:rsidR="00F04AA5" w:rsidRPr="00746ACE" w:rsidRDefault="0043161D" w:rsidP="00FC0DFB">
      <w:pPr>
        <w:pStyle w:val="Prrafodelista"/>
        <w:widowControl w:val="0"/>
        <w:numPr>
          <w:ilvl w:val="0"/>
          <w:numId w:val="7"/>
        </w:numPr>
      </w:pPr>
      <w:r w:rsidRPr="00746ACE">
        <w:t>En este caso, la Corte encuentra que la disposición acusada desconoce el derecho al debido proceso en el marco del régimen de condicionalidad por</w:t>
      </w:r>
      <w:r w:rsidR="00390CC1" w:rsidRPr="00746ACE">
        <w:t>que vulnera la garantía del juez natural, desconoce el derecho a ser juzgado a través de las formas propias de cada procedimiento y afecta el derecho a ser juzgado sin dilaciones y a una justicia pronta y cumplida, todas estas garantías del debido proceso constitucional. A continuación, se desarrolla esta conclusión.</w:t>
      </w:r>
    </w:p>
    <w:p w14:paraId="2332BB1D" w14:textId="77777777" w:rsidR="00FE520D" w:rsidRPr="00746ACE" w:rsidRDefault="00FE520D" w:rsidP="00CF1AD1">
      <w:pPr>
        <w:widowControl w:val="0"/>
      </w:pPr>
    </w:p>
    <w:p w14:paraId="6C89ADDC" w14:textId="77777777" w:rsidR="00720FE7" w:rsidRPr="00746ACE" w:rsidRDefault="00720FE7" w:rsidP="00720FE7">
      <w:pPr>
        <w:pStyle w:val="Prrafodelista"/>
        <w:widowControl w:val="0"/>
        <w:numPr>
          <w:ilvl w:val="0"/>
          <w:numId w:val="7"/>
        </w:numPr>
      </w:pPr>
      <w:r w:rsidRPr="00746ACE">
        <w:t>El juez natural es aquel a quien la Constitución o la ley le asignó el conocimiento de ciertos asuntos para su decisión, con base en los principios de especialidad</w:t>
      </w:r>
      <w:r w:rsidRPr="00746ACE">
        <w:rPr>
          <w:vertAlign w:val="superscript"/>
        </w:rPr>
        <w:footnoteReference w:id="145"/>
      </w:r>
      <w:r w:rsidRPr="00746ACE">
        <w:t xml:space="preserve"> y predeterminación legal</w:t>
      </w:r>
      <w:r w:rsidRPr="00746ACE">
        <w:rPr>
          <w:vertAlign w:val="superscript"/>
        </w:rPr>
        <w:footnoteReference w:id="146"/>
      </w:r>
      <w:r w:rsidRPr="00746ACE">
        <w:t>. Como se expuso, de acuerdo con los artículos 67 y siguientes de la Ley 1922 de 2018, les corresponde a las Salas y Secciones de la JEP verificar el cumplimiento del régimen de condicionalidad al cual se encuentran sujetos los comparecientes. Además, el artículo 84 de la Ley 1957 de 2019 señala que le corresponde a la Sala de Definición de Situaciones Jurídicas resolver de forma definitiva la situación jurídica de las personas que no sean incluidas en la resolución de conclusiones y “determinar los posibles mecanismos procesales de selección y priorización para quienes no reconozcan verdad y responsabilidad”.</w:t>
      </w:r>
    </w:p>
    <w:p w14:paraId="146BCDF2" w14:textId="77777777" w:rsidR="00F04AA5" w:rsidRPr="00746ACE" w:rsidRDefault="00F04AA5" w:rsidP="00FC0DFB">
      <w:pPr>
        <w:pStyle w:val="Prrafodelista"/>
        <w:widowControl w:val="0"/>
      </w:pPr>
    </w:p>
    <w:p w14:paraId="06C87663" w14:textId="77777777" w:rsidR="00B224FF" w:rsidRPr="00746ACE" w:rsidRDefault="5255DF95" w:rsidP="00FC0DFB">
      <w:pPr>
        <w:pStyle w:val="Prrafodelista"/>
        <w:widowControl w:val="0"/>
        <w:numPr>
          <w:ilvl w:val="0"/>
          <w:numId w:val="7"/>
        </w:numPr>
      </w:pPr>
      <w:r w:rsidRPr="00746ACE">
        <w:t>Como se puede observar</w:t>
      </w:r>
      <w:r w:rsidR="00FB2366" w:rsidRPr="00746ACE">
        <w:t>,</w:t>
      </w:r>
      <w:r w:rsidRPr="00746ACE">
        <w:t xml:space="preserve"> las normas que regulan los procedimientos en la JEP establecieron que la competencia para resolver de forma definitiva la situación jurídica de los comparecientes no seleccionados por la Sala de Reconocimiento recae en la Sala de Definición de Situaciones </w:t>
      </w:r>
      <w:r w:rsidR="007B16E0" w:rsidRPr="00746ACE">
        <w:t>J</w:t>
      </w:r>
      <w:r w:rsidRPr="00746ACE">
        <w:t>urídicas que, además, est</w:t>
      </w:r>
      <w:r w:rsidR="00D52E66" w:rsidRPr="00746ACE">
        <w:t>á</w:t>
      </w:r>
      <w:r w:rsidRPr="00746ACE">
        <w:t xml:space="preserve"> encargada de verificar el cumplimiento de las obligaciones del sistema y establecer las consecuencias correspondientes para quienes no reconozcan verdad y responsabilidad. </w:t>
      </w:r>
    </w:p>
    <w:p w14:paraId="537273A7" w14:textId="77777777" w:rsidR="00B224FF" w:rsidRPr="00746ACE" w:rsidRDefault="00B224FF" w:rsidP="00CF1AD1">
      <w:pPr>
        <w:pStyle w:val="Prrafodelista"/>
        <w:widowControl w:val="0"/>
      </w:pPr>
    </w:p>
    <w:p w14:paraId="68CBB6A4" w14:textId="77777777" w:rsidR="008A78BF" w:rsidRPr="00746ACE" w:rsidRDefault="5255DF95" w:rsidP="00FC0DFB">
      <w:pPr>
        <w:pStyle w:val="Prrafodelista"/>
        <w:widowControl w:val="0"/>
        <w:numPr>
          <w:ilvl w:val="0"/>
          <w:numId w:val="7"/>
        </w:numPr>
      </w:pPr>
      <w:r w:rsidRPr="00746ACE">
        <w:t xml:space="preserve">En ese contexto, la remisión a la Unidad de Investigación y Acusación de los comparecientes que no aporten verdad para que se adelante un trámite adversarial implica que la autoridad judicial que conocerá del caso será la Sección de Ausencia de Reconocimiento de Verdad del Tribunal para la Paz. </w:t>
      </w:r>
    </w:p>
    <w:p w14:paraId="6A2A9DC6" w14:textId="77777777" w:rsidR="008A78BF" w:rsidRPr="00746ACE" w:rsidRDefault="008A78BF" w:rsidP="00CF1AD1">
      <w:pPr>
        <w:pStyle w:val="Prrafodelista"/>
        <w:widowControl w:val="0"/>
      </w:pPr>
    </w:p>
    <w:p w14:paraId="7FF399DB" w14:textId="0EEEDDA6" w:rsidR="00B224FF" w:rsidRPr="00746ACE" w:rsidRDefault="5255DF95" w:rsidP="00FC0DFB">
      <w:pPr>
        <w:pStyle w:val="Prrafodelista"/>
        <w:widowControl w:val="0"/>
        <w:numPr>
          <w:ilvl w:val="0"/>
          <w:numId w:val="7"/>
        </w:numPr>
      </w:pPr>
      <w:r w:rsidRPr="00746ACE">
        <w:t>Para</w:t>
      </w:r>
      <w:r w:rsidR="00AA2BEE" w:rsidRPr="00746ACE">
        <w:t xml:space="preserve"> la</w:t>
      </w:r>
      <w:r w:rsidRPr="00746ACE">
        <w:t xml:space="preserve"> Corte, esta determinación desconoce los principios de especialidad y predeterminación legal</w:t>
      </w:r>
      <w:r w:rsidR="008A78BF" w:rsidRPr="00746ACE">
        <w:t>, puesto</w:t>
      </w:r>
      <w:r w:rsidRPr="00746ACE">
        <w:t xml:space="preserve"> que el órgano judicial establecido por la ley para definir los tratamientos aplicables a los </w:t>
      </w:r>
      <w:r w:rsidR="00B71202" w:rsidRPr="00746ACE">
        <w:t>partícipes</w:t>
      </w:r>
      <w:r w:rsidRPr="00746ACE">
        <w:t xml:space="preserve"> no determinantes no seleccionados por la Sala de Reconocimiento es la Sala de Definición de Situaciones Jurídicas y no otra autoridad de la JEP. En ese sentido, remitir los casos a la </w:t>
      </w:r>
      <w:r w:rsidR="007F2F22" w:rsidRPr="00746ACE">
        <w:t>Unidad de Investigación y Acusación</w:t>
      </w:r>
      <w:r w:rsidR="007F2F22" w:rsidRPr="00746ACE" w:rsidDel="007F2F22">
        <w:t xml:space="preserve"> </w:t>
      </w:r>
      <w:r w:rsidRPr="00746ACE">
        <w:t>altera la competencia atribuida a la Sala de Definición de Situaciones Jurídicas, lo que resulta contrario a la garantía de juez natural.</w:t>
      </w:r>
      <w:r w:rsidR="0DB6A8BC" w:rsidRPr="00746ACE">
        <w:t xml:space="preserve"> De esta manera, la Sala de Definición de Situaciones Jurídicas dejaría de </w:t>
      </w:r>
      <w:r w:rsidR="1ACF6B3F" w:rsidRPr="00746ACE">
        <w:t xml:space="preserve">ser una ruta </w:t>
      </w:r>
      <w:r w:rsidR="0DB6A8BC" w:rsidRPr="00746ACE">
        <w:t xml:space="preserve">no sancionatoria </w:t>
      </w:r>
      <w:r w:rsidR="042AA352" w:rsidRPr="00746ACE">
        <w:t>para los comparecientes y se convertiría en una ruta adversarial.</w:t>
      </w:r>
    </w:p>
    <w:p w14:paraId="3F625A19" w14:textId="77777777" w:rsidR="3DFE9A7A" w:rsidRPr="00746ACE" w:rsidRDefault="3DFE9A7A" w:rsidP="00CF1AD1">
      <w:pPr>
        <w:pStyle w:val="Prrafodelista"/>
        <w:widowControl w:val="0"/>
        <w:ind w:left="0"/>
      </w:pPr>
    </w:p>
    <w:p w14:paraId="3B274E5E" w14:textId="2892DFF5" w:rsidR="000A6E76" w:rsidRPr="00746ACE" w:rsidRDefault="004B2B94" w:rsidP="00CF1AD1">
      <w:pPr>
        <w:pStyle w:val="Prrafodelista"/>
        <w:widowControl w:val="0"/>
        <w:numPr>
          <w:ilvl w:val="0"/>
          <w:numId w:val="7"/>
        </w:numPr>
      </w:pPr>
      <w:r w:rsidRPr="00746ACE">
        <w:t>Por otra parte,</w:t>
      </w:r>
      <w:r w:rsidR="5255DF95" w:rsidRPr="00746ACE">
        <w:t xml:space="preserve"> la garantía </w:t>
      </w:r>
      <w:r w:rsidR="00D3333F" w:rsidRPr="00746ACE">
        <w:t xml:space="preserve">de </w:t>
      </w:r>
      <w:r w:rsidR="5255DF95" w:rsidRPr="00746ACE">
        <w:t>ser juzgado con la plenitud de las formas propias de cada juicio</w:t>
      </w:r>
      <w:r w:rsidR="00A06CE6" w:rsidRPr="00746ACE">
        <w:t xml:space="preserve"> </w:t>
      </w:r>
      <w:r w:rsidR="5255DF95" w:rsidRPr="00746ACE">
        <w:t xml:space="preserve">implica el establecimiento de unas reglas mínimas procesas señaladas por la ley sobre la naturaleza de los procedimientos y el trámite que debe surtirse ante </w:t>
      </w:r>
      <w:r w:rsidR="00152C73" w:rsidRPr="00746ACE">
        <w:t xml:space="preserve">las </w:t>
      </w:r>
      <w:r w:rsidR="5255DF95" w:rsidRPr="00746ACE">
        <w:t xml:space="preserve">distintas instancias judiciales o administrativas. </w:t>
      </w:r>
    </w:p>
    <w:p w14:paraId="6DF64B74" w14:textId="77777777" w:rsidR="000A6E76" w:rsidRPr="00746ACE" w:rsidRDefault="000A6E76" w:rsidP="00CF1AD1">
      <w:pPr>
        <w:pStyle w:val="Prrafodelista"/>
        <w:widowControl w:val="0"/>
      </w:pPr>
    </w:p>
    <w:p w14:paraId="1CB9A325" w14:textId="77777777" w:rsidR="00B224FF" w:rsidRPr="00746ACE" w:rsidRDefault="5255DF95" w:rsidP="00CF1AD1">
      <w:pPr>
        <w:pStyle w:val="Prrafodelista"/>
        <w:widowControl w:val="0"/>
        <w:numPr>
          <w:ilvl w:val="0"/>
          <w:numId w:val="7"/>
        </w:numPr>
      </w:pPr>
      <w:r w:rsidRPr="00746ACE">
        <w:t xml:space="preserve">La posibilidad de que la Sala de Definición de Situaciones Jurídicas remita a la Unidad de Investigación y Acusación a los comparecientes no seleccionados por la Sala de Reconocimiento </w:t>
      </w:r>
      <w:r w:rsidR="00152C73" w:rsidRPr="00746ACE">
        <w:t xml:space="preserve">de Verdad y Responsabilidad </w:t>
      </w:r>
      <w:r w:rsidRPr="00746ACE">
        <w:t>que incumplan con la obligación de aportar verdad plena</w:t>
      </w:r>
      <w:r w:rsidR="00152C73" w:rsidRPr="00746ACE">
        <w:t>,</w:t>
      </w:r>
      <w:r w:rsidRPr="00746ACE">
        <w:t xml:space="preserve"> introduce una nueva regla relacionada con las consecuencias del incumplimiento al régimen de condicionalidad.</w:t>
      </w:r>
      <w:r w:rsidR="22FA1705" w:rsidRPr="00746ACE">
        <w:t xml:space="preserve"> </w:t>
      </w:r>
      <w:r w:rsidRPr="00746ACE">
        <w:t>Las normas referidas y las sentencias de la</w:t>
      </w:r>
      <w:r w:rsidR="55A3CAD9" w:rsidRPr="00746ACE">
        <w:t xml:space="preserve"> Corte</w:t>
      </w:r>
      <w:r w:rsidR="000A6E76" w:rsidRPr="00746ACE">
        <w:t xml:space="preserve"> reiteradas en esta providencia</w:t>
      </w:r>
      <w:r w:rsidRPr="00746ACE">
        <w:rPr>
          <w:vertAlign w:val="superscript"/>
        </w:rPr>
        <w:footnoteReference w:id="147"/>
      </w:r>
      <w:r w:rsidRPr="00746ACE">
        <w:t xml:space="preserve"> señalan que los incumplimientos al régimen de condicionalidad</w:t>
      </w:r>
      <w:r w:rsidR="21F957BC" w:rsidRPr="00746ACE">
        <w:t xml:space="preserve"> tienen diversas consecuencias que van </w:t>
      </w:r>
      <w:r w:rsidR="72B8A675" w:rsidRPr="00746ACE">
        <w:t xml:space="preserve">desde la pérdida de tratamientos especiales hasta la </w:t>
      </w:r>
      <w:r w:rsidR="7D7D4B78" w:rsidRPr="00746ACE">
        <w:t>expulsión del sistema.</w:t>
      </w:r>
    </w:p>
    <w:p w14:paraId="18B47B9D" w14:textId="77777777" w:rsidR="00B224FF" w:rsidRPr="00746ACE" w:rsidRDefault="00B224FF" w:rsidP="00FC0DFB">
      <w:pPr>
        <w:pStyle w:val="Prrafodelista"/>
        <w:widowControl w:val="0"/>
      </w:pPr>
    </w:p>
    <w:p w14:paraId="5EF70036" w14:textId="77777777" w:rsidR="00B224FF" w:rsidRPr="00746ACE" w:rsidRDefault="5255DF95" w:rsidP="00FC0DFB">
      <w:pPr>
        <w:pStyle w:val="Prrafodelista"/>
        <w:widowControl w:val="0"/>
        <w:numPr>
          <w:ilvl w:val="0"/>
          <w:numId w:val="7"/>
        </w:numPr>
      </w:pPr>
      <w:r w:rsidRPr="00746ACE">
        <w:t>Específicamente</w:t>
      </w:r>
      <w:r w:rsidR="001951EC" w:rsidRPr="00746ACE">
        <w:t>,</w:t>
      </w:r>
      <w:r w:rsidRPr="00746ACE">
        <w:t xml:space="preserve"> el artículo 68 de la Ley 1922 de 2018 dispuso que “[e]l incumplimiento por parte de las personas sometidas […] tendrá como efecto […] la pérdida de tratamientos especiales, beneficios, renuncias, derechos y garantías, según el caso. Dicho cumplimiento será verificado, caso por caso y de manera rigurosa por la Jurisdicción Especial para la Paz, con base en criterios de proporcionalidad y razonabilidad”. </w:t>
      </w:r>
    </w:p>
    <w:p w14:paraId="44D01113" w14:textId="77777777" w:rsidR="00B224FF" w:rsidRPr="00746ACE" w:rsidRDefault="00B224FF" w:rsidP="00FC0DFB">
      <w:pPr>
        <w:pStyle w:val="Prrafodelista"/>
        <w:widowControl w:val="0"/>
      </w:pPr>
    </w:p>
    <w:p w14:paraId="7D2BF099" w14:textId="77777777" w:rsidR="00B224FF" w:rsidRPr="00746ACE" w:rsidRDefault="5255DF95" w:rsidP="00FC0DFB">
      <w:pPr>
        <w:pStyle w:val="Prrafodelista"/>
        <w:widowControl w:val="0"/>
        <w:numPr>
          <w:ilvl w:val="0"/>
          <w:numId w:val="7"/>
        </w:numPr>
      </w:pPr>
      <w:r w:rsidRPr="00746ACE">
        <w:t xml:space="preserve">Sin embargo, entre las posibles consecuencias del incumplimiento del deber de aportar verdad, el legislador no contempló la posibilidad de remitir los casos a la Unidad de Investigación y Acusación en el marco del seguimiento del régimen de condicionalidad por parte de la </w:t>
      </w:r>
      <w:r w:rsidR="00AF0424" w:rsidRPr="00746ACE">
        <w:t>s</w:t>
      </w:r>
      <w:r w:rsidRPr="00746ACE">
        <w:t xml:space="preserve">alas y </w:t>
      </w:r>
      <w:r w:rsidR="00AF0424" w:rsidRPr="00746ACE">
        <w:t>s</w:t>
      </w:r>
      <w:r w:rsidRPr="00746ACE">
        <w:t xml:space="preserve">ecciones de la JEP. En ese sentido, </w:t>
      </w:r>
      <w:r w:rsidR="00070500" w:rsidRPr="00746ACE">
        <w:t xml:space="preserve">la Senit 5 </w:t>
      </w:r>
      <w:r w:rsidRPr="00746ACE">
        <w:t xml:space="preserve">desconoce el debido proceso porque establece una nuevas condiciones o consecuencias distintas a aquellas establecidas en la ley, ante los eventuales incumplimientos de las obligaciones del sistema por parte de los </w:t>
      </w:r>
      <w:r w:rsidR="00070500" w:rsidRPr="00746ACE">
        <w:t>partícipes</w:t>
      </w:r>
      <w:r w:rsidRPr="00746ACE">
        <w:t xml:space="preserve"> no determinantes que no aporten verdad plena.</w:t>
      </w:r>
    </w:p>
    <w:p w14:paraId="19BA109A" w14:textId="77777777" w:rsidR="00B224FF" w:rsidRPr="00746ACE" w:rsidRDefault="00B224FF" w:rsidP="00FC0DFB">
      <w:pPr>
        <w:pStyle w:val="Prrafodelista"/>
        <w:widowControl w:val="0"/>
      </w:pPr>
    </w:p>
    <w:p w14:paraId="121B9088" w14:textId="6632E6F2" w:rsidR="00462C44" w:rsidRPr="00746ACE" w:rsidRDefault="004B2B94" w:rsidP="00FC0DFB">
      <w:pPr>
        <w:pStyle w:val="Prrafodelista"/>
        <w:widowControl w:val="0"/>
        <w:numPr>
          <w:ilvl w:val="0"/>
          <w:numId w:val="7"/>
        </w:numPr>
      </w:pPr>
      <w:r w:rsidRPr="00746ACE">
        <w:t>Para terminar</w:t>
      </w:r>
      <w:r w:rsidR="241772A6" w:rsidRPr="00746ACE">
        <w:t>, los párrafos 137 y 143 de la Senit 5 desconocen el derecho al debido proceso sin dilaciones injustificadas porque imponen un nuevo procedimiento a los comparecientes con “responsabilidad</w:t>
      </w:r>
      <w:r w:rsidR="005B7A92" w:rsidRPr="00746ACE">
        <w:t xml:space="preserve"> del punto </w:t>
      </w:r>
      <w:r w:rsidR="241772A6" w:rsidRPr="00746ACE">
        <w:t>medi</w:t>
      </w:r>
      <w:r w:rsidR="005B7A92" w:rsidRPr="00746ACE">
        <w:t>o</w:t>
      </w:r>
      <w:r w:rsidR="241772A6" w:rsidRPr="00746ACE">
        <w:t>” después de que se agotaron las rutas procesales establecidas en las normas</w:t>
      </w:r>
      <w:r w:rsidR="00FD7B40" w:rsidRPr="00746ACE">
        <w:t xml:space="preserve"> de la Ley Estatutaria de </w:t>
      </w:r>
      <w:r w:rsidR="00462C44" w:rsidRPr="00746ACE">
        <w:t>A</w:t>
      </w:r>
      <w:r w:rsidR="00FD7B40" w:rsidRPr="00746ACE">
        <w:t>dministración de Justicia en la JEP</w:t>
      </w:r>
      <w:r w:rsidR="241772A6" w:rsidRPr="00746ACE">
        <w:t xml:space="preserve">. </w:t>
      </w:r>
    </w:p>
    <w:p w14:paraId="468467CE" w14:textId="77777777" w:rsidR="00462C44" w:rsidRPr="00746ACE" w:rsidRDefault="00462C44" w:rsidP="00CF1AD1">
      <w:pPr>
        <w:pStyle w:val="Prrafodelista"/>
        <w:widowControl w:val="0"/>
      </w:pPr>
    </w:p>
    <w:p w14:paraId="6D9ABE0D" w14:textId="2060AE4C" w:rsidR="00B224FF" w:rsidRPr="00746ACE" w:rsidRDefault="007F2F22" w:rsidP="00F0346A">
      <w:pPr>
        <w:pStyle w:val="Prrafodelista"/>
        <w:widowControl w:val="0"/>
        <w:numPr>
          <w:ilvl w:val="0"/>
          <w:numId w:val="7"/>
        </w:numPr>
      </w:pPr>
      <w:r w:rsidRPr="00746ACE">
        <w:t>En efecto, l</w:t>
      </w:r>
      <w:r w:rsidR="241772A6" w:rsidRPr="00746ACE">
        <w:t xml:space="preserve">a administración de justicia debe caracterizarse por su actuación </w:t>
      </w:r>
      <w:r w:rsidR="008A3650" w:rsidRPr="00746ACE">
        <w:t>célere</w:t>
      </w:r>
      <w:r w:rsidR="241772A6" w:rsidRPr="00746ACE">
        <w:t>, que maximi</w:t>
      </w:r>
      <w:r w:rsidR="00701444" w:rsidRPr="00746ACE">
        <w:t xml:space="preserve">ce </w:t>
      </w:r>
      <w:r w:rsidR="241772A6" w:rsidRPr="00746ACE">
        <w:t>la toma de decisiones motivadas en un término razonable y sin dilaciones injustificadas</w:t>
      </w:r>
      <w:r w:rsidR="5255DF95" w:rsidRPr="00746ACE">
        <w:rPr>
          <w:vertAlign w:val="superscript"/>
        </w:rPr>
        <w:footnoteReference w:id="148"/>
      </w:r>
      <w:r w:rsidR="241772A6" w:rsidRPr="00746ACE">
        <w:t>.</w:t>
      </w:r>
    </w:p>
    <w:p w14:paraId="2739B867" w14:textId="77777777" w:rsidR="00F0346A" w:rsidRPr="00746ACE" w:rsidRDefault="00F0346A" w:rsidP="00F0346A">
      <w:pPr>
        <w:pStyle w:val="Prrafodelista"/>
        <w:widowControl w:val="0"/>
        <w:ind w:left="0"/>
      </w:pPr>
    </w:p>
    <w:p w14:paraId="6479FBEC" w14:textId="7B3E5B91" w:rsidR="0004793E" w:rsidRPr="00746ACE" w:rsidRDefault="00F0346A" w:rsidP="00FC0DFB">
      <w:pPr>
        <w:pStyle w:val="Prrafodelista"/>
        <w:widowControl w:val="0"/>
        <w:numPr>
          <w:ilvl w:val="0"/>
          <w:numId w:val="7"/>
        </w:numPr>
      </w:pPr>
      <w:r w:rsidRPr="00746ACE">
        <w:t>Infortunadamente</w:t>
      </w:r>
      <w:r w:rsidR="007F2F22" w:rsidRPr="00746ACE">
        <w:t xml:space="preserve">, en </w:t>
      </w:r>
      <w:r w:rsidR="5255DF95" w:rsidRPr="00746ACE">
        <w:t xml:space="preserve">este caso, la remisión de los comparecientes </w:t>
      </w:r>
      <w:r w:rsidR="00411F4B" w:rsidRPr="00746ACE">
        <w:t xml:space="preserve">ubicados en el “punto medio” de </w:t>
      </w:r>
      <w:r w:rsidR="5255DF95" w:rsidRPr="00746ACE">
        <w:t xml:space="preserve">responsabilidad que no reconozcan responsabilidad y que no fueron seleccionados por la Sala de Reconocimiento se daría después de los autos de determinación de hechos y conductas y con posterioridad a la evaluación del régimen de condicionalidad realizada por la Sala de Definición de Situaciones Jurídicas. </w:t>
      </w:r>
      <w:r w:rsidR="0004793E" w:rsidRPr="00746ACE">
        <w:t xml:space="preserve">Es importante recordar que </w:t>
      </w:r>
      <w:r w:rsidR="0037472E" w:rsidRPr="00746ACE">
        <w:t xml:space="preserve">el auto de determinación de hechos y conductas es dictado por la Sala de Reconocimiento de Verdad y Responsabilidad cuando cuenta con información suficiente para entender que ha identificado a los máximos responsables de un crimen, lo que supone haber transitado un camino procesal que se extiende por años. </w:t>
      </w:r>
    </w:p>
    <w:p w14:paraId="36C268AC" w14:textId="77777777" w:rsidR="0004793E" w:rsidRPr="00746ACE" w:rsidRDefault="0004793E" w:rsidP="00CF1AD1">
      <w:pPr>
        <w:pStyle w:val="Prrafodelista"/>
        <w:widowControl w:val="0"/>
      </w:pPr>
    </w:p>
    <w:p w14:paraId="139DDA27" w14:textId="155D1E4B" w:rsidR="006754D7" w:rsidRPr="00746ACE" w:rsidRDefault="5255DF95" w:rsidP="00FC0DFB">
      <w:pPr>
        <w:pStyle w:val="Prrafodelista"/>
        <w:widowControl w:val="0"/>
        <w:numPr>
          <w:ilvl w:val="0"/>
          <w:numId w:val="7"/>
        </w:numPr>
      </w:pPr>
      <w:r w:rsidRPr="00746ACE">
        <w:t>Así, remitir a la Unidad de Investigación y Acusación este tipo de casos constituye una dilación injustificada del proceso, pues</w:t>
      </w:r>
      <w:r w:rsidR="00701444" w:rsidRPr="00746ACE">
        <w:t xml:space="preserve"> </w:t>
      </w:r>
      <w:r w:rsidRPr="00746ACE">
        <w:t>en etapas previas ya se había establecido cuál era la ruta procesal que debían seguir estos comparecientes.</w:t>
      </w:r>
      <w:r w:rsidR="00701444" w:rsidRPr="00746ACE">
        <w:t xml:space="preserve"> E</w:t>
      </w:r>
      <w:r w:rsidR="006754D7" w:rsidRPr="00746ACE">
        <w:t>sta</w:t>
      </w:r>
      <w:r w:rsidRPr="00746ACE">
        <w:t xml:space="preserve"> remisión se </w:t>
      </w:r>
      <w:r w:rsidR="006754D7" w:rsidRPr="00746ACE">
        <w:t>daría</w:t>
      </w:r>
      <w:r w:rsidRPr="00746ACE">
        <w:t xml:space="preserve"> en etapas avanzadas y dilataría de forma injustificada la resolución definitiva la situación jurídica de los comparecientes</w:t>
      </w:r>
      <w:r w:rsidR="006036C9" w:rsidRPr="00746ACE">
        <w:t>,</w:t>
      </w:r>
      <w:r w:rsidRPr="00746ACE">
        <w:t xml:space="preserve"> pues se iniciaría un nuevo proceso </w:t>
      </w:r>
      <w:r w:rsidR="006036C9" w:rsidRPr="00746ACE">
        <w:t>dentro</w:t>
      </w:r>
      <w:r w:rsidRPr="00746ACE" w:rsidDel="006036C9">
        <w:t xml:space="preserve"> de </w:t>
      </w:r>
      <w:r w:rsidRPr="00746ACE">
        <w:t>la jurisdicción</w:t>
      </w:r>
      <w:r w:rsidR="006036C9" w:rsidRPr="00746ACE">
        <w:t xml:space="preserve"> especial para la paz</w:t>
      </w:r>
      <w:r w:rsidRPr="00746ACE">
        <w:t xml:space="preserve">, después de que una de las salas ya los calificó como “partícipes no determinantes” y la otra sala estableció que sus aportes a la vedad eran insuficientes. </w:t>
      </w:r>
    </w:p>
    <w:p w14:paraId="29C6C00B" w14:textId="77777777" w:rsidR="006754D7" w:rsidRPr="00746ACE" w:rsidRDefault="006754D7" w:rsidP="00CF1AD1">
      <w:pPr>
        <w:pStyle w:val="Prrafodelista"/>
        <w:widowControl w:val="0"/>
      </w:pPr>
    </w:p>
    <w:p w14:paraId="48C23079" w14:textId="305FDE24" w:rsidR="00B224FF" w:rsidRPr="00746ACE" w:rsidRDefault="006036C9" w:rsidP="00FC0DFB">
      <w:pPr>
        <w:pStyle w:val="Prrafodelista"/>
        <w:widowControl w:val="0"/>
        <w:numPr>
          <w:ilvl w:val="0"/>
          <w:numId w:val="7"/>
        </w:numPr>
      </w:pPr>
      <w:r w:rsidRPr="00746ACE">
        <w:t xml:space="preserve">Esta situación es </w:t>
      </w:r>
      <w:r w:rsidR="5255DF95" w:rsidRPr="00746ACE">
        <w:t>contrari</w:t>
      </w:r>
      <w:r w:rsidRPr="00746ACE">
        <w:t>a</w:t>
      </w:r>
      <w:r w:rsidR="5255DF95" w:rsidRPr="00746ACE" w:rsidDel="006036C9">
        <w:t xml:space="preserve"> </w:t>
      </w:r>
      <w:r w:rsidR="5255DF95" w:rsidRPr="00746ACE">
        <w:t>al principio de celeridad</w:t>
      </w:r>
      <w:r w:rsidR="00E916C5" w:rsidRPr="00746ACE">
        <w:rPr>
          <w:i/>
        </w:rPr>
        <w:t xml:space="preserve"> </w:t>
      </w:r>
      <w:r w:rsidR="00E916C5" w:rsidRPr="00746ACE">
        <w:t>y, por lo tanto, al acceso a una justicia pronta y cumplida.</w:t>
      </w:r>
      <w:r w:rsidR="47D80EF4" w:rsidRPr="00746ACE">
        <w:t xml:space="preserve"> </w:t>
      </w:r>
      <w:r w:rsidR="0063272E" w:rsidRPr="00746ACE">
        <w:t>La</w:t>
      </w:r>
      <w:r w:rsidR="47D80EF4" w:rsidRPr="00746ACE">
        <w:t xml:space="preserve"> multiplic</w:t>
      </w:r>
      <w:r w:rsidR="004271D7" w:rsidRPr="00746ACE">
        <w:t>id</w:t>
      </w:r>
      <w:r w:rsidR="47D80EF4" w:rsidRPr="00746ACE">
        <w:t>ad de rutas</w:t>
      </w:r>
      <w:r w:rsidR="004271D7" w:rsidRPr="00746ACE">
        <w:t>,</w:t>
      </w:r>
      <w:r w:rsidR="47D80EF4" w:rsidRPr="00746ACE">
        <w:t xml:space="preserve"> </w:t>
      </w:r>
      <w:r w:rsidR="0063272E" w:rsidRPr="00746ACE">
        <w:t>incluida aquella denominada selección de segundo orden</w:t>
      </w:r>
      <w:r w:rsidR="004271D7" w:rsidRPr="00746ACE">
        <w:t>,</w:t>
      </w:r>
      <w:r w:rsidR="4807A3F7" w:rsidRPr="00746ACE">
        <w:t xml:space="preserve"> </w:t>
      </w:r>
      <w:r w:rsidR="7B379F6E" w:rsidRPr="00746ACE">
        <w:t xml:space="preserve">dilataría </w:t>
      </w:r>
      <w:r w:rsidR="0063272E" w:rsidRPr="00746ACE">
        <w:t xml:space="preserve">en exceso los procesos de la JEP </w:t>
      </w:r>
      <w:r w:rsidR="0043161D" w:rsidRPr="00746ACE">
        <w:t>porque implica el inicio de un nuevo trámite ante la Jurisdicción Especial para la Paz.</w:t>
      </w:r>
    </w:p>
    <w:p w14:paraId="5CCA80ED" w14:textId="77777777" w:rsidR="00B224FF" w:rsidRPr="00746ACE" w:rsidRDefault="00B224FF" w:rsidP="00FC0DFB">
      <w:pPr>
        <w:pStyle w:val="Prrafodelista"/>
        <w:widowControl w:val="0"/>
      </w:pPr>
    </w:p>
    <w:p w14:paraId="5FC0DE4F" w14:textId="77777777" w:rsidR="00B224FF" w:rsidRPr="00746ACE" w:rsidRDefault="5255DF95" w:rsidP="00FC0DFB">
      <w:pPr>
        <w:pStyle w:val="Prrafodelista"/>
        <w:widowControl w:val="0"/>
        <w:numPr>
          <w:ilvl w:val="0"/>
          <w:numId w:val="7"/>
        </w:numPr>
      </w:pPr>
      <w:r w:rsidRPr="00746ACE">
        <w:t xml:space="preserve">Por las razones expuestas, la Corte </w:t>
      </w:r>
      <w:r w:rsidR="004271D7" w:rsidRPr="00746ACE">
        <w:t xml:space="preserve">Constitucional </w:t>
      </w:r>
      <w:r w:rsidRPr="00746ACE">
        <w:t>declarará la inexequibilidad de los párrafos los párrafos 137 y 143 de la Senit 5 por desconocer el derecho al debido proceso en el marco del seguimiento al cumplimiento del régimen de condicionalidad.</w:t>
      </w:r>
    </w:p>
    <w:p w14:paraId="780A62D9" w14:textId="77777777" w:rsidR="00B224FF" w:rsidRPr="00746ACE" w:rsidRDefault="00B224FF" w:rsidP="00FC0DFB">
      <w:pPr>
        <w:pStyle w:val="Prrafodelista"/>
        <w:widowControl w:val="0"/>
        <w:ind w:left="0"/>
      </w:pPr>
    </w:p>
    <w:p w14:paraId="6693D8E6" w14:textId="3629800B" w:rsidR="00B224FF" w:rsidRPr="00746ACE" w:rsidRDefault="00D254D8" w:rsidP="00672AC0">
      <w:pPr>
        <w:pStyle w:val="Ttulo2"/>
        <w:rPr>
          <w:rFonts w:cs="Times New Roman"/>
        </w:rPr>
      </w:pPr>
      <w:bookmarkStart w:id="63" w:name="_Toc233384213"/>
      <w:r w:rsidRPr="00746ACE">
        <w:rPr>
          <w:rFonts w:cs="Times New Roman"/>
        </w:rPr>
        <w:t xml:space="preserve">Quinto cargo. </w:t>
      </w:r>
      <w:r w:rsidR="00B224FF" w:rsidRPr="00746ACE">
        <w:rPr>
          <w:rFonts w:cs="Times New Roman"/>
        </w:rPr>
        <w:t xml:space="preserve">Violación del derecho al debido proceso y de los principios de igualdad </w:t>
      </w:r>
      <w:r w:rsidR="005A4AB1" w:rsidRPr="00746ACE">
        <w:rPr>
          <w:rFonts w:cs="Times New Roman"/>
        </w:rPr>
        <w:t xml:space="preserve">y proporcionalidad de las sanciones </w:t>
      </w:r>
      <w:r w:rsidR="00B224FF" w:rsidRPr="00746ACE">
        <w:rPr>
          <w:rFonts w:cs="Times New Roman"/>
        </w:rPr>
        <w:t>en cuanto a la exigencia de reconocimiento de verdad y responsabilidad a quienes no son máximos responsables, bajo la potencial consecuencia de ser remitidos a un trámite adversarial para determinar su responsabilidad</w:t>
      </w:r>
      <w:bookmarkEnd w:id="63"/>
      <w:r w:rsidR="00B224FF" w:rsidRPr="00746ACE">
        <w:rPr>
          <w:rFonts w:cs="Times New Roman"/>
        </w:rPr>
        <w:t xml:space="preserve"> </w:t>
      </w:r>
    </w:p>
    <w:p w14:paraId="50F4E125" w14:textId="77777777" w:rsidR="00B224FF" w:rsidRPr="00746ACE" w:rsidRDefault="00B224FF" w:rsidP="00FC0DFB">
      <w:pPr>
        <w:widowControl w:val="0"/>
      </w:pPr>
    </w:p>
    <w:p w14:paraId="56687860" w14:textId="2C4A376B" w:rsidR="00C2116A" w:rsidRPr="00746ACE" w:rsidRDefault="00C2116A" w:rsidP="00672AC0">
      <w:pPr>
        <w:pStyle w:val="Ttulo3"/>
        <w:keepNext w:val="0"/>
        <w:keepLines w:val="0"/>
        <w:widowControl w:val="0"/>
        <w:jc w:val="both"/>
        <w:rPr>
          <w:rFonts w:cs="Times New Roman"/>
          <w:color w:val="auto"/>
          <w:sz w:val="28"/>
          <w:szCs w:val="28"/>
          <w:lang w:val="es-ES"/>
        </w:rPr>
      </w:pPr>
      <w:bookmarkStart w:id="64" w:name="_Toc233384214"/>
      <w:r w:rsidRPr="00746ACE">
        <w:rPr>
          <w:rFonts w:cs="Times New Roman"/>
          <w:color w:val="auto"/>
          <w:sz w:val="28"/>
          <w:szCs w:val="28"/>
          <w:lang w:val="es-ES"/>
        </w:rPr>
        <w:t>Síntesis de la discusión (demanda, posición de la JEP e intervenciones)</w:t>
      </w:r>
      <w:bookmarkEnd w:id="64"/>
    </w:p>
    <w:p w14:paraId="1045FB96" w14:textId="77777777" w:rsidR="00B224FF" w:rsidRPr="00746ACE" w:rsidRDefault="00B224FF" w:rsidP="00CF1AD1">
      <w:pPr>
        <w:widowControl w:val="0"/>
        <w:rPr>
          <w:rFonts w:eastAsiaTheme="minorEastAsia"/>
          <w:kern w:val="2"/>
        </w:rPr>
      </w:pPr>
    </w:p>
    <w:p w14:paraId="40F0C1DB" w14:textId="1E74B305" w:rsidR="008B3904" w:rsidRPr="00746ACE" w:rsidRDefault="4762CD14" w:rsidP="00FC0DFB">
      <w:pPr>
        <w:pStyle w:val="Prrafodelista"/>
        <w:widowControl w:val="0"/>
        <w:numPr>
          <w:ilvl w:val="0"/>
          <w:numId w:val="7"/>
        </w:numPr>
      </w:pPr>
      <w:r w:rsidRPr="00746ACE">
        <w:rPr>
          <w:rFonts w:eastAsiaTheme="minorEastAsia"/>
          <w:kern w:val="2"/>
        </w:rPr>
        <w:t>Para los ciudadanos de la Calle Lombana y Jaramillo Caro, la interpretación fijada por la Sección de Apelación en la S</w:t>
      </w:r>
      <w:r w:rsidR="00DA5AF0" w:rsidRPr="00746ACE">
        <w:rPr>
          <w:rFonts w:eastAsiaTheme="minorEastAsia"/>
          <w:kern w:val="2"/>
        </w:rPr>
        <w:t xml:space="preserve">enit </w:t>
      </w:r>
      <w:r w:rsidRPr="00746ACE">
        <w:rPr>
          <w:rFonts w:eastAsiaTheme="minorEastAsia"/>
          <w:kern w:val="2"/>
        </w:rPr>
        <w:t>5 de 2023, en particular</w:t>
      </w:r>
      <w:r w:rsidR="00DA5AF0" w:rsidRPr="00746ACE">
        <w:rPr>
          <w:rFonts w:eastAsiaTheme="minorEastAsia"/>
          <w:kern w:val="2"/>
        </w:rPr>
        <w:t>,</w:t>
      </w:r>
      <w:r w:rsidRPr="00746ACE">
        <w:rPr>
          <w:rFonts w:eastAsiaTheme="minorEastAsia"/>
          <w:kern w:val="2"/>
        </w:rPr>
        <w:t xml:space="preserve"> en los fundamentos jurídicos 126 a 128 y 131, desconoce el </w:t>
      </w:r>
      <w:r w:rsidR="007F2F22" w:rsidRPr="00746ACE">
        <w:rPr>
          <w:rFonts w:eastAsiaTheme="minorEastAsia"/>
          <w:kern w:val="2"/>
        </w:rPr>
        <w:t xml:space="preserve">derecho al </w:t>
      </w:r>
      <w:r w:rsidRPr="00746ACE">
        <w:rPr>
          <w:rFonts w:eastAsiaTheme="minorEastAsia"/>
          <w:kern w:val="2"/>
        </w:rPr>
        <w:t>debido proceso y los principios de igualdad y proporcionalidad de la sanción. En dichos apartes, la Sección de Apelación sostuvo que, conforme a los artículos 129 y 84 literal h) de la Ley Estatutaria de la JEP, la Sala de Definición de Situaciones Jurídicas debe definir la situación jurídica de los partícipes no determinantes que hayan intervenido en los casos más graves y representativos mediante mecanismos no sancionatorios, siempre que aporten verdad plena, lo que incluye aceptar responsabilidad (Fj. 126)</w:t>
      </w:r>
      <w:r w:rsidR="008B3904" w:rsidRPr="00746ACE">
        <w:rPr>
          <w:rFonts w:eastAsiaTheme="minorEastAsia"/>
          <w:kern w:val="2"/>
        </w:rPr>
        <w:t>.</w:t>
      </w:r>
    </w:p>
    <w:p w14:paraId="265D17D1" w14:textId="77777777" w:rsidR="008557A9" w:rsidRPr="00746ACE" w:rsidRDefault="008557A9" w:rsidP="00FC0DFB">
      <w:pPr>
        <w:pStyle w:val="Prrafodelista"/>
        <w:widowControl w:val="0"/>
        <w:ind w:left="0"/>
      </w:pPr>
    </w:p>
    <w:p w14:paraId="7E934903" w14:textId="6ADA1BE0" w:rsidR="008B3904" w:rsidRPr="00746ACE" w:rsidRDefault="4762CD14" w:rsidP="00FC0DFB">
      <w:pPr>
        <w:pStyle w:val="Prrafodelista"/>
        <w:widowControl w:val="0"/>
        <w:numPr>
          <w:ilvl w:val="0"/>
          <w:numId w:val="7"/>
        </w:numPr>
      </w:pPr>
      <w:r w:rsidRPr="00746ACE">
        <w:rPr>
          <w:rFonts w:eastAsiaTheme="minorEastAsia"/>
          <w:kern w:val="2"/>
        </w:rPr>
        <w:t xml:space="preserve">Asimismo, con fundamento en el literal c) del artículo 84, la Sección de Apelación afirmó en la Senit 5 que la Sala de Definición puede ejercer una selección de segundo orden respecto de partícipes no determinantes no seleccionados por la Sala de Reconocimiento de Verdad y Responsabilidad, y remitirlos a la Unidad de Investigación y Acusación por no revelar verdad plena ni reconocer responsabilidad (Fj. 127). Como consecuencia, estos comparecientes solo pueden acceder a sanciones alternativas u ordinarias —según reconozcan responsabilidad antes de la sentencia o sean vencidos en juicio— y, en ningún caso, a sanciones propias, dado que el artículo 126 de la Ley Estatutaria reserva estas últimas exclusivamente para quienes reconocen verdad y responsabilidad ante la Sala de Reconocimiento (Fj. 131). </w:t>
      </w:r>
    </w:p>
    <w:p w14:paraId="05ACCEF1" w14:textId="77777777" w:rsidR="008B3904" w:rsidRPr="00746ACE" w:rsidRDefault="008B3904" w:rsidP="00FC0DFB">
      <w:pPr>
        <w:pStyle w:val="Prrafodelista"/>
        <w:widowControl w:val="0"/>
        <w:ind w:left="0"/>
      </w:pPr>
    </w:p>
    <w:p w14:paraId="3686410D" w14:textId="77777777" w:rsidR="00720FE7" w:rsidRPr="00746ACE" w:rsidRDefault="00720FE7" w:rsidP="00720FE7">
      <w:pPr>
        <w:pStyle w:val="Prrafodelista"/>
        <w:widowControl w:val="0"/>
        <w:numPr>
          <w:ilvl w:val="0"/>
          <w:numId w:val="7"/>
        </w:numPr>
      </w:pPr>
      <w:r w:rsidRPr="00746ACE">
        <w:rPr>
          <w:rFonts w:eastAsiaTheme="minorEastAsia"/>
          <w:kern w:val="2"/>
        </w:rPr>
        <w:t>Según los demandantes, este diseño vulnera el derecho al debido proceso de los comparecientes no seleccionados, puesto que les impide acceder a la sanción propia al reconocer responsabilidad ante la Sala de Reconocimiento de Verdad y Responsabilidad (SRVR), en tanto no tuvieron la oportunidad para ello</w:t>
      </w:r>
      <w:r w:rsidRPr="00746ACE">
        <w:rPr>
          <w:vertAlign w:val="superscript"/>
        </w:rPr>
        <w:footnoteReference w:id="149"/>
      </w:r>
      <w:r w:rsidRPr="00746ACE">
        <w:rPr>
          <w:rFonts w:eastAsiaTheme="minorEastAsia"/>
          <w:kern w:val="2"/>
        </w:rPr>
        <w:t xml:space="preserve"> y tampoco el deber procesal de hacerlo</w:t>
      </w:r>
      <w:r w:rsidRPr="00746ACE">
        <w:rPr>
          <w:vertAlign w:val="superscript"/>
        </w:rPr>
        <w:footnoteReference w:id="150"/>
      </w:r>
      <w:r w:rsidRPr="00746ACE">
        <w:rPr>
          <w:rFonts w:eastAsiaTheme="minorEastAsia"/>
          <w:kern w:val="2"/>
        </w:rPr>
        <w:t xml:space="preserve">. Por otra parte, los ciudadanos consideran que la interpretación de la Senit 5 vulnera el principio de igualdad, puesto que la interpretación fijada en ella genera un trato discriminatorio injustificado entre los comparecientes seleccionados y aquellos que no fueron seleccionados por la Sala de Reconocimiento de Verdad y Responsabilidad, pero que posteriormente fueron seleccionados por la Sala de Definición de Situaciones Jurídicas (SDSJ) en virtud de la facultad de selección de segundo orden. </w:t>
      </w:r>
    </w:p>
    <w:p w14:paraId="0D4FF259" w14:textId="77777777" w:rsidR="00FE38B0" w:rsidRPr="00746ACE" w:rsidRDefault="00FE38B0" w:rsidP="00CF1AD1">
      <w:pPr>
        <w:pStyle w:val="Prrafodelista"/>
        <w:widowControl w:val="0"/>
        <w:rPr>
          <w:rFonts w:eastAsiaTheme="minorEastAsia"/>
          <w:kern w:val="2"/>
        </w:rPr>
      </w:pPr>
    </w:p>
    <w:p w14:paraId="3F64C8E1" w14:textId="19818C46" w:rsidR="00C07811" w:rsidRPr="00746ACE" w:rsidRDefault="00C07811" w:rsidP="00FC0DFB">
      <w:pPr>
        <w:pStyle w:val="Prrafodelista"/>
        <w:widowControl w:val="0"/>
        <w:numPr>
          <w:ilvl w:val="0"/>
          <w:numId w:val="7"/>
        </w:numPr>
      </w:pPr>
      <w:r w:rsidRPr="00746ACE">
        <w:rPr>
          <w:rFonts w:eastAsiaTheme="minorEastAsia"/>
          <w:kern w:val="2"/>
        </w:rPr>
        <w:t xml:space="preserve">Para sustentar este reproche, los actores </w:t>
      </w:r>
      <w:r w:rsidR="00DD4E06" w:rsidRPr="00746ACE">
        <w:rPr>
          <w:rFonts w:eastAsiaTheme="minorEastAsia"/>
          <w:kern w:val="2"/>
        </w:rPr>
        <w:t>propusieron la realización de</w:t>
      </w:r>
      <w:r w:rsidRPr="00746ACE">
        <w:rPr>
          <w:rFonts w:eastAsiaTheme="minorEastAsia"/>
          <w:kern w:val="2"/>
        </w:rPr>
        <w:t xml:space="preserve"> un juicio integrado de igualdad de nivel estricto, en tanto </w:t>
      </w:r>
      <w:r w:rsidR="00FE38B0" w:rsidRPr="00746ACE">
        <w:rPr>
          <w:rFonts w:eastAsiaTheme="minorEastAsia"/>
          <w:kern w:val="2"/>
        </w:rPr>
        <w:t xml:space="preserve">estiman que </w:t>
      </w:r>
      <w:r w:rsidRPr="00746ACE">
        <w:rPr>
          <w:rFonts w:eastAsiaTheme="minorEastAsia"/>
          <w:kern w:val="2"/>
        </w:rPr>
        <w:t>la medida cuestionada afecta directamente el derecho fundamental al debido proceso.</w:t>
      </w:r>
    </w:p>
    <w:p w14:paraId="187B2FEA" w14:textId="77777777" w:rsidR="00C07811" w:rsidRPr="00746ACE" w:rsidRDefault="00C07811" w:rsidP="00FC0DFB">
      <w:pPr>
        <w:pStyle w:val="Prrafodelista"/>
        <w:widowControl w:val="0"/>
        <w:rPr>
          <w:rFonts w:eastAsiaTheme="minorEastAsia"/>
          <w:kern w:val="2"/>
        </w:rPr>
      </w:pPr>
    </w:p>
    <w:p w14:paraId="48E9E51F" w14:textId="1D9D5D09" w:rsidR="00C07811" w:rsidRPr="00746ACE" w:rsidRDefault="00873F10" w:rsidP="00FC0DFB">
      <w:pPr>
        <w:pStyle w:val="Prrafodelista"/>
        <w:widowControl w:val="0"/>
        <w:numPr>
          <w:ilvl w:val="0"/>
          <w:numId w:val="7"/>
        </w:numPr>
      </w:pPr>
      <w:r w:rsidRPr="00746ACE">
        <w:rPr>
          <w:rFonts w:eastAsiaTheme="minorEastAsia"/>
          <w:kern w:val="2"/>
        </w:rPr>
        <w:t>L</w:t>
      </w:r>
      <w:r w:rsidR="00C07811" w:rsidRPr="00746ACE">
        <w:rPr>
          <w:rFonts w:eastAsiaTheme="minorEastAsia"/>
          <w:kern w:val="2"/>
        </w:rPr>
        <w:t xml:space="preserve">os demandantes reconocieron que el trato desigual </w:t>
      </w:r>
      <w:r w:rsidRPr="00746ACE">
        <w:rPr>
          <w:rFonts w:eastAsiaTheme="minorEastAsia"/>
          <w:kern w:val="2"/>
        </w:rPr>
        <w:t>que identifican</w:t>
      </w:r>
      <w:r w:rsidR="00C07811" w:rsidRPr="00746ACE">
        <w:rPr>
          <w:rFonts w:eastAsiaTheme="minorEastAsia"/>
          <w:kern w:val="2"/>
        </w:rPr>
        <w:t xml:space="preserve"> podría perseguir una finalidad constitucionalmente legítima e imperiosa: garantizar el derecho a la justicia de las víctimas. Sin embargo, sostuvieron que la medida no es efectiva para garantizar este derecho</w:t>
      </w:r>
      <w:r w:rsidR="00024E7D" w:rsidRPr="00746ACE">
        <w:rPr>
          <w:rFonts w:eastAsiaTheme="minorEastAsia"/>
          <w:kern w:val="2"/>
        </w:rPr>
        <w:t xml:space="preserve"> y señalaron que</w:t>
      </w:r>
      <w:r w:rsidR="00C07811" w:rsidRPr="00746ACE">
        <w:rPr>
          <w:rFonts w:eastAsiaTheme="minorEastAsia"/>
          <w:kern w:val="2"/>
        </w:rPr>
        <w:t xml:space="preserve">, lejos de maximizarlo, impide su concreción, al introducir un análisis caso a caso incompatible con el diseño estructural de la justicia transicional. Además, afirmaron que existen medidas menos lesivas para alcanzar ese fin, como la aplicación del régimen de condicionalidad previsto para los partícipes no determinantes. </w:t>
      </w:r>
    </w:p>
    <w:p w14:paraId="4C95A50B" w14:textId="77777777" w:rsidR="00C07811" w:rsidRPr="00746ACE" w:rsidRDefault="00C07811" w:rsidP="00CF1AD1">
      <w:pPr>
        <w:pStyle w:val="Prrafodelista"/>
        <w:widowControl w:val="0"/>
      </w:pPr>
    </w:p>
    <w:p w14:paraId="51ADB08E" w14:textId="11C9C66D" w:rsidR="008B3904" w:rsidRPr="00746ACE" w:rsidRDefault="00C07811" w:rsidP="00FC0DFB">
      <w:pPr>
        <w:pStyle w:val="Prrafodelista"/>
        <w:widowControl w:val="0"/>
        <w:numPr>
          <w:ilvl w:val="0"/>
          <w:numId w:val="7"/>
        </w:numPr>
      </w:pPr>
      <w:r w:rsidRPr="00746ACE">
        <w:t xml:space="preserve">Por último, los demandantes señalaron que la interpretación de la Sección de Apelación vulnera el </w:t>
      </w:r>
      <w:r w:rsidR="4762CD14" w:rsidRPr="00746ACE">
        <w:rPr>
          <w:rFonts w:eastAsiaTheme="minorEastAsia"/>
          <w:kern w:val="2"/>
        </w:rPr>
        <w:t xml:space="preserve">principio de proporcionalidad de las sanciones, pues implica que los comparecientes no seleccionados pueden tener sanciones más gravosas que las de los máximos responsables. En efecto, mientras los máximos responsables tuvieron la oportunidad procesal de reconocer verdad y responsabilidad ante la Sala de Reconocimiento, los no seleccionados están excluidos de obtener una sanción propia al reconocer responsabilidad ante dicha Sala. </w:t>
      </w:r>
    </w:p>
    <w:p w14:paraId="0F5B2A61" w14:textId="77777777" w:rsidR="008B3904" w:rsidRPr="00746ACE" w:rsidRDefault="008B3904" w:rsidP="00FC0DFB">
      <w:pPr>
        <w:widowControl w:val="0"/>
        <w:rPr>
          <w:rFonts w:eastAsiaTheme="minorEastAsia"/>
          <w:kern w:val="2"/>
        </w:rPr>
      </w:pPr>
    </w:p>
    <w:p w14:paraId="3F67C157" w14:textId="77777777" w:rsidR="008B3904" w:rsidRPr="00746ACE" w:rsidRDefault="4762CD14" w:rsidP="00FC0DFB">
      <w:pPr>
        <w:pStyle w:val="Prrafodelista"/>
        <w:widowControl w:val="0"/>
        <w:numPr>
          <w:ilvl w:val="0"/>
          <w:numId w:val="7"/>
        </w:numPr>
      </w:pPr>
      <w:r w:rsidRPr="00746ACE">
        <w:rPr>
          <w:rFonts w:eastAsiaTheme="minorEastAsia"/>
          <w:kern w:val="2"/>
        </w:rPr>
        <w:t xml:space="preserve">Diversos intervinientes respaldaron la </w:t>
      </w:r>
      <w:r w:rsidR="00DF271E" w:rsidRPr="00746ACE">
        <w:rPr>
          <w:rFonts w:eastAsiaTheme="minorEastAsia"/>
          <w:kern w:val="2"/>
        </w:rPr>
        <w:t>tesis de la demanda</w:t>
      </w:r>
      <w:r w:rsidRPr="00746ACE">
        <w:rPr>
          <w:rFonts w:eastAsiaTheme="minorEastAsia"/>
          <w:kern w:val="2"/>
        </w:rPr>
        <w:t xml:space="preserve">. En particular, el Observatorio de Justicia Transicional, el Ministerio de Justicia, el </w:t>
      </w:r>
      <w:r w:rsidR="00C10AE7" w:rsidRPr="00746ACE">
        <w:rPr>
          <w:rFonts w:eastAsiaTheme="minorEastAsia"/>
          <w:kern w:val="2"/>
        </w:rPr>
        <w:t>Centro Internacional para la Justicia Transicional (</w:t>
      </w:r>
      <w:r w:rsidRPr="00746ACE">
        <w:rPr>
          <w:rFonts w:eastAsiaTheme="minorEastAsia"/>
          <w:kern w:val="2"/>
        </w:rPr>
        <w:t>ICTJ</w:t>
      </w:r>
      <w:r w:rsidR="00C10AE7" w:rsidRPr="00746ACE">
        <w:rPr>
          <w:rFonts w:eastAsiaTheme="minorEastAsia"/>
          <w:kern w:val="2"/>
        </w:rPr>
        <w:t>) y</w:t>
      </w:r>
      <w:r w:rsidRPr="00746ACE">
        <w:rPr>
          <w:rFonts w:eastAsiaTheme="minorEastAsia"/>
          <w:kern w:val="2"/>
        </w:rPr>
        <w:t xml:space="preserve"> la Defensoría del Pueblo coincidieron en señalar que la interpretación fijada en la Senit 5 permite que los comparecientes con un menor grado de responsabilidad enfrenten consecuencias sancionatorias más gravosas que aquellas aplicables a los máximos responsables, lo cual resulta incompatible con estos principios. </w:t>
      </w:r>
    </w:p>
    <w:p w14:paraId="0A710924" w14:textId="77777777" w:rsidR="008B3904" w:rsidRPr="00746ACE" w:rsidRDefault="008B3904" w:rsidP="00FC0DFB">
      <w:pPr>
        <w:pStyle w:val="Prrafodelista"/>
        <w:widowControl w:val="0"/>
        <w:rPr>
          <w:rFonts w:eastAsiaTheme="minorEastAsia"/>
          <w:kern w:val="2"/>
        </w:rPr>
      </w:pPr>
    </w:p>
    <w:p w14:paraId="317987BD" w14:textId="4FC09AA4" w:rsidR="00201BAD" w:rsidRPr="00746ACE" w:rsidRDefault="4762CD14" w:rsidP="00FC0DFB">
      <w:pPr>
        <w:pStyle w:val="Prrafodelista"/>
        <w:widowControl w:val="0"/>
        <w:numPr>
          <w:ilvl w:val="0"/>
          <w:numId w:val="7"/>
        </w:numPr>
      </w:pPr>
      <w:r w:rsidRPr="00746ACE">
        <w:rPr>
          <w:rFonts w:eastAsiaTheme="minorEastAsia"/>
          <w:kern w:val="2"/>
        </w:rPr>
        <w:t>Asimismo, la Procuraduría General de la Nación</w:t>
      </w:r>
      <w:r w:rsidR="004F00C6" w:rsidRPr="00746ACE">
        <w:rPr>
          <w:rFonts w:eastAsiaTheme="minorEastAsia"/>
          <w:kern w:val="2"/>
        </w:rPr>
        <w:t>, en su concepto constitucional,</w:t>
      </w:r>
      <w:r w:rsidRPr="00746ACE">
        <w:rPr>
          <w:rFonts w:eastAsiaTheme="minorEastAsia"/>
          <w:kern w:val="2"/>
        </w:rPr>
        <w:t xml:space="preserve"> coincidió </w:t>
      </w:r>
      <w:r w:rsidR="004B1565" w:rsidRPr="00746ACE">
        <w:rPr>
          <w:rFonts w:eastAsiaTheme="minorEastAsia"/>
          <w:kern w:val="2"/>
        </w:rPr>
        <w:t xml:space="preserve">en </w:t>
      </w:r>
      <w:r w:rsidRPr="00746ACE">
        <w:rPr>
          <w:rFonts w:eastAsiaTheme="minorEastAsia"/>
          <w:kern w:val="2"/>
        </w:rPr>
        <w:t xml:space="preserve">que la medida no supera un juicio integrado de igualdad de nivel estricto. </w:t>
      </w:r>
      <w:r w:rsidR="00D64078" w:rsidRPr="00746ACE">
        <w:rPr>
          <w:rFonts w:eastAsiaTheme="minorEastAsia"/>
          <w:kern w:val="2"/>
        </w:rPr>
        <w:t xml:space="preserve">Así, aunque </w:t>
      </w:r>
      <w:r w:rsidRPr="00746ACE">
        <w:rPr>
          <w:rFonts w:eastAsiaTheme="minorEastAsia"/>
          <w:kern w:val="2"/>
        </w:rPr>
        <w:t>reconoció que la interpretación de la Senit 5 persigue una finalidad constitucionalmente legítima e imperiosa, pues pretende garantizar los derechos de las víctimas, no es necesaria ni proporcional en sentido estricto, pues, además de permitir que los partícipes no determinantes reciban sanciones más graves que los máximos responsables</w:t>
      </w:r>
      <w:r w:rsidR="00664903" w:rsidRPr="00746ACE">
        <w:rPr>
          <w:rFonts w:eastAsiaTheme="minorEastAsia"/>
          <w:kern w:val="2"/>
        </w:rPr>
        <w:t>,</w:t>
      </w:r>
      <w:r w:rsidRPr="00746ACE">
        <w:rPr>
          <w:rFonts w:eastAsiaTheme="minorEastAsia"/>
          <w:kern w:val="2"/>
        </w:rPr>
        <w:t xml:space="preserve"> podría </w:t>
      </w:r>
      <w:r w:rsidR="00664903" w:rsidRPr="00746ACE">
        <w:rPr>
          <w:rFonts w:eastAsiaTheme="minorEastAsia"/>
          <w:kern w:val="2"/>
        </w:rPr>
        <w:t>afectar</w:t>
      </w:r>
      <w:r w:rsidRPr="00746ACE">
        <w:rPr>
          <w:rFonts w:eastAsiaTheme="minorEastAsia"/>
          <w:kern w:val="2"/>
        </w:rPr>
        <w:t xml:space="preserve"> el cumplimiento del mandato temporal de la JEP.</w:t>
      </w:r>
    </w:p>
    <w:p w14:paraId="1E592B24" w14:textId="77777777" w:rsidR="00201BAD" w:rsidRPr="00746ACE" w:rsidRDefault="00201BAD" w:rsidP="00FC0DFB">
      <w:pPr>
        <w:pStyle w:val="Prrafodelista"/>
        <w:widowControl w:val="0"/>
        <w:rPr>
          <w:rFonts w:eastAsiaTheme="minorEastAsia"/>
          <w:kern w:val="2"/>
        </w:rPr>
      </w:pPr>
    </w:p>
    <w:p w14:paraId="64C3A7BB" w14:textId="224BC29D" w:rsidR="00201BAD" w:rsidRPr="00746ACE" w:rsidRDefault="4762CD14" w:rsidP="00FC0DFB">
      <w:pPr>
        <w:pStyle w:val="Prrafodelista"/>
        <w:widowControl w:val="0"/>
        <w:numPr>
          <w:ilvl w:val="0"/>
          <w:numId w:val="7"/>
        </w:numPr>
      </w:pPr>
      <w:r w:rsidRPr="00746ACE">
        <w:rPr>
          <w:rFonts w:eastAsiaTheme="minorEastAsia"/>
          <w:kern w:val="2"/>
        </w:rPr>
        <w:t>Por su parte, la Sección de Apelación sostuvo que el cargo es inepto por falta de certeza, especificidad y pertinencia y que, en todo caso, no vulneraba el debido proceso de los comparecientes ni los principios de proporcionalidad e igualdad. Para sustentar esta conclusión, explicó que los accionantes cuestionan dos aspectos distintos en el cargo: (i) la exigencia de reconocimiento de responsabilidad a los partícipes no determinantes no seleccionados por la Sala de Reconocimiento de Verdad y Responsabilidad; y (ii) la imposibilidad de acceder a sanciones propias en caso de ser remitidos a la Unidad de Investigación y Acusación.</w:t>
      </w:r>
    </w:p>
    <w:p w14:paraId="4106999C" w14:textId="77777777" w:rsidR="00201BAD" w:rsidRPr="00746ACE" w:rsidRDefault="00201BAD" w:rsidP="004300B2">
      <w:pPr>
        <w:widowControl w:val="0"/>
        <w:rPr>
          <w:rFonts w:eastAsiaTheme="minorEastAsia"/>
          <w:kern w:val="2"/>
        </w:rPr>
      </w:pPr>
    </w:p>
    <w:p w14:paraId="5A5BB4BB" w14:textId="58AC544D" w:rsidR="00201BAD" w:rsidRPr="00746ACE" w:rsidRDefault="4762CD14" w:rsidP="00FC0DFB">
      <w:pPr>
        <w:pStyle w:val="Prrafodelista"/>
        <w:widowControl w:val="0"/>
        <w:numPr>
          <w:ilvl w:val="0"/>
          <w:numId w:val="7"/>
        </w:numPr>
      </w:pPr>
      <w:r w:rsidRPr="00746ACE">
        <w:rPr>
          <w:rFonts w:eastAsiaTheme="minorEastAsia"/>
          <w:kern w:val="2"/>
        </w:rPr>
        <w:t xml:space="preserve">En relación con el primer aspecto, la Sección </w:t>
      </w:r>
      <w:r w:rsidR="00284DE5" w:rsidRPr="00746ACE">
        <w:rPr>
          <w:rFonts w:eastAsiaTheme="minorEastAsia"/>
          <w:kern w:val="2"/>
        </w:rPr>
        <w:t xml:space="preserve">de Apelación </w:t>
      </w:r>
      <w:r w:rsidRPr="00746ACE">
        <w:rPr>
          <w:rFonts w:eastAsiaTheme="minorEastAsia"/>
          <w:kern w:val="2"/>
        </w:rPr>
        <w:t>afirmó que el reproche de los demandantes perdió su objeto con ocasión de la Senit 8 de 2025</w:t>
      </w:r>
      <w:r w:rsidR="00662D5A" w:rsidRPr="00746ACE">
        <w:rPr>
          <w:rFonts w:eastAsiaTheme="minorEastAsia"/>
          <w:kern w:val="2"/>
        </w:rPr>
        <w:t>, debido a que</w:t>
      </w:r>
      <w:r w:rsidR="00CD1072" w:rsidRPr="00746ACE">
        <w:rPr>
          <w:rFonts w:eastAsiaTheme="minorEastAsia"/>
          <w:kern w:val="2"/>
        </w:rPr>
        <w:t>,</w:t>
      </w:r>
      <w:r w:rsidR="00662D5A" w:rsidRPr="00746ACE">
        <w:rPr>
          <w:rFonts w:eastAsiaTheme="minorEastAsia"/>
          <w:kern w:val="2"/>
        </w:rPr>
        <w:t xml:space="preserve"> en esta decisión</w:t>
      </w:r>
      <w:r w:rsidRPr="00746ACE">
        <w:rPr>
          <w:rFonts w:eastAsiaTheme="minorEastAsia"/>
          <w:kern w:val="2"/>
        </w:rPr>
        <w:t xml:space="preserve">, </w:t>
      </w:r>
      <w:r w:rsidR="009B469F" w:rsidRPr="00746ACE">
        <w:rPr>
          <w:rFonts w:eastAsiaTheme="minorEastAsia"/>
          <w:kern w:val="2"/>
        </w:rPr>
        <w:t>se</w:t>
      </w:r>
      <w:r w:rsidRPr="00746ACE">
        <w:rPr>
          <w:rFonts w:eastAsiaTheme="minorEastAsia"/>
          <w:kern w:val="2"/>
        </w:rPr>
        <w:t xml:space="preserve"> precisó que el reconocimiento de responsabilidad como condición para acceder al régimen de sanciones propias es exigible únicamente a los máximos responsables seleccionados por la Sala de Reconocimiento de Verdad y Responsabilidad (SRVR). Por el contrario, los comparecientes no seleccionados no tienen el deber de reconocer responsabilidad, aunque sí están obligados a aportar verdad plena, contribuir a la reparación de las víctimas y garantizar la no repetición. </w:t>
      </w:r>
    </w:p>
    <w:p w14:paraId="0B315D67" w14:textId="77777777" w:rsidR="00201BAD" w:rsidRPr="00746ACE" w:rsidRDefault="00201BAD" w:rsidP="004300B2">
      <w:pPr>
        <w:widowControl w:val="0"/>
        <w:rPr>
          <w:rFonts w:eastAsiaTheme="minorEastAsia"/>
          <w:kern w:val="2"/>
        </w:rPr>
      </w:pPr>
    </w:p>
    <w:p w14:paraId="5E2FAC84" w14:textId="77777777" w:rsidR="002D73B9" w:rsidRPr="00746ACE" w:rsidRDefault="4762CD14" w:rsidP="00FC0DFB">
      <w:pPr>
        <w:pStyle w:val="Prrafodelista"/>
        <w:widowControl w:val="0"/>
        <w:numPr>
          <w:ilvl w:val="0"/>
          <w:numId w:val="7"/>
        </w:numPr>
      </w:pPr>
      <w:r w:rsidRPr="00746ACE">
        <w:rPr>
          <w:rFonts w:eastAsiaTheme="minorEastAsia"/>
          <w:kern w:val="2"/>
        </w:rPr>
        <w:t xml:space="preserve">Adicionalmente, la Sección de Apelación precisó que la subregla fijada en la Senit 8 </w:t>
      </w:r>
      <w:r w:rsidR="00994774" w:rsidRPr="00746ACE">
        <w:rPr>
          <w:rFonts w:eastAsiaTheme="minorEastAsia"/>
          <w:kern w:val="2"/>
        </w:rPr>
        <w:t xml:space="preserve">tiene </w:t>
      </w:r>
      <w:r w:rsidRPr="00746ACE">
        <w:rPr>
          <w:rFonts w:eastAsiaTheme="minorEastAsia"/>
          <w:kern w:val="2"/>
        </w:rPr>
        <w:t>una excepción</w:t>
      </w:r>
      <w:r w:rsidR="00994774" w:rsidRPr="00746ACE">
        <w:rPr>
          <w:rFonts w:eastAsiaTheme="minorEastAsia"/>
          <w:kern w:val="2"/>
        </w:rPr>
        <w:t>,</w:t>
      </w:r>
      <w:r w:rsidRPr="00746ACE">
        <w:rPr>
          <w:rFonts w:eastAsiaTheme="minorEastAsia"/>
          <w:kern w:val="2"/>
        </w:rPr>
        <w:t xml:space="preserve"> en el caso de los partícipes que hayan sido condenados mediante sentencia en firme en la justicia ordinaria. </w:t>
      </w:r>
    </w:p>
    <w:p w14:paraId="65FA2E46" w14:textId="77777777" w:rsidR="002D73B9" w:rsidRPr="00746ACE" w:rsidRDefault="002D73B9" w:rsidP="00C52A92">
      <w:pPr>
        <w:widowControl w:val="0"/>
        <w:rPr>
          <w:rFonts w:eastAsiaTheme="minorEastAsia"/>
          <w:kern w:val="2"/>
        </w:rPr>
      </w:pPr>
    </w:p>
    <w:p w14:paraId="60D78D9B" w14:textId="52B43632" w:rsidR="00201BAD" w:rsidRPr="00746ACE" w:rsidRDefault="002D73B9" w:rsidP="00FC0DFB">
      <w:pPr>
        <w:pStyle w:val="Prrafodelista"/>
        <w:widowControl w:val="0"/>
        <w:numPr>
          <w:ilvl w:val="0"/>
          <w:numId w:val="7"/>
        </w:numPr>
      </w:pPr>
      <w:r w:rsidRPr="00746ACE">
        <w:rPr>
          <w:rFonts w:eastAsiaTheme="minorEastAsia"/>
          <w:kern w:val="2"/>
        </w:rPr>
        <w:t>Estos</w:t>
      </w:r>
      <w:r w:rsidR="4762CD14" w:rsidRPr="00746ACE">
        <w:rPr>
          <w:rFonts w:eastAsiaTheme="minorEastAsia"/>
          <w:kern w:val="2"/>
        </w:rPr>
        <w:t xml:space="preserve"> comparecientes </w:t>
      </w:r>
      <w:r w:rsidRPr="00746ACE">
        <w:rPr>
          <w:rFonts w:eastAsiaTheme="minorEastAsia"/>
          <w:kern w:val="2"/>
        </w:rPr>
        <w:t>sí</w:t>
      </w:r>
      <w:r w:rsidR="4762CD14" w:rsidRPr="00746ACE">
        <w:rPr>
          <w:rFonts w:eastAsiaTheme="minorEastAsia"/>
          <w:kern w:val="2"/>
        </w:rPr>
        <w:t xml:space="preserve"> </w:t>
      </w:r>
      <w:r w:rsidR="4762CD14" w:rsidRPr="00746ACE">
        <w:rPr>
          <w:rFonts w:eastAsiaTheme="minorEastAsia"/>
          <w:i/>
          <w:kern w:val="2"/>
        </w:rPr>
        <w:t>deben</w:t>
      </w:r>
      <w:r w:rsidR="4762CD14" w:rsidRPr="00746ACE">
        <w:rPr>
          <w:rFonts w:eastAsiaTheme="minorEastAsia"/>
          <w:kern w:val="2"/>
        </w:rPr>
        <w:t xml:space="preserve"> reconocer responsabilidad como parte de su compromiso con la verdad plena, a menos de que aleguen su inocencia y acudan a la acción de revisión transicional. </w:t>
      </w:r>
      <w:r w:rsidR="00775088" w:rsidRPr="00746ACE">
        <w:rPr>
          <w:rFonts w:eastAsiaTheme="minorEastAsia"/>
          <w:kern w:val="2"/>
        </w:rPr>
        <w:t>En suma, e</w:t>
      </w:r>
      <w:r w:rsidR="4762CD14" w:rsidRPr="00746ACE">
        <w:rPr>
          <w:rFonts w:eastAsiaTheme="minorEastAsia"/>
          <w:kern w:val="2"/>
        </w:rPr>
        <w:t xml:space="preserve">n </w:t>
      </w:r>
      <w:r w:rsidR="00B9701A" w:rsidRPr="00746ACE">
        <w:rPr>
          <w:rFonts w:eastAsiaTheme="minorEastAsia"/>
          <w:kern w:val="2"/>
        </w:rPr>
        <w:t xml:space="preserve">esta hipótesis, </w:t>
      </w:r>
      <w:r w:rsidR="00775088" w:rsidRPr="00746ACE">
        <w:rPr>
          <w:rFonts w:eastAsiaTheme="minorEastAsia"/>
          <w:kern w:val="2"/>
        </w:rPr>
        <w:t xml:space="preserve">si la </w:t>
      </w:r>
      <w:r w:rsidR="4762CD14" w:rsidRPr="00746ACE">
        <w:rPr>
          <w:rFonts w:eastAsiaTheme="minorEastAsia"/>
          <w:kern w:val="2"/>
        </w:rPr>
        <w:t xml:space="preserve">presunción de inocencia no </w:t>
      </w:r>
      <w:r w:rsidR="00775088" w:rsidRPr="00746ACE">
        <w:rPr>
          <w:rFonts w:eastAsiaTheme="minorEastAsia"/>
          <w:kern w:val="2"/>
        </w:rPr>
        <w:t xml:space="preserve">ha </w:t>
      </w:r>
      <w:r w:rsidR="4762CD14" w:rsidRPr="00746ACE">
        <w:rPr>
          <w:rFonts w:eastAsiaTheme="minorEastAsia"/>
          <w:kern w:val="2"/>
        </w:rPr>
        <w:t>sido desvirtuada, no surge un deber de reconocimiento de responsabilidad. No obstante, si el compareciente decide reconocer responsabilidad, dicho comportamiento será valorado como un aporte relevante a la verdad plena, de conformidad con lo dispuesto en el artículo 84, literal c), de la LEJEP.</w:t>
      </w:r>
      <w:r w:rsidR="00742777" w:rsidRPr="00746ACE">
        <w:rPr>
          <w:rFonts w:eastAsiaTheme="minorEastAsia"/>
          <w:kern w:val="2"/>
        </w:rPr>
        <w:t xml:space="preserve"> </w:t>
      </w:r>
    </w:p>
    <w:p w14:paraId="4860504B" w14:textId="77777777" w:rsidR="00201BAD" w:rsidRPr="00746ACE" w:rsidRDefault="00201BAD" w:rsidP="004300B2">
      <w:pPr>
        <w:widowControl w:val="0"/>
        <w:rPr>
          <w:rFonts w:eastAsiaTheme="minorEastAsia"/>
          <w:kern w:val="2"/>
        </w:rPr>
      </w:pPr>
    </w:p>
    <w:p w14:paraId="7AC84D57" w14:textId="648AE5A1" w:rsidR="00201BAD" w:rsidRPr="00746ACE" w:rsidRDefault="00554033" w:rsidP="00FC0DFB">
      <w:pPr>
        <w:pStyle w:val="Prrafodelista"/>
        <w:widowControl w:val="0"/>
        <w:numPr>
          <w:ilvl w:val="0"/>
          <w:numId w:val="7"/>
        </w:numPr>
      </w:pPr>
      <w:r w:rsidRPr="00746ACE">
        <w:rPr>
          <w:rFonts w:eastAsiaTheme="minorEastAsia"/>
          <w:kern w:val="2"/>
        </w:rPr>
        <w:t>E</w:t>
      </w:r>
      <w:r w:rsidR="4762CD14" w:rsidRPr="00746ACE">
        <w:rPr>
          <w:rFonts w:eastAsiaTheme="minorEastAsia"/>
          <w:kern w:val="2"/>
        </w:rPr>
        <w:t>n cuanto al segundo aspecto del cargo, la Sección de Apelación argumentó que el reproche de los demandantes no se dirige propiamente contra la interpretación judicial fijada en la Senit 5, sino contra el contenido mismo de la</w:t>
      </w:r>
      <w:r w:rsidR="00D7187E" w:rsidRPr="00746ACE">
        <w:rPr>
          <w:rFonts w:eastAsiaTheme="minorEastAsia"/>
          <w:kern w:val="2"/>
        </w:rPr>
        <w:t>s</w:t>
      </w:r>
      <w:r w:rsidR="4762CD14" w:rsidRPr="00746ACE">
        <w:rPr>
          <w:rFonts w:eastAsiaTheme="minorEastAsia"/>
          <w:kern w:val="2"/>
        </w:rPr>
        <w:t xml:space="preserve"> norma</w:t>
      </w:r>
      <w:r w:rsidR="00D7187E" w:rsidRPr="00746ACE">
        <w:rPr>
          <w:rFonts w:eastAsiaTheme="minorEastAsia"/>
          <w:kern w:val="2"/>
        </w:rPr>
        <w:t>s</w:t>
      </w:r>
      <w:r w:rsidR="4762CD14" w:rsidRPr="00746ACE">
        <w:rPr>
          <w:rFonts w:eastAsiaTheme="minorEastAsia"/>
          <w:kern w:val="2"/>
        </w:rPr>
        <w:t xml:space="preserve"> estatutaria</w:t>
      </w:r>
      <w:r w:rsidR="00D7187E" w:rsidRPr="00746ACE">
        <w:rPr>
          <w:rFonts w:eastAsiaTheme="minorEastAsia"/>
          <w:kern w:val="2"/>
        </w:rPr>
        <w:t>s interpretadas</w:t>
      </w:r>
      <w:r w:rsidR="4762CD14" w:rsidRPr="00746ACE">
        <w:rPr>
          <w:rFonts w:eastAsiaTheme="minorEastAsia"/>
          <w:kern w:val="2"/>
        </w:rPr>
        <w:t>. En efecto, para la Sección</w:t>
      </w:r>
      <w:r w:rsidR="00691A70" w:rsidRPr="00746ACE">
        <w:rPr>
          <w:rFonts w:eastAsiaTheme="minorEastAsia"/>
          <w:kern w:val="2"/>
        </w:rPr>
        <w:t xml:space="preserve"> de Apelación</w:t>
      </w:r>
      <w:r w:rsidR="4762CD14" w:rsidRPr="00746ACE">
        <w:rPr>
          <w:rFonts w:eastAsiaTheme="minorEastAsia"/>
          <w:kern w:val="2"/>
        </w:rPr>
        <w:t>, la normatividad transicional es la que establece que la única manera de acceder a la sanción propia es el reconocimiento de responsabilidad ante la Sala de Reconocimiento</w:t>
      </w:r>
      <w:r w:rsidR="007776B1" w:rsidRPr="00746ACE">
        <w:rPr>
          <w:vertAlign w:val="superscript"/>
        </w:rPr>
        <w:footnoteReference w:id="151"/>
      </w:r>
      <w:r w:rsidR="4762CD14" w:rsidRPr="00746ACE">
        <w:rPr>
          <w:rFonts w:eastAsiaTheme="minorEastAsia"/>
          <w:kern w:val="2"/>
        </w:rPr>
        <w:t xml:space="preserve">, por lo que no se trata de una creación jurisprudencial de la Senit 5. </w:t>
      </w:r>
    </w:p>
    <w:p w14:paraId="714C0953" w14:textId="77777777" w:rsidR="00201BAD" w:rsidRPr="00746ACE" w:rsidRDefault="00201BAD" w:rsidP="004300B2">
      <w:pPr>
        <w:widowControl w:val="0"/>
        <w:rPr>
          <w:rFonts w:eastAsiaTheme="minorEastAsia"/>
          <w:kern w:val="2"/>
        </w:rPr>
      </w:pPr>
    </w:p>
    <w:p w14:paraId="30D54CEC" w14:textId="1AF3148C" w:rsidR="00201BAD" w:rsidRPr="00746ACE" w:rsidRDefault="4762CD14" w:rsidP="00FC0DFB">
      <w:pPr>
        <w:pStyle w:val="Prrafodelista"/>
        <w:widowControl w:val="0"/>
        <w:numPr>
          <w:ilvl w:val="0"/>
          <w:numId w:val="7"/>
        </w:numPr>
      </w:pPr>
      <w:r w:rsidRPr="00746ACE">
        <w:rPr>
          <w:rFonts w:eastAsiaTheme="minorEastAsia"/>
          <w:kern w:val="2"/>
        </w:rPr>
        <w:t>Según explicó la Sección de Apelación, los demandantes argumentaron que la imposición de una sanción al partícipe no determinante no seleccionado por la Sala de Reconocimiento de Verdad y Responsabilidad</w:t>
      </w:r>
      <w:r w:rsidR="004300B2" w:rsidRPr="00746ACE">
        <w:rPr>
          <w:rFonts w:eastAsiaTheme="minorEastAsia"/>
          <w:kern w:val="2"/>
        </w:rPr>
        <w:t xml:space="preserve"> </w:t>
      </w:r>
      <w:r w:rsidRPr="00746ACE">
        <w:rPr>
          <w:rFonts w:eastAsiaTheme="minorEastAsia"/>
          <w:kern w:val="2"/>
        </w:rPr>
        <w:t>—que haya realizado aportes insuficientes a la verdad, seleccionado en segundo orden por la Sala de Definición de Situaciones Jurídicas, acusado por la Unidad de Investigación y Acusación y condenado por la Sección de Ausencia de Reconocimiento de Verdad— resulta desproporcionada, pues el máximo responsable que reconoció responsabilidad puede cumplir una sanción propia</w:t>
      </w:r>
      <w:r w:rsidR="00F059A6" w:rsidRPr="00746ACE">
        <w:rPr>
          <w:rFonts w:eastAsiaTheme="minorEastAsia"/>
          <w:kern w:val="2"/>
        </w:rPr>
        <w:t>, en la cual la restricción de derechos opera con la finalidad de que se realicen</w:t>
      </w:r>
      <w:r w:rsidRPr="00746ACE">
        <w:rPr>
          <w:rFonts w:eastAsiaTheme="minorEastAsia"/>
          <w:kern w:val="2"/>
        </w:rPr>
        <w:t xml:space="preserve"> los Trabajos, Obras y Actividades con contenido Restaurador (TOAR), mientras que el partícipe </w:t>
      </w:r>
      <w:r w:rsidR="00F059A6" w:rsidRPr="00746ACE">
        <w:rPr>
          <w:rFonts w:eastAsiaTheme="minorEastAsia"/>
          <w:kern w:val="2"/>
        </w:rPr>
        <w:t xml:space="preserve">no determinante ubicado en el “punto medio” </w:t>
      </w:r>
      <w:r w:rsidRPr="00746ACE">
        <w:rPr>
          <w:rFonts w:eastAsiaTheme="minorEastAsia"/>
          <w:kern w:val="2"/>
        </w:rPr>
        <w:t>estaría sometido a una sanción alternativa intramural.</w:t>
      </w:r>
      <w:r w:rsidR="00742777" w:rsidRPr="00746ACE">
        <w:rPr>
          <w:rFonts w:eastAsiaTheme="minorEastAsia"/>
          <w:kern w:val="2"/>
        </w:rPr>
        <w:t xml:space="preserve"> </w:t>
      </w:r>
    </w:p>
    <w:p w14:paraId="01F4C232" w14:textId="77777777" w:rsidR="00201BAD" w:rsidRPr="00746ACE" w:rsidRDefault="00201BAD" w:rsidP="004300B2">
      <w:pPr>
        <w:widowControl w:val="0"/>
        <w:rPr>
          <w:rFonts w:eastAsiaTheme="minorEastAsia"/>
          <w:kern w:val="2"/>
        </w:rPr>
      </w:pPr>
    </w:p>
    <w:p w14:paraId="4AF79C7F" w14:textId="6A77E2DE" w:rsidR="00201BAD" w:rsidRPr="00746ACE" w:rsidRDefault="4762CD14" w:rsidP="00FC0DFB">
      <w:pPr>
        <w:pStyle w:val="Prrafodelista"/>
        <w:widowControl w:val="0"/>
        <w:numPr>
          <w:ilvl w:val="0"/>
          <w:numId w:val="7"/>
        </w:numPr>
      </w:pPr>
      <w:r w:rsidRPr="00746ACE">
        <w:rPr>
          <w:rFonts w:eastAsiaTheme="minorEastAsia"/>
          <w:kern w:val="2"/>
        </w:rPr>
        <w:t>Para la Sección de Apelación</w:t>
      </w:r>
      <w:r w:rsidR="00C52A92" w:rsidRPr="00746ACE">
        <w:rPr>
          <w:rFonts w:eastAsiaTheme="minorEastAsia"/>
          <w:kern w:val="2"/>
        </w:rPr>
        <w:t>,</w:t>
      </w:r>
      <w:r w:rsidRPr="00746ACE">
        <w:rPr>
          <w:rFonts w:eastAsiaTheme="minorEastAsia"/>
          <w:kern w:val="2"/>
        </w:rPr>
        <w:t xml:space="preserve"> no </w:t>
      </w:r>
      <w:r w:rsidR="00807D27" w:rsidRPr="00746ACE">
        <w:rPr>
          <w:rFonts w:eastAsiaTheme="minorEastAsia"/>
          <w:kern w:val="2"/>
        </w:rPr>
        <w:t xml:space="preserve">es cierto que la situación descrita </w:t>
      </w:r>
      <w:r w:rsidRPr="00746ACE">
        <w:rPr>
          <w:rFonts w:eastAsiaTheme="minorEastAsia"/>
          <w:kern w:val="2"/>
        </w:rPr>
        <w:t>represent</w:t>
      </w:r>
      <w:r w:rsidR="00807D27" w:rsidRPr="00746ACE">
        <w:rPr>
          <w:rFonts w:eastAsiaTheme="minorEastAsia"/>
          <w:kern w:val="2"/>
        </w:rPr>
        <w:t>e</w:t>
      </w:r>
      <w:r w:rsidRPr="00746ACE">
        <w:rPr>
          <w:rFonts w:eastAsiaTheme="minorEastAsia"/>
          <w:kern w:val="2"/>
        </w:rPr>
        <w:t xml:space="preserve"> una desproporción ni una vulneración del principio de igualdad. En efecto, el máximo responsable deberá cumplir una sanción de mayor duración, aunque con un componente retributivo menos intenso. Por su parte, el partícipe no determinante deberá cumplir una sanción de menor duración, pero con un componente retributivo más intenso, en tanto su cumplimiento será intramural. Esta mayor intensidad retributiva —para la Sección de Apelación— se encuentra justificada en que el partícipe no determinante no contribuyó de manera suficiente a la verdad respecto de los graves hechos que se le imputan, mientras que el máximo responsable sí lo hizo. </w:t>
      </w:r>
    </w:p>
    <w:p w14:paraId="183BA01C" w14:textId="77777777" w:rsidR="00201BAD" w:rsidRPr="00746ACE" w:rsidRDefault="00201BAD" w:rsidP="004300B2">
      <w:pPr>
        <w:widowControl w:val="0"/>
        <w:rPr>
          <w:rFonts w:eastAsiaTheme="minorEastAsia"/>
          <w:kern w:val="2"/>
        </w:rPr>
      </w:pPr>
    </w:p>
    <w:p w14:paraId="4D589EFC" w14:textId="77777777" w:rsidR="00201BAD" w:rsidRPr="00746ACE" w:rsidRDefault="4762CD14" w:rsidP="00FC0DFB">
      <w:pPr>
        <w:pStyle w:val="Prrafodelista"/>
        <w:widowControl w:val="0"/>
        <w:numPr>
          <w:ilvl w:val="0"/>
          <w:numId w:val="7"/>
        </w:numPr>
      </w:pPr>
      <w:r w:rsidRPr="00746ACE">
        <w:rPr>
          <w:rFonts w:eastAsiaTheme="minorEastAsia"/>
          <w:kern w:val="2"/>
        </w:rPr>
        <w:t>Además, el máximo responsable cumplió de forma efectiva y anticipada con las obligaciones del Sistema Integral para la Paz (SIP), mientras que el partícipe no determinante fue vencido en juicio o retardó su contribución hasta antes de dictarse sentencia para la sanción alternativa. Por otra parte, si el partícipe no determinante mantuvo su alegato de inocencia, con aportes insuficientes a la verdad, quiere decir que optó por mantener la expectativa de no ser sancionado si su presunción de inocencia no era desvirtuada.</w:t>
      </w:r>
    </w:p>
    <w:p w14:paraId="5BD7FC44" w14:textId="77777777" w:rsidR="00201BAD" w:rsidRPr="00746ACE" w:rsidRDefault="00201BAD" w:rsidP="004300B2">
      <w:pPr>
        <w:widowControl w:val="0"/>
        <w:rPr>
          <w:rFonts w:eastAsiaTheme="minorEastAsia"/>
          <w:kern w:val="2"/>
        </w:rPr>
      </w:pPr>
    </w:p>
    <w:p w14:paraId="464EA1F7" w14:textId="77777777" w:rsidR="00201BAD" w:rsidRPr="00746ACE" w:rsidRDefault="4762CD14" w:rsidP="00FC0DFB">
      <w:pPr>
        <w:pStyle w:val="Prrafodelista"/>
        <w:widowControl w:val="0"/>
        <w:numPr>
          <w:ilvl w:val="0"/>
          <w:numId w:val="7"/>
        </w:numPr>
      </w:pPr>
      <w:r w:rsidRPr="00746ACE">
        <w:rPr>
          <w:rFonts w:eastAsiaTheme="minorEastAsia"/>
          <w:kern w:val="2"/>
        </w:rPr>
        <w:t xml:space="preserve">Por último, la Sección de Apelación señaló en su intervención que no se configura una vulneración del derecho al debido proceso de los comparecientes, en tanto el proceso del trámite transicional está previsto en la Ley de Procedimiento (Ley 1922 de 2018) y en la LEJEP, que fueron declaradas constitucionales por la Corte Constitucional. </w:t>
      </w:r>
    </w:p>
    <w:p w14:paraId="51A8698E" w14:textId="77777777" w:rsidR="00201BAD" w:rsidRPr="00746ACE" w:rsidRDefault="00201BAD" w:rsidP="004300B2">
      <w:pPr>
        <w:widowControl w:val="0"/>
        <w:rPr>
          <w:rFonts w:eastAsiaTheme="minorEastAsia"/>
          <w:kern w:val="2"/>
        </w:rPr>
      </w:pPr>
    </w:p>
    <w:p w14:paraId="0081ACDF" w14:textId="14D6FF98" w:rsidR="00E4222D" w:rsidRPr="00746ACE" w:rsidRDefault="00201BAD" w:rsidP="00DD4E06">
      <w:pPr>
        <w:pStyle w:val="Prrafodelista"/>
        <w:widowControl w:val="0"/>
        <w:numPr>
          <w:ilvl w:val="0"/>
          <w:numId w:val="7"/>
        </w:numPr>
      </w:pPr>
      <w:r w:rsidRPr="00746ACE">
        <w:rPr>
          <w:rFonts w:eastAsiaTheme="minorEastAsia"/>
          <w:kern w:val="2"/>
        </w:rPr>
        <w:t>A</w:t>
      </w:r>
      <w:r w:rsidR="4762CD14" w:rsidRPr="00746ACE">
        <w:rPr>
          <w:rFonts w:eastAsiaTheme="minorEastAsia"/>
          <w:kern w:val="2"/>
        </w:rPr>
        <w:t xml:space="preserve"> la luz de los argumentos formulados por los demandantes y de las distintas intervenciones, </w:t>
      </w:r>
      <w:r w:rsidR="00C07811" w:rsidRPr="00746ACE">
        <w:rPr>
          <w:rFonts w:eastAsiaTheme="minorEastAsia"/>
          <w:kern w:val="2"/>
        </w:rPr>
        <w:t>esta Corporación</w:t>
      </w:r>
      <w:r w:rsidR="4762CD14" w:rsidRPr="00746ACE">
        <w:rPr>
          <w:rFonts w:eastAsiaTheme="minorEastAsia"/>
          <w:kern w:val="2"/>
        </w:rPr>
        <w:t xml:space="preserve"> procede a analizar el cargo. Para ello, en primer lugar, delimitar</w:t>
      </w:r>
      <w:r w:rsidR="00C07811" w:rsidRPr="00746ACE">
        <w:rPr>
          <w:rFonts w:eastAsiaTheme="minorEastAsia"/>
          <w:kern w:val="2"/>
        </w:rPr>
        <w:t>á</w:t>
      </w:r>
      <w:r w:rsidR="4762CD14" w:rsidRPr="00746ACE">
        <w:rPr>
          <w:rFonts w:eastAsiaTheme="minorEastAsia"/>
          <w:kern w:val="2"/>
        </w:rPr>
        <w:t xml:space="preserve"> el alcance del reproche de los demandantes </w:t>
      </w:r>
      <w:r w:rsidR="00C07811" w:rsidRPr="00746ACE">
        <w:rPr>
          <w:rFonts w:eastAsiaTheme="minorEastAsia"/>
          <w:kern w:val="2"/>
        </w:rPr>
        <w:t xml:space="preserve">teniendo en cuenta las consideraciones sobre la ineptitud sobreviniente que expuso la Sala en </w:t>
      </w:r>
      <w:r w:rsidR="00C07811" w:rsidRPr="00746ACE">
        <w:t xml:space="preserve">los capítulos </w:t>
      </w:r>
      <w:r w:rsidR="00C52A92" w:rsidRPr="00746ACE">
        <w:t>III.</w:t>
      </w:r>
      <w:r w:rsidR="00DD4E06" w:rsidRPr="00746ACE">
        <w:t>5</w:t>
      </w:r>
      <w:r w:rsidR="00C07811" w:rsidRPr="00746ACE">
        <w:t xml:space="preserve"> </w:t>
      </w:r>
      <w:r w:rsidR="00DD4E06" w:rsidRPr="00746ACE">
        <w:t>(a, b y c)</w:t>
      </w:r>
      <w:r w:rsidR="4762CD14" w:rsidRPr="00746ACE">
        <w:rPr>
          <w:rFonts w:eastAsiaTheme="minorEastAsia"/>
          <w:kern w:val="2"/>
        </w:rPr>
        <w:t xml:space="preserve">. Superado este análisis, </w:t>
      </w:r>
      <w:r w:rsidR="00650C8E" w:rsidRPr="00746ACE">
        <w:rPr>
          <w:rFonts w:eastAsiaTheme="minorEastAsia"/>
          <w:kern w:val="2"/>
        </w:rPr>
        <w:t>la</w:t>
      </w:r>
      <w:r w:rsidR="4762CD14" w:rsidRPr="00746ACE">
        <w:rPr>
          <w:rFonts w:eastAsiaTheme="minorEastAsia"/>
          <w:kern w:val="2"/>
        </w:rPr>
        <w:t xml:space="preserve"> </w:t>
      </w:r>
      <w:r w:rsidR="00C07811" w:rsidRPr="00746ACE">
        <w:rPr>
          <w:rFonts w:eastAsiaTheme="minorEastAsia"/>
          <w:kern w:val="2"/>
        </w:rPr>
        <w:t>Corte</w:t>
      </w:r>
      <w:r w:rsidR="4762CD14" w:rsidRPr="00746ACE">
        <w:rPr>
          <w:rFonts w:eastAsiaTheme="minorEastAsia"/>
          <w:kern w:val="2"/>
        </w:rPr>
        <w:t xml:space="preserve"> abordará el estudio de fondo del cargo, en particular, el reproche de la vulneración al debido proceso y los principios de</w:t>
      </w:r>
      <w:r w:rsidR="00C07811" w:rsidRPr="00746ACE">
        <w:rPr>
          <w:rFonts w:eastAsiaTheme="minorEastAsia"/>
          <w:kern w:val="2"/>
        </w:rPr>
        <w:t xml:space="preserve"> igualdad y</w:t>
      </w:r>
      <w:r w:rsidR="4762CD14" w:rsidRPr="00746ACE">
        <w:rPr>
          <w:rFonts w:eastAsiaTheme="minorEastAsia"/>
          <w:kern w:val="2"/>
        </w:rPr>
        <w:t xml:space="preserve"> proporcionalidad</w:t>
      </w:r>
      <w:r w:rsidR="00C07811" w:rsidRPr="00746ACE">
        <w:rPr>
          <w:rFonts w:eastAsiaTheme="minorEastAsia"/>
          <w:kern w:val="2"/>
        </w:rPr>
        <w:t xml:space="preserve"> de las sanciones</w:t>
      </w:r>
      <w:r w:rsidR="4762CD14" w:rsidRPr="00746ACE">
        <w:rPr>
          <w:rFonts w:eastAsiaTheme="minorEastAsia"/>
          <w:kern w:val="2"/>
        </w:rPr>
        <w:t xml:space="preserve"> que alegaron los demandantes.</w:t>
      </w:r>
      <w:r w:rsidR="4762CD14" w:rsidRPr="00746ACE">
        <w:t xml:space="preserve"> </w:t>
      </w:r>
    </w:p>
    <w:p w14:paraId="5E8E735C" w14:textId="661C7448" w:rsidR="00C10AE7" w:rsidRPr="00746ACE" w:rsidRDefault="00C10AE7" w:rsidP="00FC0DFB">
      <w:pPr>
        <w:pStyle w:val="Prrafodelista"/>
        <w:widowControl w:val="0"/>
        <w:ind w:left="0"/>
      </w:pPr>
    </w:p>
    <w:p w14:paraId="09D1A8CD" w14:textId="40515F61" w:rsidR="00E4222D" w:rsidRPr="00746ACE" w:rsidRDefault="00F0346A" w:rsidP="000B69F5">
      <w:pPr>
        <w:pStyle w:val="Ttulo3"/>
        <w:keepNext w:val="0"/>
        <w:keepLines w:val="0"/>
        <w:widowControl w:val="0"/>
        <w:jc w:val="both"/>
        <w:rPr>
          <w:rFonts w:cs="Times New Roman"/>
          <w:color w:val="auto"/>
          <w:sz w:val="28"/>
          <w:szCs w:val="28"/>
          <w:lang w:val="es-ES"/>
        </w:rPr>
      </w:pPr>
      <w:bookmarkStart w:id="65" w:name="_Toc233384215"/>
      <w:r w:rsidRPr="00746ACE">
        <w:rPr>
          <w:rFonts w:cs="Times New Roman"/>
          <w:color w:val="auto"/>
          <w:sz w:val="28"/>
          <w:szCs w:val="28"/>
          <w:lang w:val="es-ES" w:eastAsia="es-ES"/>
        </w:rPr>
        <w:t>Aclaración sobre el alcance del cargo, con base en el análisis de aptitud de la demanda</w:t>
      </w:r>
      <w:bookmarkEnd w:id="65"/>
    </w:p>
    <w:p w14:paraId="390B7FFE" w14:textId="77777777" w:rsidR="00473CCC" w:rsidRPr="00746ACE" w:rsidRDefault="00473CCC" w:rsidP="00FC0DFB">
      <w:pPr>
        <w:pStyle w:val="Prrafodelista"/>
        <w:widowControl w:val="0"/>
        <w:ind w:left="0"/>
      </w:pPr>
    </w:p>
    <w:p w14:paraId="194E53BF" w14:textId="1E4C47FD" w:rsidR="00696BC6" w:rsidRPr="00746ACE" w:rsidRDefault="00696BC6" w:rsidP="00FC0DFB">
      <w:pPr>
        <w:pStyle w:val="Prrafodelista"/>
        <w:widowControl w:val="0"/>
        <w:numPr>
          <w:ilvl w:val="0"/>
          <w:numId w:val="7"/>
        </w:numPr>
      </w:pPr>
      <w:r w:rsidRPr="00746ACE">
        <w:t xml:space="preserve">Tal como </w:t>
      </w:r>
      <w:r w:rsidR="00D22EAF" w:rsidRPr="00746ACE">
        <w:t>lo</w:t>
      </w:r>
      <w:r w:rsidRPr="00746ACE">
        <w:t xml:space="preserve"> explicó </w:t>
      </w:r>
      <w:r w:rsidR="00D22EAF" w:rsidRPr="00746ACE">
        <w:t xml:space="preserve">la Sala </w:t>
      </w:r>
      <w:r w:rsidRPr="00746ACE">
        <w:t xml:space="preserve">en </w:t>
      </w:r>
      <w:r w:rsidR="00DD4E06" w:rsidRPr="00746ACE">
        <w:t xml:space="preserve">el </w:t>
      </w:r>
      <w:r w:rsidRPr="00746ACE">
        <w:t>cap</w:t>
      </w:r>
      <w:r w:rsidR="00991E7D" w:rsidRPr="00746ACE">
        <w:t>ítulo</w:t>
      </w:r>
      <w:r w:rsidR="00DD4E06" w:rsidRPr="00746ACE">
        <w:t xml:space="preserve"> </w:t>
      </w:r>
      <w:r w:rsidR="00D22EAF" w:rsidRPr="00746ACE">
        <w:t>I</w:t>
      </w:r>
      <w:r w:rsidR="00F0346A" w:rsidRPr="00746ACE">
        <w:t>II</w:t>
      </w:r>
      <w:r w:rsidR="00D22EAF" w:rsidRPr="00746ACE">
        <w:t>.</w:t>
      </w:r>
      <w:r w:rsidR="00DD4E06" w:rsidRPr="00746ACE">
        <w:t xml:space="preserve">5 (a, b y c) </w:t>
      </w:r>
      <w:r w:rsidR="00F0346A" w:rsidRPr="00746ACE">
        <w:t>de esta providencia (aptitud de</w:t>
      </w:r>
      <w:r w:rsidR="00C52A92" w:rsidRPr="00746ACE">
        <w:t>l quinto cargo</w:t>
      </w:r>
      <w:r w:rsidR="00F0346A" w:rsidRPr="00746ACE">
        <w:t xml:space="preserve"> e integración normativa)</w:t>
      </w:r>
      <w:r w:rsidR="00D22EAF" w:rsidRPr="00746ACE">
        <w:t xml:space="preserve">, </w:t>
      </w:r>
      <w:r w:rsidR="00C07811" w:rsidRPr="00746ACE">
        <w:t>e</w:t>
      </w:r>
      <w:r w:rsidR="00D22EAF" w:rsidRPr="00746ACE">
        <w:t xml:space="preserve">l cargo quinto </w:t>
      </w:r>
      <w:r w:rsidR="00DD4E06" w:rsidRPr="00746ACE">
        <w:t xml:space="preserve">de la demanda </w:t>
      </w:r>
      <w:r w:rsidR="00D22EAF" w:rsidRPr="00746ACE">
        <w:t>presenta una ineptitud sobreviniente parcial, en tanto la Sección de Apelación</w:t>
      </w:r>
      <w:r w:rsidR="00823806" w:rsidRPr="00746ACE">
        <w:t xml:space="preserve"> modificó en la Senit 8 las reglas que estableció en la Senit 5 sobre el deber de reconocer responsabilidad para los partícipes no determinantes. Sobre el particular, la Sección determinó que dicho deber sólo resultaba aplicable para aquellos comparecientes que contaran con una condena en firme de la jurisdicción penal ordinaria.</w:t>
      </w:r>
      <w:r w:rsidR="00742777" w:rsidRPr="00746ACE">
        <w:t xml:space="preserve"> </w:t>
      </w:r>
    </w:p>
    <w:p w14:paraId="716250DA" w14:textId="73A36ADE" w:rsidR="008E22D3" w:rsidRPr="00746ACE" w:rsidRDefault="008E22D3" w:rsidP="00FC0DFB">
      <w:pPr>
        <w:widowControl w:val="0"/>
      </w:pPr>
    </w:p>
    <w:p w14:paraId="63C4B0FB" w14:textId="16DCCB70" w:rsidR="008E22D3" w:rsidRPr="00746ACE" w:rsidRDefault="4762CD14" w:rsidP="00FC0DFB">
      <w:pPr>
        <w:pStyle w:val="Prrafodelista"/>
        <w:widowControl w:val="0"/>
        <w:numPr>
          <w:ilvl w:val="0"/>
          <w:numId w:val="7"/>
        </w:numPr>
      </w:pPr>
      <w:r w:rsidRPr="00746ACE">
        <w:t>En este orden de ideas, la Sala debe analizar de fondo el cargo</w:t>
      </w:r>
      <w:r w:rsidR="005E3F2D" w:rsidRPr="00746ACE">
        <w:t>, con el propósito de</w:t>
      </w:r>
      <w:r w:rsidRPr="00746ACE">
        <w:t xml:space="preserve">: (i) establecer si la imposibilidad de que los partícipes no determinantes accedan a las sanciones propias, a diferencia de los máximos responsables, desconoce </w:t>
      </w:r>
      <w:r w:rsidR="00EF472C" w:rsidRPr="00746ACE">
        <w:t xml:space="preserve">el principio de igualdad; y (ii) </w:t>
      </w:r>
      <w:r w:rsidR="005623B4" w:rsidRPr="00746ACE">
        <w:t xml:space="preserve">evaluar </w:t>
      </w:r>
      <w:r w:rsidR="00EF472C" w:rsidRPr="00746ACE">
        <w:t>si la interpretación que introdujo la Sección de Apelación en la Senit 5 vulnera el principio de la proporcionalidad de las sanciones</w:t>
      </w:r>
      <w:r w:rsidRPr="00746ACE">
        <w:t xml:space="preserve">. </w:t>
      </w:r>
    </w:p>
    <w:p w14:paraId="5CB27C72" w14:textId="67F742E8" w:rsidR="008E22D3" w:rsidRPr="00746ACE" w:rsidRDefault="008E22D3" w:rsidP="00FC0DFB">
      <w:pPr>
        <w:widowControl w:val="0"/>
        <w:rPr>
          <w:b/>
        </w:rPr>
      </w:pPr>
    </w:p>
    <w:p w14:paraId="20B5CD36" w14:textId="5173956F" w:rsidR="00CD1072" w:rsidRPr="00746ACE" w:rsidRDefault="00CD1072" w:rsidP="000B69F5">
      <w:pPr>
        <w:pStyle w:val="Ttulo3"/>
        <w:keepNext w:val="0"/>
        <w:keepLines w:val="0"/>
        <w:widowControl w:val="0"/>
        <w:jc w:val="both"/>
        <w:rPr>
          <w:rFonts w:cs="Times New Roman"/>
          <w:i/>
          <w:color w:val="auto"/>
          <w:sz w:val="28"/>
          <w:szCs w:val="28"/>
          <w:lang w:val="es-ES"/>
        </w:rPr>
      </w:pPr>
      <w:bookmarkStart w:id="66" w:name="_Toc233384216"/>
      <w:r w:rsidRPr="00746ACE">
        <w:rPr>
          <w:rFonts w:cs="Times New Roman"/>
          <w:color w:val="auto"/>
          <w:sz w:val="28"/>
          <w:szCs w:val="28"/>
          <w:lang w:val="es-ES"/>
        </w:rPr>
        <w:t xml:space="preserve">El tratamiento diferenciado entre </w:t>
      </w:r>
      <w:r w:rsidR="00473CCC" w:rsidRPr="00746ACE">
        <w:rPr>
          <w:rFonts w:cs="Times New Roman"/>
          <w:color w:val="auto"/>
          <w:sz w:val="28"/>
          <w:szCs w:val="28"/>
          <w:lang w:val="es-ES"/>
        </w:rPr>
        <w:t xml:space="preserve">los máximos responsables y </w:t>
      </w:r>
      <w:r w:rsidRPr="00746ACE">
        <w:rPr>
          <w:rFonts w:cs="Times New Roman"/>
          <w:color w:val="auto"/>
          <w:sz w:val="28"/>
          <w:szCs w:val="28"/>
          <w:lang w:val="es-ES"/>
        </w:rPr>
        <w:t>los partícipes no determinantes</w:t>
      </w:r>
      <w:r w:rsidR="00473CCC" w:rsidRPr="00746ACE">
        <w:rPr>
          <w:rFonts w:cs="Times New Roman"/>
          <w:color w:val="auto"/>
          <w:sz w:val="28"/>
          <w:szCs w:val="28"/>
          <w:lang w:val="es-ES"/>
        </w:rPr>
        <w:t xml:space="preserve"> objeto de la selección de segundo orden</w:t>
      </w:r>
      <w:r w:rsidRPr="00746ACE">
        <w:rPr>
          <w:rFonts w:cs="Times New Roman"/>
          <w:color w:val="auto"/>
          <w:sz w:val="28"/>
          <w:szCs w:val="28"/>
          <w:lang w:val="es-ES"/>
        </w:rPr>
        <w:t xml:space="preserve"> </w:t>
      </w:r>
      <w:r w:rsidRPr="00746ACE">
        <w:rPr>
          <w:rFonts w:cs="Times New Roman"/>
          <w:b/>
          <w:color w:val="auto"/>
          <w:sz w:val="28"/>
          <w:szCs w:val="28"/>
          <w:lang w:val="es-ES"/>
        </w:rPr>
        <w:t>no</w:t>
      </w:r>
      <w:r w:rsidRPr="00746ACE">
        <w:rPr>
          <w:rFonts w:cs="Times New Roman"/>
          <w:color w:val="auto"/>
          <w:sz w:val="28"/>
          <w:szCs w:val="28"/>
          <w:lang w:val="es-ES"/>
        </w:rPr>
        <w:t xml:space="preserve"> vulnera </w:t>
      </w:r>
      <w:r w:rsidR="00986AC4" w:rsidRPr="00746ACE">
        <w:rPr>
          <w:rFonts w:cs="Times New Roman"/>
          <w:color w:val="auto"/>
          <w:sz w:val="28"/>
          <w:szCs w:val="28"/>
          <w:lang w:val="es-ES"/>
        </w:rPr>
        <w:t>el</w:t>
      </w:r>
      <w:r w:rsidRPr="00746ACE">
        <w:rPr>
          <w:rFonts w:cs="Times New Roman"/>
          <w:color w:val="auto"/>
          <w:sz w:val="28"/>
          <w:szCs w:val="28"/>
          <w:lang w:val="es-ES"/>
        </w:rPr>
        <w:t xml:space="preserve"> principio de igualdad</w:t>
      </w:r>
      <w:bookmarkEnd w:id="66"/>
    </w:p>
    <w:p w14:paraId="798E661B" w14:textId="77777777" w:rsidR="00CD1072" w:rsidRPr="00746ACE" w:rsidRDefault="00CD1072" w:rsidP="00FC0DFB">
      <w:pPr>
        <w:widowControl w:val="0"/>
      </w:pPr>
    </w:p>
    <w:p w14:paraId="66F023AD" w14:textId="01127316" w:rsidR="00CD1072" w:rsidRPr="00746ACE" w:rsidRDefault="00CD1072" w:rsidP="00FC0DFB">
      <w:pPr>
        <w:pStyle w:val="Prrafodelista"/>
        <w:widowControl w:val="0"/>
        <w:numPr>
          <w:ilvl w:val="0"/>
          <w:numId w:val="7"/>
        </w:numPr>
      </w:pPr>
      <w:r w:rsidRPr="00746ACE">
        <w:t xml:space="preserve">Ahora bien, como se ha mencionado a lo largo de este acápite, los ciudadanos de la </w:t>
      </w:r>
      <w:r w:rsidR="00C13251" w:rsidRPr="00746ACE">
        <w:t>Humberto de la</w:t>
      </w:r>
      <w:r w:rsidRPr="00746ACE">
        <w:t xml:space="preserve"> Calle Lombana y </w:t>
      </w:r>
      <w:r w:rsidR="00B20698" w:rsidRPr="00746ACE">
        <w:t>Sergio</w:t>
      </w:r>
      <w:r w:rsidRPr="00746ACE">
        <w:t xml:space="preserve"> Jaramillo Caro cuestionan que los partícipes no determinantes que no aporten verdad ni reconozcan responsabilidad puedan ser remitidos a la Unidad de Investigación y Acusación, lo que puede derivar en una sanción alternativa o una sanción ordinaria —sanciones carcelarias—, pero en ningún caso en una sanción propia —no carcelaria—. Según los demandantes, esto genera un trato diferenciado frente a los máximos responsables, quienes sí pueden acceder a las sanciones propias en el marco del procedimiento ante la Sala de Reconocimiento de Verdad y Responsabilidad. </w:t>
      </w:r>
    </w:p>
    <w:p w14:paraId="25958615" w14:textId="77777777" w:rsidR="00CD1072" w:rsidRPr="00746ACE" w:rsidRDefault="00CD1072" w:rsidP="00FC0DFB">
      <w:pPr>
        <w:widowControl w:val="0"/>
      </w:pPr>
    </w:p>
    <w:p w14:paraId="716D16DA" w14:textId="3134A549" w:rsidR="00B54B75" w:rsidRPr="00746ACE" w:rsidRDefault="00CD1072" w:rsidP="00FC0DFB">
      <w:pPr>
        <w:pStyle w:val="Prrafodelista"/>
        <w:widowControl w:val="0"/>
        <w:numPr>
          <w:ilvl w:val="0"/>
          <w:numId w:val="7"/>
        </w:numPr>
      </w:pPr>
      <w:r w:rsidRPr="00746ACE">
        <w:t xml:space="preserve">Así pues, los demandantes sostienen que, aun cuando los partícipes no determinantes pueden efectuar aportes a la verdad o manifestaciones de reconocimiento en otros escenarios del sistema —incluso ante la Sala de Definición de Situaciones Jurídicas—, </w:t>
      </w:r>
      <w:r w:rsidR="0099694E" w:rsidRPr="00746ACE">
        <w:t xml:space="preserve">estos </w:t>
      </w:r>
      <w:r w:rsidRPr="00746ACE">
        <w:t>se encuentran excluidos de la posibilidad de acceder a una sanción propia y, por ende, a pesar de haber tenido “un grado menor de responsabilidad”</w:t>
      </w:r>
      <w:r w:rsidRPr="00746ACE">
        <w:rPr>
          <w:rStyle w:val="Refdenotaalpie"/>
        </w:rPr>
        <w:footnoteReference w:id="152"/>
      </w:r>
      <w:r w:rsidRPr="00746ACE">
        <w:rPr>
          <w:b/>
        </w:rPr>
        <w:t xml:space="preserve"> </w:t>
      </w:r>
      <w:r w:rsidRPr="00746ACE">
        <w:t>en los hechos investigados, podrían recibir sanciones más gravosas que aquellas previstas para los máximos responsables.</w:t>
      </w:r>
    </w:p>
    <w:p w14:paraId="01129CD0" w14:textId="77777777" w:rsidR="00B54B75" w:rsidRPr="00746ACE" w:rsidRDefault="00B54B75" w:rsidP="00CF1AD1">
      <w:pPr>
        <w:pStyle w:val="Prrafodelista"/>
        <w:widowControl w:val="0"/>
      </w:pPr>
    </w:p>
    <w:p w14:paraId="74458C1F" w14:textId="2F7998B9" w:rsidR="00CD1072" w:rsidRPr="00746ACE" w:rsidRDefault="00CD1072" w:rsidP="00FC0DFB">
      <w:pPr>
        <w:pStyle w:val="Prrafodelista"/>
        <w:widowControl w:val="0"/>
        <w:numPr>
          <w:ilvl w:val="0"/>
          <w:numId w:val="7"/>
        </w:numPr>
      </w:pPr>
      <w:r w:rsidRPr="00746ACE">
        <w:t>Por consiguiente, a juicio de los ciudadanos, mientras estos últimos pueden beneficiarse de una sanción propia de naturaleza restaurativa</w:t>
      </w:r>
      <w:r w:rsidR="00222459" w:rsidRPr="00746ACE">
        <w:t xml:space="preserve">, que </w:t>
      </w:r>
      <w:r w:rsidRPr="00746ACE">
        <w:t xml:space="preserve">no </w:t>
      </w:r>
      <w:r w:rsidR="00222459" w:rsidRPr="00746ACE">
        <w:t>incluye privación de la libertad intramural,</w:t>
      </w:r>
      <w:r w:rsidRPr="00746ACE">
        <w:t xml:space="preserve"> al reconocer responsabilidad dentro del procedimiento dialógico, los partícipes no determinantes ubicados en un punto intermedio de responsabilidad quedarían sujetos a sanciones alternativas o incluso ordinarias que implican la privación efectiva de la libertad.</w:t>
      </w:r>
    </w:p>
    <w:p w14:paraId="2B1D7FD1" w14:textId="77777777" w:rsidR="00CD1072" w:rsidRPr="00746ACE" w:rsidRDefault="00CD1072" w:rsidP="00FC0DFB">
      <w:pPr>
        <w:widowControl w:val="0"/>
      </w:pPr>
    </w:p>
    <w:p w14:paraId="25BD46D3" w14:textId="2956917A" w:rsidR="00CD1072" w:rsidRPr="00746ACE" w:rsidRDefault="00CD1072" w:rsidP="00FC0DFB">
      <w:pPr>
        <w:pStyle w:val="Prrafodelista"/>
        <w:widowControl w:val="0"/>
        <w:numPr>
          <w:ilvl w:val="0"/>
          <w:numId w:val="7"/>
        </w:numPr>
      </w:pPr>
      <w:r w:rsidRPr="00746ACE">
        <w:t>En este orden de ideas, para analizar la constitucionalidad de la medida que introdujo la Sección de Apelación en la Senit 5 a la luz de</w:t>
      </w:r>
      <w:r w:rsidR="00AF3FD0" w:rsidRPr="00746ACE">
        <w:t>l</w:t>
      </w:r>
      <w:r w:rsidRPr="00746ACE">
        <w:t xml:space="preserve"> principio de igualdad, la Corte aplicará la metodología del juicio de igualdad. Esta metodología busca establecer si una diferencia de trato entre sujetos en situaciones comparables persigue un fin constitucional legítimo o, por el contrario, constituye una discriminación prohibida. El juicio de igualdad admite tres niveles de intensidad: débil, intermedio y estricto</w:t>
      </w:r>
      <w:r w:rsidRPr="00746ACE">
        <w:rPr>
          <w:rStyle w:val="Refdenotaalpie"/>
        </w:rPr>
        <w:footnoteReference w:id="153"/>
      </w:r>
      <w:r w:rsidRPr="00746ACE">
        <w:t xml:space="preserve">. </w:t>
      </w:r>
    </w:p>
    <w:p w14:paraId="6952D495" w14:textId="77777777" w:rsidR="00CD1072" w:rsidRPr="00746ACE" w:rsidRDefault="00CD1072" w:rsidP="00FC0DFB">
      <w:pPr>
        <w:widowControl w:val="0"/>
      </w:pPr>
    </w:p>
    <w:p w14:paraId="29B2405B" w14:textId="4FAC9C31" w:rsidR="00CD1072" w:rsidRPr="00746ACE" w:rsidRDefault="00CD1072" w:rsidP="00FC0DFB">
      <w:pPr>
        <w:pStyle w:val="Prrafodelista"/>
        <w:widowControl w:val="0"/>
        <w:numPr>
          <w:ilvl w:val="0"/>
          <w:numId w:val="7"/>
        </w:numPr>
      </w:pPr>
      <w:r w:rsidRPr="00746ACE">
        <w:t xml:space="preserve">En el caso concreto, la interpretación que fijó la Sección de Apelación permite que la Sala de Definición de Situaciones Jurídicas, en ejercicio de la selección de segundo orden, remita a los comparecientes no seleccionados a la Unidad de Investigación y Acusación. Como consecuencia, estos pueden ser </w:t>
      </w:r>
      <w:r w:rsidR="00056565" w:rsidRPr="00746ACE">
        <w:t>sujetos</w:t>
      </w:r>
      <w:r w:rsidRPr="00746ACE">
        <w:t xml:space="preserve"> de sanciones alternativas u ordinarias —que implican privación efectiva de la libertad—, lo que incide </w:t>
      </w:r>
      <w:r w:rsidR="00056565" w:rsidRPr="00746ACE">
        <w:t>de manera directa</w:t>
      </w:r>
      <w:r w:rsidRPr="00746ACE">
        <w:t xml:space="preserve"> en su derecho fundamental a la libertad personal y puede incidir en otros derechos como la unidad familiar y la libre locomoción. Así pues, en atención a la incidencia directa de la medida sobre derechos fundamentales</w:t>
      </w:r>
      <w:r w:rsidRPr="00746ACE">
        <w:rPr>
          <w:rStyle w:val="Refdenotaalpie"/>
        </w:rPr>
        <w:footnoteReference w:id="154"/>
      </w:r>
      <w:r w:rsidRPr="00746ACE">
        <w:t>, este Tribunal considera que debe aplicar el nivel estricto del juicio de igualdad</w:t>
      </w:r>
      <w:r w:rsidR="00AF3FD0" w:rsidRPr="00746ACE">
        <w:rPr>
          <w:rStyle w:val="Refdenotaalpie"/>
        </w:rPr>
        <w:footnoteReference w:id="155"/>
      </w:r>
      <w:r w:rsidRPr="00746ACE">
        <w:t>.</w:t>
      </w:r>
    </w:p>
    <w:p w14:paraId="26561C60" w14:textId="77777777" w:rsidR="00CD1072" w:rsidRPr="00746ACE" w:rsidRDefault="00CD1072" w:rsidP="00FC0DFB">
      <w:pPr>
        <w:widowControl w:val="0"/>
      </w:pPr>
    </w:p>
    <w:p w14:paraId="508B6903" w14:textId="77777777" w:rsidR="00CD1072" w:rsidRPr="00746ACE" w:rsidRDefault="00CD1072" w:rsidP="00FC0DFB">
      <w:pPr>
        <w:pStyle w:val="Prrafodelista"/>
        <w:widowControl w:val="0"/>
        <w:numPr>
          <w:ilvl w:val="0"/>
          <w:numId w:val="7"/>
        </w:numPr>
      </w:pPr>
      <w:r w:rsidRPr="00746ACE">
        <w:t xml:space="preserve">No obstante, para la aplicación del </w:t>
      </w:r>
      <w:r w:rsidRPr="00746ACE">
        <w:rPr>
          <w:i/>
        </w:rPr>
        <w:t>test</w:t>
      </w:r>
      <w:r w:rsidRPr="00746ACE">
        <w:t xml:space="preserve"> es necesario constatar previamente que se trata de sujetos comparables y que, aunque se encuentren en una situación similar, reciben un trato diferenciado. </w:t>
      </w:r>
    </w:p>
    <w:p w14:paraId="0F4885A3" w14:textId="77777777" w:rsidR="00CD1072" w:rsidRPr="00746ACE" w:rsidRDefault="00CD1072" w:rsidP="00FC0DFB">
      <w:pPr>
        <w:widowControl w:val="0"/>
      </w:pPr>
    </w:p>
    <w:p w14:paraId="6C3B871E" w14:textId="4275C937" w:rsidR="00CD1072" w:rsidRPr="00746ACE" w:rsidRDefault="00CD1072" w:rsidP="00FC0DFB">
      <w:pPr>
        <w:pStyle w:val="Prrafodelista"/>
        <w:widowControl w:val="0"/>
        <w:numPr>
          <w:ilvl w:val="0"/>
          <w:numId w:val="7"/>
        </w:numPr>
      </w:pPr>
      <w:r w:rsidRPr="00746ACE">
        <w:t xml:space="preserve">En este caso, los grupos de comparación objeto del examen son, de un lado, los comparecientes que fueron seleccionados por la Sala de Reconocimiento de Verdad y Responsabilidad como máximos responsables, quienes aportaron verdad suficiente y reconocieron responsabilidad en el marco del procedimiento dialógico. De otro lado, se encuentran los partícipes </w:t>
      </w:r>
      <w:r w:rsidR="004D1619" w:rsidRPr="00746ACE">
        <w:t>no</w:t>
      </w:r>
      <w:r w:rsidR="00827D60" w:rsidRPr="00746ACE">
        <w:t xml:space="preserve"> determinantes</w:t>
      </w:r>
      <w:r w:rsidRPr="00746ACE">
        <w:t xml:space="preserve"> que no han cumplido con su deber de aportar verdad plena ante la Sala de Definición de Situaciones Jurídicas</w:t>
      </w:r>
      <w:r w:rsidR="003C5626" w:rsidRPr="00746ACE">
        <w:t>. Cuando estos últimos tienen</w:t>
      </w:r>
      <w:r w:rsidRPr="00746ACE">
        <w:t xml:space="preserve"> una condena en firme proferida por la jurisdicción penal ordinaria, </w:t>
      </w:r>
      <w:r w:rsidR="003C5626" w:rsidRPr="00746ACE">
        <w:t>tienen</w:t>
      </w:r>
      <w:r w:rsidRPr="00746ACE">
        <w:t xml:space="preserve"> el deber de reconocer responsabilidad como parte de su aporte a la verdad</w:t>
      </w:r>
      <w:r w:rsidR="004D1619" w:rsidRPr="00746ACE">
        <w:rPr>
          <w:rStyle w:val="Refdenotaalpie"/>
        </w:rPr>
        <w:footnoteReference w:id="156"/>
      </w:r>
      <w:r w:rsidRPr="00746ACE">
        <w:t xml:space="preserve">. </w:t>
      </w:r>
    </w:p>
    <w:p w14:paraId="42BB7FFC" w14:textId="77777777" w:rsidR="00CD1072" w:rsidRPr="00746ACE" w:rsidRDefault="00CD1072" w:rsidP="00FC0DFB">
      <w:pPr>
        <w:widowControl w:val="0"/>
      </w:pPr>
    </w:p>
    <w:p w14:paraId="67661649" w14:textId="77777777" w:rsidR="003C5626" w:rsidRPr="00746ACE" w:rsidRDefault="00CD1072" w:rsidP="00FC0DFB">
      <w:pPr>
        <w:pStyle w:val="Prrafodelista"/>
        <w:widowControl w:val="0"/>
        <w:numPr>
          <w:ilvl w:val="0"/>
          <w:numId w:val="7"/>
        </w:numPr>
      </w:pPr>
      <w:r w:rsidRPr="00746ACE">
        <w:t xml:space="preserve">No obstante, la Corte considera que los grupos descritos, incluso sin tener en cuenta las sanciones o consecuencias que eventualmente podrían derivarse para cada uno, no se encuentran en situaciones fácticas y jurídicas comparables. </w:t>
      </w:r>
    </w:p>
    <w:p w14:paraId="5271E8CD" w14:textId="77777777" w:rsidR="003C5626" w:rsidRPr="00746ACE" w:rsidRDefault="003C5626" w:rsidP="0099694E">
      <w:pPr>
        <w:widowControl w:val="0"/>
      </w:pPr>
    </w:p>
    <w:p w14:paraId="20337EEA" w14:textId="47DA3AEF" w:rsidR="003C5626" w:rsidRPr="00746ACE" w:rsidRDefault="00CD1072" w:rsidP="00FC0DFB">
      <w:pPr>
        <w:pStyle w:val="Prrafodelista"/>
        <w:widowControl w:val="0"/>
        <w:numPr>
          <w:ilvl w:val="0"/>
          <w:numId w:val="7"/>
        </w:numPr>
      </w:pPr>
      <w:r w:rsidRPr="00746ACE">
        <w:t xml:space="preserve">En efecto, los máximos responsables seleccionados por la Sala de Reconocimiento de Verdad y Responsabilidad ostentan un mayor grado de participación en los hechos investigados, pero cumplieron con las obligaciones que les exige el modelo de justicia transicional, </w:t>
      </w:r>
      <w:r w:rsidR="007117C1" w:rsidRPr="00746ACE">
        <w:t xml:space="preserve">en </w:t>
      </w:r>
      <w:r w:rsidRPr="00746ACE">
        <w:t>particular</w:t>
      </w:r>
      <w:r w:rsidR="007117C1" w:rsidRPr="00746ACE">
        <w:t xml:space="preserve">, </w:t>
      </w:r>
      <w:r w:rsidRPr="00746ACE">
        <w:t xml:space="preserve">en cuanto al aporte suficiente a la verdad y el reconocimiento de responsabilidad en el marco del procedimiento dialógico. </w:t>
      </w:r>
    </w:p>
    <w:p w14:paraId="729897AB" w14:textId="77777777" w:rsidR="003C5626" w:rsidRPr="00746ACE" w:rsidRDefault="003C5626" w:rsidP="00CF1AD1">
      <w:pPr>
        <w:pStyle w:val="Prrafodelista"/>
        <w:widowControl w:val="0"/>
      </w:pPr>
    </w:p>
    <w:p w14:paraId="2E29CA94" w14:textId="5AFFBE47" w:rsidR="00CD1072" w:rsidRPr="00746ACE" w:rsidRDefault="00CD1072" w:rsidP="00FC0DFB">
      <w:pPr>
        <w:pStyle w:val="Prrafodelista"/>
        <w:widowControl w:val="0"/>
        <w:numPr>
          <w:ilvl w:val="0"/>
          <w:numId w:val="7"/>
        </w:numPr>
      </w:pPr>
      <w:r w:rsidRPr="00746ACE">
        <w:t xml:space="preserve">Por el contrario, los comparecientes del segundo grupo se encuentran en una situación jurídica distinta, puesto que, aunque no fueron identificados como máximos responsables, no han satisfecho sus obligaciones dentro del </w:t>
      </w:r>
      <w:r w:rsidR="006F300E" w:rsidRPr="00746ACE">
        <w:t>s</w:t>
      </w:r>
      <w:r w:rsidRPr="00746ACE">
        <w:t>istema</w:t>
      </w:r>
      <w:r w:rsidR="006F300E" w:rsidRPr="00746ACE">
        <w:t xml:space="preserve"> transicional</w:t>
      </w:r>
      <w:r w:rsidRPr="00746ACE">
        <w:t xml:space="preserve">. Adicionalmente, en el caso de quienes cuentan con una condena en firme de la jurisdicción ordinaria que desvirtuó su presunción de inocencia, esta circunstancia constituye un factor adicional de diferenciación. </w:t>
      </w:r>
    </w:p>
    <w:p w14:paraId="144D560D" w14:textId="77777777" w:rsidR="00CD1072" w:rsidRPr="00746ACE" w:rsidRDefault="00CD1072" w:rsidP="00FC0DFB">
      <w:pPr>
        <w:widowControl w:val="0"/>
      </w:pPr>
    </w:p>
    <w:p w14:paraId="0E695DDD" w14:textId="77777777" w:rsidR="00D9610B" w:rsidRPr="00746ACE" w:rsidRDefault="00CD1072" w:rsidP="004D1619">
      <w:pPr>
        <w:pStyle w:val="Prrafodelista"/>
        <w:widowControl w:val="0"/>
        <w:numPr>
          <w:ilvl w:val="0"/>
          <w:numId w:val="7"/>
        </w:numPr>
      </w:pPr>
      <w:r w:rsidRPr="00746ACE">
        <w:t xml:space="preserve">Así, la diferencia entre ambos grupos no radica únicamente en el nivel de responsabilidad que les atribuyó la Sala de Reconocimiento de Verdad y Responsabilidad (SRVR) frente a los </w:t>
      </w:r>
      <w:r w:rsidR="00F0346A" w:rsidRPr="00746ACE">
        <w:t>macro casos</w:t>
      </w:r>
      <w:r w:rsidRPr="00746ACE">
        <w:t>, sino también en su comportamiento frente a las exigencias de la justicia transicional, lo que impide considerarlos como sujetos equivalentes para efectos del juicio de igualdad.</w:t>
      </w:r>
    </w:p>
    <w:p w14:paraId="7B428F85" w14:textId="77777777" w:rsidR="00D9610B" w:rsidRPr="00746ACE" w:rsidRDefault="00D9610B" w:rsidP="00D9610B">
      <w:pPr>
        <w:pStyle w:val="Prrafodelista"/>
      </w:pPr>
    </w:p>
    <w:p w14:paraId="4963942D" w14:textId="680CA537" w:rsidR="004D1619" w:rsidRPr="00746ACE" w:rsidRDefault="004D1619" w:rsidP="004D1619">
      <w:pPr>
        <w:pStyle w:val="Prrafodelista"/>
        <w:widowControl w:val="0"/>
        <w:numPr>
          <w:ilvl w:val="0"/>
          <w:numId w:val="7"/>
        </w:numPr>
      </w:pPr>
      <w:r w:rsidRPr="00746ACE">
        <w:t xml:space="preserve">Asimismo, cabe resaltar que, como lo ha señalado esta Corporación en otras decisiones, la diferenciación entre máximos responsables y partícipes no determinantes no solo corresponde a una diferencia fáctica, sino a </w:t>
      </w:r>
      <w:r w:rsidR="00DD4E06" w:rsidRPr="00746ACE">
        <w:t>la concepción normativa y constitucional del principio de selección</w:t>
      </w:r>
      <w:r w:rsidRPr="00746ACE">
        <w:t xml:space="preserve">, lo que implica que el trato diferenciado no es </w:t>
      </w:r>
      <w:r w:rsidR="00DD4E06" w:rsidRPr="00746ACE">
        <w:t xml:space="preserve">solo </w:t>
      </w:r>
      <w:r w:rsidRPr="00746ACE">
        <w:t>admisible, sino estructuralmente necesari</w:t>
      </w:r>
      <w:r w:rsidR="00485716" w:rsidRPr="00746ACE">
        <w:t>o</w:t>
      </w:r>
      <w:r w:rsidRPr="00746ACE">
        <w:t xml:space="preserve"> para evitar la dispersión de los esfuerzos de la jurisdicción transicional y la impunidad de facto</w:t>
      </w:r>
      <w:r w:rsidRPr="00746ACE">
        <w:rPr>
          <w:rStyle w:val="Refdenotaalpie"/>
        </w:rPr>
        <w:footnoteReference w:id="157"/>
      </w:r>
      <w:r w:rsidRPr="00746ACE">
        <w:t>.</w:t>
      </w:r>
    </w:p>
    <w:p w14:paraId="516EF11C" w14:textId="77777777" w:rsidR="00CD1072" w:rsidRPr="00746ACE" w:rsidRDefault="00CD1072" w:rsidP="00FC0DFB">
      <w:pPr>
        <w:widowControl w:val="0"/>
        <w:textAlignment w:val="baseline"/>
      </w:pPr>
    </w:p>
    <w:p w14:paraId="28249EB5" w14:textId="781F7A7D" w:rsidR="00CD1072" w:rsidRPr="00746ACE" w:rsidRDefault="00CD1072" w:rsidP="00FC0DFB">
      <w:pPr>
        <w:pStyle w:val="Prrafodelista"/>
        <w:widowControl w:val="0"/>
        <w:numPr>
          <w:ilvl w:val="0"/>
          <w:numId w:val="7"/>
        </w:numPr>
        <w:rPr>
          <w:lang w:val="es-CO"/>
        </w:rPr>
      </w:pPr>
      <w:r w:rsidRPr="00746ACE">
        <w:t xml:space="preserve">Por esta razón, la Corte concluye que el tratamiento diferenciado entre los partícipes no determinantes </w:t>
      </w:r>
      <w:r w:rsidR="00427790" w:rsidRPr="00746ACE">
        <w:t>sujetos</w:t>
      </w:r>
      <w:r w:rsidRPr="00746ACE">
        <w:t xml:space="preserve"> de la selección de segundo orden y los máximos responsables no vulnera </w:t>
      </w:r>
      <w:r w:rsidR="006F300E" w:rsidRPr="00746ACE">
        <w:t>el</w:t>
      </w:r>
      <w:r w:rsidRPr="00746ACE">
        <w:t xml:space="preserve"> principio de igualdad</w:t>
      </w:r>
      <w:r w:rsidR="006F300E" w:rsidRPr="00746ACE">
        <w:t xml:space="preserve">, </w:t>
      </w:r>
      <w:r w:rsidR="00CA3766" w:rsidRPr="00746ACE">
        <w:t>pues los grupos confrontados no se encuentran en situaciones fácticas y jurídicas equivalentes que permitan adelantar un juicio de este tipo.</w:t>
      </w:r>
      <w:r w:rsidR="00742777" w:rsidRPr="00746ACE">
        <w:t xml:space="preserve"> </w:t>
      </w:r>
    </w:p>
    <w:p w14:paraId="6100A215" w14:textId="77777777" w:rsidR="006F300E" w:rsidRPr="00746ACE" w:rsidRDefault="006F300E" w:rsidP="00CF1AD1">
      <w:pPr>
        <w:pStyle w:val="Prrafodelista"/>
        <w:widowControl w:val="0"/>
      </w:pPr>
    </w:p>
    <w:p w14:paraId="7BAB1BCF" w14:textId="6E127075" w:rsidR="00CA3766" w:rsidRPr="00746ACE" w:rsidRDefault="00723D60" w:rsidP="000B69F5">
      <w:pPr>
        <w:pStyle w:val="Ttulo3"/>
        <w:keepNext w:val="0"/>
        <w:keepLines w:val="0"/>
        <w:widowControl w:val="0"/>
        <w:jc w:val="both"/>
        <w:rPr>
          <w:rFonts w:cs="Times New Roman"/>
          <w:color w:val="auto"/>
          <w:sz w:val="28"/>
          <w:szCs w:val="28"/>
          <w:lang w:val="es-ES"/>
        </w:rPr>
      </w:pPr>
      <w:bookmarkStart w:id="67" w:name="_Toc233384217"/>
      <w:r w:rsidRPr="00746ACE">
        <w:rPr>
          <w:rFonts w:cs="Times New Roman"/>
          <w:color w:val="auto"/>
          <w:sz w:val="28"/>
          <w:szCs w:val="28"/>
          <w:lang w:val="es-ES"/>
        </w:rPr>
        <w:t>Análisis de fondo</w:t>
      </w:r>
      <w:bookmarkEnd w:id="67"/>
      <w:r w:rsidRPr="00746ACE">
        <w:rPr>
          <w:rFonts w:cs="Times New Roman"/>
          <w:color w:val="auto"/>
          <w:sz w:val="28"/>
          <w:szCs w:val="28"/>
          <w:lang w:val="es-ES"/>
        </w:rPr>
        <w:t xml:space="preserve"> </w:t>
      </w:r>
    </w:p>
    <w:p w14:paraId="0A0E4884" w14:textId="5FC6FEE6" w:rsidR="006F300E" w:rsidRPr="00746ACE" w:rsidRDefault="006F300E" w:rsidP="00FC0DFB">
      <w:pPr>
        <w:widowControl w:val="0"/>
      </w:pPr>
    </w:p>
    <w:p w14:paraId="52EA2AA1" w14:textId="44DDC784" w:rsidR="00CA3766" w:rsidRPr="00746ACE" w:rsidRDefault="00CA3766" w:rsidP="00FC0DFB">
      <w:pPr>
        <w:pStyle w:val="Prrafodelista"/>
        <w:widowControl w:val="0"/>
        <w:numPr>
          <w:ilvl w:val="0"/>
          <w:numId w:val="7"/>
        </w:numPr>
      </w:pPr>
      <w:r w:rsidRPr="00746ACE">
        <w:t>Según lo anunció la Corte al comienzo de este acápite, l</w:t>
      </w:r>
      <w:r w:rsidR="00890AB4" w:rsidRPr="00746ACE">
        <w:t xml:space="preserve">e corresponde a la </w:t>
      </w:r>
      <w:r w:rsidRPr="00746ACE">
        <w:t xml:space="preserve">Sala </w:t>
      </w:r>
      <w:r w:rsidR="00890AB4" w:rsidRPr="00746ACE">
        <w:t>examinar</w:t>
      </w:r>
      <w:r w:rsidRPr="00746ACE">
        <w:t>, además de la vulneración</w:t>
      </w:r>
      <w:r w:rsidR="00890AB4" w:rsidRPr="00746ACE">
        <w:t xml:space="preserve"> alegada</w:t>
      </w:r>
      <w:r w:rsidRPr="00746ACE">
        <w:t xml:space="preserve"> del debido proceso y </w:t>
      </w:r>
      <w:r w:rsidR="00860B1F" w:rsidRPr="00746ACE">
        <w:t>d</w:t>
      </w:r>
      <w:r w:rsidR="00890AB4" w:rsidRPr="00746ACE">
        <w:t>el principio de igualdad</w:t>
      </w:r>
      <w:r w:rsidRPr="00746ACE">
        <w:t xml:space="preserve">, si la interpretación que fijó la Sección de Apelación en la Senit 5 </w:t>
      </w:r>
      <w:r w:rsidR="00890AB4" w:rsidRPr="00746ACE">
        <w:t>desconoce</w:t>
      </w:r>
      <w:r w:rsidRPr="00746ACE">
        <w:t xml:space="preserve"> el principio de proporcionalidad de las sanciones. </w:t>
      </w:r>
    </w:p>
    <w:p w14:paraId="73CA3353" w14:textId="77777777" w:rsidR="008C3C7C" w:rsidRPr="00746ACE" w:rsidRDefault="008C3C7C" w:rsidP="00FC0DFB">
      <w:pPr>
        <w:pStyle w:val="Prrafodelista"/>
        <w:widowControl w:val="0"/>
        <w:ind w:left="0"/>
      </w:pPr>
    </w:p>
    <w:p w14:paraId="722C638B" w14:textId="77777777" w:rsidR="00231B45" w:rsidRPr="00746ACE" w:rsidRDefault="008C3C7C" w:rsidP="00FC0DFB">
      <w:pPr>
        <w:pStyle w:val="Prrafodelista"/>
        <w:widowControl w:val="0"/>
        <w:numPr>
          <w:ilvl w:val="0"/>
          <w:numId w:val="7"/>
        </w:numPr>
        <w:textAlignment w:val="baseline"/>
      </w:pPr>
      <w:r w:rsidRPr="00746ACE">
        <w:t xml:space="preserve">Para los demandantes, el principio de proporcionalidad de las sanciones hace parte del marco jurídico que regula </w:t>
      </w:r>
      <w:r w:rsidR="005E2332" w:rsidRPr="00746ACE">
        <w:t xml:space="preserve">la </w:t>
      </w:r>
      <w:r w:rsidR="00C2116A" w:rsidRPr="00746ACE">
        <w:t>jurisdicción transicional;</w:t>
      </w:r>
      <w:r w:rsidRPr="00746ACE">
        <w:t xml:space="preserve"> en particular</w:t>
      </w:r>
      <w:r w:rsidR="00890AB4" w:rsidRPr="00746ACE">
        <w:t xml:space="preserve"> </w:t>
      </w:r>
      <w:r w:rsidR="005E2332" w:rsidRPr="00746ACE">
        <w:t xml:space="preserve">en </w:t>
      </w:r>
      <w:r w:rsidR="00C2116A" w:rsidRPr="00746ACE">
        <w:t>el</w:t>
      </w:r>
      <w:r w:rsidR="005E2332" w:rsidRPr="00746ACE">
        <w:t xml:space="preserve"> artículo 31</w:t>
      </w:r>
      <w:r w:rsidR="00C2116A" w:rsidRPr="00746ACE">
        <w:t xml:space="preserve"> de la </w:t>
      </w:r>
      <w:r w:rsidR="005E2332" w:rsidRPr="00746ACE">
        <w:t>Ley Estatutaria de la Administración de Justicia en la JEP</w:t>
      </w:r>
      <w:r w:rsidRPr="00746ACE">
        <w:t xml:space="preserve">, </w:t>
      </w:r>
      <w:r w:rsidR="00890AB4" w:rsidRPr="00746ACE">
        <w:t xml:space="preserve">relacionado con </w:t>
      </w:r>
      <w:r w:rsidR="005E2332" w:rsidRPr="00746ACE">
        <w:t>la participación política</w:t>
      </w:r>
      <w:r w:rsidRPr="00746ACE">
        <w:rPr>
          <w:rStyle w:val="Refdenotaalpie"/>
        </w:rPr>
        <w:footnoteReference w:id="158"/>
      </w:r>
      <w:r w:rsidR="00890AB4" w:rsidRPr="00746ACE">
        <w:t>,</w:t>
      </w:r>
      <w:r w:rsidR="005E2332" w:rsidRPr="00746ACE">
        <w:t xml:space="preserve"> y en el artículo 134 de la </w:t>
      </w:r>
      <w:r w:rsidR="00C2116A" w:rsidRPr="00746ACE">
        <w:t>misma norma</w:t>
      </w:r>
      <w:r w:rsidR="00890AB4" w:rsidRPr="00746ACE">
        <w:t>, que regula</w:t>
      </w:r>
      <w:r w:rsidR="005E2332" w:rsidRPr="00746ACE">
        <w:t xml:space="preserve"> el contenido y </w:t>
      </w:r>
      <w:r w:rsidR="00890AB4" w:rsidRPr="00746ACE">
        <w:t xml:space="preserve">la </w:t>
      </w:r>
      <w:r w:rsidR="005E2332" w:rsidRPr="00746ACE">
        <w:t>dosificación de la sanción</w:t>
      </w:r>
      <w:r w:rsidR="005E2332" w:rsidRPr="00746ACE">
        <w:rPr>
          <w:rStyle w:val="Refdenotaalpie"/>
        </w:rPr>
        <w:footnoteReference w:id="159"/>
      </w:r>
      <w:r w:rsidRPr="00746ACE">
        <w:t>.</w:t>
      </w:r>
      <w:r w:rsidR="005E2332" w:rsidRPr="00746ACE">
        <w:t xml:space="preserve"> </w:t>
      </w:r>
    </w:p>
    <w:p w14:paraId="2BF3C362" w14:textId="77777777" w:rsidR="00231B45" w:rsidRPr="00746ACE" w:rsidRDefault="00231B45" w:rsidP="003C0CEB">
      <w:pPr>
        <w:widowControl w:val="0"/>
      </w:pPr>
    </w:p>
    <w:p w14:paraId="1FE94FEF" w14:textId="4010DA4E" w:rsidR="00CD1072" w:rsidRPr="00746ACE" w:rsidRDefault="005E2332" w:rsidP="00FC0DFB">
      <w:pPr>
        <w:pStyle w:val="Prrafodelista"/>
        <w:widowControl w:val="0"/>
        <w:numPr>
          <w:ilvl w:val="0"/>
          <w:numId w:val="7"/>
        </w:numPr>
        <w:textAlignment w:val="baseline"/>
      </w:pPr>
      <w:r w:rsidRPr="00746ACE">
        <w:t xml:space="preserve">En esta última disposición, </w:t>
      </w:r>
      <w:r w:rsidR="00C66F74" w:rsidRPr="00746ACE">
        <w:t>la ley estatutaria establece como criterios relevantes:</w:t>
      </w:r>
      <w:r w:rsidR="008C3C7C" w:rsidRPr="00746ACE">
        <w:t xml:space="preserve"> </w:t>
      </w:r>
      <w:r w:rsidRPr="00746ACE">
        <w:t xml:space="preserve">(i) el grado de verdad, (ii) la gravedad de la conducta, (iii) el nivel de participación y responsabilidad, (iv) los criterios de mayor y menor punibilidad, y (v) los compromisos en materia de reparación y no repetición. Asimismo, los ciudadanos explicaron que la </w:t>
      </w:r>
      <w:r w:rsidR="00C66F74" w:rsidRPr="00746ACE">
        <w:t xml:space="preserve">Corte Constitucional </w:t>
      </w:r>
      <w:r w:rsidRPr="00746ACE">
        <w:t>se pronunció sobre la proporcionalidad de las sanciones de la JEP en las sentencias C-674 de 2017 y C-080 de 2018,</w:t>
      </w:r>
      <w:r w:rsidR="00C66F74" w:rsidRPr="00746ACE">
        <w:t xml:space="preserve"> en las cuales</w:t>
      </w:r>
      <w:r w:rsidRPr="00746ACE">
        <w:t xml:space="preserve"> reconoció las obligaciones internacionales del Estado</w:t>
      </w:r>
      <w:r w:rsidR="00C66F74" w:rsidRPr="00746ACE">
        <w:t xml:space="preserve"> colombiano</w:t>
      </w:r>
      <w:r w:rsidRPr="00746ACE">
        <w:t xml:space="preserve"> </w:t>
      </w:r>
      <w:r w:rsidR="00C66F74" w:rsidRPr="00746ACE">
        <w:t>sobre</w:t>
      </w:r>
      <w:r w:rsidR="00860B1F" w:rsidRPr="00746ACE">
        <w:t xml:space="preserve"> el</w:t>
      </w:r>
      <w:r w:rsidRPr="00746ACE">
        <w:t xml:space="preserve"> deber de investigar, juzgar y sancionar, y </w:t>
      </w:r>
      <w:r w:rsidR="00C66F74" w:rsidRPr="00746ACE">
        <w:t>precisó</w:t>
      </w:r>
      <w:r w:rsidRPr="00746ACE">
        <w:t xml:space="preserve"> que las sanciones deben ser proporcionales a la gravedad de la conducta</w:t>
      </w:r>
      <w:r w:rsidR="0069166E" w:rsidRPr="00746ACE">
        <w:t>,</w:t>
      </w:r>
      <w:r w:rsidRPr="00746ACE">
        <w:t xml:space="preserve"> el grado de reconocimiento de verdad y responsabilidad</w:t>
      </w:r>
      <w:r w:rsidR="0069166E" w:rsidRPr="00746ACE">
        <w:t>, y la finalidad restaurativa del sistema</w:t>
      </w:r>
      <w:r w:rsidRPr="00746ACE">
        <w:t>.</w:t>
      </w:r>
    </w:p>
    <w:p w14:paraId="3FF247F3" w14:textId="77777777" w:rsidR="00890AB4" w:rsidRPr="00746ACE" w:rsidRDefault="00890AB4" w:rsidP="00CF1AD1">
      <w:pPr>
        <w:widowControl w:val="0"/>
      </w:pPr>
    </w:p>
    <w:p w14:paraId="647BA2EA" w14:textId="153268BF" w:rsidR="00B3194C" w:rsidRPr="00746ACE" w:rsidRDefault="00C66F74" w:rsidP="00FC0DFB">
      <w:pPr>
        <w:pStyle w:val="Prrafodelista"/>
        <w:widowControl w:val="0"/>
        <w:numPr>
          <w:ilvl w:val="0"/>
          <w:numId w:val="7"/>
        </w:numPr>
        <w:textAlignment w:val="baseline"/>
      </w:pPr>
      <w:r w:rsidRPr="00746ACE">
        <w:t xml:space="preserve">En esta línea, los </w:t>
      </w:r>
      <w:r w:rsidR="00C2116A" w:rsidRPr="00746ACE">
        <w:t>ciudadanos</w:t>
      </w:r>
      <w:r w:rsidRPr="00746ACE">
        <w:t xml:space="preserve"> de </w:t>
      </w:r>
      <w:r w:rsidR="00F0346A" w:rsidRPr="00746ACE">
        <w:t xml:space="preserve">Humberto de </w:t>
      </w:r>
      <w:r w:rsidRPr="00746ACE">
        <w:t xml:space="preserve">la Calle Lombana y </w:t>
      </w:r>
      <w:r w:rsidR="00F0346A" w:rsidRPr="00746ACE">
        <w:t xml:space="preserve">Sergio </w:t>
      </w:r>
      <w:r w:rsidRPr="00746ACE">
        <w:t>Jaramillo Caro sostuvieron que el principio de proporcionalidad de las sanciones constituye una exigencia derivada tanto del derecho interno como de las obligaciones internacionales del Estado colombiano</w:t>
      </w:r>
      <w:r w:rsidRPr="00746ACE">
        <w:rPr>
          <w:rStyle w:val="Refdenotaalpie"/>
        </w:rPr>
        <w:footnoteReference w:id="160"/>
      </w:r>
      <w:r w:rsidRPr="00746ACE">
        <w:t xml:space="preserve">. </w:t>
      </w:r>
      <w:r w:rsidR="00204321" w:rsidRPr="00746ACE">
        <w:t xml:space="preserve">Además, explicaron que </w:t>
      </w:r>
      <w:r w:rsidR="00C2116A" w:rsidRPr="00746ACE">
        <w:t>el principio</w:t>
      </w:r>
      <w:r w:rsidR="00204321" w:rsidRPr="00746ACE">
        <w:t xml:space="preserve"> debe evaluarse </w:t>
      </w:r>
      <w:r w:rsidR="007B60E2" w:rsidRPr="00746ACE">
        <w:t xml:space="preserve">dentro de la lógica </w:t>
      </w:r>
      <w:r w:rsidR="00204321" w:rsidRPr="00746ACE">
        <w:t xml:space="preserve">del sistema de justicia transicional y no mediante una comparación con las sanciones previstas en la justicia penal ordinaria, pues se trata de modelos con finalidades distintas. </w:t>
      </w:r>
      <w:r w:rsidR="00B3194C" w:rsidRPr="00746ACE">
        <w:t>Así</w:t>
      </w:r>
      <w:r w:rsidR="00204321" w:rsidRPr="00746ACE">
        <w:t xml:space="preserve">, argumentaron que, dentro del sistema transicional, no puede ocurrir que los </w:t>
      </w:r>
      <w:r w:rsidR="00B3194C" w:rsidRPr="00746ACE">
        <w:t xml:space="preserve">partícipes no determinantes enfrenten consecuencias más gravosas que las de los máximos responsables, pues esto vulneraría el principio de proporcionalidad. </w:t>
      </w:r>
    </w:p>
    <w:p w14:paraId="7625D40E" w14:textId="77777777" w:rsidR="00B3194C" w:rsidRPr="00746ACE" w:rsidRDefault="00B3194C" w:rsidP="00CF1AD1">
      <w:pPr>
        <w:pStyle w:val="Prrafodelista"/>
        <w:widowControl w:val="0"/>
      </w:pPr>
    </w:p>
    <w:p w14:paraId="14CAF94A" w14:textId="77777777" w:rsidR="00701444" w:rsidRPr="00746ACE" w:rsidRDefault="00B3194C" w:rsidP="00FC0DFB">
      <w:pPr>
        <w:pStyle w:val="Prrafodelista"/>
        <w:widowControl w:val="0"/>
        <w:numPr>
          <w:ilvl w:val="0"/>
          <w:numId w:val="7"/>
        </w:numPr>
        <w:textAlignment w:val="baseline"/>
      </w:pPr>
      <w:r w:rsidRPr="00746ACE">
        <w:t xml:space="preserve">Según los demandantes, mientras que los máximos responsables pueden beneficiarse de una sanción propia de naturaleza restaurativa y no carcelaria, los partícipes no determinantes ubicados en un “punto medio”, que tienen un grado menor de responsabilidad, quedarían sujetos a sanciones más severas, ya sean alternativas u ordinarias, que pueden implicar privación de la libertad. A su juicio, esta situación genera una distorsión </w:t>
      </w:r>
      <w:r w:rsidR="00C2116A" w:rsidRPr="00746ACE">
        <w:t>inadmisible</w:t>
      </w:r>
      <w:r w:rsidRPr="00746ACE">
        <w:t xml:space="preserve"> en el sistema de justicia transicional y desconoce el principio de proporcionalidad de las sanciones, el cual exige que la respuesta sancionatoria guarde relación tanto con el nivel de reconocimiento de verdad y responsabilidad como con el grado de participación en los hechos. </w:t>
      </w:r>
    </w:p>
    <w:p w14:paraId="49CA5443" w14:textId="77777777" w:rsidR="00701444" w:rsidRPr="00746ACE" w:rsidRDefault="00701444" w:rsidP="00CF1AD1">
      <w:pPr>
        <w:pStyle w:val="Prrafodelista"/>
        <w:widowControl w:val="0"/>
      </w:pPr>
    </w:p>
    <w:p w14:paraId="01FFFACC" w14:textId="08DCAC4F" w:rsidR="00B3194C" w:rsidRPr="00746ACE" w:rsidRDefault="00B3194C" w:rsidP="00FC0DFB">
      <w:pPr>
        <w:pStyle w:val="Prrafodelista"/>
        <w:widowControl w:val="0"/>
        <w:numPr>
          <w:ilvl w:val="0"/>
          <w:numId w:val="7"/>
        </w:numPr>
        <w:textAlignment w:val="baseline"/>
      </w:pPr>
      <w:r w:rsidRPr="00746ACE">
        <w:t>En consecuencia, en lugar de garantizar que quienes tuvieron mayor responsabilidad en los crímenes más graves reciban las penas más severas, la interpretación de la Sección de Apelación impone cargas desproporcionadas a quienes desempeñaron un rol menos relevante en el conflicto.</w:t>
      </w:r>
    </w:p>
    <w:p w14:paraId="54450B12" w14:textId="77777777" w:rsidR="00B3194C" w:rsidRPr="00746ACE" w:rsidRDefault="00B3194C" w:rsidP="00CF1AD1">
      <w:pPr>
        <w:widowControl w:val="0"/>
      </w:pPr>
    </w:p>
    <w:p w14:paraId="2B041423" w14:textId="00ECD9DD" w:rsidR="00C2116A" w:rsidRPr="00746ACE" w:rsidRDefault="00B3194C" w:rsidP="00FC0DFB">
      <w:pPr>
        <w:pStyle w:val="Prrafodelista"/>
        <w:widowControl w:val="0"/>
        <w:numPr>
          <w:ilvl w:val="0"/>
          <w:numId w:val="7"/>
        </w:numPr>
        <w:textAlignment w:val="baseline"/>
      </w:pPr>
      <w:r w:rsidRPr="00746ACE">
        <w:t xml:space="preserve">Para la Corte, el primer paso en el examen del cargo formulado por los ciudadanos </w:t>
      </w:r>
      <w:r w:rsidR="00F0346A" w:rsidRPr="00746ACE">
        <w:t xml:space="preserve">accionantes </w:t>
      </w:r>
      <w:r w:rsidRPr="00746ACE">
        <w:t xml:space="preserve">consiste en precisar cuáles son las consecuencias jurídicas que enfrentan, de un lado, los máximos responsables seleccionados por la Sala de Reconocimiento de Verdad y Responsabilidad (SRVR) y, de otro, los </w:t>
      </w:r>
      <w:r w:rsidR="00C2116A" w:rsidRPr="00746ACE">
        <w:t xml:space="preserve">comparecientes que no fueron identificados como máximos responsables dentro del ejercicio de la facultad de selección. </w:t>
      </w:r>
    </w:p>
    <w:p w14:paraId="59269E48" w14:textId="77777777" w:rsidR="00C038EB" w:rsidRPr="00746ACE" w:rsidRDefault="00C038EB" w:rsidP="00CF1AD1">
      <w:pPr>
        <w:pStyle w:val="Prrafodelista"/>
        <w:widowControl w:val="0"/>
      </w:pPr>
    </w:p>
    <w:p w14:paraId="1B0B9150" w14:textId="16D3D874" w:rsidR="00C038EB" w:rsidRPr="00746ACE" w:rsidRDefault="7379C571" w:rsidP="00D33B4B">
      <w:pPr>
        <w:pStyle w:val="Prrafodelista"/>
        <w:widowControl w:val="0"/>
        <w:numPr>
          <w:ilvl w:val="0"/>
          <w:numId w:val="7"/>
        </w:numPr>
        <w:textAlignment w:val="baseline"/>
      </w:pPr>
      <w:r w:rsidRPr="00746ACE">
        <w:t>Según</w:t>
      </w:r>
      <w:r w:rsidR="00C038EB" w:rsidRPr="00746ACE">
        <w:t xml:space="preserve"> el diseño normativo del Sistema, los máximos responsables pueden enfrentar tres consecuencias, dependiendo del momento y del grado de reconocimiento de verdad y responsabilidad:</w:t>
      </w:r>
    </w:p>
    <w:p w14:paraId="58DF3C81" w14:textId="77777777" w:rsidR="00720FE7" w:rsidRPr="00746ACE" w:rsidRDefault="00720FE7" w:rsidP="00720FE7">
      <w:pPr>
        <w:widowControl w:val="0"/>
      </w:pPr>
    </w:p>
    <w:p w14:paraId="072103FF" w14:textId="518D1C26" w:rsidR="00720FE7" w:rsidRPr="00746ACE" w:rsidRDefault="00720FE7" w:rsidP="00720FE7">
      <w:pPr>
        <w:pStyle w:val="Prrafodelista"/>
        <w:widowControl w:val="0"/>
        <w:numPr>
          <w:ilvl w:val="0"/>
          <w:numId w:val="9"/>
        </w:numPr>
        <w:ind w:left="0" w:firstLine="0"/>
        <w:textAlignment w:val="baseline"/>
      </w:pPr>
      <w:r w:rsidRPr="00746ACE">
        <w:rPr>
          <w:b/>
        </w:rPr>
        <w:t>Sanción propia (vía restaurativa):</w:t>
      </w:r>
      <w:r w:rsidRPr="00746ACE">
        <w:t xml:space="preserve"> </w:t>
      </w:r>
      <w:r w:rsidR="00B00D23" w:rsidRPr="00746ACE">
        <w:t xml:space="preserve">es </w:t>
      </w:r>
      <w:r w:rsidRPr="00746ACE">
        <w:t xml:space="preserve">la consecuencia </w:t>
      </w:r>
      <w:r w:rsidR="00B00D23" w:rsidRPr="00746ACE">
        <w:t xml:space="preserve">jurídica </w:t>
      </w:r>
      <w:r w:rsidRPr="00746ACE">
        <w:t>aplicable a quienes reconocieron verdad plena y responsabilidad ante la Sala de Reconocimiento de Verdad y Responsabilidad. Consiste en una restricción efectiva de derechos y libertades de cinco (5) a ocho (8) años, de carácter no carcelario, ejecutada mediante Trabajos, Obras o Actividades con contenido Reparador.</w:t>
      </w:r>
    </w:p>
    <w:p w14:paraId="18A30D07" w14:textId="77777777" w:rsidR="00720FE7" w:rsidRPr="00746ACE" w:rsidRDefault="00720FE7" w:rsidP="00720FE7">
      <w:pPr>
        <w:pStyle w:val="Prrafodelista"/>
        <w:widowControl w:val="0"/>
        <w:ind w:left="0"/>
        <w:textAlignment w:val="baseline"/>
      </w:pPr>
    </w:p>
    <w:p w14:paraId="423792A5" w14:textId="77777777" w:rsidR="00720FE7" w:rsidRPr="00746ACE" w:rsidRDefault="00720FE7" w:rsidP="00720FE7">
      <w:pPr>
        <w:pStyle w:val="Prrafodelista"/>
        <w:widowControl w:val="0"/>
        <w:numPr>
          <w:ilvl w:val="0"/>
          <w:numId w:val="9"/>
        </w:numPr>
        <w:ind w:left="0" w:firstLine="0"/>
        <w:textAlignment w:val="baseline"/>
      </w:pPr>
      <w:r w:rsidRPr="00746ACE">
        <w:rPr>
          <w:b/>
        </w:rPr>
        <w:t>Sanción alternativa (vía adversarial):</w:t>
      </w:r>
      <w:r w:rsidRPr="00746ACE">
        <w:t xml:space="preserve"> se impone a quienes, habiendo sido seleccionados por la Sala de Reconocimiento de Verdad y Responsabilidad, no reconocieron responsabilidad inicialmente ante la Sala, pero lo hicieron antes de la sentencia de primera instancia dentro del juicio ante la Sección con Ausencia de Reconocimiento de Responsabilidad. Implica una pena privativa de la libertad de cinco (5) a ocho (8) años.</w:t>
      </w:r>
    </w:p>
    <w:p w14:paraId="69019A42" w14:textId="77777777" w:rsidR="00720FE7" w:rsidRPr="00746ACE" w:rsidRDefault="00720FE7" w:rsidP="00720FE7">
      <w:pPr>
        <w:pStyle w:val="Prrafodelista"/>
        <w:widowControl w:val="0"/>
        <w:ind w:left="0"/>
        <w:textAlignment w:val="baseline"/>
      </w:pPr>
    </w:p>
    <w:p w14:paraId="7D87B967" w14:textId="77777777" w:rsidR="00720FE7" w:rsidRPr="00746ACE" w:rsidRDefault="00720FE7" w:rsidP="00720FE7">
      <w:pPr>
        <w:pStyle w:val="Prrafodelista"/>
        <w:widowControl w:val="0"/>
        <w:numPr>
          <w:ilvl w:val="0"/>
          <w:numId w:val="9"/>
        </w:numPr>
        <w:ind w:left="0" w:firstLine="0"/>
        <w:textAlignment w:val="baseline"/>
      </w:pPr>
      <w:r w:rsidRPr="00746ACE">
        <w:rPr>
          <w:b/>
        </w:rPr>
        <w:t>Sanción ordinaria (vía adversarial):</w:t>
      </w:r>
      <w:r w:rsidRPr="00746ACE">
        <w:t xml:space="preserve"> aplica a quienes no reconocieron responsabilidad, mantuvieron su alegato de inocencia y resultaron vencidos en juicio ante la Sección con Ausencia de Reconocimiento de Responsabilidad. En este caso, los comparecientes reciben una pena privativa de la libertad de quince (15) a veinte (20) años.</w:t>
      </w:r>
    </w:p>
    <w:p w14:paraId="5AE0A60B" w14:textId="77777777" w:rsidR="00720FE7" w:rsidRPr="00746ACE" w:rsidRDefault="00720FE7" w:rsidP="00720FE7">
      <w:pPr>
        <w:widowControl w:val="0"/>
        <w:textAlignment w:val="baseline"/>
      </w:pPr>
    </w:p>
    <w:p w14:paraId="774ED6F9" w14:textId="77777777" w:rsidR="00720FE7" w:rsidRPr="00746ACE" w:rsidRDefault="00720FE7" w:rsidP="00720FE7">
      <w:pPr>
        <w:pStyle w:val="Prrafodelista"/>
        <w:widowControl w:val="0"/>
        <w:numPr>
          <w:ilvl w:val="0"/>
          <w:numId w:val="7"/>
        </w:numPr>
        <w:textAlignment w:val="baseline"/>
      </w:pPr>
      <w:r w:rsidRPr="00746ACE">
        <w:t xml:space="preserve">Por su parte, el grupo de comparecientes no seleccionados inicialmente por la Sala de Reconocimiento de Verdad y Responsabilidad (SRVR) puede enfrentar las siguientes consecuencias jurídicas: </w:t>
      </w:r>
    </w:p>
    <w:p w14:paraId="269A0CA3" w14:textId="77777777" w:rsidR="00720FE7" w:rsidRPr="00746ACE" w:rsidRDefault="00720FE7" w:rsidP="00720FE7">
      <w:pPr>
        <w:pStyle w:val="Prrafodelista"/>
        <w:widowControl w:val="0"/>
        <w:ind w:left="0"/>
        <w:textAlignment w:val="baseline"/>
      </w:pPr>
    </w:p>
    <w:p w14:paraId="7EE39E8E" w14:textId="77777777" w:rsidR="00720FE7" w:rsidRPr="00746ACE" w:rsidRDefault="00720FE7" w:rsidP="00720FE7">
      <w:pPr>
        <w:pStyle w:val="Prrafodelista"/>
        <w:widowControl w:val="0"/>
        <w:numPr>
          <w:ilvl w:val="0"/>
          <w:numId w:val="10"/>
        </w:numPr>
        <w:ind w:left="0" w:firstLine="0"/>
        <w:textAlignment w:val="baseline"/>
      </w:pPr>
      <w:r w:rsidRPr="00746ACE">
        <w:rPr>
          <w:b/>
        </w:rPr>
        <w:t>Renuncia condicionada a la acción penal (vía no sancionatoria)</w:t>
      </w:r>
      <w:r w:rsidRPr="00746ACE">
        <w:t>: no constituye una sanción, sino un beneficio transicional orientado a incentivar el cumplimiento de los fines del Sistema Integral para la Paz (SIP). Su propósito es permitir que aquellos comparecientes que no ostentan la calidad de máximos responsables puedan cerrar su proceso sin enfrentar una condena tradicional o una sanción propia, siempre que cumplan con las obligaciones derivadas del régimen de condicionalidad, esto es, el aporte a la verdad plena, la contribución a la reparación y las garantías de no repetición.</w:t>
      </w:r>
      <w:r w:rsidRPr="00746ACE">
        <w:rPr>
          <w:b/>
        </w:rPr>
        <w:t xml:space="preserve"> </w:t>
      </w:r>
    </w:p>
    <w:p w14:paraId="7D46A984" w14:textId="77777777" w:rsidR="00720FE7" w:rsidRPr="00746ACE" w:rsidRDefault="00720FE7" w:rsidP="00720FE7">
      <w:pPr>
        <w:pStyle w:val="Prrafodelista"/>
        <w:widowControl w:val="0"/>
        <w:ind w:left="0"/>
        <w:textAlignment w:val="baseline"/>
      </w:pPr>
    </w:p>
    <w:p w14:paraId="1AE2176E" w14:textId="77777777" w:rsidR="00720FE7" w:rsidRPr="00746ACE" w:rsidRDefault="00720FE7" w:rsidP="00720FE7">
      <w:pPr>
        <w:pStyle w:val="Prrafodelista"/>
        <w:widowControl w:val="0"/>
        <w:numPr>
          <w:ilvl w:val="0"/>
          <w:numId w:val="10"/>
        </w:numPr>
        <w:ind w:left="0" w:firstLine="0"/>
        <w:textAlignment w:val="baseline"/>
      </w:pPr>
      <w:r w:rsidRPr="00746ACE">
        <w:rPr>
          <w:b/>
        </w:rPr>
        <w:t>Sanción alternativa inferior (vía adversarial)</w:t>
      </w:r>
      <w:r w:rsidRPr="00746ACE">
        <w:t>: aplica cuando la Sala de Definición de Situaciones Jurídicas, en ejercicio de la facultad de selección de segundo orden, remite al compareciente a la Unidad de Investigación y Acusación para el trámite adversarial ante la Sección con Ausencia de Reconocimiento de Responsabilidad y este reconoce responsabilidad antes de la sentencia. En tal caso, se impone una pena privativa de la libertad de dos (2) a cinco (5) años.</w:t>
      </w:r>
    </w:p>
    <w:p w14:paraId="6EA98EC8" w14:textId="77777777" w:rsidR="00720FE7" w:rsidRPr="00746ACE" w:rsidRDefault="00720FE7" w:rsidP="00720FE7">
      <w:pPr>
        <w:pStyle w:val="Prrafodelista"/>
        <w:widowControl w:val="0"/>
        <w:ind w:left="0"/>
        <w:textAlignment w:val="baseline"/>
      </w:pPr>
    </w:p>
    <w:p w14:paraId="79D774DB" w14:textId="77777777" w:rsidR="00720FE7" w:rsidRPr="00746ACE" w:rsidRDefault="00720FE7" w:rsidP="00720FE7">
      <w:pPr>
        <w:pStyle w:val="Prrafodelista"/>
        <w:widowControl w:val="0"/>
        <w:numPr>
          <w:ilvl w:val="0"/>
          <w:numId w:val="10"/>
        </w:numPr>
        <w:ind w:left="0" w:firstLine="0"/>
        <w:textAlignment w:val="baseline"/>
      </w:pPr>
      <w:r w:rsidRPr="00746ACE">
        <w:rPr>
          <w:b/>
        </w:rPr>
        <w:t xml:space="preserve">Sanción ordinaria (vía adversarial): </w:t>
      </w:r>
      <w:r w:rsidRPr="00746ACE">
        <w:t xml:space="preserve">procede cuando el compareciente fue seleccionado por la Sala de Definición de Situaciones Jurídicas en ejercicio de la facultad de segundo orden y este, a pesar de que mantuvo su alegato de inocencia o guardó silencio, fue hallado culpable en el juicio adversarial adelantado ante la Sección con Ausencia de Reconocimiento de Responsabilidad. En este caso, el compareciente recibe una sanción privativa de la libertad de entre quince (15) y veinte (20) años. </w:t>
      </w:r>
    </w:p>
    <w:p w14:paraId="60E1D0AC" w14:textId="77777777" w:rsidR="00540260" w:rsidRPr="00746ACE" w:rsidRDefault="00540260" w:rsidP="00FC0DFB">
      <w:pPr>
        <w:widowControl w:val="0"/>
        <w:textAlignment w:val="baseline"/>
      </w:pPr>
    </w:p>
    <w:p w14:paraId="4B0A77E7" w14:textId="68971D5D" w:rsidR="00720FE7" w:rsidRPr="00746ACE" w:rsidRDefault="00720FE7" w:rsidP="00720FE7">
      <w:pPr>
        <w:pStyle w:val="Prrafodelista"/>
        <w:widowControl w:val="0"/>
        <w:numPr>
          <w:ilvl w:val="0"/>
          <w:numId w:val="7"/>
        </w:numPr>
        <w:textAlignment w:val="baseline"/>
      </w:pPr>
      <w:r w:rsidRPr="00746ACE">
        <w:t xml:space="preserve">Así pues, al comparar las consecuencias jurídicas para ambos grupos de comparecientes, la Sala observa, en primer lugar, que en los primeros dos escenarios el tratamiento del sistema transicional no resulta menos favorable para los partícipes no determinantes. En el primer escenario, siempre y cuando estos cumplan con sus obligaciones dentro del Sistema —esto es, aportar verdad plena, contribuir a la reparación y ofrecer garantías de no repetición— los partícipes no determinantes pueden acceder a la renuncia condicionada de la acción penal, mientras que los máximos responsables, aun en el mejor de los casos, reciben una sanción propia que, aunque no es carcelaria, implica una restricción efectiva de derechos y libertades. </w:t>
      </w:r>
    </w:p>
    <w:p w14:paraId="349B0356" w14:textId="77777777" w:rsidR="00B07517" w:rsidRPr="00746ACE" w:rsidRDefault="00B07517" w:rsidP="00FC0DFB">
      <w:pPr>
        <w:pStyle w:val="Prrafodelista"/>
        <w:widowControl w:val="0"/>
        <w:ind w:left="0"/>
        <w:textAlignment w:val="baseline"/>
      </w:pPr>
    </w:p>
    <w:p w14:paraId="091A1E15" w14:textId="680AC921" w:rsidR="00B07517" w:rsidRPr="00746ACE" w:rsidRDefault="00B07517" w:rsidP="00FC0DFB">
      <w:pPr>
        <w:pStyle w:val="Prrafodelista"/>
        <w:widowControl w:val="0"/>
        <w:numPr>
          <w:ilvl w:val="0"/>
          <w:numId w:val="7"/>
        </w:numPr>
        <w:textAlignment w:val="baseline"/>
      </w:pPr>
      <w:r w:rsidRPr="00746ACE">
        <w:t xml:space="preserve">De igual forma, en el segundo escenario, </w:t>
      </w:r>
      <w:r w:rsidR="00931D26" w:rsidRPr="00746ACE">
        <w:t xml:space="preserve">si bien ambos grupos enfrentan una pena privativa de la libertad, el tiempo previsto para los partícipes no determinantes es inferior. </w:t>
      </w:r>
      <w:r w:rsidR="00C2116A" w:rsidRPr="00746ACE">
        <w:t xml:space="preserve">En efecto, los máximos responsables enfrentan una pena privativa de la libertad de cinco (5) a ocho (8) años, mientras que los partícipes no determinantes enfrentan una de dos (2) a cinco (5) años. </w:t>
      </w:r>
      <w:r w:rsidR="00931D26" w:rsidRPr="00746ACE">
        <w:t xml:space="preserve">Con esto, el diseño transicional otorga una </w:t>
      </w:r>
      <w:r w:rsidRPr="00746ACE">
        <w:t xml:space="preserve">respuesta </w:t>
      </w:r>
      <w:r w:rsidR="00931D26" w:rsidRPr="00746ACE">
        <w:t>jurídica</w:t>
      </w:r>
      <w:r w:rsidRPr="00746ACE">
        <w:t xml:space="preserve"> coherente con el nivel de participación y el comportamiento procesal de cada compareciente.</w:t>
      </w:r>
    </w:p>
    <w:p w14:paraId="43BB6F06" w14:textId="77777777" w:rsidR="00931D26" w:rsidRPr="00746ACE" w:rsidRDefault="00931D26" w:rsidP="00CF1AD1">
      <w:pPr>
        <w:widowControl w:val="0"/>
      </w:pPr>
    </w:p>
    <w:p w14:paraId="28DD0FFF" w14:textId="26C4F1D8" w:rsidR="00931D26" w:rsidRPr="00746ACE" w:rsidRDefault="00931D26" w:rsidP="00FC0DFB">
      <w:pPr>
        <w:pStyle w:val="Prrafodelista"/>
        <w:widowControl w:val="0"/>
        <w:numPr>
          <w:ilvl w:val="0"/>
          <w:numId w:val="7"/>
        </w:numPr>
        <w:textAlignment w:val="baseline"/>
      </w:pPr>
      <w:r w:rsidRPr="00746ACE">
        <w:t xml:space="preserve">Sin embargo, en el tercer escenario, tanto los máximos responsables como los partícipes no determinantes obtienen la misma sanción, que consiste en una pena privativa de la libertad de entre quince (15) y veinte (20) años. </w:t>
      </w:r>
      <w:r w:rsidR="00A10A24" w:rsidRPr="00746ACE">
        <w:t>Este escenario procede</w:t>
      </w:r>
      <w:r w:rsidRPr="00746ACE">
        <w:t xml:space="preserve"> cuando los comparecientes no </w:t>
      </w:r>
      <w:r w:rsidR="00A10A24" w:rsidRPr="00746ACE">
        <w:t xml:space="preserve">cumplieron con sus obligaciones frente al sistema, por lo que no aportaron verdad plena o reconocieron responsabilidad —según sea el caso—, </w:t>
      </w:r>
      <w:r w:rsidRPr="00746ACE">
        <w:t xml:space="preserve">mantuvieron su alegato de inocencia y resultaron vencidos en juicio. </w:t>
      </w:r>
    </w:p>
    <w:p w14:paraId="4990AC02" w14:textId="77777777" w:rsidR="00B75192" w:rsidRPr="00746ACE" w:rsidRDefault="00B75192" w:rsidP="00CF1AD1">
      <w:pPr>
        <w:widowControl w:val="0"/>
      </w:pPr>
    </w:p>
    <w:p w14:paraId="2DA15B0C" w14:textId="40114538" w:rsidR="00DC6B23" w:rsidRPr="00746ACE" w:rsidRDefault="00DC6B23" w:rsidP="00FC0DFB">
      <w:pPr>
        <w:pStyle w:val="Prrafodelista"/>
        <w:widowControl w:val="0"/>
        <w:numPr>
          <w:ilvl w:val="0"/>
          <w:numId w:val="7"/>
        </w:numPr>
        <w:textAlignment w:val="baseline"/>
      </w:pPr>
      <w:r w:rsidRPr="00746ACE">
        <w:t xml:space="preserve">En este orden ideas, la Sala observa que, en los dos primeros escenarios, la distinción entre las consecuencias jurídicas previstas para los máximos responsables y los partícipes no determinantes responde a dos variables del modelo transicional. Por un lado, al comportamiento procesal </w:t>
      </w:r>
      <w:r w:rsidR="00A10A24" w:rsidRPr="00746ACE">
        <w:t>que hayan asumido los comparecientes</w:t>
      </w:r>
      <w:r w:rsidRPr="00746ACE">
        <w:t xml:space="preserve"> dentro del Sistema, particularmente en lo que respecta al cumplimiento de las obligaciones de aportar verdad plena, contribuir a la reparación y garantizar la no repetición; y, por otro, al nivel de participación en los hechos</w:t>
      </w:r>
      <w:r w:rsidR="00A10A24" w:rsidRPr="00746ACE">
        <w:t xml:space="preserve"> más graves y representativos</w:t>
      </w:r>
      <w:r w:rsidRPr="00746ACE">
        <w:t>, determinado a partir del ejercicio de selección realizado por la Sala de Reconocimiento de Verdad y Responsabilidad.</w:t>
      </w:r>
    </w:p>
    <w:p w14:paraId="2BFB8B56" w14:textId="77777777" w:rsidR="00874E4D" w:rsidRPr="00746ACE" w:rsidRDefault="00874E4D" w:rsidP="00CF1AD1">
      <w:pPr>
        <w:pStyle w:val="Prrafodelista"/>
        <w:widowControl w:val="0"/>
      </w:pPr>
    </w:p>
    <w:p w14:paraId="379D6369" w14:textId="4F096D15" w:rsidR="00874E4D" w:rsidRPr="00746ACE" w:rsidRDefault="00874E4D" w:rsidP="00FC0DFB">
      <w:pPr>
        <w:pStyle w:val="Prrafodelista"/>
        <w:widowControl w:val="0"/>
        <w:numPr>
          <w:ilvl w:val="0"/>
          <w:numId w:val="7"/>
        </w:numPr>
        <w:textAlignment w:val="baseline"/>
      </w:pPr>
      <w:r w:rsidRPr="00746ACE">
        <w:t>No obstante, en el tercer escenario, la consecuencia jurídica de la sanción ordinaria se fundamenta exclusivamente en el comportamiento procesal del compareciente</w:t>
      </w:r>
      <w:r w:rsidR="00A10A24" w:rsidRPr="00746ACE">
        <w:t xml:space="preserve">, </w:t>
      </w:r>
      <w:r w:rsidRPr="00746ACE">
        <w:t xml:space="preserve">esto es, </w:t>
      </w:r>
      <w:r w:rsidR="00A10A24" w:rsidRPr="00746ACE">
        <w:t xml:space="preserve">en </w:t>
      </w:r>
      <w:r w:rsidRPr="00746ACE">
        <w:t xml:space="preserve">el incumplimiento de las obligaciones propias del sistema transicional. En consecuencia, la determinación de la sanción </w:t>
      </w:r>
      <w:r w:rsidR="00E2710C" w:rsidRPr="00746ACE">
        <w:t xml:space="preserve">prescinde del grado de participación en los hechos más graves y representativos, el cual fue previamente establecido por la Sala de Reconocimiento de Verdad y Responsabilidad en ejercicio de la facultad de selección. </w:t>
      </w:r>
    </w:p>
    <w:p w14:paraId="5433BB42" w14:textId="77777777" w:rsidR="00B86318" w:rsidRPr="00746ACE" w:rsidRDefault="00B86318" w:rsidP="00CF1AD1">
      <w:pPr>
        <w:pStyle w:val="Prrafodelista"/>
        <w:widowControl w:val="0"/>
      </w:pPr>
    </w:p>
    <w:p w14:paraId="3523B2CD" w14:textId="77777777" w:rsidR="003B111A" w:rsidRPr="00746ACE" w:rsidRDefault="00B86318" w:rsidP="00FC0DFB">
      <w:pPr>
        <w:pStyle w:val="Prrafodelista"/>
        <w:widowControl w:val="0"/>
        <w:numPr>
          <w:ilvl w:val="0"/>
          <w:numId w:val="7"/>
        </w:numPr>
        <w:textAlignment w:val="baseline"/>
      </w:pPr>
      <w:r w:rsidRPr="00746ACE">
        <w:t xml:space="preserve">En su intervención, la Sección de Apelación </w:t>
      </w:r>
      <w:r w:rsidR="00D91AF0" w:rsidRPr="00746ACE">
        <w:t>sostuvo que las reglas que introdujo la Senit 5 no implican un desconocimiento del principio de proporcionalidad de las sanciones</w:t>
      </w:r>
      <w:r w:rsidR="00D91AF0" w:rsidRPr="00746ACE">
        <w:rPr>
          <w:rStyle w:val="Refdenotaalpie"/>
        </w:rPr>
        <w:footnoteReference w:id="161"/>
      </w:r>
      <w:r w:rsidR="00D91AF0" w:rsidRPr="00746ACE">
        <w:t xml:space="preserve">. </w:t>
      </w:r>
      <w:r w:rsidR="003B5D23" w:rsidRPr="00746ACE">
        <w:t>A su juicio, no existe desproporción ni desigualdad en el tratamiento previsto para los máximos responsables y los partícipes no determinantes.</w:t>
      </w:r>
      <w:r w:rsidR="00A10A24" w:rsidRPr="00746ACE">
        <w:t xml:space="preserve"> </w:t>
      </w:r>
    </w:p>
    <w:p w14:paraId="358F34D2" w14:textId="77777777" w:rsidR="003B111A" w:rsidRPr="00746ACE" w:rsidRDefault="003B111A" w:rsidP="00CF1AD1">
      <w:pPr>
        <w:pStyle w:val="Prrafodelista"/>
        <w:widowControl w:val="0"/>
      </w:pPr>
    </w:p>
    <w:p w14:paraId="3B5DA70D" w14:textId="5FD979D4" w:rsidR="003B5D23" w:rsidRPr="00746ACE" w:rsidRDefault="003B5D23" w:rsidP="00FC0DFB">
      <w:pPr>
        <w:pStyle w:val="Prrafodelista"/>
        <w:widowControl w:val="0"/>
        <w:numPr>
          <w:ilvl w:val="0"/>
          <w:numId w:val="7"/>
        </w:numPr>
        <w:textAlignment w:val="baseline"/>
      </w:pPr>
      <w:r w:rsidRPr="00746ACE">
        <w:t>Según</w:t>
      </w:r>
      <w:r w:rsidR="00A10A24" w:rsidRPr="00746ACE">
        <w:t xml:space="preserve"> lo</w:t>
      </w:r>
      <w:r w:rsidRPr="00746ACE">
        <w:t xml:space="preserve"> explicó la Sección, aunque el máximo responsable puede enfrentar una sanción de mayor duración, esta tiene un componente retributivo menos intenso, en la medida en que se ejecuta mediante una restricción efectiva de derechos y libertades de carácter no intramural. En contraste, el partícipe no determinante puede enfrentar una sanción de menor duración, pero con un componente retributivo más intenso, dado que su cumplimiento es intramural</w:t>
      </w:r>
      <w:r w:rsidRPr="00746ACE">
        <w:rPr>
          <w:rStyle w:val="Refdenotaalpie"/>
        </w:rPr>
        <w:footnoteReference w:id="162"/>
      </w:r>
      <w:r w:rsidRPr="00746ACE">
        <w:t>.</w:t>
      </w:r>
    </w:p>
    <w:p w14:paraId="12DE81C1" w14:textId="77777777" w:rsidR="003B5D23" w:rsidRPr="00746ACE" w:rsidRDefault="003B5D23" w:rsidP="00CF1AD1">
      <w:pPr>
        <w:widowControl w:val="0"/>
      </w:pPr>
    </w:p>
    <w:p w14:paraId="7BF68E5F" w14:textId="28ECB0F8" w:rsidR="003B5D23" w:rsidRPr="00746ACE" w:rsidRDefault="003B5D23" w:rsidP="00CF1AD1">
      <w:pPr>
        <w:pStyle w:val="Prrafodelista"/>
        <w:widowControl w:val="0"/>
        <w:numPr>
          <w:ilvl w:val="0"/>
          <w:numId w:val="7"/>
        </w:numPr>
      </w:pPr>
      <w:r w:rsidRPr="00746ACE">
        <w:t>Para la Sección de Apelación, esta diferencia se encuentra justificada en el comportamiento procesal de cada compareciente. Mientras el máximo responsable contribuyó de manera efectiva y anticipada al cumplimiento de los fines del Sistema Integral para la Paz, el partícipe no determinante no aportó verdad en relación con los hechos graves que se le imputan, retardó su contribución hasta antes de la sentencia —en el caso de la sanción alternativa inferior— o fue vencido en juicio, lo que da lugar a la imposición de una sanción ordinaria</w:t>
      </w:r>
      <w:r w:rsidRPr="00746ACE">
        <w:rPr>
          <w:rStyle w:val="Refdenotaalpie"/>
        </w:rPr>
        <w:footnoteReference w:id="163"/>
      </w:r>
      <w:r w:rsidRPr="00746ACE">
        <w:t xml:space="preserve">. Además, contrario al argumento de los demandantes, la </w:t>
      </w:r>
      <w:r w:rsidR="00A10A24" w:rsidRPr="00746ACE">
        <w:t>S</w:t>
      </w:r>
      <w:r w:rsidRPr="00746ACE">
        <w:t xml:space="preserve">ección </w:t>
      </w:r>
      <w:r w:rsidR="00A10A24" w:rsidRPr="00746ACE">
        <w:t>argumentó</w:t>
      </w:r>
      <w:r w:rsidRPr="00746ACE">
        <w:t xml:space="preserve"> que el trato diferenciado proviene de la Ley Estatutaria de la JEP y no vulnera la Constitución de 1991</w:t>
      </w:r>
      <w:r w:rsidRPr="00746ACE">
        <w:rPr>
          <w:rStyle w:val="Refdenotaalpie"/>
        </w:rPr>
        <w:footnoteReference w:id="164"/>
      </w:r>
      <w:r w:rsidRPr="00746ACE">
        <w:t xml:space="preserve">. </w:t>
      </w:r>
    </w:p>
    <w:p w14:paraId="4C15EB43" w14:textId="77777777" w:rsidR="003B5D23" w:rsidRPr="00746ACE" w:rsidRDefault="003B5D23" w:rsidP="00CF1AD1">
      <w:pPr>
        <w:pStyle w:val="Prrafodelista"/>
        <w:widowControl w:val="0"/>
        <w:ind w:left="0"/>
      </w:pPr>
    </w:p>
    <w:p w14:paraId="6FD1BE14" w14:textId="77777777" w:rsidR="00F064D6" w:rsidRPr="00746ACE" w:rsidRDefault="00F064D6" w:rsidP="00CF1AD1">
      <w:pPr>
        <w:pStyle w:val="Prrafodelista"/>
        <w:widowControl w:val="0"/>
        <w:numPr>
          <w:ilvl w:val="0"/>
          <w:numId w:val="7"/>
        </w:numPr>
      </w:pPr>
      <w:r w:rsidRPr="00746ACE">
        <w:t>Como primera conclusión</w:t>
      </w:r>
      <w:r w:rsidR="00542EAA" w:rsidRPr="00746ACE">
        <w:t>, la</w:t>
      </w:r>
      <w:r w:rsidR="00D122CC" w:rsidRPr="00746ACE">
        <w:t xml:space="preserve"> Corte</w:t>
      </w:r>
      <w:r w:rsidR="00542EAA" w:rsidRPr="00746ACE">
        <w:t xml:space="preserve"> advierte que</w:t>
      </w:r>
      <w:r w:rsidR="00D122CC" w:rsidRPr="00746ACE">
        <w:t xml:space="preserve"> la Sección de Apelación centró su análisis en el contraste entre los máximos responsables que acceden a una sanción propia y los partícipes no determinantes que enfrentan una sanción alternativa inferior o una sanción ordinaria. </w:t>
      </w:r>
    </w:p>
    <w:p w14:paraId="5C75EEFD" w14:textId="77777777" w:rsidR="00F064D6" w:rsidRPr="00746ACE" w:rsidRDefault="00F064D6" w:rsidP="00F064D6">
      <w:pPr>
        <w:pStyle w:val="Prrafodelista"/>
      </w:pPr>
    </w:p>
    <w:p w14:paraId="56D7E663" w14:textId="368870CF" w:rsidR="00D216F5" w:rsidRPr="00746ACE" w:rsidRDefault="00D122CC" w:rsidP="00CF1AD1">
      <w:pPr>
        <w:pStyle w:val="Prrafodelista"/>
        <w:widowControl w:val="0"/>
        <w:numPr>
          <w:ilvl w:val="0"/>
          <w:numId w:val="7"/>
        </w:numPr>
      </w:pPr>
      <w:r w:rsidRPr="00746ACE">
        <w:t>No obstante, la</w:t>
      </w:r>
      <w:r w:rsidR="00F064D6" w:rsidRPr="00746ACE">
        <w:t>s</w:t>
      </w:r>
      <w:r w:rsidRPr="00746ACE">
        <w:t xml:space="preserve"> </w:t>
      </w:r>
      <w:r w:rsidR="00F064D6" w:rsidRPr="00746ACE">
        <w:t xml:space="preserve">intervenciones de la JEP (en especial de sus voceros en la audiencia pública, los magistrados Rodolfo Arango Rivadeneira y Alejandro Ramelli Arteaga) </w:t>
      </w:r>
      <w:r w:rsidRPr="00746ACE">
        <w:t>no se refir</w:t>
      </w:r>
      <w:r w:rsidR="00F064D6" w:rsidRPr="00746ACE">
        <w:t xml:space="preserve">ieron </w:t>
      </w:r>
      <w:r w:rsidRPr="00746ACE">
        <w:t>a</w:t>
      </w:r>
      <w:r w:rsidR="00D216F5" w:rsidRPr="00746ACE">
        <w:t>l escenario de la sanción ordinaria, en el que los máximos responsables y los partícipes no determinantes reciben una sanción con las mismas condiciones y con la misma duración, a pesar de la diferencia previamente establecida por la Sala de Reconocimiento de Verdad y Responsabilidad (SRVR) en su grado de participación y responsabilidad en las conductas más graves y representativas.</w:t>
      </w:r>
    </w:p>
    <w:p w14:paraId="62C99F21" w14:textId="77777777" w:rsidR="00D122CC" w:rsidRPr="00746ACE" w:rsidRDefault="00D122CC" w:rsidP="00CF1AD1">
      <w:pPr>
        <w:widowControl w:val="0"/>
      </w:pPr>
    </w:p>
    <w:p w14:paraId="26FDED4C" w14:textId="031C7157" w:rsidR="00542EAA" w:rsidRPr="00746ACE" w:rsidRDefault="00542EAA" w:rsidP="00CF1AD1">
      <w:pPr>
        <w:pStyle w:val="Prrafodelista"/>
        <w:widowControl w:val="0"/>
        <w:numPr>
          <w:ilvl w:val="0"/>
          <w:numId w:val="7"/>
        </w:numPr>
      </w:pPr>
      <w:r w:rsidRPr="00746ACE">
        <w:t xml:space="preserve">En relación con este tercer escenario, la </w:t>
      </w:r>
      <w:r w:rsidR="00D216F5" w:rsidRPr="00746ACE">
        <w:t>Corte</w:t>
      </w:r>
      <w:r w:rsidR="00D122CC" w:rsidRPr="00746ACE">
        <w:t xml:space="preserve"> no advierte una justificación suficiente y razonable </w:t>
      </w:r>
      <w:r w:rsidR="00D216F5" w:rsidRPr="00746ACE">
        <w:t>para considerar que</w:t>
      </w:r>
      <w:r w:rsidR="009D3F68" w:rsidRPr="00746ACE">
        <w:t xml:space="preserve"> </w:t>
      </w:r>
      <w:r w:rsidR="00D122CC" w:rsidRPr="00746ACE">
        <w:t xml:space="preserve">el nivel de participación en los hechos </w:t>
      </w:r>
      <w:r w:rsidR="00D216F5" w:rsidRPr="00746ACE">
        <w:t xml:space="preserve">carece de </w:t>
      </w:r>
      <w:r w:rsidR="00D122CC" w:rsidRPr="00746ACE">
        <w:t xml:space="preserve">relevancia </w:t>
      </w:r>
      <w:r w:rsidR="003C331C" w:rsidRPr="00746ACE">
        <w:t>para determinar</w:t>
      </w:r>
      <w:r w:rsidR="00D122CC" w:rsidRPr="00746ACE">
        <w:t xml:space="preserve"> la sanción. </w:t>
      </w:r>
      <w:r w:rsidRPr="00746ACE">
        <w:t xml:space="preserve">Asimismo, la </w:t>
      </w:r>
      <w:r w:rsidR="00D216F5" w:rsidRPr="00746ACE">
        <w:t>Sección de Apelación</w:t>
      </w:r>
      <w:r w:rsidRPr="00746ACE">
        <w:t xml:space="preserve"> no ofreció una explicación para ello durante el trámite en sede de revisión. </w:t>
      </w:r>
    </w:p>
    <w:p w14:paraId="76853254" w14:textId="77777777" w:rsidR="00542EAA" w:rsidRPr="00746ACE" w:rsidRDefault="00542EAA" w:rsidP="00CF1AD1">
      <w:pPr>
        <w:pStyle w:val="Prrafodelista"/>
        <w:widowControl w:val="0"/>
      </w:pPr>
    </w:p>
    <w:p w14:paraId="0F52FB46" w14:textId="77777777" w:rsidR="00C56AE3" w:rsidRPr="00746ACE" w:rsidRDefault="00542EAA" w:rsidP="00CF1AD1">
      <w:pPr>
        <w:pStyle w:val="Prrafodelista"/>
        <w:widowControl w:val="0"/>
        <w:numPr>
          <w:ilvl w:val="0"/>
          <w:numId w:val="7"/>
        </w:numPr>
      </w:pPr>
      <w:r w:rsidRPr="00746ACE">
        <w:t>Si bien esta Corporación comprende</w:t>
      </w:r>
      <w:r w:rsidR="003C331C" w:rsidRPr="00746ACE">
        <w:t xml:space="preserve"> que el comportamiento procesal del compareciente —en particular, la ausencia de reconocimiento de verdad y</w:t>
      </w:r>
      <w:r w:rsidR="00D216F5" w:rsidRPr="00746ACE">
        <w:t>/o</w:t>
      </w:r>
      <w:r w:rsidR="003C331C" w:rsidRPr="00746ACE">
        <w:t xml:space="preserve"> responsabilidad</w:t>
      </w:r>
      <w:r w:rsidR="00D216F5" w:rsidRPr="00746ACE">
        <w:t>, según sea el caso</w:t>
      </w:r>
      <w:r w:rsidR="003C331C" w:rsidRPr="00746ACE">
        <w:t xml:space="preserve">— constituye un criterio legítimo para </w:t>
      </w:r>
      <w:r w:rsidRPr="00746ACE">
        <w:t>establecer</w:t>
      </w:r>
      <w:r w:rsidR="003C331C" w:rsidRPr="00746ACE">
        <w:t xml:space="preserve"> la consecuencia que recibe cada compareciente dentro del modelo transicional</w:t>
      </w:r>
      <w:r w:rsidRPr="00746ACE">
        <w:t xml:space="preserve">, el diseño del Sistema no se estructura únicamente sobre </w:t>
      </w:r>
      <w:r w:rsidR="00D216F5" w:rsidRPr="00746ACE">
        <w:t xml:space="preserve">dicho criterio. </w:t>
      </w:r>
    </w:p>
    <w:p w14:paraId="7D7E6DD7" w14:textId="77777777" w:rsidR="00C56AE3" w:rsidRPr="00746ACE" w:rsidRDefault="00C56AE3" w:rsidP="00CF1AD1">
      <w:pPr>
        <w:pStyle w:val="Prrafodelista"/>
        <w:widowControl w:val="0"/>
      </w:pPr>
    </w:p>
    <w:p w14:paraId="5B39FD7C" w14:textId="14911447" w:rsidR="00542EAA" w:rsidRPr="00746ACE" w:rsidRDefault="00D216F5" w:rsidP="00CF1AD1">
      <w:pPr>
        <w:pStyle w:val="Prrafodelista"/>
        <w:widowControl w:val="0"/>
        <w:numPr>
          <w:ilvl w:val="0"/>
          <w:numId w:val="7"/>
        </w:numPr>
      </w:pPr>
      <w:r w:rsidRPr="00746ACE">
        <w:t>Por el contrario, fundamenta sus consecuencias jurídicas y sus rutas procesales</w:t>
      </w:r>
      <w:r w:rsidR="00542EAA" w:rsidRPr="00746ACE">
        <w:t xml:space="preserve"> sobre la distinción de responsabilidades frente a los patrones de </w:t>
      </w:r>
      <w:r w:rsidR="001653D7" w:rsidRPr="00746ACE">
        <w:t>macro criminalidad</w:t>
      </w:r>
      <w:r w:rsidR="00542EAA" w:rsidRPr="00746ACE">
        <w:t xml:space="preserve"> investigados. En efecto, los máximos responsables fueron identificados por la Sala de Reconocimiento de Verdad y Responsabilidad como </w:t>
      </w:r>
      <w:r w:rsidRPr="00746ACE">
        <w:t>aquellos comparecientes</w:t>
      </w:r>
      <w:r w:rsidR="00542EAA" w:rsidRPr="00746ACE">
        <w:t xml:space="preserve"> tuvieron un rol esencial en la comisión de los crímenes investigados</w:t>
      </w:r>
      <w:r w:rsidR="00B30801" w:rsidRPr="00746ACE">
        <w:t>, pues son</w:t>
      </w:r>
      <w:r w:rsidR="00542EAA" w:rsidRPr="00746ACE">
        <w:t xml:space="preserve"> quienes dirigieron, controlaron o financiaron la ejecución de los patrones de macro</w:t>
      </w:r>
      <w:r w:rsidR="005B7DE1" w:rsidRPr="00746ACE">
        <w:t xml:space="preserve"> </w:t>
      </w:r>
      <w:r w:rsidR="00542EAA" w:rsidRPr="00746ACE">
        <w:t xml:space="preserve">criminalidad, mientras que los partícipes no determinantes fueron excluidos de dicha categoría precisamente por ostentar un grado inferior de intervención. </w:t>
      </w:r>
    </w:p>
    <w:p w14:paraId="686BDEFB" w14:textId="77777777" w:rsidR="00DE778B" w:rsidRPr="00746ACE" w:rsidRDefault="00DE778B" w:rsidP="00CF1AD1">
      <w:pPr>
        <w:widowControl w:val="0"/>
      </w:pPr>
    </w:p>
    <w:p w14:paraId="45D7E728" w14:textId="7561C8F2" w:rsidR="00720FE7" w:rsidRPr="00746ACE" w:rsidRDefault="00DE778B" w:rsidP="00FC0DFB">
      <w:pPr>
        <w:pStyle w:val="Prrafodelista"/>
        <w:widowControl w:val="0"/>
        <w:numPr>
          <w:ilvl w:val="0"/>
          <w:numId w:val="7"/>
        </w:numPr>
        <w:textAlignment w:val="baseline"/>
      </w:pPr>
      <w:r w:rsidRPr="00746ACE">
        <w:t xml:space="preserve">Por lo tanto, desconocer esta diferencia al momento de imponer la sanción ordinaria implica desconocer </w:t>
      </w:r>
      <w:r w:rsidR="00B30801" w:rsidRPr="00746ACE">
        <w:t xml:space="preserve">el rol de </w:t>
      </w:r>
      <w:r w:rsidRPr="00746ACE">
        <w:t xml:space="preserve">la </w:t>
      </w:r>
      <w:r w:rsidR="00B30801" w:rsidRPr="00746ACE">
        <w:t>facultad de selección en el sistema transicional</w:t>
      </w:r>
      <w:r w:rsidRPr="00746ACE">
        <w:t xml:space="preserve"> y </w:t>
      </w:r>
      <w:r w:rsidR="00B30801" w:rsidRPr="00746ACE">
        <w:t>su</w:t>
      </w:r>
      <w:r w:rsidRPr="00746ACE">
        <w:t xml:space="preserve"> diseño constitucional. En ese sentido, conduce a una respuesta sancionatoria que no refleja de manera adecuada el grado de participación y responsabilidad de los comparecientes en los hechos más graves y representativos.</w:t>
      </w:r>
    </w:p>
    <w:p w14:paraId="06CBCA91" w14:textId="77777777" w:rsidR="00720FE7" w:rsidRPr="00746ACE" w:rsidRDefault="00720FE7" w:rsidP="00720FE7">
      <w:pPr>
        <w:pStyle w:val="Prrafodelista"/>
      </w:pPr>
    </w:p>
    <w:p w14:paraId="68D8C476" w14:textId="08189AEF" w:rsidR="00720FE7" w:rsidRPr="00746ACE" w:rsidRDefault="00DE778B" w:rsidP="00720FE7">
      <w:pPr>
        <w:pStyle w:val="Prrafodelista"/>
        <w:widowControl w:val="0"/>
        <w:numPr>
          <w:ilvl w:val="0"/>
          <w:numId w:val="7"/>
        </w:numPr>
        <w:textAlignment w:val="baseline"/>
      </w:pPr>
      <w:r w:rsidRPr="00746ACE">
        <w:t>Así</w:t>
      </w:r>
      <w:r w:rsidR="00720FE7" w:rsidRPr="00746ACE">
        <w:t xml:space="preserve"> las cosas, la Sala encuentra dos situaciones distintas en lo que tiene que ver con el principio de proporcionalidad de la sanción. </w:t>
      </w:r>
    </w:p>
    <w:p w14:paraId="7CF43853" w14:textId="77777777" w:rsidR="00D33B4B" w:rsidRPr="00746ACE" w:rsidRDefault="00D33B4B" w:rsidP="00D33B4B">
      <w:pPr>
        <w:pStyle w:val="Prrafodelista"/>
        <w:widowControl w:val="0"/>
        <w:ind w:left="0"/>
        <w:textAlignment w:val="baseline"/>
      </w:pPr>
    </w:p>
    <w:p w14:paraId="1AE202EA" w14:textId="11BA1F16" w:rsidR="00720FE7" w:rsidRPr="00746ACE" w:rsidRDefault="00720FE7" w:rsidP="00720FE7">
      <w:pPr>
        <w:pStyle w:val="Prrafodelista"/>
        <w:widowControl w:val="0"/>
        <w:numPr>
          <w:ilvl w:val="0"/>
          <w:numId w:val="7"/>
        </w:numPr>
        <w:textAlignment w:val="baseline"/>
      </w:pPr>
      <w:r w:rsidRPr="00746ACE">
        <w:t xml:space="preserve">Por una parte, la Sala estima que no es posible avanzar en este análisis en aquellos supuestos hipotéticos en que </w:t>
      </w:r>
      <w:r w:rsidRPr="00746ACE">
        <w:rPr>
          <w:i/>
        </w:rPr>
        <w:t xml:space="preserve">partícipes no determinantes que no reconocen verdad y máximos responsables que sí reconocen verdad </w:t>
      </w:r>
      <w:r w:rsidRPr="00746ACE">
        <w:t>acceden respectivamente a penas de 2 a 5 años de prisión y de 5 a 8 años de restricción de derechos con trabajados reparadores. En esta hipótesis, ni los sujetos son comparables, por la diferencia esencial en el aporte a la verdad, ni es posible establecer un criterio de comparación entre sanciones de índole diversa.</w:t>
      </w:r>
    </w:p>
    <w:p w14:paraId="0A3F2FCD" w14:textId="77777777" w:rsidR="00720FE7" w:rsidRPr="00746ACE" w:rsidRDefault="00720FE7" w:rsidP="00720FE7">
      <w:pPr>
        <w:pStyle w:val="Prrafodelista"/>
        <w:widowControl w:val="0"/>
        <w:ind w:left="0"/>
        <w:textAlignment w:val="baseline"/>
      </w:pPr>
    </w:p>
    <w:p w14:paraId="3A448695" w14:textId="799BCC7F" w:rsidR="00720FE7" w:rsidRPr="00746ACE" w:rsidRDefault="00720FE7" w:rsidP="00720FE7">
      <w:pPr>
        <w:pStyle w:val="Prrafodelista"/>
        <w:widowControl w:val="0"/>
        <w:numPr>
          <w:ilvl w:val="0"/>
          <w:numId w:val="7"/>
        </w:numPr>
        <w:textAlignment w:val="baseline"/>
      </w:pPr>
      <w:r w:rsidRPr="00746ACE">
        <w:t xml:space="preserve">Por otra parte, la Sala concluye que sí resulta desproporcionada la hipótesis –también prevista en la Senit 5– en la que un partícipe no determinante puede recibir una sanción ordinaria de 15 a 20 años, tal como ocurre con un máximo responsable que no reconoce verdad. En esta última hipótesis, el juicio de reproche al partícipe resulta desproporcionado, bajo la lógica del sistema de justicia transicional que administra la JEP. Con mayor razón, sería desproporcionado que el máximo responsable reciba los demás tipos de sanciones, mientras el partícipe no determinante enfrenta la sanción ordinaria descrita. </w:t>
      </w:r>
    </w:p>
    <w:p w14:paraId="0AAD512A" w14:textId="77777777" w:rsidR="00DE778B" w:rsidRPr="00746ACE" w:rsidRDefault="00DE778B" w:rsidP="00FC0DFB">
      <w:pPr>
        <w:widowControl w:val="0"/>
        <w:textAlignment w:val="baseline"/>
      </w:pPr>
    </w:p>
    <w:p w14:paraId="7C26C528" w14:textId="392C8458" w:rsidR="00D154AD" w:rsidRPr="00746ACE" w:rsidRDefault="00D154AD" w:rsidP="00FC0DFB">
      <w:pPr>
        <w:pStyle w:val="Prrafodelista"/>
        <w:widowControl w:val="0"/>
        <w:numPr>
          <w:ilvl w:val="0"/>
          <w:numId w:val="7"/>
        </w:numPr>
      </w:pPr>
      <w:r w:rsidRPr="00746ACE">
        <w:t>En este orden de ideas, por las razones expuestas en este acápite, el cargo formulado por los ciudadanos de la Calle Lombana y Jaramillo Caro, relativo a la vulneración del derecho fundamental al debido proceso y del principio de igualdad, no está llamado a prosperar. No obstante, el cargo sí prospera parcialmente en lo que respecta a la vulneración del principio de proporcionalidad de las sanciones, exclusivamente en relación con el escenario en el que tanto los máximos responsables como los partícipes no determinantes, tras ser vencidos en juicio adversarial, reciben la misma sanción ordinaria sin consideración al grado de participación en los hechos más graves y representativos.</w:t>
      </w:r>
    </w:p>
    <w:p w14:paraId="7666852A" w14:textId="77777777" w:rsidR="00D154AD" w:rsidRPr="00746ACE" w:rsidRDefault="00D154AD" w:rsidP="00CF1AD1">
      <w:pPr>
        <w:widowControl w:val="0"/>
      </w:pPr>
    </w:p>
    <w:p w14:paraId="764C2707" w14:textId="763B79C2" w:rsidR="00D154AD" w:rsidRPr="00746ACE" w:rsidRDefault="00D154AD" w:rsidP="00FC0DFB">
      <w:pPr>
        <w:pStyle w:val="Prrafodelista"/>
        <w:widowControl w:val="0"/>
        <w:numPr>
          <w:ilvl w:val="0"/>
          <w:numId w:val="7"/>
        </w:numPr>
      </w:pPr>
      <w:r w:rsidRPr="00746ACE">
        <w:t>Por consiguiente, la Corte Constitucional declarará la inexequibilidad del fundamento jurídico 143 de la Senit 5, por desconocer el principio de proporcionalidad de las sanciones en relación con la sanción ordinaria para los máximos responsables y los partícipes no determinantes.</w:t>
      </w:r>
    </w:p>
    <w:p w14:paraId="0FDCB873" w14:textId="7370764D" w:rsidR="00841527" w:rsidRPr="00746ACE" w:rsidRDefault="00841527" w:rsidP="00FC0DFB">
      <w:pPr>
        <w:pStyle w:val="Prrafodelista"/>
        <w:widowControl w:val="0"/>
        <w:ind w:left="0"/>
      </w:pPr>
    </w:p>
    <w:p w14:paraId="773A90D8" w14:textId="77777777" w:rsidR="00841527" w:rsidRPr="00746ACE" w:rsidRDefault="00E607FA" w:rsidP="00672AC0">
      <w:pPr>
        <w:pStyle w:val="Ttulo2"/>
        <w:rPr>
          <w:rFonts w:cs="Times New Roman"/>
        </w:rPr>
      </w:pPr>
      <w:bookmarkStart w:id="68" w:name="_Toc233384218"/>
      <w:r w:rsidRPr="00746ACE">
        <w:rPr>
          <w:rFonts w:cs="Times New Roman"/>
        </w:rPr>
        <w:t>Precisiones finales: la sentencia como un espacio de dialogo constitucional, transicional y restaurativo</w:t>
      </w:r>
      <w:bookmarkEnd w:id="68"/>
      <w:r w:rsidRPr="00746ACE">
        <w:rPr>
          <w:rFonts w:cs="Times New Roman"/>
        </w:rPr>
        <w:t xml:space="preserve"> </w:t>
      </w:r>
    </w:p>
    <w:p w14:paraId="0E4E20CC" w14:textId="77777777" w:rsidR="006C1963" w:rsidRPr="00746ACE" w:rsidRDefault="006C1963" w:rsidP="00FC0DFB">
      <w:pPr>
        <w:pStyle w:val="Prrafodelista"/>
        <w:widowControl w:val="0"/>
        <w:ind w:left="0"/>
      </w:pPr>
    </w:p>
    <w:p w14:paraId="664CF7D4" w14:textId="77777777" w:rsidR="006C1963" w:rsidRPr="00746ACE" w:rsidRDefault="006C1963" w:rsidP="000B69F5">
      <w:pPr>
        <w:pStyle w:val="Ttulo3"/>
        <w:keepNext w:val="0"/>
        <w:keepLines w:val="0"/>
        <w:widowControl w:val="0"/>
        <w:jc w:val="both"/>
        <w:rPr>
          <w:rFonts w:cs="Times New Roman"/>
          <w:color w:val="auto"/>
          <w:sz w:val="28"/>
          <w:szCs w:val="28"/>
          <w:lang w:val="es-ES"/>
        </w:rPr>
      </w:pPr>
      <w:bookmarkStart w:id="69" w:name="_Toc233384219"/>
      <w:r w:rsidRPr="00746ACE">
        <w:rPr>
          <w:rFonts w:cs="Times New Roman"/>
          <w:color w:val="auto"/>
          <w:sz w:val="28"/>
          <w:szCs w:val="28"/>
          <w:lang w:val="es-ES"/>
        </w:rPr>
        <w:t>La selección y la máxima responsabilidad en un sistema de justicia transicional restaurativo</w:t>
      </w:r>
      <w:bookmarkEnd w:id="69"/>
    </w:p>
    <w:p w14:paraId="22B0F3DC" w14:textId="77777777" w:rsidR="0059189D" w:rsidRPr="00746ACE" w:rsidRDefault="0059189D" w:rsidP="00CF1AD1">
      <w:pPr>
        <w:pStyle w:val="Textoindependiente"/>
        <w:widowControl w:val="0"/>
        <w:spacing w:before="0" w:beforeAutospacing="0" w:after="0" w:afterAutospacing="0"/>
        <w:jc w:val="both"/>
        <w:rPr>
          <w:sz w:val="28"/>
          <w:szCs w:val="28"/>
          <w:lang w:val="es-ES"/>
        </w:rPr>
      </w:pPr>
    </w:p>
    <w:p w14:paraId="0A984611" w14:textId="0B943B58" w:rsidR="006C1963" w:rsidRPr="00746ACE" w:rsidRDefault="006C1963" w:rsidP="00CF1AD1">
      <w:pPr>
        <w:pStyle w:val="Prrafodelista"/>
        <w:widowControl w:val="0"/>
        <w:numPr>
          <w:ilvl w:val="0"/>
          <w:numId w:val="7"/>
        </w:numPr>
      </w:pPr>
      <w:r w:rsidRPr="00746ACE">
        <w:t xml:space="preserve">El juzgamiento de los crímenes más graves es un deber y un desafío apremiante para un estado democrático. Colombia ha enfrentado este imperativo de la moral y el </w:t>
      </w:r>
      <w:r w:rsidR="00BF2080" w:rsidRPr="00746ACE">
        <w:t xml:space="preserve">derecho </w:t>
      </w:r>
      <w:r w:rsidRPr="00746ACE">
        <w:t xml:space="preserve">de distintas maneras en su historia y el Sistema Integral de Paz, producto del Acuerdo Final de Paz de 2016 es uno de los diseños más ricos y complejos que se han pensado e implementado para asumirlo. </w:t>
      </w:r>
    </w:p>
    <w:p w14:paraId="0EC4A0D8" w14:textId="77777777" w:rsidR="006C1963" w:rsidRPr="00746ACE" w:rsidRDefault="006C1963" w:rsidP="00CF1AD1">
      <w:pPr>
        <w:pStyle w:val="Prrafodelista"/>
        <w:widowControl w:val="0"/>
        <w:ind w:left="0"/>
      </w:pPr>
    </w:p>
    <w:p w14:paraId="285B2775" w14:textId="77777777" w:rsidR="006C1963" w:rsidRPr="00746ACE" w:rsidRDefault="006C1963" w:rsidP="00CF1AD1">
      <w:pPr>
        <w:pStyle w:val="Prrafodelista"/>
        <w:widowControl w:val="0"/>
        <w:numPr>
          <w:ilvl w:val="0"/>
          <w:numId w:val="7"/>
        </w:numPr>
      </w:pPr>
      <w:r w:rsidRPr="00746ACE">
        <w:t>Una de las características más notables de este sistema es la apuesta por un diseño que conjuga los paradigmas de justicia restaurativa y retributiva</w:t>
      </w:r>
      <w:r w:rsidRPr="00746ACE">
        <w:rPr>
          <w:rStyle w:val="Refdenotaalpie"/>
        </w:rPr>
        <w:footnoteReference w:id="165"/>
      </w:r>
      <w:r w:rsidRPr="00746ACE">
        <w:t xml:space="preserve">. Si bien ambos paradigmas hacían parte de nuestro sistema jurídico desde antes del Acuerdo Final de Paz y sus normas de implementación, lo cierto es que este modelo profundiza el enfoque restaurativo de diversas maneras, por ejemplo, a través del concepto de justicia prospectiva o transformadora, del principio dialógico como base de sus procedimientos, o del sistema de sanciones en el cual las </w:t>
      </w:r>
      <w:r w:rsidRPr="00746ACE">
        <w:rPr>
          <w:i/>
        </w:rPr>
        <w:t xml:space="preserve">sanciones propias </w:t>
      </w:r>
      <w:r w:rsidRPr="00746ACE">
        <w:t>tienen fines de reparación de las víctimas y estabilidad de la paz, y aportan a su vez a la reintegración de los comparecientes que reconocen verdad y responsabilidad.</w:t>
      </w:r>
    </w:p>
    <w:p w14:paraId="4C0574B1" w14:textId="77777777" w:rsidR="006C1963" w:rsidRPr="00746ACE" w:rsidRDefault="006C1963" w:rsidP="00CF1AD1">
      <w:pPr>
        <w:pStyle w:val="Prrafodelista"/>
        <w:widowControl w:val="0"/>
      </w:pPr>
    </w:p>
    <w:p w14:paraId="085A8531" w14:textId="1C5A912D" w:rsidR="006C1963" w:rsidRPr="00746ACE" w:rsidRDefault="006C1963" w:rsidP="00CF1AD1">
      <w:pPr>
        <w:pStyle w:val="Prrafodelista"/>
        <w:widowControl w:val="0"/>
        <w:numPr>
          <w:ilvl w:val="0"/>
          <w:numId w:val="7"/>
        </w:numPr>
      </w:pPr>
      <w:r w:rsidRPr="00746ACE">
        <w:t>Desde la justicia restaurativa, la reparación de las víctimas, la reintegración de los comparecientes a través de la responsabilización</w:t>
      </w:r>
      <w:r w:rsidR="00053DF2" w:rsidRPr="00746ACE">
        <w:t>,</w:t>
      </w:r>
      <w:r w:rsidRPr="00746ACE">
        <w:t xml:space="preserve"> y la reconstrucción o transformación del tejido social deben orientar la interpretación de las normas del sistema. </w:t>
      </w:r>
    </w:p>
    <w:p w14:paraId="13B468F1" w14:textId="77777777" w:rsidR="006C1963" w:rsidRPr="00746ACE" w:rsidRDefault="006C1963" w:rsidP="00CF1AD1">
      <w:pPr>
        <w:pStyle w:val="Prrafodelista"/>
        <w:widowControl w:val="0"/>
        <w:ind w:left="0"/>
      </w:pPr>
    </w:p>
    <w:p w14:paraId="0B2AAB9D" w14:textId="589127C0" w:rsidR="006C1963" w:rsidRPr="00746ACE" w:rsidRDefault="006C1963" w:rsidP="00CF1AD1">
      <w:pPr>
        <w:pStyle w:val="Prrafodelista"/>
        <w:widowControl w:val="0"/>
        <w:numPr>
          <w:ilvl w:val="0"/>
          <w:numId w:val="7"/>
        </w:numPr>
      </w:pPr>
      <w:r w:rsidRPr="00746ACE">
        <w:t xml:space="preserve">A su vez, bajo la perspectiva de la justicia transicional, el </w:t>
      </w:r>
      <w:r w:rsidRPr="00746ACE">
        <w:rPr>
          <w:i/>
        </w:rPr>
        <w:t xml:space="preserve">principio constitucional </w:t>
      </w:r>
      <w:r w:rsidR="00C03C1A" w:rsidRPr="00746ACE">
        <w:rPr>
          <w:i/>
        </w:rPr>
        <w:t xml:space="preserve">y transicional </w:t>
      </w:r>
      <w:r w:rsidRPr="00746ACE">
        <w:rPr>
          <w:i/>
        </w:rPr>
        <w:t>de selección</w:t>
      </w:r>
      <w:r w:rsidRPr="00746ACE">
        <w:t xml:space="preserve"> ordena la concentración de la investigación, juzgamiento y sanción en los máximos responsables de las conductas más graves y representativas. La selección, como principio constitucional, surge y responde a la masividad, la extensión temporal y la degradación de la violencia, así como a las demandas de verdad y reparación. </w:t>
      </w:r>
    </w:p>
    <w:p w14:paraId="7F065323" w14:textId="77777777" w:rsidR="006C1963" w:rsidRPr="00746ACE" w:rsidRDefault="006C1963" w:rsidP="00CF1AD1">
      <w:pPr>
        <w:pStyle w:val="Prrafodelista"/>
        <w:widowControl w:val="0"/>
      </w:pPr>
    </w:p>
    <w:p w14:paraId="7C426318" w14:textId="51CE0EDD" w:rsidR="006C1963" w:rsidRPr="00746ACE" w:rsidRDefault="006C1963" w:rsidP="00FC3A12">
      <w:pPr>
        <w:pStyle w:val="Prrafodelista"/>
        <w:widowControl w:val="0"/>
        <w:numPr>
          <w:ilvl w:val="0"/>
          <w:numId w:val="7"/>
        </w:numPr>
      </w:pPr>
      <w:r w:rsidRPr="00746ACE">
        <w:t xml:space="preserve">La selección </w:t>
      </w:r>
      <w:r w:rsidR="00DD4E06" w:rsidRPr="00746ACE">
        <w:t xml:space="preserve">concebida como principio constitucional y herramienta inherente a la justicia transicional </w:t>
      </w:r>
      <w:r w:rsidRPr="00746ACE">
        <w:t>es una piedra angular del sistema</w:t>
      </w:r>
      <w:r w:rsidR="00DD4E06" w:rsidRPr="00746ACE">
        <w:t>.</w:t>
      </w:r>
    </w:p>
    <w:p w14:paraId="0E206A26" w14:textId="77777777" w:rsidR="00DD4E06" w:rsidRPr="00746ACE" w:rsidRDefault="00DD4E06" w:rsidP="00DD4E06">
      <w:pPr>
        <w:pStyle w:val="Prrafodelista"/>
        <w:widowControl w:val="0"/>
        <w:ind w:left="0"/>
      </w:pPr>
    </w:p>
    <w:p w14:paraId="19E091CC" w14:textId="550C4966" w:rsidR="006C1963" w:rsidRPr="00746ACE" w:rsidRDefault="006C1963" w:rsidP="00CF1AD1">
      <w:pPr>
        <w:pStyle w:val="Prrafodelista"/>
        <w:widowControl w:val="0"/>
        <w:numPr>
          <w:ilvl w:val="0"/>
          <w:numId w:val="7"/>
        </w:numPr>
      </w:pPr>
      <w:r w:rsidRPr="00746ACE">
        <w:t>Las discusiones del caso objeto de estudio, asociadas a los principios de legalidad y debido proceso, dos pilares del Estado de Derecho, requieren integrar al examen constitucional</w:t>
      </w:r>
      <w:r w:rsidR="00053DF2" w:rsidRPr="00746ACE">
        <w:t xml:space="preserve"> los pilares de</w:t>
      </w:r>
      <w:r w:rsidRPr="00746ACE">
        <w:t xml:space="preserve"> la justicia transicional y la justicia restaurativa. Esta necesidad se refleja en la manera en que se adelantó el control de constitucionalidad de la Senit 5 y, por integración normativa, de la Senit 8 y la Senit 9.</w:t>
      </w:r>
    </w:p>
    <w:p w14:paraId="5745FF2C" w14:textId="77777777" w:rsidR="006C1963" w:rsidRPr="00746ACE" w:rsidRDefault="006C1963" w:rsidP="00CF1AD1">
      <w:pPr>
        <w:pStyle w:val="Prrafodelista"/>
        <w:widowControl w:val="0"/>
        <w:ind w:left="0"/>
      </w:pPr>
    </w:p>
    <w:p w14:paraId="335B2070" w14:textId="5368AEF0" w:rsidR="006C1963" w:rsidRPr="00746ACE" w:rsidRDefault="006C1963" w:rsidP="00CF1AD1">
      <w:pPr>
        <w:pStyle w:val="Prrafodelista"/>
        <w:widowControl w:val="0"/>
        <w:numPr>
          <w:ilvl w:val="0"/>
          <w:numId w:val="7"/>
        </w:numPr>
      </w:pPr>
      <w:r w:rsidRPr="00746ACE">
        <w:t xml:space="preserve">La relación entre la Corte Constitucional y la JEP </w:t>
      </w:r>
      <w:r w:rsidR="00701444" w:rsidRPr="00746ACE">
        <w:t xml:space="preserve">se edifica </w:t>
      </w:r>
      <w:r w:rsidRPr="00746ACE">
        <w:t xml:space="preserve">en el cruce de dos grandes premisas. De un lado, la JEP debe ceñirse a los cauces de la Constitución, aun cuando sean cauces especiales, derivados de las normas de reforma constitucional que sirvieron de apoyo al Acuerdo Final de Paz en el plano jurídico. De otro lado, </w:t>
      </w:r>
      <w:r w:rsidR="00053DF2" w:rsidRPr="00746ACE">
        <w:t xml:space="preserve">la </w:t>
      </w:r>
      <w:r w:rsidRPr="00746ACE">
        <w:t>Corte debe preservar un amplio margen de interpretación de las normas del sistema transicional restaurativo y un espacio igualmente amplio para la valoración de los hechos y las conductas al juez natural y, en especial, cuando las decisiones las adopta su órgano de cierre, la Sección de Apelación.</w:t>
      </w:r>
    </w:p>
    <w:p w14:paraId="49F84047" w14:textId="77777777" w:rsidR="006C1963" w:rsidRPr="00746ACE" w:rsidRDefault="006C1963" w:rsidP="00CF1AD1">
      <w:pPr>
        <w:pStyle w:val="Prrafodelista"/>
        <w:widowControl w:val="0"/>
        <w:ind w:left="0"/>
      </w:pPr>
    </w:p>
    <w:p w14:paraId="53C6CA98" w14:textId="1CE73411" w:rsidR="006C1963" w:rsidRPr="00746ACE" w:rsidRDefault="006C1963" w:rsidP="00CF1AD1">
      <w:pPr>
        <w:pStyle w:val="Prrafodelista"/>
        <w:widowControl w:val="0"/>
        <w:numPr>
          <w:ilvl w:val="0"/>
          <w:numId w:val="7"/>
        </w:numPr>
      </w:pPr>
      <w:r w:rsidRPr="00746ACE">
        <w:t xml:space="preserve">En ese contexto, para hallar un balance entre las premisas mencionadas, la Corte Constitucional expresó que la Sección de Apelación, en el ejercicio de sus funciones, no tiene la facultad de sustituir el principio constitucional </w:t>
      </w:r>
      <w:r w:rsidR="00C03C1A" w:rsidRPr="00746ACE">
        <w:t xml:space="preserve">y transicional </w:t>
      </w:r>
      <w:r w:rsidRPr="00746ACE">
        <w:t xml:space="preserve">de selección o, en otros términos, de dispersar la investigación, juzgamiento y sanción en otros sujetos; añadió que la Sección de Apelación no cuenta con la facultad para crear nuevos criterios de selección o competencias, aunque sí tiene un margen amplio para determinar su alcance en casos concretos, y para colmar vacíos y solucionar contradicciones normativas, derivadas de la notoria complejidad de las disposiciones de la Ley Estatutaria de Administración de Justicia, siempre, bajo los lineamientos y conclusiones de la Sentencia C-080 de 2018. </w:t>
      </w:r>
    </w:p>
    <w:p w14:paraId="0C570B27" w14:textId="77777777" w:rsidR="006C1963" w:rsidRPr="00746ACE" w:rsidRDefault="006C1963" w:rsidP="00CF1AD1">
      <w:pPr>
        <w:pStyle w:val="Prrafodelista"/>
        <w:widowControl w:val="0"/>
      </w:pPr>
    </w:p>
    <w:p w14:paraId="26ABAC33" w14:textId="7BE76F92" w:rsidR="00F064D6" w:rsidRPr="00746ACE" w:rsidRDefault="006C1963" w:rsidP="00CF1AD1">
      <w:pPr>
        <w:pStyle w:val="Prrafodelista"/>
        <w:widowControl w:val="0"/>
        <w:numPr>
          <w:ilvl w:val="0"/>
          <w:numId w:val="7"/>
        </w:numPr>
      </w:pPr>
      <w:r w:rsidRPr="00746ACE">
        <w:t xml:space="preserve">Finalmente, la JEP y, en especial su Sección de Apelación, cuenta con un amplio margen de interpretación para analizar la responsabilidad en la atribución de crímenes no amnistiables a los máximos responsables, siempre que esta facultad se proyecte sobre la </w:t>
      </w:r>
      <w:r w:rsidR="00F064D6" w:rsidRPr="00746ACE">
        <w:t xml:space="preserve">atribución </w:t>
      </w:r>
      <w:r w:rsidRPr="00746ACE">
        <w:t xml:space="preserve">la comisión de un crimen, </w:t>
      </w:r>
      <w:r w:rsidR="00F064D6" w:rsidRPr="00746ACE">
        <w:t xml:space="preserve">la </w:t>
      </w:r>
      <w:r w:rsidRPr="00746ACE">
        <w:t>identifica</w:t>
      </w:r>
      <w:r w:rsidR="00F064D6" w:rsidRPr="00746ACE">
        <w:t>ción de</w:t>
      </w:r>
      <w:r w:rsidRPr="00746ACE">
        <w:t xml:space="preserve">l daño y </w:t>
      </w:r>
      <w:r w:rsidR="00F064D6" w:rsidRPr="00746ACE">
        <w:t xml:space="preserve">el diseño de </w:t>
      </w:r>
      <w:r w:rsidRPr="00746ACE">
        <w:t xml:space="preserve">mecanismos de reparación, pero no </w:t>
      </w:r>
      <w:r w:rsidR="00DD4E06" w:rsidRPr="00746ACE">
        <w:t xml:space="preserve">en caso de que se convierta en un modo </w:t>
      </w:r>
      <w:r w:rsidRPr="00746ACE">
        <w:t xml:space="preserve">para ampliar </w:t>
      </w:r>
      <w:r w:rsidR="00DD4E06" w:rsidRPr="00746ACE">
        <w:t>de manera directa el universo de sujetos y conductas que serán objeto de sanción por parte de la Jurisdicción Especial para la Paz.</w:t>
      </w:r>
      <w:r w:rsidRPr="00746ACE">
        <w:t xml:space="preserve"> </w:t>
      </w:r>
    </w:p>
    <w:p w14:paraId="22F9F593" w14:textId="77777777" w:rsidR="00F064D6" w:rsidRPr="00746ACE" w:rsidRDefault="00F064D6" w:rsidP="00F064D6">
      <w:pPr>
        <w:pStyle w:val="Prrafodelista"/>
      </w:pPr>
    </w:p>
    <w:p w14:paraId="02539A28" w14:textId="1C29F0C1" w:rsidR="006C1963" w:rsidRPr="00746ACE" w:rsidRDefault="006C1963" w:rsidP="37E6FD0E">
      <w:pPr>
        <w:pStyle w:val="Prrafodelista"/>
        <w:widowControl w:val="0"/>
        <w:numPr>
          <w:ilvl w:val="0"/>
          <w:numId w:val="7"/>
        </w:numPr>
      </w:pPr>
      <w:r w:rsidRPr="00746ACE">
        <w:t xml:space="preserve">Es válido también que la JEP profundice en la responsabilidad desde el concepto de </w:t>
      </w:r>
      <w:r w:rsidRPr="00746ACE">
        <w:rPr>
          <w:i/>
          <w:iCs/>
        </w:rPr>
        <w:t xml:space="preserve">responsabilización, </w:t>
      </w:r>
      <w:r w:rsidRPr="00746ACE">
        <w:t xml:space="preserve">el cual designa el reconocimiento de los hechos y la toma de conciencia sobre las consecuencias que tuvieron en la vida de otras personas. </w:t>
      </w:r>
      <w:r w:rsidR="00F064D6" w:rsidRPr="00746ACE">
        <w:t xml:space="preserve">La </w:t>
      </w:r>
      <w:r w:rsidR="00F064D6" w:rsidRPr="00746ACE">
        <w:rPr>
          <w:i/>
          <w:iCs/>
        </w:rPr>
        <w:t xml:space="preserve">responsabilización, </w:t>
      </w:r>
      <w:r w:rsidR="00F064D6" w:rsidRPr="00746ACE">
        <w:t xml:space="preserve">en el ciclo de la justicia restaurativa es condición para que sean posibles la </w:t>
      </w:r>
      <w:r w:rsidR="00F064D6" w:rsidRPr="00746ACE">
        <w:rPr>
          <w:i/>
          <w:iCs/>
        </w:rPr>
        <w:t xml:space="preserve">reparación </w:t>
      </w:r>
      <w:r w:rsidR="00F064D6" w:rsidRPr="00746ACE">
        <w:t xml:space="preserve">y la </w:t>
      </w:r>
      <w:r w:rsidR="00F064D6" w:rsidRPr="00746ACE">
        <w:rPr>
          <w:i/>
          <w:iCs/>
        </w:rPr>
        <w:t xml:space="preserve">reintegración. </w:t>
      </w:r>
      <w:r w:rsidR="00F064D6" w:rsidRPr="00746ACE">
        <w:t>Lo primero porque es en sí misma reparadora y permite conocer las capacidades del compareciente para desarrollar acciones reparadoras, desde el reconocimiento temprano de responsabilidad hasta los trabajos, obras y actividades de contenido reparador ––TOAR––; lo segundo porque es a través de su participación en estas acciones que su vuelta a la sociedad se hace posible.</w:t>
      </w:r>
      <w:r w:rsidR="00F064D6" w:rsidRPr="00746ACE">
        <w:rPr>
          <w:rStyle w:val="Refdenotaalpie"/>
        </w:rPr>
        <w:footnoteReference w:id="166"/>
      </w:r>
    </w:p>
    <w:p w14:paraId="5C4DB2D7" w14:textId="77777777" w:rsidR="006C1963" w:rsidRPr="00746ACE" w:rsidRDefault="006C1963" w:rsidP="00CF1AD1">
      <w:pPr>
        <w:pStyle w:val="Prrafodelista"/>
        <w:widowControl w:val="0"/>
      </w:pPr>
    </w:p>
    <w:p w14:paraId="2BD2D8CC" w14:textId="2F18A01E" w:rsidR="006C1963" w:rsidRPr="00746ACE" w:rsidRDefault="006C1963" w:rsidP="00CF1AD1">
      <w:pPr>
        <w:pStyle w:val="Prrafodelista"/>
        <w:widowControl w:val="0"/>
        <w:numPr>
          <w:ilvl w:val="0"/>
          <w:numId w:val="7"/>
        </w:numPr>
      </w:pPr>
      <w:r w:rsidRPr="00746ACE">
        <w:t xml:space="preserve">La </w:t>
      </w:r>
      <w:r w:rsidRPr="00746ACE">
        <w:rPr>
          <w:i/>
        </w:rPr>
        <w:t>selección de segundo orden</w:t>
      </w:r>
      <w:r w:rsidRPr="00746ACE">
        <w:t xml:space="preserve"> no es válida porque desconoce las dimensiones del principio de selección desarrolladas en la Ley </w:t>
      </w:r>
      <w:r w:rsidR="00053DF2" w:rsidRPr="00746ACE">
        <w:t xml:space="preserve">Estatutaria </w:t>
      </w:r>
      <w:r w:rsidRPr="00746ACE">
        <w:t xml:space="preserve">de </w:t>
      </w:r>
      <w:r w:rsidR="00053DF2" w:rsidRPr="00746ACE">
        <w:t xml:space="preserve">Administración </w:t>
      </w:r>
      <w:r w:rsidRPr="00746ACE">
        <w:t xml:space="preserve">de </w:t>
      </w:r>
      <w:r w:rsidR="00053DF2" w:rsidRPr="00746ACE">
        <w:t xml:space="preserve">Justicia </w:t>
      </w:r>
      <w:r w:rsidRPr="00746ACE">
        <w:t xml:space="preserve">en la JEP y analizadas en la Sentencia C-080 de 2018. La </w:t>
      </w:r>
      <w:r w:rsidRPr="00746ACE">
        <w:rPr>
          <w:i/>
        </w:rPr>
        <w:t>selección global</w:t>
      </w:r>
      <w:r w:rsidRPr="00746ACE">
        <w:t xml:space="preserve">, de carácter positivo, a cargo de la Sala de Reconocimiento de Verdad y Responsabilidad, que se concreta en la identificación de las personas que podrían ir a juicio; y la </w:t>
      </w:r>
      <w:r w:rsidRPr="00746ACE">
        <w:rPr>
          <w:i/>
        </w:rPr>
        <w:t>selección individual</w:t>
      </w:r>
      <w:r w:rsidRPr="00746ACE">
        <w:t xml:space="preserve"> por parte de la Sala de Definición de Situaciones Jurídicas, que conduce a la renuncia a la persecución penal. </w:t>
      </w:r>
    </w:p>
    <w:p w14:paraId="52D3C9CC" w14:textId="77777777" w:rsidR="006C1963" w:rsidRPr="00746ACE" w:rsidRDefault="006C1963" w:rsidP="00CF1AD1">
      <w:pPr>
        <w:pStyle w:val="Prrafodelista"/>
        <w:widowControl w:val="0"/>
      </w:pPr>
    </w:p>
    <w:p w14:paraId="21F18016" w14:textId="6EC6023F" w:rsidR="006C1963" w:rsidRPr="00746ACE" w:rsidRDefault="006C1963" w:rsidP="00CF1AD1">
      <w:pPr>
        <w:pStyle w:val="Prrafodelista"/>
        <w:widowControl w:val="0"/>
        <w:numPr>
          <w:ilvl w:val="0"/>
          <w:numId w:val="7"/>
        </w:numPr>
      </w:pPr>
      <w:r w:rsidRPr="00746ACE">
        <w:t>El sistema de la JEP permite, por otra parte, que tanto los máximos responsables como los partícipes no determinantes, incluso después de la resolución de conclusi</w:t>
      </w:r>
      <w:r w:rsidR="00053DF2" w:rsidRPr="00746ACE">
        <w:t>o</w:t>
      </w:r>
      <w:r w:rsidRPr="00746ACE">
        <w:t>n</w:t>
      </w:r>
      <w:r w:rsidR="00053DF2" w:rsidRPr="00746ACE">
        <w:t>es</w:t>
      </w:r>
      <w:r w:rsidRPr="00746ACE">
        <w:t xml:space="preserve"> de la Sala de Reconocimiento de Verdad y Responsabilidad participen en audiencias para ampliar el acceso a la verdad y se vinculen a trabajos, obras y actividades de contenido reparador o restaurador. Los máximos responsables lo hacen como parte del componente reparador de la sanción, mientras que los partícipes determinantes desarrollan estas actividades en el </w:t>
      </w:r>
      <w:r w:rsidR="00053DF2" w:rsidRPr="00746ACE">
        <w:t xml:space="preserve">marco del </w:t>
      </w:r>
      <w:r w:rsidRPr="00746ACE">
        <w:t xml:space="preserve">régimen de condicionalidad estricto, de acuerdo con </w:t>
      </w:r>
      <w:r w:rsidR="00053DF2" w:rsidRPr="00746ACE">
        <w:t xml:space="preserve">las </w:t>
      </w:r>
      <w:r w:rsidRPr="00746ACE">
        <w:t>orientaciones de la Sección de Apelación que no fueron demandadas en esta ocasión (Senit 8).</w:t>
      </w:r>
    </w:p>
    <w:p w14:paraId="48CB91D3" w14:textId="77777777" w:rsidR="006C1963" w:rsidRPr="00746ACE" w:rsidRDefault="006C1963" w:rsidP="00CF1AD1">
      <w:pPr>
        <w:pStyle w:val="Prrafodelista"/>
        <w:widowControl w:val="0"/>
      </w:pPr>
    </w:p>
    <w:p w14:paraId="44A63095" w14:textId="3DE2E10B" w:rsidR="006C1963" w:rsidRPr="00746ACE" w:rsidRDefault="006C1963" w:rsidP="00CF1AD1">
      <w:pPr>
        <w:pStyle w:val="Prrafodelista"/>
        <w:widowControl w:val="0"/>
        <w:numPr>
          <w:ilvl w:val="0"/>
          <w:numId w:val="7"/>
        </w:numPr>
      </w:pPr>
      <w:r w:rsidRPr="00746ACE">
        <w:t xml:space="preserve">La </w:t>
      </w:r>
      <w:r w:rsidRPr="00746ACE">
        <w:rPr>
          <w:i/>
        </w:rPr>
        <w:t>selección de segundo orden</w:t>
      </w:r>
      <w:r w:rsidRPr="00746ACE">
        <w:t xml:space="preserve"> no encaja en estas rutas, pues abre la posibilidad de que se inicie un juicio adversarial contra partícipes determinantes.</w:t>
      </w:r>
      <w:r w:rsidR="00742777" w:rsidRPr="00746ACE">
        <w:t xml:space="preserve"> </w:t>
      </w:r>
    </w:p>
    <w:p w14:paraId="36A2914E" w14:textId="77777777" w:rsidR="006C1963" w:rsidRPr="00746ACE" w:rsidRDefault="006C1963" w:rsidP="00CF1AD1">
      <w:pPr>
        <w:pStyle w:val="Prrafodelista"/>
        <w:widowControl w:val="0"/>
      </w:pPr>
    </w:p>
    <w:p w14:paraId="2CDE142C" w14:textId="77777777" w:rsidR="00720FE7" w:rsidRPr="00746ACE" w:rsidRDefault="00720FE7" w:rsidP="00720FE7">
      <w:pPr>
        <w:pStyle w:val="Prrafodelista"/>
        <w:widowControl w:val="0"/>
        <w:numPr>
          <w:ilvl w:val="0"/>
          <w:numId w:val="7"/>
        </w:numPr>
      </w:pPr>
      <w:r w:rsidRPr="00746ACE">
        <w:t xml:space="preserve">La Sala observa, en todo caso, que la Sección de Apelación considera que la </w:t>
      </w:r>
      <w:r w:rsidRPr="00746ACE">
        <w:rPr>
          <w:i/>
        </w:rPr>
        <w:t xml:space="preserve">selección de segundo orden </w:t>
      </w:r>
      <w:r w:rsidRPr="00746ACE">
        <w:t>es un desarrollo del artículo 129 de la Ley Estatutaria de Administración de Justicia en la JEP, el cual admite la aplicación de sanciones inferiores a cinco años para partícipes no determinantes. Sin embargo, desde una aproximación sistemática a esta norma y a la Sentencia C-080 de 2018, esta posibilidad solo puede surgir a raíz del trabajo de la Sala de Reconocimiento, en virtud de su conocimiento panorámico de los macro casos.</w:t>
      </w:r>
    </w:p>
    <w:p w14:paraId="31AEC512" w14:textId="77777777" w:rsidR="006C1963" w:rsidRPr="00746ACE" w:rsidRDefault="006C1963" w:rsidP="00CF1AD1">
      <w:pPr>
        <w:pStyle w:val="Prrafodelista"/>
        <w:widowControl w:val="0"/>
        <w:ind w:left="0"/>
      </w:pPr>
    </w:p>
    <w:p w14:paraId="18CB1F2E" w14:textId="77777777" w:rsidR="006C1963" w:rsidRPr="00746ACE" w:rsidRDefault="006C1963" w:rsidP="00CF1AD1">
      <w:pPr>
        <w:pStyle w:val="Prrafodelista"/>
        <w:widowControl w:val="0"/>
        <w:numPr>
          <w:ilvl w:val="0"/>
          <w:numId w:val="7"/>
        </w:numPr>
      </w:pPr>
      <w:r w:rsidRPr="00746ACE">
        <w:t xml:space="preserve">En cuanto a la </w:t>
      </w:r>
      <w:r w:rsidRPr="00746ACE">
        <w:rPr>
          <w:i/>
        </w:rPr>
        <w:t>responsabilidad del punto medio</w:t>
      </w:r>
      <w:r w:rsidRPr="00746ACE">
        <w:t>, la Sala Plena inició su análisis anunciando deferencia hacia la Sección de Apelación, como órgano de cierre hermenéutico de la JEP.</w:t>
      </w:r>
    </w:p>
    <w:p w14:paraId="4377E0CE" w14:textId="77777777" w:rsidR="006C1963" w:rsidRPr="00746ACE" w:rsidRDefault="006C1963" w:rsidP="00CF1AD1">
      <w:pPr>
        <w:pStyle w:val="Prrafodelista"/>
        <w:widowControl w:val="0"/>
      </w:pPr>
    </w:p>
    <w:p w14:paraId="68F82868" w14:textId="32CE095E" w:rsidR="006C1963" w:rsidRPr="00746ACE" w:rsidRDefault="006C1963" w:rsidP="00CF1AD1">
      <w:pPr>
        <w:pStyle w:val="Prrafodelista"/>
        <w:widowControl w:val="0"/>
        <w:numPr>
          <w:ilvl w:val="0"/>
          <w:numId w:val="7"/>
        </w:numPr>
      </w:pPr>
      <w:r w:rsidRPr="00746ACE">
        <w:t xml:space="preserve">Las discusiones acerca de la responsabilidad en el derecho penal, en el derecho penal internacional y en el derecho consuetudinario han sido espacios fértiles para la interpretación judicial. En especial, </w:t>
      </w:r>
      <w:r w:rsidR="00DD4E06" w:rsidRPr="00746ACE">
        <w:t xml:space="preserve">la investigación y juzgamiento de los </w:t>
      </w:r>
      <w:r w:rsidRPr="00746ACE">
        <w:t xml:space="preserve">crímenes de genocidio, de lesa humanidad y de guerra </w:t>
      </w:r>
      <w:r w:rsidR="00DD4E06" w:rsidRPr="00746ACE">
        <w:t>exige</w:t>
      </w:r>
      <w:r w:rsidRPr="00746ACE">
        <w:t xml:space="preserve"> comprender contextos, patrones, políticas; estructuras de los cuerpos armados, conceptos de jerarquía y cadenas de mando; incluso, descifrar en ocasiones hechos mentales como la intención de exterminar una población o el móvil discriminatorio. Este trabajo requiere de un juez capaz de articular los principios y reglas normativas con la diversidad de los repertorios de guerra y la manera en que atraviesan la geografía y la historia de los territorios, las personas, los bienes y el entorno afectados. </w:t>
      </w:r>
    </w:p>
    <w:p w14:paraId="13331B5D" w14:textId="77777777" w:rsidR="006C1963" w:rsidRPr="00746ACE" w:rsidRDefault="006C1963" w:rsidP="00CF1AD1">
      <w:pPr>
        <w:pStyle w:val="Prrafodelista"/>
        <w:widowControl w:val="0"/>
        <w:ind w:left="0"/>
      </w:pPr>
    </w:p>
    <w:p w14:paraId="1FD0B093" w14:textId="45C7C30B" w:rsidR="00F469A7" w:rsidRPr="00746ACE" w:rsidRDefault="00053DF2" w:rsidP="00CF1AD1">
      <w:pPr>
        <w:pStyle w:val="Prrafodelista"/>
        <w:widowControl w:val="0"/>
        <w:numPr>
          <w:ilvl w:val="0"/>
          <w:numId w:val="7"/>
        </w:numPr>
      </w:pPr>
      <w:r w:rsidRPr="00746ACE">
        <w:t xml:space="preserve">No obstante, a </w:t>
      </w:r>
      <w:r w:rsidR="006C1963" w:rsidRPr="00746ACE">
        <w:t xml:space="preserve">pesar de que la </w:t>
      </w:r>
      <w:r w:rsidRPr="00746ACE">
        <w:t xml:space="preserve">Corte </w:t>
      </w:r>
      <w:r w:rsidR="006C1963" w:rsidRPr="00746ACE">
        <w:t xml:space="preserve">comprende la necesidad de preservar un margen de comprensión de la responsabilidad en cabeza del juez transicional, lo cierto es que la responsabilidad del punto medio fue creada para articularse con la selección de segundo orden y, por lo tanto, tiene la potencialidad de conducir a una ruta sancionatoria, además, de carácter adversarial. </w:t>
      </w:r>
    </w:p>
    <w:p w14:paraId="2412B6DE" w14:textId="77777777" w:rsidR="00F469A7" w:rsidRPr="00746ACE" w:rsidRDefault="00F469A7" w:rsidP="00CF1AD1">
      <w:pPr>
        <w:pStyle w:val="Prrafodelista"/>
        <w:widowControl w:val="0"/>
      </w:pPr>
    </w:p>
    <w:p w14:paraId="2AAD82BF" w14:textId="2035F437" w:rsidR="006C1963" w:rsidRPr="00746ACE" w:rsidRDefault="006C1963" w:rsidP="00CF1AD1">
      <w:pPr>
        <w:pStyle w:val="Prrafodelista"/>
        <w:widowControl w:val="0"/>
        <w:numPr>
          <w:ilvl w:val="0"/>
          <w:numId w:val="7"/>
        </w:numPr>
      </w:pPr>
      <w:r w:rsidRPr="00746ACE">
        <w:t>En la formulación contenida en la Senit 5, la responsabilidad del punto medio no tiene el sentido de comprender mejor los crímenes, sino de ampliar la base de las personas que serán juzgadas, literalmente, más allá de los máximos responsables. Por lo tanto, la creación de esta función desconoce tanto la configuración del legislador estatutario como el principio constitucional</w:t>
      </w:r>
      <w:r w:rsidR="00C03C1A" w:rsidRPr="00746ACE">
        <w:t xml:space="preserve"> y transicional</w:t>
      </w:r>
      <w:r w:rsidRPr="00746ACE">
        <w:t xml:space="preserve"> de selección.</w:t>
      </w:r>
    </w:p>
    <w:p w14:paraId="5D7DA98F" w14:textId="77777777" w:rsidR="006C1963" w:rsidRPr="00746ACE" w:rsidRDefault="006C1963" w:rsidP="00CF1AD1">
      <w:pPr>
        <w:pStyle w:val="Prrafodelista"/>
        <w:widowControl w:val="0"/>
        <w:ind w:left="0"/>
      </w:pPr>
    </w:p>
    <w:p w14:paraId="38DEBA6D" w14:textId="6A946ACC" w:rsidR="006C1963" w:rsidRPr="00746ACE" w:rsidRDefault="006C1963" w:rsidP="00CF1AD1">
      <w:pPr>
        <w:pStyle w:val="Prrafodelista"/>
        <w:widowControl w:val="0"/>
        <w:numPr>
          <w:ilvl w:val="0"/>
          <w:numId w:val="7"/>
        </w:numPr>
      </w:pPr>
      <w:r w:rsidRPr="00746ACE">
        <w:t xml:space="preserve">Además, la responsabilidad del punto medio es una categoría vaga y difusa, un punto medio sin coordenadas precisas. El uso de la </w:t>
      </w:r>
      <w:r w:rsidR="00F469A7" w:rsidRPr="00746ACE">
        <w:t xml:space="preserve">expresión </w:t>
      </w:r>
      <w:r w:rsidRPr="00746ACE">
        <w:rPr>
          <w:i/>
        </w:rPr>
        <w:t xml:space="preserve">responsabilidad cercana a la máxima </w:t>
      </w:r>
      <w:r w:rsidRPr="00746ACE">
        <w:t>en la Senit 9 y la afirmación de que serían equivalentes sostenida en intervenciones de la JEP no aclara la</w:t>
      </w:r>
      <w:r w:rsidR="00F469A7" w:rsidRPr="00746ACE">
        <w:t>s cosas</w:t>
      </w:r>
      <w:r w:rsidRPr="00746ACE">
        <w:t xml:space="preserve">, sino que comprueba </w:t>
      </w:r>
      <w:r w:rsidR="00F469A7" w:rsidRPr="00746ACE">
        <w:t xml:space="preserve">la </w:t>
      </w:r>
      <w:r w:rsidRPr="00746ACE">
        <w:t>vaguedad e indeterminación</w:t>
      </w:r>
      <w:r w:rsidR="00F469A7" w:rsidRPr="00746ACE">
        <w:t xml:space="preserve"> de esta figura</w:t>
      </w:r>
      <w:r w:rsidR="00A86C10" w:rsidRPr="00746ACE">
        <w:t>.</w:t>
      </w:r>
      <w:r w:rsidR="00F469A7" w:rsidRPr="00746ACE">
        <w:t> </w:t>
      </w:r>
      <w:r w:rsidR="00A86C10" w:rsidRPr="00746ACE">
        <w:t>R</w:t>
      </w:r>
      <w:r w:rsidRPr="00746ACE">
        <w:t>esulta difícil comprender cómo el punto medio y el cercano al máximo son sinónimos, al tiempo que extiende</w:t>
      </w:r>
      <w:r w:rsidR="00DD4E06" w:rsidRPr="00746ACE">
        <w:t>n</w:t>
      </w:r>
      <w:r w:rsidRPr="00746ACE">
        <w:t xml:space="preserve"> la incertidumbre en los comparecientes acerca de qué ruta les corresponde en el sistema. </w:t>
      </w:r>
    </w:p>
    <w:p w14:paraId="53A2BB84" w14:textId="77777777" w:rsidR="006C1963" w:rsidRPr="00746ACE" w:rsidRDefault="006C1963" w:rsidP="00CF1AD1">
      <w:pPr>
        <w:pStyle w:val="Prrafodelista"/>
        <w:widowControl w:val="0"/>
        <w:ind w:left="0"/>
      </w:pPr>
    </w:p>
    <w:p w14:paraId="2500A194" w14:textId="048BDE79" w:rsidR="006C1963" w:rsidRPr="00746ACE" w:rsidRDefault="006C1963" w:rsidP="00CF1AD1">
      <w:pPr>
        <w:pStyle w:val="Prrafodelista"/>
        <w:widowControl w:val="0"/>
        <w:numPr>
          <w:ilvl w:val="0"/>
          <w:numId w:val="7"/>
        </w:numPr>
      </w:pPr>
      <w:r w:rsidRPr="00746ACE">
        <w:t>La vaguedad de la categoría afecta la seguridad jurídica y desconoce el debido proceso constitucional</w:t>
      </w:r>
      <w:r w:rsidR="005E3BAA" w:rsidRPr="00746ACE">
        <w:t>, los cuales son principios fundantes del estado de derecho, y condiciones imprescindibles para la transición.</w:t>
      </w:r>
    </w:p>
    <w:p w14:paraId="3E65D4FC" w14:textId="77777777" w:rsidR="006C1963" w:rsidRPr="00746ACE" w:rsidRDefault="006C1963" w:rsidP="00CF1AD1">
      <w:pPr>
        <w:pStyle w:val="Prrafodelista"/>
        <w:widowControl w:val="0"/>
        <w:ind w:left="0"/>
      </w:pPr>
    </w:p>
    <w:p w14:paraId="63A8A415" w14:textId="532FAE37" w:rsidR="006C1963" w:rsidRPr="00746ACE" w:rsidRDefault="006C1963" w:rsidP="00CF1AD1">
      <w:pPr>
        <w:pStyle w:val="Prrafodelista"/>
        <w:widowControl w:val="0"/>
        <w:numPr>
          <w:ilvl w:val="0"/>
          <w:numId w:val="7"/>
        </w:numPr>
      </w:pPr>
      <w:r w:rsidRPr="00746ACE">
        <w:t xml:space="preserve">La Senit 8 inició un ejercicio </w:t>
      </w:r>
      <w:r w:rsidR="00092A12" w:rsidRPr="00746ACE">
        <w:t xml:space="preserve">de avance jurisprudencial frente a la </w:t>
      </w:r>
      <w:r w:rsidRPr="00746ACE">
        <w:t xml:space="preserve">responsabilidad del punto medio, </w:t>
      </w:r>
      <w:r w:rsidR="00092A12" w:rsidRPr="00746ACE">
        <w:t xml:space="preserve">que consistió en iniciar una transformación del concepto hacia la comprensión del daño, y no hacia la tasación de consecuencias jurídicas gravosas para los comparecientes. </w:t>
      </w:r>
    </w:p>
    <w:p w14:paraId="57AB9FFB" w14:textId="77777777" w:rsidR="006C1963" w:rsidRPr="00746ACE" w:rsidRDefault="006C1963" w:rsidP="00CF1AD1">
      <w:pPr>
        <w:pStyle w:val="Prrafodelista"/>
        <w:widowControl w:val="0"/>
        <w:ind w:left="0"/>
      </w:pPr>
    </w:p>
    <w:p w14:paraId="6E253EAA" w14:textId="5CD331EB" w:rsidR="006C1963" w:rsidRPr="00746ACE" w:rsidRDefault="006C1963" w:rsidP="00E1597B">
      <w:pPr>
        <w:pStyle w:val="Prrafodelista"/>
        <w:widowControl w:val="0"/>
        <w:numPr>
          <w:ilvl w:val="0"/>
          <w:numId w:val="7"/>
        </w:numPr>
      </w:pPr>
      <w:r w:rsidRPr="00746ACE">
        <w:t xml:space="preserve">Algunas intervenciones encontraron en </w:t>
      </w:r>
      <w:r w:rsidR="00092A12" w:rsidRPr="00746ACE">
        <w:t xml:space="preserve">este avance jurisprudencial </w:t>
      </w:r>
      <w:r w:rsidRPr="00746ACE">
        <w:t xml:space="preserve">una respuesta al problema jurídico planteado: si la responsabilidad transita hacia la comprensión del daño y la responsabilización del compareciente, entonces </w:t>
      </w:r>
      <w:r w:rsidR="00E1597B" w:rsidRPr="00746ACE">
        <w:t xml:space="preserve">desde el </w:t>
      </w:r>
      <w:r w:rsidRPr="00746ACE">
        <w:t xml:space="preserve">espacio </w:t>
      </w:r>
      <w:r w:rsidR="00E1597B" w:rsidRPr="00746ACE">
        <w:t xml:space="preserve">que </w:t>
      </w:r>
      <w:r w:rsidRPr="00746ACE">
        <w:t>la justicia restaurativa</w:t>
      </w:r>
      <w:r w:rsidR="00E1597B" w:rsidRPr="00746ACE">
        <w:t xml:space="preserve"> abre en la justicia transicional</w:t>
      </w:r>
      <w:r w:rsidRPr="00746ACE">
        <w:t xml:space="preserve">, debería proyectarse en audiencias de verdad y en la </w:t>
      </w:r>
      <w:r w:rsidR="005E3BAA" w:rsidRPr="00746ACE">
        <w:t xml:space="preserve">eventual </w:t>
      </w:r>
      <w:r w:rsidRPr="00746ACE">
        <w:t>vinculación de partícipes no determinantes en trabajos, obras y actividades de contenido reparador y restaurador</w:t>
      </w:r>
      <w:r w:rsidR="005E3BAA" w:rsidRPr="00746ACE">
        <w:rPr>
          <w:rStyle w:val="Refdenotaalpie"/>
        </w:rPr>
        <w:footnoteReference w:id="167"/>
      </w:r>
      <w:r w:rsidR="00A86C10" w:rsidRPr="00746ACE">
        <w:t>. E</w:t>
      </w:r>
      <w:r w:rsidRPr="00746ACE">
        <w:t xml:space="preserve">stas posibilidades reflejan el proceso de </w:t>
      </w:r>
      <w:r w:rsidRPr="00746ACE">
        <w:rPr>
          <w:i/>
        </w:rPr>
        <w:t xml:space="preserve">responsabilización </w:t>
      </w:r>
      <w:r w:rsidRPr="00746ACE">
        <w:t xml:space="preserve">del compareciente, propio de este paradigma. </w:t>
      </w:r>
    </w:p>
    <w:p w14:paraId="25E201D6" w14:textId="77777777" w:rsidR="006C1963" w:rsidRPr="00746ACE" w:rsidRDefault="006C1963" w:rsidP="00CF1AD1">
      <w:pPr>
        <w:pStyle w:val="Prrafodelista"/>
        <w:widowControl w:val="0"/>
        <w:ind w:left="0"/>
      </w:pPr>
    </w:p>
    <w:p w14:paraId="6A6D2ECE" w14:textId="68B1301D" w:rsidR="006C1963" w:rsidRPr="00746ACE" w:rsidRDefault="006C1963" w:rsidP="00CF1AD1">
      <w:pPr>
        <w:pStyle w:val="Prrafodelista"/>
        <w:widowControl w:val="0"/>
        <w:numPr>
          <w:ilvl w:val="0"/>
          <w:numId w:val="7"/>
        </w:numPr>
      </w:pPr>
      <w:r w:rsidRPr="00746ACE">
        <w:t xml:space="preserve">La Sala Plena comprende que este es un ejercicio valioso en el marco de un sistema transicional restaurativo, pues refleja el tránsito de un enfoque principalmente retributivo a un modelo restaurativo; pero, a pesar de ello, la Senit 8 preservó la </w:t>
      </w:r>
      <w:r w:rsidRPr="00746ACE">
        <w:rPr>
          <w:i/>
          <w:iCs/>
        </w:rPr>
        <w:t>selección de segundo orden</w:t>
      </w:r>
      <w:r w:rsidRPr="00746ACE">
        <w:t xml:space="preserve"> como posible consecuencia de calificar a una persona como sujeto en el punto medio de responsabilidad y, al hacerlo, mantuvo la alternativa de remitirlos a una ruta sancionatoria, alternativa que conduce a dispersar la investigación, juzgamiento y sanción de los máximos responsables en un nuevo universo indeterminado de sujetos que ya han pasado por la Sala de </w:t>
      </w:r>
      <w:r w:rsidR="00A86C10" w:rsidRPr="00746ACE">
        <w:t xml:space="preserve">Reconocimiento </w:t>
      </w:r>
      <w:r w:rsidRPr="00746ACE">
        <w:t xml:space="preserve">de </w:t>
      </w:r>
      <w:r w:rsidR="00A86C10" w:rsidRPr="00746ACE">
        <w:t xml:space="preserve">Verdad </w:t>
      </w:r>
      <w:r w:rsidRPr="00746ACE">
        <w:t xml:space="preserve">y </w:t>
      </w:r>
      <w:r w:rsidR="00A86C10" w:rsidRPr="00746ACE">
        <w:t>Responsabilidad</w:t>
      </w:r>
      <w:r w:rsidRPr="00746ACE">
        <w:t>.</w:t>
      </w:r>
    </w:p>
    <w:p w14:paraId="79A97A49" w14:textId="77777777" w:rsidR="006C1963" w:rsidRPr="00746ACE" w:rsidRDefault="006C1963" w:rsidP="00CF1AD1">
      <w:pPr>
        <w:pStyle w:val="Prrafodelista"/>
        <w:widowControl w:val="0"/>
        <w:ind w:left="0"/>
      </w:pPr>
    </w:p>
    <w:p w14:paraId="75C54079" w14:textId="3856FDD9" w:rsidR="006C1963" w:rsidRPr="00746ACE" w:rsidRDefault="006C1963" w:rsidP="00CF1AD1">
      <w:pPr>
        <w:pStyle w:val="Prrafodelista"/>
        <w:widowControl w:val="0"/>
        <w:numPr>
          <w:ilvl w:val="0"/>
          <w:numId w:val="7"/>
        </w:numPr>
      </w:pPr>
      <w:r w:rsidRPr="00746ACE">
        <w:t xml:space="preserve">En un segundo ejercicio de </w:t>
      </w:r>
      <w:r w:rsidR="00720FE7" w:rsidRPr="00746ACE">
        <w:t>interpretación</w:t>
      </w:r>
      <w:r w:rsidR="00092A12" w:rsidRPr="00746ACE">
        <w:t xml:space="preserve"> o avance jurisprudencial</w:t>
      </w:r>
      <w:r w:rsidRPr="00746ACE">
        <w:t xml:space="preserve">, la Senit 9 planteó que la responsabilidad cercana a la máxima (antes, responsabilidad del punto medio) no es una categoría normativa sino un criterio heurístico. Este segundo ejercicio choca de nuevo con la realidad de que el </w:t>
      </w:r>
      <w:r w:rsidRPr="00746ACE">
        <w:rPr>
          <w:i/>
        </w:rPr>
        <w:t xml:space="preserve">criterio heurístico </w:t>
      </w:r>
      <w:r w:rsidRPr="00746ACE">
        <w:t xml:space="preserve">conduzca a la atribución de una </w:t>
      </w:r>
      <w:r w:rsidR="00A86C10" w:rsidRPr="00746ACE">
        <w:t xml:space="preserve">categoría </w:t>
      </w:r>
      <w:r w:rsidRPr="00746ACE">
        <w:t>a los comparecientes, con consecuencias potencialmente punitivas;</w:t>
      </w:r>
      <w:r w:rsidR="00A86C10" w:rsidRPr="00746ACE">
        <w:t xml:space="preserve"> por lo que</w:t>
      </w:r>
      <w:r w:rsidRPr="00746ACE">
        <w:t xml:space="preserve"> atribuir un carácter heurístico a la categoría no soluciona el problema. </w:t>
      </w:r>
    </w:p>
    <w:p w14:paraId="2B4748D6" w14:textId="77777777" w:rsidR="006C1963" w:rsidRPr="00746ACE" w:rsidRDefault="006C1963" w:rsidP="00CF1AD1">
      <w:pPr>
        <w:pStyle w:val="Prrafodelista"/>
        <w:widowControl w:val="0"/>
      </w:pPr>
    </w:p>
    <w:p w14:paraId="68C1FC5A" w14:textId="71620A82" w:rsidR="006C1963" w:rsidRPr="00746ACE" w:rsidRDefault="006C1963" w:rsidP="00CF1AD1">
      <w:pPr>
        <w:pStyle w:val="Prrafodelista"/>
        <w:widowControl w:val="0"/>
        <w:numPr>
          <w:ilvl w:val="0"/>
          <w:numId w:val="7"/>
        </w:numPr>
      </w:pPr>
      <w:r w:rsidRPr="00746ACE">
        <w:t>Como el uso de esta categoría conduce a rutas concretas, incluida la selección de segundo orden, la responsabilidad del punto medio y cercana a la máxima siguen teniendo consecuencias en los derechos de víctimas y comparecientes, así que la vaguedad de ambas categorías y la incertidumbre de su multiplicación pueden lesionar</w:t>
      </w:r>
      <w:r w:rsidR="00A86C10" w:rsidRPr="00746ACE">
        <w:t>,</w:t>
      </w:r>
      <w:r w:rsidRPr="00746ACE">
        <w:t xml:space="preserve"> también</w:t>
      </w:r>
      <w:r w:rsidR="00A86C10" w:rsidRPr="00746ACE">
        <w:t>,</w:t>
      </w:r>
      <w:r w:rsidRPr="00746ACE">
        <w:t xml:space="preserve"> la confianza en los procesos de la JEP.</w:t>
      </w:r>
    </w:p>
    <w:p w14:paraId="74FAF4E4" w14:textId="77777777" w:rsidR="006C1963" w:rsidRPr="00746ACE" w:rsidRDefault="006C1963" w:rsidP="00CF1AD1">
      <w:pPr>
        <w:pStyle w:val="Prrafodelista"/>
        <w:widowControl w:val="0"/>
      </w:pPr>
    </w:p>
    <w:p w14:paraId="5A91B3C1" w14:textId="3A6BF1BD" w:rsidR="006C1963" w:rsidRPr="00746ACE" w:rsidRDefault="006C1963" w:rsidP="00CF1AD1">
      <w:pPr>
        <w:pStyle w:val="Prrafodelista"/>
        <w:widowControl w:val="0"/>
        <w:numPr>
          <w:ilvl w:val="0"/>
          <w:numId w:val="7"/>
        </w:numPr>
      </w:pPr>
      <w:r w:rsidRPr="00746ACE">
        <w:t xml:space="preserve">En estos términos, la Sala concluyó que estos </w:t>
      </w:r>
      <w:r w:rsidR="00092A12" w:rsidRPr="00746ACE">
        <w:t xml:space="preserve">avances jurisprudenciales </w:t>
      </w:r>
      <w:r w:rsidRPr="00746ACE">
        <w:t>no superan los defectos de la categoría, mientras se mantengan como presupuestos que pueden habilitar la selección de segundo orden o, en cualquier caso, conducir a una revisión de la selección global realizada por la Sala de Reconocimiento de Verdad y Responsabilidad o a una ruta sancionatoria.</w:t>
      </w:r>
    </w:p>
    <w:p w14:paraId="53395E34" w14:textId="77777777" w:rsidR="005E3BAA" w:rsidRPr="00746ACE" w:rsidRDefault="005E3BAA" w:rsidP="005E3BAA">
      <w:pPr>
        <w:pStyle w:val="Prrafodelista"/>
      </w:pPr>
    </w:p>
    <w:p w14:paraId="48A5E3D8" w14:textId="7E6C9D11" w:rsidR="005E3BAA" w:rsidRPr="00746ACE" w:rsidRDefault="005E3BAA" w:rsidP="005E3BAA">
      <w:pPr>
        <w:pStyle w:val="Prrafodelista"/>
        <w:widowControl w:val="0"/>
        <w:numPr>
          <w:ilvl w:val="0"/>
          <w:numId w:val="7"/>
        </w:numPr>
      </w:pPr>
      <w:r w:rsidRPr="00746ACE">
        <w:t>Los cargos cuarto y quinto se referían a presuntas violaciones al debido proceso, la igualdad y la proporcionalidad de las sanciones. Aunque las conclusiones en este punto son menos complejas, la Corte también las recordará, con fines de pedagogía constitucional.</w:t>
      </w:r>
    </w:p>
    <w:p w14:paraId="1F22B35B" w14:textId="77777777" w:rsidR="005E3BAA" w:rsidRPr="00746ACE" w:rsidRDefault="005E3BAA" w:rsidP="005E3BAA">
      <w:pPr>
        <w:pStyle w:val="Prrafodelista"/>
        <w:widowControl w:val="0"/>
      </w:pPr>
    </w:p>
    <w:p w14:paraId="11477464" w14:textId="77777777" w:rsidR="005E3BAA" w:rsidRPr="00746ACE" w:rsidRDefault="005E3BAA" w:rsidP="005E3BAA">
      <w:pPr>
        <w:pStyle w:val="Prrafodelista"/>
        <w:widowControl w:val="0"/>
        <w:numPr>
          <w:ilvl w:val="0"/>
          <w:numId w:val="7"/>
        </w:numPr>
      </w:pPr>
      <w:r w:rsidRPr="00746ACE">
        <w:t xml:space="preserve">En lo que tiene que ver con la igualdad y el principio de proporcionalidad de la sanción, la Sala Plena admitió que la Senit 8 corrigió la afirmación de la Senit 5, de acuerdo con la cual resultaba obligatorio para los partícipes no determinantes reconocer verdad y responsabilidad. Sin embargo, no ocurrió lo mismo con el cargo por desconocimiento del principio de proporcionalidad de la sanción. </w:t>
      </w:r>
    </w:p>
    <w:p w14:paraId="7D48DAFE" w14:textId="77777777" w:rsidR="005E3BAA" w:rsidRPr="00746ACE" w:rsidRDefault="005E3BAA" w:rsidP="005E3BAA">
      <w:pPr>
        <w:pStyle w:val="Prrafodelista"/>
        <w:widowControl w:val="0"/>
        <w:ind w:left="0"/>
      </w:pPr>
    </w:p>
    <w:p w14:paraId="6F064B17" w14:textId="77777777" w:rsidR="005E3BAA" w:rsidRPr="00746ACE" w:rsidRDefault="005E3BAA" w:rsidP="005E3BAA">
      <w:pPr>
        <w:pStyle w:val="Prrafodelista"/>
        <w:widowControl w:val="0"/>
        <w:numPr>
          <w:ilvl w:val="0"/>
          <w:numId w:val="7"/>
        </w:numPr>
      </w:pPr>
      <w:r w:rsidRPr="00746ACE">
        <w:t xml:space="preserve">De acuerdo con la Senit 5, en considerandos que no fueron modificados por las </w:t>
      </w:r>
      <w:r w:rsidRPr="00746ACE">
        <w:rPr>
          <w:i/>
        </w:rPr>
        <w:t>senit</w:t>
      </w:r>
      <w:r w:rsidRPr="00746ACE">
        <w:t xml:space="preserve"> 8 y 9, las personas que sean sujetos de selección de segundo orden podrían (i) tener una sanción alternativa de 2 a 5 años; o (ii) una sanción ordinaria de entre 15 y 20 años. </w:t>
      </w:r>
    </w:p>
    <w:p w14:paraId="5F7BA51E" w14:textId="77777777" w:rsidR="005E3BAA" w:rsidRPr="00746ACE" w:rsidRDefault="005E3BAA" w:rsidP="005E3BAA">
      <w:pPr>
        <w:pStyle w:val="Prrafodelista"/>
        <w:widowControl w:val="0"/>
        <w:ind w:left="0"/>
      </w:pPr>
    </w:p>
    <w:p w14:paraId="257A622B" w14:textId="77777777" w:rsidR="005E3BAA" w:rsidRPr="00746ACE" w:rsidRDefault="005E3BAA" w:rsidP="005E3BAA">
      <w:pPr>
        <w:pStyle w:val="Prrafodelista"/>
        <w:widowControl w:val="0"/>
        <w:numPr>
          <w:ilvl w:val="0"/>
          <w:numId w:val="7"/>
        </w:numPr>
      </w:pPr>
      <w:r w:rsidRPr="00746ACE">
        <w:t>La diferencia sustancial en el sentido y fines de las sanciones propias y alternativas, así como la menor duración de las segundas en el primer supuesto hace inviable el análisis de igualdad, por ausencia de un criterio de comparación.</w:t>
      </w:r>
    </w:p>
    <w:p w14:paraId="6314BF2C" w14:textId="77777777" w:rsidR="005E3BAA" w:rsidRPr="00746ACE" w:rsidRDefault="005E3BAA" w:rsidP="005E3BAA">
      <w:pPr>
        <w:pStyle w:val="Prrafodelista"/>
        <w:widowControl w:val="0"/>
        <w:ind w:left="0"/>
      </w:pPr>
    </w:p>
    <w:p w14:paraId="5BCC99E9" w14:textId="0D06FB35" w:rsidR="005E3BAA" w:rsidRPr="00746ACE" w:rsidRDefault="005E3BAA" w:rsidP="005E3BAA">
      <w:pPr>
        <w:pStyle w:val="Prrafodelista"/>
        <w:widowControl w:val="0"/>
        <w:numPr>
          <w:ilvl w:val="0"/>
          <w:numId w:val="7"/>
        </w:numPr>
      </w:pPr>
      <w:r w:rsidRPr="00746ACE">
        <w:t xml:space="preserve">Pero, en cambio, sí resulta desproporcionado que los partícipes no determinantes tuvieran sanciones ordinarias, pues estas últimas, reflejan el mayor juicio de reproche por la conducta y a la vez el mayor nivel de antijuridicidad. Más allá de las discusiones casuísticas que puedan surgir en el seno de los casos concretos (como el de un partícipe no determinante que fue, sin embargo, excesivamente cruel), en la lógica de un sistema que avanza sobre patrones macro criminales, los máximos responsables son quienes reciben el mayor juicio de reproche. </w:t>
      </w:r>
    </w:p>
    <w:p w14:paraId="22A9E6BB" w14:textId="77777777" w:rsidR="006C1963" w:rsidRPr="00746ACE" w:rsidRDefault="006C1963" w:rsidP="00CF1AD1">
      <w:pPr>
        <w:pStyle w:val="Prrafodelista"/>
        <w:widowControl w:val="0"/>
        <w:ind w:left="0"/>
      </w:pPr>
      <w:r w:rsidRPr="00746ACE">
        <w:tab/>
      </w:r>
    </w:p>
    <w:p w14:paraId="6B0551D2" w14:textId="51C82020" w:rsidR="006C1963" w:rsidRPr="00746ACE" w:rsidRDefault="00720FE7" w:rsidP="000B69F5">
      <w:pPr>
        <w:pStyle w:val="Ttulo3"/>
        <w:keepNext w:val="0"/>
        <w:keepLines w:val="0"/>
        <w:widowControl w:val="0"/>
        <w:jc w:val="both"/>
        <w:rPr>
          <w:rFonts w:cs="Times New Roman"/>
          <w:color w:val="auto"/>
          <w:sz w:val="28"/>
          <w:szCs w:val="28"/>
          <w:lang w:val="es-ES"/>
        </w:rPr>
      </w:pPr>
      <w:bookmarkStart w:id="70" w:name="_Toc233384220"/>
      <w:r w:rsidRPr="00746ACE">
        <w:rPr>
          <w:rFonts w:cs="Times New Roman"/>
          <w:color w:val="auto"/>
          <w:sz w:val="28"/>
          <w:szCs w:val="28"/>
          <w:lang w:val="es-ES"/>
        </w:rPr>
        <w:t>La aproximación basada en la justicia restaurativa y la centralidad de las víctimas</w:t>
      </w:r>
      <w:bookmarkEnd w:id="70"/>
    </w:p>
    <w:p w14:paraId="4620E6D7" w14:textId="77777777" w:rsidR="006C1963" w:rsidRPr="00746ACE" w:rsidRDefault="006C1963" w:rsidP="00CF1AD1">
      <w:pPr>
        <w:pStyle w:val="Prrafodelista"/>
        <w:widowControl w:val="0"/>
      </w:pPr>
    </w:p>
    <w:p w14:paraId="14ED463F" w14:textId="77777777" w:rsidR="00B666B9" w:rsidRPr="00746ACE" w:rsidRDefault="00AA2035" w:rsidP="00CF1AD1">
      <w:pPr>
        <w:pStyle w:val="Prrafodelista"/>
        <w:widowControl w:val="0"/>
        <w:ind w:left="1701"/>
        <w:rPr>
          <w:szCs w:val="24"/>
          <w:lang w:eastAsia="es-MX"/>
        </w:rPr>
      </w:pPr>
      <w:r w:rsidRPr="00746ACE">
        <w:rPr>
          <w:szCs w:val="24"/>
          <w:lang w:eastAsia="es-MX"/>
        </w:rPr>
        <w:t>“Que se materialice el componente restaurativo. Esto es, que las sanciones propias previstas en el modelo transicional no se agoten en un reconocimiento formal, sino que incorporen compromisos verificables, proporcionales, orientadoras a la restauración del daño causado en mecanismo de seguimiento y cumplimiento efectivo”</w:t>
      </w:r>
    </w:p>
    <w:p w14:paraId="05512A8A" w14:textId="77777777" w:rsidR="00536127" w:rsidRPr="00746ACE" w:rsidRDefault="00536127" w:rsidP="00CF1AD1">
      <w:pPr>
        <w:pStyle w:val="Prrafodelista"/>
        <w:widowControl w:val="0"/>
        <w:ind w:left="1701"/>
        <w:rPr>
          <w:szCs w:val="24"/>
        </w:rPr>
      </w:pPr>
    </w:p>
    <w:p w14:paraId="538C8F28" w14:textId="1E2179FA" w:rsidR="00D62AB5" w:rsidRPr="00746ACE" w:rsidRDefault="00B666B9" w:rsidP="00536127">
      <w:pPr>
        <w:pStyle w:val="Prrafodelista"/>
        <w:widowControl w:val="0"/>
        <w:ind w:left="1701"/>
        <w:jc w:val="right"/>
        <w:rPr>
          <w:rStyle w:val="Refdenotaalpie"/>
          <w:i/>
          <w:szCs w:val="24"/>
          <w:lang w:eastAsia="es-MX"/>
        </w:rPr>
      </w:pPr>
      <w:r w:rsidRPr="00746ACE">
        <w:rPr>
          <w:i/>
          <w:szCs w:val="24"/>
        </w:rPr>
        <w:t xml:space="preserve">Intervención de </w:t>
      </w:r>
      <w:r w:rsidR="00092A12" w:rsidRPr="00746ACE">
        <w:rPr>
          <w:i/>
          <w:szCs w:val="24"/>
        </w:rPr>
        <w:t xml:space="preserve">una organización de víctimas </w:t>
      </w:r>
      <w:r w:rsidRPr="00746ACE">
        <w:rPr>
          <w:i/>
          <w:szCs w:val="24"/>
        </w:rPr>
        <w:t>en la Sesión técnica de 27 de febrero de 2026.</w:t>
      </w:r>
    </w:p>
    <w:p w14:paraId="5D81EA40" w14:textId="77777777" w:rsidR="00D62AB5" w:rsidRPr="00746ACE" w:rsidRDefault="00D62AB5" w:rsidP="00CF1AD1">
      <w:pPr>
        <w:pStyle w:val="Prrafodelista"/>
        <w:widowControl w:val="0"/>
        <w:ind w:left="1701"/>
        <w:rPr>
          <w:szCs w:val="24"/>
        </w:rPr>
      </w:pPr>
    </w:p>
    <w:p w14:paraId="0839F991" w14:textId="77777777" w:rsidR="00B666B9" w:rsidRPr="00746ACE" w:rsidRDefault="00D62AB5" w:rsidP="00CF1AD1">
      <w:pPr>
        <w:pStyle w:val="Prrafodelista"/>
        <w:widowControl w:val="0"/>
        <w:ind w:left="1701"/>
        <w:rPr>
          <w:szCs w:val="24"/>
        </w:rPr>
      </w:pPr>
      <w:r w:rsidRPr="00746ACE">
        <w:rPr>
          <w:szCs w:val="24"/>
        </w:rPr>
        <w:t>“Las víctimas esperan coherencia en asuntos como: 1) estándares suficientes para imputar a los máximos responsables; 2) alternativas para superar el riesgo de impunidad que se gesta cuando los seleccionados como máximos no aportan verdad suficiente; 3) mantener el nivel de análisis donde corresponde sabemos que no es de hechos individuales sino de políticas y patrones y asimismo deberá establecerse la responsabilidad”</w:t>
      </w:r>
    </w:p>
    <w:p w14:paraId="59974725" w14:textId="77777777" w:rsidR="00536127" w:rsidRPr="00746ACE" w:rsidRDefault="00536127" w:rsidP="00CF1AD1">
      <w:pPr>
        <w:pStyle w:val="Prrafodelista"/>
        <w:widowControl w:val="0"/>
        <w:ind w:left="1701"/>
        <w:rPr>
          <w:szCs w:val="24"/>
        </w:rPr>
      </w:pPr>
    </w:p>
    <w:p w14:paraId="630AD7CE" w14:textId="2CE4A118" w:rsidR="00AA2035" w:rsidRPr="00746ACE" w:rsidRDefault="00B666B9" w:rsidP="00536127">
      <w:pPr>
        <w:pStyle w:val="Prrafodelista"/>
        <w:widowControl w:val="0"/>
        <w:ind w:left="1701"/>
        <w:jc w:val="right"/>
        <w:rPr>
          <w:i/>
          <w:szCs w:val="24"/>
        </w:rPr>
      </w:pPr>
      <w:r w:rsidRPr="00746ACE">
        <w:rPr>
          <w:i/>
          <w:szCs w:val="24"/>
        </w:rPr>
        <w:t>Intervención</w:t>
      </w:r>
      <w:r w:rsidR="00092A12" w:rsidRPr="00746ACE">
        <w:rPr>
          <w:i/>
          <w:szCs w:val="24"/>
        </w:rPr>
        <w:t xml:space="preserve"> tomada de </w:t>
      </w:r>
      <w:r w:rsidRPr="00746ACE">
        <w:rPr>
          <w:i/>
          <w:szCs w:val="24"/>
        </w:rPr>
        <w:t xml:space="preserve">la Sesión </w:t>
      </w:r>
      <w:r w:rsidR="00536127" w:rsidRPr="00746ACE">
        <w:rPr>
          <w:i/>
          <w:szCs w:val="24"/>
        </w:rPr>
        <w:t>T</w:t>
      </w:r>
      <w:r w:rsidRPr="00746ACE">
        <w:rPr>
          <w:i/>
          <w:szCs w:val="24"/>
        </w:rPr>
        <w:t>écnica de 27 de febrero de 2026.</w:t>
      </w:r>
      <w:r w:rsidR="00D62AB5" w:rsidRPr="00746ACE">
        <w:rPr>
          <w:i/>
          <w:szCs w:val="24"/>
        </w:rPr>
        <w:t xml:space="preserve"> </w:t>
      </w:r>
    </w:p>
    <w:p w14:paraId="1B8D4222" w14:textId="77777777" w:rsidR="00D62AB5" w:rsidRPr="00746ACE" w:rsidRDefault="00D62AB5" w:rsidP="00CF1AD1">
      <w:pPr>
        <w:pStyle w:val="Prrafodelista"/>
        <w:widowControl w:val="0"/>
        <w:ind w:left="3402"/>
        <w:rPr>
          <w:i/>
          <w:lang w:eastAsia="es-MX"/>
        </w:rPr>
      </w:pPr>
    </w:p>
    <w:p w14:paraId="7744A230" w14:textId="0BA799A2" w:rsidR="006C1963" w:rsidRPr="00746ACE" w:rsidRDefault="006C1963" w:rsidP="00CF1AD1">
      <w:pPr>
        <w:pStyle w:val="Prrafodelista"/>
        <w:widowControl w:val="0"/>
        <w:numPr>
          <w:ilvl w:val="0"/>
          <w:numId w:val="7"/>
        </w:numPr>
      </w:pPr>
      <w:r w:rsidRPr="00746ACE">
        <w:t>La participación, el diálogo y la humanización de los procesos hacen parte de los métodos que caracterizan a la justicia restaurativa y, en consecuencia, la Corte Constitucional decidió adelantar este trámite incluyendo en sus procedimientos estándares especiales de participación, plasmados en la audiencia pública con demandantes, magistrados, expertos y expertas en el sistema; y en la sesión técnica realizada en un espacio de confianza con organizaciones de víctimas</w:t>
      </w:r>
      <w:r w:rsidR="00A86C10" w:rsidRPr="00746ACE">
        <w:t>.</w:t>
      </w:r>
      <w:r w:rsidR="00742777" w:rsidRPr="00746ACE">
        <w:t xml:space="preserve"> </w:t>
      </w:r>
      <w:r w:rsidR="00A86C10" w:rsidRPr="00746ACE">
        <w:t xml:space="preserve">Esto, con el objeto de integrar </w:t>
      </w:r>
      <w:r w:rsidRPr="00746ACE">
        <w:t xml:space="preserve">la </w:t>
      </w:r>
      <w:r w:rsidRPr="00746ACE">
        <w:rPr>
          <w:i/>
        </w:rPr>
        <w:t xml:space="preserve">centralidad de las víctimas </w:t>
      </w:r>
      <w:r w:rsidRPr="00746ACE">
        <w:t xml:space="preserve">al análisis de constitucionalidad. A continuación, se explica cómo su participación se puede proyectar en una </w:t>
      </w:r>
      <w:r w:rsidRPr="00746ACE">
        <w:rPr>
          <w:i/>
        </w:rPr>
        <w:t xml:space="preserve">tercera </w:t>
      </w:r>
      <w:r w:rsidR="00092A12" w:rsidRPr="00746ACE">
        <w:rPr>
          <w:i/>
        </w:rPr>
        <w:t>aproximación</w:t>
      </w:r>
      <w:r w:rsidRPr="00746ACE">
        <w:rPr>
          <w:i/>
        </w:rPr>
        <w:t xml:space="preserve">, </w:t>
      </w:r>
      <w:r w:rsidRPr="00746ACE">
        <w:t>que preservaría la inspiración de la Senit 8, sin caer en los problemas iniciados desde la Senit 5.</w:t>
      </w:r>
    </w:p>
    <w:p w14:paraId="1F0F14B5" w14:textId="77777777" w:rsidR="006C1963" w:rsidRPr="00746ACE" w:rsidRDefault="006C1963" w:rsidP="00CF1AD1">
      <w:pPr>
        <w:pStyle w:val="Prrafodelista"/>
        <w:widowControl w:val="0"/>
        <w:ind w:left="0"/>
      </w:pPr>
    </w:p>
    <w:p w14:paraId="209A349B" w14:textId="77777777" w:rsidR="006C1963" w:rsidRPr="00746ACE" w:rsidRDefault="006C1963" w:rsidP="00CF1AD1">
      <w:pPr>
        <w:pStyle w:val="Prrafodelista"/>
        <w:widowControl w:val="0"/>
        <w:numPr>
          <w:ilvl w:val="0"/>
          <w:numId w:val="7"/>
        </w:numPr>
      </w:pPr>
      <w:r w:rsidRPr="00746ACE">
        <w:t xml:space="preserve">La JEP, diversas personas expertas y algunas organizaciones de víctimas, consideran que una categoría de responsabilidad o responsabilización bien definida, con reglas de juego claras y destinada exclusivamente a satisfacer fines de reparación, contribución al sistema, aportes de verdad y cumplimiento del régimen de condicionalidad sí podría tener cabida en el sistema. </w:t>
      </w:r>
    </w:p>
    <w:p w14:paraId="56E0D169" w14:textId="77777777" w:rsidR="006C1963" w:rsidRPr="00746ACE" w:rsidRDefault="006C1963" w:rsidP="00CF1AD1">
      <w:pPr>
        <w:pStyle w:val="Prrafodelista"/>
        <w:widowControl w:val="0"/>
        <w:ind w:left="0"/>
      </w:pPr>
    </w:p>
    <w:p w14:paraId="51D1973C" w14:textId="515C83C2" w:rsidR="006C1963" w:rsidRPr="00746ACE" w:rsidRDefault="006C1963" w:rsidP="005E3BAA">
      <w:pPr>
        <w:pStyle w:val="Prrafodelista"/>
        <w:widowControl w:val="0"/>
        <w:numPr>
          <w:ilvl w:val="0"/>
          <w:numId w:val="7"/>
        </w:numPr>
      </w:pPr>
      <w:r w:rsidRPr="00746ACE">
        <w:t>En este sentido, podría conducir a la realización de audiencias de verdad (algo que ocurre ya en la llamada ruta no sancionatoria de la Sala de Definición de Situaciones Jurídicas) y a la participación en los trabajos reparadores</w:t>
      </w:r>
      <w:r w:rsidR="00DD4E06" w:rsidRPr="00746ACE">
        <w:t>, de manera excepcional, como lo prevé la Senit 8 (párrafo 212 y siguientes)</w:t>
      </w:r>
      <w:r w:rsidR="005E3BAA" w:rsidRPr="00746ACE">
        <w:t>. Es opo</w:t>
      </w:r>
      <w:r w:rsidR="009B0909" w:rsidRPr="00746ACE">
        <w:t>r</w:t>
      </w:r>
      <w:r w:rsidR="005E3BAA" w:rsidRPr="00746ACE">
        <w:t xml:space="preserve">tuno recordar también que la Sala de definición de situaciones jurídicas cuenta con la facultad de priorización, otra herramienta esencial de la justicia transicional, que, por una parte, </w:t>
      </w:r>
      <w:r w:rsidR="00DD4E06" w:rsidRPr="00746ACE">
        <w:t>no tiene el alcance de ampliar el universo de comparecientes y hechos a sancionar,</w:t>
      </w:r>
      <w:r w:rsidR="005E3BAA" w:rsidRPr="00746ACE">
        <w:t xml:space="preserve"> como ocurre con la selección; y, por otra parte, </w:t>
      </w:r>
      <w:r w:rsidR="00DD4E06" w:rsidRPr="00746ACE">
        <w:t>se enfoca en la racionalización en el uso de los recursos del sistema dentro del espectro temporal que le corresponde a la jurisdicción especial</w:t>
      </w:r>
      <w:r w:rsidR="005E3BAA" w:rsidRPr="00746ACE">
        <w:t xml:space="preserve">. </w:t>
      </w:r>
    </w:p>
    <w:p w14:paraId="0F7A4F3F" w14:textId="77777777" w:rsidR="005E3BAA" w:rsidRPr="00746ACE" w:rsidRDefault="005E3BAA" w:rsidP="005E3BAA">
      <w:pPr>
        <w:pStyle w:val="Prrafodelista"/>
      </w:pPr>
    </w:p>
    <w:p w14:paraId="2D141038" w14:textId="188F6D30" w:rsidR="005E3BAA" w:rsidRPr="00746ACE" w:rsidRDefault="005E3BAA" w:rsidP="005E3BAA">
      <w:pPr>
        <w:pStyle w:val="Prrafodelista"/>
        <w:widowControl w:val="0"/>
        <w:numPr>
          <w:ilvl w:val="0"/>
          <w:numId w:val="7"/>
        </w:numPr>
      </w:pPr>
      <w:r w:rsidRPr="00746ACE">
        <w:t>Para alcanzar un cierre digno de los procesos es necesario que la JEP mantenga como meta el cumplimiento de las funciones en curso para los macro casos abiertos. Por lo tanto, las renuncias a la persecución penal deben realizarse con celeridad. En contraste, las obligaciones del régimen de condicionalidad estricto podrán preservarse, en la medida en que lo permita el principio de estricta temporalidad de la JEP, en función de los fines de verdad y reparación</w:t>
      </w:r>
      <w:r w:rsidR="009B0909" w:rsidRPr="00746ACE">
        <w:t xml:space="preserve"> que también hacen parte de la misión de la JEP.</w:t>
      </w:r>
      <w:r w:rsidRPr="00746ACE">
        <w:t xml:space="preserve"> </w:t>
      </w:r>
    </w:p>
    <w:p w14:paraId="75BEF501" w14:textId="77777777" w:rsidR="005E3BAA" w:rsidRPr="00746ACE" w:rsidRDefault="005E3BAA" w:rsidP="005E3BAA">
      <w:pPr>
        <w:pStyle w:val="Prrafodelista"/>
        <w:widowControl w:val="0"/>
        <w:ind w:left="0"/>
      </w:pPr>
    </w:p>
    <w:p w14:paraId="39CA1E33" w14:textId="77777777" w:rsidR="005E3BAA" w:rsidRPr="00746ACE" w:rsidRDefault="005E3BAA" w:rsidP="005E3BAA">
      <w:pPr>
        <w:pStyle w:val="Prrafodelista"/>
        <w:widowControl w:val="0"/>
        <w:numPr>
          <w:ilvl w:val="0"/>
          <w:numId w:val="7"/>
        </w:numPr>
      </w:pPr>
      <w:r w:rsidRPr="00746ACE">
        <w:t xml:space="preserve">Por otra parte, la centralidad de las víctimas comienza por asegurar su participación y preservar la comunicación clara sobre lo que el sistema puede ofrecer y también de lo que no está a su alcance. Preocupa a la Corte que, antes de la expedición de las Senit no se haya abierto ningún espacio participativo. Es posible que la Sección de Apelación conciba estas decisiones como escenarios de discusión puramente jurídica en el interior de la jurisdicción. Pero lo cierto es que, como la misma sección lo ha dicho, todos los procesos de la JEP deben preservar un enfoque restaurativo. Así, cuando una </w:t>
      </w:r>
      <w:r w:rsidRPr="00746ACE">
        <w:rPr>
          <w:i/>
          <w:iCs/>
        </w:rPr>
        <w:t>senit</w:t>
      </w:r>
      <w:r w:rsidRPr="00746ACE">
        <w:t xml:space="preserve"> impacta directamente los derechos de las víctimas, como ocurre con las Senit 5, 8 y 9, debería permitirse alguna forma de participación, a partir de las distintas fórmulas que ya utiliza la jurisdicción.</w:t>
      </w:r>
    </w:p>
    <w:p w14:paraId="19F56784" w14:textId="77777777" w:rsidR="005E3BAA" w:rsidRPr="00746ACE" w:rsidRDefault="005E3BAA" w:rsidP="005E3BAA">
      <w:pPr>
        <w:pStyle w:val="Prrafodelista"/>
        <w:widowControl w:val="0"/>
        <w:ind w:left="0"/>
      </w:pPr>
    </w:p>
    <w:p w14:paraId="7690F663" w14:textId="77777777" w:rsidR="005E3BAA" w:rsidRPr="00746ACE" w:rsidRDefault="005E3BAA" w:rsidP="005E3BAA">
      <w:pPr>
        <w:pStyle w:val="Prrafodelista"/>
        <w:widowControl w:val="0"/>
        <w:numPr>
          <w:ilvl w:val="0"/>
          <w:numId w:val="7"/>
        </w:numPr>
      </w:pPr>
      <w:r w:rsidRPr="00746ACE">
        <w:t>El respeto por las víctimas y el principio de centralidad exige además reglas claras, pues estas no solo propician la seguridad jurídica para los comparecientes, sino que permiten también orientar las demandas de verdad y reparación e, incluso, organizar el litigio a favor de sus derechos en la JEP. Las reglas claras permiten nivelar las expectativas, en el sentido de alcanzar una comprensión común acerca de las posibilidades, sentido y límites del sistema de justicia transicional restaurativo.</w:t>
      </w:r>
    </w:p>
    <w:p w14:paraId="32492016" w14:textId="77777777" w:rsidR="005E3BAA" w:rsidRPr="00746ACE" w:rsidRDefault="005E3BAA" w:rsidP="005E3BAA">
      <w:pPr>
        <w:pStyle w:val="Prrafodelista"/>
        <w:widowControl w:val="0"/>
        <w:ind w:left="0"/>
      </w:pPr>
    </w:p>
    <w:p w14:paraId="3A60CA07" w14:textId="77777777" w:rsidR="005E3BAA" w:rsidRPr="00746ACE" w:rsidRDefault="005E3BAA" w:rsidP="005E3BAA">
      <w:pPr>
        <w:pStyle w:val="Prrafodelista"/>
        <w:widowControl w:val="0"/>
        <w:numPr>
          <w:ilvl w:val="0"/>
          <w:numId w:val="7"/>
        </w:numPr>
      </w:pPr>
      <w:r w:rsidRPr="00746ACE">
        <w:t xml:space="preserve">Algunas organizaciones ven en la </w:t>
      </w:r>
      <w:r w:rsidRPr="00746ACE">
        <w:rPr>
          <w:i/>
        </w:rPr>
        <w:t>selección de segundo orden</w:t>
      </w:r>
      <w:r w:rsidRPr="00746ACE">
        <w:t xml:space="preserve"> un esfuerzo en la lucha contra la impunidad y una posibilidad de alcanzar más verdad para las víctimas; otras plantean que la creación de categorías como la </w:t>
      </w:r>
      <w:r w:rsidRPr="00746ACE">
        <w:rPr>
          <w:i/>
        </w:rPr>
        <w:t xml:space="preserve">responsabilidad del punto medio </w:t>
      </w:r>
      <w:r w:rsidRPr="00746ACE">
        <w:t xml:space="preserve">no conduce por sí sola a la satisfacción de derechos; unas más consideran inadecuada la selección de segundo orden y reclaman más verdad y reparación que castigo; y hay algunas que plantean que ven estas categoría como una decisión equivocada, en los términos planteados en la demanda. </w:t>
      </w:r>
    </w:p>
    <w:p w14:paraId="2E3346CF" w14:textId="77777777" w:rsidR="005E3BAA" w:rsidRPr="00746ACE" w:rsidRDefault="005E3BAA" w:rsidP="005E3BAA">
      <w:pPr>
        <w:pStyle w:val="Prrafodelista"/>
        <w:widowControl w:val="0"/>
        <w:ind w:left="0"/>
      </w:pPr>
    </w:p>
    <w:p w14:paraId="00304BFE" w14:textId="77777777" w:rsidR="005E3BAA" w:rsidRPr="00746ACE" w:rsidRDefault="005E3BAA" w:rsidP="005E3BAA">
      <w:pPr>
        <w:pStyle w:val="Prrafodelista"/>
        <w:widowControl w:val="0"/>
        <w:numPr>
          <w:ilvl w:val="0"/>
          <w:numId w:val="7"/>
        </w:numPr>
      </w:pPr>
      <w:r w:rsidRPr="00746ACE">
        <w:t xml:space="preserve">Además, hay organizaciones que manifiestan una percepción positiva del trabajo de la Sala de Definición de Situaciones Jurídicas en la ruta no sancionatoria, donde se han adelantado audiencias de verdad, al igual que organizaciones que denuncian una aplicación diferenciada de las normas jurídicas por parte de la misma sala. Incluso, algunas denuncian que persisten discursos justificatorios por parte de los comparecientes, los cuales frustran las expectativas de verdad. </w:t>
      </w:r>
    </w:p>
    <w:p w14:paraId="57E00C1D" w14:textId="77777777" w:rsidR="005E3BAA" w:rsidRPr="00746ACE" w:rsidRDefault="005E3BAA" w:rsidP="005E3BAA">
      <w:pPr>
        <w:pStyle w:val="Prrafodelista"/>
        <w:widowControl w:val="0"/>
        <w:ind w:left="0"/>
      </w:pPr>
    </w:p>
    <w:p w14:paraId="493DA142" w14:textId="77777777" w:rsidR="005E3BAA" w:rsidRPr="00746ACE" w:rsidRDefault="005E3BAA" w:rsidP="005E3BAA">
      <w:pPr>
        <w:pStyle w:val="Prrafodelista"/>
        <w:widowControl w:val="0"/>
        <w:numPr>
          <w:ilvl w:val="0"/>
          <w:numId w:val="7"/>
        </w:numPr>
      </w:pPr>
      <w:r w:rsidRPr="00746ACE">
        <w:t>La imagen de las víctimas como un cuerpo uniforme defendida por los magistrados de la JEP en audiencia pública de 24 de octubre de 2024 es entonces ajena a la realidad. En el espectro de posiciones expuesto se percibe una valoración diversa sobre la selección de segundo orden y, si hay un punto en común, es el interés en avanzar en más verdad y reparación.</w:t>
      </w:r>
    </w:p>
    <w:p w14:paraId="5C603857" w14:textId="77777777" w:rsidR="005E3BAA" w:rsidRPr="00746ACE" w:rsidRDefault="005E3BAA" w:rsidP="005E3BAA">
      <w:pPr>
        <w:pStyle w:val="Prrafodelista"/>
        <w:widowControl w:val="0"/>
        <w:ind w:left="0"/>
      </w:pPr>
    </w:p>
    <w:p w14:paraId="725E59DD" w14:textId="77777777" w:rsidR="005E3BAA" w:rsidRPr="00746ACE" w:rsidRDefault="005E3BAA" w:rsidP="005E3BAA">
      <w:pPr>
        <w:pStyle w:val="Prrafodelista"/>
        <w:widowControl w:val="0"/>
        <w:numPr>
          <w:ilvl w:val="0"/>
          <w:numId w:val="7"/>
        </w:numPr>
      </w:pPr>
      <w:r w:rsidRPr="00746ACE">
        <w:t>Por lo tanto, la centralidad de las víctimas sugiere también que el espacio residual abierto para la selección de segundo orden debería cederse a espacios de restauración, participación y reparación. Esta tesis no implica desconocer que existen organizaciones, como el Cajar, que ven en la selección de segundo orden un mecanismo de lucha contra la impunidad, y que hay víctimas que consideran que este espacio puede ampliar el acceso a la verdad sobre hechos concretos.</w:t>
      </w:r>
    </w:p>
    <w:p w14:paraId="28AA6195" w14:textId="77777777" w:rsidR="005E3BAA" w:rsidRPr="00746ACE" w:rsidRDefault="005E3BAA" w:rsidP="005E3BAA">
      <w:pPr>
        <w:pStyle w:val="Prrafodelista"/>
        <w:widowControl w:val="0"/>
        <w:ind w:left="0"/>
      </w:pPr>
    </w:p>
    <w:p w14:paraId="2B6E52FE" w14:textId="77777777" w:rsidR="005E3BAA" w:rsidRPr="00746ACE" w:rsidRDefault="005E3BAA" w:rsidP="005E3BAA">
      <w:pPr>
        <w:pStyle w:val="Prrafodelista"/>
        <w:widowControl w:val="0"/>
        <w:numPr>
          <w:ilvl w:val="0"/>
          <w:numId w:val="7"/>
        </w:numPr>
      </w:pPr>
      <w:r w:rsidRPr="00746ACE">
        <w:t xml:space="preserve">Lo que ocurre es que la centralidad de las víctimas debe enmarcarse en los demás principios del sistema y, el que administra la JEP tiene como eje la concentración de la investigación juzgamiento y sanción como herramienta para evitar la impunidad de hecho. En cambio, la Sala Plena considera que, en principio, no existe un obstáculo para profundizar en las dimensiones reparadoras y de verdad del régimen de condicionalidad estricto. </w:t>
      </w:r>
    </w:p>
    <w:p w14:paraId="4272A726" w14:textId="77777777" w:rsidR="005E3BAA" w:rsidRPr="00746ACE" w:rsidRDefault="005E3BAA" w:rsidP="005E3BAA">
      <w:pPr>
        <w:pStyle w:val="Prrafodelista"/>
        <w:widowControl w:val="0"/>
        <w:ind w:left="0"/>
      </w:pPr>
    </w:p>
    <w:p w14:paraId="43834495" w14:textId="77777777" w:rsidR="005E3BAA" w:rsidRPr="00746ACE" w:rsidRDefault="005E3BAA" w:rsidP="005E3BAA">
      <w:pPr>
        <w:pStyle w:val="Prrafodelista"/>
        <w:widowControl w:val="0"/>
        <w:numPr>
          <w:ilvl w:val="0"/>
          <w:numId w:val="7"/>
        </w:numPr>
      </w:pPr>
      <w:r w:rsidRPr="00746ACE">
        <w:t>Lo intolerable para las víctimas, a la luz de un concepto determinado de justicia, varía con el tiempo. Los intereses, necesidades, expectativas y emociones también lo hacen. En el estado actual de cosas, la Corte considera que la lucha contra la impunidad se verá satisfecha mediante la garantía de derechos antes que a través de la apertura de juicios adversariales por el camino inédito de la selección de segundo orden.</w:t>
      </w:r>
    </w:p>
    <w:p w14:paraId="1DEAD190" w14:textId="77777777" w:rsidR="005E3BAA" w:rsidRPr="00746ACE" w:rsidRDefault="005E3BAA" w:rsidP="005E3BAA">
      <w:pPr>
        <w:pStyle w:val="Prrafodelista"/>
        <w:widowControl w:val="0"/>
        <w:ind w:left="0"/>
      </w:pPr>
    </w:p>
    <w:p w14:paraId="54763516" w14:textId="729C09D9" w:rsidR="005E3BAA" w:rsidRPr="00746ACE" w:rsidRDefault="005E3BAA" w:rsidP="005E3BAA">
      <w:pPr>
        <w:pStyle w:val="Prrafodelista"/>
        <w:widowControl w:val="0"/>
        <w:numPr>
          <w:ilvl w:val="0"/>
          <w:numId w:val="7"/>
        </w:numPr>
      </w:pPr>
      <w:r w:rsidRPr="00746ACE">
        <w:t xml:space="preserve">La selección de segundo orden no </w:t>
      </w:r>
      <w:r w:rsidR="00084B99" w:rsidRPr="00746ACE">
        <w:t>debe</w:t>
      </w:r>
      <w:r w:rsidRPr="00746ACE">
        <w:t xml:space="preserve"> </w:t>
      </w:r>
      <w:r w:rsidR="00084B99" w:rsidRPr="00746ACE">
        <w:t xml:space="preserve">entenderse </w:t>
      </w:r>
      <w:r w:rsidRPr="00746ACE">
        <w:t xml:space="preserve">como un </w:t>
      </w:r>
      <w:r w:rsidR="00084B99" w:rsidRPr="00746ACE">
        <w:t xml:space="preserve">mecanismo para corregir o revisar </w:t>
      </w:r>
      <w:r w:rsidRPr="00746ACE">
        <w:t xml:space="preserve">la selección </w:t>
      </w:r>
      <w:r w:rsidR="00084B99" w:rsidRPr="00746ACE">
        <w:t xml:space="preserve">de máximos responsables que hace </w:t>
      </w:r>
      <w:r w:rsidRPr="00746ACE">
        <w:t xml:space="preserve">la Sala de Reconocimiento de Verdad y Responsabilidad. </w:t>
      </w:r>
      <w:r w:rsidR="00084B99" w:rsidRPr="00746ACE">
        <w:t>Tanto</w:t>
      </w:r>
      <w:r w:rsidRPr="00746ACE">
        <w:t xml:space="preserve"> los magistrados de la JEP</w:t>
      </w:r>
      <w:r w:rsidR="00084B99" w:rsidRPr="00746ACE">
        <w:t xml:space="preserve"> como</w:t>
      </w:r>
      <w:r w:rsidRPr="00746ACE">
        <w:t xml:space="preserve"> algunos </w:t>
      </w:r>
      <w:r w:rsidR="00084B99" w:rsidRPr="00746ACE">
        <w:t xml:space="preserve">de los </w:t>
      </w:r>
      <w:r w:rsidRPr="00746ACE">
        <w:t xml:space="preserve">intervinientes </w:t>
      </w:r>
      <w:r w:rsidR="00084B99" w:rsidRPr="00746ACE">
        <w:t xml:space="preserve">en el proceso manifestaron una preocupación sobre lo que ocurre cuando se cierra </w:t>
      </w:r>
      <w:r w:rsidRPr="00746ACE">
        <w:t>la relatoría de</w:t>
      </w:r>
      <w:r w:rsidR="00084B99" w:rsidRPr="00746ACE">
        <w:t xml:space="preserve"> un</w:t>
      </w:r>
      <w:r w:rsidRPr="00746ACE">
        <w:t xml:space="preserve"> macro caso o </w:t>
      </w:r>
      <w:r w:rsidR="00084B99" w:rsidRPr="00746ACE">
        <w:t xml:space="preserve">se emite </w:t>
      </w:r>
      <w:r w:rsidRPr="00746ACE">
        <w:t>la resolución de conclusiones de la Sala citada</w:t>
      </w:r>
      <w:r w:rsidR="00084B99" w:rsidRPr="00746ACE">
        <w:t xml:space="preserve">: el temor de que alguna persona </w:t>
      </w:r>
      <w:r w:rsidR="003B2772" w:rsidRPr="00746ACE">
        <w:t xml:space="preserve">con alta responsabilidad </w:t>
      </w:r>
      <w:r w:rsidR="00084B99" w:rsidRPr="00746ACE">
        <w:t xml:space="preserve">quede por fuera del proceso. Esta preocupación puede resumirse en la pregunta: </w:t>
      </w:r>
      <w:r w:rsidRPr="00746ACE">
        <w:t>“¿</w:t>
      </w:r>
      <w:r w:rsidR="00084B99" w:rsidRPr="00746ACE">
        <w:t>qué significaría para la justicia transicional, si</w:t>
      </w:r>
      <w:r w:rsidRPr="00746ACE">
        <w:t xml:space="preserve"> alguien se quedara por fuera?”.</w:t>
      </w:r>
    </w:p>
    <w:p w14:paraId="34105B6A" w14:textId="77777777" w:rsidR="00084B99" w:rsidRPr="00746ACE" w:rsidRDefault="00084B99" w:rsidP="005E3BAA">
      <w:pPr>
        <w:pStyle w:val="Prrafodelista"/>
        <w:widowControl w:val="0"/>
        <w:ind w:left="0"/>
      </w:pPr>
    </w:p>
    <w:p w14:paraId="796CC909" w14:textId="69DCA65A" w:rsidR="005E3BAA" w:rsidRPr="00746ACE" w:rsidRDefault="00B47EF6" w:rsidP="005E3BAA">
      <w:pPr>
        <w:pStyle w:val="Prrafodelista"/>
        <w:widowControl w:val="0"/>
        <w:numPr>
          <w:ilvl w:val="0"/>
          <w:numId w:val="7"/>
        </w:numPr>
      </w:pPr>
      <w:r w:rsidRPr="00746ACE">
        <w:t xml:space="preserve">Es posible que, </w:t>
      </w:r>
      <w:r w:rsidR="005E3BAA" w:rsidRPr="00746ACE">
        <w:t xml:space="preserve">desde la </w:t>
      </w:r>
      <w:r w:rsidRPr="00746ACE">
        <w:t>perspectiva</w:t>
      </w:r>
      <w:r w:rsidR="005E3BAA" w:rsidRPr="00746ACE">
        <w:t xml:space="preserve"> de algunos actores con intereses legítimos en el sistema</w:t>
      </w:r>
      <w:r w:rsidRPr="00746ACE">
        <w:t>,</w:t>
      </w:r>
      <w:r w:rsidR="005E3BAA" w:rsidRPr="00746ACE">
        <w:t xml:space="preserve"> la identificación de máximos responsables no </w:t>
      </w:r>
      <w:r w:rsidRPr="00746ACE">
        <w:t>resulte del todo</w:t>
      </w:r>
      <w:r w:rsidR="005E3BAA" w:rsidRPr="00746ACE">
        <w:t xml:space="preserve"> satisfactoria</w:t>
      </w:r>
      <w:r w:rsidRPr="00746ACE">
        <w:t>. Sin embargo,</w:t>
      </w:r>
      <w:r w:rsidR="005E3BAA" w:rsidRPr="00746ACE">
        <w:t xml:space="preserve"> es necesario reconocer que </w:t>
      </w:r>
      <w:r w:rsidRPr="00746ACE">
        <w:t>ninguna decisión judicial es</w:t>
      </w:r>
      <w:r w:rsidR="005E3BAA" w:rsidRPr="00746ACE">
        <w:t xml:space="preserve"> infalible y que</w:t>
      </w:r>
      <w:r w:rsidRPr="00746ACE">
        <w:t xml:space="preserve">, una vez agotados </w:t>
      </w:r>
      <w:r w:rsidR="005E3BAA" w:rsidRPr="00746ACE">
        <w:t>los recursos legales</w:t>
      </w:r>
      <w:r w:rsidRPr="00746ACE">
        <w:t>, dichas decisiones</w:t>
      </w:r>
      <w:r w:rsidR="005E3BAA" w:rsidRPr="00746ACE">
        <w:t xml:space="preserve"> se tornan definitivas</w:t>
      </w:r>
      <w:r w:rsidRPr="00746ACE">
        <w:t xml:space="preserve">. Solo así, ellas pueden cumplir su función de </w:t>
      </w:r>
      <w:r w:rsidR="005E3BAA" w:rsidRPr="00746ACE">
        <w:t>contribuir a la paz social</w:t>
      </w:r>
      <w:r w:rsidRPr="00746ACE">
        <w:t xml:space="preserve">. Si las decisiones permanecieran siempre abiertas a revisión, no se lograría el cierre necesario para consolidar la paz. </w:t>
      </w:r>
    </w:p>
    <w:p w14:paraId="17648CAE" w14:textId="77777777" w:rsidR="00B47EF6" w:rsidRPr="00746ACE" w:rsidRDefault="00B47EF6" w:rsidP="005E3BAA">
      <w:pPr>
        <w:pStyle w:val="Prrafodelista"/>
        <w:widowControl w:val="0"/>
        <w:ind w:left="0"/>
      </w:pPr>
    </w:p>
    <w:p w14:paraId="6DE62FDB" w14:textId="0C25F765" w:rsidR="00B47EF6" w:rsidRPr="00746ACE" w:rsidRDefault="0076258B" w:rsidP="005E3BAA">
      <w:pPr>
        <w:pStyle w:val="Prrafodelista"/>
        <w:widowControl w:val="0"/>
        <w:numPr>
          <w:ilvl w:val="0"/>
          <w:numId w:val="7"/>
        </w:numPr>
      </w:pPr>
      <w:r w:rsidRPr="00746ACE">
        <w:t xml:space="preserve">Por lo tanto, el </w:t>
      </w:r>
      <w:r w:rsidR="0060599E" w:rsidRPr="00746ACE">
        <w:t xml:space="preserve">riesgo </w:t>
      </w:r>
      <w:r w:rsidRPr="00746ACE">
        <w:t>mencionado</w:t>
      </w:r>
      <w:r w:rsidR="00B47EF6" w:rsidRPr="00746ACE">
        <w:t xml:space="preserve"> –el dejar a alguien por fuera-</w:t>
      </w:r>
      <w:r w:rsidRPr="00746ACE">
        <w:t xml:space="preserve"> </w:t>
      </w:r>
      <w:r w:rsidR="005E3BAA" w:rsidRPr="00746ACE">
        <w:t xml:space="preserve">no puede </w:t>
      </w:r>
      <w:r w:rsidR="00B47EF6" w:rsidRPr="00746ACE">
        <w:t>res</w:t>
      </w:r>
      <w:r w:rsidR="003973F8" w:rsidRPr="00746ACE">
        <w:t>ponderse</w:t>
      </w:r>
      <w:r w:rsidR="00B47EF6" w:rsidRPr="00746ACE">
        <w:t xml:space="preserve"> </w:t>
      </w:r>
      <w:r w:rsidR="005E3BAA" w:rsidRPr="00746ACE">
        <w:t xml:space="preserve">mediante una evaluación caso a caso, pues esta posibilidad </w:t>
      </w:r>
      <w:r w:rsidR="00B47EF6" w:rsidRPr="00746ACE">
        <w:t xml:space="preserve">no solo </w:t>
      </w:r>
      <w:r w:rsidR="005E3BAA" w:rsidRPr="00746ACE">
        <w:t>desconcentra la investigación</w:t>
      </w:r>
      <w:r w:rsidR="00B47EF6" w:rsidRPr="00746ACE">
        <w:t>, sino que también</w:t>
      </w:r>
      <w:r w:rsidR="005E3BAA" w:rsidRPr="00746ACE">
        <w:t xml:space="preserve"> fracciona los macro casos. </w:t>
      </w:r>
      <w:r w:rsidR="00B47EF6" w:rsidRPr="00746ACE">
        <w:t xml:space="preserve">Tampoco es posible resolverlo duplicando funciones entre la Sala de Reconocimiento y la Sala de Definición de Situaciones Jurídicas, pues esto iría en contra de la distribución de </w:t>
      </w:r>
      <w:r w:rsidR="003973F8" w:rsidRPr="00746ACE">
        <w:t>funciones</w:t>
      </w:r>
      <w:r w:rsidR="00B47EF6" w:rsidRPr="00746ACE">
        <w:t xml:space="preserve"> establecida por la ley estatutaria, así como del principio de estricta temporalidad. Finalmente, el riesgo mencionado no puede solucionarse, convirtiendo a la Sala de Definición de Situaciones Jurídicas en un órgano que revise las decisiones de la Sala de Reconocimiento de Verdad y Responsabilidad, pues para ese propósito existen otros mecanismos</w:t>
      </w:r>
      <w:r w:rsidR="003973F8" w:rsidRPr="00746ACE">
        <w:t xml:space="preserve">, como la evaluación de correspondencia </w:t>
      </w:r>
      <w:r w:rsidR="003B2772" w:rsidRPr="00746ACE">
        <w:t>por parte de la Sección de Primera Instancia para Casos con Reconocimiento de Verdad y</w:t>
      </w:r>
      <w:r w:rsidR="003973F8" w:rsidRPr="00746ACE">
        <w:t xml:space="preserve"> los recursos al final del proceso. </w:t>
      </w:r>
    </w:p>
    <w:p w14:paraId="2B8EDEDA" w14:textId="1A32F4CF" w:rsidR="00B47EF6" w:rsidRPr="00746ACE" w:rsidRDefault="00B47EF6" w:rsidP="00CF1AD1">
      <w:pPr>
        <w:pStyle w:val="Prrafodelista"/>
        <w:widowControl w:val="0"/>
        <w:ind w:left="0"/>
      </w:pPr>
    </w:p>
    <w:p w14:paraId="07F39B84" w14:textId="701053CB" w:rsidR="00CE46CA" w:rsidRPr="00746ACE" w:rsidRDefault="004E254C" w:rsidP="00672AC0">
      <w:pPr>
        <w:pStyle w:val="Ttulo2"/>
        <w:rPr>
          <w:rFonts w:cs="Times New Roman"/>
        </w:rPr>
      </w:pPr>
      <w:bookmarkStart w:id="71" w:name="_Toc233384221"/>
      <w:r w:rsidRPr="00746ACE">
        <w:rPr>
          <w:rFonts w:cs="Times New Roman"/>
        </w:rPr>
        <w:t>Alcance de la decisión</w:t>
      </w:r>
      <w:bookmarkEnd w:id="71"/>
      <w:r w:rsidRPr="00746ACE">
        <w:rPr>
          <w:rFonts w:cs="Times New Roman"/>
        </w:rPr>
        <w:t xml:space="preserve"> </w:t>
      </w:r>
    </w:p>
    <w:p w14:paraId="1AD3F4B7" w14:textId="77777777" w:rsidR="004E254C" w:rsidRPr="00746ACE" w:rsidRDefault="004E254C" w:rsidP="00CF1AD1">
      <w:pPr>
        <w:widowControl w:val="0"/>
      </w:pPr>
    </w:p>
    <w:p w14:paraId="5AB8E97E" w14:textId="1D32FF6A" w:rsidR="00485716" w:rsidRPr="00746ACE" w:rsidRDefault="00CE46CA" w:rsidP="000154CA">
      <w:pPr>
        <w:pStyle w:val="Prrafodelista"/>
        <w:widowControl w:val="0"/>
        <w:numPr>
          <w:ilvl w:val="0"/>
          <w:numId w:val="7"/>
        </w:numPr>
      </w:pPr>
      <w:r w:rsidRPr="00746ACE">
        <w:t xml:space="preserve">La </w:t>
      </w:r>
      <w:r w:rsidR="006C1556" w:rsidRPr="00746ACE">
        <w:t xml:space="preserve">Corte </w:t>
      </w:r>
      <w:r w:rsidRPr="00746ACE">
        <w:t xml:space="preserve">dejará sin efecto los párrafos de las </w:t>
      </w:r>
      <w:r w:rsidR="003D42DC" w:rsidRPr="00746ACE">
        <w:t>S</w:t>
      </w:r>
      <w:r w:rsidRPr="00746ACE">
        <w:t xml:space="preserve">enit 5, 8 y 9 que establecen la responsabilidad del punto intermedio y la selección de segundo orden. </w:t>
      </w:r>
      <w:r w:rsidR="008C2A80" w:rsidRPr="00746ACE">
        <w:t>E</w:t>
      </w:r>
      <w:r w:rsidR="00E67FDD" w:rsidRPr="00746ACE">
        <w:t xml:space="preserve">n particular, la Corte declarará </w:t>
      </w:r>
      <w:r w:rsidR="00C6472A" w:rsidRPr="00746ACE">
        <w:t xml:space="preserve">inexequibles </w:t>
      </w:r>
      <w:r w:rsidR="00D74E89" w:rsidRPr="00746ACE">
        <w:t xml:space="preserve">las subreglas </w:t>
      </w:r>
      <w:r w:rsidR="0040077F" w:rsidRPr="00746ACE">
        <w:t xml:space="preserve">creadas por la Sección de Apelación en las sentencias mencionadas, a partir de </w:t>
      </w:r>
      <w:r w:rsidR="00485716" w:rsidRPr="00746ACE">
        <w:t>la interpretación que esta efectuó de los</w:t>
      </w:r>
      <w:r w:rsidR="008C2A80" w:rsidRPr="00746ACE">
        <w:t xml:space="preserve"> artículos 19, 84 y 129 de la Ley 1957 de 2019</w:t>
      </w:r>
      <w:r w:rsidR="0040077F" w:rsidRPr="00746ACE">
        <w:t xml:space="preserve">, </w:t>
      </w:r>
      <w:r w:rsidR="00943C59" w:rsidRPr="00746ACE">
        <w:t>y que pueden formular</w:t>
      </w:r>
      <w:r w:rsidR="00485716" w:rsidRPr="00746ACE">
        <w:t>se</w:t>
      </w:r>
      <w:r w:rsidR="00943C59" w:rsidRPr="00746ACE">
        <w:t xml:space="preserve"> del siguiente modo: </w:t>
      </w:r>
    </w:p>
    <w:p w14:paraId="445319AB" w14:textId="77777777" w:rsidR="00485716" w:rsidRPr="00746ACE" w:rsidRDefault="00485716" w:rsidP="00943C59">
      <w:pPr>
        <w:pStyle w:val="Prrafodelista"/>
        <w:widowControl w:val="0"/>
        <w:ind w:left="0"/>
      </w:pPr>
    </w:p>
    <w:p w14:paraId="447DAE9E" w14:textId="3CC93EE8" w:rsidR="00943C59" w:rsidRPr="00746ACE" w:rsidRDefault="00C54969" w:rsidP="00943C59">
      <w:pPr>
        <w:pStyle w:val="Prrafodelista"/>
        <w:widowControl w:val="0"/>
        <w:ind w:left="567"/>
        <w:rPr>
          <w:lang w:val="es-US"/>
        </w:rPr>
      </w:pPr>
      <w:r w:rsidRPr="00746ACE">
        <w:rPr>
          <w:b/>
          <w:bCs/>
          <w:lang w:val="es-US"/>
        </w:rPr>
        <w:t xml:space="preserve">Selección de segundo orden. </w:t>
      </w:r>
      <w:r w:rsidR="00943C59" w:rsidRPr="00746ACE">
        <w:rPr>
          <w:lang w:val="es-US"/>
        </w:rPr>
        <w:t>Subregla de interpretación judicial según la cual el literal c) del artículo 84 de la Ley Estatutaria de Administración de Justicia de la JEP, en armonía con el artículo 129 de la misma ley, le confiere a la Sala de Definición de Situaciones Jurídicas la facultad de adelantar una selección de segundo orden, de carácter individual y positivo, para partícipes no determinantes cuyos aportes a la verdad se consideren insuficientes, con el fin de remitirlos a la Unidad de Investigación y Acusación, para que esta última determine si existe mérito para el inicio de un juicio adversarial.</w:t>
      </w:r>
    </w:p>
    <w:p w14:paraId="132B54C0" w14:textId="77777777" w:rsidR="0066123D" w:rsidRPr="00746ACE" w:rsidRDefault="0066123D" w:rsidP="00943C59">
      <w:pPr>
        <w:pStyle w:val="Prrafodelista"/>
        <w:widowControl w:val="0"/>
        <w:ind w:left="567"/>
        <w:rPr>
          <w:lang w:val="es-US"/>
        </w:rPr>
      </w:pPr>
    </w:p>
    <w:p w14:paraId="5B0DBEBC" w14:textId="5184BD60" w:rsidR="0066123D" w:rsidRPr="00746ACE" w:rsidRDefault="0066123D" w:rsidP="00943C59">
      <w:pPr>
        <w:pStyle w:val="Prrafodelista"/>
        <w:widowControl w:val="0"/>
        <w:ind w:left="567"/>
        <w:rPr>
          <w:lang w:val="es-US"/>
        </w:rPr>
      </w:pPr>
      <w:r w:rsidRPr="00746ACE">
        <w:rPr>
          <w:lang w:val="es-US"/>
        </w:rPr>
        <w:t>Subregla mencionada explícitamente en: párrafos 125, 127, 133, 137, 140, 143 y el segundo punto del tercer resolutivo de la Senit 5, así como los párrafos 199, 243 y en el décimo resolutivo de la Senit 8 y en las respuestas octava (8), décima (10), y 2.2. de la Senit 9.</w:t>
      </w:r>
    </w:p>
    <w:p w14:paraId="6F72EE63" w14:textId="77777777" w:rsidR="00943C59" w:rsidRPr="00746ACE" w:rsidRDefault="00943C59" w:rsidP="00943C59">
      <w:pPr>
        <w:pStyle w:val="Prrafodelista"/>
        <w:widowControl w:val="0"/>
        <w:ind w:left="567"/>
        <w:rPr>
          <w:lang w:val="es-US"/>
        </w:rPr>
      </w:pPr>
    </w:p>
    <w:p w14:paraId="5E8D3DA9" w14:textId="5F4B25FE" w:rsidR="00485716" w:rsidRPr="00746ACE" w:rsidRDefault="006E5082">
      <w:pPr>
        <w:pStyle w:val="Prrafodelista"/>
        <w:widowControl w:val="0"/>
        <w:ind w:left="567"/>
        <w:rPr>
          <w:lang w:val="es-US"/>
        </w:rPr>
      </w:pPr>
      <w:r w:rsidRPr="00746ACE">
        <w:rPr>
          <w:b/>
          <w:bCs/>
          <w:lang w:val="es-US"/>
        </w:rPr>
        <w:t>Responsabilidad cercana a la máxima</w:t>
      </w:r>
      <w:r w:rsidR="00204212" w:rsidRPr="00746ACE">
        <w:rPr>
          <w:b/>
          <w:bCs/>
          <w:lang w:val="es-US"/>
        </w:rPr>
        <w:t xml:space="preserve"> o del punto medio.</w:t>
      </w:r>
      <w:r w:rsidRPr="00746ACE">
        <w:rPr>
          <w:b/>
          <w:bCs/>
          <w:lang w:val="es-US"/>
        </w:rPr>
        <w:t xml:space="preserve"> </w:t>
      </w:r>
      <w:r w:rsidR="00943C59" w:rsidRPr="00746ACE">
        <w:rPr>
          <w:lang w:val="es-US"/>
        </w:rPr>
        <w:t>Subregla de interpretación judicial según la cual, dentro del universo de los comparecientes ante la JEP</w:t>
      </w:r>
      <w:r w:rsidR="00485716" w:rsidRPr="00746ACE">
        <w:rPr>
          <w:lang w:val="es-US"/>
        </w:rPr>
        <w:t>,</w:t>
      </w:r>
      <w:r w:rsidR="00943C59" w:rsidRPr="00746ACE">
        <w:rPr>
          <w:lang w:val="es-US"/>
        </w:rPr>
        <w:t xml:space="preserve"> existen sujetos que</w:t>
      </w:r>
      <w:r w:rsidR="00485716" w:rsidRPr="00746ACE">
        <w:rPr>
          <w:lang w:val="es-US"/>
        </w:rPr>
        <w:t>,</w:t>
      </w:r>
      <w:r w:rsidR="00943C59" w:rsidRPr="00746ACE">
        <w:rPr>
          <w:lang w:val="es-US"/>
        </w:rPr>
        <w:t xml:space="preserve"> si bien no son máximos responsables tampoco p</w:t>
      </w:r>
      <w:r w:rsidR="00485716" w:rsidRPr="00746ACE">
        <w:rPr>
          <w:lang w:val="es-US"/>
        </w:rPr>
        <w:t>ueden</w:t>
      </w:r>
      <w:r w:rsidR="00943C59" w:rsidRPr="00746ACE">
        <w:rPr>
          <w:lang w:val="es-US"/>
        </w:rPr>
        <w:t xml:space="preserve"> considerarse partícipes no determinantes, sino que se ubican en un punto medio de responsabilidad.</w:t>
      </w:r>
    </w:p>
    <w:p w14:paraId="2939A5D7" w14:textId="77777777" w:rsidR="00485716" w:rsidRPr="00746ACE" w:rsidRDefault="00485716" w:rsidP="00943C59">
      <w:pPr>
        <w:pStyle w:val="Prrafodelista"/>
        <w:widowControl w:val="0"/>
        <w:ind w:left="567"/>
        <w:rPr>
          <w:lang w:val="es-US"/>
        </w:rPr>
      </w:pPr>
    </w:p>
    <w:p w14:paraId="372CDE13" w14:textId="60FD72CA" w:rsidR="0066123D" w:rsidRPr="00746ACE" w:rsidRDefault="0066123D" w:rsidP="00943C59">
      <w:pPr>
        <w:pStyle w:val="Prrafodelista"/>
        <w:widowControl w:val="0"/>
        <w:ind w:left="567"/>
        <w:rPr>
          <w:lang w:val="es-US"/>
        </w:rPr>
      </w:pPr>
      <w:r w:rsidRPr="00746ACE">
        <w:rPr>
          <w:lang w:val="es-US"/>
        </w:rPr>
        <w:t>Subregla mencionada explícitamente en</w:t>
      </w:r>
      <w:r w:rsidR="00485716" w:rsidRPr="00746ACE">
        <w:rPr>
          <w:lang w:val="es-US"/>
        </w:rPr>
        <w:t xml:space="preserve"> los</w:t>
      </w:r>
      <w:r w:rsidRPr="00746ACE">
        <w:rPr>
          <w:lang w:val="es-US"/>
        </w:rPr>
        <w:t xml:space="preserve"> párrafos 128, 137, 140 y en el segundo punto del tercer resolutivo de la Senit 5 y en los párrafos 58, 59, 60, 61 (en especial 61.1 y 61.2), 62, 63 y en las respuestas octava (8), décima (10), y 2.2. de la Senit 9.</w:t>
      </w:r>
    </w:p>
    <w:p w14:paraId="73994D3A" w14:textId="77777777" w:rsidR="00943C59" w:rsidRPr="00746ACE" w:rsidRDefault="00943C59" w:rsidP="00943C59">
      <w:pPr>
        <w:pStyle w:val="Prrafodelista"/>
        <w:widowControl w:val="0"/>
        <w:ind w:left="0"/>
      </w:pPr>
    </w:p>
    <w:p w14:paraId="53E0A24B" w14:textId="77777777" w:rsidR="000154CA" w:rsidRPr="00746ACE" w:rsidRDefault="000154CA" w:rsidP="000154CA">
      <w:pPr>
        <w:pStyle w:val="Prrafodelista"/>
        <w:widowControl w:val="0"/>
        <w:numPr>
          <w:ilvl w:val="0"/>
          <w:numId w:val="7"/>
        </w:numPr>
      </w:pPr>
      <w:r w:rsidRPr="00746ACE">
        <w:t>En esa medida, a futuro, la Sección no podrá reproducir figuras análogas con formulaciones lingüísticas diferentes, pues sin importar su designación, lo que la Corte declara inconstitucional en esta oportunidad es (i) la apertura de una ruta adversarial para comparecientes no seleccionados como máximos responsables y (ii) la creación de una categoría de responsabilidad diferente a la máxima responsabilidad y la participación no determinante.</w:t>
      </w:r>
    </w:p>
    <w:p w14:paraId="0A89647C" w14:textId="77777777" w:rsidR="000154CA" w:rsidRPr="00746ACE" w:rsidRDefault="000154CA" w:rsidP="000154CA">
      <w:pPr>
        <w:pStyle w:val="Prrafodelista"/>
        <w:widowControl w:val="0"/>
        <w:ind w:left="0"/>
      </w:pPr>
    </w:p>
    <w:p w14:paraId="1A103562" w14:textId="487D5096" w:rsidR="00DD4E06" w:rsidRPr="00746ACE" w:rsidRDefault="00D07B66" w:rsidP="00314A49">
      <w:pPr>
        <w:pStyle w:val="Prrafodelista"/>
        <w:widowControl w:val="0"/>
        <w:numPr>
          <w:ilvl w:val="0"/>
          <w:numId w:val="7"/>
        </w:numPr>
      </w:pPr>
      <w:r w:rsidRPr="00746ACE">
        <w:t xml:space="preserve">Cabe </w:t>
      </w:r>
      <w:r w:rsidR="009D2C18" w:rsidRPr="00746ACE">
        <w:t>señalar</w:t>
      </w:r>
      <w:r w:rsidRPr="00746ACE">
        <w:t xml:space="preserve"> que la mención a los párrafos y secciones </w:t>
      </w:r>
      <w:r w:rsidR="009D2C18" w:rsidRPr="00746ACE">
        <w:t xml:space="preserve">que </w:t>
      </w:r>
      <w:r w:rsidR="00586D2C" w:rsidRPr="00746ACE">
        <w:t xml:space="preserve">recogen </w:t>
      </w:r>
      <w:r w:rsidR="00485716" w:rsidRPr="00746ACE">
        <w:t xml:space="preserve">explícitamente </w:t>
      </w:r>
      <w:r w:rsidR="00586D2C" w:rsidRPr="00746ACE">
        <w:t>las figuras declaradas inexequibles en esta sentencia no es exhaustiva</w:t>
      </w:r>
      <w:r w:rsidR="00485716" w:rsidRPr="00746ACE">
        <w:t>,</w:t>
      </w:r>
      <w:r w:rsidR="00586D2C" w:rsidRPr="00746ACE">
        <w:t xml:space="preserve"> </w:t>
      </w:r>
      <w:r w:rsidR="00485716" w:rsidRPr="00746ACE">
        <w:t>pues en otros apartados</w:t>
      </w:r>
      <w:r w:rsidR="00586D2C" w:rsidRPr="00746ACE">
        <w:t xml:space="preserve"> de las Senit 5, 8 y 9 se desarrollan ideas </w:t>
      </w:r>
      <w:r w:rsidR="00485716" w:rsidRPr="00746ACE">
        <w:t>relacionadas tanto con</w:t>
      </w:r>
      <w:r w:rsidR="00586D2C" w:rsidRPr="00746ACE">
        <w:t xml:space="preserve"> la selección de segundo orden como con la responsabilidad del punto medio o cercana a la máxima.</w:t>
      </w:r>
      <w:r w:rsidR="00CE46CA" w:rsidRPr="00746ACE">
        <w:t xml:space="preserve"> </w:t>
      </w:r>
      <w:r w:rsidR="00EA5865" w:rsidRPr="00746ACE">
        <w:t xml:space="preserve">En </w:t>
      </w:r>
      <w:r w:rsidR="00586D2C" w:rsidRPr="00746ACE">
        <w:t>ese sentido</w:t>
      </w:r>
      <w:r w:rsidR="00864844" w:rsidRPr="00746ACE">
        <w:t xml:space="preserve">, para la Corte es indispensable </w:t>
      </w:r>
      <w:r w:rsidR="00485716" w:rsidRPr="00746ACE">
        <w:t xml:space="preserve">precisar </w:t>
      </w:r>
      <w:r w:rsidR="00864844" w:rsidRPr="00746ACE">
        <w:t>que</w:t>
      </w:r>
      <w:r w:rsidR="00485716" w:rsidRPr="00746ACE">
        <w:t>,</w:t>
      </w:r>
      <w:r w:rsidR="00864844" w:rsidRPr="00746ACE">
        <w:t xml:space="preserve"> más que expulsar enunciados normativos textuales del ordenamiento jurídico, </w:t>
      </w:r>
      <w:r w:rsidR="00485716" w:rsidRPr="00746ACE">
        <w:t>lo que hace este</w:t>
      </w:r>
      <w:r w:rsidR="00864844" w:rsidRPr="00746ACE">
        <w:t xml:space="preserve"> pronunciamiento </w:t>
      </w:r>
      <w:r w:rsidR="00485716" w:rsidRPr="00746ACE">
        <w:t xml:space="preserve">es declarar inexequibles </w:t>
      </w:r>
      <w:r w:rsidR="00864844" w:rsidRPr="00746ACE">
        <w:t>las reglas jurisprudenciales</w:t>
      </w:r>
      <w:r w:rsidR="00485716" w:rsidRPr="00746ACE">
        <w:t xml:space="preserve"> relacionadas con </w:t>
      </w:r>
      <w:r w:rsidR="00314A49" w:rsidRPr="00746ACE">
        <w:t xml:space="preserve">la “selección de segundo orden” y la “responsabilidad del punto medio”, así como la atribución de la función de selección de segundo orden a la Sala de Definición de Situaciones Jurídicas, </w:t>
      </w:r>
      <w:r w:rsidR="00485716" w:rsidRPr="00746ACE">
        <w:t xml:space="preserve">formuladas por  </w:t>
      </w:r>
      <w:r w:rsidR="00864844" w:rsidRPr="00746ACE">
        <w:t xml:space="preserve">la Sección de Apelación </w:t>
      </w:r>
      <w:r w:rsidR="001C1AC4" w:rsidRPr="00746ACE">
        <w:t>según lo dispuesto en esta sentencia</w:t>
      </w:r>
      <w:r w:rsidR="00EF44B8" w:rsidRPr="00746ACE">
        <w:t xml:space="preserve">. </w:t>
      </w:r>
    </w:p>
    <w:p w14:paraId="21B24CEF" w14:textId="77777777" w:rsidR="006B577C" w:rsidRPr="00746ACE" w:rsidRDefault="006B577C" w:rsidP="006B577C">
      <w:pPr>
        <w:pStyle w:val="Prrafodelista"/>
        <w:widowControl w:val="0"/>
        <w:ind w:left="0"/>
      </w:pPr>
    </w:p>
    <w:p w14:paraId="74A2BB6D" w14:textId="1087EFF9" w:rsidR="00EA5865" w:rsidRPr="00746ACE" w:rsidRDefault="00EA5865" w:rsidP="00CF1AD1">
      <w:pPr>
        <w:pStyle w:val="Prrafodelista"/>
        <w:widowControl w:val="0"/>
        <w:numPr>
          <w:ilvl w:val="0"/>
          <w:numId w:val="7"/>
        </w:numPr>
      </w:pPr>
      <w:r w:rsidRPr="00746ACE">
        <w:t>En consecuencia,</w:t>
      </w:r>
      <w:r w:rsidR="006B577C" w:rsidRPr="00746ACE">
        <w:t xml:space="preserve"> en adelante</w:t>
      </w:r>
      <w:r w:rsidRPr="00746ACE">
        <w:t xml:space="preserve">, los partícipes no determinantes podrán (i) ser incluidos en las resoluciones de conclusiones de la </w:t>
      </w:r>
      <w:r w:rsidR="006C1556" w:rsidRPr="00746ACE">
        <w:t>Sala de Reconocimiento de Verdad y Responsabilidad</w:t>
      </w:r>
      <w:r w:rsidRPr="00746ACE">
        <w:t>, únicamente para que</w:t>
      </w:r>
      <w:r w:rsidR="00B666B9" w:rsidRPr="00746ACE">
        <w:t xml:space="preserve"> las secciones del tribunal de paz competentes </w:t>
      </w:r>
      <w:r w:rsidRPr="00746ACE">
        <w:t>determine</w:t>
      </w:r>
      <w:r w:rsidR="00B666B9" w:rsidRPr="00746ACE">
        <w:t>n</w:t>
      </w:r>
      <w:r w:rsidRPr="00746ACE">
        <w:t xml:space="preserve"> si les impone</w:t>
      </w:r>
      <w:r w:rsidR="00B666B9" w:rsidRPr="00746ACE">
        <w:t>n</w:t>
      </w:r>
      <w:r w:rsidRPr="00746ACE">
        <w:t xml:space="preserve"> sanciones inferiores de 2 a 5 años, bien sean propias o alternativas, pero nunca ordinarias; (ii) </w:t>
      </w:r>
      <w:r w:rsidR="00233926" w:rsidRPr="00746ACE">
        <w:t xml:space="preserve">ser remitidos a la Sala de Definición de Situaciones Jurídicas para efectos de verificación del régimen de condicionalidad, incluido el de carácter estricto; (iii) </w:t>
      </w:r>
      <w:r w:rsidR="00E83ED0" w:rsidRPr="00746ACE">
        <w:t xml:space="preserve">ser remitidos </w:t>
      </w:r>
      <w:r w:rsidR="00AB38E1" w:rsidRPr="00746ACE">
        <w:t>a</w:t>
      </w:r>
      <w:r w:rsidR="00474288" w:rsidRPr="00746ACE">
        <w:t xml:space="preserve"> la Sala de Definición de Situaciones Jurídicas para que reciban la renuncia condicionada a la persecución penal.</w:t>
      </w:r>
    </w:p>
    <w:p w14:paraId="762CB580" w14:textId="699AE5B0" w:rsidR="00474288" w:rsidRPr="00746ACE" w:rsidRDefault="00474288" w:rsidP="00CF1AD1">
      <w:pPr>
        <w:pStyle w:val="Prrafodelista"/>
        <w:widowControl w:val="0"/>
        <w:ind w:left="0"/>
        <w:rPr>
          <w:lang w:val="es-US"/>
        </w:rPr>
      </w:pPr>
    </w:p>
    <w:p w14:paraId="5351BB22" w14:textId="3B6DEBD0" w:rsidR="00AE6D71" w:rsidRPr="00746ACE" w:rsidRDefault="002F0619" w:rsidP="00720020">
      <w:pPr>
        <w:pStyle w:val="Ttulo1"/>
        <w:jc w:val="both"/>
        <w:rPr>
          <w:sz w:val="28"/>
          <w:szCs w:val="28"/>
          <w:lang w:val="es-ES" w:eastAsia="es-MX"/>
        </w:rPr>
      </w:pPr>
      <w:bookmarkStart w:id="72" w:name="_Toc233384222"/>
      <w:r w:rsidRPr="00746ACE">
        <w:rPr>
          <w:sz w:val="28"/>
          <w:szCs w:val="28"/>
          <w:lang w:val="es-ES"/>
        </w:rPr>
        <w:t>DECISIÓN</w:t>
      </w:r>
      <w:bookmarkEnd w:id="72"/>
      <w:r w:rsidRPr="00746ACE">
        <w:rPr>
          <w:sz w:val="28"/>
          <w:szCs w:val="28"/>
          <w:lang w:val="es-ES" w:eastAsia="es-MX"/>
        </w:rPr>
        <w:t> </w:t>
      </w:r>
    </w:p>
    <w:p w14:paraId="6CC0649B" w14:textId="77777777" w:rsidR="002F0619" w:rsidRPr="00746ACE" w:rsidRDefault="002F0619" w:rsidP="000B69F5">
      <w:pPr>
        <w:widowControl w:val="0"/>
        <w:shd w:val="clear" w:color="auto" w:fill="FFFFFF"/>
        <w:textAlignment w:val="baseline"/>
        <w:rPr>
          <w:lang w:eastAsia="es-MX"/>
        </w:rPr>
      </w:pPr>
      <w:r w:rsidRPr="00746ACE">
        <w:rPr>
          <w:lang w:eastAsia="es-MX"/>
        </w:rPr>
        <w:t>En mérito de lo expuesto, la Corte Constitucional de Colombia en nombre del pueblo y por mandato de la Constitución,</w:t>
      </w:r>
    </w:p>
    <w:p w14:paraId="60664DBB" w14:textId="5E53F152" w:rsidR="002F0619" w:rsidRPr="00746ACE" w:rsidRDefault="002F0619" w:rsidP="000B69F5">
      <w:pPr>
        <w:widowControl w:val="0"/>
        <w:shd w:val="clear" w:color="auto" w:fill="FFFFFF"/>
        <w:textAlignment w:val="baseline"/>
        <w:rPr>
          <w:lang w:eastAsia="es-MX"/>
        </w:rPr>
      </w:pPr>
    </w:p>
    <w:p w14:paraId="4FC0F851" w14:textId="7F62B94F" w:rsidR="002F0619" w:rsidRPr="00746ACE" w:rsidRDefault="002F0619" w:rsidP="00720020">
      <w:pPr>
        <w:widowControl w:val="0"/>
        <w:shd w:val="clear" w:color="auto" w:fill="FFFFFF"/>
        <w:jc w:val="center"/>
        <w:textAlignment w:val="baseline"/>
        <w:rPr>
          <w:b/>
          <w:lang w:eastAsia="es-MX"/>
        </w:rPr>
      </w:pPr>
      <w:r w:rsidRPr="00746ACE">
        <w:rPr>
          <w:b/>
          <w:lang w:eastAsia="es-MX"/>
        </w:rPr>
        <w:t>RESUELVE</w:t>
      </w:r>
      <w:r w:rsidR="00AC7A93" w:rsidRPr="00746ACE">
        <w:rPr>
          <w:b/>
          <w:lang w:eastAsia="es-MX"/>
        </w:rPr>
        <w:t>:</w:t>
      </w:r>
    </w:p>
    <w:p w14:paraId="096BFE1E" w14:textId="77777777" w:rsidR="000B0D49" w:rsidRPr="00746ACE" w:rsidRDefault="000B0D49" w:rsidP="000B69F5">
      <w:pPr>
        <w:widowControl w:val="0"/>
        <w:shd w:val="clear" w:color="auto" w:fill="FFFFFF"/>
        <w:textAlignment w:val="baseline"/>
        <w:rPr>
          <w:lang w:eastAsia="es-MX"/>
        </w:rPr>
      </w:pPr>
    </w:p>
    <w:p w14:paraId="731A69A0" w14:textId="77777777" w:rsidR="00CC1569" w:rsidRPr="00746ACE" w:rsidRDefault="00CC1569" w:rsidP="00CC1569">
      <w:pPr>
        <w:widowControl w:val="0"/>
        <w:shd w:val="clear" w:color="auto" w:fill="FFFFFF"/>
        <w:ind w:right="49"/>
        <w:textAlignment w:val="baseline"/>
        <w:rPr>
          <w:b/>
          <w:lang w:val="es-US"/>
        </w:rPr>
      </w:pPr>
      <w:r w:rsidRPr="00746ACE">
        <w:rPr>
          <w:b/>
          <w:bCs/>
          <w:lang w:val="es-US"/>
        </w:rPr>
        <w:t>PRIMERO. </w:t>
      </w:r>
      <w:r w:rsidRPr="00746ACE">
        <w:rPr>
          <w:bCs/>
          <w:lang w:val="es-US"/>
        </w:rPr>
        <w:t>Declarar </w:t>
      </w:r>
      <w:r w:rsidRPr="00746ACE">
        <w:rPr>
          <w:b/>
          <w:lang w:val="es-US"/>
        </w:rPr>
        <w:t>INEXEQUIBLE</w:t>
      </w:r>
      <w:r w:rsidRPr="00746ACE">
        <w:rPr>
          <w:bCs/>
          <w:lang w:val="es-US"/>
        </w:rPr>
        <w:t> la regla jurisprudencial derivada de la interpretación de los artículos 19, 84 y 129 de la Ley 1957 de 2019, conforme a la cual la Sala de Definición de Situaciones Jurídicas puede ejercer una selección positiva, posterior o de segundo orden respecto de comparecientes no seleccionados por la Sala de Reconocimiento de Verdad, de Responsabilidad y de Determinación de los Hechos y Conductas, con el fin de remitirlos a la Unidad de Investigación y Acusación para un eventual trámite adversarial, contenida en los párrafos 125, 127, 133, 137, 140, 143 y el segundo punto del tercer resolutivo de la Senit 5, así como los párrafos 199, 243 y en el décimo resolutivo de la Senit 8 y en las respuestas octava (8), décima (10), y 2.2. de la Senit 9, por violación al principio de legalidad, debido proceso y proporcionalidad de la sanción, previstos en los artículos 28 y 29 de la Constitución Política; y 10 de la Ley Estatutaria de la Administración de Justicia en la Jurisdicción Especial para la Paz.</w:t>
      </w:r>
    </w:p>
    <w:p w14:paraId="52837AD6" w14:textId="77777777" w:rsidR="00CC1569" w:rsidRPr="00746ACE" w:rsidRDefault="00CC1569" w:rsidP="00CC1569">
      <w:pPr>
        <w:widowControl w:val="0"/>
        <w:shd w:val="clear" w:color="auto" w:fill="FFFFFF"/>
        <w:ind w:right="49"/>
        <w:textAlignment w:val="baseline"/>
        <w:rPr>
          <w:b/>
          <w:lang w:val="es-US"/>
        </w:rPr>
      </w:pPr>
    </w:p>
    <w:p w14:paraId="4F0FAB45" w14:textId="7316A2BC" w:rsidR="00CC6F8C" w:rsidRPr="00746ACE" w:rsidRDefault="00CC1569" w:rsidP="00CC6F8C">
      <w:pPr>
        <w:widowControl w:val="0"/>
        <w:shd w:val="clear" w:color="auto" w:fill="FFFFFF"/>
        <w:ind w:right="49"/>
        <w:textAlignment w:val="baseline"/>
        <w:rPr>
          <w:b/>
          <w:lang w:val="es-US"/>
        </w:rPr>
      </w:pPr>
      <w:r w:rsidRPr="00746ACE">
        <w:rPr>
          <w:b/>
          <w:bCs/>
          <w:lang w:val="es-US"/>
        </w:rPr>
        <w:t>SEGUNDO. </w:t>
      </w:r>
      <w:r w:rsidRPr="00746ACE">
        <w:rPr>
          <w:bCs/>
          <w:lang w:val="es-US"/>
        </w:rPr>
        <w:t>Declarar </w:t>
      </w:r>
      <w:r w:rsidRPr="00746ACE">
        <w:rPr>
          <w:b/>
          <w:lang w:val="es-US"/>
        </w:rPr>
        <w:t>INEXEQUIBLE</w:t>
      </w:r>
      <w:r w:rsidRPr="00746ACE">
        <w:rPr>
          <w:bCs/>
          <w:lang w:val="es-US"/>
        </w:rPr>
        <w:t> la regla jurisprudencial derivada de la interpretación de los artículos 19, 84 y 129 de la Ley 1957 de 2019, conforme a la cual existen comparecientes con responsabilidad del punto medio o cercana a la máxima, contenida en los párrafos 128, 137, 140 y en el segundo punto del tercer resolutivo de la Senit 5 y en los párrafos 58, 59, 60, 61 (</w:t>
      </w:r>
      <w:r w:rsidR="004714AD" w:rsidRPr="00746ACE">
        <w:rPr>
          <w:lang w:val="es-US"/>
        </w:rPr>
        <w:t>e</w:t>
      </w:r>
      <w:r w:rsidRPr="00746ACE">
        <w:rPr>
          <w:lang w:val="es-US"/>
        </w:rPr>
        <w:t>n</w:t>
      </w:r>
      <w:r w:rsidRPr="00746ACE">
        <w:rPr>
          <w:bCs/>
          <w:lang w:val="es-US"/>
        </w:rPr>
        <w:t xml:space="preserve"> especial 61.1 y 61.2), 62, 63 y en las respuestas octava (8), décima (10), y 2.2. de la Senit 9, por desconocimiento del principio de legalidad, el debido proceso y la proporcionalidad de la sanción, previstos en los artículos 28 y 29 de la Constitución Política; y 10 de la Ley Estatutaria de Administración de Justicia en la JEP.</w:t>
      </w:r>
    </w:p>
    <w:p w14:paraId="2D16C1C2" w14:textId="77777777" w:rsidR="005A092B" w:rsidRPr="00746ACE" w:rsidRDefault="005A092B" w:rsidP="00FC0DFB">
      <w:pPr>
        <w:widowControl w:val="0"/>
        <w:shd w:val="clear" w:color="auto" w:fill="FFFFFF"/>
        <w:ind w:right="49"/>
        <w:textAlignment w:val="baseline"/>
        <w:rPr>
          <w:lang w:eastAsia="es-MX"/>
        </w:rPr>
      </w:pPr>
    </w:p>
    <w:p w14:paraId="4FCD8E56" w14:textId="22F72FBE" w:rsidR="00C61E5B" w:rsidRPr="00746ACE" w:rsidRDefault="002F0619" w:rsidP="00FC0DFB">
      <w:pPr>
        <w:widowControl w:val="0"/>
        <w:shd w:val="clear" w:color="auto" w:fill="FFFFFF"/>
        <w:ind w:right="49"/>
        <w:textAlignment w:val="baseline"/>
        <w:rPr>
          <w:lang w:eastAsia="es-MX"/>
        </w:rPr>
      </w:pPr>
      <w:r w:rsidRPr="00746ACE">
        <w:rPr>
          <w:lang w:eastAsia="es-MX"/>
        </w:rPr>
        <w:t>Notifíquese, comuníquese y cúmplase</w:t>
      </w:r>
      <w:r w:rsidR="0095102D" w:rsidRPr="00746ACE">
        <w:rPr>
          <w:lang w:eastAsia="es-MX"/>
        </w:rPr>
        <w:t>.</w:t>
      </w:r>
    </w:p>
    <w:p w14:paraId="7FEF6077" w14:textId="1D54AA45" w:rsidR="0070792A" w:rsidRPr="00746ACE" w:rsidRDefault="0070792A" w:rsidP="00FC0DFB">
      <w:pPr>
        <w:widowControl w:val="0"/>
        <w:shd w:val="clear" w:color="auto" w:fill="FFFFFF"/>
        <w:ind w:right="49"/>
        <w:textAlignment w:val="baseline"/>
        <w:rPr>
          <w:lang w:eastAsia="es-MX"/>
        </w:rPr>
      </w:pPr>
    </w:p>
    <w:p w14:paraId="5414E86A" w14:textId="4632A456" w:rsidR="0070792A" w:rsidRPr="00746ACE" w:rsidRDefault="0070792A" w:rsidP="0070792A">
      <w:pPr>
        <w:widowControl w:val="0"/>
        <w:shd w:val="clear" w:color="auto" w:fill="FFFFFF"/>
        <w:ind w:right="49"/>
        <w:jc w:val="center"/>
        <w:textAlignment w:val="baseline"/>
        <w:rPr>
          <w:lang w:eastAsia="es-MX"/>
        </w:rPr>
      </w:pPr>
      <w:r w:rsidRPr="00746ACE">
        <w:rPr>
          <w:lang w:eastAsia="es-MX"/>
        </w:rPr>
        <w:t>PAOLA ANDREA MENESES MOSQUERA</w:t>
      </w:r>
    </w:p>
    <w:p w14:paraId="1FD75DBF" w14:textId="00E69EE3" w:rsidR="0070792A" w:rsidRPr="00746ACE" w:rsidRDefault="0070792A" w:rsidP="0070792A">
      <w:pPr>
        <w:widowControl w:val="0"/>
        <w:shd w:val="clear" w:color="auto" w:fill="FFFFFF"/>
        <w:ind w:right="49"/>
        <w:jc w:val="center"/>
        <w:textAlignment w:val="baseline"/>
        <w:rPr>
          <w:lang w:eastAsia="es-MX"/>
        </w:rPr>
      </w:pPr>
      <w:r w:rsidRPr="00746ACE">
        <w:rPr>
          <w:lang w:eastAsia="es-MX"/>
        </w:rPr>
        <w:t>Presidenta</w:t>
      </w:r>
    </w:p>
    <w:p w14:paraId="2A6A2B48" w14:textId="460B2134" w:rsidR="0070792A" w:rsidRPr="00746ACE" w:rsidRDefault="0070792A" w:rsidP="00FC0DFB">
      <w:pPr>
        <w:widowControl w:val="0"/>
        <w:shd w:val="clear" w:color="auto" w:fill="FFFFFF"/>
        <w:ind w:right="49"/>
        <w:textAlignment w:val="baseline"/>
        <w:rPr>
          <w:lang w:eastAsia="es-MX"/>
        </w:rPr>
      </w:pPr>
    </w:p>
    <w:p w14:paraId="3405A823" w14:textId="58101996" w:rsidR="0070792A" w:rsidRPr="00746ACE" w:rsidRDefault="0070792A" w:rsidP="00FC0DFB">
      <w:pPr>
        <w:widowControl w:val="0"/>
        <w:shd w:val="clear" w:color="auto" w:fill="FFFFFF"/>
        <w:ind w:right="49"/>
        <w:textAlignment w:val="baseline"/>
        <w:rPr>
          <w:lang w:eastAsia="es-MX"/>
        </w:rPr>
      </w:pPr>
    </w:p>
    <w:p w14:paraId="7CB26548" w14:textId="723DAB83" w:rsidR="0070792A" w:rsidRPr="00746ACE" w:rsidRDefault="0070792A" w:rsidP="0070792A">
      <w:pPr>
        <w:widowControl w:val="0"/>
        <w:shd w:val="clear" w:color="auto" w:fill="FFFFFF"/>
        <w:ind w:right="49"/>
        <w:jc w:val="center"/>
        <w:textAlignment w:val="baseline"/>
        <w:rPr>
          <w:lang w:eastAsia="es-MX"/>
        </w:rPr>
      </w:pPr>
      <w:r w:rsidRPr="00746ACE">
        <w:rPr>
          <w:lang w:eastAsia="es-MX"/>
        </w:rPr>
        <w:t>NATALIA ÁNGEL CABO</w:t>
      </w:r>
    </w:p>
    <w:p w14:paraId="42E9C750" w14:textId="3B1B877D" w:rsidR="0070792A" w:rsidRPr="00746ACE" w:rsidRDefault="0070792A" w:rsidP="0070792A">
      <w:pPr>
        <w:widowControl w:val="0"/>
        <w:shd w:val="clear" w:color="auto" w:fill="FFFFFF"/>
        <w:ind w:right="49"/>
        <w:jc w:val="center"/>
        <w:textAlignment w:val="baseline"/>
        <w:rPr>
          <w:lang w:eastAsia="es-MX"/>
        </w:rPr>
      </w:pPr>
      <w:r w:rsidRPr="00746ACE">
        <w:rPr>
          <w:lang w:eastAsia="es-MX"/>
        </w:rPr>
        <w:t>Magistrada</w:t>
      </w:r>
    </w:p>
    <w:p w14:paraId="2A29ACFD" w14:textId="1BDE32F0" w:rsidR="0070792A" w:rsidRPr="00746ACE" w:rsidRDefault="0070792A" w:rsidP="00FC0DFB">
      <w:pPr>
        <w:widowControl w:val="0"/>
        <w:shd w:val="clear" w:color="auto" w:fill="FFFFFF"/>
        <w:ind w:right="49"/>
        <w:textAlignment w:val="baseline"/>
        <w:rPr>
          <w:lang w:eastAsia="es-MX"/>
        </w:rPr>
      </w:pPr>
    </w:p>
    <w:p w14:paraId="3654F08A" w14:textId="739C9F51" w:rsidR="0070792A" w:rsidRPr="00746ACE" w:rsidRDefault="0070792A" w:rsidP="00FC0DFB">
      <w:pPr>
        <w:widowControl w:val="0"/>
        <w:shd w:val="clear" w:color="auto" w:fill="FFFFFF"/>
        <w:ind w:right="49"/>
        <w:textAlignment w:val="baseline"/>
        <w:rPr>
          <w:lang w:eastAsia="es-MX"/>
        </w:rPr>
      </w:pPr>
    </w:p>
    <w:p w14:paraId="5A98E7AD" w14:textId="192228A0" w:rsidR="0070792A" w:rsidRPr="00746ACE" w:rsidRDefault="0070792A" w:rsidP="0070792A">
      <w:pPr>
        <w:widowControl w:val="0"/>
        <w:shd w:val="clear" w:color="auto" w:fill="FFFFFF"/>
        <w:ind w:right="49"/>
        <w:jc w:val="center"/>
        <w:textAlignment w:val="baseline"/>
        <w:rPr>
          <w:lang w:eastAsia="es-MX"/>
        </w:rPr>
      </w:pPr>
      <w:r w:rsidRPr="00746ACE">
        <w:rPr>
          <w:lang w:eastAsia="es-MX"/>
        </w:rPr>
        <w:t>CARLOS CAMARGO ASSIS</w:t>
      </w:r>
    </w:p>
    <w:p w14:paraId="4E7D5179" w14:textId="24EE341E" w:rsidR="0070792A" w:rsidRPr="00746ACE" w:rsidRDefault="0070792A" w:rsidP="0070792A">
      <w:pPr>
        <w:widowControl w:val="0"/>
        <w:shd w:val="clear" w:color="auto" w:fill="FFFFFF"/>
        <w:ind w:right="49"/>
        <w:jc w:val="center"/>
        <w:textAlignment w:val="baseline"/>
        <w:rPr>
          <w:lang w:eastAsia="es-MX"/>
        </w:rPr>
      </w:pPr>
      <w:r w:rsidRPr="00746ACE">
        <w:rPr>
          <w:lang w:eastAsia="es-MX"/>
        </w:rPr>
        <w:t>Magistrado</w:t>
      </w:r>
    </w:p>
    <w:p w14:paraId="61522309" w14:textId="37E8E5C6" w:rsidR="0070792A" w:rsidRPr="00746ACE" w:rsidRDefault="0070792A" w:rsidP="0070792A">
      <w:pPr>
        <w:widowControl w:val="0"/>
        <w:shd w:val="clear" w:color="auto" w:fill="FFFFFF"/>
        <w:ind w:right="49"/>
        <w:jc w:val="center"/>
        <w:textAlignment w:val="baseline"/>
        <w:rPr>
          <w:lang w:eastAsia="es-MX"/>
        </w:rPr>
      </w:pPr>
      <w:r w:rsidRPr="00746ACE">
        <w:rPr>
          <w:lang w:eastAsia="es-MX"/>
        </w:rPr>
        <w:t>Con aclaración de voto</w:t>
      </w:r>
    </w:p>
    <w:p w14:paraId="7CC39DBD" w14:textId="7787606E" w:rsidR="0070792A" w:rsidRPr="00746ACE" w:rsidRDefault="0070792A" w:rsidP="00FC0DFB">
      <w:pPr>
        <w:widowControl w:val="0"/>
        <w:shd w:val="clear" w:color="auto" w:fill="FFFFFF"/>
        <w:ind w:right="49"/>
        <w:textAlignment w:val="baseline"/>
        <w:rPr>
          <w:lang w:eastAsia="es-MX"/>
        </w:rPr>
      </w:pPr>
    </w:p>
    <w:p w14:paraId="1F8B5712" w14:textId="3F9811CD" w:rsidR="0070792A" w:rsidRPr="00746ACE" w:rsidRDefault="0070792A" w:rsidP="00FC0DFB">
      <w:pPr>
        <w:widowControl w:val="0"/>
        <w:shd w:val="clear" w:color="auto" w:fill="FFFFFF"/>
        <w:ind w:right="49"/>
        <w:textAlignment w:val="baseline"/>
        <w:rPr>
          <w:lang w:eastAsia="es-MX"/>
        </w:rPr>
      </w:pPr>
    </w:p>
    <w:p w14:paraId="47EFAB28" w14:textId="3E028E19" w:rsidR="0070792A" w:rsidRPr="00746ACE" w:rsidRDefault="0070792A" w:rsidP="0070792A">
      <w:pPr>
        <w:widowControl w:val="0"/>
        <w:shd w:val="clear" w:color="auto" w:fill="FFFFFF"/>
        <w:ind w:right="49"/>
        <w:jc w:val="center"/>
        <w:textAlignment w:val="baseline"/>
        <w:rPr>
          <w:lang w:eastAsia="es-MX"/>
        </w:rPr>
      </w:pPr>
      <w:r w:rsidRPr="00746ACE">
        <w:rPr>
          <w:lang w:eastAsia="es-MX"/>
        </w:rPr>
        <w:t>HECTOR ALFONSO CARVAJAL LONDOÑO</w:t>
      </w:r>
    </w:p>
    <w:p w14:paraId="0312319F" w14:textId="4BBA843D" w:rsidR="0070792A" w:rsidRPr="00746ACE" w:rsidRDefault="0070792A" w:rsidP="0070792A">
      <w:pPr>
        <w:widowControl w:val="0"/>
        <w:shd w:val="clear" w:color="auto" w:fill="FFFFFF"/>
        <w:ind w:right="49"/>
        <w:jc w:val="center"/>
        <w:textAlignment w:val="baseline"/>
        <w:rPr>
          <w:lang w:eastAsia="es-MX"/>
        </w:rPr>
      </w:pPr>
      <w:r w:rsidRPr="00746ACE">
        <w:rPr>
          <w:lang w:eastAsia="es-MX"/>
        </w:rPr>
        <w:t>Magistrado</w:t>
      </w:r>
    </w:p>
    <w:p w14:paraId="4D6FE483" w14:textId="589E52F3" w:rsidR="0070792A" w:rsidRPr="00746ACE" w:rsidRDefault="0070792A" w:rsidP="00FC0DFB">
      <w:pPr>
        <w:widowControl w:val="0"/>
        <w:shd w:val="clear" w:color="auto" w:fill="FFFFFF"/>
        <w:ind w:right="49"/>
        <w:textAlignment w:val="baseline"/>
        <w:rPr>
          <w:lang w:eastAsia="es-MX"/>
        </w:rPr>
      </w:pPr>
    </w:p>
    <w:p w14:paraId="4CE11A8E" w14:textId="72C49119" w:rsidR="0070792A" w:rsidRPr="00746ACE" w:rsidRDefault="0070792A" w:rsidP="00FC0DFB">
      <w:pPr>
        <w:widowControl w:val="0"/>
        <w:shd w:val="clear" w:color="auto" w:fill="FFFFFF"/>
        <w:ind w:right="49"/>
        <w:textAlignment w:val="baseline"/>
        <w:rPr>
          <w:lang w:eastAsia="es-MX"/>
        </w:rPr>
      </w:pPr>
    </w:p>
    <w:p w14:paraId="79FF7247" w14:textId="5FCD6E63" w:rsidR="0070792A" w:rsidRPr="00746ACE" w:rsidRDefault="0070792A" w:rsidP="0070792A">
      <w:pPr>
        <w:widowControl w:val="0"/>
        <w:shd w:val="clear" w:color="auto" w:fill="FFFFFF"/>
        <w:ind w:right="49"/>
        <w:jc w:val="center"/>
        <w:textAlignment w:val="baseline"/>
        <w:rPr>
          <w:lang w:eastAsia="es-MX"/>
        </w:rPr>
      </w:pPr>
      <w:r w:rsidRPr="00746ACE">
        <w:rPr>
          <w:lang w:eastAsia="es-MX"/>
        </w:rPr>
        <w:t>JUAN CARLOS CORTÉS GONZÁLEZ</w:t>
      </w:r>
    </w:p>
    <w:p w14:paraId="6710BB02" w14:textId="2ED8E0AD" w:rsidR="0070792A" w:rsidRPr="00746ACE" w:rsidRDefault="0070792A" w:rsidP="0070792A">
      <w:pPr>
        <w:widowControl w:val="0"/>
        <w:shd w:val="clear" w:color="auto" w:fill="FFFFFF"/>
        <w:ind w:right="49"/>
        <w:jc w:val="center"/>
        <w:textAlignment w:val="baseline"/>
        <w:rPr>
          <w:lang w:eastAsia="es-MX"/>
        </w:rPr>
      </w:pPr>
      <w:r w:rsidRPr="00746ACE">
        <w:rPr>
          <w:lang w:eastAsia="es-MX"/>
        </w:rPr>
        <w:t>Magistrado</w:t>
      </w:r>
    </w:p>
    <w:p w14:paraId="51301201" w14:textId="3C2FA34E" w:rsidR="0070792A" w:rsidRPr="00746ACE" w:rsidRDefault="0070792A" w:rsidP="00FC0DFB">
      <w:pPr>
        <w:widowControl w:val="0"/>
        <w:shd w:val="clear" w:color="auto" w:fill="FFFFFF"/>
        <w:ind w:right="49"/>
        <w:textAlignment w:val="baseline"/>
        <w:rPr>
          <w:lang w:eastAsia="es-MX"/>
        </w:rPr>
      </w:pPr>
    </w:p>
    <w:p w14:paraId="0A98B33E" w14:textId="1F210514" w:rsidR="0070792A" w:rsidRPr="00746ACE" w:rsidRDefault="0070792A" w:rsidP="00FC0DFB">
      <w:pPr>
        <w:widowControl w:val="0"/>
        <w:shd w:val="clear" w:color="auto" w:fill="FFFFFF"/>
        <w:ind w:right="49"/>
        <w:textAlignment w:val="baseline"/>
        <w:rPr>
          <w:lang w:eastAsia="es-MX"/>
        </w:rPr>
      </w:pPr>
    </w:p>
    <w:p w14:paraId="50CC828B" w14:textId="6006A4CD" w:rsidR="0070792A" w:rsidRPr="00746ACE" w:rsidRDefault="0070792A" w:rsidP="0070792A">
      <w:pPr>
        <w:widowControl w:val="0"/>
        <w:shd w:val="clear" w:color="auto" w:fill="FFFFFF"/>
        <w:ind w:right="49"/>
        <w:jc w:val="center"/>
        <w:textAlignment w:val="baseline"/>
        <w:rPr>
          <w:lang w:eastAsia="es-MX"/>
        </w:rPr>
      </w:pPr>
      <w:r w:rsidRPr="00746ACE">
        <w:rPr>
          <w:lang w:eastAsia="es-MX"/>
        </w:rPr>
        <w:t>LINA MARCELA ESCOBAR MARTÍNEZ</w:t>
      </w:r>
    </w:p>
    <w:p w14:paraId="79ED3B10" w14:textId="1E31457A" w:rsidR="0070792A" w:rsidRPr="00746ACE" w:rsidRDefault="0070792A" w:rsidP="0070792A">
      <w:pPr>
        <w:widowControl w:val="0"/>
        <w:shd w:val="clear" w:color="auto" w:fill="FFFFFF"/>
        <w:ind w:right="49"/>
        <w:jc w:val="center"/>
        <w:textAlignment w:val="baseline"/>
        <w:rPr>
          <w:lang w:eastAsia="es-MX"/>
        </w:rPr>
      </w:pPr>
      <w:r w:rsidRPr="00746ACE">
        <w:rPr>
          <w:lang w:eastAsia="es-MX"/>
        </w:rPr>
        <w:t>Magistrada</w:t>
      </w:r>
    </w:p>
    <w:p w14:paraId="63432333" w14:textId="21AA391D" w:rsidR="0070792A" w:rsidRPr="00746ACE" w:rsidRDefault="0070792A" w:rsidP="00FC0DFB">
      <w:pPr>
        <w:widowControl w:val="0"/>
        <w:shd w:val="clear" w:color="auto" w:fill="FFFFFF"/>
        <w:ind w:right="49"/>
        <w:textAlignment w:val="baseline"/>
        <w:rPr>
          <w:lang w:eastAsia="es-MX"/>
        </w:rPr>
      </w:pPr>
    </w:p>
    <w:p w14:paraId="1A5DE25B" w14:textId="1EC18837" w:rsidR="0070792A" w:rsidRPr="00746ACE" w:rsidRDefault="0070792A" w:rsidP="00FC0DFB">
      <w:pPr>
        <w:widowControl w:val="0"/>
        <w:shd w:val="clear" w:color="auto" w:fill="FFFFFF"/>
        <w:ind w:right="49"/>
        <w:textAlignment w:val="baseline"/>
        <w:rPr>
          <w:lang w:eastAsia="es-MX"/>
        </w:rPr>
      </w:pPr>
    </w:p>
    <w:p w14:paraId="01936094" w14:textId="4EFD765A" w:rsidR="0070792A" w:rsidRPr="00746ACE" w:rsidRDefault="0070792A" w:rsidP="0070792A">
      <w:pPr>
        <w:widowControl w:val="0"/>
        <w:shd w:val="clear" w:color="auto" w:fill="FFFFFF"/>
        <w:ind w:right="49"/>
        <w:jc w:val="center"/>
        <w:textAlignment w:val="baseline"/>
        <w:rPr>
          <w:lang w:eastAsia="es-MX"/>
        </w:rPr>
      </w:pPr>
      <w:r w:rsidRPr="00746ACE">
        <w:rPr>
          <w:lang w:eastAsia="es-MX"/>
        </w:rPr>
        <w:t>VLADIMIR FERNÁNDEZ ANDRADE</w:t>
      </w:r>
    </w:p>
    <w:p w14:paraId="6CB231A6" w14:textId="082A74BD" w:rsidR="0070792A" w:rsidRPr="00746ACE" w:rsidRDefault="0070792A" w:rsidP="0070792A">
      <w:pPr>
        <w:widowControl w:val="0"/>
        <w:shd w:val="clear" w:color="auto" w:fill="FFFFFF"/>
        <w:ind w:right="49"/>
        <w:jc w:val="center"/>
        <w:textAlignment w:val="baseline"/>
        <w:rPr>
          <w:lang w:eastAsia="es-MX"/>
        </w:rPr>
      </w:pPr>
      <w:r w:rsidRPr="00746ACE">
        <w:rPr>
          <w:lang w:eastAsia="es-MX"/>
        </w:rPr>
        <w:t>Magistrado</w:t>
      </w:r>
    </w:p>
    <w:p w14:paraId="5FCD2F28" w14:textId="5D96E9B8" w:rsidR="0070792A" w:rsidRPr="00746ACE" w:rsidRDefault="0070792A" w:rsidP="00FC0DFB">
      <w:pPr>
        <w:widowControl w:val="0"/>
        <w:shd w:val="clear" w:color="auto" w:fill="FFFFFF"/>
        <w:ind w:right="49"/>
        <w:textAlignment w:val="baseline"/>
        <w:rPr>
          <w:lang w:eastAsia="es-MX"/>
        </w:rPr>
      </w:pPr>
    </w:p>
    <w:p w14:paraId="01913008" w14:textId="39EC63DF" w:rsidR="0070792A" w:rsidRPr="00746ACE" w:rsidRDefault="0070792A" w:rsidP="00FC0DFB">
      <w:pPr>
        <w:widowControl w:val="0"/>
        <w:shd w:val="clear" w:color="auto" w:fill="FFFFFF"/>
        <w:ind w:right="49"/>
        <w:textAlignment w:val="baseline"/>
        <w:rPr>
          <w:lang w:eastAsia="es-MX"/>
        </w:rPr>
      </w:pPr>
    </w:p>
    <w:p w14:paraId="3CC027FF" w14:textId="396DAC3A" w:rsidR="0070792A" w:rsidRPr="00746ACE" w:rsidRDefault="0070792A" w:rsidP="0070792A">
      <w:pPr>
        <w:widowControl w:val="0"/>
        <w:shd w:val="clear" w:color="auto" w:fill="FFFFFF"/>
        <w:ind w:right="49"/>
        <w:jc w:val="center"/>
        <w:textAlignment w:val="baseline"/>
        <w:rPr>
          <w:lang w:eastAsia="es-MX"/>
        </w:rPr>
      </w:pPr>
      <w:r w:rsidRPr="00746ACE">
        <w:rPr>
          <w:lang w:eastAsia="es-MX"/>
        </w:rPr>
        <w:t xml:space="preserve">JORGE ENRIQUE IBÁÑEZ NAJAR </w:t>
      </w:r>
    </w:p>
    <w:p w14:paraId="3F74FA66" w14:textId="53B8EB13" w:rsidR="0070792A" w:rsidRPr="00746ACE" w:rsidRDefault="0070792A" w:rsidP="0070792A">
      <w:pPr>
        <w:widowControl w:val="0"/>
        <w:shd w:val="clear" w:color="auto" w:fill="FFFFFF"/>
        <w:ind w:right="49"/>
        <w:jc w:val="center"/>
        <w:textAlignment w:val="baseline"/>
        <w:rPr>
          <w:lang w:eastAsia="es-MX"/>
        </w:rPr>
      </w:pPr>
      <w:r w:rsidRPr="00746ACE">
        <w:rPr>
          <w:lang w:eastAsia="es-MX"/>
        </w:rPr>
        <w:t>Magistrado</w:t>
      </w:r>
    </w:p>
    <w:p w14:paraId="781F1449" w14:textId="5B5A334C" w:rsidR="0070792A" w:rsidRPr="00746ACE" w:rsidRDefault="0070792A" w:rsidP="00FC0DFB">
      <w:pPr>
        <w:widowControl w:val="0"/>
        <w:shd w:val="clear" w:color="auto" w:fill="FFFFFF"/>
        <w:ind w:right="49"/>
        <w:textAlignment w:val="baseline"/>
        <w:rPr>
          <w:lang w:eastAsia="es-MX"/>
        </w:rPr>
      </w:pPr>
    </w:p>
    <w:p w14:paraId="2E6ED156" w14:textId="6C61AB34" w:rsidR="0070792A" w:rsidRPr="00746ACE" w:rsidRDefault="0070792A" w:rsidP="00FC0DFB">
      <w:pPr>
        <w:widowControl w:val="0"/>
        <w:shd w:val="clear" w:color="auto" w:fill="FFFFFF"/>
        <w:ind w:right="49"/>
        <w:textAlignment w:val="baseline"/>
        <w:rPr>
          <w:lang w:eastAsia="es-MX"/>
        </w:rPr>
      </w:pPr>
    </w:p>
    <w:p w14:paraId="79F1D75C" w14:textId="1DC08900" w:rsidR="0070792A" w:rsidRPr="00746ACE" w:rsidRDefault="0070792A" w:rsidP="0070792A">
      <w:pPr>
        <w:widowControl w:val="0"/>
        <w:shd w:val="clear" w:color="auto" w:fill="FFFFFF"/>
        <w:ind w:right="49"/>
        <w:jc w:val="center"/>
        <w:textAlignment w:val="baseline"/>
        <w:rPr>
          <w:lang w:eastAsia="es-MX"/>
        </w:rPr>
      </w:pPr>
      <w:r w:rsidRPr="00746ACE">
        <w:rPr>
          <w:lang w:eastAsia="es-MX"/>
        </w:rPr>
        <w:t>MIGUEL POLO ROSERO</w:t>
      </w:r>
    </w:p>
    <w:p w14:paraId="7E548523" w14:textId="749B1E42" w:rsidR="0070792A" w:rsidRPr="00746ACE" w:rsidRDefault="0070792A" w:rsidP="0070792A">
      <w:pPr>
        <w:widowControl w:val="0"/>
        <w:shd w:val="clear" w:color="auto" w:fill="FFFFFF"/>
        <w:ind w:right="49"/>
        <w:jc w:val="center"/>
        <w:textAlignment w:val="baseline"/>
        <w:rPr>
          <w:lang w:eastAsia="es-MX"/>
        </w:rPr>
      </w:pPr>
      <w:r w:rsidRPr="00746ACE">
        <w:rPr>
          <w:lang w:eastAsia="es-MX"/>
        </w:rPr>
        <w:t>Magistrado</w:t>
      </w:r>
    </w:p>
    <w:p w14:paraId="7DE4B81E" w14:textId="05C95129" w:rsidR="0070792A" w:rsidRPr="00746ACE" w:rsidRDefault="0070792A" w:rsidP="0070792A">
      <w:pPr>
        <w:widowControl w:val="0"/>
        <w:shd w:val="clear" w:color="auto" w:fill="FFFFFF"/>
        <w:ind w:right="49"/>
        <w:jc w:val="center"/>
        <w:textAlignment w:val="baseline"/>
        <w:rPr>
          <w:lang w:eastAsia="es-MX"/>
        </w:rPr>
      </w:pPr>
      <w:r w:rsidRPr="00746ACE">
        <w:rPr>
          <w:lang w:eastAsia="es-MX"/>
        </w:rPr>
        <w:t>Aclaración de voto</w:t>
      </w:r>
    </w:p>
    <w:p w14:paraId="173B5149" w14:textId="59AA2A9F" w:rsidR="0070792A" w:rsidRPr="00746ACE" w:rsidRDefault="0070792A" w:rsidP="00FC0DFB">
      <w:pPr>
        <w:widowControl w:val="0"/>
        <w:shd w:val="clear" w:color="auto" w:fill="FFFFFF"/>
        <w:ind w:right="49"/>
        <w:textAlignment w:val="baseline"/>
        <w:rPr>
          <w:lang w:eastAsia="es-MX"/>
        </w:rPr>
      </w:pPr>
    </w:p>
    <w:p w14:paraId="7031EC14" w14:textId="463A9EB2" w:rsidR="0070792A" w:rsidRPr="00746ACE" w:rsidRDefault="0070792A" w:rsidP="00FC0DFB">
      <w:pPr>
        <w:widowControl w:val="0"/>
        <w:shd w:val="clear" w:color="auto" w:fill="FFFFFF"/>
        <w:ind w:right="49"/>
        <w:textAlignment w:val="baseline"/>
        <w:rPr>
          <w:lang w:eastAsia="es-MX"/>
        </w:rPr>
      </w:pPr>
    </w:p>
    <w:p w14:paraId="51E6EE00" w14:textId="377EC0F9" w:rsidR="0070792A" w:rsidRPr="00746ACE" w:rsidRDefault="0070792A" w:rsidP="0070792A">
      <w:pPr>
        <w:widowControl w:val="0"/>
        <w:shd w:val="clear" w:color="auto" w:fill="FFFFFF"/>
        <w:ind w:right="49"/>
        <w:jc w:val="center"/>
        <w:textAlignment w:val="baseline"/>
        <w:rPr>
          <w:lang w:eastAsia="es-MX"/>
        </w:rPr>
      </w:pPr>
      <w:r w:rsidRPr="00746ACE">
        <w:rPr>
          <w:lang w:eastAsia="es-MX"/>
        </w:rPr>
        <w:t>ANDREA LILIANA ROMERO LOPEZ</w:t>
      </w:r>
    </w:p>
    <w:p w14:paraId="14BDE62E" w14:textId="6E7EDE8F" w:rsidR="0070792A" w:rsidRPr="00746ACE" w:rsidRDefault="0070792A" w:rsidP="0070792A">
      <w:pPr>
        <w:widowControl w:val="0"/>
        <w:shd w:val="clear" w:color="auto" w:fill="FFFFFF"/>
        <w:ind w:right="49"/>
        <w:jc w:val="center"/>
        <w:textAlignment w:val="baseline"/>
        <w:rPr>
          <w:lang w:eastAsia="es-MX"/>
        </w:rPr>
      </w:pPr>
      <w:r w:rsidRPr="00746ACE">
        <w:rPr>
          <w:lang w:eastAsia="es-MX"/>
        </w:rPr>
        <w:t>Secretaria General</w:t>
      </w:r>
    </w:p>
    <w:p w14:paraId="142CF3EF" w14:textId="75876746" w:rsidR="00FB16A4" w:rsidRPr="00746ACE" w:rsidRDefault="00FB16A4">
      <w:pPr>
        <w:rPr>
          <w:lang w:eastAsia="es-MX"/>
        </w:rPr>
      </w:pPr>
      <w:r w:rsidRPr="00746ACE">
        <w:rPr>
          <w:lang w:eastAsia="es-MX"/>
        </w:rPr>
        <w:br w:type="page"/>
      </w:r>
    </w:p>
    <w:p w14:paraId="358B97CC" w14:textId="60358AB9" w:rsidR="00FB16A4" w:rsidRPr="00746ACE" w:rsidRDefault="00FB16A4" w:rsidP="00FB16A4">
      <w:pPr>
        <w:widowControl w:val="0"/>
        <w:shd w:val="clear" w:color="auto" w:fill="FFFFFF"/>
        <w:tabs>
          <w:tab w:val="center" w:pos="4394"/>
          <w:tab w:val="left" w:pos="5595"/>
        </w:tabs>
        <w:ind w:right="49"/>
        <w:jc w:val="left"/>
        <w:textAlignment w:val="baseline"/>
        <w:rPr>
          <w:b/>
          <w:bCs/>
          <w:lang w:eastAsia="es-MX"/>
        </w:rPr>
      </w:pPr>
      <w:r w:rsidRPr="00746ACE">
        <w:rPr>
          <w:b/>
          <w:bCs/>
          <w:lang w:eastAsia="es-MX"/>
        </w:rPr>
        <w:tab/>
        <w:t>Anexo 1:</w:t>
      </w:r>
      <w:r w:rsidRPr="00746ACE">
        <w:rPr>
          <w:b/>
          <w:bCs/>
          <w:lang w:eastAsia="es-MX"/>
        </w:rPr>
        <w:tab/>
      </w:r>
    </w:p>
    <w:p w14:paraId="0A746664" w14:textId="77777777" w:rsidR="00FB16A4" w:rsidRPr="00746ACE" w:rsidRDefault="00FB16A4" w:rsidP="00FB16A4">
      <w:pPr>
        <w:widowControl w:val="0"/>
        <w:shd w:val="clear" w:color="auto" w:fill="FFFFFF"/>
        <w:tabs>
          <w:tab w:val="center" w:pos="4394"/>
          <w:tab w:val="left" w:pos="5595"/>
        </w:tabs>
        <w:ind w:right="49"/>
        <w:jc w:val="left"/>
        <w:textAlignment w:val="baseline"/>
        <w:rPr>
          <w:b/>
          <w:bCs/>
          <w:lang w:eastAsia="es-MX"/>
        </w:rPr>
      </w:pPr>
    </w:p>
    <w:p w14:paraId="474B4A18"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Intervenciones ciudadanas</w:t>
      </w:r>
    </w:p>
    <w:p w14:paraId="2E666485" w14:textId="77777777" w:rsidR="00FB16A4" w:rsidRPr="00746ACE" w:rsidRDefault="00FB16A4" w:rsidP="00FB16A4">
      <w:pPr>
        <w:widowControl w:val="0"/>
        <w:shd w:val="clear" w:color="auto" w:fill="FFFFFF"/>
        <w:ind w:right="49"/>
        <w:textAlignment w:val="baseline"/>
        <w:rPr>
          <w:lang w:eastAsia="es-MX"/>
        </w:rPr>
      </w:pPr>
    </w:p>
    <w:p w14:paraId="292B0814"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1.</w:t>
      </w:r>
      <w:r w:rsidRPr="00746ACE">
        <w:rPr>
          <w:lang w:eastAsia="es-MX"/>
        </w:rPr>
        <w:tab/>
        <w:t>La Comisión Colombiana de Juristas  solicitó declarar la inexequibilidad de los párrafos demandados de la Senit 5. En su criterio, la norma acusada creó una categoría dogmática intermedia entre la máxima responsabilidad y la participación no determinante que (i) no tiene sustento legal ni constitucional, (ii) introduce una consecuencia jurídica de sentido ambiguo que altera el esquema procesal bajo el cual actúan los comparecientes y (iii) rompe la coherencia del sistema normativo de la Jurisdicción Especial para la Paz, especialmente en cuanto a la finalidad del trámite incidental de incumplimiento al régimen de condicionalidad. Por otra parte, la comisión consideró que el cargo por violación a los principios de igualdad y proporcionalidad no es apto, luego de expresar sus dudas sobre si la demanda “cuestiona la interpretación de la Senit 5 o el modelo normativo mismo” .</w:t>
      </w:r>
    </w:p>
    <w:p w14:paraId="72E19EDC" w14:textId="77777777" w:rsidR="00FB16A4" w:rsidRPr="00746ACE" w:rsidRDefault="00FB16A4" w:rsidP="00FB16A4">
      <w:pPr>
        <w:widowControl w:val="0"/>
        <w:shd w:val="clear" w:color="auto" w:fill="FFFFFF"/>
        <w:ind w:right="49"/>
        <w:textAlignment w:val="baseline"/>
        <w:rPr>
          <w:lang w:eastAsia="es-MX"/>
        </w:rPr>
      </w:pPr>
    </w:p>
    <w:p w14:paraId="54985595"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2.</w:t>
      </w:r>
      <w:r w:rsidRPr="00746ACE">
        <w:rPr>
          <w:lang w:eastAsia="es-MX"/>
        </w:rPr>
        <w:tab/>
        <w:t xml:space="preserve">El Centro de Estudios de Derecho, Justicia y Sociedad - Dejusticia  solicitó declarar la inexequibilidad de los párrafos demandados de la Senit 5 porque distorsionaron el modelo de justicia transicional contemplado en el Acuerdo Final de Paz, desconcentraron la persecución penal y se apartaron del principio de selección. Según el interviniente, la “selección de segundo orden” acaba con la distribución de competencias de la Jurisdicción Especial para la Paz y conlleva procedimientos adicionales ante la Sala de Definición de Situaciones Jurídicas para los comparecientes no seleccionados por la Sala de Reconocimiento, los cuales podrían tardar alrededor de 34,9 años en resolverse. </w:t>
      </w:r>
    </w:p>
    <w:p w14:paraId="7318121D" w14:textId="77777777" w:rsidR="00FB16A4" w:rsidRPr="00746ACE" w:rsidRDefault="00FB16A4" w:rsidP="00FB16A4">
      <w:pPr>
        <w:widowControl w:val="0"/>
        <w:shd w:val="clear" w:color="auto" w:fill="FFFFFF"/>
        <w:ind w:right="49"/>
        <w:textAlignment w:val="baseline"/>
        <w:rPr>
          <w:lang w:eastAsia="es-MX"/>
        </w:rPr>
      </w:pPr>
    </w:p>
    <w:p w14:paraId="7D7BCC55"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Además, para Dejusticia, el principio de selección en la Jurisdicción Especial para la Paz busca concentrar la persecución penal a partir de patrones de macrocriminalidad, lo que se aparta de las lógicas del caso a caso. Sin embargo, la Senit 5 estableció una ruta de comparecencia para que la Sala de Definición de Situaciones Jurídicas examine, por cada uno de los comparecientes no seleccionados máximos responsables, si hay lugar a otorgar tratamientos no sancionatorios. Finalmente, la interviniente señaló que la Senit 8 eliminó la exigencia de reconocimiento de responsabilidad, en ausencia de oportunidad procesal para ello, pero mantuvo incólume la facultad de “selección de segundo orden”. </w:t>
      </w:r>
    </w:p>
    <w:p w14:paraId="115AC501" w14:textId="77777777" w:rsidR="00FB16A4" w:rsidRPr="00746ACE" w:rsidRDefault="00FB16A4" w:rsidP="00FB16A4">
      <w:pPr>
        <w:widowControl w:val="0"/>
        <w:shd w:val="clear" w:color="auto" w:fill="FFFFFF"/>
        <w:ind w:right="49"/>
        <w:textAlignment w:val="baseline"/>
        <w:rPr>
          <w:lang w:eastAsia="es-MX"/>
        </w:rPr>
      </w:pPr>
    </w:p>
    <w:p w14:paraId="62446F09"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3.</w:t>
      </w:r>
      <w:r w:rsidRPr="00746ACE">
        <w:rPr>
          <w:lang w:eastAsia="es-MX"/>
        </w:rPr>
        <w:tab/>
        <w:t xml:space="preserve">La Defensoría del Pueblo  solicitó declarar la inexequibilidad de la interpretación judicial contenida en la Senit 5 sobre los artículos 19, 84 (parcial) y 129 de la Ley Estatutaria 1957 de 2019, toda vez que (i) vulnera el debido proceso de los comparecientes, (ii) se aparta del principio de legalidad y (iii) podría conducir a un incumplimiento de los objetivos de la Jurisdicción Especial para la Paz dentro de sus límites temporales. </w:t>
      </w:r>
    </w:p>
    <w:p w14:paraId="76648488" w14:textId="77777777" w:rsidR="00FB16A4" w:rsidRPr="00746ACE" w:rsidRDefault="00FB16A4" w:rsidP="00FB16A4">
      <w:pPr>
        <w:widowControl w:val="0"/>
        <w:shd w:val="clear" w:color="auto" w:fill="FFFFFF"/>
        <w:ind w:right="49"/>
        <w:textAlignment w:val="baseline"/>
        <w:rPr>
          <w:lang w:eastAsia="es-MX"/>
        </w:rPr>
      </w:pPr>
    </w:p>
    <w:p w14:paraId="093D5490"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En primer lugar, la Defensoría estableció que las interpretaciones judiciales admiten un control de constitucionalidad excepcional con base en la doctrina del derecho viviente. Al respecto, explicó que la Sección de Apelación profiere dos tipos de sentencias interpretativas: mientras que unas se originan en consultas formuladas por otras salas o secciones de la Jurisdicción Especial para la Paz y tienen carácter general y abstracto, otras corresponden al conocimiento de recursos de apelación y resuelven problemas concretos. Según la Sentencia SU-383 de 2023, únicamente las primeras son susceptibles de control por medio de la acción pública de inconstitucionalidad, si se cumplen los presupuestos para el derecho viviente. Sin embargo, para la interviniente, la Senit 5 tiene un carácter general y abstracto en cuanto a la “selección de segundo orden”, a pesar de dictarse en sede de apelación.  </w:t>
      </w:r>
    </w:p>
    <w:p w14:paraId="10E1D53B" w14:textId="77777777" w:rsidR="00FB16A4" w:rsidRPr="00746ACE" w:rsidRDefault="00FB16A4" w:rsidP="00FB16A4">
      <w:pPr>
        <w:widowControl w:val="0"/>
        <w:shd w:val="clear" w:color="auto" w:fill="FFFFFF"/>
        <w:ind w:right="49"/>
        <w:textAlignment w:val="baseline"/>
        <w:rPr>
          <w:lang w:eastAsia="es-MX"/>
        </w:rPr>
      </w:pPr>
    </w:p>
    <w:p w14:paraId="42BE05C2"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Sobre el primer problema jurídico, relacionado con la violación del principio de legalidad por la creación de la facultad de selección de segundo orden en cabeza de la Sala de Definición de Situaciones Jurídicas, la Defensoría considera que, como lo indica la demanda, esta no está prevista en las leyes que desarrollan el Acuerdo Final de Paz ni en la jurisprudencia constitucional. De este modo, su introducción vía de interpretación produce las siguientes distorsiones en el sistema de justicia transicional: (i) algunas autoridades de la Jurisdicción Especial para la Paz asumen competencias innominadas; (ii) se crea una nueva categoría de comparecientes sin suficiente claridad acerca de cuándo y por qué algunos comparecientes serían clasificados en este “punto medio” de responsabilidad; (iii) se modifica el régimen de condicionalidad; y (iv) genera el riesgo de que personas menos responsables –como los comparecientes no determinantes– reciban castigos más severos que los máximos responsables. Esto revela que el sistema no se pensó ni diseñó para eventualmente acusar y sancionar a los comparecientes que se adecúen a esta categoría.</w:t>
      </w:r>
    </w:p>
    <w:p w14:paraId="0EEFCEB4" w14:textId="77777777" w:rsidR="00FB16A4" w:rsidRPr="00746ACE" w:rsidRDefault="00FB16A4" w:rsidP="00FB16A4">
      <w:pPr>
        <w:widowControl w:val="0"/>
        <w:shd w:val="clear" w:color="auto" w:fill="FFFFFF"/>
        <w:ind w:right="49"/>
        <w:textAlignment w:val="baseline"/>
        <w:rPr>
          <w:lang w:eastAsia="es-MX"/>
        </w:rPr>
      </w:pPr>
    </w:p>
    <w:p w14:paraId="20D98019"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Para la interviniente, la Senit 5 establece que, una vez la Sala de Reconocimiento cumple con la selección negativa, el deber de investigación de los comparecientes continúa en cabeza de la Sala de Definición de Situaciones Jurídicas. De acuerdo con la Sentencia C-080 de 2018 de la Corte Constitucional, la facultad de selección global solo está en cabeza de la Sala de Reconocimiento y a la Sala de Definición de Situaciones Jurídicas le corresponde solamente la selección individual, la cual se materializa en la concesión de tratamientos penales especiales y la verificación del cumplimiento de las obligaciones del régimen de condicionalidad. </w:t>
      </w:r>
    </w:p>
    <w:p w14:paraId="5313F51B" w14:textId="77777777" w:rsidR="00FB16A4" w:rsidRPr="00746ACE" w:rsidRDefault="00FB16A4" w:rsidP="00FB16A4">
      <w:pPr>
        <w:widowControl w:val="0"/>
        <w:shd w:val="clear" w:color="auto" w:fill="FFFFFF"/>
        <w:ind w:right="49"/>
        <w:textAlignment w:val="baseline"/>
        <w:rPr>
          <w:lang w:eastAsia="es-MX"/>
        </w:rPr>
      </w:pPr>
    </w:p>
    <w:p w14:paraId="3FAEE539"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La creación de nuevas competencias en cabeza de la Sala de Definición de Situaciones Jurídicas y de la Unidad de Investigación y Acusación viola el principio de legalidad del procedimiento, esto es, el derecho a ser juzgado ante juez o tribunal competente y con observancia de la plenitud de las formas propias de cada juicio, como lo establece el artículo 29 de la Constitución. Además, vulnera el artículo 1 del Acto Legislativo 02 de 2017 porque, cuando la Senit 5 identifica lo que la misma providencia llama la “selección de segunda orden” como facultad de la Sala de Definición de Situaciones Jurídicas para seleccionar los casos de comparecientes no determinantes que hayan realizado aportes insuficientes a la verdad y no hayan reconocido su responsabilidad y, de estimarlo pertinente, remitirlos a la Unidad de Investigación y Acusación con el objeto de que enfrenten un proceso adversarial, antes que interpretar lo previsto en los artículos 19, 84 (literales c y h) y 129 de la Ley Estatutaria 1957 de 2019, lo que produce materialmente es la creación ex novo de nuevas competencias: una para la Sala de Definición de Situaciones Jurídicas y otra para la Unidad de Investigación y Acusación.</w:t>
      </w:r>
    </w:p>
    <w:p w14:paraId="339CA26F" w14:textId="77777777" w:rsidR="00FB16A4" w:rsidRPr="00746ACE" w:rsidRDefault="00FB16A4" w:rsidP="00FB16A4">
      <w:pPr>
        <w:widowControl w:val="0"/>
        <w:shd w:val="clear" w:color="auto" w:fill="FFFFFF"/>
        <w:ind w:right="49"/>
        <w:textAlignment w:val="baseline"/>
        <w:rPr>
          <w:lang w:eastAsia="es-MX"/>
        </w:rPr>
      </w:pPr>
    </w:p>
    <w:p w14:paraId="1B10574A"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Aunque las sentencias interpretativas tienen el objetivo de aclarar aspectos normativos del sistema, no pueden crear nuevas funciones para las instancias de la Jurisdicción Especial para la Paz. Estas no pueden ser contrarias a la ley ni a la jurisprudencia constitucional, según el artículo 59 de la Ley 1922. </w:t>
      </w:r>
    </w:p>
    <w:p w14:paraId="5CF178FD" w14:textId="77777777" w:rsidR="00FB16A4" w:rsidRPr="00746ACE" w:rsidRDefault="00FB16A4" w:rsidP="00FB16A4">
      <w:pPr>
        <w:widowControl w:val="0"/>
        <w:shd w:val="clear" w:color="auto" w:fill="FFFFFF"/>
        <w:ind w:right="49"/>
        <w:textAlignment w:val="baseline"/>
        <w:rPr>
          <w:lang w:eastAsia="es-MX"/>
        </w:rPr>
      </w:pPr>
    </w:p>
    <w:p w14:paraId="36BB6A36"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El modelo de juzgamiento transicional se basa en la persecución de los máximos responsables. A estos se les impone sanciones propias o alternativas, en caso de reconocimiento de responsabilidad, o se remiten a la Unidad de Investigación y Acusación para un juicio adversarial, en caso contrario. Las personas que no sean máximos responsables son remitidas. Someter a estas personas a un juicio adversarial desconoce el modelo y pone en riesgo el cumplimiento de las funciones de la jurisdicción. </w:t>
      </w:r>
    </w:p>
    <w:p w14:paraId="4EE66D76" w14:textId="77777777" w:rsidR="00FB16A4" w:rsidRPr="00746ACE" w:rsidRDefault="00FB16A4" w:rsidP="00FB16A4">
      <w:pPr>
        <w:widowControl w:val="0"/>
        <w:shd w:val="clear" w:color="auto" w:fill="FFFFFF"/>
        <w:ind w:right="49"/>
        <w:textAlignment w:val="baseline"/>
        <w:rPr>
          <w:lang w:eastAsia="es-MX"/>
        </w:rPr>
      </w:pPr>
    </w:p>
    <w:p w14:paraId="79022B85"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La selección fue incluida en el artículo 66 transitorio de la Constitución Política, como condición de posibilidad de la justicia transicional. Así, el objetivo central de la selección es evitar el sistema de investigación “caso a caso” que, como lo ha reconocido la propia Corte Constitucional, hace imposible el cumplimiento de los fines de la justicia ante masivas y sistemáticas violaciones a los derechos humanos y graves infracciones al DIH, como las ocurridas en el marco del conflicto armado de carácter no internacional en Colombia y, por el contrario, “dificulta la garantía del derecho a la justicia de las víctimas” y puede generar la “impunidad de facto”</w:t>
      </w:r>
    </w:p>
    <w:p w14:paraId="634C7D7B" w14:textId="77777777" w:rsidR="00FB16A4" w:rsidRPr="00746ACE" w:rsidRDefault="00FB16A4" w:rsidP="00FB16A4">
      <w:pPr>
        <w:widowControl w:val="0"/>
        <w:shd w:val="clear" w:color="auto" w:fill="FFFFFF"/>
        <w:ind w:right="49"/>
        <w:textAlignment w:val="baseline"/>
        <w:rPr>
          <w:lang w:eastAsia="es-MX"/>
        </w:rPr>
      </w:pPr>
    </w:p>
    <w:p w14:paraId="0876D4BE"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Por estas razones, la Corte ha hablado sobre la importancia de la selección para que la Jurisdicción Especial para la Paz cumpla su misión en un plazo razonable. El artículo 19 de la ley estatutaria define ya los criterios de selección e indica que, frente a las personas y hechos que no sean objeto de selección podría aplicarse la renuncia a la persecución penal. Además, no existe ninguna norma que establezca en cabeza de la Sala de Definición de Situaciones Jurídicas la función de determinar qué casos, de los no seleccionados, deben remitirse a la Unidad de Investigación y Acusación para que esta determine el mérito de iniciar un juicio adversarial. La Corte Constitucional ha determinado que esta posibilidad solo opera dentro del universo de casos remitidos por la Sala de Reconocimiento. </w:t>
      </w:r>
    </w:p>
    <w:p w14:paraId="51CC3691" w14:textId="77777777" w:rsidR="00FB16A4" w:rsidRPr="00746ACE" w:rsidRDefault="00FB16A4" w:rsidP="00FB16A4">
      <w:pPr>
        <w:widowControl w:val="0"/>
        <w:shd w:val="clear" w:color="auto" w:fill="FFFFFF"/>
        <w:ind w:right="49"/>
        <w:textAlignment w:val="baseline"/>
        <w:rPr>
          <w:lang w:eastAsia="es-MX"/>
        </w:rPr>
      </w:pPr>
    </w:p>
    <w:p w14:paraId="225645B3"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El apartado 5.1.2. del Acuerdo Final de Paz contempla el arreglo de justicia acordado y en ninguna parte de este se establece la facultad de la Sala de Definición de Situaciones Jurídicas de seleccionar hechos o personas no seleccionadas por la Sala de Reconocimiento, o cualquier otra disposición que fundamente válidamente la interpretación acusada. Por el contrario, el numeral 47 regula de manera expresa que el reconocimiento de verdad y responsabilidad se realiza ante la Sala de Reconocimiento y que la remisión a la Unidad de Investigación y Acusación procede por esa sala en los casos en que no se efectúe tal reconocimiento. Por su parte, el numeral 48 regula el procedimiento dialógico adelantado ante la Sala de Reconocimiento, en términos similares al artículo 79 de la Ley Estatutaria 1957 de 2019. Como la Corte Constitucional señaló en sentencia C-630 de 2017, el Acuerdo Final de Paz debe ser el primer referente de interpretación de sus normas de implementación y, en ningún lugar, habla sobre la función que la Sección de Apelación atribuyó a la Sala de Definición de Situaciones Jurídicas en la Senit 5. </w:t>
      </w:r>
    </w:p>
    <w:p w14:paraId="62BCA284" w14:textId="77777777" w:rsidR="00FB16A4" w:rsidRPr="00746ACE" w:rsidRDefault="00FB16A4" w:rsidP="00FB16A4">
      <w:pPr>
        <w:widowControl w:val="0"/>
        <w:shd w:val="clear" w:color="auto" w:fill="FFFFFF"/>
        <w:ind w:right="49"/>
        <w:textAlignment w:val="baseline"/>
        <w:rPr>
          <w:lang w:eastAsia="es-MX"/>
        </w:rPr>
      </w:pPr>
    </w:p>
    <w:p w14:paraId="79B38E85"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La Defensoría consideró que sí se configura una violación al principio de legalidad. Con el ejercicio interpretativo adelantado en la Senit 5, ocurre que un compareciente calificado como en el punto medio de responsabilidad podría ser remitido a la Unidad de Investigación y Acusación y, eventualmente, sometido a un juicio adversarial. Esta posibilidad desconoce la legalidad de la sanción y la seguridad jurídica, sumado a que puede afectar el régimen de condicionalidad y sanciones al que son sometidos los comparecientes. La categoría tiene consecuencias sancionatorias, entonces existe una creación de sanciones por vía interpretativa.</w:t>
      </w:r>
    </w:p>
    <w:p w14:paraId="786F8C15" w14:textId="77777777" w:rsidR="00FB16A4" w:rsidRPr="00746ACE" w:rsidRDefault="00FB16A4" w:rsidP="00FB16A4">
      <w:pPr>
        <w:widowControl w:val="0"/>
        <w:shd w:val="clear" w:color="auto" w:fill="FFFFFF"/>
        <w:ind w:right="49"/>
        <w:textAlignment w:val="baseline"/>
        <w:rPr>
          <w:lang w:eastAsia="es-MX"/>
        </w:rPr>
      </w:pPr>
    </w:p>
    <w:p w14:paraId="6A5E06ED"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La Defensora del Pueblo también considera que se desconoce el principio de legalidad estricta (o tipicidad) al crear una categoría intermedia entre la máxima responsabilidad y la participación no determinante. Esto ocurre porque la categoría es difusa y afecta intensamente la seguridad jurídica de los comparecientes. Actualmente, no existen elementos que le permitan a los comparecientes prever con precisión el ámbito de aplicación de esta categoría.</w:t>
      </w:r>
    </w:p>
    <w:p w14:paraId="343C9155" w14:textId="77777777" w:rsidR="00FB16A4" w:rsidRPr="00746ACE" w:rsidRDefault="00FB16A4" w:rsidP="00FB16A4">
      <w:pPr>
        <w:widowControl w:val="0"/>
        <w:shd w:val="clear" w:color="auto" w:fill="FFFFFF"/>
        <w:ind w:right="49"/>
        <w:textAlignment w:val="baseline"/>
        <w:rPr>
          <w:lang w:eastAsia="es-MX"/>
        </w:rPr>
      </w:pPr>
    </w:p>
    <w:p w14:paraId="12A03E8D"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En efecto, la Senit 5 tan solo se refiere a esos comparecientes ubicados en un punto medio en el párrafo 140. No se ocupa entonces de precisar los fundamentos normativos ciertos –a falta de norma expresa– de los que deduce esa distinción interpretativa, ni caracteriza su reconocimiento desde el punto de vista material o sustancial. Tampoco revela los criterios que determinan su selección. En efecto, se trata de una categoría que está definida en negativo, constituida por todo lo que se ubique en medio de la máxima responsabilidad y la participación no determinante, pero sin criterios específicos que orienten tal determinación. De tal suerte que esta creación dogmática habilita para que en su aplicación se genere para los comparecientes implicados una profunda afectación a su seguridad jurídica, con abierto desconocimiento del principio de estricta legalidad que impone el derecho sancionatorio.</w:t>
      </w:r>
    </w:p>
    <w:p w14:paraId="288C6471" w14:textId="77777777" w:rsidR="00FB16A4" w:rsidRPr="00746ACE" w:rsidRDefault="00FB16A4" w:rsidP="00FB16A4">
      <w:pPr>
        <w:widowControl w:val="0"/>
        <w:shd w:val="clear" w:color="auto" w:fill="FFFFFF"/>
        <w:ind w:right="49"/>
        <w:textAlignment w:val="baseline"/>
        <w:rPr>
          <w:lang w:eastAsia="es-MX"/>
        </w:rPr>
      </w:pPr>
    </w:p>
    <w:p w14:paraId="2CF605E3"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En este sentido, aunque la exigencia de tipicidad puede ser más flexible, en la medida en que se permite recurrir a otras fuentes normativas distintas al Código Penal para calificar las conductas, la calificación jurídica debe basarse en normas previas a la comisión de esta. Así, el hecho de que la Jurisdicción Especial para la Paz sea un tribunal que no busca exclusivamente la imposición de una sanción, pues prevé la concesión de amplios beneficios, no significa que esta pueda desconocer la tipicidad como garantía consagrada en el artículo 29 de la Constitución Política. </w:t>
      </w:r>
    </w:p>
    <w:p w14:paraId="754CB033" w14:textId="77777777" w:rsidR="00FB16A4" w:rsidRPr="00746ACE" w:rsidRDefault="00FB16A4" w:rsidP="00FB16A4">
      <w:pPr>
        <w:widowControl w:val="0"/>
        <w:shd w:val="clear" w:color="auto" w:fill="FFFFFF"/>
        <w:ind w:right="49"/>
        <w:textAlignment w:val="baseline"/>
        <w:rPr>
          <w:lang w:eastAsia="es-MX"/>
        </w:rPr>
      </w:pPr>
    </w:p>
    <w:p w14:paraId="1A109375"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La Defensoría del Pueblo considera que la Senit 5 también desconoce el principio de legalidad del procedimiento, al atribuir una consecuencia jurídica distinta al a prevista legalmente ante el incumplimiento del régimen de condicionalidad. Según el parágrafo 3 del artículo 19 de la Ley Estatutaria 1957 de 2019, el incumplimiento de los compromisos adquiridos para acceder al régimen de condicionalidad, dos de los cuales son aportar a la verdad y reconocer responsabilidad, de acuerdo con el artículo 20 de la misma normativa, da lugar a la apertura de un incidente de incumplimiento. La verificación de este incumplimiento tiene como efecto la pérdida de tratamientos especiales, beneficios, renuncias, derechos y garantías, conforme al parágrafo 1 del artículo 20 de la Ley Estatutaria 1957 de 2019. En cambio, la Senit 5 dispone que los partícipes no determinantes que pueden remitirse a la Unidad de Investigación y Acusación para ser acusados. Esto, si hacen aportes insuficientes a la verdad y no reconocen responsabilidad. </w:t>
      </w:r>
    </w:p>
    <w:p w14:paraId="08F5BDF5" w14:textId="77777777" w:rsidR="00FB16A4" w:rsidRPr="00746ACE" w:rsidRDefault="00FB16A4" w:rsidP="00FB16A4">
      <w:pPr>
        <w:widowControl w:val="0"/>
        <w:shd w:val="clear" w:color="auto" w:fill="FFFFFF"/>
        <w:ind w:right="49"/>
        <w:textAlignment w:val="baseline"/>
        <w:rPr>
          <w:lang w:eastAsia="es-MX"/>
        </w:rPr>
      </w:pPr>
    </w:p>
    <w:p w14:paraId="56851A4C"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La Senit 5 viola, según la Defensoría, el principio de legalidad del procedimiento y de la sanción en cuanto a la exigencia de reconocimiento de verdad y responsabilidad y acceso a las sanciones propias del sistema de justicia transicional restaurativa. En ese sentido, los comparecientes no determinantes que son seleccionados por la Sala de Definición de Situaciones Jurídicas no pueden aportar verdad y reconocer responsabilidad ante la Sala de Reconocimiento. En consecuencia, no pueden acceder a las sanciones propias. </w:t>
      </w:r>
    </w:p>
    <w:p w14:paraId="4B4EBB96" w14:textId="77777777" w:rsidR="00FB16A4" w:rsidRPr="00746ACE" w:rsidRDefault="00FB16A4" w:rsidP="00FB16A4">
      <w:pPr>
        <w:widowControl w:val="0"/>
        <w:shd w:val="clear" w:color="auto" w:fill="FFFFFF"/>
        <w:ind w:right="49"/>
        <w:textAlignment w:val="baseline"/>
        <w:rPr>
          <w:lang w:eastAsia="es-MX"/>
        </w:rPr>
      </w:pPr>
    </w:p>
    <w:p w14:paraId="267F4B80"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Esta situación, en comparación con los máximos responsables seleccionados por la Sala de Reconocimiento que, justamente por poder aportar verdad y reconocer responsabilidad ante esta sala, pueden beneficiarse con sanciones propias, se aparta del debido proceso, del principio de proporcionalidad de la pena y de la igualdad. La interpretación de la Senit 5 conduce a un estado de cosas en el que los comparecientes partícipes no determinantes, que tenían la seguridad jurídica, al amparo de la Ley Estatutaria 1957 de 2019 y la Sentencia C-080 de 2018, de no ser acusados ni sancionados si cumplían con el régimen de condicionalidad, podrían ahora ser eventualmente acusados y sancionados si la Sala de Definición de Situaciones Jurídicas los selecciona. Esta mutación de las consecuencias jurídicas que deben afrontar los partícipes no determinantes, que son negativas y adversas, viola el componente del debido proceso de legalidad del procedimiento y de la sanción, como se detalló más atrás.</w:t>
      </w:r>
    </w:p>
    <w:p w14:paraId="7C803773" w14:textId="77777777" w:rsidR="00FB16A4" w:rsidRPr="00746ACE" w:rsidRDefault="00FB16A4" w:rsidP="00FB16A4">
      <w:pPr>
        <w:widowControl w:val="0"/>
        <w:shd w:val="clear" w:color="auto" w:fill="FFFFFF"/>
        <w:ind w:right="49"/>
        <w:textAlignment w:val="baseline"/>
        <w:rPr>
          <w:lang w:eastAsia="es-MX"/>
        </w:rPr>
      </w:pPr>
    </w:p>
    <w:p w14:paraId="5DDC41B1"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Por último, la Defensoría advirtió que la decisión de la Sección de Apelación tiene graves consecuencias en el funcionamiento de la Jurisdicción Especial para la Paz, pues los datos de gestión de la Sala de Definición de Situaciones Jurídicas generan preocupación si se tiene en cuenta que se refieren a solo uno de los once macro casos y, pese a esto, implican una cantidad elevada de comparecientes respecto de los cuales deben realizarse todos los procedimientos descritos, en la ruta no sancionatoria. Así mismo, los datos permiten evidenciar como, hasta la fecha, solo se ha definido la situación jurídica de 0,02% del total de comparecientes en la ruta. Así las cosas, se considera que las verificaciones de cumplimiento del régimen de condicionalidad que debe realizar la Sala de Definición de Situaciones Jurídicas en virtud de la Senit 5, para establecer si debe o no aplicar la “selección de segundo orden”, tiene como efecto directo la congestión judicial de esa sala de justicia y, en esa medida, pone en peligro el cumplimiento de las funciones constitucionales de la Jurisdicción Especial para la Paz en el tiempo limitado de su funcionamiento.</w:t>
      </w:r>
    </w:p>
    <w:p w14:paraId="65D11A82" w14:textId="77777777" w:rsidR="00FB16A4" w:rsidRPr="00746ACE" w:rsidRDefault="00FB16A4" w:rsidP="00FB16A4">
      <w:pPr>
        <w:widowControl w:val="0"/>
        <w:shd w:val="clear" w:color="auto" w:fill="FFFFFF"/>
        <w:ind w:right="49"/>
        <w:textAlignment w:val="baseline"/>
        <w:rPr>
          <w:lang w:eastAsia="es-MX"/>
        </w:rPr>
      </w:pPr>
    </w:p>
    <w:p w14:paraId="21F2ED0E"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4.</w:t>
      </w:r>
      <w:r w:rsidRPr="00746ACE">
        <w:rPr>
          <w:lang w:eastAsia="es-MX"/>
        </w:rPr>
        <w:tab/>
        <w:t xml:space="preserve">El Observatorio de la Jurisdicción Especial para la Paz - OBSERVAJEP  solicitó declarar la inexequibilidad de los párrafos demandados de la Senit 5, pues (i) estableció unas competencias extralegales para la Sala de Definición de Situaciones Jurídicas y la Unidad de Investigación y Acusación, (ii) creó una categoría abstracta, difusa y sin sustento legal de “responsabilidad del punto medio”, (iii)  introdujo una ruta para la pérdida de beneficios del régimen de condicionalidad que no garantiza el derecho de defensa de los comparecientes y (iv) comprometió la proporcionalidad de las sanciones, habida cuenta que los comparecientes del “punto medio” enfrentarían sanciones más gravosas que algunos máximos responsables. Además, para el observatorio, la “responsabilidad del punto medio” persigue un fin imperioso y representa una medida idónea para alcanzarlo, pero lo cierto es que no es necesaria porque la Jurisdicción Especial para la Paz dispone otros medios menos lesivos para cumplir el propósito; a saber, los aportes colectivos a la verdad, el incidente de incumplimiento del régimen de condicionalidad y las sanciones propias, alternativas u ordinarias. </w:t>
      </w:r>
    </w:p>
    <w:p w14:paraId="7F7D0747" w14:textId="77777777" w:rsidR="00FB16A4" w:rsidRPr="00746ACE" w:rsidRDefault="00FB16A4" w:rsidP="00FB16A4">
      <w:pPr>
        <w:widowControl w:val="0"/>
        <w:shd w:val="clear" w:color="auto" w:fill="FFFFFF"/>
        <w:ind w:right="49"/>
        <w:textAlignment w:val="baseline"/>
        <w:rPr>
          <w:lang w:eastAsia="es-MX"/>
        </w:rPr>
      </w:pPr>
    </w:p>
    <w:p w14:paraId="7A8D1CC9"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5.</w:t>
      </w:r>
      <w:r w:rsidRPr="00746ACE">
        <w:rPr>
          <w:lang w:eastAsia="es-MX"/>
        </w:rPr>
        <w:tab/>
        <w:t xml:space="preserve">La Facultad de Derecho de la Universidad del Norte  solicitó declarar la inexequibilidad de la Senit 5. En su criterio, la Sección de Apelación excedió la órbita de sus competencias al disponer la “selección de segundo orden”, sumado a que alteró el modelo de juzgamiento concentrado que se estipuló en el Acuerdo Final de Paz e impulsó la remisión de comparecientes no seleccionados a la Unidad de Investigación y Acusación sin las garantías propias de un juicio imparcial. Por último, la interviniente argumentó que la Senit 5 infringió las garantías de los comparecientes al debido proceso, juez natural, legalidad procesal y proporcionalidad de las sanciones, pues cercenó la posibilidad para que los comparecientes con “responsabilidad del punto medio” accedan a los beneficios de la Jurisdicción Especial para la Paz. </w:t>
      </w:r>
    </w:p>
    <w:p w14:paraId="12963DBD" w14:textId="77777777" w:rsidR="00FB16A4" w:rsidRPr="00746ACE" w:rsidRDefault="00FB16A4" w:rsidP="00FB16A4">
      <w:pPr>
        <w:widowControl w:val="0"/>
        <w:shd w:val="clear" w:color="auto" w:fill="FFFFFF"/>
        <w:ind w:right="49"/>
        <w:textAlignment w:val="baseline"/>
        <w:rPr>
          <w:lang w:eastAsia="es-MX"/>
        </w:rPr>
      </w:pPr>
    </w:p>
    <w:p w14:paraId="28CB32BC"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6.</w:t>
      </w:r>
      <w:r w:rsidRPr="00746ACE">
        <w:rPr>
          <w:lang w:eastAsia="es-MX"/>
        </w:rPr>
        <w:tab/>
        <w:t xml:space="preserve">El Centro Internacional por la Justicia Transicional  solicitó declarar la inexequibilidad de los párrafos demandados de la Senit 5 porque la interpretación de la Sección de Apelación es contraria a los postulados constitucionales que definen la estructura de la Jurisdicción Especial para la Paz. Según el interviniente, la selección es un elemento esencial del componente de justicia en el sistema transicional, así que el juzgamiento de conductas debe adelantarse a partir de una investigación macrocriminal, en oposición a investigaciones para el esclarecimiento de hechos individualmente considerados. Además, a su modo de ver, “[e]l diseño de atribución de responsabilidad concentrado en aquellos que son considerados máximos responsables posibilitó la decisión política de los miembros de esa guerrilla de acogerse a este mecanismo judicial” . La incertidumbre jurídica en este aspecto dificulta la reinserción porque impide el desarrollo de la vida en condiciones de legalidad y arriesga el rearme o la deserción. </w:t>
      </w:r>
    </w:p>
    <w:p w14:paraId="16661D2F" w14:textId="77777777" w:rsidR="00FB16A4" w:rsidRPr="00746ACE" w:rsidRDefault="00FB16A4" w:rsidP="00FB16A4">
      <w:pPr>
        <w:widowControl w:val="0"/>
        <w:shd w:val="clear" w:color="auto" w:fill="FFFFFF"/>
        <w:ind w:right="49"/>
        <w:textAlignment w:val="baseline"/>
        <w:rPr>
          <w:lang w:eastAsia="es-MX"/>
        </w:rPr>
      </w:pPr>
    </w:p>
    <w:p w14:paraId="667A411B"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Por otra parte, el centro argumentó que las Senit 5 y 8 establecieron unas rutas para la “selección de segundo orden” que equiparan erróneamente la función de selección a cargo de la Sala de Reconocimiento con la función de verificar el cumplimiento del régimen de condicionalidad a cargo de la Sala de Definición de Situaciones Jurídicas. En su criterio, dichas decisiones provocan un escenario constitucionalmente inadmisible en el que los comparecientes elegibles para renuncia a la persecución penal cargan con el mismo deber de aportar a la verdad que un máximo responsable y están sujetos a sanciones más severas que aquellos. </w:t>
      </w:r>
    </w:p>
    <w:p w14:paraId="7B208903" w14:textId="77777777" w:rsidR="00FB16A4" w:rsidRPr="00746ACE" w:rsidRDefault="00FB16A4" w:rsidP="00FB16A4">
      <w:pPr>
        <w:widowControl w:val="0"/>
        <w:shd w:val="clear" w:color="auto" w:fill="FFFFFF"/>
        <w:ind w:right="49"/>
        <w:textAlignment w:val="baseline"/>
        <w:rPr>
          <w:lang w:eastAsia="es-MX"/>
        </w:rPr>
      </w:pPr>
    </w:p>
    <w:p w14:paraId="2A3540FC"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El interviniente también mencionó que la jurisdicción ha cuestionado los límites de su mandato mediante la práctica judicial y su jurisprudencia. Uno de estos escenarios es la respuesta a las demandas de verdad individual de las víctimas, en las que se observa una desarticulación entre dependencias, insuficiencia de recursos y ausencia de una estrategia interinstitucional para responder a través de mecanismos judiciales. Todo esto redunda en una sobrecarga de la jurisdicción que mina su capacidad de dar cumplimiento a su mandato en el plazo previsto para ese fin. </w:t>
      </w:r>
    </w:p>
    <w:p w14:paraId="580AD7FD" w14:textId="77777777" w:rsidR="00FB16A4" w:rsidRPr="00746ACE" w:rsidRDefault="00FB16A4" w:rsidP="00FB16A4">
      <w:pPr>
        <w:widowControl w:val="0"/>
        <w:shd w:val="clear" w:color="auto" w:fill="FFFFFF"/>
        <w:ind w:right="49"/>
        <w:textAlignment w:val="baseline"/>
        <w:rPr>
          <w:lang w:eastAsia="es-MX"/>
        </w:rPr>
      </w:pPr>
    </w:p>
    <w:p w14:paraId="330CF9F3"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7.</w:t>
      </w:r>
      <w:r w:rsidRPr="00746ACE">
        <w:rPr>
          <w:lang w:eastAsia="es-MX"/>
        </w:rPr>
        <w:tab/>
        <w:t xml:space="preserve">La Fiscalía General de la Nación  solicitó (i) integrar la unidad normativa de las normas acusadas con los párrafos 146 a 148 de la Senit 5; (ii) declarar la inexequibilidad de la interpretación judicial contenida en los párrafos 126, 128, 137, 140, 143 y 146 a 148 de la Senit 5; y (iii) declarar la exequibilidad condicionada de los párrafos 67, 125, 127, 133 y 148 ibidem bajo el entendido que “la Sala de Definición de Situaciones Jurídicas no tiene competencia para seleccionar partícipes no determinantes que no fueron seleccionados por la [Sala de Reconocimiento] y remitirlos a la [Unidad de Investigación y Acusación] para que adelante la investigación, ejerza la acción penal y lleve a cabo el trámite adversarial” . </w:t>
      </w:r>
    </w:p>
    <w:p w14:paraId="13DDAE7B" w14:textId="77777777" w:rsidR="00FB16A4" w:rsidRPr="00746ACE" w:rsidRDefault="00FB16A4" w:rsidP="00FB16A4">
      <w:pPr>
        <w:widowControl w:val="0"/>
        <w:shd w:val="clear" w:color="auto" w:fill="FFFFFF"/>
        <w:ind w:right="49"/>
        <w:textAlignment w:val="baseline"/>
        <w:rPr>
          <w:lang w:eastAsia="es-MX"/>
        </w:rPr>
      </w:pPr>
    </w:p>
    <w:p w14:paraId="3A7B57EF"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Según la interviniente, la Senit 5 desbordó el alcance propio de las normas que reglaron las competencias de la Sala de Reconocimiento, la Sala de Definición de Situaciones Jurídicas y la Unidad de Investigación y Acusación, toda vez que creó procedimientos adicionales que no fueron previstos en el marco normativo transicional. En concreto, si bien la Sala de Definición de Situaciones Jurídicas tiene algunas funciones de selección, lo cierto es que están estrictamente limitadas a la verificación del cumplimiento al régimen de condicionalidad luego de que la Sala de Reconocimiento ejerce la selección negativa, de conformidad con el artículo 84 de la Ley Estatutaria 1957 de 2019 y la Sentencia C-080 de 2018. Sin embargo, para la Fiscalía, la interpretación de la Sección de Apelación en torno a la “selección de segundo nivel” supone que la Sala de Definición de Situaciones Jurídicas puede reanudar los debates zanjados por la Sala de Reconocimiento sobre la atribución de responsabilidad y activar un juicio adversarial con consecuencias equiparables a la de los máximos responsables que no reconocen responsabilidad. </w:t>
      </w:r>
    </w:p>
    <w:p w14:paraId="28E94EF5" w14:textId="77777777" w:rsidR="00FB16A4" w:rsidRPr="00746ACE" w:rsidRDefault="00FB16A4" w:rsidP="00FB16A4">
      <w:pPr>
        <w:widowControl w:val="0"/>
        <w:shd w:val="clear" w:color="auto" w:fill="FFFFFF"/>
        <w:ind w:right="49"/>
        <w:textAlignment w:val="baseline"/>
        <w:rPr>
          <w:lang w:eastAsia="es-MX"/>
        </w:rPr>
      </w:pPr>
    </w:p>
    <w:p w14:paraId="1986CC65"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Por otra parte, la autoridad señaló que la Senit 5 comprometió el derecho fundamental al debido proceso de los comparecientes porque implica desbordar el plazo razonable para surtir las actuaciones en la Jurisdicción Especial para la Paz, principalmente en cuanto a la definición de las situaciones jurídicas. Además, en su criterio, la “selección de segundo nivel” desconoce los trámites incidentales previstos por el constituyente y el legislador para evaluar el cumplimiento del régimen de condicionalidad, al tiempo que bastaría con negar el mecanismo no sancionatorio de definición de la situación jurídica para remitir al compareciente a la jurisdicción ordinaria. Para la Fiscalía, esa expulsión expedita de la Jurisdicción Especial para la Paz se aparta del debido proceso, en tanto implica una remisión a la jurisdicción ordinaria sin que se surta el trámite incidental de incumplimiento al régimen de condicionalidad. </w:t>
      </w:r>
    </w:p>
    <w:p w14:paraId="635C0BCA" w14:textId="77777777" w:rsidR="00FB16A4" w:rsidRPr="00746ACE" w:rsidRDefault="00FB16A4" w:rsidP="00FB16A4">
      <w:pPr>
        <w:widowControl w:val="0"/>
        <w:shd w:val="clear" w:color="auto" w:fill="FFFFFF"/>
        <w:ind w:right="49"/>
        <w:textAlignment w:val="baseline"/>
        <w:rPr>
          <w:lang w:eastAsia="es-MX"/>
        </w:rPr>
      </w:pPr>
    </w:p>
    <w:p w14:paraId="5D3D4110"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Finalmente, la fiscal propuso una serie de elementos adicionales para alimentar la discusión constitucional. En particular, le pidió a la Corte tener en cuenta aspectos como el ámbito de aplicación de la selección positiva; la pregunta de si todos los hechos imputables a la estructura criminal están incluidos en el ejercicio de la facultad de selección; una consideración sobre el trámite procesal que sigue a la selección negativa y la definición integral de la situación jurídica de los comparecientes; los mecanismos jurídicos para la acción proactiva de la jurisdicción ordinaria; y, finalmente, las vías necesarias para que la jurisdicción ordinaria adopte decisiones frente a comparecientes o hechos sobre los cuales la Jurisdicción Especial para la Paz no resuelva la situación jurídica integralmente.</w:t>
      </w:r>
    </w:p>
    <w:p w14:paraId="11F5E63F" w14:textId="77777777" w:rsidR="00FB16A4" w:rsidRPr="00746ACE" w:rsidRDefault="00FB16A4" w:rsidP="00FB16A4">
      <w:pPr>
        <w:widowControl w:val="0"/>
        <w:shd w:val="clear" w:color="auto" w:fill="FFFFFF"/>
        <w:ind w:right="49"/>
        <w:textAlignment w:val="baseline"/>
        <w:rPr>
          <w:lang w:eastAsia="es-MX"/>
        </w:rPr>
      </w:pPr>
    </w:p>
    <w:p w14:paraId="218EB3CA"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8.</w:t>
      </w:r>
      <w:r w:rsidRPr="00746ACE">
        <w:rPr>
          <w:lang w:eastAsia="es-MX"/>
        </w:rPr>
        <w:tab/>
        <w:t xml:space="preserve">El Observatorio de Derecho Constitucional de la Universidad Libre  solicitó declarar la exequibilidad de los párrafos demandados de la Senit 5. El interviniente señaló que, en el marco de la justicia transicional, las autoridades judiciales deben interpretar las normas a una medida dinámica que maximice los derechos de las víctimas a la verdad y la reparación, para lo cual gozan de amplia autonomía e independencia. Es por ello que, en su criterio, el artículo 59 de la Ley Estatutaria 1922 de 2018 facultó a la Sección de Apelación para emitir sentencias interpretativas con el ánimo de suplir lagunas y uniformizar los procedimientos transicionales, a la luz de un entendimiento novedoso del principio de legalidad. </w:t>
      </w:r>
    </w:p>
    <w:p w14:paraId="7A9408FF" w14:textId="77777777" w:rsidR="00FB16A4" w:rsidRPr="00746ACE" w:rsidRDefault="00FB16A4" w:rsidP="00FB16A4">
      <w:pPr>
        <w:widowControl w:val="0"/>
        <w:shd w:val="clear" w:color="auto" w:fill="FFFFFF"/>
        <w:ind w:right="49"/>
        <w:textAlignment w:val="baseline"/>
        <w:rPr>
          <w:lang w:eastAsia="es-MX"/>
        </w:rPr>
      </w:pPr>
    </w:p>
    <w:p w14:paraId="1C2A1CD2"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Al respecto, el observatorio afirmó que el principio de legalidad en la Jurisdicción Especial para la Paz opera en armonía con los principios pro homine y pro víctima, así como con los fines restaurativos y reparadores del componente de justicia previsto en el Acuerdo Final de Paz. En su criterio, la Senit 5 se sustenta en ese enfoque de la legalidad porque fortalece la legitimidad del sistema transicional, garantiza que las decisiones sean uniformes, fomenta la articulación normativa e institucional en la Jurisdicción Especial para la Paz y ofrece reglas claras para abordar a los comparecientes que, aunque no fueron seleccionados, tuvieron una participación relevante o persistente en una estructura criminal. </w:t>
      </w:r>
    </w:p>
    <w:p w14:paraId="16A05346" w14:textId="77777777" w:rsidR="00FB16A4" w:rsidRPr="00746ACE" w:rsidRDefault="00FB16A4" w:rsidP="00FB16A4">
      <w:pPr>
        <w:widowControl w:val="0"/>
        <w:shd w:val="clear" w:color="auto" w:fill="FFFFFF"/>
        <w:ind w:right="49"/>
        <w:textAlignment w:val="baseline"/>
        <w:rPr>
          <w:lang w:eastAsia="es-MX"/>
        </w:rPr>
      </w:pPr>
    </w:p>
    <w:p w14:paraId="1FA753A3"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Finalmente, según el observatorio, la Senit 5 es un mecanismo que busca garantizar la seguridad jurídica en el contexto de las características complejas y especialísimas del modelo de justicia transicional adoptado por el Acuerdo Final de Paz, particularmente el carácter temporal, orgánico e integral del derecho de transición. En esa medida, aunque no son equiparables a las sentencias emitidas en ejercicio del control abstracto de constitucionalidad, comparten con ellas su carácter abstracto y erga omnes, sumado a que resultan indispensables para asegurar la seguridad jurídica, pues son el mecanismo legalmente previsto para asegurar la uniformidad del sistema de acuerdo con las exigencias de sus dinámicas temporales. </w:t>
      </w:r>
    </w:p>
    <w:p w14:paraId="71405852" w14:textId="77777777" w:rsidR="00FB16A4" w:rsidRPr="00746ACE" w:rsidRDefault="00FB16A4" w:rsidP="00FB16A4">
      <w:pPr>
        <w:widowControl w:val="0"/>
        <w:shd w:val="clear" w:color="auto" w:fill="FFFFFF"/>
        <w:ind w:right="49"/>
        <w:textAlignment w:val="baseline"/>
        <w:rPr>
          <w:lang w:eastAsia="es-MX"/>
        </w:rPr>
      </w:pPr>
    </w:p>
    <w:p w14:paraId="4C894643"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9.</w:t>
      </w:r>
      <w:r w:rsidRPr="00746ACE">
        <w:rPr>
          <w:lang w:eastAsia="es-MX"/>
        </w:rPr>
        <w:tab/>
        <w:t xml:space="preserve">La Sección de Apelación del Tribunal para la Paz  solicitó la inhibición para emitir un fallo de fondo por inaptitud sustantiva de la demanda y, en subsidio, la exequibilidad de los párrafos demandados de la Senit 5. En su criterio, los cargos formulados por los demandantes no cumplen los requisitos de claridad, certeza, especificidad y pertinencia, sumado a que la Senit 5 no se sustentó en una interpretación judicial incompatible con la Constitución Política. </w:t>
      </w:r>
    </w:p>
    <w:p w14:paraId="49595793" w14:textId="77777777" w:rsidR="00FB16A4" w:rsidRPr="00746ACE" w:rsidRDefault="00FB16A4" w:rsidP="00FB16A4">
      <w:pPr>
        <w:widowControl w:val="0"/>
        <w:shd w:val="clear" w:color="auto" w:fill="FFFFFF"/>
        <w:ind w:right="49"/>
        <w:textAlignment w:val="baseline"/>
        <w:rPr>
          <w:lang w:eastAsia="es-MX"/>
        </w:rPr>
      </w:pPr>
    </w:p>
    <w:p w14:paraId="03817713"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En primer lugar, la autoridad judicial expuso que la jurisprudencia constitucional ha impuesto exigencias más estrictas para la procedencia de demandas de inconstitucionalidad contra interpretaciones judiciales. En esa línea, resaltó que el primer cargo no cumple con los requisitos de claridad, certeza, especificidad y pertinencia porque lo que plantea la demanda es una interpretación que a juicio de los demandantes es superior o más conveniente para la Jurisdicción Especial para la Paz que aquella que definió en la Senit 5. La Sección de Apelación señaló que la solicitud de inexequibilidad de los demandantes se sustenta en una presunta incompatibilidad de la posibilidad de seleccionar a partícipes no determinantes en la comisión de crímenes de competencia de la Jurisdicción Especial para la Paz con “el diseño” y la “eficacia” del mecanismo transicional. </w:t>
      </w:r>
    </w:p>
    <w:p w14:paraId="18C1D11F" w14:textId="77777777" w:rsidR="00FB16A4" w:rsidRPr="00746ACE" w:rsidRDefault="00FB16A4" w:rsidP="00FB16A4">
      <w:pPr>
        <w:widowControl w:val="0"/>
        <w:shd w:val="clear" w:color="auto" w:fill="FFFFFF"/>
        <w:ind w:right="49"/>
        <w:textAlignment w:val="baseline"/>
        <w:rPr>
          <w:lang w:eastAsia="es-MX"/>
        </w:rPr>
      </w:pPr>
    </w:p>
    <w:p w14:paraId="5E805519"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Al respecto, la Sección de Apelación indicó que ni el diseño del Acuerdo Final de Paz ni la eficacia son argumentos de orden constitucional que deba atender la Corte Constitucional. Además, señaló que los demandantes no precisaron el contenido normativo de las disposiciones jurídicas que dan sustento a la Senit 5 ni el significado preciso que le atribuyen a dicha decisión. </w:t>
      </w:r>
    </w:p>
    <w:p w14:paraId="7C4D7AD1" w14:textId="77777777" w:rsidR="00FB16A4" w:rsidRPr="00746ACE" w:rsidRDefault="00FB16A4" w:rsidP="00FB16A4">
      <w:pPr>
        <w:widowControl w:val="0"/>
        <w:shd w:val="clear" w:color="auto" w:fill="FFFFFF"/>
        <w:ind w:right="49"/>
        <w:textAlignment w:val="baseline"/>
        <w:rPr>
          <w:lang w:eastAsia="es-MX"/>
        </w:rPr>
      </w:pPr>
    </w:p>
    <w:p w14:paraId="436DA2DB"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Respecto de los cargos segundo y tercero, la Sección de Apelación afirma que no son ciertos, específicos ni pertinentes. En su criterio, los demandantes se enfocaron en el párrafo 140 de la Senit 5, mediante el cual, aseguran, se facultó a la Sala de Definición de Situaciones Jurídicas para ejercer una selección de segundo orden frente a partícipes de crímenes graves no seleccionados por la Sala de Reconocimiento, cuando estén a medio camino entre la máxima responsabilidad y la participación no determinante. </w:t>
      </w:r>
    </w:p>
    <w:p w14:paraId="600D7A02" w14:textId="77777777" w:rsidR="00FB16A4" w:rsidRPr="00746ACE" w:rsidRDefault="00FB16A4" w:rsidP="00FB16A4">
      <w:pPr>
        <w:widowControl w:val="0"/>
        <w:shd w:val="clear" w:color="auto" w:fill="FFFFFF"/>
        <w:ind w:right="49"/>
        <w:textAlignment w:val="baseline"/>
        <w:rPr>
          <w:lang w:eastAsia="es-MX"/>
        </w:rPr>
      </w:pPr>
    </w:p>
    <w:p w14:paraId="000E7F63"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Al respecto, recuerdan que los demandantes acusaron esta posibilidad de desconocer los artículos 29 y 66 transitorio de la Constitución, y el artículo 9 de la Convención Americana sobre Derechos Humanos. Al respecto, la Sección de Apelación afirmó que, en primer lugar, los demandantes desconocen el contexto significativo en el que se inscribe el párrafo acusado. En particular, desconocen que tanto el párrafo como toda la Senit 5 se desprende de un interpretación armónica y sistemática de los artículos 84.h y 129 e la Ley 1957 de 2019, como se comunica de forma amplia en el párrafo 119 de la decisión. </w:t>
      </w:r>
    </w:p>
    <w:p w14:paraId="4739B894" w14:textId="77777777" w:rsidR="00FB16A4" w:rsidRPr="00746ACE" w:rsidRDefault="00FB16A4" w:rsidP="00FB16A4">
      <w:pPr>
        <w:widowControl w:val="0"/>
        <w:shd w:val="clear" w:color="auto" w:fill="FFFFFF"/>
        <w:ind w:right="49"/>
        <w:textAlignment w:val="baseline"/>
        <w:rPr>
          <w:lang w:eastAsia="es-MX"/>
        </w:rPr>
      </w:pPr>
    </w:p>
    <w:p w14:paraId="0C6AE7C7"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En segundo lugar, la Sección de Apelación expuso que los demandantes omitieron mostrar de qué manera la interpretación judicial se ha concretado, especialmente en el sometimiento de los comparecientes a la Jurisdicción Especial para la Paz o de los partícipes no seleccionados por la Sala de Reconocimiento. Esto, concluye, implica que los demandantes acusan por inconstitucional la Senit 5 con base en escenarios hipotéticos y no en una práctica judicial comprobable. </w:t>
      </w:r>
    </w:p>
    <w:p w14:paraId="7C4A6E84" w14:textId="77777777" w:rsidR="00FB16A4" w:rsidRPr="00746ACE" w:rsidRDefault="00FB16A4" w:rsidP="00FB16A4">
      <w:pPr>
        <w:widowControl w:val="0"/>
        <w:shd w:val="clear" w:color="auto" w:fill="FFFFFF"/>
        <w:ind w:right="49"/>
        <w:textAlignment w:val="baseline"/>
        <w:rPr>
          <w:lang w:eastAsia="es-MX"/>
        </w:rPr>
      </w:pPr>
    </w:p>
    <w:p w14:paraId="4E7ECB1E"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Por último, la Sección de Apelación señaló que los argumentos son globales, abstractos e indeterminados pues no explican en qué consiste la presunta arbitrariedad imputable a la Senit 5. Por el contrario, se limitan a tomar los criterios de selección como una suerte de causales propias del ordenamiento penal ordinario, al sugerir que estos son criterios para imputar responsabilidad, en contravía de lo que estipula expresamente el artículo 19 de la Ley Estatutaria 1957 de 2019. Por eso, en suma, la Sección de Apelación aseguró que las razones del desacuerdo son personales, doctrinales o de conveniencia, pero no constitucionales.</w:t>
      </w:r>
    </w:p>
    <w:p w14:paraId="71431FD4" w14:textId="77777777" w:rsidR="00FB16A4" w:rsidRPr="00746ACE" w:rsidRDefault="00FB16A4" w:rsidP="00FB16A4">
      <w:pPr>
        <w:widowControl w:val="0"/>
        <w:shd w:val="clear" w:color="auto" w:fill="FFFFFF"/>
        <w:ind w:right="49"/>
        <w:textAlignment w:val="baseline"/>
        <w:rPr>
          <w:lang w:eastAsia="es-MX"/>
        </w:rPr>
      </w:pPr>
    </w:p>
    <w:p w14:paraId="3728F15E"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En relación con el cuarto cargo, la Sección de Apelación afirmó que carece de aptitud porque los demandantes asumieron, sin justificación, que la Ley Estatutaria 1957 de 2019 es el parámetro de control. Al respecto, la Sección de Apelación señaló que este cargo se sustenta en la idea de que el artículo 19 de la Ley Estatutaria 1957 de 2019 no incluyó el incumplimiento del régimen de condicionalidad como criterio para la selección de casos. A su juicio, los demandantes no argumentaron por qué la Ley Estatutaria 1957 de 2019 sería el parámetro de control en este caso, es decir, si está incluido en el bloque de constitucionalidad en sentido lato y puede operar como un parámetro constitucional excepcionalmente. En particular, la Sección indicó que la Sentencia C-183 de 2020 no concluyó que la Ley Estatutaria de 1957 de 2019 sea parámetro de control, tal como afirmaron los accionantes. Por el contrario, recordó que la Corte se declaró inhibida para usar dicho parámetro por carencia actual de objeto. </w:t>
      </w:r>
    </w:p>
    <w:p w14:paraId="38C0659C" w14:textId="77777777" w:rsidR="00FB16A4" w:rsidRPr="00746ACE" w:rsidRDefault="00FB16A4" w:rsidP="00FB16A4">
      <w:pPr>
        <w:widowControl w:val="0"/>
        <w:shd w:val="clear" w:color="auto" w:fill="FFFFFF"/>
        <w:ind w:right="49"/>
        <w:textAlignment w:val="baseline"/>
        <w:rPr>
          <w:lang w:eastAsia="es-MX"/>
        </w:rPr>
      </w:pPr>
    </w:p>
    <w:p w14:paraId="4806EFEE"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Finalmente, frente al cargo quinto, la Sección de Apelación consideró que se trata de un argumento inepto porque carece de certeza, especificidad y pertinencia. Al respecto, señaló que el cargo perdió su objeto, pues la Senit 8 de 2025 aclaró que el reconocimiento de responsabilidad es una condición exigible sólo a los máximos responsables seleccionados por la Sala de Reconocimiento que quieran acceder al sistema de sanciones propias, más no a quienes fueron objeto de selección negativa. Además, según la Sección de Apelación, la Senit 5 se basa en disposiciones estatutarias. En tal medida, reiteró que el desacuerdo planteado tiene que ver con interpretaciones que los demandantes estiman más razonables, convenientes o de “mejor doctrina” a la luz de lo que discutieron como negociadores del Acuerdo Final de Paz, pero no en razones de orden constitucional. </w:t>
      </w:r>
    </w:p>
    <w:p w14:paraId="4D2F6AA2" w14:textId="77777777" w:rsidR="00FB16A4" w:rsidRPr="00746ACE" w:rsidRDefault="00FB16A4" w:rsidP="00FB16A4">
      <w:pPr>
        <w:widowControl w:val="0"/>
        <w:shd w:val="clear" w:color="auto" w:fill="FFFFFF"/>
        <w:ind w:right="49"/>
        <w:textAlignment w:val="baseline"/>
        <w:rPr>
          <w:lang w:eastAsia="es-MX"/>
        </w:rPr>
      </w:pPr>
    </w:p>
    <w:p w14:paraId="2F1A9548"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Ahora bien, en cuanto al fondo, el argumento principal de la Sección de Apelación es que ninguna de las interpretaciones judiciales atacada por los demandantes vulnera la Constitución Política ni conlleva consecuencias inconstitucionales. Para desarrollar esta idea, la Sección de Apelación propuso contrargumentos frente a cada cargo formulado por los demandantes. </w:t>
      </w:r>
    </w:p>
    <w:p w14:paraId="29DDA920" w14:textId="77777777" w:rsidR="00FB16A4" w:rsidRPr="00746ACE" w:rsidRDefault="00FB16A4" w:rsidP="00FB16A4">
      <w:pPr>
        <w:widowControl w:val="0"/>
        <w:shd w:val="clear" w:color="auto" w:fill="FFFFFF"/>
        <w:ind w:right="49"/>
        <w:textAlignment w:val="baseline"/>
        <w:rPr>
          <w:lang w:eastAsia="es-MX"/>
        </w:rPr>
      </w:pPr>
    </w:p>
    <w:p w14:paraId="37ADEC6B"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Frente al primer cargo, la Sección de Apelación afirmó que las facultades de “selección de segundo orden” de la Sala de Definición de Situaciones Jurídicas y la Unidad de Investigación y Acusación no fueron creadas por la Senit 5, pues están expresamente contempladas en el literal c) del artículo 84 de la Ley 1957 de 2019. Para la interviniente, esta norma facultó a la Sala de Definición de Situaciones Jurídicas para priorizar y seleccionar a quienes no reconozcan verdad ni responsabilidad con el fin de remitirlos a la Unidad de Investigación y Acusación. Además, esta facultad también tendría fundamento en la sentencia C-080 de 2018. Según la Sección de Apelación, esa decisión mencionó una competencia de selección individual asignada a la Sala de Definición de Situaciones Jurídicas para hechos no seleccionados previamente. La Senit 5 solo utilizó el término “selección de segundo orden” para denominar esa facultad legal.</w:t>
      </w:r>
    </w:p>
    <w:p w14:paraId="26539CC4" w14:textId="77777777" w:rsidR="00FB16A4" w:rsidRPr="00746ACE" w:rsidRDefault="00FB16A4" w:rsidP="00FB16A4">
      <w:pPr>
        <w:widowControl w:val="0"/>
        <w:shd w:val="clear" w:color="auto" w:fill="FFFFFF"/>
        <w:ind w:right="49"/>
        <w:textAlignment w:val="baseline"/>
        <w:rPr>
          <w:lang w:eastAsia="es-MX"/>
        </w:rPr>
      </w:pPr>
    </w:p>
    <w:p w14:paraId="70B1C126"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Respecto de los cargos segundo y tercero, la Sección de Apelación señaló que la “categoría intermedia” o “punto medio” es un referente heurístico y no una categoría dogmática. Esto quiere decir que el “punto medio” no es un tercer tipo de compareciente, además de los máximos responsables y los partícipes no determinantes, sino un criterio orientador que le sirve a la Sala de Definición de Situaciones Jurídicas para valorar si el procesamiento de una persona es pertinente para esclarecer patrones macro criminales.</w:t>
      </w:r>
    </w:p>
    <w:p w14:paraId="6E4BC69D" w14:textId="77777777" w:rsidR="00FB16A4" w:rsidRPr="00746ACE" w:rsidRDefault="00FB16A4" w:rsidP="00FB16A4">
      <w:pPr>
        <w:widowControl w:val="0"/>
        <w:shd w:val="clear" w:color="auto" w:fill="FFFFFF"/>
        <w:ind w:right="49"/>
        <w:textAlignment w:val="baseline"/>
        <w:rPr>
          <w:lang w:eastAsia="es-MX"/>
        </w:rPr>
      </w:pPr>
    </w:p>
    <w:p w14:paraId="6C0F5FF5"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Bajo estas premisas, la Sección de Apelación argumentó que, al no ser un criterio para atribuir responsabilidad o imputar delitos, sino un criterio de valoración procesal para definir rutas de justicia, no puede ser objeto de la misma rigidez que las categorías propias de la ley penal ordinaria. La legalidad, entonces, debe leerse a partir de la naturaleza flexible de las categorías transicionales y no desde la dogmática penal tradicional. Además, la Sección de Apelación mencionó que la Senit 8 de 2025 dejó claro que ese criterio no es obligatorio.</w:t>
      </w:r>
    </w:p>
    <w:p w14:paraId="24E11BA3" w14:textId="77777777" w:rsidR="00FB16A4" w:rsidRPr="00746ACE" w:rsidRDefault="00FB16A4" w:rsidP="00FB16A4">
      <w:pPr>
        <w:widowControl w:val="0"/>
        <w:shd w:val="clear" w:color="auto" w:fill="FFFFFF"/>
        <w:ind w:right="49"/>
        <w:textAlignment w:val="baseline"/>
        <w:rPr>
          <w:lang w:eastAsia="es-MX"/>
        </w:rPr>
      </w:pPr>
    </w:p>
    <w:p w14:paraId="6AEE09C3"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En cuanto al cuarto cargo, la Sección de Apelación expuso que su interpretación se fundamenta en las atribuciones que los literales c) y h) del artículo 84 de la Ley Estatutaria 1957 de 2019 le otorgaron a la Sala de Definición de Situaciones Jurídicas y, en esa línea, indicó que la Senit 5 ofrece múltiples rutas legales a los aportes insuficientes de verdad: (i) la expulsión vía incidente de incumplimiento; (ii) la remisión a la Unidad de Investigación y Acusación para un juicio adversarial; o (iii) mecanismos no sancionatorios si no existen pruebas que pongan en duda su inocencia, siempre bajo el cumplimiento estricto del régimen de condicionalidad. </w:t>
      </w:r>
    </w:p>
    <w:p w14:paraId="48F97DF8" w14:textId="77777777" w:rsidR="00FB16A4" w:rsidRPr="00746ACE" w:rsidRDefault="00FB16A4" w:rsidP="00FB16A4">
      <w:pPr>
        <w:widowControl w:val="0"/>
        <w:shd w:val="clear" w:color="auto" w:fill="FFFFFF"/>
        <w:ind w:right="49"/>
        <w:textAlignment w:val="baseline"/>
        <w:rPr>
          <w:lang w:eastAsia="es-MX"/>
        </w:rPr>
      </w:pPr>
    </w:p>
    <w:p w14:paraId="26625DF3"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Según la Sección de Apelación, estas vías materializan los principios de integralidad, proporcionalidad y gradualidad, con el ánimo de asegurar que no haya impunidad frente a partícipes reticentes o que ocultan información. Esto quiere decir que, tanto para optar por el incidente de incumplimiento, como para la selección de segundo orden o los mecanismos no sancionatorios, la Sala de Definición de Situaciones Jurídicas debe sopesar los principios mencionados y tomar una decisión sustentada. En el caso de la “selección de segundo orden”, la Sección de Apelación enfatizó en su naturaleza excepcional y en la posibilidad de ejercerla solo en casos límite, es decir, en aquellos en los que dicha selección sea indispensable para evitar la impunidad y siempre que no obstruya la mayor garantía posible de justicia dentro de un plazo razonable. En esa medida, insiste en que el desacuerdo de los demandantes es hermenéutico, pero no de orden constitucional.</w:t>
      </w:r>
    </w:p>
    <w:p w14:paraId="26BAF85D" w14:textId="77777777" w:rsidR="00FB16A4" w:rsidRPr="00746ACE" w:rsidRDefault="00FB16A4" w:rsidP="00FB16A4">
      <w:pPr>
        <w:widowControl w:val="0"/>
        <w:shd w:val="clear" w:color="auto" w:fill="FFFFFF"/>
        <w:ind w:right="49"/>
        <w:textAlignment w:val="baseline"/>
        <w:rPr>
          <w:lang w:eastAsia="es-MX"/>
        </w:rPr>
      </w:pPr>
    </w:p>
    <w:p w14:paraId="6DD6CD64"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En relación con el cargo quinto, la Sección de Apelación reiteró que la discusión perdió relevancia y certeza a partir de la Senit 8 de 2025, en la que se excluyó el deber de reconocer responsabilidad. En todo caso, destacó que esa exigencia no fue caprichosa, sino que encontraba sustento en el literal c) del artículo 84 de la Ley Estatutaria 1957 de 2019, en la que se menciona la posibilidad de priorizar y seleccionar a aquellos participes que “no reconozcan verdad y responsabilidad”. </w:t>
      </w:r>
    </w:p>
    <w:p w14:paraId="64926BB7" w14:textId="77777777" w:rsidR="00FB16A4" w:rsidRPr="00746ACE" w:rsidRDefault="00FB16A4" w:rsidP="00FB16A4">
      <w:pPr>
        <w:widowControl w:val="0"/>
        <w:shd w:val="clear" w:color="auto" w:fill="FFFFFF"/>
        <w:ind w:right="49"/>
        <w:textAlignment w:val="baseline"/>
        <w:rPr>
          <w:lang w:eastAsia="es-MX"/>
        </w:rPr>
      </w:pPr>
    </w:p>
    <w:p w14:paraId="603B2505"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La Sección de Apelación también afirmó que lo que preocupa a los accionantes es que, por los mismos hechos, un máximo responsable podría cumplir una sanción propia mediante trabajos obras y actividades con contenido restaurador-reparador, mientras que el partícipe tendría que pagar una sanción alternativa inferior. Para la Sección de Apelación, esa preocupación pone de presente una incomprensión del sistema de justicia de la Jurisdicción Especial para la Paz por parte de los demandantes. En concreto, desconoce que, en el fondo, no habría tal desproporción ni desigualdad. </w:t>
      </w:r>
    </w:p>
    <w:p w14:paraId="58080CFA" w14:textId="77777777" w:rsidR="00FB16A4" w:rsidRPr="00746ACE" w:rsidRDefault="00FB16A4" w:rsidP="00FB16A4">
      <w:pPr>
        <w:widowControl w:val="0"/>
        <w:shd w:val="clear" w:color="auto" w:fill="FFFFFF"/>
        <w:ind w:right="49"/>
        <w:textAlignment w:val="baseline"/>
        <w:rPr>
          <w:lang w:eastAsia="es-MX"/>
        </w:rPr>
      </w:pPr>
    </w:p>
    <w:p w14:paraId="47E6BCB2"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La Sección de Apelación argumentó que, en ese evento, el máximo responsable deberá pagar una sanción de mucho más tiempo con un componente retributivo mucho menos intenso. Por su parte, el partícipe deberá cumplir una sanción de menos tiempo, pero con un competente retributivo mayor, pues será intramural. La razón de ser de esa mayor intensidad en el componente retributivo es la falta de contribución a la verdad. Además, el máximo responsable que llega a dichas sanciones debe haber cumplido con el Sistema Integral para la Paz de forma efectiva y anticipada, mientras que el partícipe retarda el cumplimiento de ese deber hasta antes de dictar sentencia o hasta que es vencido en juicio (único evento de sanción ordinaria). </w:t>
      </w:r>
    </w:p>
    <w:p w14:paraId="79E1C563" w14:textId="77777777" w:rsidR="00FB16A4" w:rsidRPr="00746ACE" w:rsidRDefault="00FB16A4" w:rsidP="00FB16A4">
      <w:pPr>
        <w:widowControl w:val="0"/>
        <w:shd w:val="clear" w:color="auto" w:fill="FFFFFF"/>
        <w:ind w:right="49"/>
        <w:textAlignment w:val="baseline"/>
        <w:rPr>
          <w:lang w:eastAsia="es-MX"/>
        </w:rPr>
      </w:pPr>
    </w:p>
    <w:p w14:paraId="655E672A"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Además, la Sección de Apelación consideró que no hay una vulneración del debido proceso, pues ni la Senit 5 ni otras decisiones de esa naturaleza han modificado el trámite transicional previsto exclusivamente en la Ley de Procedimiento y en la Ley Estatutaria, tanto para máximos responsables como para partícipes no determinantes. </w:t>
      </w:r>
    </w:p>
    <w:p w14:paraId="71A8AE5D" w14:textId="77777777" w:rsidR="00FB16A4" w:rsidRPr="00746ACE" w:rsidRDefault="00FB16A4" w:rsidP="00FB16A4">
      <w:pPr>
        <w:widowControl w:val="0"/>
        <w:shd w:val="clear" w:color="auto" w:fill="FFFFFF"/>
        <w:ind w:right="49"/>
        <w:textAlignment w:val="baseline"/>
        <w:rPr>
          <w:lang w:eastAsia="es-MX"/>
        </w:rPr>
      </w:pPr>
    </w:p>
    <w:p w14:paraId="6F362C81"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Finalmente, la Sección de Apelación planteó dos observaciones. La primera, sobre la preocupación manifestada por los demandantes al señalar que con la Senit 5 se abre la puerta a investigaciones caso a caso. En este punto, la SA afirma que, si bien el artículo 19 de la Ley Estatutaria 1957 de 2019 prevé que la renuncia a la acción penal es una consecuencia de la selección negativa, eso no implica que sea la única. Toda acción en el marco del sistema se dirige a garantizar que no haya impunidad frente a patrones macro criminales, que se mantiene inalterado tanto en el trámite dialógico como en el adversarial. Para la Sección de Apelación, en ninguno de esos dos trámites se corre el riesgo que anuncian los demandantes, pues la interpretación vertida en la Senit 5 está encaminada a asegurar la investigación por patrones y a conjurar cualquier amenaza a la naturaleza transitoria de esta justicia especial. </w:t>
      </w:r>
    </w:p>
    <w:p w14:paraId="0C56417C" w14:textId="77777777" w:rsidR="00FB16A4" w:rsidRPr="00746ACE" w:rsidRDefault="00FB16A4" w:rsidP="00FB16A4">
      <w:pPr>
        <w:widowControl w:val="0"/>
        <w:shd w:val="clear" w:color="auto" w:fill="FFFFFF"/>
        <w:ind w:right="49"/>
        <w:textAlignment w:val="baseline"/>
        <w:rPr>
          <w:lang w:eastAsia="es-MX"/>
        </w:rPr>
      </w:pPr>
    </w:p>
    <w:p w14:paraId="641AE5D2"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La segunda observación se refiere a la eficacia de las funciones que la Constitución y la ley le otorgaron a la Sección de Apelación. Los demandantes solicitaron a la Corte “instar” a esa autoridad judicial a proferir nuevas sentencias interpretativas para impedir que el modelo de enjuiciamiento de la Jurisdicción Especial para la Paz se vuelque a una estrategia caso a caso y que se respeten los derechos de las víctimas. Al respecto, la Sección de Apelación manifestó que no es otro su compromiso y que justo ese es el espíritu que anima la expedición de la Senit 8 y otra que se encuentra bajo estudio. Se trata del desarrollo de una función que le permite casi en tiempo real afinar los aspectos procesales y sustantivos necesarios para que la justicia transicional funcione en los plazos previstos en la Constitución. Esto además implica darle espacio a la Jurisdicción para que, en cumplimiento de su mandato, pueda evolucionar en su trabajo jurisdiccional como le es permitido a todos los jueces, pero es especialmente importante para el juez transicional. En ese sentido, recordó que la tesis del derecho viviente es indispensable para reconocer que las dinámicas sociales son las que modelan la interpretación de los órganos autorizados.</w:t>
      </w:r>
    </w:p>
    <w:p w14:paraId="76EF96D5" w14:textId="77777777" w:rsidR="00FB16A4" w:rsidRPr="00746ACE" w:rsidRDefault="00FB16A4" w:rsidP="00FB16A4">
      <w:pPr>
        <w:widowControl w:val="0"/>
        <w:shd w:val="clear" w:color="auto" w:fill="FFFFFF"/>
        <w:ind w:right="49"/>
        <w:textAlignment w:val="baseline"/>
        <w:rPr>
          <w:lang w:eastAsia="es-MX"/>
        </w:rPr>
      </w:pPr>
    </w:p>
    <w:p w14:paraId="607A58A5"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10.</w:t>
      </w:r>
      <w:r w:rsidRPr="00746ACE">
        <w:rPr>
          <w:lang w:eastAsia="es-MX"/>
        </w:rPr>
        <w:tab/>
        <w:t xml:space="preserve">La Sala de Definición de Situaciones Jurídicas  de la Jurisdicción Especial para la Paz indicó que ahora existen seis subsalas Especiales de Conocimiento y Decisión para iniciar la “ruta no sancionatoria”, donde celebran audiencias de aportes de verdad para que la sala determine quiénes son candidatos a tratamientos no sancionatorios. De esta manera, si un compareciente no hace aportes suficientes a la verdad ni reconoce responsabilidad en ese escenario, pero “tienen algún grado significativo de responsabilidad en delitos graves y en patrones de macro criminalidad” , entonces la sala remite el caso a la Unidad de Investigación y Acusación para adelantar un juicio adversarial. Finalmente, la interviniente informó que, a la fecha, había remitido tres casos. </w:t>
      </w:r>
    </w:p>
    <w:p w14:paraId="50A7A81A" w14:textId="77777777" w:rsidR="00FB16A4" w:rsidRPr="00746ACE" w:rsidRDefault="00FB16A4" w:rsidP="00FB16A4">
      <w:pPr>
        <w:widowControl w:val="0"/>
        <w:shd w:val="clear" w:color="auto" w:fill="FFFFFF"/>
        <w:ind w:right="49"/>
        <w:textAlignment w:val="baseline"/>
        <w:rPr>
          <w:lang w:eastAsia="es-MX"/>
        </w:rPr>
      </w:pPr>
    </w:p>
    <w:p w14:paraId="4AE8D871"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11.</w:t>
      </w:r>
      <w:r w:rsidRPr="00746ACE">
        <w:rPr>
          <w:lang w:eastAsia="es-MX"/>
        </w:rPr>
        <w:tab/>
        <w:t xml:space="preserve">El Ministerio de Justicia y del Derecho  solicitó proferir la decisión que en derecho corresponda. Para esa cartera ministerial, es plausible deducir que el artículo 84 de la Ley Estatutaria 1957 de 2019 facultó a la Sala de Definición de Situaciones Jurídicas para seleccionar comparecientes, pero solo en cuanto a la aplicación del régimen de condicionalidad de los comparecientes no seleccionados que no aportan verdad ni reconocimiento. Sin embargo, el marco normativo transicional no habilitó a la Sala de Definición de Situaciones Jurídicas para remitir comparecientes a la Unidad de Investigación y Acusación ni para reanudar el análisis sobre los criterios de selección que ya empleó la Sala de Reconocimiento. Finalmente, el interviniente señaló que la eventual remisión de los comparecientes para someterlos a un juicio adversarial no conlleva actuaciones en materia de verdad, reparación y garantías de no repetición en favor de las víctimas. </w:t>
      </w:r>
    </w:p>
    <w:p w14:paraId="61C44F93" w14:textId="77777777" w:rsidR="00FB16A4" w:rsidRPr="00746ACE" w:rsidRDefault="00FB16A4" w:rsidP="00FB16A4">
      <w:pPr>
        <w:widowControl w:val="0"/>
        <w:shd w:val="clear" w:color="auto" w:fill="FFFFFF"/>
        <w:ind w:right="49"/>
        <w:textAlignment w:val="baseline"/>
        <w:rPr>
          <w:lang w:eastAsia="es-MX"/>
        </w:rPr>
      </w:pPr>
    </w:p>
    <w:p w14:paraId="432DA327"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12.</w:t>
      </w:r>
      <w:r w:rsidRPr="00746ACE">
        <w:rPr>
          <w:lang w:eastAsia="es-MX"/>
        </w:rPr>
        <w:tab/>
        <w:t xml:space="preserve">El Instituto para las Transiciones Integrales  solicitó adoptar una decisión que se encamine a “apoyar el rol de la jurisdicción, y a agilizar su trabajo, que es esencial para la construcción de paz en Colombia y el mundo” . En su criterio, la Senit 5 (i) subrogó en la Sala de Definición de Situaciones Jurídicas las funciones de esclarecimiento que legalmente corresponden a la Sala de Reconocimiento, (ii) alteró las competencias de la Unidad de Investigación y Acusación en detrimento de los recursos disponibles para su funcionamiento, (iii) desnaturalizó el incidente de incumplimiento al régimen de condicionalidad y (iv) produjo un trato diferenciado y arbitrario entre los comparecientes no seleccionados. El instituto agregó que la “selección de segundo orden” es una creación de la Sección de Apelación que carece de sustento legal y desconoce las finalidades del sistema de justicia transicional. </w:t>
      </w:r>
    </w:p>
    <w:p w14:paraId="48D8E676" w14:textId="77777777" w:rsidR="00FB16A4" w:rsidRPr="00746ACE" w:rsidRDefault="00FB16A4" w:rsidP="00FB16A4">
      <w:pPr>
        <w:widowControl w:val="0"/>
        <w:shd w:val="clear" w:color="auto" w:fill="FFFFFF"/>
        <w:ind w:right="49"/>
        <w:textAlignment w:val="baseline"/>
        <w:rPr>
          <w:lang w:eastAsia="es-MX"/>
        </w:rPr>
      </w:pPr>
    </w:p>
    <w:p w14:paraId="440E07CC"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Para el interviniente, el modelo de la Jurisdicción Especial para la Paz es suficiente para cumplir con los deberes del Estado en materia de esclarecimiento de la verdad, lucha contra la impunidad y centralidad de las víctimas, sin tener que recurrir a una “selección de segundo orden”. Así, concluyó que la legitimidad de las instancias de justicia transicional también depende, en buena medida, de su capacidad para resolver la incertidumbre jurídica de sus comparecientes dentro del límite temporal dispuesto. </w:t>
      </w:r>
    </w:p>
    <w:p w14:paraId="694DE929" w14:textId="77777777" w:rsidR="00FB16A4" w:rsidRPr="00746ACE" w:rsidRDefault="00FB16A4" w:rsidP="00FB16A4">
      <w:pPr>
        <w:widowControl w:val="0"/>
        <w:shd w:val="clear" w:color="auto" w:fill="FFFFFF"/>
        <w:ind w:right="49"/>
        <w:textAlignment w:val="baseline"/>
        <w:rPr>
          <w:lang w:eastAsia="es-MX"/>
        </w:rPr>
      </w:pPr>
    </w:p>
    <w:p w14:paraId="6CF6B1BE"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13.</w:t>
      </w:r>
      <w:r w:rsidRPr="00746ACE">
        <w:rPr>
          <w:lang w:eastAsia="es-MX"/>
        </w:rPr>
        <w:tab/>
        <w:t>Human Rights Watch  señaló que el Acuerdo Final de Paz contempla un enfoque sancionatorio dual con un componente retributivo (relacionado con la privación de la libertad para el genocidio, los crímenes de lesa humanidad y los crímenes de guerra) y un componente restaurativo (que implica la realización de actividades reparadoras por parte de las personas sancionadas). La organización afirmó que el Acuerdo Final de Paz se ajusta a los estándares internacionales para el juzgamiento de graves violaciones a los derechos humanos. Sin embargo, en su criterio, “el incumplimiento de la aplicación del componente retributivo de la sanción sería incompatible con las obligaciones de Colombia en materia de derechos humanos” .</w:t>
      </w:r>
    </w:p>
    <w:p w14:paraId="5F20996B" w14:textId="2E88BB69" w:rsidR="00FB16A4" w:rsidRPr="00746ACE" w:rsidRDefault="00FB16A4">
      <w:pPr>
        <w:rPr>
          <w:lang w:eastAsia="es-MX"/>
        </w:rPr>
      </w:pPr>
      <w:r w:rsidRPr="00746ACE">
        <w:rPr>
          <w:lang w:eastAsia="es-MX"/>
        </w:rPr>
        <w:br w:type="page"/>
      </w:r>
    </w:p>
    <w:p w14:paraId="00AA8A99" w14:textId="77777777" w:rsidR="00FB16A4" w:rsidRPr="00746ACE" w:rsidRDefault="00FB16A4" w:rsidP="00FB16A4">
      <w:pPr>
        <w:widowControl w:val="0"/>
        <w:shd w:val="clear" w:color="auto" w:fill="FFFFFF"/>
        <w:ind w:right="49"/>
        <w:jc w:val="center"/>
        <w:textAlignment w:val="baseline"/>
        <w:rPr>
          <w:b/>
          <w:bCs/>
          <w:lang w:eastAsia="es-MX"/>
        </w:rPr>
      </w:pPr>
      <w:r w:rsidRPr="00746ACE">
        <w:rPr>
          <w:b/>
          <w:bCs/>
          <w:lang w:eastAsia="es-MX"/>
        </w:rPr>
        <w:t>Anexo 2:</w:t>
      </w:r>
    </w:p>
    <w:p w14:paraId="619A5863" w14:textId="77777777" w:rsidR="00FB16A4" w:rsidRPr="00746ACE" w:rsidRDefault="00FB16A4" w:rsidP="00FB16A4">
      <w:pPr>
        <w:widowControl w:val="0"/>
        <w:shd w:val="clear" w:color="auto" w:fill="FFFFFF"/>
        <w:ind w:right="49"/>
        <w:jc w:val="center"/>
        <w:textAlignment w:val="baseline"/>
        <w:rPr>
          <w:b/>
          <w:bCs/>
          <w:lang w:eastAsia="es-MX"/>
        </w:rPr>
      </w:pPr>
    </w:p>
    <w:p w14:paraId="2993B233"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Concepto del Ministerio Público</w:t>
      </w:r>
    </w:p>
    <w:p w14:paraId="22282539" w14:textId="77777777" w:rsidR="00FB16A4" w:rsidRPr="00746ACE" w:rsidRDefault="00FB16A4" w:rsidP="00FB16A4">
      <w:pPr>
        <w:widowControl w:val="0"/>
        <w:shd w:val="clear" w:color="auto" w:fill="FFFFFF"/>
        <w:ind w:right="49"/>
        <w:textAlignment w:val="baseline"/>
        <w:rPr>
          <w:lang w:eastAsia="es-MX"/>
        </w:rPr>
      </w:pPr>
    </w:p>
    <w:p w14:paraId="7928C0C0"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En ejercicio de la función constitucional de presentar concepto sobre la constitucionalidad de las normas demandadas, prevista en el artículo 278.5 de la Constitución Política, la Procuraduría General de la Nación solicitó declarar la inexequibilidad de las “reglas de interpretación” que se derivan de la Senit 5. </w:t>
      </w:r>
    </w:p>
    <w:p w14:paraId="2B77816C" w14:textId="77777777" w:rsidR="00FB16A4" w:rsidRPr="00746ACE" w:rsidRDefault="00FB16A4" w:rsidP="00FB16A4">
      <w:pPr>
        <w:widowControl w:val="0"/>
        <w:shd w:val="clear" w:color="auto" w:fill="FFFFFF"/>
        <w:ind w:right="49"/>
        <w:textAlignment w:val="baseline"/>
        <w:rPr>
          <w:lang w:eastAsia="es-MX"/>
        </w:rPr>
      </w:pPr>
    </w:p>
    <w:p w14:paraId="22ACCB40"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El procurador señaló que la demanda cuestiona la aproximación hermenéutica de la Sección de Apelación, según la cual la Sala de Definición de Situaciones Jurídicas sería competente para emplear una “selección de segundo orden” sobre los comparecientes no seleccionados por la Sala de Reconocimiento. En ese sentido, la Sala de Definición de Situaciones Jurídicas podría remitir a la Unidad de Investigación y Acusación a los comparecientes que hicieron aportes insuficientes a la verdad o que no reconocieron responsabilidad, de haber mérito para ello. </w:t>
      </w:r>
    </w:p>
    <w:p w14:paraId="59FE26DF" w14:textId="77777777" w:rsidR="00FB16A4" w:rsidRPr="00746ACE" w:rsidRDefault="00FB16A4" w:rsidP="00FB16A4">
      <w:pPr>
        <w:widowControl w:val="0"/>
        <w:shd w:val="clear" w:color="auto" w:fill="FFFFFF"/>
        <w:ind w:right="49"/>
        <w:textAlignment w:val="baseline"/>
        <w:rPr>
          <w:lang w:eastAsia="es-MX"/>
        </w:rPr>
      </w:pPr>
    </w:p>
    <w:p w14:paraId="062623F0"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Posteriormente, el procurador aclaró que abordó en conjunto todos los cargos. Bajo ese esquema, él determinó que las “reglas de interpretación” contenidas en la Senit 5 desconocen los artículos 6, 29, 121, 123.2; y 1, 5 y 66 transitorios de la Constitución Política, al haberle conferido una facultad de “selección de segundo orden” a la Sala de Definición de Situaciones Jurídicas para impulsar juicios adversariales contra partícipes no determinantes, en detrimento de los principios de legalidad, debido proceso e igualdad. Como sustento, la Procuraduría expuso los siguientes argumentos. </w:t>
      </w:r>
    </w:p>
    <w:p w14:paraId="003D6963" w14:textId="77777777" w:rsidR="00FB16A4" w:rsidRPr="00746ACE" w:rsidRDefault="00FB16A4" w:rsidP="00FB16A4">
      <w:pPr>
        <w:widowControl w:val="0"/>
        <w:shd w:val="clear" w:color="auto" w:fill="FFFFFF"/>
        <w:ind w:right="49"/>
        <w:textAlignment w:val="baseline"/>
        <w:rPr>
          <w:lang w:eastAsia="es-MX"/>
        </w:rPr>
      </w:pPr>
    </w:p>
    <w:p w14:paraId="4F009B1C"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En primer lugar, la Sección de Apelación otorgó una competencia a la Sala de Definición de Situaciones Jurídicas que carece de fundamento legal y creó un régimen procedimental para los comparecientes que no realizaron aportes suficientes a la verdad, lo que a su vez podría conducir a la imposición de sanciones desproporcionadas. Si bien la Sección de Apelación es competente para proferir sentencias interpretativas que precisen el sentido de las normas en el marco de la justicia transicional, que definan criterios de integración normativa o que unifiquen la jurisprudencia, lo cierto es que también debe sujetarse a los límites de la legalidad, el debido proceso y el precedente constitucional.</w:t>
      </w:r>
    </w:p>
    <w:p w14:paraId="654B5817" w14:textId="77777777" w:rsidR="00FB16A4" w:rsidRPr="00746ACE" w:rsidRDefault="00FB16A4" w:rsidP="00FB16A4">
      <w:pPr>
        <w:widowControl w:val="0"/>
        <w:shd w:val="clear" w:color="auto" w:fill="FFFFFF"/>
        <w:ind w:right="49"/>
        <w:textAlignment w:val="baseline"/>
        <w:rPr>
          <w:lang w:eastAsia="es-MX"/>
        </w:rPr>
      </w:pPr>
    </w:p>
    <w:p w14:paraId="167F4732"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En segundo lugar, la Senit 5 es manifiestamente contraria al marco jurídico para la paz y desborda el alcance de la autonomía e independencia judicial. El procurador insistió en que la “selección global” de los comparecientes corresponde, primariamente, a la Sala de Reconocimiento, quien concentra la imperiosa función de definir patrones macrocriminales, esclarecer los hechos más graves y representativos e identificar a los máximos responsables. Por su parte, la Sala de Definición de Situaciones Jurídicas recibe a los comparecientes no seleccionados para la aplicación de tratamientos alternativos, mientras que la Unidad de Investigación y Acusación se ocupa de los comparecientes seleccionados que no realizaron aportes a la verdad o que discrepan su selección.</w:t>
      </w:r>
    </w:p>
    <w:p w14:paraId="2BDAFEAA" w14:textId="77777777" w:rsidR="00FB16A4" w:rsidRPr="00746ACE" w:rsidRDefault="00FB16A4" w:rsidP="00FB16A4">
      <w:pPr>
        <w:widowControl w:val="0"/>
        <w:shd w:val="clear" w:color="auto" w:fill="FFFFFF"/>
        <w:ind w:right="49"/>
        <w:textAlignment w:val="baseline"/>
        <w:rPr>
          <w:lang w:eastAsia="es-MX"/>
        </w:rPr>
      </w:pPr>
    </w:p>
    <w:p w14:paraId="0B688DC3"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En tercer lugar, la Senit 5: (i) creó una categoría dogmática de responsabilidad que carece de fundamento legal (a saber, “los partícipes no determinantes que hicieron aportes insuficientes a la verdad y que no reconocieron responsabilidad) y (ii) pasó por alto que los criterios de selección fueron previamente establecidos en el artículo 19 de la Ley Estatutaria 1957 de 2019. Al respecto, para el procurador, la categoría de “los partícipes no determinantes que hicieron aportes insuficientes a la verdad y que no reconocieron responsabilidad” no existe en la ley, sumado a que los posibles destinatarios de su aplicación no pudieron conocer previamente su alcance ni sus elementos constitutivos.</w:t>
      </w:r>
    </w:p>
    <w:p w14:paraId="451328B0" w14:textId="77777777" w:rsidR="00FB16A4" w:rsidRPr="00746ACE" w:rsidRDefault="00FB16A4" w:rsidP="00FB16A4">
      <w:pPr>
        <w:widowControl w:val="0"/>
        <w:shd w:val="clear" w:color="auto" w:fill="FFFFFF"/>
        <w:ind w:right="49"/>
        <w:textAlignment w:val="baseline"/>
        <w:rPr>
          <w:lang w:eastAsia="es-MX"/>
        </w:rPr>
      </w:pPr>
    </w:p>
    <w:p w14:paraId="0B0CC048"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En cuarto lugar, la Senit 5 no reparó en la inexistencia de oportunidades procesales para que los partícipes no determinantes o los sujetos en el “grado intermedio” efectúen reconocimientos de responsabilidad, antes de exponerlos a un juicio adversarial por esa misma circunstancia. La ley prevé que la Sala de Reconocimiento, después de recibir los informes de víctimas y otras instituciones, debe convocar a quienes considera máximos responsables al reconocimiento de verdad y responsabilidad (artículo 79 de la Ley Estatutaria 1957 de 2019). Por lo tanto, no existe una etapa procesal para que los partícipes no determinantes efectúen tales reconocimientos, o, en sentido contrario, solo después de la selección se habilitan estos espacios. En consecuencia, se desconoce el debido proceso de los sujetos en el “grado intermedio de responsabilidad” porque, tras no ser seleccionados por la Sala de Reconocimiento, deberían recibir tratamientos alternativos por parte de la Sala de Definición de Situaciones Jurídicas, otorgamiento de beneficios transitorios y vigilancia del régimen de condicionalidad. </w:t>
      </w:r>
    </w:p>
    <w:p w14:paraId="0339438E" w14:textId="77777777" w:rsidR="00FB16A4" w:rsidRPr="00746ACE" w:rsidRDefault="00FB16A4" w:rsidP="00FB16A4">
      <w:pPr>
        <w:widowControl w:val="0"/>
        <w:shd w:val="clear" w:color="auto" w:fill="FFFFFF"/>
        <w:ind w:right="49"/>
        <w:textAlignment w:val="baseline"/>
        <w:rPr>
          <w:lang w:eastAsia="es-MX"/>
        </w:rPr>
      </w:pPr>
    </w:p>
    <w:p w14:paraId="46E1574E" w14:textId="77777777" w:rsidR="00FB16A4" w:rsidRPr="00746ACE" w:rsidRDefault="00FB16A4" w:rsidP="00FB16A4">
      <w:pPr>
        <w:widowControl w:val="0"/>
        <w:shd w:val="clear" w:color="auto" w:fill="FFFFFF"/>
        <w:ind w:right="49"/>
        <w:textAlignment w:val="baseline"/>
        <w:rPr>
          <w:lang w:eastAsia="es-MX"/>
        </w:rPr>
      </w:pPr>
      <w:r w:rsidRPr="00746ACE">
        <w:rPr>
          <w:lang w:eastAsia="es-MX"/>
        </w:rPr>
        <w:t xml:space="preserve">Finalmente, en cuanto al principio de igualdad, la Procuraduría propuso los siguientes términos de comparación. Por un lado, los máximos responsables seleccionados por la Sala de Reconocimiento. Por el otro, los partícipes no determinantes que fueron descartados por la Sala de Reconocimiento, pero convocados por la Sala de Definición de Situaciones Jurídicas y con aportes insuficientes de verdad. A partir de un test de intensidad estricta, la autoridad concluyó que la “selección de segundo orden” persigue un fin constitucionalmente legítimo, consistente en maximizar los derechos de las víctimas y evitar la impunidad. Sin embargo, en su concepto, no es una medida necesaria porque existen otros medios para cumplir ese propósito, sumado a que la justicia transicional no puede funcionar bajo un juzgamiento del caso a caso. </w:t>
      </w:r>
    </w:p>
    <w:p w14:paraId="58DE13BB" w14:textId="77777777" w:rsidR="00821F09" w:rsidRPr="00746ACE" w:rsidRDefault="00746ACE" w:rsidP="00821F09">
      <w:pPr>
        <w:jc w:val="center"/>
        <w:rPr>
          <w:rFonts w:eastAsia="Times New Roman"/>
          <w:b/>
          <w:lang w:eastAsia="es-ES"/>
        </w:rPr>
      </w:pPr>
      <w:r w:rsidRPr="00746ACE">
        <w:rPr>
          <w:rFonts w:eastAsia="Times New Roman"/>
          <w:b/>
          <w:lang w:eastAsia="es-ES"/>
        </w:rPr>
        <w:t xml:space="preserve">ACLARACIÓN DE VOTO DEL MAGISTRADO </w:t>
      </w:r>
    </w:p>
    <w:p w14:paraId="098D2EDE" w14:textId="77777777" w:rsidR="00D83295" w:rsidRPr="00746ACE" w:rsidRDefault="00746ACE" w:rsidP="00821F09">
      <w:pPr>
        <w:jc w:val="center"/>
        <w:rPr>
          <w:rFonts w:eastAsia="Times New Roman"/>
          <w:b/>
          <w:lang w:eastAsia="es-ES"/>
        </w:rPr>
      </w:pPr>
      <w:r w:rsidRPr="00746ACE">
        <w:rPr>
          <w:rFonts w:eastAsia="Times New Roman"/>
          <w:b/>
          <w:lang w:eastAsia="es-ES"/>
        </w:rPr>
        <w:t xml:space="preserve">MIGUEL POLO ROSERO </w:t>
      </w:r>
    </w:p>
    <w:p w14:paraId="5AA7CA25" w14:textId="570B5630" w:rsidR="00821F09" w:rsidRPr="00746ACE" w:rsidRDefault="00746ACE" w:rsidP="00821F09">
      <w:pPr>
        <w:jc w:val="center"/>
        <w:rPr>
          <w:rFonts w:eastAsia="Times New Roman"/>
          <w:b/>
          <w:lang w:eastAsia="es-ES"/>
        </w:rPr>
      </w:pPr>
      <w:r w:rsidRPr="00746ACE">
        <w:rPr>
          <w:rFonts w:eastAsia="Times New Roman"/>
          <w:b/>
          <w:lang w:eastAsia="es-ES"/>
        </w:rPr>
        <w:t xml:space="preserve">A LA SENTENCIA </w:t>
      </w:r>
      <w:r w:rsidRPr="00746ACE">
        <w:rPr>
          <w:rFonts w:eastAsia="Times New Roman"/>
          <w:b/>
          <w:lang w:eastAsia="es-ES"/>
        </w:rPr>
        <w:t>C-0</w:t>
      </w:r>
      <w:r w:rsidRPr="00746ACE">
        <w:rPr>
          <w:rFonts w:eastAsia="Times New Roman"/>
          <w:b/>
          <w:lang w:eastAsia="es-ES"/>
        </w:rPr>
        <w:t>73</w:t>
      </w:r>
      <w:r w:rsidRPr="00746ACE">
        <w:rPr>
          <w:rFonts w:eastAsia="Times New Roman"/>
          <w:b/>
          <w:lang w:eastAsia="es-ES"/>
        </w:rPr>
        <w:t>/</w:t>
      </w:r>
      <w:r w:rsidRPr="00746ACE">
        <w:rPr>
          <w:rFonts w:eastAsia="Times New Roman"/>
          <w:b/>
          <w:lang w:eastAsia="es-ES"/>
        </w:rPr>
        <w:t>26</w:t>
      </w:r>
      <w:r w:rsidRPr="00746ACE">
        <w:rPr>
          <w:rFonts w:eastAsia="Times New Roman"/>
          <w:b/>
          <w:lang w:eastAsia="es-ES"/>
        </w:rPr>
        <w:t xml:space="preserve"> </w:t>
      </w:r>
    </w:p>
    <w:p w14:paraId="4FCCC7C5" w14:textId="77777777" w:rsidR="00D83295" w:rsidRPr="00746ACE" w:rsidRDefault="00746ACE" w:rsidP="00821F09">
      <w:pPr>
        <w:jc w:val="center"/>
        <w:rPr>
          <w:rFonts w:eastAsia="Times New Roman"/>
          <w:b/>
          <w:lang w:eastAsia="es-ES"/>
        </w:rPr>
      </w:pPr>
    </w:p>
    <w:p w14:paraId="7202C5C7" w14:textId="77777777" w:rsidR="00821F09" w:rsidRPr="00746ACE" w:rsidRDefault="00746ACE" w:rsidP="00821F09">
      <w:pPr>
        <w:jc w:val="center"/>
        <w:rPr>
          <w:rFonts w:eastAsia="Times New Roman"/>
          <w:b/>
          <w:lang w:eastAsia="es-ES"/>
        </w:rPr>
      </w:pPr>
    </w:p>
    <w:p w14:paraId="6F6A6969" w14:textId="0DD7699C" w:rsidR="00821F09" w:rsidRPr="00746ACE" w:rsidRDefault="00746ACE" w:rsidP="002F50C5">
      <w:pPr>
        <w:ind w:left="4253"/>
        <w:rPr>
          <w:rFonts w:eastAsia="Times New Roman"/>
          <w:color w:val="000000"/>
          <w:lang w:eastAsia="es-CO"/>
        </w:rPr>
      </w:pPr>
      <w:r w:rsidRPr="00746ACE">
        <w:rPr>
          <w:rFonts w:eastAsia="Times New Roman"/>
          <w:color w:val="000000"/>
          <w:lang w:eastAsia="es-CO"/>
        </w:rPr>
        <w:t>Referencia: D-16.</w:t>
      </w:r>
      <w:r w:rsidRPr="00746ACE">
        <w:rPr>
          <w:rFonts w:eastAsia="Times New Roman"/>
          <w:color w:val="000000"/>
          <w:lang w:eastAsia="es-CO"/>
        </w:rPr>
        <w:t>414</w:t>
      </w:r>
    </w:p>
    <w:p w14:paraId="605AE6BD" w14:textId="77777777" w:rsidR="00821F09" w:rsidRPr="00746ACE" w:rsidRDefault="00746ACE" w:rsidP="002F50C5">
      <w:pPr>
        <w:ind w:left="4253"/>
        <w:rPr>
          <w:rFonts w:eastAsia="Times New Roman"/>
          <w:color w:val="000000"/>
          <w:lang w:eastAsia="es-CO"/>
        </w:rPr>
      </w:pPr>
    </w:p>
    <w:p w14:paraId="1A52DBC5" w14:textId="468C621C" w:rsidR="00821F09" w:rsidRPr="00746ACE" w:rsidRDefault="00746ACE" w:rsidP="002F50C5">
      <w:pPr>
        <w:ind w:left="4253"/>
        <w:rPr>
          <w:rFonts w:eastAsia="Times New Roman"/>
          <w:color w:val="000000"/>
          <w:lang w:eastAsia="es-CO"/>
        </w:rPr>
      </w:pPr>
      <w:r w:rsidRPr="00746ACE">
        <w:rPr>
          <w:rFonts w:eastAsia="Times New Roman"/>
          <w:color w:val="000000"/>
          <w:lang w:eastAsia="es-CO"/>
        </w:rPr>
        <w:t xml:space="preserve">Asunto: </w:t>
      </w:r>
      <w:r w:rsidRPr="00746ACE">
        <w:rPr>
          <w:rFonts w:eastAsia="Times New Roman"/>
          <w:color w:val="000000"/>
          <w:lang w:eastAsia="es-CO"/>
        </w:rPr>
        <w:t xml:space="preserve">Demanda de inconstitucionalidad contra la </w:t>
      </w:r>
      <w:r w:rsidRPr="00746ACE">
        <w:rPr>
          <w:rFonts w:eastAsia="Times New Roman"/>
          <w:color w:val="000000"/>
          <w:lang w:eastAsia="es-CO"/>
        </w:rPr>
        <w:t>s</w:t>
      </w:r>
      <w:r w:rsidRPr="00746ACE">
        <w:rPr>
          <w:rFonts w:eastAsia="Times New Roman"/>
          <w:color w:val="000000"/>
          <w:lang w:eastAsia="es-CO"/>
        </w:rPr>
        <w:t xml:space="preserve">entencia </w:t>
      </w:r>
      <w:r w:rsidRPr="00746ACE">
        <w:rPr>
          <w:rFonts w:eastAsia="Times New Roman"/>
          <w:color w:val="000000"/>
          <w:lang w:eastAsia="es-CO"/>
        </w:rPr>
        <w:t>i</w:t>
      </w:r>
      <w:r w:rsidRPr="00746ACE">
        <w:rPr>
          <w:rFonts w:eastAsia="Times New Roman"/>
          <w:color w:val="000000"/>
          <w:lang w:eastAsia="es-CO"/>
        </w:rPr>
        <w:t>nterpretativa 5 de 2023 de la Sección de Apelación del Tribunal para la Paz</w:t>
      </w:r>
      <w:r w:rsidRPr="00746ACE">
        <w:rPr>
          <w:rFonts w:eastAsia="Times New Roman"/>
          <w:color w:val="000000"/>
          <w:lang w:eastAsia="es-CO"/>
        </w:rPr>
        <w:t xml:space="preserve"> (SENIT 5)</w:t>
      </w:r>
    </w:p>
    <w:p w14:paraId="77C5D8C0" w14:textId="77777777" w:rsidR="00821F09" w:rsidRPr="00746ACE" w:rsidRDefault="00746ACE" w:rsidP="002F50C5">
      <w:pPr>
        <w:ind w:left="4253"/>
        <w:rPr>
          <w:rFonts w:eastAsia="Times New Roman"/>
          <w:color w:val="000000"/>
          <w:lang w:eastAsia="es-CO"/>
        </w:rPr>
      </w:pPr>
    </w:p>
    <w:p w14:paraId="7C1922D3" w14:textId="77777777" w:rsidR="00821F09" w:rsidRPr="00746ACE" w:rsidRDefault="00746ACE" w:rsidP="002F50C5">
      <w:pPr>
        <w:ind w:left="4253"/>
        <w:rPr>
          <w:rFonts w:eastAsia="Times New Roman"/>
          <w:color w:val="000000"/>
          <w:lang w:eastAsia="es-CO"/>
        </w:rPr>
      </w:pPr>
      <w:r w:rsidRPr="00746ACE">
        <w:rPr>
          <w:rFonts w:eastAsia="Times New Roman"/>
          <w:color w:val="000000"/>
          <w:lang w:eastAsia="es-CO"/>
        </w:rPr>
        <w:t xml:space="preserve">Magistrada ponente: </w:t>
      </w:r>
    </w:p>
    <w:p w14:paraId="6B59FA33" w14:textId="0FF2A780" w:rsidR="00821F09" w:rsidRPr="00746ACE" w:rsidRDefault="00746ACE" w:rsidP="002F50C5">
      <w:pPr>
        <w:ind w:left="4253"/>
        <w:rPr>
          <w:rFonts w:eastAsia="Times New Roman"/>
          <w:color w:val="000000"/>
          <w:lang w:eastAsia="es-CO"/>
        </w:rPr>
      </w:pPr>
      <w:r w:rsidRPr="00746ACE">
        <w:rPr>
          <w:rFonts w:eastAsia="Times New Roman"/>
          <w:color w:val="000000"/>
          <w:lang w:eastAsia="es-CO"/>
        </w:rPr>
        <w:t>Natalia Ángel Cabo</w:t>
      </w:r>
    </w:p>
    <w:p w14:paraId="75E078F9" w14:textId="77777777" w:rsidR="00821F09" w:rsidRPr="00746ACE" w:rsidRDefault="00746ACE" w:rsidP="00821F09">
      <w:pPr>
        <w:rPr>
          <w:rFonts w:eastAsia="Times New Roman"/>
          <w:bCs/>
          <w:lang w:eastAsia="es-ES"/>
        </w:rPr>
      </w:pPr>
    </w:p>
    <w:p w14:paraId="129BF179" w14:textId="77777777" w:rsidR="00D83295" w:rsidRPr="00746ACE" w:rsidRDefault="00746ACE" w:rsidP="00821F09">
      <w:pPr>
        <w:rPr>
          <w:rFonts w:eastAsia="Times New Roman"/>
          <w:bCs/>
          <w:lang w:eastAsia="es-ES"/>
        </w:rPr>
      </w:pPr>
    </w:p>
    <w:p w14:paraId="3F8DF1CD" w14:textId="3BAE2C2C" w:rsidR="00821F09" w:rsidRPr="00746ACE" w:rsidRDefault="00746ACE" w:rsidP="00821F09">
      <w:pPr>
        <w:rPr>
          <w:rFonts w:eastAsia="Times New Roman"/>
          <w:bCs/>
          <w:lang w:eastAsia="es-ES"/>
        </w:rPr>
      </w:pPr>
      <w:r w:rsidRPr="00746ACE">
        <w:rPr>
          <w:rFonts w:eastAsia="Times New Roman"/>
          <w:bCs/>
          <w:lang w:eastAsia="es-ES"/>
        </w:rPr>
        <w:t xml:space="preserve">Con el acostumbrado respeto por las decisiones de la Sala Plena, </w:t>
      </w:r>
      <w:r w:rsidRPr="00746ACE">
        <w:rPr>
          <w:rFonts w:eastAsia="Times New Roman"/>
          <w:bCs/>
          <w:lang w:eastAsia="es-ES"/>
        </w:rPr>
        <w:t xml:space="preserve">me </w:t>
      </w:r>
      <w:r w:rsidRPr="00746ACE">
        <w:rPr>
          <w:rFonts w:eastAsia="Times New Roman"/>
          <w:bCs/>
          <w:lang w:eastAsia="es-ES"/>
        </w:rPr>
        <w:t>permito aclarar mi voto</w:t>
      </w:r>
      <w:r w:rsidRPr="00746ACE">
        <w:rPr>
          <w:rFonts w:eastAsia="Times New Roman"/>
          <w:bCs/>
          <w:lang w:eastAsia="es-ES"/>
        </w:rPr>
        <w:t>,</w:t>
      </w:r>
      <w:r w:rsidRPr="00746ACE">
        <w:rPr>
          <w:rFonts w:eastAsia="Times New Roman"/>
          <w:bCs/>
          <w:lang w:eastAsia="es-ES"/>
        </w:rPr>
        <w:t xml:space="preserve"> con el fin de insistir </w:t>
      </w:r>
      <w:r w:rsidRPr="00746ACE">
        <w:rPr>
          <w:rFonts w:eastAsia="Times New Roman"/>
          <w:bCs/>
          <w:lang w:eastAsia="es-ES"/>
        </w:rPr>
        <w:t xml:space="preserve">en el planteamiento que he presentado anteriormente respecto de la metodología que debe aplicarse </w:t>
      </w:r>
      <w:r w:rsidRPr="00746ACE">
        <w:rPr>
          <w:rFonts w:eastAsia="Times New Roman"/>
          <w:bCs/>
          <w:lang w:eastAsia="es-ES"/>
        </w:rPr>
        <w:t>cuando lo que se demandan son las reglas de interpretación judicial emitidas por el Tribunal para la Paz, de l</w:t>
      </w:r>
      <w:r w:rsidRPr="00746ACE">
        <w:rPr>
          <w:rFonts w:eastAsia="Times New Roman"/>
          <w:bCs/>
          <w:lang w:eastAsia="es-ES"/>
        </w:rPr>
        <w:t>a Jurisdicción Especial para la Paz (JEP). En mi criterio, el objeto de análisis en</w:t>
      </w:r>
      <w:r w:rsidRPr="00746ACE">
        <w:rPr>
          <w:rFonts w:eastAsia="Times New Roman"/>
          <w:bCs/>
          <w:lang w:eastAsia="es-ES"/>
        </w:rPr>
        <w:t xml:space="preserve"> asuntos como el que se </w:t>
      </w:r>
      <w:r w:rsidRPr="00746ACE">
        <w:rPr>
          <w:rFonts w:eastAsia="Times New Roman"/>
          <w:bCs/>
          <w:lang w:eastAsia="es-ES"/>
        </w:rPr>
        <w:t>examin</w:t>
      </w:r>
      <w:r w:rsidRPr="00746ACE">
        <w:rPr>
          <w:rFonts w:eastAsia="Times New Roman"/>
          <w:bCs/>
          <w:lang w:eastAsia="es-ES"/>
        </w:rPr>
        <w:t>ó en esta oportunidad</w:t>
      </w:r>
      <w:r w:rsidRPr="00746ACE">
        <w:rPr>
          <w:rFonts w:eastAsia="Times New Roman"/>
          <w:bCs/>
          <w:lang w:eastAsia="es-ES"/>
        </w:rPr>
        <w:t xml:space="preserve"> imponía a la Corte el deber de diferenciar entre tres posibles escenarios de control, cada uno caracterizado por una meto</w:t>
      </w:r>
      <w:r w:rsidRPr="00746ACE">
        <w:rPr>
          <w:rFonts w:eastAsia="Times New Roman"/>
          <w:bCs/>
          <w:lang w:eastAsia="es-ES"/>
        </w:rPr>
        <w:t xml:space="preserve">dología distinta. </w:t>
      </w:r>
    </w:p>
    <w:p w14:paraId="43821D5D" w14:textId="77777777" w:rsidR="00821F09" w:rsidRPr="00746ACE" w:rsidRDefault="00746ACE" w:rsidP="00821F09">
      <w:pPr>
        <w:rPr>
          <w:rFonts w:eastAsia="Times New Roman"/>
          <w:bCs/>
          <w:lang w:eastAsia="es-ES"/>
        </w:rPr>
      </w:pPr>
    </w:p>
    <w:p w14:paraId="540F8DCD" w14:textId="0FF3A0BD" w:rsidR="00ED740C" w:rsidRPr="00746ACE" w:rsidRDefault="00746ACE" w:rsidP="006622AB">
      <w:pPr>
        <w:pStyle w:val="Prrafodelista"/>
        <w:numPr>
          <w:ilvl w:val="0"/>
          <w:numId w:val="11"/>
        </w:numPr>
        <w:tabs>
          <w:tab w:val="left" w:pos="567"/>
        </w:tabs>
        <w:ind w:left="0" w:firstLine="0"/>
      </w:pPr>
      <w:r w:rsidRPr="00746ACE">
        <w:rPr>
          <w:b/>
          <w:bCs/>
          <w:i/>
          <w:iCs/>
        </w:rPr>
        <w:t>Un primer escenario</w:t>
      </w:r>
      <w:r w:rsidRPr="00746ACE">
        <w:rPr>
          <w:i/>
          <w:iCs/>
        </w:rPr>
        <w:t xml:space="preserve"> </w:t>
      </w:r>
      <w:r w:rsidRPr="00746ACE">
        <w:t xml:space="preserve">corresponde al evento en el que el objeto de control es una </w:t>
      </w:r>
      <w:r w:rsidRPr="00746ACE">
        <w:rPr>
          <w:i/>
          <w:u w:val="single"/>
        </w:rPr>
        <w:t>norma abstracta</w:t>
      </w:r>
      <w:r w:rsidRPr="00746ACE">
        <w:t xml:space="preserve"> </w:t>
      </w:r>
      <w:r w:rsidRPr="00746ACE">
        <w:t>derivada de las labores que cumple el Tribunal para la Paz de</w:t>
      </w:r>
      <w:r w:rsidRPr="00746ACE">
        <w:t xml:space="preserve"> la JEP, para la cual cuenta con competencia</w:t>
      </w:r>
      <w:r w:rsidRPr="00746ACE">
        <w:t xml:space="preserve"> al aclarar vacíos o al definir criterios de integración normativa de la citada jurisdicción</w:t>
      </w:r>
      <w:r w:rsidRPr="00746ACE">
        <w:rPr>
          <w:rStyle w:val="Refdenotaalpie"/>
          <w:szCs w:val="24"/>
        </w:rPr>
        <w:footnoteReference w:id="168"/>
      </w:r>
      <w:r w:rsidRPr="00746ACE">
        <w:t>.</w:t>
      </w:r>
      <w:r w:rsidRPr="00746ACE">
        <w:rPr>
          <w:color w:val="000000" w:themeColor="text1"/>
        </w:rPr>
        <w:t xml:space="preserve"> </w:t>
      </w:r>
      <w:r w:rsidRPr="00746ACE">
        <w:t xml:space="preserve">En este caso, </w:t>
      </w:r>
      <w:r w:rsidRPr="00746ACE">
        <w:t xml:space="preserve">según se advierte de la sentencia C-073 de 2026, </w:t>
      </w:r>
      <w:r w:rsidRPr="00746ACE">
        <w:t xml:space="preserve">la demanda parecía enmarcarse en este supuesto, al </w:t>
      </w:r>
      <w:r w:rsidRPr="00746ACE">
        <w:t>recaer sobre</w:t>
      </w:r>
      <w:r w:rsidRPr="00746ACE">
        <w:t xml:space="preserve"> los conceptos de “</w:t>
      </w:r>
      <w:r w:rsidRPr="00746ACE">
        <w:rPr>
          <w:i/>
          <w:iCs/>
        </w:rPr>
        <w:t>selección de seg</w:t>
      </w:r>
      <w:r w:rsidRPr="00746ACE">
        <w:rPr>
          <w:i/>
          <w:iCs/>
        </w:rPr>
        <w:t>undo orden</w:t>
      </w:r>
      <w:r w:rsidRPr="00746ACE">
        <w:t>”</w:t>
      </w:r>
      <w:r w:rsidRPr="00746ACE">
        <w:t>,</w:t>
      </w:r>
      <w:r w:rsidRPr="00746ACE">
        <w:t xml:space="preserve"> “</w:t>
      </w:r>
      <w:r w:rsidRPr="00746ACE">
        <w:rPr>
          <w:i/>
          <w:iCs/>
        </w:rPr>
        <w:t>responsabilidad cercana a la máxima</w:t>
      </w:r>
      <w:r w:rsidRPr="00746ACE">
        <w:t>”</w:t>
      </w:r>
      <w:r w:rsidRPr="00746ACE">
        <w:t xml:space="preserve"> o “</w:t>
      </w:r>
      <w:r w:rsidRPr="00746ACE">
        <w:rPr>
          <w:i/>
          <w:iCs/>
        </w:rPr>
        <w:t>punto medio de responsabilidad</w:t>
      </w:r>
      <w:r w:rsidRPr="00746ACE">
        <w:t>”</w:t>
      </w:r>
      <w:r w:rsidRPr="00746ACE">
        <w:t xml:space="preserve">, como categorías autónomas </w:t>
      </w:r>
      <w:r w:rsidRPr="00746ACE">
        <w:t xml:space="preserve">y adicionales a las ya existentes en el Acuerdo Final de Paz </w:t>
      </w:r>
      <w:r w:rsidRPr="00746ACE">
        <w:t xml:space="preserve">(AF) </w:t>
      </w:r>
      <w:r w:rsidRPr="00746ACE">
        <w:t>y las normas de implementación, de las que se desprendían</w:t>
      </w:r>
      <w:r w:rsidRPr="00746ACE">
        <w:t>,</w:t>
      </w:r>
      <w:r w:rsidRPr="00746ACE">
        <w:t xml:space="preserve"> a su vez</w:t>
      </w:r>
      <w:r w:rsidRPr="00746ACE">
        <w:t>,</w:t>
      </w:r>
      <w:r w:rsidRPr="00746ACE">
        <w:t xml:space="preserve"> consecue</w:t>
      </w:r>
      <w:r w:rsidRPr="00746ACE">
        <w:t>ncias jurídicas particulares</w:t>
      </w:r>
      <w:r w:rsidRPr="00746ACE">
        <w:t xml:space="preserve">. </w:t>
      </w:r>
    </w:p>
    <w:p w14:paraId="73BFE1DD" w14:textId="77777777" w:rsidR="00ED740C" w:rsidRPr="00746ACE" w:rsidRDefault="00746ACE" w:rsidP="00ED740C">
      <w:pPr>
        <w:pStyle w:val="Prrafodelista"/>
      </w:pPr>
    </w:p>
    <w:p w14:paraId="71AD5518" w14:textId="2353772C" w:rsidR="00821F09" w:rsidRPr="00746ACE" w:rsidRDefault="00746ACE" w:rsidP="006622AB">
      <w:pPr>
        <w:pStyle w:val="Prrafodelista"/>
        <w:numPr>
          <w:ilvl w:val="0"/>
          <w:numId w:val="11"/>
        </w:numPr>
        <w:tabs>
          <w:tab w:val="left" w:pos="567"/>
        </w:tabs>
        <w:ind w:left="0" w:firstLine="0"/>
      </w:pPr>
      <w:r w:rsidRPr="00746ACE">
        <w:t>Ante estos supuestos, como precis</w:t>
      </w:r>
      <w:r w:rsidRPr="00746ACE">
        <w:t>o</w:t>
      </w:r>
      <w:r w:rsidRPr="00746ACE">
        <w:t xml:space="preserve"> más adelante, lo que corresponde es aplicar la metodología del control abstracto de constitucionalidad, </w:t>
      </w:r>
      <w:r w:rsidRPr="00746ACE">
        <w:rPr>
          <w:i/>
          <w:iCs/>
        </w:rPr>
        <w:t>como si</w:t>
      </w:r>
      <w:r w:rsidRPr="00746ACE">
        <w:t xml:space="preserve"> se tratara de una norma abstracta prevista en la ley, con las particularidade</w:t>
      </w:r>
      <w:r w:rsidRPr="00746ACE">
        <w:t>s propias de su origen, en los términos del artículo 241.4 de la Constitución.</w:t>
      </w:r>
    </w:p>
    <w:p w14:paraId="21A67188" w14:textId="77777777" w:rsidR="00821F09" w:rsidRPr="00746ACE" w:rsidRDefault="00746ACE" w:rsidP="00821F09">
      <w:pPr>
        <w:tabs>
          <w:tab w:val="left" w:pos="567"/>
        </w:tabs>
      </w:pPr>
    </w:p>
    <w:p w14:paraId="51CE4244" w14:textId="707DC81C" w:rsidR="00ED740C" w:rsidRPr="00746ACE" w:rsidRDefault="00746ACE" w:rsidP="00821F09">
      <w:pPr>
        <w:pStyle w:val="Prrafodelista"/>
        <w:numPr>
          <w:ilvl w:val="0"/>
          <w:numId w:val="11"/>
        </w:numPr>
        <w:tabs>
          <w:tab w:val="left" w:pos="567"/>
        </w:tabs>
        <w:ind w:left="0" w:firstLine="0"/>
      </w:pPr>
      <w:r w:rsidRPr="00746ACE">
        <w:rPr>
          <w:b/>
          <w:bCs/>
          <w:i/>
          <w:iCs/>
        </w:rPr>
        <w:t>Un segundo escenario</w:t>
      </w:r>
      <w:r w:rsidRPr="00746ACE">
        <w:rPr>
          <w:i/>
          <w:iCs/>
        </w:rPr>
        <w:t xml:space="preserve"> </w:t>
      </w:r>
      <w:r w:rsidRPr="00746ACE">
        <w:t xml:space="preserve">se relaciona con el alcance </w:t>
      </w:r>
      <w:r w:rsidRPr="00746ACE">
        <w:rPr>
          <w:i/>
          <w:u w:val="single"/>
        </w:rPr>
        <w:t>interpretativo abstracto</w:t>
      </w:r>
      <w:r w:rsidRPr="00746ACE">
        <w:t xml:space="preserve"> que la JEP les otorga a las reglas de que trata el </w:t>
      </w:r>
      <w:r w:rsidRPr="00746ACE">
        <w:rPr>
          <w:iCs/>
        </w:rPr>
        <w:t xml:space="preserve">escenario </w:t>
      </w:r>
      <w:r w:rsidRPr="00746ACE">
        <w:rPr>
          <w:iCs/>
        </w:rPr>
        <w:t>anterior</w:t>
      </w:r>
      <w:r w:rsidRPr="00746ACE">
        <w:rPr>
          <w:iCs/>
        </w:rPr>
        <w:t xml:space="preserve">, esto es, aquellas normas generales </w:t>
      </w:r>
      <w:r w:rsidRPr="00746ACE">
        <w:rPr>
          <w:iCs/>
        </w:rPr>
        <w:t>emanadas de las labores de</w:t>
      </w:r>
      <w:r w:rsidRPr="00746ACE">
        <w:rPr>
          <w:iCs/>
        </w:rPr>
        <w:t xml:space="preserve"> la JEP</w:t>
      </w:r>
      <w:r w:rsidRPr="00746ACE">
        <w:rPr>
          <w:iCs/>
        </w:rPr>
        <w:t xml:space="preserve">, o por aclarar el sentido </w:t>
      </w:r>
      <w:r w:rsidRPr="00746ACE">
        <w:rPr>
          <w:iCs/>
        </w:rPr>
        <w:t>y fijar el</w:t>
      </w:r>
      <w:r w:rsidRPr="00746ACE">
        <w:rPr>
          <w:iCs/>
        </w:rPr>
        <w:t xml:space="preserve"> alcance de normas preexistentes que regulan el régimen de transición. </w:t>
      </w:r>
      <w:r w:rsidRPr="00746ACE">
        <w:t xml:space="preserve">Aunque esta fue la metodología </w:t>
      </w:r>
      <w:r w:rsidRPr="00746ACE">
        <w:t>utilizada</w:t>
      </w:r>
      <w:r w:rsidRPr="00746ACE">
        <w:t xml:space="preserve"> por la Sala Plena </w:t>
      </w:r>
      <w:r w:rsidRPr="00746ACE">
        <w:t>en la sentencia C-0</w:t>
      </w:r>
      <w:r w:rsidRPr="00746ACE">
        <w:t xml:space="preserve">73 de 2026, </w:t>
      </w:r>
      <w:r w:rsidRPr="00746ACE">
        <w:t xml:space="preserve">no era la adecuada para resolver el </w:t>
      </w:r>
      <w:r w:rsidRPr="00746ACE">
        <w:t xml:space="preserve">caso concreto, pues no se trata de una interpretación jurisprudencial </w:t>
      </w:r>
      <w:r w:rsidRPr="00746ACE">
        <w:t xml:space="preserve">que se distancia de un </w:t>
      </w:r>
      <w:r w:rsidRPr="00746ACE">
        <w:t>contenido normativo previamente identificado</w:t>
      </w:r>
      <w:r w:rsidRPr="00746ACE">
        <w:t>.</w:t>
      </w:r>
      <w:r w:rsidRPr="00746ACE">
        <w:t xml:space="preserve"> </w:t>
      </w:r>
    </w:p>
    <w:p w14:paraId="70D10C42" w14:textId="77777777" w:rsidR="00ED740C" w:rsidRPr="00746ACE" w:rsidRDefault="00746ACE" w:rsidP="00ED740C">
      <w:pPr>
        <w:pStyle w:val="Prrafodelista"/>
      </w:pPr>
    </w:p>
    <w:p w14:paraId="157C35C9" w14:textId="31F22831" w:rsidR="004E60C1" w:rsidRPr="00746ACE" w:rsidRDefault="00746ACE" w:rsidP="00821F09">
      <w:pPr>
        <w:pStyle w:val="Prrafodelista"/>
        <w:numPr>
          <w:ilvl w:val="0"/>
          <w:numId w:val="11"/>
        </w:numPr>
        <w:tabs>
          <w:tab w:val="left" w:pos="567"/>
        </w:tabs>
        <w:ind w:left="0" w:firstLine="0"/>
      </w:pPr>
      <w:r w:rsidRPr="00746ACE">
        <w:t xml:space="preserve">En relación con este tipo de asuntos, </w:t>
      </w:r>
      <w:r w:rsidRPr="00746ACE">
        <w:t>es relevante recordar la dist</w:t>
      </w:r>
      <w:r w:rsidRPr="00746ACE">
        <w:t xml:space="preserve">inción </w:t>
      </w:r>
      <w:r w:rsidRPr="00746ACE">
        <w:t xml:space="preserve">entre </w:t>
      </w:r>
      <w:r w:rsidRPr="00746ACE">
        <w:rPr>
          <w:bCs/>
          <w:i/>
          <w:iCs/>
          <w:color w:val="000000" w:themeColor="text1"/>
        </w:rPr>
        <w:t xml:space="preserve">disposición </w:t>
      </w:r>
      <w:r w:rsidRPr="00746ACE">
        <w:rPr>
          <w:bCs/>
          <w:color w:val="000000" w:themeColor="text1"/>
        </w:rPr>
        <w:t xml:space="preserve">y </w:t>
      </w:r>
      <w:r w:rsidRPr="00746ACE">
        <w:rPr>
          <w:bCs/>
          <w:i/>
          <w:iCs/>
          <w:color w:val="000000" w:themeColor="text1"/>
        </w:rPr>
        <w:t>norma</w:t>
      </w:r>
      <w:r w:rsidRPr="00746ACE">
        <w:rPr>
          <w:bCs/>
          <w:color w:val="000000" w:themeColor="text1"/>
        </w:rPr>
        <w:t xml:space="preserve">, </w:t>
      </w:r>
      <w:r w:rsidRPr="00746ACE">
        <w:rPr>
          <w:bCs/>
          <w:color w:val="000000" w:themeColor="text1"/>
        </w:rPr>
        <w:t xml:space="preserve">siendo la primera la referida al texto proferido por el </w:t>
      </w:r>
      <w:r w:rsidRPr="00746ACE">
        <w:rPr>
          <w:bCs/>
          <w:color w:val="000000" w:themeColor="text1"/>
        </w:rPr>
        <w:t>l</w:t>
      </w:r>
      <w:r w:rsidRPr="00746ACE">
        <w:rPr>
          <w:bCs/>
          <w:color w:val="000000" w:themeColor="text1"/>
        </w:rPr>
        <w:t>egislador y consignado en el documento normativo, y la segunda</w:t>
      </w:r>
      <w:r w:rsidRPr="00746ACE">
        <w:rPr>
          <w:bCs/>
          <w:color w:val="000000" w:themeColor="text1"/>
        </w:rPr>
        <w:t xml:space="preserve"> comprende los distintos </w:t>
      </w:r>
      <w:r w:rsidRPr="00746ACE">
        <w:rPr>
          <w:bCs/>
          <w:color w:val="000000" w:themeColor="text1"/>
        </w:rPr>
        <w:t xml:space="preserve">significados normativos que los </w:t>
      </w:r>
      <w:r w:rsidRPr="00746ACE">
        <w:rPr>
          <w:bCs/>
          <w:color w:val="000000" w:themeColor="text1"/>
        </w:rPr>
        <w:t xml:space="preserve">operadores jurídicos –dentro de estos, los </w:t>
      </w:r>
      <w:r w:rsidRPr="00746ACE">
        <w:rPr>
          <w:bCs/>
          <w:color w:val="000000" w:themeColor="text1"/>
        </w:rPr>
        <w:t>jue</w:t>
      </w:r>
      <w:r w:rsidRPr="00746ACE">
        <w:rPr>
          <w:bCs/>
          <w:color w:val="000000" w:themeColor="text1"/>
        </w:rPr>
        <w:t>ces</w:t>
      </w:r>
      <w:r w:rsidRPr="00746ACE">
        <w:rPr>
          <w:bCs/>
          <w:color w:val="000000" w:themeColor="text1"/>
        </w:rPr>
        <w:t>–</w:t>
      </w:r>
      <w:r w:rsidRPr="00746ACE">
        <w:rPr>
          <w:bCs/>
          <w:color w:val="000000" w:themeColor="text1"/>
        </w:rPr>
        <w:t xml:space="preserve"> atribuyen a las disposiciones en el ejercicio de los procesos interpretativos. Con fundamento en lo anterior, la Corte ha admitido la posibilidad</w:t>
      </w:r>
      <w:r w:rsidRPr="00746ACE">
        <w:rPr>
          <w:bCs/>
          <w:color w:val="000000" w:themeColor="text1"/>
        </w:rPr>
        <w:t xml:space="preserve"> de</w:t>
      </w:r>
      <w:r w:rsidRPr="00746ACE">
        <w:rPr>
          <w:bCs/>
          <w:color w:val="000000" w:themeColor="text1"/>
        </w:rPr>
        <w:t xml:space="preserve"> expulsar </w:t>
      </w:r>
      <w:r w:rsidRPr="00746ACE">
        <w:rPr>
          <w:bCs/>
          <w:color w:val="000000" w:themeColor="text1"/>
        </w:rPr>
        <w:t xml:space="preserve">del ordenamiento jurídico </w:t>
      </w:r>
      <w:r w:rsidRPr="00746ACE">
        <w:rPr>
          <w:bCs/>
          <w:color w:val="000000" w:themeColor="text1"/>
        </w:rPr>
        <w:t>“</w:t>
      </w:r>
      <w:r w:rsidRPr="00746ACE">
        <w:rPr>
          <w:bCs/>
          <w:i/>
          <w:iCs/>
          <w:color w:val="000000" w:themeColor="text1"/>
        </w:rPr>
        <w:t xml:space="preserve">una determinada o concreta interpretación de una ley por ser </w:t>
      </w:r>
      <w:r w:rsidRPr="00746ACE">
        <w:rPr>
          <w:bCs/>
          <w:i/>
          <w:iCs/>
          <w:color w:val="000000" w:themeColor="text1"/>
        </w:rPr>
        <w:t>contraria a la Constitución</w:t>
      </w:r>
      <w:r w:rsidRPr="00746ACE">
        <w:rPr>
          <w:bCs/>
          <w:color w:val="000000" w:themeColor="text1"/>
        </w:rPr>
        <w:t>”</w:t>
      </w:r>
      <w:r w:rsidRPr="00746ACE">
        <w:rPr>
          <w:rStyle w:val="Refdenotaalpie"/>
          <w:bCs/>
          <w:color w:val="000000" w:themeColor="text1"/>
          <w:szCs w:val="24"/>
        </w:rPr>
        <w:footnoteReference w:id="169"/>
      </w:r>
      <w:r w:rsidRPr="00746ACE">
        <w:rPr>
          <w:bCs/>
          <w:color w:val="000000" w:themeColor="text1"/>
        </w:rPr>
        <w:t>.</w:t>
      </w:r>
    </w:p>
    <w:p w14:paraId="5AD731E5" w14:textId="77777777" w:rsidR="00C67B19" w:rsidRPr="00746ACE" w:rsidRDefault="00746ACE" w:rsidP="00C67B19">
      <w:pPr>
        <w:pStyle w:val="Prrafodelista"/>
      </w:pPr>
    </w:p>
    <w:p w14:paraId="1DAB9747" w14:textId="33103542" w:rsidR="00C67B19" w:rsidRPr="00746ACE" w:rsidRDefault="00746ACE" w:rsidP="00821F09">
      <w:pPr>
        <w:pStyle w:val="Prrafodelista"/>
        <w:numPr>
          <w:ilvl w:val="0"/>
          <w:numId w:val="11"/>
        </w:numPr>
        <w:tabs>
          <w:tab w:val="left" w:pos="567"/>
        </w:tabs>
        <w:ind w:left="0" w:firstLine="0"/>
      </w:pPr>
      <w:r w:rsidRPr="00746ACE">
        <w:rPr>
          <w:bCs/>
          <w:color w:val="000000" w:themeColor="text1"/>
        </w:rPr>
        <w:t>E</w:t>
      </w:r>
      <w:r w:rsidRPr="00746ACE">
        <w:rPr>
          <w:bCs/>
          <w:color w:val="000000" w:themeColor="text1"/>
        </w:rPr>
        <w:t>l control de constitucionalidad de las interpretaciones jurisprudenciales por la vía del derecho viviente es</w:t>
      </w:r>
      <w:r w:rsidRPr="00746ACE">
        <w:rPr>
          <w:bCs/>
          <w:color w:val="000000" w:themeColor="text1"/>
        </w:rPr>
        <w:t>,</w:t>
      </w:r>
      <w:r w:rsidRPr="00746ACE">
        <w:rPr>
          <w:bCs/>
          <w:color w:val="000000" w:themeColor="text1"/>
        </w:rPr>
        <w:t xml:space="preserve"> en todo caso</w:t>
      </w:r>
      <w:r w:rsidRPr="00746ACE">
        <w:rPr>
          <w:bCs/>
          <w:color w:val="000000" w:themeColor="text1"/>
        </w:rPr>
        <w:t>,</w:t>
      </w:r>
      <w:r w:rsidRPr="00746ACE">
        <w:rPr>
          <w:bCs/>
          <w:color w:val="000000" w:themeColor="text1"/>
        </w:rPr>
        <w:t xml:space="preserve"> excepcional. Así, la jurisprudencia ha reiterado que “</w:t>
      </w:r>
      <w:r w:rsidRPr="00746ACE">
        <w:rPr>
          <w:bCs/>
          <w:i/>
          <w:iCs/>
          <w:color w:val="000000" w:themeColor="text1"/>
        </w:rPr>
        <w:t>es posible asumir excepcionalmente el control</w:t>
      </w:r>
      <w:r w:rsidRPr="00746ACE">
        <w:rPr>
          <w:bCs/>
          <w:i/>
          <w:iCs/>
          <w:color w:val="000000" w:themeColor="text1"/>
        </w:rPr>
        <w:t xml:space="preserve"> de constitucionalidad frente a interpretaciones abiertamente contrarias a la Constitución Política, a través del concepto del derecho viviente</w:t>
      </w:r>
      <w:r w:rsidRPr="00746ACE">
        <w:rPr>
          <w:bCs/>
          <w:color w:val="000000" w:themeColor="text1"/>
        </w:rPr>
        <w:t>”</w:t>
      </w:r>
      <w:r w:rsidRPr="00746ACE">
        <w:rPr>
          <w:rStyle w:val="Refdenotaalpie"/>
          <w:bCs/>
          <w:color w:val="000000" w:themeColor="text1"/>
          <w:szCs w:val="24"/>
        </w:rPr>
        <w:footnoteReference w:id="170"/>
      </w:r>
      <w:r w:rsidRPr="00746ACE">
        <w:rPr>
          <w:bCs/>
          <w:color w:val="000000" w:themeColor="text1"/>
        </w:rPr>
        <w:t>. De ahí que, para activar la competencia de la Corte para adelantar un juicio de control abstracto en estos ev</w:t>
      </w:r>
      <w:r w:rsidRPr="00746ACE">
        <w:rPr>
          <w:bCs/>
          <w:color w:val="000000" w:themeColor="text1"/>
        </w:rPr>
        <w:t>entos, es necesario que, en primer lugar, haya, en efecto, una discordancia entre la disposición y la norma, pues</w:t>
      </w:r>
      <w:r w:rsidRPr="00746ACE">
        <w:rPr>
          <w:bCs/>
          <w:color w:val="000000" w:themeColor="text1"/>
        </w:rPr>
        <w:t>,</w:t>
      </w:r>
      <w:r w:rsidRPr="00746ACE">
        <w:rPr>
          <w:bCs/>
          <w:color w:val="000000" w:themeColor="text1"/>
        </w:rPr>
        <w:t xml:space="preserve"> de lo contrario, el objeto de control debe ser la ley escrita y no su interpretación. Dicho en otras palabras, cuando los jueces interpretan </w:t>
      </w:r>
      <w:r w:rsidRPr="00746ACE">
        <w:rPr>
          <w:bCs/>
          <w:color w:val="000000" w:themeColor="text1"/>
        </w:rPr>
        <w:t xml:space="preserve">y desarrollan el texto legal dentro del margen razonable de interpretación fijado por la propia norma están dotando de sentido una disposición, y tales decisiones no habilitan </w:t>
      </w:r>
      <w:r w:rsidRPr="00746ACE">
        <w:rPr>
          <w:bCs/>
          <w:i/>
          <w:iCs/>
          <w:color w:val="000000" w:themeColor="text1"/>
        </w:rPr>
        <w:t xml:space="preserve">per se </w:t>
      </w:r>
      <w:r w:rsidRPr="00746ACE">
        <w:rPr>
          <w:bCs/>
          <w:color w:val="000000" w:themeColor="text1"/>
        </w:rPr>
        <w:t>la competencia de la Corte para adelantar un control constitucional sobre</w:t>
      </w:r>
      <w:r w:rsidRPr="00746ACE">
        <w:rPr>
          <w:bCs/>
          <w:color w:val="000000" w:themeColor="text1"/>
        </w:rPr>
        <w:t xml:space="preserve"> la decisión judicial</w:t>
      </w:r>
      <w:r w:rsidRPr="00746ACE">
        <w:rPr>
          <w:bCs/>
          <w:color w:val="000000" w:themeColor="text1"/>
        </w:rPr>
        <w:t>. P</w:t>
      </w:r>
      <w:r w:rsidRPr="00746ACE">
        <w:rPr>
          <w:bCs/>
          <w:color w:val="000000" w:themeColor="text1"/>
        </w:rPr>
        <w:t xml:space="preserve">ara que esto ocurra debe haber una interpretación judicial que modifique el </w:t>
      </w:r>
      <w:r w:rsidRPr="00746ACE">
        <w:rPr>
          <w:bCs/>
          <w:color w:val="000000" w:themeColor="text1"/>
        </w:rPr>
        <w:t>d</w:t>
      </w:r>
      <w:r w:rsidRPr="00746ACE">
        <w:rPr>
          <w:bCs/>
          <w:color w:val="000000" w:themeColor="text1"/>
        </w:rPr>
        <w:t>erecho, o el sentido de la disposición, de tal manera que se genere una contradicción y que</w:t>
      </w:r>
      <w:r w:rsidRPr="00746ACE">
        <w:rPr>
          <w:bCs/>
          <w:color w:val="000000" w:themeColor="text1"/>
        </w:rPr>
        <w:t>,</w:t>
      </w:r>
      <w:r w:rsidRPr="00746ACE">
        <w:rPr>
          <w:bCs/>
          <w:color w:val="000000" w:themeColor="text1"/>
        </w:rPr>
        <w:t xml:space="preserve"> a su vez, esta interpretación genere una contradicción con el </w:t>
      </w:r>
      <w:r w:rsidRPr="00746ACE">
        <w:rPr>
          <w:bCs/>
          <w:color w:val="000000" w:themeColor="text1"/>
        </w:rPr>
        <w:t>T</w:t>
      </w:r>
      <w:r w:rsidRPr="00746ACE">
        <w:rPr>
          <w:bCs/>
          <w:color w:val="000000" w:themeColor="text1"/>
        </w:rPr>
        <w:t xml:space="preserve">exto </w:t>
      </w:r>
      <w:r w:rsidRPr="00746ACE">
        <w:rPr>
          <w:bCs/>
          <w:color w:val="000000" w:themeColor="text1"/>
        </w:rPr>
        <w:t>S</w:t>
      </w:r>
      <w:r w:rsidRPr="00746ACE">
        <w:rPr>
          <w:bCs/>
          <w:color w:val="000000" w:themeColor="text1"/>
        </w:rPr>
        <w:t xml:space="preserve">uperior. Y, en segundo lugar, </w:t>
      </w:r>
      <w:r w:rsidRPr="00746ACE">
        <w:rPr>
          <w:bCs/>
          <w:color w:val="000000" w:themeColor="text1"/>
        </w:rPr>
        <w:t xml:space="preserve">tal </w:t>
      </w:r>
      <w:r w:rsidRPr="00746ACE">
        <w:rPr>
          <w:bCs/>
          <w:color w:val="000000" w:themeColor="text1"/>
        </w:rPr>
        <w:t xml:space="preserve">interpretación </w:t>
      </w:r>
      <w:r w:rsidRPr="00746ACE">
        <w:rPr>
          <w:bCs/>
          <w:color w:val="000000" w:themeColor="text1"/>
        </w:rPr>
        <w:t xml:space="preserve">judicial </w:t>
      </w:r>
      <w:r w:rsidRPr="00746ACE">
        <w:rPr>
          <w:bCs/>
          <w:color w:val="000000" w:themeColor="text1"/>
        </w:rPr>
        <w:t>debe ser abiertamente contraria a la Constitución</w:t>
      </w:r>
      <w:r w:rsidRPr="00746ACE">
        <w:rPr>
          <w:bCs/>
          <w:color w:val="000000" w:themeColor="text1"/>
        </w:rPr>
        <w:t xml:space="preserve">. </w:t>
      </w:r>
      <w:r w:rsidRPr="00746ACE">
        <w:rPr>
          <w:bCs/>
          <w:color w:val="000000" w:themeColor="text1"/>
        </w:rPr>
        <w:t xml:space="preserve">Así, la </w:t>
      </w:r>
      <w:r w:rsidRPr="00746ACE">
        <w:rPr>
          <w:bCs/>
          <w:color w:val="000000" w:themeColor="text1"/>
        </w:rPr>
        <w:t>competencia de la Corte para ejercer el control abstracto de constitucionalidad por la vía del derecho viviente s</w:t>
      </w:r>
      <w:r w:rsidRPr="00746ACE">
        <w:rPr>
          <w:bCs/>
          <w:color w:val="000000" w:themeColor="text1"/>
        </w:rPr>
        <w:t>o</w:t>
      </w:r>
      <w:r w:rsidRPr="00746ACE">
        <w:rPr>
          <w:bCs/>
          <w:color w:val="000000" w:themeColor="text1"/>
        </w:rPr>
        <w:t>lo se habilita</w:t>
      </w:r>
      <w:r w:rsidRPr="00746ACE">
        <w:rPr>
          <w:bCs/>
          <w:color w:val="000000" w:themeColor="text1"/>
        </w:rPr>
        <w:t xml:space="preserve">, </w:t>
      </w:r>
      <w:r w:rsidRPr="00746ACE">
        <w:rPr>
          <w:bCs/>
          <w:color w:val="000000" w:themeColor="text1"/>
        </w:rPr>
        <w:t>entonces,</w:t>
      </w:r>
      <w:r w:rsidRPr="00746ACE">
        <w:rPr>
          <w:bCs/>
          <w:color w:val="000000" w:themeColor="text1"/>
        </w:rPr>
        <w:t xml:space="preserve"> una vez se constat</w:t>
      </w:r>
      <w:r w:rsidRPr="00746ACE">
        <w:rPr>
          <w:bCs/>
          <w:color w:val="000000" w:themeColor="text1"/>
        </w:rPr>
        <w:t>a</w:t>
      </w:r>
      <w:r w:rsidRPr="00746ACE">
        <w:rPr>
          <w:bCs/>
          <w:color w:val="000000" w:themeColor="text1"/>
        </w:rPr>
        <w:t xml:space="preserve"> que el derecho escrito adquirió una dimensión mayor que superó el texto de la ley</w:t>
      </w:r>
      <w:r w:rsidRPr="00746ACE">
        <w:rPr>
          <w:bCs/>
          <w:color w:val="000000" w:themeColor="text1"/>
        </w:rPr>
        <w:t>.</w:t>
      </w:r>
    </w:p>
    <w:p w14:paraId="7DD60F49" w14:textId="77777777" w:rsidR="00821F09" w:rsidRPr="00746ACE" w:rsidRDefault="00746ACE" w:rsidP="00821F09">
      <w:pPr>
        <w:tabs>
          <w:tab w:val="left" w:pos="567"/>
        </w:tabs>
      </w:pPr>
    </w:p>
    <w:p w14:paraId="18155065" w14:textId="0324A4DF" w:rsidR="00821F09" w:rsidRPr="00746ACE" w:rsidRDefault="00746ACE" w:rsidP="00821F09">
      <w:pPr>
        <w:pStyle w:val="Prrafodelista"/>
        <w:numPr>
          <w:ilvl w:val="0"/>
          <w:numId w:val="11"/>
        </w:numPr>
        <w:tabs>
          <w:tab w:val="left" w:pos="567"/>
        </w:tabs>
        <w:ind w:left="0" w:firstLine="0"/>
      </w:pPr>
      <w:r w:rsidRPr="00746ACE">
        <w:t>El</w:t>
      </w:r>
      <w:r w:rsidRPr="00746ACE">
        <w:rPr>
          <w:i/>
          <w:iCs/>
        </w:rPr>
        <w:t xml:space="preserve"> </w:t>
      </w:r>
      <w:r w:rsidRPr="00746ACE">
        <w:rPr>
          <w:b/>
          <w:bCs/>
          <w:i/>
          <w:iCs/>
        </w:rPr>
        <w:t>tercer escenario</w:t>
      </w:r>
      <w:r w:rsidRPr="00746ACE">
        <w:rPr>
          <w:i/>
          <w:iCs/>
        </w:rPr>
        <w:t xml:space="preserve"> </w:t>
      </w:r>
      <w:r w:rsidRPr="00746ACE">
        <w:t xml:space="preserve">corresponde al evento en el que se cuestiona la aplicación de las </w:t>
      </w:r>
      <w:r w:rsidRPr="00746ACE">
        <w:rPr>
          <w:i/>
        </w:rPr>
        <w:t xml:space="preserve">reglas </w:t>
      </w:r>
      <w:r w:rsidRPr="00746ACE">
        <w:rPr>
          <w:i/>
        </w:rPr>
        <w:t>derivadas de los escenarios previamente descritos</w:t>
      </w:r>
      <w:r w:rsidRPr="00746ACE">
        <w:rPr>
          <w:i/>
        </w:rPr>
        <w:t xml:space="preserve"> </w:t>
      </w:r>
      <w:r w:rsidRPr="00746ACE">
        <w:rPr>
          <w:i/>
        </w:rPr>
        <w:t>a</w:t>
      </w:r>
      <w:r w:rsidRPr="00746ACE">
        <w:t xml:space="preserve"> </w:t>
      </w:r>
      <w:r w:rsidRPr="00746ACE">
        <w:rPr>
          <w:i/>
        </w:rPr>
        <w:t>casos concretos</w:t>
      </w:r>
      <w:r w:rsidRPr="00746ACE">
        <w:t>, con la pretensión de amparar la garantía de los derechos, en particular, los derechos al debido proceso y al juez natural. Si este fuera el escenario, el mecanismo para controvertir la decisión de la JEP sería el del control de constitu</w:t>
      </w:r>
      <w:r w:rsidRPr="00746ACE">
        <w:t>cionalidad concreto, es decir, la tutela, y no la acción pública de inconstitucionalidad.</w:t>
      </w:r>
    </w:p>
    <w:p w14:paraId="3CCAE077" w14:textId="77777777" w:rsidR="00771988" w:rsidRPr="00746ACE" w:rsidRDefault="00746ACE" w:rsidP="00771988">
      <w:pPr>
        <w:pStyle w:val="Prrafodelista"/>
      </w:pPr>
    </w:p>
    <w:p w14:paraId="65BD6ABC" w14:textId="04ECFA15" w:rsidR="00821F09" w:rsidRPr="00746ACE" w:rsidRDefault="00746ACE" w:rsidP="009E174E">
      <w:pPr>
        <w:pStyle w:val="Prrafodelista"/>
        <w:numPr>
          <w:ilvl w:val="0"/>
          <w:numId w:val="11"/>
        </w:numPr>
        <w:tabs>
          <w:tab w:val="left" w:pos="567"/>
        </w:tabs>
        <w:ind w:left="0" w:firstLine="0"/>
      </w:pPr>
      <w:r w:rsidRPr="00746ACE">
        <w:t>Ahora bien, cuando se trata de</w:t>
      </w:r>
      <w:r w:rsidRPr="00746ACE">
        <w:t xml:space="preserve"> las sentencias </w:t>
      </w:r>
      <w:r w:rsidRPr="00746ACE">
        <w:t xml:space="preserve">proferidas por la JEP, la jurisprudencia constitucional ha construido </w:t>
      </w:r>
      <w:r w:rsidRPr="00746ACE">
        <w:t>unas precisiones metodológicas relevantes. E</w:t>
      </w:r>
      <w:r w:rsidRPr="00746ACE">
        <w:t xml:space="preserve">n la </w:t>
      </w:r>
      <w:r w:rsidRPr="00746ACE">
        <w:t>sentencia SU-388 de 2023, la Corte recordó que la Sala de Apelaciones de la JEP (SAJEP), en su calidad de “</w:t>
      </w:r>
      <w:r w:rsidRPr="00746ACE">
        <w:rPr>
          <w:i/>
          <w:iCs/>
        </w:rPr>
        <w:t>órgano de cierre hermenéutico de la JEP</w:t>
      </w:r>
      <w:r w:rsidRPr="00746ACE">
        <w:t>” y “</w:t>
      </w:r>
      <w:r w:rsidRPr="00746ACE">
        <w:rPr>
          <w:i/>
          <w:iCs/>
        </w:rPr>
        <w:t>máxima instancia interpretativa de la Jurisdicción Especial para la Paz</w:t>
      </w:r>
      <w:r w:rsidRPr="00746ACE">
        <w:t>”, emite dos tipos de sentencias i</w:t>
      </w:r>
      <w:r w:rsidRPr="00746ACE">
        <w:t xml:space="preserve">nterpretativas: </w:t>
      </w:r>
    </w:p>
    <w:p w14:paraId="2EB48CEF" w14:textId="77777777" w:rsidR="00821F09" w:rsidRPr="00746ACE" w:rsidRDefault="00746ACE" w:rsidP="00821F09">
      <w:pPr>
        <w:tabs>
          <w:tab w:val="left" w:pos="567"/>
        </w:tabs>
      </w:pPr>
    </w:p>
    <w:p w14:paraId="5F8F701C" w14:textId="317B3BD2" w:rsidR="00821F09" w:rsidRPr="00746ACE" w:rsidRDefault="00746ACE" w:rsidP="00821F09">
      <w:pPr>
        <w:pStyle w:val="Prrafodelista"/>
        <w:numPr>
          <w:ilvl w:val="0"/>
          <w:numId w:val="11"/>
        </w:numPr>
        <w:tabs>
          <w:tab w:val="left" w:pos="567"/>
        </w:tabs>
        <w:ind w:left="0" w:firstLine="0"/>
      </w:pPr>
      <w:r w:rsidRPr="00746ACE">
        <w:t xml:space="preserve">En </w:t>
      </w:r>
      <w:r w:rsidRPr="00746ACE">
        <w:rPr>
          <w:i/>
        </w:rPr>
        <w:t>primer lugar</w:t>
      </w:r>
      <w:r w:rsidRPr="00746ACE">
        <w:t>, las proferidas en el marco de una apelación en la que, además de ejercer el rol de juez de segunda instancia, unifica la jurisprudencia o interpreta una disposición para el caso concreto. Estas decisiones, en los términos</w:t>
      </w:r>
      <w:r w:rsidRPr="00746ACE">
        <w:t xml:space="preserve"> del artículo 6 del Decreto Ley 2061 de 1991, no pueden ser controvertidas sino por la vía de la tutela, siempre que se cumplan los requisitos generales y específicos de procedencia.</w:t>
      </w:r>
    </w:p>
    <w:p w14:paraId="1CCCC05C" w14:textId="77777777" w:rsidR="00821F09" w:rsidRPr="00746ACE" w:rsidRDefault="00746ACE" w:rsidP="00821F09">
      <w:pPr>
        <w:tabs>
          <w:tab w:val="left" w:pos="567"/>
        </w:tabs>
      </w:pPr>
    </w:p>
    <w:p w14:paraId="75FC4942" w14:textId="15CA8BF1" w:rsidR="00821F09" w:rsidRPr="00746ACE" w:rsidRDefault="00746ACE" w:rsidP="00821F09">
      <w:pPr>
        <w:pStyle w:val="Prrafodelista"/>
        <w:numPr>
          <w:ilvl w:val="0"/>
          <w:numId w:val="11"/>
        </w:numPr>
        <w:tabs>
          <w:tab w:val="left" w:pos="567"/>
        </w:tabs>
        <w:ind w:left="0" w:firstLine="0"/>
      </w:pPr>
      <w:r w:rsidRPr="00746ACE">
        <w:t>En</w:t>
      </w:r>
      <w:r w:rsidRPr="00746ACE">
        <w:rPr>
          <w:i/>
        </w:rPr>
        <w:t xml:space="preserve"> segundo lugar</w:t>
      </w:r>
      <w:r w:rsidRPr="00746ACE">
        <w:t xml:space="preserve">, las que profiere de manera oficiosa o a petición de </w:t>
      </w:r>
      <w:r w:rsidRPr="00746ACE">
        <w:t>algún órgano de la JEP, con contenido exclusivamente general, impersonal y abstracto</w:t>
      </w:r>
      <w:r w:rsidRPr="00746ACE">
        <w:t xml:space="preserve">, </w:t>
      </w:r>
      <w:r w:rsidRPr="00746ACE">
        <w:rPr>
          <w:iCs/>
        </w:rPr>
        <w:t xml:space="preserve">para aclarar el sentido </w:t>
      </w:r>
      <w:r w:rsidRPr="00746ACE">
        <w:rPr>
          <w:iCs/>
        </w:rPr>
        <w:t>y definir el</w:t>
      </w:r>
      <w:r w:rsidRPr="00746ACE">
        <w:rPr>
          <w:iCs/>
        </w:rPr>
        <w:t xml:space="preserve"> alcance de normas preexistentes que regulan el régimen de transición, sin importar su origen</w:t>
      </w:r>
      <w:r w:rsidRPr="00746ACE">
        <w:t xml:space="preserve">. En relación con estas, en la </w:t>
      </w:r>
      <w:r w:rsidRPr="00746ACE">
        <w:t xml:space="preserve">citada </w:t>
      </w:r>
      <w:r w:rsidRPr="00746ACE">
        <w:t>sentencia SU-388 de 2023, se indicó que son susceptibles de controlar por la vía de las demandas de inconstitucionalidad, a la luz de los requisitos del derecho viviente, siempre que se cumplan los requisitos especiales para su procedencia.</w:t>
      </w:r>
    </w:p>
    <w:p w14:paraId="6A935FE3" w14:textId="77777777" w:rsidR="00821F09" w:rsidRPr="00746ACE" w:rsidRDefault="00746ACE" w:rsidP="00821F09">
      <w:pPr>
        <w:tabs>
          <w:tab w:val="left" w:pos="567"/>
        </w:tabs>
      </w:pPr>
    </w:p>
    <w:p w14:paraId="32D26B7F" w14:textId="280F6B56" w:rsidR="00821F09" w:rsidRPr="00746ACE" w:rsidRDefault="00746ACE" w:rsidP="00821F09">
      <w:pPr>
        <w:pStyle w:val="Prrafodelista"/>
        <w:numPr>
          <w:ilvl w:val="0"/>
          <w:numId w:val="11"/>
        </w:numPr>
        <w:tabs>
          <w:tab w:val="left" w:pos="567"/>
        </w:tabs>
        <w:ind w:left="0" w:firstLine="0"/>
      </w:pPr>
      <w:r w:rsidRPr="00746ACE">
        <w:t>Difícilmente e</w:t>
      </w:r>
      <w:r w:rsidRPr="00746ACE">
        <w:t xml:space="preserve">n aquel momento la Corte podía agotar todas las discusiones y problemáticas que implicaría el control abstracto de constitucionalidad en contra de las </w:t>
      </w:r>
      <w:r w:rsidRPr="00746ACE">
        <w:t>SENIT</w:t>
      </w:r>
      <w:r w:rsidRPr="00746ACE">
        <w:t>, además de que no fue el objeto del caso concreto. Más allá de las consideraciones generales que en</w:t>
      </w:r>
      <w:r w:rsidRPr="00746ACE">
        <w:t xml:space="preserve"> relación con el control abstracto se plantearon en la citada providencia, esta era </w:t>
      </w:r>
      <w:r w:rsidRPr="00746ACE">
        <w:t xml:space="preserve">una nueva </w:t>
      </w:r>
      <w:r w:rsidRPr="00746ACE">
        <w:t>oportunidad para que la Sala Plena abordara con suficiencia varios de aquellos aspectos</w:t>
      </w:r>
      <w:r w:rsidRPr="00746ACE">
        <w:t>, al no haberlo hecho en la</w:t>
      </w:r>
      <w:r w:rsidRPr="00746ACE">
        <w:t xml:space="preserve"> reciente</w:t>
      </w:r>
      <w:r w:rsidRPr="00746ACE">
        <w:t xml:space="preserve"> sentencia C-037 de 2026, respecto de l</w:t>
      </w:r>
      <w:r w:rsidRPr="00746ACE">
        <w:t>a cual también formulé una aclaración de voto</w:t>
      </w:r>
      <w:r w:rsidRPr="00746ACE">
        <w:t>.</w:t>
      </w:r>
    </w:p>
    <w:p w14:paraId="4D72AD6B" w14:textId="77777777" w:rsidR="00821F09" w:rsidRPr="00746ACE" w:rsidRDefault="00746ACE" w:rsidP="00821F09">
      <w:pPr>
        <w:tabs>
          <w:tab w:val="left" w:pos="567"/>
        </w:tabs>
      </w:pPr>
    </w:p>
    <w:p w14:paraId="4373CA3F" w14:textId="77777777" w:rsidR="00821F09" w:rsidRPr="00746ACE" w:rsidRDefault="00746ACE" w:rsidP="00821F09">
      <w:pPr>
        <w:pStyle w:val="Prrafodelista"/>
        <w:numPr>
          <w:ilvl w:val="0"/>
          <w:numId w:val="11"/>
        </w:numPr>
        <w:tabs>
          <w:tab w:val="left" w:pos="567"/>
        </w:tabs>
        <w:ind w:left="0" w:firstLine="0"/>
      </w:pPr>
      <w:r w:rsidRPr="00746ACE">
        <w:t>Precisamente, en la sentencia SU-388 de 2023, se consideró pertinente acudir a la figura del derecho viviente para realizar un juicio de constitucionalidad basado en el contexto dentro del cual “</w:t>
      </w:r>
      <w:r w:rsidRPr="00746ACE">
        <w:rPr>
          <w:i/>
          <w:iCs/>
        </w:rPr>
        <w:t>la disposició</w:t>
      </w:r>
      <w:r w:rsidRPr="00746ACE">
        <w:rPr>
          <w:i/>
          <w:iCs/>
        </w:rPr>
        <w:t xml:space="preserve">n ha sido </w:t>
      </w:r>
      <w:r w:rsidRPr="00746ACE">
        <w:rPr>
          <w:b/>
          <w:i/>
          <w:iCs/>
        </w:rPr>
        <w:t>interpretada</w:t>
      </w:r>
      <w:r w:rsidRPr="00746ACE">
        <w:rPr>
          <w:i/>
          <w:iCs/>
        </w:rPr>
        <w:t xml:space="preserve"> o ha </w:t>
      </w:r>
      <w:r w:rsidRPr="00746ACE">
        <w:rPr>
          <w:b/>
          <w:i/>
          <w:iCs/>
        </w:rPr>
        <w:t>vivido</w:t>
      </w:r>
      <w:r w:rsidRPr="00746ACE">
        <w:rPr>
          <w:i/>
          <w:iCs/>
        </w:rPr>
        <w:t xml:space="preserve">, de modo que el pronunciamiento de la Corte no se funde en </w:t>
      </w:r>
      <w:r w:rsidRPr="00746ACE">
        <w:rPr>
          <w:i/>
          <w:iCs/>
        </w:rPr>
        <w:t>los sentidos hipotéticos de la disposición controlada sino en su ‘sentido real’ conferido por la jurisdicción responsable de aplicarla</w:t>
      </w:r>
      <w:r w:rsidRPr="00746ACE">
        <w:t>”. Es decir que, para la Cor</w:t>
      </w:r>
      <w:r w:rsidRPr="00746ACE">
        <w:t>te, la doctrina del derecho viviente tenía sentido si de lo que se trataba era de determinar</w:t>
      </w:r>
      <w:r w:rsidRPr="00746ACE">
        <w:rPr>
          <w:i/>
        </w:rPr>
        <w:t xml:space="preserve"> s</w:t>
      </w:r>
      <w:r w:rsidRPr="00746ACE">
        <w:rPr>
          <w:b/>
          <w:i/>
        </w:rPr>
        <w:t>i una interpretación abstracta que fijara el sentido de las normas, con vocación general, entre las múltiples aproximaciones posibles, resultaba o no ajustada a l</w:t>
      </w:r>
      <w:r w:rsidRPr="00746ACE">
        <w:rPr>
          <w:b/>
          <w:i/>
        </w:rPr>
        <w:t>a Constitución</w:t>
      </w:r>
      <w:r w:rsidRPr="00746ACE">
        <w:t xml:space="preserve">, sin perjuicio de que ella hubiese servido, en casos puntuales, para resolver casos sujetos a la competencia de la JEP. </w:t>
      </w:r>
    </w:p>
    <w:p w14:paraId="4C22ADB3" w14:textId="77777777" w:rsidR="00821F09" w:rsidRPr="00746ACE" w:rsidRDefault="00746ACE" w:rsidP="00821F09">
      <w:pPr>
        <w:tabs>
          <w:tab w:val="left" w:pos="567"/>
        </w:tabs>
      </w:pPr>
    </w:p>
    <w:p w14:paraId="2D3E64CF" w14:textId="77777777" w:rsidR="00017631" w:rsidRPr="00746ACE" w:rsidRDefault="00746ACE" w:rsidP="009E174E">
      <w:pPr>
        <w:pStyle w:val="Prrafodelista"/>
        <w:numPr>
          <w:ilvl w:val="0"/>
          <w:numId w:val="11"/>
        </w:numPr>
        <w:tabs>
          <w:tab w:val="left" w:pos="567"/>
        </w:tabs>
        <w:ind w:left="0" w:firstLine="0"/>
      </w:pPr>
      <w:r w:rsidRPr="00746ACE">
        <w:t>En el presente asunto, las categorías de “</w:t>
      </w:r>
      <w:r w:rsidRPr="00746ACE">
        <w:rPr>
          <w:i/>
          <w:iCs/>
        </w:rPr>
        <w:t>selección de segundo orden</w:t>
      </w:r>
      <w:r w:rsidRPr="00746ACE">
        <w:t>”, “</w:t>
      </w:r>
      <w:r w:rsidRPr="00746ACE">
        <w:rPr>
          <w:i/>
          <w:iCs/>
        </w:rPr>
        <w:t>responsabilidad cercana a la máxima</w:t>
      </w:r>
      <w:r w:rsidRPr="00746ACE">
        <w:t>” o “</w:t>
      </w:r>
      <w:r w:rsidRPr="00746ACE">
        <w:rPr>
          <w:i/>
          <w:iCs/>
        </w:rPr>
        <w:t>punto m</w:t>
      </w:r>
      <w:r w:rsidRPr="00746ACE">
        <w:rPr>
          <w:i/>
          <w:iCs/>
        </w:rPr>
        <w:t>edio de responsabilidad</w:t>
      </w:r>
      <w:r w:rsidRPr="00746ACE">
        <w:t xml:space="preserve">” resultaban contrarias a la Constitución y por tal motivo acompañé el resolutivo que se propuso por parte de la Sala Plena. </w:t>
      </w:r>
    </w:p>
    <w:p w14:paraId="4DAE1D29" w14:textId="77777777" w:rsidR="00017631" w:rsidRPr="00746ACE" w:rsidRDefault="00746ACE" w:rsidP="00017631">
      <w:pPr>
        <w:pStyle w:val="Prrafodelista"/>
      </w:pPr>
    </w:p>
    <w:p w14:paraId="6A4A3A1A" w14:textId="6CB1EFEA" w:rsidR="00307EF0" w:rsidRPr="00746ACE" w:rsidRDefault="00746ACE" w:rsidP="00307EF0">
      <w:pPr>
        <w:pStyle w:val="Prrafodelista"/>
        <w:numPr>
          <w:ilvl w:val="0"/>
          <w:numId w:val="11"/>
        </w:numPr>
        <w:tabs>
          <w:tab w:val="left" w:pos="567"/>
        </w:tabs>
        <w:ind w:left="0" w:firstLine="0"/>
      </w:pPr>
      <w:r w:rsidRPr="00746ACE">
        <w:t>Sin perjuicio de lo anterior, considero que</w:t>
      </w:r>
      <w:r w:rsidRPr="00746ACE">
        <w:t>,</w:t>
      </w:r>
      <w:r w:rsidRPr="00746ACE">
        <w:t xml:space="preserve"> en esta oportunidad</w:t>
      </w:r>
      <w:r w:rsidRPr="00746ACE">
        <w:t>,</w:t>
      </w:r>
      <w:r w:rsidRPr="00746ACE">
        <w:t xml:space="preserve"> se debió emplear el análisis </w:t>
      </w:r>
      <w:r w:rsidRPr="00746ACE">
        <w:t>correspondi</w:t>
      </w:r>
      <w:r w:rsidRPr="00746ACE">
        <w:t xml:space="preserve">ente para el control de constitucionalidad abstracto y no el de derecho viviente. </w:t>
      </w:r>
    </w:p>
    <w:p w14:paraId="3CA3EA03" w14:textId="77777777" w:rsidR="00307EF0" w:rsidRPr="00746ACE" w:rsidRDefault="00746ACE" w:rsidP="00307EF0">
      <w:pPr>
        <w:pStyle w:val="Prrafodelista"/>
      </w:pPr>
    </w:p>
    <w:p w14:paraId="4CD9C806" w14:textId="2954B6EC" w:rsidR="00307EF0" w:rsidRPr="00746ACE" w:rsidRDefault="00746ACE" w:rsidP="00307EF0">
      <w:pPr>
        <w:pStyle w:val="Prrafodelista"/>
        <w:numPr>
          <w:ilvl w:val="0"/>
          <w:numId w:val="11"/>
        </w:numPr>
        <w:tabs>
          <w:tab w:val="left" w:pos="567"/>
        </w:tabs>
        <w:ind w:left="0" w:firstLine="0"/>
      </w:pPr>
      <w:r w:rsidRPr="00746ACE">
        <w:t xml:space="preserve">No se trata de un simple </w:t>
      </w:r>
      <w:r w:rsidRPr="00746ACE">
        <w:t>desacuerdo metodológico, sino uno de fondo: el derecho viviente presupone una interpretación judicial que se aparta del contenido normativo previam</w:t>
      </w:r>
      <w:r w:rsidRPr="00746ACE">
        <w:t>ente fijado por el legislador</w:t>
      </w:r>
      <w:r w:rsidRPr="00746ACE">
        <w:t>,</w:t>
      </w:r>
      <w:r w:rsidRPr="00746ACE">
        <w:t xml:space="preserve"> es decir, una distancia entre la</w:t>
      </w:r>
      <w:r w:rsidRPr="00746ACE">
        <w:t xml:space="preserve"> </w:t>
      </w:r>
      <w:r w:rsidRPr="00746ACE">
        <w:t xml:space="preserve">disposición y la norma. En el asunto que ahora se decide, en cambio, la SAJEP no interpretó ni desbordó un texto preexistente, sino que creó </w:t>
      </w:r>
      <w:r w:rsidRPr="00746ACE">
        <w:rPr>
          <w:b/>
          <w:i/>
          <w:iCs/>
        </w:rPr>
        <w:t>ex novo</w:t>
      </w:r>
      <w:r w:rsidRPr="00746ACE">
        <w:t xml:space="preserve"> unas categorías</w:t>
      </w:r>
      <w:r w:rsidRPr="00746ACE">
        <w:t>:</w:t>
      </w:r>
      <w:r w:rsidRPr="00746ACE">
        <w:t xml:space="preserve"> </w:t>
      </w:r>
      <w:r w:rsidRPr="00746ACE">
        <w:t>“</w:t>
      </w:r>
      <w:r w:rsidRPr="00746ACE">
        <w:rPr>
          <w:i/>
          <w:iCs/>
        </w:rPr>
        <w:t xml:space="preserve">selección de segundo </w:t>
      </w:r>
      <w:r w:rsidRPr="00746ACE">
        <w:rPr>
          <w:i/>
          <w:iCs/>
        </w:rPr>
        <w:t>orden</w:t>
      </w:r>
      <w:r w:rsidRPr="00746ACE">
        <w:t>”, “</w:t>
      </w:r>
      <w:r w:rsidRPr="00746ACE">
        <w:rPr>
          <w:i/>
          <w:iCs/>
        </w:rPr>
        <w:t>responsabilidad cercana a la máxima</w:t>
      </w:r>
      <w:r w:rsidRPr="00746ACE">
        <w:t>” y “</w:t>
      </w:r>
      <w:r w:rsidRPr="00746ACE">
        <w:rPr>
          <w:i/>
          <w:iCs/>
        </w:rPr>
        <w:t>punto medio de responsabilidad</w:t>
      </w:r>
      <w:r w:rsidRPr="00746ACE">
        <w:t>”</w:t>
      </w:r>
      <w:r w:rsidRPr="00746ACE">
        <w:t>,</w:t>
      </w:r>
      <w:r w:rsidRPr="00746ACE">
        <w:t xml:space="preserve"> con consecuencias jurídicas propias, ausentes por completo </w:t>
      </w:r>
      <w:r w:rsidRPr="00746ACE">
        <w:t xml:space="preserve">de referencia en </w:t>
      </w:r>
      <w:r w:rsidRPr="00746ACE">
        <w:t>el Acuerdo Final y de sus normas de implementación. Se trató, en consecuencia, de un genuino ejerc</w:t>
      </w:r>
      <w:r w:rsidRPr="00746ACE">
        <w:t xml:space="preserve">icio de </w:t>
      </w:r>
      <w:r w:rsidRPr="00746ACE">
        <w:rPr>
          <w:i/>
        </w:rPr>
        <w:t>producción normativa</w:t>
      </w:r>
      <w:r w:rsidRPr="00746ACE">
        <w:t>,</w:t>
      </w:r>
      <w:r w:rsidRPr="00746ACE">
        <w:t xml:space="preserve"> que tiene respaldo en el artículo 59 de la </w:t>
      </w:r>
      <w:r w:rsidRPr="00746ACE">
        <w:t xml:space="preserve">Ley 1922 de 2018, </w:t>
      </w:r>
      <w:r w:rsidRPr="00746ACE">
        <w:t>que debió examinarse bajo la metodología del control abstracto ordinario prevista en el artículo 241.4 de la Constitución. Insisto en esta precisión no por su incide</w:t>
      </w:r>
      <w:r w:rsidRPr="00746ACE">
        <w:t xml:space="preserve">ncia en el caso concreto </w:t>
      </w:r>
      <w:r w:rsidRPr="00746ACE">
        <w:t>–</w:t>
      </w:r>
      <w:r w:rsidRPr="00746ACE">
        <w:t>que, en efecto, no habría variado</w:t>
      </w:r>
      <w:r w:rsidRPr="00746ACE">
        <w:t>–</w:t>
      </w:r>
      <w:r w:rsidRPr="00746ACE">
        <w:t xml:space="preserve">, sino porque de ella depende que la Corte trace con claridad los límites de la competencia normativa de la JEP y ofrezca, hacia el futuro, un criterio metodológico estable para el control de las </w:t>
      </w:r>
      <w:r w:rsidRPr="00746ACE">
        <w:t>decisiones de la Sección de Apelación.</w:t>
      </w:r>
      <w:r w:rsidRPr="00746ACE">
        <w:t xml:space="preserve"> </w:t>
      </w:r>
    </w:p>
    <w:p w14:paraId="50ECDD7E" w14:textId="77777777" w:rsidR="00821F09" w:rsidRPr="00746ACE" w:rsidRDefault="00746ACE" w:rsidP="00821F09">
      <w:pPr>
        <w:tabs>
          <w:tab w:val="left" w:pos="567"/>
        </w:tabs>
        <w:rPr>
          <w:color w:val="000000" w:themeColor="text1"/>
        </w:rPr>
      </w:pPr>
    </w:p>
    <w:p w14:paraId="021EB601" w14:textId="699B0B2D" w:rsidR="00E35233" w:rsidRPr="00746ACE" w:rsidRDefault="00746ACE" w:rsidP="003530CB">
      <w:pPr>
        <w:rPr>
          <w:color w:val="000000" w:themeColor="text1"/>
        </w:rPr>
      </w:pPr>
      <w:r w:rsidRPr="00746ACE">
        <w:rPr>
          <w:i/>
          <w:iCs/>
          <w:color w:val="000000" w:themeColor="text1"/>
        </w:rPr>
        <w:t>Fecha ut supra</w:t>
      </w:r>
      <w:r w:rsidRPr="00746ACE">
        <w:rPr>
          <w:color w:val="000000" w:themeColor="text1"/>
        </w:rPr>
        <w:t>,</w:t>
      </w:r>
    </w:p>
    <w:p w14:paraId="7C089C47" w14:textId="71605550" w:rsidR="009A184F" w:rsidRPr="00746ACE" w:rsidRDefault="00746ACE" w:rsidP="003530CB">
      <w:pPr>
        <w:rPr>
          <w:i/>
          <w:iCs/>
          <w:color w:val="000000" w:themeColor="text1"/>
        </w:rPr>
      </w:pPr>
    </w:p>
    <w:p w14:paraId="7AFE085D" w14:textId="77777777" w:rsidR="00D83295" w:rsidRPr="00746ACE" w:rsidRDefault="00746ACE" w:rsidP="003530CB">
      <w:pPr>
        <w:rPr>
          <w:i/>
          <w:iCs/>
          <w:color w:val="000000" w:themeColor="text1"/>
        </w:rPr>
      </w:pPr>
    </w:p>
    <w:p w14:paraId="17B5D247" w14:textId="7574F5A0" w:rsidR="009A184F" w:rsidRPr="00746ACE" w:rsidRDefault="00746ACE" w:rsidP="009A184F">
      <w:pPr>
        <w:jc w:val="center"/>
        <w:rPr>
          <w:b/>
          <w:bCs/>
          <w:i/>
          <w:iCs/>
          <w:color w:val="000000" w:themeColor="text1"/>
        </w:rPr>
      </w:pPr>
      <w:r w:rsidRPr="00746ACE">
        <w:rPr>
          <w:b/>
          <w:bCs/>
          <w:iCs/>
          <w:color w:val="000000" w:themeColor="text1"/>
        </w:rPr>
        <w:t>MIGUEL POLO ROSERO</w:t>
      </w:r>
    </w:p>
    <w:p w14:paraId="22FFFC61" w14:textId="7CE6902A" w:rsidR="009A184F" w:rsidRPr="00746ACE" w:rsidRDefault="00746ACE" w:rsidP="009A184F">
      <w:pPr>
        <w:jc w:val="center"/>
        <w:rPr>
          <w:b/>
          <w:bCs/>
          <w:i/>
          <w:iCs/>
          <w:color w:val="000000" w:themeColor="text1"/>
        </w:rPr>
      </w:pPr>
      <w:r w:rsidRPr="00746ACE">
        <w:rPr>
          <w:b/>
          <w:bCs/>
          <w:iCs/>
          <w:color w:val="000000" w:themeColor="text1"/>
        </w:rPr>
        <w:t>Magistrado</w:t>
      </w:r>
    </w:p>
    <w:p w14:paraId="343590F9" w14:textId="77777777" w:rsidR="009A184F" w:rsidRPr="00746ACE" w:rsidRDefault="00746ACE" w:rsidP="003530CB">
      <w:pPr>
        <w:rPr>
          <w:i/>
          <w:iCs/>
          <w:color w:val="000000" w:themeColor="text1"/>
        </w:rPr>
      </w:pPr>
    </w:p>
    <w:p w14:paraId="680DBB78" w14:textId="77777777" w:rsidR="000C365E" w:rsidRPr="00746ACE" w:rsidRDefault="00746ACE" w:rsidP="0045180F">
      <w:pPr>
        <w:pStyle w:val="Sinespaciado"/>
        <w:ind w:left="-567" w:right="-658"/>
        <w:jc w:val="center"/>
        <w:rPr>
          <w:b/>
          <w:color w:val="000000" w:themeColor="text1"/>
          <w:lang w:val="es-ES_tradnl"/>
        </w:rPr>
      </w:pPr>
    </w:p>
    <w:p w14:paraId="67D9190C" w14:textId="77777777" w:rsidR="000C365E" w:rsidRPr="00746ACE" w:rsidRDefault="00746ACE" w:rsidP="0045180F">
      <w:pPr>
        <w:pStyle w:val="Sinespaciado"/>
        <w:ind w:left="-567" w:right="-658"/>
        <w:jc w:val="center"/>
        <w:rPr>
          <w:b/>
          <w:color w:val="000000" w:themeColor="text1"/>
          <w:lang w:val="es-ES_tradnl"/>
        </w:rPr>
      </w:pPr>
    </w:p>
    <w:p w14:paraId="5ED17288" w14:textId="71DDDFA1" w:rsidR="0045180F" w:rsidRPr="00746ACE" w:rsidRDefault="00746ACE" w:rsidP="0045180F">
      <w:pPr>
        <w:pStyle w:val="Sinespaciado"/>
        <w:ind w:left="-567" w:right="-658"/>
        <w:jc w:val="center"/>
        <w:rPr>
          <w:b/>
          <w:color w:val="000000" w:themeColor="text1"/>
        </w:rPr>
      </w:pPr>
      <w:r w:rsidRPr="00746ACE">
        <w:rPr>
          <w:b/>
          <w:color w:val="000000" w:themeColor="text1"/>
          <w:lang w:val="es-ES_tradnl"/>
        </w:rPr>
        <w:t xml:space="preserve">ACLARACIÓN DE VOTO </w:t>
      </w:r>
      <w:r w:rsidRPr="00746ACE">
        <w:rPr>
          <w:b/>
          <w:color w:val="000000" w:themeColor="text1"/>
          <w:lang w:val="es-ES_tradnl"/>
        </w:rPr>
        <w:t xml:space="preserve">DEL </w:t>
      </w:r>
      <w:r w:rsidRPr="00746ACE">
        <w:rPr>
          <w:b/>
          <w:color w:val="000000" w:themeColor="text1"/>
        </w:rPr>
        <w:t>MAGISTRADO</w:t>
      </w:r>
    </w:p>
    <w:p w14:paraId="308FB08B" w14:textId="34774651" w:rsidR="00A353BB" w:rsidRPr="00746ACE" w:rsidRDefault="00746ACE" w:rsidP="0045180F">
      <w:pPr>
        <w:pStyle w:val="Sinespaciado"/>
        <w:ind w:left="-567" w:right="-658"/>
        <w:jc w:val="center"/>
        <w:rPr>
          <w:b/>
          <w:color w:val="000000" w:themeColor="text1"/>
        </w:rPr>
      </w:pPr>
      <w:r w:rsidRPr="00746ACE">
        <w:rPr>
          <w:b/>
          <w:color w:val="000000" w:themeColor="text1"/>
        </w:rPr>
        <w:t xml:space="preserve"> CARLOS CAMARGO ASSIS</w:t>
      </w:r>
    </w:p>
    <w:p w14:paraId="08DD18AA" w14:textId="302E8F53" w:rsidR="0045180F" w:rsidRPr="00746ACE" w:rsidRDefault="00746ACE" w:rsidP="0045180F">
      <w:pPr>
        <w:pStyle w:val="Sinespaciado"/>
        <w:ind w:left="-567" w:right="-658"/>
        <w:jc w:val="center"/>
        <w:rPr>
          <w:b/>
          <w:color w:val="000000" w:themeColor="text1"/>
        </w:rPr>
      </w:pPr>
      <w:r w:rsidRPr="00746ACE">
        <w:rPr>
          <w:b/>
          <w:color w:val="000000" w:themeColor="text1"/>
          <w:lang w:val="es-ES_tradnl"/>
        </w:rPr>
        <w:t>A LA SENTENCIA C-073/26</w:t>
      </w:r>
    </w:p>
    <w:p w14:paraId="2D203E01" w14:textId="50CF46FB" w:rsidR="00485598" w:rsidRPr="00746ACE" w:rsidRDefault="00746ACE" w:rsidP="00485598">
      <w:pPr>
        <w:spacing w:after="80"/>
        <w:jc w:val="center"/>
        <w:rPr>
          <w:b/>
          <w:bCs/>
          <w:u w:val="single"/>
        </w:rPr>
      </w:pPr>
    </w:p>
    <w:p w14:paraId="0CFCF032" w14:textId="77777777" w:rsidR="00A353BB" w:rsidRPr="00746ACE" w:rsidRDefault="00746ACE" w:rsidP="00485598">
      <w:pPr>
        <w:spacing w:after="80"/>
        <w:jc w:val="center"/>
      </w:pPr>
    </w:p>
    <w:p w14:paraId="5101AC56" w14:textId="77777777" w:rsidR="00485598" w:rsidRPr="00746ACE" w:rsidRDefault="00746ACE" w:rsidP="00EA5508">
      <w:pPr>
        <w:ind w:left="3828"/>
      </w:pPr>
      <w:r w:rsidRPr="00746ACE">
        <w:t xml:space="preserve">Ref.: </w:t>
      </w:r>
      <w:r w:rsidRPr="00746ACE">
        <w:t>Sentencia C-073 de 2026</w:t>
      </w:r>
      <w:r w:rsidRPr="00746ACE">
        <w:t xml:space="preserve">. </w:t>
      </w:r>
      <w:r w:rsidRPr="00746ACE">
        <w:t>Expediente D-16414</w:t>
      </w:r>
      <w:r w:rsidRPr="00746ACE">
        <w:t xml:space="preserve">. </w:t>
      </w:r>
    </w:p>
    <w:p w14:paraId="17658473" w14:textId="77777777" w:rsidR="0045180F" w:rsidRPr="00746ACE" w:rsidRDefault="00746ACE" w:rsidP="00EA5508">
      <w:pPr>
        <w:ind w:left="3828"/>
      </w:pPr>
    </w:p>
    <w:p w14:paraId="1DA9CC1F" w14:textId="5155BD03" w:rsidR="0051422C" w:rsidRPr="00746ACE" w:rsidRDefault="00746ACE" w:rsidP="00EA5508">
      <w:pPr>
        <w:ind w:left="3828"/>
      </w:pPr>
      <w:r w:rsidRPr="00746ACE">
        <w:t xml:space="preserve">Magistrada Ponente: Natalia </w:t>
      </w:r>
      <w:r w:rsidRPr="00746ACE">
        <w:t>Ángel Cabo</w:t>
      </w:r>
      <w:r w:rsidRPr="00746ACE">
        <w:t>.</w:t>
      </w:r>
    </w:p>
    <w:p w14:paraId="1608920A" w14:textId="77777777" w:rsidR="0051422C" w:rsidRPr="00746ACE" w:rsidRDefault="00746ACE">
      <w:pPr>
        <w:spacing w:after="120"/>
      </w:pPr>
    </w:p>
    <w:p w14:paraId="61D735C4" w14:textId="77777777" w:rsidR="0051422C" w:rsidRPr="00746ACE" w:rsidRDefault="00746ACE">
      <w:pPr>
        <w:spacing w:after="120"/>
      </w:pPr>
    </w:p>
    <w:p w14:paraId="108FBC4E" w14:textId="77777777" w:rsidR="00EA5508" w:rsidRPr="00746ACE" w:rsidRDefault="00746ACE" w:rsidP="0045180F">
      <w:pPr>
        <w:rPr>
          <w:lang w:val="es-CO"/>
        </w:rPr>
      </w:pPr>
      <w:r w:rsidRPr="00746ACE">
        <w:rPr>
          <w:lang w:val="es-CO"/>
        </w:rPr>
        <w:t>Con el acostumbrado respeto por las decisiones de la Sala Plena, el suscrito Magistrado presenta aclaración de voto en relación con la Sentencia C-073 de 2026, mediante la cual esta Corporación declaró inexequibles las reglas jurisprudenciales contenidas e</w:t>
      </w:r>
      <w:r w:rsidRPr="00746ACE">
        <w:rPr>
          <w:lang w:val="es-CO"/>
        </w:rPr>
        <w:t xml:space="preserve">n las Sentencias Interpretativas (SENIT) 5, 8 y 9 de la Sección de Apelación del Tribunal para la Paz, relativas a la denominada </w:t>
      </w:r>
      <w:r w:rsidRPr="00746ACE">
        <w:rPr>
          <w:i/>
          <w:iCs/>
          <w:lang w:val="es-CO"/>
        </w:rPr>
        <w:t>“selección de segundo orden”</w:t>
      </w:r>
      <w:r w:rsidRPr="00746ACE">
        <w:rPr>
          <w:lang w:val="es-CO"/>
        </w:rPr>
        <w:t xml:space="preserve"> y a la categoría de </w:t>
      </w:r>
      <w:r w:rsidRPr="00746ACE">
        <w:rPr>
          <w:i/>
          <w:iCs/>
          <w:lang w:val="es-CO"/>
        </w:rPr>
        <w:t>“responsabilidad del punto medio o cercana a la máxima”</w:t>
      </w:r>
      <w:r w:rsidRPr="00746ACE">
        <w:rPr>
          <w:lang w:val="es-CO"/>
        </w:rPr>
        <w:t>.</w:t>
      </w:r>
    </w:p>
    <w:p w14:paraId="28A2FC22" w14:textId="77777777" w:rsidR="0045180F" w:rsidRPr="00746ACE" w:rsidRDefault="00746ACE" w:rsidP="0045180F">
      <w:pPr>
        <w:rPr>
          <w:lang w:val="es-CO"/>
        </w:rPr>
      </w:pPr>
    </w:p>
    <w:p w14:paraId="7537BCEC" w14:textId="77777777" w:rsidR="00EA5508" w:rsidRPr="00746ACE" w:rsidRDefault="00746ACE" w:rsidP="0045180F">
      <w:pPr>
        <w:rPr>
          <w:lang w:val="es-CO"/>
        </w:rPr>
      </w:pPr>
      <w:r w:rsidRPr="00746ACE">
        <w:rPr>
          <w:lang w:val="es-CO"/>
        </w:rPr>
        <w:t>Sea lo primero aclar</w:t>
      </w:r>
      <w:r w:rsidRPr="00746ACE">
        <w:rPr>
          <w:lang w:val="es-CO"/>
        </w:rPr>
        <w:t>ar que el suscrito comparte plenamente el resultado: la declaratoria de inexequibilidad es correcta, necesaria y está bien fundamentada. La presente aclaración tampoco pretende corregir omisiones donde no las hay: en varios de los puntos que a continuación</w:t>
      </w:r>
      <w:r w:rsidRPr="00746ACE">
        <w:rPr>
          <w:lang w:val="es-CO"/>
        </w:rPr>
        <w:t xml:space="preserve"> se desarrollan, la propia Sala Plena sentó ya, en su parte considerativa, las premisas que aquí se sistematizan y se llevan a sus últimas consecuencias. En otros, en cambio, la sentencia dejó un vacío real que no fue cerrado y que, por su entidad, no pued</w:t>
      </w:r>
      <w:r w:rsidRPr="00746ACE">
        <w:rPr>
          <w:lang w:val="es-CO"/>
        </w:rPr>
        <w:t>e quedar sin registro. Con ese doble propósito -sistematizar lo dicho y señalar lo pendiente- el suscrito deja consignadas cuatro precisiones: (i) la naturaleza del vicio, que la propia Sala describe como un desbordamiento del marco de competencias y que d</w:t>
      </w:r>
      <w:r w:rsidRPr="00746ACE">
        <w:rPr>
          <w:lang w:val="es-CO"/>
        </w:rPr>
        <w:t>ebe nombrarse y tratarse, para todos los efectos, como una sustitución funcional de competencias constitucionales y legales; (ii) la incompatibilidad lógica entre la declaratoria de inexequibilidad y las fórmulas de deferencia que subsisten en la motivació</w:t>
      </w:r>
      <w:r w:rsidRPr="00746ACE">
        <w:rPr>
          <w:lang w:val="es-CO"/>
        </w:rPr>
        <w:t>n; (iii) la necesidad de precisar el estándar del principio de legalidad -</w:t>
      </w:r>
      <w:r w:rsidRPr="00746ACE">
        <w:rPr>
          <w:i/>
          <w:iCs/>
          <w:lang w:val="es-CO"/>
        </w:rPr>
        <w:t>nullum crimen, nulla poena, nulla competentia sine lege</w:t>
      </w:r>
      <w:r w:rsidRPr="00746ACE">
        <w:rPr>
          <w:lang w:val="es-CO"/>
        </w:rPr>
        <w:t>- en su dimensión reforzada para el ámbito procesal y competencial del sistema transicional, sistematizando así las propias sub</w:t>
      </w:r>
      <w:r w:rsidRPr="00746ACE">
        <w:rPr>
          <w:lang w:val="es-CO"/>
        </w:rPr>
        <w:t>reglas que la Sala fijó sobre el particular; y (iv) la existencia de un trato desigual entre comparecientes, no examinado por la Sala en el juicio de igualdad que sí realizó, y que impone un juicio de igualdad autónomo adicional, referido a la asimetría de</w:t>
      </w:r>
      <w:r w:rsidRPr="00746ACE">
        <w:rPr>
          <w:lang w:val="es-CO"/>
        </w:rPr>
        <w:t xml:space="preserve"> origen institucional entre comparecientes.</w:t>
      </w:r>
    </w:p>
    <w:p w14:paraId="5A46D272" w14:textId="77777777" w:rsidR="0045180F" w:rsidRPr="00746ACE" w:rsidRDefault="00746ACE" w:rsidP="0045180F">
      <w:pPr>
        <w:rPr>
          <w:lang w:val="es-CO"/>
        </w:rPr>
      </w:pPr>
    </w:p>
    <w:p w14:paraId="76579999" w14:textId="77777777" w:rsidR="00EA5508" w:rsidRPr="00746ACE" w:rsidRDefault="00746ACE" w:rsidP="0045180F">
      <w:pPr>
        <w:rPr>
          <w:b/>
          <w:bCs/>
          <w:lang w:val="es-CO"/>
        </w:rPr>
      </w:pPr>
      <w:r w:rsidRPr="00746ACE">
        <w:rPr>
          <w:b/>
          <w:bCs/>
          <w:lang w:val="es-CO"/>
        </w:rPr>
        <w:t>I. LA NATURALEZA DEL VICIO: SUSTITUCIÓN FUNCIONAL DE COMPETENCIAS</w:t>
      </w:r>
    </w:p>
    <w:p w14:paraId="41B8C5E5" w14:textId="77777777" w:rsidR="0045180F" w:rsidRPr="00746ACE" w:rsidRDefault="00746ACE" w:rsidP="0045180F">
      <w:pPr>
        <w:rPr>
          <w:lang w:val="es-CO"/>
        </w:rPr>
      </w:pPr>
    </w:p>
    <w:p w14:paraId="19AC8A21" w14:textId="77777777" w:rsidR="00EA5508" w:rsidRPr="00746ACE" w:rsidRDefault="00746ACE" w:rsidP="0045180F">
      <w:pPr>
        <w:rPr>
          <w:lang w:val="es-CO"/>
        </w:rPr>
      </w:pPr>
      <w:r w:rsidRPr="00746ACE">
        <w:rPr>
          <w:lang w:val="es-CO"/>
        </w:rPr>
        <w:t xml:space="preserve">La sentencia constata, con acierto, que atribuir a la Sala de Definición de Situaciones Jurídicas (SDSJ) la facultad de adelantar una selección </w:t>
      </w:r>
      <w:r w:rsidRPr="00746ACE">
        <w:rPr>
          <w:lang w:val="es-CO"/>
        </w:rPr>
        <w:t xml:space="preserve">de segundo orden “desborda el marco y distribución de competencias concebidas en la Ley Estatutaria de Administración de Justicia en la JEP (Ley 1957 de 2019)”. El suscrito comparte enteramente este diagnóstico y quiere, precisamente, tomarlo en serio: un </w:t>
      </w:r>
      <w:r w:rsidRPr="00746ACE">
        <w:rPr>
          <w:lang w:val="es-CO"/>
        </w:rPr>
        <w:t>desbordamiento de competencias entre órganos de una misma jurisdicción no es una categoría menor ni un simple exceso hermenéutico sobre el contenido de una norma; es, en estricto sentido dogmático, una sustitución funcional de competencias.</w:t>
      </w:r>
    </w:p>
    <w:p w14:paraId="01CD3B96" w14:textId="77777777" w:rsidR="0045180F" w:rsidRPr="00746ACE" w:rsidRDefault="00746ACE" w:rsidP="0045180F">
      <w:pPr>
        <w:rPr>
          <w:lang w:val="es-CO"/>
        </w:rPr>
      </w:pPr>
    </w:p>
    <w:p w14:paraId="0B3BDE19" w14:textId="77777777" w:rsidR="00EA5508" w:rsidRPr="00746ACE" w:rsidRDefault="00746ACE" w:rsidP="0045180F">
      <w:pPr>
        <w:rPr>
          <w:lang w:val="es-CO"/>
        </w:rPr>
      </w:pPr>
      <w:r w:rsidRPr="00746ACE">
        <w:rPr>
          <w:lang w:val="es-CO"/>
        </w:rPr>
        <w:t>La Sala de Rec</w:t>
      </w:r>
      <w:r w:rsidRPr="00746ACE">
        <w:rPr>
          <w:lang w:val="es-CO"/>
        </w:rPr>
        <w:t xml:space="preserve">onocimiento de Verdad, de Responsabilidad y de Determinación de los Hechos y Conductas (SRVR) tiene atribuida, de manera exclusiva y excluyente, la función de adelantar la selección positiva y global de máximos responsables, con fundamento en su capacidad </w:t>
      </w:r>
      <w:r w:rsidRPr="00746ACE">
        <w:rPr>
          <w:lang w:val="es-CO"/>
        </w:rPr>
        <w:t>institucional de análisis macrocriminal. La SDSJ, en cambio, fue diseñada para una selección individual y negativa, orientada a la verificación del régimen de condicionalidad y al otorgamiento de tratamientos no sancionatorios, no para revisar ni reabrir e</w:t>
      </w:r>
      <w:r w:rsidRPr="00746ACE">
        <w:rPr>
          <w:lang w:val="es-CO"/>
        </w:rPr>
        <w:t>l universo de sujetos que la SRVR decidió no llevar a juicio. Cuando la Sección de Apelación atribuyó a la SDSJ la facultad de remitir partícipes no determinantes a un trámite adversarial, no precisó el alcance de una competencia existente: trasladó a un ó</w:t>
      </w:r>
      <w:r w:rsidRPr="00746ACE">
        <w:rPr>
          <w:lang w:val="es-CO"/>
        </w:rPr>
        <w:t>rgano sin capacidad de análisis macrocriminal una función de selección positiva que la Ley Estatutaria reservó, en exclusiva, a la SRVR.</w:t>
      </w:r>
    </w:p>
    <w:p w14:paraId="240EBF9F" w14:textId="77777777" w:rsidR="0045180F" w:rsidRPr="00746ACE" w:rsidRDefault="00746ACE" w:rsidP="0045180F">
      <w:pPr>
        <w:rPr>
          <w:lang w:val="es-CO"/>
        </w:rPr>
      </w:pPr>
    </w:p>
    <w:p w14:paraId="12C40AD9" w14:textId="77777777" w:rsidR="00EA5508" w:rsidRPr="00746ACE" w:rsidRDefault="00746ACE" w:rsidP="0045180F">
      <w:pPr>
        <w:rPr>
          <w:lang w:val="es-CO"/>
        </w:rPr>
      </w:pPr>
      <w:r w:rsidRPr="00746ACE">
        <w:rPr>
          <w:lang w:val="es-CO"/>
        </w:rPr>
        <w:t>Esta calificación tiene una consecuencia práctica que la sola referencia al desbordamiento de competencias no hace exp</w:t>
      </w:r>
      <w:r w:rsidRPr="00746ACE">
        <w:rPr>
          <w:lang w:val="es-CO"/>
        </w:rPr>
        <w:t>lícita: mientras un exceso interpretativo puede, en principio, ser corregido por la misma vía con mayor rigor hermenéutico, una sustitución funcional de competencias entre salas altera la arquitectura del sistema y solo puede ser corregida por el legislado</w:t>
      </w:r>
      <w:r w:rsidRPr="00746ACE">
        <w:rPr>
          <w:lang w:val="es-CO"/>
        </w:rPr>
        <w:t>r estatutario o, como aquí ocurrió, por el control de constitucionalidad. De ahí que la cosa juzgada de esta sentencia deba proyectarse, como en efecto lo hace el apartado “Alcance de la decisión”, sobre cualquier reconstrucción funcional que reproduzca el</w:t>
      </w:r>
      <w:r w:rsidRPr="00746ACE">
        <w:rPr>
          <w:lang w:val="es-CO"/>
        </w:rPr>
        <w:t xml:space="preserve"> mismo efecto, y no solamente sobre los enunciados textuales de las Senit 5, 8 y 9.</w:t>
      </w:r>
    </w:p>
    <w:p w14:paraId="1BB34185" w14:textId="77777777" w:rsidR="0045180F" w:rsidRPr="00746ACE" w:rsidRDefault="00746ACE" w:rsidP="0045180F">
      <w:pPr>
        <w:rPr>
          <w:lang w:val="es-CO"/>
        </w:rPr>
      </w:pPr>
    </w:p>
    <w:p w14:paraId="05E0EF4B" w14:textId="77777777" w:rsidR="00EA5508" w:rsidRPr="00746ACE" w:rsidRDefault="00746ACE" w:rsidP="0045180F">
      <w:pPr>
        <w:rPr>
          <w:lang w:val="es-CO"/>
        </w:rPr>
      </w:pPr>
      <w:r w:rsidRPr="00746ACE">
        <w:rPr>
          <w:lang w:val="es-CO"/>
        </w:rPr>
        <w:t xml:space="preserve">El suscrito considera, en consecuencia, que la sentencia debió nombrar expresamente esta figura como lo que es -una sustitución funcional de competencias constitucionales </w:t>
      </w:r>
      <w:r w:rsidRPr="00746ACE">
        <w:rPr>
          <w:lang w:val="es-CO"/>
        </w:rPr>
        <w:t>y legales-, no solo como garantía de rigor conceptual, sino porque de esa calificación se sigue una regla adicional para el futuro: ninguna sentencia interpretativa de la Sección de Apelación puede, por esa misma vía, reasignar entre salas y secciones de l</w:t>
      </w:r>
      <w:r w:rsidRPr="00746ACE">
        <w:rPr>
          <w:lang w:val="es-CO"/>
        </w:rPr>
        <w:t>a JEP las funciones que la Ley 1957 de 2019 les atribuyó en exclusiva; solo el legislador estatutario puede hacerlo.</w:t>
      </w:r>
    </w:p>
    <w:p w14:paraId="62E90BF4" w14:textId="77777777" w:rsidR="0045180F" w:rsidRPr="00746ACE" w:rsidRDefault="00746ACE" w:rsidP="0045180F">
      <w:pPr>
        <w:rPr>
          <w:lang w:val="es-CO"/>
        </w:rPr>
      </w:pPr>
    </w:p>
    <w:p w14:paraId="2148B629" w14:textId="77777777" w:rsidR="00EA5508" w:rsidRPr="00746ACE" w:rsidRDefault="00746ACE" w:rsidP="0045180F">
      <w:pPr>
        <w:rPr>
          <w:b/>
          <w:bCs/>
          <w:lang w:val="es-CO"/>
        </w:rPr>
      </w:pPr>
      <w:r w:rsidRPr="00746ACE">
        <w:rPr>
          <w:b/>
          <w:bCs/>
          <w:lang w:val="es-CO"/>
        </w:rPr>
        <w:t>II. LA INCOMPATIBILIDAD LÓGICA ENTRE LA DECLARATORIA DE INEXEQUIBILIDAD Y LAS FÓRMULAS DE DEFERENCIA</w:t>
      </w:r>
    </w:p>
    <w:p w14:paraId="3D5A602F" w14:textId="77777777" w:rsidR="0045180F" w:rsidRPr="00746ACE" w:rsidRDefault="00746ACE" w:rsidP="0045180F">
      <w:pPr>
        <w:rPr>
          <w:lang w:val="es-CO"/>
        </w:rPr>
      </w:pPr>
    </w:p>
    <w:p w14:paraId="03588FE1" w14:textId="77777777" w:rsidR="0045180F" w:rsidRPr="00746ACE" w:rsidRDefault="00746ACE" w:rsidP="0045180F">
      <w:pPr>
        <w:rPr>
          <w:lang w:val="es-CO"/>
        </w:rPr>
      </w:pPr>
      <w:r w:rsidRPr="00746ACE">
        <w:rPr>
          <w:lang w:val="es-CO"/>
        </w:rPr>
        <w:t>La motivación de la sentencia reafir</w:t>
      </w:r>
      <w:r w:rsidRPr="00746ACE">
        <w:rPr>
          <w:lang w:val="es-CO"/>
        </w:rPr>
        <w:t xml:space="preserve">ma, en distintos apartados, que </w:t>
      </w:r>
      <w:r w:rsidRPr="00746ACE">
        <w:rPr>
          <w:i/>
          <w:iCs/>
          <w:lang w:val="es-CO"/>
        </w:rPr>
        <w:t>“la Corte debe preservar un amplio margen de interpretación de las normas del sistema transicional restaurativo... en especial, cuando las decisiones las adopta su órgano de cierre, la Sección de Apelación”</w:t>
      </w:r>
      <w:r w:rsidRPr="00746ACE">
        <w:rPr>
          <w:lang w:val="es-CO"/>
        </w:rPr>
        <w:t>. Y, al entrar exa</w:t>
      </w:r>
      <w:r w:rsidRPr="00746ACE">
        <w:rPr>
          <w:lang w:val="es-CO"/>
        </w:rPr>
        <w:t xml:space="preserve">ctamente al análisis de la responsabilidad del punto medio -la figura que momentos después declara inconstitucional-, la Sala Plena </w:t>
      </w:r>
      <w:r w:rsidRPr="00746ACE">
        <w:rPr>
          <w:i/>
          <w:iCs/>
          <w:lang w:val="es-CO"/>
        </w:rPr>
        <w:t>“inició su análisis anunciando deferencia hacia la Sección de Apelación, como órgano de cierre hermenéutico de la JEP”.</w:t>
      </w:r>
      <w:r w:rsidRPr="00746ACE">
        <w:rPr>
          <w:lang w:val="es-CO"/>
        </w:rPr>
        <w:t xml:space="preserve"> El s</w:t>
      </w:r>
      <w:r w:rsidRPr="00746ACE">
        <w:rPr>
          <w:lang w:val="es-CO"/>
        </w:rPr>
        <w:t>uscrito considera que esta secuencia es lógicamente problemática y que, de no precisarse, puede debilitar la eficacia material de la cosa juzgada.</w:t>
      </w:r>
    </w:p>
    <w:p w14:paraId="12D24B70" w14:textId="77777777" w:rsidR="0045180F" w:rsidRPr="00746ACE" w:rsidRDefault="00746ACE" w:rsidP="0045180F">
      <w:pPr>
        <w:rPr>
          <w:lang w:val="es-CO"/>
        </w:rPr>
      </w:pPr>
    </w:p>
    <w:p w14:paraId="5CB3EFEB" w14:textId="77946421" w:rsidR="00EA5508" w:rsidRPr="00746ACE" w:rsidRDefault="00746ACE" w:rsidP="0045180F">
      <w:pPr>
        <w:rPr>
          <w:lang w:val="es-CO"/>
        </w:rPr>
      </w:pPr>
      <w:r w:rsidRPr="00746ACE">
        <w:rPr>
          <w:lang w:val="es-CO"/>
        </w:rPr>
        <w:t>La deferencia judicial tiene su lugar propio: opera frente a órganos que han actuado dentro del margen que l</w:t>
      </w:r>
      <w:r w:rsidRPr="00746ACE">
        <w:rPr>
          <w:lang w:val="es-CO"/>
        </w:rPr>
        <w:t>a Constitución y la ley les confieren, cuando existe incertidumbre razonable sobre el contenido de ese margen. Cuando, por el contrario, el órgano ha desbordado ese margen -como aquí se declara expresamente, poco después de anunciar la deferencia-, anticip</w:t>
      </w:r>
      <w:r w:rsidRPr="00746ACE">
        <w:rPr>
          <w:lang w:val="es-CO"/>
        </w:rPr>
        <w:t>arla en el mismo desarrollo argumentativo que conduce a la inexequibilidad produce un mensaje ambivalente: el órgano cuya interpretación se expulsa recibe, en el mismo acápite, la señal de que su condición de intérprete autorizado y su margen amplio perman</w:t>
      </w:r>
      <w:r w:rsidRPr="00746ACE">
        <w:rPr>
          <w:lang w:val="es-CO"/>
        </w:rPr>
        <w:t>ecen incólumes de cara a futuros ejercicios sobre el mismo objeto. Ese mensaje ambivalente es, precisamente, el que ha acompañado la sucesión de las Senit 5, 8 y 9, cada una formulada bajo la premisa de que se ejercía un margen interpretativo legítimo.</w:t>
      </w:r>
    </w:p>
    <w:p w14:paraId="5592AA90" w14:textId="77777777" w:rsidR="0045180F" w:rsidRPr="00746ACE" w:rsidRDefault="00746ACE" w:rsidP="0045180F">
      <w:pPr>
        <w:rPr>
          <w:lang w:val="es-CO"/>
        </w:rPr>
      </w:pPr>
    </w:p>
    <w:p w14:paraId="7E07E182" w14:textId="77777777" w:rsidR="00EA5508" w:rsidRPr="00746ACE" w:rsidRDefault="00746ACE" w:rsidP="0045180F">
      <w:pPr>
        <w:rPr>
          <w:lang w:val="es-CO"/>
        </w:rPr>
      </w:pPr>
      <w:r w:rsidRPr="00746ACE">
        <w:rPr>
          <w:lang w:val="es-CO"/>
        </w:rPr>
        <w:t>El</w:t>
      </w:r>
      <w:r w:rsidRPr="00746ACE">
        <w:rPr>
          <w:lang w:val="es-CO"/>
        </w:rPr>
        <w:t xml:space="preserve"> control de constitucionalidad sobre decisiones con efectos normativos generales debe ejercerse con plena normalidad e intensidad. Esto no implica desconocer la relevancia institucional de la Sección de Apelación como órgano de cierre hermenéutico de la JE</w:t>
      </w:r>
      <w:r w:rsidRPr="00746ACE">
        <w:rPr>
          <w:lang w:val="es-CO"/>
        </w:rPr>
        <w:t xml:space="preserve">P, función que el suscrito comparte sin reservas debe preservarse en todo aquello que no haya sido objeto de esta declaratoria. Implica, simplemente, que la deferencia debe formularse como lo hace la propia sentencia en sus subreglas de cierre -limitada a </w:t>
      </w:r>
      <w:r w:rsidRPr="00746ACE">
        <w:rPr>
          <w:lang w:val="es-CO"/>
        </w:rPr>
        <w:t>la adecuación de la conducta, la comprensión del daño y las reglas procedimentales-, y no como una fórmula genérica que preceda, sin matices, al análisis del vicio específicamente examinado y encontrado.</w:t>
      </w:r>
    </w:p>
    <w:p w14:paraId="622487BC" w14:textId="77777777" w:rsidR="0045180F" w:rsidRPr="00746ACE" w:rsidRDefault="00746ACE" w:rsidP="0045180F">
      <w:pPr>
        <w:rPr>
          <w:lang w:val="es-CO"/>
        </w:rPr>
      </w:pPr>
    </w:p>
    <w:p w14:paraId="0F6341F3" w14:textId="77777777" w:rsidR="00EA5508" w:rsidRPr="00746ACE" w:rsidRDefault="00746ACE" w:rsidP="0045180F">
      <w:pPr>
        <w:rPr>
          <w:b/>
          <w:bCs/>
          <w:i/>
          <w:iCs/>
          <w:lang w:val="es-CO"/>
        </w:rPr>
      </w:pPr>
      <w:r w:rsidRPr="00746ACE">
        <w:rPr>
          <w:b/>
          <w:bCs/>
          <w:lang w:val="es-CO"/>
        </w:rPr>
        <w:t>III. EL PRINCIPIO DE LEGALIDAD EN SU DIMENSIÓN REFO</w:t>
      </w:r>
      <w:r w:rsidRPr="00746ACE">
        <w:rPr>
          <w:b/>
          <w:bCs/>
          <w:lang w:val="es-CO"/>
        </w:rPr>
        <w:t>RZADA</w:t>
      </w:r>
      <w:r w:rsidRPr="00746ACE">
        <w:rPr>
          <w:b/>
          <w:bCs/>
          <w:i/>
          <w:iCs/>
          <w:lang w:val="es-CO"/>
        </w:rPr>
        <w:t>: NULLUM CRIMEN, NULLA POENA, NULLA COMPETENTIA SINE LEGE</w:t>
      </w:r>
    </w:p>
    <w:p w14:paraId="4EF1407D" w14:textId="77777777" w:rsidR="0045180F" w:rsidRPr="00746ACE" w:rsidRDefault="00746ACE" w:rsidP="0045180F">
      <w:pPr>
        <w:rPr>
          <w:lang w:val="es-CO"/>
        </w:rPr>
      </w:pPr>
    </w:p>
    <w:p w14:paraId="6DE5B55B" w14:textId="77777777" w:rsidR="00EA5508" w:rsidRPr="00746ACE" w:rsidRDefault="00746ACE" w:rsidP="0045180F">
      <w:pPr>
        <w:rPr>
          <w:lang w:val="es-CO"/>
        </w:rPr>
      </w:pPr>
      <w:r w:rsidRPr="00746ACE">
        <w:rPr>
          <w:lang w:val="es-CO"/>
        </w:rPr>
        <w:t xml:space="preserve">La sentencia fija, con acierto, tres subreglas sobre la potestad interpretativa de la Sección de Apelación: (i) que dicha facultad encuentra un límite definitivo en el principio constitucional y transicional de selección; (ii) que la Sección debe respetar </w:t>
      </w:r>
      <w:r w:rsidRPr="00746ACE">
        <w:rPr>
          <w:lang w:val="es-CO"/>
        </w:rPr>
        <w:t>la Ley Estatutaria en lo relativo a los criterios de selección y las funciones de salas y secciones, aunque conserva su facultad ordinaria de interpretación frente a dudas, vacíos o contradicciones; y (iii) que la JEP cuenta con un margen más amplio de int</w:t>
      </w:r>
      <w:r w:rsidRPr="00746ACE">
        <w:rPr>
          <w:lang w:val="es-CO"/>
        </w:rPr>
        <w:t xml:space="preserve">erpretación en asuntos propios de la transición, como la adecuación de la conducta o la participación en los crímenes, así como en las reglas procedimentales del sistema. El suscrito comparte enteramente esta arquitectura y considera que merece ser leída, </w:t>
      </w:r>
      <w:r w:rsidRPr="00746ACE">
        <w:rPr>
          <w:lang w:val="es-CO"/>
        </w:rPr>
        <w:t xml:space="preserve">y aplicada en el futuro, bajo la fórmula que el derecho penal internacional y el derecho constitucional comparado ya han decantado: </w:t>
      </w:r>
      <w:r w:rsidRPr="00746ACE">
        <w:rPr>
          <w:i/>
          <w:iCs/>
          <w:lang w:val="es-CO"/>
        </w:rPr>
        <w:t>nullum crimen, nulla poena, nulla competentia sine lege</w:t>
      </w:r>
      <w:r w:rsidRPr="00746ACE">
        <w:rPr>
          <w:lang w:val="es-CO"/>
        </w:rPr>
        <w:t>.</w:t>
      </w:r>
    </w:p>
    <w:p w14:paraId="009A646C" w14:textId="77777777" w:rsidR="0045180F" w:rsidRPr="00746ACE" w:rsidRDefault="00746ACE" w:rsidP="0045180F">
      <w:pPr>
        <w:rPr>
          <w:lang w:val="es-CO"/>
        </w:rPr>
      </w:pPr>
    </w:p>
    <w:p w14:paraId="206B5919" w14:textId="77777777" w:rsidR="00EA5508" w:rsidRPr="00746ACE" w:rsidRDefault="00746ACE" w:rsidP="0045180F">
      <w:pPr>
        <w:rPr>
          <w:lang w:val="es-CO"/>
        </w:rPr>
      </w:pPr>
      <w:r w:rsidRPr="00746ACE">
        <w:rPr>
          <w:lang w:val="es-CO"/>
        </w:rPr>
        <w:t>El principio de legalidad admite, en efecto, un contenido flexible</w:t>
      </w:r>
      <w:r w:rsidRPr="00746ACE">
        <w:rPr>
          <w:lang w:val="es-CO"/>
        </w:rPr>
        <w:t xml:space="preserve"> en el ámbito de la tipificación de crímenes internacionales. El Estatuto de Roma reconoce que el </w:t>
      </w:r>
      <w:r w:rsidRPr="00746ACE">
        <w:rPr>
          <w:i/>
          <w:iCs/>
          <w:lang w:val="es-CO"/>
        </w:rPr>
        <w:t>nullum crimen sine lege</w:t>
      </w:r>
      <w:r w:rsidRPr="00746ACE">
        <w:rPr>
          <w:lang w:val="es-CO"/>
        </w:rPr>
        <w:t xml:space="preserve"> se satisface, en ese terreno, mediante la fórmula ampliada del </w:t>
      </w:r>
      <w:r w:rsidRPr="00746ACE">
        <w:rPr>
          <w:i/>
          <w:iCs/>
          <w:lang w:val="es-CO"/>
        </w:rPr>
        <w:t>nullum crimen sine iure</w:t>
      </w:r>
      <w:r w:rsidRPr="00746ACE">
        <w:rPr>
          <w:lang w:val="es-CO"/>
        </w:rPr>
        <w:t>, que habilita a los tribunales a caracterizar c</w:t>
      </w:r>
      <w:r w:rsidRPr="00746ACE">
        <w:rPr>
          <w:lang w:val="es-CO"/>
        </w:rPr>
        <w:t>onductas conforme a fuentes que exceden la ley formal cuando el derecho interno es insuficiente; y el Tribunal Penal Internacional para la ex Yugoslavia precisó que esa flexibilidad permite precisar el contenido de un tipo preexistente, pero no autoriza la</w:t>
      </w:r>
      <w:r w:rsidRPr="00746ACE">
        <w:rPr>
          <w:lang w:val="es-CO"/>
        </w:rPr>
        <w:t xml:space="preserve"> creación </w:t>
      </w:r>
      <w:r w:rsidRPr="00746ACE">
        <w:rPr>
          <w:i/>
          <w:iCs/>
          <w:lang w:val="es-CO"/>
        </w:rPr>
        <w:t>ex post</w:t>
      </w:r>
      <w:r w:rsidRPr="00746ACE">
        <w:rPr>
          <w:lang w:val="es-CO"/>
        </w:rPr>
        <w:t xml:space="preserve"> de categorías de responsabilidad o de competencias no previstas normativamente. La Corte Interamericana de Derechos Humanos, por su parte, ha reafirmado que el principio de legalidad -en su dimensión de </w:t>
      </w:r>
      <w:r w:rsidRPr="00746ACE">
        <w:rPr>
          <w:i/>
          <w:iCs/>
          <w:lang w:val="es-CO"/>
        </w:rPr>
        <w:t>nullum crimen sine lege scripta, st</w:t>
      </w:r>
      <w:r w:rsidRPr="00746ACE">
        <w:rPr>
          <w:i/>
          <w:iCs/>
          <w:lang w:val="es-CO"/>
        </w:rPr>
        <w:t>ricta et praevia</w:t>
      </w:r>
      <w:r w:rsidRPr="00746ACE">
        <w:rPr>
          <w:lang w:val="es-CO"/>
        </w:rPr>
        <w:t>- constituye una garantía inderogable del Estado de Derecho, aplicable también en contextos de justicia transicional.</w:t>
      </w:r>
    </w:p>
    <w:p w14:paraId="4E4D40A7" w14:textId="77777777" w:rsidR="0045180F" w:rsidRPr="00746ACE" w:rsidRDefault="00746ACE" w:rsidP="0045180F">
      <w:pPr>
        <w:rPr>
          <w:lang w:val="es-CO"/>
        </w:rPr>
      </w:pPr>
    </w:p>
    <w:p w14:paraId="5145E36E" w14:textId="77777777" w:rsidR="00EA5508" w:rsidRPr="00746ACE" w:rsidRDefault="00746ACE" w:rsidP="0045180F">
      <w:pPr>
        <w:rPr>
          <w:lang w:val="es-CO"/>
        </w:rPr>
      </w:pPr>
      <w:r w:rsidRPr="00746ACE">
        <w:rPr>
          <w:lang w:val="es-CO"/>
        </w:rPr>
        <w:t>Esta flexibilidad, sin embargo, no se extiende al ámbito procesal y competencial, precisamente el terreno que ocupa la su</w:t>
      </w:r>
      <w:r w:rsidRPr="00746ACE">
        <w:rPr>
          <w:lang w:val="es-CO"/>
        </w:rPr>
        <w:t>bregla (ii) fijada por la Sala. La flexibilidad del principio de legalidad transicional opera hacia adentro del tipo penal y de la sanción propia, para permitir la adecuación de crímenes internacionales al ordenamiento interno; no opera hacia afuera del ti</w:t>
      </w:r>
      <w:r w:rsidRPr="00746ACE">
        <w:rPr>
          <w:lang w:val="es-CO"/>
        </w:rPr>
        <w:t>po, para crear competencias procesales, categorías de responsabilidad o rutas de activación del trámite adversarial que la ley estatutaria no contempla. En ese segundo ámbito el estándar es reforzado, no laxo, y así lo reconoce implícitamente la propia sen</w:t>
      </w:r>
      <w:r w:rsidRPr="00746ACE">
        <w:rPr>
          <w:lang w:val="es-CO"/>
        </w:rPr>
        <w:t xml:space="preserve">tencia cuando exige que la Sección de Apelación respete </w:t>
      </w:r>
      <w:r w:rsidRPr="00746ACE">
        <w:rPr>
          <w:i/>
          <w:iCs/>
          <w:lang w:val="es-CO"/>
        </w:rPr>
        <w:t>“los criterios de selección y las funciones que allí se definen para las salas y secciones de la JEP”</w:t>
      </w:r>
      <w:r w:rsidRPr="00746ACE">
        <w:rPr>
          <w:lang w:val="es-CO"/>
        </w:rPr>
        <w:t xml:space="preserve"> con independencia de la amplitud que se le reconozca en otras materias.</w:t>
      </w:r>
    </w:p>
    <w:p w14:paraId="5BD2F856" w14:textId="77777777" w:rsidR="0045180F" w:rsidRPr="00746ACE" w:rsidRDefault="00746ACE" w:rsidP="0045180F">
      <w:pPr>
        <w:rPr>
          <w:lang w:val="es-CO"/>
        </w:rPr>
      </w:pPr>
    </w:p>
    <w:p w14:paraId="0132DA84" w14:textId="77777777" w:rsidR="00EA5508" w:rsidRPr="00746ACE" w:rsidRDefault="00746ACE" w:rsidP="0045180F">
      <w:pPr>
        <w:rPr>
          <w:lang w:val="es-CO"/>
        </w:rPr>
      </w:pPr>
      <w:r w:rsidRPr="00746ACE">
        <w:rPr>
          <w:lang w:val="es-CO"/>
        </w:rPr>
        <w:t xml:space="preserve">La categoría de </w:t>
      </w:r>
      <w:r w:rsidRPr="00746ACE">
        <w:rPr>
          <w:i/>
          <w:iCs/>
          <w:lang w:val="es-CO"/>
        </w:rPr>
        <w:t>“responsa</w:t>
      </w:r>
      <w:r w:rsidRPr="00746ACE">
        <w:rPr>
          <w:i/>
          <w:iCs/>
          <w:lang w:val="es-CO"/>
        </w:rPr>
        <w:t>bilidad del punto medio o cercana a la máxima”</w:t>
      </w:r>
      <w:r w:rsidRPr="00746ACE">
        <w:rPr>
          <w:lang w:val="es-CO"/>
        </w:rPr>
        <w:t xml:space="preserve"> ilustra con exactitud por qué este estándar reforzado era exigible: no describe un tipo penal ni gradúa una pena ya prevista; crea un umbral de responsabilidad que habilita una ruta procesal -la adversarial- c</w:t>
      </w:r>
      <w:r w:rsidRPr="00746ACE">
        <w:rPr>
          <w:lang w:val="es-CO"/>
        </w:rPr>
        <w:t xml:space="preserve">on consecuencias sancionatorias de hasta quince a veinte años de privación de libertad. Construir ese umbral por vía jurisprudencial, sin respaldo legal, viola simultáneamente el </w:t>
      </w:r>
      <w:r w:rsidRPr="00746ACE">
        <w:rPr>
          <w:i/>
          <w:iCs/>
          <w:lang w:val="es-CO"/>
        </w:rPr>
        <w:t>nullum crimen sine lege</w:t>
      </w:r>
      <w:r w:rsidRPr="00746ACE">
        <w:rPr>
          <w:lang w:val="es-CO"/>
        </w:rPr>
        <w:t xml:space="preserve"> (al crear un criterio de imputación no tipificado), e</w:t>
      </w:r>
      <w:r w:rsidRPr="00746ACE">
        <w:rPr>
          <w:lang w:val="es-CO"/>
        </w:rPr>
        <w:t xml:space="preserve">l </w:t>
      </w:r>
      <w:r w:rsidRPr="00746ACE">
        <w:rPr>
          <w:i/>
          <w:iCs/>
          <w:lang w:val="es-CO"/>
        </w:rPr>
        <w:t>nulla poena sine lege</w:t>
      </w:r>
      <w:r w:rsidRPr="00746ACE">
        <w:rPr>
          <w:lang w:val="es-CO"/>
        </w:rPr>
        <w:t xml:space="preserve"> (al habilitar una sanción ordinaria mediante un criterio no previsto legalmente) y lo que el suscrito propone denominar </w:t>
      </w:r>
      <w:r w:rsidRPr="00746ACE">
        <w:rPr>
          <w:i/>
          <w:iCs/>
          <w:lang w:val="es-CO"/>
        </w:rPr>
        <w:t>nulla competentia sine lege</w:t>
      </w:r>
      <w:r w:rsidRPr="00746ACE">
        <w:rPr>
          <w:lang w:val="es-CO"/>
        </w:rPr>
        <w:t xml:space="preserve"> (al reasignar, sin ley que lo autorice, una función de selección positiva a un órgan</w:t>
      </w:r>
      <w:r w:rsidRPr="00746ACE">
        <w:rPr>
          <w:lang w:val="es-CO"/>
        </w:rPr>
        <w:t>o que no la tiene). Nombrar esta tercera dimensión con el mismo rigor que las dos primeras evitaría que, en el futuro, una figura de esta naturaleza sea defendida invocando únicamente la flexibilidad admisible en materia de tipificación, cuando en realidad</w:t>
      </w:r>
      <w:r w:rsidRPr="00746ACE">
        <w:rPr>
          <w:lang w:val="es-CO"/>
        </w:rPr>
        <w:t xml:space="preserve"> compromete la distribución de competencias.</w:t>
      </w:r>
    </w:p>
    <w:p w14:paraId="26AD3E62" w14:textId="77777777" w:rsidR="0045180F" w:rsidRPr="00746ACE" w:rsidRDefault="00746ACE" w:rsidP="0045180F">
      <w:pPr>
        <w:rPr>
          <w:lang w:val="es-CO"/>
        </w:rPr>
      </w:pPr>
    </w:p>
    <w:p w14:paraId="16F5AE7B" w14:textId="77777777" w:rsidR="00EA5508" w:rsidRPr="00746ACE" w:rsidRDefault="00746ACE" w:rsidP="0045180F">
      <w:pPr>
        <w:rPr>
          <w:b/>
          <w:bCs/>
          <w:lang w:val="es-CO"/>
        </w:rPr>
      </w:pPr>
      <w:r w:rsidRPr="00746ACE">
        <w:rPr>
          <w:b/>
          <w:bCs/>
          <w:lang w:val="es-CO"/>
        </w:rPr>
        <w:t>IV. EL JUICIO DE IGUALDAD: LA ASIMETRÍA DE ORIGEN INSTITUCIONAL, UN CARGO NO EXAMINADO</w:t>
      </w:r>
    </w:p>
    <w:p w14:paraId="0BB7137C" w14:textId="77777777" w:rsidR="0045180F" w:rsidRPr="00746ACE" w:rsidRDefault="00746ACE" w:rsidP="0045180F">
      <w:pPr>
        <w:rPr>
          <w:lang w:val="es-CO"/>
        </w:rPr>
      </w:pPr>
    </w:p>
    <w:p w14:paraId="6A3364D2" w14:textId="77777777" w:rsidR="00EA5508" w:rsidRPr="00746ACE" w:rsidRDefault="00746ACE" w:rsidP="0045180F">
      <w:pPr>
        <w:rPr>
          <w:lang w:val="es-CO"/>
        </w:rPr>
      </w:pPr>
      <w:r w:rsidRPr="00746ACE">
        <w:rPr>
          <w:lang w:val="es-CO"/>
        </w:rPr>
        <w:t>La sentencia sí aplicó, con acierto metodológico, un juicio de igualdad en nivel estricto para examinar si el trato dado a</w:t>
      </w:r>
      <w:r w:rsidRPr="00746ACE">
        <w:rPr>
          <w:lang w:val="es-CO"/>
        </w:rPr>
        <w:t xml:space="preserve"> los partícipes no determinantes vulneraba el artículo 13 de la Constitución, y concluyó que estos no son sujetos comparables con los máximos responsables, pues estos últimos cumplieron sus cargas de verdad y reconocimiento y aquellos no. El suscrito no ob</w:t>
      </w:r>
      <w:r w:rsidRPr="00746ACE">
        <w:rPr>
          <w:lang w:val="es-CO"/>
        </w:rPr>
        <w:t xml:space="preserve">jeta esa conclusión, que comparte. Su reparo es distinto: ese juicio de igualdad, correctamente formulado entre máximos responsables y partícipes no determinantes como categorías abstractas, no fue el único que la demanda y el propio expediente ofrecían a </w:t>
      </w:r>
      <w:r w:rsidRPr="00746ACE">
        <w:rPr>
          <w:lang w:val="es-CO"/>
        </w:rPr>
        <w:t>la Sala Plena, y el que quedó pendiente es, para efectos institucionales, el más delicado.</w:t>
      </w:r>
    </w:p>
    <w:p w14:paraId="22A55CD8" w14:textId="77777777" w:rsidR="0045180F" w:rsidRPr="00746ACE" w:rsidRDefault="00746ACE" w:rsidP="0045180F">
      <w:pPr>
        <w:rPr>
          <w:lang w:val="es-CO"/>
        </w:rPr>
      </w:pPr>
    </w:p>
    <w:p w14:paraId="50AFC436" w14:textId="77777777" w:rsidR="00EA5508" w:rsidRPr="00746ACE" w:rsidRDefault="00746ACE" w:rsidP="0045180F">
      <w:pPr>
        <w:rPr>
          <w:lang w:val="es-CO"/>
        </w:rPr>
      </w:pPr>
      <w:r w:rsidRPr="00746ACE">
        <w:rPr>
          <w:lang w:val="es-CO"/>
        </w:rPr>
        <w:t xml:space="preserve">Durante la audiencia pública, tanto intervinientes como los propios magistrados de esta Corporación indagaron expresamente por las </w:t>
      </w:r>
      <w:r w:rsidRPr="00746ACE">
        <w:rPr>
          <w:i/>
          <w:iCs/>
          <w:lang w:val="es-CO"/>
        </w:rPr>
        <w:t>“advertencias de diferencias de t</w:t>
      </w:r>
      <w:r w:rsidRPr="00746ACE">
        <w:rPr>
          <w:i/>
          <w:iCs/>
          <w:lang w:val="es-CO"/>
        </w:rPr>
        <w:t>rato entre comparecientes de las FARC y de la Fuerza Pública”</w:t>
      </w:r>
      <w:r w:rsidRPr="00746ACE">
        <w:rPr>
          <w:lang w:val="es-CO"/>
        </w:rPr>
        <w:t>; otras intervenciones señalaron la percepción de que la Jurisdicción Especial para la Paz exige a los miembros de la Fuerza Pública estándares de verdad más estrictos que a los excombatientes de</w:t>
      </w:r>
      <w:r w:rsidRPr="00746ACE">
        <w:rPr>
          <w:lang w:val="es-CO"/>
        </w:rPr>
        <w:t xml:space="preserve"> las FARC-EP. Ese cuestionamiento -sobre si la selección de segundo orden operó, en la práctica, de manera asimétrica entre comparecientes según su origen institucional y no según la gravedad de su conducta- quedó formulado en el expediente, pero no fue ob</w:t>
      </w:r>
      <w:r w:rsidRPr="00746ACE">
        <w:rPr>
          <w:lang w:val="es-CO"/>
        </w:rPr>
        <w:t>jeto de un juicio de igualdad autónomo en la parte motiva, que se limitó a comparar máximos responsables con partícipes no determinantes sin descender a examinar si, dentro de este último grupo, el criterio de distribución real coincidía con el criterio no</w:t>
      </w:r>
      <w:r w:rsidRPr="00746ACE">
        <w:rPr>
          <w:lang w:val="es-CO"/>
        </w:rPr>
        <w:t>rmativo de distribución.</w:t>
      </w:r>
    </w:p>
    <w:p w14:paraId="1CF363BF" w14:textId="77777777" w:rsidR="0045180F" w:rsidRPr="00746ACE" w:rsidRDefault="00746ACE" w:rsidP="0045180F">
      <w:pPr>
        <w:rPr>
          <w:lang w:val="es-CO"/>
        </w:rPr>
      </w:pPr>
    </w:p>
    <w:p w14:paraId="02072DC7" w14:textId="77777777" w:rsidR="00EA5508" w:rsidRPr="00746ACE" w:rsidRDefault="00746ACE" w:rsidP="0045180F">
      <w:pPr>
        <w:rPr>
          <w:lang w:val="es-CO"/>
        </w:rPr>
      </w:pPr>
      <w:r w:rsidRPr="00746ACE">
        <w:rPr>
          <w:lang w:val="es-CO"/>
        </w:rPr>
        <w:t>El punto de partida de ese juicio pendiente es la premisa de igualdad que funda el sistema: el Acuerdo Final y el Acto Legislativo 01 de 2017 sometieron a FARC-EP y Fuerza Pública, como partes de un mismo conflicto, a un mismo sis</w:t>
      </w:r>
      <w:r w:rsidRPr="00746ACE">
        <w:rPr>
          <w:lang w:val="es-CO"/>
        </w:rPr>
        <w:t>tema, con iguales obligaciones. Esa igualdad de base no impide diferenciar por la naturaleza de la conducta -amnistiable o no- pero sí excluye que la diferenciación responda al origen institucional del compareciente. La asimetría se plantea en dos planos a</w:t>
      </w:r>
      <w:r w:rsidRPr="00746ACE">
        <w:rPr>
          <w:lang w:val="es-CO"/>
        </w:rPr>
        <w:t>rticulados entre sí: el de las salas, porque la Sala de Amnistía e Indulto -que conoce mayoritariamente casos de exintegrantes de las FARC-EP para conductas amnistiables- no fue destinataria de ninguna facultad de selección positiva hacia la ruta adversari</w:t>
      </w:r>
      <w:r w:rsidRPr="00746ACE">
        <w:rPr>
          <w:lang w:val="es-CO"/>
        </w:rPr>
        <w:t>al, mientras que la SDSJ -que conoce predominantemente casos de la Fuerza Pública para conductas no amnistiables- sí lo fue; y el de los comparecientes, porque el resultado práctico documentado en el expediente de la Jurisdicción es que los sujetos efectiv</w:t>
      </w:r>
      <w:r w:rsidRPr="00746ACE">
        <w:rPr>
          <w:lang w:val="es-CO"/>
        </w:rPr>
        <w:t>amente expuestos a la selección de segundo orden fueron, de manera casi exclusiva, integrantes de las Fuerzas Militares.</w:t>
      </w:r>
    </w:p>
    <w:p w14:paraId="64304D95" w14:textId="77777777" w:rsidR="0045180F" w:rsidRPr="00746ACE" w:rsidRDefault="00746ACE" w:rsidP="0045180F">
      <w:pPr>
        <w:rPr>
          <w:lang w:val="es-CO"/>
        </w:rPr>
      </w:pPr>
    </w:p>
    <w:p w14:paraId="6873DCD2" w14:textId="77777777" w:rsidR="00EA5508" w:rsidRPr="00746ACE" w:rsidRDefault="00746ACE" w:rsidP="0045180F">
      <w:pPr>
        <w:rPr>
          <w:lang w:val="es-CO"/>
        </w:rPr>
      </w:pPr>
      <w:r w:rsidRPr="00746ACE">
        <w:rPr>
          <w:lang w:val="es-CO"/>
        </w:rPr>
        <w:t>Este resultado no se explica únicamente por la diferencia en la naturaleza de las conductas: si así fuera, la figura debería haber operado con igual intensidad sobre todos los comparecientes con conductas no amnistiables, sin importar su origen. El hecho d</w:t>
      </w:r>
      <w:r w:rsidRPr="00746ACE">
        <w:rPr>
          <w:lang w:val="es-CO"/>
        </w:rPr>
        <w:t>e que, en la práctica, haya recaído solo sobre un grupo revela que el criterio diferenciador real no fue exclusivamente la gravedad de la conducta, sino el canal institucional por el que transita el compareciente. Ni la Ley 1957 de 2019 ni el Acuerdo Final</w:t>
      </w:r>
      <w:r w:rsidRPr="00746ACE">
        <w:rPr>
          <w:lang w:val="es-CO"/>
        </w:rPr>
        <w:t xml:space="preserve"> prevén esa distinción, y la lógica del sistema -juzgar a todos los actores del conflicto bajo las mismas reglas sustantivas- la excluye. El suscrito deja entonces registrado que, al no formularse un cargo autónomo de igualdad por origen institucional en l</w:t>
      </w:r>
      <w:r w:rsidRPr="00746ACE">
        <w:rPr>
          <w:lang w:val="es-CO"/>
        </w:rPr>
        <w:t>a parte resolutiva -que fundó la inexequibilidad solo en legalidad, debido proceso y proporcionalidad de la sanción-, ese cuestionamiento no queda amparado por la cosa juzgada de esta sentencia y permanece disponible como cuestión constitucional abierta an</w:t>
      </w:r>
      <w:r w:rsidRPr="00746ACE">
        <w:rPr>
          <w:lang w:val="es-CO"/>
        </w:rPr>
        <w:t>te un planteamiento futuro suficientemente sustentado en evidencia empírica sobre la aplicación real de la selección de segundo orden.</w:t>
      </w:r>
    </w:p>
    <w:p w14:paraId="7A663079" w14:textId="77777777" w:rsidR="0045180F" w:rsidRPr="00746ACE" w:rsidRDefault="00746ACE" w:rsidP="0045180F">
      <w:pPr>
        <w:rPr>
          <w:lang w:val="es-CO"/>
        </w:rPr>
      </w:pPr>
    </w:p>
    <w:p w14:paraId="3FEB409A" w14:textId="77777777" w:rsidR="00EA5508" w:rsidRPr="00746ACE" w:rsidRDefault="00746ACE" w:rsidP="0045180F">
      <w:pPr>
        <w:rPr>
          <w:b/>
          <w:bCs/>
          <w:lang w:val="es-CO"/>
        </w:rPr>
      </w:pPr>
      <w:r w:rsidRPr="00746ACE">
        <w:rPr>
          <w:b/>
          <w:bCs/>
          <w:lang w:val="es-CO"/>
        </w:rPr>
        <w:t>V. EL ALCANCE FUNCIONAL DE LA DECISIÓN Y SU ANCLAJE EN LA PARTE RESOLUTIVA</w:t>
      </w:r>
    </w:p>
    <w:p w14:paraId="6CA78844" w14:textId="77777777" w:rsidR="0045180F" w:rsidRPr="00746ACE" w:rsidRDefault="00746ACE" w:rsidP="0045180F">
      <w:pPr>
        <w:rPr>
          <w:lang w:val="es-CO"/>
        </w:rPr>
      </w:pPr>
    </w:p>
    <w:p w14:paraId="3F1A3C65" w14:textId="77777777" w:rsidR="00EA5508" w:rsidRPr="00746ACE" w:rsidRDefault="00746ACE" w:rsidP="0045180F">
      <w:pPr>
        <w:rPr>
          <w:lang w:val="es-CO"/>
        </w:rPr>
      </w:pPr>
      <w:r w:rsidRPr="00746ACE">
        <w:rPr>
          <w:lang w:val="es-CO"/>
        </w:rPr>
        <w:t>El suscrito destaca y celebra que la Sala Pl</w:t>
      </w:r>
      <w:r w:rsidRPr="00746ACE">
        <w:rPr>
          <w:lang w:val="es-CO"/>
        </w:rPr>
        <w:t xml:space="preserve">ena, en el acápite </w:t>
      </w:r>
      <w:r w:rsidRPr="00746ACE">
        <w:rPr>
          <w:i/>
          <w:iCs/>
          <w:lang w:val="es-CO"/>
        </w:rPr>
        <w:t>“Alcance de la decisión”</w:t>
      </w:r>
      <w:r w:rsidRPr="00746ACE">
        <w:rPr>
          <w:lang w:val="es-CO"/>
        </w:rPr>
        <w:t>, haya anticipado el riesgo de que la Sección de Apelación reproduzca, bajo una nueva denominación, la misma función declarada inexequible, y haya advertido expresamente que, en adelante, “la Sección no podrá repr</w:t>
      </w:r>
      <w:r w:rsidRPr="00746ACE">
        <w:rPr>
          <w:lang w:val="es-CO"/>
        </w:rPr>
        <w:t>oducir figuras análogas con formulaciones lingüísticas diferentes, pues sin importar su designación”, lo declarado inconstitucional es la apertura de una ruta adversarial para no seleccionados y la creación de una categoría de responsabilidad intermedia. E</w:t>
      </w:r>
      <w:r w:rsidRPr="00746ACE">
        <w:rPr>
          <w:lang w:val="es-CO"/>
        </w:rPr>
        <w:t>sta cláusula recoge, en sustancia, la preocupación que el patrón de este expediente documenta con particular claridad: la selección de segundo orden mutó de la Senit 5 a la Senit 8 y de esta a la Senit 9 sin que la función cuestionada, en ningún momento, c</w:t>
      </w:r>
      <w:r w:rsidRPr="00746ACE">
        <w:rPr>
          <w:lang w:val="es-CO"/>
        </w:rPr>
        <w:t>esara.</w:t>
      </w:r>
    </w:p>
    <w:p w14:paraId="5A7CF04D" w14:textId="77777777" w:rsidR="0045180F" w:rsidRPr="00746ACE" w:rsidRDefault="00746ACE" w:rsidP="0045180F">
      <w:pPr>
        <w:rPr>
          <w:lang w:val="es-CO"/>
        </w:rPr>
      </w:pPr>
    </w:p>
    <w:p w14:paraId="6C8BD078" w14:textId="52FC7BB9" w:rsidR="00EA5508" w:rsidRPr="00746ACE" w:rsidRDefault="00746ACE" w:rsidP="0045180F">
      <w:pPr>
        <w:rPr>
          <w:lang w:val="es-CO"/>
        </w:rPr>
      </w:pPr>
      <w:r w:rsidRPr="00746ACE">
        <w:rPr>
          <w:lang w:val="es-CO"/>
        </w:rPr>
        <w:t>El suscrito considera, sin embargo, necesario dejar constancia de un punto técnico que incide en la eficacia de esa salvaguarda. La parte resolutiva de esta sentencia declara inexequibles las reglas jurisprudenciales identificadas mediante la refer</w:t>
      </w:r>
      <w:r w:rsidRPr="00746ACE">
        <w:rPr>
          <w:lang w:val="es-CO"/>
        </w:rPr>
        <w:t>encia a párrafos específicos de las Senit 5, 8 y 9 -125, 127, 133, 137, 140 y 143, además del segundo punto del tercer resolutivo de la Senit 5; 199 y 243, y el décimo resolutivo de la Senit 8; y las respuestas octavas, décima y 2.2 de la Senit 9-. La cláu</w:t>
      </w:r>
      <w:r w:rsidRPr="00746ACE">
        <w:rPr>
          <w:lang w:val="es-CO"/>
        </w:rPr>
        <w:t xml:space="preserve">sula funcional que blinda esta decisión frente a reformulaciones futuras se encuentra, en cambio, en la parte considerativa, inmediatamente antes de la fórmula decisoria, y no en los numerales del resuelve. Esa ubicación no resta valor a la cláusula, pero </w:t>
      </w:r>
      <w:r w:rsidRPr="00746ACE">
        <w:rPr>
          <w:lang w:val="es-CO"/>
        </w:rPr>
        <w:t xml:space="preserve">sí la expone a una lectura restrictiva por parte de quien, en el futuro, pretenda argumentar que solo los párrafos textualmente citados en el resuelve quedaron cubiertos por la cosa juzgada, y que el párrafo del </w:t>
      </w:r>
      <w:r w:rsidRPr="00746ACE">
        <w:rPr>
          <w:i/>
          <w:iCs/>
          <w:lang w:val="es-CO"/>
        </w:rPr>
        <w:t>“Alcance de la decisión”</w:t>
      </w:r>
      <w:r w:rsidRPr="00746ACE">
        <w:rPr>
          <w:lang w:val="es-CO"/>
        </w:rPr>
        <w:t xml:space="preserve"> es motivación orien</w:t>
      </w:r>
      <w:r w:rsidRPr="00746ACE">
        <w:rPr>
          <w:lang w:val="es-CO"/>
        </w:rPr>
        <w:t>tadora sin fuerza autónoma de cosa juzgada material.</w:t>
      </w:r>
    </w:p>
    <w:p w14:paraId="6C0AD856" w14:textId="77777777" w:rsidR="0045180F" w:rsidRPr="00746ACE" w:rsidRDefault="00746ACE" w:rsidP="0045180F">
      <w:pPr>
        <w:rPr>
          <w:lang w:val="es-CO"/>
        </w:rPr>
      </w:pPr>
    </w:p>
    <w:p w14:paraId="4AC98D5F" w14:textId="2704D50B" w:rsidR="00EA5508" w:rsidRPr="00746ACE" w:rsidRDefault="00746ACE" w:rsidP="0045180F">
      <w:pPr>
        <w:rPr>
          <w:lang w:val="es-CO"/>
        </w:rPr>
      </w:pPr>
      <w:r w:rsidRPr="00746ACE">
        <w:rPr>
          <w:lang w:val="es-CO"/>
        </w:rPr>
        <w:t xml:space="preserve">Por esa razón, el suscrito deja consignado que, en su criterio, el apartado </w:t>
      </w:r>
      <w:r w:rsidRPr="00746ACE">
        <w:rPr>
          <w:i/>
          <w:iCs/>
          <w:lang w:val="es-CO"/>
        </w:rPr>
        <w:t>“Alcance de la decisión”</w:t>
      </w:r>
      <w:r w:rsidRPr="00746ACE">
        <w:rPr>
          <w:lang w:val="es-CO"/>
        </w:rPr>
        <w:t xml:space="preserve"> debe entenderse como parte inescindible de la parte resolutiva para todos los efectos de la cosa juzg</w:t>
      </w:r>
      <w:r w:rsidRPr="00746ACE">
        <w:rPr>
          <w:lang w:val="es-CO"/>
        </w:rPr>
        <w:t>ada constitucional, en tanto constituye la única fórmula de la sentencia capaz de cubrir, con la generalidad requerida, cualquier reconstrucción funcional de la selección de segundo orden y la responsabilidad del punto medio, sin importar el nombre, el fun</w:t>
      </w:r>
      <w:r w:rsidRPr="00746ACE">
        <w:rPr>
          <w:lang w:val="es-CO"/>
        </w:rPr>
        <w:t>damento normativo invocado o la sentencia interpretativa en que se pretenda reintroducir. Sostener lo contrario dejaría en pie, para un cuarto ejercicio interpretativo, el mismo espacio de ambigüedad que permitió los tres anteriores.</w:t>
      </w:r>
    </w:p>
    <w:p w14:paraId="440E7164" w14:textId="77777777" w:rsidR="0045180F" w:rsidRPr="00746ACE" w:rsidRDefault="00746ACE" w:rsidP="0045180F">
      <w:pPr>
        <w:rPr>
          <w:lang w:val="es-CO"/>
        </w:rPr>
      </w:pPr>
    </w:p>
    <w:p w14:paraId="31414011" w14:textId="77777777" w:rsidR="00EA5508" w:rsidRPr="00746ACE" w:rsidRDefault="00746ACE" w:rsidP="0045180F">
      <w:pPr>
        <w:rPr>
          <w:lang w:val="es-CO"/>
        </w:rPr>
      </w:pPr>
      <w:r w:rsidRPr="00746ACE">
        <w:rPr>
          <w:lang w:val="es-CO"/>
        </w:rPr>
        <w:t xml:space="preserve">En suma, el suscrito </w:t>
      </w:r>
      <w:r w:rsidRPr="00746ACE">
        <w:rPr>
          <w:lang w:val="es-CO"/>
        </w:rPr>
        <w:t>Magistrado suscribe con plena convicción la decisión de inexequibilidad adoptada. Dejo consignadas, para efectos de la interpretación futura de esta sentencia y de la doctrina constitucional sobre la JEP, las siguientes precisiones:</w:t>
      </w:r>
    </w:p>
    <w:p w14:paraId="7FD9E1B8" w14:textId="77777777" w:rsidR="0045180F" w:rsidRPr="00746ACE" w:rsidRDefault="00746ACE" w:rsidP="0045180F">
      <w:pPr>
        <w:rPr>
          <w:lang w:val="es-CO"/>
        </w:rPr>
      </w:pPr>
    </w:p>
    <w:p w14:paraId="2F439BC0" w14:textId="77777777" w:rsidR="00EA5508" w:rsidRPr="00746ACE" w:rsidRDefault="00746ACE" w:rsidP="0045180F">
      <w:pPr>
        <w:rPr>
          <w:lang w:val="es-CO"/>
        </w:rPr>
      </w:pPr>
      <w:r w:rsidRPr="00746ACE">
        <w:rPr>
          <w:lang w:val="es-CO"/>
        </w:rPr>
        <w:t xml:space="preserve">Primera: el vicio </w:t>
      </w:r>
      <w:r w:rsidRPr="00746ACE">
        <w:rPr>
          <w:lang w:val="es-CO"/>
        </w:rPr>
        <w:t>detectado no es un mero desbordamiento de competencias en sentido genérico, sino una sustitución funcional de competencias constitucionales y legales entre la Sala de Reconocimiento de Verdad y Responsabilidad y la Sala de Definición de Situaciones Jurídic</w:t>
      </w:r>
      <w:r w:rsidRPr="00746ACE">
        <w:rPr>
          <w:lang w:val="es-CO"/>
        </w:rPr>
        <w:t>as, calificación que determina el alcance de la cosa juzgada y que solo el legislador estatutario puede revertir.</w:t>
      </w:r>
    </w:p>
    <w:p w14:paraId="185FCA0B" w14:textId="77777777" w:rsidR="0045180F" w:rsidRPr="00746ACE" w:rsidRDefault="00746ACE" w:rsidP="0045180F">
      <w:pPr>
        <w:rPr>
          <w:lang w:val="es-CO"/>
        </w:rPr>
      </w:pPr>
    </w:p>
    <w:p w14:paraId="4FBAEAD8" w14:textId="77777777" w:rsidR="00EA5508" w:rsidRPr="00746ACE" w:rsidRDefault="00746ACE" w:rsidP="0045180F">
      <w:pPr>
        <w:rPr>
          <w:lang w:val="es-CO"/>
        </w:rPr>
      </w:pPr>
      <w:r w:rsidRPr="00746ACE">
        <w:rPr>
          <w:lang w:val="es-CO"/>
        </w:rPr>
        <w:t>Segunda: las fórmulas de deferencia que preceden, en la propia parte considerativa, al hallazgo del vicio son lógicamente incompatibles con l</w:t>
      </w:r>
      <w:r w:rsidRPr="00746ACE">
        <w:rPr>
          <w:lang w:val="es-CO"/>
        </w:rPr>
        <w:t>a declaratoria de inexequibilidad y deben leerse restringidas a los ámbitos -adecuación de la conducta, comprensión del daño, reglas procedimentales- en que la propia sentencia las circunscribe, sin que ello lesione la autonomía legítima del sistema transi</w:t>
      </w:r>
      <w:r w:rsidRPr="00746ACE">
        <w:rPr>
          <w:lang w:val="es-CO"/>
        </w:rPr>
        <w:t>cional ni la condición de la Sección de Apelación como órgano de cierre hermenéutico de la JEP.</w:t>
      </w:r>
    </w:p>
    <w:p w14:paraId="2407E9EE" w14:textId="77777777" w:rsidR="0045180F" w:rsidRPr="00746ACE" w:rsidRDefault="00746ACE" w:rsidP="0045180F">
      <w:pPr>
        <w:rPr>
          <w:lang w:val="es-CO"/>
        </w:rPr>
      </w:pPr>
    </w:p>
    <w:p w14:paraId="50D02EFE" w14:textId="77777777" w:rsidR="00EA5508" w:rsidRPr="00746ACE" w:rsidRDefault="00746ACE" w:rsidP="0045180F">
      <w:pPr>
        <w:rPr>
          <w:lang w:val="es-CO"/>
        </w:rPr>
      </w:pPr>
      <w:r w:rsidRPr="00746ACE">
        <w:rPr>
          <w:lang w:val="es-CO"/>
        </w:rPr>
        <w:t xml:space="preserve">Tercera: el principio de legalidad, en su dimensión de </w:t>
      </w:r>
      <w:r w:rsidRPr="00746ACE">
        <w:rPr>
          <w:i/>
          <w:iCs/>
          <w:lang w:val="es-CO"/>
        </w:rPr>
        <w:t>nullum crimen, nulla poena</w:t>
      </w:r>
      <w:r w:rsidRPr="00746ACE">
        <w:rPr>
          <w:lang w:val="es-CO"/>
        </w:rPr>
        <w:t xml:space="preserve"> y </w:t>
      </w:r>
      <w:r w:rsidRPr="00746ACE">
        <w:rPr>
          <w:i/>
          <w:iCs/>
          <w:lang w:val="es-CO"/>
        </w:rPr>
        <w:t>nulla competentia sine lege</w:t>
      </w:r>
      <w:r w:rsidRPr="00746ACE">
        <w:rPr>
          <w:lang w:val="es-CO"/>
        </w:rPr>
        <w:t>, opera con estándar reforzado -no laxo- en el á</w:t>
      </w:r>
      <w:r w:rsidRPr="00746ACE">
        <w:rPr>
          <w:lang w:val="es-CO"/>
        </w:rPr>
        <w:t>mbito procesal y competencial de la JEP, sistematizando así las subreglas ya fijadas por la Sala Plena sobre los límites de la potestad interpretativa de la Sección de Apelación.</w:t>
      </w:r>
    </w:p>
    <w:p w14:paraId="248043B2" w14:textId="77777777" w:rsidR="0045180F" w:rsidRPr="00746ACE" w:rsidRDefault="00746ACE" w:rsidP="0045180F">
      <w:pPr>
        <w:rPr>
          <w:lang w:val="es-CO"/>
        </w:rPr>
      </w:pPr>
    </w:p>
    <w:p w14:paraId="5DA7ADE6" w14:textId="77777777" w:rsidR="00EA5508" w:rsidRPr="00746ACE" w:rsidRDefault="00746ACE" w:rsidP="0045180F">
      <w:pPr>
        <w:rPr>
          <w:lang w:val="es-CO"/>
        </w:rPr>
      </w:pPr>
      <w:r w:rsidRPr="00746ACE">
        <w:rPr>
          <w:lang w:val="es-CO"/>
        </w:rPr>
        <w:t>Cuarta: la asimetría de origen institucional entre comparecientes -Fuerza Pú</w:t>
      </w:r>
      <w:r w:rsidRPr="00746ACE">
        <w:rPr>
          <w:lang w:val="es-CO"/>
        </w:rPr>
        <w:t>blica y FARC-EP- planteada durante el trámite no fue objeto del juicio de igualdad que la sentencia sí desarrolló entre máximos responsables y partícipes no determinantes, y al no fundar la parte resolutiva en el artículo 13 de la Constitución, ese cuestio</w:t>
      </w:r>
      <w:r w:rsidRPr="00746ACE">
        <w:rPr>
          <w:lang w:val="es-CO"/>
        </w:rPr>
        <w:t>namiento permanece abierto y disponible para un pronunciamiento futuro debidamente sustentado.</w:t>
      </w:r>
    </w:p>
    <w:p w14:paraId="285E4B28" w14:textId="77777777" w:rsidR="0045180F" w:rsidRPr="00746ACE" w:rsidRDefault="00746ACE" w:rsidP="0045180F">
      <w:pPr>
        <w:rPr>
          <w:lang w:val="es-CO"/>
        </w:rPr>
      </w:pPr>
    </w:p>
    <w:p w14:paraId="0518BFF9" w14:textId="218955DA" w:rsidR="00EA5508" w:rsidRPr="00746ACE" w:rsidRDefault="00746ACE" w:rsidP="0045180F">
      <w:pPr>
        <w:rPr>
          <w:lang w:val="es-CO"/>
        </w:rPr>
      </w:pPr>
      <w:r w:rsidRPr="00746ACE">
        <w:rPr>
          <w:lang w:val="es-CO"/>
        </w:rPr>
        <w:t>Quinta: el apartado “Alcance de la decisión” debe considerarse parte inescindible de la parte resolutiva para todos los efectos de la cosa juzgada constituciona</w:t>
      </w:r>
      <w:r w:rsidRPr="00746ACE">
        <w:rPr>
          <w:lang w:val="es-CO"/>
        </w:rPr>
        <w:t>l, como única garantía eficaz frente a la reproducción de la selección de segundo orden y la responsabilidad del punto medio bajo cualquier otra denominación.</w:t>
      </w:r>
    </w:p>
    <w:p w14:paraId="7E99E9A4" w14:textId="77777777" w:rsidR="0045180F" w:rsidRPr="00746ACE" w:rsidRDefault="00746ACE" w:rsidP="0045180F">
      <w:pPr>
        <w:rPr>
          <w:lang w:val="es-CO"/>
        </w:rPr>
      </w:pPr>
    </w:p>
    <w:p w14:paraId="68E5C886" w14:textId="1A62EFA1" w:rsidR="00EA5508" w:rsidRPr="00746ACE" w:rsidRDefault="00746ACE" w:rsidP="0045180F">
      <w:pPr>
        <w:rPr>
          <w:lang w:val="es-CO"/>
        </w:rPr>
      </w:pPr>
      <w:r w:rsidRPr="00746ACE">
        <w:rPr>
          <w:i/>
          <w:iCs/>
          <w:lang w:val="es-CO"/>
        </w:rPr>
        <w:t>Fecha ut supra</w:t>
      </w:r>
      <w:r w:rsidRPr="00746ACE">
        <w:rPr>
          <w:lang w:val="es-CO"/>
        </w:rPr>
        <w:t>,</w:t>
      </w:r>
    </w:p>
    <w:p w14:paraId="5C4F8274" w14:textId="63952131" w:rsidR="00EA5508" w:rsidRPr="00746ACE" w:rsidRDefault="00746ACE" w:rsidP="0045180F">
      <w:pPr>
        <w:rPr>
          <w:lang w:val="es-CO"/>
        </w:rPr>
      </w:pPr>
    </w:p>
    <w:p w14:paraId="6B274B1C" w14:textId="5D796A1B" w:rsidR="00193FA9" w:rsidRPr="00746ACE" w:rsidRDefault="00746ACE" w:rsidP="0045180F">
      <w:pPr>
        <w:rPr>
          <w:lang w:val="es-CO"/>
        </w:rPr>
      </w:pPr>
    </w:p>
    <w:p w14:paraId="15E86E3F" w14:textId="18E1E297" w:rsidR="00193FA9" w:rsidRPr="00746ACE" w:rsidRDefault="00746ACE" w:rsidP="0045180F">
      <w:pPr>
        <w:jc w:val="center"/>
        <w:rPr>
          <w:b/>
          <w:bCs/>
          <w:lang w:val="es-CO"/>
        </w:rPr>
      </w:pPr>
      <w:r w:rsidRPr="00746ACE">
        <w:rPr>
          <w:b/>
          <w:bCs/>
          <w:lang w:val="es-CO"/>
        </w:rPr>
        <w:t>CARLOS CAMARGO ASSIS</w:t>
      </w:r>
    </w:p>
    <w:p w14:paraId="2CBE83B0" w14:textId="4D9CD173" w:rsidR="00193FA9" w:rsidRPr="00746ACE" w:rsidRDefault="00746ACE" w:rsidP="0045180F">
      <w:pPr>
        <w:jc w:val="center"/>
        <w:rPr>
          <w:b/>
          <w:bCs/>
          <w:lang w:val="es-CO"/>
        </w:rPr>
      </w:pPr>
      <w:r w:rsidRPr="00746ACE">
        <w:rPr>
          <w:b/>
          <w:bCs/>
          <w:lang w:val="es-CO"/>
        </w:rPr>
        <w:t>Magistrado</w:t>
      </w:r>
    </w:p>
    <w:sectPr w:rsidR="00193FA9" w:rsidRPr="00746ACE" w:rsidSect="00552BDF">
      <w:headerReference w:type="default" r:id="rId29"/>
      <w:footerReference w:type="even" r:id="rId30"/>
      <w:footerReference w:type="default" r:id="rId31"/>
      <w:headerReference w:type="first" r:id="rId32"/>
      <w:footerReference w:type="first" r:id="rId33"/>
      <w:pgSz w:w="12240" w:h="20160" w:code="5"/>
      <w:pgMar w:top="1417" w:right="1701" w:bottom="1417" w:left="1701" w:header="709" w:footer="709" w:gutter="0"/>
      <w:pgNumType w:start="2"/>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4C6B79" w14:textId="77777777" w:rsidR="00A71F04" w:rsidRDefault="00A71F04" w:rsidP="00593767">
      <w:r>
        <w:separator/>
      </w:r>
    </w:p>
  </w:endnote>
  <w:endnote w:type="continuationSeparator" w:id="0">
    <w:p w14:paraId="38213EA6" w14:textId="77777777" w:rsidR="00A71F04" w:rsidRDefault="00A71F04" w:rsidP="00593767">
      <w:r>
        <w:continuationSeparator/>
      </w:r>
    </w:p>
  </w:endnote>
  <w:endnote w:type="continuationNotice" w:id="1">
    <w:p w14:paraId="6FE6A140" w14:textId="77777777" w:rsidR="00A71F04" w:rsidRDefault="00A71F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708245248"/>
      <w:docPartObj>
        <w:docPartGallery w:val="Page Numbers (Bottom of Page)"/>
        <w:docPartUnique/>
      </w:docPartObj>
    </w:sdtPr>
    <w:sdtEndPr>
      <w:rPr>
        <w:rStyle w:val="Nmerodepgina"/>
      </w:rPr>
    </w:sdtEndPr>
    <w:sdtContent>
      <w:p w14:paraId="2625A2CF" w14:textId="15A098EE" w:rsidR="009F2FE8" w:rsidRDefault="009F2FE8" w:rsidP="00552BDF">
        <w:pPr>
          <w:pStyle w:val="Piedepgina"/>
          <w:framePr w:wrap="none" w:vAnchor="text" w:hAnchor="margin" w:xAlign="right" w:y="1"/>
          <w:rPr>
            <w:rStyle w:val="Nmerodepgina"/>
          </w:rPr>
        </w:pPr>
        <w:r w:rsidRPr="395AFB0A">
          <w:rPr>
            <w:rStyle w:val="Nmerodepgina"/>
          </w:rPr>
          <w:fldChar w:fldCharType="begin"/>
        </w:r>
        <w:r w:rsidRPr="395AFB0A">
          <w:rPr>
            <w:rStyle w:val="Nmerodepgina"/>
          </w:rPr>
          <w:instrText xml:space="preserve"> PAGE </w:instrText>
        </w:r>
        <w:r w:rsidRPr="395AFB0A">
          <w:rPr>
            <w:rStyle w:val="Nmerodepgina"/>
          </w:rPr>
          <w:fldChar w:fldCharType="end"/>
        </w:r>
      </w:p>
    </w:sdtContent>
  </w:sdt>
  <w:p w14:paraId="3F727CAC" w14:textId="77777777" w:rsidR="009F2FE8" w:rsidRDefault="009F2FE8" w:rsidP="00552B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8700500"/>
      <w:docPartObj>
        <w:docPartGallery w:val="Page Numbers (Bottom of Page)"/>
        <w:docPartUnique/>
      </w:docPartObj>
    </w:sdtPr>
    <w:sdtEndPr>
      <w:rPr>
        <w:noProof/>
      </w:rPr>
    </w:sdtEndPr>
    <w:sdtContent>
      <w:p w14:paraId="071C0EC4" w14:textId="524A765F" w:rsidR="009F2FE8" w:rsidRDefault="009F2FE8">
        <w:pPr>
          <w:pStyle w:val="Piedepgina"/>
          <w:jc w:val="right"/>
        </w:pPr>
        <w:r>
          <w:fldChar w:fldCharType="begin"/>
        </w:r>
        <w:r>
          <w:instrText xml:space="preserve"> PAGE   \* MERGEFORMAT </w:instrText>
        </w:r>
        <w:r>
          <w:fldChar w:fldCharType="separate"/>
        </w:r>
        <w:r>
          <w:rPr>
            <w:noProof/>
          </w:rPr>
          <w:t>2</w:t>
        </w:r>
        <w:r>
          <w:rPr>
            <w:noProof/>
          </w:rPr>
          <w:fldChar w:fldCharType="end"/>
        </w:r>
      </w:p>
    </w:sdtContent>
  </w:sdt>
  <w:p w14:paraId="1D57F8BD" w14:textId="77777777" w:rsidR="009F2FE8" w:rsidRPr="00E36275" w:rsidRDefault="009F2FE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945"/>
      <w:gridCol w:w="2945"/>
      <w:gridCol w:w="2945"/>
    </w:tblGrid>
    <w:tr w:rsidR="009F2FE8" w14:paraId="49F22D17" w14:textId="77777777" w:rsidTr="4B29D561">
      <w:trPr>
        <w:trHeight w:val="300"/>
      </w:trPr>
      <w:tc>
        <w:tcPr>
          <w:tcW w:w="2945" w:type="dxa"/>
        </w:tcPr>
        <w:p w14:paraId="6ECEE4D6" w14:textId="17EA55C1" w:rsidR="009F2FE8" w:rsidRDefault="009F2FE8" w:rsidP="4B29D561">
          <w:pPr>
            <w:pStyle w:val="Encabezado"/>
            <w:ind w:left="-115"/>
          </w:pPr>
        </w:p>
      </w:tc>
      <w:tc>
        <w:tcPr>
          <w:tcW w:w="2945" w:type="dxa"/>
        </w:tcPr>
        <w:p w14:paraId="6BDC29AF" w14:textId="089F7F5E" w:rsidR="009F2FE8" w:rsidRDefault="009F2FE8" w:rsidP="4B29D561">
          <w:pPr>
            <w:pStyle w:val="Encabezado"/>
            <w:jc w:val="center"/>
          </w:pPr>
        </w:p>
      </w:tc>
      <w:tc>
        <w:tcPr>
          <w:tcW w:w="2945" w:type="dxa"/>
        </w:tcPr>
        <w:p w14:paraId="4C1F9F1F" w14:textId="6BD2E9D4" w:rsidR="009F2FE8" w:rsidRDefault="009F2FE8" w:rsidP="4B29D561">
          <w:pPr>
            <w:pStyle w:val="Encabezado"/>
            <w:ind w:right="-115"/>
            <w:jc w:val="right"/>
          </w:pPr>
        </w:p>
      </w:tc>
    </w:tr>
  </w:tbl>
  <w:p w14:paraId="2F8D3DC4" w14:textId="44CD7ACD" w:rsidR="009F2FE8" w:rsidRDefault="009F2F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074CF3" w14:textId="77777777" w:rsidR="00A71F04" w:rsidRDefault="00A71F04" w:rsidP="00593767">
      <w:r>
        <w:separator/>
      </w:r>
    </w:p>
  </w:footnote>
  <w:footnote w:type="continuationSeparator" w:id="0">
    <w:p w14:paraId="62A74CF7" w14:textId="77777777" w:rsidR="00A71F04" w:rsidRDefault="00A71F04" w:rsidP="00593767">
      <w:r>
        <w:continuationSeparator/>
      </w:r>
    </w:p>
  </w:footnote>
  <w:footnote w:type="continuationNotice" w:id="1">
    <w:p w14:paraId="1067BD7F" w14:textId="77777777" w:rsidR="00A71F04" w:rsidRDefault="00A71F04"/>
  </w:footnote>
  <w:footnote w:id="2">
    <w:p w14:paraId="2AD75421" w14:textId="72867F14" w:rsidR="009F2FE8" w:rsidRPr="00B92597" w:rsidRDefault="009F2FE8" w:rsidP="006374A0">
      <w:pPr>
        <w:pStyle w:val="Textonotapie"/>
      </w:pPr>
      <w:r w:rsidRPr="00B92597">
        <w:rPr>
          <w:rStyle w:val="Refdenotaalpie"/>
        </w:rPr>
        <w:footnoteRef/>
      </w:r>
      <w:r w:rsidRPr="00B92597">
        <w:t xml:space="preserve"> Expediente D-16.414, archivo “</w:t>
      </w:r>
      <w:hyperlink r:id="rId1" w:history="1">
        <w:r w:rsidRPr="00B92597">
          <w:rPr>
            <w:rStyle w:val="Hipervnculo"/>
            <w:i/>
            <w:color w:val="auto"/>
            <w:lang w:val="es-ES"/>
          </w:rPr>
          <w:t>Concepto Procuraduría General de la Nación</w:t>
        </w:r>
      </w:hyperlink>
      <w:r w:rsidRPr="00B92597">
        <w:rPr>
          <w:i/>
          <w:lang w:val="es-ES"/>
        </w:rPr>
        <w:t>”</w:t>
      </w:r>
    </w:p>
  </w:footnote>
  <w:footnote w:id="3">
    <w:p w14:paraId="2DCE7CC0" w14:textId="35C3D2F1" w:rsidR="009F2FE8" w:rsidRPr="00B92597" w:rsidRDefault="009F2FE8">
      <w:pPr>
        <w:pStyle w:val="Textonotapie"/>
        <w:rPr>
          <w:lang w:val="es-ES_tradnl"/>
        </w:rPr>
      </w:pPr>
      <w:r w:rsidRPr="00B92597">
        <w:rPr>
          <w:rStyle w:val="Refdenotaalpie"/>
        </w:rPr>
        <w:footnoteRef/>
      </w:r>
      <w:r w:rsidRPr="00B92597">
        <w:t xml:space="preserve"> El contenido del concepto se expone, de manera amplia, en documento anexo a esta providencia (“</w:t>
      </w:r>
      <w:r w:rsidRPr="00B92597">
        <w:rPr>
          <w:u w:val="single"/>
        </w:rPr>
        <w:t>Anexo 2: Concepto del Ministerio Público</w:t>
      </w:r>
      <w:r w:rsidRPr="00B92597">
        <w:t>”).</w:t>
      </w:r>
    </w:p>
  </w:footnote>
  <w:footnote w:id="4">
    <w:p w14:paraId="567755A7" w14:textId="7F9116B7" w:rsidR="009F2FE8" w:rsidRPr="00B92597" w:rsidRDefault="009F2FE8" w:rsidP="00996401">
      <w:pPr>
        <w:pStyle w:val="Textonotapie"/>
        <w:jc w:val="both"/>
      </w:pPr>
      <w:r w:rsidRPr="00B92597">
        <w:rPr>
          <w:rStyle w:val="Refdenotaalpie"/>
        </w:rPr>
        <w:footnoteRef/>
      </w:r>
      <w:r w:rsidRPr="00B92597">
        <w:t xml:space="preserve"> La grabación de la audiencia pública está disponible para consulta en el siguiente enlace: </w:t>
      </w:r>
      <w:hyperlink r:id="rId2" w:history="1">
        <w:r w:rsidRPr="00B92597">
          <w:rPr>
            <w:rStyle w:val="Hipervnculo"/>
            <w:color w:val="auto"/>
          </w:rPr>
          <w:t>https://www.youtube.com/watch?v=a9hq_cgPrd0&amp;t=18s</w:t>
        </w:r>
      </w:hyperlink>
      <w:r w:rsidRPr="00B92597">
        <w:t xml:space="preserve"> </w:t>
      </w:r>
    </w:p>
  </w:footnote>
  <w:footnote w:id="5">
    <w:p w14:paraId="30BDA548" w14:textId="6F949631" w:rsidR="009F2FE8" w:rsidRPr="00B92597" w:rsidRDefault="009F2FE8">
      <w:pPr>
        <w:pStyle w:val="Textonotapie"/>
        <w:rPr>
          <w:lang w:val="es-ES_tradnl"/>
        </w:rPr>
      </w:pPr>
      <w:r w:rsidRPr="00B92597">
        <w:rPr>
          <w:rStyle w:val="Refdenotaalpie"/>
        </w:rPr>
        <w:footnoteRef/>
      </w:r>
      <w:r w:rsidRPr="00B92597">
        <w:t xml:space="preserve"> </w:t>
      </w:r>
      <w:r w:rsidRPr="00B92597">
        <w:rPr>
          <w:lang w:val="es-ES_tradnl"/>
        </w:rPr>
        <w:t>Acto Legislativo 01 de 2017. Artículo transitorio 3.</w:t>
      </w:r>
    </w:p>
  </w:footnote>
  <w:footnote w:id="6">
    <w:p w14:paraId="13A374B6" w14:textId="75F993B7" w:rsidR="009F2FE8" w:rsidRPr="00B92597" w:rsidRDefault="009F2FE8">
      <w:pPr>
        <w:pStyle w:val="Textonotapie"/>
        <w:rPr>
          <w:lang w:val="es-ES_tradnl"/>
        </w:rPr>
      </w:pPr>
      <w:r w:rsidRPr="00B92597">
        <w:rPr>
          <w:rStyle w:val="Refdenotaalpie"/>
        </w:rPr>
        <w:footnoteRef/>
      </w:r>
      <w:r w:rsidRPr="00B92597">
        <w:t xml:space="preserve"> </w:t>
      </w:r>
      <w:r w:rsidRPr="00B92597">
        <w:rPr>
          <w:lang w:val="es-ES_tradnl"/>
        </w:rPr>
        <w:t>Acto Legislativo 01 de 2017. Artículo transitorio 1.</w:t>
      </w:r>
    </w:p>
  </w:footnote>
  <w:footnote w:id="7">
    <w:p w14:paraId="14435A6E" w14:textId="35799188" w:rsidR="009F2FE8" w:rsidRPr="00B92597" w:rsidRDefault="009F2FE8">
      <w:pPr>
        <w:pStyle w:val="Textonotapie"/>
        <w:rPr>
          <w:lang w:val="es-ES_tradnl"/>
        </w:rPr>
      </w:pPr>
      <w:r w:rsidRPr="00B92597">
        <w:rPr>
          <w:rStyle w:val="Refdenotaalpie"/>
        </w:rPr>
        <w:footnoteRef/>
      </w:r>
      <w:r w:rsidRPr="00B92597">
        <w:t xml:space="preserve"> </w:t>
      </w:r>
      <w:r w:rsidRPr="00B92597">
        <w:rPr>
          <w:lang w:val="es-ES_tradnl"/>
        </w:rPr>
        <w:t xml:space="preserve">Acto Legislativo 01 de 2017. Artículos transitorios 1 y 5. </w:t>
      </w:r>
    </w:p>
  </w:footnote>
  <w:footnote w:id="8">
    <w:p w14:paraId="3E445EBE" w14:textId="3F13EFE2" w:rsidR="009F2FE8" w:rsidRPr="00B92597" w:rsidRDefault="009F2FE8">
      <w:pPr>
        <w:pStyle w:val="Textonotapie"/>
        <w:rPr>
          <w:lang w:val="es-ES_tradnl"/>
        </w:rPr>
      </w:pPr>
      <w:r w:rsidRPr="00B92597">
        <w:rPr>
          <w:rStyle w:val="Refdenotaalpie"/>
        </w:rPr>
        <w:footnoteRef/>
      </w:r>
      <w:r w:rsidRPr="00B92597">
        <w:t xml:space="preserve"> </w:t>
      </w:r>
      <w:r w:rsidRPr="00B92597">
        <w:rPr>
          <w:lang w:val="es-ES_tradnl"/>
        </w:rPr>
        <w:t xml:space="preserve">Constitución Política, Artículo 66 transitorio; Acto Legislativo 01 de 2017, artículo 3. </w:t>
      </w:r>
    </w:p>
  </w:footnote>
  <w:footnote w:id="9">
    <w:p w14:paraId="7525B1EA" w14:textId="70418EF5" w:rsidR="009F2FE8" w:rsidRPr="00B92597" w:rsidRDefault="009F2FE8" w:rsidP="00C370BF">
      <w:pPr>
        <w:pStyle w:val="Textonotapie"/>
        <w:jc w:val="both"/>
        <w:rPr>
          <w:lang w:val="es-ES_tradnl"/>
        </w:rPr>
      </w:pPr>
      <w:r w:rsidRPr="00B92597">
        <w:rPr>
          <w:rStyle w:val="Refdenotaalpie"/>
        </w:rPr>
        <w:footnoteRef/>
      </w:r>
      <w:r w:rsidRPr="00B92597">
        <w:t xml:space="preserve"> </w:t>
      </w:r>
      <w:r w:rsidRPr="00B92597">
        <w:rPr>
          <w:lang w:val="es-ES_tradnl"/>
        </w:rPr>
        <w:t>En sentido similar se ha pronunciado la propia Sección de Apelación, en la Sentencia Interpretativa o Senit 1.</w:t>
      </w:r>
    </w:p>
  </w:footnote>
  <w:footnote w:id="10">
    <w:p w14:paraId="34C9B1DA" w14:textId="6DC8B0E0" w:rsidR="009F2FE8" w:rsidRPr="00B92597" w:rsidRDefault="009F2FE8">
      <w:pPr>
        <w:pStyle w:val="Textonotapie"/>
        <w:rPr>
          <w:lang w:val="es-ES_tradnl"/>
        </w:rPr>
      </w:pPr>
      <w:r w:rsidRPr="00B92597">
        <w:rPr>
          <w:rStyle w:val="Refdenotaalpie"/>
        </w:rPr>
        <w:footnoteRef/>
      </w:r>
      <w:r w:rsidRPr="00B92597">
        <w:t xml:space="preserve"> </w:t>
      </w:r>
      <w:r w:rsidRPr="00B92597">
        <w:rPr>
          <w:lang w:val="es-ES_tradnl"/>
        </w:rPr>
        <w:t xml:space="preserve">Ver, al respecto, Corte Constitucional, Sentencia C-021 de 2026. </w:t>
      </w:r>
    </w:p>
  </w:footnote>
  <w:footnote w:id="11">
    <w:p w14:paraId="0D6CC6AD" w14:textId="46C83F2F" w:rsidR="009F2FE8" w:rsidRPr="00B92597" w:rsidRDefault="009F2FE8">
      <w:pPr>
        <w:pStyle w:val="Textonotapie"/>
        <w:rPr>
          <w:lang w:val="es-ES_tradnl"/>
        </w:rPr>
      </w:pPr>
      <w:r w:rsidRPr="00B92597">
        <w:rPr>
          <w:rStyle w:val="Refdenotaalpie"/>
        </w:rPr>
        <w:footnoteRef/>
      </w:r>
      <w:r w:rsidRPr="00B92597">
        <w:t xml:space="preserve"> </w:t>
      </w:r>
      <w:r w:rsidRPr="00B92597">
        <w:rPr>
          <w:lang w:val="es-ES_tradnl"/>
        </w:rPr>
        <w:t>Expediente D-16754.</w:t>
      </w:r>
    </w:p>
  </w:footnote>
  <w:footnote w:id="12">
    <w:p w14:paraId="780723D9" w14:textId="77777777" w:rsidR="009F2FE8" w:rsidRPr="00B92597" w:rsidRDefault="009F2FE8" w:rsidP="00E20BA5">
      <w:pPr>
        <w:rPr>
          <w:rFonts w:asciiTheme="majorBidi" w:hAnsiTheme="majorBidi" w:cstheme="majorBidi"/>
          <w:sz w:val="20"/>
          <w:szCs w:val="20"/>
        </w:rPr>
      </w:pPr>
      <w:r w:rsidRPr="00B92597">
        <w:rPr>
          <w:rFonts w:asciiTheme="majorBidi" w:hAnsiTheme="majorBidi" w:cstheme="majorBidi"/>
          <w:sz w:val="20"/>
          <w:szCs w:val="20"/>
          <w:vertAlign w:val="superscript"/>
        </w:rPr>
        <w:footnoteRef/>
      </w:r>
      <w:r w:rsidRPr="00B92597">
        <w:rPr>
          <w:rFonts w:asciiTheme="majorBidi" w:hAnsiTheme="majorBidi" w:cstheme="majorBidi"/>
          <w:sz w:val="20"/>
          <w:szCs w:val="20"/>
          <w:vertAlign w:val="superscript"/>
        </w:rPr>
        <w:t xml:space="preserve"> </w:t>
      </w:r>
      <w:r w:rsidRPr="00B92597">
        <w:rPr>
          <w:rFonts w:asciiTheme="majorBidi" w:hAnsiTheme="majorBidi" w:cstheme="majorBidi"/>
          <w:sz w:val="20"/>
          <w:szCs w:val="20"/>
          <w:lang w:val="es"/>
        </w:rPr>
        <w:t>Por medio del cual se adoptan unas reglas de procedimiento para la Jurisdicción Especial para la Paz.</w:t>
      </w:r>
    </w:p>
  </w:footnote>
  <w:footnote w:id="13">
    <w:p w14:paraId="44F7257B" w14:textId="77777777" w:rsidR="009F2FE8" w:rsidRPr="00B92597" w:rsidRDefault="009F2FE8" w:rsidP="00E20BA5">
      <w:pPr>
        <w:rPr>
          <w:rFonts w:asciiTheme="majorBidi" w:hAnsiTheme="majorBidi" w:cstheme="majorBidi"/>
          <w:sz w:val="20"/>
          <w:szCs w:val="20"/>
        </w:rPr>
      </w:pPr>
      <w:r w:rsidRPr="00B92597">
        <w:rPr>
          <w:rFonts w:asciiTheme="majorBidi" w:hAnsiTheme="majorBidi" w:cstheme="majorBidi"/>
          <w:sz w:val="20"/>
          <w:szCs w:val="20"/>
          <w:vertAlign w:val="superscript"/>
        </w:rPr>
        <w:footnoteRef/>
      </w:r>
      <w:r w:rsidRPr="00B92597">
        <w:rPr>
          <w:rFonts w:asciiTheme="majorBidi" w:hAnsiTheme="majorBidi" w:cstheme="majorBidi"/>
          <w:sz w:val="20"/>
          <w:szCs w:val="20"/>
          <w:vertAlign w:val="superscript"/>
        </w:rPr>
        <w:t xml:space="preserve"> </w:t>
      </w:r>
      <w:r w:rsidRPr="00B92597">
        <w:rPr>
          <w:rFonts w:asciiTheme="majorBidi" w:hAnsiTheme="majorBidi" w:cstheme="majorBidi"/>
          <w:sz w:val="20"/>
          <w:szCs w:val="20"/>
          <w:lang w:val="es"/>
        </w:rPr>
        <w:t>El artículo 59 de la Ley 1922 de 2018 señala que “la Sección de Apelación, a fin de asegurar la unidad de la interpretación del derecho y garantizar la seguridad jurídica, adoptará sentencias interpretativas. Parágrafo. Para garantizar la igualdad en la aplicación de la ley, a petición de las Salas, las Secciones o la Unidad de Investigación y Acusación, la Sección de Apelación del Tribunal para la Paz podrá proferir sentencias interpretativas que tendrán fuerza vinculante, con el objeto de: Aclarar el sentido o alcance de una disposición. Definir su interpretación. Realizar unificaciones tempranas de jurisprudencia. Aclarar vacíos, o definir los criterios de integración normativa de la JEP. El contenido de estas sentencias deberá respetar los precedentes que sobre el punto haya proferido la Corte Constitucional. Las sentencias interpretativas también podrán ser proferidas al momento de resolver cualquier apelación.</w:t>
      </w:r>
    </w:p>
  </w:footnote>
  <w:footnote w:id="14">
    <w:p w14:paraId="5865BDDE" w14:textId="77777777" w:rsidR="009F2FE8" w:rsidRPr="00B92597" w:rsidRDefault="009F2FE8" w:rsidP="00E20BA5">
      <w:pPr>
        <w:rPr>
          <w:rFonts w:asciiTheme="majorBidi" w:hAnsiTheme="majorBidi" w:cstheme="majorBidi"/>
          <w:sz w:val="20"/>
          <w:szCs w:val="20"/>
        </w:rPr>
      </w:pPr>
      <w:r w:rsidRPr="00B92597">
        <w:rPr>
          <w:rFonts w:asciiTheme="majorBidi" w:hAnsiTheme="majorBidi" w:cstheme="majorBidi"/>
          <w:sz w:val="20"/>
          <w:szCs w:val="20"/>
          <w:vertAlign w:val="superscript"/>
        </w:rPr>
        <w:footnoteRef/>
      </w:r>
      <w:r w:rsidRPr="00B92597">
        <w:rPr>
          <w:rFonts w:asciiTheme="majorBidi" w:hAnsiTheme="majorBidi" w:cstheme="majorBidi"/>
          <w:sz w:val="20"/>
          <w:szCs w:val="20"/>
        </w:rPr>
        <w:t xml:space="preserve"> </w:t>
      </w:r>
      <w:r w:rsidRPr="00B92597">
        <w:rPr>
          <w:rFonts w:asciiTheme="majorBidi" w:hAnsiTheme="majorBidi" w:cstheme="majorBidi"/>
          <w:sz w:val="20"/>
          <w:szCs w:val="20"/>
          <w:lang w:val="es"/>
        </w:rPr>
        <w:t xml:space="preserve">Jurisdicción </w:t>
      </w:r>
      <w:r w:rsidRPr="00B92597">
        <w:rPr>
          <w:rFonts w:asciiTheme="majorBidi" w:hAnsiTheme="majorBidi" w:cstheme="majorBidi"/>
          <w:sz w:val="20"/>
          <w:szCs w:val="20"/>
        </w:rPr>
        <w:t>Especial para la Paz. Sección de Apelación, Sentencia del 3 de abril de 2019, TP-SA-SENIT 1 de 2019.</w:t>
      </w:r>
    </w:p>
  </w:footnote>
  <w:footnote w:id="15">
    <w:p w14:paraId="5231D3DA" w14:textId="77777777" w:rsidR="009F2FE8" w:rsidRPr="00B92597" w:rsidRDefault="009F2FE8" w:rsidP="00E20BA5">
      <w:pPr>
        <w:rPr>
          <w:rFonts w:asciiTheme="majorBidi" w:hAnsiTheme="majorBidi" w:cstheme="majorBidi"/>
          <w:sz w:val="20"/>
          <w:szCs w:val="20"/>
        </w:rPr>
      </w:pPr>
      <w:r w:rsidRPr="00B92597">
        <w:rPr>
          <w:rFonts w:asciiTheme="majorBidi" w:hAnsiTheme="majorBidi" w:cstheme="majorBidi"/>
          <w:sz w:val="20"/>
          <w:szCs w:val="20"/>
          <w:vertAlign w:val="superscript"/>
        </w:rPr>
        <w:footnoteRef/>
      </w:r>
      <w:r w:rsidRPr="00B92597">
        <w:rPr>
          <w:rFonts w:asciiTheme="majorBidi" w:hAnsiTheme="majorBidi" w:cstheme="majorBidi"/>
          <w:sz w:val="20"/>
          <w:szCs w:val="20"/>
          <w:vertAlign w:val="superscript"/>
        </w:rPr>
        <w:t xml:space="preserve"> </w:t>
      </w:r>
      <w:r w:rsidRPr="00B92597">
        <w:rPr>
          <w:rFonts w:asciiTheme="majorBidi" w:hAnsiTheme="majorBidi" w:cstheme="majorBidi"/>
          <w:sz w:val="20"/>
          <w:szCs w:val="20"/>
          <w:lang w:val="es"/>
        </w:rPr>
        <w:t xml:space="preserve">Jurisdicción </w:t>
      </w:r>
      <w:r w:rsidRPr="00B92597">
        <w:rPr>
          <w:rFonts w:asciiTheme="majorBidi" w:hAnsiTheme="majorBidi" w:cstheme="majorBidi"/>
          <w:sz w:val="20"/>
          <w:szCs w:val="20"/>
        </w:rPr>
        <w:t>Especial para la Paz. Tribunal para la Paz. Sección de Apelación, Sentencia del 6 de septiembre de 2023, TP-SA-SENIT 6 de 2023.</w:t>
      </w:r>
    </w:p>
  </w:footnote>
  <w:footnote w:id="16">
    <w:p w14:paraId="5C9922BE" w14:textId="77777777" w:rsidR="009F2FE8" w:rsidRPr="00B92597" w:rsidRDefault="009F2FE8" w:rsidP="00E20BA5">
      <w:pPr>
        <w:rPr>
          <w:rFonts w:asciiTheme="majorBidi" w:hAnsiTheme="majorBidi" w:cstheme="majorBidi"/>
          <w:sz w:val="20"/>
          <w:szCs w:val="20"/>
        </w:rPr>
      </w:pPr>
      <w:r w:rsidRPr="00B92597">
        <w:rPr>
          <w:rFonts w:asciiTheme="majorBidi" w:hAnsiTheme="majorBidi" w:cstheme="majorBidi"/>
          <w:sz w:val="20"/>
          <w:szCs w:val="20"/>
          <w:vertAlign w:val="superscript"/>
        </w:rPr>
        <w:footnoteRef/>
      </w:r>
      <w:r w:rsidRPr="00B92597">
        <w:rPr>
          <w:rFonts w:asciiTheme="majorBidi" w:hAnsiTheme="majorBidi" w:cstheme="majorBidi"/>
          <w:sz w:val="20"/>
          <w:szCs w:val="20"/>
        </w:rPr>
        <w:t xml:space="preserve"> </w:t>
      </w:r>
      <w:r w:rsidRPr="00B92597">
        <w:rPr>
          <w:rFonts w:asciiTheme="majorBidi" w:hAnsiTheme="majorBidi" w:cstheme="majorBidi"/>
          <w:sz w:val="20"/>
          <w:szCs w:val="20"/>
          <w:lang w:val="es"/>
        </w:rPr>
        <w:t>Ibid.</w:t>
      </w:r>
    </w:p>
  </w:footnote>
  <w:footnote w:id="17">
    <w:p w14:paraId="79D6B6F9" w14:textId="77777777" w:rsidR="009F2FE8" w:rsidRPr="00B92597" w:rsidRDefault="009F2FE8" w:rsidP="00E20BA5">
      <w:pPr>
        <w:rPr>
          <w:rFonts w:asciiTheme="majorBidi" w:hAnsiTheme="majorBidi" w:cstheme="majorBidi"/>
          <w:sz w:val="20"/>
          <w:szCs w:val="20"/>
        </w:rPr>
      </w:pPr>
      <w:r w:rsidRPr="00B92597">
        <w:rPr>
          <w:rFonts w:asciiTheme="majorBidi" w:hAnsiTheme="majorBidi" w:cstheme="majorBidi"/>
          <w:sz w:val="20"/>
          <w:szCs w:val="20"/>
          <w:vertAlign w:val="superscript"/>
        </w:rPr>
        <w:footnoteRef/>
      </w:r>
      <w:r w:rsidRPr="00B92597">
        <w:rPr>
          <w:rFonts w:asciiTheme="majorBidi" w:hAnsiTheme="majorBidi" w:cstheme="majorBidi"/>
          <w:sz w:val="20"/>
          <w:szCs w:val="20"/>
        </w:rPr>
        <w:t xml:space="preserve"> </w:t>
      </w:r>
      <w:r w:rsidRPr="00B92597">
        <w:rPr>
          <w:rFonts w:asciiTheme="majorBidi" w:hAnsiTheme="majorBidi" w:cstheme="majorBidi"/>
          <w:sz w:val="20"/>
          <w:szCs w:val="20"/>
          <w:lang w:val="es"/>
        </w:rPr>
        <w:t>Ibid.</w:t>
      </w:r>
    </w:p>
  </w:footnote>
  <w:footnote w:id="18">
    <w:p w14:paraId="3D367A80" w14:textId="77777777" w:rsidR="009F2FE8" w:rsidRPr="00B92597" w:rsidRDefault="009F2FE8" w:rsidP="00E20BA5">
      <w:pPr>
        <w:rPr>
          <w:rFonts w:asciiTheme="majorBidi" w:hAnsiTheme="majorBidi" w:cstheme="majorBidi"/>
          <w:sz w:val="20"/>
          <w:szCs w:val="20"/>
        </w:rPr>
      </w:pPr>
      <w:r w:rsidRPr="00B92597">
        <w:rPr>
          <w:rFonts w:asciiTheme="majorBidi" w:hAnsiTheme="majorBidi" w:cstheme="majorBidi"/>
          <w:sz w:val="20"/>
          <w:szCs w:val="20"/>
          <w:vertAlign w:val="superscript"/>
        </w:rPr>
        <w:footnoteRef/>
      </w:r>
      <w:r w:rsidRPr="00B92597">
        <w:rPr>
          <w:rFonts w:asciiTheme="majorBidi" w:hAnsiTheme="majorBidi" w:cstheme="majorBidi"/>
          <w:sz w:val="20"/>
          <w:szCs w:val="20"/>
        </w:rPr>
        <w:t xml:space="preserve"> </w:t>
      </w:r>
      <w:r w:rsidRPr="00B92597">
        <w:rPr>
          <w:rFonts w:asciiTheme="majorBidi" w:hAnsiTheme="majorBidi" w:cstheme="majorBidi"/>
          <w:sz w:val="20"/>
          <w:szCs w:val="20"/>
          <w:lang w:val="es"/>
        </w:rPr>
        <w:t>Ibid.</w:t>
      </w:r>
    </w:p>
  </w:footnote>
  <w:footnote w:id="19">
    <w:p w14:paraId="6E0646B5" w14:textId="77777777" w:rsidR="009F2FE8" w:rsidRPr="00B92597" w:rsidRDefault="009F2FE8" w:rsidP="00E20BA5">
      <w:pPr>
        <w:rPr>
          <w:rFonts w:asciiTheme="majorBidi" w:hAnsiTheme="majorBidi" w:cstheme="majorBidi"/>
          <w:sz w:val="20"/>
          <w:szCs w:val="20"/>
        </w:rPr>
      </w:pPr>
      <w:r w:rsidRPr="00B92597">
        <w:rPr>
          <w:rFonts w:asciiTheme="majorBidi" w:hAnsiTheme="majorBidi" w:cstheme="majorBidi"/>
          <w:sz w:val="20"/>
          <w:szCs w:val="20"/>
          <w:vertAlign w:val="superscript"/>
        </w:rPr>
        <w:footnoteRef/>
      </w:r>
      <w:r w:rsidRPr="00B92597">
        <w:rPr>
          <w:rFonts w:asciiTheme="majorBidi" w:hAnsiTheme="majorBidi" w:cstheme="majorBidi"/>
          <w:sz w:val="20"/>
          <w:szCs w:val="20"/>
          <w:vertAlign w:val="superscript"/>
        </w:rPr>
        <w:t xml:space="preserve"> </w:t>
      </w:r>
      <w:r w:rsidRPr="00B92597">
        <w:rPr>
          <w:rFonts w:asciiTheme="majorBidi" w:hAnsiTheme="majorBidi" w:cstheme="majorBidi"/>
          <w:sz w:val="20"/>
          <w:szCs w:val="20"/>
          <w:lang w:val="es"/>
        </w:rPr>
        <w:t>Sentencia SU-388 de 2023.</w:t>
      </w:r>
    </w:p>
  </w:footnote>
  <w:footnote w:id="20">
    <w:p w14:paraId="275C56D5" w14:textId="77777777" w:rsidR="009F2FE8" w:rsidRPr="00B92597" w:rsidRDefault="009F2FE8" w:rsidP="00E20BA5">
      <w:pPr>
        <w:rPr>
          <w:rFonts w:asciiTheme="majorBidi" w:hAnsiTheme="majorBidi" w:cstheme="majorBidi"/>
          <w:sz w:val="20"/>
          <w:szCs w:val="20"/>
        </w:rPr>
      </w:pPr>
      <w:r w:rsidRPr="00B92597">
        <w:rPr>
          <w:rFonts w:asciiTheme="majorBidi" w:hAnsiTheme="majorBidi" w:cstheme="majorBidi"/>
          <w:sz w:val="20"/>
          <w:szCs w:val="20"/>
          <w:vertAlign w:val="superscript"/>
        </w:rPr>
        <w:footnoteRef/>
      </w:r>
      <w:r w:rsidRPr="00B92597">
        <w:rPr>
          <w:rFonts w:asciiTheme="majorBidi" w:hAnsiTheme="majorBidi" w:cstheme="majorBidi"/>
          <w:sz w:val="20"/>
          <w:szCs w:val="20"/>
          <w:vertAlign w:val="superscript"/>
        </w:rPr>
        <w:t xml:space="preserve"> </w:t>
      </w:r>
      <w:r w:rsidRPr="00B92597">
        <w:rPr>
          <w:rFonts w:asciiTheme="majorBidi" w:hAnsiTheme="majorBidi" w:cstheme="majorBidi"/>
          <w:sz w:val="20"/>
          <w:szCs w:val="20"/>
          <w:lang w:val="es"/>
        </w:rPr>
        <w:t>J</w:t>
      </w:r>
      <w:r w:rsidRPr="00B92597">
        <w:rPr>
          <w:rFonts w:asciiTheme="majorBidi" w:hAnsiTheme="majorBidi" w:cstheme="majorBidi"/>
          <w:sz w:val="20"/>
          <w:szCs w:val="20"/>
        </w:rPr>
        <w:t>urisdicción Especial para la Paz. Sección de Apelación, Sentencia del 3 de abril de 2019, TP-SA-SENIT 1 de 2019.</w:t>
      </w:r>
    </w:p>
  </w:footnote>
  <w:footnote w:id="21">
    <w:p w14:paraId="1C7BE22E" w14:textId="77777777" w:rsidR="009F2FE8" w:rsidRPr="00B92597" w:rsidRDefault="009F2FE8" w:rsidP="00E20BA5">
      <w:pPr>
        <w:rPr>
          <w:rFonts w:asciiTheme="majorBidi" w:hAnsiTheme="majorBidi" w:cstheme="majorBidi"/>
          <w:sz w:val="20"/>
          <w:szCs w:val="20"/>
        </w:rPr>
      </w:pPr>
      <w:r w:rsidRPr="00B92597">
        <w:rPr>
          <w:rFonts w:asciiTheme="majorBidi" w:hAnsiTheme="majorBidi" w:cstheme="majorBidi"/>
          <w:sz w:val="20"/>
          <w:szCs w:val="20"/>
          <w:vertAlign w:val="superscript"/>
        </w:rPr>
        <w:footnoteRef/>
      </w:r>
      <w:r w:rsidRPr="00B92597">
        <w:rPr>
          <w:rFonts w:asciiTheme="majorBidi" w:hAnsiTheme="majorBidi" w:cstheme="majorBidi"/>
          <w:sz w:val="20"/>
          <w:szCs w:val="20"/>
        </w:rPr>
        <w:t xml:space="preserve"> Ibid.</w:t>
      </w:r>
    </w:p>
  </w:footnote>
  <w:footnote w:id="22">
    <w:p w14:paraId="57A0BD0D" w14:textId="77777777" w:rsidR="009F2FE8" w:rsidRPr="00B92597" w:rsidRDefault="009F2FE8" w:rsidP="00E20BA5">
      <w:pPr>
        <w:pStyle w:val="Textonotapie"/>
        <w:jc w:val="both"/>
        <w:rPr>
          <w:lang w:val="es-ES_tradnl"/>
        </w:rPr>
      </w:pPr>
      <w:r w:rsidRPr="00B92597">
        <w:rPr>
          <w:rStyle w:val="Refdenotaalpie"/>
        </w:rPr>
        <w:footnoteRef/>
      </w:r>
      <w:r w:rsidRPr="00B92597">
        <w:t xml:space="preserve"> En la Sentencia C-111 de 2023, la Corte analizó la demanda dirigida contra el artículo 53 de la Ley 1922 de 2018, “[</w:t>
      </w:r>
      <w:r w:rsidRPr="00B92597">
        <w:rPr>
          <w:i/>
          <w:iCs/>
        </w:rPr>
        <w:t>p</w:t>
      </w:r>
      <w:r w:rsidRPr="00B92597">
        <w:t>]</w:t>
      </w:r>
      <w:r w:rsidRPr="00B92597">
        <w:rPr>
          <w:i/>
          <w:iCs/>
        </w:rPr>
        <w:t>or medio de la cual se adoptan unas reglas de procedimiento para la Jurisdicción Especial para la Paz</w:t>
      </w:r>
      <w:r w:rsidRPr="00B92597">
        <w:t>”. El artículo demandado asigna a la Sección de Primera Instancia para Casos de Reconocimiento de Verdad y Responsabilidad y a la Sección de Primera Instancia para Casos de Ausencia de Reconocimiento de Verdad y Responsabilidad del Tribunal para la Paz la competencia para conocer acciones de tutela contra la JEP. Para el accionante, la norma desconocía el artículo 8 del Acto Legislativo 1 de 2017, del artículo 1° del Acto Legislativo 2 de 2017 y los artículos 25, 91, 92, 93, 96, 97 y 144 de la Ley Estatutaria 1957 de 2019 porque en su criterio la competencia para conocer acciones de tutela recae exclusivamente en las Secciones de Revisión y de Apelación del Tribunal para la Paz. La Corte concluyó que el primer inciso del artículo 53 de la Ley 1922 de 2018 era inconstitucional porque asignó a dos secciones de la JEP la función de resolver tutelas contra decisiones de esa jurisdicción, a pesar de que la Constitución establecía claramente que esa competencia era exclusiva de las secciones de Revisión y Apelación. Por ello, la norma fue declarada inexequible, con efectos solo hacia el futuro.</w:t>
      </w:r>
    </w:p>
  </w:footnote>
  <w:footnote w:id="23">
    <w:p w14:paraId="4C817A5B" w14:textId="77777777" w:rsidR="009F2FE8" w:rsidRPr="00B92597" w:rsidRDefault="009F2FE8" w:rsidP="00E20BA5">
      <w:pPr>
        <w:pStyle w:val="Textonotapie"/>
        <w:jc w:val="both"/>
        <w:rPr>
          <w:lang w:val="es-ES_tradnl"/>
        </w:rPr>
      </w:pPr>
      <w:r w:rsidRPr="00B92597">
        <w:rPr>
          <w:rStyle w:val="Refdenotaalpie"/>
        </w:rPr>
        <w:footnoteRef/>
      </w:r>
      <w:r w:rsidRPr="00B92597">
        <w:t xml:space="preserve"> En la SU-388 de 2023, la Corte estudió una tutela presentada por víctimas acreditadas ante la JEP en contra de la Sentencia Interpretativa Número 3 de la Sección de Apelación, la cual fijó reglas sobre notificaciones y recursos frente a decisiones de la Sala de Reconocimiento. Las víctimas alegaron vulneración de sus derechos al debido proceso, contradicción, doble instancia, acceso a la justicia y reparación pues la decisión cuestionada limitó la procedencia del recurso de reposición, pese a que la Ley 1922 de 2018 establece que este puede interponerse en contra de todas las decisiones de la JEP. La Corte explicó que las sentencias interpretativas pueden ser de carácter exclusivamente general y abstracto o pueden tener efectos directos en casos concretos y que la la acción de tutela es improcedente en los primeros casos pues la vía adecuada para cuestionar las decisiones generales es la acción pública de inconstitucionalidad. En relación con las Senit que resuelven casos concretos, la Corte señaló que la tutela solo procede de manera excepcional. Con base en esta distinción, la Corte concluyó que la tutela presentada era improcedente porque se dirigía contra una sentencia interpretativa de carácter exclusivamente general, impersonal y abstracto.</w:t>
      </w:r>
    </w:p>
  </w:footnote>
  <w:footnote w:id="24">
    <w:p w14:paraId="1E3FDEB6" w14:textId="77777777" w:rsidR="009F2FE8" w:rsidRPr="00B92597" w:rsidRDefault="009F2FE8" w:rsidP="00E20BA5">
      <w:pPr>
        <w:rPr>
          <w:lang w:val="es-ES_tradnl"/>
        </w:rPr>
      </w:pPr>
      <w:r w:rsidRPr="00B92597">
        <w:rPr>
          <w:rStyle w:val="Refdenotaalpie"/>
          <w:rFonts w:asciiTheme="majorBidi" w:hAnsiTheme="majorBidi"/>
          <w:sz w:val="20"/>
          <w:szCs w:val="20"/>
        </w:rPr>
        <w:footnoteRef/>
      </w:r>
      <w:r w:rsidRPr="00B92597">
        <w:rPr>
          <w:rFonts w:asciiTheme="majorBidi" w:hAnsiTheme="majorBidi" w:cstheme="majorBidi"/>
          <w:sz w:val="20"/>
          <w:szCs w:val="20"/>
        </w:rPr>
        <w:t xml:space="preserve"> Vale la pena notar, además, enfatizar en que dichas decisiones fueron expedidas en contextos distintos. </w:t>
      </w:r>
      <w:r w:rsidRPr="00B92597">
        <w:rPr>
          <w:rFonts w:asciiTheme="majorBidi" w:hAnsiTheme="majorBidi" w:cstheme="majorBidi"/>
          <w:sz w:val="20"/>
          <w:szCs w:val="20"/>
          <w:lang w:val="es-ES_tradnl"/>
        </w:rPr>
        <w:t xml:space="preserve">La C-111 de 2023 surgió a raíz de una demanda que cuestionaba la facultad de la Sección de primera instancia para casos con reconocimiento de verdad de la JEP, para resolver acciones de tutela en segunda instancia; la SU-388 de 2023 resolvía, en sede de revisión, una acción de tutela contra una decisión de la JEP dictada en el marco de un caso concreto, y no una sentencia interpretativa. </w:t>
      </w:r>
    </w:p>
  </w:footnote>
  <w:footnote w:id="25">
    <w:p w14:paraId="134FA3F1" w14:textId="77777777" w:rsidR="009F2FE8" w:rsidRPr="00B92597" w:rsidRDefault="009F2FE8" w:rsidP="00E20BA5">
      <w:pPr>
        <w:pStyle w:val="Textonotapie"/>
        <w:jc w:val="both"/>
      </w:pPr>
      <w:r w:rsidRPr="00B92597">
        <w:rPr>
          <w:rStyle w:val="Refdenotaalpie"/>
        </w:rPr>
        <w:footnoteRef/>
      </w:r>
      <w:r w:rsidRPr="00B92597">
        <w:t xml:space="preserve"> Sentencia C-111 de 2023: “De acuerdo con lo expuesto, considera la Sala que la hermenéutica descrita, conforme a la cual la acción de tutela procede en los términos del Acto Legislativo 1 de 2017 y la Ley Estatutaria 1957 contra las decisiones emitidas por los órganos de la JEP –y en particular contra las providencias proferidas por las secciones de Revisión y Apelación–, salvedad hecha de las SENIT que no diriman cuestiones litigiosas concretas en el marco de la resolución de recursos de apelación –en relación con las cuales procede, dada su naturaleza, el control abstracto de constitucionalidad frente a interpretaciones judiciales–, emerge como una lectura sistemática que asegura el rol de esta Corte como guardiana de la supremacía e integridad Constitución, al tiempo que maximiza el papel de la Sección de Apelación del Tribunal para la Paz como órgano de cierre de la justicia transicional”.</w:t>
      </w:r>
    </w:p>
  </w:footnote>
  <w:footnote w:id="26">
    <w:p w14:paraId="71511463" w14:textId="77777777" w:rsidR="009F2FE8" w:rsidRPr="00B92597" w:rsidRDefault="009F2FE8" w:rsidP="00E20BA5">
      <w:pPr>
        <w:pStyle w:val="Textonotapie"/>
        <w:jc w:val="both"/>
        <w:rPr>
          <w:lang w:val="es-ES_tradnl"/>
        </w:rPr>
      </w:pPr>
      <w:r w:rsidRPr="00B92597">
        <w:rPr>
          <w:rStyle w:val="Refdenotaalpie"/>
        </w:rPr>
        <w:footnoteRef/>
      </w:r>
      <w:r w:rsidRPr="00B92597">
        <w:t xml:space="preserve"> </w:t>
      </w:r>
      <w:r w:rsidRPr="00B92597">
        <w:rPr>
          <w:lang w:val="es-ES_tradnl"/>
        </w:rPr>
        <w:t>La Sentencia SU-388 de 2023 dijo, en lo relevante, que “la regla de decisión por adoptar en el presente pronunciamiento reitera que no son procedentes las acciones de tutela contra sentencias (i) de tutela; (ii) de control abstracto de constitucionalidad proferidas por la Corte Constitucional; (iii) de control abstracto de constitucionalidad proferidas por el Consejo de Estado; y añade que (iv) tampoco serán procedentes contra las sentencias interpretativas proferidas por la SA del Tribunal para la Paz de la JEP, como consecuencia de una petición específica de algún órgano de dicha Jurisdicción y que detenten exclusivamente un carácter general, impersonal y abstracto. Esto de suyo implica que la regulación sobre la tutela contra providencias judiciales en la JEP -artículo 146 de la Ley Estatutaria 1957 de 2019- no aplica para este tipo de sentencias interpretativas”.</w:t>
      </w:r>
    </w:p>
  </w:footnote>
  <w:footnote w:id="27">
    <w:p w14:paraId="4E8810E0" w14:textId="77777777" w:rsidR="009F2FE8" w:rsidRPr="00B92597" w:rsidRDefault="009F2FE8" w:rsidP="00E20BA5">
      <w:pPr>
        <w:rPr>
          <w:rFonts w:asciiTheme="majorBidi" w:hAnsiTheme="majorBidi" w:cstheme="majorBidi"/>
          <w:sz w:val="20"/>
          <w:szCs w:val="20"/>
        </w:rPr>
      </w:pPr>
      <w:r w:rsidRPr="00B92597">
        <w:rPr>
          <w:rFonts w:asciiTheme="majorBidi" w:hAnsiTheme="majorBidi" w:cstheme="majorBidi"/>
          <w:sz w:val="20"/>
          <w:szCs w:val="20"/>
          <w:vertAlign w:val="superscript"/>
        </w:rPr>
        <w:footnoteRef/>
      </w:r>
      <w:r w:rsidRPr="00B92597">
        <w:rPr>
          <w:rFonts w:asciiTheme="majorBidi" w:hAnsiTheme="majorBidi" w:cstheme="majorBidi"/>
          <w:sz w:val="20"/>
          <w:szCs w:val="20"/>
        </w:rPr>
        <w:t xml:space="preserve"> </w:t>
      </w:r>
      <w:r w:rsidRPr="00B92597">
        <w:rPr>
          <w:rFonts w:asciiTheme="majorBidi" w:hAnsiTheme="majorBidi" w:cstheme="majorBidi"/>
          <w:sz w:val="20"/>
          <w:szCs w:val="20"/>
          <w:lang w:val="es"/>
        </w:rPr>
        <w:t xml:space="preserve">Sentencia </w:t>
      </w:r>
      <w:r w:rsidRPr="00B92597">
        <w:rPr>
          <w:rFonts w:asciiTheme="majorBidi" w:hAnsiTheme="majorBidi" w:cstheme="majorBidi"/>
          <w:sz w:val="20"/>
          <w:szCs w:val="20"/>
        </w:rPr>
        <w:t>C-111 de 2023.</w:t>
      </w:r>
    </w:p>
  </w:footnote>
  <w:footnote w:id="28">
    <w:p w14:paraId="54FC4567" w14:textId="77777777" w:rsidR="009F2FE8" w:rsidRPr="00B92597" w:rsidRDefault="009F2FE8" w:rsidP="00E20BA5">
      <w:pPr>
        <w:rPr>
          <w:rFonts w:asciiTheme="majorBidi" w:eastAsia="Calibri" w:hAnsiTheme="majorBidi" w:cstheme="majorBidi"/>
          <w:sz w:val="20"/>
          <w:szCs w:val="20"/>
        </w:rPr>
      </w:pPr>
      <w:r w:rsidRPr="00B92597">
        <w:rPr>
          <w:rFonts w:asciiTheme="majorBidi" w:hAnsiTheme="majorBidi" w:cstheme="majorBidi"/>
          <w:sz w:val="20"/>
          <w:szCs w:val="20"/>
          <w:vertAlign w:val="superscript"/>
        </w:rPr>
        <w:footnoteRef/>
      </w:r>
      <w:r w:rsidRPr="00B92597">
        <w:rPr>
          <w:rFonts w:asciiTheme="majorBidi" w:hAnsiTheme="majorBidi" w:cstheme="majorBidi"/>
          <w:sz w:val="20"/>
          <w:szCs w:val="20"/>
          <w:vertAlign w:val="superscript"/>
        </w:rPr>
        <w:t xml:space="preserve"> </w:t>
      </w:r>
      <w:r w:rsidRPr="00B92597">
        <w:rPr>
          <w:rFonts w:asciiTheme="majorBidi" w:hAnsiTheme="majorBidi" w:cstheme="majorBidi"/>
          <w:sz w:val="20"/>
          <w:szCs w:val="20"/>
        </w:rPr>
        <w:t>En el que la Sala de Reconocimiento de Verdad, de Responsabilidad remitió un listado de diecisiete (17) miembros activos y retirados de la fuerza pública a la Sala de Definición de Situaciones Jurídicas, por considerar que no habían tenido participación determinante en los hechos relacionados con los asesinatos y desapariciones forzadas ocurridos en los municipios de Ituango y Dabeiba (Antioquia).</w:t>
      </w:r>
    </w:p>
  </w:footnote>
  <w:footnote w:id="29">
    <w:p w14:paraId="3D504274" w14:textId="77777777" w:rsidR="009F2FE8" w:rsidRPr="00B92597" w:rsidRDefault="009F2FE8" w:rsidP="006A2C55">
      <w:pPr>
        <w:pStyle w:val="Textonotapie"/>
        <w:rPr>
          <w:lang w:val="es-ES_tradnl"/>
        </w:rPr>
      </w:pPr>
      <w:r w:rsidRPr="00B92597">
        <w:rPr>
          <w:rStyle w:val="Refdenotaalpie"/>
        </w:rPr>
        <w:footnoteRef/>
      </w:r>
      <w:r w:rsidRPr="00B92597">
        <w:t xml:space="preserve"> </w:t>
      </w:r>
      <w:r w:rsidRPr="00B92597">
        <w:rPr>
          <w:lang w:val="es-ES_tradnl"/>
        </w:rPr>
        <w:t>Sentencia C-007 de 2016.</w:t>
      </w:r>
    </w:p>
  </w:footnote>
  <w:footnote w:id="30">
    <w:p w14:paraId="56494DD5" w14:textId="20608DB6" w:rsidR="009F2FE8" w:rsidRPr="00B92597" w:rsidRDefault="009F2FE8" w:rsidP="00F9013F">
      <w:pPr>
        <w:widowControl w:val="0"/>
        <w:adjustRightInd w:val="0"/>
        <w:rPr>
          <w:rFonts w:asciiTheme="majorBidi" w:hAnsiTheme="majorBidi" w:cstheme="majorBidi"/>
          <w:sz w:val="20"/>
          <w:szCs w:val="20"/>
        </w:rPr>
      </w:pPr>
      <w:r w:rsidRPr="00B92597">
        <w:rPr>
          <w:rStyle w:val="Refdenotaalpie"/>
          <w:rFonts w:asciiTheme="majorBidi" w:hAnsiTheme="majorBidi" w:cstheme="majorBidi"/>
          <w:sz w:val="20"/>
          <w:szCs w:val="20"/>
        </w:rPr>
        <w:footnoteRef/>
      </w:r>
      <w:r w:rsidRPr="00B92597">
        <w:rPr>
          <w:rFonts w:asciiTheme="majorBidi" w:hAnsiTheme="majorBidi" w:cstheme="majorBidi"/>
          <w:sz w:val="20"/>
          <w:szCs w:val="20"/>
        </w:rPr>
        <w:t xml:space="preserve"> Sentencia C-007 de 2016.</w:t>
      </w:r>
    </w:p>
  </w:footnote>
  <w:footnote w:id="31">
    <w:p w14:paraId="06D62C19" w14:textId="04B073D5" w:rsidR="009F2FE8" w:rsidRPr="00B92597" w:rsidRDefault="009F2FE8" w:rsidP="0091199E">
      <w:pPr>
        <w:pStyle w:val="Textonotapie"/>
        <w:jc w:val="both"/>
        <w:rPr>
          <w:lang w:val="es-ES_tradnl"/>
        </w:rPr>
      </w:pPr>
      <w:r w:rsidRPr="00B92597">
        <w:rPr>
          <w:rStyle w:val="Refdenotaalpie"/>
        </w:rPr>
        <w:footnoteRef/>
      </w:r>
      <w:r w:rsidRPr="00B92597">
        <w:t xml:space="preserve"> </w:t>
      </w:r>
      <w:r w:rsidRPr="00B92597">
        <w:rPr>
          <w:bdr w:val="none" w:sz="0" w:space="0" w:color="auto" w:frame="1"/>
          <w:shd w:val="clear" w:color="auto" w:fill="FFFFFF"/>
        </w:rPr>
        <w:t xml:space="preserve">Así lo ha reiterado la Corte en las sentencias </w:t>
      </w:r>
      <w:r w:rsidRPr="00B92597">
        <w:rPr>
          <w:lang w:eastAsia="es-CO"/>
        </w:rPr>
        <w:t>C-200 de 2019, C-519 de 2019, C-233 de 2021 y C-055 de 2022.</w:t>
      </w:r>
    </w:p>
  </w:footnote>
  <w:footnote w:id="32">
    <w:p w14:paraId="5C15FE2E" w14:textId="77777777" w:rsidR="009F2FE8" w:rsidRPr="00B92597" w:rsidRDefault="009F2FE8" w:rsidP="00E92835">
      <w:pPr>
        <w:pStyle w:val="Textonotapie"/>
        <w:rPr>
          <w:rFonts w:asciiTheme="majorBidi" w:hAnsiTheme="majorBidi" w:cstheme="majorBidi"/>
          <w:lang w:val="es-ES_tradnl"/>
        </w:rPr>
      </w:pPr>
      <w:r w:rsidRPr="00B92597">
        <w:rPr>
          <w:rStyle w:val="Refdenotaalpie"/>
          <w:rFonts w:asciiTheme="majorBidi" w:hAnsiTheme="majorBidi"/>
        </w:rPr>
        <w:footnoteRef/>
      </w:r>
      <w:r w:rsidRPr="00B92597">
        <w:rPr>
          <w:rFonts w:asciiTheme="majorBidi" w:hAnsiTheme="majorBidi" w:cstheme="majorBidi"/>
        </w:rPr>
        <w:t xml:space="preserve"> </w:t>
      </w:r>
      <w:r w:rsidRPr="00B92597">
        <w:rPr>
          <w:rFonts w:asciiTheme="majorBidi" w:hAnsiTheme="majorBidi" w:cstheme="majorBidi"/>
          <w:lang w:val="es-ES_tradnl"/>
        </w:rPr>
        <w:t xml:space="preserve">Ver, en especial, Sentencia C-1052 de 2001. </w:t>
      </w:r>
    </w:p>
  </w:footnote>
  <w:footnote w:id="33">
    <w:p w14:paraId="52C5157C" w14:textId="77777777" w:rsidR="009F2FE8" w:rsidRPr="00B92597" w:rsidRDefault="009F2FE8" w:rsidP="00E92835">
      <w:pPr>
        <w:pStyle w:val="Textonotapie"/>
        <w:rPr>
          <w:rFonts w:asciiTheme="majorBidi" w:hAnsiTheme="majorBidi" w:cstheme="majorBidi"/>
        </w:rPr>
      </w:pPr>
      <w:r w:rsidRPr="00B92597">
        <w:rPr>
          <w:rStyle w:val="Refdenotaalpie"/>
          <w:rFonts w:asciiTheme="majorBidi" w:hAnsiTheme="majorBidi" w:cstheme="majorBidi"/>
        </w:rPr>
        <w:footnoteRef/>
      </w:r>
      <w:r w:rsidRPr="00B92597">
        <w:rPr>
          <w:rFonts w:asciiTheme="majorBidi" w:hAnsiTheme="majorBidi" w:cstheme="majorBidi"/>
        </w:rPr>
        <w:t xml:space="preserve"> Sentencia interpretativa TP-SA Senit 8 de 2025, Fj. 200. </w:t>
      </w:r>
    </w:p>
  </w:footnote>
  <w:footnote w:id="34">
    <w:p w14:paraId="6DD609AA" w14:textId="77777777" w:rsidR="009F2FE8" w:rsidRPr="00B92597" w:rsidRDefault="009F2FE8" w:rsidP="00E92835">
      <w:pPr>
        <w:pStyle w:val="Textonotapie"/>
        <w:rPr>
          <w:rFonts w:asciiTheme="majorBidi" w:hAnsiTheme="majorBidi" w:cstheme="majorBidi"/>
        </w:rPr>
      </w:pPr>
      <w:r w:rsidRPr="00B92597">
        <w:rPr>
          <w:rStyle w:val="Refdenotaalpie"/>
          <w:rFonts w:asciiTheme="majorBidi" w:hAnsiTheme="majorBidi" w:cstheme="majorBidi"/>
        </w:rPr>
        <w:footnoteRef/>
      </w:r>
      <w:r w:rsidRPr="00B92597">
        <w:rPr>
          <w:rFonts w:asciiTheme="majorBidi" w:hAnsiTheme="majorBidi" w:cstheme="majorBidi"/>
        </w:rPr>
        <w:t xml:space="preserve"> Sentencia interpretativa TP-SA Senit 8 de 2025, Fj. 198. </w:t>
      </w:r>
    </w:p>
  </w:footnote>
  <w:footnote w:id="35">
    <w:p w14:paraId="252A4842" w14:textId="77777777" w:rsidR="009F2FE8" w:rsidRPr="00B92597" w:rsidRDefault="009F2FE8" w:rsidP="00E92835">
      <w:pPr>
        <w:pStyle w:val="Textonotapie"/>
        <w:rPr>
          <w:rFonts w:asciiTheme="majorBidi" w:hAnsiTheme="majorBidi" w:cstheme="majorBidi"/>
        </w:rPr>
      </w:pPr>
      <w:r w:rsidRPr="00B92597">
        <w:rPr>
          <w:rStyle w:val="Refdenotaalpie"/>
          <w:rFonts w:asciiTheme="majorBidi" w:hAnsiTheme="majorBidi" w:cstheme="majorBidi"/>
        </w:rPr>
        <w:footnoteRef/>
      </w:r>
      <w:r w:rsidRPr="00B92597">
        <w:rPr>
          <w:rFonts w:asciiTheme="majorBidi" w:hAnsiTheme="majorBidi" w:cstheme="majorBidi"/>
        </w:rPr>
        <w:t xml:space="preserve"> Sentencia interpretativa TP-SA Senit 8 de 2025, Fj. 198. </w:t>
      </w:r>
    </w:p>
  </w:footnote>
  <w:footnote w:id="36">
    <w:p w14:paraId="6222C213" w14:textId="77777777" w:rsidR="009F2FE8" w:rsidRPr="00B92597" w:rsidRDefault="009F2FE8" w:rsidP="00E92835">
      <w:pPr>
        <w:pStyle w:val="Textonotapie"/>
        <w:rPr>
          <w:rFonts w:asciiTheme="majorBidi" w:hAnsiTheme="majorBidi" w:cstheme="majorBidi"/>
        </w:rPr>
      </w:pPr>
      <w:r w:rsidRPr="00B92597">
        <w:rPr>
          <w:rStyle w:val="Refdenotaalpie"/>
          <w:rFonts w:asciiTheme="majorBidi" w:hAnsiTheme="majorBidi" w:cstheme="majorBidi"/>
        </w:rPr>
        <w:footnoteRef/>
      </w:r>
      <w:r w:rsidRPr="00B92597">
        <w:rPr>
          <w:rFonts w:asciiTheme="majorBidi" w:hAnsiTheme="majorBidi" w:cstheme="majorBidi"/>
        </w:rPr>
        <w:t xml:space="preserve"> Sentencia interpretativa TP-SA Senit 8 de 2025, Fj. 196. </w:t>
      </w:r>
    </w:p>
  </w:footnote>
  <w:footnote w:id="37">
    <w:p w14:paraId="6A7C3249" w14:textId="77777777" w:rsidR="009F2FE8" w:rsidRPr="00B92597" w:rsidRDefault="009F2FE8" w:rsidP="00E92835">
      <w:pPr>
        <w:pStyle w:val="Textonotapie"/>
        <w:rPr>
          <w:rFonts w:asciiTheme="majorBidi" w:hAnsiTheme="majorBidi" w:cstheme="majorBidi"/>
        </w:rPr>
      </w:pPr>
      <w:r w:rsidRPr="00B92597">
        <w:rPr>
          <w:rStyle w:val="Refdenotaalpie"/>
          <w:rFonts w:asciiTheme="majorBidi" w:hAnsiTheme="majorBidi" w:cstheme="majorBidi"/>
        </w:rPr>
        <w:footnoteRef/>
      </w:r>
      <w:r w:rsidRPr="00B92597">
        <w:rPr>
          <w:rFonts w:asciiTheme="majorBidi" w:hAnsiTheme="majorBidi" w:cstheme="majorBidi"/>
        </w:rPr>
        <w:t xml:space="preserve"> Sentencia interpretativa TP-SA Senit 8 de 2025, Fj. 196. </w:t>
      </w:r>
    </w:p>
  </w:footnote>
  <w:footnote w:id="38">
    <w:p w14:paraId="39A1FD20" w14:textId="77777777" w:rsidR="009F2FE8" w:rsidRPr="00B92597" w:rsidRDefault="009F2FE8" w:rsidP="00E92835">
      <w:pPr>
        <w:pStyle w:val="Textonotapie"/>
        <w:rPr>
          <w:rFonts w:asciiTheme="majorBidi" w:hAnsiTheme="majorBidi" w:cstheme="majorBidi"/>
        </w:rPr>
      </w:pPr>
      <w:r w:rsidRPr="00B92597">
        <w:rPr>
          <w:rStyle w:val="Refdenotaalpie"/>
          <w:rFonts w:asciiTheme="majorBidi" w:hAnsiTheme="majorBidi" w:cstheme="majorBidi"/>
        </w:rPr>
        <w:footnoteRef/>
      </w:r>
      <w:r w:rsidRPr="00B92597">
        <w:rPr>
          <w:rFonts w:asciiTheme="majorBidi" w:hAnsiTheme="majorBidi" w:cstheme="majorBidi"/>
        </w:rPr>
        <w:t xml:space="preserve"> Sentencia interpretativa TP-SA Senit 8 de 2025, Fj. 196-197. </w:t>
      </w:r>
    </w:p>
  </w:footnote>
  <w:footnote w:id="39">
    <w:p w14:paraId="16788FF7" w14:textId="77777777" w:rsidR="009F2FE8" w:rsidRPr="00B92597" w:rsidRDefault="009F2FE8" w:rsidP="00E92835">
      <w:pPr>
        <w:pStyle w:val="Textonotapie"/>
        <w:rPr>
          <w:rFonts w:asciiTheme="majorBidi" w:hAnsiTheme="majorBidi" w:cstheme="majorBidi"/>
        </w:rPr>
      </w:pPr>
      <w:r w:rsidRPr="00B92597">
        <w:rPr>
          <w:rStyle w:val="Refdenotaalpie"/>
          <w:rFonts w:asciiTheme="majorBidi" w:hAnsiTheme="majorBidi" w:cstheme="majorBidi"/>
        </w:rPr>
        <w:footnoteRef/>
      </w:r>
      <w:r w:rsidRPr="00B92597">
        <w:rPr>
          <w:rFonts w:asciiTheme="majorBidi" w:hAnsiTheme="majorBidi" w:cstheme="majorBidi"/>
        </w:rPr>
        <w:t xml:space="preserve"> Sentencia C-384 de 2025. </w:t>
      </w:r>
    </w:p>
  </w:footnote>
  <w:footnote w:id="40">
    <w:p w14:paraId="2A37BA51" w14:textId="77777777" w:rsidR="009F2FE8" w:rsidRPr="00B92597" w:rsidRDefault="009F2FE8" w:rsidP="00E92835">
      <w:pPr>
        <w:pStyle w:val="Textonotapie"/>
        <w:rPr>
          <w:rFonts w:asciiTheme="majorBidi" w:hAnsiTheme="majorBidi" w:cstheme="majorBidi"/>
        </w:rPr>
      </w:pPr>
      <w:r w:rsidRPr="00B92597">
        <w:rPr>
          <w:rStyle w:val="Refdenotaalpie"/>
          <w:rFonts w:asciiTheme="majorBidi" w:hAnsiTheme="majorBidi" w:cstheme="majorBidi"/>
        </w:rPr>
        <w:footnoteRef/>
      </w:r>
      <w:r w:rsidRPr="00B92597">
        <w:rPr>
          <w:rFonts w:asciiTheme="majorBidi" w:hAnsiTheme="majorBidi" w:cstheme="majorBidi"/>
        </w:rPr>
        <w:t xml:space="preserve"> Sentencia C-384 de 2025. </w:t>
      </w:r>
    </w:p>
  </w:footnote>
  <w:footnote w:id="41">
    <w:p w14:paraId="21EC3F7E" w14:textId="77777777" w:rsidR="009F2FE8" w:rsidRPr="00B92597" w:rsidRDefault="009F2FE8" w:rsidP="00DD4E06">
      <w:pPr>
        <w:pStyle w:val="Textonotapie"/>
        <w:rPr>
          <w:rFonts w:asciiTheme="majorBidi" w:hAnsiTheme="majorBidi" w:cstheme="majorBidi"/>
        </w:rPr>
      </w:pPr>
      <w:r w:rsidRPr="00B92597">
        <w:rPr>
          <w:rStyle w:val="Refdenotaalpie"/>
          <w:rFonts w:asciiTheme="majorBidi" w:hAnsiTheme="majorBidi" w:cstheme="majorBidi"/>
        </w:rPr>
        <w:footnoteRef/>
      </w:r>
      <w:r w:rsidRPr="00B92597">
        <w:rPr>
          <w:rFonts w:asciiTheme="majorBidi" w:hAnsiTheme="majorBidi" w:cstheme="majorBidi"/>
        </w:rPr>
        <w:t xml:space="preserve"> Sentencia interpretativa TP-SA Senit 8 de 2025, Fj. 197. </w:t>
      </w:r>
    </w:p>
  </w:footnote>
  <w:footnote w:id="42">
    <w:p w14:paraId="7F4C8C8D" w14:textId="77777777" w:rsidR="009F2FE8" w:rsidRPr="00B92597" w:rsidRDefault="009F2FE8" w:rsidP="00DD4E06">
      <w:pPr>
        <w:pStyle w:val="Textonotapie"/>
        <w:rPr>
          <w:rFonts w:asciiTheme="majorBidi" w:hAnsiTheme="majorBidi" w:cstheme="majorBidi"/>
        </w:rPr>
      </w:pPr>
      <w:r w:rsidRPr="00B92597">
        <w:rPr>
          <w:rStyle w:val="Refdenotaalpie"/>
          <w:rFonts w:asciiTheme="majorBidi" w:hAnsiTheme="majorBidi" w:cstheme="majorBidi"/>
        </w:rPr>
        <w:footnoteRef/>
      </w:r>
      <w:r w:rsidRPr="00B92597">
        <w:rPr>
          <w:rFonts w:asciiTheme="majorBidi" w:hAnsiTheme="majorBidi" w:cstheme="majorBidi"/>
        </w:rPr>
        <w:t xml:space="preserve"> Sentencia interpretativa TP-SA Senit 8 de 2025, Fj. 197. </w:t>
      </w:r>
    </w:p>
  </w:footnote>
  <w:footnote w:id="43">
    <w:p w14:paraId="36B8FDE0" w14:textId="77777777" w:rsidR="009F2FE8" w:rsidRPr="00B92597" w:rsidRDefault="009F2FE8" w:rsidP="00DD4E06">
      <w:pPr>
        <w:pStyle w:val="Textonotapie"/>
        <w:rPr>
          <w:rFonts w:asciiTheme="majorBidi" w:hAnsiTheme="majorBidi" w:cstheme="majorBidi"/>
          <w:lang w:val="es-ES_tradnl"/>
        </w:rPr>
      </w:pPr>
      <w:r w:rsidRPr="00B92597">
        <w:rPr>
          <w:rStyle w:val="Refdenotaalpie"/>
          <w:rFonts w:asciiTheme="majorBidi" w:hAnsiTheme="majorBidi" w:cstheme="majorBidi"/>
        </w:rPr>
        <w:footnoteRef/>
      </w:r>
      <w:r w:rsidRPr="00B92597">
        <w:rPr>
          <w:rFonts w:asciiTheme="majorBidi" w:hAnsiTheme="majorBidi" w:cstheme="majorBidi"/>
        </w:rPr>
        <w:t xml:space="preserve"> Expediente digital, archivo “D0016414-Presentación Demanda-(2025-02-04 14-04-40).pdf”, p. 54.</w:t>
      </w:r>
    </w:p>
  </w:footnote>
  <w:footnote w:id="44">
    <w:p w14:paraId="71F04F91" w14:textId="77777777" w:rsidR="009F2FE8" w:rsidRPr="00B92597" w:rsidRDefault="009F2FE8" w:rsidP="00DD4E06">
      <w:pPr>
        <w:pStyle w:val="Textonotapie"/>
        <w:rPr>
          <w:rFonts w:asciiTheme="majorBidi" w:hAnsiTheme="majorBidi" w:cstheme="majorBidi"/>
          <w:lang w:val="es-ES_tradnl"/>
        </w:rPr>
      </w:pPr>
      <w:r w:rsidRPr="00B92597">
        <w:rPr>
          <w:rStyle w:val="Refdenotaalpie"/>
          <w:rFonts w:asciiTheme="majorBidi" w:hAnsiTheme="majorBidi" w:cstheme="majorBidi"/>
        </w:rPr>
        <w:footnoteRef/>
      </w:r>
      <w:r w:rsidRPr="00B92597">
        <w:rPr>
          <w:rFonts w:asciiTheme="majorBidi" w:hAnsiTheme="majorBidi" w:cstheme="majorBidi"/>
        </w:rPr>
        <w:t xml:space="preserve"> Expediente digital, archivo “D0016414-Presentación Demanda-(2025-02-04 14-04-40).pdf”, p. 54.</w:t>
      </w:r>
    </w:p>
  </w:footnote>
  <w:footnote w:id="45">
    <w:p w14:paraId="2B295BAC" w14:textId="77777777" w:rsidR="009F2FE8" w:rsidRPr="00B92597" w:rsidRDefault="009F2FE8" w:rsidP="00DD4E06">
      <w:pPr>
        <w:pStyle w:val="Textonotapie"/>
        <w:rPr>
          <w:rFonts w:asciiTheme="majorBidi" w:hAnsiTheme="majorBidi" w:cstheme="majorBidi"/>
        </w:rPr>
      </w:pPr>
      <w:r w:rsidRPr="00B92597">
        <w:rPr>
          <w:rStyle w:val="Refdenotaalpie"/>
          <w:rFonts w:asciiTheme="majorBidi" w:hAnsiTheme="majorBidi" w:cstheme="majorBidi"/>
        </w:rPr>
        <w:footnoteRef/>
      </w:r>
      <w:r w:rsidRPr="00B92597">
        <w:rPr>
          <w:rFonts w:asciiTheme="majorBidi" w:hAnsiTheme="majorBidi" w:cstheme="majorBidi"/>
        </w:rPr>
        <w:t xml:space="preserve"> </w:t>
      </w:r>
      <w:r w:rsidRPr="00B92597">
        <w:rPr>
          <w:rFonts w:asciiTheme="majorBidi" w:hAnsiTheme="majorBidi" w:cstheme="majorBidi"/>
          <w:lang w:val="es-ES_tradnl"/>
        </w:rPr>
        <w:t>Expediente digital, archivo “D0016414-Conceptos e Intervenciones-(2025-06-19 03-20-24).pdf”, Fj. 16.1.</w:t>
      </w:r>
    </w:p>
  </w:footnote>
  <w:footnote w:id="46">
    <w:p w14:paraId="6CAEA1D5" w14:textId="77777777" w:rsidR="009F2FE8" w:rsidRPr="00B92597" w:rsidRDefault="009F2FE8" w:rsidP="00DD4E06">
      <w:pPr>
        <w:pStyle w:val="Textonotapie"/>
        <w:rPr>
          <w:rFonts w:asciiTheme="majorBidi" w:hAnsiTheme="majorBidi" w:cstheme="majorBidi"/>
        </w:rPr>
      </w:pPr>
      <w:r w:rsidRPr="00B92597">
        <w:rPr>
          <w:rStyle w:val="Refdenotaalpie"/>
          <w:rFonts w:asciiTheme="majorBidi" w:hAnsiTheme="majorBidi" w:cstheme="majorBidi"/>
        </w:rPr>
        <w:footnoteRef/>
      </w:r>
      <w:r w:rsidRPr="00B92597">
        <w:rPr>
          <w:rFonts w:asciiTheme="majorBidi" w:hAnsiTheme="majorBidi" w:cstheme="majorBidi"/>
        </w:rPr>
        <w:t xml:space="preserve"> Sentencia interpretativa TP-SA Senit 8 de 2025, numeral décimo de la parte resolutiva. </w:t>
      </w:r>
    </w:p>
  </w:footnote>
  <w:footnote w:id="47">
    <w:p w14:paraId="12C4AF63" w14:textId="5AC82B19" w:rsidR="009F2FE8" w:rsidRPr="00B92597" w:rsidRDefault="009F2FE8" w:rsidP="00FB1504">
      <w:pPr>
        <w:pStyle w:val="Textonotapie"/>
        <w:jc w:val="both"/>
        <w:rPr>
          <w:rFonts w:asciiTheme="majorBidi" w:hAnsiTheme="majorBidi" w:cstheme="majorBidi"/>
          <w:lang w:val="es-ES_tradnl"/>
        </w:rPr>
      </w:pPr>
      <w:r w:rsidRPr="00B92597">
        <w:rPr>
          <w:rStyle w:val="Refdenotaalpie"/>
          <w:rFonts w:asciiTheme="majorBidi" w:hAnsiTheme="majorBidi"/>
        </w:rPr>
        <w:footnoteRef/>
      </w:r>
      <w:r w:rsidRPr="00B92597">
        <w:rPr>
          <w:rFonts w:asciiTheme="majorBidi" w:hAnsiTheme="majorBidi" w:cstheme="majorBidi"/>
        </w:rPr>
        <w:t xml:space="preserve"> Ver, entre otras, las sentencias C-306 de 2019 y C-094 de 2020. Las dos hipótesis adicionales han sido sintetizadas de la siguiente manera: “</w:t>
      </w:r>
      <w:r w:rsidRPr="00B92597">
        <w:rPr>
          <w:rFonts w:asciiTheme="majorBidi" w:hAnsiTheme="majorBidi" w:cstheme="majorBidi"/>
          <w:bdr w:val="none" w:sz="0" w:space="0" w:color="auto" w:frame="1"/>
        </w:rPr>
        <w:t>(ii) </w:t>
      </w:r>
      <w:r w:rsidRPr="00B92597">
        <w:rPr>
          <w:rFonts w:asciiTheme="majorBidi" w:hAnsiTheme="majorBidi" w:cstheme="majorBidi"/>
          <w:bdr w:val="none" w:sz="0" w:space="0" w:color="auto" w:frame="1"/>
          <w:lang w:val="es-MX"/>
        </w:rPr>
        <w:t>En aquellos casos en los que la norma cuestionada está reproducida en otras disposiciones del ordenamiento que no fueron demandadas. Esta hipótesis pretende evitar que un fallo de inexequibilidad resulte inocuo y es una medida para lograr la coherencia del sistema jurídico. </w:t>
      </w:r>
      <w:r w:rsidRPr="00B92597">
        <w:rPr>
          <w:rFonts w:asciiTheme="majorBidi" w:hAnsiTheme="majorBidi" w:cstheme="majorBidi"/>
          <w:bdr w:val="none" w:sz="0" w:space="0" w:color="auto" w:frame="1"/>
        </w:rPr>
        <w:t>(iii) </w:t>
      </w:r>
      <w:r w:rsidRPr="00B92597">
        <w:rPr>
          <w:rFonts w:asciiTheme="majorBidi" w:hAnsiTheme="majorBidi" w:cstheme="majorBidi"/>
          <w:bdr w:val="none" w:sz="0" w:space="0" w:color="auto" w:frame="1"/>
          <w:lang w:val="es-MX"/>
        </w:rPr>
        <w:t>Cuando el precepto demandado se encuentra intrínsecamente relacionado con otra norma que, a primera vista, presenta serias dudas sobre su constitucionalidad. Para que proceda la integración normativa en esta última hipótesis es preciso que concurran dos circunstancias: (a) que la disposición demandada tenga estrecha relación con los preceptos que no fueron cuestionados y que conformarían la unidad normativa; y (b) que las normas no acusadas parezcan inconstitucionales.”</w:t>
      </w:r>
    </w:p>
  </w:footnote>
  <w:footnote w:id="48">
    <w:p w14:paraId="7E080A6E" w14:textId="0FA7518D" w:rsidR="009F2FE8" w:rsidRPr="00B92597" w:rsidRDefault="009F2FE8">
      <w:pPr>
        <w:pStyle w:val="Textonotapie"/>
        <w:rPr>
          <w:rFonts w:asciiTheme="majorBidi" w:hAnsiTheme="majorBidi" w:cstheme="majorBidi"/>
          <w:lang w:val="es-ES_tradnl"/>
        </w:rPr>
      </w:pPr>
      <w:r w:rsidRPr="00B92597">
        <w:rPr>
          <w:rStyle w:val="Refdenotaalpie"/>
          <w:rFonts w:asciiTheme="majorBidi" w:hAnsiTheme="majorBidi" w:cstheme="majorBidi"/>
        </w:rPr>
        <w:footnoteRef/>
      </w:r>
      <w:r w:rsidRPr="00B92597">
        <w:rPr>
          <w:rFonts w:asciiTheme="majorBidi" w:hAnsiTheme="majorBidi" w:cstheme="majorBidi"/>
        </w:rPr>
        <w:t xml:space="preserve"> </w:t>
      </w:r>
      <w:r w:rsidRPr="00B92597">
        <w:rPr>
          <w:rFonts w:asciiTheme="majorBidi" w:hAnsiTheme="majorBidi" w:cstheme="majorBidi"/>
          <w:lang w:val="es-ES_tradnl"/>
        </w:rPr>
        <w:t>Sentencias C-389 de 2016 y C-007 de 2018, entre otras.</w:t>
      </w:r>
    </w:p>
  </w:footnote>
  <w:footnote w:id="49">
    <w:p w14:paraId="5DA3ED08" w14:textId="5F50F284" w:rsidR="009F2FE8" w:rsidRPr="00B92597" w:rsidRDefault="009F2FE8" w:rsidP="005E7793">
      <w:pPr>
        <w:pStyle w:val="Textonotapie"/>
        <w:jc w:val="both"/>
        <w:rPr>
          <w:rFonts w:asciiTheme="majorBidi" w:hAnsiTheme="majorBidi" w:cstheme="majorBidi"/>
          <w:lang w:val="es-ES_tradnl"/>
        </w:rPr>
      </w:pPr>
      <w:r w:rsidRPr="00B92597">
        <w:rPr>
          <w:rStyle w:val="Refdenotaalpie"/>
          <w:rFonts w:asciiTheme="majorBidi" w:hAnsiTheme="majorBidi" w:cstheme="majorBidi"/>
        </w:rPr>
        <w:footnoteRef/>
      </w:r>
      <w:r w:rsidRPr="00B92597">
        <w:rPr>
          <w:rFonts w:asciiTheme="majorBidi" w:hAnsiTheme="majorBidi" w:cstheme="majorBidi"/>
        </w:rPr>
        <w:t xml:space="preserve"> </w:t>
      </w:r>
      <w:r w:rsidRPr="00B92597">
        <w:rPr>
          <w:rFonts w:asciiTheme="majorBidi" w:hAnsiTheme="majorBidi" w:cstheme="majorBidi"/>
          <w:lang w:val="es-ES_tradnl"/>
        </w:rPr>
        <w:t xml:space="preserve">Entre los mecanismos no jurisdiccionales se encuentran la Comisión Especial para el Esclarecimiento de la Verdad (C-017 de 2018) y la Unidad de Búsqueda de Personas dadas por Desaparecidas. En lo jurisdiccional, se encuentran hoy en día los jueces y tribunales de justicia y paz, la Jurisdicción Especial para la Paz y la justicia de restitución de tierras, a manera de ejemplo. </w:t>
      </w:r>
    </w:p>
  </w:footnote>
  <w:footnote w:id="50">
    <w:p w14:paraId="0FC8E22B" w14:textId="6713C05C" w:rsidR="009F2FE8" w:rsidRPr="00B92597" w:rsidRDefault="009F2FE8" w:rsidP="004E1FBE">
      <w:pPr>
        <w:pStyle w:val="Textonotapie"/>
        <w:jc w:val="both"/>
        <w:rPr>
          <w:rFonts w:asciiTheme="majorBidi" w:hAnsiTheme="majorBidi" w:cstheme="majorBidi"/>
          <w:lang w:val="es-ES_tradnl"/>
        </w:rPr>
      </w:pPr>
      <w:r w:rsidRPr="00B92597">
        <w:rPr>
          <w:rStyle w:val="Refdenotaalpie"/>
          <w:rFonts w:asciiTheme="majorBidi" w:hAnsiTheme="majorBidi" w:cstheme="majorBidi"/>
        </w:rPr>
        <w:footnoteRef/>
      </w:r>
      <w:r w:rsidRPr="00B92597">
        <w:rPr>
          <w:rFonts w:asciiTheme="majorBidi" w:hAnsiTheme="majorBidi" w:cstheme="majorBidi"/>
        </w:rPr>
        <w:t xml:space="preserve"> </w:t>
      </w:r>
      <w:r w:rsidRPr="00B92597">
        <w:rPr>
          <w:rFonts w:asciiTheme="majorBidi" w:hAnsiTheme="majorBidi" w:cstheme="majorBidi"/>
          <w:lang w:val="es-ES"/>
        </w:rPr>
        <w:t xml:space="preserve">Gobierno de la República de Colombia y Fuerzas Armadas Revolucionarias de Colombia – Ejército del Pueblo (FARC-EP). (2016, 24 de noviembre). </w:t>
      </w:r>
      <w:r w:rsidRPr="00B92597">
        <w:rPr>
          <w:rFonts w:asciiTheme="majorBidi" w:hAnsiTheme="majorBidi" w:cstheme="majorBidi"/>
          <w:i/>
          <w:iCs/>
          <w:lang w:val="es-ES"/>
        </w:rPr>
        <w:t>Acuerdo final para la terminación del conflicto y la construcción de una paz estable y duradera</w:t>
      </w:r>
      <w:r w:rsidRPr="00B92597">
        <w:rPr>
          <w:rFonts w:asciiTheme="majorBidi" w:hAnsiTheme="majorBidi" w:cstheme="majorBidi"/>
          <w:lang w:val="es-ES"/>
        </w:rPr>
        <w:t xml:space="preserve">. Cancillería de Colombia. </w:t>
      </w:r>
      <w:hyperlink r:id="rId3" w:history="1">
        <w:r w:rsidRPr="00B92597">
          <w:rPr>
            <w:rStyle w:val="Hipervnculo"/>
            <w:rFonts w:asciiTheme="majorBidi" w:hAnsiTheme="majorBidi" w:cstheme="majorBidi"/>
            <w:color w:val="auto"/>
            <w:lang w:val="es-ES"/>
          </w:rPr>
          <w:t>https://www.cancilleria.gov.co/sites/default/files/Fotos2016/12.11_1.2016nuevoacuerdofinal.pdf</w:t>
        </w:r>
      </w:hyperlink>
    </w:p>
  </w:footnote>
  <w:footnote w:id="51">
    <w:p w14:paraId="3CBB4FBB" w14:textId="58EDD872" w:rsidR="009F2FE8" w:rsidRPr="00B92597" w:rsidRDefault="009F2FE8">
      <w:pPr>
        <w:pStyle w:val="Textonotapie"/>
        <w:rPr>
          <w:lang w:val="es-ES_tradnl"/>
        </w:rPr>
      </w:pPr>
      <w:r w:rsidRPr="00B92597">
        <w:rPr>
          <w:rStyle w:val="Refdenotaalpie"/>
        </w:rPr>
        <w:footnoteRef/>
      </w:r>
      <w:r w:rsidRPr="00B92597">
        <w:t xml:space="preserve"> </w:t>
      </w:r>
      <w:r w:rsidRPr="00B92597">
        <w:rPr>
          <w:lang w:val="es-ES_tradnl"/>
        </w:rPr>
        <w:t xml:space="preserve">Esta es una síntesis de la exposición contenida en la Sentencia C-080 de 2018. </w:t>
      </w:r>
    </w:p>
  </w:footnote>
  <w:footnote w:id="52">
    <w:p w14:paraId="7DDA09EA" w14:textId="55ECB31D" w:rsidR="009F2FE8" w:rsidRPr="00B92597" w:rsidRDefault="009F2FE8">
      <w:pPr>
        <w:pStyle w:val="Textonotapie"/>
        <w:rPr>
          <w:lang w:val="es-ES_tradnl"/>
        </w:rPr>
      </w:pPr>
      <w:r w:rsidRPr="00B92597">
        <w:rPr>
          <w:rStyle w:val="Refdenotaalpie"/>
        </w:rPr>
        <w:footnoteRef/>
      </w:r>
      <w:r w:rsidRPr="00B92597">
        <w:t xml:space="preserve"> </w:t>
      </w:r>
      <w:r w:rsidRPr="00B92597">
        <w:rPr>
          <w:lang w:val="es-ES_tradnl"/>
        </w:rPr>
        <w:t>Al respecto, ver el artículo 140 de la Ley 1957 de 2018, Estatutaria de Administración de Justicia en la JEP.</w:t>
      </w:r>
    </w:p>
  </w:footnote>
  <w:footnote w:id="53">
    <w:p w14:paraId="794180D0" w14:textId="29060412" w:rsidR="009F2FE8" w:rsidRPr="00B92597" w:rsidRDefault="009F2FE8">
      <w:pPr>
        <w:pStyle w:val="Textonotapie"/>
        <w:rPr>
          <w:lang w:val="es-419"/>
        </w:rPr>
      </w:pPr>
      <w:r w:rsidRPr="00B92597">
        <w:rPr>
          <w:rStyle w:val="Refdenotaalpie"/>
        </w:rPr>
        <w:footnoteRef/>
      </w:r>
      <w:r w:rsidRPr="00B92597">
        <w:rPr>
          <w:lang w:val="es-419"/>
        </w:rPr>
        <w:t xml:space="preserve"> Sentencia C-080 de 2018.</w:t>
      </w:r>
    </w:p>
  </w:footnote>
  <w:footnote w:id="54">
    <w:p w14:paraId="4AB4FE88" w14:textId="71BBDBC7" w:rsidR="009F2FE8" w:rsidRPr="00B92597" w:rsidRDefault="009F2FE8">
      <w:pPr>
        <w:pStyle w:val="Textonotapie"/>
        <w:rPr>
          <w:lang w:val="es-ES_tradnl"/>
        </w:rPr>
      </w:pPr>
      <w:r w:rsidRPr="00B92597">
        <w:rPr>
          <w:rStyle w:val="Refdenotaalpie"/>
        </w:rPr>
        <w:footnoteRef/>
      </w:r>
      <w:r w:rsidRPr="00B92597">
        <w:t xml:space="preserve"> </w:t>
      </w:r>
      <w:r w:rsidRPr="00B92597">
        <w:rPr>
          <w:lang w:val="es-ES_tradnl"/>
        </w:rPr>
        <w:t>Constitución Política, Artículo 29.</w:t>
      </w:r>
    </w:p>
  </w:footnote>
  <w:footnote w:id="55">
    <w:p w14:paraId="2C28C34C" w14:textId="6AFF3C9B" w:rsidR="009F2FE8" w:rsidRPr="00B92597" w:rsidRDefault="009F2FE8" w:rsidP="00CC75D2">
      <w:pPr>
        <w:rPr>
          <w:rFonts w:asciiTheme="majorBidi" w:hAnsiTheme="majorBidi" w:cstheme="majorBidi"/>
          <w:sz w:val="20"/>
          <w:szCs w:val="20"/>
        </w:rPr>
      </w:pPr>
      <w:r w:rsidRPr="00B92597">
        <w:rPr>
          <w:rFonts w:asciiTheme="majorBidi" w:hAnsiTheme="majorBidi" w:cstheme="majorBidi"/>
          <w:sz w:val="20"/>
          <w:szCs w:val="20"/>
          <w:vertAlign w:val="superscript"/>
        </w:rPr>
        <w:footnoteRef/>
      </w:r>
      <w:r w:rsidRPr="00B92597">
        <w:rPr>
          <w:rFonts w:asciiTheme="majorBidi" w:hAnsiTheme="majorBidi" w:cstheme="majorBidi"/>
          <w:sz w:val="20"/>
          <w:szCs w:val="20"/>
        </w:rPr>
        <w:t xml:space="preserve"> </w:t>
      </w:r>
      <w:r w:rsidRPr="00B92597">
        <w:rPr>
          <w:rFonts w:asciiTheme="majorBidi" w:hAnsiTheme="majorBidi" w:cstheme="majorBidi"/>
          <w:sz w:val="20"/>
          <w:szCs w:val="20"/>
          <w:lang w:eastAsia="es-ES"/>
        </w:rPr>
        <w:t xml:space="preserve">Estos problemas se presentaron también en el Tribunal para el Lejano Oriente, donde diversos magistrados presentaron votos particulares, cuestionando, entre otros aspectos de los juicios, la aplicación del principio de legalidad. El principio de legalidad fue consagrado como derecho subjetivo en el artículo 11 de la Declaración Universal de los Derechos Humanos (DUDH, 1948); el artículo 15 del Pacto Internacional de los Derechos Civiles y Políticos (PIDCP, 1966) y la Convención para la protección de los Derechos del Niño (CDN, 1989). Además, se incorporó a instrumentos regionales, como la Convención Americana sobre Derechos Humanos (CADH); y a las normas del DIH, a través de las Convenciones de Ginebra Tercera y Cuarta (1949) y sus Protocolos Adicionales, de 1977. El principio citado, además, fue previsto en los instrumentos constitutivos, y desarrollado en la jurisprudencia, de los tribunales internacionales, como el TPIY (casos Tadic y Milutinovic), el TPIR (caso Akayesu) o la Corte Especial de Sierra Leona, CESL (caso Norman), convirtiéndose así en “parte del Derecho Internacional General (…) como costumbre internacional de aplicación universal y como principio general del Derecho (…)”. (Sentencia C-007 de 2018). </w:t>
      </w:r>
    </w:p>
  </w:footnote>
  <w:footnote w:id="56">
    <w:p w14:paraId="0938A3D8" w14:textId="375D50FA" w:rsidR="009F2FE8" w:rsidRPr="00B92597" w:rsidRDefault="009F2FE8" w:rsidP="00F05A72">
      <w:pPr>
        <w:rPr>
          <w:rFonts w:asciiTheme="majorBidi" w:hAnsiTheme="majorBidi" w:cstheme="majorBidi"/>
          <w:sz w:val="20"/>
          <w:szCs w:val="20"/>
        </w:rPr>
      </w:pPr>
      <w:r w:rsidRPr="00B92597">
        <w:rPr>
          <w:rFonts w:asciiTheme="majorBidi" w:hAnsiTheme="majorBidi" w:cstheme="majorBidi"/>
          <w:sz w:val="20"/>
          <w:szCs w:val="20"/>
          <w:vertAlign w:val="superscript"/>
        </w:rPr>
        <w:footnoteRef/>
      </w:r>
      <w:r w:rsidRPr="00B92597">
        <w:rPr>
          <w:rFonts w:asciiTheme="majorBidi" w:hAnsiTheme="majorBidi" w:cstheme="majorBidi"/>
          <w:sz w:val="20"/>
          <w:szCs w:val="20"/>
        </w:rPr>
        <w:t xml:space="preserve"> Sentencia</w:t>
      </w:r>
      <w:r w:rsidRPr="00B92597">
        <w:rPr>
          <w:rFonts w:asciiTheme="majorBidi" w:hAnsiTheme="majorBidi" w:cstheme="majorBidi"/>
          <w:sz w:val="20"/>
          <w:szCs w:val="20"/>
          <w:lang w:eastAsia="es-ES"/>
        </w:rPr>
        <w:t xml:space="preserve"> C-578 de 2002. </w:t>
      </w:r>
    </w:p>
  </w:footnote>
  <w:footnote w:id="57">
    <w:p w14:paraId="555CEF98" w14:textId="7B92406A" w:rsidR="009F2FE8" w:rsidRPr="00B92597" w:rsidRDefault="009F2FE8" w:rsidP="00F05A72">
      <w:pPr>
        <w:rPr>
          <w:rFonts w:asciiTheme="majorBidi" w:hAnsiTheme="majorBidi" w:cstheme="majorBidi"/>
          <w:sz w:val="20"/>
          <w:szCs w:val="20"/>
        </w:rPr>
      </w:pPr>
      <w:r w:rsidRPr="00B92597">
        <w:rPr>
          <w:rFonts w:asciiTheme="majorBidi" w:hAnsiTheme="majorBidi" w:cstheme="majorBidi"/>
          <w:sz w:val="20"/>
          <w:szCs w:val="20"/>
          <w:vertAlign w:val="superscript"/>
        </w:rPr>
        <w:footnoteRef/>
      </w:r>
      <w:r w:rsidRPr="00B92597">
        <w:rPr>
          <w:rFonts w:asciiTheme="majorBidi" w:hAnsiTheme="majorBidi" w:cstheme="majorBidi"/>
          <w:sz w:val="20"/>
          <w:szCs w:val="20"/>
        </w:rPr>
        <w:t xml:space="preserve"> Sentencia C-007 de 2018.</w:t>
      </w:r>
    </w:p>
  </w:footnote>
  <w:footnote w:id="58">
    <w:p w14:paraId="68EA83D0" w14:textId="2D98A72A" w:rsidR="009F2FE8" w:rsidRPr="00B92597" w:rsidRDefault="009F2FE8" w:rsidP="001417A1">
      <w:pPr>
        <w:pStyle w:val="Textonotapie"/>
        <w:jc w:val="both"/>
        <w:rPr>
          <w:lang w:val="es-ES_tradnl"/>
        </w:rPr>
      </w:pPr>
      <w:r w:rsidRPr="00B92597">
        <w:rPr>
          <w:rStyle w:val="Refdenotaalpie"/>
        </w:rPr>
        <w:footnoteRef/>
      </w:r>
      <w:r w:rsidRPr="00B92597">
        <w:t xml:space="preserve"> </w:t>
      </w:r>
      <w:r w:rsidRPr="00B92597">
        <w:rPr>
          <w:rFonts w:asciiTheme="majorBidi" w:hAnsiTheme="majorBidi" w:cstheme="majorBidi"/>
          <w:lang w:eastAsia="es-ES"/>
        </w:rPr>
        <w:t>Sentencia C-007 de 2018:</w:t>
      </w:r>
      <w:r w:rsidRPr="00B92597">
        <w:rPr>
          <w:rFonts w:asciiTheme="majorBidi" w:hAnsiTheme="majorBidi" w:cstheme="majorBidi"/>
        </w:rPr>
        <w:t xml:space="preserve"> “[…] </w:t>
      </w:r>
      <w:r w:rsidRPr="00B92597">
        <w:rPr>
          <w:rFonts w:asciiTheme="majorBidi" w:hAnsiTheme="majorBidi" w:cstheme="majorBidi"/>
          <w:lang w:eastAsia="es-ES"/>
        </w:rPr>
        <w:t xml:space="preserve">el Derecho Internacional de la época consideraba al principio </w:t>
      </w:r>
      <w:r w:rsidRPr="00B92597">
        <w:rPr>
          <w:rFonts w:asciiTheme="majorBidi" w:hAnsiTheme="majorBidi" w:cstheme="majorBidi"/>
          <w:i/>
          <w:lang w:eastAsia="es-ES"/>
        </w:rPr>
        <w:t xml:space="preserve">nullum crimen sine iure </w:t>
      </w:r>
      <w:r w:rsidRPr="00B92597">
        <w:rPr>
          <w:rFonts w:asciiTheme="majorBidi" w:hAnsiTheme="majorBidi" w:cstheme="majorBidi"/>
          <w:lang w:eastAsia="es-ES"/>
        </w:rPr>
        <w:t xml:space="preserve">como un principio de justicia que no daba lugar a derechos subjetivos individuales ni limitaba la soberanía de los Estados.|| Así lo refleja la sentencia del Tribunal de Núremberg del 1 de octubre de 1946, en la que se subraya que, según la normativa internacional que regulaba las situaciones de ocupación, cada uno de los Estados aliados que ocupaban Alemania (…) tenían el derecho propio de establecer tribunales especiales y determinar las acciones u omisiones constitutivas de delito sobre las que dichos tribunales tenían jurisdicción. En consecuencia, la Carta de Londres, por la que se creó el Tribunal de Núremberg el 8 de agosto de 1945 y se definió su Estatuto, constituía un ejercicio del poder legislativo soberano que el Derecho Internacional atribuía a los Estados a los que el Gobierno de la Alemania nazi se había rendido de manera incondicional. || En este contexto, el principio </w:t>
      </w:r>
      <w:r w:rsidRPr="00B92597">
        <w:rPr>
          <w:rFonts w:asciiTheme="majorBidi" w:hAnsiTheme="majorBidi" w:cstheme="majorBidi"/>
          <w:i/>
          <w:lang w:eastAsia="es-ES"/>
        </w:rPr>
        <w:t xml:space="preserve">nullum crimen sine iure </w:t>
      </w:r>
      <w:r w:rsidRPr="00B92597">
        <w:rPr>
          <w:rFonts w:asciiTheme="majorBidi" w:hAnsiTheme="majorBidi" w:cstheme="majorBidi"/>
          <w:lang w:eastAsia="es-ES"/>
        </w:rPr>
        <w:t xml:space="preserve">no podía ser entendido como una limitación impuesta por el ordenamiento internacional al Derecho de Estados Unidos, Francia, Gran Bretaña o Unión Soviética a legislar mediante la creación del Tribunal y la definición de los delitos cometidos en su Estatuto, sino que, tal y como han afirmado Donnedieu de Vabres y Gallant, se configuraba como un principio de justicia que podía ser legítimamente inaplicado por la voluntad soberana de los Estados legisladores.|| Es por ello que el principal argumento esgrimido por el Tribunal de Núremberg para rechazar las alegaciones presentadas por la defensa sobre la presunta violación del principio </w:t>
      </w:r>
      <w:r w:rsidRPr="00B92597">
        <w:rPr>
          <w:rFonts w:asciiTheme="majorBidi" w:hAnsiTheme="majorBidi" w:cstheme="majorBidi"/>
          <w:i/>
          <w:lang w:eastAsia="es-ES"/>
        </w:rPr>
        <w:t xml:space="preserve">nullum crimen sine iure </w:t>
      </w:r>
      <w:r w:rsidRPr="00B92597">
        <w:rPr>
          <w:rFonts w:asciiTheme="majorBidi" w:hAnsiTheme="majorBidi" w:cstheme="majorBidi"/>
          <w:lang w:eastAsia="es-ES"/>
        </w:rPr>
        <w:t xml:space="preserve">consistió en que los delitos imputados habían sido incluidos en el Estatuto del Tribunal por la voluntad soberana de los Estados legisladores. Solo como argumento subsidiario, el Tribunal analizó si cada uno de dichos delitos había sido definido por el Derecho Internacional cuando se iniciaron las hostilidades el 1 de septiembre de 1939”. </w:t>
      </w:r>
    </w:p>
  </w:footnote>
  <w:footnote w:id="59">
    <w:p w14:paraId="1340CF78" w14:textId="044E8517" w:rsidR="009F2FE8" w:rsidRPr="00B92597" w:rsidRDefault="009F2FE8" w:rsidP="00F05A72">
      <w:pPr>
        <w:rPr>
          <w:rFonts w:asciiTheme="majorBidi" w:hAnsiTheme="majorBidi" w:cstheme="majorBidi"/>
          <w:sz w:val="20"/>
          <w:szCs w:val="20"/>
        </w:rPr>
      </w:pPr>
      <w:r w:rsidRPr="00B92597">
        <w:rPr>
          <w:rFonts w:asciiTheme="majorBidi" w:hAnsiTheme="majorBidi" w:cstheme="majorBidi"/>
          <w:sz w:val="20"/>
          <w:szCs w:val="20"/>
          <w:vertAlign w:val="superscript"/>
        </w:rPr>
        <w:footnoteRef/>
      </w:r>
      <w:r w:rsidRPr="00B92597">
        <w:rPr>
          <w:rFonts w:asciiTheme="majorBidi" w:hAnsiTheme="majorBidi" w:cstheme="majorBidi"/>
          <w:sz w:val="20"/>
          <w:szCs w:val="20"/>
        </w:rPr>
        <w:t xml:space="preserve"> Al respecto,</w:t>
      </w:r>
      <w:r w:rsidRPr="00B92597">
        <w:rPr>
          <w:rFonts w:asciiTheme="majorBidi" w:hAnsiTheme="majorBidi" w:cstheme="majorBidi"/>
          <w:sz w:val="20"/>
          <w:szCs w:val="20"/>
          <w:lang w:eastAsia="es-ES"/>
        </w:rPr>
        <w:t xml:space="preserve"> </w:t>
      </w:r>
      <w:r w:rsidRPr="00B92597">
        <w:rPr>
          <w:rFonts w:asciiTheme="majorBidi" w:hAnsiTheme="majorBidi" w:cstheme="majorBidi"/>
          <w:sz w:val="20"/>
          <w:szCs w:val="20"/>
        </w:rPr>
        <w:t xml:space="preserve">ver: Olásolo Alonso, H. (2013). </w:t>
      </w:r>
      <w:r w:rsidRPr="00B92597">
        <w:rPr>
          <w:rFonts w:asciiTheme="majorBidi" w:hAnsiTheme="majorBidi" w:cstheme="majorBidi"/>
          <w:i/>
          <w:iCs/>
          <w:sz w:val="20"/>
          <w:szCs w:val="20"/>
        </w:rPr>
        <w:t>El principio nullum crimen sine iure en el derecho internacional contemporáneo</w:t>
      </w:r>
      <w:r w:rsidRPr="00B92597">
        <w:rPr>
          <w:rFonts w:asciiTheme="majorBidi" w:hAnsiTheme="majorBidi" w:cstheme="majorBidi"/>
          <w:sz w:val="20"/>
          <w:szCs w:val="20"/>
        </w:rPr>
        <w:t>. Anuario Ibero-Americano de Derecho Internacional Penal, 1, 18–42.</w:t>
      </w:r>
    </w:p>
  </w:footnote>
  <w:footnote w:id="60">
    <w:p w14:paraId="5AD2B663" w14:textId="6E11B66D" w:rsidR="009F2FE8" w:rsidRPr="00B92597" w:rsidRDefault="009F2FE8">
      <w:pPr>
        <w:pStyle w:val="Textonotapie"/>
        <w:rPr>
          <w:lang w:val="es-ES_tradnl"/>
        </w:rPr>
      </w:pPr>
      <w:r w:rsidRPr="00B92597">
        <w:rPr>
          <w:rStyle w:val="Refdenotaalpie"/>
        </w:rPr>
        <w:footnoteRef/>
      </w:r>
      <w:r w:rsidRPr="00B92597">
        <w:t xml:space="preserve"> </w:t>
      </w:r>
      <w:r w:rsidRPr="00B92597">
        <w:rPr>
          <w:lang w:val="es-ES_tradnl"/>
        </w:rPr>
        <w:t>Corte Constitucional. Sentencia C-578 de 2002.</w:t>
      </w:r>
    </w:p>
  </w:footnote>
  <w:footnote w:id="61">
    <w:p w14:paraId="6B51D94B" w14:textId="4B07A967" w:rsidR="009F2FE8" w:rsidRPr="00B92597" w:rsidRDefault="009F2FE8" w:rsidP="00F05A72">
      <w:pPr>
        <w:pStyle w:val="Textocomentario"/>
        <w:rPr>
          <w:rFonts w:asciiTheme="majorBidi" w:hAnsiTheme="majorBidi" w:cstheme="majorBidi"/>
        </w:rPr>
      </w:pPr>
      <w:r w:rsidRPr="00B92597">
        <w:rPr>
          <w:rFonts w:asciiTheme="majorBidi" w:hAnsiTheme="majorBidi" w:cstheme="majorBidi"/>
          <w:vertAlign w:val="superscript"/>
        </w:rPr>
        <w:footnoteRef/>
      </w:r>
      <w:r w:rsidRPr="00B92597">
        <w:rPr>
          <w:rFonts w:asciiTheme="majorBidi" w:hAnsiTheme="majorBidi" w:cstheme="majorBidi"/>
        </w:rPr>
        <w:t xml:space="preserve"> Ver, entre otros: Olásolo, </w:t>
      </w:r>
      <w:r w:rsidRPr="00B92597">
        <w:rPr>
          <w:rFonts w:asciiTheme="majorBidi" w:hAnsiTheme="majorBidi" w:cstheme="majorBidi"/>
          <w:i/>
          <w:iCs/>
        </w:rPr>
        <w:t>O</w:t>
      </w:r>
      <w:r w:rsidRPr="00B92597">
        <w:rPr>
          <w:rFonts w:asciiTheme="majorBidi" w:hAnsiTheme="majorBidi" w:cstheme="majorBidi"/>
          <w:i/>
        </w:rPr>
        <w:t>p. Cit</w:t>
      </w:r>
      <w:r w:rsidRPr="00B92597">
        <w:rPr>
          <w:rFonts w:asciiTheme="majorBidi" w:hAnsiTheme="majorBidi" w:cstheme="majorBidi"/>
        </w:rPr>
        <w:t xml:space="preserve">., Werle, G., y Jessberger, F. (2014). </w:t>
      </w:r>
      <w:r w:rsidRPr="00B92597">
        <w:rPr>
          <w:rFonts w:asciiTheme="majorBidi" w:hAnsiTheme="majorBidi" w:cstheme="majorBidi"/>
          <w:i/>
          <w:iCs/>
        </w:rPr>
        <w:t>Tratado de derecho penal internacional</w:t>
      </w:r>
      <w:r w:rsidRPr="00B92597">
        <w:rPr>
          <w:rFonts w:asciiTheme="majorBidi" w:hAnsiTheme="majorBidi" w:cstheme="majorBidi"/>
        </w:rPr>
        <w:t xml:space="preserve"> (J. Couso Salas, C. Cárdenas Aravena y M. Gutiérrez Rodríguez, Trads.; 2.ª ed.). Tirant lo Blanch, (pp. 97 y ss.); Ambos, K. (2005). </w:t>
      </w:r>
      <w:r w:rsidRPr="00B92597">
        <w:rPr>
          <w:rFonts w:asciiTheme="majorBidi" w:hAnsiTheme="majorBidi" w:cstheme="majorBidi"/>
          <w:i/>
          <w:iCs/>
        </w:rPr>
        <w:t>La parte general del derecho penal internacional: Bases para una elaboración dogmática</w:t>
      </w:r>
      <w:r w:rsidRPr="00B92597">
        <w:rPr>
          <w:rFonts w:asciiTheme="majorBidi" w:hAnsiTheme="majorBidi" w:cstheme="majorBidi"/>
        </w:rPr>
        <w:t xml:space="preserve"> (E. Malarino, Trad.). Duncker &amp; Humblot / Konrad-Adenauer-Stiftung / Temis.</w:t>
      </w:r>
    </w:p>
  </w:footnote>
  <w:footnote w:id="62">
    <w:p w14:paraId="3E0A0EDA" w14:textId="13E23F6C" w:rsidR="009F2FE8" w:rsidRPr="00B92597" w:rsidRDefault="009F2FE8" w:rsidP="00F05A72">
      <w:pPr>
        <w:pStyle w:val="Textonotapie"/>
        <w:jc w:val="both"/>
        <w:rPr>
          <w:rFonts w:asciiTheme="majorBidi" w:hAnsiTheme="majorBidi" w:cstheme="majorBidi"/>
          <w:lang w:val="es-ES_tradnl"/>
        </w:rPr>
      </w:pPr>
      <w:r w:rsidRPr="00B92597">
        <w:rPr>
          <w:rStyle w:val="Refdenotaalpie"/>
          <w:rFonts w:asciiTheme="majorBidi" w:hAnsiTheme="majorBidi" w:cstheme="majorBidi"/>
        </w:rPr>
        <w:footnoteRef/>
      </w:r>
      <w:r w:rsidRPr="00B92597">
        <w:rPr>
          <w:rFonts w:asciiTheme="majorBidi" w:hAnsiTheme="majorBidi" w:cstheme="majorBidi"/>
        </w:rPr>
        <w:t xml:space="preserve"> </w:t>
      </w:r>
      <w:r w:rsidRPr="00B92597">
        <w:rPr>
          <w:rFonts w:asciiTheme="majorBidi" w:hAnsiTheme="majorBidi" w:cstheme="majorBidi"/>
          <w:lang w:val="es-ES" w:eastAsia="es-ES"/>
        </w:rPr>
        <w:t>Sentencias C-578 de 2002,</w:t>
      </w:r>
      <w:r w:rsidRPr="00B92597">
        <w:rPr>
          <w:rFonts w:asciiTheme="majorBidi" w:hAnsiTheme="majorBidi" w:cstheme="majorBidi"/>
          <w:vertAlign w:val="superscript"/>
          <w:lang w:val="es-ES" w:eastAsia="es-ES"/>
        </w:rPr>
        <w:t xml:space="preserve"> </w:t>
      </w:r>
      <w:r w:rsidRPr="00B92597">
        <w:rPr>
          <w:rFonts w:asciiTheme="majorBidi" w:hAnsiTheme="majorBidi" w:cstheme="majorBidi"/>
          <w:lang w:val="es-ES" w:eastAsia="es-ES"/>
        </w:rPr>
        <w:t xml:space="preserve">C-007 de 2018 y C-080 de 2018. </w:t>
      </w:r>
    </w:p>
  </w:footnote>
  <w:footnote w:id="63">
    <w:p w14:paraId="22E89DBC" w14:textId="51EBBA7C" w:rsidR="009F2FE8" w:rsidRPr="00B92597" w:rsidRDefault="009F2FE8" w:rsidP="00F05A72">
      <w:pPr>
        <w:pStyle w:val="Textocomentario"/>
        <w:rPr>
          <w:rFonts w:asciiTheme="majorBidi" w:hAnsiTheme="majorBidi" w:cstheme="majorBidi"/>
        </w:rPr>
      </w:pPr>
      <w:r w:rsidRPr="00B92597">
        <w:rPr>
          <w:rFonts w:asciiTheme="majorBidi" w:hAnsiTheme="majorBidi" w:cstheme="majorBidi"/>
          <w:vertAlign w:val="superscript"/>
        </w:rPr>
        <w:footnoteRef/>
      </w:r>
      <w:r w:rsidRPr="00B92597">
        <w:rPr>
          <w:rFonts w:asciiTheme="majorBidi" w:hAnsiTheme="majorBidi" w:cstheme="majorBidi"/>
        </w:rPr>
        <w:t xml:space="preserve"> En similar dirección, la Corte Penal Internacional ha indicado que la denominación del delito (</w:t>
      </w:r>
      <w:r w:rsidRPr="00B92597">
        <w:rPr>
          <w:rFonts w:asciiTheme="majorBidi" w:hAnsiTheme="majorBidi" w:cstheme="majorBidi"/>
          <w:i/>
        </w:rPr>
        <w:t xml:space="preserve">nomen iuris) </w:t>
      </w:r>
      <w:r w:rsidRPr="00B92597">
        <w:rPr>
          <w:rFonts w:asciiTheme="majorBidi" w:hAnsiTheme="majorBidi" w:cstheme="majorBidi"/>
        </w:rPr>
        <w:t>no es relevante, siempre y cuando se investigue la conducta como tal (así, por ejemplo, no es relevante que el juzgamiento se proyecte sobre un ‘asesinato’ o un ‘homicidio’, sino que se investigue la muerte de una persona). Ver: Corte Penal Internacional, Decisión sobre admisibilidad del caso contra Saif Al-Islam Gaddafi y Abdullah Al-Senussi. Sala de Cuestiones Preliminares I, ICC-01/11- 01/11-344- Red, 31 de mayo de 2013, pár. 84-88.</w:t>
      </w:r>
    </w:p>
  </w:footnote>
  <w:footnote w:id="64">
    <w:p w14:paraId="50F7F549" w14:textId="4F7F34CC" w:rsidR="009F2FE8" w:rsidRPr="00B92597" w:rsidRDefault="009F2FE8" w:rsidP="00F05A72">
      <w:pPr>
        <w:pStyle w:val="Prrafodelista"/>
        <w:ind w:left="0"/>
        <w:rPr>
          <w:rFonts w:asciiTheme="majorBidi" w:hAnsiTheme="majorBidi" w:cstheme="majorBidi"/>
          <w:sz w:val="20"/>
          <w:szCs w:val="20"/>
          <w:lang w:eastAsia="es-ES"/>
        </w:rPr>
      </w:pPr>
      <w:r w:rsidRPr="00B92597">
        <w:rPr>
          <w:rStyle w:val="Refdenotaalpie"/>
          <w:rFonts w:asciiTheme="majorBidi" w:hAnsiTheme="majorBidi" w:cstheme="majorBidi"/>
          <w:sz w:val="20"/>
          <w:szCs w:val="20"/>
        </w:rPr>
        <w:footnoteRef/>
      </w:r>
      <w:r w:rsidRPr="00B92597">
        <w:rPr>
          <w:rFonts w:asciiTheme="majorBidi" w:hAnsiTheme="majorBidi" w:cstheme="majorBidi"/>
          <w:sz w:val="20"/>
          <w:szCs w:val="20"/>
        </w:rPr>
        <w:t xml:space="preserve"> </w:t>
      </w:r>
      <w:r w:rsidRPr="00B92597">
        <w:rPr>
          <w:rFonts w:asciiTheme="majorBidi" w:hAnsiTheme="majorBidi" w:cstheme="majorBidi"/>
          <w:sz w:val="20"/>
          <w:szCs w:val="20"/>
          <w:lang w:eastAsia="es-ES"/>
        </w:rPr>
        <w:t>Sentencias C-007 de 2018 y C-080 de 2018.</w:t>
      </w:r>
    </w:p>
  </w:footnote>
  <w:footnote w:id="65">
    <w:p w14:paraId="2A3C2B5F" w14:textId="07ABA8ED" w:rsidR="009F2FE8" w:rsidRPr="00B92597" w:rsidRDefault="009F2FE8">
      <w:pPr>
        <w:pStyle w:val="Textonotapie"/>
        <w:rPr>
          <w:lang w:val="es-419"/>
        </w:rPr>
      </w:pPr>
      <w:r w:rsidRPr="00B92597">
        <w:rPr>
          <w:rStyle w:val="Refdenotaalpie"/>
        </w:rPr>
        <w:footnoteRef/>
      </w:r>
      <w:r w:rsidRPr="00B92597">
        <w:rPr>
          <w:lang w:val="es-419"/>
        </w:rPr>
        <w:t xml:space="preserve"> Sentencia C-674 de 2017.</w:t>
      </w:r>
    </w:p>
  </w:footnote>
  <w:footnote w:id="66">
    <w:p w14:paraId="2F79465B" w14:textId="48B5D8FD" w:rsidR="009F2FE8" w:rsidRPr="00B92597" w:rsidRDefault="009F2FE8" w:rsidP="00ED6CD4">
      <w:pPr>
        <w:pStyle w:val="Textonotapie"/>
        <w:jc w:val="both"/>
        <w:rPr>
          <w:lang w:val="es-419"/>
        </w:rPr>
      </w:pPr>
      <w:r w:rsidRPr="00B92597">
        <w:rPr>
          <w:rStyle w:val="Refdenotaalpie"/>
        </w:rPr>
        <w:footnoteRef/>
      </w:r>
      <w:r w:rsidRPr="00B92597">
        <w:rPr>
          <w:lang w:val="es-419"/>
        </w:rPr>
        <w:t xml:space="preserve"> Sentencia C- 674 de 2017.</w:t>
      </w:r>
    </w:p>
  </w:footnote>
  <w:footnote w:id="67">
    <w:p w14:paraId="181C2CB2" w14:textId="70E01273" w:rsidR="009F2FE8" w:rsidRPr="00B92597" w:rsidRDefault="009F2FE8" w:rsidP="00F93F58">
      <w:pPr>
        <w:textAlignment w:val="baseline"/>
        <w:rPr>
          <w:rFonts w:eastAsia="Times New Roman"/>
          <w:sz w:val="20"/>
          <w:szCs w:val="20"/>
          <w:lang w:val="es-CO" w:eastAsia="es-MX"/>
        </w:rPr>
      </w:pPr>
      <w:r w:rsidRPr="00B92597">
        <w:rPr>
          <w:rStyle w:val="Refdenotaalpie"/>
          <w:sz w:val="20"/>
          <w:szCs w:val="20"/>
        </w:rPr>
        <w:footnoteRef/>
      </w:r>
      <w:r w:rsidRPr="00B92597">
        <w:rPr>
          <w:sz w:val="20"/>
          <w:szCs w:val="20"/>
        </w:rPr>
        <w:t xml:space="preserve"> Sentencia C-080 de 2018: “</w:t>
      </w:r>
      <w:r w:rsidRPr="00B92597">
        <w:rPr>
          <w:rFonts w:eastAsia="Times New Roman"/>
          <w:sz w:val="20"/>
          <w:szCs w:val="20"/>
          <w:lang w:val="es-CO" w:eastAsia="es-MX"/>
        </w:rPr>
        <w:t>En el mismo sentido, al estudiar una demanda contra la Ley 975 de 2005 –de Justicia y Paz–, en la que se alegaba que sus contenidos se encontraban sujetos a reserva de ley estatutaria por establecer un procedimiento completamente nuevo y por regular derechos fundamentales, la Corte precisó en la Sentencia C-319 de 2006 que “</w:t>
      </w:r>
      <w:r w:rsidRPr="00B92597">
        <w:rPr>
          <w:rFonts w:eastAsia="Times New Roman"/>
          <w:i/>
          <w:iCs/>
          <w:sz w:val="20"/>
          <w:szCs w:val="20"/>
          <w:lang w:val="es-CO" w:eastAsia="es-MX"/>
        </w:rPr>
        <w:t>la reserva de ley estatutaria en materia de administración de justicia se aplica sólo respecto de aquellas disposiciones que (i.) Afectan la estructura general de la administración de justicia, (ii.) establecen y garantizan la efectividad de los principios generales sobre el tema, o (iii.) desarrollan aspectos sustanciales de esta rama del poder público</w:t>
      </w:r>
      <w:r w:rsidRPr="00B92597">
        <w:rPr>
          <w:rFonts w:eastAsia="Times New Roman"/>
          <w:sz w:val="20"/>
          <w:szCs w:val="20"/>
          <w:lang w:val="es-CO" w:eastAsia="es-MX"/>
        </w:rPr>
        <w:t>”. La Corte determinó en dicha oportunidad que la Ley de Justicia y Paz no desconocía la reserva en tanto no creó una jurisdicción nueva sino que, simplemente, atribuyó a la jurisdicción ordinaria un procedimiento especial que debía surtirse ante la Fiscalía General, y los tribunales superiores, de manera que no se afectaba la estructura general de la administración de justicia, ni se alteraban principios generales o aspectos sustanciales de la Rama Judicial del poder público, razón por la que tampoco por este aspecto la Ley 975 de 2005 debía ser objeto de regulación mediante una ley estatutaria”. </w:t>
      </w:r>
    </w:p>
  </w:footnote>
  <w:footnote w:id="68">
    <w:p w14:paraId="3A648943" w14:textId="7EB7CADF" w:rsidR="009F2FE8" w:rsidRPr="00B92597" w:rsidRDefault="009F2FE8" w:rsidP="00314A49">
      <w:pPr>
        <w:pStyle w:val="Textonotapie"/>
        <w:jc w:val="both"/>
        <w:rPr>
          <w:lang w:val="es-ES_tradnl"/>
        </w:rPr>
      </w:pPr>
      <w:r w:rsidRPr="00B92597">
        <w:rPr>
          <w:rStyle w:val="Refdenotaalpie"/>
        </w:rPr>
        <w:footnoteRef/>
      </w:r>
      <w:r w:rsidRPr="00B92597">
        <w:t xml:space="preserve"> </w:t>
      </w:r>
      <w:r w:rsidRPr="00B92597">
        <w:rPr>
          <w:lang w:val="es-ES_tradnl"/>
        </w:rPr>
        <w:t>De acuerdo con el numeral 17 del artículo 150 de la Constitución Política, el Congreso de la República tiene la facultad de “</w:t>
      </w:r>
      <w:r w:rsidRPr="00B92597">
        <w:t>Conceder, por mayoría de los dos tercios de los votos de los miembros de una y otra Cámara y por graves motivos de conveniencia pública, amnistías o indultos generales por delitos políticos. En caso de que los favorecidos fueren eximidos de la responsabilidad civil respecto de particulares, el Estado quedará obligado a las indemnizaciones a que hubiere lugar”.</w:t>
      </w:r>
    </w:p>
  </w:footnote>
  <w:footnote w:id="69">
    <w:p w14:paraId="533845CA" w14:textId="1C0A3635" w:rsidR="009F2FE8" w:rsidRPr="00B92597" w:rsidRDefault="009F2FE8" w:rsidP="00F93F58">
      <w:pPr>
        <w:pStyle w:val="Prrafodelista"/>
        <w:widowControl w:val="0"/>
        <w:ind w:left="0"/>
        <w:rPr>
          <w:sz w:val="20"/>
          <w:szCs w:val="20"/>
        </w:rPr>
      </w:pPr>
      <w:r w:rsidRPr="00B92597">
        <w:rPr>
          <w:rStyle w:val="Refdenotaalpie"/>
          <w:sz w:val="20"/>
          <w:szCs w:val="20"/>
        </w:rPr>
        <w:footnoteRef/>
      </w:r>
      <w:r w:rsidRPr="00B92597">
        <w:rPr>
          <w:sz w:val="20"/>
          <w:szCs w:val="20"/>
        </w:rPr>
        <w:t xml:space="preserve"> Sentencia C-080 de 2018: </w:t>
      </w:r>
      <w:r w:rsidRPr="00B92597">
        <w:rPr>
          <w:sz w:val="20"/>
          <w:szCs w:val="20"/>
          <w:shd w:val="clear" w:color="auto" w:fill="FFFFFF"/>
        </w:rPr>
        <w:t>“En efecto, dispone el artículo 152 que “</w:t>
      </w:r>
      <w:r w:rsidRPr="00B92597">
        <w:rPr>
          <w:i/>
          <w:iCs/>
          <w:sz w:val="20"/>
          <w:szCs w:val="20"/>
        </w:rPr>
        <w:t>Mediante las leyes estatutarias, el Congreso de la República regulará las siguientes materias: […] b) Administración de justicia;</w:t>
      </w:r>
      <w:r w:rsidRPr="00B92597">
        <w:rPr>
          <w:sz w:val="20"/>
          <w:szCs w:val="20"/>
          <w:shd w:val="clear" w:color="auto" w:fill="FFFFFF"/>
        </w:rPr>
        <w:t>”.</w:t>
      </w:r>
      <w:r w:rsidRPr="00B92597">
        <w:rPr>
          <w:sz w:val="20"/>
          <w:szCs w:val="20"/>
        </w:rPr>
        <w:t xml:space="preserve"> El Proyecto, sin embargo, regula materias adicionales de diversa naturaleza razón por la que resulta indispensable identificar aquellas que corresponden a la ley estatutaria. Como ha constatado la Corte, algunos de sus contenidos reproducen disposiciones constitucionales, en particular del Acto legislativo 01 de 2017, otros reproducen normas de la Ley 1820 de 2016, mediante la cual se</w:t>
      </w:r>
      <w:r w:rsidRPr="00B92597">
        <w:rPr>
          <w:rStyle w:val="apple-converted-space"/>
          <w:sz w:val="20"/>
          <w:szCs w:val="20"/>
        </w:rPr>
        <w:t> </w:t>
      </w:r>
      <w:r w:rsidRPr="00B92597">
        <w:rPr>
          <w:sz w:val="20"/>
          <w:szCs w:val="20"/>
        </w:rPr>
        <w:t>dictaron disposiciones sobre amnistía, indulto y tratamientos penales especiales, entre otras disposiciones e, incluso, mediante otras normas se modificaron disposiciones de la ley orgánica del presupuesto.</w:t>
      </w:r>
      <w:r w:rsidRPr="00B92597">
        <w:rPr>
          <w:rStyle w:val="apple-converted-space"/>
          <w:sz w:val="20"/>
          <w:szCs w:val="20"/>
        </w:rPr>
        <w:t> </w:t>
      </w:r>
      <w:r w:rsidRPr="00B92597">
        <w:rPr>
          <w:sz w:val="20"/>
          <w:szCs w:val="20"/>
        </w:rPr>
        <w:t>Esta precisión resulta de la mayor relevancia no solo para efectos del examen del cumplimiento de los requisitos para su aprobación sino también porque su modificación o derogación futuras deberán cumplir los requisitos establecidos en la Constitución para cada tipo de ley, según la materia de que se trate.</w:t>
      </w:r>
    </w:p>
    <w:p w14:paraId="12D36E78" w14:textId="30DA256F" w:rsidR="009F2FE8" w:rsidRPr="00B92597" w:rsidRDefault="009F2FE8">
      <w:pPr>
        <w:pStyle w:val="Textonotapie"/>
        <w:rPr>
          <w:lang w:val="es-ES_tradnl"/>
        </w:rPr>
      </w:pPr>
    </w:p>
  </w:footnote>
  <w:footnote w:id="70">
    <w:p w14:paraId="66B77411" w14:textId="140C73F4" w:rsidR="009F2FE8" w:rsidRPr="00B92597" w:rsidRDefault="009F2FE8">
      <w:pPr>
        <w:pStyle w:val="Textonotapie"/>
        <w:rPr>
          <w:lang w:val="es-ES_tradnl"/>
        </w:rPr>
      </w:pPr>
      <w:r w:rsidRPr="00B92597">
        <w:rPr>
          <w:rStyle w:val="Refdenotaalpie"/>
        </w:rPr>
        <w:footnoteRef/>
      </w:r>
      <w:r w:rsidRPr="00B92597">
        <w:t xml:space="preserve"> </w:t>
      </w:r>
      <w:r w:rsidRPr="00B92597">
        <w:rPr>
          <w:lang w:val="es-ES_tradnl"/>
        </w:rPr>
        <w:t xml:space="preserve">Sentencia C-007 de 2018. </w:t>
      </w:r>
    </w:p>
  </w:footnote>
  <w:footnote w:id="71">
    <w:p w14:paraId="4124A24B" w14:textId="14D1C2FB" w:rsidR="009F2FE8" w:rsidRPr="00B92597" w:rsidRDefault="009F2FE8">
      <w:pPr>
        <w:pStyle w:val="Textonotapie"/>
        <w:rPr>
          <w:lang w:val="es-US"/>
        </w:rPr>
      </w:pPr>
      <w:r w:rsidRPr="00B92597">
        <w:rPr>
          <w:rStyle w:val="Refdenotaalpie"/>
        </w:rPr>
        <w:footnoteRef/>
      </w:r>
      <w:r w:rsidRPr="00B92597">
        <w:t xml:space="preserve"> </w:t>
      </w:r>
      <w:r w:rsidRPr="00B92597">
        <w:rPr>
          <w:lang w:val="es-US"/>
        </w:rPr>
        <w:t>Sentencia C-198 de 2025.</w:t>
      </w:r>
    </w:p>
  </w:footnote>
  <w:footnote w:id="72">
    <w:p w14:paraId="22116E91" w14:textId="51118DD7" w:rsidR="009F2FE8" w:rsidRPr="00B92597" w:rsidRDefault="009F2FE8" w:rsidP="00F65917">
      <w:pPr>
        <w:rPr>
          <w:sz w:val="20"/>
          <w:szCs w:val="20"/>
        </w:rPr>
      </w:pPr>
      <w:r w:rsidRPr="00B92597">
        <w:rPr>
          <w:sz w:val="20"/>
          <w:szCs w:val="20"/>
          <w:vertAlign w:val="superscript"/>
        </w:rPr>
        <w:footnoteRef/>
      </w:r>
      <w:r w:rsidRPr="00B92597">
        <w:rPr>
          <w:sz w:val="20"/>
          <w:szCs w:val="20"/>
        </w:rPr>
        <w:t xml:space="preserve"> </w:t>
      </w:r>
      <w:r w:rsidRPr="00B92597">
        <w:rPr>
          <w:sz w:val="20"/>
          <w:szCs w:val="20"/>
          <w:lang w:val="es"/>
        </w:rPr>
        <w:t>Sentencias C-435 de 2013</w:t>
      </w:r>
      <w:r w:rsidRPr="00B92597">
        <w:rPr>
          <w:sz w:val="20"/>
          <w:szCs w:val="20"/>
        </w:rPr>
        <w:t xml:space="preserve"> y C-069 de 2023, en las que se analizaron supuestos de derecho punitivo, ámbito en el cual la exigencia de claridad y determinación de las reglas es alta, aunque un poco menor que en el derecho penal.</w:t>
      </w:r>
    </w:p>
  </w:footnote>
  <w:footnote w:id="73">
    <w:p w14:paraId="5310B629" w14:textId="23BD7420" w:rsidR="009F2FE8" w:rsidRPr="00B92597" w:rsidRDefault="009F2FE8" w:rsidP="007D0557">
      <w:pPr>
        <w:pStyle w:val="Textonotapie"/>
        <w:jc w:val="both"/>
      </w:pPr>
      <w:r w:rsidRPr="00B92597">
        <w:rPr>
          <w:rStyle w:val="Refdenotaalpie"/>
        </w:rPr>
        <w:footnoteRef/>
      </w:r>
      <w:r w:rsidRPr="00B92597">
        <w:t xml:space="preserve"> </w:t>
      </w:r>
      <w:r w:rsidRPr="00B92597">
        <w:rPr>
          <w:lang w:val="es-ES"/>
        </w:rPr>
        <w:t xml:space="preserve">Comisión para el Esclarecimiento de la Verdad, la Convivencia y la No Repetición (2022). </w:t>
      </w:r>
      <w:r w:rsidRPr="00B92597">
        <w:rPr>
          <w:i/>
          <w:iCs/>
          <w:lang w:val="es-ES"/>
        </w:rPr>
        <w:t>El Informe final en cifras</w:t>
      </w:r>
      <w:r w:rsidRPr="00B92597">
        <w:rPr>
          <w:lang w:val="es-ES"/>
        </w:rPr>
        <w:t xml:space="preserve">. Recuperado el 6 de mayo de 2026, de </w:t>
      </w:r>
      <w:hyperlink r:id="rId4" w:history="1">
        <w:r w:rsidRPr="00B92597">
          <w:rPr>
            <w:rStyle w:val="Hipervnculo"/>
            <w:color w:val="auto"/>
            <w:lang w:val="es-ES"/>
          </w:rPr>
          <w:t>https://www.comisiondelaverdad.co/el-informe-final-en-cifras</w:t>
        </w:r>
      </w:hyperlink>
    </w:p>
  </w:footnote>
  <w:footnote w:id="74">
    <w:p w14:paraId="1A741327" w14:textId="793A1FBF" w:rsidR="009F2FE8" w:rsidRPr="00B92597" w:rsidRDefault="009F2FE8" w:rsidP="007D0557">
      <w:pPr>
        <w:pStyle w:val="Textonotapie"/>
        <w:jc w:val="both"/>
        <w:rPr>
          <w:lang w:val="es-ES_tradnl"/>
        </w:rPr>
      </w:pPr>
      <w:r w:rsidRPr="00B92597">
        <w:rPr>
          <w:rStyle w:val="Refdenotaalpie"/>
        </w:rPr>
        <w:footnoteRef/>
      </w:r>
      <w:r w:rsidRPr="00B92597">
        <w:t xml:space="preserve"> Ibid. </w:t>
      </w:r>
      <w:r w:rsidRPr="00B92597">
        <w:rPr>
          <w:lang w:val="es-ES_tradnl"/>
        </w:rPr>
        <w:t xml:space="preserve">Teniendo en cuenta el subregistro, la estimación de los homicidios asciende a </w:t>
      </w:r>
      <w:r w:rsidRPr="00B92597">
        <w:rPr>
          <w:lang w:val="es-ES"/>
        </w:rPr>
        <w:t>800.000, las desapariciones forzadas a 210.000, el secuestro y toma de rehenes en el marco del conflicto a 80.000 víctimas, y el reclutamiento de niños, niñas y adolescentes a 30.000.</w:t>
      </w:r>
    </w:p>
  </w:footnote>
  <w:footnote w:id="75">
    <w:p w14:paraId="548EA2BE" w14:textId="77777777" w:rsidR="009F2FE8" w:rsidRPr="00B92597" w:rsidRDefault="009F2FE8" w:rsidP="00783CBF">
      <w:pPr>
        <w:pStyle w:val="Textonotapie"/>
        <w:jc w:val="both"/>
        <w:rPr>
          <w:rFonts w:asciiTheme="majorBidi" w:hAnsiTheme="majorBidi" w:cstheme="majorBidi"/>
          <w:lang w:val="es-ES"/>
        </w:rPr>
      </w:pPr>
      <w:r w:rsidRPr="00B92597">
        <w:rPr>
          <w:rStyle w:val="Refdenotaalpie"/>
          <w:rFonts w:asciiTheme="majorBidi" w:hAnsiTheme="majorBidi" w:cstheme="majorBidi"/>
        </w:rPr>
        <w:footnoteRef/>
      </w:r>
      <w:r w:rsidRPr="00B92597">
        <w:rPr>
          <w:rFonts w:asciiTheme="majorBidi" w:hAnsiTheme="majorBidi" w:cstheme="majorBidi"/>
        </w:rPr>
        <w:t xml:space="preserve"> Según el artículo transitorio 66 de la Constitución, “[t]</w:t>
      </w:r>
      <w:r w:rsidRPr="00B92597">
        <w:rPr>
          <w:rFonts w:asciiTheme="majorBidi" w:hAnsiTheme="majorBidi" w:cstheme="majorBidi"/>
          <w:lang w:val="es-ES"/>
        </w:rPr>
        <w:t>anto los criterios de priorización como los de selección son inherentes a los instrumentos de justicia transicional</w:t>
      </w:r>
      <w:r w:rsidRPr="00B92597">
        <w:rPr>
          <w:rFonts w:asciiTheme="majorBidi" w:hAnsiTheme="majorBidi" w:cstheme="majorBidi"/>
        </w:rPr>
        <w:t xml:space="preserve">”. </w:t>
      </w:r>
    </w:p>
  </w:footnote>
  <w:footnote w:id="76">
    <w:p w14:paraId="7F063374" w14:textId="77777777" w:rsidR="009F2FE8" w:rsidRPr="00B92597" w:rsidRDefault="009F2FE8" w:rsidP="00783CBF">
      <w:pPr>
        <w:pStyle w:val="Textonotapie"/>
        <w:jc w:val="both"/>
        <w:rPr>
          <w:rFonts w:asciiTheme="majorBidi" w:hAnsiTheme="majorBidi" w:cstheme="majorBidi"/>
        </w:rPr>
      </w:pPr>
      <w:r w:rsidRPr="00B92597">
        <w:rPr>
          <w:rStyle w:val="Refdenotaalpie"/>
          <w:rFonts w:asciiTheme="majorBidi" w:hAnsiTheme="majorBidi" w:cstheme="majorBidi"/>
        </w:rPr>
        <w:footnoteRef/>
      </w:r>
      <w:r w:rsidRPr="00B92597">
        <w:rPr>
          <w:rFonts w:asciiTheme="majorBidi" w:hAnsiTheme="majorBidi" w:cstheme="majorBidi"/>
        </w:rPr>
        <w:t xml:space="preserve"> Por su parte, la herramienta de priorización encuentra su fundamento en el artículo transitorio 7 del Acto Legislativo 01 de 2017. Dicha disposición establece que la JEP, y particularmente las Salas de Reconocimiento de Verdad, de Responsabilidad (SRVR) y la de Definición de Situaciones Jurídicas (SDSJ), “desarrollarán su trabajo conforme a criterios de priorización elaborados a partir de la gravedad y representatividad de los mismos y del grado de responsabilidad en los mismos”.</w:t>
      </w:r>
    </w:p>
  </w:footnote>
  <w:footnote w:id="77">
    <w:p w14:paraId="74E612E5" w14:textId="1CFAA004" w:rsidR="009F2FE8" w:rsidRPr="00B92597" w:rsidRDefault="009F2FE8" w:rsidP="000E26C3">
      <w:pPr>
        <w:pStyle w:val="Textonotapie"/>
        <w:jc w:val="both"/>
        <w:rPr>
          <w:lang w:val="es-ES"/>
        </w:rPr>
      </w:pPr>
      <w:r w:rsidRPr="00B92597">
        <w:rPr>
          <w:rStyle w:val="Refdenotaalpie"/>
        </w:rPr>
        <w:footnoteRef/>
      </w:r>
      <w:r w:rsidRPr="00B92597">
        <w:t xml:space="preserve"> “Tanto los criterios de priorización como los de selección son inherentes a los instrumentos de justicia transicional. El Fiscal General de la Nación determinará criterios de priorización para el ejercicio de la acción penal, salvo en los asuntos que sean de competencia de la Jurisdicción Especial para la Paz. Sin perjuicio del deber general del Estado de investigar y sancionar las graves violaciones a los Derechos Humanos y al Derecho Internacional Humanitario, en el marco de la justicia transicional, el Congreso de la República, por iniciativa del Gobierno nacional, podrá mediante ley estatutaria determinar criterios de selección que permitan centrar los esfuerzos en la investigación penal de los máximos responsables de todos los delitos que adquieran la connotación de crímenes de lesa humanidad, genocidio, o crímenes de guerra cometidos de manera sistemática; establecer los casos, requisitos y condiciones en los que procedería la suspensión de la ejecución de la pena; establecer los casos en los que proceda la aplicación de sanciones extrajudiciales, de penas alternativas, o de modalidades especiales de ejecución y cumplimiento de la pena; y autorizar la renuncia condicionada a la persecución judicial penal de todos los casos no seleccionados, siempre sin alterar lo establecido en el Acuerdo de creación de la JEP y en sus normas de desarrollo. La ley estatutaria tendrá en cuenta la gravedad y representatividad de los casos para determinar los criterios de selección”.</w:t>
      </w:r>
    </w:p>
  </w:footnote>
  <w:footnote w:id="78">
    <w:p w14:paraId="2BF0E094" w14:textId="77777777" w:rsidR="009F2FE8" w:rsidRPr="00B92597" w:rsidRDefault="009F2FE8" w:rsidP="00783CBF">
      <w:pPr>
        <w:pStyle w:val="Textonotapie"/>
        <w:jc w:val="both"/>
        <w:rPr>
          <w:rFonts w:asciiTheme="majorBidi" w:hAnsiTheme="majorBidi" w:cstheme="majorBidi"/>
          <w:lang w:val="es-ES"/>
        </w:rPr>
      </w:pPr>
      <w:r w:rsidRPr="00B92597">
        <w:rPr>
          <w:rStyle w:val="Refdenotaalpie"/>
          <w:rFonts w:asciiTheme="majorBidi" w:hAnsiTheme="majorBidi" w:cstheme="majorBidi"/>
        </w:rPr>
        <w:footnoteRef/>
      </w:r>
      <w:r w:rsidRPr="00B92597">
        <w:rPr>
          <w:rFonts w:asciiTheme="majorBidi" w:hAnsiTheme="majorBidi" w:cstheme="majorBidi"/>
        </w:rPr>
        <w:t xml:space="preserve"> Sentencia C-579 de 2013, reiterada en la C-080 de 2018.</w:t>
      </w:r>
    </w:p>
  </w:footnote>
  <w:footnote w:id="79">
    <w:p w14:paraId="52E455C5" w14:textId="79243F9C" w:rsidR="009F2FE8" w:rsidRPr="00B92597" w:rsidRDefault="009F2FE8" w:rsidP="00783CBF">
      <w:pPr>
        <w:pStyle w:val="Textonotapie"/>
        <w:jc w:val="both"/>
        <w:rPr>
          <w:rFonts w:asciiTheme="majorBidi" w:hAnsiTheme="majorBidi" w:cstheme="majorBidi"/>
          <w:lang w:val="es-ES"/>
        </w:rPr>
      </w:pPr>
      <w:r w:rsidRPr="00B92597">
        <w:rPr>
          <w:rStyle w:val="Refdenotaalpie"/>
          <w:rFonts w:asciiTheme="majorBidi" w:hAnsiTheme="majorBidi" w:cstheme="majorBidi"/>
        </w:rPr>
        <w:footnoteRef/>
      </w:r>
      <w:r w:rsidRPr="00B92597">
        <w:rPr>
          <w:rFonts w:asciiTheme="majorBidi" w:hAnsiTheme="majorBidi" w:cstheme="majorBidi"/>
        </w:rPr>
        <w:t xml:space="preserve"> Sentencia C-080 de 2018.</w:t>
      </w:r>
    </w:p>
  </w:footnote>
  <w:footnote w:id="80">
    <w:p w14:paraId="1CBB55C3" w14:textId="77777777" w:rsidR="009F2FE8" w:rsidRPr="00B92597" w:rsidRDefault="009F2FE8" w:rsidP="39690D07">
      <w:pPr>
        <w:pStyle w:val="Textonotapie"/>
        <w:jc w:val="both"/>
        <w:rPr>
          <w:rFonts w:asciiTheme="majorBidi" w:hAnsiTheme="majorBidi" w:cstheme="majorBidi"/>
          <w:lang w:val="es-ES"/>
        </w:rPr>
      </w:pPr>
      <w:r w:rsidRPr="00B92597">
        <w:rPr>
          <w:rStyle w:val="Refdenotaalpie"/>
          <w:rFonts w:asciiTheme="majorBidi" w:hAnsiTheme="majorBidi" w:cstheme="majorBidi"/>
        </w:rPr>
        <w:footnoteRef/>
      </w:r>
      <w:r w:rsidRPr="00B92597">
        <w:rPr>
          <w:rFonts w:asciiTheme="majorBidi" w:hAnsiTheme="majorBidi" w:cstheme="majorBidi"/>
        </w:rPr>
        <w:t xml:space="preserve"> En estas decisiones, la Corte resolvió, respectivamente, una demanda de inconstitucionalidad parcial contra el artículo 1º del Acto Legislativo 01 de 2012 (“Por medio del cual se establecieron instrumentos jurídicos de justicia transicional en el marco del artículo 22 de la Constitución Política”) y el control automático de constitucionalidad de la Ley 1957 de 2019 (“Estatutaria de la Administración de Justicia en la Jurisdicción Especial para la Paz”).</w:t>
      </w:r>
    </w:p>
  </w:footnote>
  <w:footnote w:id="81">
    <w:p w14:paraId="59D5E298" w14:textId="4E8CB436" w:rsidR="009F2FE8" w:rsidRPr="00B92597" w:rsidRDefault="009F2FE8" w:rsidP="00783CBF">
      <w:pPr>
        <w:pStyle w:val="Textonotapie"/>
        <w:rPr>
          <w:rFonts w:asciiTheme="majorBidi" w:hAnsiTheme="majorBidi" w:cstheme="majorBidi"/>
          <w:lang w:val="es-ES_tradnl"/>
        </w:rPr>
      </w:pPr>
      <w:r w:rsidRPr="00B92597">
        <w:rPr>
          <w:rStyle w:val="Refdenotaalpie"/>
          <w:rFonts w:asciiTheme="majorBidi" w:hAnsiTheme="majorBidi" w:cstheme="majorBidi"/>
        </w:rPr>
        <w:footnoteRef/>
      </w:r>
      <w:r w:rsidRPr="00B92597">
        <w:rPr>
          <w:rFonts w:asciiTheme="majorBidi" w:hAnsiTheme="majorBidi" w:cstheme="majorBidi"/>
        </w:rPr>
        <w:t xml:space="preserve"> Sentencia C-579 de 2013, reiterada en la C-080 de 2018.</w:t>
      </w:r>
    </w:p>
  </w:footnote>
  <w:footnote w:id="82">
    <w:p w14:paraId="7D62C95E" w14:textId="12C535D8" w:rsidR="009F2FE8" w:rsidRPr="00B92597" w:rsidRDefault="009F2FE8" w:rsidP="00783CBF">
      <w:pPr>
        <w:pStyle w:val="Textonotapie"/>
        <w:rPr>
          <w:rFonts w:asciiTheme="majorBidi" w:hAnsiTheme="majorBidi" w:cstheme="majorBidi"/>
          <w:lang w:val="es-ES_tradnl"/>
        </w:rPr>
      </w:pPr>
      <w:r w:rsidRPr="00B92597">
        <w:rPr>
          <w:rStyle w:val="Refdenotaalpie"/>
          <w:rFonts w:asciiTheme="majorBidi" w:hAnsiTheme="majorBidi" w:cstheme="majorBidi"/>
        </w:rPr>
        <w:footnoteRef/>
      </w:r>
      <w:r w:rsidRPr="00B92597">
        <w:rPr>
          <w:rFonts w:asciiTheme="majorBidi" w:hAnsiTheme="majorBidi" w:cstheme="majorBidi"/>
        </w:rPr>
        <w:t xml:space="preserve"> Sentencia C-579 de 2013, reiterada en la C-080 de 2018.</w:t>
      </w:r>
    </w:p>
  </w:footnote>
  <w:footnote w:id="83">
    <w:p w14:paraId="02E3693F" w14:textId="38ABDC09" w:rsidR="009F2FE8" w:rsidRPr="00B92597" w:rsidRDefault="009F2FE8" w:rsidP="00F95D20">
      <w:pPr>
        <w:pStyle w:val="Textonotapie"/>
        <w:jc w:val="both"/>
        <w:rPr>
          <w:lang w:val="es-ES_tradnl"/>
        </w:rPr>
      </w:pPr>
      <w:r w:rsidRPr="00B92597">
        <w:rPr>
          <w:rStyle w:val="Refdenotaalpie"/>
        </w:rPr>
        <w:footnoteRef/>
      </w:r>
      <w:r w:rsidRPr="00B92597">
        <w:t xml:space="preserve"> </w:t>
      </w:r>
      <w:r w:rsidRPr="00B92597">
        <w:rPr>
          <w:lang w:val="es-ES_tradnl"/>
        </w:rPr>
        <w:t xml:space="preserve">Al respecto, ver el capítulo 8.3.2. de la Sentencia C-579 de 2013, y, en especial, el acápite (iv) sobre la expresión “máximos responsables”. </w:t>
      </w:r>
    </w:p>
  </w:footnote>
  <w:footnote w:id="84">
    <w:p w14:paraId="1C0ACE25" w14:textId="1C9A7FA4" w:rsidR="009F2FE8" w:rsidRPr="00B92597" w:rsidRDefault="009F2FE8" w:rsidP="004A28C2">
      <w:pPr>
        <w:pStyle w:val="Textonotapie"/>
        <w:jc w:val="both"/>
        <w:rPr>
          <w:rFonts w:asciiTheme="majorBidi" w:hAnsiTheme="majorBidi" w:cstheme="majorBidi"/>
          <w:lang w:val="es-419"/>
        </w:rPr>
      </w:pPr>
      <w:r w:rsidRPr="00B92597">
        <w:rPr>
          <w:rStyle w:val="Refdenotaalpie"/>
          <w:rFonts w:asciiTheme="majorBidi" w:hAnsiTheme="majorBidi" w:cstheme="majorBidi"/>
        </w:rPr>
        <w:footnoteRef/>
      </w:r>
      <w:r w:rsidRPr="00B92597">
        <w:rPr>
          <w:rFonts w:asciiTheme="majorBidi" w:hAnsiTheme="majorBidi" w:cstheme="majorBidi"/>
        </w:rPr>
        <w:t xml:space="preserve"> Sentencia C-579 de 2013. </w:t>
      </w:r>
      <w:r w:rsidRPr="00B92597">
        <w:rPr>
          <w:rFonts w:asciiTheme="majorBidi" w:hAnsiTheme="majorBidi" w:cstheme="majorBidi"/>
          <w:lang w:val="es-419"/>
        </w:rPr>
        <w:t xml:space="preserve">En la misma línea: Naciones Unidas, Consejo de Derechos Humanos (2012). </w:t>
      </w:r>
      <w:r w:rsidRPr="00B92597">
        <w:rPr>
          <w:rFonts w:asciiTheme="majorBidi" w:hAnsiTheme="majorBidi" w:cstheme="majorBidi"/>
          <w:i/>
          <w:iCs/>
          <w:lang w:val="es-419"/>
        </w:rPr>
        <w:t>Informe del Relator Especial sobre la promoción de la verdad, la justicia, la reparación y las garantías de no repetición, Pablo de Greiff</w:t>
      </w:r>
      <w:r w:rsidRPr="00B92597">
        <w:rPr>
          <w:rFonts w:asciiTheme="majorBidi" w:hAnsiTheme="majorBidi" w:cstheme="majorBidi"/>
          <w:lang w:val="es-419"/>
        </w:rPr>
        <w:t xml:space="preserve"> (A/HRC/21/46). </w:t>
      </w:r>
      <w:hyperlink r:id="rId5" w:history="1">
        <w:r w:rsidRPr="00B92597">
          <w:rPr>
            <w:rStyle w:val="Hipervnculo"/>
            <w:rFonts w:asciiTheme="majorBidi" w:hAnsiTheme="majorBidi" w:cstheme="majorBidi"/>
            <w:color w:val="auto"/>
            <w:lang w:val="pt-BR"/>
          </w:rPr>
          <w:t>https://docs.un.org/es/A/HRC/21/46</w:t>
        </w:r>
      </w:hyperlink>
      <w:r w:rsidRPr="00B92597">
        <w:rPr>
          <w:rFonts w:asciiTheme="majorBidi" w:hAnsiTheme="majorBidi" w:cstheme="majorBidi"/>
          <w:lang w:val="pt-BR"/>
        </w:rPr>
        <w:t xml:space="preserve">, párr. 21. Asimismo, ver: Corte IDH. </w:t>
      </w:r>
      <w:r w:rsidRPr="00B92597">
        <w:rPr>
          <w:rFonts w:asciiTheme="majorBidi" w:hAnsiTheme="majorBidi" w:cstheme="majorBidi"/>
          <w:lang w:val="es-419"/>
        </w:rPr>
        <w:t>Caso Ubaté y Bogotá Vs. Colombia. Fondo, Reparaciones y Costas. Sentencia de 19 de junio de 2024. Serie C No. 529, párr. 94.</w:t>
      </w:r>
    </w:p>
  </w:footnote>
  <w:footnote w:id="85">
    <w:p w14:paraId="659334D6" w14:textId="1D921BAD" w:rsidR="009F2FE8" w:rsidRPr="00B92597" w:rsidRDefault="009F2FE8" w:rsidP="004A28C2">
      <w:pPr>
        <w:pStyle w:val="Textonotapie"/>
        <w:jc w:val="both"/>
        <w:rPr>
          <w:rFonts w:asciiTheme="majorBidi" w:hAnsiTheme="majorBidi" w:cstheme="majorBidi"/>
          <w:lang w:val="es-419"/>
        </w:rPr>
      </w:pPr>
      <w:r w:rsidRPr="00B92597">
        <w:rPr>
          <w:rStyle w:val="Refdenotaalpie"/>
          <w:rFonts w:asciiTheme="majorBidi" w:hAnsiTheme="majorBidi" w:cstheme="majorBidi"/>
        </w:rPr>
        <w:footnoteRef/>
      </w:r>
      <w:r w:rsidRPr="00B92597">
        <w:rPr>
          <w:rFonts w:asciiTheme="majorBidi" w:hAnsiTheme="majorBidi" w:cstheme="majorBidi"/>
          <w:lang w:val="es-419"/>
        </w:rPr>
        <w:t xml:space="preserve"> Naciones Unidas, Consejo de Derechos Humanos (2020). </w:t>
      </w:r>
      <w:r w:rsidRPr="00B92597">
        <w:rPr>
          <w:rFonts w:asciiTheme="majorBidi" w:hAnsiTheme="majorBidi" w:cstheme="majorBidi"/>
          <w:i/>
          <w:iCs/>
          <w:lang w:val="es-419"/>
        </w:rPr>
        <w:t>Los procesos de memorialización en el contexto de violaciones graves de derechos humanos y del derecho internacional humanitario: el quinto pilar de la justicia transicional — Informe del Relator Especial sobre la promoción de la verdad, la justicia, la reparación y las garantías de no repetición, Fabián Salvioli</w:t>
      </w:r>
      <w:r w:rsidRPr="00B92597">
        <w:rPr>
          <w:rFonts w:asciiTheme="majorBidi" w:hAnsiTheme="majorBidi" w:cstheme="majorBidi"/>
          <w:lang w:val="es-419"/>
        </w:rPr>
        <w:t xml:space="preserve"> (A/HRC/45/45). </w:t>
      </w:r>
      <w:hyperlink r:id="rId6" w:history="1">
        <w:r w:rsidRPr="00B92597">
          <w:rPr>
            <w:rStyle w:val="Hipervnculo"/>
            <w:rFonts w:asciiTheme="majorBidi" w:hAnsiTheme="majorBidi" w:cstheme="majorBidi"/>
            <w:color w:val="auto"/>
            <w:lang w:val="es-419"/>
          </w:rPr>
          <w:t>https://docs.un.org/es/A/HRC/45/45</w:t>
        </w:r>
      </w:hyperlink>
    </w:p>
  </w:footnote>
  <w:footnote w:id="86">
    <w:p w14:paraId="5B5ED5F3" w14:textId="32CE08CD" w:rsidR="009F2FE8" w:rsidRPr="00B92597" w:rsidRDefault="009F2FE8" w:rsidP="004A28C2">
      <w:pPr>
        <w:pStyle w:val="Textonotapie"/>
        <w:jc w:val="both"/>
        <w:rPr>
          <w:rFonts w:asciiTheme="majorBidi" w:hAnsiTheme="majorBidi" w:cstheme="majorBidi"/>
          <w:lang w:val="es-US"/>
        </w:rPr>
      </w:pPr>
      <w:r w:rsidRPr="00B92597">
        <w:rPr>
          <w:rStyle w:val="Refdenotaalpie"/>
          <w:rFonts w:asciiTheme="majorBidi" w:hAnsiTheme="majorBidi" w:cstheme="majorBidi"/>
        </w:rPr>
        <w:footnoteRef/>
      </w:r>
      <w:r w:rsidRPr="00B92597">
        <w:rPr>
          <w:rFonts w:asciiTheme="majorBidi" w:hAnsiTheme="majorBidi" w:cstheme="majorBidi"/>
          <w:lang w:val="es-419"/>
        </w:rPr>
        <w:t xml:space="preserve"> </w:t>
      </w:r>
      <w:r w:rsidRPr="00B92597">
        <w:rPr>
          <w:rFonts w:asciiTheme="majorBidi" w:hAnsiTheme="majorBidi" w:cstheme="majorBidi"/>
          <w:i/>
          <w:iCs/>
          <w:lang w:val="es-419"/>
        </w:rPr>
        <w:t>Op. Cit.</w:t>
      </w:r>
      <w:r w:rsidRPr="00B92597">
        <w:rPr>
          <w:rFonts w:asciiTheme="majorBidi" w:hAnsiTheme="majorBidi" w:cstheme="majorBidi"/>
          <w:lang w:val="es-419"/>
        </w:rPr>
        <w:t xml:space="preserve"> Naciones Unidas, Consejo de Derechos Humanos </w:t>
      </w:r>
      <w:r w:rsidRPr="00B92597">
        <w:rPr>
          <w:rFonts w:asciiTheme="majorBidi" w:hAnsiTheme="majorBidi" w:cstheme="majorBidi"/>
          <w:lang w:val="es-US"/>
        </w:rPr>
        <w:t>(2012).</w:t>
      </w:r>
    </w:p>
  </w:footnote>
  <w:footnote w:id="87">
    <w:p w14:paraId="6042ADCE" w14:textId="3EC52AA2" w:rsidR="009F2FE8" w:rsidRPr="00B92597" w:rsidRDefault="009F2FE8" w:rsidP="0079329C">
      <w:pPr>
        <w:pStyle w:val="Textonotapie"/>
        <w:jc w:val="both"/>
        <w:rPr>
          <w:rFonts w:asciiTheme="majorBidi" w:hAnsiTheme="majorBidi" w:cstheme="majorBidi"/>
          <w:lang w:val="en-GB"/>
        </w:rPr>
      </w:pPr>
      <w:r w:rsidRPr="00B92597">
        <w:rPr>
          <w:rStyle w:val="Refdenotaalpie"/>
          <w:rFonts w:asciiTheme="majorBidi" w:hAnsiTheme="majorBidi" w:cstheme="majorBidi"/>
        </w:rPr>
        <w:footnoteRef/>
      </w:r>
      <w:r w:rsidRPr="00B92597">
        <w:rPr>
          <w:rFonts w:asciiTheme="majorBidi" w:hAnsiTheme="majorBidi" w:cstheme="majorBidi"/>
          <w:lang w:val="en-GB"/>
        </w:rPr>
        <w:t xml:space="preserve"> Arthur, P. (2009). How “transitions” reshaped human rights: A conceptual history of transitional justice. Human Rights Quarterly, 31(2), 321–367. </w:t>
      </w:r>
      <w:hyperlink r:id="rId7" w:history="1">
        <w:r w:rsidRPr="00B92597">
          <w:rPr>
            <w:rStyle w:val="Hipervnculo"/>
            <w:rFonts w:asciiTheme="majorBidi" w:hAnsiTheme="majorBidi" w:cstheme="majorBidi"/>
            <w:color w:val="auto"/>
            <w:lang w:val="en-GB"/>
          </w:rPr>
          <w:t>https://biblioteca.cejamericas.org/bitstream/handle/2015/570/Paige_arthur.pdf</w:t>
        </w:r>
      </w:hyperlink>
      <w:r w:rsidRPr="00B92597">
        <w:rPr>
          <w:rFonts w:asciiTheme="majorBidi" w:hAnsiTheme="majorBidi" w:cstheme="majorBidi"/>
          <w:lang w:val="en-GB"/>
        </w:rPr>
        <w:t xml:space="preserve"> </w:t>
      </w:r>
    </w:p>
  </w:footnote>
  <w:footnote w:id="88">
    <w:p w14:paraId="3EC2A2A5" w14:textId="5A5CC72C" w:rsidR="009F2FE8" w:rsidRPr="00B92597" w:rsidRDefault="009F2FE8">
      <w:pPr>
        <w:pStyle w:val="Textonotapie"/>
        <w:rPr>
          <w:rFonts w:asciiTheme="majorBidi" w:hAnsiTheme="majorBidi" w:cstheme="majorBidi"/>
          <w:lang w:val="pt-BR"/>
        </w:rPr>
      </w:pPr>
      <w:r w:rsidRPr="00B92597">
        <w:rPr>
          <w:rStyle w:val="Refdenotaalpie"/>
          <w:rFonts w:asciiTheme="majorBidi" w:hAnsiTheme="majorBidi" w:cstheme="majorBidi"/>
        </w:rPr>
        <w:footnoteRef/>
      </w:r>
      <w:r w:rsidRPr="00B92597">
        <w:rPr>
          <w:rFonts w:asciiTheme="majorBidi" w:hAnsiTheme="majorBidi" w:cstheme="majorBidi"/>
          <w:lang w:val="pt-BR"/>
        </w:rPr>
        <w:t xml:space="preserve"> Sentencia C-579 de 2013.</w:t>
      </w:r>
    </w:p>
  </w:footnote>
  <w:footnote w:id="89">
    <w:p w14:paraId="7C84BE23" w14:textId="3D99F174" w:rsidR="009F2FE8" w:rsidRPr="00B92597" w:rsidRDefault="009F2FE8" w:rsidP="001012F5">
      <w:pPr>
        <w:pStyle w:val="Textonotapie"/>
        <w:jc w:val="both"/>
        <w:rPr>
          <w:lang w:val="en-GB"/>
        </w:rPr>
      </w:pPr>
      <w:r w:rsidRPr="00B92597">
        <w:rPr>
          <w:rStyle w:val="Refdenotaalpie"/>
          <w:shd w:val="clear" w:color="auto" w:fill="FFFFFF" w:themeFill="background1"/>
        </w:rPr>
        <w:footnoteRef/>
      </w:r>
      <w:r w:rsidRPr="00B92597">
        <w:rPr>
          <w:shd w:val="clear" w:color="auto" w:fill="FFFFFF" w:themeFill="background1"/>
          <w:lang w:val="fi-FI"/>
        </w:rPr>
        <w:t xml:space="preserve"> Teitel, R. G., &amp; Shankar, S. (2025). </w:t>
      </w:r>
      <w:r w:rsidRPr="00B92597">
        <w:rPr>
          <w:shd w:val="clear" w:color="auto" w:fill="FFFFFF" w:themeFill="background1"/>
          <w:lang w:val="en-GB"/>
        </w:rPr>
        <w:t xml:space="preserve">Transitional justice and cognitive-behavioural studies. In A. van Aaken &amp; M. Hirsch (Eds.), </w:t>
      </w:r>
      <w:r w:rsidRPr="00B92597">
        <w:rPr>
          <w:i/>
          <w:iCs/>
          <w:shd w:val="clear" w:color="auto" w:fill="FFFFFF" w:themeFill="background1"/>
          <w:lang w:val="en-GB"/>
        </w:rPr>
        <w:t>International legal theory and the cognitive turn</w:t>
      </w:r>
      <w:r w:rsidRPr="00B92597">
        <w:rPr>
          <w:shd w:val="clear" w:color="auto" w:fill="FFFFFF" w:themeFill="background1"/>
          <w:lang w:val="en-GB"/>
        </w:rPr>
        <w:t xml:space="preserve">. Oxford Academic, pp. 289–318, p. 308 </w:t>
      </w:r>
      <w:hyperlink r:id="rId8" w:history="1">
        <w:r w:rsidRPr="00B92597">
          <w:rPr>
            <w:rStyle w:val="Hipervnculo"/>
            <w:color w:val="auto"/>
            <w:shd w:val="clear" w:color="auto" w:fill="FFFFFF" w:themeFill="background1"/>
            <w:lang w:val="en-GB"/>
          </w:rPr>
          <w:t>https://doi.org/10.1093/9780198909293.003.0014</w:t>
        </w:r>
      </w:hyperlink>
    </w:p>
  </w:footnote>
  <w:footnote w:id="90">
    <w:p w14:paraId="3093F62F" w14:textId="5BA3740C" w:rsidR="009F2FE8" w:rsidRPr="00B92597" w:rsidRDefault="009F2FE8" w:rsidP="00345AF5">
      <w:pPr>
        <w:pStyle w:val="Textonotapie"/>
        <w:jc w:val="both"/>
        <w:rPr>
          <w:lang w:val="en-GB"/>
        </w:rPr>
      </w:pPr>
      <w:r w:rsidRPr="00B92597">
        <w:rPr>
          <w:rStyle w:val="Refdenotaalpie"/>
        </w:rPr>
        <w:footnoteRef/>
      </w:r>
      <w:r w:rsidRPr="00B92597">
        <w:rPr>
          <w:lang w:val="en-GB"/>
        </w:rPr>
        <w:t xml:space="preserve"> Elster, J. (2003). Emotions and Transitional Justice. </w:t>
      </w:r>
      <w:r w:rsidRPr="00B92597">
        <w:rPr>
          <w:i/>
          <w:lang w:val="en-GB"/>
        </w:rPr>
        <w:t>Soundings: An Interdisciplinary Journal</w:t>
      </w:r>
      <w:r w:rsidRPr="00B92597">
        <w:rPr>
          <w:lang w:val="en-GB"/>
        </w:rPr>
        <w:t>, </w:t>
      </w:r>
      <w:r w:rsidRPr="00B92597">
        <w:rPr>
          <w:i/>
          <w:lang w:val="en-GB"/>
        </w:rPr>
        <w:t>86</w:t>
      </w:r>
      <w:r w:rsidRPr="00B92597">
        <w:rPr>
          <w:lang w:val="en-GB"/>
        </w:rPr>
        <w:t xml:space="preserve">(1/2), 17–40. </w:t>
      </w:r>
      <w:hyperlink r:id="rId9" w:history="1">
        <w:r w:rsidRPr="00B92597">
          <w:rPr>
            <w:rStyle w:val="Hipervnculo"/>
            <w:color w:val="auto"/>
            <w:lang w:val="en-GB"/>
          </w:rPr>
          <w:t>https://www.jstor.org/stable/41179084</w:t>
        </w:r>
      </w:hyperlink>
      <w:r w:rsidRPr="00B92597">
        <w:rPr>
          <w:lang w:val="en-GB"/>
        </w:rPr>
        <w:t xml:space="preserve"> </w:t>
      </w:r>
    </w:p>
  </w:footnote>
  <w:footnote w:id="91">
    <w:p w14:paraId="2C7C166A" w14:textId="77777777" w:rsidR="009F2FE8" w:rsidRPr="00B92597" w:rsidRDefault="009F2FE8" w:rsidP="00D03BA0">
      <w:pPr>
        <w:pStyle w:val="Textonotapie"/>
      </w:pPr>
      <w:r w:rsidRPr="00B92597">
        <w:rPr>
          <w:rStyle w:val="Refdenotaalpie"/>
        </w:rPr>
        <w:footnoteRef/>
      </w:r>
      <w:r w:rsidRPr="00B92597">
        <w:t xml:space="preserve"> Ibid., págs. 25-30.</w:t>
      </w:r>
    </w:p>
  </w:footnote>
  <w:footnote w:id="92">
    <w:p w14:paraId="5D5952BE" w14:textId="77777777" w:rsidR="009F2FE8" w:rsidRPr="00B92597" w:rsidRDefault="009F2FE8" w:rsidP="0079329C">
      <w:pPr>
        <w:pStyle w:val="Textonotapie"/>
        <w:jc w:val="both"/>
        <w:rPr>
          <w:rFonts w:asciiTheme="majorBidi" w:hAnsiTheme="majorBidi" w:cstheme="majorBidi"/>
        </w:rPr>
      </w:pPr>
      <w:r w:rsidRPr="00B92597">
        <w:rPr>
          <w:rStyle w:val="Refdenotaalpie"/>
          <w:rFonts w:asciiTheme="majorBidi" w:hAnsiTheme="majorBidi" w:cstheme="majorBidi"/>
        </w:rPr>
        <w:footnoteRef/>
      </w:r>
      <w:r w:rsidRPr="00B92597">
        <w:rPr>
          <w:rFonts w:asciiTheme="majorBidi" w:hAnsiTheme="majorBidi" w:cstheme="majorBidi"/>
        </w:rPr>
        <w:t xml:space="preserve"> Ibid. </w:t>
      </w:r>
    </w:p>
  </w:footnote>
  <w:footnote w:id="93">
    <w:p w14:paraId="1E5BFC7B" w14:textId="2A226F97" w:rsidR="009F2FE8" w:rsidRPr="00B92597" w:rsidRDefault="009F2FE8" w:rsidP="0079329C">
      <w:pPr>
        <w:pStyle w:val="Textonotapie"/>
        <w:jc w:val="both"/>
        <w:rPr>
          <w:rFonts w:asciiTheme="majorBidi" w:hAnsiTheme="majorBidi" w:cstheme="majorBidi"/>
        </w:rPr>
      </w:pPr>
      <w:r w:rsidRPr="00B92597">
        <w:rPr>
          <w:rStyle w:val="Refdenotaalpie"/>
          <w:rFonts w:asciiTheme="majorBidi" w:hAnsiTheme="majorBidi" w:cstheme="majorBidi"/>
        </w:rPr>
        <w:footnoteRef/>
      </w:r>
      <w:r w:rsidRPr="00B92597">
        <w:rPr>
          <w:rFonts w:asciiTheme="majorBidi" w:hAnsiTheme="majorBidi" w:cstheme="majorBidi"/>
        </w:rPr>
        <w:t xml:space="preserve"> </w:t>
      </w:r>
      <w:r w:rsidRPr="00B92597">
        <w:rPr>
          <w:rFonts w:asciiTheme="majorBidi" w:hAnsiTheme="majorBidi" w:cstheme="majorBidi"/>
          <w:lang w:val="es-ES"/>
        </w:rPr>
        <w:t xml:space="preserve">Naciones Unidas, Comisión de Derechos Humanos. (2005). </w:t>
      </w:r>
      <w:r w:rsidRPr="00B92597">
        <w:rPr>
          <w:rFonts w:asciiTheme="majorBidi" w:hAnsiTheme="majorBidi" w:cstheme="majorBidi"/>
          <w:i/>
          <w:lang w:val="es-ES"/>
        </w:rPr>
        <w:t>Conjunto de principios actualizado para la protección y la promoción de los derechos humanos mediante la lucha contra la impunidad: Adición</w:t>
      </w:r>
      <w:r w:rsidRPr="00B92597">
        <w:rPr>
          <w:rFonts w:asciiTheme="majorBidi" w:hAnsiTheme="majorBidi" w:cstheme="majorBidi"/>
          <w:lang w:val="es-ES"/>
        </w:rPr>
        <w:t xml:space="preserve"> (E/CN.4/2005/102/Add.1). </w:t>
      </w:r>
      <w:hyperlink r:id="rId10" w:history="1">
        <w:r w:rsidRPr="00B92597">
          <w:rPr>
            <w:rStyle w:val="Hipervnculo"/>
            <w:rFonts w:asciiTheme="majorBidi" w:hAnsiTheme="majorBidi" w:cstheme="majorBidi"/>
            <w:color w:val="auto"/>
            <w:lang w:val="es-ES"/>
          </w:rPr>
          <w:t>https://docs.un.org/es/E/CN.4/2005/102/Add.1</w:t>
        </w:r>
      </w:hyperlink>
    </w:p>
  </w:footnote>
  <w:footnote w:id="94">
    <w:p w14:paraId="6FC94B13" w14:textId="77777777" w:rsidR="009F2FE8" w:rsidRPr="00B92597" w:rsidRDefault="009F2FE8" w:rsidP="00EB08A3">
      <w:pPr>
        <w:pStyle w:val="Textonotapie"/>
        <w:rPr>
          <w:rFonts w:asciiTheme="majorBidi" w:hAnsiTheme="majorBidi" w:cstheme="majorBidi"/>
          <w:lang w:val="es-419"/>
        </w:rPr>
      </w:pPr>
      <w:r w:rsidRPr="00B92597">
        <w:rPr>
          <w:rStyle w:val="Refdenotaalpie"/>
          <w:rFonts w:asciiTheme="majorBidi" w:hAnsiTheme="majorBidi" w:cstheme="majorBidi"/>
        </w:rPr>
        <w:footnoteRef/>
      </w:r>
      <w:r w:rsidRPr="00B92597">
        <w:rPr>
          <w:rFonts w:asciiTheme="majorBidi" w:hAnsiTheme="majorBidi" w:cstheme="majorBidi"/>
          <w:lang w:val="es-419"/>
        </w:rPr>
        <w:t xml:space="preserve"> Ibid., Principio 19.</w:t>
      </w:r>
    </w:p>
  </w:footnote>
  <w:footnote w:id="95">
    <w:p w14:paraId="39B2CCD8" w14:textId="77777777" w:rsidR="009F2FE8" w:rsidRPr="00B92597" w:rsidRDefault="009F2FE8" w:rsidP="006E6E69">
      <w:pPr>
        <w:pStyle w:val="Textonotapie"/>
        <w:rPr>
          <w:rFonts w:asciiTheme="majorBidi" w:hAnsiTheme="majorBidi" w:cstheme="majorBidi"/>
          <w:lang w:val="es-419"/>
        </w:rPr>
      </w:pPr>
      <w:r w:rsidRPr="00B92597">
        <w:rPr>
          <w:rStyle w:val="Refdenotaalpie"/>
          <w:rFonts w:asciiTheme="majorBidi" w:hAnsiTheme="majorBidi" w:cstheme="majorBidi"/>
        </w:rPr>
        <w:footnoteRef/>
      </w:r>
      <w:r w:rsidRPr="00B92597">
        <w:rPr>
          <w:rFonts w:asciiTheme="majorBidi" w:hAnsiTheme="majorBidi" w:cstheme="majorBidi"/>
          <w:lang w:val="es-419"/>
        </w:rPr>
        <w:t xml:space="preserve"> Ibid., Principios 22, 24, 27 y 28. </w:t>
      </w:r>
    </w:p>
  </w:footnote>
  <w:footnote w:id="96">
    <w:p w14:paraId="2E0EEAB0" w14:textId="77777777" w:rsidR="009F2FE8" w:rsidRPr="00B92597" w:rsidRDefault="009F2FE8" w:rsidP="00D60441">
      <w:pPr>
        <w:pStyle w:val="Textonotapie"/>
        <w:jc w:val="both"/>
        <w:rPr>
          <w:lang w:val="es-US"/>
        </w:rPr>
      </w:pPr>
      <w:r w:rsidRPr="00B92597">
        <w:rPr>
          <w:rStyle w:val="Refdenotaalpie"/>
        </w:rPr>
        <w:footnoteRef/>
      </w:r>
      <w:r w:rsidRPr="00B92597">
        <w:t xml:space="preserve"> </w:t>
      </w:r>
      <w:r w:rsidRPr="00B92597">
        <w:rPr>
          <w:lang w:val="es-US"/>
        </w:rPr>
        <w:t xml:space="preserve">Sentencias </w:t>
      </w:r>
      <w:r w:rsidRPr="00B92597">
        <w:t>C-370 de 2006, C-579 de 2013, C-007 de 2018 y C-080 de 2018, entre otras.</w:t>
      </w:r>
    </w:p>
  </w:footnote>
  <w:footnote w:id="97">
    <w:p w14:paraId="3A7CADF1" w14:textId="18446E7F" w:rsidR="009F2FE8" w:rsidRPr="00B92597" w:rsidRDefault="009F2FE8" w:rsidP="00D60441">
      <w:pPr>
        <w:pStyle w:val="Textonotapie"/>
        <w:jc w:val="both"/>
      </w:pPr>
      <w:r w:rsidRPr="00B92597">
        <w:rPr>
          <w:rStyle w:val="Refdenotaalpie"/>
        </w:rPr>
        <w:footnoteRef/>
      </w:r>
      <w:r w:rsidRPr="00B92597">
        <w:t xml:space="preserve"> </w:t>
      </w:r>
      <w:r w:rsidRPr="00B92597">
        <w:rPr>
          <w:lang w:val="es-ES"/>
        </w:rPr>
        <w:t>Corte IDH. Caso Velásquez Rodríguez Vs. Honduras. Fondo. Sentencia de 29 de julio de 1988. Serie C No. 4, párr. 176 y ss. Reiterado en: Corte IDH. Caso miembros de la Corporación Colectivo de Abogados “José Alvear Restrepo” vs. Colombia. Excepciones Preliminares, Fondo, Reparaciones y Costas. Sentencia de 18 de octubre de 2023. Serie C 506, párr. 740 y 741.</w:t>
      </w:r>
    </w:p>
  </w:footnote>
  <w:footnote w:id="98">
    <w:p w14:paraId="68A41F12" w14:textId="32D9664E" w:rsidR="009F2FE8" w:rsidRPr="00B92597" w:rsidRDefault="009F2FE8" w:rsidP="00AA4627">
      <w:pPr>
        <w:pStyle w:val="Textonotapie"/>
        <w:jc w:val="both"/>
        <w:rPr>
          <w:lang w:val="es-ES_tradnl"/>
        </w:rPr>
      </w:pPr>
      <w:r w:rsidRPr="00B92597">
        <w:rPr>
          <w:rStyle w:val="Refdenotaalpie"/>
        </w:rPr>
        <w:footnoteRef/>
      </w:r>
      <w:r w:rsidRPr="00B92597">
        <w:t xml:space="preserve"> Acto Legislativo 01 de 2017. Artículo 12. Parágrafo</w:t>
      </w:r>
      <w:r w:rsidRPr="00B92597">
        <w:rPr>
          <w:rStyle w:val="Textoennegrita"/>
          <w:shd w:val="clear" w:color="auto" w:fill="FFFFFF"/>
        </w:rPr>
        <w:t>.</w:t>
      </w:r>
      <w:r w:rsidRPr="00B92597">
        <w:rPr>
          <w:shd w:val="clear" w:color="auto" w:fill="FFFFFF"/>
        </w:rPr>
        <w:t> Las normas que regirán la Jurisdicción Especial de Paz, incluirán garantías procesales, sustanciales, probatorias y de acceso, encaminadas a que las víctimas puedan satisfacer sus derechos a la verdad, justicia y reparación en el marco de la JEP con medidas diferenciales y especiales para quienes se consideren sujetos de especial protección constitucional. Igualmente, deberán garantizar los principios de tratamiento penal especial condicionado a la garantía de los derechos de las víctimas, centralidad de las víctimas, integralidad, debido proceso no regresividad en el reconocimiento de derechos y enfoque diferencial y de género.</w:t>
      </w:r>
    </w:p>
  </w:footnote>
  <w:footnote w:id="99">
    <w:p w14:paraId="098FB97A" w14:textId="0D1F2351" w:rsidR="009F2FE8" w:rsidRPr="00B92597" w:rsidRDefault="009F2FE8" w:rsidP="00D12B4C">
      <w:pPr>
        <w:pStyle w:val="Textonotapie"/>
        <w:jc w:val="both"/>
      </w:pPr>
      <w:r w:rsidRPr="00B92597">
        <w:rPr>
          <w:rStyle w:val="Refdenotaalpie"/>
        </w:rPr>
        <w:footnoteRef/>
      </w:r>
      <w:r w:rsidRPr="00B92597">
        <w:t xml:space="preserve"> Una revisión exhaustiva de esos estándares y que se reitera en esta decisión se encuentra en las sentencias C-007 de 2018 y C-080 de 2018.</w:t>
      </w:r>
    </w:p>
  </w:footnote>
  <w:footnote w:id="100">
    <w:p w14:paraId="03AC5F19" w14:textId="39E7F299" w:rsidR="009F2FE8" w:rsidRPr="00B92597" w:rsidRDefault="009F2FE8" w:rsidP="001B14F6">
      <w:pPr>
        <w:pStyle w:val="Textonotapie"/>
        <w:jc w:val="both"/>
        <w:rPr>
          <w:lang w:val="es-US"/>
        </w:rPr>
      </w:pPr>
      <w:r w:rsidRPr="00B92597">
        <w:rPr>
          <w:rStyle w:val="Refdenotaalpie"/>
        </w:rPr>
        <w:footnoteRef/>
      </w:r>
      <w:r w:rsidRPr="00B92597">
        <w:rPr>
          <w:lang w:val="pt-BR"/>
        </w:rPr>
        <w:t xml:space="preserve"> Al respecto, ver: Corte IDH. </w:t>
      </w:r>
      <w:r w:rsidRPr="00B92597">
        <w:rPr>
          <w:lang w:val="es-US"/>
        </w:rPr>
        <w:t xml:space="preserve">Caso Vereda ‘La Esperanza’ vs. Colombia. Excepción Preliminar, Fondo, Reparaciones y Costas. Sentencia de 31 de agosto de 2017. Serie C 367, párr. 228. Corte IDH. Caso Integrantes y Militantes de la Unión Patriótica vs. Colombia. Excepciones Preliminares, Fondo, Reparaciones y Costas. Sentencia de 27 de julio de 2022. Serie C 455, párr. 483, 484 y 485. </w:t>
      </w:r>
      <w:r w:rsidRPr="00B92597">
        <w:rPr>
          <w:lang w:val="es-ES"/>
        </w:rPr>
        <w:t xml:space="preserve">Naciones Unidas, Asamblea General (2014). </w:t>
      </w:r>
      <w:r w:rsidRPr="00B92597">
        <w:rPr>
          <w:i/>
          <w:lang w:val="es-ES"/>
        </w:rPr>
        <w:t>Informe del Relator Especial sobre la promoción de la verdad, la justicia, la reparación y las garantías de no repetición, Pablo de Greiff</w:t>
      </w:r>
      <w:r w:rsidRPr="00B92597">
        <w:rPr>
          <w:lang w:val="es-ES"/>
        </w:rPr>
        <w:t xml:space="preserve"> (A/HRC/27/56). </w:t>
      </w:r>
      <w:hyperlink r:id="rId11" w:history="1">
        <w:r w:rsidRPr="00B92597">
          <w:rPr>
            <w:rStyle w:val="Hipervnculo"/>
            <w:color w:val="auto"/>
            <w:lang w:val="es-ES"/>
          </w:rPr>
          <w:t>https://docs.un.org/es/A/HRC/27/56</w:t>
        </w:r>
      </w:hyperlink>
    </w:p>
  </w:footnote>
  <w:footnote w:id="101">
    <w:p w14:paraId="4F2B2251" w14:textId="6920C9CA" w:rsidR="009F2FE8" w:rsidRPr="00B92597" w:rsidRDefault="009F2FE8">
      <w:pPr>
        <w:pStyle w:val="Textonotapie"/>
        <w:rPr>
          <w:lang w:val="es-US"/>
        </w:rPr>
      </w:pPr>
      <w:r w:rsidRPr="00B92597">
        <w:rPr>
          <w:rStyle w:val="Refdenotaalpie"/>
        </w:rPr>
        <w:footnoteRef/>
      </w:r>
      <w:r w:rsidRPr="00B92597">
        <w:t xml:space="preserve"> </w:t>
      </w:r>
      <w:r w:rsidRPr="00B92597">
        <w:rPr>
          <w:lang w:val="es-US"/>
        </w:rPr>
        <w:t>En la misma línea, sentencias C-007 de 2018 y C-080 de 2018.</w:t>
      </w:r>
    </w:p>
  </w:footnote>
  <w:footnote w:id="102">
    <w:p w14:paraId="321E5D42" w14:textId="389D62C9" w:rsidR="009F2FE8" w:rsidRPr="00B92597" w:rsidRDefault="009F2FE8" w:rsidP="00822DE1">
      <w:pPr>
        <w:pStyle w:val="Textonotapie"/>
        <w:jc w:val="both"/>
      </w:pPr>
      <w:r w:rsidRPr="00B92597">
        <w:rPr>
          <w:rStyle w:val="Refdenotaalpie"/>
        </w:rPr>
        <w:footnoteRef/>
      </w:r>
      <w:r w:rsidRPr="00B92597">
        <w:t xml:space="preserve"> Ver: </w:t>
      </w:r>
      <w:r w:rsidRPr="00B92597">
        <w:rPr>
          <w:lang w:val="es-US"/>
        </w:rPr>
        <w:t>Corte IDH. Caso Integrantes y Militantes de la Unión Patriótica vs. Colombia. Excepciones Preliminares, Fondo, Reparaciones y Costas. Sentencia de 27 de julio de 2022. Serie C 455, párr. 483, 484 y 485.</w:t>
      </w:r>
    </w:p>
  </w:footnote>
  <w:footnote w:id="103">
    <w:p w14:paraId="5C742978" w14:textId="4FC09D08" w:rsidR="009F2FE8" w:rsidRPr="00B92597" w:rsidRDefault="009F2FE8" w:rsidP="00934D9F">
      <w:pPr>
        <w:pStyle w:val="Textonotapie"/>
        <w:jc w:val="both"/>
      </w:pPr>
      <w:r w:rsidRPr="00B92597">
        <w:rPr>
          <w:rStyle w:val="Refdenotaalpie"/>
        </w:rPr>
        <w:footnoteRef/>
      </w:r>
      <w:r w:rsidRPr="00B92597">
        <w:t xml:space="preserve"> </w:t>
      </w:r>
      <w:r w:rsidRPr="00B92597">
        <w:rPr>
          <w:lang w:val="es-ES"/>
        </w:rPr>
        <w:t xml:space="preserve">Naciones Unidas, Consejo de Derechos Humanos (2021). </w:t>
      </w:r>
      <w:r w:rsidRPr="00B92597">
        <w:rPr>
          <w:i/>
          <w:lang w:val="es-ES"/>
        </w:rPr>
        <w:t>Rendición de cuentas: juzgar y condenar graves violaciones de derechos humanos y serias violaciones al derecho internacional humanitario en el contexto de procesos de justicia transicional — Informe del Relator Especial sobre la promoción de la verdad, la justicia, la reparación y las garantías de no repetición, Fabián Salvioli</w:t>
      </w:r>
      <w:r w:rsidRPr="00B92597">
        <w:rPr>
          <w:lang w:val="es-ES"/>
        </w:rPr>
        <w:t xml:space="preserve"> (A/HRC/48/60), párr. 67. </w:t>
      </w:r>
      <w:hyperlink r:id="rId12" w:history="1">
        <w:r w:rsidRPr="00B92597">
          <w:rPr>
            <w:rStyle w:val="Hipervnculo"/>
            <w:color w:val="auto"/>
            <w:lang w:val="es-ES"/>
          </w:rPr>
          <w:t>https://docs.un.org/es/A/HRC/48/60</w:t>
        </w:r>
      </w:hyperlink>
    </w:p>
  </w:footnote>
  <w:footnote w:id="104">
    <w:p w14:paraId="49877115" w14:textId="3B24B466" w:rsidR="009F2FE8" w:rsidRPr="00B92597" w:rsidRDefault="009F2FE8" w:rsidP="00092A12">
      <w:pPr>
        <w:rPr>
          <w:sz w:val="20"/>
          <w:szCs w:val="20"/>
          <w:lang w:eastAsia="es-MX"/>
        </w:rPr>
      </w:pPr>
      <w:r w:rsidRPr="00B92597">
        <w:rPr>
          <w:rStyle w:val="Refdenotaalpie"/>
          <w:sz w:val="20"/>
          <w:szCs w:val="20"/>
        </w:rPr>
        <w:footnoteRef/>
      </w:r>
      <w:r w:rsidRPr="00B92597">
        <w:rPr>
          <w:sz w:val="20"/>
          <w:szCs w:val="20"/>
        </w:rPr>
        <w:t xml:space="preserve"> </w:t>
      </w:r>
      <w:r w:rsidRPr="00B92597">
        <w:rPr>
          <w:sz w:val="20"/>
          <w:szCs w:val="20"/>
          <w:lang w:eastAsia="es-MX"/>
        </w:rPr>
        <w:t>En el escrito remitido el 24 de octubre de 2025, Humberto de la Calle advirtió que la idea de volver a la justicia ordinaria para resolver lo no seleccionado —incluso si se matiza bajo la premisa de que el trámite continuaría por los canales transicionales pactados— “no deja de tener un cierto sabor de perfidia” (p. 6). A su juicio, ello implicaría introducir nuevas condiciones al Acuerdo una vez desarmada la guerrilla, no acordadas en la mesa de negociación y contrarias a la Constitución y a la ley estatutaria (p. 6). En el mismo escrito, Sergio Jaramillo sostuvo que la llamada “selección de segundo orden” podría constituir “un caso de perfidia”, pues supondría modificar las reglas bajo las cuales las FARC dejaron las armas (p. 11).</w:t>
      </w:r>
    </w:p>
    <w:p w14:paraId="6EA657E3" w14:textId="6C0A2052" w:rsidR="009F2FE8" w:rsidRPr="00B92597" w:rsidRDefault="009F2FE8">
      <w:pPr>
        <w:pStyle w:val="Textonotapie"/>
        <w:rPr>
          <w:lang w:val="es-ES_tradnl"/>
        </w:rPr>
      </w:pPr>
    </w:p>
  </w:footnote>
  <w:footnote w:id="105">
    <w:p w14:paraId="188F4FDC" w14:textId="72925F12" w:rsidR="009F2FE8" w:rsidRPr="00B92597" w:rsidRDefault="009F2FE8" w:rsidP="0059189D">
      <w:pPr>
        <w:pStyle w:val="Textonotapie"/>
        <w:rPr>
          <w:lang w:val="es-ES_tradnl"/>
        </w:rPr>
      </w:pPr>
      <w:r w:rsidRPr="00B92597">
        <w:rPr>
          <w:rStyle w:val="Refdenotaalpie"/>
        </w:rPr>
        <w:footnoteRef/>
      </w:r>
      <w:r w:rsidRPr="00B92597">
        <w:t xml:space="preserve"> </w:t>
      </w:r>
      <w:r w:rsidRPr="00B92597">
        <w:rPr>
          <w:lang w:val="es-ES_tradnl"/>
        </w:rPr>
        <w:t>Intervención en la Sección Técnica de 27 de febrero de 2026.</w:t>
      </w:r>
    </w:p>
  </w:footnote>
  <w:footnote w:id="106">
    <w:p w14:paraId="44BB517B" w14:textId="745634B1" w:rsidR="009F2FE8" w:rsidRPr="00B92597" w:rsidRDefault="009F2FE8" w:rsidP="00C6267B">
      <w:pPr>
        <w:pStyle w:val="Textonotapie"/>
        <w:rPr>
          <w:lang w:val="es-ES_tradnl"/>
        </w:rPr>
      </w:pPr>
      <w:r w:rsidRPr="00B92597">
        <w:rPr>
          <w:rStyle w:val="Refdenotaalpie"/>
        </w:rPr>
        <w:footnoteRef/>
      </w:r>
      <w:r w:rsidRPr="00B92597">
        <w:t xml:space="preserve"> </w:t>
      </w:r>
      <w:r w:rsidRPr="00B92597">
        <w:rPr>
          <w:lang w:val="es-ES_tradnl"/>
        </w:rPr>
        <w:t>Intervención en la Sesión técnica de 27 de febrero de 2026.</w:t>
      </w:r>
    </w:p>
  </w:footnote>
  <w:footnote w:id="107">
    <w:p w14:paraId="653EDDA5" w14:textId="2A304D95" w:rsidR="009F2FE8" w:rsidRPr="00B92597" w:rsidRDefault="009F2FE8" w:rsidP="001730BE">
      <w:pPr>
        <w:pStyle w:val="Textonotapie"/>
        <w:rPr>
          <w:lang w:val="es-ES_tradnl"/>
        </w:rPr>
      </w:pPr>
      <w:r w:rsidRPr="00B92597">
        <w:rPr>
          <w:rStyle w:val="Refdenotaalpie"/>
        </w:rPr>
        <w:footnoteRef/>
      </w:r>
      <w:r w:rsidRPr="00B92597">
        <w:t xml:space="preserve"> </w:t>
      </w:r>
      <w:r w:rsidRPr="00B92597">
        <w:rPr>
          <w:lang w:val="es-ES_tradnl"/>
        </w:rPr>
        <w:t>Intervención en la Sesión técnica de 27 de febrero de 2026.</w:t>
      </w:r>
    </w:p>
  </w:footnote>
  <w:footnote w:id="108">
    <w:p w14:paraId="13455FB7" w14:textId="1A1D1A88" w:rsidR="009F2FE8" w:rsidRPr="00B92597" w:rsidRDefault="009F2FE8" w:rsidP="001A5BE9">
      <w:pPr>
        <w:pStyle w:val="Textonotapie"/>
        <w:rPr>
          <w:lang w:val="es-ES_tradnl"/>
        </w:rPr>
      </w:pPr>
      <w:r w:rsidRPr="00B92597">
        <w:rPr>
          <w:rStyle w:val="Refdenotaalpie"/>
        </w:rPr>
        <w:footnoteRef/>
      </w:r>
      <w:r w:rsidRPr="00B92597">
        <w:t xml:space="preserve"> </w:t>
      </w:r>
      <w:r w:rsidRPr="00B92597">
        <w:rPr>
          <w:lang w:val="es-ES_tradnl"/>
        </w:rPr>
        <w:t>Intervención en Sesión técnica de 27 de febrero de 2026.</w:t>
      </w:r>
    </w:p>
  </w:footnote>
  <w:footnote w:id="109">
    <w:p w14:paraId="734C00BF" w14:textId="698F9F3B" w:rsidR="009F2FE8" w:rsidRPr="00B92597" w:rsidRDefault="009F2FE8">
      <w:pPr>
        <w:pStyle w:val="Textonotapie"/>
        <w:rPr>
          <w:lang w:val="es-ES_tradnl"/>
        </w:rPr>
      </w:pPr>
      <w:r w:rsidRPr="00B92597">
        <w:rPr>
          <w:rStyle w:val="Refdenotaalpie"/>
        </w:rPr>
        <w:footnoteRef/>
      </w:r>
      <w:r w:rsidRPr="00B92597">
        <w:t xml:space="preserve"> </w:t>
      </w:r>
      <w:r w:rsidRPr="00B92597">
        <w:rPr>
          <w:lang w:val="es-ES_tradnl"/>
        </w:rPr>
        <w:t>Intervención en Sesión técnica de 27 de febrero de 2026. ss</w:t>
      </w:r>
    </w:p>
  </w:footnote>
  <w:footnote w:id="110">
    <w:p w14:paraId="709CA18E" w14:textId="45DC93BE" w:rsidR="009F2FE8" w:rsidRPr="00B92597" w:rsidRDefault="009F2FE8" w:rsidP="00122CBA">
      <w:pPr>
        <w:pStyle w:val="Textonotapie"/>
        <w:rPr>
          <w:lang w:val="es-ES_tradnl"/>
        </w:rPr>
      </w:pPr>
      <w:r w:rsidRPr="00B92597">
        <w:rPr>
          <w:rStyle w:val="Refdenotaalpie"/>
        </w:rPr>
        <w:footnoteRef/>
      </w:r>
      <w:r w:rsidRPr="00B92597">
        <w:t xml:space="preserve"> </w:t>
      </w:r>
      <w:r w:rsidRPr="00B92597">
        <w:rPr>
          <w:lang w:val="es-ES_tradnl"/>
        </w:rPr>
        <w:t>Intervención en la Sesión técnica de 27 de febrero de 2026.</w:t>
      </w:r>
    </w:p>
  </w:footnote>
  <w:footnote w:id="111">
    <w:p w14:paraId="13D9555B" w14:textId="77777777" w:rsidR="009F2FE8" w:rsidRPr="00B92597" w:rsidRDefault="009F2FE8" w:rsidP="00113BE9">
      <w:pPr>
        <w:pStyle w:val="Textonotapie"/>
        <w:jc w:val="both"/>
        <w:rPr>
          <w:lang w:val="es-ES_tradnl"/>
        </w:rPr>
      </w:pPr>
      <w:r w:rsidRPr="00B92597">
        <w:rPr>
          <w:rStyle w:val="Refdenotaalpie"/>
        </w:rPr>
        <w:footnoteRef/>
      </w:r>
      <w:r w:rsidRPr="00B92597">
        <w:t xml:space="preserve"> </w:t>
      </w:r>
      <w:r w:rsidRPr="00B92597">
        <w:rPr>
          <w:lang w:val="es-ES_tradnl"/>
        </w:rPr>
        <w:t>En la sentencia C-284 de 2015, señaló que la “ley” incluye no solo las normas dictadas por el Congreso de la Republica sino también –y entre otros cuerpos normativos- los Decretos expedidos por el Presidente de la República, así como las disposiciones adoptadas -en desarrollo de sus atribuciones constitucionales- por el Consejo Nacional Electoral (Art. 265), la Contraloría General de la República (Art. 268), el Banco de la República (Arts. 371 y 372) y el Consejo Superior de la Judicatura (Art. 257). Así la Corte precisó que el amplio concepto de ley, necesario para comprender todas las formas de regulación que prevé la Carta, no implica que entre sus diferentes componentes no existan las relaciones jerárquicas propias de un ordenamiento escalonado.</w:t>
      </w:r>
    </w:p>
  </w:footnote>
  <w:footnote w:id="112">
    <w:p w14:paraId="6945B8F0" w14:textId="6571A499" w:rsidR="009F2FE8" w:rsidRPr="00B92597" w:rsidRDefault="009F2FE8" w:rsidP="001F3220">
      <w:pPr>
        <w:pStyle w:val="Textonotapie"/>
        <w:jc w:val="both"/>
        <w:rPr>
          <w:lang w:val="es-ES_tradnl"/>
        </w:rPr>
      </w:pPr>
      <w:r w:rsidRPr="00B92597">
        <w:rPr>
          <w:rStyle w:val="Refdenotaalpie"/>
        </w:rPr>
        <w:footnoteRef/>
      </w:r>
      <w:r w:rsidRPr="00B92597">
        <w:t xml:space="preserve"> </w:t>
      </w:r>
      <w:r w:rsidRPr="00B92597">
        <w:rPr>
          <w:shd w:val="clear" w:color="auto" w:fill="FFFFFF"/>
        </w:rPr>
        <w:t>Conviene precisar, sin embargo, que una cosa es la selección como principio y otra los criterios con fundamento en los cuales ella se realiza. De una parte, la selección como principio constituye un mandato general y abstracto aplicable en la Jurisdicción Especial para la Paz, cuyo objeto es permitir a dicha jurisdicción, dada la masividad de los hechos ocurridos en el marco del conflicto armado, </w:t>
      </w:r>
      <w:r w:rsidRPr="00B92597">
        <w:rPr>
          <w:i/>
          <w:iCs/>
          <w:shd w:val="clear" w:color="auto" w:fill="FFFFFF"/>
        </w:rPr>
        <w:t>centrar los esfuerzos en la investigación penal de los máximos responsables de todos los delitos que adquieran la connotación de crímenes de lesa humanidad, genocidio, o crímenes de guerra cometidos de manera sistemática</w:t>
      </w:r>
      <w:r w:rsidRPr="00B92597">
        <w:rPr>
          <w:shd w:val="clear" w:color="auto" w:fill="FFFFFF"/>
        </w:rPr>
        <w:t>, como lo dispone el artículo transitorio 66. De la otra, los criterios de selección tienen la naturaleza de pautas normativas con fundamento en las cuales la JEP debe realizar dicho mandato.</w:t>
      </w:r>
    </w:p>
  </w:footnote>
  <w:footnote w:id="113">
    <w:p w14:paraId="13AC313E" w14:textId="77777777" w:rsidR="009F2FE8" w:rsidRPr="00B92597" w:rsidRDefault="009F2FE8" w:rsidP="0043161D">
      <w:pPr>
        <w:shd w:val="clear" w:color="auto" w:fill="FFFFFF"/>
        <w:textAlignment w:val="baseline"/>
        <w:rPr>
          <w:sz w:val="20"/>
          <w:szCs w:val="20"/>
          <w:shd w:val="clear" w:color="auto" w:fill="FFFFFF"/>
        </w:rPr>
      </w:pPr>
      <w:r w:rsidRPr="00B92597">
        <w:rPr>
          <w:rStyle w:val="Refdenotaalpie"/>
          <w:sz w:val="20"/>
          <w:szCs w:val="20"/>
        </w:rPr>
        <w:footnoteRef/>
      </w:r>
      <w:r w:rsidRPr="00B92597">
        <w:rPr>
          <w:sz w:val="20"/>
          <w:szCs w:val="20"/>
          <w:lang w:val="pt-BR"/>
        </w:rPr>
        <w:t xml:space="preserve"> Corte Constitucional. Sentencia C-080 de 2018. </w:t>
      </w:r>
      <w:r w:rsidRPr="00B92597">
        <w:rPr>
          <w:sz w:val="20"/>
          <w:szCs w:val="20"/>
          <w:shd w:val="clear" w:color="auto" w:fill="FFFFFF"/>
        </w:rPr>
        <w:t>“El </w:t>
      </w:r>
      <w:r w:rsidRPr="00B92597">
        <w:rPr>
          <w:b/>
          <w:bCs/>
          <w:sz w:val="20"/>
          <w:szCs w:val="20"/>
          <w:shd w:val="clear" w:color="auto" w:fill="FFFFFF"/>
        </w:rPr>
        <w:t>inciso segundo</w:t>
      </w:r>
      <w:r w:rsidRPr="00B92597">
        <w:rPr>
          <w:sz w:val="20"/>
          <w:szCs w:val="20"/>
          <w:shd w:val="clear" w:color="auto" w:fill="FFFFFF"/>
        </w:rPr>
        <w:t> desarrolla los criterios de selección, los cuales se encuentran ajustados a la Constitución. No obstante, dado que el artículo transitorio 66 establece que los criterios de selección deben ser determinados por el legislador estatutario, resulta violatorio de la Constitución atribuir a la JEP la posibilidad de aplicar o adoptar criterios diferentes a los señalados por dicho legislador, como supone la expresión “</w:t>
      </w:r>
      <w:r w:rsidRPr="00B92597">
        <w:rPr>
          <w:i/>
          <w:iCs/>
          <w:sz w:val="20"/>
          <w:szCs w:val="20"/>
          <w:shd w:val="clear" w:color="auto" w:fill="FFFFFF"/>
        </w:rPr>
        <w:t>entre otros”</w:t>
      </w:r>
      <w:r w:rsidRPr="00B92597">
        <w:rPr>
          <w:sz w:val="20"/>
          <w:szCs w:val="20"/>
          <w:shd w:val="clear" w:color="auto" w:fill="FFFFFF"/>
        </w:rPr>
        <w:t>, razón por la que se declarará inexequible dicha expresión, en tanto permite que se determinen criterios adicionales de selección para la investigación penal de los máximos responsables, por medios diferentes a la ley estatutaria”.</w:t>
      </w:r>
    </w:p>
  </w:footnote>
  <w:footnote w:id="114">
    <w:p w14:paraId="556FACF5" w14:textId="77777777" w:rsidR="009F2FE8" w:rsidRPr="00B92597" w:rsidRDefault="009F2FE8" w:rsidP="00624B9B">
      <w:pPr>
        <w:pStyle w:val="Textonotapie"/>
        <w:rPr>
          <w:lang w:val="es-ES_tradnl"/>
        </w:rPr>
      </w:pPr>
      <w:r w:rsidRPr="00B92597">
        <w:rPr>
          <w:rStyle w:val="Refdenotaalpie"/>
        </w:rPr>
        <w:footnoteRef/>
      </w:r>
      <w:r w:rsidRPr="00B92597">
        <w:t xml:space="preserve"> </w:t>
      </w:r>
      <w:r w:rsidRPr="00B92597">
        <w:rPr>
          <w:iCs/>
          <w:lang w:val="es-ES" w:eastAsia="es-ES"/>
        </w:rPr>
        <w:t xml:space="preserve">Sentencias C-579 de 2013 y C-080 de 2018. </w:t>
      </w:r>
    </w:p>
  </w:footnote>
  <w:footnote w:id="115">
    <w:p w14:paraId="384B23D9" w14:textId="77777777" w:rsidR="009F2FE8" w:rsidRPr="00B92597" w:rsidRDefault="009F2FE8" w:rsidP="00624B9B">
      <w:pPr>
        <w:pStyle w:val="Textonotapie"/>
        <w:rPr>
          <w:lang w:val="es-ES_tradnl"/>
        </w:rPr>
      </w:pPr>
      <w:r w:rsidRPr="00B92597">
        <w:rPr>
          <w:rStyle w:val="Refdenotaalpie"/>
        </w:rPr>
        <w:footnoteRef/>
      </w:r>
      <w:r w:rsidRPr="00B92597">
        <w:t xml:space="preserve"> </w:t>
      </w:r>
      <w:r w:rsidRPr="00B92597">
        <w:rPr>
          <w:lang w:val="es-ES_tradnl"/>
        </w:rPr>
        <w:t>Por esta razón, además, el legislador dictó la Ley 1592 de 2012, que modifica la Ley 975 de 2005, e introdujo en ella la figura de la selección.</w:t>
      </w:r>
    </w:p>
  </w:footnote>
  <w:footnote w:id="116">
    <w:p w14:paraId="4FE9DF4E" w14:textId="77777777" w:rsidR="009F2FE8" w:rsidRPr="00B92597" w:rsidRDefault="009F2FE8" w:rsidP="00060DCF">
      <w:pPr>
        <w:pStyle w:val="Textonotapie"/>
        <w:rPr>
          <w:lang w:val="pt-BR"/>
        </w:rPr>
      </w:pPr>
      <w:r w:rsidRPr="00B92597">
        <w:rPr>
          <w:rStyle w:val="Refdenotaalpie"/>
        </w:rPr>
        <w:footnoteRef/>
      </w:r>
      <w:r w:rsidRPr="00B92597">
        <w:rPr>
          <w:lang w:val="pt-BR"/>
        </w:rPr>
        <w:t xml:space="preserve"> Corte Constitucional. Sentencia C-080 de 2018.</w:t>
      </w:r>
    </w:p>
  </w:footnote>
  <w:footnote w:id="117">
    <w:p w14:paraId="5A288DA0" w14:textId="77777777" w:rsidR="009F2FE8" w:rsidRPr="00B92597" w:rsidRDefault="009F2FE8" w:rsidP="002003BF">
      <w:pPr>
        <w:pStyle w:val="Sinespaciado"/>
        <w:shd w:val="clear" w:color="auto" w:fill="FFFFFF"/>
        <w:textAlignment w:val="baseline"/>
        <w:rPr>
          <w:sz w:val="20"/>
          <w:szCs w:val="20"/>
        </w:rPr>
      </w:pPr>
      <w:r w:rsidRPr="00B92597">
        <w:rPr>
          <w:rStyle w:val="Refdenotaalpie"/>
          <w:sz w:val="20"/>
          <w:szCs w:val="20"/>
        </w:rPr>
        <w:footnoteRef/>
      </w:r>
      <w:r w:rsidRPr="00B92597">
        <w:rPr>
          <w:sz w:val="20"/>
          <w:szCs w:val="20"/>
        </w:rPr>
        <w:t xml:space="preserve"> Sentencia C-080 de 2018: </w:t>
      </w:r>
      <w:r w:rsidRPr="00B92597">
        <w:rPr>
          <w:iCs/>
          <w:sz w:val="20"/>
          <w:szCs w:val="20"/>
          <w:lang w:eastAsia="es-ES"/>
        </w:rPr>
        <w:t>“</w:t>
      </w:r>
      <w:r w:rsidRPr="00B92597">
        <w:rPr>
          <w:sz w:val="20"/>
          <w:szCs w:val="20"/>
        </w:rPr>
        <w:t>Como lo menciona el ICTJ en su intervención, la </w:t>
      </w:r>
      <w:r w:rsidRPr="00B92597">
        <w:rPr>
          <w:i/>
          <w:iCs/>
          <w:sz w:val="20"/>
          <w:szCs w:val="20"/>
        </w:rPr>
        <w:t>selección </w:t>
      </w:r>
      <w:r w:rsidRPr="00B92597">
        <w:rPr>
          <w:sz w:val="20"/>
          <w:szCs w:val="20"/>
        </w:rPr>
        <w:t>permite superar el enfoque de investigación y judicialización caso a caso, uno de los mayores riesgos para el ejercicio efectivo de justicia frente a crímenes de sistema. Dicho enfoque caso a caso es deseable en condiciones óptimas, en que no se hayan presentado hechos masivos y sistemáticos durante largos períodos de conflicto armado. En un contexto de justicia transicional como el colombiano, dicho enfoque puede traer como consecuencia la impunidad de facto”.</w:t>
      </w:r>
    </w:p>
    <w:p w14:paraId="60CE083E" w14:textId="77777777" w:rsidR="009F2FE8" w:rsidRPr="00B92597" w:rsidRDefault="009F2FE8" w:rsidP="002003BF">
      <w:pPr>
        <w:pStyle w:val="Textonotapie"/>
        <w:rPr>
          <w:lang w:val="es-ES_tradnl"/>
        </w:rPr>
      </w:pPr>
    </w:p>
  </w:footnote>
  <w:footnote w:id="118">
    <w:p w14:paraId="2821B7A7" w14:textId="77777777" w:rsidR="009F2FE8" w:rsidRPr="00B92597" w:rsidRDefault="009F2FE8" w:rsidP="00060DCF">
      <w:pPr>
        <w:keepLines/>
        <w:shd w:val="clear" w:color="auto" w:fill="FFFFFF"/>
        <w:textAlignment w:val="baseline"/>
        <w:rPr>
          <w:sz w:val="20"/>
          <w:szCs w:val="20"/>
        </w:rPr>
      </w:pPr>
      <w:r w:rsidRPr="00B92597">
        <w:rPr>
          <w:rStyle w:val="Refdenotaalpie"/>
          <w:sz w:val="21"/>
          <w:szCs w:val="21"/>
        </w:rPr>
        <w:footnoteRef/>
      </w:r>
      <w:r w:rsidRPr="00B92597">
        <w:rPr>
          <w:sz w:val="21"/>
          <w:szCs w:val="21"/>
        </w:rPr>
        <w:t xml:space="preserve"> C-080 de 2019:</w:t>
      </w:r>
      <w:r w:rsidRPr="00B92597">
        <w:rPr>
          <w:sz w:val="20"/>
          <w:szCs w:val="20"/>
        </w:rPr>
        <w:t xml:space="preserve"> Como lo advierten Dejusticia e IFIT, este parágrafo hace inocua la facultad de </w:t>
      </w:r>
      <w:r w:rsidRPr="00B92597">
        <w:rPr>
          <w:i/>
          <w:sz w:val="20"/>
          <w:szCs w:val="20"/>
        </w:rPr>
        <w:t>selección</w:t>
      </w:r>
      <w:r w:rsidRPr="00B92597">
        <w:rPr>
          <w:sz w:val="20"/>
          <w:szCs w:val="20"/>
        </w:rPr>
        <w:t>. Desconoce igualmente el artículo transitorio 66 que define los criterios de </w:t>
      </w:r>
      <w:r w:rsidRPr="00B92597">
        <w:rPr>
          <w:i/>
          <w:sz w:val="20"/>
          <w:szCs w:val="20"/>
        </w:rPr>
        <w:t>selección </w:t>
      </w:r>
      <w:r w:rsidRPr="00B92597">
        <w:rPr>
          <w:sz w:val="20"/>
          <w:szCs w:val="20"/>
        </w:rPr>
        <w:t>como </w:t>
      </w:r>
      <w:r w:rsidRPr="00B92597">
        <w:rPr>
          <w:i/>
          <w:sz w:val="20"/>
          <w:szCs w:val="20"/>
        </w:rPr>
        <w:t>“inherentes a los instrumentos de justicia transicional”</w:t>
      </w:r>
      <w:r w:rsidRPr="00B92597">
        <w:rPr>
          <w:sz w:val="20"/>
          <w:szCs w:val="20"/>
          <w:shd w:val="clear" w:color="auto" w:fill="FFFFFF"/>
        </w:rPr>
        <w:t>, y faculta al legislador para determinarlos y autorizar “</w:t>
      </w:r>
      <w:r w:rsidRPr="00B92597">
        <w:rPr>
          <w:i/>
          <w:sz w:val="20"/>
          <w:szCs w:val="20"/>
          <w:shd w:val="clear" w:color="auto" w:fill="FFFFFF"/>
        </w:rPr>
        <w:t>la renuncia condicionada a la persecución judicial penal de todos los casos no seleccionados</w:t>
      </w:r>
      <w:r w:rsidRPr="00B92597">
        <w:rPr>
          <w:sz w:val="20"/>
          <w:szCs w:val="20"/>
          <w:shd w:val="clear" w:color="auto" w:fill="FFFFFF"/>
        </w:rPr>
        <w:t>”, sin alterar lo establecido en el acuerdo de creación de la JEP y en las normas de su implementación y desarrollo.</w:t>
      </w:r>
    </w:p>
  </w:footnote>
  <w:footnote w:id="119">
    <w:p w14:paraId="308F451B" w14:textId="77777777" w:rsidR="009F2FE8" w:rsidRPr="00B92597" w:rsidRDefault="009F2FE8" w:rsidP="00060DCF">
      <w:pPr>
        <w:pStyle w:val="Textonotapie"/>
        <w:jc w:val="both"/>
        <w:rPr>
          <w:lang w:val="es-ES_tradnl"/>
        </w:rPr>
      </w:pPr>
      <w:r w:rsidRPr="00B92597">
        <w:rPr>
          <w:rStyle w:val="Refdenotaalpie"/>
        </w:rPr>
        <w:footnoteRef/>
      </w:r>
      <w:r w:rsidRPr="00B92597">
        <w:t xml:space="preserve"> Proyecto de Ley Estatutaria de Administración de Justicia en el JEP, previo al control de la Corte Constitucional: “</w:t>
      </w:r>
      <w:r w:rsidRPr="00B92597">
        <w:rPr>
          <w:rStyle w:val="fontstyle58"/>
          <w:rFonts w:eastAsiaTheme="majorEastAsia"/>
          <w:b/>
          <w:shd w:val="clear" w:color="auto" w:fill="FFFFFF"/>
        </w:rPr>
        <w:t>PARÁGRAFO 2</w:t>
      </w:r>
      <w:r w:rsidRPr="00B92597">
        <w:rPr>
          <w:rStyle w:val="fontstyle58"/>
          <w:rFonts w:eastAsiaTheme="majorEastAsia"/>
          <w:b/>
          <w:shd w:val="clear" w:color="auto" w:fill="FFFFFF"/>
          <w:vertAlign w:val="superscript"/>
        </w:rPr>
        <w:t>o</w:t>
      </w:r>
      <w:r w:rsidRPr="00B92597">
        <w:rPr>
          <w:rStyle w:val="fontstyle58"/>
          <w:rFonts w:eastAsiaTheme="majorEastAsia"/>
          <w:b/>
          <w:shd w:val="clear" w:color="auto" w:fill="FFFFFF"/>
        </w:rPr>
        <w:t>. </w:t>
      </w:r>
      <w:r w:rsidRPr="00B92597">
        <w:rPr>
          <w:rStyle w:val="fontstyle59"/>
          <w:rFonts w:eastAsiaTheme="majorEastAsia"/>
          <w:shd w:val="clear" w:color="auto" w:fill="FFFFFF"/>
        </w:rPr>
        <w:t>En ningún caso podrá renunciarse al ejercicio de la acción penal cuando se trate de delitos no amnistiables, según lo establecido en el parágrafo del artículo 23 de la Ley 1820 del 30 de diciembre de 2016.</w:t>
      </w:r>
      <w:r w:rsidRPr="00B92597">
        <w:t xml:space="preserve"> El </w:t>
      </w:r>
      <w:r w:rsidRPr="00B92597">
        <w:rPr>
          <w:b/>
        </w:rPr>
        <w:t>parágrafo segundo </w:t>
      </w:r>
      <w:r w:rsidRPr="00B92597">
        <w:t xml:space="preserve">prohíbe la renuncia a la persecución penal de delitos no amnistiables que, conforme se expuso en la parte general de esta sentencia, corresponden a las graves violaciones a los derechos humanos y a las infracciones al Derecho Internacional Humanitario. </w:t>
      </w:r>
    </w:p>
  </w:footnote>
  <w:footnote w:id="120">
    <w:p w14:paraId="0FC456C5" w14:textId="77777777" w:rsidR="009F2FE8" w:rsidRPr="00B92597" w:rsidRDefault="009F2FE8" w:rsidP="002A0FC8">
      <w:pPr>
        <w:pStyle w:val="Textonotapie"/>
        <w:jc w:val="both"/>
        <w:rPr>
          <w:lang w:val="es-ES_tradnl"/>
        </w:rPr>
      </w:pPr>
      <w:r w:rsidRPr="00B92597">
        <w:rPr>
          <w:rStyle w:val="Refdenotaalpie"/>
        </w:rPr>
        <w:footnoteRef/>
      </w:r>
      <w:r w:rsidRPr="00B92597">
        <w:t xml:space="preserve"> Ley 1957 de 2018, </w:t>
      </w:r>
      <w:r w:rsidRPr="00B92597">
        <w:rPr>
          <w:rStyle w:val="normaltextrun"/>
        </w:rPr>
        <w:t>“Artículo 84, literal c. Con el fin de que se administre pronta y cumplida Justicia, determinar los posibles mecanismos procesales de selección v priorización para quienes no reconozcan verdad y responsabilidad. En la adopción de sus decisiones esta Sala valorará las decisiones adoptadas por la Sala de Reconocimiento respecto de la concentración de sus funciones en los casos más representativos, según lo establecido en los literales m). o) y s) del artículo 79 de esta Ley. Los criterios de priorización y selección de casos ·en la JEP, deberá respetar los siguientes principios: i) transparencia en el proceso de selección de casos; ii) debida diligencia en las investigaciones que adelante la Unidad de investigación y Acusación; iii) recurso efectivo por la Unidad de Investigación y Acusación para en su caso impugnar la decisión. de no seleccionar un determinado caso que se considere prioritario;”.</w:t>
      </w:r>
      <w:r w:rsidRPr="00B92597">
        <w:rPr>
          <w:rStyle w:val="eop"/>
        </w:rPr>
        <w:t> </w:t>
      </w:r>
    </w:p>
  </w:footnote>
  <w:footnote w:id="121">
    <w:p w14:paraId="27A8E7A5" w14:textId="54488633" w:rsidR="009F2FE8" w:rsidRPr="00B92597" w:rsidRDefault="009F2FE8" w:rsidP="0060599E">
      <w:pPr>
        <w:pStyle w:val="Prrafodelista"/>
        <w:widowControl w:val="0"/>
        <w:ind w:left="0"/>
        <w:rPr>
          <w:sz w:val="20"/>
          <w:szCs w:val="20"/>
        </w:rPr>
      </w:pPr>
      <w:r w:rsidRPr="00B92597">
        <w:rPr>
          <w:rStyle w:val="Refdenotaalpie"/>
          <w:sz w:val="20"/>
          <w:szCs w:val="20"/>
        </w:rPr>
        <w:footnoteRef/>
      </w:r>
      <w:r w:rsidRPr="00B92597">
        <w:rPr>
          <w:sz w:val="20"/>
          <w:szCs w:val="20"/>
        </w:rPr>
        <w:t xml:space="preserve"> </w:t>
      </w:r>
      <w:r w:rsidRPr="00B92597">
        <w:rPr>
          <w:iCs/>
          <w:sz w:val="20"/>
          <w:szCs w:val="20"/>
          <w:lang w:eastAsia="es-MX"/>
        </w:rPr>
        <w:t xml:space="preserve">Como se ha explicado, </w:t>
      </w:r>
      <w:r w:rsidRPr="00B92597">
        <w:rPr>
          <w:sz w:val="20"/>
          <w:szCs w:val="20"/>
          <w:lang w:eastAsia="es-MX"/>
        </w:rPr>
        <w:t>los TOAR ––en el lenguaje de la JEP–– son trabajos, obras y actividades con contenido reparador y restaurador, que pueden realizarse como obligaciones asociadas al régimen de condicionalidad, o como componente restaurador y reparador de la sanción propia.</w:t>
      </w:r>
    </w:p>
  </w:footnote>
  <w:footnote w:id="122">
    <w:p w14:paraId="50C53760" w14:textId="1FFF81EA" w:rsidR="009F2FE8" w:rsidRPr="00B92597" w:rsidRDefault="009F2FE8" w:rsidP="00CF1AD1">
      <w:pPr>
        <w:pStyle w:val="Textonotapie"/>
        <w:jc w:val="both"/>
        <w:rPr>
          <w:lang w:val="es-ES_tradnl"/>
        </w:rPr>
      </w:pPr>
      <w:r w:rsidRPr="00B92597">
        <w:rPr>
          <w:rStyle w:val="Refdenotaalpie"/>
        </w:rPr>
        <w:footnoteRef/>
      </w:r>
      <w:r w:rsidRPr="00B92597">
        <w:t xml:space="preserve"> </w:t>
      </w:r>
      <w:r w:rsidRPr="00B92597">
        <w:rPr>
          <w:lang w:val="es-ES_tradnl"/>
        </w:rPr>
        <w:t>Sentencia en la que no se menciona la responsabilidad del punto medio, pero tampoco se modifica, dado que se preservan las rutas de la Senit 5, incluida la selección de segundo orden.</w:t>
      </w:r>
    </w:p>
  </w:footnote>
  <w:footnote w:id="123">
    <w:p w14:paraId="15E6F449" w14:textId="6C410DD2" w:rsidR="009F2FE8" w:rsidRPr="00B92597" w:rsidRDefault="009F2FE8" w:rsidP="00CF1AD1">
      <w:pPr>
        <w:pStyle w:val="Textonotapie"/>
        <w:jc w:val="both"/>
        <w:rPr>
          <w:lang w:val="es-ES_tradnl"/>
        </w:rPr>
      </w:pPr>
      <w:r w:rsidRPr="00B92597">
        <w:rPr>
          <w:rStyle w:val="Refdenotaalpie"/>
        </w:rPr>
        <w:footnoteRef/>
      </w:r>
      <w:r w:rsidRPr="00B92597">
        <w:t xml:space="preserve"> </w:t>
      </w:r>
      <w:r w:rsidRPr="00B92597">
        <w:rPr>
          <w:lang w:val="es-ES_tradnl"/>
        </w:rPr>
        <w:t>Decisión en la que no se habla de responsabilidad del punto medio sino cercana a la máxima, la cual se califica como un criterio heurístico.</w:t>
      </w:r>
    </w:p>
  </w:footnote>
  <w:footnote w:id="124">
    <w:p w14:paraId="035AE292" w14:textId="24542540" w:rsidR="009F2FE8" w:rsidRPr="00B92597" w:rsidRDefault="009F2FE8" w:rsidP="00EE672C">
      <w:pPr>
        <w:shd w:val="clear" w:color="auto" w:fill="FFFFFF"/>
        <w:textAlignment w:val="baseline"/>
        <w:rPr>
          <w:sz w:val="20"/>
          <w:szCs w:val="20"/>
          <w:lang w:eastAsia="es-MX"/>
        </w:rPr>
      </w:pPr>
      <w:r w:rsidRPr="00B92597">
        <w:rPr>
          <w:rStyle w:val="Refdenotaalpie"/>
          <w:sz w:val="20"/>
          <w:szCs w:val="20"/>
        </w:rPr>
        <w:footnoteRef/>
      </w:r>
      <w:r w:rsidRPr="00B92597">
        <w:rPr>
          <w:sz w:val="20"/>
          <w:szCs w:val="20"/>
        </w:rPr>
        <w:t xml:space="preserve"> Corte Constitucional. Sentencia SU-1184 de 2001.</w:t>
      </w:r>
    </w:p>
  </w:footnote>
  <w:footnote w:id="125">
    <w:p w14:paraId="03DCC041" w14:textId="2B40DF88" w:rsidR="009F2FE8" w:rsidRPr="00B92597" w:rsidRDefault="009F2FE8" w:rsidP="00E546E4">
      <w:pPr>
        <w:pStyle w:val="Textonotapie"/>
        <w:jc w:val="both"/>
        <w:rPr>
          <w:lang w:val="es-ES_tradnl"/>
        </w:rPr>
      </w:pPr>
      <w:r w:rsidRPr="00B92597">
        <w:rPr>
          <w:rStyle w:val="Refdenotaalpie"/>
        </w:rPr>
        <w:footnoteRef/>
      </w:r>
      <w:r w:rsidRPr="00B92597">
        <w:t xml:space="preserve"> </w:t>
      </w:r>
      <w:r w:rsidRPr="00B92597">
        <w:rPr>
          <w:lang w:val="es-ES_tradnl"/>
        </w:rPr>
        <w:t>En especial, las intervenciones de la Oficina de Naciones Unidas contra la Droga y el Delito (UNODC) y el Ministerio de Justicia mencionaron esta comprensión de la lucha contra la impunidad, muy relevante para el enfoque restaurativo que corresponde aplicar a la JEP.</w:t>
      </w:r>
    </w:p>
  </w:footnote>
  <w:footnote w:id="126">
    <w:p w14:paraId="4ADE4BD7" w14:textId="5E9BCAE6" w:rsidR="009F2FE8" w:rsidRPr="00B92597" w:rsidRDefault="009F2FE8">
      <w:pPr>
        <w:pStyle w:val="Textonotapie"/>
        <w:rPr>
          <w:lang w:val="es-ES_tradnl"/>
        </w:rPr>
      </w:pPr>
      <w:r w:rsidRPr="00B92597">
        <w:rPr>
          <w:rStyle w:val="Refdenotaalpie"/>
        </w:rPr>
        <w:footnoteRef/>
      </w:r>
      <w:r w:rsidRPr="00B92597">
        <w:t xml:space="preserve"> </w:t>
      </w:r>
      <w:r w:rsidRPr="00B92597">
        <w:rPr>
          <w:lang w:val="es-ES_tradnl"/>
        </w:rPr>
        <w:t xml:space="preserve">Sala de Definición de Situaciones Jurídicas. Resolución 3479 de 2023. </w:t>
      </w:r>
    </w:p>
  </w:footnote>
  <w:footnote w:id="127">
    <w:p w14:paraId="1AA5E66C" w14:textId="77777777" w:rsidR="009F2FE8" w:rsidRPr="00B92597" w:rsidRDefault="009F2FE8" w:rsidP="0043161D">
      <w:pPr>
        <w:shd w:val="clear" w:color="auto" w:fill="FFFFFF"/>
        <w:textAlignment w:val="baseline"/>
        <w:rPr>
          <w:sz w:val="20"/>
          <w:szCs w:val="20"/>
          <w:lang w:eastAsia="es-MX"/>
        </w:rPr>
      </w:pPr>
      <w:r w:rsidRPr="00B92597">
        <w:rPr>
          <w:rStyle w:val="Refdenotaalpie"/>
          <w:sz w:val="20"/>
          <w:szCs w:val="20"/>
        </w:rPr>
        <w:footnoteRef/>
      </w:r>
      <w:r w:rsidRPr="00B92597">
        <w:rPr>
          <w:sz w:val="20"/>
          <w:szCs w:val="20"/>
        </w:rPr>
        <w:t xml:space="preserve"> </w:t>
      </w:r>
      <w:r w:rsidRPr="00B92597">
        <w:rPr>
          <w:sz w:val="20"/>
          <w:szCs w:val="20"/>
          <w:lang w:eastAsia="es-MX"/>
        </w:rPr>
        <w:t>Como se ha explicado, un TOAR es un trabajo, obra o actividad con contenido reparador o restaurador.</w:t>
      </w:r>
    </w:p>
    <w:p w14:paraId="50B2B2A3" w14:textId="78CA0CA7" w:rsidR="009F2FE8" w:rsidRPr="00B92597" w:rsidRDefault="009F2FE8" w:rsidP="0043161D">
      <w:pPr>
        <w:shd w:val="clear" w:color="auto" w:fill="FFFFFF"/>
        <w:textAlignment w:val="baseline"/>
        <w:rPr>
          <w:sz w:val="20"/>
          <w:szCs w:val="20"/>
          <w:lang w:val="es-ES_tradnl"/>
        </w:rPr>
      </w:pPr>
      <w:r w:rsidRPr="00B92597">
        <w:rPr>
          <w:sz w:val="20"/>
          <w:szCs w:val="20"/>
          <w:lang w:eastAsia="es-MX"/>
        </w:rPr>
        <w:t xml:space="preserve">En cumplimiento de lo ordenado por la Senit 5, la Sala de Definición de Situaciones Jurídicas dictó la resolución </w:t>
      </w:r>
      <w:r w:rsidRPr="00B92597">
        <w:rPr>
          <w:sz w:val="20"/>
          <w:szCs w:val="20"/>
        </w:rPr>
        <w:t xml:space="preserve">la Resolución No. 3479 de 2023, en la que definió el concepto de </w:t>
      </w:r>
      <w:r w:rsidRPr="00B92597">
        <w:rPr>
          <w:i/>
          <w:iCs/>
          <w:sz w:val="20"/>
          <w:szCs w:val="20"/>
        </w:rPr>
        <w:t xml:space="preserve">ámbito de movilidad, </w:t>
      </w:r>
      <w:r w:rsidRPr="00B92597">
        <w:rPr>
          <w:sz w:val="20"/>
          <w:szCs w:val="20"/>
        </w:rPr>
        <w:t>con el pretendía calificar a los comparecientes como máximos, medios y menos responsables. En el Auto 1088 de 2023, la Sección de Apelación estudió un recurso de apelación contra esta decisión y consideró, primero, que las reglas del ámbito de movilidad no se habían aplicado aún, así que no correspondía analizar de fondo el recurso de apelación y (ii) que podría analizar estas subreglas en una sentencia interpretativa posterior, debido a su carácter general abstracto.</w:t>
      </w:r>
    </w:p>
  </w:footnote>
  <w:footnote w:id="128">
    <w:p w14:paraId="727BE882" w14:textId="6C8ACFD6" w:rsidR="009F2FE8" w:rsidRPr="00B92597" w:rsidRDefault="009F2FE8" w:rsidP="00EE672C">
      <w:pPr>
        <w:pStyle w:val="Textonotapie"/>
        <w:jc w:val="both"/>
        <w:rPr>
          <w:lang w:val="es-ES_tradnl"/>
        </w:rPr>
      </w:pPr>
      <w:r w:rsidRPr="00B92597">
        <w:rPr>
          <w:rStyle w:val="Refdenotaalpie"/>
        </w:rPr>
        <w:footnoteRef/>
      </w:r>
      <w:r w:rsidRPr="00B92597">
        <w:t xml:space="preserve"> Sección de Apelación, Senit 8, fundamento jurídico 176-179.</w:t>
      </w:r>
    </w:p>
  </w:footnote>
  <w:footnote w:id="129">
    <w:p w14:paraId="1693C681" w14:textId="77777777" w:rsidR="009F2FE8" w:rsidRPr="00B92597" w:rsidRDefault="009F2FE8">
      <w:pPr>
        <w:pStyle w:val="Textonotapie"/>
        <w:rPr>
          <w:lang w:val="es-ES_tradnl"/>
        </w:rPr>
      </w:pPr>
      <w:r w:rsidRPr="00B92597">
        <w:rPr>
          <w:rStyle w:val="Refdenotaalpie"/>
        </w:rPr>
        <w:footnoteRef/>
      </w:r>
      <w:r w:rsidRPr="00B92597">
        <w:t xml:space="preserve"> </w:t>
      </w:r>
      <w:r w:rsidRPr="00B92597">
        <w:rPr>
          <w:lang w:val="es-ES_tradnl"/>
        </w:rPr>
        <w:t xml:space="preserve">Sección de Apelación. Senit 8. </w:t>
      </w:r>
    </w:p>
  </w:footnote>
  <w:footnote w:id="130">
    <w:p w14:paraId="3E32FF55" w14:textId="77777777" w:rsidR="009F2FE8" w:rsidRPr="00B92597" w:rsidRDefault="009F2FE8">
      <w:r w:rsidRPr="00B92597">
        <w:rPr>
          <w:vertAlign w:val="superscript"/>
        </w:rPr>
        <w:footnoteRef/>
      </w:r>
      <w:r w:rsidRPr="00B92597">
        <w:rPr>
          <w:vertAlign w:val="superscript"/>
        </w:rPr>
        <w:t xml:space="preserve"> </w:t>
      </w:r>
      <w:r w:rsidRPr="00B92597">
        <w:rPr>
          <w:sz w:val="20"/>
          <w:szCs w:val="20"/>
          <w:lang w:val="es"/>
        </w:rPr>
        <w:t>Corte Suprema de Justicia. Sala de Casación Penal, SP744-2016, Radicación n° 44462, de Enero 27 del 2016.</w:t>
      </w:r>
    </w:p>
  </w:footnote>
  <w:footnote w:id="131">
    <w:p w14:paraId="457A29C2" w14:textId="40CB05B5" w:rsidR="009F2FE8" w:rsidRPr="00B92597" w:rsidRDefault="009F2FE8" w:rsidP="6857D5A0">
      <w:pPr>
        <w:rPr>
          <w:sz w:val="20"/>
          <w:szCs w:val="20"/>
        </w:rPr>
      </w:pPr>
      <w:r w:rsidRPr="00B92597">
        <w:rPr>
          <w:sz w:val="20"/>
          <w:szCs w:val="20"/>
          <w:vertAlign w:val="superscript"/>
        </w:rPr>
        <w:footnoteRef/>
      </w:r>
      <w:r w:rsidRPr="00B92597">
        <w:rPr>
          <w:sz w:val="20"/>
          <w:szCs w:val="20"/>
          <w:vertAlign w:val="superscript"/>
        </w:rPr>
        <w:t xml:space="preserve"> </w:t>
      </w:r>
      <w:r w:rsidRPr="00B92597">
        <w:rPr>
          <w:sz w:val="20"/>
          <w:szCs w:val="20"/>
        </w:rPr>
        <w:t>Acuerdo Final de Paz. Punto 5.1.2. Justicia.</w:t>
      </w:r>
    </w:p>
  </w:footnote>
  <w:footnote w:id="132">
    <w:p w14:paraId="7AA0D50F" w14:textId="77777777" w:rsidR="009F2FE8" w:rsidRPr="00B92597" w:rsidRDefault="009F2FE8" w:rsidP="00086745">
      <w:pPr>
        <w:pStyle w:val="Textonotapie"/>
        <w:jc w:val="both"/>
        <w:rPr>
          <w:lang w:val="es-ES_tradnl"/>
        </w:rPr>
      </w:pPr>
      <w:r w:rsidRPr="00B92597">
        <w:rPr>
          <w:rStyle w:val="Refdenotaalpie"/>
        </w:rPr>
        <w:footnoteRef/>
      </w:r>
      <w:r w:rsidRPr="00B92597">
        <w:t xml:space="preserve"> </w:t>
      </w:r>
      <w:r w:rsidRPr="00B92597">
        <w:rPr>
          <w:lang w:val="es-ES_tradnl"/>
        </w:rPr>
        <w:t>Sobre el alcance del principio de legalidad en la JEP, ver Sentencias C-007 de 2018, C-080 de 2018, así como el capítulo 2 de la Cuarta Parte de esta providencia.</w:t>
      </w:r>
    </w:p>
  </w:footnote>
  <w:footnote w:id="133">
    <w:p w14:paraId="2BA6CE8F" w14:textId="77777777" w:rsidR="009F2FE8" w:rsidRPr="00B92597" w:rsidRDefault="009F2FE8" w:rsidP="00AE564C">
      <w:pPr>
        <w:rPr>
          <w:sz w:val="20"/>
          <w:szCs w:val="20"/>
        </w:rPr>
      </w:pPr>
      <w:r w:rsidRPr="00B92597">
        <w:rPr>
          <w:sz w:val="20"/>
          <w:szCs w:val="20"/>
          <w:vertAlign w:val="superscript"/>
        </w:rPr>
        <w:footnoteRef/>
      </w:r>
      <w:r w:rsidRPr="00B92597">
        <w:rPr>
          <w:sz w:val="20"/>
          <w:szCs w:val="20"/>
          <w:vertAlign w:val="superscript"/>
        </w:rPr>
        <w:t xml:space="preserve"> </w:t>
      </w:r>
      <w:r w:rsidRPr="00B92597">
        <w:rPr>
          <w:sz w:val="20"/>
          <w:szCs w:val="20"/>
        </w:rPr>
        <w:t>Corte Constitucional. Sentencias C-370 de 2006</w:t>
      </w:r>
      <w:r w:rsidRPr="00B92597">
        <w:rPr>
          <w:sz w:val="20"/>
          <w:szCs w:val="20"/>
          <w:lang w:val="es"/>
        </w:rPr>
        <w:t xml:space="preserve">, </w:t>
      </w:r>
      <w:r w:rsidRPr="00B92597">
        <w:rPr>
          <w:sz w:val="20"/>
          <w:szCs w:val="20"/>
        </w:rPr>
        <w:t>C-715 de 2012</w:t>
      </w:r>
      <w:r w:rsidRPr="00B92597">
        <w:rPr>
          <w:sz w:val="20"/>
          <w:szCs w:val="20"/>
          <w:lang w:val="es"/>
        </w:rPr>
        <w:t xml:space="preserve">, </w:t>
      </w:r>
      <w:r w:rsidRPr="00B92597">
        <w:rPr>
          <w:sz w:val="20"/>
          <w:szCs w:val="20"/>
        </w:rPr>
        <w:t>C-099 de 2013</w:t>
      </w:r>
      <w:r w:rsidRPr="00B92597">
        <w:rPr>
          <w:sz w:val="20"/>
          <w:szCs w:val="20"/>
          <w:lang w:val="es"/>
        </w:rPr>
        <w:t xml:space="preserve">, </w:t>
      </w:r>
      <w:r w:rsidRPr="00B92597">
        <w:rPr>
          <w:sz w:val="20"/>
          <w:szCs w:val="20"/>
        </w:rPr>
        <w:t>C-579 de 2013 y C-555 de 2017.</w:t>
      </w:r>
    </w:p>
  </w:footnote>
  <w:footnote w:id="134">
    <w:p w14:paraId="34FD6A2E" w14:textId="0C8F8B74" w:rsidR="009F2FE8" w:rsidRPr="00B92597" w:rsidRDefault="009F2FE8">
      <w:pPr>
        <w:pStyle w:val="Textonotapie"/>
        <w:rPr>
          <w:lang w:val="es-ES"/>
        </w:rPr>
      </w:pPr>
      <w:r w:rsidRPr="00B92597">
        <w:rPr>
          <w:rStyle w:val="Refdenotaalpie"/>
        </w:rPr>
        <w:footnoteRef/>
      </w:r>
      <w:r w:rsidRPr="00B92597">
        <w:t xml:space="preserve"> </w:t>
      </w:r>
      <w:r w:rsidRPr="00B92597">
        <w:rPr>
          <w:lang w:val="es-ES"/>
        </w:rPr>
        <w:t>Corte Constitucional. Sentencia C-080 de 2018.</w:t>
      </w:r>
    </w:p>
  </w:footnote>
  <w:footnote w:id="135">
    <w:p w14:paraId="22D16102" w14:textId="77777777" w:rsidR="009F2FE8" w:rsidRPr="00B92597" w:rsidRDefault="009F2FE8" w:rsidP="6857D5A0">
      <w:r w:rsidRPr="00B92597">
        <w:rPr>
          <w:vertAlign w:val="superscript"/>
        </w:rPr>
        <w:footnoteRef/>
      </w:r>
      <w:r w:rsidRPr="00B92597">
        <w:rPr>
          <w:vertAlign w:val="superscript"/>
        </w:rPr>
        <w:t xml:space="preserve"> </w:t>
      </w:r>
      <w:r w:rsidRPr="00B92597">
        <w:rPr>
          <w:sz w:val="20"/>
          <w:szCs w:val="20"/>
        </w:rPr>
        <w:t>Corte Constitucional. Sentencias C-715 de 2012, C-099 de 2013 y C-579 de 2013</w:t>
      </w:r>
      <w:r w:rsidRPr="00B92597">
        <w:rPr>
          <w:sz w:val="20"/>
          <w:szCs w:val="20"/>
          <w:lang w:val="es"/>
        </w:rPr>
        <w:t>.</w:t>
      </w:r>
    </w:p>
  </w:footnote>
  <w:footnote w:id="136">
    <w:p w14:paraId="55834452" w14:textId="77777777" w:rsidR="009F2FE8" w:rsidRPr="00B92597" w:rsidRDefault="009F2FE8" w:rsidP="007732DD">
      <w:pPr>
        <w:rPr>
          <w:sz w:val="20"/>
          <w:szCs w:val="20"/>
          <w:lang w:val="pt-BR"/>
        </w:rPr>
      </w:pPr>
      <w:r w:rsidRPr="00B92597">
        <w:rPr>
          <w:sz w:val="20"/>
          <w:szCs w:val="20"/>
          <w:vertAlign w:val="superscript"/>
        </w:rPr>
        <w:footnoteRef/>
      </w:r>
      <w:r w:rsidRPr="00B92597">
        <w:rPr>
          <w:sz w:val="20"/>
          <w:szCs w:val="20"/>
          <w:vertAlign w:val="superscript"/>
          <w:lang w:val="pt-BR"/>
        </w:rPr>
        <w:t xml:space="preserve"> </w:t>
      </w:r>
      <w:r w:rsidRPr="00B92597">
        <w:rPr>
          <w:sz w:val="20"/>
          <w:szCs w:val="20"/>
          <w:lang w:val="pt-BR"/>
        </w:rPr>
        <w:t>Corte Constitucional. Sentencias C-250 de 2012.</w:t>
      </w:r>
    </w:p>
  </w:footnote>
  <w:footnote w:id="137">
    <w:p w14:paraId="27E0D947" w14:textId="77777777" w:rsidR="009F2FE8" w:rsidRPr="00B92597" w:rsidRDefault="009F2FE8" w:rsidP="6857D5A0">
      <w:pPr>
        <w:rPr>
          <w:sz w:val="20"/>
          <w:szCs w:val="20"/>
          <w:lang w:val="es"/>
        </w:rPr>
      </w:pPr>
      <w:r w:rsidRPr="00B92597">
        <w:rPr>
          <w:sz w:val="20"/>
          <w:szCs w:val="20"/>
          <w:vertAlign w:val="superscript"/>
        </w:rPr>
        <w:footnoteRef/>
      </w:r>
      <w:r w:rsidRPr="00B92597">
        <w:rPr>
          <w:sz w:val="20"/>
          <w:szCs w:val="20"/>
        </w:rPr>
        <w:t xml:space="preserve"> </w:t>
      </w:r>
      <w:r w:rsidRPr="00B92597">
        <w:rPr>
          <w:sz w:val="20"/>
          <w:szCs w:val="20"/>
          <w:lang w:val="es"/>
        </w:rPr>
        <w:t>Jurisdicción Especial para la Paz. Tribunal para la Paz. Sección de Apelación. Sentencia TP-SA 230 de</w:t>
      </w:r>
    </w:p>
    <w:p w14:paraId="77FC4A50" w14:textId="77777777" w:rsidR="009F2FE8" w:rsidRPr="00B92597" w:rsidRDefault="009F2FE8" w:rsidP="6857D5A0">
      <w:pPr>
        <w:rPr>
          <w:sz w:val="20"/>
          <w:szCs w:val="20"/>
        </w:rPr>
      </w:pPr>
      <w:r w:rsidRPr="00B92597">
        <w:rPr>
          <w:sz w:val="20"/>
          <w:szCs w:val="20"/>
          <w:lang w:val="es"/>
        </w:rPr>
        <w:t>2021, párr. 57.</w:t>
      </w:r>
    </w:p>
  </w:footnote>
  <w:footnote w:id="138">
    <w:p w14:paraId="528DD9E5" w14:textId="0C46B0F9" w:rsidR="009F2FE8" w:rsidRPr="00B92597" w:rsidRDefault="009F2FE8">
      <w:pPr>
        <w:pStyle w:val="Textonotapie"/>
      </w:pPr>
      <w:r w:rsidRPr="00B92597">
        <w:rPr>
          <w:rStyle w:val="Refdenotaalpie"/>
        </w:rPr>
        <w:footnoteRef/>
      </w:r>
      <w:r w:rsidRPr="00B92597">
        <w:t xml:space="preserve"> Corte Constitucional. C-674 de 2017.</w:t>
      </w:r>
    </w:p>
  </w:footnote>
  <w:footnote w:id="139">
    <w:p w14:paraId="24BBD0E1" w14:textId="77777777" w:rsidR="009F2FE8" w:rsidRPr="00B92597" w:rsidRDefault="009F2FE8" w:rsidP="7101975A">
      <w:pPr>
        <w:rPr>
          <w:sz w:val="20"/>
          <w:szCs w:val="20"/>
        </w:rPr>
      </w:pPr>
      <w:r w:rsidRPr="00B92597">
        <w:rPr>
          <w:sz w:val="20"/>
          <w:szCs w:val="20"/>
          <w:vertAlign w:val="superscript"/>
        </w:rPr>
        <w:footnoteRef/>
      </w:r>
      <w:r w:rsidRPr="00B92597">
        <w:rPr>
          <w:sz w:val="20"/>
          <w:szCs w:val="20"/>
          <w:vertAlign w:val="superscript"/>
        </w:rPr>
        <w:t xml:space="preserve"> </w:t>
      </w:r>
      <w:r w:rsidRPr="00B92597">
        <w:rPr>
          <w:sz w:val="20"/>
          <w:szCs w:val="20"/>
        </w:rPr>
        <w:t>Jurisdicción Especial para la Paz. Sección de Apelación, Sentencia del 24 de abril de 2025, TP-SA-SENIT 8 de 2019 (párrafo 200).</w:t>
      </w:r>
    </w:p>
  </w:footnote>
  <w:footnote w:id="140">
    <w:p w14:paraId="54491E48" w14:textId="77777777" w:rsidR="009F2FE8" w:rsidRPr="00B92597" w:rsidRDefault="009F2FE8" w:rsidP="00B5776D">
      <w:pPr>
        <w:shd w:val="clear" w:color="auto" w:fill="FFFFFF" w:themeFill="background1"/>
        <w:rPr>
          <w:sz w:val="20"/>
          <w:szCs w:val="20"/>
        </w:rPr>
      </w:pPr>
      <w:r w:rsidRPr="00B92597">
        <w:rPr>
          <w:sz w:val="20"/>
          <w:szCs w:val="20"/>
          <w:vertAlign w:val="superscript"/>
        </w:rPr>
        <w:footnoteRef/>
      </w:r>
      <w:r w:rsidRPr="00B92597">
        <w:rPr>
          <w:sz w:val="20"/>
          <w:szCs w:val="20"/>
        </w:rPr>
        <w:t xml:space="preserve"> “[l]os distintos mecanismos y medidas de verdad, justicia, reparación y no repetición, en tanto parte de un sistema que busca una respuesta integral a las víctimas, no pueden entenderse de manera aislada. Estarán interconectados a través de relaciones de condicionalidad y de incentivos para acceder y mantener cualquier tratamiento especial de justicia, siempre fundados en el reconocimiento de verdad y responsabilidades. El cumplimiento de estas condicionalidades será verificado por la Jurisdicción Especial para la Paz”.</w:t>
      </w:r>
    </w:p>
  </w:footnote>
  <w:footnote w:id="141">
    <w:p w14:paraId="141B8221" w14:textId="77777777" w:rsidR="009F2FE8" w:rsidRPr="00B92597" w:rsidRDefault="009F2FE8" w:rsidP="7101975A">
      <w:pPr>
        <w:rPr>
          <w:sz w:val="20"/>
          <w:szCs w:val="20"/>
          <w:lang w:val="pt-BR"/>
        </w:rPr>
      </w:pPr>
      <w:r w:rsidRPr="00B92597">
        <w:rPr>
          <w:sz w:val="20"/>
          <w:szCs w:val="20"/>
          <w:vertAlign w:val="superscript"/>
        </w:rPr>
        <w:footnoteRef/>
      </w:r>
      <w:r w:rsidRPr="00B92597">
        <w:rPr>
          <w:sz w:val="20"/>
          <w:szCs w:val="20"/>
          <w:lang w:val="pt-BR"/>
        </w:rPr>
        <w:t xml:space="preserve"> Corte Constitucional. Sentencia C-674 de 2017.</w:t>
      </w:r>
    </w:p>
  </w:footnote>
  <w:footnote w:id="142">
    <w:p w14:paraId="7E5BFAE2" w14:textId="77777777" w:rsidR="009F2FE8" w:rsidRPr="00B92597" w:rsidRDefault="009F2FE8" w:rsidP="7101975A">
      <w:pPr>
        <w:rPr>
          <w:sz w:val="20"/>
          <w:szCs w:val="20"/>
        </w:rPr>
      </w:pPr>
      <w:r w:rsidRPr="00B92597">
        <w:rPr>
          <w:sz w:val="20"/>
          <w:szCs w:val="20"/>
          <w:vertAlign w:val="superscript"/>
        </w:rPr>
        <w:footnoteRef/>
      </w:r>
      <w:r w:rsidRPr="00B92597">
        <w:rPr>
          <w:sz w:val="20"/>
          <w:szCs w:val="20"/>
          <w:vertAlign w:val="superscript"/>
        </w:rPr>
        <w:t xml:space="preserve"> </w:t>
      </w:r>
      <w:r w:rsidRPr="00B92597">
        <w:rPr>
          <w:sz w:val="20"/>
          <w:szCs w:val="20"/>
        </w:rPr>
        <w:t>Corte Constitucional. Sentencia SU-088 de 2024.</w:t>
      </w:r>
    </w:p>
  </w:footnote>
  <w:footnote w:id="143">
    <w:p w14:paraId="2FB1B902" w14:textId="77777777" w:rsidR="009F2FE8" w:rsidRPr="00B92597" w:rsidRDefault="009F2FE8" w:rsidP="00720FE7">
      <w:pPr>
        <w:rPr>
          <w:sz w:val="20"/>
          <w:szCs w:val="20"/>
        </w:rPr>
      </w:pPr>
      <w:r w:rsidRPr="00B92597">
        <w:rPr>
          <w:sz w:val="20"/>
          <w:szCs w:val="20"/>
          <w:vertAlign w:val="superscript"/>
        </w:rPr>
        <w:footnoteRef/>
      </w:r>
      <w:r w:rsidRPr="00B92597">
        <w:rPr>
          <w:sz w:val="20"/>
          <w:szCs w:val="20"/>
        </w:rPr>
        <w:t xml:space="preserve"> Corte Constitucional. Sentencia C-496 de 2015.</w:t>
      </w:r>
    </w:p>
  </w:footnote>
  <w:footnote w:id="144">
    <w:p w14:paraId="04B11AAE" w14:textId="0E22D226" w:rsidR="009F2FE8" w:rsidRPr="00B92597" w:rsidRDefault="009F2FE8">
      <w:pPr>
        <w:pStyle w:val="Textonotapie"/>
        <w:rPr>
          <w:lang w:val="es-ES"/>
        </w:rPr>
      </w:pPr>
      <w:r w:rsidRPr="00B92597">
        <w:rPr>
          <w:rStyle w:val="Refdenotaalpie"/>
        </w:rPr>
        <w:footnoteRef/>
      </w:r>
      <w:r w:rsidRPr="00B92597">
        <w:t xml:space="preserve"> </w:t>
      </w:r>
    </w:p>
  </w:footnote>
  <w:footnote w:id="145">
    <w:p w14:paraId="78DFC3DC" w14:textId="77777777" w:rsidR="009F2FE8" w:rsidRPr="00B92597" w:rsidRDefault="009F2FE8" w:rsidP="00720FE7">
      <w:pPr>
        <w:rPr>
          <w:sz w:val="20"/>
          <w:szCs w:val="20"/>
          <w:vertAlign w:val="superscript"/>
        </w:rPr>
      </w:pPr>
      <w:r w:rsidRPr="00B92597">
        <w:rPr>
          <w:sz w:val="20"/>
          <w:szCs w:val="20"/>
          <w:vertAlign w:val="superscript"/>
        </w:rPr>
        <w:footnoteRef/>
      </w:r>
      <w:r w:rsidRPr="00B92597">
        <w:rPr>
          <w:sz w:val="20"/>
          <w:szCs w:val="20"/>
          <w:vertAlign w:val="superscript"/>
        </w:rPr>
        <w:t xml:space="preserve"> </w:t>
      </w:r>
      <w:r w:rsidRPr="00B92597">
        <w:rPr>
          <w:sz w:val="20"/>
          <w:szCs w:val="20"/>
        </w:rPr>
        <w:t>Pues el legislador deberá consultar como principio de razón suficiente la naturaleza del órgano al que atribuye las funciones judiciales.</w:t>
      </w:r>
    </w:p>
  </w:footnote>
  <w:footnote w:id="146">
    <w:p w14:paraId="3B69C130" w14:textId="77777777" w:rsidR="009F2FE8" w:rsidRPr="00B92597" w:rsidRDefault="009F2FE8" w:rsidP="00720FE7">
      <w:pPr>
        <w:rPr>
          <w:sz w:val="20"/>
          <w:szCs w:val="20"/>
          <w:lang w:val="pt-BR"/>
        </w:rPr>
      </w:pPr>
      <w:r w:rsidRPr="00B92597">
        <w:rPr>
          <w:sz w:val="20"/>
          <w:szCs w:val="20"/>
          <w:vertAlign w:val="superscript"/>
        </w:rPr>
        <w:footnoteRef/>
      </w:r>
      <w:r w:rsidRPr="00B92597">
        <w:rPr>
          <w:sz w:val="20"/>
          <w:szCs w:val="20"/>
          <w:lang w:val="pt-BR"/>
        </w:rPr>
        <w:t xml:space="preserve"> Corte Constitucional. Sentencia C-496 de 2015.</w:t>
      </w:r>
    </w:p>
  </w:footnote>
  <w:footnote w:id="147">
    <w:p w14:paraId="0C9288E8" w14:textId="77777777" w:rsidR="009F2FE8" w:rsidRPr="00B92597" w:rsidRDefault="009F2FE8" w:rsidP="00A1C78D">
      <w:pPr>
        <w:rPr>
          <w:sz w:val="20"/>
          <w:szCs w:val="20"/>
          <w:lang w:val="pt-BR"/>
        </w:rPr>
      </w:pPr>
      <w:r w:rsidRPr="00B92597">
        <w:rPr>
          <w:sz w:val="20"/>
          <w:szCs w:val="20"/>
          <w:vertAlign w:val="superscript"/>
        </w:rPr>
        <w:footnoteRef/>
      </w:r>
      <w:r w:rsidRPr="00B92597">
        <w:rPr>
          <w:vertAlign w:val="superscript"/>
          <w:lang w:val="pt-BR"/>
        </w:rPr>
        <w:t xml:space="preserve"> </w:t>
      </w:r>
      <w:r w:rsidRPr="00B92597">
        <w:rPr>
          <w:sz w:val="20"/>
          <w:szCs w:val="20"/>
          <w:lang w:val="pt-BR"/>
        </w:rPr>
        <w:t>Corte Constitucional. Sentencias C-674 de 2017, C-080 de 2018.</w:t>
      </w:r>
    </w:p>
  </w:footnote>
  <w:footnote w:id="148">
    <w:p w14:paraId="6C9AE1ED" w14:textId="77777777" w:rsidR="009F2FE8" w:rsidRPr="00B92597" w:rsidRDefault="009F2FE8" w:rsidP="3B680073">
      <w:pPr>
        <w:rPr>
          <w:sz w:val="20"/>
          <w:szCs w:val="20"/>
          <w:lang w:val="pt-BR"/>
        </w:rPr>
      </w:pPr>
      <w:r w:rsidRPr="00B92597">
        <w:rPr>
          <w:sz w:val="20"/>
          <w:szCs w:val="20"/>
          <w:vertAlign w:val="superscript"/>
        </w:rPr>
        <w:footnoteRef/>
      </w:r>
      <w:r w:rsidRPr="00B92597">
        <w:rPr>
          <w:sz w:val="20"/>
          <w:szCs w:val="20"/>
          <w:vertAlign w:val="superscript"/>
          <w:lang w:val="pt-BR"/>
        </w:rPr>
        <w:t xml:space="preserve"> </w:t>
      </w:r>
      <w:r w:rsidRPr="00B92597">
        <w:rPr>
          <w:sz w:val="20"/>
          <w:szCs w:val="20"/>
          <w:lang w:val="pt-BR"/>
        </w:rPr>
        <w:t>Corte Constitucional. Sentencia C-496 de 2015.</w:t>
      </w:r>
    </w:p>
  </w:footnote>
  <w:footnote w:id="149">
    <w:p w14:paraId="577A5661" w14:textId="77777777" w:rsidR="009F2FE8" w:rsidRPr="00B92597" w:rsidRDefault="009F2FE8" w:rsidP="00720FE7">
      <w:pPr>
        <w:pStyle w:val="Textonotapie"/>
        <w:jc w:val="both"/>
        <w:rPr>
          <w:rFonts w:asciiTheme="majorBidi" w:hAnsiTheme="majorBidi" w:cstheme="majorBidi"/>
        </w:rPr>
      </w:pPr>
      <w:r w:rsidRPr="00B92597">
        <w:rPr>
          <w:rFonts w:asciiTheme="majorBidi" w:hAnsiTheme="majorBidi" w:cstheme="majorBidi"/>
          <w:lang w:val="pt-BR"/>
        </w:rPr>
        <w:t xml:space="preserve"> </w:t>
      </w:r>
      <w:r w:rsidRPr="00B92597">
        <w:rPr>
          <w:rFonts w:asciiTheme="majorBidi" w:hAnsiTheme="majorBidi" w:cstheme="majorBidi"/>
        </w:rPr>
        <w:t xml:space="preserve">Expediente digital, archivo “D0016414-Corrección a la Demanda-(2025-03-08 06-15-59).pdf”, p. 11. </w:t>
      </w:r>
    </w:p>
  </w:footnote>
  <w:footnote w:id="150">
    <w:p w14:paraId="0B50AC18" w14:textId="77777777" w:rsidR="009F2FE8" w:rsidRPr="00B92597" w:rsidRDefault="009F2FE8" w:rsidP="00720FE7">
      <w:pPr>
        <w:pStyle w:val="Textonotapie"/>
        <w:jc w:val="both"/>
        <w:rPr>
          <w:rFonts w:asciiTheme="majorBidi" w:hAnsiTheme="majorBidi" w:cstheme="majorBidi"/>
        </w:rPr>
      </w:pPr>
      <w:r w:rsidRPr="00B92597">
        <w:rPr>
          <w:rFonts w:asciiTheme="majorBidi" w:hAnsiTheme="majorBidi" w:cstheme="majorBidi"/>
        </w:rPr>
        <w:t xml:space="preserve"> Expediente digital, archivo “D0016414-Corrección a la Demanda-(2025-03-08 06-15-59).pdf”, p. 13. </w:t>
      </w:r>
    </w:p>
  </w:footnote>
  <w:footnote w:id="151">
    <w:p w14:paraId="16E7FC3E" w14:textId="77777777" w:rsidR="009F2FE8" w:rsidRPr="00B92597" w:rsidRDefault="009F2FE8" w:rsidP="007776B1">
      <w:pPr>
        <w:pStyle w:val="Textonotapie"/>
        <w:jc w:val="both"/>
        <w:rPr>
          <w:rFonts w:asciiTheme="majorBidi" w:hAnsiTheme="majorBidi" w:cstheme="majorBidi"/>
        </w:rPr>
      </w:pPr>
      <w:r w:rsidRPr="00B92597">
        <w:rPr>
          <w:rStyle w:val="Refdenotaalpie"/>
          <w:rFonts w:asciiTheme="majorBidi" w:hAnsiTheme="majorBidi" w:cstheme="majorBidi"/>
        </w:rPr>
        <w:footnoteRef/>
      </w:r>
      <w:r w:rsidRPr="00B92597">
        <w:rPr>
          <w:rFonts w:asciiTheme="majorBidi" w:hAnsiTheme="majorBidi" w:cstheme="majorBidi"/>
        </w:rPr>
        <w:t xml:space="preserve"> Según la Sección de Apelación, esta regla está prevista en el artículo 5.1.2.60 del Acuerdo de Paz, los artículos 1 del Acto Legislativo 01 de 2017 y 126 de la LEJEP y la Sentencia C-080 de 2018 de la Corte Constitucional.</w:t>
      </w:r>
    </w:p>
    <w:p w14:paraId="5CC49BC1" w14:textId="77777777" w:rsidR="009F2FE8" w:rsidRPr="00B92597" w:rsidRDefault="009F2FE8" w:rsidP="007776B1">
      <w:pPr>
        <w:pStyle w:val="Textonotapie"/>
        <w:rPr>
          <w:rFonts w:asciiTheme="majorBidi" w:hAnsiTheme="majorBidi" w:cstheme="majorBidi"/>
          <w:lang w:val="es-ES_tradnl"/>
        </w:rPr>
      </w:pPr>
    </w:p>
  </w:footnote>
  <w:footnote w:id="152">
    <w:p w14:paraId="2901ADC0" w14:textId="2C32E287" w:rsidR="009F2FE8" w:rsidRPr="00B92597" w:rsidRDefault="009F2FE8" w:rsidP="00CD1072">
      <w:pPr>
        <w:pStyle w:val="Textonotapie"/>
        <w:rPr>
          <w:rFonts w:asciiTheme="majorBidi" w:hAnsiTheme="majorBidi" w:cstheme="majorBidi"/>
          <w:lang w:val="es-ES_tradnl"/>
        </w:rPr>
      </w:pPr>
      <w:r w:rsidRPr="00B92597">
        <w:rPr>
          <w:rStyle w:val="Refdenotaalpie"/>
          <w:rFonts w:asciiTheme="majorBidi" w:hAnsiTheme="majorBidi" w:cstheme="majorBidi"/>
        </w:rPr>
        <w:footnoteRef/>
      </w:r>
      <w:r w:rsidRPr="00B92597">
        <w:rPr>
          <w:rFonts w:asciiTheme="majorBidi" w:hAnsiTheme="majorBidi" w:cstheme="majorBidi"/>
        </w:rPr>
        <w:t xml:space="preserve"> </w:t>
      </w:r>
      <w:r w:rsidRPr="00B92597">
        <w:rPr>
          <w:rFonts w:asciiTheme="majorBidi" w:hAnsiTheme="majorBidi" w:cstheme="majorBidi"/>
          <w:lang w:val="es-ES_tradnl"/>
        </w:rPr>
        <w:t xml:space="preserve">Expediente digital, archivo “D0016414-Corrección a la Demanda-(2025-03-08 06-15-59).pdf”, p. 13. </w:t>
      </w:r>
    </w:p>
  </w:footnote>
  <w:footnote w:id="153">
    <w:p w14:paraId="40735526" w14:textId="77777777" w:rsidR="009F2FE8" w:rsidRPr="00B92597" w:rsidRDefault="009F2FE8" w:rsidP="00CD1072">
      <w:pPr>
        <w:pStyle w:val="Textonotapie"/>
        <w:jc w:val="both"/>
        <w:rPr>
          <w:rFonts w:asciiTheme="majorBidi" w:hAnsiTheme="majorBidi" w:cstheme="majorBidi"/>
        </w:rPr>
      </w:pPr>
      <w:r w:rsidRPr="00B92597">
        <w:rPr>
          <w:rStyle w:val="Refdenotaalpie"/>
          <w:rFonts w:asciiTheme="majorBidi" w:hAnsiTheme="majorBidi" w:cstheme="majorBidi"/>
        </w:rPr>
        <w:footnoteRef/>
      </w:r>
      <w:r w:rsidRPr="00B92597">
        <w:rPr>
          <w:rFonts w:asciiTheme="majorBidi" w:hAnsiTheme="majorBidi" w:cstheme="majorBidi"/>
        </w:rPr>
        <w:t xml:space="preserve"> El juicio de igualdad admite tres niveles de intensidad: (i) débil, que verifica que la norma no sea arbitraria y suele aplicarse en materias económicas, tributarias o de política internacional (Sentencia C-673 de 2001); (ii) intermedio, que exige que la norma persiga un fin constitucional importante, que la medida sea conducente para alcanzarlo y que no resulte evidentemente desproporcionada, aplicable en casos que afectan derechos no fundamentales o que se basan en criterios sospechosos para favorecer grupos históricamente discriminados mediante acciones afirmativas (Sentencias C-345 de 2019 y C-372 de 2019); y (iii) estricto, que procede frente a clasificaciones sospechosas, medidas que afectan a sujetos de especial protección, impactan gravemente un derecho fundamental o crean privilegios. Sobre la aplicación de cada nivel puede consultarse la Sentencia C-197 de 2023, reiterada en la Sentencia C-412 de 2025.</w:t>
      </w:r>
    </w:p>
  </w:footnote>
  <w:footnote w:id="154">
    <w:p w14:paraId="23967334" w14:textId="77777777" w:rsidR="009F2FE8" w:rsidRPr="00B92597" w:rsidRDefault="009F2FE8" w:rsidP="00CD1072">
      <w:pPr>
        <w:pStyle w:val="Textonotapie"/>
        <w:jc w:val="both"/>
        <w:rPr>
          <w:rFonts w:asciiTheme="majorBidi" w:hAnsiTheme="majorBidi" w:cstheme="majorBidi"/>
          <w:lang w:val="es-ES_tradnl"/>
        </w:rPr>
      </w:pPr>
      <w:r w:rsidRPr="00B92597">
        <w:rPr>
          <w:rStyle w:val="Refdenotaalpie"/>
          <w:rFonts w:asciiTheme="majorBidi" w:hAnsiTheme="majorBidi" w:cstheme="majorBidi"/>
        </w:rPr>
        <w:footnoteRef/>
      </w:r>
      <w:r w:rsidRPr="00B92597">
        <w:rPr>
          <w:rFonts w:asciiTheme="majorBidi" w:hAnsiTheme="majorBidi" w:cstheme="majorBidi"/>
        </w:rPr>
        <w:t xml:space="preserve"> De acuerdo con la jurisprudencia reiterada de esta Corporación, el juicio estricto procede cuando la medida objeto de control: (i) contiene una clasificación sospechosa, como las enumeradas taxativamente en el artículo 13 de la Constitución, (ii) afecta a personas en condiciones de debilidad manifiesta o grupos discriminados o marginados, (iii) impacta en un derecho fundamental o (iv) crea un privilegio (Sentencia C-197 de 2023, reiterada en la Sentencia C-412 de 2025).</w:t>
      </w:r>
    </w:p>
  </w:footnote>
  <w:footnote w:id="155">
    <w:p w14:paraId="07D41ED2" w14:textId="56F6E753" w:rsidR="009F2FE8" w:rsidRPr="00B92597" w:rsidRDefault="009F2FE8" w:rsidP="00AF3FD0">
      <w:pPr>
        <w:rPr>
          <w:rFonts w:asciiTheme="majorBidi" w:hAnsiTheme="majorBidi" w:cstheme="majorBidi"/>
          <w:sz w:val="20"/>
          <w:szCs w:val="20"/>
        </w:rPr>
      </w:pPr>
      <w:r w:rsidRPr="00B92597">
        <w:rPr>
          <w:rStyle w:val="Refdenotaalpie"/>
          <w:rFonts w:asciiTheme="majorBidi" w:hAnsiTheme="majorBidi" w:cstheme="majorBidi"/>
          <w:sz w:val="20"/>
          <w:szCs w:val="20"/>
        </w:rPr>
        <w:footnoteRef/>
      </w:r>
      <w:r w:rsidRPr="00B92597">
        <w:rPr>
          <w:rFonts w:asciiTheme="majorBidi" w:hAnsiTheme="majorBidi" w:cstheme="majorBidi"/>
          <w:sz w:val="20"/>
          <w:szCs w:val="20"/>
        </w:rPr>
        <w:t xml:space="preserve"> Los demandantes presentaron un juicio de la misma naturaleza en el escrito de corrección de la demanda. En su criterio, aunque el fin que persigue la norma es imperioso —garantizar el derecho a la justicia de las víctimas y cumplir con el deber de investigar los crímenes más graves y representativos—, la medida no es conducente para alcanzar dicho objetivo. A su juicio, lejos de maximizar dicho derecho, la medida conduce a un análisis “caso a caso” del reconocimiento de responsabilidad que desconoce el enfoque macro criminal de la JEP y reproduce la lógica de la justicia penal ordinaria. Adicionalmente, los actores argumentaron que la medida tampoco supera el juicio de proporcionalidad en sentido estricto, ya que existen menos lesivas dentro del régimen de condicionalidad —como la adopción de medidas graduales frente al incumplimiento, la restricción o pérdida de beneficios transicionales y otros mecanismos intraprocesales de verificación— que permiten exigir el cumplimiento de las obligaciones del régimen transicional sin recurrir a la remisión a la Unidad de Investigación y Acusación (UIA) ni a la imposición de sanciones privativas de la libertad. Asimismo, el diseño transicional cuenta con la posibilidad de apelar las decisiones de selección ante la Sala de Reconocimiento de Verdad y Responsabilidad (SRVR). </w:t>
      </w:r>
    </w:p>
  </w:footnote>
  <w:footnote w:id="156">
    <w:p w14:paraId="561D45BC" w14:textId="7958DDC2" w:rsidR="009F2FE8" w:rsidRPr="00B92597" w:rsidRDefault="009F2FE8" w:rsidP="004D1619">
      <w:pPr>
        <w:pStyle w:val="Textonotapie"/>
        <w:jc w:val="both"/>
      </w:pPr>
      <w:r w:rsidRPr="00B92597">
        <w:rPr>
          <w:rStyle w:val="Refdenotaalpie"/>
        </w:rPr>
        <w:footnoteRef/>
      </w:r>
      <w:r w:rsidRPr="00B92597">
        <w:t xml:space="preserve"> Cabe resaltar que, teniendo en cuenta el </w:t>
      </w:r>
      <w:r w:rsidRPr="00B92597">
        <w:rPr>
          <w:lang w:val="es-ES"/>
        </w:rPr>
        <w:t>artículo 52A de la Ley 1922 de 2018,</w:t>
      </w:r>
      <w:r w:rsidRPr="00B92597">
        <w:t xml:space="preserve"> </w:t>
      </w:r>
      <w:r w:rsidRPr="00B92597">
        <w:rPr>
          <w:lang w:val="es-ES"/>
        </w:rPr>
        <w:t>existe un grupo de comparecientes con sentencia ejecutoriada en firme que no están obligados a reconocer responsabilidad y cuyos casos podrían ir a la Sección de Revisión, cuando así lo soliciten.</w:t>
      </w:r>
    </w:p>
  </w:footnote>
  <w:footnote w:id="157">
    <w:p w14:paraId="425A5033" w14:textId="7AEE1CD2" w:rsidR="009F2FE8" w:rsidRPr="00B92597" w:rsidRDefault="009F2FE8" w:rsidP="004D1619">
      <w:pPr>
        <w:pStyle w:val="Textonotapie"/>
      </w:pPr>
      <w:r w:rsidRPr="00B92597">
        <w:rPr>
          <w:rStyle w:val="Refdenotaalpie"/>
        </w:rPr>
        <w:footnoteRef/>
      </w:r>
      <w:r w:rsidRPr="00B92597">
        <w:t xml:space="preserve"> </w:t>
      </w:r>
      <w:r w:rsidRPr="00B92597">
        <w:rPr>
          <w:lang w:val="es-ES"/>
        </w:rPr>
        <w:t>Sentencia C-080 de 2018.</w:t>
      </w:r>
    </w:p>
  </w:footnote>
  <w:footnote w:id="158">
    <w:p w14:paraId="58D9C322" w14:textId="1A10D512" w:rsidR="009F2FE8" w:rsidRPr="00B92597" w:rsidRDefault="009F2FE8" w:rsidP="008C3C7C">
      <w:pPr>
        <w:pStyle w:val="Textonotapie"/>
        <w:jc w:val="both"/>
        <w:rPr>
          <w:rFonts w:asciiTheme="majorBidi" w:hAnsiTheme="majorBidi" w:cstheme="majorBidi"/>
          <w:lang w:val="es-ES_tradnl"/>
        </w:rPr>
      </w:pPr>
      <w:r w:rsidRPr="00B92597">
        <w:rPr>
          <w:rStyle w:val="Refdenotaalpie"/>
          <w:rFonts w:asciiTheme="majorBidi" w:hAnsiTheme="majorBidi" w:cstheme="majorBidi"/>
        </w:rPr>
        <w:footnoteRef/>
      </w:r>
      <w:r w:rsidRPr="00B92597">
        <w:rPr>
          <w:rFonts w:asciiTheme="majorBidi" w:hAnsiTheme="majorBidi" w:cstheme="majorBidi"/>
        </w:rPr>
        <w:t xml:space="preserve"> Sobre participación política, ver el artículo 31 de la </w:t>
      </w:r>
      <w:r w:rsidRPr="00B92597">
        <w:rPr>
          <w:rFonts w:asciiTheme="majorBidi" w:hAnsiTheme="majorBidi" w:cstheme="majorBidi"/>
          <w:lang w:val="es-ES_tradnl"/>
        </w:rPr>
        <w:t xml:space="preserve">Ley </w:t>
      </w:r>
      <w:r w:rsidRPr="00B92597">
        <w:rPr>
          <w:rFonts w:asciiTheme="majorBidi" w:hAnsiTheme="majorBidi" w:cstheme="majorBidi"/>
          <w:lang w:val="es-MX"/>
        </w:rPr>
        <w:t xml:space="preserve">1957 de 2019. </w:t>
      </w:r>
    </w:p>
  </w:footnote>
  <w:footnote w:id="159">
    <w:p w14:paraId="4E843267" w14:textId="09A476FA" w:rsidR="009F2FE8" w:rsidRPr="00B92597" w:rsidRDefault="009F2FE8">
      <w:pPr>
        <w:pStyle w:val="Textonotapie"/>
        <w:rPr>
          <w:rFonts w:asciiTheme="majorBidi" w:hAnsiTheme="majorBidi" w:cstheme="majorBidi"/>
          <w:lang w:val="es-ES_tradnl"/>
        </w:rPr>
      </w:pPr>
      <w:r w:rsidRPr="00B92597">
        <w:rPr>
          <w:rStyle w:val="Refdenotaalpie"/>
          <w:rFonts w:asciiTheme="majorBidi" w:hAnsiTheme="majorBidi" w:cstheme="majorBidi"/>
        </w:rPr>
        <w:footnoteRef/>
      </w:r>
      <w:r w:rsidRPr="00B92597">
        <w:rPr>
          <w:rFonts w:asciiTheme="majorBidi" w:hAnsiTheme="majorBidi" w:cstheme="majorBidi"/>
        </w:rPr>
        <w:t xml:space="preserve"> Expediente digital, archivo “D0016414-Corrección a la Demanda-(2025-03-08 06-15-59).pdf”, p. 13.</w:t>
      </w:r>
    </w:p>
  </w:footnote>
  <w:footnote w:id="160">
    <w:p w14:paraId="108F03CE" w14:textId="18FBD568" w:rsidR="009F2FE8" w:rsidRPr="00B92597" w:rsidRDefault="009F2FE8" w:rsidP="00C66F74">
      <w:pPr>
        <w:pStyle w:val="Textonotapie"/>
        <w:jc w:val="both"/>
        <w:rPr>
          <w:rFonts w:asciiTheme="majorBidi" w:hAnsiTheme="majorBidi" w:cstheme="majorBidi"/>
          <w:lang w:val="es-ES_tradnl"/>
        </w:rPr>
      </w:pPr>
      <w:r w:rsidRPr="00B92597">
        <w:rPr>
          <w:rStyle w:val="Refdenotaalpie"/>
          <w:rFonts w:asciiTheme="majorBidi" w:hAnsiTheme="majorBidi" w:cstheme="majorBidi"/>
        </w:rPr>
        <w:footnoteRef/>
      </w:r>
      <w:r w:rsidRPr="00B92597">
        <w:rPr>
          <w:rFonts w:asciiTheme="majorBidi" w:hAnsiTheme="majorBidi" w:cstheme="majorBidi"/>
        </w:rPr>
        <w:t xml:space="preserve"> </w:t>
      </w:r>
      <w:r w:rsidRPr="00B92597">
        <w:rPr>
          <w:rFonts w:asciiTheme="majorBidi" w:hAnsiTheme="majorBidi" w:cstheme="majorBidi"/>
          <w:lang w:val="es-ES"/>
        </w:rPr>
        <w:t>En particular, los ciudadanos señalaron que la sentencia C-080 de 2018, el Acuerdo de cooperación entre el Gobierno Nacional y la Fiscalía de la Corte Penal Internacional, así como la jurisprudencia de la Corte Interamericana de Derechos Humanos, han establecido que las sanciones deben ser proporcionales en virtud del deber estatal de investigar, juzgar y sancionar las graves violaciones a los derechos humanos, obligación que se deriva del artículo 1.1 de la Convención Americana sobre Derechos Humanos.</w:t>
      </w:r>
    </w:p>
  </w:footnote>
  <w:footnote w:id="161">
    <w:p w14:paraId="360DB6B5" w14:textId="2355603B" w:rsidR="009F2FE8" w:rsidRPr="00B92597" w:rsidRDefault="009F2FE8" w:rsidP="00D91AF0">
      <w:pPr>
        <w:pStyle w:val="Textonotapie"/>
      </w:pPr>
      <w:r w:rsidRPr="00B92597">
        <w:rPr>
          <w:rStyle w:val="Refdenotaalpie"/>
        </w:rPr>
        <w:footnoteRef/>
      </w:r>
      <w:r w:rsidRPr="00B92597">
        <w:t xml:space="preserve"> </w:t>
      </w:r>
      <w:r w:rsidRPr="00B92597">
        <w:rPr>
          <w:lang w:val="es-ES_tradnl"/>
        </w:rPr>
        <w:t>Expediente digital, archivo “D0016414-Conceptos e Intervenciones-(2025-06-19 03-20-24).pdf”, Fj. 16.4.</w:t>
      </w:r>
    </w:p>
  </w:footnote>
  <w:footnote w:id="162">
    <w:p w14:paraId="7E6DBBF9" w14:textId="77777777" w:rsidR="009F2FE8" w:rsidRPr="00B92597" w:rsidRDefault="009F2FE8" w:rsidP="003B5D23">
      <w:pPr>
        <w:pStyle w:val="Textonotapie"/>
      </w:pPr>
      <w:r w:rsidRPr="00B92597">
        <w:rPr>
          <w:rStyle w:val="Refdenotaalpie"/>
        </w:rPr>
        <w:footnoteRef/>
      </w:r>
      <w:r w:rsidRPr="00B92597">
        <w:t xml:space="preserve"> </w:t>
      </w:r>
      <w:r w:rsidRPr="00B92597">
        <w:rPr>
          <w:lang w:val="es-ES_tradnl"/>
        </w:rPr>
        <w:t>Expediente digital, archivo “D0016414-Conceptos e Intervenciones-(2025-06-19 03-20-24).pdf”, Fj. 16.4.</w:t>
      </w:r>
    </w:p>
  </w:footnote>
  <w:footnote w:id="163">
    <w:p w14:paraId="731A44C8" w14:textId="77777777" w:rsidR="009F2FE8" w:rsidRPr="00B92597" w:rsidRDefault="009F2FE8" w:rsidP="003B5D23">
      <w:pPr>
        <w:pStyle w:val="Textonotapie"/>
      </w:pPr>
      <w:r w:rsidRPr="00B92597">
        <w:rPr>
          <w:rStyle w:val="Refdenotaalpie"/>
        </w:rPr>
        <w:footnoteRef/>
      </w:r>
      <w:r w:rsidRPr="00B92597">
        <w:t xml:space="preserve"> </w:t>
      </w:r>
      <w:r w:rsidRPr="00B92597">
        <w:rPr>
          <w:lang w:val="es-ES_tradnl"/>
        </w:rPr>
        <w:t>Expediente digital, archivo “D0016414-Conceptos e Intervenciones-(2025-06-19 03-20-24).pdf”, Fj. 16.4.</w:t>
      </w:r>
    </w:p>
  </w:footnote>
  <w:footnote w:id="164">
    <w:p w14:paraId="79122D11" w14:textId="77777777" w:rsidR="009F2FE8" w:rsidRPr="00B92597" w:rsidRDefault="009F2FE8" w:rsidP="003B5D23">
      <w:pPr>
        <w:pStyle w:val="Textonotapie"/>
      </w:pPr>
      <w:r w:rsidRPr="00B92597">
        <w:rPr>
          <w:rStyle w:val="Refdenotaalpie"/>
        </w:rPr>
        <w:footnoteRef/>
      </w:r>
      <w:r w:rsidRPr="00B92597">
        <w:t xml:space="preserve"> </w:t>
      </w:r>
      <w:r w:rsidRPr="00B92597">
        <w:rPr>
          <w:lang w:val="es-ES_tradnl"/>
        </w:rPr>
        <w:t>Expediente digital, archivo “D0016414-Conceptos e Intervenciones-(2025-06-19 03-20-24).pdf”, Fj. 16.4.</w:t>
      </w:r>
    </w:p>
  </w:footnote>
  <w:footnote w:id="165">
    <w:p w14:paraId="1B2C798F" w14:textId="77777777" w:rsidR="009F2FE8" w:rsidRPr="00B92597" w:rsidRDefault="009F2FE8" w:rsidP="006C1963">
      <w:pPr>
        <w:pStyle w:val="Textonotapie"/>
        <w:rPr>
          <w:lang w:val="es-ES_tradnl"/>
        </w:rPr>
      </w:pPr>
      <w:r w:rsidRPr="00B92597">
        <w:rPr>
          <w:rStyle w:val="Refdenotaalpie"/>
        </w:rPr>
        <w:footnoteRef/>
      </w:r>
      <w:r w:rsidRPr="00B92597">
        <w:t xml:space="preserve"> </w:t>
      </w:r>
      <w:r w:rsidRPr="00B92597">
        <w:rPr>
          <w:lang w:val="es-ES_tradnl"/>
        </w:rPr>
        <w:t>Acto Legislativo 01 de 2017 y en la Ley Estatutaria de Administración de Justicia de la JEP.</w:t>
      </w:r>
    </w:p>
  </w:footnote>
  <w:footnote w:id="166">
    <w:p w14:paraId="61F1E893" w14:textId="3EC575C5" w:rsidR="009F2FE8" w:rsidRPr="00B92597" w:rsidRDefault="009F2FE8">
      <w:pPr>
        <w:pStyle w:val="Textonotapie"/>
        <w:rPr>
          <w:lang w:val="es-ES_tradnl"/>
        </w:rPr>
      </w:pPr>
      <w:r w:rsidRPr="00B92597">
        <w:rPr>
          <w:rStyle w:val="Refdenotaalpie"/>
        </w:rPr>
        <w:footnoteRef/>
      </w:r>
      <w:r w:rsidRPr="00B92597">
        <w:t xml:space="preserve"> </w:t>
      </w:r>
      <w:r w:rsidRPr="00B92597">
        <w:rPr>
          <w:lang w:val="es-ES_tradnl"/>
        </w:rPr>
        <w:t xml:space="preserve">Sobre este punto, ver las intervenciones del Ministerio de Justicia, la Oficina de Naciones Unidas contra la Droga y el Delito (UNODC) y el Laboratorio de Justicia y Política. Criminal en la Audiencia Pública de 24 de octubre de 2025. </w:t>
      </w:r>
    </w:p>
  </w:footnote>
  <w:footnote w:id="167">
    <w:p w14:paraId="2D2EE481" w14:textId="239677DE" w:rsidR="009F2FE8" w:rsidRPr="00B92597" w:rsidRDefault="009F2FE8">
      <w:pPr>
        <w:pStyle w:val="Textonotapie"/>
        <w:rPr>
          <w:lang w:val="es-ES_tradnl"/>
        </w:rPr>
      </w:pPr>
      <w:r w:rsidRPr="00B92597">
        <w:rPr>
          <w:rStyle w:val="Refdenotaalpie"/>
        </w:rPr>
        <w:footnoteRef/>
      </w:r>
      <w:r w:rsidRPr="00B92597">
        <w:t xml:space="preserve"> </w:t>
      </w:r>
      <w:r w:rsidRPr="00B92597">
        <w:rPr>
          <w:lang w:val="es-ES_tradnl"/>
        </w:rPr>
        <w:t>Sentencia Senit 8, párrafos 212 y siguientes.</w:t>
      </w:r>
    </w:p>
  </w:footnote>
  <w:footnote w:id="168">
    <w:p w14:paraId="7C3CC87D" w14:textId="218BC717" w:rsidR="00821F09" w:rsidRPr="00A52B2F" w:rsidRDefault="00746ACE" w:rsidP="00ED740C">
      <w:pPr>
        <w:pStyle w:val="Textonotapie"/>
        <w:ind w:right="49"/>
        <w:jc w:val="both"/>
        <w:rPr>
          <w:lang w:val="es-MX"/>
        </w:rPr>
      </w:pPr>
      <w:r w:rsidRPr="00E3223B">
        <w:rPr>
          <w:rStyle w:val="Refdenotaalpie"/>
        </w:rPr>
        <w:footnoteRef/>
      </w:r>
      <w:r w:rsidRPr="00E3223B">
        <w:t xml:space="preserve"> La Ley 1922 de 2018, en </w:t>
      </w:r>
      <w:r>
        <w:t xml:space="preserve">su </w:t>
      </w:r>
      <w:r w:rsidRPr="00E3223B">
        <w:t>artículo 59</w:t>
      </w:r>
      <w:r>
        <w:t xml:space="preserve">, al respecto, </w:t>
      </w:r>
      <w:r w:rsidRPr="00E3223B">
        <w:t>dispone: “</w:t>
      </w:r>
      <w:bookmarkStart w:id="73" w:name="59"/>
      <w:r w:rsidRPr="00E3223B">
        <w:rPr>
          <w:b/>
          <w:bCs/>
          <w:i/>
          <w:lang w:val="es-MX"/>
        </w:rPr>
        <w:t>Artículo 59. Procedimientos y disposiciones de la sección de apelación.</w:t>
      </w:r>
      <w:bookmarkEnd w:id="73"/>
      <w:r w:rsidRPr="00E3223B">
        <w:rPr>
          <w:i/>
          <w:lang w:val="es-MX"/>
        </w:rPr>
        <w:t xml:space="preserve"> Además de las restantes funciones establecidas en la normatividad aplicable, la Sección de Apelación, a fin de asegurar la unidad de la interpretación del derecho y garantizar la seguridad jurídica, adoptará sentencias interpretativas. // </w:t>
      </w:r>
      <w:r w:rsidRPr="00E3223B">
        <w:rPr>
          <w:b/>
          <w:bCs/>
          <w:i/>
          <w:lang w:val="es-MX"/>
        </w:rPr>
        <w:t>Parágrafo.</w:t>
      </w:r>
      <w:r w:rsidRPr="00E3223B">
        <w:rPr>
          <w:i/>
          <w:lang w:val="es-MX"/>
        </w:rPr>
        <w:t xml:space="preserve"> Para </w:t>
      </w:r>
      <w:r w:rsidRPr="00E3223B">
        <w:rPr>
          <w:i/>
          <w:lang w:val="es-MX"/>
        </w:rPr>
        <w:t>garantizar la igualdad en la aplicación de la ley, a petición de las Salas, las Secciones o la Unidad de Investigación y Acusación, la Sección de Apelación del Tribunal para la Paz podrá proferir sentencias interpretativas que tendrán fuerza vinculante, co</w:t>
      </w:r>
      <w:r w:rsidRPr="00E3223B">
        <w:rPr>
          <w:i/>
          <w:lang w:val="es-MX"/>
        </w:rPr>
        <w:t xml:space="preserve">n el objeto de: // Aclarar el sentido o alcance de una disposición. // Definir su interpretación. // Realizar unificaciones tempranas de jurisprudencia. // </w:t>
      </w:r>
      <w:r w:rsidRPr="00E3223B">
        <w:rPr>
          <w:b/>
          <w:i/>
          <w:lang w:val="es-MX"/>
        </w:rPr>
        <w:t>Aclarar vacíos, o definir los criterios de integración normativa de la JEP</w:t>
      </w:r>
      <w:r w:rsidRPr="00E3223B">
        <w:rPr>
          <w:i/>
          <w:lang w:val="es-MX"/>
        </w:rPr>
        <w:t>. El contenido de estas se</w:t>
      </w:r>
      <w:r w:rsidRPr="00E3223B">
        <w:rPr>
          <w:i/>
          <w:lang w:val="es-MX"/>
        </w:rPr>
        <w:t>ntencias deberá respetar los precedentes que sobre el punto haya proferido la Corte Constitucional. // Las sentencias interpretativas también podrán ser proferidas al momento de resolver cualquier apelación</w:t>
      </w:r>
      <w:r>
        <w:rPr>
          <w:lang w:val="es-MX"/>
        </w:rPr>
        <w:t>” (</w:t>
      </w:r>
      <w:r>
        <w:rPr>
          <w:lang w:val="es-MX"/>
        </w:rPr>
        <w:t>é</w:t>
      </w:r>
      <w:r>
        <w:rPr>
          <w:lang w:val="es-MX"/>
        </w:rPr>
        <w:t>nfasis por fuera del texto original).</w:t>
      </w:r>
    </w:p>
  </w:footnote>
  <w:footnote w:id="169">
    <w:p w14:paraId="4C973B6D" w14:textId="1F59B086" w:rsidR="00C6633F" w:rsidRPr="009F3C8F" w:rsidRDefault="00746ACE" w:rsidP="00ED740C">
      <w:pPr>
        <w:pStyle w:val="Textonotapie"/>
        <w:ind w:right="49"/>
        <w:rPr>
          <w:lang w:val="es-ES"/>
        </w:rPr>
      </w:pPr>
      <w:r>
        <w:rPr>
          <w:rStyle w:val="Refdenotaalpie"/>
        </w:rPr>
        <w:footnoteRef/>
      </w:r>
      <w:r>
        <w:t xml:space="preserve"> </w:t>
      </w:r>
      <w:r w:rsidRPr="00ED740C">
        <w:t>Cfr.</w:t>
      </w:r>
      <w:r>
        <w:t>,</w:t>
      </w:r>
      <w:r>
        <w:t xml:space="preserve"> </w:t>
      </w:r>
      <w:r>
        <w:rPr>
          <w:color w:val="2D2D2D"/>
        </w:rPr>
        <w:t>s</w:t>
      </w:r>
      <w:r>
        <w:rPr>
          <w:color w:val="2D2D2D"/>
        </w:rPr>
        <w:t>entencia</w:t>
      </w:r>
      <w:r>
        <w:rPr>
          <w:color w:val="2D2D2D"/>
        </w:rPr>
        <w:t>s</w:t>
      </w:r>
      <w:r>
        <w:rPr>
          <w:color w:val="2D2D2D"/>
        </w:rPr>
        <w:t xml:space="preserve"> C-557 de 2001, C-426 de 2002, C-569 de 2004, </w:t>
      </w:r>
      <w:r>
        <w:t>C-426 de 2002</w:t>
      </w:r>
      <w:r>
        <w:t xml:space="preserve"> y</w:t>
      </w:r>
      <w:r>
        <w:t xml:space="preserve"> C-309 de 2009. </w:t>
      </w:r>
    </w:p>
  </w:footnote>
  <w:footnote w:id="170">
    <w:p w14:paraId="793DF5F4" w14:textId="490E20DE" w:rsidR="00517039" w:rsidRPr="006C57C8" w:rsidRDefault="00746ACE" w:rsidP="00ED740C">
      <w:pPr>
        <w:pStyle w:val="Textonotapie"/>
        <w:ind w:right="49"/>
        <w:rPr>
          <w:lang w:val="es-ES"/>
        </w:rPr>
      </w:pPr>
      <w:r>
        <w:rPr>
          <w:rStyle w:val="Refdenotaalpie"/>
        </w:rPr>
        <w:footnoteRef/>
      </w:r>
      <w:r>
        <w:t xml:space="preserve"> </w:t>
      </w:r>
      <w:r>
        <w:t xml:space="preserve">Corte Constitucional, sentencia </w:t>
      </w:r>
      <w:r>
        <w:rPr>
          <w:lang w:val="es-ES"/>
        </w:rPr>
        <w:t>C-418 de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90AB7" w14:textId="06F8A206" w:rsidR="009F2FE8" w:rsidRDefault="009F2FE8" w:rsidP="007F35FB">
    <w:pPr>
      <w:pStyle w:val="Encabezado"/>
      <w:jc w:val="right"/>
      <w:rPr>
        <w:sz w:val="20"/>
        <w:szCs w:val="20"/>
      </w:rPr>
    </w:pPr>
    <w:r w:rsidRPr="0035202A">
      <w:rPr>
        <w:sz w:val="20"/>
        <w:szCs w:val="20"/>
      </w:rPr>
      <w:t>Expediente D-16414</w:t>
    </w:r>
  </w:p>
  <w:p w14:paraId="047CEDAF" w14:textId="7DB25298" w:rsidR="009F2FE8" w:rsidRPr="004519C5" w:rsidRDefault="009F2FE8" w:rsidP="007F35FB">
    <w:pPr>
      <w:pStyle w:val="Encabezado"/>
      <w:jc w:val="right"/>
      <w:rPr>
        <w:i/>
        <w:sz w:val="20"/>
        <w:szCs w:val="20"/>
      </w:rPr>
    </w:pPr>
    <w:r>
      <w:rPr>
        <w:sz w:val="20"/>
        <w:szCs w:val="20"/>
      </w:rPr>
      <w:t xml:space="preserve">M.P. </w:t>
    </w:r>
    <w:r>
      <w:rPr>
        <w:i/>
        <w:sz w:val="20"/>
        <w:szCs w:val="20"/>
      </w:rPr>
      <w:t>Natalia Ángel Cabo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945"/>
      <w:gridCol w:w="2945"/>
      <w:gridCol w:w="2945"/>
    </w:tblGrid>
    <w:tr w:rsidR="009F2FE8" w14:paraId="67FD7328" w14:textId="77777777" w:rsidTr="4B29D561">
      <w:trPr>
        <w:trHeight w:val="300"/>
      </w:trPr>
      <w:tc>
        <w:tcPr>
          <w:tcW w:w="2945" w:type="dxa"/>
        </w:tcPr>
        <w:p w14:paraId="4CBF2841" w14:textId="38BE41FB" w:rsidR="009F2FE8" w:rsidRDefault="009F2FE8" w:rsidP="4B29D561">
          <w:pPr>
            <w:pStyle w:val="Encabezado"/>
            <w:ind w:left="-115"/>
          </w:pPr>
        </w:p>
      </w:tc>
      <w:tc>
        <w:tcPr>
          <w:tcW w:w="2945" w:type="dxa"/>
        </w:tcPr>
        <w:p w14:paraId="7E1FED45" w14:textId="77EA9498" w:rsidR="009F2FE8" w:rsidRDefault="009F2FE8" w:rsidP="4B29D561">
          <w:pPr>
            <w:pStyle w:val="Encabezado"/>
            <w:jc w:val="center"/>
          </w:pPr>
        </w:p>
      </w:tc>
      <w:tc>
        <w:tcPr>
          <w:tcW w:w="2945" w:type="dxa"/>
        </w:tcPr>
        <w:p w14:paraId="5476006A" w14:textId="2C081D26" w:rsidR="009F2FE8" w:rsidRDefault="009F2FE8" w:rsidP="4B29D561">
          <w:pPr>
            <w:pStyle w:val="Encabezado"/>
            <w:ind w:right="-115"/>
            <w:jc w:val="right"/>
          </w:pPr>
        </w:p>
      </w:tc>
    </w:tr>
  </w:tbl>
  <w:p w14:paraId="498C9E08" w14:textId="4558D115" w:rsidR="009F2FE8" w:rsidRDefault="009F2FE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83F7C"/>
    <w:multiLevelType w:val="hybridMultilevel"/>
    <w:tmpl w:val="5296C224"/>
    <w:lvl w:ilvl="0" w:tplc="97D683B4">
      <w:start w:val="1"/>
      <w:numFmt w:val="bullet"/>
      <w:lvlText w:val=""/>
      <w:lvlJc w:val="left"/>
      <w:pPr>
        <w:ind w:left="7950" w:hanging="360"/>
      </w:pPr>
      <w:rPr>
        <w:rFonts w:ascii="Symbol" w:hAnsi="Symbol" w:hint="default"/>
      </w:rPr>
    </w:lvl>
    <w:lvl w:ilvl="1" w:tplc="080A0003" w:tentative="1">
      <w:start w:val="1"/>
      <w:numFmt w:val="bullet"/>
      <w:lvlText w:val="o"/>
      <w:lvlJc w:val="left"/>
      <w:pPr>
        <w:ind w:left="8670" w:hanging="360"/>
      </w:pPr>
      <w:rPr>
        <w:rFonts w:ascii="Courier New" w:hAnsi="Courier New" w:cs="Courier New" w:hint="default"/>
      </w:rPr>
    </w:lvl>
    <w:lvl w:ilvl="2" w:tplc="080A0005" w:tentative="1">
      <w:start w:val="1"/>
      <w:numFmt w:val="bullet"/>
      <w:lvlText w:val=""/>
      <w:lvlJc w:val="left"/>
      <w:pPr>
        <w:ind w:left="9390" w:hanging="360"/>
      </w:pPr>
      <w:rPr>
        <w:rFonts w:ascii="Wingdings" w:hAnsi="Wingdings" w:hint="default"/>
      </w:rPr>
    </w:lvl>
    <w:lvl w:ilvl="3" w:tplc="080A0001" w:tentative="1">
      <w:start w:val="1"/>
      <w:numFmt w:val="bullet"/>
      <w:lvlText w:val=""/>
      <w:lvlJc w:val="left"/>
      <w:pPr>
        <w:ind w:left="10110" w:hanging="360"/>
      </w:pPr>
      <w:rPr>
        <w:rFonts w:ascii="Symbol" w:hAnsi="Symbol" w:hint="default"/>
      </w:rPr>
    </w:lvl>
    <w:lvl w:ilvl="4" w:tplc="080A0003" w:tentative="1">
      <w:start w:val="1"/>
      <w:numFmt w:val="bullet"/>
      <w:lvlText w:val="o"/>
      <w:lvlJc w:val="left"/>
      <w:pPr>
        <w:ind w:left="10830" w:hanging="360"/>
      </w:pPr>
      <w:rPr>
        <w:rFonts w:ascii="Courier New" w:hAnsi="Courier New" w:cs="Courier New" w:hint="default"/>
      </w:rPr>
    </w:lvl>
    <w:lvl w:ilvl="5" w:tplc="080A0005" w:tentative="1">
      <w:start w:val="1"/>
      <w:numFmt w:val="bullet"/>
      <w:lvlText w:val=""/>
      <w:lvlJc w:val="left"/>
      <w:pPr>
        <w:ind w:left="11550" w:hanging="360"/>
      </w:pPr>
      <w:rPr>
        <w:rFonts w:ascii="Wingdings" w:hAnsi="Wingdings" w:hint="default"/>
      </w:rPr>
    </w:lvl>
    <w:lvl w:ilvl="6" w:tplc="080A0001" w:tentative="1">
      <w:start w:val="1"/>
      <w:numFmt w:val="bullet"/>
      <w:lvlText w:val=""/>
      <w:lvlJc w:val="left"/>
      <w:pPr>
        <w:ind w:left="12270" w:hanging="360"/>
      </w:pPr>
      <w:rPr>
        <w:rFonts w:ascii="Symbol" w:hAnsi="Symbol" w:hint="default"/>
      </w:rPr>
    </w:lvl>
    <w:lvl w:ilvl="7" w:tplc="080A0003" w:tentative="1">
      <w:start w:val="1"/>
      <w:numFmt w:val="bullet"/>
      <w:lvlText w:val="o"/>
      <w:lvlJc w:val="left"/>
      <w:pPr>
        <w:ind w:left="12990" w:hanging="360"/>
      </w:pPr>
      <w:rPr>
        <w:rFonts w:ascii="Courier New" w:hAnsi="Courier New" w:cs="Courier New" w:hint="default"/>
      </w:rPr>
    </w:lvl>
    <w:lvl w:ilvl="8" w:tplc="080A0005" w:tentative="1">
      <w:start w:val="1"/>
      <w:numFmt w:val="bullet"/>
      <w:lvlText w:val=""/>
      <w:lvlJc w:val="left"/>
      <w:pPr>
        <w:ind w:left="13710" w:hanging="360"/>
      </w:pPr>
      <w:rPr>
        <w:rFonts w:ascii="Wingdings" w:hAnsi="Wingdings" w:hint="default"/>
      </w:rPr>
    </w:lvl>
  </w:abstractNum>
  <w:abstractNum w:abstractNumId="1" w15:restartNumberingAfterBreak="0">
    <w:nsid w:val="1F780390"/>
    <w:multiLevelType w:val="hybridMultilevel"/>
    <w:tmpl w:val="2474B742"/>
    <w:lvl w:ilvl="0" w:tplc="2A5ED3E2">
      <w:start w:val="1"/>
      <w:numFmt w:val="upperRoman"/>
      <w:pStyle w:val="Ttulo1"/>
      <w:lvlText w:val="%1."/>
      <w:lvlJc w:val="right"/>
      <w:pPr>
        <w:ind w:left="720" w:hanging="180"/>
      </w:pPr>
      <w:rPr>
        <w:lang w:val="es-E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21B14CC3"/>
    <w:multiLevelType w:val="multilevel"/>
    <w:tmpl w:val="22626AFC"/>
    <w:styleLink w:val="Listaactual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477794F"/>
    <w:multiLevelType w:val="hybridMultilevel"/>
    <w:tmpl w:val="E8349388"/>
    <w:lvl w:ilvl="0" w:tplc="70C236BE">
      <w:start w:val="1"/>
      <w:numFmt w:val="decimal"/>
      <w:pStyle w:val="Ttulo2"/>
      <w:lvlText w:val="%1."/>
      <w:lvlJc w:val="left"/>
      <w:pPr>
        <w:ind w:left="1287" w:hanging="360"/>
      </w:pPr>
      <w:rPr>
        <w:b/>
        <w:bCs/>
        <w:color w:val="000000" w:themeColor="text1"/>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4" w15:restartNumberingAfterBreak="0">
    <w:nsid w:val="4BC634EE"/>
    <w:multiLevelType w:val="multilevel"/>
    <w:tmpl w:val="9D1816CE"/>
    <w:lvl w:ilvl="0">
      <w:start w:val="1"/>
      <w:numFmt w:val="decimal"/>
      <w:lvlText w:val="%1."/>
      <w:lvlJc w:val="left"/>
      <w:pPr>
        <w:ind w:left="0" w:firstLine="0"/>
      </w:pPr>
      <w:rPr>
        <w:rFonts w:ascii="Times New Roman" w:hAnsi="Times New Roman" w:cs="Times New Roman" w:hint="default"/>
        <w:b w:val="0"/>
        <w:i w:val="0"/>
        <w:color w:val="000000" w:themeColor="text1"/>
        <w:sz w:val="28"/>
        <w:szCs w:val="28"/>
        <w:vertAlign w:val="baseline"/>
        <w:lang w:val="es-ES"/>
      </w:rPr>
    </w:lvl>
    <w:lvl w:ilvl="1">
      <w:start w:val="1"/>
      <w:numFmt w:val="decimal"/>
      <w:lvlText w:val="%1.%2."/>
      <w:lvlJc w:val="left"/>
      <w:pPr>
        <w:ind w:left="432" w:hanging="432"/>
      </w:pPr>
      <w:rPr>
        <w:rFonts w:hint="default"/>
        <w:b w:val="0"/>
        <w:i w:val="0"/>
        <w:color w:val="000000"/>
        <w:vertAlign w:val="baseline"/>
      </w:rPr>
    </w:lvl>
    <w:lvl w:ilvl="2">
      <w:start w:val="1"/>
      <w:numFmt w:val="decimal"/>
      <w:lvlText w:val="%1.%2.%3."/>
      <w:lvlJc w:val="left"/>
      <w:pPr>
        <w:ind w:left="1224" w:hanging="504"/>
      </w:pPr>
      <w:rPr>
        <w:rFonts w:hint="default"/>
        <w:i w:val="0"/>
        <w:vertAlign w:val="baseline"/>
      </w:rPr>
    </w:lvl>
    <w:lvl w:ilvl="3">
      <w:start w:val="1"/>
      <w:numFmt w:val="decimal"/>
      <w:lvlText w:val="%1.%2.%3.%4."/>
      <w:lvlJc w:val="left"/>
      <w:pPr>
        <w:ind w:left="1728" w:hanging="647"/>
      </w:pPr>
      <w:rPr>
        <w:rFonts w:hint="default"/>
        <w:i w:val="0"/>
        <w:vertAlign w:val="baseline"/>
      </w:rPr>
    </w:lvl>
    <w:lvl w:ilvl="4">
      <w:start w:val="1"/>
      <w:numFmt w:val="decimal"/>
      <w:lvlText w:val="%1.%2.%3.%4.%5."/>
      <w:lvlJc w:val="left"/>
      <w:pPr>
        <w:ind w:left="2232" w:hanging="792"/>
      </w:pPr>
      <w:rPr>
        <w:rFonts w:hint="default"/>
        <w:vertAlign w:val="baseline"/>
      </w:rPr>
    </w:lvl>
    <w:lvl w:ilvl="5">
      <w:start w:val="1"/>
      <w:numFmt w:val="decimal"/>
      <w:lvlText w:val="%1.%2.%3.%4.%5.%6."/>
      <w:lvlJc w:val="left"/>
      <w:pPr>
        <w:ind w:left="2736" w:hanging="935"/>
      </w:pPr>
      <w:rPr>
        <w:rFonts w:hint="default"/>
        <w:vertAlign w:val="baseline"/>
      </w:rPr>
    </w:lvl>
    <w:lvl w:ilvl="6">
      <w:start w:val="1"/>
      <w:numFmt w:val="decimal"/>
      <w:lvlText w:val="%1.%2.%3.%4.%5.%6.%7."/>
      <w:lvlJc w:val="left"/>
      <w:pPr>
        <w:ind w:left="3240" w:hanging="1080"/>
      </w:pPr>
      <w:rPr>
        <w:rFonts w:hint="default"/>
        <w:vertAlign w:val="baseline"/>
      </w:rPr>
    </w:lvl>
    <w:lvl w:ilvl="7">
      <w:start w:val="1"/>
      <w:numFmt w:val="decimal"/>
      <w:lvlText w:val="%1.%2.%3.%4.%5.%6.%7.%8."/>
      <w:lvlJc w:val="left"/>
      <w:pPr>
        <w:ind w:left="3744" w:hanging="1224"/>
      </w:pPr>
      <w:rPr>
        <w:rFonts w:hint="default"/>
        <w:vertAlign w:val="baseline"/>
      </w:rPr>
    </w:lvl>
    <w:lvl w:ilvl="8">
      <w:start w:val="1"/>
      <w:numFmt w:val="decimal"/>
      <w:lvlText w:val="%1.%2.%3.%4.%5.%6.%7.%8.%9."/>
      <w:lvlJc w:val="left"/>
      <w:pPr>
        <w:ind w:left="4320" w:hanging="1440"/>
      </w:pPr>
      <w:rPr>
        <w:rFonts w:hint="default"/>
        <w:vertAlign w:val="baseline"/>
      </w:rPr>
    </w:lvl>
  </w:abstractNum>
  <w:abstractNum w:abstractNumId="5" w15:restartNumberingAfterBreak="0">
    <w:nsid w:val="5A7C0DD8"/>
    <w:multiLevelType w:val="hybridMultilevel"/>
    <w:tmpl w:val="856C09C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62DE3D58"/>
    <w:multiLevelType w:val="multilevel"/>
    <w:tmpl w:val="D25EFAA8"/>
    <w:styleLink w:val="Listaactual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6E063CC"/>
    <w:multiLevelType w:val="hybridMultilevel"/>
    <w:tmpl w:val="6A34B2B8"/>
    <w:lvl w:ilvl="0" w:tplc="AFE2FEF0">
      <w:start w:val="1"/>
      <w:numFmt w:val="decimal"/>
      <w:lvlText w:val="Tabla %1."/>
      <w:lvlJc w:val="left"/>
      <w:pPr>
        <w:ind w:left="0" w:firstLine="0"/>
      </w:pPr>
      <w:rPr>
        <w:rFonts w:hint="default"/>
        <w:b/>
        <w:bCs/>
        <w:i w:val="0"/>
        <w:i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676A1637"/>
    <w:multiLevelType w:val="hybridMultilevel"/>
    <w:tmpl w:val="9B4E9EF8"/>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A3817B4"/>
    <w:multiLevelType w:val="hybridMultilevel"/>
    <w:tmpl w:val="156C3A5E"/>
    <w:lvl w:ilvl="0" w:tplc="82DA8782">
      <w:start w:val="1"/>
      <w:numFmt w:val="lowerLetter"/>
      <w:pStyle w:val="Ttulo3"/>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DC2C0C"/>
    <w:multiLevelType w:val="hybridMultilevel"/>
    <w:tmpl w:val="9B4E9EF8"/>
    <w:lvl w:ilvl="0" w:tplc="C24EA22A">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lvlOverride w:ilvl="0">
      <w:startOverride w:val="1"/>
    </w:lvlOverride>
  </w:num>
  <w:num w:numId="3">
    <w:abstractNumId w:val="9"/>
    <w:lvlOverride w:ilvl="0">
      <w:startOverride w:val="1"/>
    </w:lvlOverride>
  </w:num>
  <w:num w:numId="4">
    <w:abstractNumId w:val="2"/>
  </w:num>
  <w:num w:numId="5">
    <w:abstractNumId w:val="6"/>
  </w:num>
  <w:num w:numId="6">
    <w:abstractNumId w:val="0"/>
  </w:num>
  <w:num w:numId="7">
    <w:abstractNumId w:val="4"/>
  </w:num>
  <w:num w:numId="8">
    <w:abstractNumId w:val="7"/>
  </w:num>
  <w:num w:numId="9">
    <w:abstractNumId w:val="1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6CC"/>
    <w:rsid w:val="00000526"/>
    <w:rsid w:val="00000605"/>
    <w:rsid w:val="000007C9"/>
    <w:rsid w:val="00000819"/>
    <w:rsid w:val="00000B26"/>
    <w:rsid w:val="00000E71"/>
    <w:rsid w:val="00000F5C"/>
    <w:rsid w:val="00000FE4"/>
    <w:rsid w:val="00001339"/>
    <w:rsid w:val="000013DF"/>
    <w:rsid w:val="0000153F"/>
    <w:rsid w:val="000015B5"/>
    <w:rsid w:val="00001F55"/>
    <w:rsid w:val="00001FBB"/>
    <w:rsid w:val="00002183"/>
    <w:rsid w:val="0000245A"/>
    <w:rsid w:val="00002B25"/>
    <w:rsid w:val="00002FC1"/>
    <w:rsid w:val="000033FA"/>
    <w:rsid w:val="00003782"/>
    <w:rsid w:val="0000393A"/>
    <w:rsid w:val="000039B5"/>
    <w:rsid w:val="00003AAE"/>
    <w:rsid w:val="00004BEE"/>
    <w:rsid w:val="0000504E"/>
    <w:rsid w:val="000057AD"/>
    <w:rsid w:val="00005801"/>
    <w:rsid w:val="00005880"/>
    <w:rsid w:val="000058ED"/>
    <w:rsid w:val="000059D5"/>
    <w:rsid w:val="00005ACC"/>
    <w:rsid w:val="000061D6"/>
    <w:rsid w:val="000063F7"/>
    <w:rsid w:val="0000640D"/>
    <w:rsid w:val="00006416"/>
    <w:rsid w:val="00006524"/>
    <w:rsid w:val="000068A3"/>
    <w:rsid w:val="000069B7"/>
    <w:rsid w:val="000069FD"/>
    <w:rsid w:val="00006E60"/>
    <w:rsid w:val="00007109"/>
    <w:rsid w:val="00007180"/>
    <w:rsid w:val="00007648"/>
    <w:rsid w:val="00007CCB"/>
    <w:rsid w:val="00007F23"/>
    <w:rsid w:val="000103BE"/>
    <w:rsid w:val="00010741"/>
    <w:rsid w:val="00010B01"/>
    <w:rsid w:val="00010B8B"/>
    <w:rsid w:val="00010DC3"/>
    <w:rsid w:val="000114BD"/>
    <w:rsid w:val="000116BB"/>
    <w:rsid w:val="0001178F"/>
    <w:rsid w:val="00011A4D"/>
    <w:rsid w:val="00011AA0"/>
    <w:rsid w:val="00011F2F"/>
    <w:rsid w:val="00011FBE"/>
    <w:rsid w:val="000124E7"/>
    <w:rsid w:val="000124FF"/>
    <w:rsid w:val="000125FF"/>
    <w:rsid w:val="0001261B"/>
    <w:rsid w:val="00012905"/>
    <w:rsid w:val="00012A88"/>
    <w:rsid w:val="00013284"/>
    <w:rsid w:val="000132BB"/>
    <w:rsid w:val="000137E8"/>
    <w:rsid w:val="00013A1A"/>
    <w:rsid w:val="00013A56"/>
    <w:rsid w:val="00013BC5"/>
    <w:rsid w:val="00013F0C"/>
    <w:rsid w:val="00013FE6"/>
    <w:rsid w:val="00014250"/>
    <w:rsid w:val="00014472"/>
    <w:rsid w:val="00014663"/>
    <w:rsid w:val="000150AC"/>
    <w:rsid w:val="00015405"/>
    <w:rsid w:val="00015417"/>
    <w:rsid w:val="000154CA"/>
    <w:rsid w:val="000155FD"/>
    <w:rsid w:val="00015786"/>
    <w:rsid w:val="00015790"/>
    <w:rsid w:val="00015827"/>
    <w:rsid w:val="0001586C"/>
    <w:rsid w:val="00015AF1"/>
    <w:rsid w:val="00015C35"/>
    <w:rsid w:val="00015CD6"/>
    <w:rsid w:val="00016183"/>
    <w:rsid w:val="00016404"/>
    <w:rsid w:val="00016576"/>
    <w:rsid w:val="000165D0"/>
    <w:rsid w:val="0001691E"/>
    <w:rsid w:val="00016CA9"/>
    <w:rsid w:val="00016CEB"/>
    <w:rsid w:val="00016F60"/>
    <w:rsid w:val="00017013"/>
    <w:rsid w:val="000173DA"/>
    <w:rsid w:val="000175BC"/>
    <w:rsid w:val="0001775C"/>
    <w:rsid w:val="000179AA"/>
    <w:rsid w:val="000179D4"/>
    <w:rsid w:val="00017C7C"/>
    <w:rsid w:val="0002007E"/>
    <w:rsid w:val="0002031F"/>
    <w:rsid w:val="000203D3"/>
    <w:rsid w:val="00020518"/>
    <w:rsid w:val="00020541"/>
    <w:rsid w:val="000206E6"/>
    <w:rsid w:val="00020747"/>
    <w:rsid w:val="00020CCF"/>
    <w:rsid w:val="00020FEB"/>
    <w:rsid w:val="0002150C"/>
    <w:rsid w:val="000215D2"/>
    <w:rsid w:val="000218EC"/>
    <w:rsid w:val="00021A7E"/>
    <w:rsid w:val="00021D3A"/>
    <w:rsid w:val="0002232F"/>
    <w:rsid w:val="0002248C"/>
    <w:rsid w:val="00022687"/>
    <w:rsid w:val="00022BEE"/>
    <w:rsid w:val="00022E4D"/>
    <w:rsid w:val="0002324C"/>
    <w:rsid w:val="000235AE"/>
    <w:rsid w:val="00023824"/>
    <w:rsid w:val="00023BAF"/>
    <w:rsid w:val="00024078"/>
    <w:rsid w:val="0002407F"/>
    <w:rsid w:val="000241DC"/>
    <w:rsid w:val="0002427C"/>
    <w:rsid w:val="000246BB"/>
    <w:rsid w:val="0002481B"/>
    <w:rsid w:val="0002494B"/>
    <w:rsid w:val="00024A3D"/>
    <w:rsid w:val="00024B71"/>
    <w:rsid w:val="00024D37"/>
    <w:rsid w:val="00024E7D"/>
    <w:rsid w:val="00024EFD"/>
    <w:rsid w:val="00024FE0"/>
    <w:rsid w:val="000251BB"/>
    <w:rsid w:val="00025600"/>
    <w:rsid w:val="0002571B"/>
    <w:rsid w:val="00025778"/>
    <w:rsid w:val="000261D3"/>
    <w:rsid w:val="00026786"/>
    <w:rsid w:val="0002694C"/>
    <w:rsid w:val="00026A52"/>
    <w:rsid w:val="00026F0B"/>
    <w:rsid w:val="00027063"/>
    <w:rsid w:val="000272B0"/>
    <w:rsid w:val="0002731E"/>
    <w:rsid w:val="00027559"/>
    <w:rsid w:val="000278FD"/>
    <w:rsid w:val="00027A32"/>
    <w:rsid w:val="00027B5E"/>
    <w:rsid w:val="00027B7E"/>
    <w:rsid w:val="00027BF8"/>
    <w:rsid w:val="00027F8E"/>
    <w:rsid w:val="00028504"/>
    <w:rsid w:val="000303EB"/>
    <w:rsid w:val="00030680"/>
    <w:rsid w:val="00030957"/>
    <w:rsid w:val="00031150"/>
    <w:rsid w:val="00031510"/>
    <w:rsid w:val="00031692"/>
    <w:rsid w:val="00031924"/>
    <w:rsid w:val="00031C58"/>
    <w:rsid w:val="00032324"/>
    <w:rsid w:val="0003254E"/>
    <w:rsid w:val="00032594"/>
    <w:rsid w:val="000325A3"/>
    <w:rsid w:val="000326A1"/>
    <w:rsid w:val="00032775"/>
    <w:rsid w:val="0003296F"/>
    <w:rsid w:val="00032CBA"/>
    <w:rsid w:val="00032E89"/>
    <w:rsid w:val="00033578"/>
    <w:rsid w:val="0003371D"/>
    <w:rsid w:val="000338E1"/>
    <w:rsid w:val="000338E9"/>
    <w:rsid w:val="000338F2"/>
    <w:rsid w:val="00033BAF"/>
    <w:rsid w:val="00033C2E"/>
    <w:rsid w:val="00033EC4"/>
    <w:rsid w:val="00034044"/>
    <w:rsid w:val="00034565"/>
    <w:rsid w:val="00034623"/>
    <w:rsid w:val="000346D4"/>
    <w:rsid w:val="00034701"/>
    <w:rsid w:val="0003474D"/>
    <w:rsid w:val="000348F0"/>
    <w:rsid w:val="000350AD"/>
    <w:rsid w:val="000352D0"/>
    <w:rsid w:val="00035717"/>
    <w:rsid w:val="00035779"/>
    <w:rsid w:val="0003585D"/>
    <w:rsid w:val="00035955"/>
    <w:rsid w:val="00035BE9"/>
    <w:rsid w:val="00035CC8"/>
    <w:rsid w:val="00035DCC"/>
    <w:rsid w:val="00035EBD"/>
    <w:rsid w:val="00035F37"/>
    <w:rsid w:val="00036178"/>
    <w:rsid w:val="00036356"/>
    <w:rsid w:val="000363B4"/>
    <w:rsid w:val="000363D2"/>
    <w:rsid w:val="0003654C"/>
    <w:rsid w:val="000365A3"/>
    <w:rsid w:val="000365F2"/>
    <w:rsid w:val="00036780"/>
    <w:rsid w:val="00036891"/>
    <w:rsid w:val="00036943"/>
    <w:rsid w:val="00036A73"/>
    <w:rsid w:val="00036F2C"/>
    <w:rsid w:val="00037127"/>
    <w:rsid w:val="000371B6"/>
    <w:rsid w:val="0003726A"/>
    <w:rsid w:val="000372CB"/>
    <w:rsid w:val="000377A3"/>
    <w:rsid w:val="00037887"/>
    <w:rsid w:val="00037987"/>
    <w:rsid w:val="00037C7E"/>
    <w:rsid w:val="00037D6E"/>
    <w:rsid w:val="00037FCE"/>
    <w:rsid w:val="00040236"/>
    <w:rsid w:val="00040675"/>
    <w:rsid w:val="000406E2"/>
    <w:rsid w:val="00040DA3"/>
    <w:rsid w:val="00040DF6"/>
    <w:rsid w:val="00041073"/>
    <w:rsid w:val="00041258"/>
    <w:rsid w:val="00041272"/>
    <w:rsid w:val="0004220D"/>
    <w:rsid w:val="00042506"/>
    <w:rsid w:val="00042599"/>
    <w:rsid w:val="00042945"/>
    <w:rsid w:val="000429B7"/>
    <w:rsid w:val="00042C64"/>
    <w:rsid w:val="00042C96"/>
    <w:rsid w:val="00042DB8"/>
    <w:rsid w:val="00042F13"/>
    <w:rsid w:val="00042FFA"/>
    <w:rsid w:val="00043166"/>
    <w:rsid w:val="00043197"/>
    <w:rsid w:val="0004323D"/>
    <w:rsid w:val="0004328E"/>
    <w:rsid w:val="00043DDA"/>
    <w:rsid w:val="00043E2C"/>
    <w:rsid w:val="00043ED2"/>
    <w:rsid w:val="00043F31"/>
    <w:rsid w:val="00043FD1"/>
    <w:rsid w:val="0004403E"/>
    <w:rsid w:val="00044116"/>
    <w:rsid w:val="0004422F"/>
    <w:rsid w:val="000442B4"/>
    <w:rsid w:val="00044411"/>
    <w:rsid w:val="00044592"/>
    <w:rsid w:val="00044838"/>
    <w:rsid w:val="000448B3"/>
    <w:rsid w:val="00044947"/>
    <w:rsid w:val="00044A9B"/>
    <w:rsid w:val="00044BAF"/>
    <w:rsid w:val="00044BFE"/>
    <w:rsid w:val="00044C92"/>
    <w:rsid w:val="00044E63"/>
    <w:rsid w:val="00045014"/>
    <w:rsid w:val="00045076"/>
    <w:rsid w:val="00045402"/>
    <w:rsid w:val="000454B7"/>
    <w:rsid w:val="0004553A"/>
    <w:rsid w:val="00045645"/>
    <w:rsid w:val="000459E0"/>
    <w:rsid w:val="00045BF3"/>
    <w:rsid w:val="00045DAC"/>
    <w:rsid w:val="00045E11"/>
    <w:rsid w:val="00045EF0"/>
    <w:rsid w:val="00045F74"/>
    <w:rsid w:val="000462FD"/>
    <w:rsid w:val="0004678C"/>
    <w:rsid w:val="00046BC0"/>
    <w:rsid w:val="00046F95"/>
    <w:rsid w:val="0004703A"/>
    <w:rsid w:val="00047559"/>
    <w:rsid w:val="00047745"/>
    <w:rsid w:val="000477C2"/>
    <w:rsid w:val="0004793E"/>
    <w:rsid w:val="00047A65"/>
    <w:rsid w:val="00047A6D"/>
    <w:rsid w:val="00047E75"/>
    <w:rsid w:val="00047FC1"/>
    <w:rsid w:val="000502DA"/>
    <w:rsid w:val="00050682"/>
    <w:rsid w:val="0005074F"/>
    <w:rsid w:val="00050AD7"/>
    <w:rsid w:val="00050BFE"/>
    <w:rsid w:val="00050C0D"/>
    <w:rsid w:val="00050D31"/>
    <w:rsid w:val="00050D95"/>
    <w:rsid w:val="00050F53"/>
    <w:rsid w:val="00051010"/>
    <w:rsid w:val="0005111E"/>
    <w:rsid w:val="0005151C"/>
    <w:rsid w:val="000517E9"/>
    <w:rsid w:val="00051BA6"/>
    <w:rsid w:val="00051E2B"/>
    <w:rsid w:val="0005218A"/>
    <w:rsid w:val="000523AD"/>
    <w:rsid w:val="0005263C"/>
    <w:rsid w:val="000528AC"/>
    <w:rsid w:val="00052D07"/>
    <w:rsid w:val="00052DDB"/>
    <w:rsid w:val="00052E31"/>
    <w:rsid w:val="00052E55"/>
    <w:rsid w:val="00052F1A"/>
    <w:rsid w:val="00053025"/>
    <w:rsid w:val="00053440"/>
    <w:rsid w:val="000534C9"/>
    <w:rsid w:val="00053DF2"/>
    <w:rsid w:val="00053E4C"/>
    <w:rsid w:val="00053F41"/>
    <w:rsid w:val="0005406C"/>
    <w:rsid w:val="0005417B"/>
    <w:rsid w:val="000546A2"/>
    <w:rsid w:val="00054A75"/>
    <w:rsid w:val="00054B29"/>
    <w:rsid w:val="00054B8C"/>
    <w:rsid w:val="00054BB3"/>
    <w:rsid w:val="00054C2D"/>
    <w:rsid w:val="0005569A"/>
    <w:rsid w:val="00055752"/>
    <w:rsid w:val="00055904"/>
    <w:rsid w:val="00055BE0"/>
    <w:rsid w:val="00055D3C"/>
    <w:rsid w:val="00056001"/>
    <w:rsid w:val="000560CE"/>
    <w:rsid w:val="000561B7"/>
    <w:rsid w:val="000562BE"/>
    <w:rsid w:val="00056565"/>
    <w:rsid w:val="00056884"/>
    <w:rsid w:val="000568CB"/>
    <w:rsid w:val="00056CE4"/>
    <w:rsid w:val="00056D0B"/>
    <w:rsid w:val="00056D3A"/>
    <w:rsid w:val="00056E67"/>
    <w:rsid w:val="00056F5B"/>
    <w:rsid w:val="00056FF2"/>
    <w:rsid w:val="000575AF"/>
    <w:rsid w:val="000576DF"/>
    <w:rsid w:val="0005792E"/>
    <w:rsid w:val="00057996"/>
    <w:rsid w:val="00057A86"/>
    <w:rsid w:val="00057BA2"/>
    <w:rsid w:val="00057D4C"/>
    <w:rsid w:val="00057ED8"/>
    <w:rsid w:val="000600FB"/>
    <w:rsid w:val="0006021F"/>
    <w:rsid w:val="00060238"/>
    <w:rsid w:val="00060508"/>
    <w:rsid w:val="00060548"/>
    <w:rsid w:val="000605B9"/>
    <w:rsid w:val="000608AF"/>
    <w:rsid w:val="000608FB"/>
    <w:rsid w:val="00060D3E"/>
    <w:rsid w:val="00060DCF"/>
    <w:rsid w:val="0006102C"/>
    <w:rsid w:val="00061F20"/>
    <w:rsid w:val="0006200E"/>
    <w:rsid w:val="00062112"/>
    <w:rsid w:val="000621D1"/>
    <w:rsid w:val="0006242D"/>
    <w:rsid w:val="00062837"/>
    <w:rsid w:val="0006294F"/>
    <w:rsid w:val="00062D99"/>
    <w:rsid w:val="0006308F"/>
    <w:rsid w:val="000633F6"/>
    <w:rsid w:val="00063587"/>
    <w:rsid w:val="000636C6"/>
    <w:rsid w:val="00063A92"/>
    <w:rsid w:val="00063AB9"/>
    <w:rsid w:val="00063D50"/>
    <w:rsid w:val="00063E6F"/>
    <w:rsid w:val="0006423A"/>
    <w:rsid w:val="00064A58"/>
    <w:rsid w:val="00064C4E"/>
    <w:rsid w:val="00064C87"/>
    <w:rsid w:val="00064FE7"/>
    <w:rsid w:val="0006503B"/>
    <w:rsid w:val="000652AC"/>
    <w:rsid w:val="00065456"/>
    <w:rsid w:val="000655C7"/>
    <w:rsid w:val="0006597B"/>
    <w:rsid w:val="00065B32"/>
    <w:rsid w:val="00065C37"/>
    <w:rsid w:val="00065E43"/>
    <w:rsid w:val="00065FD5"/>
    <w:rsid w:val="00066255"/>
    <w:rsid w:val="0006634E"/>
    <w:rsid w:val="00066A03"/>
    <w:rsid w:val="00066FCD"/>
    <w:rsid w:val="0006709D"/>
    <w:rsid w:val="00067488"/>
    <w:rsid w:val="00067895"/>
    <w:rsid w:val="00067BED"/>
    <w:rsid w:val="00067C14"/>
    <w:rsid w:val="00067DD3"/>
    <w:rsid w:val="0007028D"/>
    <w:rsid w:val="0007032B"/>
    <w:rsid w:val="00070500"/>
    <w:rsid w:val="00070B6C"/>
    <w:rsid w:val="00071127"/>
    <w:rsid w:val="0007115C"/>
    <w:rsid w:val="00071338"/>
    <w:rsid w:val="0007156B"/>
    <w:rsid w:val="000716AE"/>
    <w:rsid w:val="000716C3"/>
    <w:rsid w:val="00071903"/>
    <w:rsid w:val="00071AA5"/>
    <w:rsid w:val="00071BC8"/>
    <w:rsid w:val="00071C65"/>
    <w:rsid w:val="00071CE9"/>
    <w:rsid w:val="00071FED"/>
    <w:rsid w:val="00072281"/>
    <w:rsid w:val="00072E4C"/>
    <w:rsid w:val="0007366E"/>
    <w:rsid w:val="0007371A"/>
    <w:rsid w:val="00073767"/>
    <w:rsid w:val="000737E4"/>
    <w:rsid w:val="0007394F"/>
    <w:rsid w:val="00073B79"/>
    <w:rsid w:val="00073C1C"/>
    <w:rsid w:val="00073CEF"/>
    <w:rsid w:val="00073E21"/>
    <w:rsid w:val="00073F54"/>
    <w:rsid w:val="00073F91"/>
    <w:rsid w:val="0007422A"/>
    <w:rsid w:val="000744D1"/>
    <w:rsid w:val="000746D2"/>
    <w:rsid w:val="00074718"/>
    <w:rsid w:val="00074B59"/>
    <w:rsid w:val="00074C03"/>
    <w:rsid w:val="00074FAC"/>
    <w:rsid w:val="00074FE7"/>
    <w:rsid w:val="00075341"/>
    <w:rsid w:val="0007572B"/>
    <w:rsid w:val="00075C11"/>
    <w:rsid w:val="00075D05"/>
    <w:rsid w:val="00075E44"/>
    <w:rsid w:val="0007620F"/>
    <w:rsid w:val="0007624A"/>
    <w:rsid w:val="000762FD"/>
    <w:rsid w:val="000764F1"/>
    <w:rsid w:val="00076528"/>
    <w:rsid w:val="00076673"/>
    <w:rsid w:val="00076AD7"/>
    <w:rsid w:val="00076AE4"/>
    <w:rsid w:val="00076E51"/>
    <w:rsid w:val="0007715B"/>
    <w:rsid w:val="000771ED"/>
    <w:rsid w:val="00077242"/>
    <w:rsid w:val="00077A56"/>
    <w:rsid w:val="00077E6D"/>
    <w:rsid w:val="00077E9B"/>
    <w:rsid w:val="00077FE7"/>
    <w:rsid w:val="0008008C"/>
    <w:rsid w:val="00080250"/>
    <w:rsid w:val="00080596"/>
    <w:rsid w:val="000805B4"/>
    <w:rsid w:val="00080828"/>
    <w:rsid w:val="00080B5C"/>
    <w:rsid w:val="00080C49"/>
    <w:rsid w:val="00080EF3"/>
    <w:rsid w:val="00081142"/>
    <w:rsid w:val="000815A8"/>
    <w:rsid w:val="00081B43"/>
    <w:rsid w:val="00081F79"/>
    <w:rsid w:val="00081F81"/>
    <w:rsid w:val="000820A1"/>
    <w:rsid w:val="000821AC"/>
    <w:rsid w:val="000822B0"/>
    <w:rsid w:val="00082340"/>
    <w:rsid w:val="000829BB"/>
    <w:rsid w:val="00082D09"/>
    <w:rsid w:val="00082D33"/>
    <w:rsid w:val="00082DCA"/>
    <w:rsid w:val="00082E9F"/>
    <w:rsid w:val="000830BA"/>
    <w:rsid w:val="000832D4"/>
    <w:rsid w:val="0008342B"/>
    <w:rsid w:val="000837BA"/>
    <w:rsid w:val="0008380C"/>
    <w:rsid w:val="00083863"/>
    <w:rsid w:val="000838B9"/>
    <w:rsid w:val="000839F1"/>
    <w:rsid w:val="00083B32"/>
    <w:rsid w:val="00083D45"/>
    <w:rsid w:val="0008405F"/>
    <w:rsid w:val="00084060"/>
    <w:rsid w:val="000841C9"/>
    <w:rsid w:val="0008428D"/>
    <w:rsid w:val="000849A7"/>
    <w:rsid w:val="00084B99"/>
    <w:rsid w:val="000852F6"/>
    <w:rsid w:val="0008542C"/>
    <w:rsid w:val="0008554D"/>
    <w:rsid w:val="00085733"/>
    <w:rsid w:val="00085AF8"/>
    <w:rsid w:val="00085C25"/>
    <w:rsid w:val="00085CB0"/>
    <w:rsid w:val="00085D48"/>
    <w:rsid w:val="00085DC4"/>
    <w:rsid w:val="00085F6A"/>
    <w:rsid w:val="000865AD"/>
    <w:rsid w:val="00086745"/>
    <w:rsid w:val="00086898"/>
    <w:rsid w:val="000869E4"/>
    <w:rsid w:val="00086A43"/>
    <w:rsid w:val="00086B6D"/>
    <w:rsid w:val="00086D33"/>
    <w:rsid w:val="00086DBE"/>
    <w:rsid w:val="000870C4"/>
    <w:rsid w:val="000870D3"/>
    <w:rsid w:val="00087201"/>
    <w:rsid w:val="0008758B"/>
    <w:rsid w:val="000876CD"/>
    <w:rsid w:val="00087A60"/>
    <w:rsid w:val="00087E36"/>
    <w:rsid w:val="0009011E"/>
    <w:rsid w:val="000902B6"/>
    <w:rsid w:val="000909F7"/>
    <w:rsid w:val="00090BA6"/>
    <w:rsid w:val="00090D4A"/>
    <w:rsid w:val="00090EDD"/>
    <w:rsid w:val="00090FE7"/>
    <w:rsid w:val="0009110F"/>
    <w:rsid w:val="000912E1"/>
    <w:rsid w:val="0009139F"/>
    <w:rsid w:val="000918B2"/>
    <w:rsid w:val="000919EA"/>
    <w:rsid w:val="00091B69"/>
    <w:rsid w:val="00091CCC"/>
    <w:rsid w:val="00091CF1"/>
    <w:rsid w:val="00091DCC"/>
    <w:rsid w:val="00091EF7"/>
    <w:rsid w:val="00091F18"/>
    <w:rsid w:val="00092A12"/>
    <w:rsid w:val="00092FE5"/>
    <w:rsid w:val="0009310C"/>
    <w:rsid w:val="0009318C"/>
    <w:rsid w:val="0009332F"/>
    <w:rsid w:val="000936C1"/>
    <w:rsid w:val="00093826"/>
    <w:rsid w:val="00093B4F"/>
    <w:rsid w:val="00093F7F"/>
    <w:rsid w:val="00094D3D"/>
    <w:rsid w:val="000950E0"/>
    <w:rsid w:val="00095151"/>
    <w:rsid w:val="000952BB"/>
    <w:rsid w:val="000953B1"/>
    <w:rsid w:val="000955AA"/>
    <w:rsid w:val="00095774"/>
    <w:rsid w:val="000958D3"/>
    <w:rsid w:val="00095BF2"/>
    <w:rsid w:val="00095C34"/>
    <w:rsid w:val="00095CBB"/>
    <w:rsid w:val="00095D17"/>
    <w:rsid w:val="0009606A"/>
    <w:rsid w:val="00096096"/>
    <w:rsid w:val="00096551"/>
    <w:rsid w:val="00096614"/>
    <w:rsid w:val="000967C0"/>
    <w:rsid w:val="000969F2"/>
    <w:rsid w:val="00096CA6"/>
    <w:rsid w:val="000971D3"/>
    <w:rsid w:val="00097400"/>
    <w:rsid w:val="000974CD"/>
    <w:rsid w:val="00097D8F"/>
    <w:rsid w:val="000A009B"/>
    <w:rsid w:val="000A00BE"/>
    <w:rsid w:val="000A025F"/>
    <w:rsid w:val="000A0279"/>
    <w:rsid w:val="000A0361"/>
    <w:rsid w:val="000A049E"/>
    <w:rsid w:val="000A091D"/>
    <w:rsid w:val="000A0B9F"/>
    <w:rsid w:val="000A1039"/>
    <w:rsid w:val="000A1481"/>
    <w:rsid w:val="000A183B"/>
    <w:rsid w:val="000A1967"/>
    <w:rsid w:val="000A1D64"/>
    <w:rsid w:val="000A1E7C"/>
    <w:rsid w:val="000A2001"/>
    <w:rsid w:val="000A2221"/>
    <w:rsid w:val="000A2229"/>
    <w:rsid w:val="000A249B"/>
    <w:rsid w:val="000A2553"/>
    <w:rsid w:val="000A260A"/>
    <w:rsid w:val="000A27FE"/>
    <w:rsid w:val="000A2D15"/>
    <w:rsid w:val="000A2E36"/>
    <w:rsid w:val="000A2E73"/>
    <w:rsid w:val="000A2F6E"/>
    <w:rsid w:val="000A2FAC"/>
    <w:rsid w:val="000A321A"/>
    <w:rsid w:val="000A3226"/>
    <w:rsid w:val="000A33E1"/>
    <w:rsid w:val="000A33EC"/>
    <w:rsid w:val="000A3B1E"/>
    <w:rsid w:val="000A3B4B"/>
    <w:rsid w:val="000A3D57"/>
    <w:rsid w:val="000A410B"/>
    <w:rsid w:val="000A42D8"/>
    <w:rsid w:val="000A4449"/>
    <w:rsid w:val="000A465E"/>
    <w:rsid w:val="000A4837"/>
    <w:rsid w:val="000A49D5"/>
    <w:rsid w:val="000A4AD6"/>
    <w:rsid w:val="000A4FA5"/>
    <w:rsid w:val="000A516F"/>
    <w:rsid w:val="000A51B5"/>
    <w:rsid w:val="000A535C"/>
    <w:rsid w:val="000A5556"/>
    <w:rsid w:val="000A55DF"/>
    <w:rsid w:val="000A569C"/>
    <w:rsid w:val="000A594E"/>
    <w:rsid w:val="000A59C1"/>
    <w:rsid w:val="000A5B87"/>
    <w:rsid w:val="000A5D9B"/>
    <w:rsid w:val="000A6008"/>
    <w:rsid w:val="000A649A"/>
    <w:rsid w:val="000A652A"/>
    <w:rsid w:val="000A699F"/>
    <w:rsid w:val="000A6B68"/>
    <w:rsid w:val="000A6E18"/>
    <w:rsid w:val="000A6E76"/>
    <w:rsid w:val="000A6E9A"/>
    <w:rsid w:val="000A6F3B"/>
    <w:rsid w:val="000A6F48"/>
    <w:rsid w:val="000A6FE5"/>
    <w:rsid w:val="000A7075"/>
    <w:rsid w:val="000A7958"/>
    <w:rsid w:val="000A7A94"/>
    <w:rsid w:val="000A7BB9"/>
    <w:rsid w:val="000B04D4"/>
    <w:rsid w:val="000B059F"/>
    <w:rsid w:val="000B08CF"/>
    <w:rsid w:val="000B09B8"/>
    <w:rsid w:val="000B0B68"/>
    <w:rsid w:val="000B0CE9"/>
    <w:rsid w:val="000B0D49"/>
    <w:rsid w:val="000B0DE5"/>
    <w:rsid w:val="000B0E11"/>
    <w:rsid w:val="000B0FB4"/>
    <w:rsid w:val="000B101C"/>
    <w:rsid w:val="000B1084"/>
    <w:rsid w:val="000B1146"/>
    <w:rsid w:val="000B122C"/>
    <w:rsid w:val="000B1250"/>
    <w:rsid w:val="000B1537"/>
    <w:rsid w:val="000B16FF"/>
    <w:rsid w:val="000B18A5"/>
    <w:rsid w:val="000B1A80"/>
    <w:rsid w:val="000B1D9C"/>
    <w:rsid w:val="000B222F"/>
    <w:rsid w:val="000B25D1"/>
    <w:rsid w:val="000B25D5"/>
    <w:rsid w:val="000B283F"/>
    <w:rsid w:val="000B2AA9"/>
    <w:rsid w:val="000B2C0C"/>
    <w:rsid w:val="000B2D0D"/>
    <w:rsid w:val="000B2D1C"/>
    <w:rsid w:val="000B2E51"/>
    <w:rsid w:val="000B2EFA"/>
    <w:rsid w:val="000B33AE"/>
    <w:rsid w:val="000B3657"/>
    <w:rsid w:val="000B38C2"/>
    <w:rsid w:val="000B3A87"/>
    <w:rsid w:val="000B3B64"/>
    <w:rsid w:val="000B3C74"/>
    <w:rsid w:val="000B3E88"/>
    <w:rsid w:val="000B3F6D"/>
    <w:rsid w:val="000B44B3"/>
    <w:rsid w:val="000B44F4"/>
    <w:rsid w:val="000B4ABF"/>
    <w:rsid w:val="000B4C71"/>
    <w:rsid w:val="000B52E6"/>
    <w:rsid w:val="000B57FD"/>
    <w:rsid w:val="000B5E83"/>
    <w:rsid w:val="000B6087"/>
    <w:rsid w:val="000B6095"/>
    <w:rsid w:val="000B640C"/>
    <w:rsid w:val="000B6691"/>
    <w:rsid w:val="000B66EE"/>
    <w:rsid w:val="000B69F5"/>
    <w:rsid w:val="000B6B23"/>
    <w:rsid w:val="000B6EB0"/>
    <w:rsid w:val="000B6FB2"/>
    <w:rsid w:val="000B70ED"/>
    <w:rsid w:val="000B722D"/>
    <w:rsid w:val="000B73C4"/>
    <w:rsid w:val="000B7671"/>
    <w:rsid w:val="000B78AF"/>
    <w:rsid w:val="000B78EE"/>
    <w:rsid w:val="000B7C0F"/>
    <w:rsid w:val="000B7EB0"/>
    <w:rsid w:val="000C0468"/>
    <w:rsid w:val="000C0469"/>
    <w:rsid w:val="000C04C0"/>
    <w:rsid w:val="000C0577"/>
    <w:rsid w:val="000C07AE"/>
    <w:rsid w:val="000C087D"/>
    <w:rsid w:val="000C0B0D"/>
    <w:rsid w:val="000C0CD1"/>
    <w:rsid w:val="000C0D92"/>
    <w:rsid w:val="000C0EB9"/>
    <w:rsid w:val="000C0F09"/>
    <w:rsid w:val="000C131C"/>
    <w:rsid w:val="000C14C3"/>
    <w:rsid w:val="000C14C8"/>
    <w:rsid w:val="000C14E8"/>
    <w:rsid w:val="000C15E0"/>
    <w:rsid w:val="000C1638"/>
    <w:rsid w:val="000C17AF"/>
    <w:rsid w:val="000C1F85"/>
    <w:rsid w:val="000C2299"/>
    <w:rsid w:val="000C2A89"/>
    <w:rsid w:val="000C2DD8"/>
    <w:rsid w:val="000C304C"/>
    <w:rsid w:val="000C30D9"/>
    <w:rsid w:val="000C3342"/>
    <w:rsid w:val="000C35EC"/>
    <w:rsid w:val="000C38AE"/>
    <w:rsid w:val="000C3921"/>
    <w:rsid w:val="000C39BF"/>
    <w:rsid w:val="000C3A3B"/>
    <w:rsid w:val="000C417F"/>
    <w:rsid w:val="000C419D"/>
    <w:rsid w:val="000C44A7"/>
    <w:rsid w:val="000C494F"/>
    <w:rsid w:val="000C4B38"/>
    <w:rsid w:val="000C4C48"/>
    <w:rsid w:val="000C4DE3"/>
    <w:rsid w:val="000C51DA"/>
    <w:rsid w:val="000C52F6"/>
    <w:rsid w:val="000C53AA"/>
    <w:rsid w:val="000C59FD"/>
    <w:rsid w:val="000C5F99"/>
    <w:rsid w:val="000C6092"/>
    <w:rsid w:val="000C6376"/>
    <w:rsid w:val="000C63AB"/>
    <w:rsid w:val="000C667C"/>
    <w:rsid w:val="000C696B"/>
    <w:rsid w:val="000C6AD9"/>
    <w:rsid w:val="000C6BA0"/>
    <w:rsid w:val="000C7092"/>
    <w:rsid w:val="000C7506"/>
    <w:rsid w:val="000C7AAE"/>
    <w:rsid w:val="000C7B10"/>
    <w:rsid w:val="000C7B57"/>
    <w:rsid w:val="000C7B9F"/>
    <w:rsid w:val="000CD732"/>
    <w:rsid w:val="000D00A3"/>
    <w:rsid w:val="000D0496"/>
    <w:rsid w:val="000D049F"/>
    <w:rsid w:val="000D04B0"/>
    <w:rsid w:val="000D06E9"/>
    <w:rsid w:val="000D0D05"/>
    <w:rsid w:val="000D0DBB"/>
    <w:rsid w:val="000D1064"/>
    <w:rsid w:val="000D1434"/>
    <w:rsid w:val="000D167D"/>
    <w:rsid w:val="000D1807"/>
    <w:rsid w:val="000D18EE"/>
    <w:rsid w:val="000D19B2"/>
    <w:rsid w:val="000D20A2"/>
    <w:rsid w:val="000D2276"/>
    <w:rsid w:val="000D2458"/>
    <w:rsid w:val="000D258F"/>
    <w:rsid w:val="000D2682"/>
    <w:rsid w:val="000D277F"/>
    <w:rsid w:val="000D28EB"/>
    <w:rsid w:val="000D2A30"/>
    <w:rsid w:val="000D2C67"/>
    <w:rsid w:val="000D34F3"/>
    <w:rsid w:val="000D3820"/>
    <w:rsid w:val="000D3D01"/>
    <w:rsid w:val="000D3E75"/>
    <w:rsid w:val="000D3F54"/>
    <w:rsid w:val="000D3F74"/>
    <w:rsid w:val="000D417B"/>
    <w:rsid w:val="000D431F"/>
    <w:rsid w:val="000D4395"/>
    <w:rsid w:val="000D4591"/>
    <w:rsid w:val="000D45A1"/>
    <w:rsid w:val="000D47DC"/>
    <w:rsid w:val="000D4D2B"/>
    <w:rsid w:val="000D5162"/>
    <w:rsid w:val="000D5193"/>
    <w:rsid w:val="000D5368"/>
    <w:rsid w:val="000D54DE"/>
    <w:rsid w:val="000D5A37"/>
    <w:rsid w:val="000D5B09"/>
    <w:rsid w:val="000D5ED4"/>
    <w:rsid w:val="000D6014"/>
    <w:rsid w:val="000D606F"/>
    <w:rsid w:val="000D60DE"/>
    <w:rsid w:val="000D6573"/>
    <w:rsid w:val="000D67FD"/>
    <w:rsid w:val="000D6A56"/>
    <w:rsid w:val="000D6EE2"/>
    <w:rsid w:val="000D71D4"/>
    <w:rsid w:val="000D757A"/>
    <w:rsid w:val="000D75C8"/>
    <w:rsid w:val="000D76F2"/>
    <w:rsid w:val="000D7AAA"/>
    <w:rsid w:val="000D7C24"/>
    <w:rsid w:val="000D7D23"/>
    <w:rsid w:val="000D7E72"/>
    <w:rsid w:val="000E003E"/>
    <w:rsid w:val="000E009C"/>
    <w:rsid w:val="000E017E"/>
    <w:rsid w:val="000E049A"/>
    <w:rsid w:val="000E064D"/>
    <w:rsid w:val="000E06C5"/>
    <w:rsid w:val="000E085B"/>
    <w:rsid w:val="000E09AB"/>
    <w:rsid w:val="000E0D4B"/>
    <w:rsid w:val="000E0DEF"/>
    <w:rsid w:val="000E102E"/>
    <w:rsid w:val="000E1121"/>
    <w:rsid w:val="000E11BD"/>
    <w:rsid w:val="000E1218"/>
    <w:rsid w:val="000E18DE"/>
    <w:rsid w:val="000E1A34"/>
    <w:rsid w:val="000E1D16"/>
    <w:rsid w:val="000E1F1C"/>
    <w:rsid w:val="000E20ED"/>
    <w:rsid w:val="000E2350"/>
    <w:rsid w:val="000E2668"/>
    <w:rsid w:val="000E26C3"/>
    <w:rsid w:val="000E2906"/>
    <w:rsid w:val="000E29B7"/>
    <w:rsid w:val="000E32FC"/>
    <w:rsid w:val="000E34AA"/>
    <w:rsid w:val="000E3522"/>
    <w:rsid w:val="000E363C"/>
    <w:rsid w:val="000E3681"/>
    <w:rsid w:val="000E37B2"/>
    <w:rsid w:val="000E37F2"/>
    <w:rsid w:val="000E3A4C"/>
    <w:rsid w:val="000E3BC6"/>
    <w:rsid w:val="000E3EC4"/>
    <w:rsid w:val="000E3F58"/>
    <w:rsid w:val="000E42E7"/>
    <w:rsid w:val="000E4645"/>
    <w:rsid w:val="000E4743"/>
    <w:rsid w:val="000E4CBF"/>
    <w:rsid w:val="000E4E0D"/>
    <w:rsid w:val="000E4F46"/>
    <w:rsid w:val="000E5114"/>
    <w:rsid w:val="000E51E0"/>
    <w:rsid w:val="000E52E2"/>
    <w:rsid w:val="000E55FF"/>
    <w:rsid w:val="000E5BA2"/>
    <w:rsid w:val="000E5C83"/>
    <w:rsid w:val="000E61FC"/>
    <w:rsid w:val="000E6434"/>
    <w:rsid w:val="000E64A4"/>
    <w:rsid w:val="000E6C92"/>
    <w:rsid w:val="000E6DD3"/>
    <w:rsid w:val="000E6F09"/>
    <w:rsid w:val="000E715E"/>
    <w:rsid w:val="000E75EC"/>
    <w:rsid w:val="000E77C5"/>
    <w:rsid w:val="000E79A3"/>
    <w:rsid w:val="000E7C10"/>
    <w:rsid w:val="000E7DC6"/>
    <w:rsid w:val="000F035F"/>
    <w:rsid w:val="000F0538"/>
    <w:rsid w:val="000F05D4"/>
    <w:rsid w:val="000F0AF4"/>
    <w:rsid w:val="000F0BE9"/>
    <w:rsid w:val="000F0F3E"/>
    <w:rsid w:val="000F0F5C"/>
    <w:rsid w:val="000F1218"/>
    <w:rsid w:val="000F13F2"/>
    <w:rsid w:val="000F1551"/>
    <w:rsid w:val="000F17E7"/>
    <w:rsid w:val="000F191E"/>
    <w:rsid w:val="000F23EE"/>
    <w:rsid w:val="000F2881"/>
    <w:rsid w:val="000F2984"/>
    <w:rsid w:val="000F321B"/>
    <w:rsid w:val="000F35DA"/>
    <w:rsid w:val="000F3838"/>
    <w:rsid w:val="000F4104"/>
    <w:rsid w:val="000F410A"/>
    <w:rsid w:val="000F420A"/>
    <w:rsid w:val="000F45B7"/>
    <w:rsid w:val="000F4791"/>
    <w:rsid w:val="000F4D2B"/>
    <w:rsid w:val="000F53B1"/>
    <w:rsid w:val="000F53D1"/>
    <w:rsid w:val="000F56E9"/>
    <w:rsid w:val="000F5BA6"/>
    <w:rsid w:val="000F642E"/>
    <w:rsid w:val="000F6561"/>
    <w:rsid w:val="000F6886"/>
    <w:rsid w:val="000F6C0C"/>
    <w:rsid w:val="000F6C3E"/>
    <w:rsid w:val="000F6E05"/>
    <w:rsid w:val="000F708F"/>
    <w:rsid w:val="000F7162"/>
    <w:rsid w:val="000F72E3"/>
    <w:rsid w:val="000F732F"/>
    <w:rsid w:val="000F758D"/>
    <w:rsid w:val="000F7702"/>
    <w:rsid w:val="000F7F7E"/>
    <w:rsid w:val="0010000B"/>
    <w:rsid w:val="001003F8"/>
    <w:rsid w:val="001004F7"/>
    <w:rsid w:val="00100730"/>
    <w:rsid w:val="001008B5"/>
    <w:rsid w:val="00100969"/>
    <w:rsid w:val="00100991"/>
    <w:rsid w:val="00100BE8"/>
    <w:rsid w:val="00100BFE"/>
    <w:rsid w:val="00100C8A"/>
    <w:rsid w:val="00100E60"/>
    <w:rsid w:val="001012F5"/>
    <w:rsid w:val="00101340"/>
    <w:rsid w:val="00101406"/>
    <w:rsid w:val="001014F9"/>
    <w:rsid w:val="00101C8B"/>
    <w:rsid w:val="00101CA9"/>
    <w:rsid w:val="00101D29"/>
    <w:rsid w:val="0010203C"/>
    <w:rsid w:val="001024B3"/>
    <w:rsid w:val="00102A16"/>
    <w:rsid w:val="00102CEF"/>
    <w:rsid w:val="00102EE4"/>
    <w:rsid w:val="00102FC7"/>
    <w:rsid w:val="0010322E"/>
    <w:rsid w:val="00103B9D"/>
    <w:rsid w:val="00103CC9"/>
    <w:rsid w:val="00103EE6"/>
    <w:rsid w:val="0010427E"/>
    <w:rsid w:val="001043F5"/>
    <w:rsid w:val="0010494A"/>
    <w:rsid w:val="001049B8"/>
    <w:rsid w:val="00104DC1"/>
    <w:rsid w:val="00105238"/>
    <w:rsid w:val="0010548F"/>
    <w:rsid w:val="0010560C"/>
    <w:rsid w:val="001058E2"/>
    <w:rsid w:val="00105B3D"/>
    <w:rsid w:val="001068BF"/>
    <w:rsid w:val="001069BC"/>
    <w:rsid w:val="00106BB8"/>
    <w:rsid w:val="00106C19"/>
    <w:rsid w:val="00106E5C"/>
    <w:rsid w:val="0010765C"/>
    <w:rsid w:val="0010774A"/>
    <w:rsid w:val="00107887"/>
    <w:rsid w:val="001078E9"/>
    <w:rsid w:val="00107A0E"/>
    <w:rsid w:val="00107A54"/>
    <w:rsid w:val="00107C27"/>
    <w:rsid w:val="00107C32"/>
    <w:rsid w:val="00107C4A"/>
    <w:rsid w:val="00107EB6"/>
    <w:rsid w:val="00110011"/>
    <w:rsid w:val="0011023F"/>
    <w:rsid w:val="001102ED"/>
    <w:rsid w:val="00110680"/>
    <w:rsid w:val="0011068D"/>
    <w:rsid w:val="00110A3F"/>
    <w:rsid w:val="00110CC1"/>
    <w:rsid w:val="00110D0E"/>
    <w:rsid w:val="00110FB6"/>
    <w:rsid w:val="00111098"/>
    <w:rsid w:val="00111374"/>
    <w:rsid w:val="001113E1"/>
    <w:rsid w:val="0011150B"/>
    <w:rsid w:val="00111733"/>
    <w:rsid w:val="00111835"/>
    <w:rsid w:val="0011190E"/>
    <w:rsid w:val="00111BAC"/>
    <w:rsid w:val="00111DF5"/>
    <w:rsid w:val="00111F9D"/>
    <w:rsid w:val="001120B1"/>
    <w:rsid w:val="001122DC"/>
    <w:rsid w:val="001125C0"/>
    <w:rsid w:val="001126CC"/>
    <w:rsid w:val="001130D7"/>
    <w:rsid w:val="001131A7"/>
    <w:rsid w:val="00113211"/>
    <w:rsid w:val="001135CE"/>
    <w:rsid w:val="00113756"/>
    <w:rsid w:val="00113883"/>
    <w:rsid w:val="001139B7"/>
    <w:rsid w:val="00113BE9"/>
    <w:rsid w:val="00113DB8"/>
    <w:rsid w:val="00113EBF"/>
    <w:rsid w:val="00114044"/>
    <w:rsid w:val="00114413"/>
    <w:rsid w:val="00114502"/>
    <w:rsid w:val="00114530"/>
    <w:rsid w:val="00114728"/>
    <w:rsid w:val="001147D4"/>
    <w:rsid w:val="00114865"/>
    <w:rsid w:val="001149FA"/>
    <w:rsid w:val="00114C36"/>
    <w:rsid w:val="00114C93"/>
    <w:rsid w:val="00114ED5"/>
    <w:rsid w:val="00114FA4"/>
    <w:rsid w:val="0011548E"/>
    <w:rsid w:val="001156C1"/>
    <w:rsid w:val="00115C09"/>
    <w:rsid w:val="00115EEA"/>
    <w:rsid w:val="00116072"/>
    <w:rsid w:val="001160AC"/>
    <w:rsid w:val="00116145"/>
    <w:rsid w:val="0011691B"/>
    <w:rsid w:val="00116B45"/>
    <w:rsid w:val="00116C07"/>
    <w:rsid w:val="0011711A"/>
    <w:rsid w:val="00117763"/>
    <w:rsid w:val="00117799"/>
    <w:rsid w:val="00117CA5"/>
    <w:rsid w:val="00117F28"/>
    <w:rsid w:val="0011B72B"/>
    <w:rsid w:val="00120203"/>
    <w:rsid w:val="00120284"/>
    <w:rsid w:val="001202B1"/>
    <w:rsid w:val="00120307"/>
    <w:rsid w:val="001205BF"/>
    <w:rsid w:val="001206CF"/>
    <w:rsid w:val="00120985"/>
    <w:rsid w:val="001209B3"/>
    <w:rsid w:val="00120BB6"/>
    <w:rsid w:val="00120BD9"/>
    <w:rsid w:val="00120CC6"/>
    <w:rsid w:val="00120DF0"/>
    <w:rsid w:val="0012117D"/>
    <w:rsid w:val="0012117F"/>
    <w:rsid w:val="001213A8"/>
    <w:rsid w:val="00121503"/>
    <w:rsid w:val="001218B9"/>
    <w:rsid w:val="00121A76"/>
    <w:rsid w:val="00121A9C"/>
    <w:rsid w:val="00121D8B"/>
    <w:rsid w:val="00121ED2"/>
    <w:rsid w:val="0012210B"/>
    <w:rsid w:val="0012230B"/>
    <w:rsid w:val="0012231E"/>
    <w:rsid w:val="001223DD"/>
    <w:rsid w:val="00122479"/>
    <w:rsid w:val="001226D7"/>
    <w:rsid w:val="00122838"/>
    <w:rsid w:val="0012283F"/>
    <w:rsid w:val="00122CBA"/>
    <w:rsid w:val="00122D1E"/>
    <w:rsid w:val="00122D5A"/>
    <w:rsid w:val="00122E44"/>
    <w:rsid w:val="00123269"/>
    <w:rsid w:val="00123698"/>
    <w:rsid w:val="001236B1"/>
    <w:rsid w:val="001236F9"/>
    <w:rsid w:val="001237DD"/>
    <w:rsid w:val="00123F35"/>
    <w:rsid w:val="00124014"/>
    <w:rsid w:val="00124629"/>
    <w:rsid w:val="0012466C"/>
    <w:rsid w:val="001248C9"/>
    <w:rsid w:val="001248E7"/>
    <w:rsid w:val="0012495A"/>
    <w:rsid w:val="00124A39"/>
    <w:rsid w:val="00124AE7"/>
    <w:rsid w:val="00124C4D"/>
    <w:rsid w:val="00124F61"/>
    <w:rsid w:val="001252F3"/>
    <w:rsid w:val="00125502"/>
    <w:rsid w:val="0012553A"/>
    <w:rsid w:val="00125774"/>
    <w:rsid w:val="00125791"/>
    <w:rsid w:val="001257CB"/>
    <w:rsid w:val="00125E3D"/>
    <w:rsid w:val="00125F97"/>
    <w:rsid w:val="001269A4"/>
    <w:rsid w:val="00126C6E"/>
    <w:rsid w:val="00126E13"/>
    <w:rsid w:val="00126EB2"/>
    <w:rsid w:val="00127734"/>
    <w:rsid w:val="001277EF"/>
    <w:rsid w:val="00127995"/>
    <w:rsid w:val="00127FD1"/>
    <w:rsid w:val="0013037A"/>
    <w:rsid w:val="0013043F"/>
    <w:rsid w:val="001306F6"/>
    <w:rsid w:val="00130A31"/>
    <w:rsid w:val="00130D46"/>
    <w:rsid w:val="00130F5A"/>
    <w:rsid w:val="00131102"/>
    <w:rsid w:val="00131279"/>
    <w:rsid w:val="00131AA5"/>
    <w:rsid w:val="00131D74"/>
    <w:rsid w:val="00132034"/>
    <w:rsid w:val="00132245"/>
    <w:rsid w:val="00132261"/>
    <w:rsid w:val="001323AB"/>
    <w:rsid w:val="00132436"/>
    <w:rsid w:val="00132575"/>
    <w:rsid w:val="001325EF"/>
    <w:rsid w:val="00132B76"/>
    <w:rsid w:val="00132C41"/>
    <w:rsid w:val="00132CF5"/>
    <w:rsid w:val="00132E6F"/>
    <w:rsid w:val="00132ECD"/>
    <w:rsid w:val="00132EE0"/>
    <w:rsid w:val="00132FB9"/>
    <w:rsid w:val="001330B9"/>
    <w:rsid w:val="00133328"/>
    <w:rsid w:val="0013338F"/>
    <w:rsid w:val="001333D1"/>
    <w:rsid w:val="0013380A"/>
    <w:rsid w:val="00133D5A"/>
    <w:rsid w:val="00133D8B"/>
    <w:rsid w:val="0013419C"/>
    <w:rsid w:val="001341D9"/>
    <w:rsid w:val="00134271"/>
    <w:rsid w:val="00134BF2"/>
    <w:rsid w:val="00134C84"/>
    <w:rsid w:val="00134D43"/>
    <w:rsid w:val="00134F5D"/>
    <w:rsid w:val="001350C2"/>
    <w:rsid w:val="001352B6"/>
    <w:rsid w:val="00135762"/>
    <w:rsid w:val="001358A4"/>
    <w:rsid w:val="00135CCA"/>
    <w:rsid w:val="00135E4B"/>
    <w:rsid w:val="00135EB5"/>
    <w:rsid w:val="00135F20"/>
    <w:rsid w:val="0013603B"/>
    <w:rsid w:val="00136273"/>
    <w:rsid w:val="001362A7"/>
    <w:rsid w:val="00136450"/>
    <w:rsid w:val="001364B6"/>
    <w:rsid w:val="00136708"/>
    <w:rsid w:val="001367F5"/>
    <w:rsid w:val="00136ACB"/>
    <w:rsid w:val="00136AF8"/>
    <w:rsid w:val="00136E5E"/>
    <w:rsid w:val="00137370"/>
    <w:rsid w:val="001375AF"/>
    <w:rsid w:val="00137A5F"/>
    <w:rsid w:val="00137B52"/>
    <w:rsid w:val="00137DAE"/>
    <w:rsid w:val="00140A31"/>
    <w:rsid w:val="0014130D"/>
    <w:rsid w:val="0014132F"/>
    <w:rsid w:val="0014133B"/>
    <w:rsid w:val="001413B0"/>
    <w:rsid w:val="00141597"/>
    <w:rsid w:val="001415C4"/>
    <w:rsid w:val="00141729"/>
    <w:rsid w:val="001417A1"/>
    <w:rsid w:val="00141E41"/>
    <w:rsid w:val="00141EAA"/>
    <w:rsid w:val="00142369"/>
    <w:rsid w:val="001425A7"/>
    <w:rsid w:val="001426B4"/>
    <w:rsid w:val="0014298C"/>
    <w:rsid w:val="00142AF9"/>
    <w:rsid w:val="00142BDB"/>
    <w:rsid w:val="00142CB2"/>
    <w:rsid w:val="00142DCD"/>
    <w:rsid w:val="00142DDC"/>
    <w:rsid w:val="00142EA8"/>
    <w:rsid w:val="00143171"/>
    <w:rsid w:val="001436AC"/>
    <w:rsid w:val="001437EF"/>
    <w:rsid w:val="001438E5"/>
    <w:rsid w:val="00143A7D"/>
    <w:rsid w:val="00143C24"/>
    <w:rsid w:val="00143DDA"/>
    <w:rsid w:val="00143EB8"/>
    <w:rsid w:val="001440BD"/>
    <w:rsid w:val="00144261"/>
    <w:rsid w:val="001445A0"/>
    <w:rsid w:val="0014463C"/>
    <w:rsid w:val="00144695"/>
    <w:rsid w:val="00144876"/>
    <w:rsid w:val="00144BB3"/>
    <w:rsid w:val="00144C54"/>
    <w:rsid w:val="00144ECE"/>
    <w:rsid w:val="00144FE5"/>
    <w:rsid w:val="00145784"/>
    <w:rsid w:val="001458AF"/>
    <w:rsid w:val="00145A66"/>
    <w:rsid w:val="00145B7D"/>
    <w:rsid w:val="00145E0B"/>
    <w:rsid w:val="00145EBE"/>
    <w:rsid w:val="00146135"/>
    <w:rsid w:val="00146662"/>
    <w:rsid w:val="0014666A"/>
    <w:rsid w:val="00146927"/>
    <w:rsid w:val="00146F95"/>
    <w:rsid w:val="001470CC"/>
    <w:rsid w:val="00147501"/>
    <w:rsid w:val="0014753C"/>
    <w:rsid w:val="001478A0"/>
    <w:rsid w:val="00147BE7"/>
    <w:rsid w:val="001501E7"/>
    <w:rsid w:val="00150264"/>
    <w:rsid w:val="00150381"/>
    <w:rsid w:val="001503E4"/>
    <w:rsid w:val="00150442"/>
    <w:rsid w:val="0015047F"/>
    <w:rsid w:val="001507C3"/>
    <w:rsid w:val="00150849"/>
    <w:rsid w:val="0015092F"/>
    <w:rsid w:val="00150AE2"/>
    <w:rsid w:val="00150B2A"/>
    <w:rsid w:val="00150C52"/>
    <w:rsid w:val="0015111A"/>
    <w:rsid w:val="00151269"/>
    <w:rsid w:val="00151433"/>
    <w:rsid w:val="0015185D"/>
    <w:rsid w:val="0015227E"/>
    <w:rsid w:val="001522BE"/>
    <w:rsid w:val="00152349"/>
    <w:rsid w:val="00152AD6"/>
    <w:rsid w:val="00152C73"/>
    <w:rsid w:val="00152D0E"/>
    <w:rsid w:val="00152DD4"/>
    <w:rsid w:val="001537F2"/>
    <w:rsid w:val="00153CD5"/>
    <w:rsid w:val="0015408A"/>
    <w:rsid w:val="00154092"/>
    <w:rsid w:val="001543FA"/>
    <w:rsid w:val="00154A39"/>
    <w:rsid w:val="00154B67"/>
    <w:rsid w:val="00154C66"/>
    <w:rsid w:val="001553AF"/>
    <w:rsid w:val="001554F7"/>
    <w:rsid w:val="00155564"/>
    <w:rsid w:val="00155799"/>
    <w:rsid w:val="00155834"/>
    <w:rsid w:val="00155B22"/>
    <w:rsid w:val="00155E49"/>
    <w:rsid w:val="00155E86"/>
    <w:rsid w:val="001565A0"/>
    <w:rsid w:val="001565D8"/>
    <w:rsid w:val="00156864"/>
    <w:rsid w:val="00156A49"/>
    <w:rsid w:val="00157215"/>
    <w:rsid w:val="00157335"/>
    <w:rsid w:val="0015779E"/>
    <w:rsid w:val="00157966"/>
    <w:rsid w:val="00157A50"/>
    <w:rsid w:val="00157A86"/>
    <w:rsid w:val="00157ECA"/>
    <w:rsid w:val="00160118"/>
    <w:rsid w:val="0016016F"/>
    <w:rsid w:val="00160950"/>
    <w:rsid w:val="00160D76"/>
    <w:rsid w:val="00160EE1"/>
    <w:rsid w:val="001612AE"/>
    <w:rsid w:val="00161367"/>
    <w:rsid w:val="0016166C"/>
    <w:rsid w:val="0016180E"/>
    <w:rsid w:val="0016233B"/>
    <w:rsid w:val="001623B5"/>
    <w:rsid w:val="00162761"/>
    <w:rsid w:val="00162E0A"/>
    <w:rsid w:val="00162E32"/>
    <w:rsid w:val="001630A1"/>
    <w:rsid w:val="001630F1"/>
    <w:rsid w:val="001639CB"/>
    <w:rsid w:val="001639E7"/>
    <w:rsid w:val="00163A7C"/>
    <w:rsid w:val="00163D8E"/>
    <w:rsid w:val="00164192"/>
    <w:rsid w:val="001642F0"/>
    <w:rsid w:val="0016449F"/>
    <w:rsid w:val="00164592"/>
    <w:rsid w:val="00164B22"/>
    <w:rsid w:val="00164EC2"/>
    <w:rsid w:val="001650DD"/>
    <w:rsid w:val="001653D7"/>
    <w:rsid w:val="00165482"/>
    <w:rsid w:val="00165535"/>
    <w:rsid w:val="00165614"/>
    <w:rsid w:val="00165659"/>
    <w:rsid w:val="00165868"/>
    <w:rsid w:val="00165E1E"/>
    <w:rsid w:val="001664BA"/>
    <w:rsid w:val="001666A8"/>
    <w:rsid w:val="001667C6"/>
    <w:rsid w:val="00166903"/>
    <w:rsid w:val="0016690B"/>
    <w:rsid w:val="00166988"/>
    <w:rsid w:val="00166B55"/>
    <w:rsid w:val="00166BF8"/>
    <w:rsid w:val="00166C9C"/>
    <w:rsid w:val="00167170"/>
    <w:rsid w:val="00167427"/>
    <w:rsid w:val="001674D2"/>
    <w:rsid w:val="001677AD"/>
    <w:rsid w:val="001678AA"/>
    <w:rsid w:val="001679FB"/>
    <w:rsid w:val="00167B51"/>
    <w:rsid w:val="00170197"/>
    <w:rsid w:val="001701A2"/>
    <w:rsid w:val="001703F2"/>
    <w:rsid w:val="0017051E"/>
    <w:rsid w:val="0017066B"/>
    <w:rsid w:val="001709BF"/>
    <w:rsid w:val="00170ABD"/>
    <w:rsid w:val="00170C2D"/>
    <w:rsid w:val="00170E5B"/>
    <w:rsid w:val="00170F1E"/>
    <w:rsid w:val="00171148"/>
    <w:rsid w:val="001711E9"/>
    <w:rsid w:val="00171246"/>
    <w:rsid w:val="00171738"/>
    <w:rsid w:val="00171739"/>
    <w:rsid w:val="00171D71"/>
    <w:rsid w:val="00171F0B"/>
    <w:rsid w:val="00171FDE"/>
    <w:rsid w:val="00172407"/>
    <w:rsid w:val="00172595"/>
    <w:rsid w:val="0017260E"/>
    <w:rsid w:val="001728F0"/>
    <w:rsid w:val="00172FBD"/>
    <w:rsid w:val="0017301D"/>
    <w:rsid w:val="001730BE"/>
    <w:rsid w:val="00173121"/>
    <w:rsid w:val="00173277"/>
    <w:rsid w:val="00173305"/>
    <w:rsid w:val="00173608"/>
    <w:rsid w:val="001739CD"/>
    <w:rsid w:val="00173B59"/>
    <w:rsid w:val="00173B88"/>
    <w:rsid w:val="001743D1"/>
    <w:rsid w:val="001746B7"/>
    <w:rsid w:val="001746CD"/>
    <w:rsid w:val="0017489D"/>
    <w:rsid w:val="00174A03"/>
    <w:rsid w:val="00174C1D"/>
    <w:rsid w:val="00174C50"/>
    <w:rsid w:val="00174E65"/>
    <w:rsid w:val="00174E86"/>
    <w:rsid w:val="00174FCD"/>
    <w:rsid w:val="0017512D"/>
    <w:rsid w:val="00175482"/>
    <w:rsid w:val="00175763"/>
    <w:rsid w:val="0017589E"/>
    <w:rsid w:val="00175ABA"/>
    <w:rsid w:val="00175B3C"/>
    <w:rsid w:val="00175EBD"/>
    <w:rsid w:val="0017681A"/>
    <w:rsid w:val="00176918"/>
    <w:rsid w:val="00177100"/>
    <w:rsid w:val="0017726A"/>
    <w:rsid w:val="00177370"/>
    <w:rsid w:val="00177756"/>
    <w:rsid w:val="00177820"/>
    <w:rsid w:val="00177C9C"/>
    <w:rsid w:val="00177E64"/>
    <w:rsid w:val="00177EA4"/>
    <w:rsid w:val="00180186"/>
    <w:rsid w:val="001805DB"/>
    <w:rsid w:val="001806CA"/>
    <w:rsid w:val="001807FF"/>
    <w:rsid w:val="001809BE"/>
    <w:rsid w:val="00180A5F"/>
    <w:rsid w:val="00180ABF"/>
    <w:rsid w:val="00180CCA"/>
    <w:rsid w:val="00180D14"/>
    <w:rsid w:val="00180DBB"/>
    <w:rsid w:val="001814CE"/>
    <w:rsid w:val="001816A1"/>
    <w:rsid w:val="0018173F"/>
    <w:rsid w:val="0018176D"/>
    <w:rsid w:val="0018182B"/>
    <w:rsid w:val="00181960"/>
    <w:rsid w:val="0018197F"/>
    <w:rsid w:val="00181ADA"/>
    <w:rsid w:val="00181C65"/>
    <w:rsid w:val="00181E7F"/>
    <w:rsid w:val="0018231B"/>
    <w:rsid w:val="00182504"/>
    <w:rsid w:val="001826AA"/>
    <w:rsid w:val="001826F6"/>
    <w:rsid w:val="00182866"/>
    <w:rsid w:val="00182912"/>
    <w:rsid w:val="0018298B"/>
    <w:rsid w:val="00182999"/>
    <w:rsid w:val="00183223"/>
    <w:rsid w:val="001832E4"/>
    <w:rsid w:val="001837B1"/>
    <w:rsid w:val="001837EE"/>
    <w:rsid w:val="001838D5"/>
    <w:rsid w:val="0018393F"/>
    <w:rsid w:val="001839A9"/>
    <w:rsid w:val="00184008"/>
    <w:rsid w:val="0018402E"/>
    <w:rsid w:val="001840ED"/>
    <w:rsid w:val="0018476B"/>
    <w:rsid w:val="001847A0"/>
    <w:rsid w:val="00184843"/>
    <w:rsid w:val="00184A91"/>
    <w:rsid w:val="00184B6B"/>
    <w:rsid w:val="0018502A"/>
    <w:rsid w:val="00185122"/>
    <w:rsid w:val="00185392"/>
    <w:rsid w:val="0018545F"/>
    <w:rsid w:val="00185624"/>
    <w:rsid w:val="00185A6A"/>
    <w:rsid w:val="00185D1A"/>
    <w:rsid w:val="00185E26"/>
    <w:rsid w:val="00186119"/>
    <w:rsid w:val="0018618B"/>
    <w:rsid w:val="0018638A"/>
    <w:rsid w:val="00186A2F"/>
    <w:rsid w:val="00186A9D"/>
    <w:rsid w:val="00186C0B"/>
    <w:rsid w:val="00186C38"/>
    <w:rsid w:val="00186DB9"/>
    <w:rsid w:val="00187091"/>
    <w:rsid w:val="00187215"/>
    <w:rsid w:val="00187465"/>
    <w:rsid w:val="00187845"/>
    <w:rsid w:val="00187A51"/>
    <w:rsid w:val="00187BBB"/>
    <w:rsid w:val="00187C1C"/>
    <w:rsid w:val="00187F3F"/>
    <w:rsid w:val="001902D6"/>
    <w:rsid w:val="0019085B"/>
    <w:rsid w:val="00190A16"/>
    <w:rsid w:val="00190B00"/>
    <w:rsid w:val="00190C1B"/>
    <w:rsid w:val="00190D94"/>
    <w:rsid w:val="00190EB7"/>
    <w:rsid w:val="001914F8"/>
    <w:rsid w:val="0019161E"/>
    <w:rsid w:val="00191852"/>
    <w:rsid w:val="00191B83"/>
    <w:rsid w:val="00191DA6"/>
    <w:rsid w:val="00191FE6"/>
    <w:rsid w:val="001920A2"/>
    <w:rsid w:val="001922E5"/>
    <w:rsid w:val="00192303"/>
    <w:rsid w:val="00192879"/>
    <w:rsid w:val="00192A5F"/>
    <w:rsid w:val="00192A7A"/>
    <w:rsid w:val="00192B7C"/>
    <w:rsid w:val="001930B5"/>
    <w:rsid w:val="00193510"/>
    <w:rsid w:val="001935C3"/>
    <w:rsid w:val="001943BD"/>
    <w:rsid w:val="00194690"/>
    <w:rsid w:val="00194A74"/>
    <w:rsid w:val="00194BA8"/>
    <w:rsid w:val="00194C4E"/>
    <w:rsid w:val="00194F68"/>
    <w:rsid w:val="001951EC"/>
    <w:rsid w:val="001952CD"/>
    <w:rsid w:val="00195A33"/>
    <w:rsid w:val="00195BEC"/>
    <w:rsid w:val="00195C26"/>
    <w:rsid w:val="00195DA5"/>
    <w:rsid w:val="00196336"/>
    <w:rsid w:val="001966A1"/>
    <w:rsid w:val="001966BD"/>
    <w:rsid w:val="0019684A"/>
    <w:rsid w:val="0019687B"/>
    <w:rsid w:val="001969EA"/>
    <w:rsid w:val="00196A5D"/>
    <w:rsid w:val="00196ADF"/>
    <w:rsid w:val="00196BFC"/>
    <w:rsid w:val="00196C8A"/>
    <w:rsid w:val="00196D13"/>
    <w:rsid w:val="00196F39"/>
    <w:rsid w:val="00197098"/>
    <w:rsid w:val="00197297"/>
    <w:rsid w:val="00197660"/>
    <w:rsid w:val="001976FD"/>
    <w:rsid w:val="00197745"/>
    <w:rsid w:val="001979C9"/>
    <w:rsid w:val="00197C44"/>
    <w:rsid w:val="00197EF2"/>
    <w:rsid w:val="00197F2A"/>
    <w:rsid w:val="001A0089"/>
    <w:rsid w:val="001A057E"/>
    <w:rsid w:val="001A0A11"/>
    <w:rsid w:val="001A0A9C"/>
    <w:rsid w:val="001A0EA3"/>
    <w:rsid w:val="001A0F56"/>
    <w:rsid w:val="001A0FB2"/>
    <w:rsid w:val="001A0FEF"/>
    <w:rsid w:val="001A113F"/>
    <w:rsid w:val="001A12B1"/>
    <w:rsid w:val="001A12FA"/>
    <w:rsid w:val="001A1643"/>
    <w:rsid w:val="001A1753"/>
    <w:rsid w:val="001A17AC"/>
    <w:rsid w:val="001A1A1C"/>
    <w:rsid w:val="001A1CDD"/>
    <w:rsid w:val="001A221F"/>
    <w:rsid w:val="001A232E"/>
    <w:rsid w:val="001A250C"/>
    <w:rsid w:val="001A2904"/>
    <w:rsid w:val="001A2A7B"/>
    <w:rsid w:val="001A301E"/>
    <w:rsid w:val="001A3046"/>
    <w:rsid w:val="001A32F0"/>
    <w:rsid w:val="001A3458"/>
    <w:rsid w:val="001A3677"/>
    <w:rsid w:val="001A3678"/>
    <w:rsid w:val="001A3817"/>
    <w:rsid w:val="001A3DD7"/>
    <w:rsid w:val="001A4088"/>
    <w:rsid w:val="001A4089"/>
    <w:rsid w:val="001A4440"/>
    <w:rsid w:val="001A485F"/>
    <w:rsid w:val="001A4A25"/>
    <w:rsid w:val="001A4CB4"/>
    <w:rsid w:val="001A4E62"/>
    <w:rsid w:val="001A4E82"/>
    <w:rsid w:val="001A50E8"/>
    <w:rsid w:val="001A52ED"/>
    <w:rsid w:val="001A54AD"/>
    <w:rsid w:val="001A5533"/>
    <w:rsid w:val="001A569E"/>
    <w:rsid w:val="001A5781"/>
    <w:rsid w:val="001A58D3"/>
    <w:rsid w:val="001A5BE9"/>
    <w:rsid w:val="001A5C55"/>
    <w:rsid w:val="001A5D26"/>
    <w:rsid w:val="001A5EA5"/>
    <w:rsid w:val="001A6383"/>
    <w:rsid w:val="001A6781"/>
    <w:rsid w:val="001A6B0C"/>
    <w:rsid w:val="001A6B64"/>
    <w:rsid w:val="001A6B80"/>
    <w:rsid w:val="001A6D8C"/>
    <w:rsid w:val="001A6E59"/>
    <w:rsid w:val="001A7191"/>
    <w:rsid w:val="001A75CE"/>
    <w:rsid w:val="001A7815"/>
    <w:rsid w:val="001A7896"/>
    <w:rsid w:val="001A78A1"/>
    <w:rsid w:val="001A7FBE"/>
    <w:rsid w:val="001B016A"/>
    <w:rsid w:val="001B02C1"/>
    <w:rsid w:val="001B0605"/>
    <w:rsid w:val="001B0972"/>
    <w:rsid w:val="001B0DEB"/>
    <w:rsid w:val="001B0EEC"/>
    <w:rsid w:val="001B0FE6"/>
    <w:rsid w:val="001B11C2"/>
    <w:rsid w:val="001B14F6"/>
    <w:rsid w:val="001B1E7C"/>
    <w:rsid w:val="001B2278"/>
    <w:rsid w:val="001B249C"/>
    <w:rsid w:val="001B253B"/>
    <w:rsid w:val="001B2876"/>
    <w:rsid w:val="001B2958"/>
    <w:rsid w:val="001B2D16"/>
    <w:rsid w:val="001B2FD4"/>
    <w:rsid w:val="001B3101"/>
    <w:rsid w:val="001B3319"/>
    <w:rsid w:val="001B3538"/>
    <w:rsid w:val="001B36A1"/>
    <w:rsid w:val="001B3B58"/>
    <w:rsid w:val="001B3E8C"/>
    <w:rsid w:val="001B463D"/>
    <w:rsid w:val="001B482C"/>
    <w:rsid w:val="001B4965"/>
    <w:rsid w:val="001B4C14"/>
    <w:rsid w:val="001B4DF7"/>
    <w:rsid w:val="001B541B"/>
    <w:rsid w:val="001B55B6"/>
    <w:rsid w:val="001B57ED"/>
    <w:rsid w:val="001B5922"/>
    <w:rsid w:val="001B5E7C"/>
    <w:rsid w:val="001B6A7D"/>
    <w:rsid w:val="001B6B4B"/>
    <w:rsid w:val="001B6DD0"/>
    <w:rsid w:val="001B6E2C"/>
    <w:rsid w:val="001B74C1"/>
    <w:rsid w:val="001B7648"/>
    <w:rsid w:val="001B7968"/>
    <w:rsid w:val="001C02DE"/>
    <w:rsid w:val="001C0391"/>
    <w:rsid w:val="001C0546"/>
    <w:rsid w:val="001C05FA"/>
    <w:rsid w:val="001C06D1"/>
    <w:rsid w:val="001C0721"/>
    <w:rsid w:val="001C09AF"/>
    <w:rsid w:val="001C0B62"/>
    <w:rsid w:val="001C0DFD"/>
    <w:rsid w:val="001C103E"/>
    <w:rsid w:val="001C106B"/>
    <w:rsid w:val="001C1199"/>
    <w:rsid w:val="001C1463"/>
    <w:rsid w:val="001C15AD"/>
    <w:rsid w:val="001C15E3"/>
    <w:rsid w:val="001C1797"/>
    <w:rsid w:val="001C1812"/>
    <w:rsid w:val="001C1AC4"/>
    <w:rsid w:val="001C210A"/>
    <w:rsid w:val="001C21A6"/>
    <w:rsid w:val="001C234B"/>
    <w:rsid w:val="001C24AB"/>
    <w:rsid w:val="001C2517"/>
    <w:rsid w:val="001C30D0"/>
    <w:rsid w:val="001C31A1"/>
    <w:rsid w:val="001C33BF"/>
    <w:rsid w:val="001C36A6"/>
    <w:rsid w:val="001C3709"/>
    <w:rsid w:val="001C384D"/>
    <w:rsid w:val="001C396C"/>
    <w:rsid w:val="001C3A01"/>
    <w:rsid w:val="001C4068"/>
    <w:rsid w:val="001C4379"/>
    <w:rsid w:val="001C4470"/>
    <w:rsid w:val="001C450D"/>
    <w:rsid w:val="001C48BA"/>
    <w:rsid w:val="001C49E7"/>
    <w:rsid w:val="001C4A1E"/>
    <w:rsid w:val="001C4B79"/>
    <w:rsid w:val="001C50EF"/>
    <w:rsid w:val="001C5426"/>
    <w:rsid w:val="001C546B"/>
    <w:rsid w:val="001C56E4"/>
    <w:rsid w:val="001C587B"/>
    <w:rsid w:val="001C5CE5"/>
    <w:rsid w:val="001C61EC"/>
    <w:rsid w:val="001C6467"/>
    <w:rsid w:val="001C64C9"/>
    <w:rsid w:val="001C6A92"/>
    <w:rsid w:val="001C6C9F"/>
    <w:rsid w:val="001C7187"/>
    <w:rsid w:val="001C71C1"/>
    <w:rsid w:val="001C7455"/>
    <w:rsid w:val="001C7487"/>
    <w:rsid w:val="001C75F6"/>
    <w:rsid w:val="001C7739"/>
    <w:rsid w:val="001C779D"/>
    <w:rsid w:val="001C7B19"/>
    <w:rsid w:val="001C7C40"/>
    <w:rsid w:val="001C7CAD"/>
    <w:rsid w:val="001D0430"/>
    <w:rsid w:val="001D115C"/>
    <w:rsid w:val="001D1584"/>
    <w:rsid w:val="001D19F8"/>
    <w:rsid w:val="001D22C4"/>
    <w:rsid w:val="001D2362"/>
    <w:rsid w:val="001D23E3"/>
    <w:rsid w:val="001D289F"/>
    <w:rsid w:val="001D298D"/>
    <w:rsid w:val="001D2B8A"/>
    <w:rsid w:val="001D2C6D"/>
    <w:rsid w:val="001D2D49"/>
    <w:rsid w:val="001D323F"/>
    <w:rsid w:val="001D3398"/>
    <w:rsid w:val="001D3625"/>
    <w:rsid w:val="001D3B00"/>
    <w:rsid w:val="001D3EB0"/>
    <w:rsid w:val="001D4E10"/>
    <w:rsid w:val="001D4EE5"/>
    <w:rsid w:val="001D4F33"/>
    <w:rsid w:val="001D504A"/>
    <w:rsid w:val="001D50D1"/>
    <w:rsid w:val="001D562D"/>
    <w:rsid w:val="001D5638"/>
    <w:rsid w:val="001D5905"/>
    <w:rsid w:val="001D5C66"/>
    <w:rsid w:val="001D5DBD"/>
    <w:rsid w:val="001D5ED8"/>
    <w:rsid w:val="001D5F83"/>
    <w:rsid w:val="001D6009"/>
    <w:rsid w:val="001D60E3"/>
    <w:rsid w:val="001D6331"/>
    <w:rsid w:val="001D63BB"/>
    <w:rsid w:val="001D6516"/>
    <w:rsid w:val="001D65AF"/>
    <w:rsid w:val="001D65EA"/>
    <w:rsid w:val="001D66CD"/>
    <w:rsid w:val="001D6800"/>
    <w:rsid w:val="001D6D91"/>
    <w:rsid w:val="001D6E63"/>
    <w:rsid w:val="001D72F8"/>
    <w:rsid w:val="001D73C9"/>
    <w:rsid w:val="001D7725"/>
    <w:rsid w:val="001D794C"/>
    <w:rsid w:val="001D7BEB"/>
    <w:rsid w:val="001D7F00"/>
    <w:rsid w:val="001E0148"/>
    <w:rsid w:val="001E0207"/>
    <w:rsid w:val="001E0A1E"/>
    <w:rsid w:val="001E0B0E"/>
    <w:rsid w:val="001E0DDD"/>
    <w:rsid w:val="001E0F07"/>
    <w:rsid w:val="001E0F56"/>
    <w:rsid w:val="001E0F6B"/>
    <w:rsid w:val="001E11F9"/>
    <w:rsid w:val="001E1253"/>
    <w:rsid w:val="001E1421"/>
    <w:rsid w:val="001E1475"/>
    <w:rsid w:val="001E169E"/>
    <w:rsid w:val="001E17C8"/>
    <w:rsid w:val="001E1B13"/>
    <w:rsid w:val="001E1C46"/>
    <w:rsid w:val="001E1EA5"/>
    <w:rsid w:val="001E1EB6"/>
    <w:rsid w:val="001E2091"/>
    <w:rsid w:val="001E22B8"/>
    <w:rsid w:val="001E268D"/>
    <w:rsid w:val="001E2967"/>
    <w:rsid w:val="001E29F6"/>
    <w:rsid w:val="001E3065"/>
    <w:rsid w:val="001E3228"/>
    <w:rsid w:val="001E3499"/>
    <w:rsid w:val="001E36E6"/>
    <w:rsid w:val="001E36FF"/>
    <w:rsid w:val="001E3B1E"/>
    <w:rsid w:val="001E3DF1"/>
    <w:rsid w:val="001E3FD0"/>
    <w:rsid w:val="001E4545"/>
    <w:rsid w:val="001E4919"/>
    <w:rsid w:val="001E4C87"/>
    <w:rsid w:val="001E4F3A"/>
    <w:rsid w:val="001E501E"/>
    <w:rsid w:val="001E536A"/>
    <w:rsid w:val="001E5660"/>
    <w:rsid w:val="001E584A"/>
    <w:rsid w:val="001E5956"/>
    <w:rsid w:val="001E59A1"/>
    <w:rsid w:val="001E6273"/>
    <w:rsid w:val="001E6344"/>
    <w:rsid w:val="001E645C"/>
    <w:rsid w:val="001E6B7D"/>
    <w:rsid w:val="001E6C6F"/>
    <w:rsid w:val="001E6E51"/>
    <w:rsid w:val="001E6E6F"/>
    <w:rsid w:val="001E6F7E"/>
    <w:rsid w:val="001E7516"/>
    <w:rsid w:val="001E776D"/>
    <w:rsid w:val="001E77F8"/>
    <w:rsid w:val="001E7D99"/>
    <w:rsid w:val="001F01DF"/>
    <w:rsid w:val="001F02C0"/>
    <w:rsid w:val="001F071B"/>
    <w:rsid w:val="001F094E"/>
    <w:rsid w:val="001F0BE4"/>
    <w:rsid w:val="001F1253"/>
    <w:rsid w:val="001F136B"/>
    <w:rsid w:val="001F1584"/>
    <w:rsid w:val="001F1590"/>
    <w:rsid w:val="001F17CC"/>
    <w:rsid w:val="001F181A"/>
    <w:rsid w:val="001F1965"/>
    <w:rsid w:val="001F2005"/>
    <w:rsid w:val="001F2116"/>
    <w:rsid w:val="001F22CB"/>
    <w:rsid w:val="001F2478"/>
    <w:rsid w:val="001F2655"/>
    <w:rsid w:val="001F2ACA"/>
    <w:rsid w:val="001F2CA6"/>
    <w:rsid w:val="001F3220"/>
    <w:rsid w:val="001F32B1"/>
    <w:rsid w:val="001F331D"/>
    <w:rsid w:val="001F34E9"/>
    <w:rsid w:val="001F353E"/>
    <w:rsid w:val="001F3829"/>
    <w:rsid w:val="001F3964"/>
    <w:rsid w:val="001F39BB"/>
    <w:rsid w:val="001F3DAD"/>
    <w:rsid w:val="001F3F29"/>
    <w:rsid w:val="001F41C0"/>
    <w:rsid w:val="001F4260"/>
    <w:rsid w:val="001F42D0"/>
    <w:rsid w:val="001F43B7"/>
    <w:rsid w:val="001F43E5"/>
    <w:rsid w:val="001F4488"/>
    <w:rsid w:val="001F44AD"/>
    <w:rsid w:val="001F4784"/>
    <w:rsid w:val="001F4820"/>
    <w:rsid w:val="001F4DAC"/>
    <w:rsid w:val="001F5477"/>
    <w:rsid w:val="001F5712"/>
    <w:rsid w:val="001F57B5"/>
    <w:rsid w:val="001F581A"/>
    <w:rsid w:val="001F5A18"/>
    <w:rsid w:val="001F5A9C"/>
    <w:rsid w:val="001F5BE8"/>
    <w:rsid w:val="001F5C0C"/>
    <w:rsid w:val="001F5D6F"/>
    <w:rsid w:val="001F6209"/>
    <w:rsid w:val="001F6274"/>
    <w:rsid w:val="001F6544"/>
    <w:rsid w:val="001F6573"/>
    <w:rsid w:val="001F6B68"/>
    <w:rsid w:val="001F6BC6"/>
    <w:rsid w:val="001F6D8F"/>
    <w:rsid w:val="001F6DC7"/>
    <w:rsid w:val="001F7697"/>
    <w:rsid w:val="001F79EB"/>
    <w:rsid w:val="001F7C46"/>
    <w:rsid w:val="001F7CD5"/>
    <w:rsid w:val="001F7D63"/>
    <w:rsid w:val="00200006"/>
    <w:rsid w:val="00200034"/>
    <w:rsid w:val="00200260"/>
    <w:rsid w:val="002003BF"/>
    <w:rsid w:val="00200470"/>
    <w:rsid w:val="002005CB"/>
    <w:rsid w:val="0020069C"/>
    <w:rsid w:val="002006EE"/>
    <w:rsid w:val="002009DC"/>
    <w:rsid w:val="00200EA5"/>
    <w:rsid w:val="002011C0"/>
    <w:rsid w:val="0020122E"/>
    <w:rsid w:val="00201327"/>
    <w:rsid w:val="002013D6"/>
    <w:rsid w:val="00201962"/>
    <w:rsid w:val="00201BAD"/>
    <w:rsid w:val="00201BB0"/>
    <w:rsid w:val="00201C57"/>
    <w:rsid w:val="00201C5A"/>
    <w:rsid w:val="00201DAD"/>
    <w:rsid w:val="00201FF6"/>
    <w:rsid w:val="00201FFE"/>
    <w:rsid w:val="002021A9"/>
    <w:rsid w:val="00202248"/>
    <w:rsid w:val="002022E2"/>
    <w:rsid w:val="0020276B"/>
    <w:rsid w:val="0020276F"/>
    <w:rsid w:val="00202905"/>
    <w:rsid w:val="00202B22"/>
    <w:rsid w:val="00202DF6"/>
    <w:rsid w:val="00202E74"/>
    <w:rsid w:val="00202EF4"/>
    <w:rsid w:val="002031B9"/>
    <w:rsid w:val="00203242"/>
    <w:rsid w:val="00203356"/>
    <w:rsid w:val="002033F6"/>
    <w:rsid w:val="0020342E"/>
    <w:rsid w:val="0020358B"/>
    <w:rsid w:val="002037D9"/>
    <w:rsid w:val="002038A0"/>
    <w:rsid w:val="0020395F"/>
    <w:rsid w:val="00203B9A"/>
    <w:rsid w:val="00203BAE"/>
    <w:rsid w:val="00203C17"/>
    <w:rsid w:val="00203C81"/>
    <w:rsid w:val="00203CB4"/>
    <w:rsid w:val="00203D56"/>
    <w:rsid w:val="00203EDB"/>
    <w:rsid w:val="00204009"/>
    <w:rsid w:val="00204047"/>
    <w:rsid w:val="0020419C"/>
    <w:rsid w:val="00204212"/>
    <w:rsid w:val="00204321"/>
    <w:rsid w:val="00204412"/>
    <w:rsid w:val="00204DC8"/>
    <w:rsid w:val="00204E12"/>
    <w:rsid w:val="00205290"/>
    <w:rsid w:val="00205685"/>
    <w:rsid w:val="00205B69"/>
    <w:rsid w:val="00205BB1"/>
    <w:rsid w:val="00205BBA"/>
    <w:rsid w:val="00205C48"/>
    <w:rsid w:val="0020623D"/>
    <w:rsid w:val="00206361"/>
    <w:rsid w:val="002068BF"/>
    <w:rsid w:val="00206909"/>
    <w:rsid w:val="00206C14"/>
    <w:rsid w:val="00206D47"/>
    <w:rsid w:val="00206D5E"/>
    <w:rsid w:val="002075E5"/>
    <w:rsid w:val="00207939"/>
    <w:rsid w:val="00207948"/>
    <w:rsid w:val="00207BC8"/>
    <w:rsid w:val="00207C7C"/>
    <w:rsid w:val="00207E58"/>
    <w:rsid w:val="00210509"/>
    <w:rsid w:val="00210760"/>
    <w:rsid w:val="00210A34"/>
    <w:rsid w:val="00210AE2"/>
    <w:rsid w:val="00210B2A"/>
    <w:rsid w:val="00211057"/>
    <w:rsid w:val="002110D0"/>
    <w:rsid w:val="002111A5"/>
    <w:rsid w:val="00211398"/>
    <w:rsid w:val="00211793"/>
    <w:rsid w:val="00211DD1"/>
    <w:rsid w:val="002120AD"/>
    <w:rsid w:val="002121BD"/>
    <w:rsid w:val="002121E2"/>
    <w:rsid w:val="00212344"/>
    <w:rsid w:val="00212413"/>
    <w:rsid w:val="00212611"/>
    <w:rsid w:val="002127BC"/>
    <w:rsid w:val="0021281C"/>
    <w:rsid w:val="00212993"/>
    <w:rsid w:val="00212A27"/>
    <w:rsid w:val="00212AD5"/>
    <w:rsid w:val="00212DD5"/>
    <w:rsid w:val="002133EF"/>
    <w:rsid w:val="00213437"/>
    <w:rsid w:val="00213815"/>
    <w:rsid w:val="002138DC"/>
    <w:rsid w:val="00213CE6"/>
    <w:rsid w:val="0021483A"/>
    <w:rsid w:val="00214A92"/>
    <w:rsid w:val="00214AD1"/>
    <w:rsid w:val="00214AF1"/>
    <w:rsid w:val="00214CB5"/>
    <w:rsid w:val="00214EC8"/>
    <w:rsid w:val="0021526F"/>
    <w:rsid w:val="0021530A"/>
    <w:rsid w:val="00215322"/>
    <w:rsid w:val="00215528"/>
    <w:rsid w:val="002156D2"/>
    <w:rsid w:val="00215818"/>
    <w:rsid w:val="0021587B"/>
    <w:rsid w:val="002158D4"/>
    <w:rsid w:val="00215CBB"/>
    <w:rsid w:val="00215CCA"/>
    <w:rsid w:val="00215EEC"/>
    <w:rsid w:val="00215FF9"/>
    <w:rsid w:val="00216120"/>
    <w:rsid w:val="00216192"/>
    <w:rsid w:val="0021625F"/>
    <w:rsid w:val="00216833"/>
    <w:rsid w:val="00216AA0"/>
    <w:rsid w:val="00216B83"/>
    <w:rsid w:val="00216F28"/>
    <w:rsid w:val="00216F9B"/>
    <w:rsid w:val="002171C0"/>
    <w:rsid w:val="00217212"/>
    <w:rsid w:val="0021754E"/>
    <w:rsid w:val="00217617"/>
    <w:rsid w:val="0021761D"/>
    <w:rsid w:val="0021775A"/>
    <w:rsid w:val="00217BB1"/>
    <w:rsid w:val="00217E8C"/>
    <w:rsid w:val="0022004C"/>
    <w:rsid w:val="002201DE"/>
    <w:rsid w:val="0022028B"/>
    <w:rsid w:val="002202A3"/>
    <w:rsid w:val="00220417"/>
    <w:rsid w:val="002207F0"/>
    <w:rsid w:val="00220937"/>
    <w:rsid w:val="00220ABE"/>
    <w:rsid w:val="00220E19"/>
    <w:rsid w:val="00220EAF"/>
    <w:rsid w:val="00221789"/>
    <w:rsid w:val="0022179F"/>
    <w:rsid w:val="002219FF"/>
    <w:rsid w:val="00221A07"/>
    <w:rsid w:val="00221AAC"/>
    <w:rsid w:val="00221DC4"/>
    <w:rsid w:val="00221E04"/>
    <w:rsid w:val="00221F39"/>
    <w:rsid w:val="00222055"/>
    <w:rsid w:val="0022205D"/>
    <w:rsid w:val="00222123"/>
    <w:rsid w:val="0022221C"/>
    <w:rsid w:val="00222459"/>
    <w:rsid w:val="002228BA"/>
    <w:rsid w:val="00223268"/>
    <w:rsid w:val="00223BA3"/>
    <w:rsid w:val="00223DED"/>
    <w:rsid w:val="002242BC"/>
    <w:rsid w:val="002244F2"/>
    <w:rsid w:val="00224822"/>
    <w:rsid w:val="00224C51"/>
    <w:rsid w:val="00224E0F"/>
    <w:rsid w:val="00225001"/>
    <w:rsid w:val="00225758"/>
    <w:rsid w:val="002257FC"/>
    <w:rsid w:val="00225988"/>
    <w:rsid w:val="00225AD3"/>
    <w:rsid w:val="00225BA1"/>
    <w:rsid w:val="00225D98"/>
    <w:rsid w:val="00225FB5"/>
    <w:rsid w:val="002260C3"/>
    <w:rsid w:val="002262BF"/>
    <w:rsid w:val="002263FB"/>
    <w:rsid w:val="00226911"/>
    <w:rsid w:val="00226B6D"/>
    <w:rsid w:val="00226C0E"/>
    <w:rsid w:val="00226DAD"/>
    <w:rsid w:val="00226DBE"/>
    <w:rsid w:val="00226F29"/>
    <w:rsid w:val="002272CD"/>
    <w:rsid w:val="00227681"/>
    <w:rsid w:val="00227A5B"/>
    <w:rsid w:val="00227E3A"/>
    <w:rsid w:val="002300F3"/>
    <w:rsid w:val="0023040F"/>
    <w:rsid w:val="0023087E"/>
    <w:rsid w:val="00230F56"/>
    <w:rsid w:val="002313FB"/>
    <w:rsid w:val="002314A5"/>
    <w:rsid w:val="002316BB"/>
    <w:rsid w:val="0023170C"/>
    <w:rsid w:val="00231B45"/>
    <w:rsid w:val="00231D08"/>
    <w:rsid w:val="00231F27"/>
    <w:rsid w:val="00232473"/>
    <w:rsid w:val="00232902"/>
    <w:rsid w:val="00232935"/>
    <w:rsid w:val="002329D6"/>
    <w:rsid w:val="00232AA7"/>
    <w:rsid w:val="00232CEE"/>
    <w:rsid w:val="00233261"/>
    <w:rsid w:val="00233343"/>
    <w:rsid w:val="0023346A"/>
    <w:rsid w:val="002335AE"/>
    <w:rsid w:val="002337B3"/>
    <w:rsid w:val="00233926"/>
    <w:rsid w:val="0023394F"/>
    <w:rsid w:val="0023396C"/>
    <w:rsid w:val="00233B16"/>
    <w:rsid w:val="00233BE1"/>
    <w:rsid w:val="00234008"/>
    <w:rsid w:val="002341B9"/>
    <w:rsid w:val="00234700"/>
    <w:rsid w:val="00234745"/>
    <w:rsid w:val="0023479A"/>
    <w:rsid w:val="002347CD"/>
    <w:rsid w:val="00234BA8"/>
    <w:rsid w:val="00234E4F"/>
    <w:rsid w:val="00234E61"/>
    <w:rsid w:val="002356C3"/>
    <w:rsid w:val="00235742"/>
    <w:rsid w:val="0023577F"/>
    <w:rsid w:val="00235948"/>
    <w:rsid w:val="0023595D"/>
    <w:rsid w:val="00235A13"/>
    <w:rsid w:val="00235A56"/>
    <w:rsid w:val="00235BF5"/>
    <w:rsid w:val="00235F32"/>
    <w:rsid w:val="00236551"/>
    <w:rsid w:val="00236898"/>
    <w:rsid w:val="00236C74"/>
    <w:rsid w:val="00236C84"/>
    <w:rsid w:val="00237115"/>
    <w:rsid w:val="00237255"/>
    <w:rsid w:val="0023750F"/>
    <w:rsid w:val="002375F9"/>
    <w:rsid w:val="00237BBB"/>
    <w:rsid w:val="00240380"/>
    <w:rsid w:val="0024065D"/>
    <w:rsid w:val="0024072D"/>
    <w:rsid w:val="002411D0"/>
    <w:rsid w:val="00241297"/>
    <w:rsid w:val="00241527"/>
    <w:rsid w:val="00241CC4"/>
    <w:rsid w:val="002422E6"/>
    <w:rsid w:val="00242545"/>
    <w:rsid w:val="00242719"/>
    <w:rsid w:val="00242847"/>
    <w:rsid w:val="00242B99"/>
    <w:rsid w:val="00242E6F"/>
    <w:rsid w:val="00242F55"/>
    <w:rsid w:val="00243118"/>
    <w:rsid w:val="002431CD"/>
    <w:rsid w:val="002431DF"/>
    <w:rsid w:val="002432E3"/>
    <w:rsid w:val="002433E8"/>
    <w:rsid w:val="002437AD"/>
    <w:rsid w:val="002437E6"/>
    <w:rsid w:val="00243C97"/>
    <w:rsid w:val="00243F6E"/>
    <w:rsid w:val="0024433D"/>
    <w:rsid w:val="00244537"/>
    <w:rsid w:val="0024481D"/>
    <w:rsid w:val="00244A1D"/>
    <w:rsid w:val="00244A60"/>
    <w:rsid w:val="00244A61"/>
    <w:rsid w:val="00244B97"/>
    <w:rsid w:val="00244DB1"/>
    <w:rsid w:val="0024506A"/>
    <w:rsid w:val="00245D5A"/>
    <w:rsid w:val="00245D72"/>
    <w:rsid w:val="002462F7"/>
    <w:rsid w:val="0024635F"/>
    <w:rsid w:val="002469A7"/>
    <w:rsid w:val="00246A65"/>
    <w:rsid w:val="00246C64"/>
    <w:rsid w:val="00246E2D"/>
    <w:rsid w:val="0024727B"/>
    <w:rsid w:val="002473AC"/>
    <w:rsid w:val="00247632"/>
    <w:rsid w:val="0024795E"/>
    <w:rsid w:val="002479C0"/>
    <w:rsid w:val="00247ABC"/>
    <w:rsid w:val="00250A5E"/>
    <w:rsid w:val="00250A9D"/>
    <w:rsid w:val="00250AF3"/>
    <w:rsid w:val="00250CB8"/>
    <w:rsid w:val="00250D6B"/>
    <w:rsid w:val="0025177E"/>
    <w:rsid w:val="00251AB5"/>
    <w:rsid w:val="00251C9C"/>
    <w:rsid w:val="002524B7"/>
    <w:rsid w:val="002524E8"/>
    <w:rsid w:val="002526AF"/>
    <w:rsid w:val="0025274D"/>
    <w:rsid w:val="002529D3"/>
    <w:rsid w:val="00252D64"/>
    <w:rsid w:val="002536A6"/>
    <w:rsid w:val="00253B5F"/>
    <w:rsid w:val="00253E46"/>
    <w:rsid w:val="00253EF7"/>
    <w:rsid w:val="00253F18"/>
    <w:rsid w:val="00253FAF"/>
    <w:rsid w:val="00254400"/>
    <w:rsid w:val="00254456"/>
    <w:rsid w:val="00254477"/>
    <w:rsid w:val="002547E2"/>
    <w:rsid w:val="00254B32"/>
    <w:rsid w:val="0025512C"/>
    <w:rsid w:val="00255460"/>
    <w:rsid w:val="0025557D"/>
    <w:rsid w:val="002557EC"/>
    <w:rsid w:val="0025584A"/>
    <w:rsid w:val="00255B5C"/>
    <w:rsid w:val="00255BDF"/>
    <w:rsid w:val="00255C43"/>
    <w:rsid w:val="00255E60"/>
    <w:rsid w:val="00255F01"/>
    <w:rsid w:val="002560CB"/>
    <w:rsid w:val="0025617F"/>
    <w:rsid w:val="0025623A"/>
    <w:rsid w:val="00256D59"/>
    <w:rsid w:val="00256FBF"/>
    <w:rsid w:val="002572E8"/>
    <w:rsid w:val="00257308"/>
    <w:rsid w:val="0025737C"/>
    <w:rsid w:val="00257589"/>
    <w:rsid w:val="00257E59"/>
    <w:rsid w:val="00257FB4"/>
    <w:rsid w:val="002600DD"/>
    <w:rsid w:val="002603EA"/>
    <w:rsid w:val="00260549"/>
    <w:rsid w:val="0026054B"/>
    <w:rsid w:val="0026075E"/>
    <w:rsid w:val="0026079A"/>
    <w:rsid w:val="00260FA1"/>
    <w:rsid w:val="0026100F"/>
    <w:rsid w:val="002611A8"/>
    <w:rsid w:val="0026124F"/>
    <w:rsid w:val="002612D6"/>
    <w:rsid w:val="00261379"/>
    <w:rsid w:val="0026168B"/>
    <w:rsid w:val="00261B0E"/>
    <w:rsid w:val="00261B5F"/>
    <w:rsid w:val="00261D5C"/>
    <w:rsid w:val="00261F4F"/>
    <w:rsid w:val="0026202C"/>
    <w:rsid w:val="00262044"/>
    <w:rsid w:val="002621EE"/>
    <w:rsid w:val="00262330"/>
    <w:rsid w:val="002624F8"/>
    <w:rsid w:val="0026261B"/>
    <w:rsid w:val="002629AD"/>
    <w:rsid w:val="00262BB2"/>
    <w:rsid w:val="0026301F"/>
    <w:rsid w:val="00263329"/>
    <w:rsid w:val="00263492"/>
    <w:rsid w:val="00263A32"/>
    <w:rsid w:val="00263CAE"/>
    <w:rsid w:val="00263E1D"/>
    <w:rsid w:val="00264076"/>
    <w:rsid w:val="00264280"/>
    <w:rsid w:val="002645B2"/>
    <w:rsid w:val="002646C3"/>
    <w:rsid w:val="00264874"/>
    <w:rsid w:val="002649CA"/>
    <w:rsid w:val="00264AAF"/>
    <w:rsid w:val="00264B24"/>
    <w:rsid w:val="00264DFF"/>
    <w:rsid w:val="00264E96"/>
    <w:rsid w:val="002654E5"/>
    <w:rsid w:val="00265954"/>
    <w:rsid w:val="00265A6D"/>
    <w:rsid w:val="00265A8C"/>
    <w:rsid w:val="00265BB3"/>
    <w:rsid w:val="00265EB1"/>
    <w:rsid w:val="00265F27"/>
    <w:rsid w:val="002662DB"/>
    <w:rsid w:val="0026635C"/>
    <w:rsid w:val="0026671D"/>
    <w:rsid w:val="002667D5"/>
    <w:rsid w:val="002668D2"/>
    <w:rsid w:val="002671F9"/>
    <w:rsid w:val="00267359"/>
    <w:rsid w:val="0026768E"/>
    <w:rsid w:val="00267A48"/>
    <w:rsid w:val="00267B35"/>
    <w:rsid w:val="00267C11"/>
    <w:rsid w:val="00267D41"/>
    <w:rsid w:val="00267EAD"/>
    <w:rsid w:val="00267EFA"/>
    <w:rsid w:val="00270031"/>
    <w:rsid w:val="002705E5"/>
    <w:rsid w:val="002709EA"/>
    <w:rsid w:val="00270ACA"/>
    <w:rsid w:val="00270C40"/>
    <w:rsid w:val="0027131E"/>
    <w:rsid w:val="0027191E"/>
    <w:rsid w:val="00271E24"/>
    <w:rsid w:val="00271F1F"/>
    <w:rsid w:val="00271F2D"/>
    <w:rsid w:val="00271F2E"/>
    <w:rsid w:val="00271F97"/>
    <w:rsid w:val="002721C7"/>
    <w:rsid w:val="0027222F"/>
    <w:rsid w:val="0027246F"/>
    <w:rsid w:val="00272DA6"/>
    <w:rsid w:val="00272FA1"/>
    <w:rsid w:val="00273015"/>
    <w:rsid w:val="002730C8"/>
    <w:rsid w:val="0027314C"/>
    <w:rsid w:val="0027324F"/>
    <w:rsid w:val="00273263"/>
    <w:rsid w:val="002732CE"/>
    <w:rsid w:val="00273438"/>
    <w:rsid w:val="002734F9"/>
    <w:rsid w:val="0027353C"/>
    <w:rsid w:val="00273A4E"/>
    <w:rsid w:val="00274124"/>
    <w:rsid w:val="00274187"/>
    <w:rsid w:val="00274314"/>
    <w:rsid w:val="002744B3"/>
    <w:rsid w:val="002744FD"/>
    <w:rsid w:val="002745F9"/>
    <w:rsid w:val="00274A06"/>
    <w:rsid w:val="00274CD1"/>
    <w:rsid w:val="0027508F"/>
    <w:rsid w:val="0027520A"/>
    <w:rsid w:val="00275568"/>
    <w:rsid w:val="00275919"/>
    <w:rsid w:val="00275BD6"/>
    <w:rsid w:val="00275DD8"/>
    <w:rsid w:val="00276004"/>
    <w:rsid w:val="002765E6"/>
    <w:rsid w:val="00276BF4"/>
    <w:rsid w:val="00276C32"/>
    <w:rsid w:val="00276E38"/>
    <w:rsid w:val="002772EB"/>
    <w:rsid w:val="00277309"/>
    <w:rsid w:val="00277398"/>
    <w:rsid w:val="0027739A"/>
    <w:rsid w:val="002774A5"/>
    <w:rsid w:val="002774CA"/>
    <w:rsid w:val="002800DC"/>
    <w:rsid w:val="00280641"/>
    <w:rsid w:val="0028073F"/>
    <w:rsid w:val="00280BA1"/>
    <w:rsid w:val="00280E59"/>
    <w:rsid w:val="002812F7"/>
    <w:rsid w:val="00281527"/>
    <w:rsid w:val="00281669"/>
    <w:rsid w:val="002816F1"/>
    <w:rsid w:val="002816F4"/>
    <w:rsid w:val="00281A73"/>
    <w:rsid w:val="00281B51"/>
    <w:rsid w:val="00281C35"/>
    <w:rsid w:val="00281EA9"/>
    <w:rsid w:val="0028223A"/>
    <w:rsid w:val="0028236A"/>
    <w:rsid w:val="002825DB"/>
    <w:rsid w:val="00282971"/>
    <w:rsid w:val="00282DFB"/>
    <w:rsid w:val="00282E72"/>
    <w:rsid w:val="00282F56"/>
    <w:rsid w:val="00283116"/>
    <w:rsid w:val="0028321D"/>
    <w:rsid w:val="002832C4"/>
    <w:rsid w:val="0028333E"/>
    <w:rsid w:val="00283378"/>
    <w:rsid w:val="00283B87"/>
    <w:rsid w:val="00283B8A"/>
    <w:rsid w:val="00283C3E"/>
    <w:rsid w:val="00283FA6"/>
    <w:rsid w:val="0028427B"/>
    <w:rsid w:val="00284DE5"/>
    <w:rsid w:val="002851DF"/>
    <w:rsid w:val="00285519"/>
    <w:rsid w:val="00285531"/>
    <w:rsid w:val="00285600"/>
    <w:rsid w:val="002858D0"/>
    <w:rsid w:val="00285A4F"/>
    <w:rsid w:val="00285AF3"/>
    <w:rsid w:val="00285C75"/>
    <w:rsid w:val="00285D3B"/>
    <w:rsid w:val="002860FF"/>
    <w:rsid w:val="002862B6"/>
    <w:rsid w:val="002865B5"/>
    <w:rsid w:val="00286623"/>
    <w:rsid w:val="002868B8"/>
    <w:rsid w:val="00286B09"/>
    <w:rsid w:val="00286F14"/>
    <w:rsid w:val="00286F52"/>
    <w:rsid w:val="00287079"/>
    <w:rsid w:val="002874CC"/>
    <w:rsid w:val="002878A8"/>
    <w:rsid w:val="00287962"/>
    <w:rsid w:val="00287ABC"/>
    <w:rsid w:val="00287C8D"/>
    <w:rsid w:val="00287E03"/>
    <w:rsid w:val="00287F80"/>
    <w:rsid w:val="0029060E"/>
    <w:rsid w:val="00290657"/>
    <w:rsid w:val="00290689"/>
    <w:rsid w:val="002906FE"/>
    <w:rsid w:val="00290919"/>
    <w:rsid w:val="00290A7E"/>
    <w:rsid w:val="00290B2F"/>
    <w:rsid w:val="00290D58"/>
    <w:rsid w:val="00290F2A"/>
    <w:rsid w:val="00291095"/>
    <w:rsid w:val="002912BA"/>
    <w:rsid w:val="0029139B"/>
    <w:rsid w:val="00291E7F"/>
    <w:rsid w:val="0029214C"/>
    <w:rsid w:val="00292291"/>
    <w:rsid w:val="00292360"/>
    <w:rsid w:val="00292633"/>
    <w:rsid w:val="00292BB3"/>
    <w:rsid w:val="00292DA4"/>
    <w:rsid w:val="00292DD7"/>
    <w:rsid w:val="00292E40"/>
    <w:rsid w:val="00292F7F"/>
    <w:rsid w:val="00292FA9"/>
    <w:rsid w:val="00293126"/>
    <w:rsid w:val="0029317E"/>
    <w:rsid w:val="0029324D"/>
    <w:rsid w:val="002933AC"/>
    <w:rsid w:val="00293662"/>
    <w:rsid w:val="00293888"/>
    <w:rsid w:val="002938C8"/>
    <w:rsid w:val="00293E96"/>
    <w:rsid w:val="002940AD"/>
    <w:rsid w:val="00294144"/>
    <w:rsid w:val="00294597"/>
    <w:rsid w:val="00294738"/>
    <w:rsid w:val="00295002"/>
    <w:rsid w:val="0029554B"/>
    <w:rsid w:val="002956D1"/>
    <w:rsid w:val="00295B4C"/>
    <w:rsid w:val="00295CCE"/>
    <w:rsid w:val="0029608B"/>
    <w:rsid w:val="002960BE"/>
    <w:rsid w:val="00296134"/>
    <w:rsid w:val="002966DD"/>
    <w:rsid w:val="00296C3D"/>
    <w:rsid w:val="00296EF2"/>
    <w:rsid w:val="00296F27"/>
    <w:rsid w:val="00296F67"/>
    <w:rsid w:val="00297151"/>
    <w:rsid w:val="00297367"/>
    <w:rsid w:val="00297385"/>
    <w:rsid w:val="00297492"/>
    <w:rsid w:val="002974D4"/>
    <w:rsid w:val="002975BC"/>
    <w:rsid w:val="00297775"/>
    <w:rsid w:val="00297831"/>
    <w:rsid w:val="00297B1E"/>
    <w:rsid w:val="00297C2D"/>
    <w:rsid w:val="00297DA8"/>
    <w:rsid w:val="00297EFD"/>
    <w:rsid w:val="002A00A2"/>
    <w:rsid w:val="002A01C0"/>
    <w:rsid w:val="002A06F3"/>
    <w:rsid w:val="002A075E"/>
    <w:rsid w:val="002A08D6"/>
    <w:rsid w:val="002A092D"/>
    <w:rsid w:val="002A0CB5"/>
    <w:rsid w:val="002A0D1C"/>
    <w:rsid w:val="002A0E22"/>
    <w:rsid w:val="002A0F8A"/>
    <w:rsid w:val="002A0F9C"/>
    <w:rsid w:val="002A0FC8"/>
    <w:rsid w:val="002A11F1"/>
    <w:rsid w:val="002A13DE"/>
    <w:rsid w:val="002A14E8"/>
    <w:rsid w:val="002A157A"/>
    <w:rsid w:val="002A1859"/>
    <w:rsid w:val="002A19E2"/>
    <w:rsid w:val="002A1C36"/>
    <w:rsid w:val="002A20B8"/>
    <w:rsid w:val="002A21AE"/>
    <w:rsid w:val="002A220B"/>
    <w:rsid w:val="002A2227"/>
    <w:rsid w:val="002A2247"/>
    <w:rsid w:val="002A22F6"/>
    <w:rsid w:val="002A2472"/>
    <w:rsid w:val="002A2674"/>
    <w:rsid w:val="002A26D4"/>
    <w:rsid w:val="002A2844"/>
    <w:rsid w:val="002A2B5A"/>
    <w:rsid w:val="002A2CCF"/>
    <w:rsid w:val="002A2DBE"/>
    <w:rsid w:val="002A337B"/>
    <w:rsid w:val="002A3946"/>
    <w:rsid w:val="002A3D4C"/>
    <w:rsid w:val="002A3D73"/>
    <w:rsid w:val="002A4193"/>
    <w:rsid w:val="002A45FB"/>
    <w:rsid w:val="002A4801"/>
    <w:rsid w:val="002A4DC6"/>
    <w:rsid w:val="002A4E22"/>
    <w:rsid w:val="002A504C"/>
    <w:rsid w:val="002A5541"/>
    <w:rsid w:val="002A5DD6"/>
    <w:rsid w:val="002A5EA3"/>
    <w:rsid w:val="002A5EBF"/>
    <w:rsid w:val="002A61F7"/>
    <w:rsid w:val="002A65D5"/>
    <w:rsid w:val="002A67EC"/>
    <w:rsid w:val="002A681E"/>
    <w:rsid w:val="002A69AA"/>
    <w:rsid w:val="002A6AF3"/>
    <w:rsid w:val="002A6BAF"/>
    <w:rsid w:val="002A6C2B"/>
    <w:rsid w:val="002A6C5F"/>
    <w:rsid w:val="002A6D14"/>
    <w:rsid w:val="002A6E78"/>
    <w:rsid w:val="002A6E97"/>
    <w:rsid w:val="002A6F8D"/>
    <w:rsid w:val="002A707E"/>
    <w:rsid w:val="002A70DE"/>
    <w:rsid w:val="002A7135"/>
    <w:rsid w:val="002A7184"/>
    <w:rsid w:val="002B008A"/>
    <w:rsid w:val="002B03D6"/>
    <w:rsid w:val="002B042E"/>
    <w:rsid w:val="002B097D"/>
    <w:rsid w:val="002B0DF4"/>
    <w:rsid w:val="002B0EF9"/>
    <w:rsid w:val="002B0F97"/>
    <w:rsid w:val="002B0FCE"/>
    <w:rsid w:val="002B1070"/>
    <w:rsid w:val="002B10F8"/>
    <w:rsid w:val="002B1218"/>
    <w:rsid w:val="002B138A"/>
    <w:rsid w:val="002B1599"/>
    <w:rsid w:val="002B16DA"/>
    <w:rsid w:val="002B1782"/>
    <w:rsid w:val="002B1A3F"/>
    <w:rsid w:val="002B2473"/>
    <w:rsid w:val="002B2495"/>
    <w:rsid w:val="002B27B8"/>
    <w:rsid w:val="002B2887"/>
    <w:rsid w:val="002B2943"/>
    <w:rsid w:val="002B2E1E"/>
    <w:rsid w:val="002B3148"/>
    <w:rsid w:val="002B337C"/>
    <w:rsid w:val="002B356F"/>
    <w:rsid w:val="002B37B4"/>
    <w:rsid w:val="002B3C45"/>
    <w:rsid w:val="002B3E9F"/>
    <w:rsid w:val="002B422E"/>
    <w:rsid w:val="002B42AA"/>
    <w:rsid w:val="002B42FB"/>
    <w:rsid w:val="002B4439"/>
    <w:rsid w:val="002B4648"/>
    <w:rsid w:val="002B464F"/>
    <w:rsid w:val="002B46DD"/>
    <w:rsid w:val="002B485A"/>
    <w:rsid w:val="002B4DC1"/>
    <w:rsid w:val="002B51D2"/>
    <w:rsid w:val="002B5232"/>
    <w:rsid w:val="002B549F"/>
    <w:rsid w:val="002B54BE"/>
    <w:rsid w:val="002B56C8"/>
    <w:rsid w:val="002B5842"/>
    <w:rsid w:val="002B5D30"/>
    <w:rsid w:val="002B5E08"/>
    <w:rsid w:val="002B6173"/>
    <w:rsid w:val="002B630E"/>
    <w:rsid w:val="002B65CF"/>
    <w:rsid w:val="002B6D9D"/>
    <w:rsid w:val="002B7100"/>
    <w:rsid w:val="002B7261"/>
    <w:rsid w:val="002B78C9"/>
    <w:rsid w:val="002B7977"/>
    <w:rsid w:val="002B7AB0"/>
    <w:rsid w:val="002B7EF0"/>
    <w:rsid w:val="002C00D7"/>
    <w:rsid w:val="002C02E2"/>
    <w:rsid w:val="002C04FF"/>
    <w:rsid w:val="002C06D1"/>
    <w:rsid w:val="002C0900"/>
    <w:rsid w:val="002C091D"/>
    <w:rsid w:val="002C0ABC"/>
    <w:rsid w:val="002C0CBC"/>
    <w:rsid w:val="002C0E60"/>
    <w:rsid w:val="002C1004"/>
    <w:rsid w:val="002C16D3"/>
    <w:rsid w:val="002C182F"/>
    <w:rsid w:val="002C1C43"/>
    <w:rsid w:val="002C20C3"/>
    <w:rsid w:val="002C2291"/>
    <w:rsid w:val="002C24E4"/>
    <w:rsid w:val="002C2911"/>
    <w:rsid w:val="002C2927"/>
    <w:rsid w:val="002C29FF"/>
    <w:rsid w:val="002C2BA9"/>
    <w:rsid w:val="002C2BF0"/>
    <w:rsid w:val="002C2E5F"/>
    <w:rsid w:val="002C2E79"/>
    <w:rsid w:val="002C306B"/>
    <w:rsid w:val="002C334E"/>
    <w:rsid w:val="002C3E0F"/>
    <w:rsid w:val="002C448E"/>
    <w:rsid w:val="002C455A"/>
    <w:rsid w:val="002C4B2F"/>
    <w:rsid w:val="002C4C80"/>
    <w:rsid w:val="002C53AE"/>
    <w:rsid w:val="002C56A6"/>
    <w:rsid w:val="002C58FE"/>
    <w:rsid w:val="002C6264"/>
    <w:rsid w:val="002C68A1"/>
    <w:rsid w:val="002C692B"/>
    <w:rsid w:val="002C6AFF"/>
    <w:rsid w:val="002C6C51"/>
    <w:rsid w:val="002C6DB5"/>
    <w:rsid w:val="002C6EE7"/>
    <w:rsid w:val="002C707F"/>
    <w:rsid w:val="002C72AB"/>
    <w:rsid w:val="002C731D"/>
    <w:rsid w:val="002C7532"/>
    <w:rsid w:val="002C7545"/>
    <w:rsid w:val="002C768A"/>
    <w:rsid w:val="002C76D1"/>
    <w:rsid w:val="002C78BC"/>
    <w:rsid w:val="002D049E"/>
    <w:rsid w:val="002D0AC4"/>
    <w:rsid w:val="002D0CB7"/>
    <w:rsid w:val="002D145B"/>
    <w:rsid w:val="002D18A6"/>
    <w:rsid w:val="002D25C0"/>
    <w:rsid w:val="002D2A9E"/>
    <w:rsid w:val="002D2A9F"/>
    <w:rsid w:val="002D31FC"/>
    <w:rsid w:val="002D3294"/>
    <w:rsid w:val="002D3466"/>
    <w:rsid w:val="002D36E1"/>
    <w:rsid w:val="002D37BC"/>
    <w:rsid w:val="002D3919"/>
    <w:rsid w:val="002D3BA7"/>
    <w:rsid w:val="002D3BFA"/>
    <w:rsid w:val="002D3C3F"/>
    <w:rsid w:val="002D3C99"/>
    <w:rsid w:val="002D3EDF"/>
    <w:rsid w:val="002D4492"/>
    <w:rsid w:val="002D456D"/>
    <w:rsid w:val="002D4B98"/>
    <w:rsid w:val="002D4D25"/>
    <w:rsid w:val="002D4E75"/>
    <w:rsid w:val="002D4EE4"/>
    <w:rsid w:val="002D52BA"/>
    <w:rsid w:val="002D5437"/>
    <w:rsid w:val="002D567F"/>
    <w:rsid w:val="002D584C"/>
    <w:rsid w:val="002D5A86"/>
    <w:rsid w:val="002D5D12"/>
    <w:rsid w:val="002D5F79"/>
    <w:rsid w:val="002D6015"/>
    <w:rsid w:val="002D64E5"/>
    <w:rsid w:val="002D6764"/>
    <w:rsid w:val="002D6969"/>
    <w:rsid w:val="002D6C46"/>
    <w:rsid w:val="002D6D49"/>
    <w:rsid w:val="002D6D8B"/>
    <w:rsid w:val="002D737C"/>
    <w:rsid w:val="002D73A0"/>
    <w:rsid w:val="002D73B9"/>
    <w:rsid w:val="002D7599"/>
    <w:rsid w:val="002D75D2"/>
    <w:rsid w:val="002D7B0B"/>
    <w:rsid w:val="002D7E62"/>
    <w:rsid w:val="002D7F58"/>
    <w:rsid w:val="002D7FB2"/>
    <w:rsid w:val="002D7FD6"/>
    <w:rsid w:val="002D7FEB"/>
    <w:rsid w:val="002E081D"/>
    <w:rsid w:val="002E0B2B"/>
    <w:rsid w:val="002E0BCD"/>
    <w:rsid w:val="002E0CB0"/>
    <w:rsid w:val="002E1CA1"/>
    <w:rsid w:val="002E1DE3"/>
    <w:rsid w:val="002E2212"/>
    <w:rsid w:val="002E22C0"/>
    <w:rsid w:val="002E27DB"/>
    <w:rsid w:val="002E28FC"/>
    <w:rsid w:val="002E2C1A"/>
    <w:rsid w:val="002E3016"/>
    <w:rsid w:val="002E31E1"/>
    <w:rsid w:val="002E33B6"/>
    <w:rsid w:val="002E357D"/>
    <w:rsid w:val="002E390A"/>
    <w:rsid w:val="002E3D36"/>
    <w:rsid w:val="002E3EF0"/>
    <w:rsid w:val="002E3F82"/>
    <w:rsid w:val="002E40B6"/>
    <w:rsid w:val="002E41E2"/>
    <w:rsid w:val="002E4456"/>
    <w:rsid w:val="002E458E"/>
    <w:rsid w:val="002E4599"/>
    <w:rsid w:val="002E45C4"/>
    <w:rsid w:val="002E46F9"/>
    <w:rsid w:val="002E4710"/>
    <w:rsid w:val="002E4779"/>
    <w:rsid w:val="002E47AB"/>
    <w:rsid w:val="002E4984"/>
    <w:rsid w:val="002E4B54"/>
    <w:rsid w:val="002E536C"/>
    <w:rsid w:val="002E5449"/>
    <w:rsid w:val="002E5956"/>
    <w:rsid w:val="002E59BA"/>
    <w:rsid w:val="002E5A69"/>
    <w:rsid w:val="002E5B3E"/>
    <w:rsid w:val="002E5D85"/>
    <w:rsid w:val="002E5E14"/>
    <w:rsid w:val="002E5E4F"/>
    <w:rsid w:val="002E5F0F"/>
    <w:rsid w:val="002E6166"/>
    <w:rsid w:val="002E617D"/>
    <w:rsid w:val="002E61ED"/>
    <w:rsid w:val="002E64F1"/>
    <w:rsid w:val="002E670B"/>
    <w:rsid w:val="002E67C0"/>
    <w:rsid w:val="002E683A"/>
    <w:rsid w:val="002E6962"/>
    <w:rsid w:val="002E6B90"/>
    <w:rsid w:val="002E6F1D"/>
    <w:rsid w:val="002E7115"/>
    <w:rsid w:val="002E7267"/>
    <w:rsid w:val="002E743B"/>
    <w:rsid w:val="002E7496"/>
    <w:rsid w:val="002E74DC"/>
    <w:rsid w:val="002E7623"/>
    <w:rsid w:val="002E7632"/>
    <w:rsid w:val="002E7678"/>
    <w:rsid w:val="002E77AE"/>
    <w:rsid w:val="002E7A6E"/>
    <w:rsid w:val="002E7C23"/>
    <w:rsid w:val="002E7E9B"/>
    <w:rsid w:val="002E7FAA"/>
    <w:rsid w:val="002F01B0"/>
    <w:rsid w:val="002F01CF"/>
    <w:rsid w:val="002F0532"/>
    <w:rsid w:val="002F05C6"/>
    <w:rsid w:val="002F0619"/>
    <w:rsid w:val="002F09B6"/>
    <w:rsid w:val="002F0B4E"/>
    <w:rsid w:val="002F0C63"/>
    <w:rsid w:val="002F0E36"/>
    <w:rsid w:val="002F103D"/>
    <w:rsid w:val="002F1148"/>
    <w:rsid w:val="002F1416"/>
    <w:rsid w:val="002F177A"/>
    <w:rsid w:val="002F1B66"/>
    <w:rsid w:val="002F1FC0"/>
    <w:rsid w:val="002F215A"/>
    <w:rsid w:val="002F230D"/>
    <w:rsid w:val="002F2566"/>
    <w:rsid w:val="002F2A99"/>
    <w:rsid w:val="002F2AEB"/>
    <w:rsid w:val="002F2BD7"/>
    <w:rsid w:val="002F2C3C"/>
    <w:rsid w:val="002F2D93"/>
    <w:rsid w:val="002F2DDA"/>
    <w:rsid w:val="002F2ED4"/>
    <w:rsid w:val="002F2FCF"/>
    <w:rsid w:val="002F33A8"/>
    <w:rsid w:val="002F394E"/>
    <w:rsid w:val="002F397D"/>
    <w:rsid w:val="002F3C42"/>
    <w:rsid w:val="002F3D23"/>
    <w:rsid w:val="002F4328"/>
    <w:rsid w:val="002F44F3"/>
    <w:rsid w:val="002F46BD"/>
    <w:rsid w:val="002F476D"/>
    <w:rsid w:val="002F483B"/>
    <w:rsid w:val="002F4A18"/>
    <w:rsid w:val="002F4B16"/>
    <w:rsid w:val="002F4B87"/>
    <w:rsid w:val="002F4D5B"/>
    <w:rsid w:val="002F4E2A"/>
    <w:rsid w:val="002F4E8B"/>
    <w:rsid w:val="002F5121"/>
    <w:rsid w:val="002F5132"/>
    <w:rsid w:val="002F525F"/>
    <w:rsid w:val="002F531B"/>
    <w:rsid w:val="002F5548"/>
    <w:rsid w:val="002F558F"/>
    <w:rsid w:val="002F5766"/>
    <w:rsid w:val="002F5AE1"/>
    <w:rsid w:val="002F5AE8"/>
    <w:rsid w:val="002F5AFA"/>
    <w:rsid w:val="002F601B"/>
    <w:rsid w:val="002F6147"/>
    <w:rsid w:val="002F62D3"/>
    <w:rsid w:val="002F671E"/>
    <w:rsid w:val="002F685B"/>
    <w:rsid w:val="002F6A2E"/>
    <w:rsid w:val="002F6A89"/>
    <w:rsid w:val="002F6D12"/>
    <w:rsid w:val="002F6DBE"/>
    <w:rsid w:val="002F6EBF"/>
    <w:rsid w:val="002F6FF6"/>
    <w:rsid w:val="002F73A8"/>
    <w:rsid w:val="002F73E7"/>
    <w:rsid w:val="002F741A"/>
    <w:rsid w:val="002F78D8"/>
    <w:rsid w:val="002F7B8A"/>
    <w:rsid w:val="002F7D7E"/>
    <w:rsid w:val="002F7F01"/>
    <w:rsid w:val="002F7FC7"/>
    <w:rsid w:val="003004AC"/>
    <w:rsid w:val="003004CF"/>
    <w:rsid w:val="0030066D"/>
    <w:rsid w:val="0030068C"/>
    <w:rsid w:val="00300DD5"/>
    <w:rsid w:val="00300F93"/>
    <w:rsid w:val="003011D0"/>
    <w:rsid w:val="003011DA"/>
    <w:rsid w:val="0030122F"/>
    <w:rsid w:val="00301277"/>
    <w:rsid w:val="003012A7"/>
    <w:rsid w:val="0030148C"/>
    <w:rsid w:val="003014B0"/>
    <w:rsid w:val="00301893"/>
    <w:rsid w:val="00301A54"/>
    <w:rsid w:val="00301CE8"/>
    <w:rsid w:val="00302053"/>
    <w:rsid w:val="00302204"/>
    <w:rsid w:val="00302474"/>
    <w:rsid w:val="003026E7"/>
    <w:rsid w:val="00302921"/>
    <w:rsid w:val="00302A5A"/>
    <w:rsid w:val="00302AA8"/>
    <w:rsid w:val="00302BED"/>
    <w:rsid w:val="00302E65"/>
    <w:rsid w:val="003031E6"/>
    <w:rsid w:val="0030333C"/>
    <w:rsid w:val="003033AF"/>
    <w:rsid w:val="003035ED"/>
    <w:rsid w:val="003037AF"/>
    <w:rsid w:val="00303937"/>
    <w:rsid w:val="00303AE3"/>
    <w:rsid w:val="00303B2A"/>
    <w:rsid w:val="00303E07"/>
    <w:rsid w:val="00304124"/>
    <w:rsid w:val="003041B4"/>
    <w:rsid w:val="003042C0"/>
    <w:rsid w:val="003042CA"/>
    <w:rsid w:val="003043C7"/>
    <w:rsid w:val="003046E7"/>
    <w:rsid w:val="003048F8"/>
    <w:rsid w:val="00304A63"/>
    <w:rsid w:val="00304BD2"/>
    <w:rsid w:val="00304E20"/>
    <w:rsid w:val="00304EF2"/>
    <w:rsid w:val="00305368"/>
    <w:rsid w:val="00305771"/>
    <w:rsid w:val="003057CB"/>
    <w:rsid w:val="00305CBD"/>
    <w:rsid w:val="00305FEB"/>
    <w:rsid w:val="003062DF"/>
    <w:rsid w:val="00306470"/>
    <w:rsid w:val="0030650D"/>
    <w:rsid w:val="003067A5"/>
    <w:rsid w:val="0030689F"/>
    <w:rsid w:val="003069DD"/>
    <w:rsid w:val="0030708F"/>
    <w:rsid w:val="003076E1"/>
    <w:rsid w:val="00307778"/>
    <w:rsid w:val="00307DA1"/>
    <w:rsid w:val="00307F53"/>
    <w:rsid w:val="00307FA9"/>
    <w:rsid w:val="00310023"/>
    <w:rsid w:val="00310409"/>
    <w:rsid w:val="003107A3"/>
    <w:rsid w:val="00310CDE"/>
    <w:rsid w:val="00310D37"/>
    <w:rsid w:val="00310EA4"/>
    <w:rsid w:val="00311043"/>
    <w:rsid w:val="0031130B"/>
    <w:rsid w:val="00311E9A"/>
    <w:rsid w:val="003120F8"/>
    <w:rsid w:val="003123B8"/>
    <w:rsid w:val="00312593"/>
    <w:rsid w:val="003127D7"/>
    <w:rsid w:val="003128D8"/>
    <w:rsid w:val="00312C50"/>
    <w:rsid w:val="00312CB2"/>
    <w:rsid w:val="00312CEF"/>
    <w:rsid w:val="00312EC4"/>
    <w:rsid w:val="003130DC"/>
    <w:rsid w:val="0031311B"/>
    <w:rsid w:val="00313289"/>
    <w:rsid w:val="003132EF"/>
    <w:rsid w:val="00313593"/>
    <w:rsid w:val="00313830"/>
    <w:rsid w:val="00313DA8"/>
    <w:rsid w:val="003141EE"/>
    <w:rsid w:val="003142E0"/>
    <w:rsid w:val="00314577"/>
    <w:rsid w:val="003145D8"/>
    <w:rsid w:val="00314662"/>
    <w:rsid w:val="00314A2A"/>
    <w:rsid w:val="00314A49"/>
    <w:rsid w:val="00314BAB"/>
    <w:rsid w:val="00315324"/>
    <w:rsid w:val="003157CB"/>
    <w:rsid w:val="00315835"/>
    <w:rsid w:val="003159A5"/>
    <w:rsid w:val="00315AFB"/>
    <w:rsid w:val="00315B2D"/>
    <w:rsid w:val="00315E4E"/>
    <w:rsid w:val="00315FD5"/>
    <w:rsid w:val="0031617F"/>
    <w:rsid w:val="00316330"/>
    <w:rsid w:val="00316BE7"/>
    <w:rsid w:val="00316CBD"/>
    <w:rsid w:val="00316D7E"/>
    <w:rsid w:val="003173CB"/>
    <w:rsid w:val="0031744D"/>
    <w:rsid w:val="003176E3"/>
    <w:rsid w:val="003176FC"/>
    <w:rsid w:val="003177B3"/>
    <w:rsid w:val="003178BB"/>
    <w:rsid w:val="0031791E"/>
    <w:rsid w:val="00320011"/>
    <w:rsid w:val="00320497"/>
    <w:rsid w:val="003205BD"/>
    <w:rsid w:val="00320627"/>
    <w:rsid w:val="00320804"/>
    <w:rsid w:val="0032089D"/>
    <w:rsid w:val="00320F22"/>
    <w:rsid w:val="003211C9"/>
    <w:rsid w:val="0032134B"/>
    <w:rsid w:val="00321591"/>
    <w:rsid w:val="00321619"/>
    <w:rsid w:val="003217C1"/>
    <w:rsid w:val="0032198E"/>
    <w:rsid w:val="00321B16"/>
    <w:rsid w:val="00321DA0"/>
    <w:rsid w:val="00321E64"/>
    <w:rsid w:val="003220D0"/>
    <w:rsid w:val="003224DB"/>
    <w:rsid w:val="003224E7"/>
    <w:rsid w:val="00322D1F"/>
    <w:rsid w:val="00322E1C"/>
    <w:rsid w:val="00323020"/>
    <w:rsid w:val="00323089"/>
    <w:rsid w:val="0032340C"/>
    <w:rsid w:val="00323620"/>
    <w:rsid w:val="003236F1"/>
    <w:rsid w:val="00323750"/>
    <w:rsid w:val="0032384D"/>
    <w:rsid w:val="00323C35"/>
    <w:rsid w:val="00323E4F"/>
    <w:rsid w:val="003240CF"/>
    <w:rsid w:val="003247AF"/>
    <w:rsid w:val="00324DEB"/>
    <w:rsid w:val="00324DF1"/>
    <w:rsid w:val="00325031"/>
    <w:rsid w:val="00325059"/>
    <w:rsid w:val="003253A7"/>
    <w:rsid w:val="00325579"/>
    <w:rsid w:val="00325895"/>
    <w:rsid w:val="00325908"/>
    <w:rsid w:val="003259A6"/>
    <w:rsid w:val="00325A02"/>
    <w:rsid w:val="00325C70"/>
    <w:rsid w:val="00325DEF"/>
    <w:rsid w:val="00326299"/>
    <w:rsid w:val="00326367"/>
    <w:rsid w:val="003263AE"/>
    <w:rsid w:val="00326425"/>
    <w:rsid w:val="00326A45"/>
    <w:rsid w:val="00326A6C"/>
    <w:rsid w:val="00326E6C"/>
    <w:rsid w:val="00327470"/>
    <w:rsid w:val="0032768E"/>
    <w:rsid w:val="003276AF"/>
    <w:rsid w:val="00327A06"/>
    <w:rsid w:val="00327BE8"/>
    <w:rsid w:val="00327F54"/>
    <w:rsid w:val="003305EB"/>
    <w:rsid w:val="003307D3"/>
    <w:rsid w:val="003307F1"/>
    <w:rsid w:val="00330C9A"/>
    <w:rsid w:val="00330CBB"/>
    <w:rsid w:val="00330DCF"/>
    <w:rsid w:val="0033147D"/>
    <w:rsid w:val="00331704"/>
    <w:rsid w:val="00331757"/>
    <w:rsid w:val="00331876"/>
    <w:rsid w:val="00331BBE"/>
    <w:rsid w:val="00331D9A"/>
    <w:rsid w:val="00332133"/>
    <w:rsid w:val="00332249"/>
    <w:rsid w:val="003322D6"/>
    <w:rsid w:val="00332565"/>
    <w:rsid w:val="003327AF"/>
    <w:rsid w:val="00332B6D"/>
    <w:rsid w:val="00332BF4"/>
    <w:rsid w:val="00332C00"/>
    <w:rsid w:val="003331CE"/>
    <w:rsid w:val="003337F0"/>
    <w:rsid w:val="00333C80"/>
    <w:rsid w:val="00333D57"/>
    <w:rsid w:val="00333F32"/>
    <w:rsid w:val="00334619"/>
    <w:rsid w:val="003347E4"/>
    <w:rsid w:val="0033488F"/>
    <w:rsid w:val="00334917"/>
    <w:rsid w:val="003349B9"/>
    <w:rsid w:val="00334B9D"/>
    <w:rsid w:val="00334BCD"/>
    <w:rsid w:val="00334CB2"/>
    <w:rsid w:val="00335053"/>
    <w:rsid w:val="0033562E"/>
    <w:rsid w:val="0033575F"/>
    <w:rsid w:val="00335C18"/>
    <w:rsid w:val="00335FB5"/>
    <w:rsid w:val="0033613C"/>
    <w:rsid w:val="00336261"/>
    <w:rsid w:val="003365FB"/>
    <w:rsid w:val="003366EA"/>
    <w:rsid w:val="00336753"/>
    <w:rsid w:val="00336A5E"/>
    <w:rsid w:val="00336C3B"/>
    <w:rsid w:val="00336DBE"/>
    <w:rsid w:val="003371A1"/>
    <w:rsid w:val="003372FE"/>
    <w:rsid w:val="0033798E"/>
    <w:rsid w:val="00337AC7"/>
    <w:rsid w:val="00337BDE"/>
    <w:rsid w:val="00337EF9"/>
    <w:rsid w:val="00337F3C"/>
    <w:rsid w:val="00340985"/>
    <w:rsid w:val="00340F50"/>
    <w:rsid w:val="0034146B"/>
    <w:rsid w:val="003419B3"/>
    <w:rsid w:val="00341AA6"/>
    <w:rsid w:val="00341B60"/>
    <w:rsid w:val="00342255"/>
    <w:rsid w:val="003423C7"/>
    <w:rsid w:val="00342603"/>
    <w:rsid w:val="00342633"/>
    <w:rsid w:val="003428D9"/>
    <w:rsid w:val="003429CF"/>
    <w:rsid w:val="00342EB2"/>
    <w:rsid w:val="00342FEF"/>
    <w:rsid w:val="00343165"/>
    <w:rsid w:val="003431D4"/>
    <w:rsid w:val="003431D8"/>
    <w:rsid w:val="0034325A"/>
    <w:rsid w:val="003436C4"/>
    <w:rsid w:val="00343A2E"/>
    <w:rsid w:val="00343B11"/>
    <w:rsid w:val="00343B2C"/>
    <w:rsid w:val="00343B73"/>
    <w:rsid w:val="003442F2"/>
    <w:rsid w:val="003447F3"/>
    <w:rsid w:val="00344A8A"/>
    <w:rsid w:val="00344D97"/>
    <w:rsid w:val="003455B4"/>
    <w:rsid w:val="00345AF5"/>
    <w:rsid w:val="00345C01"/>
    <w:rsid w:val="00345C76"/>
    <w:rsid w:val="00346033"/>
    <w:rsid w:val="003461AA"/>
    <w:rsid w:val="003464BD"/>
    <w:rsid w:val="00346AE6"/>
    <w:rsid w:val="00346BE6"/>
    <w:rsid w:val="00347793"/>
    <w:rsid w:val="0034784B"/>
    <w:rsid w:val="003479C8"/>
    <w:rsid w:val="00347BE8"/>
    <w:rsid w:val="00347F40"/>
    <w:rsid w:val="00350027"/>
    <w:rsid w:val="003500E1"/>
    <w:rsid w:val="003506C4"/>
    <w:rsid w:val="0035092B"/>
    <w:rsid w:val="00350A74"/>
    <w:rsid w:val="00350E1E"/>
    <w:rsid w:val="00350FB1"/>
    <w:rsid w:val="003510CD"/>
    <w:rsid w:val="00351505"/>
    <w:rsid w:val="0035168C"/>
    <w:rsid w:val="00351969"/>
    <w:rsid w:val="00351C45"/>
    <w:rsid w:val="0035202A"/>
    <w:rsid w:val="00352D93"/>
    <w:rsid w:val="00352E5A"/>
    <w:rsid w:val="0035307A"/>
    <w:rsid w:val="00353527"/>
    <w:rsid w:val="0035369B"/>
    <w:rsid w:val="00353764"/>
    <w:rsid w:val="00353B8C"/>
    <w:rsid w:val="00353B9B"/>
    <w:rsid w:val="00353CD7"/>
    <w:rsid w:val="0035437B"/>
    <w:rsid w:val="00354CF9"/>
    <w:rsid w:val="00354D7B"/>
    <w:rsid w:val="00354E6B"/>
    <w:rsid w:val="00354F88"/>
    <w:rsid w:val="00355224"/>
    <w:rsid w:val="00355370"/>
    <w:rsid w:val="00355694"/>
    <w:rsid w:val="00355809"/>
    <w:rsid w:val="00355B42"/>
    <w:rsid w:val="00355C64"/>
    <w:rsid w:val="00356111"/>
    <w:rsid w:val="003562B3"/>
    <w:rsid w:val="00356318"/>
    <w:rsid w:val="003565F9"/>
    <w:rsid w:val="00356ACD"/>
    <w:rsid w:val="00356CBB"/>
    <w:rsid w:val="00356FE9"/>
    <w:rsid w:val="0035721D"/>
    <w:rsid w:val="00357509"/>
    <w:rsid w:val="0035751E"/>
    <w:rsid w:val="00357D30"/>
    <w:rsid w:val="003602CD"/>
    <w:rsid w:val="00360519"/>
    <w:rsid w:val="0036066F"/>
    <w:rsid w:val="003609D9"/>
    <w:rsid w:val="00360CD7"/>
    <w:rsid w:val="003611E0"/>
    <w:rsid w:val="003611EF"/>
    <w:rsid w:val="003611F9"/>
    <w:rsid w:val="003614A2"/>
    <w:rsid w:val="00361588"/>
    <w:rsid w:val="00361869"/>
    <w:rsid w:val="00361936"/>
    <w:rsid w:val="00361D33"/>
    <w:rsid w:val="00361D63"/>
    <w:rsid w:val="0036213B"/>
    <w:rsid w:val="00362165"/>
    <w:rsid w:val="0036217F"/>
    <w:rsid w:val="00362510"/>
    <w:rsid w:val="003628BB"/>
    <w:rsid w:val="00362972"/>
    <w:rsid w:val="00362A4B"/>
    <w:rsid w:val="00362AF6"/>
    <w:rsid w:val="00362C4F"/>
    <w:rsid w:val="003630A6"/>
    <w:rsid w:val="0036324C"/>
    <w:rsid w:val="00363360"/>
    <w:rsid w:val="003635C7"/>
    <w:rsid w:val="00363B13"/>
    <w:rsid w:val="00363D44"/>
    <w:rsid w:val="00363F66"/>
    <w:rsid w:val="00364014"/>
    <w:rsid w:val="003641A9"/>
    <w:rsid w:val="00364228"/>
    <w:rsid w:val="003642EC"/>
    <w:rsid w:val="00364657"/>
    <w:rsid w:val="0036492B"/>
    <w:rsid w:val="00364B93"/>
    <w:rsid w:val="00364BC6"/>
    <w:rsid w:val="00364BFC"/>
    <w:rsid w:val="00364C2C"/>
    <w:rsid w:val="00364D04"/>
    <w:rsid w:val="00364E34"/>
    <w:rsid w:val="00364E7B"/>
    <w:rsid w:val="00364EB5"/>
    <w:rsid w:val="00364F8F"/>
    <w:rsid w:val="00364F97"/>
    <w:rsid w:val="00364FB9"/>
    <w:rsid w:val="0036512D"/>
    <w:rsid w:val="00365135"/>
    <w:rsid w:val="003652F5"/>
    <w:rsid w:val="00365319"/>
    <w:rsid w:val="0036547C"/>
    <w:rsid w:val="0036550F"/>
    <w:rsid w:val="003662FB"/>
    <w:rsid w:val="0036636C"/>
    <w:rsid w:val="00366510"/>
    <w:rsid w:val="003666FF"/>
    <w:rsid w:val="003667ED"/>
    <w:rsid w:val="00366831"/>
    <w:rsid w:val="00366A22"/>
    <w:rsid w:val="00366A9D"/>
    <w:rsid w:val="00366BF2"/>
    <w:rsid w:val="00366D6D"/>
    <w:rsid w:val="00366D8A"/>
    <w:rsid w:val="00367088"/>
    <w:rsid w:val="00367131"/>
    <w:rsid w:val="0036777B"/>
    <w:rsid w:val="003678F3"/>
    <w:rsid w:val="00367963"/>
    <w:rsid w:val="00367ABB"/>
    <w:rsid w:val="00370646"/>
    <w:rsid w:val="00370853"/>
    <w:rsid w:val="003708BD"/>
    <w:rsid w:val="00370AA9"/>
    <w:rsid w:val="00371239"/>
    <w:rsid w:val="0037135E"/>
    <w:rsid w:val="003718A8"/>
    <w:rsid w:val="00371907"/>
    <w:rsid w:val="0037199B"/>
    <w:rsid w:val="00371C67"/>
    <w:rsid w:val="00372015"/>
    <w:rsid w:val="003723BD"/>
    <w:rsid w:val="003723EF"/>
    <w:rsid w:val="003724F0"/>
    <w:rsid w:val="00372534"/>
    <w:rsid w:val="00372563"/>
    <w:rsid w:val="003725A8"/>
    <w:rsid w:val="00372CC1"/>
    <w:rsid w:val="00372D6A"/>
    <w:rsid w:val="00372DAA"/>
    <w:rsid w:val="00372DD8"/>
    <w:rsid w:val="0037339B"/>
    <w:rsid w:val="003733C4"/>
    <w:rsid w:val="00373415"/>
    <w:rsid w:val="00373970"/>
    <w:rsid w:val="00373BB5"/>
    <w:rsid w:val="00373D7D"/>
    <w:rsid w:val="00373DE8"/>
    <w:rsid w:val="00374516"/>
    <w:rsid w:val="0037472E"/>
    <w:rsid w:val="003748E9"/>
    <w:rsid w:val="0037493A"/>
    <w:rsid w:val="00374A0C"/>
    <w:rsid w:val="00374B45"/>
    <w:rsid w:val="00374B75"/>
    <w:rsid w:val="00374DBD"/>
    <w:rsid w:val="0037542A"/>
    <w:rsid w:val="003759BF"/>
    <w:rsid w:val="00375B9D"/>
    <w:rsid w:val="00375CD3"/>
    <w:rsid w:val="00375ECD"/>
    <w:rsid w:val="00375EF7"/>
    <w:rsid w:val="003761DF"/>
    <w:rsid w:val="00376450"/>
    <w:rsid w:val="00376575"/>
    <w:rsid w:val="00376583"/>
    <w:rsid w:val="00376819"/>
    <w:rsid w:val="003769F7"/>
    <w:rsid w:val="00376AD6"/>
    <w:rsid w:val="00376DB6"/>
    <w:rsid w:val="00376EEC"/>
    <w:rsid w:val="00376FD9"/>
    <w:rsid w:val="0037721F"/>
    <w:rsid w:val="00377293"/>
    <w:rsid w:val="0037738D"/>
    <w:rsid w:val="00377438"/>
    <w:rsid w:val="003774F0"/>
    <w:rsid w:val="003775F5"/>
    <w:rsid w:val="003776A9"/>
    <w:rsid w:val="00377A74"/>
    <w:rsid w:val="00377AD2"/>
    <w:rsid w:val="00377CCE"/>
    <w:rsid w:val="00377D4B"/>
    <w:rsid w:val="00377D97"/>
    <w:rsid w:val="0038003F"/>
    <w:rsid w:val="00380066"/>
    <w:rsid w:val="003800CC"/>
    <w:rsid w:val="003803AD"/>
    <w:rsid w:val="00380586"/>
    <w:rsid w:val="00380902"/>
    <w:rsid w:val="00380ABA"/>
    <w:rsid w:val="00380BB7"/>
    <w:rsid w:val="0038100A"/>
    <w:rsid w:val="00381092"/>
    <w:rsid w:val="00381469"/>
    <w:rsid w:val="00381741"/>
    <w:rsid w:val="00381967"/>
    <w:rsid w:val="00381CC0"/>
    <w:rsid w:val="00381EF5"/>
    <w:rsid w:val="00381F5F"/>
    <w:rsid w:val="00382081"/>
    <w:rsid w:val="00382293"/>
    <w:rsid w:val="00382B82"/>
    <w:rsid w:val="00382E0D"/>
    <w:rsid w:val="003835C4"/>
    <w:rsid w:val="00383628"/>
    <w:rsid w:val="0038374E"/>
    <w:rsid w:val="00383809"/>
    <w:rsid w:val="00383961"/>
    <w:rsid w:val="00383A3C"/>
    <w:rsid w:val="00383C77"/>
    <w:rsid w:val="00383EE6"/>
    <w:rsid w:val="0038418B"/>
    <w:rsid w:val="00384AB6"/>
    <w:rsid w:val="00384AD2"/>
    <w:rsid w:val="0038548A"/>
    <w:rsid w:val="003854B2"/>
    <w:rsid w:val="00385585"/>
    <w:rsid w:val="00385682"/>
    <w:rsid w:val="00385CA5"/>
    <w:rsid w:val="00386151"/>
    <w:rsid w:val="0038622D"/>
    <w:rsid w:val="00386536"/>
    <w:rsid w:val="00386C13"/>
    <w:rsid w:val="0038731F"/>
    <w:rsid w:val="00387354"/>
    <w:rsid w:val="00387859"/>
    <w:rsid w:val="00387871"/>
    <w:rsid w:val="00387B43"/>
    <w:rsid w:val="00387DB1"/>
    <w:rsid w:val="00387FB5"/>
    <w:rsid w:val="00390116"/>
    <w:rsid w:val="003902B8"/>
    <w:rsid w:val="003904E1"/>
    <w:rsid w:val="0039090E"/>
    <w:rsid w:val="00390A0A"/>
    <w:rsid w:val="00390B31"/>
    <w:rsid w:val="00390C00"/>
    <w:rsid w:val="00390C7B"/>
    <w:rsid w:val="00390CC1"/>
    <w:rsid w:val="00390EC3"/>
    <w:rsid w:val="00390FB5"/>
    <w:rsid w:val="00391347"/>
    <w:rsid w:val="00391405"/>
    <w:rsid w:val="00391413"/>
    <w:rsid w:val="0039178B"/>
    <w:rsid w:val="003917B7"/>
    <w:rsid w:val="0039196B"/>
    <w:rsid w:val="00391B70"/>
    <w:rsid w:val="0039242F"/>
    <w:rsid w:val="003925D5"/>
    <w:rsid w:val="0039260F"/>
    <w:rsid w:val="003927B4"/>
    <w:rsid w:val="00392EB5"/>
    <w:rsid w:val="0039305F"/>
    <w:rsid w:val="00393070"/>
    <w:rsid w:val="003930D9"/>
    <w:rsid w:val="003936FD"/>
    <w:rsid w:val="00393A9E"/>
    <w:rsid w:val="00393C47"/>
    <w:rsid w:val="00393FF9"/>
    <w:rsid w:val="00394300"/>
    <w:rsid w:val="00394326"/>
    <w:rsid w:val="00394478"/>
    <w:rsid w:val="003944DC"/>
    <w:rsid w:val="00395144"/>
    <w:rsid w:val="003956BB"/>
    <w:rsid w:val="00395832"/>
    <w:rsid w:val="0039588B"/>
    <w:rsid w:val="00395FD8"/>
    <w:rsid w:val="0039608A"/>
    <w:rsid w:val="00396468"/>
    <w:rsid w:val="003964C2"/>
    <w:rsid w:val="003967A4"/>
    <w:rsid w:val="003967AB"/>
    <w:rsid w:val="0039683C"/>
    <w:rsid w:val="00396849"/>
    <w:rsid w:val="003969B0"/>
    <w:rsid w:val="003969B6"/>
    <w:rsid w:val="00396AD7"/>
    <w:rsid w:val="00396D58"/>
    <w:rsid w:val="00396E6D"/>
    <w:rsid w:val="00396F92"/>
    <w:rsid w:val="003973F8"/>
    <w:rsid w:val="0039752E"/>
    <w:rsid w:val="0039791C"/>
    <w:rsid w:val="00397BC8"/>
    <w:rsid w:val="00397C53"/>
    <w:rsid w:val="00397CC0"/>
    <w:rsid w:val="003A013B"/>
    <w:rsid w:val="003A0468"/>
    <w:rsid w:val="003A0A53"/>
    <w:rsid w:val="003A0BBD"/>
    <w:rsid w:val="003A0C20"/>
    <w:rsid w:val="003A0C54"/>
    <w:rsid w:val="003A1024"/>
    <w:rsid w:val="003A11A9"/>
    <w:rsid w:val="003A1330"/>
    <w:rsid w:val="003A15DA"/>
    <w:rsid w:val="003A18FC"/>
    <w:rsid w:val="003A2862"/>
    <w:rsid w:val="003A28AF"/>
    <w:rsid w:val="003A29F1"/>
    <w:rsid w:val="003A2A88"/>
    <w:rsid w:val="003A2D25"/>
    <w:rsid w:val="003A3006"/>
    <w:rsid w:val="003A35F3"/>
    <w:rsid w:val="003A36B8"/>
    <w:rsid w:val="003A3986"/>
    <w:rsid w:val="003A3A7E"/>
    <w:rsid w:val="003A3ABE"/>
    <w:rsid w:val="003A3CFC"/>
    <w:rsid w:val="003A3D76"/>
    <w:rsid w:val="003A4263"/>
    <w:rsid w:val="003A4365"/>
    <w:rsid w:val="003A44F5"/>
    <w:rsid w:val="003A4531"/>
    <w:rsid w:val="003A4731"/>
    <w:rsid w:val="003A48B7"/>
    <w:rsid w:val="003A4DD9"/>
    <w:rsid w:val="003A4E36"/>
    <w:rsid w:val="003A4F28"/>
    <w:rsid w:val="003A4FB4"/>
    <w:rsid w:val="003A5475"/>
    <w:rsid w:val="003A5812"/>
    <w:rsid w:val="003A5A2A"/>
    <w:rsid w:val="003A5A32"/>
    <w:rsid w:val="003A5A40"/>
    <w:rsid w:val="003A5B2D"/>
    <w:rsid w:val="003A5BBB"/>
    <w:rsid w:val="003A5E43"/>
    <w:rsid w:val="003A5F72"/>
    <w:rsid w:val="003A603C"/>
    <w:rsid w:val="003A609A"/>
    <w:rsid w:val="003A666B"/>
    <w:rsid w:val="003A6A4B"/>
    <w:rsid w:val="003A708C"/>
    <w:rsid w:val="003A71D5"/>
    <w:rsid w:val="003A7212"/>
    <w:rsid w:val="003A72CE"/>
    <w:rsid w:val="003A73C0"/>
    <w:rsid w:val="003A77B1"/>
    <w:rsid w:val="003A786F"/>
    <w:rsid w:val="003A78E2"/>
    <w:rsid w:val="003A7B76"/>
    <w:rsid w:val="003A7D6F"/>
    <w:rsid w:val="003A7E01"/>
    <w:rsid w:val="003A7F77"/>
    <w:rsid w:val="003B0242"/>
    <w:rsid w:val="003B0532"/>
    <w:rsid w:val="003B0760"/>
    <w:rsid w:val="003B07C2"/>
    <w:rsid w:val="003B08CD"/>
    <w:rsid w:val="003B0B68"/>
    <w:rsid w:val="003B1061"/>
    <w:rsid w:val="003B111A"/>
    <w:rsid w:val="003B136B"/>
    <w:rsid w:val="003B15A6"/>
    <w:rsid w:val="003B17CF"/>
    <w:rsid w:val="003B1944"/>
    <w:rsid w:val="003B1986"/>
    <w:rsid w:val="003B1A52"/>
    <w:rsid w:val="003B200A"/>
    <w:rsid w:val="003B20F1"/>
    <w:rsid w:val="003B2697"/>
    <w:rsid w:val="003B2772"/>
    <w:rsid w:val="003B282B"/>
    <w:rsid w:val="003B290F"/>
    <w:rsid w:val="003B30E3"/>
    <w:rsid w:val="003B316B"/>
    <w:rsid w:val="003B3578"/>
    <w:rsid w:val="003B385D"/>
    <w:rsid w:val="003B3940"/>
    <w:rsid w:val="003B3B49"/>
    <w:rsid w:val="003B3B67"/>
    <w:rsid w:val="003B405E"/>
    <w:rsid w:val="003B42BB"/>
    <w:rsid w:val="003B4674"/>
    <w:rsid w:val="003B4697"/>
    <w:rsid w:val="003B48AF"/>
    <w:rsid w:val="003B49F2"/>
    <w:rsid w:val="003B4A91"/>
    <w:rsid w:val="003B4A9E"/>
    <w:rsid w:val="003B4C1C"/>
    <w:rsid w:val="003B5016"/>
    <w:rsid w:val="003B506F"/>
    <w:rsid w:val="003B50F2"/>
    <w:rsid w:val="003B53AF"/>
    <w:rsid w:val="003B5582"/>
    <w:rsid w:val="003B59B3"/>
    <w:rsid w:val="003B5D10"/>
    <w:rsid w:val="003B5D23"/>
    <w:rsid w:val="003B5F80"/>
    <w:rsid w:val="003B60E6"/>
    <w:rsid w:val="003B619E"/>
    <w:rsid w:val="003B6402"/>
    <w:rsid w:val="003B66FC"/>
    <w:rsid w:val="003B6994"/>
    <w:rsid w:val="003B6A4F"/>
    <w:rsid w:val="003B6D0D"/>
    <w:rsid w:val="003B7177"/>
    <w:rsid w:val="003B71E6"/>
    <w:rsid w:val="003B74BE"/>
    <w:rsid w:val="003B755E"/>
    <w:rsid w:val="003B7AC0"/>
    <w:rsid w:val="003B7B4E"/>
    <w:rsid w:val="003B7C42"/>
    <w:rsid w:val="003B7E28"/>
    <w:rsid w:val="003B7E29"/>
    <w:rsid w:val="003B7FF2"/>
    <w:rsid w:val="003B7FF3"/>
    <w:rsid w:val="003C013E"/>
    <w:rsid w:val="003C01A9"/>
    <w:rsid w:val="003C0248"/>
    <w:rsid w:val="003C04D1"/>
    <w:rsid w:val="003C0559"/>
    <w:rsid w:val="003C079D"/>
    <w:rsid w:val="003C0CEB"/>
    <w:rsid w:val="003C0D3E"/>
    <w:rsid w:val="003C0F8C"/>
    <w:rsid w:val="003C1031"/>
    <w:rsid w:val="003C11A6"/>
    <w:rsid w:val="003C1553"/>
    <w:rsid w:val="003C15B1"/>
    <w:rsid w:val="003C1662"/>
    <w:rsid w:val="003C1663"/>
    <w:rsid w:val="003C167E"/>
    <w:rsid w:val="003C177D"/>
    <w:rsid w:val="003C1ADA"/>
    <w:rsid w:val="003C1B41"/>
    <w:rsid w:val="003C1C12"/>
    <w:rsid w:val="003C1DBB"/>
    <w:rsid w:val="003C1E31"/>
    <w:rsid w:val="003C1E3E"/>
    <w:rsid w:val="003C21F1"/>
    <w:rsid w:val="003C242E"/>
    <w:rsid w:val="003C2943"/>
    <w:rsid w:val="003C295E"/>
    <w:rsid w:val="003C2E15"/>
    <w:rsid w:val="003C2F81"/>
    <w:rsid w:val="003C331C"/>
    <w:rsid w:val="003C33E0"/>
    <w:rsid w:val="003C33E7"/>
    <w:rsid w:val="003C3425"/>
    <w:rsid w:val="003C36D3"/>
    <w:rsid w:val="003C3763"/>
    <w:rsid w:val="003C3817"/>
    <w:rsid w:val="003C386A"/>
    <w:rsid w:val="003C392D"/>
    <w:rsid w:val="003C3A03"/>
    <w:rsid w:val="003C3A1C"/>
    <w:rsid w:val="003C3C34"/>
    <w:rsid w:val="003C3C3E"/>
    <w:rsid w:val="003C3DC2"/>
    <w:rsid w:val="003C3EBB"/>
    <w:rsid w:val="003C41FB"/>
    <w:rsid w:val="003C42E8"/>
    <w:rsid w:val="003C44AF"/>
    <w:rsid w:val="003C45B5"/>
    <w:rsid w:val="003C48AA"/>
    <w:rsid w:val="003C48BC"/>
    <w:rsid w:val="003C48EC"/>
    <w:rsid w:val="003C5135"/>
    <w:rsid w:val="003C5579"/>
    <w:rsid w:val="003C5626"/>
    <w:rsid w:val="003C5728"/>
    <w:rsid w:val="003C58A5"/>
    <w:rsid w:val="003C5DAE"/>
    <w:rsid w:val="003C616B"/>
    <w:rsid w:val="003C6175"/>
    <w:rsid w:val="003C62E2"/>
    <w:rsid w:val="003C6589"/>
    <w:rsid w:val="003C67E8"/>
    <w:rsid w:val="003C682B"/>
    <w:rsid w:val="003C70AC"/>
    <w:rsid w:val="003C70D6"/>
    <w:rsid w:val="003C71BE"/>
    <w:rsid w:val="003C735A"/>
    <w:rsid w:val="003C737D"/>
    <w:rsid w:val="003C7739"/>
    <w:rsid w:val="003C78B0"/>
    <w:rsid w:val="003C7E4C"/>
    <w:rsid w:val="003D0275"/>
    <w:rsid w:val="003D047F"/>
    <w:rsid w:val="003D0491"/>
    <w:rsid w:val="003D05C6"/>
    <w:rsid w:val="003D087D"/>
    <w:rsid w:val="003D0A14"/>
    <w:rsid w:val="003D0C05"/>
    <w:rsid w:val="003D0D0C"/>
    <w:rsid w:val="003D109F"/>
    <w:rsid w:val="003D10E1"/>
    <w:rsid w:val="003D13DF"/>
    <w:rsid w:val="003D16E0"/>
    <w:rsid w:val="003D18D0"/>
    <w:rsid w:val="003D1A19"/>
    <w:rsid w:val="003D1DB6"/>
    <w:rsid w:val="003D1FE7"/>
    <w:rsid w:val="003D221C"/>
    <w:rsid w:val="003D23F4"/>
    <w:rsid w:val="003D2A57"/>
    <w:rsid w:val="003D2B70"/>
    <w:rsid w:val="003D2C35"/>
    <w:rsid w:val="003D2E7B"/>
    <w:rsid w:val="003D3030"/>
    <w:rsid w:val="003D306A"/>
    <w:rsid w:val="003D32D7"/>
    <w:rsid w:val="003D3911"/>
    <w:rsid w:val="003D39CE"/>
    <w:rsid w:val="003D3A99"/>
    <w:rsid w:val="003D3AB0"/>
    <w:rsid w:val="003D3BA3"/>
    <w:rsid w:val="003D3BC2"/>
    <w:rsid w:val="003D3C07"/>
    <w:rsid w:val="003D3FE1"/>
    <w:rsid w:val="003D425C"/>
    <w:rsid w:val="003D42DC"/>
    <w:rsid w:val="003D492A"/>
    <w:rsid w:val="003D4A82"/>
    <w:rsid w:val="003D4F85"/>
    <w:rsid w:val="003D5796"/>
    <w:rsid w:val="003D57D2"/>
    <w:rsid w:val="003D5972"/>
    <w:rsid w:val="003D59F8"/>
    <w:rsid w:val="003D5D73"/>
    <w:rsid w:val="003D5DD3"/>
    <w:rsid w:val="003D5F00"/>
    <w:rsid w:val="003D5FDA"/>
    <w:rsid w:val="003D60C3"/>
    <w:rsid w:val="003D610A"/>
    <w:rsid w:val="003D6191"/>
    <w:rsid w:val="003D62B1"/>
    <w:rsid w:val="003D6659"/>
    <w:rsid w:val="003D6CD6"/>
    <w:rsid w:val="003D7027"/>
    <w:rsid w:val="003D70B5"/>
    <w:rsid w:val="003D7277"/>
    <w:rsid w:val="003D731E"/>
    <w:rsid w:val="003D73CD"/>
    <w:rsid w:val="003D750D"/>
    <w:rsid w:val="003D7533"/>
    <w:rsid w:val="003D785F"/>
    <w:rsid w:val="003D78D4"/>
    <w:rsid w:val="003D78EC"/>
    <w:rsid w:val="003D7D6E"/>
    <w:rsid w:val="003E015C"/>
    <w:rsid w:val="003E03AE"/>
    <w:rsid w:val="003E09A9"/>
    <w:rsid w:val="003E0B09"/>
    <w:rsid w:val="003E0BAA"/>
    <w:rsid w:val="003E0EA2"/>
    <w:rsid w:val="003E1046"/>
    <w:rsid w:val="003E1705"/>
    <w:rsid w:val="003E1731"/>
    <w:rsid w:val="003E1732"/>
    <w:rsid w:val="003E17C2"/>
    <w:rsid w:val="003E25CD"/>
    <w:rsid w:val="003E2961"/>
    <w:rsid w:val="003E2A61"/>
    <w:rsid w:val="003E2B93"/>
    <w:rsid w:val="003E2D3B"/>
    <w:rsid w:val="003E2DFE"/>
    <w:rsid w:val="003E2E32"/>
    <w:rsid w:val="003E3108"/>
    <w:rsid w:val="003E3203"/>
    <w:rsid w:val="003E366F"/>
    <w:rsid w:val="003E3BE1"/>
    <w:rsid w:val="003E3D91"/>
    <w:rsid w:val="003E3D9B"/>
    <w:rsid w:val="003E4202"/>
    <w:rsid w:val="003E428A"/>
    <w:rsid w:val="003E42D1"/>
    <w:rsid w:val="003E4306"/>
    <w:rsid w:val="003E44D8"/>
    <w:rsid w:val="003E4544"/>
    <w:rsid w:val="003E468D"/>
    <w:rsid w:val="003E4CD2"/>
    <w:rsid w:val="003E4E8E"/>
    <w:rsid w:val="003E4EBE"/>
    <w:rsid w:val="003E4FF3"/>
    <w:rsid w:val="003E50DB"/>
    <w:rsid w:val="003E523A"/>
    <w:rsid w:val="003E532F"/>
    <w:rsid w:val="003E53A7"/>
    <w:rsid w:val="003E561E"/>
    <w:rsid w:val="003E5F4D"/>
    <w:rsid w:val="003E61B5"/>
    <w:rsid w:val="003E65EA"/>
    <w:rsid w:val="003E670F"/>
    <w:rsid w:val="003E68B9"/>
    <w:rsid w:val="003E68FB"/>
    <w:rsid w:val="003E7422"/>
    <w:rsid w:val="003E7506"/>
    <w:rsid w:val="003E77C0"/>
    <w:rsid w:val="003E7ABA"/>
    <w:rsid w:val="003E7ACA"/>
    <w:rsid w:val="003E7B5E"/>
    <w:rsid w:val="003E7C75"/>
    <w:rsid w:val="003E7CDF"/>
    <w:rsid w:val="003E7FFA"/>
    <w:rsid w:val="003F0034"/>
    <w:rsid w:val="003F003C"/>
    <w:rsid w:val="003F0419"/>
    <w:rsid w:val="003F05A7"/>
    <w:rsid w:val="003F0843"/>
    <w:rsid w:val="003F095A"/>
    <w:rsid w:val="003F12B7"/>
    <w:rsid w:val="003F1552"/>
    <w:rsid w:val="003F16C8"/>
    <w:rsid w:val="003F1949"/>
    <w:rsid w:val="003F1ABF"/>
    <w:rsid w:val="003F1B4C"/>
    <w:rsid w:val="003F1E0C"/>
    <w:rsid w:val="003F20EE"/>
    <w:rsid w:val="003F231A"/>
    <w:rsid w:val="003F2686"/>
    <w:rsid w:val="003F26D3"/>
    <w:rsid w:val="003F282E"/>
    <w:rsid w:val="003F28C6"/>
    <w:rsid w:val="003F2BCD"/>
    <w:rsid w:val="003F2D54"/>
    <w:rsid w:val="003F2EAA"/>
    <w:rsid w:val="003F327A"/>
    <w:rsid w:val="003F32F0"/>
    <w:rsid w:val="003F37F7"/>
    <w:rsid w:val="003F39E9"/>
    <w:rsid w:val="003F3AEF"/>
    <w:rsid w:val="003F3C2F"/>
    <w:rsid w:val="003F3CC6"/>
    <w:rsid w:val="003F410A"/>
    <w:rsid w:val="003F4381"/>
    <w:rsid w:val="003F4678"/>
    <w:rsid w:val="003F4770"/>
    <w:rsid w:val="003F483C"/>
    <w:rsid w:val="003F4970"/>
    <w:rsid w:val="003F4E20"/>
    <w:rsid w:val="003F4E32"/>
    <w:rsid w:val="003F5684"/>
    <w:rsid w:val="003F5799"/>
    <w:rsid w:val="003F5C9F"/>
    <w:rsid w:val="003F5CBD"/>
    <w:rsid w:val="003F5CE4"/>
    <w:rsid w:val="003F6167"/>
    <w:rsid w:val="003F63EB"/>
    <w:rsid w:val="003F6585"/>
    <w:rsid w:val="003F680F"/>
    <w:rsid w:val="003F71D7"/>
    <w:rsid w:val="003F7410"/>
    <w:rsid w:val="003F743A"/>
    <w:rsid w:val="003F76C8"/>
    <w:rsid w:val="003F77AB"/>
    <w:rsid w:val="003F78FF"/>
    <w:rsid w:val="003F7967"/>
    <w:rsid w:val="003F79C8"/>
    <w:rsid w:val="003F7B2B"/>
    <w:rsid w:val="003F7F32"/>
    <w:rsid w:val="0040038B"/>
    <w:rsid w:val="004003A8"/>
    <w:rsid w:val="004003D4"/>
    <w:rsid w:val="0040077F"/>
    <w:rsid w:val="00400829"/>
    <w:rsid w:val="00400A8D"/>
    <w:rsid w:val="00400C52"/>
    <w:rsid w:val="00400DF5"/>
    <w:rsid w:val="00400FBB"/>
    <w:rsid w:val="00401125"/>
    <w:rsid w:val="004015C1"/>
    <w:rsid w:val="00401666"/>
    <w:rsid w:val="00401769"/>
    <w:rsid w:val="00401874"/>
    <w:rsid w:val="00401AAF"/>
    <w:rsid w:val="00401CB1"/>
    <w:rsid w:val="00401EBA"/>
    <w:rsid w:val="00402316"/>
    <w:rsid w:val="004023F4"/>
    <w:rsid w:val="004024AC"/>
    <w:rsid w:val="004025EC"/>
    <w:rsid w:val="00402D47"/>
    <w:rsid w:val="00402D69"/>
    <w:rsid w:val="00403036"/>
    <w:rsid w:val="004030D7"/>
    <w:rsid w:val="00403252"/>
    <w:rsid w:val="00403415"/>
    <w:rsid w:val="00403528"/>
    <w:rsid w:val="0040363A"/>
    <w:rsid w:val="00403A68"/>
    <w:rsid w:val="00403B51"/>
    <w:rsid w:val="00403C49"/>
    <w:rsid w:val="00403D7A"/>
    <w:rsid w:val="0040409E"/>
    <w:rsid w:val="004040DC"/>
    <w:rsid w:val="0040412A"/>
    <w:rsid w:val="0040451C"/>
    <w:rsid w:val="004045D9"/>
    <w:rsid w:val="004046B3"/>
    <w:rsid w:val="00404AC6"/>
    <w:rsid w:val="00404B92"/>
    <w:rsid w:val="00404DAE"/>
    <w:rsid w:val="0040528B"/>
    <w:rsid w:val="00405D02"/>
    <w:rsid w:val="00405F21"/>
    <w:rsid w:val="00405FC4"/>
    <w:rsid w:val="0040609F"/>
    <w:rsid w:val="00406199"/>
    <w:rsid w:val="004061CA"/>
    <w:rsid w:val="0040621F"/>
    <w:rsid w:val="00406463"/>
    <w:rsid w:val="00406B8D"/>
    <w:rsid w:val="00406CDE"/>
    <w:rsid w:val="00406D44"/>
    <w:rsid w:val="00406D91"/>
    <w:rsid w:val="00406DDD"/>
    <w:rsid w:val="0040743F"/>
    <w:rsid w:val="00407772"/>
    <w:rsid w:val="004077A3"/>
    <w:rsid w:val="0040781C"/>
    <w:rsid w:val="0040796F"/>
    <w:rsid w:val="004079DB"/>
    <w:rsid w:val="0040E0F2"/>
    <w:rsid w:val="00410321"/>
    <w:rsid w:val="00410409"/>
    <w:rsid w:val="00410634"/>
    <w:rsid w:val="0041079A"/>
    <w:rsid w:val="004108F0"/>
    <w:rsid w:val="004109AC"/>
    <w:rsid w:val="00410D38"/>
    <w:rsid w:val="00411479"/>
    <w:rsid w:val="00411942"/>
    <w:rsid w:val="004119F5"/>
    <w:rsid w:val="00411F4B"/>
    <w:rsid w:val="004121C8"/>
    <w:rsid w:val="004128D9"/>
    <w:rsid w:val="0041299E"/>
    <w:rsid w:val="00412A2C"/>
    <w:rsid w:val="00412BE0"/>
    <w:rsid w:val="00412D0A"/>
    <w:rsid w:val="00412D9E"/>
    <w:rsid w:val="00412E3E"/>
    <w:rsid w:val="0041302A"/>
    <w:rsid w:val="004135DA"/>
    <w:rsid w:val="0041385B"/>
    <w:rsid w:val="00413864"/>
    <w:rsid w:val="004138DD"/>
    <w:rsid w:val="00413996"/>
    <w:rsid w:val="00413E06"/>
    <w:rsid w:val="00413F54"/>
    <w:rsid w:val="00414124"/>
    <w:rsid w:val="0041437E"/>
    <w:rsid w:val="004143E5"/>
    <w:rsid w:val="00414B14"/>
    <w:rsid w:val="00414ECF"/>
    <w:rsid w:val="00414F00"/>
    <w:rsid w:val="00414F85"/>
    <w:rsid w:val="00415076"/>
    <w:rsid w:val="0041519F"/>
    <w:rsid w:val="00415784"/>
    <w:rsid w:val="00415C43"/>
    <w:rsid w:val="00415CFA"/>
    <w:rsid w:val="00415D54"/>
    <w:rsid w:val="00415E7F"/>
    <w:rsid w:val="00415E9A"/>
    <w:rsid w:val="0041606B"/>
    <w:rsid w:val="004160BA"/>
    <w:rsid w:val="004162F0"/>
    <w:rsid w:val="0041634F"/>
    <w:rsid w:val="00416454"/>
    <w:rsid w:val="00416A04"/>
    <w:rsid w:val="00416AAF"/>
    <w:rsid w:val="00416ACF"/>
    <w:rsid w:val="00416C75"/>
    <w:rsid w:val="00416C7C"/>
    <w:rsid w:val="00416EE6"/>
    <w:rsid w:val="00416F1E"/>
    <w:rsid w:val="004171B4"/>
    <w:rsid w:val="004173A1"/>
    <w:rsid w:val="004178B9"/>
    <w:rsid w:val="00417947"/>
    <w:rsid w:val="00417D4A"/>
    <w:rsid w:val="00417DD2"/>
    <w:rsid w:val="00417F03"/>
    <w:rsid w:val="00417F20"/>
    <w:rsid w:val="00417FB7"/>
    <w:rsid w:val="004200CE"/>
    <w:rsid w:val="00420369"/>
    <w:rsid w:val="004204E9"/>
    <w:rsid w:val="00420530"/>
    <w:rsid w:val="00420808"/>
    <w:rsid w:val="004208E1"/>
    <w:rsid w:val="00420B8F"/>
    <w:rsid w:val="00420E65"/>
    <w:rsid w:val="00421389"/>
    <w:rsid w:val="00421EA4"/>
    <w:rsid w:val="00422055"/>
    <w:rsid w:val="00422185"/>
    <w:rsid w:val="004224D7"/>
    <w:rsid w:val="00422B14"/>
    <w:rsid w:val="00422CE4"/>
    <w:rsid w:val="00422CE7"/>
    <w:rsid w:val="00422CF2"/>
    <w:rsid w:val="00422F1D"/>
    <w:rsid w:val="004230A4"/>
    <w:rsid w:val="004234B4"/>
    <w:rsid w:val="0042354D"/>
    <w:rsid w:val="0042364E"/>
    <w:rsid w:val="004237ED"/>
    <w:rsid w:val="00423806"/>
    <w:rsid w:val="0042383A"/>
    <w:rsid w:val="0042386D"/>
    <w:rsid w:val="00423977"/>
    <w:rsid w:val="00423984"/>
    <w:rsid w:val="00423ED7"/>
    <w:rsid w:val="00423EEC"/>
    <w:rsid w:val="004240BF"/>
    <w:rsid w:val="004241B6"/>
    <w:rsid w:val="0042421A"/>
    <w:rsid w:val="004246A3"/>
    <w:rsid w:val="0042471B"/>
    <w:rsid w:val="00424A10"/>
    <w:rsid w:val="00424A1A"/>
    <w:rsid w:val="00424A23"/>
    <w:rsid w:val="00424E7F"/>
    <w:rsid w:val="00424E96"/>
    <w:rsid w:val="00424F82"/>
    <w:rsid w:val="00425217"/>
    <w:rsid w:val="00425448"/>
    <w:rsid w:val="00425484"/>
    <w:rsid w:val="00425612"/>
    <w:rsid w:val="00425C29"/>
    <w:rsid w:val="0042640D"/>
    <w:rsid w:val="00426627"/>
    <w:rsid w:val="0042662F"/>
    <w:rsid w:val="00426790"/>
    <w:rsid w:val="00426F7B"/>
    <w:rsid w:val="00426F8D"/>
    <w:rsid w:val="004270E7"/>
    <w:rsid w:val="00427174"/>
    <w:rsid w:val="004271D7"/>
    <w:rsid w:val="00427378"/>
    <w:rsid w:val="004276EC"/>
    <w:rsid w:val="00427788"/>
    <w:rsid w:val="00427790"/>
    <w:rsid w:val="00427815"/>
    <w:rsid w:val="00427A5C"/>
    <w:rsid w:val="00427AFE"/>
    <w:rsid w:val="00427C96"/>
    <w:rsid w:val="00427CA6"/>
    <w:rsid w:val="00427EB9"/>
    <w:rsid w:val="004300B2"/>
    <w:rsid w:val="004300F9"/>
    <w:rsid w:val="00430325"/>
    <w:rsid w:val="004309AF"/>
    <w:rsid w:val="004309BA"/>
    <w:rsid w:val="00430EAB"/>
    <w:rsid w:val="00430FAC"/>
    <w:rsid w:val="004312E3"/>
    <w:rsid w:val="0043151E"/>
    <w:rsid w:val="00431613"/>
    <w:rsid w:val="0043161D"/>
    <w:rsid w:val="00431685"/>
    <w:rsid w:val="004319AC"/>
    <w:rsid w:val="004319B8"/>
    <w:rsid w:val="00431B20"/>
    <w:rsid w:val="00431E17"/>
    <w:rsid w:val="004322A3"/>
    <w:rsid w:val="004327B1"/>
    <w:rsid w:val="00432B1A"/>
    <w:rsid w:val="00433114"/>
    <w:rsid w:val="004332EE"/>
    <w:rsid w:val="0043337D"/>
    <w:rsid w:val="0043365E"/>
    <w:rsid w:val="00433814"/>
    <w:rsid w:val="004338DC"/>
    <w:rsid w:val="00433BBA"/>
    <w:rsid w:val="00433CAF"/>
    <w:rsid w:val="00433E0B"/>
    <w:rsid w:val="00433E46"/>
    <w:rsid w:val="00433E81"/>
    <w:rsid w:val="0043417E"/>
    <w:rsid w:val="004349F3"/>
    <w:rsid w:val="00434A95"/>
    <w:rsid w:val="00434D3B"/>
    <w:rsid w:val="00434DC4"/>
    <w:rsid w:val="00434F32"/>
    <w:rsid w:val="004355B2"/>
    <w:rsid w:val="00435CA9"/>
    <w:rsid w:val="00435FE5"/>
    <w:rsid w:val="004361B7"/>
    <w:rsid w:val="00436240"/>
    <w:rsid w:val="0043640A"/>
    <w:rsid w:val="00436448"/>
    <w:rsid w:val="0043686F"/>
    <w:rsid w:val="00436DAC"/>
    <w:rsid w:val="004370DB"/>
    <w:rsid w:val="00437244"/>
    <w:rsid w:val="004374BF"/>
    <w:rsid w:val="0043775F"/>
    <w:rsid w:val="004378D7"/>
    <w:rsid w:val="0043790F"/>
    <w:rsid w:val="00437B10"/>
    <w:rsid w:val="00437B8A"/>
    <w:rsid w:val="00437B9C"/>
    <w:rsid w:val="00437CC1"/>
    <w:rsid w:val="004404EA"/>
    <w:rsid w:val="00440881"/>
    <w:rsid w:val="0044093B"/>
    <w:rsid w:val="004409A3"/>
    <w:rsid w:val="00440B51"/>
    <w:rsid w:val="00440C74"/>
    <w:rsid w:val="00440F44"/>
    <w:rsid w:val="00440FF1"/>
    <w:rsid w:val="0044104D"/>
    <w:rsid w:val="00441060"/>
    <w:rsid w:val="0044124C"/>
    <w:rsid w:val="00441316"/>
    <w:rsid w:val="0044132E"/>
    <w:rsid w:val="00441353"/>
    <w:rsid w:val="00441448"/>
    <w:rsid w:val="00441515"/>
    <w:rsid w:val="00441623"/>
    <w:rsid w:val="00441697"/>
    <w:rsid w:val="00441BF8"/>
    <w:rsid w:val="00441C88"/>
    <w:rsid w:val="00441CCB"/>
    <w:rsid w:val="00441D5B"/>
    <w:rsid w:val="00441F39"/>
    <w:rsid w:val="004420C9"/>
    <w:rsid w:val="00442106"/>
    <w:rsid w:val="00442282"/>
    <w:rsid w:val="004423A6"/>
    <w:rsid w:val="00442987"/>
    <w:rsid w:val="00442B26"/>
    <w:rsid w:val="00442BD5"/>
    <w:rsid w:val="00442DBF"/>
    <w:rsid w:val="00443305"/>
    <w:rsid w:val="00443857"/>
    <w:rsid w:val="0044392C"/>
    <w:rsid w:val="00443AD2"/>
    <w:rsid w:val="00443B33"/>
    <w:rsid w:val="00443BE4"/>
    <w:rsid w:val="00443C55"/>
    <w:rsid w:val="00443C97"/>
    <w:rsid w:val="00443E4F"/>
    <w:rsid w:val="00443E6D"/>
    <w:rsid w:val="00443EF0"/>
    <w:rsid w:val="00443F18"/>
    <w:rsid w:val="0044403B"/>
    <w:rsid w:val="00444246"/>
    <w:rsid w:val="00444300"/>
    <w:rsid w:val="004443A0"/>
    <w:rsid w:val="004443EE"/>
    <w:rsid w:val="00445153"/>
    <w:rsid w:val="0044516B"/>
    <w:rsid w:val="00445CFD"/>
    <w:rsid w:val="00445DAD"/>
    <w:rsid w:val="00446701"/>
    <w:rsid w:val="004469A0"/>
    <w:rsid w:val="004469D0"/>
    <w:rsid w:val="00446A46"/>
    <w:rsid w:val="00447037"/>
    <w:rsid w:val="004470AB"/>
    <w:rsid w:val="004473E9"/>
    <w:rsid w:val="00447534"/>
    <w:rsid w:val="0044786F"/>
    <w:rsid w:val="004479FD"/>
    <w:rsid w:val="00447B87"/>
    <w:rsid w:val="00447D70"/>
    <w:rsid w:val="00447DD2"/>
    <w:rsid w:val="004504A9"/>
    <w:rsid w:val="0045060A"/>
    <w:rsid w:val="00450633"/>
    <w:rsid w:val="00450C28"/>
    <w:rsid w:val="00450C3C"/>
    <w:rsid w:val="00450D45"/>
    <w:rsid w:val="00450E8E"/>
    <w:rsid w:val="004510E1"/>
    <w:rsid w:val="004512CE"/>
    <w:rsid w:val="004514B3"/>
    <w:rsid w:val="004514BE"/>
    <w:rsid w:val="004519C5"/>
    <w:rsid w:val="00451F2C"/>
    <w:rsid w:val="004523B7"/>
    <w:rsid w:val="004525E0"/>
    <w:rsid w:val="00452882"/>
    <w:rsid w:val="004528CE"/>
    <w:rsid w:val="00452B7D"/>
    <w:rsid w:val="00452E49"/>
    <w:rsid w:val="00452EAF"/>
    <w:rsid w:val="0045312C"/>
    <w:rsid w:val="00453DCE"/>
    <w:rsid w:val="00454218"/>
    <w:rsid w:val="00454271"/>
    <w:rsid w:val="004544DF"/>
    <w:rsid w:val="00454661"/>
    <w:rsid w:val="004546B0"/>
    <w:rsid w:val="004546CB"/>
    <w:rsid w:val="004547B0"/>
    <w:rsid w:val="0045488E"/>
    <w:rsid w:val="00454988"/>
    <w:rsid w:val="004549E9"/>
    <w:rsid w:val="00454A88"/>
    <w:rsid w:val="00455260"/>
    <w:rsid w:val="00455433"/>
    <w:rsid w:val="004555DF"/>
    <w:rsid w:val="00455961"/>
    <w:rsid w:val="00455C0E"/>
    <w:rsid w:val="00455C3C"/>
    <w:rsid w:val="00455D4A"/>
    <w:rsid w:val="00456044"/>
    <w:rsid w:val="0045645C"/>
    <w:rsid w:val="00456491"/>
    <w:rsid w:val="0045660E"/>
    <w:rsid w:val="00456635"/>
    <w:rsid w:val="004566D6"/>
    <w:rsid w:val="004566FE"/>
    <w:rsid w:val="00456AF5"/>
    <w:rsid w:val="00456D48"/>
    <w:rsid w:val="00456DF4"/>
    <w:rsid w:val="00456FFB"/>
    <w:rsid w:val="00457169"/>
    <w:rsid w:val="004572B4"/>
    <w:rsid w:val="004574E2"/>
    <w:rsid w:val="00457585"/>
    <w:rsid w:val="004575A3"/>
    <w:rsid w:val="0045767D"/>
    <w:rsid w:val="004578DA"/>
    <w:rsid w:val="004578E6"/>
    <w:rsid w:val="00457D9E"/>
    <w:rsid w:val="00457EB4"/>
    <w:rsid w:val="00457FCB"/>
    <w:rsid w:val="00460396"/>
    <w:rsid w:val="004604FC"/>
    <w:rsid w:val="00460AAE"/>
    <w:rsid w:val="00460CE0"/>
    <w:rsid w:val="0046132D"/>
    <w:rsid w:val="004615AB"/>
    <w:rsid w:val="004615EF"/>
    <w:rsid w:val="00462350"/>
    <w:rsid w:val="00462462"/>
    <w:rsid w:val="004627DA"/>
    <w:rsid w:val="0046296D"/>
    <w:rsid w:val="00462AFF"/>
    <w:rsid w:val="00462C44"/>
    <w:rsid w:val="0046317D"/>
    <w:rsid w:val="0046348E"/>
    <w:rsid w:val="0046364F"/>
    <w:rsid w:val="004636B6"/>
    <w:rsid w:val="0046374A"/>
    <w:rsid w:val="0046395C"/>
    <w:rsid w:val="00463E9C"/>
    <w:rsid w:val="00463ECF"/>
    <w:rsid w:val="004640F6"/>
    <w:rsid w:val="00464117"/>
    <w:rsid w:val="004641D2"/>
    <w:rsid w:val="00464253"/>
    <w:rsid w:val="00464367"/>
    <w:rsid w:val="004643F7"/>
    <w:rsid w:val="0046456A"/>
    <w:rsid w:val="004646D7"/>
    <w:rsid w:val="00464872"/>
    <w:rsid w:val="00464E5C"/>
    <w:rsid w:val="00464EFE"/>
    <w:rsid w:val="00465231"/>
    <w:rsid w:val="004653B5"/>
    <w:rsid w:val="004653EB"/>
    <w:rsid w:val="00465972"/>
    <w:rsid w:val="00465B05"/>
    <w:rsid w:val="00465B21"/>
    <w:rsid w:val="00465BC0"/>
    <w:rsid w:val="00465C62"/>
    <w:rsid w:val="00465DAD"/>
    <w:rsid w:val="00465F0F"/>
    <w:rsid w:val="00466025"/>
    <w:rsid w:val="0046614B"/>
    <w:rsid w:val="0046617B"/>
    <w:rsid w:val="0046669E"/>
    <w:rsid w:val="004666AA"/>
    <w:rsid w:val="004667D7"/>
    <w:rsid w:val="00466D04"/>
    <w:rsid w:val="004672A2"/>
    <w:rsid w:val="004673D8"/>
    <w:rsid w:val="0046741B"/>
    <w:rsid w:val="00467F45"/>
    <w:rsid w:val="00470387"/>
    <w:rsid w:val="004705D1"/>
    <w:rsid w:val="00470604"/>
    <w:rsid w:val="00470620"/>
    <w:rsid w:val="004707AF"/>
    <w:rsid w:val="00470AB2"/>
    <w:rsid w:val="004712B3"/>
    <w:rsid w:val="004714AD"/>
    <w:rsid w:val="00471610"/>
    <w:rsid w:val="00471960"/>
    <w:rsid w:val="00471C7A"/>
    <w:rsid w:val="00471CC2"/>
    <w:rsid w:val="00471D76"/>
    <w:rsid w:val="004721A0"/>
    <w:rsid w:val="004721AA"/>
    <w:rsid w:val="004722D1"/>
    <w:rsid w:val="004724BC"/>
    <w:rsid w:val="004725C9"/>
    <w:rsid w:val="00472912"/>
    <w:rsid w:val="00472B22"/>
    <w:rsid w:val="00472D4C"/>
    <w:rsid w:val="00472D91"/>
    <w:rsid w:val="00472E04"/>
    <w:rsid w:val="004731FA"/>
    <w:rsid w:val="00473382"/>
    <w:rsid w:val="00473394"/>
    <w:rsid w:val="004734AF"/>
    <w:rsid w:val="004735EE"/>
    <w:rsid w:val="004735FE"/>
    <w:rsid w:val="00473604"/>
    <w:rsid w:val="0047382D"/>
    <w:rsid w:val="00473B21"/>
    <w:rsid w:val="00473B65"/>
    <w:rsid w:val="00473B9B"/>
    <w:rsid w:val="00473BD6"/>
    <w:rsid w:val="00473CCC"/>
    <w:rsid w:val="00473D71"/>
    <w:rsid w:val="00473D79"/>
    <w:rsid w:val="00473F96"/>
    <w:rsid w:val="0047421F"/>
    <w:rsid w:val="00474288"/>
    <w:rsid w:val="00474551"/>
    <w:rsid w:val="004746A8"/>
    <w:rsid w:val="004747C3"/>
    <w:rsid w:val="00474AFF"/>
    <w:rsid w:val="00474B2C"/>
    <w:rsid w:val="0047532A"/>
    <w:rsid w:val="00475382"/>
    <w:rsid w:val="00475882"/>
    <w:rsid w:val="00475954"/>
    <w:rsid w:val="00475B72"/>
    <w:rsid w:val="00475B88"/>
    <w:rsid w:val="004763B1"/>
    <w:rsid w:val="004764EF"/>
    <w:rsid w:val="004765EA"/>
    <w:rsid w:val="00476AD7"/>
    <w:rsid w:val="00476BA4"/>
    <w:rsid w:val="00476C58"/>
    <w:rsid w:val="00476EEA"/>
    <w:rsid w:val="00477503"/>
    <w:rsid w:val="0047775A"/>
    <w:rsid w:val="004778FF"/>
    <w:rsid w:val="00477A40"/>
    <w:rsid w:val="00477C66"/>
    <w:rsid w:val="00477D17"/>
    <w:rsid w:val="00477D1B"/>
    <w:rsid w:val="00477D59"/>
    <w:rsid w:val="00477FE7"/>
    <w:rsid w:val="00480145"/>
    <w:rsid w:val="004807F7"/>
    <w:rsid w:val="00480897"/>
    <w:rsid w:val="004808CE"/>
    <w:rsid w:val="00480975"/>
    <w:rsid w:val="00480A57"/>
    <w:rsid w:val="00480BD0"/>
    <w:rsid w:val="004812B4"/>
    <w:rsid w:val="0048135E"/>
    <w:rsid w:val="00481548"/>
    <w:rsid w:val="004818A0"/>
    <w:rsid w:val="00481A5C"/>
    <w:rsid w:val="00481EA9"/>
    <w:rsid w:val="004822ED"/>
    <w:rsid w:val="0048282B"/>
    <w:rsid w:val="00482BEF"/>
    <w:rsid w:val="00482C65"/>
    <w:rsid w:val="00482E07"/>
    <w:rsid w:val="004830A3"/>
    <w:rsid w:val="004830B7"/>
    <w:rsid w:val="00483135"/>
    <w:rsid w:val="004833F2"/>
    <w:rsid w:val="004835FC"/>
    <w:rsid w:val="00483613"/>
    <w:rsid w:val="0048365B"/>
    <w:rsid w:val="00483701"/>
    <w:rsid w:val="004837CC"/>
    <w:rsid w:val="00483AE3"/>
    <w:rsid w:val="00483CEE"/>
    <w:rsid w:val="00483F7C"/>
    <w:rsid w:val="0048433C"/>
    <w:rsid w:val="00484434"/>
    <w:rsid w:val="00484791"/>
    <w:rsid w:val="004847A6"/>
    <w:rsid w:val="004849DD"/>
    <w:rsid w:val="004853FC"/>
    <w:rsid w:val="00485716"/>
    <w:rsid w:val="00485941"/>
    <w:rsid w:val="00485E99"/>
    <w:rsid w:val="00485F62"/>
    <w:rsid w:val="0048624C"/>
    <w:rsid w:val="004864A2"/>
    <w:rsid w:val="00486513"/>
    <w:rsid w:val="004865B0"/>
    <w:rsid w:val="00486788"/>
    <w:rsid w:val="004868F6"/>
    <w:rsid w:val="00486FAA"/>
    <w:rsid w:val="00487638"/>
    <w:rsid w:val="004876B4"/>
    <w:rsid w:val="00487A71"/>
    <w:rsid w:val="00487AC3"/>
    <w:rsid w:val="00487B69"/>
    <w:rsid w:val="00487FF9"/>
    <w:rsid w:val="00490016"/>
    <w:rsid w:val="00490073"/>
    <w:rsid w:val="00490455"/>
    <w:rsid w:val="00490907"/>
    <w:rsid w:val="00490A4B"/>
    <w:rsid w:val="00490B32"/>
    <w:rsid w:val="00490F82"/>
    <w:rsid w:val="004912A9"/>
    <w:rsid w:val="00491569"/>
    <w:rsid w:val="00491573"/>
    <w:rsid w:val="0049168F"/>
    <w:rsid w:val="004916F1"/>
    <w:rsid w:val="00491BCC"/>
    <w:rsid w:val="00491FCA"/>
    <w:rsid w:val="00491FCE"/>
    <w:rsid w:val="00492432"/>
    <w:rsid w:val="004929B9"/>
    <w:rsid w:val="00492CBE"/>
    <w:rsid w:val="00492EF2"/>
    <w:rsid w:val="00492F8D"/>
    <w:rsid w:val="00493028"/>
    <w:rsid w:val="00493446"/>
    <w:rsid w:val="00493478"/>
    <w:rsid w:val="00493528"/>
    <w:rsid w:val="00493651"/>
    <w:rsid w:val="00493894"/>
    <w:rsid w:val="00493A0A"/>
    <w:rsid w:val="00493AB4"/>
    <w:rsid w:val="00493B0E"/>
    <w:rsid w:val="00493E82"/>
    <w:rsid w:val="00493EC6"/>
    <w:rsid w:val="00493FC8"/>
    <w:rsid w:val="00494065"/>
    <w:rsid w:val="00494422"/>
    <w:rsid w:val="00494851"/>
    <w:rsid w:val="004949BA"/>
    <w:rsid w:val="00494F60"/>
    <w:rsid w:val="00494F88"/>
    <w:rsid w:val="00495030"/>
    <w:rsid w:val="004958AA"/>
    <w:rsid w:val="004958FB"/>
    <w:rsid w:val="00495B88"/>
    <w:rsid w:val="00495E91"/>
    <w:rsid w:val="00496025"/>
    <w:rsid w:val="004960A0"/>
    <w:rsid w:val="00496398"/>
    <w:rsid w:val="00496615"/>
    <w:rsid w:val="00496AE9"/>
    <w:rsid w:val="00496C71"/>
    <w:rsid w:val="00497295"/>
    <w:rsid w:val="00497640"/>
    <w:rsid w:val="00497663"/>
    <w:rsid w:val="0049767A"/>
    <w:rsid w:val="004976A8"/>
    <w:rsid w:val="0049778A"/>
    <w:rsid w:val="00497AF5"/>
    <w:rsid w:val="00497B84"/>
    <w:rsid w:val="00497C0C"/>
    <w:rsid w:val="00497D15"/>
    <w:rsid w:val="004A0313"/>
    <w:rsid w:val="004A0328"/>
    <w:rsid w:val="004A0694"/>
    <w:rsid w:val="004A0941"/>
    <w:rsid w:val="004A09A3"/>
    <w:rsid w:val="004A0B45"/>
    <w:rsid w:val="004A0C21"/>
    <w:rsid w:val="004A0C8A"/>
    <w:rsid w:val="004A0DCE"/>
    <w:rsid w:val="004A1146"/>
    <w:rsid w:val="004A1281"/>
    <w:rsid w:val="004A1414"/>
    <w:rsid w:val="004A15FB"/>
    <w:rsid w:val="004A1747"/>
    <w:rsid w:val="004A1AFB"/>
    <w:rsid w:val="004A1C77"/>
    <w:rsid w:val="004A1D14"/>
    <w:rsid w:val="004A1E39"/>
    <w:rsid w:val="004A1E95"/>
    <w:rsid w:val="004A2104"/>
    <w:rsid w:val="004A28C2"/>
    <w:rsid w:val="004A293A"/>
    <w:rsid w:val="004A2A68"/>
    <w:rsid w:val="004A2AEB"/>
    <w:rsid w:val="004A2AFC"/>
    <w:rsid w:val="004A2E73"/>
    <w:rsid w:val="004A2F96"/>
    <w:rsid w:val="004A33A5"/>
    <w:rsid w:val="004A3655"/>
    <w:rsid w:val="004A379B"/>
    <w:rsid w:val="004A38FA"/>
    <w:rsid w:val="004A3AA3"/>
    <w:rsid w:val="004A3BD8"/>
    <w:rsid w:val="004A3E81"/>
    <w:rsid w:val="004A416A"/>
    <w:rsid w:val="004A42BA"/>
    <w:rsid w:val="004A439E"/>
    <w:rsid w:val="004A4B92"/>
    <w:rsid w:val="004A523A"/>
    <w:rsid w:val="004A527D"/>
    <w:rsid w:val="004A53E3"/>
    <w:rsid w:val="004A54A4"/>
    <w:rsid w:val="004A54D0"/>
    <w:rsid w:val="004A58EA"/>
    <w:rsid w:val="004A590E"/>
    <w:rsid w:val="004A5B6D"/>
    <w:rsid w:val="004A5DD3"/>
    <w:rsid w:val="004A6498"/>
    <w:rsid w:val="004A69BC"/>
    <w:rsid w:val="004A6B7F"/>
    <w:rsid w:val="004A6C30"/>
    <w:rsid w:val="004A6D5D"/>
    <w:rsid w:val="004A6D96"/>
    <w:rsid w:val="004A6EA8"/>
    <w:rsid w:val="004A7216"/>
    <w:rsid w:val="004A7803"/>
    <w:rsid w:val="004A7D04"/>
    <w:rsid w:val="004A7EA7"/>
    <w:rsid w:val="004B00CB"/>
    <w:rsid w:val="004B0183"/>
    <w:rsid w:val="004B0365"/>
    <w:rsid w:val="004B03FA"/>
    <w:rsid w:val="004B06AC"/>
    <w:rsid w:val="004B06EE"/>
    <w:rsid w:val="004B0756"/>
    <w:rsid w:val="004B0B47"/>
    <w:rsid w:val="004B0C66"/>
    <w:rsid w:val="004B0C8A"/>
    <w:rsid w:val="004B0CBE"/>
    <w:rsid w:val="004B12CC"/>
    <w:rsid w:val="004B1565"/>
    <w:rsid w:val="004B16BC"/>
    <w:rsid w:val="004B1835"/>
    <w:rsid w:val="004B18AB"/>
    <w:rsid w:val="004B1ABF"/>
    <w:rsid w:val="004B1B4D"/>
    <w:rsid w:val="004B1E78"/>
    <w:rsid w:val="004B246C"/>
    <w:rsid w:val="004B256F"/>
    <w:rsid w:val="004B2673"/>
    <w:rsid w:val="004B2853"/>
    <w:rsid w:val="004B29F4"/>
    <w:rsid w:val="004B2B94"/>
    <w:rsid w:val="004B2C10"/>
    <w:rsid w:val="004B2D93"/>
    <w:rsid w:val="004B33A2"/>
    <w:rsid w:val="004B33DF"/>
    <w:rsid w:val="004B35A1"/>
    <w:rsid w:val="004B35CE"/>
    <w:rsid w:val="004B3E6B"/>
    <w:rsid w:val="004B3EF3"/>
    <w:rsid w:val="004B419B"/>
    <w:rsid w:val="004B457D"/>
    <w:rsid w:val="004B4596"/>
    <w:rsid w:val="004B4655"/>
    <w:rsid w:val="004B4752"/>
    <w:rsid w:val="004B4B79"/>
    <w:rsid w:val="004B4D98"/>
    <w:rsid w:val="004B4DA5"/>
    <w:rsid w:val="004B5178"/>
    <w:rsid w:val="004B51F1"/>
    <w:rsid w:val="004B523A"/>
    <w:rsid w:val="004B529D"/>
    <w:rsid w:val="004B5368"/>
    <w:rsid w:val="004B5531"/>
    <w:rsid w:val="004B61CD"/>
    <w:rsid w:val="004B6506"/>
    <w:rsid w:val="004B68D0"/>
    <w:rsid w:val="004B6F79"/>
    <w:rsid w:val="004B700C"/>
    <w:rsid w:val="004B7035"/>
    <w:rsid w:val="004B77C4"/>
    <w:rsid w:val="004B7A06"/>
    <w:rsid w:val="004B7B9E"/>
    <w:rsid w:val="004B7D3F"/>
    <w:rsid w:val="004C0240"/>
    <w:rsid w:val="004C0297"/>
    <w:rsid w:val="004C0339"/>
    <w:rsid w:val="004C07AD"/>
    <w:rsid w:val="004C07B2"/>
    <w:rsid w:val="004C101D"/>
    <w:rsid w:val="004C10E7"/>
    <w:rsid w:val="004C1429"/>
    <w:rsid w:val="004C14C9"/>
    <w:rsid w:val="004C18CE"/>
    <w:rsid w:val="004C19FB"/>
    <w:rsid w:val="004C1EEC"/>
    <w:rsid w:val="004C1EFD"/>
    <w:rsid w:val="004C21AC"/>
    <w:rsid w:val="004C2BD0"/>
    <w:rsid w:val="004C2E67"/>
    <w:rsid w:val="004C31EF"/>
    <w:rsid w:val="004C35BD"/>
    <w:rsid w:val="004C37C4"/>
    <w:rsid w:val="004C4387"/>
    <w:rsid w:val="004C4423"/>
    <w:rsid w:val="004C446B"/>
    <w:rsid w:val="004C4573"/>
    <w:rsid w:val="004C4843"/>
    <w:rsid w:val="004C49EC"/>
    <w:rsid w:val="004C4EC1"/>
    <w:rsid w:val="004C52DE"/>
    <w:rsid w:val="004C59E8"/>
    <w:rsid w:val="004C5C49"/>
    <w:rsid w:val="004C5C51"/>
    <w:rsid w:val="004C5DB7"/>
    <w:rsid w:val="004C5F57"/>
    <w:rsid w:val="004C627E"/>
    <w:rsid w:val="004C6608"/>
    <w:rsid w:val="004C696F"/>
    <w:rsid w:val="004C69C5"/>
    <w:rsid w:val="004C6AF1"/>
    <w:rsid w:val="004C6C4E"/>
    <w:rsid w:val="004C6DE7"/>
    <w:rsid w:val="004C7133"/>
    <w:rsid w:val="004C720A"/>
    <w:rsid w:val="004C74A5"/>
    <w:rsid w:val="004C766E"/>
    <w:rsid w:val="004C77EA"/>
    <w:rsid w:val="004C7858"/>
    <w:rsid w:val="004C7AFA"/>
    <w:rsid w:val="004C7CAE"/>
    <w:rsid w:val="004C7CD7"/>
    <w:rsid w:val="004C7D1F"/>
    <w:rsid w:val="004D04E1"/>
    <w:rsid w:val="004D0519"/>
    <w:rsid w:val="004D1084"/>
    <w:rsid w:val="004D10B1"/>
    <w:rsid w:val="004D1403"/>
    <w:rsid w:val="004D14F0"/>
    <w:rsid w:val="004D1619"/>
    <w:rsid w:val="004D1785"/>
    <w:rsid w:val="004D1E2E"/>
    <w:rsid w:val="004D212F"/>
    <w:rsid w:val="004D22CA"/>
    <w:rsid w:val="004D23AF"/>
    <w:rsid w:val="004D28FA"/>
    <w:rsid w:val="004D2F5B"/>
    <w:rsid w:val="004D3009"/>
    <w:rsid w:val="004D3457"/>
    <w:rsid w:val="004D3596"/>
    <w:rsid w:val="004D35BA"/>
    <w:rsid w:val="004D372E"/>
    <w:rsid w:val="004D38D5"/>
    <w:rsid w:val="004D3F8A"/>
    <w:rsid w:val="004D3FB1"/>
    <w:rsid w:val="004D4077"/>
    <w:rsid w:val="004D4375"/>
    <w:rsid w:val="004D44EB"/>
    <w:rsid w:val="004D4904"/>
    <w:rsid w:val="004D492C"/>
    <w:rsid w:val="004D4A09"/>
    <w:rsid w:val="004D4BBB"/>
    <w:rsid w:val="004D4CE2"/>
    <w:rsid w:val="004D4D3C"/>
    <w:rsid w:val="004D4D5D"/>
    <w:rsid w:val="004D4F10"/>
    <w:rsid w:val="004D52DE"/>
    <w:rsid w:val="004D538E"/>
    <w:rsid w:val="004D5451"/>
    <w:rsid w:val="004D59E8"/>
    <w:rsid w:val="004D5F2D"/>
    <w:rsid w:val="004D6412"/>
    <w:rsid w:val="004D644B"/>
    <w:rsid w:val="004D68F7"/>
    <w:rsid w:val="004D6A56"/>
    <w:rsid w:val="004D6ABD"/>
    <w:rsid w:val="004D6D2C"/>
    <w:rsid w:val="004D6ED7"/>
    <w:rsid w:val="004D7148"/>
    <w:rsid w:val="004D71FE"/>
    <w:rsid w:val="004D747B"/>
    <w:rsid w:val="004D7555"/>
    <w:rsid w:val="004D75DA"/>
    <w:rsid w:val="004D7797"/>
    <w:rsid w:val="004D7AC8"/>
    <w:rsid w:val="004D7FE0"/>
    <w:rsid w:val="004D7FF9"/>
    <w:rsid w:val="004E01A8"/>
    <w:rsid w:val="004E023F"/>
    <w:rsid w:val="004E0246"/>
    <w:rsid w:val="004E02CC"/>
    <w:rsid w:val="004E0396"/>
    <w:rsid w:val="004E03A6"/>
    <w:rsid w:val="004E09F9"/>
    <w:rsid w:val="004E0F57"/>
    <w:rsid w:val="004E14EE"/>
    <w:rsid w:val="004E1647"/>
    <w:rsid w:val="004E1798"/>
    <w:rsid w:val="004E17D9"/>
    <w:rsid w:val="004E1CE4"/>
    <w:rsid w:val="004E1D71"/>
    <w:rsid w:val="004E1D8A"/>
    <w:rsid w:val="004E1FBE"/>
    <w:rsid w:val="004E20DB"/>
    <w:rsid w:val="004E20E0"/>
    <w:rsid w:val="004E2363"/>
    <w:rsid w:val="004E254C"/>
    <w:rsid w:val="004E2912"/>
    <w:rsid w:val="004E2CFD"/>
    <w:rsid w:val="004E2D7B"/>
    <w:rsid w:val="004E2D9A"/>
    <w:rsid w:val="004E2ED0"/>
    <w:rsid w:val="004E2F56"/>
    <w:rsid w:val="004E3395"/>
    <w:rsid w:val="004E36D4"/>
    <w:rsid w:val="004E385A"/>
    <w:rsid w:val="004E3C3A"/>
    <w:rsid w:val="004E3E01"/>
    <w:rsid w:val="004E3F1D"/>
    <w:rsid w:val="004E41B8"/>
    <w:rsid w:val="004E43F9"/>
    <w:rsid w:val="004E4A7F"/>
    <w:rsid w:val="004E4C7C"/>
    <w:rsid w:val="004E4CE8"/>
    <w:rsid w:val="004E4DFE"/>
    <w:rsid w:val="004E5A1D"/>
    <w:rsid w:val="004E5C8E"/>
    <w:rsid w:val="004E5D4B"/>
    <w:rsid w:val="004E60B3"/>
    <w:rsid w:val="004E60E7"/>
    <w:rsid w:val="004E651E"/>
    <w:rsid w:val="004E6710"/>
    <w:rsid w:val="004E6AEB"/>
    <w:rsid w:val="004E6D4F"/>
    <w:rsid w:val="004E6DE0"/>
    <w:rsid w:val="004E74C8"/>
    <w:rsid w:val="004E793F"/>
    <w:rsid w:val="004E7A24"/>
    <w:rsid w:val="004E7B15"/>
    <w:rsid w:val="004E7C9D"/>
    <w:rsid w:val="004E7F23"/>
    <w:rsid w:val="004E7FAF"/>
    <w:rsid w:val="004F00C6"/>
    <w:rsid w:val="004F095A"/>
    <w:rsid w:val="004F0A0F"/>
    <w:rsid w:val="004F141F"/>
    <w:rsid w:val="004F1456"/>
    <w:rsid w:val="004F1BFA"/>
    <w:rsid w:val="004F1CCD"/>
    <w:rsid w:val="004F1CE2"/>
    <w:rsid w:val="004F1DB9"/>
    <w:rsid w:val="004F222A"/>
    <w:rsid w:val="004F2559"/>
    <w:rsid w:val="004F28C4"/>
    <w:rsid w:val="004F29BC"/>
    <w:rsid w:val="004F2B8F"/>
    <w:rsid w:val="004F3055"/>
    <w:rsid w:val="004F310C"/>
    <w:rsid w:val="004F36CC"/>
    <w:rsid w:val="004F371C"/>
    <w:rsid w:val="004F3773"/>
    <w:rsid w:val="004F3778"/>
    <w:rsid w:val="004F37DF"/>
    <w:rsid w:val="004F3CD3"/>
    <w:rsid w:val="004F3D36"/>
    <w:rsid w:val="004F3DD0"/>
    <w:rsid w:val="004F3EE1"/>
    <w:rsid w:val="004F3F12"/>
    <w:rsid w:val="004F4046"/>
    <w:rsid w:val="004F40C3"/>
    <w:rsid w:val="004F41A8"/>
    <w:rsid w:val="004F42FE"/>
    <w:rsid w:val="004F443E"/>
    <w:rsid w:val="004F4644"/>
    <w:rsid w:val="004F49C0"/>
    <w:rsid w:val="004F4B1F"/>
    <w:rsid w:val="004F4B9B"/>
    <w:rsid w:val="004F4BCD"/>
    <w:rsid w:val="004F4C01"/>
    <w:rsid w:val="004F4C55"/>
    <w:rsid w:val="004F51B8"/>
    <w:rsid w:val="004F522B"/>
    <w:rsid w:val="004F5269"/>
    <w:rsid w:val="004F5364"/>
    <w:rsid w:val="004F559E"/>
    <w:rsid w:val="004F59F6"/>
    <w:rsid w:val="004F5A1D"/>
    <w:rsid w:val="004F5AF3"/>
    <w:rsid w:val="004F5B4C"/>
    <w:rsid w:val="004F5BBF"/>
    <w:rsid w:val="004F5D77"/>
    <w:rsid w:val="004F5ECA"/>
    <w:rsid w:val="004F5EE1"/>
    <w:rsid w:val="004F5F71"/>
    <w:rsid w:val="004F6023"/>
    <w:rsid w:val="004F6110"/>
    <w:rsid w:val="004F628A"/>
    <w:rsid w:val="004F6449"/>
    <w:rsid w:val="004F6964"/>
    <w:rsid w:val="004F6A28"/>
    <w:rsid w:val="004F6A44"/>
    <w:rsid w:val="004F6AEF"/>
    <w:rsid w:val="004F6CFC"/>
    <w:rsid w:val="004F6FE2"/>
    <w:rsid w:val="004F7023"/>
    <w:rsid w:val="004F71C1"/>
    <w:rsid w:val="004F72B0"/>
    <w:rsid w:val="004F7691"/>
    <w:rsid w:val="004F77A5"/>
    <w:rsid w:val="004F78FC"/>
    <w:rsid w:val="004F79AF"/>
    <w:rsid w:val="004F7A6B"/>
    <w:rsid w:val="004F7CDF"/>
    <w:rsid w:val="004F7EAC"/>
    <w:rsid w:val="004F7F4E"/>
    <w:rsid w:val="004F7F59"/>
    <w:rsid w:val="004F7F96"/>
    <w:rsid w:val="005004A6"/>
    <w:rsid w:val="0050061F"/>
    <w:rsid w:val="00500F77"/>
    <w:rsid w:val="00501303"/>
    <w:rsid w:val="005017BD"/>
    <w:rsid w:val="00501B2E"/>
    <w:rsid w:val="00501DAE"/>
    <w:rsid w:val="00501EE5"/>
    <w:rsid w:val="0050270E"/>
    <w:rsid w:val="005028BC"/>
    <w:rsid w:val="00502B39"/>
    <w:rsid w:val="00502BE0"/>
    <w:rsid w:val="00502D92"/>
    <w:rsid w:val="00502E8D"/>
    <w:rsid w:val="00502EFC"/>
    <w:rsid w:val="005031FF"/>
    <w:rsid w:val="0050327B"/>
    <w:rsid w:val="00503331"/>
    <w:rsid w:val="0050337A"/>
    <w:rsid w:val="005035D8"/>
    <w:rsid w:val="005037A3"/>
    <w:rsid w:val="00503D4F"/>
    <w:rsid w:val="00503DC4"/>
    <w:rsid w:val="00503DE7"/>
    <w:rsid w:val="00504129"/>
    <w:rsid w:val="005041DB"/>
    <w:rsid w:val="0050423A"/>
    <w:rsid w:val="0050427A"/>
    <w:rsid w:val="0050508D"/>
    <w:rsid w:val="005052D7"/>
    <w:rsid w:val="005054DC"/>
    <w:rsid w:val="00505596"/>
    <w:rsid w:val="00505DA7"/>
    <w:rsid w:val="00505DDC"/>
    <w:rsid w:val="00505EC1"/>
    <w:rsid w:val="00506495"/>
    <w:rsid w:val="005064D4"/>
    <w:rsid w:val="00506519"/>
    <w:rsid w:val="005065B0"/>
    <w:rsid w:val="00507A48"/>
    <w:rsid w:val="00507BCD"/>
    <w:rsid w:val="00507D7F"/>
    <w:rsid w:val="00507E1F"/>
    <w:rsid w:val="00507F67"/>
    <w:rsid w:val="00510035"/>
    <w:rsid w:val="005108C2"/>
    <w:rsid w:val="005108DB"/>
    <w:rsid w:val="00510A23"/>
    <w:rsid w:val="00510D18"/>
    <w:rsid w:val="00511044"/>
    <w:rsid w:val="005110F0"/>
    <w:rsid w:val="00511112"/>
    <w:rsid w:val="005111E5"/>
    <w:rsid w:val="0051134A"/>
    <w:rsid w:val="00511409"/>
    <w:rsid w:val="005116FC"/>
    <w:rsid w:val="00511726"/>
    <w:rsid w:val="00511763"/>
    <w:rsid w:val="005118CC"/>
    <w:rsid w:val="00512252"/>
    <w:rsid w:val="00512410"/>
    <w:rsid w:val="00512505"/>
    <w:rsid w:val="00512716"/>
    <w:rsid w:val="005128C9"/>
    <w:rsid w:val="00512965"/>
    <w:rsid w:val="00512E86"/>
    <w:rsid w:val="00512EC0"/>
    <w:rsid w:val="00512EE4"/>
    <w:rsid w:val="00513328"/>
    <w:rsid w:val="005134C6"/>
    <w:rsid w:val="00513891"/>
    <w:rsid w:val="00513CEB"/>
    <w:rsid w:val="00513D54"/>
    <w:rsid w:val="00513F93"/>
    <w:rsid w:val="00513FE0"/>
    <w:rsid w:val="005141B9"/>
    <w:rsid w:val="0051427F"/>
    <w:rsid w:val="00514860"/>
    <w:rsid w:val="00514A73"/>
    <w:rsid w:val="00514FC5"/>
    <w:rsid w:val="00515038"/>
    <w:rsid w:val="00515246"/>
    <w:rsid w:val="00515249"/>
    <w:rsid w:val="00515591"/>
    <w:rsid w:val="005157CD"/>
    <w:rsid w:val="005158E5"/>
    <w:rsid w:val="00515AA5"/>
    <w:rsid w:val="00515D65"/>
    <w:rsid w:val="00515FBB"/>
    <w:rsid w:val="00515FEF"/>
    <w:rsid w:val="0051612C"/>
    <w:rsid w:val="00516692"/>
    <w:rsid w:val="00516C70"/>
    <w:rsid w:val="00516D56"/>
    <w:rsid w:val="00516E52"/>
    <w:rsid w:val="005170A7"/>
    <w:rsid w:val="005170FB"/>
    <w:rsid w:val="005171BA"/>
    <w:rsid w:val="00517246"/>
    <w:rsid w:val="005172E3"/>
    <w:rsid w:val="00520622"/>
    <w:rsid w:val="005206DD"/>
    <w:rsid w:val="00520A09"/>
    <w:rsid w:val="00520AE4"/>
    <w:rsid w:val="00521415"/>
    <w:rsid w:val="00521E1A"/>
    <w:rsid w:val="00521EF9"/>
    <w:rsid w:val="00522219"/>
    <w:rsid w:val="0052221A"/>
    <w:rsid w:val="00522277"/>
    <w:rsid w:val="005226A1"/>
    <w:rsid w:val="00522B61"/>
    <w:rsid w:val="00522BBF"/>
    <w:rsid w:val="005231F1"/>
    <w:rsid w:val="00523572"/>
    <w:rsid w:val="00523680"/>
    <w:rsid w:val="0052370F"/>
    <w:rsid w:val="00523778"/>
    <w:rsid w:val="0052381D"/>
    <w:rsid w:val="00523AF4"/>
    <w:rsid w:val="00523B79"/>
    <w:rsid w:val="00523CA1"/>
    <w:rsid w:val="00524216"/>
    <w:rsid w:val="00524331"/>
    <w:rsid w:val="00524E19"/>
    <w:rsid w:val="00524E50"/>
    <w:rsid w:val="00524FF9"/>
    <w:rsid w:val="005252A6"/>
    <w:rsid w:val="0052539A"/>
    <w:rsid w:val="0052549B"/>
    <w:rsid w:val="005254B3"/>
    <w:rsid w:val="00525C0F"/>
    <w:rsid w:val="00525FB5"/>
    <w:rsid w:val="00526199"/>
    <w:rsid w:val="005261E7"/>
    <w:rsid w:val="00526587"/>
    <w:rsid w:val="005268E7"/>
    <w:rsid w:val="00526938"/>
    <w:rsid w:val="00526E70"/>
    <w:rsid w:val="00526E9C"/>
    <w:rsid w:val="005273D9"/>
    <w:rsid w:val="00527855"/>
    <w:rsid w:val="00527B46"/>
    <w:rsid w:val="00527CF6"/>
    <w:rsid w:val="00527E75"/>
    <w:rsid w:val="005301C6"/>
    <w:rsid w:val="0053025E"/>
    <w:rsid w:val="0053059B"/>
    <w:rsid w:val="00530683"/>
    <w:rsid w:val="0053074B"/>
    <w:rsid w:val="005307A1"/>
    <w:rsid w:val="00530DA2"/>
    <w:rsid w:val="00530F5D"/>
    <w:rsid w:val="00530FEF"/>
    <w:rsid w:val="00531022"/>
    <w:rsid w:val="005315E4"/>
    <w:rsid w:val="00531C7C"/>
    <w:rsid w:val="00531F1A"/>
    <w:rsid w:val="005321E5"/>
    <w:rsid w:val="00532415"/>
    <w:rsid w:val="0053252A"/>
    <w:rsid w:val="005326BB"/>
    <w:rsid w:val="0053270A"/>
    <w:rsid w:val="00532729"/>
    <w:rsid w:val="0053280E"/>
    <w:rsid w:val="005328DD"/>
    <w:rsid w:val="0053343B"/>
    <w:rsid w:val="0053348C"/>
    <w:rsid w:val="0053362E"/>
    <w:rsid w:val="00533702"/>
    <w:rsid w:val="00533C1D"/>
    <w:rsid w:val="00533DCF"/>
    <w:rsid w:val="005343EE"/>
    <w:rsid w:val="00534A9B"/>
    <w:rsid w:val="00534C50"/>
    <w:rsid w:val="00534DF6"/>
    <w:rsid w:val="00534E39"/>
    <w:rsid w:val="00535052"/>
    <w:rsid w:val="0053565C"/>
    <w:rsid w:val="00535EBF"/>
    <w:rsid w:val="00535F29"/>
    <w:rsid w:val="00535FAB"/>
    <w:rsid w:val="00536127"/>
    <w:rsid w:val="0053612A"/>
    <w:rsid w:val="0053614E"/>
    <w:rsid w:val="0053619E"/>
    <w:rsid w:val="0053630A"/>
    <w:rsid w:val="005363AC"/>
    <w:rsid w:val="00536D93"/>
    <w:rsid w:val="00536F71"/>
    <w:rsid w:val="005376D3"/>
    <w:rsid w:val="00537CE2"/>
    <w:rsid w:val="00540022"/>
    <w:rsid w:val="00540241"/>
    <w:rsid w:val="00540260"/>
    <w:rsid w:val="005403A4"/>
    <w:rsid w:val="005404C5"/>
    <w:rsid w:val="0054092D"/>
    <w:rsid w:val="0054097B"/>
    <w:rsid w:val="0054098C"/>
    <w:rsid w:val="005409C4"/>
    <w:rsid w:val="005409C9"/>
    <w:rsid w:val="00540D21"/>
    <w:rsid w:val="00540E08"/>
    <w:rsid w:val="00540ECC"/>
    <w:rsid w:val="00541042"/>
    <w:rsid w:val="005414A6"/>
    <w:rsid w:val="00541622"/>
    <w:rsid w:val="00541EE8"/>
    <w:rsid w:val="00542047"/>
    <w:rsid w:val="0054229E"/>
    <w:rsid w:val="0054237E"/>
    <w:rsid w:val="00542475"/>
    <w:rsid w:val="0054259F"/>
    <w:rsid w:val="005426E8"/>
    <w:rsid w:val="00542994"/>
    <w:rsid w:val="005429A2"/>
    <w:rsid w:val="00542AAC"/>
    <w:rsid w:val="00542E4B"/>
    <w:rsid w:val="00542EAA"/>
    <w:rsid w:val="00542EC8"/>
    <w:rsid w:val="00542FDE"/>
    <w:rsid w:val="00542FEA"/>
    <w:rsid w:val="00543754"/>
    <w:rsid w:val="00543BD8"/>
    <w:rsid w:val="00543F73"/>
    <w:rsid w:val="00544042"/>
    <w:rsid w:val="005440C1"/>
    <w:rsid w:val="00544E3A"/>
    <w:rsid w:val="0054520E"/>
    <w:rsid w:val="005453F0"/>
    <w:rsid w:val="0054569D"/>
    <w:rsid w:val="00545705"/>
    <w:rsid w:val="005457E4"/>
    <w:rsid w:val="00545805"/>
    <w:rsid w:val="005458CA"/>
    <w:rsid w:val="00545910"/>
    <w:rsid w:val="005459D0"/>
    <w:rsid w:val="005459F8"/>
    <w:rsid w:val="00545D37"/>
    <w:rsid w:val="00545FF7"/>
    <w:rsid w:val="00546340"/>
    <w:rsid w:val="005465BF"/>
    <w:rsid w:val="00546746"/>
    <w:rsid w:val="005468AD"/>
    <w:rsid w:val="00546AAE"/>
    <w:rsid w:val="00546BEC"/>
    <w:rsid w:val="00546C88"/>
    <w:rsid w:val="00546D05"/>
    <w:rsid w:val="00547087"/>
    <w:rsid w:val="00547447"/>
    <w:rsid w:val="00547B3A"/>
    <w:rsid w:val="00547E2E"/>
    <w:rsid w:val="00550213"/>
    <w:rsid w:val="005502EC"/>
    <w:rsid w:val="005505FE"/>
    <w:rsid w:val="005506A8"/>
    <w:rsid w:val="005508BE"/>
    <w:rsid w:val="00550B4D"/>
    <w:rsid w:val="00550C61"/>
    <w:rsid w:val="00550D01"/>
    <w:rsid w:val="00550FBC"/>
    <w:rsid w:val="00551059"/>
    <w:rsid w:val="005510D3"/>
    <w:rsid w:val="00551562"/>
    <w:rsid w:val="00551953"/>
    <w:rsid w:val="00551991"/>
    <w:rsid w:val="005519C2"/>
    <w:rsid w:val="00551B82"/>
    <w:rsid w:val="00551B94"/>
    <w:rsid w:val="00551E16"/>
    <w:rsid w:val="00551E9B"/>
    <w:rsid w:val="00552085"/>
    <w:rsid w:val="005520D6"/>
    <w:rsid w:val="00552222"/>
    <w:rsid w:val="00552264"/>
    <w:rsid w:val="00552590"/>
    <w:rsid w:val="0055262E"/>
    <w:rsid w:val="005526FC"/>
    <w:rsid w:val="005527E7"/>
    <w:rsid w:val="00552BDF"/>
    <w:rsid w:val="00552D2C"/>
    <w:rsid w:val="005530C6"/>
    <w:rsid w:val="00553361"/>
    <w:rsid w:val="00553457"/>
    <w:rsid w:val="00553548"/>
    <w:rsid w:val="0055355F"/>
    <w:rsid w:val="005535F8"/>
    <w:rsid w:val="00553957"/>
    <w:rsid w:val="00553A04"/>
    <w:rsid w:val="00553A24"/>
    <w:rsid w:val="00554033"/>
    <w:rsid w:val="00554143"/>
    <w:rsid w:val="005542C3"/>
    <w:rsid w:val="00554309"/>
    <w:rsid w:val="00554375"/>
    <w:rsid w:val="0055441F"/>
    <w:rsid w:val="0055453A"/>
    <w:rsid w:val="0055459D"/>
    <w:rsid w:val="005545BC"/>
    <w:rsid w:val="00554943"/>
    <w:rsid w:val="00555133"/>
    <w:rsid w:val="00555242"/>
    <w:rsid w:val="005556C2"/>
    <w:rsid w:val="00555840"/>
    <w:rsid w:val="00555DBB"/>
    <w:rsid w:val="0055677D"/>
    <w:rsid w:val="0055685C"/>
    <w:rsid w:val="00556B49"/>
    <w:rsid w:val="00556C64"/>
    <w:rsid w:val="0055734A"/>
    <w:rsid w:val="0055737B"/>
    <w:rsid w:val="005573A9"/>
    <w:rsid w:val="005574EF"/>
    <w:rsid w:val="005575D8"/>
    <w:rsid w:val="005576AA"/>
    <w:rsid w:val="005576F9"/>
    <w:rsid w:val="0055789D"/>
    <w:rsid w:val="0055796D"/>
    <w:rsid w:val="005600B4"/>
    <w:rsid w:val="005606DB"/>
    <w:rsid w:val="00560A58"/>
    <w:rsid w:val="00560AB0"/>
    <w:rsid w:val="00560C4F"/>
    <w:rsid w:val="00560C92"/>
    <w:rsid w:val="00560DC0"/>
    <w:rsid w:val="0056137D"/>
    <w:rsid w:val="0056157C"/>
    <w:rsid w:val="00561722"/>
    <w:rsid w:val="00561C4F"/>
    <w:rsid w:val="00561CCA"/>
    <w:rsid w:val="00561E14"/>
    <w:rsid w:val="00561E92"/>
    <w:rsid w:val="00561EB6"/>
    <w:rsid w:val="00562162"/>
    <w:rsid w:val="00562181"/>
    <w:rsid w:val="005623B4"/>
    <w:rsid w:val="00562B4A"/>
    <w:rsid w:val="00562B53"/>
    <w:rsid w:val="00562C5D"/>
    <w:rsid w:val="00562CEE"/>
    <w:rsid w:val="00562E87"/>
    <w:rsid w:val="00562F1E"/>
    <w:rsid w:val="00562FEC"/>
    <w:rsid w:val="00562FFC"/>
    <w:rsid w:val="0056327A"/>
    <w:rsid w:val="0056329C"/>
    <w:rsid w:val="00563388"/>
    <w:rsid w:val="005635AA"/>
    <w:rsid w:val="005636C5"/>
    <w:rsid w:val="0056375B"/>
    <w:rsid w:val="005639FE"/>
    <w:rsid w:val="00563BFE"/>
    <w:rsid w:val="00563C0D"/>
    <w:rsid w:val="005641F4"/>
    <w:rsid w:val="00564665"/>
    <w:rsid w:val="00564BDA"/>
    <w:rsid w:val="00564D47"/>
    <w:rsid w:val="005652CC"/>
    <w:rsid w:val="00565321"/>
    <w:rsid w:val="0056570E"/>
    <w:rsid w:val="005658D9"/>
    <w:rsid w:val="00565B1D"/>
    <w:rsid w:val="00565BD1"/>
    <w:rsid w:val="005661FA"/>
    <w:rsid w:val="00566281"/>
    <w:rsid w:val="0056653F"/>
    <w:rsid w:val="005666CF"/>
    <w:rsid w:val="005667A5"/>
    <w:rsid w:val="005669C2"/>
    <w:rsid w:val="00566A20"/>
    <w:rsid w:val="005670F4"/>
    <w:rsid w:val="005673FA"/>
    <w:rsid w:val="005675D5"/>
    <w:rsid w:val="00567645"/>
    <w:rsid w:val="005677B2"/>
    <w:rsid w:val="0056789C"/>
    <w:rsid w:val="005678BD"/>
    <w:rsid w:val="00567B68"/>
    <w:rsid w:val="00567B6A"/>
    <w:rsid w:val="00567D25"/>
    <w:rsid w:val="0057003B"/>
    <w:rsid w:val="00570458"/>
    <w:rsid w:val="005704FF"/>
    <w:rsid w:val="005705E3"/>
    <w:rsid w:val="005709A6"/>
    <w:rsid w:val="00570A36"/>
    <w:rsid w:val="005716BD"/>
    <w:rsid w:val="005717E4"/>
    <w:rsid w:val="00571CA8"/>
    <w:rsid w:val="00571CD9"/>
    <w:rsid w:val="00571DFC"/>
    <w:rsid w:val="00571E66"/>
    <w:rsid w:val="0057216B"/>
    <w:rsid w:val="0057217E"/>
    <w:rsid w:val="005721AB"/>
    <w:rsid w:val="00572229"/>
    <w:rsid w:val="00572270"/>
    <w:rsid w:val="0057242C"/>
    <w:rsid w:val="00572492"/>
    <w:rsid w:val="00572721"/>
    <w:rsid w:val="005727C1"/>
    <w:rsid w:val="00572800"/>
    <w:rsid w:val="00572809"/>
    <w:rsid w:val="00572886"/>
    <w:rsid w:val="00572A1E"/>
    <w:rsid w:val="00572A3A"/>
    <w:rsid w:val="00572D9B"/>
    <w:rsid w:val="00572EBC"/>
    <w:rsid w:val="00573129"/>
    <w:rsid w:val="0057322D"/>
    <w:rsid w:val="00573270"/>
    <w:rsid w:val="005732C6"/>
    <w:rsid w:val="005733FA"/>
    <w:rsid w:val="005739D4"/>
    <w:rsid w:val="00573BEC"/>
    <w:rsid w:val="00573F85"/>
    <w:rsid w:val="00573FA2"/>
    <w:rsid w:val="00574285"/>
    <w:rsid w:val="00574524"/>
    <w:rsid w:val="00574735"/>
    <w:rsid w:val="00574BAB"/>
    <w:rsid w:val="00574BD3"/>
    <w:rsid w:val="00574D6A"/>
    <w:rsid w:val="00574DFD"/>
    <w:rsid w:val="00575019"/>
    <w:rsid w:val="00575030"/>
    <w:rsid w:val="005757B4"/>
    <w:rsid w:val="005759C7"/>
    <w:rsid w:val="00575A08"/>
    <w:rsid w:val="00575A64"/>
    <w:rsid w:val="00575D87"/>
    <w:rsid w:val="005760E8"/>
    <w:rsid w:val="005762D7"/>
    <w:rsid w:val="005763CD"/>
    <w:rsid w:val="005764A6"/>
    <w:rsid w:val="005765BD"/>
    <w:rsid w:val="0057688C"/>
    <w:rsid w:val="00576AAF"/>
    <w:rsid w:val="005770FB"/>
    <w:rsid w:val="005773DB"/>
    <w:rsid w:val="00577F66"/>
    <w:rsid w:val="00577FD2"/>
    <w:rsid w:val="00580984"/>
    <w:rsid w:val="00580A20"/>
    <w:rsid w:val="00580A5F"/>
    <w:rsid w:val="00580AB8"/>
    <w:rsid w:val="005813E1"/>
    <w:rsid w:val="005814BF"/>
    <w:rsid w:val="00581A53"/>
    <w:rsid w:val="00581AB4"/>
    <w:rsid w:val="00581ADB"/>
    <w:rsid w:val="00581DC4"/>
    <w:rsid w:val="00582182"/>
    <w:rsid w:val="0058253A"/>
    <w:rsid w:val="0058282C"/>
    <w:rsid w:val="0058287B"/>
    <w:rsid w:val="005832C7"/>
    <w:rsid w:val="00583530"/>
    <w:rsid w:val="00583889"/>
    <w:rsid w:val="00583979"/>
    <w:rsid w:val="00583AB0"/>
    <w:rsid w:val="00583C28"/>
    <w:rsid w:val="00583FA7"/>
    <w:rsid w:val="005840AF"/>
    <w:rsid w:val="005844F8"/>
    <w:rsid w:val="0058454D"/>
    <w:rsid w:val="005845A1"/>
    <w:rsid w:val="0058471B"/>
    <w:rsid w:val="005847E6"/>
    <w:rsid w:val="00584D8B"/>
    <w:rsid w:val="00585132"/>
    <w:rsid w:val="005851D2"/>
    <w:rsid w:val="00585352"/>
    <w:rsid w:val="005855F5"/>
    <w:rsid w:val="005859EA"/>
    <w:rsid w:val="00585A9A"/>
    <w:rsid w:val="00585B10"/>
    <w:rsid w:val="005860FD"/>
    <w:rsid w:val="0058617C"/>
    <w:rsid w:val="005861AC"/>
    <w:rsid w:val="00586243"/>
    <w:rsid w:val="005862C1"/>
    <w:rsid w:val="00586D2C"/>
    <w:rsid w:val="00586DA5"/>
    <w:rsid w:val="00586F08"/>
    <w:rsid w:val="00587497"/>
    <w:rsid w:val="0058756C"/>
    <w:rsid w:val="0058783E"/>
    <w:rsid w:val="005878A5"/>
    <w:rsid w:val="00587A23"/>
    <w:rsid w:val="00590066"/>
    <w:rsid w:val="00590328"/>
    <w:rsid w:val="00590348"/>
    <w:rsid w:val="0059084A"/>
    <w:rsid w:val="005909C6"/>
    <w:rsid w:val="00590B58"/>
    <w:rsid w:val="00590ECC"/>
    <w:rsid w:val="0059104C"/>
    <w:rsid w:val="005911B5"/>
    <w:rsid w:val="005914C7"/>
    <w:rsid w:val="00591567"/>
    <w:rsid w:val="00591578"/>
    <w:rsid w:val="0059189D"/>
    <w:rsid w:val="00591A18"/>
    <w:rsid w:val="00591D43"/>
    <w:rsid w:val="00591EA7"/>
    <w:rsid w:val="0059262F"/>
    <w:rsid w:val="00592AB7"/>
    <w:rsid w:val="00592C03"/>
    <w:rsid w:val="00593323"/>
    <w:rsid w:val="00593767"/>
    <w:rsid w:val="00593F15"/>
    <w:rsid w:val="00593F99"/>
    <w:rsid w:val="005942B2"/>
    <w:rsid w:val="0059436A"/>
    <w:rsid w:val="005943D5"/>
    <w:rsid w:val="00594525"/>
    <w:rsid w:val="005947B8"/>
    <w:rsid w:val="005947F6"/>
    <w:rsid w:val="00594A28"/>
    <w:rsid w:val="00594B96"/>
    <w:rsid w:val="0059508F"/>
    <w:rsid w:val="005952CF"/>
    <w:rsid w:val="005952F9"/>
    <w:rsid w:val="0059557B"/>
    <w:rsid w:val="00595635"/>
    <w:rsid w:val="0059586C"/>
    <w:rsid w:val="00595BC0"/>
    <w:rsid w:val="0059600B"/>
    <w:rsid w:val="0059617E"/>
    <w:rsid w:val="005961CD"/>
    <w:rsid w:val="00596517"/>
    <w:rsid w:val="00596758"/>
    <w:rsid w:val="00596BFE"/>
    <w:rsid w:val="00596CBB"/>
    <w:rsid w:val="00596F33"/>
    <w:rsid w:val="005973E2"/>
    <w:rsid w:val="0059740F"/>
    <w:rsid w:val="00597601"/>
    <w:rsid w:val="00597C39"/>
    <w:rsid w:val="00597D75"/>
    <w:rsid w:val="00597F2A"/>
    <w:rsid w:val="005A059D"/>
    <w:rsid w:val="005A0689"/>
    <w:rsid w:val="005A07C9"/>
    <w:rsid w:val="005A092B"/>
    <w:rsid w:val="005A09A5"/>
    <w:rsid w:val="005A1044"/>
    <w:rsid w:val="005A10A7"/>
    <w:rsid w:val="005A10BF"/>
    <w:rsid w:val="005A10DE"/>
    <w:rsid w:val="005A11A4"/>
    <w:rsid w:val="005A1322"/>
    <w:rsid w:val="005A1384"/>
    <w:rsid w:val="005A164A"/>
    <w:rsid w:val="005A169E"/>
    <w:rsid w:val="005A1985"/>
    <w:rsid w:val="005A1BA3"/>
    <w:rsid w:val="005A1BB6"/>
    <w:rsid w:val="005A1CE4"/>
    <w:rsid w:val="005A202F"/>
    <w:rsid w:val="005A22DD"/>
    <w:rsid w:val="005A23CF"/>
    <w:rsid w:val="005A25F4"/>
    <w:rsid w:val="005A2709"/>
    <w:rsid w:val="005A27EC"/>
    <w:rsid w:val="005A27FB"/>
    <w:rsid w:val="005A28DC"/>
    <w:rsid w:val="005A295F"/>
    <w:rsid w:val="005A2ADF"/>
    <w:rsid w:val="005A2B67"/>
    <w:rsid w:val="005A2C26"/>
    <w:rsid w:val="005A2CA7"/>
    <w:rsid w:val="005A2D78"/>
    <w:rsid w:val="005A2F81"/>
    <w:rsid w:val="005A2F92"/>
    <w:rsid w:val="005A3312"/>
    <w:rsid w:val="005A3483"/>
    <w:rsid w:val="005A35BE"/>
    <w:rsid w:val="005A363A"/>
    <w:rsid w:val="005A3669"/>
    <w:rsid w:val="005A36D6"/>
    <w:rsid w:val="005A3783"/>
    <w:rsid w:val="005A3F07"/>
    <w:rsid w:val="005A4036"/>
    <w:rsid w:val="005A4077"/>
    <w:rsid w:val="005A454A"/>
    <w:rsid w:val="005A48FE"/>
    <w:rsid w:val="005A4AB1"/>
    <w:rsid w:val="005A4C77"/>
    <w:rsid w:val="005A4D76"/>
    <w:rsid w:val="005A5177"/>
    <w:rsid w:val="005A52BB"/>
    <w:rsid w:val="005A5CB0"/>
    <w:rsid w:val="005A5DDC"/>
    <w:rsid w:val="005A60BE"/>
    <w:rsid w:val="005A6464"/>
    <w:rsid w:val="005A64F7"/>
    <w:rsid w:val="005A656B"/>
    <w:rsid w:val="005A6895"/>
    <w:rsid w:val="005A6940"/>
    <w:rsid w:val="005A69AE"/>
    <w:rsid w:val="005A69FF"/>
    <w:rsid w:val="005A6E59"/>
    <w:rsid w:val="005A718E"/>
    <w:rsid w:val="005A7490"/>
    <w:rsid w:val="005A7511"/>
    <w:rsid w:val="005A7990"/>
    <w:rsid w:val="005B0494"/>
    <w:rsid w:val="005B07BD"/>
    <w:rsid w:val="005B07CC"/>
    <w:rsid w:val="005B0956"/>
    <w:rsid w:val="005B0C15"/>
    <w:rsid w:val="005B0EBD"/>
    <w:rsid w:val="005B0F32"/>
    <w:rsid w:val="005B0F82"/>
    <w:rsid w:val="005B177B"/>
    <w:rsid w:val="005B1BB5"/>
    <w:rsid w:val="005B1CED"/>
    <w:rsid w:val="005B2087"/>
    <w:rsid w:val="005B20D7"/>
    <w:rsid w:val="005B215F"/>
    <w:rsid w:val="005B2338"/>
    <w:rsid w:val="005B27D0"/>
    <w:rsid w:val="005B2FE0"/>
    <w:rsid w:val="005B30BC"/>
    <w:rsid w:val="005B3292"/>
    <w:rsid w:val="005B333A"/>
    <w:rsid w:val="005B34F3"/>
    <w:rsid w:val="005B3673"/>
    <w:rsid w:val="005B36F1"/>
    <w:rsid w:val="005B3985"/>
    <w:rsid w:val="005B3AA3"/>
    <w:rsid w:val="005B3D9D"/>
    <w:rsid w:val="005B40A8"/>
    <w:rsid w:val="005B4235"/>
    <w:rsid w:val="005B42CC"/>
    <w:rsid w:val="005B4B42"/>
    <w:rsid w:val="005B4DEF"/>
    <w:rsid w:val="005B4E7C"/>
    <w:rsid w:val="005B4F0B"/>
    <w:rsid w:val="005B50E2"/>
    <w:rsid w:val="005B516C"/>
    <w:rsid w:val="005B58D6"/>
    <w:rsid w:val="005B58E8"/>
    <w:rsid w:val="005B6029"/>
    <w:rsid w:val="005B62FE"/>
    <w:rsid w:val="005B64AA"/>
    <w:rsid w:val="005B6530"/>
    <w:rsid w:val="005B690E"/>
    <w:rsid w:val="005B69F5"/>
    <w:rsid w:val="005B69F6"/>
    <w:rsid w:val="005B6B98"/>
    <w:rsid w:val="005B6CDD"/>
    <w:rsid w:val="005B7812"/>
    <w:rsid w:val="005B7927"/>
    <w:rsid w:val="005B79EB"/>
    <w:rsid w:val="005B7A92"/>
    <w:rsid w:val="005B7B00"/>
    <w:rsid w:val="005B7C77"/>
    <w:rsid w:val="005B7CA4"/>
    <w:rsid w:val="005B7D3B"/>
    <w:rsid w:val="005B7DE1"/>
    <w:rsid w:val="005C00A6"/>
    <w:rsid w:val="005C023B"/>
    <w:rsid w:val="005C0320"/>
    <w:rsid w:val="005C0333"/>
    <w:rsid w:val="005C03EC"/>
    <w:rsid w:val="005C0414"/>
    <w:rsid w:val="005C0C8A"/>
    <w:rsid w:val="005C0CDC"/>
    <w:rsid w:val="005C0E4C"/>
    <w:rsid w:val="005C0E74"/>
    <w:rsid w:val="005C12B2"/>
    <w:rsid w:val="005C12CD"/>
    <w:rsid w:val="005C1362"/>
    <w:rsid w:val="005C15B5"/>
    <w:rsid w:val="005C16DF"/>
    <w:rsid w:val="005C1839"/>
    <w:rsid w:val="005C18E1"/>
    <w:rsid w:val="005C1994"/>
    <w:rsid w:val="005C25A7"/>
    <w:rsid w:val="005C26E4"/>
    <w:rsid w:val="005C2815"/>
    <w:rsid w:val="005C2914"/>
    <w:rsid w:val="005C2B74"/>
    <w:rsid w:val="005C2C87"/>
    <w:rsid w:val="005C2D7B"/>
    <w:rsid w:val="005C2E52"/>
    <w:rsid w:val="005C2EC6"/>
    <w:rsid w:val="005C3088"/>
    <w:rsid w:val="005C31B3"/>
    <w:rsid w:val="005C32CC"/>
    <w:rsid w:val="005C3367"/>
    <w:rsid w:val="005C3695"/>
    <w:rsid w:val="005C373B"/>
    <w:rsid w:val="005C3B58"/>
    <w:rsid w:val="005C3B96"/>
    <w:rsid w:val="005C3C24"/>
    <w:rsid w:val="005C3C2D"/>
    <w:rsid w:val="005C3E6C"/>
    <w:rsid w:val="005C447A"/>
    <w:rsid w:val="005C4681"/>
    <w:rsid w:val="005C4D84"/>
    <w:rsid w:val="005C4DAF"/>
    <w:rsid w:val="005C4EB4"/>
    <w:rsid w:val="005C503B"/>
    <w:rsid w:val="005C5120"/>
    <w:rsid w:val="005C5206"/>
    <w:rsid w:val="005C532A"/>
    <w:rsid w:val="005C54DA"/>
    <w:rsid w:val="005C5557"/>
    <w:rsid w:val="005C5620"/>
    <w:rsid w:val="005C564E"/>
    <w:rsid w:val="005C5AA9"/>
    <w:rsid w:val="005C5C70"/>
    <w:rsid w:val="005C5CAC"/>
    <w:rsid w:val="005C5F07"/>
    <w:rsid w:val="005C5FA4"/>
    <w:rsid w:val="005C653F"/>
    <w:rsid w:val="005C679B"/>
    <w:rsid w:val="005C6AB4"/>
    <w:rsid w:val="005C7431"/>
    <w:rsid w:val="005C74A3"/>
    <w:rsid w:val="005C773B"/>
    <w:rsid w:val="005C787D"/>
    <w:rsid w:val="005C79A4"/>
    <w:rsid w:val="005C7A95"/>
    <w:rsid w:val="005CF381"/>
    <w:rsid w:val="005D05B4"/>
    <w:rsid w:val="005D0736"/>
    <w:rsid w:val="005D0752"/>
    <w:rsid w:val="005D08C4"/>
    <w:rsid w:val="005D099A"/>
    <w:rsid w:val="005D0B4E"/>
    <w:rsid w:val="005D129C"/>
    <w:rsid w:val="005D1583"/>
    <w:rsid w:val="005D15AB"/>
    <w:rsid w:val="005D16B3"/>
    <w:rsid w:val="005D1892"/>
    <w:rsid w:val="005D1B00"/>
    <w:rsid w:val="005D1B08"/>
    <w:rsid w:val="005D1C8F"/>
    <w:rsid w:val="005D1E70"/>
    <w:rsid w:val="005D20CC"/>
    <w:rsid w:val="005D2377"/>
    <w:rsid w:val="005D26E4"/>
    <w:rsid w:val="005D279F"/>
    <w:rsid w:val="005D2A93"/>
    <w:rsid w:val="005D2C2D"/>
    <w:rsid w:val="005D2D31"/>
    <w:rsid w:val="005D2E8A"/>
    <w:rsid w:val="005D2F54"/>
    <w:rsid w:val="005D3130"/>
    <w:rsid w:val="005D315C"/>
    <w:rsid w:val="005D31F8"/>
    <w:rsid w:val="005D3666"/>
    <w:rsid w:val="005D397F"/>
    <w:rsid w:val="005D3B80"/>
    <w:rsid w:val="005D3F37"/>
    <w:rsid w:val="005D4344"/>
    <w:rsid w:val="005D4C83"/>
    <w:rsid w:val="005D4CE6"/>
    <w:rsid w:val="005D4D64"/>
    <w:rsid w:val="005D4D7F"/>
    <w:rsid w:val="005D515C"/>
    <w:rsid w:val="005D51CD"/>
    <w:rsid w:val="005D523D"/>
    <w:rsid w:val="005D550B"/>
    <w:rsid w:val="005D5553"/>
    <w:rsid w:val="005D5800"/>
    <w:rsid w:val="005D58C9"/>
    <w:rsid w:val="005D59C9"/>
    <w:rsid w:val="005D5D70"/>
    <w:rsid w:val="005D6150"/>
    <w:rsid w:val="005D6227"/>
    <w:rsid w:val="005D622F"/>
    <w:rsid w:val="005D624E"/>
    <w:rsid w:val="005D6623"/>
    <w:rsid w:val="005D6E0F"/>
    <w:rsid w:val="005D700A"/>
    <w:rsid w:val="005D72D0"/>
    <w:rsid w:val="005D72FE"/>
    <w:rsid w:val="005D749C"/>
    <w:rsid w:val="005D7969"/>
    <w:rsid w:val="005D7D94"/>
    <w:rsid w:val="005D7E9A"/>
    <w:rsid w:val="005E0975"/>
    <w:rsid w:val="005E0CE7"/>
    <w:rsid w:val="005E1894"/>
    <w:rsid w:val="005E1924"/>
    <w:rsid w:val="005E197F"/>
    <w:rsid w:val="005E1DF6"/>
    <w:rsid w:val="005E2332"/>
    <w:rsid w:val="005E25B4"/>
    <w:rsid w:val="005E25BA"/>
    <w:rsid w:val="005E25BC"/>
    <w:rsid w:val="005E2635"/>
    <w:rsid w:val="005E2823"/>
    <w:rsid w:val="005E287C"/>
    <w:rsid w:val="005E2971"/>
    <w:rsid w:val="005E2AC4"/>
    <w:rsid w:val="005E2BD8"/>
    <w:rsid w:val="005E2C4A"/>
    <w:rsid w:val="005E2E42"/>
    <w:rsid w:val="005E3347"/>
    <w:rsid w:val="005E37DE"/>
    <w:rsid w:val="005E3A96"/>
    <w:rsid w:val="005E3AF3"/>
    <w:rsid w:val="005E3BAA"/>
    <w:rsid w:val="005E3CB8"/>
    <w:rsid w:val="005E3F2D"/>
    <w:rsid w:val="005E4147"/>
    <w:rsid w:val="005E41C6"/>
    <w:rsid w:val="005E4370"/>
    <w:rsid w:val="005E44B5"/>
    <w:rsid w:val="005E4936"/>
    <w:rsid w:val="005E4958"/>
    <w:rsid w:val="005E4B06"/>
    <w:rsid w:val="005E4D20"/>
    <w:rsid w:val="005E4D3F"/>
    <w:rsid w:val="005E4EB1"/>
    <w:rsid w:val="005E4F8A"/>
    <w:rsid w:val="005E50C4"/>
    <w:rsid w:val="005E52F1"/>
    <w:rsid w:val="005E543A"/>
    <w:rsid w:val="005E5CD3"/>
    <w:rsid w:val="005E6256"/>
    <w:rsid w:val="005E62A2"/>
    <w:rsid w:val="005E62D4"/>
    <w:rsid w:val="005E6509"/>
    <w:rsid w:val="005E6694"/>
    <w:rsid w:val="005E6698"/>
    <w:rsid w:val="005E6E72"/>
    <w:rsid w:val="005E6F67"/>
    <w:rsid w:val="005E6FFA"/>
    <w:rsid w:val="005E7035"/>
    <w:rsid w:val="005E7282"/>
    <w:rsid w:val="005E7291"/>
    <w:rsid w:val="005E75E6"/>
    <w:rsid w:val="005E760C"/>
    <w:rsid w:val="005E7793"/>
    <w:rsid w:val="005E7B67"/>
    <w:rsid w:val="005F0583"/>
    <w:rsid w:val="005F06B8"/>
    <w:rsid w:val="005F0835"/>
    <w:rsid w:val="005F084B"/>
    <w:rsid w:val="005F085D"/>
    <w:rsid w:val="005F0C27"/>
    <w:rsid w:val="005F0C30"/>
    <w:rsid w:val="005F0D89"/>
    <w:rsid w:val="005F0F63"/>
    <w:rsid w:val="005F13CB"/>
    <w:rsid w:val="005F1A66"/>
    <w:rsid w:val="005F1C44"/>
    <w:rsid w:val="005F1C77"/>
    <w:rsid w:val="005F1F54"/>
    <w:rsid w:val="005F2334"/>
    <w:rsid w:val="005F24B7"/>
    <w:rsid w:val="005F250E"/>
    <w:rsid w:val="005F27DF"/>
    <w:rsid w:val="005F2A47"/>
    <w:rsid w:val="005F323F"/>
    <w:rsid w:val="005F33A0"/>
    <w:rsid w:val="005F356C"/>
    <w:rsid w:val="005F35B4"/>
    <w:rsid w:val="005F364A"/>
    <w:rsid w:val="005F37D2"/>
    <w:rsid w:val="005F39DB"/>
    <w:rsid w:val="005F3C12"/>
    <w:rsid w:val="005F3ED3"/>
    <w:rsid w:val="005F4381"/>
    <w:rsid w:val="005F44BF"/>
    <w:rsid w:val="005F4786"/>
    <w:rsid w:val="005F4DF1"/>
    <w:rsid w:val="005F5190"/>
    <w:rsid w:val="005F5266"/>
    <w:rsid w:val="005F536B"/>
    <w:rsid w:val="005F5532"/>
    <w:rsid w:val="005F57FA"/>
    <w:rsid w:val="005F58F8"/>
    <w:rsid w:val="005F5D39"/>
    <w:rsid w:val="005F5F60"/>
    <w:rsid w:val="005F6599"/>
    <w:rsid w:val="005F67B5"/>
    <w:rsid w:val="005F6D21"/>
    <w:rsid w:val="005F6D43"/>
    <w:rsid w:val="005F707A"/>
    <w:rsid w:val="005F748C"/>
    <w:rsid w:val="005F74EA"/>
    <w:rsid w:val="005F7618"/>
    <w:rsid w:val="005F766D"/>
    <w:rsid w:val="005F7672"/>
    <w:rsid w:val="005F7AFC"/>
    <w:rsid w:val="005F7E32"/>
    <w:rsid w:val="00600119"/>
    <w:rsid w:val="006001A2"/>
    <w:rsid w:val="0060023A"/>
    <w:rsid w:val="00600372"/>
    <w:rsid w:val="006005CD"/>
    <w:rsid w:val="006005D0"/>
    <w:rsid w:val="00600798"/>
    <w:rsid w:val="006008B2"/>
    <w:rsid w:val="00600D1C"/>
    <w:rsid w:val="00600E9E"/>
    <w:rsid w:val="006013B1"/>
    <w:rsid w:val="006014C9"/>
    <w:rsid w:val="0060183F"/>
    <w:rsid w:val="006019A1"/>
    <w:rsid w:val="00601FA4"/>
    <w:rsid w:val="00602481"/>
    <w:rsid w:val="006025B6"/>
    <w:rsid w:val="0060262B"/>
    <w:rsid w:val="0060275F"/>
    <w:rsid w:val="00602A57"/>
    <w:rsid w:val="00602A60"/>
    <w:rsid w:val="00602B54"/>
    <w:rsid w:val="00602BD9"/>
    <w:rsid w:val="00602C9F"/>
    <w:rsid w:val="00602D79"/>
    <w:rsid w:val="00602DC4"/>
    <w:rsid w:val="00602F8D"/>
    <w:rsid w:val="006034A2"/>
    <w:rsid w:val="006035C4"/>
    <w:rsid w:val="006036C9"/>
    <w:rsid w:val="00603768"/>
    <w:rsid w:val="00603838"/>
    <w:rsid w:val="00603937"/>
    <w:rsid w:val="00603944"/>
    <w:rsid w:val="006039B4"/>
    <w:rsid w:val="00603AF0"/>
    <w:rsid w:val="00603C31"/>
    <w:rsid w:val="00603C43"/>
    <w:rsid w:val="00603F41"/>
    <w:rsid w:val="006043A2"/>
    <w:rsid w:val="006045E9"/>
    <w:rsid w:val="00604DEC"/>
    <w:rsid w:val="006053B6"/>
    <w:rsid w:val="006053EF"/>
    <w:rsid w:val="006057D9"/>
    <w:rsid w:val="0060599E"/>
    <w:rsid w:val="00605D6B"/>
    <w:rsid w:val="0060615D"/>
    <w:rsid w:val="00606188"/>
    <w:rsid w:val="006061F6"/>
    <w:rsid w:val="0060635C"/>
    <w:rsid w:val="006064B5"/>
    <w:rsid w:val="00606D54"/>
    <w:rsid w:val="006070A1"/>
    <w:rsid w:val="006072BC"/>
    <w:rsid w:val="006072D0"/>
    <w:rsid w:val="006074FB"/>
    <w:rsid w:val="00607623"/>
    <w:rsid w:val="00607867"/>
    <w:rsid w:val="00607A34"/>
    <w:rsid w:val="00607A42"/>
    <w:rsid w:val="00607D9A"/>
    <w:rsid w:val="006105AD"/>
    <w:rsid w:val="006107C2"/>
    <w:rsid w:val="0061097C"/>
    <w:rsid w:val="00610AF5"/>
    <w:rsid w:val="00610B14"/>
    <w:rsid w:val="00610D1C"/>
    <w:rsid w:val="00610FA9"/>
    <w:rsid w:val="006111C4"/>
    <w:rsid w:val="006112A8"/>
    <w:rsid w:val="006112F6"/>
    <w:rsid w:val="00611563"/>
    <w:rsid w:val="006116F4"/>
    <w:rsid w:val="00611977"/>
    <w:rsid w:val="00611B69"/>
    <w:rsid w:val="00611BFE"/>
    <w:rsid w:val="00611C35"/>
    <w:rsid w:val="00611EBD"/>
    <w:rsid w:val="00612281"/>
    <w:rsid w:val="0061247C"/>
    <w:rsid w:val="0061278A"/>
    <w:rsid w:val="00612C68"/>
    <w:rsid w:val="00612D85"/>
    <w:rsid w:val="00612F05"/>
    <w:rsid w:val="006132D1"/>
    <w:rsid w:val="00613594"/>
    <w:rsid w:val="006136E6"/>
    <w:rsid w:val="00613905"/>
    <w:rsid w:val="00613960"/>
    <w:rsid w:val="00613E37"/>
    <w:rsid w:val="00613ECC"/>
    <w:rsid w:val="00614112"/>
    <w:rsid w:val="006142F5"/>
    <w:rsid w:val="00614300"/>
    <w:rsid w:val="00614542"/>
    <w:rsid w:val="0061464B"/>
    <w:rsid w:val="00614722"/>
    <w:rsid w:val="00614754"/>
    <w:rsid w:val="006149C4"/>
    <w:rsid w:val="00614C76"/>
    <w:rsid w:val="006150B1"/>
    <w:rsid w:val="00615111"/>
    <w:rsid w:val="006156F0"/>
    <w:rsid w:val="00615906"/>
    <w:rsid w:val="00615999"/>
    <w:rsid w:val="00615D47"/>
    <w:rsid w:val="00615E4B"/>
    <w:rsid w:val="00615E90"/>
    <w:rsid w:val="00615FE9"/>
    <w:rsid w:val="00616042"/>
    <w:rsid w:val="00616131"/>
    <w:rsid w:val="006162E8"/>
    <w:rsid w:val="00616573"/>
    <w:rsid w:val="0061684B"/>
    <w:rsid w:val="006169A3"/>
    <w:rsid w:val="00616C34"/>
    <w:rsid w:val="00616D25"/>
    <w:rsid w:val="0061700F"/>
    <w:rsid w:val="006172EF"/>
    <w:rsid w:val="00617463"/>
    <w:rsid w:val="00617B67"/>
    <w:rsid w:val="00617C5B"/>
    <w:rsid w:val="00617E3C"/>
    <w:rsid w:val="00617F0F"/>
    <w:rsid w:val="0062054F"/>
    <w:rsid w:val="0062059E"/>
    <w:rsid w:val="00620736"/>
    <w:rsid w:val="00620780"/>
    <w:rsid w:val="0062094C"/>
    <w:rsid w:val="00620E7D"/>
    <w:rsid w:val="00621334"/>
    <w:rsid w:val="006215DA"/>
    <w:rsid w:val="00621657"/>
    <w:rsid w:val="0062172E"/>
    <w:rsid w:val="00621784"/>
    <w:rsid w:val="00621900"/>
    <w:rsid w:val="00621A5E"/>
    <w:rsid w:val="00622058"/>
    <w:rsid w:val="00622186"/>
    <w:rsid w:val="0062224A"/>
    <w:rsid w:val="0062229A"/>
    <w:rsid w:val="00622571"/>
    <w:rsid w:val="00622DE5"/>
    <w:rsid w:val="00623044"/>
    <w:rsid w:val="0062311B"/>
    <w:rsid w:val="00623172"/>
    <w:rsid w:val="006231B6"/>
    <w:rsid w:val="006231BD"/>
    <w:rsid w:val="00623297"/>
    <w:rsid w:val="006239ED"/>
    <w:rsid w:val="00623A0E"/>
    <w:rsid w:val="006240E7"/>
    <w:rsid w:val="00624217"/>
    <w:rsid w:val="00624479"/>
    <w:rsid w:val="006247C1"/>
    <w:rsid w:val="00624890"/>
    <w:rsid w:val="00624B9B"/>
    <w:rsid w:val="00624C10"/>
    <w:rsid w:val="00624F84"/>
    <w:rsid w:val="006250CF"/>
    <w:rsid w:val="006250F9"/>
    <w:rsid w:val="006251D9"/>
    <w:rsid w:val="006255B7"/>
    <w:rsid w:val="00625696"/>
    <w:rsid w:val="00625A63"/>
    <w:rsid w:val="00625AEB"/>
    <w:rsid w:val="00625E33"/>
    <w:rsid w:val="00625F7F"/>
    <w:rsid w:val="0062601D"/>
    <w:rsid w:val="006265A6"/>
    <w:rsid w:val="006266BE"/>
    <w:rsid w:val="00626821"/>
    <w:rsid w:val="00626A3F"/>
    <w:rsid w:val="00626F04"/>
    <w:rsid w:val="00626F1B"/>
    <w:rsid w:val="00627113"/>
    <w:rsid w:val="00627145"/>
    <w:rsid w:val="006271A8"/>
    <w:rsid w:val="00627227"/>
    <w:rsid w:val="00627501"/>
    <w:rsid w:val="006279A1"/>
    <w:rsid w:val="00627A8A"/>
    <w:rsid w:val="00627F3C"/>
    <w:rsid w:val="00630510"/>
    <w:rsid w:val="0063051F"/>
    <w:rsid w:val="006305EB"/>
    <w:rsid w:val="00630715"/>
    <w:rsid w:val="00630C20"/>
    <w:rsid w:val="0063100F"/>
    <w:rsid w:val="006315B9"/>
    <w:rsid w:val="00631986"/>
    <w:rsid w:val="00631C37"/>
    <w:rsid w:val="00631FB3"/>
    <w:rsid w:val="006323A3"/>
    <w:rsid w:val="006323E7"/>
    <w:rsid w:val="0063245F"/>
    <w:rsid w:val="0063272E"/>
    <w:rsid w:val="006329E7"/>
    <w:rsid w:val="00632A69"/>
    <w:rsid w:val="00632B4B"/>
    <w:rsid w:val="00632BEE"/>
    <w:rsid w:val="00632C33"/>
    <w:rsid w:val="00632EA5"/>
    <w:rsid w:val="006330FF"/>
    <w:rsid w:val="00633547"/>
    <w:rsid w:val="0063370F"/>
    <w:rsid w:val="00633768"/>
    <w:rsid w:val="00633874"/>
    <w:rsid w:val="006338BF"/>
    <w:rsid w:val="00633A82"/>
    <w:rsid w:val="00633B8D"/>
    <w:rsid w:val="00633E12"/>
    <w:rsid w:val="00633E73"/>
    <w:rsid w:val="00633EE3"/>
    <w:rsid w:val="00633FC7"/>
    <w:rsid w:val="0063415B"/>
    <w:rsid w:val="006343E5"/>
    <w:rsid w:val="006346A0"/>
    <w:rsid w:val="0063485D"/>
    <w:rsid w:val="00634906"/>
    <w:rsid w:val="00634A0B"/>
    <w:rsid w:val="00634ADD"/>
    <w:rsid w:val="00634C64"/>
    <w:rsid w:val="00634E32"/>
    <w:rsid w:val="00635332"/>
    <w:rsid w:val="00635482"/>
    <w:rsid w:val="006354E4"/>
    <w:rsid w:val="006356B1"/>
    <w:rsid w:val="0063574C"/>
    <w:rsid w:val="00635B58"/>
    <w:rsid w:val="00635D5E"/>
    <w:rsid w:val="00635DCC"/>
    <w:rsid w:val="00636228"/>
    <w:rsid w:val="0063663D"/>
    <w:rsid w:val="006368F6"/>
    <w:rsid w:val="00636B9B"/>
    <w:rsid w:val="00636BE6"/>
    <w:rsid w:val="00636C3B"/>
    <w:rsid w:val="00636C5F"/>
    <w:rsid w:val="00636D99"/>
    <w:rsid w:val="00636E21"/>
    <w:rsid w:val="00636E77"/>
    <w:rsid w:val="00636E87"/>
    <w:rsid w:val="00636EB4"/>
    <w:rsid w:val="00636EBF"/>
    <w:rsid w:val="0063742F"/>
    <w:rsid w:val="006374A0"/>
    <w:rsid w:val="006376D1"/>
    <w:rsid w:val="006376E8"/>
    <w:rsid w:val="00637727"/>
    <w:rsid w:val="00637A79"/>
    <w:rsid w:val="006400FD"/>
    <w:rsid w:val="006400FE"/>
    <w:rsid w:val="00640117"/>
    <w:rsid w:val="006402ED"/>
    <w:rsid w:val="00640AB4"/>
    <w:rsid w:val="00640AC9"/>
    <w:rsid w:val="00640C51"/>
    <w:rsid w:val="00640C81"/>
    <w:rsid w:val="006412C4"/>
    <w:rsid w:val="00641300"/>
    <w:rsid w:val="00641547"/>
    <w:rsid w:val="00641731"/>
    <w:rsid w:val="00641A26"/>
    <w:rsid w:val="00641B31"/>
    <w:rsid w:val="00641DEE"/>
    <w:rsid w:val="00642753"/>
    <w:rsid w:val="00642B0C"/>
    <w:rsid w:val="00642BFF"/>
    <w:rsid w:val="00642D87"/>
    <w:rsid w:val="006431EA"/>
    <w:rsid w:val="00643277"/>
    <w:rsid w:val="006432AF"/>
    <w:rsid w:val="0064338A"/>
    <w:rsid w:val="006433E1"/>
    <w:rsid w:val="00643683"/>
    <w:rsid w:val="0064397F"/>
    <w:rsid w:val="00643CF3"/>
    <w:rsid w:val="00643ED2"/>
    <w:rsid w:val="006444BC"/>
    <w:rsid w:val="0064485B"/>
    <w:rsid w:val="006449BE"/>
    <w:rsid w:val="00644B5C"/>
    <w:rsid w:val="00644C57"/>
    <w:rsid w:val="00644E34"/>
    <w:rsid w:val="00645150"/>
    <w:rsid w:val="00645158"/>
    <w:rsid w:val="00645228"/>
    <w:rsid w:val="00645250"/>
    <w:rsid w:val="006452BD"/>
    <w:rsid w:val="006456A0"/>
    <w:rsid w:val="0064580F"/>
    <w:rsid w:val="00645949"/>
    <w:rsid w:val="006459CE"/>
    <w:rsid w:val="00645B23"/>
    <w:rsid w:val="00645C99"/>
    <w:rsid w:val="00645CB1"/>
    <w:rsid w:val="00645F03"/>
    <w:rsid w:val="00646945"/>
    <w:rsid w:val="00646C72"/>
    <w:rsid w:val="00646E30"/>
    <w:rsid w:val="00646FC3"/>
    <w:rsid w:val="00647335"/>
    <w:rsid w:val="0064765C"/>
    <w:rsid w:val="00647B50"/>
    <w:rsid w:val="00647D03"/>
    <w:rsid w:val="00647D7E"/>
    <w:rsid w:val="0065047B"/>
    <w:rsid w:val="006504AE"/>
    <w:rsid w:val="006506CC"/>
    <w:rsid w:val="006506E8"/>
    <w:rsid w:val="00650928"/>
    <w:rsid w:val="00650C8E"/>
    <w:rsid w:val="00650E52"/>
    <w:rsid w:val="006511C0"/>
    <w:rsid w:val="00651432"/>
    <w:rsid w:val="0065143B"/>
    <w:rsid w:val="00651554"/>
    <w:rsid w:val="006517F4"/>
    <w:rsid w:val="00651920"/>
    <w:rsid w:val="00651C2A"/>
    <w:rsid w:val="00651C85"/>
    <w:rsid w:val="00651D0B"/>
    <w:rsid w:val="00651DD2"/>
    <w:rsid w:val="00651E7D"/>
    <w:rsid w:val="00652303"/>
    <w:rsid w:val="00652849"/>
    <w:rsid w:val="006529F5"/>
    <w:rsid w:val="00652E71"/>
    <w:rsid w:val="00652E95"/>
    <w:rsid w:val="00652F4B"/>
    <w:rsid w:val="00653174"/>
    <w:rsid w:val="006531BB"/>
    <w:rsid w:val="00653345"/>
    <w:rsid w:val="006534C4"/>
    <w:rsid w:val="0065367D"/>
    <w:rsid w:val="006536B5"/>
    <w:rsid w:val="00653881"/>
    <w:rsid w:val="006538A5"/>
    <w:rsid w:val="006539A5"/>
    <w:rsid w:val="00653C22"/>
    <w:rsid w:val="00653DD0"/>
    <w:rsid w:val="00653E42"/>
    <w:rsid w:val="00653E45"/>
    <w:rsid w:val="006540A9"/>
    <w:rsid w:val="00654A97"/>
    <w:rsid w:val="00654EB9"/>
    <w:rsid w:val="00654F30"/>
    <w:rsid w:val="00655068"/>
    <w:rsid w:val="00655181"/>
    <w:rsid w:val="0065542B"/>
    <w:rsid w:val="006554BC"/>
    <w:rsid w:val="00655595"/>
    <w:rsid w:val="0065593F"/>
    <w:rsid w:val="00655B27"/>
    <w:rsid w:val="00655DBA"/>
    <w:rsid w:val="00655FBB"/>
    <w:rsid w:val="00656037"/>
    <w:rsid w:val="0065644C"/>
    <w:rsid w:val="00656650"/>
    <w:rsid w:val="00656694"/>
    <w:rsid w:val="00656711"/>
    <w:rsid w:val="00656AC4"/>
    <w:rsid w:val="00656F66"/>
    <w:rsid w:val="00656F79"/>
    <w:rsid w:val="0065706A"/>
    <w:rsid w:val="0065738B"/>
    <w:rsid w:val="006573FC"/>
    <w:rsid w:val="00657417"/>
    <w:rsid w:val="0065778C"/>
    <w:rsid w:val="00657952"/>
    <w:rsid w:val="00657AA5"/>
    <w:rsid w:val="00657D6A"/>
    <w:rsid w:val="00660030"/>
    <w:rsid w:val="00660201"/>
    <w:rsid w:val="00660358"/>
    <w:rsid w:val="0066039F"/>
    <w:rsid w:val="00660677"/>
    <w:rsid w:val="006606ED"/>
    <w:rsid w:val="006609A1"/>
    <w:rsid w:val="00660B53"/>
    <w:rsid w:val="00660C9B"/>
    <w:rsid w:val="0066123D"/>
    <w:rsid w:val="00661529"/>
    <w:rsid w:val="006615B4"/>
    <w:rsid w:val="006617F6"/>
    <w:rsid w:val="00661958"/>
    <w:rsid w:val="006619FE"/>
    <w:rsid w:val="00661CAB"/>
    <w:rsid w:val="00661DD5"/>
    <w:rsid w:val="0066214B"/>
    <w:rsid w:val="00662270"/>
    <w:rsid w:val="0066244F"/>
    <w:rsid w:val="00662618"/>
    <w:rsid w:val="00662831"/>
    <w:rsid w:val="00662AEC"/>
    <w:rsid w:val="00662B30"/>
    <w:rsid w:val="00662D2C"/>
    <w:rsid w:val="00662D5A"/>
    <w:rsid w:val="00662DBE"/>
    <w:rsid w:val="00662E9A"/>
    <w:rsid w:val="00663076"/>
    <w:rsid w:val="0066338D"/>
    <w:rsid w:val="006633F4"/>
    <w:rsid w:val="0066378B"/>
    <w:rsid w:val="00663BE8"/>
    <w:rsid w:val="00663C7A"/>
    <w:rsid w:val="00663EBA"/>
    <w:rsid w:val="00664127"/>
    <w:rsid w:val="00664437"/>
    <w:rsid w:val="006644AB"/>
    <w:rsid w:val="006647D1"/>
    <w:rsid w:val="00664903"/>
    <w:rsid w:val="006649A4"/>
    <w:rsid w:val="00664B6B"/>
    <w:rsid w:val="00664C92"/>
    <w:rsid w:val="00664DD3"/>
    <w:rsid w:val="00665187"/>
    <w:rsid w:val="006653FE"/>
    <w:rsid w:val="00665746"/>
    <w:rsid w:val="006657BC"/>
    <w:rsid w:val="00665B4E"/>
    <w:rsid w:val="00665C22"/>
    <w:rsid w:val="00665CE5"/>
    <w:rsid w:val="00665F10"/>
    <w:rsid w:val="00665F78"/>
    <w:rsid w:val="0066601F"/>
    <w:rsid w:val="0066650D"/>
    <w:rsid w:val="0066677A"/>
    <w:rsid w:val="00666947"/>
    <w:rsid w:val="00666C76"/>
    <w:rsid w:val="006678E4"/>
    <w:rsid w:val="00667909"/>
    <w:rsid w:val="00667A94"/>
    <w:rsid w:val="00667AAA"/>
    <w:rsid w:val="00670077"/>
    <w:rsid w:val="0067031F"/>
    <w:rsid w:val="00670392"/>
    <w:rsid w:val="0067049C"/>
    <w:rsid w:val="0067059B"/>
    <w:rsid w:val="006705B6"/>
    <w:rsid w:val="006705CC"/>
    <w:rsid w:val="006708B8"/>
    <w:rsid w:val="00670910"/>
    <w:rsid w:val="00670AA2"/>
    <w:rsid w:val="00670C38"/>
    <w:rsid w:val="00670D72"/>
    <w:rsid w:val="00670E94"/>
    <w:rsid w:val="00671553"/>
    <w:rsid w:val="00671643"/>
    <w:rsid w:val="00671994"/>
    <w:rsid w:val="006719A2"/>
    <w:rsid w:val="006719E4"/>
    <w:rsid w:val="00671AC0"/>
    <w:rsid w:val="00671F82"/>
    <w:rsid w:val="006728CD"/>
    <w:rsid w:val="00672A59"/>
    <w:rsid w:val="00672A72"/>
    <w:rsid w:val="00672AC0"/>
    <w:rsid w:val="00672E60"/>
    <w:rsid w:val="00672F7C"/>
    <w:rsid w:val="00672FDE"/>
    <w:rsid w:val="0067306E"/>
    <w:rsid w:val="006735DD"/>
    <w:rsid w:val="00673957"/>
    <w:rsid w:val="00673B87"/>
    <w:rsid w:val="00673D85"/>
    <w:rsid w:val="00673FCA"/>
    <w:rsid w:val="0067400F"/>
    <w:rsid w:val="0067416D"/>
    <w:rsid w:val="006743F7"/>
    <w:rsid w:val="00674B0D"/>
    <w:rsid w:val="00674B7B"/>
    <w:rsid w:val="00674FA0"/>
    <w:rsid w:val="00675457"/>
    <w:rsid w:val="00675464"/>
    <w:rsid w:val="006754C4"/>
    <w:rsid w:val="006754D7"/>
    <w:rsid w:val="0067585C"/>
    <w:rsid w:val="00675982"/>
    <w:rsid w:val="006759A6"/>
    <w:rsid w:val="00675A11"/>
    <w:rsid w:val="00675A42"/>
    <w:rsid w:val="00675BAA"/>
    <w:rsid w:val="00675D8C"/>
    <w:rsid w:val="0067636F"/>
    <w:rsid w:val="00676571"/>
    <w:rsid w:val="00676917"/>
    <w:rsid w:val="00676974"/>
    <w:rsid w:val="00676A76"/>
    <w:rsid w:val="00676EA9"/>
    <w:rsid w:val="00676EE8"/>
    <w:rsid w:val="00676FB6"/>
    <w:rsid w:val="006772C5"/>
    <w:rsid w:val="00677403"/>
    <w:rsid w:val="006776AD"/>
    <w:rsid w:val="0067774C"/>
    <w:rsid w:val="00677A1F"/>
    <w:rsid w:val="00677D49"/>
    <w:rsid w:val="00680073"/>
    <w:rsid w:val="0068016D"/>
    <w:rsid w:val="006804AD"/>
    <w:rsid w:val="00680898"/>
    <w:rsid w:val="006808AE"/>
    <w:rsid w:val="00680B67"/>
    <w:rsid w:val="00680C2B"/>
    <w:rsid w:val="00680D72"/>
    <w:rsid w:val="0068112B"/>
    <w:rsid w:val="00681288"/>
    <w:rsid w:val="00681433"/>
    <w:rsid w:val="00681807"/>
    <w:rsid w:val="00681869"/>
    <w:rsid w:val="0068190B"/>
    <w:rsid w:val="00681951"/>
    <w:rsid w:val="00682358"/>
    <w:rsid w:val="0068265B"/>
    <w:rsid w:val="006826C2"/>
    <w:rsid w:val="00682D4B"/>
    <w:rsid w:val="00683117"/>
    <w:rsid w:val="0068311C"/>
    <w:rsid w:val="00683571"/>
    <w:rsid w:val="00683D34"/>
    <w:rsid w:val="00683E05"/>
    <w:rsid w:val="006843B5"/>
    <w:rsid w:val="006845B5"/>
    <w:rsid w:val="006846A9"/>
    <w:rsid w:val="006849D3"/>
    <w:rsid w:val="00684C49"/>
    <w:rsid w:val="00684E72"/>
    <w:rsid w:val="00684E7D"/>
    <w:rsid w:val="0068509F"/>
    <w:rsid w:val="006850F5"/>
    <w:rsid w:val="00685329"/>
    <w:rsid w:val="006859BD"/>
    <w:rsid w:val="00686020"/>
    <w:rsid w:val="006862C3"/>
    <w:rsid w:val="00686400"/>
    <w:rsid w:val="0068675D"/>
    <w:rsid w:val="00686BB1"/>
    <w:rsid w:val="00686CF7"/>
    <w:rsid w:val="00686E2F"/>
    <w:rsid w:val="006871AE"/>
    <w:rsid w:val="0068733D"/>
    <w:rsid w:val="0069002F"/>
    <w:rsid w:val="006900CA"/>
    <w:rsid w:val="0069045C"/>
    <w:rsid w:val="0069050B"/>
    <w:rsid w:val="006906F1"/>
    <w:rsid w:val="006907A8"/>
    <w:rsid w:val="00690849"/>
    <w:rsid w:val="006908A1"/>
    <w:rsid w:val="00690C21"/>
    <w:rsid w:val="00690C87"/>
    <w:rsid w:val="00690FB5"/>
    <w:rsid w:val="006910A6"/>
    <w:rsid w:val="00691229"/>
    <w:rsid w:val="0069148A"/>
    <w:rsid w:val="0069166E"/>
    <w:rsid w:val="00691732"/>
    <w:rsid w:val="00691A70"/>
    <w:rsid w:val="00691BD9"/>
    <w:rsid w:val="00691CFF"/>
    <w:rsid w:val="00692059"/>
    <w:rsid w:val="006921BC"/>
    <w:rsid w:val="00692241"/>
    <w:rsid w:val="006925BE"/>
    <w:rsid w:val="00692695"/>
    <w:rsid w:val="006926FE"/>
    <w:rsid w:val="0069272C"/>
    <w:rsid w:val="00692BD0"/>
    <w:rsid w:val="0069303F"/>
    <w:rsid w:val="00693091"/>
    <w:rsid w:val="00693166"/>
    <w:rsid w:val="00693909"/>
    <w:rsid w:val="00693E66"/>
    <w:rsid w:val="00693F96"/>
    <w:rsid w:val="006940DD"/>
    <w:rsid w:val="006942E7"/>
    <w:rsid w:val="006946B5"/>
    <w:rsid w:val="006949AB"/>
    <w:rsid w:val="006949B7"/>
    <w:rsid w:val="00694B63"/>
    <w:rsid w:val="00694EB6"/>
    <w:rsid w:val="00695617"/>
    <w:rsid w:val="00695719"/>
    <w:rsid w:val="0069582E"/>
    <w:rsid w:val="006959F5"/>
    <w:rsid w:val="00695ACF"/>
    <w:rsid w:val="00695BC6"/>
    <w:rsid w:val="00695EFF"/>
    <w:rsid w:val="00695F45"/>
    <w:rsid w:val="00695F53"/>
    <w:rsid w:val="006960DB"/>
    <w:rsid w:val="006963DA"/>
    <w:rsid w:val="00696472"/>
    <w:rsid w:val="006964CB"/>
    <w:rsid w:val="00696940"/>
    <w:rsid w:val="006969A1"/>
    <w:rsid w:val="00696B09"/>
    <w:rsid w:val="00696BC6"/>
    <w:rsid w:val="00696FE5"/>
    <w:rsid w:val="0069727C"/>
    <w:rsid w:val="006972F0"/>
    <w:rsid w:val="006975F9"/>
    <w:rsid w:val="006976AF"/>
    <w:rsid w:val="006977FB"/>
    <w:rsid w:val="0069787B"/>
    <w:rsid w:val="00697E85"/>
    <w:rsid w:val="00697ED2"/>
    <w:rsid w:val="00697FB1"/>
    <w:rsid w:val="006A01A1"/>
    <w:rsid w:val="006A0271"/>
    <w:rsid w:val="006A047C"/>
    <w:rsid w:val="006A04AB"/>
    <w:rsid w:val="006A06FE"/>
    <w:rsid w:val="006A0BD3"/>
    <w:rsid w:val="006A0C29"/>
    <w:rsid w:val="006A0CCE"/>
    <w:rsid w:val="006A1005"/>
    <w:rsid w:val="006A113F"/>
    <w:rsid w:val="006A14A0"/>
    <w:rsid w:val="006A1989"/>
    <w:rsid w:val="006A1A9A"/>
    <w:rsid w:val="006A1C29"/>
    <w:rsid w:val="006A21DE"/>
    <w:rsid w:val="006A242C"/>
    <w:rsid w:val="006A25D3"/>
    <w:rsid w:val="006A2A36"/>
    <w:rsid w:val="006A2C55"/>
    <w:rsid w:val="006A2DE4"/>
    <w:rsid w:val="006A36EE"/>
    <w:rsid w:val="006A373E"/>
    <w:rsid w:val="006A3973"/>
    <w:rsid w:val="006A3A28"/>
    <w:rsid w:val="006A3C96"/>
    <w:rsid w:val="006A3EED"/>
    <w:rsid w:val="006A4332"/>
    <w:rsid w:val="006A435E"/>
    <w:rsid w:val="006A44D7"/>
    <w:rsid w:val="006A4B63"/>
    <w:rsid w:val="006A4C2F"/>
    <w:rsid w:val="006A4FC9"/>
    <w:rsid w:val="006A52B7"/>
    <w:rsid w:val="006A53A7"/>
    <w:rsid w:val="006A55B6"/>
    <w:rsid w:val="006A5719"/>
    <w:rsid w:val="006A5792"/>
    <w:rsid w:val="006A580A"/>
    <w:rsid w:val="006A596B"/>
    <w:rsid w:val="006A59D9"/>
    <w:rsid w:val="006A5D94"/>
    <w:rsid w:val="006A608A"/>
    <w:rsid w:val="006A656A"/>
    <w:rsid w:val="006A6D31"/>
    <w:rsid w:val="006A6FBB"/>
    <w:rsid w:val="006A7DBD"/>
    <w:rsid w:val="006A7E4F"/>
    <w:rsid w:val="006A7F63"/>
    <w:rsid w:val="006B0785"/>
    <w:rsid w:val="006B0A33"/>
    <w:rsid w:val="006B0A75"/>
    <w:rsid w:val="006B0BF5"/>
    <w:rsid w:val="006B0C01"/>
    <w:rsid w:val="006B0D79"/>
    <w:rsid w:val="006B0EB6"/>
    <w:rsid w:val="006B1085"/>
    <w:rsid w:val="006B1105"/>
    <w:rsid w:val="006B1156"/>
    <w:rsid w:val="006B11C1"/>
    <w:rsid w:val="006B1466"/>
    <w:rsid w:val="006B16A7"/>
    <w:rsid w:val="006B16CD"/>
    <w:rsid w:val="006B173D"/>
    <w:rsid w:val="006B189B"/>
    <w:rsid w:val="006B1A5C"/>
    <w:rsid w:val="006B1EFA"/>
    <w:rsid w:val="006B1FA2"/>
    <w:rsid w:val="006B1FB7"/>
    <w:rsid w:val="006B21A5"/>
    <w:rsid w:val="006B23D2"/>
    <w:rsid w:val="006B252C"/>
    <w:rsid w:val="006B2A35"/>
    <w:rsid w:val="006B2AFF"/>
    <w:rsid w:val="006B2B17"/>
    <w:rsid w:val="006B2BAC"/>
    <w:rsid w:val="006B2D44"/>
    <w:rsid w:val="006B35B3"/>
    <w:rsid w:val="006B36A2"/>
    <w:rsid w:val="006B3854"/>
    <w:rsid w:val="006B3A86"/>
    <w:rsid w:val="006B3D0F"/>
    <w:rsid w:val="006B3D3B"/>
    <w:rsid w:val="006B429D"/>
    <w:rsid w:val="006B43D4"/>
    <w:rsid w:val="006B44B4"/>
    <w:rsid w:val="006B460F"/>
    <w:rsid w:val="006B467C"/>
    <w:rsid w:val="006B46CC"/>
    <w:rsid w:val="006B46EA"/>
    <w:rsid w:val="006B490F"/>
    <w:rsid w:val="006B4B55"/>
    <w:rsid w:val="006B4CE4"/>
    <w:rsid w:val="006B4DC3"/>
    <w:rsid w:val="006B55DC"/>
    <w:rsid w:val="006B56DB"/>
    <w:rsid w:val="006B577C"/>
    <w:rsid w:val="006B5951"/>
    <w:rsid w:val="006B59E8"/>
    <w:rsid w:val="006B5CC4"/>
    <w:rsid w:val="006B6082"/>
    <w:rsid w:val="006B6095"/>
    <w:rsid w:val="006B6360"/>
    <w:rsid w:val="006B704E"/>
    <w:rsid w:val="006B75F0"/>
    <w:rsid w:val="006B78F8"/>
    <w:rsid w:val="006B7C0A"/>
    <w:rsid w:val="006B7E2D"/>
    <w:rsid w:val="006B7F22"/>
    <w:rsid w:val="006C00FE"/>
    <w:rsid w:val="006C01C4"/>
    <w:rsid w:val="006C02C3"/>
    <w:rsid w:val="006C0854"/>
    <w:rsid w:val="006C0CD4"/>
    <w:rsid w:val="006C0E52"/>
    <w:rsid w:val="006C0E90"/>
    <w:rsid w:val="006C0F64"/>
    <w:rsid w:val="006C1151"/>
    <w:rsid w:val="006C1243"/>
    <w:rsid w:val="006C1305"/>
    <w:rsid w:val="006C131E"/>
    <w:rsid w:val="006C1430"/>
    <w:rsid w:val="006C1556"/>
    <w:rsid w:val="006C1963"/>
    <w:rsid w:val="006C1C25"/>
    <w:rsid w:val="006C1F9E"/>
    <w:rsid w:val="006C2084"/>
    <w:rsid w:val="006C2190"/>
    <w:rsid w:val="006C22C8"/>
    <w:rsid w:val="006C2460"/>
    <w:rsid w:val="006C2FCC"/>
    <w:rsid w:val="006C33BB"/>
    <w:rsid w:val="006C384D"/>
    <w:rsid w:val="006C3A13"/>
    <w:rsid w:val="006C3B8C"/>
    <w:rsid w:val="006C4368"/>
    <w:rsid w:val="006C44D4"/>
    <w:rsid w:val="006C47E1"/>
    <w:rsid w:val="006C4827"/>
    <w:rsid w:val="006C4BD1"/>
    <w:rsid w:val="006C4BD7"/>
    <w:rsid w:val="006C4C76"/>
    <w:rsid w:val="006C4E75"/>
    <w:rsid w:val="006C4E94"/>
    <w:rsid w:val="006C521C"/>
    <w:rsid w:val="006C5301"/>
    <w:rsid w:val="006C5680"/>
    <w:rsid w:val="006C5B2B"/>
    <w:rsid w:val="006C5B2D"/>
    <w:rsid w:val="006C5CA0"/>
    <w:rsid w:val="006C5E1B"/>
    <w:rsid w:val="006C62ED"/>
    <w:rsid w:val="006C6457"/>
    <w:rsid w:val="006C6839"/>
    <w:rsid w:val="006C6943"/>
    <w:rsid w:val="006C6B37"/>
    <w:rsid w:val="006C6D4C"/>
    <w:rsid w:val="006C6F48"/>
    <w:rsid w:val="006C7133"/>
    <w:rsid w:val="006C724E"/>
    <w:rsid w:val="006C7445"/>
    <w:rsid w:val="006C7616"/>
    <w:rsid w:val="006C787E"/>
    <w:rsid w:val="006C7C82"/>
    <w:rsid w:val="006C7C8E"/>
    <w:rsid w:val="006C7CAE"/>
    <w:rsid w:val="006C7DC2"/>
    <w:rsid w:val="006C7E0C"/>
    <w:rsid w:val="006D0156"/>
    <w:rsid w:val="006D0868"/>
    <w:rsid w:val="006D0ADC"/>
    <w:rsid w:val="006D0D3C"/>
    <w:rsid w:val="006D13C0"/>
    <w:rsid w:val="006D1540"/>
    <w:rsid w:val="006D1743"/>
    <w:rsid w:val="006D1746"/>
    <w:rsid w:val="006D1B7B"/>
    <w:rsid w:val="006D273E"/>
    <w:rsid w:val="006D28CF"/>
    <w:rsid w:val="006D296F"/>
    <w:rsid w:val="006D2A9A"/>
    <w:rsid w:val="006D2ADA"/>
    <w:rsid w:val="006D3129"/>
    <w:rsid w:val="006D32DA"/>
    <w:rsid w:val="006D3405"/>
    <w:rsid w:val="006D37D5"/>
    <w:rsid w:val="006D3D1E"/>
    <w:rsid w:val="006D3E76"/>
    <w:rsid w:val="006D3E95"/>
    <w:rsid w:val="006D3F5F"/>
    <w:rsid w:val="006D3F9D"/>
    <w:rsid w:val="006D4081"/>
    <w:rsid w:val="006D428F"/>
    <w:rsid w:val="006D4559"/>
    <w:rsid w:val="006D4CE3"/>
    <w:rsid w:val="006D5040"/>
    <w:rsid w:val="006D507B"/>
    <w:rsid w:val="006D5279"/>
    <w:rsid w:val="006D5611"/>
    <w:rsid w:val="006D5704"/>
    <w:rsid w:val="006D57B4"/>
    <w:rsid w:val="006D5A2F"/>
    <w:rsid w:val="006D5C51"/>
    <w:rsid w:val="006D5C87"/>
    <w:rsid w:val="006D5D7A"/>
    <w:rsid w:val="006D5FEC"/>
    <w:rsid w:val="006D6011"/>
    <w:rsid w:val="006D616C"/>
    <w:rsid w:val="006D61B7"/>
    <w:rsid w:val="006D6242"/>
    <w:rsid w:val="006D627C"/>
    <w:rsid w:val="006D6C7A"/>
    <w:rsid w:val="006D6DB8"/>
    <w:rsid w:val="006D6EBD"/>
    <w:rsid w:val="006D70AD"/>
    <w:rsid w:val="006D70EA"/>
    <w:rsid w:val="006D72CA"/>
    <w:rsid w:val="006D7351"/>
    <w:rsid w:val="006D758E"/>
    <w:rsid w:val="006D7BB7"/>
    <w:rsid w:val="006D7E45"/>
    <w:rsid w:val="006D7E95"/>
    <w:rsid w:val="006D7EF4"/>
    <w:rsid w:val="006D7F4E"/>
    <w:rsid w:val="006D7F9A"/>
    <w:rsid w:val="006E021E"/>
    <w:rsid w:val="006E0915"/>
    <w:rsid w:val="006E0B0B"/>
    <w:rsid w:val="006E15C8"/>
    <w:rsid w:val="006E160D"/>
    <w:rsid w:val="006E163B"/>
    <w:rsid w:val="006E16A3"/>
    <w:rsid w:val="006E1857"/>
    <w:rsid w:val="006E1BA8"/>
    <w:rsid w:val="006E1DDB"/>
    <w:rsid w:val="006E2707"/>
    <w:rsid w:val="006E271E"/>
    <w:rsid w:val="006E2B46"/>
    <w:rsid w:val="006E2B79"/>
    <w:rsid w:val="006E3202"/>
    <w:rsid w:val="006E3259"/>
    <w:rsid w:val="006E36F0"/>
    <w:rsid w:val="006E3713"/>
    <w:rsid w:val="006E3734"/>
    <w:rsid w:val="006E38B0"/>
    <w:rsid w:val="006E41F7"/>
    <w:rsid w:val="006E4291"/>
    <w:rsid w:val="006E43C9"/>
    <w:rsid w:val="006E47FF"/>
    <w:rsid w:val="006E4931"/>
    <w:rsid w:val="006E4B98"/>
    <w:rsid w:val="006E5082"/>
    <w:rsid w:val="006E571C"/>
    <w:rsid w:val="006E5811"/>
    <w:rsid w:val="006E5887"/>
    <w:rsid w:val="006E5E2B"/>
    <w:rsid w:val="006E5F66"/>
    <w:rsid w:val="006E6346"/>
    <w:rsid w:val="006E6B66"/>
    <w:rsid w:val="006E6E69"/>
    <w:rsid w:val="006E6E9D"/>
    <w:rsid w:val="006E728D"/>
    <w:rsid w:val="006E7355"/>
    <w:rsid w:val="006E7577"/>
    <w:rsid w:val="006E7606"/>
    <w:rsid w:val="006E768C"/>
    <w:rsid w:val="006E7905"/>
    <w:rsid w:val="006F0032"/>
    <w:rsid w:val="006F0237"/>
    <w:rsid w:val="006F0434"/>
    <w:rsid w:val="006F0627"/>
    <w:rsid w:val="006F0A8F"/>
    <w:rsid w:val="006F0B59"/>
    <w:rsid w:val="006F0F59"/>
    <w:rsid w:val="006F14A2"/>
    <w:rsid w:val="006F14BC"/>
    <w:rsid w:val="006F1524"/>
    <w:rsid w:val="006F1A39"/>
    <w:rsid w:val="006F1D35"/>
    <w:rsid w:val="006F1E0B"/>
    <w:rsid w:val="006F21AC"/>
    <w:rsid w:val="006F2505"/>
    <w:rsid w:val="006F26F2"/>
    <w:rsid w:val="006F28CB"/>
    <w:rsid w:val="006F29A0"/>
    <w:rsid w:val="006F2A7B"/>
    <w:rsid w:val="006F2BCE"/>
    <w:rsid w:val="006F2E6E"/>
    <w:rsid w:val="006F300E"/>
    <w:rsid w:val="006F30E4"/>
    <w:rsid w:val="006F3256"/>
    <w:rsid w:val="006F39FB"/>
    <w:rsid w:val="006F3BF1"/>
    <w:rsid w:val="006F3E4B"/>
    <w:rsid w:val="006F3EBC"/>
    <w:rsid w:val="006F3ED5"/>
    <w:rsid w:val="006F421A"/>
    <w:rsid w:val="006F4291"/>
    <w:rsid w:val="006F42AD"/>
    <w:rsid w:val="006F431B"/>
    <w:rsid w:val="006F451B"/>
    <w:rsid w:val="006F4568"/>
    <w:rsid w:val="006F4729"/>
    <w:rsid w:val="006F478F"/>
    <w:rsid w:val="006F4B35"/>
    <w:rsid w:val="006F4B61"/>
    <w:rsid w:val="006F55D3"/>
    <w:rsid w:val="006F5631"/>
    <w:rsid w:val="006F5649"/>
    <w:rsid w:val="006F5D7E"/>
    <w:rsid w:val="006F610E"/>
    <w:rsid w:val="006F61FE"/>
    <w:rsid w:val="006F6351"/>
    <w:rsid w:val="006F6433"/>
    <w:rsid w:val="006F6897"/>
    <w:rsid w:val="006F695C"/>
    <w:rsid w:val="006F6C16"/>
    <w:rsid w:val="006F6CB8"/>
    <w:rsid w:val="006F6D07"/>
    <w:rsid w:val="006F6D42"/>
    <w:rsid w:val="006F7052"/>
    <w:rsid w:val="006F70EC"/>
    <w:rsid w:val="006F77D0"/>
    <w:rsid w:val="006F7ECC"/>
    <w:rsid w:val="006F7F02"/>
    <w:rsid w:val="006F7FD5"/>
    <w:rsid w:val="00700213"/>
    <w:rsid w:val="007006A5"/>
    <w:rsid w:val="007007C1"/>
    <w:rsid w:val="00700EEB"/>
    <w:rsid w:val="00700FC1"/>
    <w:rsid w:val="00701006"/>
    <w:rsid w:val="007012A4"/>
    <w:rsid w:val="007012D0"/>
    <w:rsid w:val="00701444"/>
    <w:rsid w:val="007014FD"/>
    <w:rsid w:val="0070151B"/>
    <w:rsid w:val="007018DD"/>
    <w:rsid w:val="00701928"/>
    <w:rsid w:val="00701B39"/>
    <w:rsid w:val="00701D98"/>
    <w:rsid w:val="007023B3"/>
    <w:rsid w:val="00702761"/>
    <w:rsid w:val="007027F8"/>
    <w:rsid w:val="0070291B"/>
    <w:rsid w:val="00702C31"/>
    <w:rsid w:val="00702C35"/>
    <w:rsid w:val="00702CB7"/>
    <w:rsid w:val="0070302E"/>
    <w:rsid w:val="0070302F"/>
    <w:rsid w:val="007033C5"/>
    <w:rsid w:val="00703CF1"/>
    <w:rsid w:val="00704005"/>
    <w:rsid w:val="0070400A"/>
    <w:rsid w:val="0070418F"/>
    <w:rsid w:val="007044E7"/>
    <w:rsid w:val="00704575"/>
    <w:rsid w:val="00704987"/>
    <w:rsid w:val="007049EE"/>
    <w:rsid w:val="00704B2A"/>
    <w:rsid w:val="00705032"/>
    <w:rsid w:val="007050C0"/>
    <w:rsid w:val="007052C1"/>
    <w:rsid w:val="00705319"/>
    <w:rsid w:val="007055E0"/>
    <w:rsid w:val="007058CD"/>
    <w:rsid w:val="00705957"/>
    <w:rsid w:val="00705AC3"/>
    <w:rsid w:val="00705BE2"/>
    <w:rsid w:val="00705FF9"/>
    <w:rsid w:val="0070600A"/>
    <w:rsid w:val="007060DE"/>
    <w:rsid w:val="0070617B"/>
    <w:rsid w:val="0070662E"/>
    <w:rsid w:val="0070683D"/>
    <w:rsid w:val="00706A2B"/>
    <w:rsid w:val="00706BBA"/>
    <w:rsid w:val="00706BD3"/>
    <w:rsid w:val="00707358"/>
    <w:rsid w:val="007074E1"/>
    <w:rsid w:val="007077EA"/>
    <w:rsid w:val="0070792A"/>
    <w:rsid w:val="00707B01"/>
    <w:rsid w:val="00707BBA"/>
    <w:rsid w:val="00707FCC"/>
    <w:rsid w:val="007105C1"/>
    <w:rsid w:val="00710E73"/>
    <w:rsid w:val="00711066"/>
    <w:rsid w:val="00711561"/>
    <w:rsid w:val="007117C1"/>
    <w:rsid w:val="007121ED"/>
    <w:rsid w:val="007122C0"/>
    <w:rsid w:val="00712612"/>
    <w:rsid w:val="0071264F"/>
    <w:rsid w:val="007127E8"/>
    <w:rsid w:val="00712B07"/>
    <w:rsid w:val="00712E7A"/>
    <w:rsid w:val="00712E99"/>
    <w:rsid w:val="00713393"/>
    <w:rsid w:val="00713669"/>
    <w:rsid w:val="007136E6"/>
    <w:rsid w:val="007139B8"/>
    <w:rsid w:val="00713B35"/>
    <w:rsid w:val="00713EF3"/>
    <w:rsid w:val="00713F12"/>
    <w:rsid w:val="00714052"/>
    <w:rsid w:val="00714464"/>
    <w:rsid w:val="0071452A"/>
    <w:rsid w:val="00714B4B"/>
    <w:rsid w:val="00714CD2"/>
    <w:rsid w:val="00714E73"/>
    <w:rsid w:val="00714F55"/>
    <w:rsid w:val="00715895"/>
    <w:rsid w:val="00715A73"/>
    <w:rsid w:val="00715A98"/>
    <w:rsid w:val="00715AA8"/>
    <w:rsid w:val="00715DAD"/>
    <w:rsid w:val="00716012"/>
    <w:rsid w:val="007160C7"/>
    <w:rsid w:val="007163A7"/>
    <w:rsid w:val="007166A5"/>
    <w:rsid w:val="0071693D"/>
    <w:rsid w:val="00716E5F"/>
    <w:rsid w:val="00716FCB"/>
    <w:rsid w:val="007170A6"/>
    <w:rsid w:val="007171E8"/>
    <w:rsid w:val="00717751"/>
    <w:rsid w:val="0071781D"/>
    <w:rsid w:val="00717E3A"/>
    <w:rsid w:val="00717E50"/>
    <w:rsid w:val="00720020"/>
    <w:rsid w:val="00720032"/>
    <w:rsid w:val="00720108"/>
    <w:rsid w:val="00720219"/>
    <w:rsid w:val="00720629"/>
    <w:rsid w:val="00720713"/>
    <w:rsid w:val="007208F5"/>
    <w:rsid w:val="007209FC"/>
    <w:rsid w:val="00720AE9"/>
    <w:rsid w:val="00720F16"/>
    <w:rsid w:val="00720FE7"/>
    <w:rsid w:val="0072104A"/>
    <w:rsid w:val="00721350"/>
    <w:rsid w:val="0072138F"/>
    <w:rsid w:val="007214CB"/>
    <w:rsid w:val="00721868"/>
    <w:rsid w:val="00722164"/>
    <w:rsid w:val="007221ED"/>
    <w:rsid w:val="00722504"/>
    <w:rsid w:val="00722965"/>
    <w:rsid w:val="00722B3A"/>
    <w:rsid w:val="00722CCA"/>
    <w:rsid w:val="00722EEE"/>
    <w:rsid w:val="00722FFA"/>
    <w:rsid w:val="007234EA"/>
    <w:rsid w:val="007235F1"/>
    <w:rsid w:val="00723AB5"/>
    <w:rsid w:val="00723AEB"/>
    <w:rsid w:val="00723C78"/>
    <w:rsid w:val="00723D60"/>
    <w:rsid w:val="007241C7"/>
    <w:rsid w:val="00724A59"/>
    <w:rsid w:val="00724C75"/>
    <w:rsid w:val="00724E8B"/>
    <w:rsid w:val="0072549A"/>
    <w:rsid w:val="0072556E"/>
    <w:rsid w:val="007257A7"/>
    <w:rsid w:val="00725B32"/>
    <w:rsid w:val="00725C06"/>
    <w:rsid w:val="00725D0A"/>
    <w:rsid w:val="00725E33"/>
    <w:rsid w:val="00725F24"/>
    <w:rsid w:val="00726074"/>
    <w:rsid w:val="00726144"/>
    <w:rsid w:val="007261A0"/>
    <w:rsid w:val="0072631E"/>
    <w:rsid w:val="0072667F"/>
    <w:rsid w:val="00726687"/>
    <w:rsid w:val="00727121"/>
    <w:rsid w:val="00727268"/>
    <w:rsid w:val="007273AB"/>
    <w:rsid w:val="007274B8"/>
    <w:rsid w:val="007277A0"/>
    <w:rsid w:val="00727968"/>
    <w:rsid w:val="007301F6"/>
    <w:rsid w:val="00730301"/>
    <w:rsid w:val="00730BAD"/>
    <w:rsid w:val="00730E2C"/>
    <w:rsid w:val="00730E35"/>
    <w:rsid w:val="007312F8"/>
    <w:rsid w:val="0073178C"/>
    <w:rsid w:val="007318FE"/>
    <w:rsid w:val="00731E2B"/>
    <w:rsid w:val="0073200F"/>
    <w:rsid w:val="007325ED"/>
    <w:rsid w:val="007327C0"/>
    <w:rsid w:val="00732BEA"/>
    <w:rsid w:val="00732C2E"/>
    <w:rsid w:val="00732DC6"/>
    <w:rsid w:val="00732F21"/>
    <w:rsid w:val="00733089"/>
    <w:rsid w:val="00733579"/>
    <w:rsid w:val="00733682"/>
    <w:rsid w:val="00733F0F"/>
    <w:rsid w:val="00733F2C"/>
    <w:rsid w:val="00734479"/>
    <w:rsid w:val="00734514"/>
    <w:rsid w:val="0073465A"/>
    <w:rsid w:val="007348B1"/>
    <w:rsid w:val="00734AC9"/>
    <w:rsid w:val="00734AE4"/>
    <w:rsid w:val="00734B08"/>
    <w:rsid w:val="00734C64"/>
    <w:rsid w:val="00734E32"/>
    <w:rsid w:val="00734E94"/>
    <w:rsid w:val="007350CF"/>
    <w:rsid w:val="007351E0"/>
    <w:rsid w:val="007355A2"/>
    <w:rsid w:val="007355B5"/>
    <w:rsid w:val="00735640"/>
    <w:rsid w:val="007359B1"/>
    <w:rsid w:val="00735C1B"/>
    <w:rsid w:val="00735C77"/>
    <w:rsid w:val="00735D1F"/>
    <w:rsid w:val="00736923"/>
    <w:rsid w:val="00736A13"/>
    <w:rsid w:val="007373B4"/>
    <w:rsid w:val="00737462"/>
    <w:rsid w:val="0073761B"/>
    <w:rsid w:val="0073770A"/>
    <w:rsid w:val="007379C2"/>
    <w:rsid w:val="00737A2B"/>
    <w:rsid w:val="00737C53"/>
    <w:rsid w:val="00737EC5"/>
    <w:rsid w:val="007402A0"/>
    <w:rsid w:val="00740435"/>
    <w:rsid w:val="00740B81"/>
    <w:rsid w:val="00740C24"/>
    <w:rsid w:val="00740D9D"/>
    <w:rsid w:val="00740F54"/>
    <w:rsid w:val="0074118D"/>
    <w:rsid w:val="0074119C"/>
    <w:rsid w:val="007411D3"/>
    <w:rsid w:val="007411FB"/>
    <w:rsid w:val="007413DA"/>
    <w:rsid w:val="0074155C"/>
    <w:rsid w:val="00741591"/>
    <w:rsid w:val="00741616"/>
    <w:rsid w:val="00741660"/>
    <w:rsid w:val="00741693"/>
    <w:rsid w:val="00741933"/>
    <w:rsid w:val="00741A73"/>
    <w:rsid w:val="00741A74"/>
    <w:rsid w:val="00741DF1"/>
    <w:rsid w:val="00741F72"/>
    <w:rsid w:val="0074222B"/>
    <w:rsid w:val="007423E7"/>
    <w:rsid w:val="00742777"/>
    <w:rsid w:val="007428A1"/>
    <w:rsid w:val="00742C9D"/>
    <w:rsid w:val="00742E5A"/>
    <w:rsid w:val="00743030"/>
    <w:rsid w:val="007432FD"/>
    <w:rsid w:val="00743834"/>
    <w:rsid w:val="00743F58"/>
    <w:rsid w:val="0074415A"/>
    <w:rsid w:val="0074440D"/>
    <w:rsid w:val="007444DB"/>
    <w:rsid w:val="0074459B"/>
    <w:rsid w:val="00744869"/>
    <w:rsid w:val="00744881"/>
    <w:rsid w:val="00744F54"/>
    <w:rsid w:val="00744F96"/>
    <w:rsid w:val="00745580"/>
    <w:rsid w:val="007455BA"/>
    <w:rsid w:val="007456A1"/>
    <w:rsid w:val="0074581E"/>
    <w:rsid w:val="007458B7"/>
    <w:rsid w:val="007460E0"/>
    <w:rsid w:val="0074620B"/>
    <w:rsid w:val="007464EC"/>
    <w:rsid w:val="0074658B"/>
    <w:rsid w:val="0074660F"/>
    <w:rsid w:val="007467CC"/>
    <w:rsid w:val="00746ACE"/>
    <w:rsid w:val="00746BB2"/>
    <w:rsid w:val="00746E19"/>
    <w:rsid w:val="00746FA5"/>
    <w:rsid w:val="00747397"/>
    <w:rsid w:val="00747405"/>
    <w:rsid w:val="00747428"/>
    <w:rsid w:val="00747B96"/>
    <w:rsid w:val="0075060D"/>
    <w:rsid w:val="007506F1"/>
    <w:rsid w:val="0075075E"/>
    <w:rsid w:val="007509E4"/>
    <w:rsid w:val="00750B44"/>
    <w:rsid w:val="00750B90"/>
    <w:rsid w:val="00750C16"/>
    <w:rsid w:val="00751043"/>
    <w:rsid w:val="00751148"/>
    <w:rsid w:val="007511B4"/>
    <w:rsid w:val="0075127D"/>
    <w:rsid w:val="00751646"/>
    <w:rsid w:val="00751679"/>
    <w:rsid w:val="00751915"/>
    <w:rsid w:val="00751CD6"/>
    <w:rsid w:val="00751E1F"/>
    <w:rsid w:val="00751E62"/>
    <w:rsid w:val="00751E68"/>
    <w:rsid w:val="00752240"/>
    <w:rsid w:val="0075224D"/>
    <w:rsid w:val="0075250B"/>
    <w:rsid w:val="00752701"/>
    <w:rsid w:val="007529C0"/>
    <w:rsid w:val="00752DDB"/>
    <w:rsid w:val="00753080"/>
    <w:rsid w:val="007535D8"/>
    <w:rsid w:val="0075380E"/>
    <w:rsid w:val="00753981"/>
    <w:rsid w:val="007539DC"/>
    <w:rsid w:val="00753AB3"/>
    <w:rsid w:val="00753F13"/>
    <w:rsid w:val="00753F4C"/>
    <w:rsid w:val="007543AB"/>
    <w:rsid w:val="0075441F"/>
    <w:rsid w:val="007544D5"/>
    <w:rsid w:val="007545B1"/>
    <w:rsid w:val="00754652"/>
    <w:rsid w:val="0075489D"/>
    <w:rsid w:val="0075497F"/>
    <w:rsid w:val="00754B15"/>
    <w:rsid w:val="00754B29"/>
    <w:rsid w:val="00754CC6"/>
    <w:rsid w:val="007552E3"/>
    <w:rsid w:val="007555EF"/>
    <w:rsid w:val="00755A72"/>
    <w:rsid w:val="00755D68"/>
    <w:rsid w:val="00756556"/>
    <w:rsid w:val="0075668B"/>
    <w:rsid w:val="00756BF0"/>
    <w:rsid w:val="00757064"/>
    <w:rsid w:val="0075716F"/>
    <w:rsid w:val="00757542"/>
    <w:rsid w:val="00757745"/>
    <w:rsid w:val="007577C8"/>
    <w:rsid w:val="00757BF6"/>
    <w:rsid w:val="00757DC6"/>
    <w:rsid w:val="00757FB4"/>
    <w:rsid w:val="0076036D"/>
    <w:rsid w:val="007603AD"/>
    <w:rsid w:val="0076050E"/>
    <w:rsid w:val="00760C49"/>
    <w:rsid w:val="00760D64"/>
    <w:rsid w:val="00760D6A"/>
    <w:rsid w:val="00760E7A"/>
    <w:rsid w:val="00760F42"/>
    <w:rsid w:val="0076100E"/>
    <w:rsid w:val="0076153A"/>
    <w:rsid w:val="00761CAF"/>
    <w:rsid w:val="00761F0A"/>
    <w:rsid w:val="0076249B"/>
    <w:rsid w:val="0076255B"/>
    <w:rsid w:val="0076258B"/>
    <w:rsid w:val="00762769"/>
    <w:rsid w:val="00762C87"/>
    <w:rsid w:val="00763356"/>
    <w:rsid w:val="00763363"/>
    <w:rsid w:val="00763BE0"/>
    <w:rsid w:val="00763DD6"/>
    <w:rsid w:val="007641A7"/>
    <w:rsid w:val="00764234"/>
    <w:rsid w:val="00764771"/>
    <w:rsid w:val="0076478F"/>
    <w:rsid w:val="00764B0E"/>
    <w:rsid w:val="00764C81"/>
    <w:rsid w:val="007652BE"/>
    <w:rsid w:val="007653C0"/>
    <w:rsid w:val="007653EC"/>
    <w:rsid w:val="007654DC"/>
    <w:rsid w:val="00765924"/>
    <w:rsid w:val="00765935"/>
    <w:rsid w:val="00765A07"/>
    <w:rsid w:val="00765C47"/>
    <w:rsid w:val="00766579"/>
    <w:rsid w:val="007667F8"/>
    <w:rsid w:val="00766B64"/>
    <w:rsid w:val="00766C54"/>
    <w:rsid w:val="00766EA1"/>
    <w:rsid w:val="00766FD8"/>
    <w:rsid w:val="00767367"/>
    <w:rsid w:val="007678B8"/>
    <w:rsid w:val="007679E1"/>
    <w:rsid w:val="00767A2D"/>
    <w:rsid w:val="00767AF2"/>
    <w:rsid w:val="00767BC3"/>
    <w:rsid w:val="00767EB7"/>
    <w:rsid w:val="00767FA2"/>
    <w:rsid w:val="007702F4"/>
    <w:rsid w:val="00770669"/>
    <w:rsid w:val="007709FC"/>
    <w:rsid w:val="00770F94"/>
    <w:rsid w:val="00771224"/>
    <w:rsid w:val="00771486"/>
    <w:rsid w:val="00771A0E"/>
    <w:rsid w:val="00771BD2"/>
    <w:rsid w:val="00771EE9"/>
    <w:rsid w:val="00771F39"/>
    <w:rsid w:val="00771F68"/>
    <w:rsid w:val="00772004"/>
    <w:rsid w:val="007720FF"/>
    <w:rsid w:val="00772386"/>
    <w:rsid w:val="0077292D"/>
    <w:rsid w:val="00772E48"/>
    <w:rsid w:val="00772E5E"/>
    <w:rsid w:val="00772EE7"/>
    <w:rsid w:val="007730AF"/>
    <w:rsid w:val="007732DD"/>
    <w:rsid w:val="00773494"/>
    <w:rsid w:val="007734F6"/>
    <w:rsid w:val="0077378D"/>
    <w:rsid w:val="00773A84"/>
    <w:rsid w:val="00773EFA"/>
    <w:rsid w:val="00773F9D"/>
    <w:rsid w:val="0077400B"/>
    <w:rsid w:val="007740C6"/>
    <w:rsid w:val="0077411D"/>
    <w:rsid w:val="00774186"/>
    <w:rsid w:val="007742D0"/>
    <w:rsid w:val="0077461A"/>
    <w:rsid w:val="00774A6C"/>
    <w:rsid w:val="00774B85"/>
    <w:rsid w:val="00774D5C"/>
    <w:rsid w:val="00774FB0"/>
    <w:rsid w:val="00775088"/>
    <w:rsid w:val="007750C9"/>
    <w:rsid w:val="00775770"/>
    <w:rsid w:val="00775839"/>
    <w:rsid w:val="00775994"/>
    <w:rsid w:val="00775DF2"/>
    <w:rsid w:val="00775FF0"/>
    <w:rsid w:val="00776DF5"/>
    <w:rsid w:val="00776F2B"/>
    <w:rsid w:val="00776F78"/>
    <w:rsid w:val="007771A8"/>
    <w:rsid w:val="00777699"/>
    <w:rsid w:val="007776B1"/>
    <w:rsid w:val="00777B19"/>
    <w:rsid w:val="007800A7"/>
    <w:rsid w:val="007801CD"/>
    <w:rsid w:val="0078051A"/>
    <w:rsid w:val="00780552"/>
    <w:rsid w:val="00780841"/>
    <w:rsid w:val="00780B80"/>
    <w:rsid w:val="00780BC3"/>
    <w:rsid w:val="00780DFE"/>
    <w:rsid w:val="00780E09"/>
    <w:rsid w:val="00780F2E"/>
    <w:rsid w:val="0078100D"/>
    <w:rsid w:val="007810D4"/>
    <w:rsid w:val="0078120D"/>
    <w:rsid w:val="00781234"/>
    <w:rsid w:val="0078176F"/>
    <w:rsid w:val="00781922"/>
    <w:rsid w:val="00781CB7"/>
    <w:rsid w:val="00781CFB"/>
    <w:rsid w:val="00781FB6"/>
    <w:rsid w:val="007821AC"/>
    <w:rsid w:val="00782245"/>
    <w:rsid w:val="007825B9"/>
    <w:rsid w:val="007826B1"/>
    <w:rsid w:val="0078295C"/>
    <w:rsid w:val="00782990"/>
    <w:rsid w:val="00782B98"/>
    <w:rsid w:val="00782BD9"/>
    <w:rsid w:val="007833FD"/>
    <w:rsid w:val="00783531"/>
    <w:rsid w:val="00783640"/>
    <w:rsid w:val="0078372E"/>
    <w:rsid w:val="00783B8C"/>
    <w:rsid w:val="00783B94"/>
    <w:rsid w:val="00783CBF"/>
    <w:rsid w:val="00784008"/>
    <w:rsid w:val="00785008"/>
    <w:rsid w:val="007851D8"/>
    <w:rsid w:val="007853F2"/>
    <w:rsid w:val="00785412"/>
    <w:rsid w:val="0078572F"/>
    <w:rsid w:val="0078595C"/>
    <w:rsid w:val="00785A24"/>
    <w:rsid w:val="00785AF1"/>
    <w:rsid w:val="00785F1F"/>
    <w:rsid w:val="00785F82"/>
    <w:rsid w:val="00786028"/>
    <w:rsid w:val="0078604E"/>
    <w:rsid w:val="0078625D"/>
    <w:rsid w:val="007862A1"/>
    <w:rsid w:val="007865F3"/>
    <w:rsid w:val="007866B4"/>
    <w:rsid w:val="0078678E"/>
    <w:rsid w:val="007867B2"/>
    <w:rsid w:val="0078686B"/>
    <w:rsid w:val="00786A7A"/>
    <w:rsid w:val="00786D5A"/>
    <w:rsid w:val="00786E5B"/>
    <w:rsid w:val="00786E6A"/>
    <w:rsid w:val="00786F7D"/>
    <w:rsid w:val="0078707A"/>
    <w:rsid w:val="007872BA"/>
    <w:rsid w:val="007873BD"/>
    <w:rsid w:val="00787629"/>
    <w:rsid w:val="007877BB"/>
    <w:rsid w:val="007877EF"/>
    <w:rsid w:val="00787BCE"/>
    <w:rsid w:val="00787C0A"/>
    <w:rsid w:val="00790075"/>
    <w:rsid w:val="00790232"/>
    <w:rsid w:val="00790519"/>
    <w:rsid w:val="00790E13"/>
    <w:rsid w:val="0079105D"/>
    <w:rsid w:val="00791167"/>
    <w:rsid w:val="00791180"/>
    <w:rsid w:val="0079119A"/>
    <w:rsid w:val="007911C5"/>
    <w:rsid w:val="00791415"/>
    <w:rsid w:val="00791C14"/>
    <w:rsid w:val="00791CBD"/>
    <w:rsid w:val="00791F44"/>
    <w:rsid w:val="0079200E"/>
    <w:rsid w:val="007924F7"/>
    <w:rsid w:val="00792954"/>
    <w:rsid w:val="007929BB"/>
    <w:rsid w:val="00792AC4"/>
    <w:rsid w:val="00792C54"/>
    <w:rsid w:val="00792E74"/>
    <w:rsid w:val="00792FDF"/>
    <w:rsid w:val="00793022"/>
    <w:rsid w:val="0079307D"/>
    <w:rsid w:val="0079329C"/>
    <w:rsid w:val="0079338B"/>
    <w:rsid w:val="0079348C"/>
    <w:rsid w:val="0079378B"/>
    <w:rsid w:val="0079381A"/>
    <w:rsid w:val="0079382B"/>
    <w:rsid w:val="00793F6B"/>
    <w:rsid w:val="00794727"/>
    <w:rsid w:val="00794C0D"/>
    <w:rsid w:val="00794FD7"/>
    <w:rsid w:val="007952E8"/>
    <w:rsid w:val="0079533A"/>
    <w:rsid w:val="00795962"/>
    <w:rsid w:val="00795D28"/>
    <w:rsid w:val="00795E4B"/>
    <w:rsid w:val="00795F22"/>
    <w:rsid w:val="007960D1"/>
    <w:rsid w:val="00796196"/>
    <w:rsid w:val="0079620D"/>
    <w:rsid w:val="00796407"/>
    <w:rsid w:val="007965E0"/>
    <w:rsid w:val="00796637"/>
    <w:rsid w:val="00796A0E"/>
    <w:rsid w:val="00796D29"/>
    <w:rsid w:val="00796D9F"/>
    <w:rsid w:val="00797479"/>
    <w:rsid w:val="0079763B"/>
    <w:rsid w:val="007977CB"/>
    <w:rsid w:val="00797863"/>
    <w:rsid w:val="00797C80"/>
    <w:rsid w:val="00797D5D"/>
    <w:rsid w:val="00797E3F"/>
    <w:rsid w:val="00797F16"/>
    <w:rsid w:val="007A025F"/>
    <w:rsid w:val="007A0528"/>
    <w:rsid w:val="007A0818"/>
    <w:rsid w:val="007A081D"/>
    <w:rsid w:val="007A0B1C"/>
    <w:rsid w:val="007A0BF5"/>
    <w:rsid w:val="007A0D0C"/>
    <w:rsid w:val="007A12EB"/>
    <w:rsid w:val="007A136A"/>
    <w:rsid w:val="007A1905"/>
    <w:rsid w:val="007A1A47"/>
    <w:rsid w:val="007A1AB8"/>
    <w:rsid w:val="007A1AE0"/>
    <w:rsid w:val="007A1B55"/>
    <w:rsid w:val="007A1B76"/>
    <w:rsid w:val="007A1BC1"/>
    <w:rsid w:val="007A1E74"/>
    <w:rsid w:val="007A20AB"/>
    <w:rsid w:val="007A21DF"/>
    <w:rsid w:val="007A2669"/>
    <w:rsid w:val="007A275D"/>
    <w:rsid w:val="007A28A5"/>
    <w:rsid w:val="007A2CF8"/>
    <w:rsid w:val="007A2F95"/>
    <w:rsid w:val="007A3169"/>
    <w:rsid w:val="007A3306"/>
    <w:rsid w:val="007A356D"/>
    <w:rsid w:val="007A36AA"/>
    <w:rsid w:val="007A390A"/>
    <w:rsid w:val="007A3A14"/>
    <w:rsid w:val="007A3BBF"/>
    <w:rsid w:val="007A3D09"/>
    <w:rsid w:val="007A3E58"/>
    <w:rsid w:val="007A3F3F"/>
    <w:rsid w:val="007A41A7"/>
    <w:rsid w:val="007A4211"/>
    <w:rsid w:val="007A439B"/>
    <w:rsid w:val="007A4556"/>
    <w:rsid w:val="007A45EA"/>
    <w:rsid w:val="007A485A"/>
    <w:rsid w:val="007A495D"/>
    <w:rsid w:val="007A4FF0"/>
    <w:rsid w:val="007A5259"/>
    <w:rsid w:val="007A5626"/>
    <w:rsid w:val="007A5635"/>
    <w:rsid w:val="007A5B45"/>
    <w:rsid w:val="007A5B55"/>
    <w:rsid w:val="007A5B76"/>
    <w:rsid w:val="007A5F5C"/>
    <w:rsid w:val="007A61A5"/>
    <w:rsid w:val="007A61E3"/>
    <w:rsid w:val="007A61E9"/>
    <w:rsid w:val="007A62CB"/>
    <w:rsid w:val="007A68F2"/>
    <w:rsid w:val="007A692A"/>
    <w:rsid w:val="007A6A5C"/>
    <w:rsid w:val="007A6C02"/>
    <w:rsid w:val="007A6C2D"/>
    <w:rsid w:val="007A6E53"/>
    <w:rsid w:val="007A6EC0"/>
    <w:rsid w:val="007A72C5"/>
    <w:rsid w:val="007A74C7"/>
    <w:rsid w:val="007A757E"/>
    <w:rsid w:val="007A776A"/>
    <w:rsid w:val="007A7AB1"/>
    <w:rsid w:val="007A7C5D"/>
    <w:rsid w:val="007A7C9D"/>
    <w:rsid w:val="007A7E44"/>
    <w:rsid w:val="007A7F9E"/>
    <w:rsid w:val="007B0199"/>
    <w:rsid w:val="007B02D2"/>
    <w:rsid w:val="007B0372"/>
    <w:rsid w:val="007B0573"/>
    <w:rsid w:val="007B0600"/>
    <w:rsid w:val="007B0619"/>
    <w:rsid w:val="007B0892"/>
    <w:rsid w:val="007B0BAA"/>
    <w:rsid w:val="007B0E86"/>
    <w:rsid w:val="007B0E9A"/>
    <w:rsid w:val="007B16E0"/>
    <w:rsid w:val="007B1740"/>
    <w:rsid w:val="007B18BD"/>
    <w:rsid w:val="007B18E1"/>
    <w:rsid w:val="007B1B93"/>
    <w:rsid w:val="007B1C53"/>
    <w:rsid w:val="007B1CC7"/>
    <w:rsid w:val="007B1E68"/>
    <w:rsid w:val="007B1E92"/>
    <w:rsid w:val="007B23C7"/>
    <w:rsid w:val="007B23E4"/>
    <w:rsid w:val="007B23E6"/>
    <w:rsid w:val="007B241F"/>
    <w:rsid w:val="007B25F9"/>
    <w:rsid w:val="007B280E"/>
    <w:rsid w:val="007B2972"/>
    <w:rsid w:val="007B2C26"/>
    <w:rsid w:val="007B3E3A"/>
    <w:rsid w:val="007B3F3C"/>
    <w:rsid w:val="007B4722"/>
    <w:rsid w:val="007B4889"/>
    <w:rsid w:val="007B4B6E"/>
    <w:rsid w:val="007B4CC6"/>
    <w:rsid w:val="007B4CCF"/>
    <w:rsid w:val="007B4EF7"/>
    <w:rsid w:val="007B502C"/>
    <w:rsid w:val="007B525A"/>
    <w:rsid w:val="007B55DE"/>
    <w:rsid w:val="007B560F"/>
    <w:rsid w:val="007B60E2"/>
    <w:rsid w:val="007B66BB"/>
    <w:rsid w:val="007B6794"/>
    <w:rsid w:val="007B67FB"/>
    <w:rsid w:val="007B6E15"/>
    <w:rsid w:val="007B6FB2"/>
    <w:rsid w:val="007B741B"/>
    <w:rsid w:val="007B77BE"/>
    <w:rsid w:val="007B784B"/>
    <w:rsid w:val="007B789B"/>
    <w:rsid w:val="007B7E6C"/>
    <w:rsid w:val="007C03CD"/>
    <w:rsid w:val="007C0C94"/>
    <w:rsid w:val="007C112B"/>
    <w:rsid w:val="007C157C"/>
    <w:rsid w:val="007C1686"/>
    <w:rsid w:val="007C1904"/>
    <w:rsid w:val="007C1956"/>
    <w:rsid w:val="007C1A93"/>
    <w:rsid w:val="007C1B84"/>
    <w:rsid w:val="007C1BA2"/>
    <w:rsid w:val="007C1C82"/>
    <w:rsid w:val="007C1D7C"/>
    <w:rsid w:val="007C1EF3"/>
    <w:rsid w:val="007C1FD6"/>
    <w:rsid w:val="007C206F"/>
    <w:rsid w:val="007C248E"/>
    <w:rsid w:val="007C2739"/>
    <w:rsid w:val="007C27B4"/>
    <w:rsid w:val="007C2978"/>
    <w:rsid w:val="007C2C47"/>
    <w:rsid w:val="007C2D13"/>
    <w:rsid w:val="007C2D1B"/>
    <w:rsid w:val="007C2EDF"/>
    <w:rsid w:val="007C329D"/>
    <w:rsid w:val="007C3342"/>
    <w:rsid w:val="007C34FE"/>
    <w:rsid w:val="007C3D45"/>
    <w:rsid w:val="007C3D85"/>
    <w:rsid w:val="007C46D2"/>
    <w:rsid w:val="007C4BBF"/>
    <w:rsid w:val="007C50A8"/>
    <w:rsid w:val="007C54C9"/>
    <w:rsid w:val="007C59BF"/>
    <w:rsid w:val="007C5D7A"/>
    <w:rsid w:val="007C617E"/>
    <w:rsid w:val="007C6445"/>
    <w:rsid w:val="007C6706"/>
    <w:rsid w:val="007C6852"/>
    <w:rsid w:val="007C6853"/>
    <w:rsid w:val="007C6B8D"/>
    <w:rsid w:val="007C6CEE"/>
    <w:rsid w:val="007C6D9C"/>
    <w:rsid w:val="007C6DBF"/>
    <w:rsid w:val="007C70AC"/>
    <w:rsid w:val="007C70C3"/>
    <w:rsid w:val="007C725E"/>
    <w:rsid w:val="007C73D4"/>
    <w:rsid w:val="007C775C"/>
    <w:rsid w:val="007C795B"/>
    <w:rsid w:val="007C7B17"/>
    <w:rsid w:val="007C7BBA"/>
    <w:rsid w:val="007C7C16"/>
    <w:rsid w:val="007D00DA"/>
    <w:rsid w:val="007D02FF"/>
    <w:rsid w:val="007D04D6"/>
    <w:rsid w:val="007D0541"/>
    <w:rsid w:val="007D0557"/>
    <w:rsid w:val="007D05F0"/>
    <w:rsid w:val="007D09D7"/>
    <w:rsid w:val="007D0B25"/>
    <w:rsid w:val="007D0DD1"/>
    <w:rsid w:val="007D0E5E"/>
    <w:rsid w:val="007D1D24"/>
    <w:rsid w:val="007D2095"/>
    <w:rsid w:val="007D21ED"/>
    <w:rsid w:val="007D231A"/>
    <w:rsid w:val="007D2381"/>
    <w:rsid w:val="007D23D9"/>
    <w:rsid w:val="007D26D1"/>
    <w:rsid w:val="007D2A62"/>
    <w:rsid w:val="007D2E80"/>
    <w:rsid w:val="007D30AB"/>
    <w:rsid w:val="007D3185"/>
    <w:rsid w:val="007D31D6"/>
    <w:rsid w:val="007D32DB"/>
    <w:rsid w:val="007D384D"/>
    <w:rsid w:val="007D388E"/>
    <w:rsid w:val="007D3C41"/>
    <w:rsid w:val="007D4168"/>
    <w:rsid w:val="007D45DA"/>
    <w:rsid w:val="007D47C7"/>
    <w:rsid w:val="007D498F"/>
    <w:rsid w:val="007D4A86"/>
    <w:rsid w:val="007D4EAC"/>
    <w:rsid w:val="007D4FC9"/>
    <w:rsid w:val="007D5117"/>
    <w:rsid w:val="007D5197"/>
    <w:rsid w:val="007D52A5"/>
    <w:rsid w:val="007D5566"/>
    <w:rsid w:val="007D5644"/>
    <w:rsid w:val="007D56D0"/>
    <w:rsid w:val="007D5936"/>
    <w:rsid w:val="007D5BC7"/>
    <w:rsid w:val="007D5BF0"/>
    <w:rsid w:val="007D60EB"/>
    <w:rsid w:val="007D60EE"/>
    <w:rsid w:val="007D61E4"/>
    <w:rsid w:val="007D6389"/>
    <w:rsid w:val="007D65C8"/>
    <w:rsid w:val="007D65ED"/>
    <w:rsid w:val="007D6782"/>
    <w:rsid w:val="007D701C"/>
    <w:rsid w:val="007D71DD"/>
    <w:rsid w:val="007D76A0"/>
    <w:rsid w:val="007D76C7"/>
    <w:rsid w:val="007D76F7"/>
    <w:rsid w:val="007D776E"/>
    <w:rsid w:val="007D7D60"/>
    <w:rsid w:val="007D7DB8"/>
    <w:rsid w:val="007E01ED"/>
    <w:rsid w:val="007E071D"/>
    <w:rsid w:val="007E0721"/>
    <w:rsid w:val="007E073C"/>
    <w:rsid w:val="007E0798"/>
    <w:rsid w:val="007E0805"/>
    <w:rsid w:val="007E0808"/>
    <w:rsid w:val="007E0B06"/>
    <w:rsid w:val="007E0BAD"/>
    <w:rsid w:val="007E0BF2"/>
    <w:rsid w:val="007E0D93"/>
    <w:rsid w:val="007E10C6"/>
    <w:rsid w:val="007E1994"/>
    <w:rsid w:val="007E1A40"/>
    <w:rsid w:val="007E1C5B"/>
    <w:rsid w:val="007E1ECA"/>
    <w:rsid w:val="007E2376"/>
    <w:rsid w:val="007E2559"/>
    <w:rsid w:val="007E265C"/>
    <w:rsid w:val="007E2BF5"/>
    <w:rsid w:val="007E2C07"/>
    <w:rsid w:val="007E3172"/>
    <w:rsid w:val="007E32AA"/>
    <w:rsid w:val="007E3364"/>
    <w:rsid w:val="007E33ED"/>
    <w:rsid w:val="007E34FB"/>
    <w:rsid w:val="007E350E"/>
    <w:rsid w:val="007E395E"/>
    <w:rsid w:val="007E3ACC"/>
    <w:rsid w:val="007E3BF9"/>
    <w:rsid w:val="007E3E0D"/>
    <w:rsid w:val="007E48D6"/>
    <w:rsid w:val="007E48D8"/>
    <w:rsid w:val="007E4AA4"/>
    <w:rsid w:val="007E4C9B"/>
    <w:rsid w:val="007E4E50"/>
    <w:rsid w:val="007E4FEE"/>
    <w:rsid w:val="007E5634"/>
    <w:rsid w:val="007E5804"/>
    <w:rsid w:val="007E5945"/>
    <w:rsid w:val="007E5C70"/>
    <w:rsid w:val="007E6630"/>
    <w:rsid w:val="007E6738"/>
    <w:rsid w:val="007E6853"/>
    <w:rsid w:val="007E6C3C"/>
    <w:rsid w:val="007E6C5A"/>
    <w:rsid w:val="007E70A8"/>
    <w:rsid w:val="007E720A"/>
    <w:rsid w:val="007E7228"/>
    <w:rsid w:val="007E7654"/>
    <w:rsid w:val="007E780D"/>
    <w:rsid w:val="007E7BCB"/>
    <w:rsid w:val="007E7C1D"/>
    <w:rsid w:val="007E7CEB"/>
    <w:rsid w:val="007E7DC1"/>
    <w:rsid w:val="007F00A6"/>
    <w:rsid w:val="007F0184"/>
    <w:rsid w:val="007F0B39"/>
    <w:rsid w:val="007F0D5D"/>
    <w:rsid w:val="007F0D7C"/>
    <w:rsid w:val="007F0DD7"/>
    <w:rsid w:val="007F10BE"/>
    <w:rsid w:val="007F1415"/>
    <w:rsid w:val="007F1573"/>
    <w:rsid w:val="007F159B"/>
    <w:rsid w:val="007F1612"/>
    <w:rsid w:val="007F19D1"/>
    <w:rsid w:val="007F1C4F"/>
    <w:rsid w:val="007F1D89"/>
    <w:rsid w:val="007F1EA5"/>
    <w:rsid w:val="007F20F2"/>
    <w:rsid w:val="007F2277"/>
    <w:rsid w:val="007F2442"/>
    <w:rsid w:val="007F254D"/>
    <w:rsid w:val="007F2595"/>
    <w:rsid w:val="007F29B8"/>
    <w:rsid w:val="007F2D19"/>
    <w:rsid w:val="007F2DD0"/>
    <w:rsid w:val="007F2F22"/>
    <w:rsid w:val="007F3403"/>
    <w:rsid w:val="007F346A"/>
    <w:rsid w:val="007F35DE"/>
    <w:rsid w:val="007F35FB"/>
    <w:rsid w:val="007F3852"/>
    <w:rsid w:val="007F395A"/>
    <w:rsid w:val="007F3AE1"/>
    <w:rsid w:val="007F3C8F"/>
    <w:rsid w:val="007F3E2D"/>
    <w:rsid w:val="007F4252"/>
    <w:rsid w:val="007F43B0"/>
    <w:rsid w:val="007F4F66"/>
    <w:rsid w:val="007F5058"/>
    <w:rsid w:val="007F51A0"/>
    <w:rsid w:val="007F5422"/>
    <w:rsid w:val="007F5ACF"/>
    <w:rsid w:val="007F5BCD"/>
    <w:rsid w:val="007F5D8F"/>
    <w:rsid w:val="007F63F5"/>
    <w:rsid w:val="007F6A54"/>
    <w:rsid w:val="007F6BFF"/>
    <w:rsid w:val="007F6CEB"/>
    <w:rsid w:val="007F705C"/>
    <w:rsid w:val="007F7128"/>
    <w:rsid w:val="007F77C7"/>
    <w:rsid w:val="007F7863"/>
    <w:rsid w:val="007F79CC"/>
    <w:rsid w:val="007F7DAD"/>
    <w:rsid w:val="007F7E4C"/>
    <w:rsid w:val="00800128"/>
    <w:rsid w:val="008002DD"/>
    <w:rsid w:val="008002EF"/>
    <w:rsid w:val="00800492"/>
    <w:rsid w:val="008007F5"/>
    <w:rsid w:val="0080086B"/>
    <w:rsid w:val="00800D2E"/>
    <w:rsid w:val="00800FF5"/>
    <w:rsid w:val="0080102F"/>
    <w:rsid w:val="00801371"/>
    <w:rsid w:val="008014A9"/>
    <w:rsid w:val="008016E5"/>
    <w:rsid w:val="00801913"/>
    <w:rsid w:val="00801E69"/>
    <w:rsid w:val="00802252"/>
    <w:rsid w:val="0080242F"/>
    <w:rsid w:val="008024EC"/>
    <w:rsid w:val="0080255C"/>
    <w:rsid w:val="0080272A"/>
    <w:rsid w:val="008027E9"/>
    <w:rsid w:val="00802D7D"/>
    <w:rsid w:val="00802DAA"/>
    <w:rsid w:val="00802E1E"/>
    <w:rsid w:val="008032BF"/>
    <w:rsid w:val="00803335"/>
    <w:rsid w:val="008033A3"/>
    <w:rsid w:val="008034DD"/>
    <w:rsid w:val="008035B7"/>
    <w:rsid w:val="008038CE"/>
    <w:rsid w:val="00803BB0"/>
    <w:rsid w:val="00803EFC"/>
    <w:rsid w:val="00804B99"/>
    <w:rsid w:val="00804FCA"/>
    <w:rsid w:val="00805050"/>
    <w:rsid w:val="00805473"/>
    <w:rsid w:val="008055E2"/>
    <w:rsid w:val="008056FF"/>
    <w:rsid w:val="00805A39"/>
    <w:rsid w:val="00805B0F"/>
    <w:rsid w:val="00805B95"/>
    <w:rsid w:val="00805DFF"/>
    <w:rsid w:val="008060E4"/>
    <w:rsid w:val="0080616C"/>
    <w:rsid w:val="00806519"/>
    <w:rsid w:val="008065C0"/>
    <w:rsid w:val="008065D5"/>
    <w:rsid w:val="00806613"/>
    <w:rsid w:val="0080671F"/>
    <w:rsid w:val="008068CB"/>
    <w:rsid w:val="00806AE9"/>
    <w:rsid w:val="00806ED2"/>
    <w:rsid w:val="00807582"/>
    <w:rsid w:val="008077C3"/>
    <w:rsid w:val="00807D27"/>
    <w:rsid w:val="00807DAF"/>
    <w:rsid w:val="0080BD88"/>
    <w:rsid w:val="00810762"/>
    <w:rsid w:val="00810929"/>
    <w:rsid w:val="00810A57"/>
    <w:rsid w:val="00810CDB"/>
    <w:rsid w:val="008118E1"/>
    <w:rsid w:val="00811A16"/>
    <w:rsid w:val="00811B39"/>
    <w:rsid w:val="00811B7B"/>
    <w:rsid w:val="00811DFB"/>
    <w:rsid w:val="008120B0"/>
    <w:rsid w:val="0081228C"/>
    <w:rsid w:val="0081232B"/>
    <w:rsid w:val="00812690"/>
    <w:rsid w:val="00812730"/>
    <w:rsid w:val="008131A8"/>
    <w:rsid w:val="008131EF"/>
    <w:rsid w:val="00813384"/>
    <w:rsid w:val="00813A92"/>
    <w:rsid w:val="00814368"/>
    <w:rsid w:val="00814408"/>
    <w:rsid w:val="0081450C"/>
    <w:rsid w:val="00814548"/>
    <w:rsid w:val="008148F5"/>
    <w:rsid w:val="00814F9D"/>
    <w:rsid w:val="008152C0"/>
    <w:rsid w:val="008152CE"/>
    <w:rsid w:val="00815410"/>
    <w:rsid w:val="00815511"/>
    <w:rsid w:val="008156A9"/>
    <w:rsid w:val="00815CAF"/>
    <w:rsid w:val="008161F3"/>
    <w:rsid w:val="00816412"/>
    <w:rsid w:val="00816472"/>
    <w:rsid w:val="0081657F"/>
    <w:rsid w:val="008165E8"/>
    <w:rsid w:val="008165EC"/>
    <w:rsid w:val="00816BBE"/>
    <w:rsid w:val="00816C2F"/>
    <w:rsid w:val="00816C57"/>
    <w:rsid w:val="00816DF7"/>
    <w:rsid w:val="00816EEC"/>
    <w:rsid w:val="00816F81"/>
    <w:rsid w:val="008172F4"/>
    <w:rsid w:val="0081733F"/>
    <w:rsid w:val="00817617"/>
    <w:rsid w:val="00817626"/>
    <w:rsid w:val="00817CB2"/>
    <w:rsid w:val="00817D3F"/>
    <w:rsid w:val="0082003E"/>
    <w:rsid w:val="00820182"/>
    <w:rsid w:val="008202C9"/>
    <w:rsid w:val="00820385"/>
    <w:rsid w:val="008203DB"/>
    <w:rsid w:val="008205A1"/>
    <w:rsid w:val="008206DC"/>
    <w:rsid w:val="008207BC"/>
    <w:rsid w:val="00820A42"/>
    <w:rsid w:val="00820B77"/>
    <w:rsid w:val="00820B7F"/>
    <w:rsid w:val="00820C81"/>
    <w:rsid w:val="00820D3A"/>
    <w:rsid w:val="00821288"/>
    <w:rsid w:val="008215CA"/>
    <w:rsid w:val="00821674"/>
    <w:rsid w:val="00821882"/>
    <w:rsid w:val="00821CA6"/>
    <w:rsid w:val="00821D78"/>
    <w:rsid w:val="008221C9"/>
    <w:rsid w:val="00822377"/>
    <w:rsid w:val="0082252F"/>
    <w:rsid w:val="00822634"/>
    <w:rsid w:val="00822749"/>
    <w:rsid w:val="008228C8"/>
    <w:rsid w:val="00822A2A"/>
    <w:rsid w:val="00822A8A"/>
    <w:rsid w:val="00822B6D"/>
    <w:rsid w:val="00822BB4"/>
    <w:rsid w:val="00822DE1"/>
    <w:rsid w:val="00823160"/>
    <w:rsid w:val="0082338C"/>
    <w:rsid w:val="00823488"/>
    <w:rsid w:val="008236A1"/>
    <w:rsid w:val="00823806"/>
    <w:rsid w:val="00824B6D"/>
    <w:rsid w:val="00824DC1"/>
    <w:rsid w:val="0082508E"/>
    <w:rsid w:val="0082530D"/>
    <w:rsid w:val="00825671"/>
    <w:rsid w:val="00825A8E"/>
    <w:rsid w:val="00825B53"/>
    <w:rsid w:val="0082626E"/>
    <w:rsid w:val="00826550"/>
    <w:rsid w:val="00826810"/>
    <w:rsid w:val="00826A23"/>
    <w:rsid w:val="00826D01"/>
    <w:rsid w:val="00826EA0"/>
    <w:rsid w:val="00826FB7"/>
    <w:rsid w:val="008270CD"/>
    <w:rsid w:val="008271C2"/>
    <w:rsid w:val="00827441"/>
    <w:rsid w:val="00827BBB"/>
    <w:rsid w:val="00827D2F"/>
    <w:rsid w:val="00827D60"/>
    <w:rsid w:val="00827E16"/>
    <w:rsid w:val="00830199"/>
    <w:rsid w:val="008301DC"/>
    <w:rsid w:val="0083022E"/>
    <w:rsid w:val="0083051F"/>
    <w:rsid w:val="008305FF"/>
    <w:rsid w:val="00830B3D"/>
    <w:rsid w:val="00830B8C"/>
    <w:rsid w:val="00830C2A"/>
    <w:rsid w:val="00830D47"/>
    <w:rsid w:val="008310DC"/>
    <w:rsid w:val="00831110"/>
    <w:rsid w:val="00831894"/>
    <w:rsid w:val="008319AD"/>
    <w:rsid w:val="008319DB"/>
    <w:rsid w:val="00831C48"/>
    <w:rsid w:val="00831C75"/>
    <w:rsid w:val="00831D28"/>
    <w:rsid w:val="00831DF9"/>
    <w:rsid w:val="00832102"/>
    <w:rsid w:val="00832160"/>
    <w:rsid w:val="008321A5"/>
    <w:rsid w:val="00832408"/>
    <w:rsid w:val="00832600"/>
    <w:rsid w:val="0083263D"/>
    <w:rsid w:val="00832B90"/>
    <w:rsid w:val="00832BDA"/>
    <w:rsid w:val="00832F0E"/>
    <w:rsid w:val="00833070"/>
    <w:rsid w:val="00833383"/>
    <w:rsid w:val="00833F72"/>
    <w:rsid w:val="00834080"/>
    <w:rsid w:val="008340D9"/>
    <w:rsid w:val="0083419A"/>
    <w:rsid w:val="008342FF"/>
    <w:rsid w:val="00834478"/>
    <w:rsid w:val="008344DF"/>
    <w:rsid w:val="00834F0A"/>
    <w:rsid w:val="00834F95"/>
    <w:rsid w:val="00835107"/>
    <w:rsid w:val="008351C7"/>
    <w:rsid w:val="0083528B"/>
    <w:rsid w:val="00835391"/>
    <w:rsid w:val="00835FE0"/>
    <w:rsid w:val="00836118"/>
    <w:rsid w:val="008362BE"/>
    <w:rsid w:val="0083650F"/>
    <w:rsid w:val="008367A1"/>
    <w:rsid w:val="00836D51"/>
    <w:rsid w:val="008374A0"/>
    <w:rsid w:val="0083757E"/>
    <w:rsid w:val="00837697"/>
    <w:rsid w:val="00837C98"/>
    <w:rsid w:val="008403B3"/>
    <w:rsid w:val="008404EE"/>
    <w:rsid w:val="00840694"/>
    <w:rsid w:val="00840801"/>
    <w:rsid w:val="0084094F"/>
    <w:rsid w:val="00840963"/>
    <w:rsid w:val="00840B4A"/>
    <w:rsid w:val="00840DBB"/>
    <w:rsid w:val="00840E7A"/>
    <w:rsid w:val="00841072"/>
    <w:rsid w:val="008410FA"/>
    <w:rsid w:val="0084128B"/>
    <w:rsid w:val="008414AD"/>
    <w:rsid w:val="008414CB"/>
    <w:rsid w:val="00841527"/>
    <w:rsid w:val="008418B7"/>
    <w:rsid w:val="008418B9"/>
    <w:rsid w:val="008418C6"/>
    <w:rsid w:val="008419C0"/>
    <w:rsid w:val="00841C73"/>
    <w:rsid w:val="00841C9D"/>
    <w:rsid w:val="00841D68"/>
    <w:rsid w:val="008422DE"/>
    <w:rsid w:val="00842746"/>
    <w:rsid w:val="00842823"/>
    <w:rsid w:val="00842856"/>
    <w:rsid w:val="00842EA9"/>
    <w:rsid w:val="00843179"/>
    <w:rsid w:val="008432B9"/>
    <w:rsid w:val="008435A7"/>
    <w:rsid w:val="00843F4F"/>
    <w:rsid w:val="00844333"/>
    <w:rsid w:val="0084444B"/>
    <w:rsid w:val="00844473"/>
    <w:rsid w:val="00844615"/>
    <w:rsid w:val="0084486B"/>
    <w:rsid w:val="00844C78"/>
    <w:rsid w:val="00844CE8"/>
    <w:rsid w:val="00844E22"/>
    <w:rsid w:val="008450D5"/>
    <w:rsid w:val="008450DF"/>
    <w:rsid w:val="008451D8"/>
    <w:rsid w:val="00845234"/>
    <w:rsid w:val="008452CE"/>
    <w:rsid w:val="008452D4"/>
    <w:rsid w:val="0084536F"/>
    <w:rsid w:val="00845709"/>
    <w:rsid w:val="008462E8"/>
    <w:rsid w:val="00846A1A"/>
    <w:rsid w:val="00846A8D"/>
    <w:rsid w:val="00846C2C"/>
    <w:rsid w:val="00846C7B"/>
    <w:rsid w:val="00846DA1"/>
    <w:rsid w:val="00846E18"/>
    <w:rsid w:val="00847102"/>
    <w:rsid w:val="00847137"/>
    <w:rsid w:val="00847298"/>
    <w:rsid w:val="008472A3"/>
    <w:rsid w:val="0084756F"/>
    <w:rsid w:val="00847796"/>
    <w:rsid w:val="008477FD"/>
    <w:rsid w:val="00847895"/>
    <w:rsid w:val="00847CD9"/>
    <w:rsid w:val="00847DE7"/>
    <w:rsid w:val="00850160"/>
    <w:rsid w:val="0085044C"/>
    <w:rsid w:val="008505EC"/>
    <w:rsid w:val="00850885"/>
    <w:rsid w:val="008508F4"/>
    <w:rsid w:val="00850954"/>
    <w:rsid w:val="00850D6E"/>
    <w:rsid w:val="00851002"/>
    <w:rsid w:val="0085123C"/>
    <w:rsid w:val="00851283"/>
    <w:rsid w:val="00851372"/>
    <w:rsid w:val="0085154D"/>
    <w:rsid w:val="0085162E"/>
    <w:rsid w:val="0085169C"/>
    <w:rsid w:val="00851920"/>
    <w:rsid w:val="00851944"/>
    <w:rsid w:val="00851C10"/>
    <w:rsid w:val="00851D7A"/>
    <w:rsid w:val="008520A8"/>
    <w:rsid w:val="008521A2"/>
    <w:rsid w:val="00852925"/>
    <w:rsid w:val="00852A3B"/>
    <w:rsid w:val="00852A4F"/>
    <w:rsid w:val="00852C5C"/>
    <w:rsid w:val="00852D1B"/>
    <w:rsid w:val="00852D9A"/>
    <w:rsid w:val="00853104"/>
    <w:rsid w:val="00853237"/>
    <w:rsid w:val="0085341E"/>
    <w:rsid w:val="00853580"/>
    <w:rsid w:val="00853A9D"/>
    <w:rsid w:val="00853CEE"/>
    <w:rsid w:val="00853E16"/>
    <w:rsid w:val="008540DA"/>
    <w:rsid w:val="00854239"/>
    <w:rsid w:val="0085429A"/>
    <w:rsid w:val="008545CC"/>
    <w:rsid w:val="00854763"/>
    <w:rsid w:val="00854AD2"/>
    <w:rsid w:val="00854DC4"/>
    <w:rsid w:val="00854DD7"/>
    <w:rsid w:val="00854F1A"/>
    <w:rsid w:val="008550E2"/>
    <w:rsid w:val="0085512A"/>
    <w:rsid w:val="0085532A"/>
    <w:rsid w:val="0085576A"/>
    <w:rsid w:val="008557A9"/>
    <w:rsid w:val="00855C8A"/>
    <w:rsid w:val="00855D67"/>
    <w:rsid w:val="00855F01"/>
    <w:rsid w:val="0085613F"/>
    <w:rsid w:val="00856178"/>
    <w:rsid w:val="0085625B"/>
    <w:rsid w:val="008563D2"/>
    <w:rsid w:val="00856461"/>
    <w:rsid w:val="00856691"/>
    <w:rsid w:val="008566F7"/>
    <w:rsid w:val="008567D7"/>
    <w:rsid w:val="00856ADB"/>
    <w:rsid w:val="00856B4E"/>
    <w:rsid w:val="00856E1A"/>
    <w:rsid w:val="00856EC3"/>
    <w:rsid w:val="00856F23"/>
    <w:rsid w:val="00857150"/>
    <w:rsid w:val="008572D5"/>
    <w:rsid w:val="0085731B"/>
    <w:rsid w:val="008577A7"/>
    <w:rsid w:val="00857E69"/>
    <w:rsid w:val="00860081"/>
    <w:rsid w:val="008602F7"/>
    <w:rsid w:val="00860592"/>
    <w:rsid w:val="008609E0"/>
    <w:rsid w:val="00860A05"/>
    <w:rsid w:val="00860A1B"/>
    <w:rsid w:val="00860B1F"/>
    <w:rsid w:val="00860B8F"/>
    <w:rsid w:val="00860B9B"/>
    <w:rsid w:val="00861450"/>
    <w:rsid w:val="008614EE"/>
    <w:rsid w:val="008617AD"/>
    <w:rsid w:val="00861D19"/>
    <w:rsid w:val="00861E92"/>
    <w:rsid w:val="00861EB2"/>
    <w:rsid w:val="008625D7"/>
    <w:rsid w:val="00862A6E"/>
    <w:rsid w:val="00862A8E"/>
    <w:rsid w:val="00862D8D"/>
    <w:rsid w:val="008630BE"/>
    <w:rsid w:val="0086338F"/>
    <w:rsid w:val="00863449"/>
    <w:rsid w:val="00863960"/>
    <w:rsid w:val="00863B0A"/>
    <w:rsid w:val="00863E9D"/>
    <w:rsid w:val="00863F89"/>
    <w:rsid w:val="0086406C"/>
    <w:rsid w:val="00864290"/>
    <w:rsid w:val="00864603"/>
    <w:rsid w:val="00864844"/>
    <w:rsid w:val="008649D3"/>
    <w:rsid w:val="00864AE3"/>
    <w:rsid w:val="00865151"/>
    <w:rsid w:val="00865B05"/>
    <w:rsid w:val="00865B48"/>
    <w:rsid w:val="00865FF7"/>
    <w:rsid w:val="0086629A"/>
    <w:rsid w:val="00866360"/>
    <w:rsid w:val="008664D0"/>
    <w:rsid w:val="00866512"/>
    <w:rsid w:val="00866650"/>
    <w:rsid w:val="00866883"/>
    <w:rsid w:val="00866ABC"/>
    <w:rsid w:val="00866D87"/>
    <w:rsid w:val="00867351"/>
    <w:rsid w:val="0086772F"/>
    <w:rsid w:val="008677CC"/>
    <w:rsid w:val="00867802"/>
    <w:rsid w:val="00867C2F"/>
    <w:rsid w:val="008701A7"/>
    <w:rsid w:val="008701B9"/>
    <w:rsid w:val="00870540"/>
    <w:rsid w:val="008705C6"/>
    <w:rsid w:val="00870668"/>
    <w:rsid w:val="0087076C"/>
    <w:rsid w:val="00870777"/>
    <w:rsid w:val="00870A22"/>
    <w:rsid w:val="00871426"/>
    <w:rsid w:val="008715B5"/>
    <w:rsid w:val="00871807"/>
    <w:rsid w:val="00871E6E"/>
    <w:rsid w:val="00872012"/>
    <w:rsid w:val="00872792"/>
    <w:rsid w:val="00872952"/>
    <w:rsid w:val="00872A42"/>
    <w:rsid w:val="00872A6F"/>
    <w:rsid w:val="0087303B"/>
    <w:rsid w:val="008733D0"/>
    <w:rsid w:val="00873F10"/>
    <w:rsid w:val="0087441F"/>
    <w:rsid w:val="0087449B"/>
    <w:rsid w:val="0087457D"/>
    <w:rsid w:val="008745F2"/>
    <w:rsid w:val="00874ADE"/>
    <w:rsid w:val="00874BAE"/>
    <w:rsid w:val="00874E4D"/>
    <w:rsid w:val="00874F07"/>
    <w:rsid w:val="00874FE6"/>
    <w:rsid w:val="00875018"/>
    <w:rsid w:val="008750A3"/>
    <w:rsid w:val="008750C5"/>
    <w:rsid w:val="00875176"/>
    <w:rsid w:val="00875225"/>
    <w:rsid w:val="00875609"/>
    <w:rsid w:val="008756E9"/>
    <w:rsid w:val="00875A64"/>
    <w:rsid w:val="00875CDE"/>
    <w:rsid w:val="00875D30"/>
    <w:rsid w:val="00875D8E"/>
    <w:rsid w:val="00875F28"/>
    <w:rsid w:val="00876373"/>
    <w:rsid w:val="0087676E"/>
    <w:rsid w:val="00876BF6"/>
    <w:rsid w:val="00876C0D"/>
    <w:rsid w:val="00876E8C"/>
    <w:rsid w:val="00876F11"/>
    <w:rsid w:val="00877031"/>
    <w:rsid w:val="00877530"/>
    <w:rsid w:val="00877EDC"/>
    <w:rsid w:val="00877EDF"/>
    <w:rsid w:val="00877EE6"/>
    <w:rsid w:val="00880167"/>
    <w:rsid w:val="008806DE"/>
    <w:rsid w:val="008807AD"/>
    <w:rsid w:val="00880BE6"/>
    <w:rsid w:val="00880CFD"/>
    <w:rsid w:val="00880DAC"/>
    <w:rsid w:val="00880EE3"/>
    <w:rsid w:val="00880EF6"/>
    <w:rsid w:val="0088112B"/>
    <w:rsid w:val="008812A0"/>
    <w:rsid w:val="00881583"/>
    <w:rsid w:val="0088180F"/>
    <w:rsid w:val="00881833"/>
    <w:rsid w:val="00881A2C"/>
    <w:rsid w:val="00881B53"/>
    <w:rsid w:val="00881BE6"/>
    <w:rsid w:val="00882030"/>
    <w:rsid w:val="008823F0"/>
    <w:rsid w:val="008824DA"/>
    <w:rsid w:val="008826BF"/>
    <w:rsid w:val="0088294B"/>
    <w:rsid w:val="00882958"/>
    <w:rsid w:val="0088297B"/>
    <w:rsid w:val="008829B8"/>
    <w:rsid w:val="00882C64"/>
    <w:rsid w:val="00882D89"/>
    <w:rsid w:val="00882E5A"/>
    <w:rsid w:val="008830B4"/>
    <w:rsid w:val="008834AE"/>
    <w:rsid w:val="008835E0"/>
    <w:rsid w:val="008837C2"/>
    <w:rsid w:val="00883C8B"/>
    <w:rsid w:val="00884085"/>
    <w:rsid w:val="00884189"/>
    <w:rsid w:val="00884450"/>
    <w:rsid w:val="008848A6"/>
    <w:rsid w:val="00884B4B"/>
    <w:rsid w:val="00884F10"/>
    <w:rsid w:val="0088547C"/>
    <w:rsid w:val="00885638"/>
    <w:rsid w:val="00885754"/>
    <w:rsid w:val="0088589C"/>
    <w:rsid w:val="0088598D"/>
    <w:rsid w:val="008859DA"/>
    <w:rsid w:val="00885A2A"/>
    <w:rsid w:val="00885F7F"/>
    <w:rsid w:val="00885FC4"/>
    <w:rsid w:val="0088603B"/>
    <w:rsid w:val="008861D4"/>
    <w:rsid w:val="00886368"/>
    <w:rsid w:val="00886408"/>
    <w:rsid w:val="0088662A"/>
    <w:rsid w:val="0088670C"/>
    <w:rsid w:val="0088670F"/>
    <w:rsid w:val="008870F3"/>
    <w:rsid w:val="008872E6"/>
    <w:rsid w:val="00887455"/>
    <w:rsid w:val="0088755E"/>
    <w:rsid w:val="00887979"/>
    <w:rsid w:val="00887FD1"/>
    <w:rsid w:val="00890176"/>
    <w:rsid w:val="00890206"/>
    <w:rsid w:val="0089051A"/>
    <w:rsid w:val="0089057A"/>
    <w:rsid w:val="0089096F"/>
    <w:rsid w:val="008909D5"/>
    <w:rsid w:val="008909EA"/>
    <w:rsid w:val="00890A1D"/>
    <w:rsid w:val="00890AB4"/>
    <w:rsid w:val="00890BA6"/>
    <w:rsid w:val="00890C62"/>
    <w:rsid w:val="00890CDD"/>
    <w:rsid w:val="00890F7B"/>
    <w:rsid w:val="0089116C"/>
    <w:rsid w:val="008911AE"/>
    <w:rsid w:val="0089180F"/>
    <w:rsid w:val="008918DA"/>
    <w:rsid w:val="00891980"/>
    <w:rsid w:val="00891EFF"/>
    <w:rsid w:val="008921AB"/>
    <w:rsid w:val="008922B2"/>
    <w:rsid w:val="008924B2"/>
    <w:rsid w:val="00892501"/>
    <w:rsid w:val="0089258D"/>
    <w:rsid w:val="0089288E"/>
    <w:rsid w:val="00892A8F"/>
    <w:rsid w:val="00892D4B"/>
    <w:rsid w:val="00892F45"/>
    <w:rsid w:val="00892FCB"/>
    <w:rsid w:val="0089302D"/>
    <w:rsid w:val="008933AB"/>
    <w:rsid w:val="008939D9"/>
    <w:rsid w:val="00893BAC"/>
    <w:rsid w:val="00893CAA"/>
    <w:rsid w:val="00893D5F"/>
    <w:rsid w:val="00894195"/>
    <w:rsid w:val="0089447F"/>
    <w:rsid w:val="00894493"/>
    <w:rsid w:val="008944DF"/>
    <w:rsid w:val="008945D7"/>
    <w:rsid w:val="00894645"/>
    <w:rsid w:val="00894758"/>
    <w:rsid w:val="00894863"/>
    <w:rsid w:val="00894B84"/>
    <w:rsid w:val="00894C1E"/>
    <w:rsid w:val="008955C3"/>
    <w:rsid w:val="00895882"/>
    <w:rsid w:val="00895899"/>
    <w:rsid w:val="00895A71"/>
    <w:rsid w:val="00895C72"/>
    <w:rsid w:val="00895E62"/>
    <w:rsid w:val="00895F67"/>
    <w:rsid w:val="0089613E"/>
    <w:rsid w:val="008962D1"/>
    <w:rsid w:val="00896347"/>
    <w:rsid w:val="00896973"/>
    <w:rsid w:val="008969FF"/>
    <w:rsid w:val="00896E99"/>
    <w:rsid w:val="00897038"/>
    <w:rsid w:val="00897342"/>
    <w:rsid w:val="00897344"/>
    <w:rsid w:val="008974AD"/>
    <w:rsid w:val="00897564"/>
    <w:rsid w:val="008976CC"/>
    <w:rsid w:val="00897749"/>
    <w:rsid w:val="00897807"/>
    <w:rsid w:val="00897886"/>
    <w:rsid w:val="00897A80"/>
    <w:rsid w:val="00897DCE"/>
    <w:rsid w:val="008A0764"/>
    <w:rsid w:val="008A0D44"/>
    <w:rsid w:val="008A0DAA"/>
    <w:rsid w:val="008A13E7"/>
    <w:rsid w:val="008A16E5"/>
    <w:rsid w:val="008A16E7"/>
    <w:rsid w:val="008A1B41"/>
    <w:rsid w:val="008A1DC4"/>
    <w:rsid w:val="008A1E82"/>
    <w:rsid w:val="008A1EC2"/>
    <w:rsid w:val="008A1FAB"/>
    <w:rsid w:val="008A229B"/>
    <w:rsid w:val="008A2417"/>
    <w:rsid w:val="008A2B31"/>
    <w:rsid w:val="008A2D6C"/>
    <w:rsid w:val="008A30DF"/>
    <w:rsid w:val="008A3650"/>
    <w:rsid w:val="008A36C1"/>
    <w:rsid w:val="008A3A06"/>
    <w:rsid w:val="008A3C25"/>
    <w:rsid w:val="008A3C95"/>
    <w:rsid w:val="008A3D5F"/>
    <w:rsid w:val="008A3DD8"/>
    <w:rsid w:val="008A41E1"/>
    <w:rsid w:val="008A41EA"/>
    <w:rsid w:val="008A45E0"/>
    <w:rsid w:val="008A4728"/>
    <w:rsid w:val="008A476A"/>
    <w:rsid w:val="008A4B13"/>
    <w:rsid w:val="008A4DA9"/>
    <w:rsid w:val="008A5369"/>
    <w:rsid w:val="008A550B"/>
    <w:rsid w:val="008A585B"/>
    <w:rsid w:val="008A592B"/>
    <w:rsid w:val="008A5A48"/>
    <w:rsid w:val="008A5B39"/>
    <w:rsid w:val="008A61DB"/>
    <w:rsid w:val="008A6212"/>
    <w:rsid w:val="008A66A0"/>
    <w:rsid w:val="008A68EB"/>
    <w:rsid w:val="008A6A4B"/>
    <w:rsid w:val="008A6FF2"/>
    <w:rsid w:val="008A73C6"/>
    <w:rsid w:val="008A7644"/>
    <w:rsid w:val="008A7652"/>
    <w:rsid w:val="008A78BF"/>
    <w:rsid w:val="008A7C19"/>
    <w:rsid w:val="008A7F09"/>
    <w:rsid w:val="008B0292"/>
    <w:rsid w:val="008B0348"/>
    <w:rsid w:val="008B0894"/>
    <w:rsid w:val="008B0B98"/>
    <w:rsid w:val="008B0EF3"/>
    <w:rsid w:val="008B10C2"/>
    <w:rsid w:val="008B149A"/>
    <w:rsid w:val="008B1E24"/>
    <w:rsid w:val="008B1ECC"/>
    <w:rsid w:val="008B2B57"/>
    <w:rsid w:val="008B30CF"/>
    <w:rsid w:val="008B30E7"/>
    <w:rsid w:val="008B32A7"/>
    <w:rsid w:val="008B3729"/>
    <w:rsid w:val="008B3904"/>
    <w:rsid w:val="008B3A96"/>
    <w:rsid w:val="008B3B5D"/>
    <w:rsid w:val="008B3CDE"/>
    <w:rsid w:val="008B3D8D"/>
    <w:rsid w:val="008B4355"/>
    <w:rsid w:val="008B47B3"/>
    <w:rsid w:val="008B47CE"/>
    <w:rsid w:val="008B4817"/>
    <w:rsid w:val="008B4A56"/>
    <w:rsid w:val="008B51BC"/>
    <w:rsid w:val="008B56E5"/>
    <w:rsid w:val="008B5762"/>
    <w:rsid w:val="008B5817"/>
    <w:rsid w:val="008B5962"/>
    <w:rsid w:val="008B5AA0"/>
    <w:rsid w:val="008B5BC0"/>
    <w:rsid w:val="008B6010"/>
    <w:rsid w:val="008B63DB"/>
    <w:rsid w:val="008B640F"/>
    <w:rsid w:val="008B65B8"/>
    <w:rsid w:val="008B65EA"/>
    <w:rsid w:val="008B65F2"/>
    <w:rsid w:val="008B65FC"/>
    <w:rsid w:val="008B6826"/>
    <w:rsid w:val="008B69C4"/>
    <w:rsid w:val="008B6CFB"/>
    <w:rsid w:val="008B6E3A"/>
    <w:rsid w:val="008B7099"/>
    <w:rsid w:val="008B7113"/>
    <w:rsid w:val="008B7461"/>
    <w:rsid w:val="008B79E9"/>
    <w:rsid w:val="008B7F65"/>
    <w:rsid w:val="008C0029"/>
    <w:rsid w:val="008C01F3"/>
    <w:rsid w:val="008C03DC"/>
    <w:rsid w:val="008C0536"/>
    <w:rsid w:val="008C0757"/>
    <w:rsid w:val="008C0A21"/>
    <w:rsid w:val="008C0A2E"/>
    <w:rsid w:val="008C0DCD"/>
    <w:rsid w:val="008C0E6A"/>
    <w:rsid w:val="008C0F54"/>
    <w:rsid w:val="008C1012"/>
    <w:rsid w:val="008C1063"/>
    <w:rsid w:val="008C1444"/>
    <w:rsid w:val="008C1833"/>
    <w:rsid w:val="008C22B5"/>
    <w:rsid w:val="008C2623"/>
    <w:rsid w:val="008C2A80"/>
    <w:rsid w:val="008C2E9D"/>
    <w:rsid w:val="008C301F"/>
    <w:rsid w:val="008C32EA"/>
    <w:rsid w:val="008C393E"/>
    <w:rsid w:val="008C39A0"/>
    <w:rsid w:val="008C3A7A"/>
    <w:rsid w:val="008C3A7F"/>
    <w:rsid w:val="008C3BDE"/>
    <w:rsid w:val="008C3C7C"/>
    <w:rsid w:val="008C3C85"/>
    <w:rsid w:val="008C3CA2"/>
    <w:rsid w:val="008C3CDE"/>
    <w:rsid w:val="008C3D6F"/>
    <w:rsid w:val="008C41D8"/>
    <w:rsid w:val="008C454D"/>
    <w:rsid w:val="008C4977"/>
    <w:rsid w:val="008C4AAC"/>
    <w:rsid w:val="008C4BED"/>
    <w:rsid w:val="008C4FBB"/>
    <w:rsid w:val="008C500E"/>
    <w:rsid w:val="008C523C"/>
    <w:rsid w:val="008C5322"/>
    <w:rsid w:val="008C5415"/>
    <w:rsid w:val="008C5A76"/>
    <w:rsid w:val="008C5C42"/>
    <w:rsid w:val="008C6BCD"/>
    <w:rsid w:val="008C6BF1"/>
    <w:rsid w:val="008C6C1D"/>
    <w:rsid w:val="008C6E86"/>
    <w:rsid w:val="008C6EF6"/>
    <w:rsid w:val="008C6F29"/>
    <w:rsid w:val="008C704A"/>
    <w:rsid w:val="008C73C1"/>
    <w:rsid w:val="008C74B7"/>
    <w:rsid w:val="008C74EB"/>
    <w:rsid w:val="008C759A"/>
    <w:rsid w:val="008C7640"/>
    <w:rsid w:val="008C7F34"/>
    <w:rsid w:val="008D007C"/>
    <w:rsid w:val="008D00F8"/>
    <w:rsid w:val="008D0400"/>
    <w:rsid w:val="008D05C0"/>
    <w:rsid w:val="008D05EF"/>
    <w:rsid w:val="008D0B00"/>
    <w:rsid w:val="008D0DBB"/>
    <w:rsid w:val="008D0DCC"/>
    <w:rsid w:val="008D0E3D"/>
    <w:rsid w:val="008D1480"/>
    <w:rsid w:val="008D1742"/>
    <w:rsid w:val="008D1791"/>
    <w:rsid w:val="008D18BF"/>
    <w:rsid w:val="008D18DF"/>
    <w:rsid w:val="008D1909"/>
    <w:rsid w:val="008D1A05"/>
    <w:rsid w:val="008D21A4"/>
    <w:rsid w:val="008D2D3A"/>
    <w:rsid w:val="008D2E24"/>
    <w:rsid w:val="008D2ECB"/>
    <w:rsid w:val="008D31EB"/>
    <w:rsid w:val="008D32C7"/>
    <w:rsid w:val="008D35F0"/>
    <w:rsid w:val="008D382C"/>
    <w:rsid w:val="008D3932"/>
    <w:rsid w:val="008D3A39"/>
    <w:rsid w:val="008D3C64"/>
    <w:rsid w:val="008D3D6A"/>
    <w:rsid w:val="008D3D90"/>
    <w:rsid w:val="008D3F81"/>
    <w:rsid w:val="008D3FCF"/>
    <w:rsid w:val="008D43FC"/>
    <w:rsid w:val="008D45E1"/>
    <w:rsid w:val="008D4762"/>
    <w:rsid w:val="008D4A35"/>
    <w:rsid w:val="008D4C06"/>
    <w:rsid w:val="008D4DFF"/>
    <w:rsid w:val="008D4E9A"/>
    <w:rsid w:val="008D4FCC"/>
    <w:rsid w:val="008D526D"/>
    <w:rsid w:val="008D5744"/>
    <w:rsid w:val="008D5B33"/>
    <w:rsid w:val="008D5B87"/>
    <w:rsid w:val="008D5C33"/>
    <w:rsid w:val="008D5DB6"/>
    <w:rsid w:val="008D5F4D"/>
    <w:rsid w:val="008D61C4"/>
    <w:rsid w:val="008D6377"/>
    <w:rsid w:val="008D63DE"/>
    <w:rsid w:val="008D6439"/>
    <w:rsid w:val="008D6596"/>
    <w:rsid w:val="008D66C7"/>
    <w:rsid w:val="008D6805"/>
    <w:rsid w:val="008D69EE"/>
    <w:rsid w:val="008D6C6A"/>
    <w:rsid w:val="008D6F41"/>
    <w:rsid w:val="008D70CE"/>
    <w:rsid w:val="008D74D7"/>
    <w:rsid w:val="008D793D"/>
    <w:rsid w:val="008D7AB2"/>
    <w:rsid w:val="008D7B5C"/>
    <w:rsid w:val="008D7C5F"/>
    <w:rsid w:val="008E0071"/>
    <w:rsid w:val="008E0275"/>
    <w:rsid w:val="008E032A"/>
    <w:rsid w:val="008E07CD"/>
    <w:rsid w:val="008E098F"/>
    <w:rsid w:val="008E0B88"/>
    <w:rsid w:val="008E0BB8"/>
    <w:rsid w:val="008E0E63"/>
    <w:rsid w:val="008E14B0"/>
    <w:rsid w:val="008E19FD"/>
    <w:rsid w:val="008E1CED"/>
    <w:rsid w:val="008E1DE7"/>
    <w:rsid w:val="008E209F"/>
    <w:rsid w:val="008E220C"/>
    <w:rsid w:val="008E22D3"/>
    <w:rsid w:val="008E2E3F"/>
    <w:rsid w:val="008E2E82"/>
    <w:rsid w:val="008E2E91"/>
    <w:rsid w:val="008E2FA0"/>
    <w:rsid w:val="008E3080"/>
    <w:rsid w:val="008E320F"/>
    <w:rsid w:val="008E3254"/>
    <w:rsid w:val="008E3396"/>
    <w:rsid w:val="008E33A3"/>
    <w:rsid w:val="008E34C4"/>
    <w:rsid w:val="008E3506"/>
    <w:rsid w:val="008E3B02"/>
    <w:rsid w:val="008E3B2A"/>
    <w:rsid w:val="008E3C7B"/>
    <w:rsid w:val="008E42B4"/>
    <w:rsid w:val="008E42FE"/>
    <w:rsid w:val="008E44C5"/>
    <w:rsid w:val="008E48CD"/>
    <w:rsid w:val="008E498E"/>
    <w:rsid w:val="008E4B8D"/>
    <w:rsid w:val="008E5051"/>
    <w:rsid w:val="008E5351"/>
    <w:rsid w:val="008E5B0E"/>
    <w:rsid w:val="008E5F92"/>
    <w:rsid w:val="008E6354"/>
    <w:rsid w:val="008E6444"/>
    <w:rsid w:val="008E64A9"/>
    <w:rsid w:val="008E64DA"/>
    <w:rsid w:val="008E66C5"/>
    <w:rsid w:val="008E67F1"/>
    <w:rsid w:val="008E68E3"/>
    <w:rsid w:val="008E6A6D"/>
    <w:rsid w:val="008E6DA9"/>
    <w:rsid w:val="008E6E3C"/>
    <w:rsid w:val="008E6F32"/>
    <w:rsid w:val="008E7096"/>
    <w:rsid w:val="008E70A8"/>
    <w:rsid w:val="008E713D"/>
    <w:rsid w:val="008E76A0"/>
    <w:rsid w:val="008E7B84"/>
    <w:rsid w:val="008E7BFC"/>
    <w:rsid w:val="008E7FBA"/>
    <w:rsid w:val="008F13E3"/>
    <w:rsid w:val="008F152F"/>
    <w:rsid w:val="008F15C4"/>
    <w:rsid w:val="008F17C0"/>
    <w:rsid w:val="008F17CC"/>
    <w:rsid w:val="008F1A47"/>
    <w:rsid w:val="008F1D8E"/>
    <w:rsid w:val="008F1DD9"/>
    <w:rsid w:val="008F2157"/>
    <w:rsid w:val="008F245B"/>
    <w:rsid w:val="008F279A"/>
    <w:rsid w:val="008F27F3"/>
    <w:rsid w:val="008F2AA2"/>
    <w:rsid w:val="008F2B65"/>
    <w:rsid w:val="008F2F5B"/>
    <w:rsid w:val="008F2FBD"/>
    <w:rsid w:val="008F3154"/>
    <w:rsid w:val="008F350F"/>
    <w:rsid w:val="008F37BA"/>
    <w:rsid w:val="008F394A"/>
    <w:rsid w:val="008F399E"/>
    <w:rsid w:val="008F3C1A"/>
    <w:rsid w:val="008F3EE3"/>
    <w:rsid w:val="008F3F97"/>
    <w:rsid w:val="008F3FF5"/>
    <w:rsid w:val="008F4185"/>
    <w:rsid w:val="008F4598"/>
    <w:rsid w:val="008F47EB"/>
    <w:rsid w:val="008F4CE4"/>
    <w:rsid w:val="008F4DDE"/>
    <w:rsid w:val="008F4E61"/>
    <w:rsid w:val="008F4EBA"/>
    <w:rsid w:val="008F570C"/>
    <w:rsid w:val="008F5813"/>
    <w:rsid w:val="008F5A4D"/>
    <w:rsid w:val="008F5B44"/>
    <w:rsid w:val="008F5BFB"/>
    <w:rsid w:val="008F5CF3"/>
    <w:rsid w:val="008F5DA8"/>
    <w:rsid w:val="008F6004"/>
    <w:rsid w:val="008F61D6"/>
    <w:rsid w:val="008F62DC"/>
    <w:rsid w:val="008F651D"/>
    <w:rsid w:val="008F699D"/>
    <w:rsid w:val="008F6A6E"/>
    <w:rsid w:val="008F6BC8"/>
    <w:rsid w:val="008F6D3D"/>
    <w:rsid w:val="008F6DBC"/>
    <w:rsid w:val="008F6F2F"/>
    <w:rsid w:val="008F74EA"/>
    <w:rsid w:val="008F7B90"/>
    <w:rsid w:val="008F7E1A"/>
    <w:rsid w:val="008FE019"/>
    <w:rsid w:val="00900221"/>
    <w:rsid w:val="00900329"/>
    <w:rsid w:val="0090036F"/>
    <w:rsid w:val="0090037D"/>
    <w:rsid w:val="009007FA"/>
    <w:rsid w:val="00900968"/>
    <w:rsid w:val="00900A3A"/>
    <w:rsid w:val="00900F93"/>
    <w:rsid w:val="00901015"/>
    <w:rsid w:val="00901370"/>
    <w:rsid w:val="009016C0"/>
    <w:rsid w:val="00901760"/>
    <w:rsid w:val="009017E3"/>
    <w:rsid w:val="0090180B"/>
    <w:rsid w:val="009018E5"/>
    <w:rsid w:val="00901998"/>
    <w:rsid w:val="00901B2F"/>
    <w:rsid w:val="00901BA0"/>
    <w:rsid w:val="00901F38"/>
    <w:rsid w:val="009021AE"/>
    <w:rsid w:val="00902326"/>
    <w:rsid w:val="0090250D"/>
    <w:rsid w:val="00902910"/>
    <w:rsid w:val="00902B48"/>
    <w:rsid w:val="00902C47"/>
    <w:rsid w:val="00902D0F"/>
    <w:rsid w:val="00902DF6"/>
    <w:rsid w:val="0090360A"/>
    <w:rsid w:val="009037FF"/>
    <w:rsid w:val="00903D91"/>
    <w:rsid w:val="00903DF7"/>
    <w:rsid w:val="009043FD"/>
    <w:rsid w:val="00904758"/>
    <w:rsid w:val="0090490B"/>
    <w:rsid w:val="009049D6"/>
    <w:rsid w:val="00904B6B"/>
    <w:rsid w:val="00904C3B"/>
    <w:rsid w:val="00904F19"/>
    <w:rsid w:val="00904F45"/>
    <w:rsid w:val="0090519B"/>
    <w:rsid w:val="009057B0"/>
    <w:rsid w:val="00905B30"/>
    <w:rsid w:val="00905E76"/>
    <w:rsid w:val="00905F1D"/>
    <w:rsid w:val="009067DC"/>
    <w:rsid w:val="009069BC"/>
    <w:rsid w:val="0090700E"/>
    <w:rsid w:val="0090721E"/>
    <w:rsid w:val="00907362"/>
    <w:rsid w:val="00907470"/>
    <w:rsid w:val="0090787A"/>
    <w:rsid w:val="0090799D"/>
    <w:rsid w:val="00907BCA"/>
    <w:rsid w:val="00907D4D"/>
    <w:rsid w:val="009101F3"/>
    <w:rsid w:val="00910215"/>
    <w:rsid w:val="009103B6"/>
    <w:rsid w:val="00911244"/>
    <w:rsid w:val="0091124B"/>
    <w:rsid w:val="0091135A"/>
    <w:rsid w:val="00911595"/>
    <w:rsid w:val="0091199E"/>
    <w:rsid w:val="00911A14"/>
    <w:rsid w:val="00911AC3"/>
    <w:rsid w:val="00911C1F"/>
    <w:rsid w:val="00911C8C"/>
    <w:rsid w:val="00912063"/>
    <w:rsid w:val="00912154"/>
    <w:rsid w:val="009124A4"/>
    <w:rsid w:val="0091255B"/>
    <w:rsid w:val="0091266B"/>
    <w:rsid w:val="009129F6"/>
    <w:rsid w:val="00912CB0"/>
    <w:rsid w:val="00912E1F"/>
    <w:rsid w:val="009130BB"/>
    <w:rsid w:val="009132AC"/>
    <w:rsid w:val="00913549"/>
    <w:rsid w:val="009135F3"/>
    <w:rsid w:val="00913634"/>
    <w:rsid w:val="009138C3"/>
    <w:rsid w:val="00913C43"/>
    <w:rsid w:val="00913E22"/>
    <w:rsid w:val="00914118"/>
    <w:rsid w:val="00914665"/>
    <w:rsid w:val="00914812"/>
    <w:rsid w:val="0091489B"/>
    <w:rsid w:val="00914A6E"/>
    <w:rsid w:val="00914D64"/>
    <w:rsid w:val="009151D1"/>
    <w:rsid w:val="00915399"/>
    <w:rsid w:val="00915691"/>
    <w:rsid w:val="0091593E"/>
    <w:rsid w:val="00915A3E"/>
    <w:rsid w:val="00915A97"/>
    <w:rsid w:val="00915F86"/>
    <w:rsid w:val="009162FC"/>
    <w:rsid w:val="0091683A"/>
    <w:rsid w:val="00916A34"/>
    <w:rsid w:val="00916A9E"/>
    <w:rsid w:val="00916D39"/>
    <w:rsid w:val="00916E2A"/>
    <w:rsid w:val="00917195"/>
    <w:rsid w:val="0091734D"/>
    <w:rsid w:val="0091745E"/>
    <w:rsid w:val="0091749C"/>
    <w:rsid w:val="00917AFE"/>
    <w:rsid w:val="00917DD6"/>
    <w:rsid w:val="00917E2C"/>
    <w:rsid w:val="0092019A"/>
    <w:rsid w:val="009201FF"/>
    <w:rsid w:val="00920418"/>
    <w:rsid w:val="0092045E"/>
    <w:rsid w:val="009208AA"/>
    <w:rsid w:val="00920B9F"/>
    <w:rsid w:val="00920D5B"/>
    <w:rsid w:val="00920F4D"/>
    <w:rsid w:val="0092117C"/>
    <w:rsid w:val="0092154C"/>
    <w:rsid w:val="0092159A"/>
    <w:rsid w:val="009217FB"/>
    <w:rsid w:val="00921903"/>
    <w:rsid w:val="0092194B"/>
    <w:rsid w:val="009219D3"/>
    <w:rsid w:val="00921B1A"/>
    <w:rsid w:val="00921B7B"/>
    <w:rsid w:val="00921D75"/>
    <w:rsid w:val="00921E77"/>
    <w:rsid w:val="00922264"/>
    <w:rsid w:val="009229E5"/>
    <w:rsid w:val="00922B13"/>
    <w:rsid w:val="00922BBE"/>
    <w:rsid w:val="00922DCE"/>
    <w:rsid w:val="00922E9C"/>
    <w:rsid w:val="0092327B"/>
    <w:rsid w:val="009233D5"/>
    <w:rsid w:val="009235E5"/>
    <w:rsid w:val="009237E0"/>
    <w:rsid w:val="00923858"/>
    <w:rsid w:val="00923868"/>
    <w:rsid w:val="00923AFF"/>
    <w:rsid w:val="00923E04"/>
    <w:rsid w:val="0092406A"/>
    <w:rsid w:val="0092420E"/>
    <w:rsid w:val="009242CE"/>
    <w:rsid w:val="009243D5"/>
    <w:rsid w:val="009248BA"/>
    <w:rsid w:val="00924EE2"/>
    <w:rsid w:val="00924F9B"/>
    <w:rsid w:val="00925119"/>
    <w:rsid w:val="00925349"/>
    <w:rsid w:val="009256F8"/>
    <w:rsid w:val="00925B03"/>
    <w:rsid w:val="00926122"/>
    <w:rsid w:val="0092630E"/>
    <w:rsid w:val="009263EA"/>
    <w:rsid w:val="00926506"/>
    <w:rsid w:val="009267B2"/>
    <w:rsid w:val="00926889"/>
    <w:rsid w:val="009268BB"/>
    <w:rsid w:val="0092695B"/>
    <w:rsid w:val="00926FD8"/>
    <w:rsid w:val="0092706E"/>
    <w:rsid w:val="0092740E"/>
    <w:rsid w:val="009274CF"/>
    <w:rsid w:val="00927902"/>
    <w:rsid w:val="00927B70"/>
    <w:rsid w:val="00927C73"/>
    <w:rsid w:val="00930108"/>
    <w:rsid w:val="009304CF"/>
    <w:rsid w:val="00930AFC"/>
    <w:rsid w:val="00930C59"/>
    <w:rsid w:val="00930C92"/>
    <w:rsid w:val="00930D98"/>
    <w:rsid w:val="0093101E"/>
    <w:rsid w:val="009310B4"/>
    <w:rsid w:val="009313B9"/>
    <w:rsid w:val="00931D26"/>
    <w:rsid w:val="00931EBE"/>
    <w:rsid w:val="009321F9"/>
    <w:rsid w:val="00932353"/>
    <w:rsid w:val="00932D53"/>
    <w:rsid w:val="00932DBA"/>
    <w:rsid w:val="00932F1C"/>
    <w:rsid w:val="00933076"/>
    <w:rsid w:val="0093316B"/>
    <w:rsid w:val="0093359B"/>
    <w:rsid w:val="009335D8"/>
    <w:rsid w:val="00933878"/>
    <w:rsid w:val="009338CC"/>
    <w:rsid w:val="00933D80"/>
    <w:rsid w:val="00933DC1"/>
    <w:rsid w:val="00933E00"/>
    <w:rsid w:val="00933E7B"/>
    <w:rsid w:val="00933F74"/>
    <w:rsid w:val="009341E6"/>
    <w:rsid w:val="0093434F"/>
    <w:rsid w:val="00934405"/>
    <w:rsid w:val="00934467"/>
    <w:rsid w:val="009345B8"/>
    <w:rsid w:val="009345C3"/>
    <w:rsid w:val="00934660"/>
    <w:rsid w:val="00934B64"/>
    <w:rsid w:val="00934BB4"/>
    <w:rsid w:val="00934D9F"/>
    <w:rsid w:val="00934DDD"/>
    <w:rsid w:val="00934E93"/>
    <w:rsid w:val="00934F20"/>
    <w:rsid w:val="009353BC"/>
    <w:rsid w:val="0093548F"/>
    <w:rsid w:val="009354E6"/>
    <w:rsid w:val="00935605"/>
    <w:rsid w:val="009357EC"/>
    <w:rsid w:val="00935853"/>
    <w:rsid w:val="00935983"/>
    <w:rsid w:val="00935EC2"/>
    <w:rsid w:val="00936003"/>
    <w:rsid w:val="00936069"/>
    <w:rsid w:val="00936222"/>
    <w:rsid w:val="009362FD"/>
    <w:rsid w:val="00936331"/>
    <w:rsid w:val="0093638F"/>
    <w:rsid w:val="00936492"/>
    <w:rsid w:val="0093667F"/>
    <w:rsid w:val="00936B1D"/>
    <w:rsid w:val="009371F7"/>
    <w:rsid w:val="0093728B"/>
    <w:rsid w:val="00937552"/>
    <w:rsid w:val="00937719"/>
    <w:rsid w:val="00937966"/>
    <w:rsid w:val="009379D3"/>
    <w:rsid w:val="00937CC3"/>
    <w:rsid w:val="00940081"/>
    <w:rsid w:val="00940492"/>
    <w:rsid w:val="009407D8"/>
    <w:rsid w:val="00940981"/>
    <w:rsid w:val="00940A09"/>
    <w:rsid w:val="00940E42"/>
    <w:rsid w:val="00940EDE"/>
    <w:rsid w:val="009410FC"/>
    <w:rsid w:val="0094121E"/>
    <w:rsid w:val="009412BF"/>
    <w:rsid w:val="00941320"/>
    <w:rsid w:val="009413A4"/>
    <w:rsid w:val="00941778"/>
    <w:rsid w:val="009417A8"/>
    <w:rsid w:val="00941B48"/>
    <w:rsid w:val="00941B8A"/>
    <w:rsid w:val="00941E1D"/>
    <w:rsid w:val="00941E5A"/>
    <w:rsid w:val="00942211"/>
    <w:rsid w:val="00942408"/>
    <w:rsid w:val="00942978"/>
    <w:rsid w:val="00942B32"/>
    <w:rsid w:val="00942E45"/>
    <w:rsid w:val="0094317D"/>
    <w:rsid w:val="009431C6"/>
    <w:rsid w:val="009432F1"/>
    <w:rsid w:val="009432F2"/>
    <w:rsid w:val="0094346F"/>
    <w:rsid w:val="00943804"/>
    <w:rsid w:val="00943B5A"/>
    <w:rsid w:val="00943C59"/>
    <w:rsid w:val="00943C98"/>
    <w:rsid w:val="00943D55"/>
    <w:rsid w:val="00943EC2"/>
    <w:rsid w:val="009440B9"/>
    <w:rsid w:val="00944473"/>
    <w:rsid w:val="009447C1"/>
    <w:rsid w:val="009448D2"/>
    <w:rsid w:val="00944A91"/>
    <w:rsid w:val="00944CD3"/>
    <w:rsid w:val="00944E0E"/>
    <w:rsid w:val="009452FF"/>
    <w:rsid w:val="00945599"/>
    <w:rsid w:val="009455E0"/>
    <w:rsid w:val="00945825"/>
    <w:rsid w:val="00945CCD"/>
    <w:rsid w:val="00945CF1"/>
    <w:rsid w:val="00945FF9"/>
    <w:rsid w:val="00946037"/>
    <w:rsid w:val="00946422"/>
    <w:rsid w:val="009464A2"/>
    <w:rsid w:val="00946594"/>
    <w:rsid w:val="009465E3"/>
    <w:rsid w:val="00946BD6"/>
    <w:rsid w:val="00946EF6"/>
    <w:rsid w:val="0094735B"/>
    <w:rsid w:val="00947526"/>
    <w:rsid w:val="00947757"/>
    <w:rsid w:val="00947775"/>
    <w:rsid w:val="009477AB"/>
    <w:rsid w:val="00947DCE"/>
    <w:rsid w:val="00947E1B"/>
    <w:rsid w:val="009501F3"/>
    <w:rsid w:val="00950ADF"/>
    <w:rsid w:val="00950BF5"/>
    <w:rsid w:val="0095102D"/>
    <w:rsid w:val="009510C1"/>
    <w:rsid w:val="00951379"/>
    <w:rsid w:val="009514DF"/>
    <w:rsid w:val="009514EF"/>
    <w:rsid w:val="00951767"/>
    <w:rsid w:val="00951991"/>
    <w:rsid w:val="00951A40"/>
    <w:rsid w:val="00951EC4"/>
    <w:rsid w:val="00951EDA"/>
    <w:rsid w:val="00951F52"/>
    <w:rsid w:val="00952800"/>
    <w:rsid w:val="00952842"/>
    <w:rsid w:val="00952873"/>
    <w:rsid w:val="00952B7B"/>
    <w:rsid w:val="00952DD8"/>
    <w:rsid w:val="00952FF3"/>
    <w:rsid w:val="00952FFD"/>
    <w:rsid w:val="00953298"/>
    <w:rsid w:val="0095333C"/>
    <w:rsid w:val="009534A2"/>
    <w:rsid w:val="00954114"/>
    <w:rsid w:val="00954157"/>
    <w:rsid w:val="00954414"/>
    <w:rsid w:val="0095458E"/>
    <w:rsid w:val="00954773"/>
    <w:rsid w:val="009549D1"/>
    <w:rsid w:val="00954DF5"/>
    <w:rsid w:val="00954FAA"/>
    <w:rsid w:val="0095529A"/>
    <w:rsid w:val="0095546D"/>
    <w:rsid w:val="00955869"/>
    <w:rsid w:val="00955BA5"/>
    <w:rsid w:val="00955EE8"/>
    <w:rsid w:val="00955F6F"/>
    <w:rsid w:val="0095602E"/>
    <w:rsid w:val="0095616D"/>
    <w:rsid w:val="009565AD"/>
    <w:rsid w:val="0095660A"/>
    <w:rsid w:val="0095664A"/>
    <w:rsid w:val="00956693"/>
    <w:rsid w:val="00956824"/>
    <w:rsid w:val="00956FCA"/>
    <w:rsid w:val="009571B6"/>
    <w:rsid w:val="00957678"/>
    <w:rsid w:val="00957925"/>
    <w:rsid w:val="00957E12"/>
    <w:rsid w:val="00957E7F"/>
    <w:rsid w:val="00957F98"/>
    <w:rsid w:val="009600CC"/>
    <w:rsid w:val="009600DD"/>
    <w:rsid w:val="009602AA"/>
    <w:rsid w:val="00960513"/>
    <w:rsid w:val="00960529"/>
    <w:rsid w:val="00960734"/>
    <w:rsid w:val="00960D08"/>
    <w:rsid w:val="00960E88"/>
    <w:rsid w:val="00961012"/>
    <w:rsid w:val="0096106D"/>
    <w:rsid w:val="00961281"/>
    <w:rsid w:val="009613FF"/>
    <w:rsid w:val="00961482"/>
    <w:rsid w:val="009616E7"/>
    <w:rsid w:val="0096180A"/>
    <w:rsid w:val="00961984"/>
    <w:rsid w:val="00961B7E"/>
    <w:rsid w:val="00961EFA"/>
    <w:rsid w:val="00962225"/>
    <w:rsid w:val="00962270"/>
    <w:rsid w:val="00962363"/>
    <w:rsid w:val="009623FC"/>
    <w:rsid w:val="0096258D"/>
    <w:rsid w:val="0096260F"/>
    <w:rsid w:val="00962619"/>
    <w:rsid w:val="00962888"/>
    <w:rsid w:val="00962C8F"/>
    <w:rsid w:val="00962C9C"/>
    <w:rsid w:val="00962E05"/>
    <w:rsid w:val="00962E17"/>
    <w:rsid w:val="00962E63"/>
    <w:rsid w:val="00962E8E"/>
    <w:rsid w:val="009630A4"/>
    <w:rsid w:val="00963161"/>
    <w:rsid w:val="0096369B"/>
    <w:rsid w:val="00963739"/>
    <w:rsid w:val="00963924"/>
    <w:rsid w:val="00963AEF"/>
    <w:rsid w:val="00963C22"/>
    <w:rsid w:val="00963C57"/>
    <w:rsid w:val="00963D7F"/>
    <w:rsid w:val="00963E70"/>
    <w:rsid w:val="00963F8C"/>
    <w:rsid w:val="009647AA"/>
    <w:rsid w:val="009649D7"/>
    <w:rsid w:val="00964D5F"/>
    <w:rsid w:val="0096534E"/>
    <w:rsid w:val="0096562F"/>
    <w:rsid w:val="0096592E"/>
    <w:rsid w:val="00965BE0"/>
    <w:rsid w:val="00965DBB"/>
    <w:rsid w:val="00965FD9"/>
    <w:rsid w:val="00965FFF"/>
    <w:rsid w:val="00966225"/>
    <w:rsid w:val="009662D6"/>
    <w:rsid w:val="009662F7"/>
    <w:rsid w:val="0096631C"/>
    <w:rsid w:val="0096661A"/>
    <w:rsid w:val="009666BD"/>
    <w:rsid w:val="00966760"/>
    <w:rsid w:val="00966780"/>
    <w:rsid w:val="009668C9"/>
    <w:rsid w:val="0096692D"/>
    <w:rsid w:val="00966B00"/>
    <w:rsid w:val="00966DAC"/>
    <w:rsid w:val="00967011"/>
    <w:rsid w:val="0096748A"/>
    <w:rsid w:val="00967512"/>
    <w:rsid w:val="0096755A"/>
    <w:rsid w:val="00967635"/>
    <w:rsid w:val="009678AB"/>
    <w:rsid w:val="00967947"/>
    <w:rsid w:val="00967A43"/>
    <w:rsid w:val="00967C09"/>
    <w:rsid w:val="00967CF6"/>
    <w:rsid w:val="0097020C"/>
    <w:rsid w:val="009702B0"/>
    <w:rsid w:val="00970319"/>
    <w:rsid w:val="009703CC"/>
    <w:rsid w:val="009703D8"/>
    <w:rsid w:val="009708D7"/>
    <w:rsid w:val="009709B8"/>
    <w:rsid w:val="00970CFD"/>
    <w:rsid w:val="00970E05"/>
    <w:rsid w:val="00970E7E"/>
    <w:rsid w:val="00971231"/>
    <w:rsid w:val="00971360"/>
    <w:rsid w:val="0097143F"/>
    <w:rsid w:val="00971448"/>
    <w:rsid w:val="00971684"/>
    <w:rsid w:val="00971D92"/>
    <w:rsid w:val="00971E8F"/>
    <w:rsid w:val="00971F20"/>
    <w:rsid w:val="00971F9D"/>
    <w:rsid w:val="00972206"/>
    <w:rsid w:val="00972297"/>
    <w:rsid w:val="00972405"/>
    <w:rsid w:val="0097249B"/>
    <w:rsid w:val="009725B6"/>
    <w:rsid w:val="00972757"/>
    <w:rsid w:val="00972C88"/>
    <w:rsid w:val="00972D1E"/>
    <w:rsid w:val="00972EC2"/>
    <w:rsid w:val="0097302A"/>
    <w:rsid w:val="0097319B"/>
    <w:rsid w:val="0097342F"/>
    <w:rsid w:val="009736A2"/>
    <w:rsid w:val="00973A51"/>
    <w:rsid w:val="00973B4D"/>
    <w:rsid w:val="00973BD9"/>
    <w:rsid w:val="00973F42"/>
    <w:rsid w:val="00973FAD"/>
    <w:rsid w:val="0097441E"/>
    <w:rsid w:val="00974733"/>
    <w:rsid w:val="00974912"/>
    <w:rsid w:val="009749F4"/>
    <w:rsid w:val="00974BFE"/>
    <w:rsid w:val="0097514D"/>
    <w:rsid w:val="00975285"/>
    <w:rsid w:val="0097529A"/>
    <w:rsid w:val="00975300"/>
    <w:rsid w:val="0097550B"/>
    <w:rsid w:val="00975547"/>
    <w:rsid w:val="00975617"/>
    <w:rsid w:val="00975872"/>
    <w:rsid w:val="00975922"/>
    <w:rsid w:val="00975D1C"/>
    <w:rsid w:val="00975E14"/>
    <w:rsid w:val="00975E96"/>
    <w:rsid w:val="00975F94"/>
    <w:rsid w:val="00976008"/>
    <w:rsid w:val="0097645E"/>
    <w:rsid w:val="0097650E"/>
    <w:rsid w:val="00976541"/>
    <w:rsid w:val="009768AC"/>
    <w:rsid w:val="00976A32"/>
    <w:rsid w:val="00976B6A"/>
    <w:rsid w:val="00976C08"/>
    <w:rsid w:val="00976C38"/>
    <w:rsid w:val="00976C7D"/>
    <w:rsid w:val="00976CD5"/>
    <w:rsid w:val="00976E3F"/>
    <w:rsid w:val="00977668"/>
    <w:rsid w:val="009778B1"/>
    <w:rsid w:val="00977931"/>
    <w:rsid w:val="00977956"/>
    <w:rsid w:val="00977986"/>
    <w:rsid w:val="00977BF0"/>
    <w:rsid w:val="00977CAD"/>
    <w:rsid w:val="00977E39"/>
    <w:rsid w:val="009803A0"/>
    <w:rsid w:val="0098057A"/>
    <w:rsid w:val="009805F4"/>
    <w:rsid w:val="00980AC5"/>
    <w:rsid w:val="00980DC8"/>
    <w:rsid w:val="00980E90"/>
    <w:rsid w:val="00981337"/>
    <w:rsid w:val="009813C6"/>
    <w:rsid w:val="00981C1E"/>
    <w:rsid w:val="00981D10"/>
    <w:rsid w:val="00982111"/>
    <w:rsid w:val="00982188"/>
    <w:rsid w:val="00982B51"/>
    <w:rsid w:val="009837C8"/>
    <w:rsid w:val="009837F7"/>
    <w:rsid w:val="009839F3"/>
    <w:rsid w:val="009842D0"/>
    <w:rsid w:val="009849D0"/>
    <w:rsid w:val="00984C7F"/>
    <w:rsid w:val="00984CAF"/>
    <w:rsid w:val="0098517F"/>
    <w:rsid w:val="009851FA"/>
    <w:rsid w:val="0098532D"/>
    <w:rsid w:val="009853F0"/>
    <w:rsid w:val="0098598D"/>
    <w:rsid w:val="00985A22"/>
    <w:rsid w:val="00985D15"/>
    <w:rsid w:val="00985EC4"/>
    <w:rsid w:val="009860D1"/>
    <w:rsid w:val="00986275"/>
    <w:rsid w:val="00986877"/>
    <w:rsid w:val="00986A0B"/>
    <w:rsid w:val="00986AC4"/>
    <w:rsid w:val="00986B54"/>
    <w:rsid w:val="00986FDE"/>
    <w:rsid w:val="00987976"/>
    <w:rsid w:val="00987B86"/>
    <w:rsid w:val="009901E1"/>
    <w:rsid w:val="0099031C"/>
    <w:rsid w:val="009906BC"/>
    <w:rsid w:val="009908D5"/>
    <w:rsid w:val="00990A24"/>
    <w:rsid w:val="00990A5A"/>
    <w:rsid w:val="00990E73"/>
    <w:rsid w:val="0099113B"/>
    <w:rsid w:val="009912B5"/>
    <w:rsid w:val="0099148C"/>
    <w:rsid w:val="00991542"/>
    <w:rsid w:val="0099181B"/>
    <w:rsid w:val="0099188D"/>
    <w:rsid w:val="00991BE6"/>
    <w:rsid w:val="00991E7D"/>
    <w:rsid w:val="00991FEE"/>
    <w:rsid w:val="00992026"/>
    <w:rsid w:val="0099203A"/>
    <w:rsid w:val="009922DA"/>
    <w:rsid w:val="00992509"/>
    <w:rsid w:val="0099269B"/>
    <w:rsid w:val="009927C0"/>
    <w:rsid w:val="009929B5"/>
    <w:rsid w:val="00992BB8"/>
    <w:rsid w:val="00992DC5"/>
    <w:rsid w:val="00992E78"/>
    <w:rsid w:val="009930E0"/>
    <w:rsid w:val="0099346E"/>
    <w:rsid w:val="00993BD3"/>
    <w:rsid w:val="00993D4A"/>
    <w:rsid w:val="00993E38"/>
    <w:rsid w:val="00993EFB"/>
    <w:rsid w:val="00993F45"/>
    <w:rsid w:val="00994043"/>
    <w:rsid w:val="00994094"/>
    <w:rsid w:val="009940E7"/>
    <w:rsid w:val="0099410E"/>
    <w:rsid w:val="0099435E"/>
    <w:rsid w:val="009945D7"/>
    <w:rsid w:val="00994734"/>
    <w:rsid w:val="0099473D"/>
    <w:rsid w:val="00994774"/>
    <w:rsid w:val="009948D2"/>
    <w:rsid w:val="00994C43"/>
    <w:rsid w:val="00994CAA"/>
    <w:rsid w:val="00995035"/>
    <w:rsid w:val="00995276"/>
    <w:rsid w:val="009952C0"/>
    <w:rsid w:val="009954A0"/>
    <w:rsid w:val="00995522"/>
    <w:rsid w:val="00995573"/>
    <w:rsid w:val="009955BA"/>
    <w:rsid w:val="00995BBD"/>
    <w:rsid w:val="00995C25"/>
    <w:rsid w:val="00995CF5"/>
    <w:rsid w:val="00995E51"/>
    <w:rsid w:val="009962EC"/>
    <w:rsid w:val="00996401"/>
    <w:rsid w:val="009964BA"/>
    <w:rsid w:val="0099650A"/>
    <w:rsid w:val="0099694E"/>
    <w:rsid w:val="00996A49"/>
    <w:rsid w:val="009972CA"/>
    <w:rsid w:val="00997522"/>
    <w:rsid w:val="009977C4"/>
    <w:rsid w:val="00997B21"/>
    <w:rsid w:val="00997B9D"/>
    <w:rsid w:val="009A03D3"/>
    <w:rsid w:val="009A06A3"/>
    <w:rsid w:val="009A0803"/>
    <w:rsid w:val="009A0833"/>
    <w:rsid w:val="009A0B40"/>
    <w:rsid w:val="009A0CD8"/>
    <w:rsid w:val="009A0D28"/>
    <w:rsid w:val="009A0D93"/>
    <w:rsid w:val="009A0E4C"/>
    <w:rsid w:val="009A0F89"/>
    <w:rsid w:val="009A13D4"/>
    <w:rsid w:val="009A14B9"/>
    <w:rsid w:val="009A1792"/>
    <w:rsid w:val="009A1886"/>
    <w:rsid w:val="009A1BE4"/>
    <w:rsid w:val="009A1C1A"/>
    <w:rsid w:val="009A1D8E"/>
    <w:rsid w:val="009A1DAA"/>
    <w:rsid w:val="009A2374"/>
    <w:rsid w:val="009A23D8"/>
    <w:rsid w:val="009A252E"/>
    <w:rsid w:val="009A275F"/>
    <w:rsid w:val="009A27C5"/>
    <w:rsid w:val="009A2860"/>
    <w:rsid w:val="009A302D"/>
    <w:rsid w:val="009A3182"/>
    <w:rsid w:val="009A36F0"/>
    <w:rsid w:val="009A3C0A"/>
    <w:rsid w:val="009A3C65"/>
    <w:rsid w:val="009A3CE7"/>
    <w:rsid w:val="009A3DBD"/>
    <w:rsid w:val="009A3F81"/>
    <w:rsid w:val="009A41E0"/>
    <w:rsid w:val="009A4227"/>
    <w:rsid w:val="009A4277"/>
    <w:rsid w:val="009A440C"/>
    <w:rsid w:val="009A44C1"/>
    <w:rsid w:val="009A47AF"/>
    <w:rsid w:val="009A47B3"/>
    <w:rsid w:val="009A4F6A"/>
    <w:rsid w:val="009A53BA"/>
    <w:rsid w:val="009A549B"/>
    <w:rsid w:val="009A55C1"/>
    <w:rsid w:val="009A5A45"/>
    <w:rsid w:val="009A5AA4"/>
    <w:rsid w:val="009A5E2E"/>
    <w:rsid w:val="009A64CC"/>
    <w:rsid w:val="009A669B"/>
    <w:rsid w:val="009A670A"/>
    <w:rsid w:val="009A6800"/>
    <w:rsid w:val="009A6941"/>
    <w:rsid w:val="009A6DD3"/>
    <w:rsid w:val="009A6EB5"/>
    <w:rsid w:val="009A6F5A"/>
    <w:rsid w:val="009A6F89"/>
    <w:rsid w:val="009A73B2"/>
    <w:rsid w:val="009A760C"/>
    <w:rsid w:val="009A79B1"/>
    <w:rsid w:val="009A7ADC"/>
    <w:rsid w:val="009A7BFC"/>
    <w:rsid w:val="009A7C48"/>
    <w:rsid w:val="009A7D5C"/>
    <w:rsid w:val="009B03B3"/>
    <w:rsid w:val="009B06E8"/>
    <w:rsid w:val="009B08EA"/>
    <w:rsid w:val="009B0909"/>
    <w:rsid w:val="009B10EC"/>
    <w:rsid w:val="009B130F"/>
    <w:rsid w:val="009B15BD"/>
    <w:rsid w:val="009B1659"/>
    <w:rsid w:val="009B1712"/>
    <w:rsid w:val="009B173D"/>
    <w:rsid w:val="009B1C5B"/>
    <w:rsid w:val="009B1E5C"/>
    <w:rsid w:val="009B1EA1"/>
    <w:rsid w:val="009B214F"/>
    <w:rsid w:val="009B2211"/>
    <w:rsid w:val="009B2248"/>
    <w:rsid w:val="009B2786"/>
    <w:rsid w:val="009B2835"/>
    <w:rsid w:val="009B2BD0"/>
    <w:rsid w:val="009B2F27"/>
    <w:rsid w:val="009B344D"/>
    <w:rsid w:val="009B3593"/>
    <w:rsid w:val="009B3616"/>
    <w:rsid w:val="009B382B"/>
    <w:rsid w:val="009B3EE3"/>
    <w:rsid w:val="009B3FF6"/>
    <w:rsid w:val="009B413D"/>
    <w:rsid w:val="009B42B6"/>
    <w:rsid w:val="009B441B"/>
    <w:rsid w:val="009B469F"/>
    <w:rsid w:val="009B46F5"/>
    <w:rsid w:val="009B491B"/>
    <w:rsid w:val="009B4DD6"/>
    <w:rsid w:val="009B5221"/>
    <w:rsid w:val="009B5257"/>
    <w:rsid w:val="009B52F6"/>
    <w:rsid w:val="009B5369"/>
    <w:rsid w:val="009B5592"/>
    <w:rsid w:val="009B5736"/>
    <w:rsid w:val="009B5BCC"/>
    <w:rsid w:val="009B5FF1"/>
    <w:rsid w:val="009B6B36"/>
    <w:rsid w:val="009B6B85"/>
    <w:rsid w:val="009B6BCC"/>
    <w:rsid w:val="009B6BDB"/>
    <w:rsid w:val="009B6D0A"/>
    <w:rsid w:val="009B73F0"/>
    <w:rsid w:val="009B7460"/>
    <w:rsid w:val="009B77A7"/>
    <w:rsid w:val="009B77D2"/>
    <w:rsid w:val="009B791F"/>
    <w:rsid w:val="009B7B02"/>
    <w:rsid w:val="009C00A5"/>
    <w:rsid w:val="009C0173"/>
    <w:rsid w:val="009C0580"/>
    <w:rsid w:val="009C05AC"/>
    <w:rsid w:val="009C0CE6"/>
    <w:rsid w:val="009C0CED"/>
    <w:rsid w:val="009C0DA8"/>
    <w:rsid w:val="009C1521"/>
    <w:rsid w:val="009C170D"/>
    <w:rsid w:val="009C183B"/>
    <w:rsid w:val="009C1A48"/>
    <w:rsid w:val="009C1F99"/>
    <w:rsid w:val="009C201D"/>
    <w:rsid w:val="009C20AF"/>
    <w:rsid w:val="009C244B"/>
    <w:rsid w:val="009C2539"/>
    <w:rsid w:val="009C2752"/>
    <w:rsid w:val="009C30B9"/>
    <w:rsid w:val="009C32AF"/>
    <w:rsid w:val="009C332F"/>
    <w:rsid w:val="009C365E"/>
    <w:rsid w:val="009C3835"/>
    <w:rsid w:val="009C3917"/>
    <w:rsid w:val="009C3D88"/>
    <w:rsid w:val="009C3EFC"/>
    <w:rsid w:val="009C4B85"/>
    <w:rsid w:val="009C4DC2"/>
    <w:rsid w:val="009C5266"/>
    <w:rsid w:val="009C5AF0"/>
    <w:rsid w:val="009C65C0"/>
    <w:rsid w:val="009C6758"/>
    <w:rsid w:val="009C67A0"/>
    <w:rsid w:val="009C67D4"/>
    <w:rsid w:val="009C6946"/>
    <w:rsid w:val="009C6BC7"/>
    <w:rsid w:val="009C6DE0"/>
    <w:rsid w:val="009C6EE2"/>
    <w:rsid w:val="009C70EC"/>
    <w:rsid w:val="009C70FE"/>
    <w:rsid w:val="009C7163"/>
    <w:rsid w:val="009C7350"/>
    <w:rsid w:val="009C748F"/>
    <w:rsid w:val="009C763C"/>
    <w:rsid w:val="009C79C8"/>
    <w:rsid w:val="009C7BBD"/>
    <w:rsid w:val="009C7CCA"/>
    <w:rsid w:val="009C7F5F"/>
    <w:rsid w:val="009D035B"/>
    <w:rsid w:val="009D038D"/>
    <w:rsid w:val="009D04D3"/>
    <w:rsid w:val="009D0723"/>
    <w:rsid w:val="009D0C75"/>
    <w:rsid w:val="009D1284"/>
    <w:rsid w:val="009D12D4"/>
    <w:rsid w:val="009D16AD"/>
    <w:rsid w:val="009D16D0"/>
    <w:rsid w:val="009D1B5B"/>
    <w:rsid w:val="009D1C33"/>
    <w:rsid w:val="009D1E58"/>
    <w:rsid w:val="009D1F43"/>
    <w:rsid w:val="009D2206"/>
    <w:rsid w:val="009D227B"/>
    <w:rsid w:val="009D2691"/>
    <w:rsid w:val="009D2826"/>
    <w:rsid w:val="009D28D5"/>
    <w:rsid w:val="009D2A38"/>
    <w:rsid w:val="009D2C18"/>
    <w:rsid w:val="009D2E41"/>
    <w:rsid w:val="009D3070"/>
    <w:rsid w:val="009D351A"/>
    <w:rsid w:val="009D37C7"/>
    <w:rsid w:val="009D3B01"/>
    <w:rsid w:val="009D3B2F"/>
    <w:rsid w:val="009D3CED"/>
    <w:rsid w:val="009D3F68"/>
    <w:rsid w:val="009D44F5"/>
    <w:rsid w:val="009D4577"/>
    <w:rsid w:val="009D4658"/>
    <w:rsid w:val="009D4742"/>
    <w:rsid w:val="009D4857"/>
    <w:rsid w:val="009D4A0B"/>
    <w:rsid w:val="009D4B72"/>
    <w:rsid w:val="009D4B97"/>
    <w:rsid w:val="009D4BB0"/>
    <w:rsid w:val="009D4BF2"/>
    <w:rsid w:val="009D4E93"/>
    <w:rsid w:val="009D5412"/>
    <w:rsid w:val="009D55F8"/>
    <w:rsid w:val="009D55FF"/>
    <w:rsid w:val="009D56D0"/>
    <w:rsid w:val="009D5771"/>
    <w:rsid w:val="009D5C76"/>
    <w:rsid w:val="009D5D17"/>
    <w:rsid w:val="009D5D32"/>
    <w:rsid w:val="009D5EAA"/>
    <w:rsid w:val="009D5EAB"/>
    <w:rsid w:val="009D5EE3"/>
    <w:rsid w:val="009D5FCA"/>
    <w:rsid w:val="009D6470"/>
    <w:rsid w:val="009D6712"/>
    <w:rsid w:val="009D6813"/>
    <w:rsid w:val="009D68A9"/>
    <w:rsid w:val="009D6B34"/>
    <w:rsid w:val="009D6B46"/>
    <w:rsid w:val="009D6C01"/>
    <w:rsid w:val="009D6C17"/>
    <w:rsid w:val="009D6E14"/>
    <w:rsid w:val="009D72A9"/>
    <w:rsid w:val="009D72CF"/>
    <w:rsid w:val="009D7411"/>
    <w:rsid w:val="009D76FE"/>
    <w:rsid w:val="009D7834"/>
    <w:rsid w:val="009D7B33"/>
    <w:rsid w:val="009D7E3E"/>
    <w:rsid w:val="009E0064"/>
    <w:rsid w:val="009E00A4"/>
    <w:rsid w:val="009E048C"/>
    <w:rsid w:val="009E08CE"/>
    <w:rsid w:val="009E0A2A"/>
    <w:rsid w:val="009E0BC0"/>
    <w:rsid w:val="009E0F1A"/>
    <w:rsid w:val="009E126C"/>
    <w:rsid w:val="009E139A"/>
    <w:rsid w:val="009E1A53"/>
    <w:rsid w:val="009E1E60"/>
    <w:rsid w:val="009E1EDD"/>
    <w:rsid w:val="009E2057"/>
    <w:rsid w:val="009E284C"/>
    <w:rsid w:val="009E2F25"/>
    <w:rsid w:val="009E2F9D"/>
    <w:rsid w:val="009E2FAD"/>
    <w:rsid w:val="009E365F"/>
    <w:rsid w:val="009E37BD"/>
    <w:rsid w:val="009E394E"/>
    <w:rsid w:val="009E3DF0"/>
    <w:rsid w:val="009E45AC"/>
    <w:rsid w:val="009E45E4"/>
    <w:rsid w:val="009E467A"/>
    <w:rsid w:val="009E4C5D"/>
    <w:rsid w:val="009E4CDB"/>
    <w:rsid w:val="009E51EE"/>
    <w:rsid w:val="009E52FE"/>
    <w:rsid w:val="009E5624"/>
    <w:rsid w:val="009E5BC4"/>
    <w:rsid w:val="009E6BE2"/>
    <w:rsid w:val="009E6C57"/>
    <w:rsid w:val="009E6D07"/>
    <w:rsid w:val="009E6E09"/>
    <w:rsid w:val="009E6FE1"/>
    <w:rsid w:val="009E7028"/>
    <w:rsid w:val="009E706A"/>
    <w:rsid w:val="009E7519"/>
    <w:rsid w:val="009E75AB"/>
    <w:rsid w:val="009E77C5"/>
    <w:rsid w:val="009E7A64"/>
    <w:rsid w:val="009E7CAF"/>
    <w:rsid w:val="009E7CEC"/>
    <w:rsid w:val="009E7D48"/>
    <w:rsid w:val="009E7D77"/>
    <w:rsid w:val="009E7E4B"/>
    <w:rsid w:val="009E7F2D"/>
    <w:rsid w:val="009F0310"/>
    <w:rsid w:val="009F0472"/>
    <w:rsid w:val="009F064C"/>
    <w:rsid w:val="009F0828"/>
    <w:rsid w:val="009F0AD5"/>
    <w:rsid w:val="009F119E"/>
    <w:rsid w:val="009F11B3"/>
    <w:rsid w:val="009F1513"/>
    <w:rsid w:val="009F16F7"/>
    <w:rsid w:val="009F17F0"/>
    <w:rsid w:val="009F194A"/>
    <w:rsid w:val="009F1A8E"/>
    <w:rsid w:val="009F1DC4"/>
    <w:rsid w:val="009F2045"/>
    <w:rsid w:val="009F20CF"/>
    <w:rsid w:val="009F2337"/>
    <w:rsid w:val="009F241E"/>
    <w:rsid w:val="009F24C6"/>
    <w:rsid w:val="009F26A2"/>
    <w:rsid w:val="009F27AA"/>
    <w:rsid w:val="009F28BD"/>
    <w:rsid w:val="009F2F4F"/>
    <w:rsid w:val="009F2FE8"/>
    <w:rsid w:val="009F319F"/>
    <w:rsid w:val="009F3241"/>
    <w:rsid w:val="009F3CDC"/>
    <w:rsid w:val="009F3F00"/>
    <w:rsid w:val="009F3F2A"/>
    <w:rsid w:val="009F4456"/>
    <w:rsid w:val="009F44D8"/>
    <w:rsid w:val="009F46E4"/>
    <w:rsid w:val="009F48D7"/>
    <w:rsid w:val="009F4B6A"/>
    <w:rsid w:val="009F55CE"/>
    <w:rsid w:val="009F55FB"/>
    <w:rsid w:val="009F5B56"/>
    <w:rsid w:val="009F5DAF"/>
    <w:rsid w:val="009F609E"/>
    <w:rsid w:val="009F60DB"/>
    <w:rsid w:val="009F63BF"/>
    <w:rsid w:val="009F656D"/>
    <w:rsid w:val="009F6577"/>
    <w:rsid w:val="009F657A"/>
    <w:rsid w:val="009F677E"/>
    <w:rsid w:val="009F6A45"/>
    <w:rsid w:val="009F6C00"/>
    <w:rsid w:val="009F6E4F"/>
    <w:rsid w:val="009F6E5B"/>
    <w:rsid w:val="009F6E65"/>
    <w:rsid w:val="009F719F"/>
    <w:rsid w:val="009F7254"/>
    <w:rsid w:val="009F734A"/>
    <w:rsid w:val="009F7428"/>
    <w:rsid w:val="009F7571"/>
    <w:rsid w:val="009F75AC"/>
    <w:rsid w:val="009F7678"/>
    <w:rsid w:val="009F7707"/>
    <w:rsid w:val="009F771B"/>
    <w:rsid w:val="009F793D"/>
    <w:rsid w:val="009F7A05"/>
    <w:rsid w:val="009F7F00"/>
    <w:rsid w:val="009F7F85"/>
    <w:rsid w:val="00A000F1"/>
    <w:rsid w:val="00A003AD"/>
    <w:rsid w:val="00A00C18"/>
    <w:rsid w:val="00A00CE4"/>
    <w:rsid w:val="00A00E6D"/>
    <w:rsid w:val="00A0113E"/>
    <w:rsid w:val="00A01155"/>
    <w:rsid w:val="00A01476"/>
    <w:rsid w:val="00A017AD"/>
    <w:rsid w:val="00A01855"/>
    <w:rsid w:val="00A018F8"/>
    <w:rsid w:val="00A01B4A"/>
    <w:rsid w:val="00A02503"/>
    <w:rsid w:val="00A0270A"/>
    <w:rsid w:val="00A02C91"/>
    <w:rsid w:val="00A03070"/>
    <w:rsid w:val="00A032FB"/>
    <w:rsid w:val="00A033E0"/>
    <w:rsid w:val="00A03441"/>
    <w:rsid w:val="00A0352A"/>
    <w:rsid w:val="00A037CD"/>
    <w:rsid w:val="00A03821"/>
    <w:rsid w:val="00A0387A"/>
    <w:rsid w:val="00A03949"/>
    <w:rsid w:val="00A03D62"/>
    <w:rsid w:val="00A03F78"/>
    <w:rsid w:val="00A0443C"/>
    <w:rsid w:val="00A04455"/>
    <w:rsid w:val="00A04470"/>
    <w:rsid w:val="00A04555"/>
    <w:rsid w:val="00A04C08"/>
    <w:rsid w:val="00A04EE1"/>
    <w:rsid w:val="00A050C0"/>
    <w:rsid w:val="00A0518C"/>
    <w:rsid w:val="00A052E9"/>
    <w:rsid w:val="00A0577F"/>
    <w:rsid w:val="00A058F2"/>
    <w:rsid w:val="00A059C3"/>
    <w:rsid w:val="00A05B76"/>
    <w:rsid w:val="00A05D32"/>
    <w:rsid w:val="00A05F24"/>
    <w:rsid w:val="00A05F83"/>
    <w:rsid w:val="00A0610B"/>
    <w:rsid w:val="00A0667B"/>
    <w:rsid w:val="00A06738"/>
    <w:rsid w:val="00A06802"/>
    <w:rsid w:val="00A06C82"/>
    <w:rsid w:val="00A06CE6"/>
    <w:rsid w:val="00A06F59"/>
    <w:rsid w:val="00A06FB2"/>
    <w:rsid w:val="00A070FE"/>
    <w:rsid w:val="00A072D1"/>
    <w:rsid w:val="00A0753E"/>
    <w:rsid w:val="00A0768B"/>
    <w:rsid w:val="00A07966"/>
    <w:rsid w:val="00A07A13"/>
    <w:rsid w:val="00A07B5B"/>
    <w:rsid w:val="00A07D4B"/>
    <w:rsid w:val="00A102FD"/>
    <w:rsid w:val="00A1087D"/>
    <w:rsid w:val="00A10A0A"/>
    <w:rsid w:val="00A10A24"/>
    <w:rsid w:val="00A10C31"/>
    <w:rsid w:val="00A10E2C"/>
    <w:rsid w:val="00A1115F"/>
    <w:rsid w:val="00A1122C"/>
    <w:rsid w:val="00A1122F"/>
    <w:rsid w:val="00A11659"/>
    <w:rsid w:val="00A1171F"/>
    <w:rsid w:val="00A118B2"/>
    <w:rsid w:val="00A11B3D"/>
    <w:rsid w:val="00A11D01"/>
    <w:rsid w:val="00A11D74"/>
    <w:rsid w:val="00A11E1B"/>
    <w:rsid w:val="00A11EB5"/>
    <w:rsid w:val="00A11EE5"/>
    <w:rsid w:val="00A12031"/>
    <w:rsid w:val="00A12157"/>
    <w:rsid w:val="00A1217E"/>
    <w:rsid w:val="00A121FA"/>
    <w:rsid w:val="00A1223F"/>
    <w:rsid w:val="00A1224D"/>
    <w:rsid w:val="00A12250"/>
    <w:rsid w:val="00A128DE"/>
    <w:rsid w:val="00A12E14"/>
    <w:rsid w:val="00A1328A"/>
    <w:rsid w:val="00A13304"/>
    <w:rsid w:val="00A1345C"/>
    <w:rsid w:val="00A136E0"/>
    <w:rsid w:val="00A13B38"/>
    <w:rsid w:val="00A13D61"/>
    <w:rsid w:val="00A13FFD"/>
    <w:rsid w:val="00A14047"/>
    <w:rsid w:val="00A14899"/>
    <w:rsid w:val="00A14AEF"/>
    <w:rsid w:val="00A14C6E"/>
    <w:rsid w:val="00A1508E"/>
    <w:rsid w:val="00A150B0"/>
    <w:rsid w:val="00A15142"/>
    <w:rsid w:val="00A15426"/>
    <w:rsid w:val="00A154EB"/>
    <w:rsid w:val="00A156A2"/>
    <w:rsid w:val="00A15C1F"/>
    <w:rsid w:val="00A15F32"/>
    <w:rsid w:val="00A15F63"/>
    <w:rsid w:val="00A16262"/>
    <w:rsid w:val="00A1680C"/>
    <w:rsid w:val="00A16844"/>
    <w:rsid w:val="00A16CC5"/>
    <w:rsid w:val="00A16D35"/>
    <w:rsid w:val="00A17277"/>
    <w:rsid w:val="00A1742A"/>
    <w:rsid w:val="00A1753B"/>
    <w:rsid w:val="00A178FE"/>
    <w:rsid w:val="00A17EBF"/>
    <w:rsid w:val="00A17FD5"/>
    <w:rsid w:val="00A17FF7"/>
    <w:rsid w:val="00A1C78D"/>
    <w:rsid w:val="00A200B4"/>
    <w:rsid w:val="00A20118"/>
    <w:rsid w:val="00A2019D"/>
    <w:rsid w:val="00A202BD"/>
    <w:rsid w:val="00A20311"/>
    <w:rsid w:val="00A20317"/>
    <w:rsid w:val="00A20372"/>
    <w:rsid w:val="00A20546"/>
    <w:rsid w:val="00A20603"/>
    <w:rsid w:val="00A20972"/>
    <w:rsid w:val="00A21330"/>
    <w:rsid w:val="00A2148F"/>
    <w:rsid w:val="00A2155F"/>
    <w:rsid w:val="00A2184D"/>
    <w:rsid w:val="00A21944"/>
    <w:rsid w:val="00A219C8"/>
    <w:rsid w:val="00A219F6"/>
    <w:rsid w:val="00A21ADA"/>
    <w:rsid w:val="00A21C1E"/>
    <w:rsid w:val="00A22714"/>
    <w:rsid w:val="00A22734"/>
    <w:rsid w:val="00A229B5"/>
    <w:rsid w:val="00A22D2B"/>
    <w:rsid w:val="00A22EAE"/>
    <w:rsid w:val="00A22F03"/>
    <w:rsid w:val="00A23690"/>
    <w:rsid w:val="00A2378A"/>
    <w:rsid w:val="00A237BB"/>
    <w:rsid w:val="00A23809"/>
    <w:rsid w:val="00A239A6"/>
    <w:rsid w:val="00A23A30"/>
    <w:rsid w:val="00A23D14"/>
    <w:rsid w:val="00A2405F"/>
    <w:rsid w:val="00A2415B"/>
    <w:rsid w:val="00A241E8"/>
    <w:rsid w:val="00A2434C"/>
    <w:rsid w:val="00A24575"/>
    <w:rsid w:val="00A2467F"/>
    <w:rsid w:val="00A2474A"/>
    <w:rsid w:val="00A249A4"/>
    <w:rsid w:val="00A24AAF"/>
    <w:rsid w:val="00A24B48"/>
    <w:rsid w:val="00A24B63"/>
    <w:rsid w:val="00A24D27"/>
    <w:rsid w:val="00A24DAC"/>
    <w:rsid w:val="00A251B9"/>
    <w:rsid w:val="00A25270"/>
    <w:rsid w:val="00A25605"/>
    <w:rsid w:val="00A257A5"/>
    <w:rsid w:val="00A258E0"/>
    <w:rsid w:val="00A25AAE"/>
    <w:rsid w:val="00A26014"/>
    <w:rsid w:val="00A26656"/>
    <w:rsid w:val="00A266B2"/>
    <w:rsid w:val="00A26937"/>
    <w:rsid w:val="00A26A6A"/>
    <w:rsid w:val="00A26D90"/>
    <w:rsid w:val="00A26E84"/>
    <w:rsid w:val="00A27205"/>
    <w:rsid w:val="00A27603"/>
    <w:rsid w:val="00A27636"/>
    <w:rsid w:val="00A276AD"/>
    <w:rsid w:val="00A27CF0"/>
    <w:rsid w:val="00A27D29"/>
    <w:rsid w:val="00A27EE6"/>
    <w:rsid w:val="00A27F8C"/>
    <w:rsid w:val="00A300B0"/>
    <w:rsid w:val="00A300F3"/>
    <w:rsid w:val="00A301FB"/>
    <w:rsid w:val="00A3078E"/>
    <w:rsid w:val="00A30A4D"/>
    <w:rsid w:val="00A31125"/>
    <w:rsid w:val="00A31420"/>
    <w:rsid w:val="00A3145B"/>
    <w:rsid w:val="00A3187E"/>
    <w:rsid w:val="00A31B83"/>
    <w:rsid w:val="00A31BDC"/>
    <w:rsid w:val="00A31D82"/>
    <w:rsid w:val="00A31DDB"/>
    <w:rsid w:val="00A3207A"/>
    <w:rsid w:val="00A32391"/>
    <w:rsid w:val="00A325C5"/>
    <w:rsid w:val="00A3268E"/>
    <w:rsid w:val="00A32EBF"/>
    <w:rsid w:val="00A33029"/>
    <w:rsid w:val="00A33776"/>
    <w:rsid w:val="00A33A87"/>
    <w:rsid w:val="00A33C10"/>
    <w:rsid w:val="00A33CE7"/>
    <w:rsid w:val="00A342AB"/>
    <w:rsid w:val="00A34511"/>
    <w:rsid w:val="00A3455C"/>
    <w:rsid w:val="00A348ED"/>
    <w:rsid w:val="00A349DB"/>
    <w:rsid w:val="00A34A43"/>
    <w:rsid w:val="00A34CB6"/>
    <w:rsid w:val="00A35071"/>
    <w:rsid w:val="00A3509D"/>
    <w:rsid w:val="00A354FD"/>
    <w:rsid w:val="00A355AA"/>
    <w:rsid w:val="00A35629"/>
    <w:rsid w:val="00A3570F"/>
    <w:rsid w:val="00A35813"/>
    <w:rsid w:val="00A35F0B"/>
    <w:rsid w:val="00A3623E"/>
    <w:rsid w:val="00A362DB"/>
    <w:rsid w:val="00A36730"/>
    <w:rsid w:val="00A369AF"/>
    <w:rsid w:val="00A36BF6"/>
    <w:rsid w:val="00A36C71"/>
    <w:rsid w:val="00A36CA8"/>
    <w:rsid w:val="00A36D5A"/>
    <w:rsid w:val="00A3734B"/>
    <w:rsid w:val="00A37A7C"/>
    <w:rsid w:val="00A37A82"/>
    <w:rsid w:val="00A37A83"/>
    <w:rsid w:val="00A37B1F"/>
    <w:rsid w:val="00A37E2A"/>
    <w:rsid w:val="00A4016F"/>
    <w:rsid w:val="00A401F3"/>
    <w:rsid w:val="00A40267"/>
    <w:rsid w:val="00A404C7"/>
    <w:rsid w:val="00A406FF"/>
    <w:rsid w:val="00A407FC"/>
    <w:rsid w:val="00A41187"/>
    <w:rsid w:val="00A41322"/>
    <w:rsid w:val="00A41771"/>
    <w:rsid w:val="00A419C7"/>
    <w:rsid w:val="00A42337"/>
    <w:rsid w:val="00A4237F"/>
    <w:rsid w:val="00A4238C"/>
    <w:rsid w:val="00A427BC"/>
    <w:rsid w:val="00A42B11"/>
    <w:rsid w:val="00A42C16"/>
    <w:rsid w:val="00A42D0B"/>
    <w:rsid w:val="00A42E67"/>
    <w:rsid w:val="00A42EBC"/>
    <w:rsid w:val="00A42FE8"/>
    <w:rsid w:val="00A430FD"/>
    <w:rsid w:val="00A43292"/>
    <w:rsid w:val="00A433B0"/>
    <w:rsid w:val="00A43782"/>
    <w:rsid w:val="00A43FAC"/>
    <w:rsid w:val="00A44C5B"/>
    <w:rsid w:val="00A44FF0"/>
    <w:rsid w:val="00A450C9"/>
    <w:rsid w:val="00A450CD"/>
    <w:rsid w:val="00A451B6"/>
    <w:rsid w:val="00A451BE"/>
    <w:rsid w:val="00A4547B"/>
    <w:rsid w:val="00A456F6"/>
    <w:rsid w:val="00A45A58"/>
    <w:rsid w:val="00A45BDF"/>
    <w:rsid w:val="00A45CBC"/>
    <w:rsid w:val="00A45CEF"/>
    <w:rsid w:val="00A45E73"/>
    <w:rsid w:val="00A45EC4"/>
    <w:rsid w:val="00A45FC5"/>
    <w:rsid w:val="00A46198"/>
    <w:rsid w:val="00A46254"/>
    <w:rsid w:val="00A462C4"/>
    <w:rsid w:val="00A46397"/>
    <w:rsid w:val="00A464D0"/>
    <w:rsid w:val="00A46564"/>
    <w:rsid w:val="00A466FE"/>
    <w:rsid w:val="00A467B0"/>
    <w:rsid w:val="00A46D8E"/>
    <w:rsid w:val="00A470EE"/>
    <w:rsid w:val="00A4722E"/>
    <w:rsid w:val="00A473E7"/>
    <w:rsid w:val="00A47480"/>
    <w:rsid w:val="00A50104"/>
    <w:rsid w:val="00A5011A"/>
    <w:rsid w:val="00A50191"/>
    <w:rsid w:val="00A503A4"/>
    <w:rsid w:val="00A50536"/>
    <w:rsid w:val="00A505B7"/>
    <w:rsid w:val="00A5061B"/>
    <w:rsid w:val="00A50892"/>
    <w:rsid w:val="00A508EC"/>
    <w:rsid w:val="00A5093E"/>
    <w:rsid w:val="00A50B0F"/>
    <w:rsid w:val="00A50BCE"/>
    <w:rsid w:val="00A50C3C"/>
    <w:rsid w:val="00A50C4D"/>
    <w:rsid w:val="00A50E48"/>
    <w:rsid w:val="00A51215"/>
    <w:rsid w:val="00A512FA"/>
    <w:rsid w:val="00A51501"/>
    <w:rsid w:val="00A51525"/>
    <w:rsid w:val="00A5159E"/>
    <w:rsid w:val="00A517B5"/>
    <w:rsid w:val="00A51B3D"/>
    <w:rsid w:val="00A5213C"/>
    <w:rsid w:val="00A5227D"/>
    <w:rsid w:val="00A528E1"/>
    <w:rsid w:val="00A52E0D"/>
    <w:rsid w:val="00A52E8F"/>
    <w:rsid w:val="00A532A9"/>
    <w:rsid w:val="00A5333B"/>
    <w:rsid w:val="00A533AB"/>
    <w:rsid w:val="00A53542"/>
    <w:rsid w:val="00A537EA"/>
    <w:rsid w:val="00A53A55"/>
    <w:rsid w:val="00A53AF3"/>
    <w:rsid w:val="00A53E83"/>
    <w:rsid w:val="00A54230"/>
    <w:rsid w:val="00A5432B"/>
    <w:rsid w:val="00A544E7"/>
    <w:rsid w:val="00A547B1"/>
    <w:rsid w:val="00A54D10"/>
    <w:rsid w:val="00A54E95"/>
    <w:rsid w:val="00A54FE6"/>
    <w:rsid w:val="00A551C4"/>
    <w:rsid w:val="00A5535B"/>
    <w:rsid w:val="00A553D2"/>
    <w:rsid w:val="00A55413"/>
    <w:rsid w:val="00A555C4"/>
    <w:rsid w:val="00A55D08"/>
    <w:rsid w:val="00A55F5D"/>
    <w:rsid w:val="00A56105"/>
    <w:rsid w:val="00A56538"/>
    <w:rsid w:val="00A56884"/>
    <w:rsid w:val="00A56991"/>
    <w:rsid w:val="00A56AA4"/>
    <w:rsid w:val="00A56AB2"/>
    <w:rsid w:val="00A57024"/>
    <w:rsid w:val="00A570C2"/>
    <w:rsid w:val="00A57231"/>
    <w:rsid w:val="00A575C1"/>
    <w:rsid w:val="00A57836"/>
    <w:rsid w:val="00A5785B"/>
    <w:rsid w:val="00A57E02"/>
    <w:rsid w:val="00A60055"/>
    <w:rsid w:val="00A60405"/>
    <w:rsid w:val="00A605C9"/>
    <w:rsid w:val="00A608C2"/>
    <w:rsid w:val="00A6090A"/>
    <w:rsid w:val="00A609A4"/>
    <w:rsid w:val="00A60EF5"/>
    <w:rsid w:val="00A6109D"/>
    <w:rsid w:val="00A61763"/>
    <w:rsid w:val="00A61842"/>
    <w:rsid w:val="00A618BC"/>
    <w:rsid w:val="00A61A55"/>
    <w:rsid w:val="00A61ABD"/>
    <w:rsid w:val="00A61E4F"/>
    <w:rsid w:val="00A62025"/>
    <w:rsid w:val="00A622E6"/>
    <w:rsid w:val="00A6243F"/>
    <w:rsid w:val="00A62713"/>
    <w:rsid w:val="00A62A59"/>
    <w:rsid w:val="00A62CFF"/>
    <w:rsid w:val="00A62EA1"/>
    <w:rsid w:val="00A62FD0"/>
    <w:rsid w:val="00A63440"/>
    <w:rsid w:val="00A634AC"/>
    <w:rsid w:val="00A63560"/>
    <w:rsid w:val="00A63620"/>
    <w:rsid w:val="00A63783"/>
    <w:rsid w:val="00A63A4B"/>
    <w:rsid w:val="00A63B1E"/>
    <w:rsid w:val="00A63BE7"/>
    <w:rsid w:val="00A641AA"/>
    <w:rsid w:val="00A6473B"/>
    <w:rsid w:val="00A64A1A"/>
    <w:rsid w:val="00A64C35"/>
    <w:rsid w:val="00A65139"/>
    <w:rsid w:val="00A652A8"/>
    <w:rsid w:val="00A66330"/>
    <w:rsid w:val="00A66677"/>
    <w:rsid w:val="00A668D4"/>
    <w:rsid w:val="00A66BEA"/>
    <w:rsid w:val="00A66BF8"/>
    <w:rsid w:val="00A66C0F"/>
    <w:rsid w:val="00A66C2A"/>
    <w:rsid w:val="00A66E18"/>
    <w:rsid w:val="00A66FC3"/>
    <w:rsid w:val="00A67106"/>
    <w:rsid w:val="00A6715D"/>
    <w:rsid w:val="00A67194"/>
    <w:rsid w:val="00A676F3"/>
    <w:rsid w:val="00A678D3"/>
    <w:rsid w:val="00A679E4"/>
    <w:rsid w:val="00A67DEB"/>
    <w:rsid w:val="00A700F2"/>
    <w:rsid w:val="00A70154"/>
    <w:rsid w:val="00A7024F"/>
    <w:rsid w:val="00A70539"/>
    <w:rsid w:val="00A70899"/>
    <w:rsid w:val="00A708E8"/>
    <w:rsid w:val="00A709BB"/>
    <w:rsid w:val="00A70B0D"/>
    <w:rsid w:val="00A70B6F"/>
    <w:rsid w:val="00A70C97"/>
    <w:rsid w:val="00A70E2D"/>
    <w:rsid w:val="00A70E93"/>
    <w:rsid w:val="00A70FD3"/>
    <w:rsid w:val="00A712F9"/>
    <w:rsid w:val="00A71618"/>
    <w:rsid w:val="00A7198C"/>
    <w:rsid w:val="00A71A16"/>
    <w:rsid w:val="00A71A4A"/>
    <w:rsid w:val="00A71B83"/>
    <w:rsid w:val="00A71F04"/>
    <w:rsid w:val="00A71F0E"/>
    <w:rsid w:val="00A72256"/>
    <w:rsid w:val="00A72365"/>
    <w:rsid w:val="00A723AC"/>
    <w:rsid w:val="00A72481"/>
    <w:rsid w:val="00A72495"/>
    <w:rsid w:val="00A72558"/>
    <w:rsid w:val="00A72669"/>
    <w:rsid w:val="00A72774"/>
    <w:rsid w:val="00A728FC"/>
    <w:rsid w:val="00A72BBE"/>
    <w:rsid w:val="00A72D09"/>
    <w:rsid w:val="00A72E6F"/>
    <w:rsid w:val="00A72EC6"/>
    <w:rsid w:val="00A734B0"/>
    <w:rsid w:val="00A73B75"/>
    <w:rsid w:val="00A73D5C"/>
    <w:rsid w:val="00A73E3B"/>
    <w:rsid w:val="00A73E46"/>
    <w:rsid w:val="00A73F73"/>
    <w:rsid w:val="00A740F4"/>
    <w:rsid w:val="00A74214"/>
    <w:rsid w:val="00A7440F"/>
    <w:rsid w:val="00A74B2A"/>
    <w:rsid w:val="00A75152"/>
    <w:rsid w:val="00A752E6"/>
    <w:rsid w:val="00A7533D"/>
    <w:rsid w:val="00A75387"/>
    <w:rsid w:val="00A75C28"/>
    <w:rsid w:val="00A75C95"/>
    <w:rsid w:val="00A75F41"/>
    <w:rsid w:val="00A76007"/>
    <w:rsid w:val="00A766DB"/>
    <w:rsid w:val="00A767EF"/>
    <w:rsid w:val="00A76A42"/>
    <w:rsid w:val="00A76CF1"/>
    <w:rsid w:val="00A76F11"/>
    <w:rsid w:val="00A77235"/>
    <w:rsid w:val="00A80139"/>
    <w:rsid w:val="00A80857"/>
    <w:rsid w:val="00A8089E"/>
    <w:rsid w:val="00A80DE2"/>
    <w:rsid w:val="00A80DED"/>
    <w:rsid w:val="00A81183"/>
    <w:rsid w:val="00A81F86"/>
    <w:rsid w:val="00A81F9D"/>
    <w:rsid w:val="00A8244B"/>
    <w:rsid w:val="00A82533"/>
    <w:rsid w:val="00A82649"/>
    <w:rsid w:val="00A82706"/>
    <w:rsid w:val="00A82A01"/>
    <w:rsid w:val="00A82D08"/>
    <w:rsid w:val="00A82EEE"/>
    <w:rsid w:val="00A831ED"/>
    <w:rsid w:val="00A83563"/>
    <w:rsid w:val="00A83603"/>
    <w:rsid w:val="00A83B9D"/>
    <w:rsid w:val="00A84174"/>
    <w:rsid w:val="00A84285"/>
    <w:rsid w:val="00A844FD"/>
    <w:rsid w:val="00A8458B"/>
    <w:rsid w:val="00A84A2B"/>
    <w:rsid w:val="00A84F5F"/>
    <w:rsid w:val="00A84F89"/>
    <w:rsid w:val="00A85015"/>
    <w:rsid w:val="00A8509F"/>
    <w:rsid w:val="00A85BE0"/>
    <w:rsid w:val="00A85CA3"/>
    <w:rsid w:val="00A85E97"/>
    <w:rsid w:val="00A862C7"/>
    <w:rsid w:val="00A864DB"/>
    <w:rsid w:val="00A8674F"/>
    <w:rsid w:val="00A867B1"/>
    <w:rsid w:val="00A86926"/>
    <w:rsid w:val="00A86A21"/>
    <w:rsid w:val="00A86AEC"/>
    <w:rsid w:val="00A86B55"/>
    <w:rsid w:val="00A86C10"/>
    <w:rsid w:val="00A87220"/>
    <w:rsid w:val="00A87346"/>
    <w:rsid w:val="00A877EE"/>
    <w:rsid w:val="00A87A45"/>
    <w:rsid w:val="00A87E44"/>
    <w:rsid w:val="00A90015"/>
    <w:rsid w:val="00A904A8"/>
    <w:rsid w:val="00A904AF"/>
    <w:rsid w:val="00A905C4"/>
    <w:rsid w:val="00A90D49"/>
    <w:rsid w:val="00A9121A"/>
    <w:rsid w:val="00A913C2"/>
    <w:rsid w:val="00A913D3"/>
    <w:rsid w:val="00A91839"/>
    <w:rsid w:val="00A91850"/>
    <w:rsid w:val="00A91BF0"/>
    <w:rsid w:val="00A91FC8"/>
    <w:rsid w:val="00A92021"/>
    <w:rsid w:val="00A924DF"/>
    <w:rsid w:val="00A9271F"/>
    <w:rsid w:val="00A928BF"/>
    <w:rsid w:val="00A92C45"/>
    <w:rsid w:val="00A92E97"/>
    <w:rsid w:val="00A933DE"/>
    <w:rsid w:val="00A9354A"/>
    <w:rsid w:val="00A93632"/>
    <w:rsid w:val="00A93824"/>
    <w:rsid w:val="00A93B2F"/>
    <w:rsid w:val="00A93CF5"/>
    <w:rsid w:val="00A94026"/>
    <w:rsid w:val="00A94761"/>
    <w:rsid w:val="00A947C5"/>
    <w:rsid w:val="00A94872"/>
    <w:rsid w:val="00A9498D"/>
    <w:rsid w:val="00A94A59"/>
    <w:rsid w:val="00A94D19"/>
    <w:rsid w:val="00A94F22"/>
    <w:rsid w:val="00A95150"/>
    <w:rsid w:val="00A95177"/>
    <w:rsid w:val="00A9556B"/>
    <w:rsid w:val="00A958A4"/>
    <w:rsid w:val="00A95B19"/>
    <w:rsid w:val="00A96279"/>
    <w:rsid w:val="00A964D6"/>
    <w:rsid w:val="00A9674D"/>
    <w:rsid w:val="00A96AA4"/>
    <w:rsid w:val="00A96BF8"/>
    <w:rsid w:val="00A96DF0"/>
    <w:rsid w:val="00A97A06"/>
    <w:rsid w:val="00A97A14"/>
    <w:rsid w:val="00A97AC3"/>
    <w:rsid w:val="00A97AC6"/>
    <w:rsid w:val="00A97BCC"/>
    <w:rsid w:val="00A97CCD"/>
    <w:rsid w:val="00A97EB2"/>
    <w:rsid w:val="00AA0037"/>
    <w:rsid w:val="00AA0158"/>
    <w:rsid w:val="00AA0478"/>
    <w:rsid w:val="00AA0620"/>
    <w:rsid w:val="00AA08C3"/>
    <w:rsid w:val="00AA0918"/>
    <w:rsid w:val="00AA0956"/>
    <w:rsid w:val="00AA0A82"/>
    <w:rsid w:val="00AA0D5D"/>
    <w:rsid w:val="00AA0D70"/>
    <w:rsid w:val="00AA1568"/>
    <w:rsid w:val="00AA166C"/>
    <w:rsid w:val="00AA177A"/>
    <w:rsid w:val="00AA17BA"/>
    <w:rsid w:val="00AA17E3"/>
    <w:rsid w:val="00AA1A08"/>
    <w:rsid w:val="00AA1A3A"/>
    <w:rsid w:val="00AA1D9A"/>
    <w:rsid w:val="00AA1EC0"/>
    <w:rsid w:val="00AA2035"/>
    <w:rsid w:val="00AA20A2"/>
    <w:rsid w:val="00AA21D6"/>
    <w:rsid w:val="00AA2285"/>
    <w:rsid w:val="00AA23B8"/>
    <w:rsid w:val="00AA29F1"/>
    <w:rsid w:val="00AA2A3F"/>
    <w:rsid w:val="00AA2BA9"/>
    <w:rsid w:val="00AA2BEE"/>
    <w:rsid w:val="00AA2F19"/>
    <w:rsid w:val="00AA367C"/>
    <w:rsid w:val="00AA37C0"/>
    <w:rsid w:val="00AA3B6E"/>
    <w:rsid w:val="00AA3BE0"/>
    <w:rsid w:val="00AA3DBC"/>
    <w:rsid w:val="00AA3E5C"/>
    <w:rsid w:val="00AA3EC9"/>
    <w:rsid w:val="00AA4397"/>
    <w:rsid w:val="00AA4627"/>
    <w:rsid w:val="00AA47CD"/>
    <w:rsid w:val="00AA4E72"/>
    <w:rsid w:val="00AA4FB9"/>
    <w:rsid w:val="00AA5221"/>
    <w:rsid w:val="00AA52FF"/>
    <w:rsid w:val="00AA5343"/>
    <w:rsid w:val="00AA5825"/>
    <w:rsid w:val="00AA5AC4"/>
    <w:rsid w:val="00AA5BCF"/>
    <w:rsid w:val="00AA6220"/>
    <w:rsid w:val="00AA630D"/>
    <w:rsid w:val="00AA632D"/>
    <w:rsid w:val="00AA653E"/>
    <w:rsid w:val="00AA6667"/>
    <w:rsid w:val="00AA6959"/>
    <w:rsid w:val="00AA6C71"/>
    <w:rsid w:val="00AA7069"/>
    <w:rsid w:val="00AA746A"/>
    <w:rsid w:val="00AA74E9"/>
    <w:rsid w:val="00AA75AC"/>
    <w:rsid w:val="00AA75CD"/>
    <w:rsid w:val="00AA7E31"/>
    <w:rsid w:val="00AA7F0B"/>
    <w:rsid w:val="00AB0000"/>
    <w:rsid w:val="00AB02AE"/>
    <w:rsid w:val="00AB0443"/>
    <w:rsid w:val="00AB060B"/>
    <w:rsid w:val="00AB0D3C"/>
    <w:rsid w:val="00AB1170"/>
    <w:rsid w:val="00AB161A"/>
    <w:rsid w:val="00AB1636"/>
    <w:rsid w:val="00AB1881"/>
    <w:rsid w:val="00AB1A7F"/>
    <w:rsid w:val="00AB1C6A"/>
    <w:rsid w:val="00AB1E60"/>
    <w:rsid w:val="00AB1E73"/>
    <w:rsid w:val="00AB2197"/>
    <w:rsid w:val="00AB25A6"/>
    <w:rsid w:val="00AB25BA"/>
    <w:rsid w:val="00AB287D"/>
    <w:rsid w:val="00AB28EA"/>
    <w:rsid w:val="00AB2BFD"/>
    <w:rsid w:val="00AB2E5F"/>
    <w:rsid w:val="00AB3137"/>
    <w:rsid w:val="00AB3147"/>
    <w:rsid w:val="00AB380D"/>
    <w:rsid w:val="00AB38E1"/>
    <w:rsid w:val="00AB3CAF"/>
    <w:rsid w:val="00AB40AF"/>
    <w:rsid w:val="00AB415B"/>
    <w:rsid w:val="00AB4281"/>
    <w:rsid w:val="00AB428D"/>
    <w:rsid w:val="00AB4AAD"/>
    <w:rsid w:val="00AB4CB2"/>
    <w:rsid w:val="00AB4D3B"/>
    <w:rsid w:val="00AB557E"/>
    <w:rsid w:val="00AB5A92"/>
    <w:rsid w:val="00AB5B3D"/>
    <w:rsid w:val="00AB5BB7"/>
    <w:rsid w:val="00AB6377"/>
    <w:rsid w:val="00AB669A"/>
    <w:rsid w:val="00AB6796"/>
    <w:rsid w:val="00AB6869"/>
    <w:rsid w:val="00AB6B01"/>
    <w:rsid w:val="00AB7267"/>
    <w:rsid w:val="00AB728A"/>
    <w:rsid w:val="00AB7347"/>
    <w:rsid w:val="00AB7602"/>
    <w:rsid w:val="00AB76C7"/>
    <w:rsid w:val="00AB78BD"/>
    <w:rsid w:val="00AB7997"/>
    <w:rsid w:val="00AB7B13"/>
    <w:rsid w:val="00AB7B45"/>
    <w:rsid w:val="00AB7B88"/>
    <w:rsid w:val="00AC0422"/>
    <w:rsid w:val="00AC05D2"/>
    <w:rsid w:val="00AC075C"/>
    <w:rsid w:val="00AC0865"/>
    <w:rsid w:val="00AC090D"/>
    <w:rsid w:val="00AC1524"/>
    <w:rsid w:val="00AC16D6"/>
    <w:rsid w:val="00AC1A6E"/>
    <w:rsid w:val="00AC1AAC"/>
    <w:rsid w:val="00AC1B78"/>
    <w:rsid w:val="00AC1BA7"/>
    <w:rsid w:val="00AC1D3D"/>
    <w:rsid w:val="00AC1DA9"/>
    <w:rsid w:val="00AC1E1F"/>
    <w:rsid w:val="00AC2180"/>
    <w:rsid w:val="00AC27AC"/>
    <w:rsid w:val="00AC2D1C"/>
    <w:rsid w:val="00AC2D65"/>
    <w:rsid w:val="00AC34A3"/>
    <w:rsid w:val="00AC389A"/>
    <w:rsid w:val="00AC38A5"/>
    <w:rsid w:val="00AC3A9A"/>
    <w:rsid w:val="00AC3C4D"/>
    <w:rsid w:val="00AC407D"/>
    <w:rsid w:val="00AC45D1"/>
    <w:rsid w:val="00AC46BB"/>
    <w:rsid w:val="00AC4763"/>
    <w:rsid w:val="00AC4841"/>
    <w:rsid w:val="00AC4B69"/>
    <w:rsid w:val="00AC4D0C"/>
    <w:rsid w:val="00AC4FB3"/>
    <w:rsid w:val="00AC50BC"/>
    <w:rsid w:val="00AC548F"/>
    <w:rsid w:val="00AC5602"/>
    <w:rsid w:val="00AC5B18"/>
    <w:rsid w:val="00AC5CAD"/>
    <w:rsid w:val="00AC5EA5"/>
    <w:rsid w:val="00AC603F"/>
    <w:rsid w:val="00AC610B"/>
    <w:rsid w:val="00AC6124"/>
    <w:rsid w:val="00AC63BD"/>
    <w:rsid w:val="00AC653D"/>
    <w:rsid w:val="00AC65E3"/>
    <w:rsid w:val="00AC6623"/>
    <w:rsid w:val="00AC66E4"/>
    <w:rsid w:val="00AC6983"/>
    <w:rsid w:val="00AC6D23"/>
    <w:rsid w:val="00AC6E99"/>
    <w:rsid w:val="00AC74C9"/>
    <w:rsid w:val="00AC753C"/>
    <w:rsid w:val="00AC7564"/>
    <w:rsid w:val="00AC7811"/>
    <w:rsid w:val="00AC786D"/>
    <w:rsid w:val="00AC79D0"/>
    <w:rsid w:val="00AC7A93"/>
    <w:rsid w:val="00AC7BA6"/>
    <w:rsid w:val="00AD02BC"/>
    <w:rsid w:val="00AD063E"/>
    <w:rsid w:val="00AD070E"/>
    <w:rsid w:val="00AD0A20"/>
    <w:rsid w:val="00AD0E3F"/>
    <w:rsid w:val="00AD0E4F"/>
    <w:rsid w:val="00AD10CD"/>
    <w:rsid w:val="00AD10D7"/>
    <w:rsid w:val="00AD12CC"/>
    <w:rsid w:val="00AD1478"/>
    <w:rsid w:val="00AD163A"/>
    <w:rsid w:val="00AD169A"/>
    <w:rsid w:val="00AD1720"/>
    <w:rsid w:val="00AD175C"/>
    <w:rsid w:val="00AD1939"/>
    <w:rsid w:val="00AD193B"/>
    <w:rsid w:val="00AD1C2C"/>
    <w:rsid w:val="00AD2441"/>
    <w:rsid w:val="00AD24D2"/>
    <w:rsid w:val="00AD26DC"/>
    <w:rsid w:val="00AD2811"/>
    <w:rsid w:val="00AD28CA"/>
    <w:rsid w:val="00AD2CF7"/>
    <w:rsid w:val="00AD3104"/>
    <w:rsid w:val="00AD325D"/>
    <w:rsid w:val="00AD339F"/>
    <w:rsid w:val="00AD3780"/>
    <w:rsid w:val="00AD390E"/>
    <w:rsid w:val="00AD3B51"/>
    <w:rsid w:val="00AD3B66"/>
    <w:rsid w:val="00AD3CDF"/>
    <w:rsid w:val="00AD3F0E"/>
    <w:rsid w:val="00AD4020"/>
    <w:rsid w:val="00AD4070"/>
    <w:rsid w:val="00AD40BF"/>
    <w:rsid w:val="00AD41F9"/>
    <w:rsid w:val="00AD4455"/>
    <w:rsid w:val="00AD449E"/>
    <w:rsid w:val="00AD45E6"/>
    <w:rsid w:val="00AD486A"/>
    <w:rsid w:val="00AD4B80"/>
    <w:rsid w:val="00AD4B95"/>
    <w:rsid w:val="00AD4EDD"/>
    <w:rsid w:val="00AD4EE9"/>
    <w:rsid w:val="00AD4F16"/>
    <w:rsid w:val="00AD4F38"/>
    <w:rsid w:val="00AD507D"/>
    <w:rsid w:val="00AD5219"/>
    <w:rsid w:val="00AD53A1"/>
    <w:rsid w:val="00AD59CC"/>
    <w:rsid w:val="00AD5E31"/>
    <w:rsid w:val="00AD60E5"/>
    <w:rsid w:val="00AD6487"/>
    <w:rsid w:val="00AD664E"/>
    <w:rsid w:val="00AD7003"/>
    <w:rsid w:val="00AD700D"/>
    <w:rsid w:val="00AD7022"/>
    <w:rsid w:val="00AD7111"/>
    <w:rsid w:val="00AD7708"/>
    <w:rsid w:val="00AD7A27"/>
    <w:rsid w:val="00AD7F64"/>
    <w:rsid w:val="00AE01A1"/>
    <w:rsid w:val="00AE02A7"/>
    <w:rsid w:val="00AE0459"/>
    <w:rsid w:val="00AE0496"/>
    <w:rsid w:val="00AE04E2"/>
    <w:rsid w:val="00AE0902"/>
    <w:rsid w:val="00AE0E5C"/>
    <w:rsid w:val="00AE108D"/>
    <w:rsid w:val="00AE16AC"/>
    <w:rsid w:val="00AE1934"/>
    <w:rsid w:val="00AE19B9"/>
    <w:rsid w:val="00AE1F48"/>
    <w:rsid w:val="00AE205C"/>
    <w:rsid w:val="00AE277A"/>
    <w:rsid w:val="00AE2806"/>
    <w:rsid w:val="00AE2901"/>
    <w:rsid w:val="00AE291A"/>
    <w:rsid w:val="00AE2D38"/>
    <w:rsid w:val="00AE3073"/>
    <w:rsid w:val="00AE30EB"/>
    <w:rsid w:val="00AE3240"/>
    <w:rsid w:val="00AE355D"/>
    <w:rsid w:val="00AE3F5C"/>
    <w:rsid w:val="00AE431A"/>
    <w:rsid w:val="00AE4446"/>
    <w:rsid w:val="00AE495F"/>
    <w:rsid w:val="00AE4967"/>
    <w:rsid w:val="00AE4B12"/>
    <w:rsid w:val="00AE5040"/>
    <w:rsid w:val="00AE50CD"/>
    <w:rsid w:val="00AE5509"/>
    <w:rsid w:val="00AE55C8"/>
    <w:rsid w:val="00AE564C"/>
    <w:rsid w:val="00AE59FA"/>
    <w:rsid w:val="00AE6187"/>
    <w:rsid w:val="00AE66A1"/>
    <w:rsid w:val="00AE67C8"/>
    <w:rsid w:val="00AE69D9"/>
    <w:rsid w:val="00AE6CA8"/>
    <w:rsid w:val="00AE6D71"/>
    <w:rsid w:val="00AE703F"/>
    <w:rsid w:val="00AE709D"/>
    <w:rsid w:val="00AE72E6"/>
    <w:rsid w:val="00AE7526"/>
    <w:rsid w:val="00AE78D7"/>
    <w:rsid w:val="00AE7913"/>
    <w:rsid w:val="00AE7AC2"/>
    <w:rsid w:val="00AE7D5B"/>
    <w:rsid w:val="00AE7D84"/>
    <w:rsid w:val="00AF01D8"/>
    <w:rsid w:val="00AF02CF"/>
    <w:rsid w:val="00AF03F0"/>
    <w:rsid w:val="00AF0424"/>
    <w:rsid w:val="00AF0573"/>
    <w:rsid w:val="00AF059E"/>
    <w:rsid w:val="00AF095E"/>
    <w:rsid w:val="00AF09E9"/>
    <w:rsid w:val="00AF0AB3"/>
    <w:rsid w:val="00AF14EA"/>
    <w:rsid w:val="00AF1A4E"/>
    <w:rsid w:val="00AF1BDA"/>
    <w:rsid w:val="00AF1E44"/>
    <w:rsid w:val="00AF23C2"/>
    <w:rsid w:val="00AF251E"/>
    <w:rsid w:val="00AF259A"/>
    <w:rsid w:val="00AF26D0"/>
    <w:rsid w:val="00AF2B92"/>
    <w:rsid w:val="00AF2E2B"/>
    <w:rsid w:val="00AF2ED6"/>
    <w:rsid w:val="00AF3074"/>
    <w:rsid w:val="00AF307E"/>
    <w:rsid w:val="00AF3372"/>
    <w:rsid w:val="00AF33D3"/>
    <w:rsid w:val="00AF33E9"/>
    <w:rsid w:val="00AF353F"/>
    <w:rsid w:val="00AF3673"/>
    <w:rsid w:val="00AF3A3B"/>
    <w:rsid w:val="00AF3D60"/>
    <w:rsid w:val="00AF3E54"/>
    <w:rsid w:val="00AF3E87"/>
    <w:rsid w:val="00AF3F58"/>
    <w:rsid w:val="00AF3FD0"/>
    <w:rsid w:val="00AF3FD3"/>
    <w:rsid w:val="00AF4031"/>
    <w:rsid w:val="00AF40D3"/>
    <w:rsid w:val="00AF41EB"/>
    <w:rsid w:val="00AF41F1"/>
    <w:rsid w:val="00AF4567"/>
    <w:rsid w:val="00AF4746"/>
    <w:rsid w:val="00AF48E4"/>
    <w:rsid w:val="00AF4C4A"/>
    <w:rsid w:val="00AF4CBF"/>
    <w:rsid w:val="00AF4DD7"/>
    <w:rsid w:val="00AF4F32"/>
    <w:rsid w:val="00AF4FD5"/>
    <w:rsid w:val="00AF5123"/>
    <w:rsid w:val="00AF5858"/>
    <w:rsid w:val="00AF5B26"/>
    <w:rsid w:val="00AF5D50"/>
    <w:rsid w:val="00AF5DF0"/>
    <w:rsid w:val="00AF5EF3"/>
    <w:rsid w:val="00AF62E4"/>
    <w:rsid w:val="00AF6394"/>
    <w:rsid w:val="00AF674D"/>
    <w:rsid w:val="00AF6995"/>
    <w:rsid w:val="00AF6EDD"/>
    <w:rsid w:val="00AF733B"/>
    <w:rsid w:val="00AF78B0"/>
    <w:rsid w:val="00AF7973"/>
    <w:rsid w:val="00AF7A63"/>
    <w:rsid w:val="00B002AE"/>
    <w:rsid w:val="00B0076A"/>
    <w:rsid w:val="00B00C61"/>
    <w:rsid w:val="00B00D23"/>
    <w:rsid w:val="00B010AB"/>
    <w:rsid w:val="00B010F3"/>
    <w:rsid w:val="00B0110B"/>
    <w:rsid w:val="00B01A5E"/>
    <w:rsid w:val="00B01DA4"/>
    <w:rsid w:val="00B023DB"/>
    <w:rsid w:val="00B02608"/>
    <w:rsid w:val="00B02680"/>
    <w:rsid w:val="00B026E0"/>
    <w:rsid w:val="00B02979"/>
    <w:rsid w:val="00B02A4F"/>
    <w:rsid w:val="00B02AD0"/>
    <w:rsid w:val="00B02CE6"/>
    <w:rsid w:val="00B02D78"/>
    <w:rsid w:val="00B02E6B"/>
    <w:rsid w:val="00B0310B"/>
    <w:rsid w:val="00B0359B"/>
    <w:rsid w:val="00B037DA"/>
    <w:rsid w:val="00B038D2"/>
    <w:rsid w:val="00B039CE"/>
    <w:rsid w:val="00B03BB0"/>
    <w:rsid w:val="00B03BB9"/>
    <w:rsid w:val="00B03C56"/>
    <w:rsid w:val="00B0412B"/>
    <w:rsid w:val="00B043E7"/>
    <w:rsid w:val="00B04462"/>
    <w:rsid w:val="00B046FC"/>
    <w:rsid w:val="00B04B55"/>
    <w:rsid w:val="00B04F69"/>
    <w:rsid w:val="00B0536B"/>
    <w:rsid w:val="00B0565F"/>
    <w:rsid w:val="00B05853"/>
    <w:rsid w:val="00B05859"/>
    <w:rsid w:val="00B05A57"/>
    <w:rsid w:val="00B05C9E"/>
    <w:rsid w:val="00B05F9B"/>
    <w:rsid w:val="00B0625B"/>
    <w:rsid w:val="00B065DA"/>
    <w:rsid w:val="00B065F9"/>
    <w:rsid w:val="00B067F8"/>
    <w:rsid w:val="00B06A06"/>
    <w:rsid w:val="00B06ABC"/>
    <w:rsid w:val="00B06CBC"/>
    <w:rsid w:val="00B06EE7"/>
    <w:rsid w:val="00B07022"/>
    <w:rsid w:val="00B072EA"/>
    <w:rsid w:val="00B07517"/>
    <w:rsid w:val="00B077AC"/>
    <w:rsid w:val="00B0790E"/>
    <w:rsid w:val="00B07B2F"/>
    <w:rsid w:val="00B07CF4"/>
    <w:rsid w:val="00B1009A"/>
    <w:rsid w:val="00B103CE"/>
    <w:rsid w:val="00B108F7"/>
    <w:rsid w:val="00B10996"/>
    <w:rsid w:val="00B10A9A"/>
    <w:rsid w:val="00B10B5D"/>
    <w:rsid w:val="00B111F2"/>
    <w:rsid w:val="00B117BD"/>
    <w:rsid w:val="00B11D82"/>
    <w:rsid w:val="00B1226A"/>
    <w:rsid w:val="00B123DC"/>
    <w:rsid w:val="00B12849"/>
    <w:rsid w:val="00B12AB3"/>
    <w:rsid w:val="00B12C8A"/>
    <w:rsid w:val="00B12CAA"/>
    <w:rsid w:val="00B12FF7"/>
    <w:rsid w:val="00B13170"/>
    <w:rsid w:val="00B13209"/>
    <w:rsid w:val="00B134F5"/>
    <w:rsid w:val="00B1350F"/>
    <w:rsid w:val="00B136AF"/>
    <w:rsid w:val="00B13A39"/>
    <w:rsid w:val="00B13E15"/>
    <w:rsid w:val="00B14268"/>
    <w:rsid w:val="00B148D7"/>
    <w:rsid w:val="00B14E2D"/>
    <w:rsid w:val="00B15109"/>
    <w:rsid w:val="00B151E6"/>
    <w:rsid w:val="00B155A6"/>
    <w:rsid w:val="00B1566E"/>
    <w:rsid w:val="00B156CF"/>
    <w:rsid w:val="00B15783"/>
    <w:rsid w:val="00B157F9"/>
    <w:rsid w:val="00B15894"/>
    <w:rsid w:val="00B15A7F"/>
    <w:rsid w:val="00B15B3C"/>
    <w:rsid w:val="00B15CDB"/>
    <w:rsid w:val="00B16071"/>
    <w:rsid w:val="00B16755"/>
    <w:rsid w:val="00B16DEE"/>
    <w:rsid w:val="00B17152"/>
    <w:rsid w:val="00B17295"/>
    <w:rsid w:val="00B17379"/>
    <w:rsid w:val="00B174A7"/>
    <w:rsid w:val="00B1782B"/>
    <w:rsid w:val="00B17B18"/>
    <w:rsid w:val="00B17EF6"/>
    <w:rsid w:val="00B200EA"/>
    <w:rsid w:val="00B2012F"/>
    <w:rsid w:val="00B2034C"/>
    <w:rsid w:val="00B203A8"/>
    <w:rsid w:val="00B20698"/>
    <w:rsid w:val="00B20797"/>
    <w:rsid w:val="00B2086E"/>
    <w:rsid w:val="00B2087E"/>
    <w:rsid w:val="00B2089A"/>
    <w:rsid w:val="00B208A8"/>
    <w:rsid w:val="00B2098F"/>
    <w:rsid w:val="00B20B0C"/>
    <w:rsid w:val="00B20C80"/>
    <w:rsid w:val="00B20D12"/>
    <w:rsid w:val="00B20F15"/>
    <w:rsid w:val="00B20F52"/>
    <w:rsid w:val="00B2100D"/>
    <w:rsid w:val="00B21148"/>
    <w:rsid w:val="00B218BA"/>
    <w:rsid w:val="00B21DE0"/>
    <w:rsid w:val="00B21F9B"/>
    <w:rsid w:val="00B2233E"/>
    <w:rsid w:val="00B223D8"/>
    <w:rsid w:val="00B2247A"/>
    <w:rsid w:val="00B224FF"/>
    <w:rsid w:val="00B2279B"/>
    <w:rsid w:val="00B22953"/>
    <w:rsid w:val="00B22B5E"/>
    <w:rsid w:val="00B22D6C"/>
    <w:rsid w:val="00B22E03"/>
    <w:rsid w:val="00B22EA5"/>
    <w:rsid w:val="00B23050"/>
    <w:rsid w:val="00B23069"/>
    <w:rsid w:val="00B23479"/>
    <w:rsid w:val="00B235B3"/>
    <w:rsid w:val="00B237AB"/>
    <w:rsid w:val="00B23874"/>
    <w:rsid w:val="00B23883"/>
    <w:rsid w:val="00B23A7F"/>
    <w:rsid w:val="00B23BA1"/>
    <w:rsid w:val="00B24082"/>
    <w:rsid w:val="00B241C6"/>
    <w:rsid w:val="00B242FC"/>
    <w:rsid w:val="00B24572"/>
    <w:rsid w:val="00B24AC3"/>
    <w:rsid w:val="00B24D36"/>
    <w:rsid w:val="00B24FE3"/>
    <w:rsid w:val="00B2557F"/>
    <w:rsid w:val="00B258F8"/>
    <w:rsid w:val="00B25B59"/>
    <w:rsid w:val="00B25CA0"/>
    <w:rsid w:val="00B263E2"/>
    <w:rsid w:val="00B26411"/>
    <w:rsid w:val="00B26775"/>
    <w:rsid w:val="00B26C81"/>
    <w:rsid w:val="00B26F18"/>
    <w:rsid w:val="00B274A0"/>
    <w:rsid w:val="00B274FA"/>
    <w:rsid w:val="00B27795"/>
    <w:rsid w:val="00B27A57"/>
    <w:rsid w:val="00B27C01"/>
    <w:rsid w:val="00B27CD6"/>
    <w:rsid w:val="00B27F95"/>
    <w:rsid w:val="00B3011F"/>
    <w:rsid w:val="00B302B7"/>
    <w:rsid w:val="00B30580"/>
    <w:rsid w:val="00B30801"/>
    <w:rsid w:val="00B30839"/>
    <w:rsid w:val="00B30A82"/>
    <w:rsid w:val="00B30B85"/>
    <w:rsid w:val="00B30D7F"/>
    <w:rsid w:val="00B30DC0"/>
    <w:rsid w:val="00B30E18"/>
    <w:rsid w:val="00B30F57"/>
    <w:rsid w:val="00B31606"/>
    <w:rsid w:val="00B3162B"/>
    <w:rsid w:val="00B3194C"/>
    <w:rsid w:val="00B3196F"/>
    <w:rsid w:val="00B31DAC"/>
    <w:rsid w:val="00B31DCC"/>
    <w:rsid w:val="00B32536"/>
    <w:rsid w:val="00B3257E"/>
    <w:rsid w:val="00B32A2E"/>
    <w:rsid w:val="00B32AB5"/>
    <w:rsid w:val="00B32DD9"/>
    <w:rsid w:val="00B3318E"/>
    <w:rsid w:val="00B33363"/>
    <w:rsid w:val="00B338A3"/>
    <w:rsid w:val="00B33B5B"/>
    <w:rsid w:val="00B33C66"/>
    <w:rsid w:val="00B33CD1"/>
    <w:rsid w:val="00B33E92"/>
    <w:rsid w:val="00B33ED5"/>
    <w:rsid w:val="00B33F8E"/>
    <w:rsid w:val="00B340AD"/>
    <w:rsid w:val="00B3462C"/>
    <w:rsid w:val="00B34F80"/>
    <w:rsid w:val="00B350DB"/>
    <w:rsid w:val="00B352A2"/>
    <w:rsid w:val="00B35384"/>
    <w:rsid w:val="00B355AC"/>
    <w:rsid w:val="00B35780"/>
    <w:rsid w:val="00B3595E"/>
    <w:rsid w:val="00B35A6D"/>
    <w:rsid w:val="00B35BB8"/>
    <w:rsid w:val="00B35BDE"/>
    <w:rsid w:val="00B35CFB"/>
    <w:rsid w:val="00B35F36"/>
    <w:rsid w:val="00B35F72"/>
    <w:rsid w:val="00B36015"/>
    <w:rsid w:val="00B3601A"/>
    <w:rsid w:val="00B3624B"/>
    <w:rsid w:val="00B362DF"/>
    <w:rsid w:val="00B368FE"/>
    <w:rsid w:val="00B36B2C"/>
    <w:rsid w:val="00B36D16"/>
    <w:rsid w:val="00B36D86"/>
    <w:rsid w:val="00B36E3E"/>
    <w:rsid w:val="00B37794"/>
    <w:rsid w:val="00B377D1"/>
    <w:rsid w:val="00B37C03"/>
    <w:rsid w:val="00B400D1"/>
    <w:rsid w:val="00B40165"/>
    <w:rsid w:val="00B401B3"/>
    <w:rsid w:val="00B4042A"/>
    <w:rsid w:val="00B408FE"/>
    <w:rsid w:val="00B4093B"/>
    <w:rsid w:val="00B40A83"/>
    <w:rsid w:val="00B40AAA"/>
    <w:rsid w:val="00B4129A"/>
    <w:rsid w:val="00B4158C"/>
    <w:rsid w:val="00B417E3"/>
    <w:rsid w:val="00B42316"/>
    <w:rsid w:val="00B42A9B"/>
    <w:rsid w:val="00B42AEF"/>
    <w:rsid w:val="00B42B0C"/>
    <w:rsid w:val="00B42B93"/>
    <w:rsid w:val="00B42C04"/>
    <w:rsid w:val="00B42C09"/>
    <w:rsid w:val="00B4316E"/>
    <w:rsid w:val="00B43519"/>
    <w:rsid w:val="00B435F7"/>
    <w:rsid w:val="00B43698"/>
    <w:rsid w:val="00B436F2"/>
    <w:rsid w:val="00B4379E"/>
    <w:rsid w:val="00B43C03"/>
    <w:rsid w:val="00B43C72"/>
    <w:rsid w:val="00B441C8"/>
    <w:rsid w:val="00B4423F"/>
    <w:rsid w:val="00B4499B"/>
    <w:rsid w:val="00B44A87"/>
    <w:rsid w:val="00B44AE0"/>
    <w:rsid w:val="00B44EB6"/>
    <w:rsid w:val="00B45AE3"/>
    <w:rsid w:val="00B45E80"/>
    <w:rsid w:val="00B45F8F"/>
    <w:rsid w:val="00B46392"/>
    <w:rsid w:val="00B469A7"/>
    <w:rsid w:val="00B46A40"/>
    <w:rsid w:val="00B47295"/>
    <w:rsid w:val="00B474C8"/>
    <w:rsid w:val="00B47846"/>
    <w:rsid w:val="00B47A11"/>
    <w:rsid w:val="00B47EF6"/>
    <w:rsid w:val="00B47F64"/>
    <w:rsid w:val="00B5037B"/>
    <w:rsid w:val="00B5054C"/>
    <w:rsid w:val="00B505F8"/>
    <w:rsid w:val="00B5075F"/>
    <w:rsid w:val="00B50B46"/>
    <w:rsid w:val="00B50B59"/>
    <w:rsid w:val="00B50B77"/>
    <w:rsid w:val="00B50B8C"/>
    <w:rsid w:val="00B50CC6"/>
    <w:rsid w:val="00B50DC0"/>
    <w:rsid w:val="00B5119A"/>
    <w:rsid w:val="00B511EE"/>
    <w:rsid w:val="00B51781"/>
    <w:rsid w:val="00B51CDC"/>
    <w:rsid w:val="00B520E3"/>
    <w:rsid w:val="00B52493"/>
    <w:rsid w:val="00B52617"/>
    <w:rsid w:val="00B52A95"/>
    <w:rsid w:val="00B52B75"/>
    <w:rsid w:val="00B52BBF"/>
    <w:rsid w:val="00B52BEE"/>
    <w:rsid w:val="00B52D49"/>
    <w:rsid w:val="00B52F5A"/>
    <w:rsid w:val="00B53023"/>
    <w:rsid w:val="00B5336D"/>
    <w:rsid w:val="00B5337E"/>
    <w:rsid w:val="00B53A46"/>
    <w:rsid w:val="00B53A75"/>
    <w:rsid w:val="00B53B7A"/>
    <w:rsid w:val="00B53D5F"/>
    <w:rsid w:val="00B53E8B"/>
    <w:rsid w:val="00B5415B"/>
    <w:rsid w:val="00B54256"/>
    <w:rsid w:val="00B5443F"/>
    <w:rsid w:val="00B54700"/>
    <w:rsid w:val="00B54B75"/>
    <w:rsid w:val="00B54ED1"/>
    <w:rsid w:val="00B5505F"/>
    <w:rsid w:val="00B55973"/>
    <w:rsid w:val="00B55A6E"/>
    <w:rsid w:val="00B55DA3"/>
    <w:rsid w:val="00B55E6A"/>
    <w:rsid w:val="00B55E9C"/>
    <w:rsid w:val="00B55F8A"/>
    <w:rsid w:val="00B560D9"/>
    <w:rsid w:val="00B5621A"/>
    <w:rsid w:val="00B56239"/>
    <w:rsid w:val="00B56261"/>
    <w:rsid w:val="00B56293"/>
    <w:rsid w:val="00B564CC"/>
    <w:rsid w:val="00B56572"/>
    <w:rsid w:val="00B56882"/>
    <w:rsid w:val="00B56D81"/>
    <w:rsid w:val="00B56FCE"/>
    <w:rsid w:val="00B57058"/>
    <w:rsid w:val="00B5749C"/>
    <w:rsid w:val="00B5762F"/>
    <w:rsid w:val="00B5776D"/>
    <w:rsid w:val="00B5795A"/>
    <w:rsid w:val="00B57ACE"/>
    <w:rsid w:val="00B57EEB"/>
    <w:rsid w:val="00B60199"/>
    <w:rsid w:val="00B60547"/>
    <w:rsid w:val="00B605B1"/>
    <w:rsid w:val="00B6060C"/>
    <w:rsid w:val="00B60693"/>
    <w:rsid w:val="00B6096B"/>
    <w:rsid w:val="00B60BA7"/>
    <w:rsid w:val="00B60BED"/>
    <w:rsid w:val="00B60C5B"/>
    <w:rsid w:val="00B6121E"/>
    <w:rsid w:val="00B613B8"/>
    <w:rsid w:val="00B613EE"/>
    <w:rsid w:val="00B618FF"/>
    <w:rsid w:val="00B6190D"/>
    <w:rsid w:val="00B61B73"/>
    <w:rsid w:val="00B61D12"/>
    <w:rsid w:val="00B62343"/>
    <w:rsid w:val="00B6235B"/>
    <w:rsid w:val="00B627E6"/>
    <w:rsid w:val="00B630C4"/>
    <w:rsid w:val="00B63709"/>
    <w:rsid w:val="00B63850"/>
    <w:rsid w:val="00B63D88"/>
    <w:rsid w:val="00B63DAF"/>
    <w:rsid w:val="00B63F03"/>
    <w:rsid w:val="00B64831"/>
    <w:rsid w:val="00B64A29"/>
    <w:rsid w:val="00B64AF3"/>
    <w:rsid w:val="00B64DEA"/>
    <w:rsid w:val="00B6539F"/>
    <w:rsid w:val="00B655F1"/>
    <w:rsid w:val="00B6575A"/>
    <w:rsid w:val="00B65B77"/>
    <w:rsid w:val="00B65C54"/>
    <w:rsid w:val="00B65CD4"/>
    <w:rsid w:val="00B66082"/>
    <w:rsid w:val="00B662AC"/>
    <w:rsid w:val="00B66443"/>
    <w:rsid w:val="00B66477"/>
    <w:rsid w:val="00B664C1"/>
    <w:rsid w:val="00B666B9"/>
    <w:rsid w:val="00B66729"/>
    <w:rsid w:val="00B66883"/>
    <w:rsid w:val="00B66948"/>
    <w:rsid w:val="00B66CA3"/>
    <w:rsid w:val="00B66E59"/>
    <w:rsid w:val="00B670E7"/>
    <w:rsid w:val="00B678A6"/>
    <w:rsid w:val="00B678E0"/>
    <w:rsid w:val="00B6794C"/>
    <w:rsid w:val="00B67D3E"/>
    <w:rsid w:val="00B67DC3"/>
    <w:rsid w:val="00B67EFA"/>
    <w:rsid w:val="00B700E1"/>
    <w:rsid w:val="00B70221"/>
    <w:rsid w:val="00B702B0"/>
    <w:rsid w:val="00B702D1"/>
    <w:rsid w:val="00B703C3"/>
    <w:rsid w:val="00B70411"/>
    <w:rsid w:val="00B7072A"/>
    <w:rsid w:val="00B70740"/>
    <w:rsid w:val="00B70B0D"/>
    <w:rsid w:val="00B70D7B"/>
    <w:rsid w:val="00B71202"/>
    <w:rsid w:val="00B71502"/>
    <w:rsid w:val="00B71651"/>
    <w:rsid w:val="00B71CD6"/>
    <w:rsid w:val="00B71D32"/>
    <w:rsid w:val="00B71DAB"/>
    <w:rsid w:val="00B72566"/>
    <w:rsid w:val="00B72AF5"/>
    <w:rsid w:val="00B72B96"/>
    <w:rsid w:val="00B72BAF"/>
    <w:rsid w:val="00B73427"/>
    <w:rsid w:val="00B73AA2"/>
    <w:rsid w:val="00B740C1"/>
    <w:rsid w:val="00B74549"/>
    <w:rsid w:val="00B74733"/>
    <w:rsid w:val="00B747B4"/>
    <w:rsid w:val="00B74D2D"/>
    <w:rsid w:val="00B75192"/>
    <w:rsid w:val="00B75B67"/>
    <w:rsid w:val="00B75C55"/>
    <w:rsid w:val="00B76183"/>
    <w:rsid w:val="00B7624E"/>
    <w:rsid w:val="00B763C6"/>
    <w:rsid w:val="00B763CC"/>
    <w:rsid w:val="00B76400"/>
    <w:rsid w:val="00B76738"/>
    <w:rsid w:val="00B76997"/>
    <w:rsid w:val="00B76B69"/>
    <w:rsid w:val="00B76CE6"/>
    <w:rsid w:val="00B76F56"/>
    <w:rsid w:val="00B76F74"/>
    <w:rsid w:val="00B77115"/>
    <w:rsid w:val="00B7712B"/>
    <w:rsid w:val="00B7732F"/>
    <w:rsid w:val="00B777F7"/>
    <w:rsid w:val="00B77D13"/>
    <w:rsid w:val="00B806B8"/>
    <w:rsid w:val="00B8072B"/>
    <w:rsid w:val="00B807F0"/>
    <w:rsid w:val="00B80976"/>
    <w:rsid w:val="00B810A0"/>
    <w:rsid w:val="00B816E1"/>
    <w:rsid w:val="00B81769"/>
    <w:rsid w:val="00B81EFB"/>
    <w:rsid w:val="00B8228D"/>
    <w:rsid w:val="00B82302"/>
    <w:rsid w:val="00B823E9"/>
    <w:rsid w:val="00B82458"/>
    <w:rsid w:val="00B82542"/>
    <w:rsid w:val="00B827A1"/>
    <w:rsid w:val="00B82A67"/>
    <w:rsid w:val="00B82EAF"/>
    <w:rsid w:val="00B83107"/>
    <w:rsid w:val="00B8348A"/>
    <w:rsid w:val="00B848C7"/>
    <w:rsid w:val="00B84DEC"/>
    <w:rsid w:val="00B84E29"/>
    <w:rsid w:val="00B84E99"/>
    <w:rsid w:val="00B84EC0"/>
    <w:rsid w:val="00B85593"/>
    <w:rsid w:val="00B8591A"/>
    <w:rsid w:val="00B85B5D"/>
    <w:rsid w:val="00B85C09"/>
    <w:rsid w:val="00B85DC5"/>
    <w:rsid w:val="00B85E29"/>
    <w:rsid w:val="00B85EDF"/>
    <w:rsid w:val="00B85EED"/>
    <w:rsid w:val="00B86050"/>
    <w:rsid w:val="00B861A1"/>
    <w:rsid w:val="00B86318"/>
    <w:rsid w:val="00B8654A"/>
    <w:rsid w:val="00B8672E"/>
    <w:rsid w:val="00B86CB9"/>
    <w:rsid w:val="00B86F62"/>
    <w:rsid w:val="00B872FF"/>
    <w:rsid w:val="00B875B5"/>
    <w:rsid w:val="00B87620"/>
    <w:rsid w:val="00B87824"/>
    <w:rsid w:val="00B8785C"/>
    <w:rsid w:val="00B8788C"/>
    <w:rsid w:val="00B87A51"/>
    <w:rsid w:val="00B87AC0"/>
    <w:rsid w:val="00B87AC8"/>
    <w:rsid w:val="00B902CE"/>
    <w:rsid w:val="00B90588"/>
    <w:rsid w:val="00B90594"/>
    <w:rsid w:val="00B90777"/>
    <w:rsid w:val="00B90796"/>
    <w:rsid w:val="00B907CD"/>
    <w:rsid w:val="00B90B69"/>
    <w:rsid w:val="00B91761"/>
    <w:rsid w:val="00B9181C"/>
    <w:rsid w:val="00B918EE"/>
    <w:rsid w:val="00B918F0"/>
    <w:rsid w:val="00B91D1D"/>
    <w:rsid w:val="00B91DD8"/>
    <w:rsid w:val="00B9233C"/>
    <w:rsid w:val="00B92597"/>
    <w:rsid w:val="00B92880"/>
    <w:rsid w:val="00B92B02"/>
    <w:rsid w:val="00B93157"/>
    <w:rsid w:val="00B931A9"/>
    <w:rsid w:val="00B9343F"/>
    <w:rsid w:val="00B9356B"/>
    <w:rsid w:val="00B93876"/>
    <w:rsid w:val="00B93C07"/>
    <w:rsid w:val="00B93E19"/>
    <w:rsid w:val="00B94116"/>
    <w:rsid w:val="00B9432F"/>
    <w:rsid w:val="00B943E3"/>
    <w:rsid w:val="00B945DC"/>
    <w:rsid w:val="00B94640"/>
    <w:rsid w:val="00B94824"/>
    <w:rsid w:val="00B94826"/>
    <w:rsid w:val="00B94E48"/>
    <w:rsid w:val="00B953C3"/>
    <w:rsid w:val="00B95FDD"/>
    <w:rsid w:val="00B96024"/>
    <w:rsid w:val="00B960D6"/>
    <w:rsid w:val="00B961F1"/>
    <w:rsid w:val="00B961FE"/>
    <w:rsid w:val="00B9687B"/>
    <w:rsid w:val="00B96B5E"/>
    <w:rsid w:val="00B96D55"/>
    <w:rsid w:val="00B96FC6"/>
    <w:rsid w:val="00B9701A"/>
    <w:rsid w:val="00B97566"/>
    <w:rsid w:val="00B975C1"/>
    <w:rsid w:val="00B97C75"/>
    <w:rsid w:val="00B97D09"/>
    <w:rsid w:val="00BA0214"/>
    <w:rsid w:val="00BA09E8"/>
    <w:rsid w:val="00BA0D4C"/>
    <w:rsid w:val="00BA0E30"/>
    <w:rsid w:val="00BA0E84"/>
    <w:rsid w:val="00BA14B7"/>
    <w:rsid w:val="00BA1657"/>
    <w:rsid w:val="00BA1831"/>
    <w:rsid w:val="00BA197A"/>
    <w:rsid w:val="00BA1C36"/>
    <w:rsid w:val="00BA1DB3"/>
    <w:rsid w:val="00BA2008"/>
    <w:rsid w:val="00BA2109"/>
    <w:rsid w:val="00BA210A"/>
    <w:rsid w:val="00BA2223"/>
    <w:rsid w:val="00BA24B7"/>
    <w:rsid w:val="00BA24CB"/>
    <w:rsid w:val="00BA2659"/>
    <w:rsid w:val="00BA26E7"/>
    <w:rsid w:val="00BA343E"/>
    <w:rsid w:val="00BA3B40"/>
    <w:rsid w:val="00BA3BCE"/>
    <w:rsid w:val="00BA3F58"/>
    <w:rsid w:val="00BA4152"/>
    <w:rsid w:val="00BA45E1"/>
    <w:rsid w:val="00BA4922"/>
    <w:rsid w:val="00BA4B61"/>
    <w:rsid w:val="00BA4D25"/>
    <w:rsid w:val="00BA506A"/>
    <w:rsid w:val="00BA5241"/>
    <w:rsid w:val="00BA526F"/>
    <w:rsid w:val="00BA5872"/>
    <w:rsid w:val="00BA5B0E"/>
    <w:rsid w:val="00BA616F"/>
    <w:rsid w:val="00BA626B"/>
    <w:rsid w:val="00BA655C"/>
    <w:rsid w:val="00BA68C2"/>
    <w:rsid w:val="00BA6924"/>
    <w:rsid w:val="00BA6981"/>
    <w:rsid w:val="00BA6A79"/>
    <w:rsid w:val="00BA6AA9"/>
    <w:rsid w:val="00BA6B7A"/>
    <w:rsid w:val="00BA6C89"/>
    <w:rsid w:val="00BA6D2C"/>
    <w:rsid w:val="00BA6D9A"/>
    <w:rsid w:val="00BA6EB1"/>
    <w:rsid w:val="00BA6FA9"/>
    <w:rsid w:val="00BA7143"/>
    <w:rsid w:val="00BA7234"/>
    <w:rsid w:val="00BA72CD"/>
    <w:rsid w:val="00BA738A"/>
    <w:rsid w:val="00BA7409"/>
    <w:rsid w:val="00BA75D9"/>
    <w:rsid w:val="00BA75F5"/>
    <w:rsid w:val="00BA76C9"/>
    <w:rsid w:val="00BA77F5"/>
    <w:rsid w:val="00BA7FA0"/>
    <w:rsid w:val="00BB0248"/>
    <w:rsid w:val="00BB035F"/>
    <w:rsid w:val="00BB04B6"/>
    <w:rsid w:val="00BB06BC"/>
    <w:rsid w:val="00BB074C"/>
    <w:rsid w:val="00BB0D78"/>
    <w:rsid w:val="00BB107D"/>
    <w:rsid w:val="00BB108D"/>
    <w:rsid w:val="00BB1294"/>
    <w:rsid w:val="00BB12C4"/>
    <w:rsid w:val="00BB147A"/>
    <w:rsid w:val="00BB1803"/>
    <w:rsid w:val="00BB1B25"/>
    <w:rsid w:val="00BB1E33"/>
    <w:rsid w:val="00BB29D6"/>
    <w:rsid w:val="00BB2E2A"/>
    <w:rsid w:val="00BB2E78"/>
    <w:rsid w:val="00BB2FE2"/>
    <w:rsid w:val="00BB3105"/>
    <w:rsid w:val="00BB32BD"/>
    <w:rsid w:val="00BB3321"/>
    <w:rsid w:val="00BB3515"/>
    <w:rsid w:val="00BB3572"/>
    <w:rsid w:val="00BB35EA"/>
    <w:rsid w:val="00BB3BC4"/>
    <w:rsid w:val="00BB3C46"/>
    <w:rsid w:val="00BB3C98"/>
    <w:rsid w:val="00BB414F"/>
    <w:rsid w:val="00BB43A4"/>
    <w:rsid w:val="00BB487F"/>
    <w:rsid w:val="00BB48BB"/>
    <w:rsid w:val="00BB4B11"/>
    <w:rsid w:val="00BB505E"/>
    <w:rsid w:val="00BB50F7"/>
    <w:rsid w:val="00BB54E2"/>
    <w:rsid w:val="00BB5972"/>
    <w:rsid w:val="00BB5A71"/>
    <w:rsid w:val="00BB5D09"/>
    <w:rsid w:val="00BB5FF4"/>
    <w:rsid w:val="00BB6039"/>
    <w:rsid w:val="00BB62C5"/>
    <w:rsid w:val="00BB6431"/>
    <w:rsid w:val="00BB648E"/>
    <w:rsid w:val="00BB699D"/>
    <w:rsid w:val="00BB6D0B"/>
    <w:rsid w:val="00BB6D21"/>
    <w:rsid w:val="00BB7000"/>
    <w:rsid w:val="00BB721C"/>
    <w:rsid w:val="00BB7286"/>
    <w:rsid w:val="00BB7316"/>
    <w:rsid w:val="00BB7346"/>
    <w:rsid w:val="00BB75BA"/>
    <w:rsid w:val="00BB7ABB"/>
    <w:rsid w:val="00BC00F6"/>
    <w:rsid w:val="00BC0211"/>
    <w:rsid w:val="00BC025A"/>
    <w:rsid w:val="00BC070A"/>
    <w:rsid w:val="00BC073C"/>
    <w:rsid w:val="00BC088D"/>
    <w:rsid w:val="00BC0D06"/>
    <w:rsid w:val="00BC0EF3"/>
    <w:rsid w:val="00BC115F"/>
    <w:rsid w:val="00BC1418"/>
    <w:rsid w:val="00BC1534"/>
    <w:rsid w:val="00BC15C6"/>
    <w:rsid w:val="00BC19FA"/>
    <w:rsid w:val="00BC1B3D"/>
    <w:rsid w:val="00BC1F44"/>
    <w:rsid w:val="00BC2223"/>
    <w:rsid w:val="00BC232F"/>
    <w:rsid w:val="00BC2380"/>
    <w:rsid w:val="00BC2538"/>
    <w:rsid w:val="00BC2571"/>
    <w:rsid w:val="00BC258A"/>
    <w:rsid w:val="00BC25FE"/>
    <w:rsid w:val="00BC26C2"/>
    <w:rsid w:val="00BC2772"/>
    <w:rsid w:val="00BC2CBB"/>
    <w:rsid w:val="00BC2E1D"/>
    <w:rsid w:val="00BC31EC"/>
    <w:rsid w:val="00BC37F6"/>
    <w:rsid w:val="00BC3822"/>
    <w:rsid w:val="00BC39F4"/>
    <w:rsid w:val="00BC3AA4"/>
    <w:rsid w:val="00BC3D58"/>
    <w:rsid w:val="00BC3E6C"/>
    <w:rsid w:val="00BC3F1B"/>
    <w:rsid w:val="00BC3FB6"/>
    <w:rsid w:val="00BC41F9"/>
    <w:rsid w:val="00BC437F"/>
    <w:rsid w:val="00BC43DB"/>
    <w:rsid w:val="00BC4552"/>
    <w:rsid w:val="00BC4575"/>
    <w:rsid w:val="00BC4FE3"/>
    <w:rsid w:val="00BC5AF5"/>
    <w:rsid w:val="00BC5F8F"/>
    <w:rsid w:val="00BC6204"/>
    <w:rsid w:val="00BC6217"/>
    <w:rsid w:val="00BC622A"/>
    <w:rsid w:val="00BC62D8"/>
    <w:rsid w:val="00BC63F5"/>
    <w:rsid w:val="00BC67B9"/>
    <w:rsid w:val="00BC67F7"/>
    <w:rsid w:val="00BC68FD"/>
    <w:rsid w:val="00BC7305"/>
    <w:rsid w:val="00BC74BB"/>
    <w:rsid w:val="00BD0150"/>
    <w:rsid w:val="00BD0479"/>
    <w:rsid w:val="00BD0772"/>
    <w:rsid w:val="00BD0A77"/>
    <w:rsid w:val="00BD0FA6"/>
    <w:rsid w:val="00BD10A1"/>
    <w:rsid w:val="00BD1122"/>
    <w:rsid w:val="00BD12A8"/>
    <w:rsid w:val="00BD1745"/>
    <w:rsid w:val="00BD18EC"/>
    <w:rsid w:val="00BD1942"/>
    <w:rsid w:val="00BD1C21"/>
    <w:rsid w:val="00BD209D"/>
    <w:rsid w:val="00BD23E9"/>
    <w:rsid w:val="00BD2679"/>
    <w:rsid w:val="00BD26D4"/>
    <w:rsid w:val="00BD2CBB"/>
    <w:rsid w:val="00BD315E"/>
    <w:rsid w:val="00BD343E"/>
    <w:rsid w:val="00BD37B9"/>
    <w:rsid w:val="00BD3881"/>
    <w:rsid w:val="00BD3CE0"/>
    <w:rsid w:val="00BD3D1C"/>
    <w:rsid w:val="00BD3EF0"/>
    <w:rsid w:val="00BD4143"/>
    <w:rsid w:val="00BD45B7"/>
    <w:rsid w:val="00BD4603"/>
    <w:rsid w:val="00BD4677"/>
    <w:rsid w:val="00BD494F"/>
    <w:rsid w:val="00BD4C0F"/>
    <w:rsid w:val="00BD4D77"/>
    <w:rsid w:val="00BD4E62"/>
    <w:rsid w:val="00BD4FA7"/>
    <w:rsid w:val="00BD52D0"/>
    <w:rsid w:val="00BD534B"/>
    <w:rsid w:val="00BD53DA"/>
    <w:rsid w:val="00BD549E"/>
    <w:rsid w:val="00BD555B"/>
    <w:rsid w:val="00BD5790"/>
    <w:rsid w:val="00BD57F6"/>
    <w:rsid w:val="00BD5ACB"/>
    <w:rsid w:val="00BD5B9D"/>
    <w:rsid w:val="00BD5DF4"/>
    <w:rsid w:val="00BD5F0F"/>
    <w:rsid w:val="00BD5F33"/>
    <w:rsid w:val="00BD63AE"/>
    <w:rsid w:val="00BD6643"/>
    <w:rsid w:val="00BD672C"/>
    <w:rsid w:val="00BD6903"/>
    <w:rsid w:val="00BD6B77"/>
    <w:rsid w:val="00BD6D54"/>
    <w:rsid w:val="00BD6E1E"/>
    <w:rsid w:val="00BD6EEE"/>
    <w:rsid w:val="00BD7248"/>
    <w:rsid w:val="00BD728C"/>
    <w:rsid w:val="00BD7588"/>
    <w:rsid w:val="00BD781A"/>
    <w:rsid w:val="00BD7A4F"/>
    <w:rsid w:val="00BD7BDD"/>
    <w:rsid w:val="00BD7EA8"/>
    <w:rsid w:val="00BD7F2C"/>
    <w:rsid w:val="00BD7F51"/>
    <w:rsid w:val="00BE01F2"/>
    <w:rsid w:val="00BE022B"/>
    <w:rsid w:val="00BE068D"/>
    <w:rsid w:val="00BE06F2"/>
    <w:rsid w:val="00BE0A21"/>
    <w:rsid w:val="00BE0C66"/>
    <w:rsid w:val="00BE1638"/>
    <w:rsid w:val="00BE18E6"/>
    <w:rsid w:val="00BE1E05"/>
    <w:rsid w:val="00BE1F09"/>
    <w:rsid w:val="00BE1FCF"/>
    <w:rsid w:val="00BE2432"/>
    <w:rsid w:val="00BE25A9"/>
    <w:rsid w:val="00BE25F0"/>
    <w:rsid w:val="00BE28DD"/>
    <w:rsid w:val="00BE2C52"/>
    <w:rsid w:val="00BE2CA4"/>
    <w:rsid w:val="00BE2EB8"/>
    <w:rsid w:val="00BE3061"/>
    <w:rsid w:val="00BE30B2"/>
    <w:rsid w:val="00BE3380"/>
    <w:rsid w:val="00BE34D4"/>
    <w:rsid w:val="00BE3A08"/>
    <w:rsid w:val="00BE3FB7"/>
    <w:rsid w:val="00BE4467"/>
    <w:rsid w:val="00BE4828"/>
    <w:rsid w:val="00BE4BC1"/>
    <w:rsid w:val="00BE4F4E"/>
    <w:rsid w:val="00BE4F69"/>
    <w:rsid w:val="00BE505D"/>
    <w:rsid w:val="00BE50AC"/>
    <w:rsid w:val="00BE53A8"/>
    <w:rsid w:val="00BE54B3"/>
    <w:rsid w:val="00BE5727"/>
    <w:rsid w:val="00BE57E1"/>
    <w:rsid w:val="00BE59E0"/>
    <w:rsid w:val="00BE60B6"/>
    <w:rsid w:val="00BE615B"/>
    <w:rsid w:val="00BE620C"/>
    <w:rsid w:val="00BE639E"/>
    <w:rsid w:val="00BE63EB"/>
    <w:rsid w:val="00BE65A0"/>
    <w:rsid w:val="00BE6B47"/>
    <w:rsid w:val="00BE6C95"/>
    <w:rsid w:val="00BE6CCF"/>
    <w:rsid w:val="00BE6E3A"/>
    <w:rsid w:val="00BE73F1"/>
    <w:rsid w:val="00BE7888"/>
    <w:rsid w:val="00BE7AE8"/>
    <w:rsid w:val="00BE7DDB"/>
    <w:rsid w:val="00BE7DE7"/>
    <w:rsid w:val="00BF009F"/>
    <w:rsid w:val="00BF05B9"/>
    <w:rsid w:val="00BF0877"/>
    <w:rsid w:val="00BF0A35"/>
    <w:rsid w:val="00BF0B80"/>
    <w:rsid w:val="00BF0C35"/>
    <w:rsid w:val="00BF0CCE"/>
    <w:rsid w:val="00BF0CED"/>
    <w:rsid w:val="00BF1551"/>
    <w:rsid w:val="00BF16C7"/>
    <w:rsid w:val="00BF179E"/>
    <w:rsid w:val="00BF19A9"/>
    <w:rsid w:val="00BF1C0D"/>
    <w:rsid w:val="00BF2080"/>
    <w:rsid w:val="00BF2191"/>
    <w:rsid w:val="00BF2451"/>
    <w:rsid w:val="00BF256A"/>
    <w:rsid w:val="00BF2641"/>
    <w:rsid w:val="00BF26BC"/>
    <w:rsid w:val="00BF29DE"/>
    <w:rsid w:val="00BF29F4"/>
    <w:rsid w:val="00BF2A64"/>
    <w:rsid w:val="00BF2C79"/>
    <w:rsid w:val="00BF2EAA"/>
    <w:rsid w:val="00BF2FAA"/>
    <w:rsid w:val="00BF3038"/>
    <w:rsid w:val="00BF30F8"/>
    <w:rsid w:val="00BF326B"/>
    <w:rsid w:val="00BF35CB"/>
    <w:rsid w:val="00BF378B"/>
    <w:rsid w:val="00BF37EB"/>
    <w:rsid w:val="00BF3E1F"/>
    <w:rsid w:val="00BF412A"/>
    <w:rsid w:val="00BF41FE"/>
    <w:rsid w:val="00BF4BC4"/>
    <w:rsid w:val="00BF4D69"/>
    <w:rsid w:val="00BF4DDB"/>
    <w:rsid w:val="00BF4F70"/>
    <w:rsid w:val="00BF4F8D"/>
    <w:rsid w:val="00BF5085"/>
    <w:rsid w:val="00BF5AB5"/>
    <w:rsid w:val="00BF5C49"/>
    <w:rsid w:val="00BF5C95"/>
    <w:rsid w:val="00BF5D45"/>
    <w:rsid w:val="00BF5E4E"/>
    <w:rsid w:val="00BF6073"/>
    <w:rsid w:val="00BF6205"/>
    <w:rsid w:val="00BF62C1"/>
    <w:rsid w:val="00BF636B"/>
    <w:rsid w:val="00BF6654"/>
    <w:rsid w:val="00BF6931"/>
    <w:rsid w:val="00BF6C61"/>
    <w:rsid w:val="00BF6DA4"/>
    <w:rsid w:val="00BF6EE4"/>
    <w:rsid w:val="00BF7141"/>
    <w:rsid w:val="00BF7186"/>
    <w:rsid w:val="00BF7300"/>
    <w:rsid w:val="00BF7809"/>
    <w:rsid w:val="00BF78FB"/>
    <w:rsid w:val="00BF7C24"/>
    <w:rsid w:val="00BF7FC6"/>
    <w:rsid w:val="00C002ED"/>
    <w:rsid w:val="00C00982"/>
    <w:rsid w:val="00C0102F"/>
    <w:rsid w:val="00C01992"/>
    <w:rsid w:val="00C01D5F"/>
    <w:rsid w:val="00C02265"/>
    <w:rsid w:val="00C02B92"/>
    <w:rsid w:val="00C02C22"/>
    <w:rsid w:val="00C02CBC"/>
    <w:rsid w:val="00C02CFB"/>
    <w:rsid w:val="00C0313A"/>
    <w:rsid w:val="00C033F4"/>
    <w:rsid w:val="00C03888"/>
    <w:rsid w:val="00C038EB"/>
    <w:rsid w:val="00C03C1A"/>
    <w:rsid w:val="00C04315"/>
    <w:rsid w:val="00C04447"/>
    <w:rsid w:val="00C04452"/>
    <w:rsid w:val="00C0446E"/>
    <w:rsid w:val="00C047AF"/>
    <w:rsid w:val="00C04981"/>
    <w:rsid w:val="00C04AD5"/>
    <w:rsid w:val="00C04B21"/>
    <w:rsid w:val="00C04D9B"/>
    <w:rsid w:val="00C04F02"/>
    <w:rsid w:val="00C04FDA"/>
    <w:rsid w:val="00C053CB"/>
    <w:rsid w:val="00C05839"/>
    <w:rsid w:val="00C05953"/>
    <w:rsid w:val="00C05E6F"/>
    <w:rsid w:val="00C0616C"/>
    <w:rsid w:val="00C061ED"/>
    <w:rsid w:val="00C0647D"/>
    <w:rsid w:val="00C066E8"/>
    <w:rsid w:val="00C067A7"/>
    <w:rsid w:val="00C06997"/>
    <w:rsid w:val="00C06A62"/>
    <w:rsid w:val="00C06C85"/>
    <w:rsid w:val="00C06CB8"/>
    <w:rsid w:val="00C06D55"/>
    <w:rsid w:val="00C06D9E"/>
    <w:rsid w:val="00C0712E"/>
    <w:rsid w:val="00C07225"/>
    <w:rsid w:val="00C07314"/>
    <w:rsid w:val="00C073CD"/>
    <w:rsid w:val="00C07811"/>
    <w:rsid w:val="00C0791B"/>
    <w:rsid w:val="00C07BE7"/>
    <w:rsid w:val="00C07BEF"/>
    <w:rsid w:val="00C07C4A"/>
    <w:rsid w:val="00C10103"/>
    <w:rsid w:val="00C102CC"/>
    <w:rsid w:val="00C1053C"/>
    <w:rsid w:val="00C108BC"/>
    <w:rsid w:val="00C109F7"/>
    <w:rsid w:val="00C10AE7"/>
    <w:rsid w:val="00C10C30"/>
    <w:rsid w:val="00C10C3B"/>
    <w:rsid w:val="00C10C3F"/>
    <w:rsid w:val="00C10D07"/>
    <w:rsid w:val="00C1156A"/>
    <w:rsid w:val="00C11864"/>
    <w:rsid w:val="00C11958"/>
    <w:rsid w:val="00C11A0F"/>
    <w:rsid w:val="00C11EDE"/>
    <w:rsid w:val="00C120FE"/>
    <w:rsid w:val="00C1294A"/>
    <w:rsid w:val="00C12A17"/>
    <w:rsid w:val="00C12B6A"/>
    <w:rsid w:val="00C12BB9"/>
    <w:rsid w:val="00C12F8E"/>
    <w:rsid w:val="00C12FA5"/>
    <w:rsid w:val="00C13251"/>
    <w:rsid w:val="00C13468"/>
    <w:rsid w:val="00C13584"/>
    <w:rsid w:val="00C13C77"/>
    <w:rsid w:val="00C13D4F"/>
    <w:rsid w:val="00C13E4F"/>
    <w:rsid w:val="00C1467F"/>
    <w:rsid w:val="00C1479F"/>
    <w:rsid w:val="00C14D95"/>
    <w:rsid w:val="00C14E26"/>
    <w:rsid w:val="00C14ECF"/>
    <w:rsid w:val="00C154CC"/>
    <w:rsid w:val="00C15721"/>
    <w:rsid w:val="00C15894"/>
    <w:rsid w:val="00C158E8"/>
    <w:rsid w:val="00C15A11"/>
    <w:rsid w:val="00C15B21"/>
    <w:rsid w:val="00C15B74"/>
    <w:rsid w:val="00C15E79"/>
    <w:rsid w:val="00C15F7E"/>
    <w:rsid w:val="00C15FF2"/>
    <w:rsid w:val="00C16560"/>
    <w:rsid w:val="00C16565"/>
    <w:rsid w:val="00C1670D"/>
    <w:rsid w:val="00C16894"/>
    <w:rsid w:val="00C16B89"/>
    <w:rsid w:val="00C16CE4"/>
    <w:rsid w:val="00C16F1D"/>
    <w:rsid w:val="00C175F5"/>
    <w:rsid w:val="00C17917"/>
    <w:rsid w:val="00C17FED"/>
    <w:rsid w:val="00C20035"/>
    <w:rsid w:val="00C2018B"/>
    <w:rsid w:val="00C20209"/>
    <w:rsid w:val="00C20958"/>
    <w:rsid w:val="00C209AA"/>
    <w:rsid w:val="00C20F03"/>
    <w:rsid w:val="00C2116A"/>
    <w:rsid w:val="00C214E5"/>
    <w:rsid w:val="00C218E9"/>
    <w:rsid w:val="00C21E55"/>
    <w:rsid w:val="00C21F58"/>
    <w:rsid w:val="00C22014"/>
    <w:rsid w:val="00C22039"/>
    <w:rsid w:val="00C222B8"/>
    <w:rsid w:val="00C223D3"/>
    <w:rsid w:val="00C22433"/>
    <w:rsid w:val="00C2249A"/>
    <w:rsid w:val="00C2261C"/>
    <w:rsid w:val="00C22807"/>
    <w:rsid w:val="00C22B5A"/>
    <w:rsid w:val="00C22B72"/>
    <w:rsid w:val="00C22F2C"/>
    <w:rsid w:val="00C232A4"/>
    <w:rsid w:val="00C239DE"/>
    <w:rsid w:val="00C23C94"/>
    <w:rsid w:val="00C23D81"/>
    <w:rsid w:val="00C240F9"/>
    <w:rsid w:val="00C24138"/>
    <w:rsid w:val="00C2443A"/>
    <w:rsid w:val="00C24446"/>
    <w:rsid w:val="00C24538"/>
    <w:rsid w:val="00C24614"/>
    <w:rsid w:val="00C246BA"/>
    <w:rsid w:val="00C24C58"/>
    <w:rsid w:val="00C24D6B"/>
    <w:rsid w:val="00C24FCF"/>
    <w:rsid w:val="00C24FE1"/>
    <w:rsid w:val="00C25307"/>
    <w:rsid w:val="00C25375"/>
    <w:rsid w:val="00C253B2"/>
    <w:rsid w:val="00C25413"/>
    <w:rsid w:val="00C2550E"/>
    <w:rsid w:val="00C256F2"/>
    <w:rsid w:val="00C25BA5"/>
    <w:rsid w:val="00C25D77"/>
    <w:rsid w:val="00C266E5"/>
    <w:rsid w:val="00C26896"/>
    <w:rsid w:val="00C26A31"/>
    <w:rsid w:val="00C26A4D"/>
    <w:rsid w:val="00C26B82"/>
    <w:rsid w:val="00C26C0C"/>
    <w:rsid w:val="00C26C93"/>
    <w:rsid w:val="00C26EDF"/>
    <w:rsid w:val="00C26FBD"/>
    <w:rsid w:val="00C27071"/>
    <w:rsid w:val="00C2737E"/>
    <w:rsid w:val="00C27750"/>
    <w:rsid w:val="00C27C29"/>
    <w:rsid w:val="00C27D1F"/>
    <w:rsid w:val="00C27F21"/>
    <w:rsid w:val="00C303BF"/>
    <w:rsid w:val="00C3049D"/>
    <w:rsid w:val="00C304CD"/>
    <w:rsid w:val="00C306C1"/>
    <w:rsid w:val="00C30903"/>
    <w:rsid w:val="00C30E66"/>
    <w:rsid w:val="00C315CB"/>
    <w:rsid w:val="00C315DA"/>
    <w:rsid w:val="00C31A6A"/>
    <w:rsid w:val="00C31F01"/>
    <w:rsid w:val="00C32158"/>
    <w:rsid w:val="00C32281"/>
    <w:rsid w:val="00C323AB"/>
    <w:rsid w:val="00C32A50"/>
    <w:rsid w:val="00C32B49"/>
    <w:rsid w:val="00C32D21"/>
    <w:rsid w:val="00C32D40"/>
    <w:rsid w:val="00C32E25"/>
    <w:rsid w:val="00C32EAD"/>
    <w:rsid w:val="00C32F0B"/>
    <w:rsid w:val="00C33420"/>
    <w:rsid w:val="00C3393A"/>
    <w:rsid w:val="00C33954"/>
    <w:rsid w:val="00C339E8"/>
    <w:rsid w:val="00C33A5C"/>
    <w:rsid w:val="00C34452"/>
    <w:rsid w:val="00C34549"/>
    <w:rsid w:val="00C34595"/>
    <w:rsid w:val="00C34918"/>
    <w:rsid w:val="00C34C9C"/>
    <w:rsid w:val="00C34EE2"/>
    <w:rsid w:val="00C34EE4"/>
    <w:rsid w:val="00C3511D"/>
    <w:rsid w:val="00C35122"/>
    <w:rsid w:val="00C351CA"/>
    <w:rsid w:val="00C353AF"/>
    <w:rsid w:val="00C35423"/>
    <w:rsid w:val="00C35AB7"/>
    <w:rsid w:val="00C35D25"/>
    <w:rsid w:val="00C36260"/>
    <w:rsid w:val="00C36AF6"/>
    <w:rsid w:val="00C36AFC"/>
    <w:rsid w:val="00C36B7C"/>
    <w:rsid w:val="00C36CDC"/>
    <w:rsid w:val="00C36DBE"/>
    <w:rsid w:val="00C370BF"/>
    <w:rsid w:val="00C372D3"/>
    <w:rsid w:val="00C37307"/>
    <w:rsid w:val="00C3737B"/>
    <w:rsid w:val="00C37919"/>
    <w:rsid w:val="00C37923"/>
    <w:rsid w:val="00C37E7C"/>
    <w:rsid w:val="00C37EBE"/>
    <w:rsid w:val="00C4011F"/>
    <w:rsid w:val="00C4030B"/>
    <w:rsid w:val="00C40341"/>
    <w:rsid w:val="00C40691"/>
    <w:rsid w:val="00C406D2"/>
    <w:rsid w:val="00C4089B"/>
    <w:rsid w:val="00C40E83"/>
    <w:rsid w:val="00C40EEF"/>
    <w:rsid w:val="00C40F17"/>
    <w:rsid w:val="00C40F4D"/>
    <w:rsid w:val="00C41254"/>
    <w:rsid w:val="00C41302"/>
    <w:rsid w:val="00C41317"/>
    <w:rsid w:val="00C41406"/>
    <w:rsid w:val="00C414F7"/>
    <w:rsid w:val="00C417AB"/>
    <w:rsid w:val="00C419C9"/>
    <w:rsid w:val="00C41CB2"/>
    <w:rsid w:val="00C41DEA"/>
    <w:rsid w:val="00C41EFF"/>
    <w:rsid w:val="00C421A8"/>
    <w:rsid w:val="00C42290"/>
    <w:rsid w:val="00C424B2"/>
    <w:rsid w:val="00C4268A"/>
    <w:rsid w:val="00C42813"/>
    <w:rsid w:val="00C4287A"/>
    <w:rsid w:val="00C4288E"/>
    <w:rsid w:val="00C42895"/>
    <w:rsid w:val="00C42924"/>
    <w:rsid w:val="00C42999"/>
    <w:rsid w:val="00C42B5A"/>
    <w:rsid w:val="00C42D63"/>
    <w:rsid w:val="00C42F32"/>
    <w:rsid w:val="00C431FB"/>
    <w:rsid w:val="00C43289"/>
    <w:rsid w:val="00C4331A"/>
    <w:rsid w:val="00C43465"/>
    <w:rsid w:val="00C438D5"/>
    <w:rsid w:val="00C438FC"/>
    <w:rsid w:val="00C43D48"/>
    <w:rsid w:val="00C43F95"/>
    <w:rsid w:val="00C441D1"/>
    <w:rsid w:val="00C44B90"/>
    <w:rsid w:val="00C44CE4"/>
    <w:rsid w:val="00C44D37"/>
    <w:rsid w:val="00C44D88"/>
    <w:rsid w:val="00C453A1"/>
    <w:rsid w:val="00C4546C"/>
    <w:rsid w:val="00C454A2"/>
    <w:rsid w:val="00C45BEF"/>
    <w:rsid w:val="00C45C5D"/>
    <w:rsid w:val="00C45CF1"/>
    <w:rsid w:val="00C45D28"/>
    <w:rsid w:val="00C45DD2"/>
    <w:rsid w:val="00C45ED2"/>
    <w:rsid w:val="00C45FF5"/>
    <w:rsid w:val="00C4641C"/>
    <w:rsid w:val="00C465E9"/>
    <w:rsid w:val="00C465EF"/>
    <w:rsid w:val="00C467E1"/>
    <w:rsid w:val="00C46975"/>
    <w:rsid w:val="00C46A96"/>
    <w:rsid w:val="00C46ABA"/>
    <w:rsid w:val="00C46D8C"/>
    <w:rsid w:val="00C46EA7"/>
    <w:rsid w:val="00C47201"/>
    <w:rsid w:val="00C47669"/>
    <w:rsid w:val="00C47A2A"/>
    <w:rsid w:val="00C47E39"/>
    <w:rsid w:val="00C47FBB"/>
    <w:rsid w:val="00C50016"/>
    <w:rsid w:val="00C50582"/>
    <w:rsid w:val="00C50806"/>
    <w:rsid w:val="00C50CF6"/>
    <w:rsid w:val="00C50D3D"/>
    <w:rsid w:val="00C514D4"/>
    <w:rsid w:val="00C516F1"/>
    <w:rsid w:val="00C51E95"/>
    <w:rsid w:val="00C5211A"/>
    <w:rsid w:val="00C52399"/>
    <w:rsid w:val="00C524D2"/>
    <w:rsid w:val="00C525F2"/>
    <w:rsid w:val="00C52988"/>
    <w:rsid w:val="00C52A91"/>
    <w:rsid w:val="00C52A92"/>
    <w:rsid w:val="00C52BC2"/>
    <w:rsid w:val="00C52D7A"/>
    <w:rsid w:val="00C52D9A"/>
    <w:rsid w:val="00C53021"/>
    <w:rsid w:val="00C53364"/>
    <w:rsid w:val="00C5363D"/>
    <w:rsid w:val="00C5377F"/>
    <w:rsid w:val="00C53C3B"/>
    <w:rsid w:val="00C53D4B"/>
    <w:rsid w:val="00C53E74"/>
    <w:rsid w:val="00C53F40"/>
    <w:rsid w:val="00C54551"/>
    <w:rsid w:val="00C54674"/>
    <w:rsid w:val="00C548C3"/>
    <w:rsid w:val="00C54969"/>
    <w:rsid w:val="00C5499C"/>
    <w:rsid w:val="00C54EFB"/>
    <w:rsid w:val="00C54FA5"/>
    <w:rsid w:val="00C5556E"/>
    <w:rsid w:val="00C55668"/>
    <w:rsid w:val="00C5592F"/>
    <w:rsid w:val="00C55C50"/>
    <w:rsid w:val="00C56187"/>
    <w:rsid w:val="00C5619C"/>
    <w:rsid w:val="00C561E7"/>
    <w:rsid w:val="00C56218"/>
    <w:rsid w:val="00C56387"/>
    <w:rsid w:val="00C56AE3"/>
    <w:rsid w:val="00C56B65"/>
    <w:rsid w:val="00C56EAA"/>
    <w:rsid w:val="00C56F80"/>
    <w:rsid w:val="00C56FA6"/>
    <w:rsid w:val="00C57344"/>
    <w:rsid w:val="00C5737E"/>
    <w:rsid w:val="00C573C7"/>
    <w:rsid w:val="00C574E1"/>
    <w:rsid w:val="00C576B6"/>
    <w:rsid w:val="00C57B57"/>
    <w:rsid w:val="00C57C3D"/>
    <w:rsid w:val="00C60094"/>
    <w:rsid w:val="00C60148"/>
    <w:rsid w:val="00C6029D"/>
    <w:rsid w:val="00C604FC"/>
    <w:rsid w:val="00C607EC"/>
    <w:rsid w:val="00C608C8"/>
    <w:rsid w:val="00C609C2"/>
    <w:rsid w:val="00C60CE0"/>
    <w:rsid w:val="00C611D8"/>
    <w:rsid w:val="00C61E5B"/>
    <w:rsid w:val="00C620CE"/>
    <w:rsid w:val="00C62506"/>
    <w:rsid w:val="00C6267B"/>
    <w:rsid w:val="00C6277B"/>
    <w:rsid w:val="00C6288F"/>
    <w:rsid w:val="00C62893"/>
    <w:rsid w:val="00C62CB9"/>
    <w:rsid w:val="00C62FC6"/>
    <w:rsid w:val="00C62FFE"/>
    <w:rsid w:val="00C638E2"/>
    <w:rsid w:val="00C63BCB"/>
    <w:rsid w:val="00C63C0A"/>
    <w:rsid w:val="00C63E56"/>
    <w:rsid w:val="00C63F00"/>
    <w:rsid w:val="00C63F8A"/>
    <w:rsid w:val="00C645EF"/>
    <w:rsid w:val="00C645FA"/>
    <w:rsid w:val="00C6464F"/>
    <w:rsid w:val="00C6472A"/>
    <w:rsid w:val="00C648F1"/>
    <w:rsid w:val="00C648F6"/>
    <w:rsid w:val="00C64AAF"/>
    <w:rsid w:val="00C64D26"/>
    <w:rsid w:val="00C64E3B"/>
    <w:rsid w:val="00C64EB0"/>
    <w:rsid w:val="00C65101"/>
    <w:rsid w:val="00C6526A"/>
    <w:rsid w:val="00C6528F"/>
    <w:rsid w:val="00C656A2"/>
    <w:rsid w:val="00C65809"/>
    <w:rsid w:val="00C65A52"/>
    <w:rsid w:val="00C65F46"/>
    <w:rsid w:val="00C65F50"/>
    <w:rsid w:val="00C6612A"/>
    <w:rsid w:val="00C663B8"/>
    <w:rsid w:val="00C664C3"/>
    <w:rsid w:val="00C6666C"/>
    <w:rsid w:val="00C66A98"/>
    <w:rsid w:val="00C66C43"/>
    <w:rsid w:val="00C66F74"/>
    <w:rsid w:val="00C675E1"/>
    <w:rsid w:val="00C6783A"/>
    <w:rsid w:val="00C67C23"/>
    <w:rsid w:val="00C67F50"/>
    <w:rsid w:val="00C70027"/>
    <w:rsid w:val="00C70094"/>
    <w:rsid w:val="00C70433"/>
    <w:rsid w:val="00C707F0"/>
    <w:rsid w:val="00C7093B"/>
    <w:rsid w:val="00C70971"/>
    <w:rsid w:val="00C70E62"/>
    <w:rsid w:val="00C714D3"/>
    <w:rsid w:val="00C71B7C"/>
    <w:rsid w:val="00C71D57"/>
    <w:rsid w:val="00C71F8C"/>
    <w:rsid w:val="00C7244D"/>
    <w:rsid w:val="00C72624"/>
    <w:rsid w:val="00C72731"/>
    <w:rsid w:val="00C733F7"/>
    <w:rsid w:val="00C7372B"/>
    <w:rsid w:val="00C73B5A"/>
    <w:rsid w:val="00C73D1E"/>
    <w:rsid w:val="00C73E30"/>
    <w:rsid w:val="00C73FFD"/>
    <w:rsid w:val="00C7400E"/>
    <w:rsid w:val="00C742C1"/>
    <w:rsid w:val="00C742E9"/>
    <w:rsid w:val="00C74611"/>
    <w:rsid w:val="00C74A5F"/>
    <w:rsid w:val="00C74E0A"/>
    <w:rsid w:val="00C75058"/>
    <w:rsid w:val="00C750AA"/>
    <w:rsid w:val="00C75104"/>
    <w:rsid w:val="00C7543F"/>
    <w:rsid w:val="00C756EF"/>
    <w:rsid w:val="00C7584E"/>
    <w:rsid w:val="00C75850"/>
    <w:rsid w:val="00C7589C"/>
    <w:rsid w:val="00C75E8C"/>
    <w:rsid w:val="00C768E5"/>
    <w:rsid w:val="00C76AA1"/>
    <w:rsid w:val="00C76E20"/>
    <w:rsid w:val="00C76E2D"/>
    <w:rsid w:val="00C76EC1"/>
    <w:rsid w:val="00C77412"/>
    <w:rsid w:val="00C77736"/>
    <w:rsid w:val="00C77911"/>
    <w:rsid w:val="00C77E92"/>
    <w:rsid w:val="00C77F7F"/>
    <w:rsid w:val="00C77FE2"/>
    <w:rsid w:val="00C8000E"/>
    <w:rsid w:val="00C800FC"/>
    <w:rsid w:val="00C803BE"/>
    <w:rsid w:val="00C8078C"/>
    <w:rsid w:val="00C80D85"/>
    <w:rsid w:val="00C810F5"/>
    <w:rsid w:val="00C815D9"/>
    <w:rsid w:val="00C81A09"/>
    <w:rsid w:val="00C81A6C"/>
    <w:rsid w:val="00C81A8F"/>
    <w:rsid w:val="00C81BEA"/>
    <w:rsid w:val="00C81CCC"/>
    <w:rsid w:val="00C81DAE"/>
    <w:rsid w:val="00C8217A"/>
    <w:rsid w:val="00C82270"/>
    <w:rsid w:val="00C82294"/>
    <w:rsid w:val="00C825A6"/>
    <w:rsid w:val="00C8262D"/>
    <w:rsid w:val="00C828AB"/>
    <w:rsid w:val="00C82D79"/>
    <w:rsid w:val="00C8301F"/>
    <w:rsid w:val="00C830EB"/>
    <w:rsid w:val="00C83124"/>
    <w:rsid w:val="00C831BD"/>
    <w:rsid w:val="00C83312"/>
    <w:rsid w:val="00C833F2"/>
    <w:rsid w:val="00C835F7"/>
    <w:rsid w:val="00C83715"/>
    <w:rsid w:val="00C83980"/>
    <w:rsid w:val="00C83F09"/>
    <w:rsid w:val="00C8404E"/>
    <w:rsid w:val="00C840F8"/>
    <w:rsid w:val="00C8418F"/>
    <w:rsid w:val="00C842D5"/>
    <w:rsid w:val="00C84341"/>
    <w:rsid w:val="00C8438B"/>
    <w:rsid w:val="00C84452"/>
    <w:rsid w:val="00C84513"/>
    <w:rsid w:val="00C84979"/>
    <w:rsid w:val="00C84AB5"/>
    <w:rsid w:val="00C84BC7"/>
    <w:rsid w:val="00C84D4D"/>
    <w:rsid w:val="00C84F33"/>
    <w:rsid w:val="00C84F4B"/>
    <w:rsid w:val="00C84F9E"/>
    <w:rsid w:val="00C84FCF"/>
    <w:rsid w:val="00C85466"/>
    <w:rsid w:val="00C8582A"/>
    <w:rsid w:val="00C85868"/>
    <w:rsid w:val="00C85FB9"/>
    <w:rsid w:val="00C8601D"/>
    <w:rsid w:val="00C8618D"/>
    <w:rsid w:val="00C862B1"/>
    <w:rsid w:val="00C862FD"/>
    <w:rsid w:val="00C865A3"/>
    <w:rsid w:val="00C865F7"/>
    <w:rsid w:val="00C86704"/>
    <w:rsid w:val="00C867BC"/>
    <w:rsid w:val="00C86B5D"/>
    <w:rsid w:val="00C86E3A"/>
    <w:rsid w:val="00C8700E"/>
    <w:rsid w:val="00C870C8"/>
    <w:rsid w:val="00C87323"/>
    <w:rsid w:val="00C8745A"/>
    <w:rsid w:val="00C875A6"/>
    <w:rsid w:val="00C8763A"/>
    <w:rsid w:val="00C87850"/>
    <w:rsid w:val="00C87888"/>
    <w:rsid w:val="00C878DE"/>
    <w:rsid w:val="00C8798A"/>
    <w:rsid w:val="00C87C00"/>
    <w:rsid w:val="00C90292"/>
    <w:rsid w:val="00C902EB"/>
    <w:rsid w:val="00C90335"/>
    <w:rsid w:val="00C9045A"/>
    <w:rsid w:val="00C90D33"/>
    <w:rsid w:val="00C90FC9"/>
    <w:rsid w:val="00C91326"/>
    <w:rsid w:val="00C913B1"/>
    <w:rsid w:val="00C9158A"/>
    <w:rsid w:val="00C91749"/>
    <w:rsid w:val="00C9174A"/>
    <w:rsid w:val="00C91A30"/>
    <w:rsid w:val="00C92150"/>
    <w:rsid w:val="00C92200"/>
    <w:rsid w:val="00C926DA"/>
    <w:rsid w:val="00C92771"/>
    <w:rsid w:val="00C92970"/>
    <w:rsid w:val="00C92AD9"/>
    <w:rsid w:val="00C932C6"/>
    <w:rsid w:val="00C93714"/>
    <w:rsid w:val="00C9385A"/>
    <w:rsid w:val="00C93956"/>
    <w:rsid w:val="00C93B6F"/>
    <w:rsid w:val="00C93C66"/>
    <w:rsid w:val="00C93EDE"/>
    <w:rsid w:val="00C941DB"/>
    <w:rsid w:val="00C943E3"/>
    <w:rsid w:val="00C94A23"/>
    <w:rsid w:val="00C94FEE"/>
    <w:rsid w:val="00C9513E"/>
    <w:rsid w:val="00C95310"/>
    <w:rsid w:val="00C95446"/>
    <w:rsid w:val="00C95587"/>
    <w:rsid w:val="00C95892"/>
    <w:rsid w:val="00C95AC2"/>
    <w:rsid w:val="00C95AFA"/>
    <w:rsid w:val="00C95BD6"/>
    <w:rsid w:val="00C95DE9"/>
    <w:rsid w:val="00C95EA6"/>
    <w:rsid w:val="00C961CB"/>
    <w:rsid w:val="00C962B2"/>
    <w:rsid w:val="00C965D4"/>
    <w:rsid w:val="00C9666A"/>
    <w:rsid w:val="00C9670A"/>
    <w:rsid w:val="00C968A7"/>
    <w:rsid w:val="00C96AE2"/>
    <w:rsid w:val="00C96EEE"/>
    <w:rsid w:val="00C9768D"/>
    <w:rsid w:val="00C976D4"/>
    <w:rsid w:val="00C979BC"/>
    <w:rsid w:val="00C97A90"/>
    <w:rsid w:val="00C97C76"/>
    <w:rsid w:val="00C97CCF"/>
    <w:rsid w:val="00C97D50"/>
    <w:rsid w:val="00C97DCB"/>
    <w:rsid w:val="00C97FF5"/>
    <w:rsid w:val="00CA00E2"/>
    <w:rsid w:val="00CA024E"/>
    <w:rsid w:val="00CA036D"/>
    <w:rsid w:val="00CA049E"/>
    <w:rsid w:val="00CA0545"/>
    <w:rsid w:val="00CA0741"/>
    <w:rsid w:val="00CA0950"/>
    <w:rsid w:val="00CA09F9"/>
    <w:rsid w:val="00CA09FB"/>
    <w:rsid w:val="00CA0B61"/>
    <w:rsid w:val="00CA0C6E"/>
    <w:rsid w:val="00CA0D3B"/>
    <w:rsid w:val="00CA0E87"/>
    <w:rsid w:val="00CA0E8B"/>
    <w:rsid w:val="00CA0F18"/>
    <w:rsid w:val="00CA10FC"/>
    <w:rsid w:val="00CA125D"/>
    <w:rsid w:val="00CA19A9"/>
    <w:rsid w:val="00CA1C79"/>
    <w:rsid w:val="00CA1CEA"/>
    <w:rsid w:val="00CA1D43"/>
    <w:rsid w:val="00CA216C"/>
    <w:rsid w:val="00CA2296"/>
    <w:rsid w:val="00CA22DA"/>
    <w:rsid w:val="00CA2510"/>
    <w:rsid w:val="00CA2889"/>
    <w:rsid w:val="00CA318C"/>
    <w:rsid w:val="00CA32D9"/>
    <w:rsid w:val="00CA3415"/>
    <w:rsid w:val="00CA34C1"/>
    <w:rsid w:val="00CA3766"/>
    <w:rsid w:val="00CA376D"/>
    <w:rsid w:val="00CA3A94"/>
    <w:rsid w:val="00CA3B5C"/>
    <w:rsid w:val="00CA3D6D"/>
    <w:rsid w:val="00CA3F17"/>
    <w:rsid w:val="00CA48CC"/>
    <w:rsid w:val="00CA4AE4"/>
    <w:rsid w:val="00CA5052"/>
    <w:rsid w:val="00CA510B"/>
    <w:rsid w:val="00CA5277"/>
    <w:rsid w:val="00CA5692"/>
    <w:rsid w:val="00CA577E"/>
    <w:rsid w:val="00CA5AEF"/>
    <w:rsid w:val="00CA5D69"/>
    <w:rsid w:val="00CA5DC3"/>
    <w:rsid w:val="00CA60FB"/>
    <w:rsid w:val="00CA6173"/>
    <w:rsid w:val="00CA6239"/>
    <w:rsid w:val="00CA66C1"/>
    <w:rsid w:val="00CA6DFD"/>
    <w:rsid w:val="00CA741E"/>
    <w:rsid w:val="00CA74E6"/>
    <w:rsid w:val="00CA7A04"/>
    <w:rsid w:val="00CA7A0F"/>
    <w:rsid w:val="00CA7BC5"/>
    <w:rsid w:val="00CA7BED"/>
    <w:rsid w:val="00CA7DCF"/>
    <w:rsid w:val="00CB023F"/>
    <w:rsid w:val="00CB0F2D"/>
    <w:rsid w:val="00CB1082"/>
    <w:rsid w:val="00CB10CB"/>
    <w:rsid w:val="00CB1260"/>
    <w:rsid w:val="00CB13B8"/>
    <w:rsid w:val="00CB16E5"/>
    <w:rsid w:val="00CB179D"/>
    <w:rsid w:val="00CB17B1"/>
    <w:rsid w:val="00CB1FB4"/>
    <w:rsid w:val="00CB20A2"/>
    <w:rsid w:val="00CB23AF"/>
    <w:rsid w:val="00CB24D5"/>
    <w:rsid w:val="00CB2A3F"/>
    <w:rsid w:val="00CB2ABC"/>
    <w:rsid w:val="00CB2AF0"/>
    <w:rsid w:val="00CB2B42"/>
    <w:rsid w:val="00CB310A"/>
    <w:rsid w:val="00CB3430"/>
    <w:rsid w:val="00CB3433"/>
    <w:rsid w:val="00CB3A7C"/>
    <w:rsid w:val="00CB3BB2"/>
    <w:rsid w:val="00CB3C2E"/>
    <w:rsid w:val="00CB3C5D"/>
    <w:rsid w:val="00CB3D21"/>
    <w:rsid w:val="00CB3E07"/>
    <w:rsid w:val="00CB40FC"/>
    <w:rsid w:val="00CB4125"/>
    <w:rsid w:val="00CB42E3"/>
    <w:rsid w:val="00CB49D4"/>
    <w:rsid w:val="00CB4E59"/>
    <w:rsid w:val="00CB514A"/>
    <w:rsid w:val="00CB5457"/>
    <w:rsid w:val="00CB553C"/>
    <w:rsid w:val="00CB5803"/>
    <w:rsid w:val="00CB5899"/>
    <w:rsid w:val="00CB5A0C"/>
    <w:rsid w:val="00CB5B69"/>
    <w:rsid w:val="00CB5E35"/>
    <w:rsid w:val="00CB5EFA"/>
    <w:rsid w:val="00CB5F26"/>
    <w:rsid w:val="00CB5F4A"/>
    <w:rsid w:val="00CB6459"/>
    <w:rsid w:val="00CB6476"/>
    <w:rsid w:val="00CB64B7"/>
    <w:rsid w:val="00CB65F5"/>
    <w:rsid w:val="00CB6664"/>
    <w:rsid w:val="00CB6710"/>
    <w:rsid w:val="00CB6C81"/>
    <w:rsid w:val="00CB714F"/>
    <w:rsid w:val="00CB71B3"/>
    <w:rsid w:val="00CB756D"/>
    <w:rsid w:val="00CB7D94"/>
    <w:rsid w:val="00CB7E78"/>
    <w:rsid w:val="00CC016B"/>
    <w:rsid w:val="00CC0253"/>
    <w:rsid w:val="00CC03E6"/>
    <w:rsid w:val="00CC05E0"/>
    <w:rsid w:val="00CC06E6"/>
    <w:rsid w:val="00CC083D"/>
    <w:rsid w:val="00CC08BB"/>
    <w:rsid w:val="00CC0A07"/>
    <w:rsid w:val="00CC0EC4"/>
    <w:rsid w:val="00CC1310"/>
    <w:rsid w:val="00CC1569"/>
    <w:rsid w:val="00CC15F2"/>
    <w:rsid w:val="00CC1620"/>
    <w:rsid w:val="00CC1DFA"/>
    <w:rsid w:val="00CC22B0"/>
    <w:rsid w:val="00CC25C0"/>
    <w:rsid w:val="00CC2BE2"/>
    <w:rsid w:val="00CC2C4F"/>
    <w:rsid w:val="00CC3125"/>
    <w:rsid w:val="00CC3203"/>
    <w:rsid w:val="00CC3369"/>
    <w:rsid w:val="00CC338B"/>
    <w:rsid w:val="00CC3595"/>
    <w:rsid w:val="00CC37C6"/>
    <w:rsid w:val="00CC3C83"/>
    <w:rsid w:val="00CC3DE0"/>
    <w:rsid w:val="00CC3FED"/>
    <w:rsid w:val="00CC4152"/>
    <w:rsid w:val="00CC4489"/>
    <w:rsid w:val="00CC45AE"/>
    <w:rsid w:val="00CC46C0"/>
    <w:rsid w:val="00CC46D7"/>
    <w:rsid w:val="00CC4981"/>
    <w:rsid w:val="00CC4AE4"/>
    <w:rsid w:val="00CC4CF6"/>
    <w:rsid w:val="00CC50A3"/>
    <w:rsid w:val="00CC51EA"/>
    <w:rsid w:val="00CC52A3"/>
    <w:rsid w:val="00CC52EC"/>
    <w:rsid w:val="00CC5537"/>
    <w:rsid w:val="00CC5AED"/>
    <w:rsid w:val="00CC5B81"/>
    <w:rsid w:val="00CC5FAD"/>
    <w:rsid w:val="00CC6007"/>
    <w:rsid w:val="00CC6470"/>
    <w:rsid w:val="00CC6A4A"/>
    <w:rsid w:val="00CC6E18"/>
    <w:rsid w:val="00CC6F8C"/>
    <w:rsid w:val="00CC71F4"/>
    <w:rsid w:val="00CC75D2"/>
    <w:rsid w:val="00CC781B"/>
    <w:rsid w:val="00CD0264"/>
    <w:rsid w:val="00CD027E"/>
    <w:rsid w:val="00CD0B37"/>
    <w:rsid w:val="00CD0DC3"/>
    <w:rsid w:val="00CD0E8F"/>
    <w:rsid w:val="00CD0FF4"/>
    <w:rsid w:val="00CD1072"/>
    <w:rsid w:val="00CD126E"/>
    <w:rsid w:val="00CD127C"/>
    <w:rsid w:val="00CD1394"/>
    <w:rsid w:val="00CD1516"/>
    <w:rsid w:val="00CD1A8C"/>
    <w:rsid w:val="00CD1C22"/>
    <w:rsid w:val="00CD1E22"/>
    <w:rsid w:val="00CD1EBB"/>
    <w:rsid w:val="00CD1F36"/>
    <w:rsid w:val="00CD21E1"/>
    <w:rsid w:val="00CD2329"/>
    <w:rsid w:val="00CD2475"/>
    <w:rsid w:val="00CD25CF"/>
    <w:rsid w:val="00CD2653"/>
    <w:rsid w:val="00CD292D"/>
    <w:rsid w:val="00CD2DD5"/>
    <w:rsid w:val="00CD3052"/>
    <w:rsid w:val="00CD3506"/>
    <w:rsid w:val="00CD3714"/>
    <w:rsid w:val="00CD3EDC"/>
    <w:rsid w:val="00CD3FBD"/>
    <w:rsid w:val="00CD3FE4"/>
    <w:rsid w:val="00CD437F"/>
    <w:rsid w:val="00CD453D"/>
    <w:rsid w:val="00CD46B7"/>
    <w:rsid w:val="00CD47AD"/>
    <w:rsid w:val="00CD4D77"/>
    <w:rsid w:val="00CD4FA4"/>
    <w:rsid w:val="00CD4FCC"/>
    <w:rsid w:val="00CD5650"/>
    <w:rsid w:val="00CD587A"/>
    <w:rsid w:val="00CD58BD"/>
    <w:rsid w:val="00CD5B8A"/>
    <w:rsid w:val="00CD5D9D"/>
    <w:rsid w:val="00CD5EF2"/>
    <w:rsid w:val="00CD6430"/>
    <w:rsid w:val="00CD6702"/>
    <w:rsid w:val="00CD6B1A"/>
    <w:rsid w:val="00CD6BB3"/>
    <w:rsid w:val="00CD6EC7"/>
    <w:rsid w:val="00CD6F45"/>
    <w:rsid w:val="00CD6FEA"/>
    <w:rsid w:val="00CD7050"/>
    <w:rsid w:val="00CD71D3"/>
    <w:rsid w:val="00CD7232"/>
    <w:rsid w:val="00CD76B5"/>
    <w:rsid w:val="00CD774B"/>
    <w:rsid w:val="00CD7A0F"/>
    <w:rsid w:val="00CD7B81"/>
    <w:rsid w:val="00CD7CE8"/>
    <w:rsid w:val="00CD7EEC"/>
    <w:rsid w:val="00CD7F84"/>
    <w:rsid w:val="00CE071E"/>
    <w:rsid w:val="00CE0B8E"/>
    <w:rsid w:val="00CE0BA6"/>
    <w:rsid w:val="00CE0F87"/>
    <w:rsid w:val="00CE109E"/>
    <w:rsid w:val="00CE1227"/>
    <w:rsid w:val="00CE1495"/>
    <w:rsid w:val="00CE1A26"/>
    <w:rsid w:val="00CE1A54"/>
    <w:rsid w:val="00CE1E2A"/>
    <w:rsid w:val="00CE1E92"/>
    <w:rsid w:val="00CE1F14"/>
    <w:rsid w:val="00CE1FB4"/>
    <w:rsid w:val="00CE1FF0"/>
    <w:rsid w:val="00CE23EF"/>
    <w:rsid w:val="00CE2A9A"/>
    <w:rsid w:val="00CE2CAD"/>
    <w:rsid w:val="00CE2D0F"/>
    <w:rsid w:val="00CE2D5C"/>
    <w:rsid w:val="00CE2FAE"/>
    <w:rsid w:val="00CE30F1"/>
    <w:rsid w:val="00CE35CD"/>
    <w:rsid w:val="00CE37C4"/>
    <w:rsid w:val="00CE3DE0"/>
    <w:rsid w:val="00CE3DFB"/>
    <w:rsid w:val="00CE4266"/>
    <w:rsid w:val="00CE42C4"/>
    <w:rsid w:val="00CE4396"/>
    <w:rsid w:val="00CE4513"/>
    <w:rsid w:val="00CE452D"/>
    <w:rsid w:val="00CE46A1"/>
    <w:rsid w:val="00CE46CA"/>
    <w:rsid w:val="00CE48B7"/>
    <w:rsid w:val="00CE48CE"/>
    <w:rsid w:val="00CE4997"/>
    <w:rsid w:val="00CE4B4B"/>
    <w:rsid w:val="00CE4EBD"/>
    <w:rsid w:val="00CE53AB"/>
    <w:rsid w:val="00CE5587"/>
    <w:rsid w:val="00CE5602"/>
    <w:rsid w:val="00CE566A"/>
    <w:rsid w:val="00CE5879"/>
    <w:rsid w:val="00CE5993"/>
    <w:rsid w:val="00CE5B0F"/>
    <w:rsid w:val="00CE6390"/>
    <w:rsid w:val="00CE655E"/>
    <w:rsid w:val="00CE66E1"/>
    <w:rsid w:val="00CE67E1"/>
    <w:rsid w:val="00CE6955"/>
    <w:rsid w:val="00CE6C13"/>
    <w:rsid w:val="00CE6FBE"/>
    <w:rsid w:val="00CE7343"/>
    <w:rsid w:val="00CE7972"/>
    <w:rsid w:val="00CE79F1"/>
    <w:rsid w:val="00CE7AF7"/>
    <w:rsid w:val="00CE7CD7"/>
    <w:rsid w:val="00CF0074"/>
    <w:rsid w:val="00CF00F4"/>
    <w:rsid w:val="00CF041A"/>
    <w:rsid w:val="00CF047E"/>
    <w:rsid w:val="00CF0856"/>
    <w:rsid w:val="00CF0960"/>
    <w:rsid w:val="00CF0E26"/>
    <w:rsid w:val="00CF0F31"/>
    <w:rsid w:val="00CF1142"/>
    <w:rsid w:val="00CF1AD1"/>
    <w:rsid w:val="00CF1FF3"/>
    <w:rsid w:val="00CF219D"/>
    <w:rsid w:val="00CF21CA"/>
    <w:rsid w:val="00CF2295"/>
    <w:rsid w:val="00CF25C9"/>
    <w:rsid w:val="00CF26F5"/>
    <w:rsid w:val="00CF2823"/>
    <w:rsid w:val="00CF285A"/>
    <w:rsid w:val="00CF286E"/>
    <w:rsid w:val="00CF288B"/>
    <w:rsid w:val="00CF296C"/>
    <w:rsid w:val="00CF29DE"/>
    <w:rsid w:val="00CF2B8E"/>
    <w:rsid w:val="00CF2C0D"/>
    <w:rsid w:val="00CF3141"/>
    <w:rsid w:val="00CF31AB"/>
    <w:rsid w:val="00CF3355"/>
    <w:rsid w:val="00CF335D"/>
    <w:rsid w:val="00CF3414"/>
    <w:rsid w:val="00CF37E4"/>
    <w:rsid w:val="00CF3967"/>
    <w:rsid w:val="00CF3F11"/>
    <w:rsid w:val="00CF3FAF"/>
    <w:rsid w:val="00CF43F6"/>
    <w:rsid w:val="00CF4585"/>
    <w:rsid w:val="00CF464B"/>
    <w:rsid w:val="00CF4717"/>
    <w:rsid w:val="00CF47AD"/>
    <w:rsid w:val="00CF4B58"/>
    <w:rsid w:val="00CF4B5A"/>
    <w:rsid w:val="00CF4B87"/>
    <w:rsid w:val="00CF4B89"/>
    <w:rsid w:val="00CF5301"/>
    <w:rsid w:val="00CF544E"/>
    <w:rsid w:val="00CF55CA"/>
    <w:rsid w:val="00CF5A34"/>
    <w:rsid w:val="00CF5A38"/>
    <w:rsid w:val="00CF5BB7"/>
    <w:rsid w:val="00CF5FCE"/>
    <w:rsid w:val="00CF60D1"/>
    <w:rsid w:val="00CF61D8"/>
    <w:rsid w:val="00CF62B2"/>
    <w:rsid w:val="00CF6506"/>
    <w:rsid w:val="00CF673C"/>
    <w:rsid w:val="00CF6951"/>
    <w:rsid w:val="00CF6C70"/>
    <w:rsid w:val="00CF7017"/>
    <w:rsid w:val="00CF71DC"/>
    <w:rsid w:val="00CF7599"/>
    <w:rsid w:val="00CF7687"/>
    <w:rsid w:val="00CF79A9"/>
    <w:rsid w:val="00CF7A76"/>
    <w:rsid w:val="00CF7B16"/>
    <w:rsid w:val="00D000A1"/>
    <w:rsid w:val="00D0019F"/>
    <w:rsid w:val="00D003EB"/>
    <w:rsid w:val="00D00697"/>
    <w:rsid w:val="00D006C2"/>
    <w:rsid w:val="00D0074D"/>
    <w:rsid w:val="00D00920"/>
    <w:rsid w:val="00D0098C"/>
    <w:rsid w:val="00D00A19"/>
    <w:rsid w:val="00D00E00"/>
    <w:rsid w:val="00D00EB1"/>
    <w:rsid w:val="00D00F2C"/>
    <w:rsid w:val="00D01040"/>
    <w:rsid w:val="00D01244"/>
    <w:rsid w:val="00D013B4"/>
    <w:rsid w:val="00D01549"/>
    <w:rsid w:val="00D01762"/>
    <w:rsid w:val="00D0177E"/>
    <w:rsid w:val="00D01B76"/>
    <w:rsid w:val="00D01B8D"/>
    <w:rsid w:val="00D01DD7"/>
    <w:rsid w:val="00D01ECC"/>
    <w:rsid w:val="00D022B4"/>
    <w:rsid w:val="00D02429"/>
    <w:rsid w:val="00D0242D"/>
    <w:rsid w:val="00D027F2"/>
    <w:rsid w:val="00D02950"/>
    <w:rsid w:val="00D0310E"/>
    <w:rsid w:val="00D03251"/>
    <w:rsid w:val="00D0339A"/>
    <w:rsid w:val="00D0354D"/>
    <w:rsid w:val="00D037A1"/>
    <w:rsid w:val="00D03884"/>
    <w:rsid w:val="00D03A1D"/>
    <w:rsid w:val="00D03BA0"/>
    <w:rsid w:val="00D03CC8"/>
    <w:rsid w:val="00D03D22"/>
    <w:rsid w:val="00D03D2D"/>
    <w:rsid w:val="00D03ED0"/>
    <w:rsid w:val="00D03FFE"/>
    <w:rsid w:val="00D04110"/>
    <w:rsid w:val="00D041B6"/>
    <w:rsid w:val="00D041EB"/>
    <w:rsid w:val="00D043F7"/>
    <w:rsid w:val="00D047AD"/>
    <w:rsid w:val="00D05006"/>
    <w:rsid w:val="00D0552C"/>
    <w:rsid w:val="00D05788"/>
    <w:rsid w:val="00D05991"/>
    <w:rsid w:val="00D05A63"/>
    <w:rsid w:val="00D05C54"/>
    <w:rsid w:val="00D05CFE"/>
    <w:rsid w:val="00D05DC6"/>
    <w:rsid w:val="00D05E00"/>
    <w:rsid w:val="00D05FC4"/>
    <w:rsid w:val="00D06112"/>
    <w:rsid w:val="00D0629C"/>
    <w:rsid w:val="00D066F5"/>
    <w:rsid w:val="00D073C9"/>
    <w:rsid w:val="00D07680"/>
    <w:rsid w:val="00D07858"/>
    <w:rsid w:val="00D07981"/>
    <w:rsid w:val="00D07993"/>
    <w:rsid w:val="00D07B66"/>
    <w:rsid w:val="00D07BA0"/>
    <w:rsid w:val="00D10049"/>
    <w:rsid w:val="00D100A4"/>
    <w:rsid w:val="00D1024C"/>
    <w:rsid w:val="00D1025C"/>
    <w:rsid w:val="00D10322"/>
    <w:rsid w:val="00D104B4"/>
    <w:rsid w:val="00D1114A"/>
    <w:rsid w:val="00D11250"/>
    <w:rsid w:val="00D11309"/>
    <w:rsid w:val="00D114FB"/>
    <w:rsid w:val="00D1176C"/>
    <w:rsid w:val="00D11AE3"/>
    <w:rsid w:val="00D11B1F"/>
    <w:rsid w:val="00D12223"/>
    <w:rsid w:val="00D122CC"/>
    <w:rsid w:val="00D124BD"/>
    <w:rsid w:val="00D1291F"/>
    <w:rsid w:val="00D12969"/>
    <w:rsid w:val="00D129FE"/>
    <w:rsid w:val="00D12B4C"/>
    <w:rsid w:val="00D12B6D"/>
    <w:rsid w:val="00D12D05"/>
    <w:rsid w:val="00D12FAF"/>
    <w:rsid w:val="00D130BF"/>
    <w:rsid w:val="00D134F4"/>
    <w:rsid w:val="00D1350C"/>
    <w:rsid w:val="00D1362F"/>
    <w:rsid w:val="00D13AD8"/>
    <w:rsid w:val="00D13B20"/>
    <w:rsid w:val="00D13DE9"/>
    <w:rsid w:val="00D13F66"/>
    <w:rsid w:val="00D1418F"/>
    <w:rsid w:val="00D14405"/>
    <w:rsid w:val="00D14564"/>
    <w:rsid w:val="00D147FC"/>
    <w:rsid w:val="00D14807"/>
    <w:rsid w:val="00D14A6C"/>
    <w:rsid w:val="00D14AA5"/>
    <w:rsid w:val="00D14B4E"/>
    <w:rsid w:val="00D14F52"/>
    <w:rsid w:val="00D1542A"/>
    <w:rsid w:val="00D154AD"/>
    <w:rsid w:val="00D1559E"/>
    <w:rsid w:val="00D15D8F"/>
    <w:rsid w:val="00D15E9E"/>
    <w:rsid w:val="00D15FC0"/>
    <w:rsid w:val="00D16020"/>
    <w:rsid w:val="00D16268"/>
    <w:rsid w:val="00D162B6"/>
    <w:rsid w:val="00D16495"/>
    <w:rsid w:val="00D16840"/>
    <w:rsid w:val="00D16C09"/>
    <w:rsid w:val="00D16D19"/>
    <w:rsid w:val="00D16D41"/>
    <w:rsid w:val="00D16DAD"/>
    <w:rsid w:val="00D16DD5"/>
    <w:rsid w:val="00D16E15"/>
    <w:rsid w:val="00D16EE5"/>
    <w:rsid w:val="00D173A4"/>
    <w:rsid w:val="00D175AF"/>
    <w:rsid w:val="00D17AEF"/>
    <w:rsid w:val="00D17B8B"/>
    <w:rsid w:val="00D17D68"/>
    <w:rsid w:val="00D17DFE"/>
    <w:rsid w:val="00D17F8F"/>
    <w:rsid w:val="00D2036C"/>
    <w:rsid w:val="00D20475"/>
    <w:rsid w:val="00D20684"/>
    <w:rsid w:val="00D20B31"/>
    <w:rsid w:val="00D20DB8"/>
    <w:rsid w:val="00D21085"/>
    <w:rsid w:val="00D21132"/>
    <w:rsid w:val="00D212BC"/>
    <w:rsid w:val="00D2153A"/>
    <w:rsid w:val="00D216F5"/>
    <w:rsid w:val="00D217E4"/>
    <w:rsid w:val="00D21989"/>
    <w:rsid w:val="00D21E33"/>
    <w:rsid w:val="00D21E59"/>
    <w:rsid w:val="00D21F17"/>
    <w:rsid w:val="00D21F18"/>
    <w:rsid w:val="00D21FED"/>
    <w:rsid w:val="00D22189"/>
    <w:rsid w:val="00D222B6"/>
    <w:rsid w:val="00D224EE"/>
    <w:rsid w:val="00D2299A"/>
    <w:rsid w:val="00D22D57"/>
    <w:rsid w:val="00D22EAF"/>
    <w:rsid w:val="00D23228"/>
    <w:rsid w:val="00D23355"/>
    <w:rsid w:val="00D235E8"/>
    <w:rsid w:val="00D23880"/>
    <w:rsid w:val="00D23B9A"/>
    <w:rsid w:val="00D23C94"/>
    <w:rsid w:val="00D23EA7"/>
    <w:rsid w:val="00D241C0"/>
    <w:rsid w:val="00D242BF"/>
    <w:rsid w:val="00D2437A"/>
    <w:rsid w:val="00D243CB"/>
    <w:rsid w:val="00D2445D"/>
    <w:rsid w:val="00D24471"/>
    <w:rsid w:val="00D245A8"/>
    <w:rsid w:val="00D247FD"/>
    <w:rsid w:val="00D24A56"/>
    <w:rsid w:val="00D24C7C"/>
    <w:rsid w:val="00D24E3A"/>
    <w:rsid w:val="00D24E5A"/>
    <w:rsid w:val="00D254D8"/>
    <w:rsid w:val="00D254F9"/>
    <w:rsid w:val="00D2554B"/>
    <w:rsid w:val="00D2558E"/>
    <w:rsid w:val="00D25AF2"/>
    <w:rsid w:val="00D25C17"/>
    <w:rsid w:val="00D261D1"/>
    <w:rsid w:val="00D263FD"/>
    <w:rsid w:val="00D2641F"/>
    <w:rsid w:val="00D26459"/>
    <w:rsid w:val="00D2667F"/>
    <w:rsid w:val="00D267E7"/>
    <w:rsid w:val="00D26ABF"/>
    <w:rsid w:val="00D26C18"/>
    <w:rsid w:val="00D27066"/>
    <w:rsid w:val="00D27389"/>
    <w:rsid w:val="00D27581"/>
    <w:rsid w:val="00D27609"/>
    <w:rsid w:val="00D2762E"/>
    <w:rsid w:val="00D276E6"/>
    <w:rsid w:val="00D2782A"/>
    <w:rsid w:val="00D27C45"/>
    <w:rsid w:val="00D27F35"/>
    <w:rsid w:val="00D30182"/>
    <w:rsid w:val="00D3053F"/>
    <w:rsid w:val="00D30747"/>
    <w:rsid w:val="00D30D0E"/>
    <w:rsid w:val="00D30D32"/>
    <w:rsid w:val="00D30DFB"/>
    <w:rsid w:val="00D30FDF"/>
    <w:rsid w:val="00D311CD"/>
    <w:rsid w:val="00D3124D"/>
    <w:rsid w:val="00D3158B"/>
    <w:rsid w:val="00D3199F"/>
    <w:rsid w:val="00D319C5"/>
    <w:rsid w:val="00D31A9D"/>
    <w:rsid w:val="00D31B87"/>
    <w:rsid w:val="00D31C55"/>
    <w:rsid w:val="00D31C8C"/>
    <w:rsid w:val="00D32099"/>
    <w:rsid w:val="00D320E7"/>
    <w:rsid w:val="00D3214A"/>
    <w:rsid w:val="00D3221E"/>
    <w:rsid w:val="00D323C6"/>
    <w:rsid w:val="00D3262C"/>
    <w:rsid w:val="00D3292B"/>
    <w:rsid w:val="00D32A8B"/>
    <w:rsid w:val="00D32AE0"/>
    <w:rsid w:val="00D32B95"/>
    <w:rsid w:val="00D32D9D"/>
    <w:rsid w:val="00D32FDD"/>
    <w:rsid w:val="00D3333F"/>
    <w:rsid w:val="00D3334C"/>
    <w:rsid w:val="00D337A5"/>
    <w:rsid w:val="00D33B4B"/>
    <w:rsid w:val="00D33EB9"/>
    <w:rsid w:val="00D3436B"/>
    <w:rsid w:val="00D344C2"/>
    <w:rsid w:val="00D3472A"/>
    <w:rsid w:val="00D347DC"/>
    <w:rsid w:val="00D34A9C"/>
    <w:rsid w:val="00D34AB1"/>
    <w:rsid w:val="00D34B01"/>
    <w:rsid w:val="00D34B0F"/>
    <w:rsid w:val="00D34E05"/>
    <w:rsid w:val="00D34FE8"/>
    <w:rsid w:val="00D352C6"/>
    <w:rsid w:val="00D355F2"/>
    <w:rsid w:val="00D3564F"/>
    <w:rsid w:val="00D358F4"/>
    <w:rsid w:val="00D35B81"/>
    <w:rsid w:val="00D35C96"/>
    <w:rsid w:val="00D35F44"/>
    <w:rsid w:val="00D36001"/>
    <w:rsid w:val="00D362D5"/>
    <w:rsid w:val="00D373B3"/>
    <w:rsid w:val="00D37694"/>
    <w:rsid w:val="00D3775F"/>
    <w:rsid w:val="00D377F4"/>
    <w:rsid w:val="00D37854"/>
    <w:rsid w:val="00D37960"/>
    <w:rsid w:val="00D37AF8"/>
    <w:rsid w:val="00D37BF7"/>
    <w:rsid w:val="00D37D97"/>
    <w:rsid w:val="00D37F0E"/>
    <w:rsid w:val="00D4024A"/>
    <w:rsid w:val="00D40402"/>
    <w:rsid w:val="00D40583"/>
    <w:rsid w:val="00D405BC"/>
    <w:rsid w:val="00D4086F"/>
    <w:rsid w:val="00D40D28"/>
    <w:rsid w:val="00D4112B"/>
    <w:rsid w:val="00D411BB"/>
    <w:rsid w:val="00D411CE"/>
    <w:rsid w:val="00D41360"/>
    <w:rsid w:val="00D41368"/>
    <w:rsid w:val="00D418E8"/>
    <w:rsid w:val="00D41B40"/>
    <w:rsid w:val="00D41CE5"/>
    <w:rsid w:val="00D41DA5"/>
    <w:rsid w:val="00D41F0E"/>
    <w:rsid w:val="00D42376"/>
    <w:rsid w:val="00D42498"/>
    <w:rsid w:val="00D42616"/>
    <w:rsid w:val="00D4266C"/>
    <w:rsid w:val="00D4282A"/>
    <w:rsid w:val="00D4282B"/>
    <w:rsid w:val="00D4282D"/>
    <w:rsid w:val="00D42837"/>
    <w:rsid w:val="00D428AE"/>
    <w:rsid w:val="00D42C5B"/>
    <w:rsid w:val="00D42D60"/>
    <w:rsid w:val="00D42E7A"/>
    <w:rsid w:val="00D4311A"/>
    <w:rsid w:val="00D432B3"/>
    <w:rsid w:val="00D43471"/>
    <w:rsid w:val="00D434D3"/>
    <w:rsid w:val="00D43DF5"/>
    <w:rsid w:val="00D43F45"/>
    <w:rsid w:val="00D43FE5"/>
    <w:rsid w:val="00D440F8"/>
    <w:rsid w:val="00D44323"/>
    <w:rsid w:val="00D4433C"/>
    <w:rsid w:val="00D44D97"/>
    <w:rsid w:val="00D44FEC"/>
    <w:rsid w:val="00D45106"/>
    <w:rsid w:val="00D4514C"/>
    <w:rsid w:val="00D4531B"/>
    <w:rsid w:val="00D45551"/>
    <w:rsid w:val="00D45B16"/>
    <w:rsid w:val="00D45CF5"/>
    <w:rsid w:val="00D45D21"/>
    <w:rsid w:val="00D46550"/>
    <w:rsid w:val="00D4655B"/>
    <w:rsid w:val="00D46673"/>
    <w:rsid w:val="00D46DC8"/>
    <w:rsid w:val="00D46E2C"/>
    <w:rsid w:val="00D47152"/>
    <w:rsid w:val="00D4715B"/>
    <w:rsid w:val="00D4729A"/>
    <w:rsid w:val="00D4744F"/>
    <w:rsid w:val="00D474EC"/>
    <w:rsid w:val="00D47A77"/>
    <w:rsid w:val="00D47F9F"/>
    <w:rsid w:val="00D50255"/>
    <w:rsid w:val="00D50444"/>
    <w:rsid w:val="00D50607"/>
    <w:rsid w:val="00D50913"/>
    <w:rsid w:val="00D509C3"/>
    <w:rsid w:val="00D50A74"/>
    <w:rsid w:val="00D50C52"/>
    <w:rsid w:val="00D50E33"/>
    <w:rsid w:val="00D50EAC"/>
    <w:rsid w:val="00D511FB"/>
    <w:rsid w:val="00D51390"/>
    <w:rsid w:val="00D5176B"/>
    <w:rsid w:val="00D517F2"/>
    <w:rsid w:val="00D5228B"/>
    <w:rsid w:val="00D527F8"/>
    <w:rsid w:val="00D528D2"/>
    <w:rsid w:val="00D52E66"/>
    <w:rsid w:val="00D534B6"/>
    <w:rsid w:val="00D534B7"/>
    <w:rsid w:val="00D5351C"/>
    <w:rsid w:val="00D53970"/>
    <w:rsid w:val="00D53AE0"/>
    <w:rsid w:val="00D53AEC"/>
    <w:rsid w:val="00D53D99"/>
    <w:rsid w:val="00D53EE5"/>
    <w:rsid w:val="00D549EF"/>
    <w:rsid w:val="00D54D3A"/>
    <w:rsid w:val="00D55CBB"/>
    <w:rsid w:val="00D55D5E"/>
    <w:rsid w:val="00D55D94"/>
    <w:rsid w:val="00D55D9F"/>
    <w:rsid w:val="00D55E3D"/>
    <w:rsid w:val="00D56082"/>
    <w:rsid w:val="00D561A8"/>
    <w:rsid w:val="00D56239"/>
    <w:rsid w:val="00D56336"/>
    <w:rsid w:val="00D564A0"/>
    <w:rsid w:val="00D5653C"/>
    <w:rsid w:val="00D565A7"/>
    <w:rsid w:val="00D567CE"/>
    <w:rsid w:val="00D56851"/>
    <w:rsid w:val="00D569BB"/>
    <w:rsid w:val="00D56F1C"/>
    <w:rsid w:val="00D56F49"/>
    <w:rsid w:val="00D573DC"/>
    <w:rsid w:val="00D57454"/>
    <w:rsid w:val="00D575FC"/>
    <w:rsid w:val="00D5774B"/>
    <w:rsid w:val="00D57A13"/>
    <w:rsid w:val="00D57D2E"/>
    <w:rsid w:val="00D57F31"/>
    <w:rsid w:val="00D600E9"/>
    <w:rsid w:val="00D60147"/>
    <w:rsid w:val="00D60403"/>
    <w:rsid w:val="00D60441"/>
    <w:rsid w:val="00D60455"/>
    <w:rsid w:val="00D604D8"/>
    <w:rsid w:val="00D605EB"/>
    <w:rsid w:val="00D60833"/>
    <w:rsid w:val="00D6085F"/>
    <w:rsid w:val="00D60B49"/>
    <w:rsid w:val="00D60DBD"/>
    <w:rsid w:val="00D60EFA"/>
    <w:rsid w:val="00D60FD3"/>
    <w:rsid w:val="00D61063"/>
    <w:rsid w:val="00D61183"/>
    <w:rsid w:val="00D6124F"/>
    <w:rsid w:val="00D613F7"/>
    <w:rsid w:val="00D6153B"/>
    <w:rsid w:val="00D61687"/>
    <w:rsid w:val="00D617C4"/>
    <w:rsid w:val="00D61B04"/>
    <w:rsid w:val="00D61C26"/>
    <w:rsid w:val="00D61E9A"/>
    <w:rsid w:val="00D61F0C"/>
    <w:rsid w:val="00D61F33"/>
    <w:rsid w:val="00D620EE"/>
    <w:rsid w:val="00D621C9"/>
    <w:rsid w:val="00D622D4"/>
    <w:rsid w:val="00D624A9"/>
    <w:rsid w:val="00D627BD"/>
    <w:rsid w:val="00D62825"/>
    <w:rsid w:val="00D6292A"/>
    <w:rsid w:val="00D62AB5"/>
    <w:rsid w:val="00D62ABF"/>
    <w:rsid w:val="00D62CFC"/>
    <w:rsid w:val="00D62E1F"/>
    <w:rsid w:val="00D62E24"/>
    <w:rsid w:val="00D62E25"/>
    <w:rsid w:val="00D62ECF"/>
    <w:rsid w:val="00D62FDD"/>
    <w:rsid w:val="00D630BA"/>
    <w:rsid w:val="00D638DA"/>
    <w:rsid w:val="00D64078"/>
    <w:rsid w:val="00D642A5"/>
    <w:rsid w:val="00D64646"/>
    <w:rsid w:val="00D6479D"/>
    <w:rsid w:val="00D64885"/>
    <w:rsid w:val="00D64D8E"/>
    <w:rsid w:val="00D65334"/>
    <w:rsid w:val="00D653E1"/>
    <w:rsid w:val="00D653E4"/>
    <w:rsid w:val="00D65802"/>
    <w:rsid w:val="00D65D72"/>
    <w:rsid w:val="00D65F46"/>
    <w:rsid w:val="00D65F6E"/>
    <w:rsid w:val="00D65F84"/>
    <w:rsid w:val="00D66714"/>
    <w:rsid w:val="00D66802"/>
    <w:rsid w:val="00D6686B"/>
    <w:rsid w:val="00D6686D"/>
    <w:rsid w:val="00D66A51"/>
    <w:rsid w:val="00D66CEB"/>
    <w:rsid w:val="00D66E91"/>
    <w:rsid w:val="00D672CB"/>
    <w:rsid w:val="00D67305"/>
    <w:rsid w:val="00D674C5"/>
    <w:rsid w:val="00D67BCC"/>
    <w:rsid w:val="00D67FCE"/>
    <w:rsid w:val="00D70067"/>
    <w:rsid w:val="00D70488"/>
    <w:rsid w:val="00D706BF"/>
    <w:rsid w:val="00D7085D"/>
    <w:rsid w:val="00D70C69"/>
    <w:rsid w:val="00D70C71"/>
    <w:rsid w:val="00D70C91"/>
    <w:rsid w:val="00D70CC5"/>
    <w:rsid w:val="00D70D3C"/>
    <w:rsid w:val="00D70E19"/>
    <w:rsid w:val="00D71239"/>
    <w:rsid w:val="00D7148C"/>
    <w:rsid w:val="00D71516"/>
    <w:rsid w:val="00D716D3"/>
    <w:rsid w:val="00D717BD"/>
    <w:rsid w:val="00D7187E"/>
    <w:rsid w:val="00D7191D"/>
    <w:rsid w:val="00D71982"/>
    <w:rsid w:val="00D71A2A"/>
    <w:rsid w:val="00D71C29"/>
    <w:rsid w:val="00D71F2D"/>
    <w:rsid w:val="00D72103"/>
    <w:rsid w:val="00D72BA2"/>
    <w:rsid w:val="00D733E2"/>
    <w:rsid w:val="00D73401"/>
    <w:rsid w:val="00D73727"/>
    <w:rsid w:val="00D742F0"/>
    <w:rsid w:val="00D74A5C"/>
    <w:rsid w:val="00D74AE0"/>
    <w:rsid w:val="00D74D9E"/>
    <w:rsid w:val="00D74E89"/>
    <w:rsid w:val="00D754ED"/>
    <w:rsid w:val="00D7550E"/>
    <w:rsid w:val="00D75967"/>
    <w:rsid w:val="00D7614A"/>
    <w:rsid w:val="00D763DE"/>
    <w:rsid w:val="00D764E4"/>
    <w:rsid w:val="00D76928"/>
    <w:rsid w:val="00D7697A"/>
    <w:rsid w:val="00D76BD8"/>
    <w:rsid w:val="00D76DC9"/>
    <w:rsid w:val="00D76E67"/>
    <w:rsid w:val="00D76EE8"/>
    <w:rsid w:val="00D76F46"/>
    <w:rsid w:val="00D76F84"/>
    <w:rsid w:val="00D76FA3"/>
    <w:rsid w:val="00D778FD"/>
    <w:rsid w:val="00D77AED"/>
    <w:rsid w:val="00D77B5F"/>
    <w:rsid w:val="00D77C39"/>
    <w:rsid w:val="00D77D24"/>
    <w:rsid w:val="00D8016C"/>
    <w:rsid w:val="00D80205"/>
    <w:rsid w:val="00D804B3"/>
    <w:rsid w:val="00D80626"/>
    <w:rsid w:val="00D80695"/>
    <w:rsid w:val="00D809B0"/>
    <w:rsid w:val="00D80A75"/>
    <w:rsid w:val="00D80AC7"/>
    <w:rsid w:val="00D80E83"/>
    <w:rsid w:val="00D80F98"/>
    <w:rsid w:val="00D80FB9"/>
    <w:rsid w:val="00D816A6"/>
    <w:rsid w:val="00D816FE"/>
    <w:rsid w:val="00D81D60"/>
    <w:rsid w:val="00D81FDC"/>
    <w:rsid w:val="00D82004"/>
    <w:rsid w:val="00D8218F"/>
    <w:rsid w:val="00D822F0"/>
    <w:rsid w:val="00D82752"/>
    <w:rsid w:val="00D8296E"/>
    <w:rsid w:val="00D82A1E"/>
    <w:rsid w:val="00D82B8A"/>
    <w:rsid w:val="00D82BD2"/>
    <w:rsid w:val="00D8309A"/>
    <w:rsid w:val="00D8321E"/>
    <w:rsid w:val="00D83400"/>
    <w:rsid w:val="00D8345C"/>
    <w:rsid w:val="00D83977"/>
    <w:rsid w:val="00D83CA4"/>
    <w:rsid w:val="00D83D3A"/>
    <w:rsid w:val="00D845B3"/>
    <w:rsid w:val="00D8463F"/>
    <w:rsid w:val="00D8470D"/>
    <w:rsid w:val="00D84CD1"/>
    <w:rsid w:val="00D84FF0"/>
    <w:rsid w:val="00D8529A"/>
    <w:rsid w:val="00D853E2"/>
    <w:rsid w:val="00D855D5"/>
    <w:rsid w:val="00D8609F"/>
    <w:rsid w:val="00D867B6"/>
    <w:rsid w:val="00D86ACF"/>
    <w:rsid w:val="00D86AE9"/>
    <w:rsid w:val="00D8703D"/>
    <w:rsid w:val="00D87128"/>
    <w:rsid w:val="00D872BA"/>
    <w:rsid w:val="00D87417"/>
    <w:rsid w:val="00D87616"/>
    <w:rsid w:val="00D87818"/>
    <w:rsid w:val="00D87AAF"/>
    <w:rsid w:val="00D87EB7"/>
    <w:rsid w:val="00D87F2A"/>
    <w:rsid w:val="00D90560"/>
    <w:rsid w:val="00D90626"/>
    <w:rsid w:val="00D907CE"/>
    <w:rsid w:val="00D90F84"/>
    <w:rsid w:val="00D90FE5"/>
    <w:rsid w:val="00D91290"/>
    <w:rsid w:val="00D913EB"/>
    <w:rsid w:val="00D9179F"/>
    <w:rsid w:val="00D91A6D"/>
    <w:rsid w:val="00D91A8A"/>
    <w:rsid w:val="00D91AF0"/>
    <w:rsid w:val="00D91CB9"/>
    <w:rsid w:val="00D91D50"/>
    <w:rsid w:val="00D923DE"/>
    <w:rsid w:val="00D924B1"/>
    <w:rsid w:val="00D926F9"/>
    <w:rsid w:val="00D9270A"/>
    <w:rsid w:val="00D92DD0"/>
    <w:rsid w:val="00D92EA7"/>
    <w:rsid w:val="00D930B2"/>
    <w:rsid w:val="00D93120"/>
    <w:rsid w:val="00D9330C"/>
    <w:rsid w:val="00D933BF"/>
    <w:rsid w:val="00D933DF"/>
    <w:rsid w:val="00D9398C"/>
    <w:rsid w:val="00D93A9B"/>
    <w:rsid w:val="00D93BF2"/>
    <w:rsid w:val="00D93C3C"/>
    <w:rsid w:val="00D93D0B"/>
    <w:rsid w:val="00D93D2B"/>
    <w:rsid w:val="00D9416D"/>
    <w:rsid w:val="00D947BF"/>
    <w:rsid w:val="00D94893"/>
    <w:rsid w:val="00D949DE"/>
    <w:rsid w:val="00D94F1F"/>
    <w:rsid w:val="00D950DD"/>
    <w:rsid w:val="00D950E8"/>
    <w:rsid w:val="00D9539C"/>
    <w:rsid w:val="00D95507"/>
    <w:rsid w:val="00D95806"/>
    <w:rsid w:val="00D95921"/>
    <w:rsid w:val="00D95DB2"/>
    <w:rsid w:val="00D95E92"/>
    <w:rsid w:val="00D960C9"/>
    <w:rsid w:val="00D9610B"/>
    <w:rsid w:val="00D9650C"/>
    <w:rsid w:val="00D96625"/>
    <w:rsid w:val="00D96673"/>
    <w:rsid w:val="00D96798"/>
    <w:rsid w:val="00D96A77"/>
    <w:rsid w:val="00D96C3E"/>
    <w:rsid w:val="00D96F68"/>
    <w:rsid w:val="00D97390"/>
    <w:rsid w:val="00D97A79"/>
    <w:rsid w:val="00D97C20"/>
    <w:rsid w:val="00D97E8C"/>
    <w:rsid w:val="00D97FEC"/>
    <w:rsid w:val="00DA0366"/>
    <w:rsid w:val="00DA0A51"/>
    <w:rsid w:val="00DA0DDE"/>
    <w:rsid w:val="00DA0E88"/>
    <w:rsid w:val="00DA11FD"/>
    <w:rsid w:val="00DA1326"/>
    <w:rsid w:val="00DA140C"/>
    <w:rsid w:val="00DA14B4"/>
    <w:rsid w:val="00DA19A8"/>
    <w:rsid w:val="00DA1C98"/>
    <w:rsid w:val="00DA1F1D"/>
    <w:rsid w:val="00DA2938"/>
    <w:rsid w:val="00DA2977"/>
    <w:rsid w:val="00DA2E1F"/>
    <w:rsid w:val="00DA338C"/>
    <w:rsid w:val="00DA35E5"/>
    <w:rsid w:val="00DA392E"/>
    <w:rsid w:val="00DA3AF0"/>
    <w:rsid w:val="00DA3B5A"/>
    <w:rsid w:val="00DA3B88"/>
    <w:rsid w:val="00DA3CD2"/>
    <w:rsid w:val="00DA3E6D"/>
    <w:rsid w:val="00DA42D7"/>
    <w:rsid w:val="00DA4B48"/>
    <w:rsid w:val="00DA5101"/>
    <w:rsid w:val="00DA53EE"/>
    <w:rsid w:val="00DA541A"/>
    <w:rsid w:val="00DA56D9"/>
    <w:rsid w:val="00DA5AF0"/>
    <w:rsid w:val="00DA5BE4"/>
    <w:rsid w:val="00DA5E07"/>
    <w:rsid w:val="00DA610D"/>
    <w:rsid w:val="00DA6241"/>
    <w:rsid w:val="00DA6E5D"/>
    <w:rsid w:val="00DA70B2"/>
    <w:rsid w:val="00DA70E0"/>
    <w:rsid w:val="00DA7275"/>
    <w:rsid w:val="00DA742B"/>
    <w:rsid w:val="00DA74AE"/>
    <w:rsid w:val="00DA7795"/>
    <w:rsid w:val="00DA77B1"/>
    <w:rsid w:val="00DA7A6C"/>
    <w:rsid w:val="00DA7C8C"/>
    <w:rsid w:val="00DB0725"/>
    <w:rsid w:val="00DB0990"/>
    <w:rsid w:val="00DB09AD"/>
    <w:rsid w:val="00DB09D6"/>
    <w:rsid w:val="00DB0B1E"/>
    <w:rsid w:val="00DB0BD8"/>
    <w:rsid w:val="00DB0C8E"/>
    <w:rsid w:val="00DB0D7E"/>
    <w:rsid w:val="00DB15FF"/>
    <w:rsid w:val="00DB165B"/>
    <w:rsid w:val="00DB1720"/>
    <w:rsid w:val="00DB1878"/>
    <w:rsid w:val="00DB190D"/>
    <w:rsid w:val="00DB1944"/>
    <w:rsid w:val="00DB19E7"/>
    <w:rsid w:val="00DB1E29"/>
    <w:rsid w:val="00DB1F8F"/>
    <w:rsid w:val="00DB206A"/>
    <w:rsid w:val="00DB221F"/>
    <w:rsid w:val="00DB2265"/>
    <w:rsid w:val="00DB230B"/>
    <w:rsid w:val="00DB24C9"/>
    <w:rsid w:val="00DB2641"/>
    <w:rsid w:val="00DB2839"/>
    <w:rsid w:val="00DB2CBB"/>
    <w:rsid w:val="00DB342A"/>
    <w:rsid w:val="00DB3712"/>
    <w:rsid w:val="00DB37A1"/>
    <w:rsid w:val="00DB3BDE"/>
    <w:rsid w:val="00DB3C57"/>
    <w:rsid w:val="00DB3CD3"/>
    <w:rsid w:val="00DB3E11"/>
    <w:rsid w:val="00DB3E79"/>
    <w:rsid w:val="00DB406F"/>
    <w:rsid w:val="00DB4260"/>
    <w:rsid w:val="00DB42B1"/>
    <w:rsid w:val="00DB43FE"/>
    <w:rsid w:val="00DB45E2"/>
    <w:rsid w:val="00DB4720"/>
    <w:rsid w:val="00DB47DC"/>
    <w:rsid w:val="00DB4B70"/>
    <w:rsid w:val="00DB50DA"/>
    <w:rsid w:val="00DB5112"/>
    <w:rsid w:val="00DB5194"/>
    <w:rsid w:val="00DB5690"/>
    <w:rsid w:val="00DB58F1"/>
    <w:rsid w:val="00DB59CC"/>
    <w:rsid w:val="00DB5A07"/>
    <w:rsid w:val="00DB5B29"/>
    <w:rsid w:val="00DB5B84"/>
    <w:rsid w:val="00DB5D1A"/>
    <w:rsid w:val="00DB5D67"/>
    <w:rsid w:val="00DB5DF9"/>
    <w:rsid w:val="00DB623D"/>
    <w:rsid w:val="00DB62BA"/>
    <w:rsid w:val="00DB66DC"/>
    <w:rsid w:val="00DB6885"/>
    <w:rsid w:val="00DB699F"/>
    <w:rsid w:val="00DB6B1C"/>
    <w:rsid w:val="00DB6D34"/>
    <w:rsid w:val="00DB6F65"/>
    <w:rsid w:val="00DB71AB"/>
    <w:rsid w:val="00DB7278"/>
    <w:rsid w:val="00DB739F"/>
    <w:rsid w:val="00DB76CC"/>
    <w:rsid w:val="00DB76DF"/>
    <w:rsid w:val="00DB7A82"/>
    <w:rsid w:val="00DB7ACD"/>
    <w:rsid w:val="00DB7C61"/>
    <w:rsid w:val="00DB7D8C"/>
    <w:rsid w:val="00DB7DB1"/>
    <w:rsid w:val="00DC0002"/>
    <w:rsid w:val="00DC03CC"/>
    <w:rsid w:val="00DC05FE"/>
    <w:rsid w:val="00DC06CD"/>
    <w:rsid w:val="00DC07B4"/>
    <w:rsid w:val="00DC0D8D"/>
    <w:rsid w:val="00DC1014"/>
    <w:rsid w:val="00DC1275"/>
    <w:rsid w:val="00DC181E"/>
    <w:rsid w:val="00DC1864"/>
    <w:rsid w:val="00DC1959"/>
    <w:rsid w:val="00DC1B15"/>
    <w:rsid w:val="00DC1C49"/>
    <w:rsid w:val="00DC1CEF"/>
    <w:rsid w:val="00DC1DF2"/>
    <w:rsid w:val="00DC1E4E"/>
    <w:rsid w:val="00DC22F5"/>
    <w:rsid w:val="00DC22F7"/>
    <w:rsid w:val="00DC2714"/>
    <w:rsid w:val="00DC2746"/>
    <w:rsid w:val="00DC3071"/>
    <w:rsid w:val="00DC3118"/>
    <w:rsid w:val="00DC34DF"/>
    <w:rsid w:val="00DC3526"/>
    <w:rsid w:val="00DC3866"/>
    <w:rsid w:val="00DC3981"/>
    <w:rsid w:val="00DC3994"/>
    <w:rsid w:val="00DC39BB"/>
    <w:rsid w:val="00DC3BD4"/>
    <w:rsid w:val="00DC3C7E"/>
    <w:rsid w:val="00DC3C88"/>
    <w:rsid w:val="00DC41D2"/>
    <w:rsid w:val="00DC458B"/>
    <w:rsid w:val="00DC481D"/>
    <w:rsid w:val="00DC4995"/>
    <w:rsid w:val="00DC4F72"/>
    <w:rsid w:val="00DC5197"/>
    <w:rsid w:val="00DC567A"/>
    <w:rsid w:val="00DC5C6E"/>
    <w:rsid w:val="00DC5D4D"/>
    <w:rsid w:val="00DC5D55"/>
    <w:rsid w:val="00DC610C"/>
    <w:rsid w:val="00DC618E"/>
    <w:rsid w:val="00DC61DA"/>
    <w:rsid w:val="00DC67FD"/>
    <w:rsid w:val="00DC6B23"/>
    <w:rsid w:val="00DC6BB5"/>
    <w:rsid w:val="00DC6E0E"/>
    <w:rsid w:val="00DC6ED5"/>
    <w:rsid w:val="00DC6F62"/>
    <w:rsid w:val="00DC70CA"/>
    <w:rsid w:val="00DC70CC"/>
    <w:rsid w:val="00DC732D"/>
    <w:rsid w:val="00DC7382"/>
    <w:rsid w:val="00DC73AA"/>
    <w:rsid w:val="00DC744A"/>
    <w:rsid w:val="00DC781E"/>
    <w:rsid w:val="00DC7AD3"/>
    <w:rsid w:val="00DC7D7B"/>
    <w:rsid w:val="00DC7D9C"/>
    <w:rsid w:val="00DC7DCF"/>
    <w:rsid w:val="00DD0089"/>
    <w:rsid w:val="00DD0129"/>
    <w:rsid w:val="00DD0150"/>
    <w:rsid w:val="00DD0187"/>
    <w:rsid w:val="00DD0332"/>
    <w:rsid w:val="00DD0389"/>
    <w:rsid w:val="00DD04F6"/>
    <w:rsid w:val="00DD0C0E"/>
    <w:rsid w:val="00DD0EB0"/>
    <w:rsid w:val="00DD1091"/>
    <w:rsid w:val="00DD10A2"/>
    <w:rsid w:val="00DD13A0"/>
    <w:rsid w:val="00DD156F"/>
    <w:rsid w:val="00DD15BC"/>
    <w:rsid w:val="00DD1770"/>
    <w:rsid w:val="00DD1C2E"/>
    <w:rsid w:val="00DD21C9"/>
    <w:rsid w:val="00DD25B8"/>
    <w:rsid w:val="00DD2707"/>
    <w:rsid w:val="00DD27BC"/>
    <w:rsid w:val="00DD2A77"/>
    <w:rsid w:val="00DD2B2E"/>
    <w:rsid w:val="00DD2DA0"/>
    <w:rsid w:val="00DD3281"/>
    <w:rsid w:val="00DD32AD"/>
    <w:rsid w:val="00DD3852"/>
    <w:rsid w:val="00DD387D"/>
    <w:rsid w:val="00DD39B5"/>
    <w:rsid w:val="00DD39D8"/>
    <w:rsid w:val="00DD3D36"/>
    <w:rsid w:val="00DD402D"/>
    <w:rsid w:val="00DD4351"/>
    <w:rsid w:val="00DD4830"/>
    <w:rsid w:val="00DD4976"/>
    <w:rsid w:val="00DD4E06"/>
    <w:rsid w:val="00DD513B"/>
    <w:rsid w:val="00DD567B"/>
    <w:rsid w:val="00DD5804"/>
    <w:rsid w:val="00DD588B"/>
    <w:rsid w:val="00DD58D0"/>
    <w:rsid w:val="00DD5945"/>
    <w:rsid w:val="00DD5AA8"/>
    <w:rsid w:val="00DD5C9E"/>
    <w:rsid w:val="00DD6308"/>
    <w:rsid w:val="00DD64D4"/>
    <w:rsid w:val="00DD66D2"/>
    <w:rsid w:val="00DD6813"/>
    <w:rsid w:val="00DD687C"/>
    <w:rsid w:val="00DD68A3"/>
    <w:rsid w:val="00DD6918"/>
    <w:rsid w:val="00DD69C4"/>
    <w:rsid w:val="00DD6BC8"/>
    <w:rsid w:val="00DD6DB9"/>
    <w:rsid w:val="00DD7149"/>
    <w:rsid w:val="00DD729E"/>
    <w:rsid w:val="00DD75F0"/>
    <w:rsid w:val="00DD7636"/>
    <w:rsid w:val="00DD76F1"/>
    <w:rsid w:val="00DD77D7"/>
    <w:rsid w:val="00DD786A"/>
    <w:rsid w:val="00DD78E8"/>
    <w:rsid w:val="00DD7B51"/>
    <w:rsid w:val="00DD7BCF"/>
    <w:rsid w:val="00DD7D1B"/>
    <w:rsid w:val="00DD7D8E"/>
    <w:rsid w:val="00DE0167"/>
    <w:rsid w:val="00DE061D"/>
    <w:rsid w:val="00DE0842"/>
    <w:rsid w:val="00DE11E4"/>
    <w:rsid w:val="00DE1329"/>
    <w:rsid w:val="00DE13EF"/>
    <w:rsid w:val="00DE1AB6"/>
    <w:rsid w:val="00DE1EC3"/>
    <w:rsid w:val="00DE2026"/>
    <w:rsid w:val="00DE217B"/>
    <w:rsid w:val="00DE2182"/>
    <w:rsid w:val="00DE233B"/>
    <w:rsid w:val="00DE27E0"/>
    <w:rsid w:val="00DE28BE"/>
    <w:rsid w:val="00DE2C72"/>
    <w:rsid w:val="00DE2E92"/>
    <w:rsid w:val="00DE31DC"/>
    <w:rsid w:val="00DE3290"/>
    <w:rsid w:val="00DE3C5B"/>
    <w:rsid w:val="00DE3F3B"/>
    <w:rsid w:val="00DE40B4"/>
    <w:rsid w:val="00DE413B"/>
    <w:rsid w:val="00DE43F8"/>
    <w:rsid w:val="00DE4415"/>
    <w:rsid w:val="00DE44BA"/>
    <w:rsid w:val="00DE486C"/>
    <w:rsid w:val="00DE4C5B"/>
    <w:rsid w:val="00DE4ED3"/>
    <w:rsid w:val="00DE4EEA"/>
    <w:rsid w:val="00DE5366"/>
    <w:rsid w:val="00DE5413"/>
    <w:rsid w:val="00DE543B"/>
    <w:rsid w:val="00DE56E1"/>
    <w:rsid w:val="00DE5A0A"/>
    <w:rsid w:val="00DE5A34"/>
    <w:rsid w:val="00DE5BAB"/>
    <w:rsid w:val="00DE5DEB"/>
    <w:rsid w:val="00DE601D"/>
    <w:rsid w:val="00DE60FC"/>
    <w:rsid w:val="00DE66DD"/>
    <w:rsid w:val="00DE6A09"/>
    <w:rsid w:val="00DE6A5D"/>
    <w:rsid w:val="00DE6B3A"/>
    <w:rsid w:val="00DE6C0B"/>
    <w:rsid w:val="00DE6CC9"/>
    <w:rsid w:val="00DE6CE4"/>
    <w:rsid w:val="00DE7215"/>
    <w:rsid w:val="00DE73AF"/>
    <w:rsid w:val="00DE742D"/>
    <w:rsid w:val="00DE744F"/>
    <w:rsid w:val="00DE771F"/>
    <w:rsid w:val="00DE778B"/>
    <w:rsid w:val="00DE77C9"/>
    <w:rsid w:val="00DE7B97"/>
    <w:rsid w:val="00DE7F75"/>
    <w:rsid w:val="00DF03BD"/>
    <w:rsid w:val="00DF05DE"/>
    <w:rsid w:val="00DF07E5"/>
    <w:rsid w:val="00DF099E"/>
    <w:rsid w:val="00DF0C5C"/>
    <w:rsid w:val="00DF0C6F"/>
    <w:rsid w:val="00DF0D04"/>
    <w:rsid w:val="00DF0F72"/>
    <w:rsid w:val="00DF0F77"/>
    <w:rsid w:val="00DF0FB4"/>
    <w:rsid w:val="00DF1022"/>
    <w:rsid w:val="00DF10F7"/>
    <w:rsid w:val="00DF1198"/>
    <w:rsid w:val="00DF137F"/>
    <w:rsid w:val="00DF1633"/>
    <w:rsid w:val="00DF17B6"/>
    <w:rsid w:val="00DF1854"/>
    <w:rsid w:val="00DF1AE7"/>
    <w:rsid w:val="00DF1B81"/>
    <w:rsid w:val="00DF1B8E"/>
    <w:rsid w:val="00DF1C83"/>
    <w:rsid w:val="00DF1CE2"/>
    <w:rsid w:val="00DF1D65"/>
    <w:rsid w:val="00DF1DF1"/>
    <w:rsid w:val="00DF1FCA"/>
    <w:rsid w:val="00DF2174"/>
    <w:rsid w:val="00DF21CB"/>
    <w:rsid w:val="00DF2596"/>
    <w:rsid w:val="00DF271E"/>
    <w:rsid w:val="00DF2813"/>
    <w:rsid w:val="00DF2BB1"/>
    <w:rsid w:val="00DF2F1C"/>
    <w:rsid w:val="00DF3029"/>
    <w:rsid w:val="00DF30A0"/>
    <w:rsid w:val="00DF365A"/>
    <w:rsid w:val="00DF3719"/>
    <w:rsid w:val="00DF3827"/>
    <w:rsid w:val="00DF38D3"/>
    <w:rsid w:val="00DF3AB1"/>
    <w:rsid w:val="00DF3B9F"/>
    <w:rsid w:val="00DF3BA8"/>
    <w:rsid w:val="00DF3DAF"/>
    <w:rsid w:val="00DF3F0B"/>
    <w:rsid w:val="00DF3F69"/>
    <w:rsid w:val="00DF434A"/>
    <w:rsid w:val="00DF47CE"/>
    <w:rsid w:val="00DF4AE2"/>
    <w:rsid w:val="00DF5295"/>
    <w:rsid w:val="00DF55C4"/>
    <w:rsid w:val="00DF5793"/>
    <w:rsid w:val="00DF5967"/>
    <w:rsid w:val="00DF5ECA"/>
    <w:rsid w:val="00DF5F23"/>
    <w:rsid w:val="00DF5FAD"/>
    <w:rsid w:val="00DF62ED"/>
    <w:rsid w:val="00DF64AE"/>
    <w:rsid w:val="00DF6597"/>
    <w:rsid w:val="00DF6834"/>
    <w:rsid w:val="00DF68F6"/>
    <w:rsid w:val="00DF6A27"/>
    <w:rsid w:val="00DF6B27"/>
    <w:rsid w:val="00DF6C00"/>
    <w:rsid w:val="00DF6CC4"/>
    <w:rsid w:val="00DF7380"/>
    <w:rsid w:val="00DF7626"/>
    <w:rsid w:val="00DF762F"/>
    <w:rsid w:val="00DF7AD8"/>
    <w:rsid w:val="00DF7F96"/>
    <w:rsid w:val="00DF7FB8"/>
    <w:rsid w:val="00E00049"/>
    <w:rsid w:val="00E00222"/>
    <w:rsid w:val="00E002C2"/>
    <w:rsid w:val="00E006EA"/>
    <w:rsid w:val="00E009F3"/>
    <w:rsid w:val="00E00B94"/>
    <w:rsid w:val="00E011DA"/>
    <w:rsid w:val="00E01569"/>
    <w:rsid w:val="00E01875"/>
    <w:rsid w:val="00E01908"/>
    <w:rsid w:val="00E01A0E"/>
    <w:rsid w:val="00E01BE8"/>
    <w:rsid w:val="00E01C47"/>
    <w:rsid w:val="00E01CD2"/>
    <w:rsid w:val="00E01D08"/>
    <w:rsid w:val="00E02337"/>
    <w:rsid w:val="00E024D3"/>
    <w:rsid w:val="00E02989"/>
    <w:rsid w:val="00E02C99"/>
    <w:rsid w:val="00E02E17"/>
    <w:rsid w:val="00E03180"/>
    <w:rsid w:val="00E032D4"/>
    <w:rsid w:val="00E034F6"/>
    <w:rsid w:val="00E03DAB"/>
    <w:rsid w:val="00E03DB8"/>
    <w:rsid w:val="00E03FF8"/>
    <w:rsid w:val="00E04098"/>
    <w:rsid w:val="00E040E1"/>
    <w:rsid w:val="00E04113"/>
    <w:rsid w:val="00E041BA"/>
    <w:rsid w:val="00E04281"/>
    <w:rsid w:val="00E04414"/>
    <w:rsid w:val="00E04928"/>
    <w:rsid w:val="00E04AA6"/>
    <w:rsid w:val="00E04ADA"/>
    <w:rsid w:val="00E04BAD"/>
    <w:rsid w:val="00E0514B"/>
    <w:rsid w:val="00E0523D"/>
    <w:rsid w:val="00E05314"/>
    <w:rsid w:val="00E05898"/>
    <w:rsid w:val="00E05910"/>
    <w:rsid w:val="00E05A00"/>
    <w:rsid w:val="00E05B46"/>
    <w:rsid w:val="00E05B7D"/>
    <w:rsid w:val="00E05B8C"/>
    <w:rsid w:val="00E05CB0"/>
    <w:rsid w:val="00E05DFB"/>
    <w:rsid w:val="00E05E8D"/>
    <w:rsid w:val="00E05F47"/>
    <w:rsid w:val="00E06183"/>
    <w:rsid w:val="00E0639F"/>
    <w:rsid w:val="00E065B4"/>
    <w:rsid w:val="00E06889"/>
    <w:rsid w:val="00E0696D"/>
    <w:rsid w:val="00E06ADD"/>
    <w:rsid w:val="00E0758A"/>
    <w:rsid w:val="00E0777D"/>
    <w:rsid w:val="00E07B66"/>
    <w:rsid w:val="00E07D76"/>
    <w:rsid w:val="00E07F25"/>
    <w:rsid w:val="00E07FA5"/>
    <w:rsid w:val="00E0B187"/>
    <w:rsid w:val="00E1018B"/>
    <w:rsid w:val="00E102B2"/>
    <w:rsid w:val="00E103A5"/>
    <w:rsid w:val="00E10582"/>
    <w:rsid w:val="00E10C44"/>
    <w:rsid w:val="00E10EF7"/>
    <w:rsid w:val="00E11072"/>
    <w:rsid w:val="00E1115F"/>
    <w:rsid w:val="00E11299"/>
    <w:rsid w:val="00E113F3"/>
    <w:rsid w:val="00E11400"/>
    <w:rsid w:val="00E11452"/>
    <w:rsid w:val="00E1174F"/>
    <w:rsid w:val="00E11AA8"/>
    <w:rsid w:val="00E11E2D"/>
    <w:rsid w:val="00E121D0"/>
    <w:rsid w:val="00E123D2"/>
    <w:rsid w:val="00E12A55"/>
    <w:rsid w:val="00E12B23"/>
    <w:rsid w:val="00E1303C"/>
    <w:rsid w:val="00E1316D"/>
    <w:rsid w:val="00E132C1"/>
    <w:rsid w:val="00E134C5"/>
    <w:rsid w:val="00E1359C"/>
    <w:rsid w:val="00E13693"/>
    <w:rsid w:val="00E13974"/>
    <w:rsid w:val="00E13C88"/>
    <w:rsid w:val="00E13D4D"/>
    <w:rsid w:val="00E13DE1"/>
    <w:rsid w:val="00E13E42"/>
    <w:rsid w:val="00E13FAA"/>
    <w:rsid w:val="00E145BC"/>
    <w:rsid w:val="00E1497F"/>
    <w:rsid w:val="00E14A5F"/>
    <w:rsid w:val="00E14C6E"/>
    <w:rsid w:val="00E153D1"/>
    <w:rsid w:val="00E15705"/>
    <w:rsid w:val="00E1584D"/>
    <w:rsid w:val="00E1597B"/>
    <w:rsid w:val="00E15ADE"/>
    <w:rsid w:val="00E15BE7"/>
    <w:rsid w:val="00E1613D"/>
    <w:rsid w:val="00E161CD"/>
    <w:rsid w:val="00E1676C"/>
    <w:rsid w:val="00E16A55"/>
    <w:rsid w:val="00E16AC6"/>
    <w:rsid w:val="00E16B2F"/>
    <w:rsid w:val="00E16DA9"/>
    <w:rsid w:val="00E16E29"/>
    <w:rsid w:val="00E16F2F"/>
    <w:rsid w:val="00E17013"/>
    <w:rsid w:val="00E1758B"/>
    <w:rsid w:val="00E177E4"/>
    <w:rsid w:val="00E178C2"/>
    <w:rsid w:val="00E2020B"/>
    <w:rsid w:val="00E202D3"/>
    <w:rsid w:val="00E203D0"/>
    <w:rsid w:val="00E203DC"/>
    <w:rsid w:val="00E206C9"/>
    <w:rsid w:val="00E2075B"/>
    <w:rsid w:val="00E2081B"/>
    <w:rsid w:val="00E20A8F"/>
    <w:rsid w:val="00E20BA5"/>
    <w:rsid w:val="00E20C53"/>
    <w:rsid w:val="00E20D49"/>
    <w:rsid w:val="00E21099"/>
    <w:rsid w:val="00E211D3"/>
    <w:rsid w:val="00E21368"/>
    <w:rsid w:val="00E213F5"/>
    <w:rsid w:val="00E215FA"/>
    <w:rsid w:val="00E21699"/>
    <w:rsid w:val="00E21B21"/>
    <w:rsid w:val="00E21D1E"/>
    <w:rsid w:val="00E21EDD"/>
    <w:rsid w:val="00E221FA"/>
    <w:rsid w:val="00E22542"/>
    <w:rsid w:val="00E2272C"/>
    <w:rsid w:val="00E229AE"/>
    <w:rsid w:val="00E22B0A"/>
    <w:rsid w:val="00E22B76"/>
    <w:rsid w:val="00E232A4"/>
    <w:rsid w:val="00E23830"/>
    <w:rsid w:val="00E23B4C"/>
    <w:rsid w:val="00E23C94"/>
    <w:rsid w:val="00E23D8D"/>
    <w:rsid w:val="00E23DD8"/>
    <w:rsid w:val="00E241FE"/>
    <w:rsid w:val="00E242BE"/>
    <w:rsid w:val="00E24469"/>
    <w:rsid w:val="00E244E9"/>
    <w:rsid w:val="00E24624"/>
    <w:rsid w:val="00E24739"/>
    <w:rsid w:val="00E24A23"/>
    <w:rsid w:val="00E24C27"/>
    <w:rsid w:val="00E24E7C"/>
    <w:rsid w:val="00E25067"/>
    <w:rsid w:val="00E250C0"/>
    <w:rsid w:val="00E250C1"/>
    <w:rsid w:val="00E251ED"/>
    <w:rsid w:val="00E252CD"/>
    <w:rsid w:val="00E254C6"/>
    <w:rsid w:val="00E255B2"/>
    <w:rsid w:val="00E256AE"/>
    <w:rsid w:val="00E25855"/>
    <w:rsid w:val="00E2594A"/>
    <w:rsid w:val="00E25EB9"/>
    <w:rsid w:val="00E25F80"/>
    <w:rsid w:val="00E264F0"/>
    <w:rsid w:val="00E2698A"/>
    <w:rsid w:val="00E26A7C"/>
    <w:rsid w:val="00E26B3E"/>
    <w:rsid w:val="00E26D8E"/>
    <w:rsid w:val="00E2710C"/>
    <w:rsid w:val="00E273AC"/>
    <w:rsid w:val="00E275D2"/>
    <w:rsid w:val="00E27904"/>
    <w:rsid w:val="00E27D19"/>
    <w:rsid w:val="00E27D23"/>
    <w:rsid w:val="00E27F3B"/>
    <w:rsid w:val="00E27F90"/>
    <w:rsid w:val="00E300C9"/>
    <w:rsid w:val="00E30383"/>
    <w:rsid w:val="00E3046E"/>
    <w:rsid w:val="00E3048D"/>
    <w:rsid w:val="00E30736"/>
    <w:rsid w:val="00E308D7"/>
    <w:rsid w:val="00E30954"/>
    <w:rsid w:val="00E30BF9"/>
    <w:rsid w:val="00E30CB0"/>
    <w:rsid w:val="00E30E4E"/>
    <w:rsid w:val="00E30ECF"/>
    <w:rsid w:val="00E31112"/>
    <w:rsid w:val="00E311F6"/>
    <w:rsid w:val="00E312DE"/>
    <w:rsid w:val="00E31726"/>
    <w:rsid w:val="00E31732"/>
    <w:rsid w:val="00E318CA"/>
    <w:rsid w:val="00E31CB7"/>
    <w:rsid w:val="00E31DFB"/>
    <w:rsid w:val="00E31E58"/>
    <w:rsid w:val="00E31E6A"/>
    <w:rsid w:val="00E32231"/>
    <w:rsid w:val="00E322E8"/>
    <w:rsid w:val="00E327ED"/>
    <w:rsid w:val="00E32912"/>
    <w:rsid w:val="00E3360B"/>
    <w:rsid w:val="00E3360E"/>
    <w:rsid w:val="00E34043"/>
    <w:rsid w:val="00E343CB"/>
    <w:rsid w:val="00E3462D"/>
    <w:rsid w:val="00E34750"/>
    <w:rsid w:val="00E347D7"/>
    <w:rsid w:val="00E34B75"/>
    <w:rsid w:val="00E35075"/>
    <w:rsid w:val="00E3513C"/>
    <w:rsid w:val="00E351F3"/>
    <w:rsid w:val="00E35602"/>
    <w:rsid w:val="00E35C9E"/>
    <w:rsid w:val="00E3605E"/>
    <w:rsid w:val="00E3607B"/>
    <w:rsid w:val="00E360B5"/>
    <w:rsid w:val="00E3611A"/>
    <w:rsid w:val="00E36275"/>
    <w:rsid w:val="00E36C37"/>
    <w:rsid w:val="00E36EF0"/>
    <w:rsid w:val="00E3728D"/>
    <w:rsid w:val="00E37356"/>
    <w:rsid w:val="00E3772C"/>
    <w:rsid w:val="00E3798A"/>
    <w:rsid w:val="00E37C82"/>
    <w:rsid w:val="00E37DFB"/>
    <w:rsid w:val="00E37EB1"/>
    <w:rsid w:val="00E401A8"/>
    <w:rsid w:val="00E406C8"/>
    <w:rsid w:val="00E40846"/>
    <w:rsid w:val="00E40849"/>
    <w:rsid w:val="00E40AFD"/>
    <w:rsid w:val="00E40AFE"/>
    <w:rsid w:val="00E40BE6"/>
    <w:rsid w:val="00E40F40"/>
    <w:rsid w:val="00E41151"/>
    <w:rsid w:val="00E4117A"/>
    <w:rsid w:val="00E411BB"/>
    <w:rsid w:val="00E41401"/>
    <w:rsid w:val="00E41496"/>
    <w:rsid w:val="00E4149A"/>
    <w:rsid w:val="00E41698"/>
    <w:rsid w:val="00E41ACD"/>
    <w:rsid w:val="00E41F8E"/>
    <w:rsid w:val="00E41FDB"/>
    <w:rsid w:val="00E42075"/>
    <w:rsid w:val="00E4222D"/>
    <w:rsid w:val="00E423FC"/>
    <w:rsid w:val="00E4289E"/>
    <w:rsid w:val="00E42B89"/>
    <w:rsid w:val="00E42F0A"/>
    <w:rsid w:val="00E431E3"/>
    <w:rsid w:val="00E43419"/>
    <w:rsid w:val="00E435DB"/>
    <w:rsid w:val="00E4369B"/>
    <w:rsid w:val="00E43984"/>
    <w:rsid w:val="00E439ED"/>
    <w:rsid w:val="00E43C1E"/>
    <w:rsid w:val="00E43F6B"/>
    <w:rsid w:val="00E43F9D"/>
    <w:rsid w:val="00E43FF6"/>
    <w:rsid w:val="00E4400D"/>
    <w:rsid w:val="00E440E4"/>
    <w:rsid w:val="00E440FE"/>
    <w:rsid w:val="00E442A6"/>
    <w:rsid w:val="00E446D1"/>
    <w:rsid w:val="00E44A69"/>
    <w:rsid w:val="00E44DCD"/>
    <w:rsid w:val="00E45874"/>
    <w:rsid w:val="00E4588E"/>
    <w:rsid w:val="00E45982"/>
    <w:rsid w:val="00E45A05"/>
    <w:rsid w:val="00E45B0F"/>
    <w:rsid w:val="00E45DF6"/>
    <w:rsid w:val="00E46543"/>
    <w:rsid w:val="00E467C4"/>
    <w:rsid w:val="00E46A81"/>
    <w:rsid w:val="00E46C13"/>
    <w:rsid w:val="00E46E8B"/>
    <w:rsid w:val="00E46F5B"/>
    <w:rsid w:val="00E471F7"/>
    <w:rsid w:val="00E47467"/>
    <w:rsid w:val="00E477C7"/>
    <w:rsid w:val="00E477D8"/>
    <w:rsid w:val="00E478E5"/>
    <w:rsid w:val="00E47B1C"/>
    <w:rsid w:val="00E47E95"/>
    <w:rsid w:val="00E47FF2"/>
    <w:rsid w:val="00E5020B"/>
    <w:rsid w:val="00E5043B"/>
    <w:rsid w:val="00E5043D"/>
    <w:rsid w:val="00E50A37"/>
    <w:rsid w:val="00E50BB6"/>
    <w:rsid w:val="00E50C2E"/>
    <w:rsid w:val="00E50CCC"/>
    <w:rsid w:val="00E50CCF"/>
    <w:rsid w:val="00E50D12"/>
    <w:rsid w:val="00E5125B"/>
    <w:rsid w:val="00E5174E"/>
    <w:rsid w:val="00E5182B"/>
    <w:rsid w:val="00E5189A"/>
    <w:rsid w:val="00E51F17"/>
    <w:rsid w:val="00E522C0"/>
    <w:rsid w:val="00E52945"/>
    <w:rsid w:val="00E52A0E"/>
    <w:rsid w:val="00E52C05"/>
    <w:rsid w:val="00E52CC5"/>
    <w:rsid w:val="00E534DE"/>
    <w:rsid w:val="00E5350D"/>
    <w:rsid w:val="00E53925"/>
    <w:rsid w:val="00E53CCF"/>
    <w:rsid w:val="00E54068"/>
    <w:rsid w:val="00E54390"/>
    <w:rsid w:val="00E544F2"/>
    <w:rsid w:val="00E54519"/>
    <w:rsid w:val="00E54528"/>
    <w:rsid w:val="00E54557"/>
    <w:rsid w:val="00E5459B"/>
    <w:rsid w:val="00E546E4"/>
    <w:rsid w:val="00E5496A"/>
    <w:rsid w:val="00E54A30"/>
    <w:rsid w:val="00E54CDB"/>
    <w:rsid w:val="00E54D43"/>
    <w:rsid w:val="00E54DFE"/>
    <w:rsid w:val="00E54E0C"/>
    <w:rsid w:val="00E54E49"/>
    <w:rsid w:val="00E54F22"/>
    <w:rsid w:val="00E550E6"/>
    <w:rsid w:val="00E552E7"/>
    <w:rsid w:val="00E5557B"/>
    <w:rsid w:val="00E5558D"/>
    <w:rsid w:val="00E5582E"/>
    <w:rsid w:val="00E5599F"/>
    <w:rsid w:val="00E559FA"/>
    <w:rsid w:val="00E55EAA"/>
    <w:rsid w:val="00E56522"/>
    <w:rsid w:val="00E56576"/>
    <w:rsid w:val="00E5670C"/>
    <w:rsid w:val="00E568AA"/>
    <w:rsid w:val="00E56998"/>
    <w:rsid w:val="00E569ED"/>
    <w:rsid w:val="00E56DE7"/>
    <w:rsid w:val="00E56E82"/>
    <w:rsid w:val="00E56FC1"/>
    <w:rsid w:val="00E5718B"/>
    <w:rsid w:val="00E5749D"/>
    <w:rsid w:val="00E5794D"/>
    <w:rsid w:val="00E57965"/>
    <w:rsid w:val="00E57CA3"/>
    <w:rsid w:val="00E604CF"/>
    <w:rsid w:val="00E607FA"/>
    <w:rsid w:val="00E60E45"/>
    <w:rsid w:val="00E61222"/>
    <w:rsid w:val="00E6125A"/>
    <w:rsid w:val="00E614D2"/>
    <w:rsid w:val="00E61A3C"/>
    <w:rsid w:val="00E61B09"/>
    <w:rsid w:val="00E62257"/>
    <w:rsid w:val="00E62446"/>
    <w:rsid w:val="00E6251C"/>
    <w:rsid w:val="00E6268A"/>
    <w:rsid w:val="00E62A84"/>
    <w:rsid w:val="00E62E69"/>
    <w:rsid w:val="00E630F0"/>
    <w:rsid w:val="00E632F8"/>
    <w:rsid w:val="00E633D6"/>
    <w:rsid w:val="00E634A6"/>
    <w:rsid w:val="00E636B2"/>
    <w:rsid w:val="00E63980"/>
    <w:rsid w:val="00E63C24"/>
    <w:rsid w:val="00E63D33"/>
    <w:rsid w:val="00E63F13"/>
    <w:rsid w:val="00E64350"/>
    <w:rsid w:val="00E64389"/>
    <w:rsid w:val="00E645DE"/>
    <w:rsid w:val="00E64882"/>
    <w:rsid w:val="00E64A0C"/>
    <w:rsid w:val="00E64DE6"/>
    <w:rsid w:val="00E64E50"/>
    <w:rsid w:val="00E64EC9"/>
    <w:rsid w:val="00E65066"/>
    <w:rsid w:val="00E6513B"/>
    <w:rsid w:val="00E65174"/>
    <w:rsid w:val="00E6542D"/>
    <w:rsid w:val="00E65A9B"/>
    <w:rsid w:val="00E65F6E"/>
    <w:rsid w:val="00E66366"/>
    <w:rsid w:val="00E6665D"/>
    <w:rsid w:val="00E66667"/>
    <w:rsid w:val="00E6693A"/>
    <w:rsid w:val="00E66FC1"/>
    <w:rsid w:val="00E67449"/>
    <w:rsid w:val="00E677FB"/>
    <w:rsid w:val="00E67972"/>
    <w:rsid w:val="00E67AA9"/>
    <w:rsid w:val="00E67BDE"/>
    <w:rsid w:val="00E67C7C"/>
    <w:rsid w:val="00E67CDF"/>
    <w:rsid w:val="00E67FDD"/>
    <w:rsid w:val="00E67FE4"/>
    <w:rsid w:val="00E700CD"/>
    <w:rsid w:val="00E701F1"/>
    <w:rsid w:val="00E70797"/>
    <w:rsid w:val="00E70832"/>
    <w:rsid w:val="00E708D2"/>
    <w:rsid w:val="00E70C49"/>
    <w:rsid w:val="00E70CF3"/>
    <w:rsid w:val="00E70E2F"/>
    <w:rsid w:val="00E70ED7"/>
    <w:rsid w:val="00E70EF1"/>
    <w:rsid w:val="00E710E2"/>
    <w:rsid w:val="00E7125E"/>
    <w:rsid w:val="00E712B8"/>
    <w:rsid w:val="00E71533"/>
    <w:rsid w:val="00E7185D"/>
    <w:rsid w:val="00E718F3"/>
    <w:rsid w:val="00E71E6B"/>
    <w:rsid w:val="00E7201F"/>
    <w:rsid w:val="00E72376"/>
    <w:rsid w:val="00E72470"/>
    <w:rsid w:val="00E72D8A"/>
    <w:rsid w:val="00E72F17"/>
    <w:rsid w:val="00E7308C"/>
    <w:rsid w:val="00E73169"/>
    <w:rsid w:val="00E73238"/>
    <w:rsid w:val="00E737E0"/>
    <w:rsid w:val="00E73BE0"/>
    <w:rsid w:val="00E73C56"/>
    <w:rsid w:val="00E73CC2"/>
    <w:rsid w:val="00E73DFB"/>
    <w:rsid w:val="00E73FF9"/>
    <w:rsid w:val="00E740EF"/>
    <w:rsid w:val="00E74126"/>
    <w:rsid w:val="00E74357"/>
    <w:rsid w:val="00E7454C"/>
    <w:rsid w:val="00E746D1"/>
    <w:rsid w:val="00E74BAA"/>
    <w:rsid w:val="00E74DD7"/>
    <w:rsid w:val="00E74FB8"/>
    <w:rsid w:val="00E75628"/>
    <w:rsid w:val="00E7593F"/>
    <w:rsid w:val="00E75AAB"/>
    <w:rsid w:val="00E75B52"/>
    <w:rsid w:val="00E75BBA"/>
    <w:rsid w:val="00E761EA"/>
    <w:rsid w:val="00E761EE"/>
    <w:rsid w:val="00E76C03"/>
    <w:rsid w:val="00E76C94"/>
    <w:rsid w:val="00E76DBA"/>
    <w:rsid w:val="00E76EB9"/>
    <w:rsid w:val="00E76F79"/>
    <w:rsid w:val="00E770F7"/>
    <w:rsid w:val="00E772AF"/>
    <w:rsid w:val="00E77352"/>
    <w:rsid w:val="00E774E6"/>
    <w:rsid w:val="00E77C1D"/>
    <w:rsid w:val="00E77C8A"/>
    <w:rsid w:val="00E77CB3"/>
    <w:rsid w:val="00E77CB5"/>
    <w:rsid w:val="00E77EF4"/>
    <w:rsid w:val="00E77FBC"/>
    <w:rsid w:val="00E8005F"/>
    <w:rsid w:val="00E8021C"/>
    <w:rsid w:val="00E80246"/>
    <w:rsid w:val="00E804EF"/>
    <w:rsid w:val="00E80545"/>
    <w:rsid w:val="00E80A1C"/>
    <w:rsid w:val="00E80BCD"/>
    <w:rsid w:val="00E80FC4"/>
    <w:rsid w:val="00E80FF7"/>
    <w:rsid w:val="00E81031"/>
    <w:rsid w:val="00E813B9"/>
    <w:rsid w:val="00E813DF"/>
    <w:rsid w:val="00E81819"/>
    <w:rsid w:val="00E81AD9"/>
    <w:rsid w:val="00E81C58"/>
    <w:rsid w:val="00E81DD4"/>
    <w:rsid w:val="00E822B4"/>
    <w:rsid w:val="00E8240E"/>
    <w:rsid w:val="00E82605"/>
    <w:rsid w:val="00E82606"/>
    <w:rsid w:val="00E82688"/>
    <w:rsid w:val="00E826C7"/>
    <w:rsid w:val="00E82B97"/>
    <w:rsid w:val="00E82CD0"/>
    <w:rsid w:val="00E82CFC"/>
    <w:rsid w:val="00E82D8F"/>
    <w:rsid w:val="00E839AB"/>
    <w:rsid w:val="00E83CDA"/>
    <w:rsid w:val="00E83ED0"/>
    <w:rsid w:val="00E84104"/>
    <w:rsid w:val="00E84174"/>
    <w:rsid w:val="00E841F6"/>
    <w:rsid w:val="00E848CF"/>
    <w:rsid w:val="00E84997"/>
    <w:rsid w:val="00E84B51"/>
    <w:rsid w:val="00E84B54"/>
    <w:rsid w:val="00E84C75"/>
    <w:rsid w:val="00E85033"/>
    <w:rsid w:val="00E8532A"/>
    <w:rsid w:val="00E856C2"/>
    <w:rsid w:val="00E857F4"/>
    <w:rsid w:val="00E85B75"/>
    <w:rsid w:val="00E85D8B"/>
    <w:rsid w:val="00E86237"/>
    <w:rsid w:val="00E86379"/>
    <w:rsid w:val="00E86879"/>
    <w:rsid w:val="00E86B79"/>
    <w:rsid w:val="00E86E31"/>
    <w:rsid w:val="00E873A0"/>
    <w:rsid w:val="00E8779A"/>
    <w:rsid w:val="00E877CA"/>
    <w:rsid w:val="00E877ED"/>
    <w:rsid w:val="00E878BA"/>
    <w:rsid w:val="00E879FA"/>
    <w:rsid w:val="00E87BFD"/>
    <w:rsid w:val="00E87D4C"/>
    <w:rsid w:val="00E87FD2"/>
    <w:rsid w:val="00E90168"/>
    <w:rsid w:val="00E901B6"/>
    <w:rsid w:val="00E903CB"/>
    <w:rsid w:val="00E90532"/>
    <w:rsid w:val="00E90663"/>
    <w:rsid w:val="00E90A34"/>
    <w:rsid w:val="00E90C5A"/>
    <w:rsid w:val="00E90CED"/>
    <w:rsid w:val="00E90DD4"/>
    <w:rsid w:val="00E90DDC"/>
    <w:rsid w:val="00E911C8"/>
    <w:rsid w:val="00E91649"/>
    <w:rsid w:val="00E916C5"/>
    <w:rsid w:val="00E916EB"/>
    <w:rsid w:val="00E9171B"/>
    <w:rsid w:val="00E918BD"/>
    <w:rsid w:val="00E91C3F"/>
    <w:rsid w:val="00E92023"/>
    <w:rsid w:val="00E924A1"/>
    <w:rsid w:val="00E924C7"/>
    <w:rsid w:val="00E92835"/>
    <w:rsid w:val="00E92B57"/>
    <w:rsid w:val="00E92BAE"/>
    <w:rsid w:val="00E92D86"/>
    <w:rsid w:val="00E93028"/>
    <w:rsid w:val="00E932C3"/>
    <w:rsid w:val="00E9343C"/>
    <w:rsid w:val="00E9357B"/>
    <w:rsid w:val="00E938A1"/>
    <w:rsid w:val="00E93BA8"/>
    <w:rsid w:val="00E93BC9"/>
    <w:rsid w:val="00E93BD9"/>
    <w:rsid w:val="00E93C5A"/>
    <w:rsid w:val="00E93D1B"/>
    <w:rsid w:val="00E93FD0"/>
    <w:rsid w:val="00E940B8"/>
    <w:rsid w:val="00E940FB"/>
    <w:rsid w:val="00E9436D"/>
    <w:rsid w:val="00E944C4"/>
    <w:rsid w:val="00E949A7"/>
    <w:rsid w:val="00E94B71"/>
    <w:rsid w:val="00E94FE2"/>
    <w:rsid w:val="00E95010"/>
    <w:rsid w:val="00E95091"/>
    <w:rsid w:val="00E95558"/>
    <w:rsid w:val="00E95988"/>
    <w:rsid w:val="00E95A04"/>
    <w:rsid w:val="00E96096"/>
    <w:rsid w:val="00E9644A"/>
    <w:rsid w:val="00E9648E"/>
    <w:rsid w:val="00E96829"/>
    <w:rsid w:val="00E96A5A"/>
    <w:rsid w:val="00E96BB3"/>
    <w:rsid w:val="00E96E14"/>
    <w:rsid w:val="00E96EF3"/>
    <w:rsid w:val="00E96F3E"/>
    <w:rsid w:val="00E9734E"/>
    <w:rsid w:val="00E97369"/>
    <w:rsid w:val="00E975A7"/>
    <w:rsid w:val="00E97AB2"/>
    <w:rsid w:val="00E97EC8"/>
    <w:rsid w:val="00E97F7B"/>
    <w:rsid w:val="00E97F96"/>
    <w:rsid w:val="00EA0319"/>
    <w:rsid w:val="00EA0834"/>
    <w:rsid w:val="00EA0965"/>
    <w:rsid w:val="00EA0F9B"/>
    <w:rsid w:val="00EA0FCD"/>
    <w:rsid w:val="00EA1075"/>
    <w:rsid w:val="00EA1229"/>
    <w:rsid w:val="00EA1254"/>
    <w:rsid w:val="00EA1662"/>
    <w:rsid w:val="00EA19A9"/>
    <w:rsid w:val="00EA1A22"/>
    <w:rsid w:val="00EA1A42"/>
    <w:rsid w:val="00EA1B68"/>
    <w:rsid w:val="00EA1D43"/>
    <w:rsid w:val="00EA1D9F"/>
    <w:rsid w:val="00EA1EE8"/>
    <w:rsid w:val="00EA2026"/>
    <w:rsid w:val="00EA218E"/>
    <w:rsid w:val="00EA232F"/>
    <w:rsid w:val="00EA240D"/>
    <w:rsid w:val="00EA2434"/>
    <w:rsid w:val="00EA24BC"/>
    <w:rsid w:val="00EA2650"/>
    <w:rsid w:val="00EA2CF7"/>
    <w:rsid w:val="00EA2D7D"/>
    <w:rsid w:val="00EA2E7B"/>
    <w:rsid w:val="00EA307A"/>
    <w:rsid w:val="00EA36A0"/>
    <w:rsid w:val="00EA37EC"/>
    <w:rsid w:val="00EA3B16"/>
    <w:rsid w:val="00EA3C43"/>
    <w:rsid w:val="00EA3C94"/>
    <w:rsid w:val="00EA3D0E"/>
    <w:rsid w:val="00EA3FFA"/>
    <w:rsid w:val="00EA42E0"/>
    <w:rsid w:val="00EA42E3"/>
    <w:rsid w:val="00EA445F"/>
    <w:rsid w:val="00EA4590"/>
    <w:rsid w:val="00EA464D"/>
    <w:rsid w:val="00EA4687"/>
    <w:rsid w:val="00EA48B9"/>
    <w:rsid w:val="00EA4E8F"/>
    <w:rsid w:val="00EA5302"/>
    <w:rsid w:val="00EA5623"/>
    <w:rsid w:val="00EA567C"/>
    <w:rsid w:val="00EA5865"/>
    <w:rsid w:val="00EA5935"/>
    <w:rsid w:val="00EA5980"/>
    <w:rsid w:val="00EA6017"/>
    <w:rsid w:val="00EA60B8"/>
    <w:rsid w:val="00EA628C"/>
    <w:rsid w:val="00EA65C0"/>
    <w:rsid w:val="00EA66A2"/>
    <w:rsid w:val="00EA68BE"/>
    <w:rsid w:val="00EA6954"/>
    <w:rsid w:val="00EA69C7"/>
    <w:rsid w:val="00EA6E1F"/>
    <w:rsid w:val="00EA6F9A"/>
    <w:rsid w:val="00EA7182"/>
    <w:rsid w:val="00EA73A3"/>
    <w:rsid w:val="00EA74E3"/>
    <w:rsid w:val="00EA765A"/>
    <w:rsid w:val="00EA7771"/>
    <w:rsid w:val="00EA7877"/>
    <w:rsid w:val="00EA7923"/>
    <w:rsid w:val="00EA7FBB"/>
    <w:rsid w:val="00EB0014"/>
    <w:rsid w:val="00EB0400"/>
    <w:rsid w:val="00EB0681"/>
    <w:rsid w:val="00EB0875"/>
    <w:rsid w:val="00EB08A3"/>
    <w:rsid w:val="00EB097F"/>
    <w:rsid w:val="00EB0C37"/>
    <w:rsid w:val="00EB0F56"/>
    <w:rsid w:val="00EB0F75"/>
    <w:rsid w:val="00EB115E"/>
    <w:rsid w:val="00EB1176"/>
    <w:rsid w:val="00EB1261"/>
    <w:rsid w:val="00EB19E5"/>
    <w:rsid w:val="00EB2236"/>
    <w:rsid w:val="00EB22DD"/>
    <w:rsid w:val="00EB22F8"/>
    <w:rsid w:val="00EB29B9"/>
    <w:rsid w:val="00EB2C88"/>
    <w:rsid w:val="00EB2CDD"/>
    <w:rsid w:val="00EB2E5C"/>
    <w:rsid w:val="00EB2ED1"/>
    <w:rsid w:val="00EB3144"/>
    <w:rsid w:val="00EB36AF"/>
    <w:rsid w:val="00EB3A48"/>
    <w:rsid w:val="00EB3B14"/>
    <w:rsid w:val="00EB3D1D"/>
    <w:rsid w:val="00EB3D6B"/>
    <w:rsid w:val="00EB3D8C"/>
    <w:rsid w:val="00EB3EAF"/>
    <w:rsid w:val="00EB4218"/>
    <w:rsid w:val="00EB4513"/>
    <w:rsid w:val="00EB4696"/>
    <w:rsid w:val="00EB5122"/>
    <w:rsid w:val="00EB5141"/>
    <w:rsid w:val="00EB52AF"/>
    <w:rsid w:val="00EB53FC"/>
    <w:rsid w:val="00EB5556"/>
    <w:rsid w:val="00EB5608"/>
    <w:rsid w:val="00EB569A"/>
    <w:rsid w:val="00EB56DD"/>
    <w:rsid w:val="00EB5910"/>
    <w:rsid w:val="00EB5A39"/>
    <w:rsid w:val="00EB5A7E"/>
    <w:rsid w:val="00EB5DBB"/>
    <w:rsid w:val="00EB5E81"/>
    <w:rsid w:val="00EB5F1D"/>
    <w:rsid w:val="00EB6179"/>
    <w:rsid w:val="00EB6870"/>
    <w:rsid w:val="00EB6894"/>
    <w:rsid w:val="00EB69BD"/>
    <w:rsid w:val="00EB6A10"/>
    <w:rsid w:val="00EB6B94"/>
    <w:rsid w:val="00EB6E3E"/>
    <w:rsid w:val="00EB7040"/>
    <w:rsid w:val="00EB7191"/>
    <w:rsid w:val="00EB7424"/>
    <w:rsid w:val="00EB7908"/>
    <w:rsid w:val="00EB7960"/>
    <w:rsid w:val="00EB79FE"/>
    <w:rsid w:val="00EC01BD"/>
    <w:rsid w:val="00EC03D3"/>
    <w:rsid w:val="00EC03EF"/>
    <w:rsid w:val="00EC04A5"/>
    <w:rsid w:val="00EC070C"/>
    <w:rsid w:val="00EC092C"/>
    <w:rsid w:val="00EC0B63"/>
    <w:rsid w:val="00EC0BC2"/>
    <w:rsid w:val="00EC0D97"/>
    <w:rsid w:val="00EC10EB"/>
    <w:rsid w:val="00EC1139"/>
    <w:rsid w:val="00EC1432"/>
    <w:rsid w:val="00EC1478"/>
    <w:rsid w:val="00EC15BC"/>
    <w:rsid w:val="00EC15D0"/>
    <w:rsid w:val="00EC16FF"/>
    <w:rsid w:val="00EC17B3"/>
    <w:rsid w:val="00EC1ECA"/>
    <w:rsid w:val="00EC231F"/>
    <w:rsid w:val="00EC236C"/>
    <w:rsid w:val="00EC29FD"/>
    <w:rsid w:val="00EC2A60"/>
    <w:rsid w:val="00EC2B19"/>
    <w:rsid w:val="00EC2CB6"/>
    <w:rsid w:val="00EC2CD4"/>
    <w:rsid w:val="00EC2D7B"/>
    <w:rsid w:val="00EC34C5"/>
    <w:rsid w:val="00EC34D2"/>
    <w:rsid w:val="00EC37AD"/>
    <w:rsid w:val="00EC37EC"/>
    <w:rsid w:val="00EC3881"/>
    <w:rsid w:val="00EC3A2A"/>
    <w:rsid w:val="00EC3B3A"/>
    <w:rsid w:val="00EC4425"/>
    <w:rsid w:val="00EC4739"/>
    <w:rsid w:val="00EC498C"/>
    <w:rsid w:val="00EC49D1"/>
    <w:rsid w:val="00EC49ED"/>
    <w:rsid w:val="00EC4DD4"/>
    <w:rsid w:val="00EC4DEE"/>
    <w:rsid w:val="00EC4F7B"/>
    <w:rsid w:val="00EC5091"/>
    <w:rsid w:val="00EC529C"/>
    <w:rsid w:val="00EC52FF"/>
    <w:rsid w:val="00EC546E"/>
    <w:rsid w:val="00EC57C4"/>
    <w:rsid w:val="00EC5D24"/>
    <w:rsid w:val="00EC5E40"/>
    <w:rsid w:val="00EC6295"/>
    <w:rsid w:val="00EC6379"/>
    <w:rsid w:val="00EC6451"/>
    <w:rsid w:val="00EC69CF"/>
    <w:rsid w:val="00EC6AB4"/>
    <w:rsid w:val="00EC6E95"/>
    <w:rsid w:val="00EC74C3"/>
    <w:rsid w:val="00EC75DF"/>
    <w:rsid w:val="00EC7612"/>
    <w:rsid w:val="00EC7692"/>
    <w:rsid w:val="00EC7A91"/>
    <w:rsid w:val="00EC7B40"/>
    <w:rsid w:val="00EC7CD3"/>
    <w:rsid w:val="00EC7F89"/>
    <w:rsid w:val="00ED0013"/>
    <w:rsid w:val="00ED081E"/>
    <w:rsid w:val="00ED1492"/>
    <w:rsid w:val="00ED1A0A"/>
    <w:rsid w:val="00ED1A61"/>
    <w:rsid w:val="00ED1A71"/>
    <w:rsid w:val="00ED1ADD"/>
    <w:rsid w:val="00ED1F79"/>
    <w:rsid w:val="00ED2101"/>
    <w:rsid w:val="00ED2228"/>
    <w:rsid w:val="00ED225D"/>
    <w:rsid w:val="00ED22CF"/>
    <w:rsid w:val="00ED2311"/>
    <w:rsid w:val="00ED2427"/>
    <w:rsid w:val="00ED287A"/>
    <w:rsid w:val="00ED287B"/>
    <w:rsid w:val="00ED2B3A"/>
    <w:rsid w:val="00ED2D9A"/>
    <w:rsid w:val="00ED2EE0"/>
    <w:rsid w:val="00ED3107"/>
    <w:rsid w:val="00ED3137"/>
    <w:rsid w:val="00ED314F"/>
    <w:rsid w:val="00ED3837"/>
    <w:rsid w:val="00ED385D"/>
    <w:rsid w:val="00ED3910"/>
    <w:rsid w:val="00ED3B9A"/>
    <w:rsid w:val="00ED3DE3"/>
    <w:rsid w:val="00ED42DA"/>
    <w:rsid w:val="00ED42DB"/>
    <w:rsid w:val="00ED45DF"/>
    <w:rsid w:val="00ED4831"/>
    <w:rsid w:val="00ED4B84"/>
    <w:rsid w:val="00ED4BCF"/>
    <w:rsid w:val="00ED4C14"/>
    <w:rsid w:val="00ED4D7A"/>
    <w:rsid w:val="00ED4F37"/>
    <w:rsid w:val="00ED54AD"/>
    <w:rsid w:val="00ED5587"/>
    <w:rsid w:val="00ED58A1"/>
    <w:rsid w:val="00ED5A5D"/>
    <w:rsid w:val="00ED5C2E"/>
    <w:rsid w:val="00ED5D3B"/>
    <w:rsid w:val="00ED5EA2"/>
    <w:rsid w:val="00ED5F61"/>
    <w:rsid w:val="00ED5FA8"/>
    <w:rsid w:val="00ED6165"/>
    <w:rsid w:val="00ED64A1"/>
    <w:rsid w:val="00ED6613"/>
    <w:rsid w:val="00ED6636"/>
    <w:rsid w:val="00ED6705"/>
    <w:rsid w:val="00ED6AB3"/>
    <w:rsid w:val="00ED6B24"/>
    <w:rsid w:val="00ED6CD4"/>
    <w:rsid w:val="00ED6E02"/>
    <w:rsid w:val="00ED714A"/>
    <w:rsid w:val="00ED7BD7"/>
    <w:rsid w:val="00ED7E5E"/>
    <w:rsid w:val="00ED7FA2"/>
    <w:rsid w:val="00ED7FEC"/>
    <w:rsid w:val="00EE02FA"/>
    <w:rsid w:val="00EE06EB"/>
    <w:rsid w:val="00EE07AD"/>
    <w:rsid w:val="00EE07C3"/>
    <w:rsid w:val="00EE09C2"/>
    <w:rsid w:val="00EE0EB2"/>
    <w:rsid w:val="00EE0F09"/>
    <w:rsid w:val="00EE15B7"/>
    <w:rsid w:val="00EE15D2"/>
    <w:rsid w:val="00EE1A0A"/>
    <w:rsid w:val="00EE1A38"/>
    <w:rsid w:val="00EE1F77"/>
    <w:rsid w:val="00EE2002"/>
    <w:rsid w:val="00EE2036"/>
    <w:rsid w:val="00EE2082"/>
    <w:rsid w:val="00EE29CD"/>
    <w:rsid w:val="00EE2B76"/>
    <w:rsid w:val="00EE2B9C"/>
    <w:rsid w:val="00EE2E4A"/>
    <w:rsid w:val="00EE2EBD"/>
    <w:rsid w:val="00EE35E3"/>
    <w:rsid w:val="00EE35EA"/>
    <w:rsid w:val="00EE3923"/>
    <w:rsid w:val="00EE3964"/>
    <w:rsid w:val="00EE39B6"/>
    <w:rsid w:val="00EE3DDD"/>
    <w:rsid w:val="00EE3F8D"/>
    <w:rsid w:val="00EE46C3"/>
    <w:rsid w:val="00EE48DD"/>
    <w:rsid w:val="00EE4B0A"/>
    <w:rsid w:val="00EE4C1D"/>
    <w:rsid w:val="00EE4DAB"/>
    <w:rsid w:val="00EE5245"/>
    <w:rsid w:val="00EE54EC"/>
    <w:rsid w:val="00EE5B0F"/>
    <w:rsid w:val="00EE5B4C"/>
    <w:rsid w:val="00EE5B6A"/>
    <w:rsid w:val="00EE5C39"/>
    <w:rsid w:val="00EE5E81"/>
    <w:rsid w:val="00EE5EA3"/>
    <w:rsid w:val="00EE5F4A"/>
    <w:rsid w:val="00EE60AE"/>
    <w:rsid w:val="00EE6263"/>
    <w:rsid w:val="00EE65D2"/>
    <w:rsid w:val="00EE672C"/>
    <w:rsid w:val="00EE6963"/>
    <w:rsid w:val="00EE6C19"/>
    <w:rsid w:val="00EE6CE9"/>
    <w:rsid w:val="00EE6D92"/>
    <w:rsid w:val="00EE6FB7"/>
    <w:rsid w:val="00EE7158"/>
    <w:rsid w:val="00EE7318"/>
    <w:rsid w:val="00EE737B"/>
    <w:rsid w:val="00EE738A"/>
    <w:rsid w:val="00EE73D7"/>
    <w:rsid w:val="00EE73F9"/>
    <w:rsid w:val="00EE787A"/>
    <w:rsid w:val="00EE7A6F"/>
    <w:rsid w:val="00EE7C64"/>
    <w:rsid w:val="00EF0012"/>
    <w:rsid w:val="00EF01AA"/>
    <w:rsid w:val="00EF022D"/>
    <w:rsid w:val="00EF0887"/>
    <w:rsid w:val="00EF0A50"/>
    <w:rsid w:val="00EF0C4B"/>
    <w:rsid w:val="00EF0EFE"/>
    <w:rsid w:val="00EF125C"/>
    <w:rsid w:val="00EF12E7"/>
    <w:rsid w:val="00EF167C"/>
    <w:rsid w:val="00EF1C60"/>
    <w:rsid w:val="00EF20F3"/>
    <w:rsid w:val="00EF222C"/>
    <w:rsid w:val="00EF224D"/>
    <w:rsid w:val="00EF248C"/>
    <w:rsid w:val="00EF257B"/>
    <w:rsid w:val="00EF287E"/>
    <w:rsid w:val="00EF2B4D"/>
    <w:rsid w:val="00EF2E3C"/>
    <w:rsid w:val="00EF312E"/>
    <w:rsid w:val="00EF327D"/>
    <w:rsid w:val="00EF3354"/>
    <w:rsid w:val="00EF3605"/>
    <w:rsid w:val="00EF38D7"/>
    <w:rsid w:val="00EF38F2"/>
    <w:rsid w:val="00EF3A09"/>
    <w:rsid w:val="00EF426B"/>
    <w:rsid w:val="00EF444D"/>
    <w:rsid w:val="00EF44B8"/>
    <w:rsid w:val="00EF4533"/>
    <w:rsid w:val="00EF4546"/>
    <w:rsid w:val="00EF45D5"/>
    <w:rsid w:val="00EF46C5"/>
    <w:rsid w:val="00EF472C"/>
    <w:rsid w:val="00EF4755"/>
    <w:rsid w:val="00EF4894"/>
    <w:rsid w:val="00EF49D4"/>
    <w:rsid w:val="00EF4AF7"/>
    <w:rsid w:val="00EF4B03"/>
    <w:rsid w:val="00EF4C95"/>
    <w:rsid w:val="00EF4E91"/>
    <w:rsid w:val="00EF4EE4"/>
    <w:rsid w:val="00EF5115"/>
    <w:rsid w:val="00EF54DD"/>
    <w:rsid w:val="00EF5963"/>
    <w:rsid w:val="00EF5A5B"/>
    <w:rsid w:val="00EF5AC0"/>
    <w:rsid w:val="00EF5F86"/>
    <w:rsid w:val="00EF607B"/>
    <w:rsid w:val="00EF60B0"/>
    <w:rsid w:val="00EF619A"/>
    <w:rsid w:val="00EF6319"/>
    <w:rsid w:val="00EF64E6"/>
    <w:rsid w:val="00EF64FB"/>
    <w:rsid w:val="00EF678A"/>
    <w:rsid w:val="00EF679D"/>
    <w:rsid w:val="00EF6C87"/>
    <w:rsid w:val="00EF7241"/>
    <w:rsid w:val="00EF727E"/>
    <w:rsid w:val="00EF75E6"/>
    <w:rsid w:val="00EF7966"/>
    <w:rsid w:val="00EF798E"/>
    <w:rsid w:val="00EF7CAC"/>
    <w:rsid w:val="00EF7CE1"/>
    <w:rsid w:val="00F0019A"/>
    <w:rsid w:val="00F00616"/>
    <w:rsid w:val="00F00B36"/>
    <w:rsid w:val="00F00BF0"/>
    <w:rsid w:val="00F00BF5"/>
    <w:rsid w:val="00F00C59"/>
    <w:rsid w:val="00F00EB3"/>
    <w:rsid w:val="00F010AD"/>
    <w:rsid w:val="00F012ED"/>
    <w:rsid w:val="00F01829"/>
    <w:rsid w:val="00F01892"/>
    <w:rsid w:val="00F01BA7"/>
    <w:rsid w:val="00F01C75"/>
    <w:rsid w:val="00F01EE0"/>
    <w:rsid w:val="00F0204B"/>
    <w:rsid w:val="00F021D6"/>
    <w:rsid w:val="00F021FF"/>
    <w:rsid w:val="00F022CC"/>
    <w:rsid w:val="00F0257A"/>
    <w:rsid w:val="00F025E2"/>
    <w:rsid w:val="00F02C22"/>
    <w:rsid w:val="00F02C93"/>
    <w:rsid w:val="00F032E8"/>
    <w:rsid w:val="00F0346A"/>
    <w:rsid w:val="00F037ED"/>
    <w:rsid w:val="00F0398E"/>
    <w:rsid w:val="00F0423B"/>
    <w:rsid w:val="00F04404"/>
    <w:rsid w:val="00F04481"/>
    <w:rsid w:val="00F044A7"/>
    <w:rsid w:val="00F047D2"/>
    <w:rsid w:val="00F04819"/>
    <w:rsid w:val="00F048CA"/>
    <w:rsid w:val="00F04AA5"/>
    <w:rsid w:val="00F04AC3"/>
    <w:rsid w:val="00F04EB6"/>
    <w:rsid w:val="00F051EC"/>
    <w:rsid w:val="00F05291"/>
    <w:rsid w:val="00F055D3"/>
    <w:rsid w:val="00F0583C"/>
    <w:rsid w:val="00F05922"/>
    <w:rsid w:val="00F059A6"/>
    <w:rsid w:val="00F05A72"/>
    <w:rsid w:val="00F05BFC"/>
    <w:rsid w:val="00F05F65"/>
    <w:rsid w:val="00F06141"/>
    <w:rsid w:val="00F0616F"/>
    <w:rsid w:val="00F06274"/>
    <w:rsid w:val="00F06325"/>
    <w:rsid w:val="00F064D6"/>
    <w:rsid w:val="00F0659D"/>
    <w:rsid w:val="00F0663A"/>
    <w:rsid w:val="00F0668D"/>
    <w:rsid w:val="00F06C0C"/>
    <w:rsid w:val="00F06C6A"/>
    <w:rsid w:val="00F06CDB"/>
    <w:rsid w:val="00F0717B"/>
    <w:rsid w:val="00F071D0"/>
    <w:rsid w:val="00F07610"/>
    <w:rsid w:val="00F07AF4"/>
    <w:rsid w:val="00F07C1E"/>
    <w:rsid w:val="00F07C2F"/>
    <w:rsid w:val="00F07D45"/>
    <w:rsid w:val="00F07D5A"/>
    <w:rsid w:val="00F07EF5"/>
    <w:rsid w:val="00F101A1"/>
    <w:rsid w:val="00F101B4"/>
    <w:rsid w:val="00F1026F"/>
    <w:rsid w:val="00F10335"/>
    <w:rsid w:val="00F105BB"/>
    <w:rsid w:val="00F109CE"/>
    <w:rsid w:val="00F10DBD"/>
    <w:rsid w:val="00F10E17"/>
    <w:rsid w:val="00F10E66"/>
    <w:rsid w:val="00F10E7A"/>
    <w:rsid w:val="00F10ED6"/>
    <w:rsid w:val="00F11185"/>
    <w:rsid w:val="00F111E9"/>
    <w:rsid w:val="00F1151C"/>
    <w:rsid w:val="00F1171A"/>
    <w:rsid w:val="00F119AD"/>
    <w:rsid w:val="00F119DF"/>
    <w:rsid w:val="00F11EDD"/>
    <w:rsid w:val="00F12144"/>
    <w:rsid w:val="00F12155"/>
    <w:rsid w:val="00F12C67"/>
    <w:rsid w:val="00F12CCC"/>
    <w:rsid w:val="00F12F1B"/>
    <w:rsid w:val="00F13373"/>
    <w:rsid w:val="00F13461"/>
    <w:rsid w:val="00F13834"/>
    <w:rsid w:val="00F13A61"/>
    <w:rsid w:val="00F13AB0"/>
    <w:rsid w:val="00F13B71"/>
    <w:rsid w:val="00F146A0"/>
    <w:rsid w:val="00F147D2"/>
    <w:rsid w:val="00F147FA"/>
    <w:rsid w:val="00F14CAE"/>
    <w:rsid w:val="00F14DCA"/>
    <w:rsid w:val="00F14E02"/>
    <w:rsid w:val="00F14E74"/>
    <w:rsid w:val="00F14E8A"/>
    <w:rsid w:val="00F14F9D"/>
    <w:rsid w:val="00F1527C"/>
    <w:rsid w:val="00F153EF"/>
    <w:rsid w:val="00F155B3"/>
    <w:rsid w:val="00F156D7"/>
    <w:rsid w:val="00F1570F"/>
    <w:rsid w:val="00F15739"/>
    <w:rsid w:val="00F15854"/>
    <w:rsid w:val="00F1598E"/>
    <w:rsid w:val="00F15F97"/>
    <w:rsid w:val="00F1636F"/>
    <w:rsid w:val="00F166B9"/>
    <w:rsid w:val="00F16725"/>
    <w:rsid w:val="00F16A08"/>
    <w:rsid w:val="00F16A19"/>
    <w:rsid w:val="00F17634"/>
    <w:rsid w:val="00F17745"/>
    <w:rsid w:val="00F17AFC"/>
    <w:rsid w:val="00F17EEE"/>
    <w:rsid w:val="00F200CA"/>
    <w:rsid w:val="00F202C9"/>
    <w:rsid w:val="00F208D9"/>
    <w:rsid w:val="00F211C4"/>
    <w:rsid w:val="00F21229"/>
    <w:rsid w:val="00F2170C"/>
    <w:rsid w:val="00F21C9F"/>
    <w:rsid w:val="00F21CB0"/>
    <w:rsid w:val="00F21D9D"/>
    <w:rsid w:val="00F2222D"/>
    <w:rsid w:val="00F2244D"/>
    <w:rsid w:val="00F2246F"/>
    <w:rsid w:val="00F226A6"/>
    <w:rsid w:val="00F228B6"/>
    <w:rsid w:val="00F22AA4"/>
    <w:rsid w:val="00F22B23"/>
    <w:rsid w:val="00F22DDC"/>
    <w:rsid w:val="00F23060"/>
    <w:rsid w:val="00F230E1"/>
    <w:rsid w:val="00F230F7"/>
    <w:rsid w:val="00F2353E"/>
    <w:rsid w:val="00F23CAB"/>
    <w:rsid w:val="00F24409"/>
    <w:rsid w:val="00F24BCB"/>
    <w:rsid w:val="00F24DDC"/>
    <w:rsid w:val="00F24FE6"/>
    <w:rsid w:val="00F25396"/>
    <w:rsid w:val="00F253A3"/>
    <w:rsid w:val="00F25AF2"/>
    <w:rsid w:val="00F25DD5"/>
    <w:rsid w:val="00F26011"/>
    <w:rsid w:val="00F2609A"/>
    <w:rsid w:val="00F26351"/>
    <w:rsid w:val="00F2650F"/>
    <w:rsid w:val="00F26BD8"/>
    <w:rsid w:val="00F26D99"/>
    <w:rsid w:val="00F26E9E"/>
    <w:rsid w:val="00F27437"/>
    <w:rsid w:val="00F274C6"/>
    <w:rsid w:val="00F27773"/>
    <w:rsid w:val="00F27C54"/>
    <w:rsid w:val="00F27E0E"/>
    <w:rsid w:val="00F27E5B"/>
    <w:rsid w:val="00F30078"/>
    <w:rsid w:val="00F3029C"/>
    <w:rsid w:val="00F3033B"/>
    <w:rsid w:val="00F3043A"/>
    <w:rsid w:val="00F30886"/>
    <w:rsid w:val="00F309AB"/>
    <w:rsid w:val="00F309CC"/>
    <w:rsid w:val="00F30A26"/>
    <w:rsid w:val="00F30A7C"/>
    <w:rsid w:val="00F30CA4"/>
    <w:rsid w:val="00F30D5F"/>
    <w:rsid w:val="00F31171"/>
    <w:rsid w:val="00F3121E"/>
    <w:rsid w:val="00F312B8"/>
    <w:rsid w:val="00F318E0"/>
    <w:rsid w:val="00F320EE"/>
    <w:rsid w:val="00F32338"/>
    <w:rsid w:val="00F327AE"/>
    <w:rsid w:val="00F32C86"/>
    <w:rsid w:val="00F32CD2"/>
    <w:rsid w:val="00F32E08"/>
    <w:rsid w:val="00F33032"/>
    <w:rsid w:val="00F33336"/>
    <w:rsid w:val="00F337BF"/>
    <w:rsid w:val="00F337E3"/>
    <w:rsid w:val="00F33B1B"/>
    <w:rsid w:val="00F33E2F"/>
    <w:rsid w:val="00F34207"/>
    <w:rsid w:val="00F34906"/>
    <w:rsid w:val="00F349CA"/>
    <w:rsid w:val="00F34DBF"/>
    <w:rsid w:val="00F34F2A"/>
    <w:rsid w:val="00F34F6C"/>
    <w:rsid w:val="00F35147"/>
    <w:rsid w:val="00F3559C"/>
    <w:rsid w:val="00F356A8"/>
    <w:rsid w:val="00F3576E"/>
    <w:rsid w:val="00F35945"/>
    <w:rsid w:val="00F35965"/>
    <w:rsid w:val="00F35A78"/>
    <w:rsid w:val="00F35BC7"/>
    <w:rsid w:val="00F36328"/>
    <w:rsid w:val="00F36397"/>
    <w:rsid w:val="00F36496"/>
    <w:rsid w:val="00F36BA3"/>
    <w:rsid w:val="00F36C6E"/>
    <w:rsid w:val="00F36D47"/>
    <w:rsid w:val="00F3701B"/>
    <w:rsid w:val="00F3734B"/>
    <w:rsid w:val="00F37920"/>
    <w:rsid w:val="00F400DD"/>
    <w:rsid w:val="00F402A1"/>
    <w:rsid w:val="00F40E30"/>
    <w:rsid w:val="00F40E41"/>
    <w:rsid w:val="00F40F5D"/>
    <w:rsid w:val="00F40F75"/>
    <w:rsid w:val="00F40FED"/>
    <w:rsid w:val="00F4117E"/>
    <w:rsid w:val="00F412B6"/>
    <w:rsid w:val="00F415F8"/>
    <w:rsid w:val="00F416EF"/>
    <w:rsid w:val="00F4187C"/>
    <w:rsid w:val="00F42071"/>
    <w:rsid w:val="00F4209A"/>
    <w:rsid w:val="00F4210E"/>
    <w:rsid w:val="00F4247D"/>
    <w:rsid w:val="00F4249E"/>
    <w:rsid w:val="00F42AC1"/>
    <w:rsid w:val="00F42D43"/>
    <w:rsid w:val="00F42D8D"/>
    <w:rsid w:val="00F42F6B"/>
    <w:rsid w:val="00F434E9"/>
    <w:rsid w:val="00F435E8"/>
    <w:rsid w:val="00F43890"/>
    <w:rsid w:val="00F43A3B"/>
    <w:rsid w:val="00F43DC2"/>
    <w:rsid w:val="00F43E7A"/>
    <w:rsid w:val="00F43EE7"/>
    <w:rsid w:val="00F4456F"/>
    <w:rsid w:val="00F4466F"/>
    <w:rsid w:val="00F447FC"/>
    <w:rsid w:val="00F448B2"/>
    <w:rsid w:val="00F448BB"/>
    <w:rsid w:val="00F448C9"/>
    <w:rsid w:val="00F44980"/>
    <w:rsid w:val="00F44A73"/>
    <w:rsid w:val="00F44F70"/>
    <w:rsid w:val="00F45705"/>
    <w:rsid w:val="00F4584F"/>
    <w:rsid w:val="00F45896"/>
    <w:rsid w:val="00F45EEA"/>
    <w:rsid w:val="00F461F0"/>
    <w:rsid w:val="00F46354"/>
    <w:rsid w:val="00F464C6"/>
    <w:rsid w:val="00F465C5"/>
    <w:rsid w:val="00F4687E"/>
    <w:rsid w:val="00F469A7"/>
    <w:rsid w:val="00F46AFA"/>
    <w:rsid w:val="00F46B4B"/>
    <w:rsid w:val="00F46BEF"/>
    <w:rsid w:val="00F46CA1"/>
    <w:rsid w:val="00F46E64"/>
    <w:rsid w:val="00F476E2"/>
    <w:rsid w:val="00F479B6"/>
    <w:rsid w:val="00F47EE6"/>
    <w:rsid w:val="00F47F35"/>
    <w:rsid w:val="00F47F3A"/>
    <w:rsid w:val="00F47FCC"/>
    <w:rsid w:val="00F5009F"/>
    <w:rsid w:val="00F500D2"/>
    <w:rsid w:val="00F50748"/>
    <w:rsid w:val="00F50872"/>
    <w:rsid w:val="00F509BE"/>
    <w:rsid w:val="00F50B29"/>
    <w:rsid w:val="00F510D0"/>
    <w:rsid w:val="00F513C4"/>
    <w:rsid w:val="00F51552"/>
    <w:rsid w:val="00F517CD"/>
    <w:rsid w:val="00F51A53"/>
    <w:rsid w:val="00F51A58"/>
    <w:rsid w:val="00F51C48"/>
    <w:rsid w:val="00F51E1B"/>
    <w:rsid w:val="00F51E3F"/>
    <w:rsid w:val="00F52443"/>
    <w:rsid w:val="00F526AB"/>
    <w:rsid w:val="00F52DA8"/>
    <w:rsid w:val="00F52ED8"/>
    <w:rsid w:val="00F52F77"/>
    <w:rsid w:val="00F5305F"/>
    <w:rsid w:val="00F530D8"/>
    <w:rsid w:val="00F53357"/>
    <w:rsid w:val="00F533A6"/>
    <w:rsid w:val="00F533B7"/>
    <w:rsid w:val="00F53664"/>
    <w:rsid w:val="00F53987"/>
    <w:rsid w:val="00F53CD2"/>
    <w:rsid w:val="00F54151"/>
    <w:rsid w:val="00F54274"/>
    <w:rsid w:val="00F54556"/>
    <w:rsid w:val="00F54684"/>
    <w:rsid w:val="00F54910"/>
    <w:rsid w:val="00F549BE"/>
    <w:rsid w:val="00F54E10"/>
    <w:rsid w:val="00F54E11"/>
    <w:rsid w:val="00F55360"/>
    <w:rsid w:val="00F554F8"/>
    <w:rsid w:val="00F55647"/>
    <w:rsid w:val="00F5574C"/>
    <w:rsid w:val="00F55C24"/>
    <w:rsid w:val="00F55CB8"/>
    <w:rsid w:val="00F55DE3"/>
    <w:rsid w:val="00F55EFE"/>
    <w:rsid w:val="00F5607F"/>
    <w:rsid w:val="00F5609E"/>
    <w:rsid w:val="00F56105"/>
    <w:rsid w:val="00F568FC"/>
    <w:rsid w:val="00F56B25"/>
    <w:rsid w:val="00F56C31"/>
    <w:rsid w:val="00F56C8C"/>
    <w:rsid w:val="00F56E18"/>
    <w:rsid w:val="00F56E81"/>
    <w:rsid w:val="00F570AD"/>
    <w:rsid w:val="00F5746F"/>
    <w:rsid w:val="00F5776D"/>
    <w:rsid w:val="00F57B89"/>
    <w:rsid w:val="00F57E5D"/>
    <w:rsid w:val="00F57E64"/>
    <w:rsid w:val="00F57EB6"/>
    <w:rsid w:val="00F601CE"/>
    <w:rsid w:val="00F603B7"/>
    <w:rsid w:val="00F604FB"/>
    <w:rsid w:val="00F60598"/>
    <w:rsid w:val="00F60771"/>
    <w:rsid w:val="00F6078C"/>
    <w:rsid w:val="00F608D8"/>
    <w:rsid w:val="00F60AD0"/>
    <w:rsid w:val="00F60B33"/>
    <w:rsid w:val="00F60B80"/>
    <w:rsid w:val="00F60E19"/>
    <w:rsid w:val="00F61117"/>
    <w:rsid w:val="00F61534"/>
    <w:rsid w:val="00F6184F"/>
    <w:rsid w:val="00F618B6"/>
    <w:rsid w:val="00F61A39"/>
    <w:rsid w:val="00F61C4F"/>
    <w:rsid w:val="00F61E3A"/>
    <w:rsid w:val="00F61FDC"/>
    <w:rsid w:val="00F62137"/>
    <w:rsid w:val="00F62658"/>
    <w:rsid w:val="00F6265D"/>
    <w:rsid w:val="00F627F3"/>
    <w:rsid w:val="00F62942"/>
    <w:rsid w:val="00F62B82"/>
    <w:rsid w:val="00F62C2E"/>
    <w:rsid w:val="00F632D2"/>
    <w:rsid w:val="00F63436"/>
    <w:rsid w:val="00F637A6"/>
    <w:rsid w:val="00F638CF"/>
    <w:rsid w:val="00F63944"/>
    <w:rsid w:val="00F63B08"/>
    <w:rsid w:val="00F63B68"/>
    <w:rsid w:val="00F6416C"/>
    <w:rsid w:val="00F641DB"/>
    <w:rsid w:val="00F642E4"/>
    <w:rsid w:val="00F646C9"/>
    <w:rsid w:val="00F64771"/>
    <w:rsid w:val="00F64779"/>
    <w:rsid w:val="00F647D7"/>
    <w:rsid w:val="00F64815"/>
    <w:rsid w:val="00F649F2"/>
    <w:rsid w:val="00F64CF7"/>
    <w:rsid w:val="00F64D1C"/>
    <w:rsid w:val="00F64E23"/>
    <w:rsid w:val="00F65179"/>
    <w:rsid w:val="00F65198"/>
    <w:rsid w:val="00F6528E"/>
    <w:rsid w:val="00F65917"/>
    <w:rsid w:val="00F65A72"/>
    <w:rsid w:val="00F66D9A"/>
    <w:rsid w:val="00F66EC1"/>
    <w:rsid w:val="00F66ED1"/>
    <w:rsid w:val="00F6705A"/>
    <w:rsid w:val="00F6742C"/>
    <w:rsid w:val="00F67555"/>
    <w:rsid w:val="00F676B0"/>
    <w:rsid w:val="00F701AA"/>
    <w:rsid w:val="00F70278"/>
    <w:rsid w:val="00F70280"/>
    <w:rsid w:val="00F703CF"/>
    <w:rsid w:val="00F7060A"/>
    <w:rsid w:val="00F70684"/>
    <w:rsid w:val="00F7073D"/>
    <w:rsid w:val="00F70E74"/>
    <w:rsid w:val="00F70F43"/>
    <w:rsid w:val="00F71016"/>
    <w:rsid w:val="00F718D8"/>
    <w:rsid w:val="00F7193E"/>
    <w:rsid w:val="00F71F62"/>
    <w:rsid w:val="00F71FA3"/>
    <w:rsid w:val="00F72632"/>
    <w:rsid w:val="00F7274C"/>
    <w:rsid w:val="00F72771"/>
    <w:rsid w:val="00F72E6B"/>
    <w:rsid w:val="00F731D8"/>
    <w:rsid w:val="00F73683"/>
    <w:rsid w:val="00F7375F"/>
    <w:rsid w:val="00F73BCA"/>
    <w:rsid w:val="00F73C44"/>
    <w:rsid w:val="00F73F94"/>
    <w:rsid w:val="00F743D6"/>
    <w:rsid w:val="00F74460"/>
    <w:rsid w:val="00F746CA"/>
    <w:rsid w:val="00F74906"/>
    <w:rsid w:val="00F74A9D"/>
    <w:rsid w:val="00F74D8B"/>
    <w:rsid w:val="00F74ECA"/>
    <w:rsid w:val="00F74F50"/>
    <w:rsid w:val="00F752B8"/>
    <w:rsid w:val="00F753BA"/>
    <w:rsid w:val="00F754AA"/>
    <w:rsid w:val="00F757AA"/>
    <w:rsid w:val="00F758FB"/>
    <w:rsid w:val="00F75A11"/>
    <w:rsid w:val="00F75A42"/>
    <w:rsid w:val="00F75B02"/>
    <w:rsid w:val="00F75BAB"/>
    <w:rsid w:val="00F75BBD"/>
    <w:rsid w:val="00F760CE"/>
    <w:rsid w:val="00F7661F"/>
    <w:rsid w:val="00F766A5"/>
    <w:rsid w:val="00F767DC"/>
    <w:rsid w:val="00F7686C"/>
    <w:rsid w:val="00F7693C"/>
    <w:rsid w:val="00F76FE1"/>
    <w:rsid w:val="00F76FF9"/>
    <w:rsid w:val="00F7706A"/>
    <w:rsid w:val="00F772B7"/>
    <w:rsid w:val="00F77364"/>
    <w:rsid w:val="00F77621"/>
    <w:rsid w:val="00F77688"/>
    <w:rsid w:val="00F77B23"/>
    <w:rsid w:val="00F77E76"/>
    <w:rsid w:val="00F77FF0"/>
    <w:rsid w:val="00F80019"/>
    <w:rsid w:val="00F80298"/>
    <w:rsid w:val="00F80338"/>
    <w:rsid w:val="00F80379"/>
    <w:rsid w:val="00F8061B"/>
    <w:rsid w:val="00F806BF"/>
    <w:rsid w:val="00F80C1A"/>
    <w:rsid w:val="00F80CCE"/>
    <w:rsid w:val="00F80F27"/>
    <w:rsid w:val="00F811D5"/>
    <w:rsid w:val="00F813CF"/>
    <w:rsid w:val="00F8145A"/>
    <w:rsid w:val="00F8145F"/>
    <w:rsid w:val="00F8150B"/>
    <w:rsid w:val="00F8152F"/>
    <w:rsid w:val="00F8158E"/>
    <w:rsid w:val="00F815E7"/>
    <w:rsid w:val="00F81778"/>
    <w:rsid w:val="00F8183C"/>
    <w:rsid w:val="00F819EF"/>
    <w:rsid w:val="00F81E79"/>
    <w:rsid w:val="00F81EBD"/>
    <w:rsid w:val="00F82014"/>
    <w:rsid w:val="00F82029"/>
    <w:rsid w:val="00F82179"/>
    <w:rsid w:val="00F8218D"/>
    <w:rsid w:val="00F82195"/>
    <w:rsid w:val="00F824D9"/>
    <w:rsid w:val="00F82525"/>
    <w:rsid w:val="00F82B37"/>
    <w:rsid w:val="00F82EF3"/>
    <w:rsid w:val="00F8328F"/>
    <w:rsid w:val="00F835C9"/>
    <w:rsid w:val="00F838ED"/>
    <w:rsid w:val="00F83B08"/>
    <w:rsid w:val="00F83B81"/>
    <w:rsid w:val="00F83BE2"/>
    <w:rsid w:val="00F83C12"/>
    <w:rsid w:val="00F83D0B"/>
    <w:rsid w:val="00F83D52"/>
    <w:rsid w:val="00F83E7B"/>
    <w:rsid w:val="00F83EEA"/>
    <w:rsid w:val="00F84030"/>
    <w:rsid w:val="00F84061"/>
    <w:rsid w:val="00F84413"/>
    <w:rsid w:val="00F8471F"/>
    <w:rsid w:val="00F84947"/>
    <w:rsid w:val="00F84AE9"/>
    <w:rsid w:val="00F84DD1"/>
    <w:rsid w:val="00F85070"/>
    <w:rsid w:val="00F8547D"/>
    <w:rsid w:val="00F85693"/>
    <w:rsid w:val="00F85A86"/>
    <w:rsid w:val="00F85BDC"/>
    <w:rsid w:val="00F85E78"/>
    <w:rsid w:val="00F85EB5"/>
    <w:rsid w:val="00F864EC"/>
    <w:rsid w:val="00F866D0"/>
    <w:rsid w:val="00F867D3"/>
    <w:rsid w:val="00F86D49"/>
    <w:rsid w:val="00F8743B"/>
    <w:rsid w:val="00F8781A"/>
    <w:rsid w:val="00F8781B"/>
    <w:rsid w:val="00F87AB9"/>
    <w:rsid w:val="00F87AD3"/>
    <w:rsid w:val="00F9006F"/>
    <w:rsid w:val="00F9013F"/>
    <w:rsid w:val="00F903F2"/>
    <w:rsid w:val="00F905F5"/>
    <w:rsid w:val="00F908F1"/>
    <w:rsid w:val="00F90C88"/>
    <w:rsid w:val="00F90E5C"/>
    <w:rsid w:val="00F911B3"/>
    <w:rsid w:val="00F911EA"/>
    <w:rsid w:val="00F914CE"/>
    <w:rsid w:val="00F91BD9"/>
    <w:rsid w:val="00F91D7D"/>
    <w:rsid w:val="00F91E0F"/>
    <w:rsid w:val="00F91E84"/>
    <w:rsid w:val="00F92133"/>
    <w:rsid w:val="00F922CD"/>
    <w:rsid w:val="00F92395"/>
    <w:rsid w:val="00F92A8D"/>
    <w:rsid w:val="00F92AF0"/>
    <w:rsid w:val="00F92E7E"/>
    <w:rsid w:val="00F93188"/>
    <w:rsid w:val="00F9372E"/>
    <w:rsid w:val="00F93F58"/>
    <w:rsid w:val="00F941EE"/>
    <w:rsid w:val="00F9422B"/>
    <w:rsid w:val="00F94258"/>
    <w:rsid w:val="00F94B74"/>
    <w:rsid w:val="00F94F9B"/>
    <w:rsid w:val="00F95347"/>
    <w:rsid w:val="00F953C4"/>
    <w:rsid w:val="00F955F2"/>
    <w:rsid w:val="00F95610"/>
    <w:rsid w:val="00F95911"/>
    <w:rsid w:val="00F95922"/>
    <w:rsid w:val="00F95D20"/>
    <w:rsid w:val="00F95E67"/>
    <w:rsid w:val="00F9626D"/>
    <w:rsid w:val="00F96382"/>
    <w:rsid w:val="00F965E5"/>
    <w:rsid w:val="00F96A4E"/>
    <w:rsid w:val="00F96CA7"/>
    <w:rsid w:val="00F96F59"/>
    <w:rsid w:val="00F96FF5"/>
    <w:rsid w:val="00F975F0"/>
    <w:rsid w:val="00F9787A"/>
    <w:rsid w:val="00F97A3B"/>
    <w:rsid w:val="00F97D4F"/>
    <w:rsid w:val="00F97E91"/>
    <w:rsid w:val="00F97F73"/>
    <w:rsid w:val="00F97F92"/>
    <w:rsid w:val="00FA0244"/>
    <w:rsid w:val="00FA0344"/>
    <w:rsid w:val="00FA04F2"/>
    <w:rsid w:val="00FA0B8B"/>
    <w:rsid w:val="00FA0BB9"/>
    <w:rsid w:val="00FA1206"/>
    <w:rsid w:val="00FA1664"/>
    <w:rsid w:val="00FA1B0A"/>
    <w:rsid w:val="00FA206F"/>
    <w:rsid w:val="00FA2BAC"/>
    <w:rsid w:val="00FA2F32"/>
    <w:rsid w:val="00FA2FC2"/>
    <w:rsid w:val="00FA310E"/>
    <w:rsid w:val="00FA31F0"/>
    <w:rsid w:val="00FA32FC"/>
    <w:rsid w:val="00FA33C4"/>
    <w:rsid w:val="00FA3876"/>
    <w:rsid w:val="00FA3C2B"/>
    <w:rsid w:val="00FA3CA7"/>
    <w:rsid w:val="00FA3F61"/>
    <w:rsid w:val="00FA42A0"/>
    <w:rsid w:val="00FA437D"/>
    <w:rsid w:val="00FA4385"/>
    <w:rsid w:val="00FA43BF"/>
    <w:rsid w:val="00FA44EF"/>
    <w:rsid w:val="00FA4530"/>
    <w:rsid w:val="00FA45C1"/>
    <w:rsid w:val="00FA4D20"/>
    <w:rsid w:val="00FA4FA9"/>
    <w:rsid w:val="00FA4FC2"/>
    <w:rsid w:val="00FA50D3"/>
    <w:rsid w:val="00FA52E1"/>
    <w:rsid w:val="00FA53C9"/>
    <w:rsid w:val="00FA54EE"/>
    <w:rsid w:val="00FA62E0"/>
    <w:rsid w:val="00FA684B"/>
    <w:rsid w:val="00FA691A"/>
    <w:rsid w:val="00FA6939"/>
    <w:rsid w:val="00FA6A91"/>
    <w:rsid w:val="00FA6BD4"/>
    <w:rsid w:val="00FA6D89"/>
    <w:rsid w:val="00FA6F47"/>
    <w:rsid w:val="00FA7694"/>
    <w:rsid w:val="00FA7721"/>
    <w:rsid w:val="00FA7757"/>
    <w:rsid w:val="00FA7791"/>
    <w:rsid w:val="00FA7857"/>
    <w:rsid w:val="00FA796F"/>
    <w:rsid w:val="00FA7972"/>
    <w:rsid w:val="00FA7A50"/>
    <w:rsid w:val="00FA7D1F"/>
    <w:rsid w:val="00FA7E37"/>
    <w:rsid w:val="00FB0277"/>
    <w:rsid w:val="00FB055B"/>
    <w:rsid w:val="00FB0B75"/>
    <w:rsid w:val="00FB0D05"/>
    <w:rsid w:val="00FB134A"/>
    <w:rsid w:val="00FB13DF"/>
    <w:rsid w:val="00FB1504"/>
    <w:rsid w:val="00FB1659"/>
    <w:rsid w:val="00FB16A4"/>
    <w:rsid w:val="00FB1726"/>
    <w:rsid w:val="00FB17E4"/>
    <w:rsid w:val="00FB19FD"/>
    <w:rsid w:val="00FB1AA5"/>
    <w:rsid w:val="00FB213E"/>
    <w:rsid w:val="00FB21B4"/>
    <w:rsid w:val="00FB2339"/>
    <w:rsid w:val="00FB2366"/>
    <w:rsid w:val="00FB26CE"/>
    <w:rsid w:val="00FB2719"/>
    <w:rsid w:val="00FB2727"/>
    <w:rsid w:val="00FB2C38"/>
    <w:rsid w:val="00FB2D70"/>
    <w:rsid w:val="00FB3299"/>
    <w:rsid w:val="00FB3453"/>
    <w:rsid w:val="00FB387A"/>
    <w:rsid w:val="00FB39B8"/>
    <w:rsid w:val="00FB39F7"/>
    <w:rsid w:val="00FB3AA5"/>
    <w:rsid w:val="00FB3B11"/>
    <w:rsid w:val="00FB4082"/>
    <w:rsid w:val="00FB4588"/>
    <w:rsid w:val="00FB46E2"/>
    <w:rsid w:val="00FB478E"/>
    <w:rsid w:val="00FB4A0C"/>
    <w:rsid w:val="00FB4D7B"/>
    <w:rsid w:val="00FB4E08"/>
    <w:rsid w:val="00FB4EEF"/>
    <w:rsid w:val="00FB4F13"/>
    <w:rsid w:val="00FB5522"/>
    <w:rsid w:val="00FB5BB5"/>
    <w:rsid w:val="00FB5E2D"/>
    <w:rsid w:val="00FB5EBB"/>
    <w:rsid w:val="00FB6669"/>
    <w:rsid w:val="00FB68A0"/>
    <w:rsid w:val="00FB69BF"/>
    <w:rsid w:val="00FB6A32"/>
    <w:rsid w:val="00FB6D7C"/>
    <w:rsid w:val="00FB6FCE"/>
    <w:rsid w:val="00FB7A70"/>
    <w:rsid w:val="00FB7A9E"/>
    <w:rsid w:val="00FB7AFF"/>
    <w:rsid w:val="00FB7F91"/>
    <w:rsid w:val="00FC02A7"/>
    <w:rsid w:val="00FC02EC"/>
    <w:rsid w:val="00FC0337"/>
    <w:rsid w:val="00FC05C7"/>
    <w:rsid w:val="00FC066C"/>
    <w:rsid w:val="00FC0CCC"/>
    <w:rsid w:val="00FC0DFB"/>
    <w:rsid w:val="00FC0F48"/>
    <w:rsid w:val="00FC110D"/>
    <w:rsid w:val="00FC12E6"/>
    <w:rsid w:val="00FC16AD"/>
    <w:rsid w:val="00FC18A6"/>
    <w:rsid w:val="00FC19AA"/>
    <w:rsid w:val="00FC1CD9"/>
    <w:rsid w:val="00FC1D57"/>
    <w:rsid w:val="00FC1EAE"/>
    <w:rsid w:val="00FC1F65"/>
    <w:rsid w:val="00FC24D5"/>
    <w:rsid w:val="00FC24D6"/>
    <w:rsid w:val="00FC264D"/>
    <w:rsid w:val="00FC26DB"/>
    <w:rsid w:val="00FC3154"/>
    <w:rsid w:val="00FC334C"/>
    <w:rsid w:val="00FC363F"/>
    <w:rsid w:val="00FC375A"/>
    <w:rsid w:val="00FC3851"/>
    <w:rsid w:val="00FC3A12"/>
    <w:rsid w:val="00FC3CB1"/>
    <w:rsid w:val="00FC3E2B"/>
    <w:rsid w:val="00FC3E43"/>
    <w:rsid w:val="00FC3E69"/>
    <w:rsid w:val="00FC40C5"/>
    <w:rsid w:val="00FC40FA"/>
    <w:rsid w:val="00FC42DF"/>
    <w:rsid w:val="00FC4384"/>
    <w:rsid w:val="00FC447C"/>
    <w:rsid w:val="00FC4703"/>
    <w:rsid w:val="00FC5067"/>
    <w:rsid w:val="00FC529F"/>
    <w:rsid w:val="00FC5559"/>
    <w:rsid w:val="00FC5737"/>
    <w:rsid w:val="00FC5841"/>
    <w:rsid w:val="00FC5BF0"/>
    <w:rsid w:val="00FC669E"/>
    <w:rsid w:val="00FC686C"/>
    <w:rsid w:val="00FC6D59"/>
    <w:rsid w:val="00FC70E7"/>
    <w:rsid w:val="00FC7729"/>
    <w:rsid w:val="00FC7B50"/>
    <w:rsid w:val="00FC7D76"/>
    <w:rsid w:val="00FC7F4C"/>
    <w:rsid w:val="00FD0146"/>
    <w:rsid w:val="00FD0359"/>
    <w:rsid w:val="00FD0A4B"/>
    <w:rsid w:val="00FD0A5F"/>
    <w:rsid w:val="00FD0C14"/>
    <w:rsid w:val="00FD0FD6"/>
    <w:rsid w:val="00FD1276"/>
    <w:rsid w:val="00FD1549"/>
    <w:rsid w:val="00FD1674"/>
    <w:rsid w:val="00FD1AD7"/>
    <w:rsid w:val="00FD1CF6"/>
    <w:rsid w:val="00FD1D09"/>
    <w:rsid w:val="00FD249C"/>
    <w:rsid w:val="00FD27D3"/>
    <w:rsid w:val="00FD27DC"/>
    <w:rsid w:val="00FD2B89"/>
    <w:rsid w:val="00FD31D3"/>
    <w:rsid w:val="00FD3429"/>
    <w:rsid w:val="00FD3506"/>
    <w:rsid w:val="00FD37B2"/>
    <w:rsid w:val="00FD3A8F"/>
    <w:rsid w:val="00FD3FB0"/>
    <w:rsid w:val="00FD4344"/>
    <w:rsid w:val="00FD4487"/>
    <w:rsid w:val="00FD4A9E"/>
    <w:rsid w:val="00FD4BD7"/>
    <w:rsid w:val="00FD510D"/>
    <w:rsid w:val="00FD539F"/>
    <w:rsid w:val="00FD53B8"/>
    <w:rsid w:val="00FD6053"/>
    <w:rsid w:val="00FD6062"/>
    <w:rsid w:val="00FD61D9"/>
    <w:rsid w:val="00FD6533"/>
    <w:rsid w:val="00FD6900"/>
    <w:rsid w:val="00FD6AEA"/>
    <w:rsid w:val="00FD6C95"/>
    <w:rsid w:val="00FD6EE4"/>
    <w:rsid w:val="00FD711F"/>
    <w:rsid w:val="00FD719E"/>
    <w:rsid w:val="00FD7401"/>
    <w:rsid w:val="00FD743A"/>
    <w:rsid w:val="00FD7A56"/>
    <w:rsid w:val="00FD7B40"/>
    <w:rsid w:val="00FD7C60"/>
    <w:rsid w:val="00FD7F63"/>
    <w:rsid w:val="00FD7F87"/>
    <w:rsid w:val="00FE01AD"/>
    <w:rsid w:val="00FE070B"/>
    <w:rsid w:val="00FE085A"/>
    <w:rsid w:val="00FE0A2F"/>
    <w:rsid w:val="00FE1036"/>
    <w:rsid w:val="00FE105F"/>
    <w:rsid w:val="00FE17E8"/>
    <w:rsid w:val="00FE1AF7"/>
    <w:rsid w:val="00FE1BBA"/>
    <w:rsid w:val="00FE1C81"/>
    <w:rsid w:val="00FE20F2"/>
    <w:rsid w:val="00FE21EA"/>
    <w:rsid w:val="00FE2429"/>
    <w:rsid w:val="00FE2BE2"/>
    <w:rsid w:val="00FE31C3"/>
    <w:rsid w:val="00FE33D5"/>
    <w:rsid w:val="00FE38B0"/>
    <w:rsid w:val="00FE39CF"/>
    <w:rsid w:val="00FE3AF4"/>
    <w:rsid w:val="00FE3B5F"/>
    <w:rsid w:val="00FE40FD"/>
    <w:rsid w:val="00FE4285"/>
    <w:rsid w:val="00FE4957"/>
    <w:rsid w:val="00FE4A8B"/>
    <w:rsid w:val="00FE4BCD"/>
    <w:rsid w:val="00FE508D"/>
    <w:rsid w:val="00FE5097"/>
    <w:rsid w:val="00FE520D"/>
    <w:rsid w:val="00FE52D2"/>
    <w:rsid w:val="00FE54A0"/>
    <w:rsid w:val="00FE5EEB"/>
    <w:rsid w:val="00FE5FC2"/>
    <w:rsid w:val="00FE60C4"/>
    <w:rsid w:val="00FE627B"/>
    <w:rsid w:val="00FE6B56"/>
    <w:rsid w:val="00FE7087"/>
    <w:rsid w:val="00FE72A3"/>
    <w:rsid w:val="00FE7370"/>
    <w:rsid w:val="00FE7835"/>
    <w:rsid w:val="00FE7A91"/>
    <w:rsid w:val="00FE7C17"/>
    <w:rsid w:val="00FF0067"/>
    <w:rsid w:val="00FF02ED"/>
    <w:rsid w:val="00FF0BDA"/>
    <w:rsid w:val="00FF0BEF"/>
    <w:rsid w:val="00FF0CD5"/>
    <w:rsid w:val="00FF0CE7"/>
    <w:rsid w:val="00FF15C8"/>
    <w:rsid w:val="00FF1759"/>
    <w:rsid w:val="00FF1879"/>
    <w:rsid w:val="00FF22C6"/>
    <w:rsid w:val="00FF2407"/>
    <w:rsid w:val="00FF253B"/>
    <w:rsid w:val="00FF26E8"/>
    <w:rsid w:val="00FF29A0"/>
    <w:rsid w:val="00FF2A66"/>
    <w:rsid w:val="00FF2C85"/>
    <w:rsid w:val="00FF2E31"/>
    <w:rsid w:val="00FF3057"/>
    <w:rsid w:val="00FF3124"/>
    <w:rsid w:val="00FF32D7"/>
    <w:rsid w:val="00FF378B"/>
    <w:rsid w:val="00FF3823"/>
    <w:rsid w:val="00FF3A3B"/>
    <w:rsid w:val="00FF3E7A"/>
    <w:rsid w:val="00FF4112"/>
    <w:rsid w:val="00FF4360"/>
    <w:rsid w:val="00FF45DF"/>
    <w:rsid w:val="00FF4C17"/>
    <w:rsid w:val="00FF4EC5"/>
    <w:rsid w:val="00FF5042"/>
    <w:rsid w:val="00FF54F5"/>
    <w:rsid w:val="00FF56D8"/>
    <w:rsid w:val="00FF58EF"/>
    <w:rsid w:val="00FF58F9"/>
    <w:rsid w:val="00FF5BE1"/>
    <w:rsid w:val="00FF5E34"/>
    <w:rsid w:val="00FF5F7B"/>
    <w:rsid w:val="00FF6115"/>
    <w:rsid w:val="00FF6226"/>
    <w:rsid w:val="00FF62D5"/>
    <w:rsid w:val="00FF62EC"/>
    <w:rsid w:val="00FF63E5"/>
    <w:rsid w:val="00FF6745"/>
    <w:rsid w:val="00FF68C4"/>
    <w:rsid w:val="00FF6AE9"/>
    <w:rsid w:val="00FF6CF3"/>
    <w:rsid w:val="00FF6D71"/>
    <w:rsid w:val="00FF6FD6"/>
    <w:rsid w:val="00FF7063"/>
    <w:rsid w:val="00FF71DA"/>
    <w:rsid w:val="00FF72E8"/>
    <w:rsid w:val="00FF75EB"/>
    <w:rsid w:val="00FF76D6"/>
    <w:rsid w:val="00FF7AF6"/>
    <w:rsid w:val="01039869"/>
    <w:rsid w:val="01093E09"/>
    <w:rsid w:val="0145830C"/>
    <w:rsid w:val="014BD7C7"/>
    <w:rsid w:val="01604C70"/>
    <w:rsid w:val="0176C53A"/>
    <w:rsid w:val="01777D41"/>
    <w:rsid w:val="0198B646"/>
    <w:rsid w:val="019A8A27"/>
    <w:rsid w:val="01B1CC92"/>
    <w:rsid w:val="01C8501B"/>
    <w:rsid w:val="01CFB67A"/>
    <w:rsid w:val="01D49B91"/>
    <w:rsid w:val="01DCD46B"/>
    <w:rsid w:val="01E76FAA"/>
    <w:rsid w:val="02011948"/>
    <w:rsid w:val="021F56AE"/>
    <w:rsid w:val="024CE186"/>
    <w:rsid w:val="025C6227"/>
    <w:rsid w:val="0293F845"/>
    <w:rsid w:val="02ACB0DE"/>
    <w:rsid w:val="02ACB44C"/>
    <w:rsid w:val="02B5BC52"/>
    <w:rsid w:val="02D8E196"/>
    <w:rsid w:val="02F5B4BF"/>
    <w:rsid w:val="03044A56"/>
    <w:rsid w:val="037AD54C"/>
    <w:rsid w:val="03EF0055"/>
    <w:rsid w:val="04142B28"/>
    <w:rsid w:val="041B2872"/>
    <w:rsid w:val="042AA352"/>
    <w:rsid w:val="0472B58D"/>
    <w:rsid w:val="0474D417"/>
    <w:rsid w:val="0476BAAB"/>
    <w:rsid w:val="04927ABF"/>
    <w:rsid w:val="04B7DF55"/>
    <w:rsid w:val="04B8D7D4"/>
    <w:rsid w:val="04CEC610"/>
    <w:rsid w:val="050DCEE1"/>
    <w:rsid w:val="05120DBD"/>
    <w:rsid w:val="05193F17"/>
    <w:rsid w:val="0528A64C"/>
    <w:rsid w:val="0559B1C8"/>
    <w:rsid w:val="0571C40F"/>
    <w:rsid w:val="058D5972"/>
    <w:rsid w:val="059A33C4"/>
    <w:rsid w:val="05A5BDBE"/>
    <w:rsid w:val="05A9A44D"/>
    <w:rsid w:val="05BBFDC4"/>
    <w:rsid w:val="05BD4540"/>
    <w:rsid w:val="05E954C0"/>
    <w:rsid w:val="064D238F"/>
    <w:rsid w:val="06624F47"/>
    <w:rsid w:val="06694A50"/>
    <w:rsid w:val="066DF9E2"/>
    <w:rsid w:val="068C1943"/>
    <w:rsid w:val="068DA965"/>
    <w:rsid w:val="068E2B2B"/>
    <w:rsid w:val="06B74EE6"/>
    <w:rsid w:val="06B8E0B2"/>
    <w:rsid w:val="06CA80E3"/>
    <w:rsid w:val="06CD785D"/>
    <w:rsid w:val="070289DA"/>
    <w:rsid w:val="070D2AE8"/>
    <w:rsid w:val="071BFE1D"/>
    <w:rsid w:val="0755390F"/>
    <w:rsid w:val="07885725"/>
    <w:rsid w:val="078D4A60"/>
    <w:rsid w:val="0793C965"/>
    <w:rsid w:val="079DAC98"/>
    <w:rsid w:val="07E1AC3F"/>
    <w:rsid w:val="07EE3E8A"/>
    <w:rsid w:val="0810160E"/>
    <w:rsid w:val="08453167"/>
    <w:rsid w:val="0847184B"/>
    <w:rsid w:val="085078A0"/>
    <w:rsid w:val="0851DB1F"/>
    <w:rsid w:val="08795FBE"/>
    <w:rsid w:val="0897BA01"/>
    <w:rsid w:val="08A92DA0"/>
    <w:rsid w:val="08DE9EF8"/>
    <w:rsid w:val="09050DF6"/>
    <w:rsid w:val="090F5BEA"/>
    <w:rsid w:val="091B8CEF"/>
    <w:rsid w:val="0920F56D"/>
    <w:rsid w:val="092C0E21"/>
    <w:rsid w:val="094C3ACC"/>
    <w:rsid w:val="0979BBDA"/>
    <w:rsid w:val="09A3420F"/>
    <w:rsid w:val="09A3E98A"/>
    <w:rsid w:val="09A8E735"/>
    <w:rsid w:val="09B02472"/>
    <w:rsid w:val="09FBC15C"/>
    <w:rsid w:val="0A07330A"/>
    <w:rsid w:val="0A43884A"/>
    <w:rsid w:val="0A4B2D80"/>
    <w:rsid w:val="0A5F6AA9"/>
    <w:rsid w:val="0AC48EE5"/>
    <w:rsid w:val="0ADA4CAF"/>
    <w:rsid w:val="0B0F6D34"/>
    <w:rsid w:val="0B254727"/>
    <w:rsid w:val="0B3450C6"/>
    <w:rsid w:val="0B6AC7AC"/>
    <w:rsid w:val="0B6CBAEB"/>
    <w:rsid w:val="0B8AE26B"/>
    <w:rsid w:val="0B8B2F88"/>
    <w:rsid w:val="0B972D8F"/>
    <w:rsid w:val="0BC68DCD"/>
    <w:rsid w:val="0BD177D0"/>
    <w:rsid w:val="0BDB3A67"/>
    <w:rsid w:val="0BF06CBB"/>
    <w:rsid w:val="0BFAE394"/>
    <w:rsid w:val="0BFCC07C"/>
    <w:rsid w:val="0C038316"/>
    <w:rsid w:val="0C041277"/>
    <w:rsid w:val="0C5A530F"/>
    <w:rsid w:val="0C93F533"/>
    <w:rsid w:val="0CC1A57D"/>
    <w:rsid w:val="0CC89092"/>
    <w:rsid w:val="0CE96730"/>
    <w:rsid w:val="0CEA9E7B"/>
    <w:rsid w:val="0CF18A2D"/>
    <w:rsid w:val="0CF2B2C2"/>
    <w:rsid w:val="0D4A1166"/>
    <w:rsid w:val="0D630ABE"/>
    <w:rsid w:val="0D9FE933"/>
    <w:rsid w:val="0DA6FB09"/>
    <w:rsid w:val="0DB6A8BC"/>
    <w:rsid w:val="0DC0193F"/>
    <w:rsid w:val="0DC25FA5"/>
    <w:rsid w:val="0DCA5579"/>
    <w:rsid w:val="0E13EDDC"/>
    <w:rsid w:val="0E1B05CF"/>
    <w:rsid w:val="0E1BE0E0"/>
    <w:rsid w:val="0E668DDF"/>
    <w:rsid w:val="0EA8647B"/>
    <w:rsid w:val="0EC2DA40"/>
    <w:rsid w:val="0EE087D8"/>
    <w:rsid w:val="0F305441"/>
    <w:rsid w:val="0F3AEAA5"/>
    <w:rsid w:val="0F3EB94D"/>
    <w:rsid w:val="0F50693B"/>
    <w:rsid w:val="0F6F522B"/>
    <w:rsid w:val="0F939E14"/>
    <w:rsid w:val="0FAB247C"/>
    <w:rsid w:val="0FE102C8"/>
    <w:rsid w:val="0FE5F5FD"/>
    <w:rsid w:val="100CC992"/>
    <w:rsid w:val="10409448"/>
    <w:rsid w:val="10942D40"/>
    <w:rsid w:val="10E72443"/>
    <w:rsid w:val="10F16CBE"/>
    <w:rsid w:val="111093E6"/>
    <w:rsid w:val="114A688D"/>
    <w:rsid w:val="1165A88B"/>
    <w:rsid w:val="1172C289"/>
    <w:rsid w:val="11876460"/>
    <w:rsid w:val="11F1A28C"/>
    <w:rsid w:val="11F1AEC7"/>
    <w:rsid w:val="122101A6"/>
    <w:rsid w:val="122D8B58"/>
    <w:rsid w:val="124227E5"/>
    <w:rsid w:val="124C1872"/>
    <w:rsid w:val="125E860E"/>
    <w:rsid w:val="12630E99"/>
    <w:rsid w:val="12750932"/>
    <w:rsid w:val="12968658"/>
    <w:rsid w:val="12B356BA"/>
    <w:rsid w:val="12D007D6"/>
    <w:rsid w:val="12D5B22B"/>
    <w:rsid w:val="12EDF1C1"/>
    <w:rsid w:val="13254000"/>
    <w:rsid w:val="133F8BCF"/>
    <w:rsid w:val="1350B80D"/>
    <w:rsid w:val="1370D068"/>
    <w:rsid w:val="13B999C5"/>
    <w:rsid w:val="13D6A625"/>
    <w:rsid w:val="13DAD1D1"/>
    <w:rsid w:val="1405BA0A"/>
    <w:rsid w:val="14129560"/>
    <w:rsid w:val="1473951D"/>
    <w:rsid w:val="14968D50"/>
    <w:rsid w:val="14BB7949"/>
    <w:rsid w:val="14BC6F5F"/>
    <w:rsid w:val="14DDDF12"/>
    <w:rsid w:val="14F5F88C"/>
    <w:rsid w:val="1552B1EA"/>
    <w:rsid w:val="1552DEF6"/>
    <w:rsid w:val="15C5BC4B"/>
    <w:rsid w:val="15CEDE5B"/>
    <w:rsid w:val="15D8B5F2"/>
    <w:rsid w:val="15EEBD2B"/>
    <w:rsid w:val="15F05062"/>
    <w:rsid w:val="16030704"/>
    <w:rsid w:val="16062350"/>
    <w:rsid w:val="1610835C"/>
    <w:rsid w:val="161B22CA"/>
    <w:rsid w:val="163BCDD3"/>
    <w:rsid w:val="168FF6C1"/>
    <w:rsid w:val="16B280FA"/>
    <w:rsid w:val="16C3616C"/>
    <w:rsid w:val="1703536A"/>
    <w:rsid w:val="170D0C49"/>
    <w:rsid w:val="171068D2"/>
    <w:rsid w:val="1710773F"/>
    <w:rsid w:val="172E5713"/>
    <w:rsid w:val="17779E8D"/>
    <w:rsid w:val="17893230"/>
    <w:rsid w:val="179EA18B"/>
    <w:rsid w:val="17A7BC9D"/>
    <w:rsid w:val="17BD563A"/>
    <w:rsid w:val="17FAF763"/>
    <w:rsid w:val="17FC9AE8"/>
    <w:rsid w:val="18051100"/>
    <w:rsid w:val="181907D4"/>
    <w:rsid w:val="182E7019"/>
    <w:rsid w:val="1888E51C"/>
    <w:rsid w:val="188C6B9F"/>
    <w:rsid w:val="188D75B0"/>
    <w:rsid w:val="18A15F67"/>
    <w:rsid w:val="18A2695C"/>
    <w:rsid w:val="18D0571E"/>
    <w:rsid w:val="18D9AAD8"/>
    <w:rsid w:val="18DE1A13"/>
    <w:rsid w:val="18F71B68"/>
    <w:rsid w:val="18FBB2BF"/>
    <w:rsid w:val="1904A207"/>
    <w:rsid w:val="1937FDE5"/>
    <w:rsid w:val="1938869B"/>
    <w:rsid w:val="19390EEC"/>
    <w:rsid w:val="1946A4B3"/>
    <w:rsid w:val="1983422E"/>
    <w:rsid w:val="19A62EC2"/>
    <w:rsid w:val="19A9C7C8"/>
    <w:rsid w:val="19B0344D"/>
    <w:rsid w:val="19B9CCD9"/>
    <w:rsid w:val="19BF852C"/>
    <w:rsid w:val="19D38901"/>
    <w:rsid w:val="19ED28AE"/>
    <w:rsid w:val="1A409D25"/>
    <w:rsid w:val="1A543AF7"/>
    <w:rsid w:val="1A606F07"/>
    <w:rsid w:val="1A9B5001"/>
    <w:rsid w:val="1A9BF132"/>
    <w:rsid w:val="1AA07A30"/>
    <w:rsid w:val="1AA93ABA"/>
    <w:rsid w:val="1ACF6B3F"/>
    <w:rsid w:val="1B6B40EE"/>
    <w:rsid w:val="1B6F2A44"/>
    <w:rsid w:val="1B7973B7"/>
    <w:rsid w:val="1BACA465"/>
    <w:rsid w:val="1BCBBBAC"/>
    <w:rsid w:val="1BD9A65A"/>
    <w:rsid w:val="1BF2D5BA"/>
    <w:rsid w:val="1C1843FE"/>
    <w:rsid w:val="1C1A1BF6"/>
    <w:rsid w:val="1C4A3901"/>
    <w:rsid w:val="1C67F85F"/>
    <w:rsid w:val="1C68C3F8"/>
    <w:rsid w:val="1C836C6C"/>
    <w:rsid w:val="1C8886A2"/>
    <w:rsid w:val="1CA04A6E"/>
    <w:rsid w:val="1CC95F27"/>
    <w:rsid w:val="1CF8C0D2"/>
    <w:rsid w:val="1CFCDA77"/>
    <w:rsid w:val="1D0EDB48"/>
    <w:rsid w:val="1D100868"/>
    <w:rsid w:val="1D18FDA6"/>
    <w:rsid w:val="1D43B9F5"/>
    <w:rsid w:val="1D531E48"/>
    <w:rsid w:val="1D876EA9"/>
    <w:rsid w:val="1D880B1D"/>
    <w:rsid w:val="1D8EBFDD"/>
    <w:rsid w:val="1D8F9C7F"/>
    <w:rsid w:val="1DD14BE1"/>
    <w:rsid w:val="1E0DF82E"/>
    <w:rsid w:val="1E1263F1"/>
    <w:rsid w:val="1E28B2C5"/>
    <w:rsid w:val="1E39B5BC"/>
    <w:rsid w:val="1E4A9D2F"/>
    <w:rsid w:val="1ED54011"/>
    <w:rsid w:val="1F04A66F"/>
    <w:rsid w:val="1F06DB38"/>
    <w:rsid w:val="1F20EBB5"/>
    <w:rsid w:val="1F306B68"/>
    <w:rsid w:val="1F3807B5"/>
    <w:rsid w:val="1F432400"/>
    <w:rsid w:val="1F4FD0B4"/>
    <w:rsid w:val="1F513C38"/>
    <w:rsid w:val="1F584E99"/>
    <w:rsid w:val="1F76A7B7"/>
    <w:rsid w:val="1F7DB6F4"/>
    <w:rsid w:val="1FBB7093"/>
    <w:rsid w:val="1FD3D572"/>
    <w:rsid w:val="1FDE7C52"/>
    <w:rsid w:val="204E18D6"/>
    <w:rsid w:val="20559239"/>
    <w:rsid w:val="207D66B4"/>
    <w:rsid w:val="20B7E68C"/>
    <w:rsid w:val="20CE09C3"/>
    <w:rsid w:val="20D4C47D"/>
    <w:rsid w:val="20EECA49"/>
    <w:rsid w:val="21424F02"/>
    <w:rsid w:val="21791F48"/>
    <w:rsid w:val="217ACC7F"/>
    <w:rsid w:val="2188FD32"/>
    <w:rsid w:val="21915E6E"/>
    <w:rsid w:val="2197F25B"/>
    <w:rsid w:val="219D4F12"/>
    <w:rsid w:val="21ADC65D"/>
    <w:rsid w:val="21E67CB9"/>
    <w:rsid w:val="21F957BC"/>
    <w:rsid w:val="221159C5"/>
    <w:rsid w:val="224A3D24"/>
    <w:rsid w:val="22675325"/>
    <w:rsid w:val="2271B714"/>
    <w:rsid w:val="2276B93B"/>
    <w:rsid w:val="227A1FF7"/>
    <w:rsid w:val="227EAC8A"/>
    <w:rsid w:val="22A5DB85"/>
    <w:rsid w:val="22C37AA4"/>
    <w:rsid w:val="22C9B632"/>
    <w:rsid w:val="22E12960"/>
    <w:rsid w:val="22ED2CD9"/>
    <w:rsid w:val="22FA1705"/>
    <w:rsid w:val="23023BCE"/>
    <w:rsid w:val="23158E14"/>
    <w:rsid w:val="231C24F8"/>
    <w:rsid w:val="2337D8AF"/>
    <w:rsid w:val="237B5565"/>
    <w:rsid w:val="23A9BD16"/>
    <w:rsid w:val="23B96595"/>
    <w:rsid w:val="23D65351"/>
    <w:rsid w:val="23DCF1EB"/>
    <w:rsid w:val="23E1F3BC"/>
    <w:rsid w:val="23E44338"/>
    <w:rsid w:val="23EAF6FA"/>
    <w:rsid w:val="241772A6"/>
    <w:rsid w:val="241A65C7"/>
    <w:rsid w:val="241DC5FE"/>
    <w:rsid w:val="245816D2"/>
    <w:rsid w:val="246515E4"/>
    <w:rsid w:val="246CB787"/>
    <w:rsid w:val="24720762"/>
    <w:rsid w:val="2495946C"/>
    <w:rsid w:val="24B34BD2"/>
    <w:rsid w:val="24F0DF2E"/>
    <w:rsid w:val="25058F0C"/>
    <w:rsid w:val="2505EC5B"/>
    <w:rsid w:val="25098020"/>
    <w:rsid w:val="251E0B12"/>
    <w:rsid w:val="2550E71B"/>
    <w:rsid w:val="2550FBBD"/>
    <w:rsid w:val="2564EE7D"/>
    <w:rsid w:val="25D3835E"/>
    <w:rsid w:val="25E75A57"/>
    <w:rsid w:val="2622FB8C"/>
    <w:rsid w:val="266F00FB"/>
    <w:rsid w:val="26867EE8"/>
    <w:rsid w:val="269726E9"/>
    <w:rsid w:val="2698C60C"/>
    <w:rsid w:val="26C57224"/>
    <w:rsid w:val="2734EA37"/>
    <w:rsid w:val="2759A2A3"/>
    <w:rsid w:val="275DDA93"/>
    <w:rsid w:val="2794F114"/>
    <w:rsid w:val="279C66CC"/>
    <w:rsid w:val="27B66041"/>
    <w:rsid w:val="27C58EF1"/>
    <w:rsid w:val="27C6104C"/>
    <w:rsid w:val="27FEDDD8"/>
    <w:rsid w:val="2865FCBC"/>
    <w:rsid w:val="287DBCA1"/>
    <w:rsid w:val="288A6907"/>
    <w:rsid w:val="288DF3B3"/>
    <w:rsid w:val="28D0C388"/>
    <w:rsid w:val="28F83061"/>
    <w:rsid w:val="29060C40"/>
    <w:rsid w:val="2920D302"/>
    <w:rsid w:val="2922FB82"/>
    <w:rsid w:val="2966EC61"/>
    <w:rsid w:val="2995BB29"/>
    <w:rsid w:val="29EA8552"/>
    <w:rsid w:val="29EB2ED7"/>
    <w:rsid w:val="2A06306C"/>
    <w:rsid w:val="2A2D3214"/>
    <w:rsid w:val="2A522D20"/>
    <w:rsid w:val="2A563EF1"/>
    <w:rsid w:val="2A7658DE"/>
    <w:rsid w:val="2A8BFB95"/>
    <w:rsid w:val="2AA8C1CA"/>
    <w:rsid w:val="2B164328"/>
    <w:rsid w:val="2B373BEB"/>
    <w:rsid w:val="2B432D24"/>
    <w:rsid w:val="2BA14ECA"/>
    <w:rsid w:val="2BA840A6"/>
    <w:rsid w:val="2BC02B00"/>
    <w:rsid w:val="2BCAC383"/>
    <w:rsid w:val="2BF96605"/>
    <w:rsid w:val="2BFC3E64"/>
    <w:rsid w:val="2BFD6302"/>
    <w:rsid w:val="2BFF8A56"/>
    <w:rsid w:val="2C0999DC"/>
    <w:rsid w:val="2C15295D"/>
    <w:rsid w:val="2C27A26B"/>
    <w:rsid w:val="2C64F6ED"/>
    <w:rsid w:val="2C68E59C"/>
    <w:rsid w:val="2C9BF338"/>
    <w:rsid w:val="2CE93F09"/>
    <w:rsid w:val="2CEB7975"/>
    <w:rsid w:val="2CF02053"/>
    <w:rsid w:val="2CF76F6E"/>
    <w:rsid w:val="2D103A8D"/>
    <w:rsid w:val="2D5666DC"/>
    <w:rsid w:val="2D69552A"/>
    <w:rsid w:val="2D6E3853"/>
    <w:rsid w:val="2D99AE3B"/>
    <w:rsid w:val="2DBA9E2F"/>
    <w:rsid w:val="2DEEF5A2"/>
    <w:rsid w:val="2E3A66D7"/>
    <w:rsid w:val="2E52E740"/>
    <w:rsid w:val="2E843224"/>
    <w:rsid w:val="2E87ECBA"/>
    <w:rsid w:val="2E89FDDF"/>
    <w:rsid w:val="2E8C8FCC"/>
    <w:rsid w:val="2E97E76E"/>
    <w:rsid w:val="2EA3B0CB"/>
    <w:rsid w:val="2EB15307"/>
    <w:rsid w:val="2EB59C83"/>
    <w:rsid w:val="2EC74C4F"/>
    <w:rsid w:val="2EEF8DD2"/>
    <w:rsid w:val="2F1601EE"/>
    <w:rsid w:val="2F1C383C"/>
    <w:rsid w:val="2F4AE18E"/>
    <w:rsid w:val="2F64CDE0"/>
    <w:rsid w:val="2F814DE3"/>
    <w:rsid w:val="2F901875"/>
    <w:rsid w:val="2FB3ADF8"/>
    <w:rsid w:val="2FD15DD1"/>
    <w:rsid w:val="2FF3832B"/>
    <w:rsid w:val="2FF404B5"/>
    <w:rsid w:val="2FFF4473"/>
    <w:rsid w:val="302C00D4"/>
    <w:rsid w:val="302CB542"/>
    <w:rsid w:val="3035BD4A"/>
    <w:rsid w:val="30458689"/>
    <w:rsid w:val="309A4C6A"/>
    <w:rsid w:val="30B76109"/>
    <w:rsid w:val="30E0BACC"/>
    <w:rsid w:val="30F11A4A"/>
    <w:rsid w:val="31012E46"/>
    <w:rsid w:val="310C1153"/>
    <w:rsid w:val="313E8E7C"/>
    <w:rsid w:val="31483E0F"/>
    <w:rsid w:val="3171C0E6"/>
    <w:rsid w:val="318B05C8"/>
    <w:rsid w:val="31C72DCA"/>
    <w:rsid w:val="320DC6C9"/>
    <w:rsid w:val="3218D30B"/>
    <w:rsid w:val="3225BB05"/>
    <w:rsid w:val="3228BAEE"/>
    <w:rsid w:val="3252ADAF"/>
    <w:rsid w:val="3255EEBE"/>
    <w:rsid w:val="32568436"/>
    <w:rsid w:val="3265C1FF"/>
    <w:rsid w:val="3268461C"/>
    <w:rsid w:val="327DD8B3"/>
    <w:rsid w:val="3284C95F"/>
    <w:rsid w:val="329F7DE2"/>
    <w:rsid w:val="32D5E36B"/>
    <w:rsid w:val="32E327D1"/>
    <w:rsid w:val="32E345D9"/>
    <w:rsid w:val="32EDAC4D"/>
    <w:rsid w:val="32EF1647"/>
    <w:rsid w:val="33024747"/>
    <w:rsid w:val="3310EA0D"/>
    <w:rsid w:val="3320BE3E"/>
    <w:rsid w:val="333F0FD8"/>
    <w:rsid w:val="334DAD3F"/>
    <w:rsid w:val="33683F0F"/>
    <w:rsid w:val="337E0270"/>
    <w:rsid w:val="339E812D"/>
    <w:rsid w:val="33A054A1"/>
    <w:rsid w:val="33F403A5"/>
    <w:rsid w:val="34018ADE"/>
    <w:rsid w:val="341572D8"/>
    <w:rsid w:val="3470C2D6"/>
    <w:rsid w:val="3487BE42"/>
    <w:rsid w:val="349DE7BD"/>
    <w:rsid w:val="34D54865"/>
    <w:rsid w:val="34EAC168"/>
    <w:rsid w:val="3514303E"/>
    <w:rsid w:val="35214819"/>
    <w:rsid w:val="352AB7E0"/>
    <w:rsid w:val="354A0101"/>
    <w:rsid w:val="356102B0"/>
    <w:rsid w:val="356A1D66"/>
    <w:rsid w:val="357820FB"/>
    <w:rsid w:val="35922C7E"/>
    <w:rsid w:val="35FFEA53"/>
    <w:rsid w:val="3619491A"/>
    <w:rsid w:val="361BAAE9"/>
    <w:rsid w:val="36724753"/>
    <w:rsid w:val="367594D7"/>
    <w:rsid w:val="36765E43"/>
    <w:rsid w:val="367AA08E"/>
    <w:rsid w:val="3682BB3C"/>
    <w:rsid w:val="36B0FAA8"/>
    <w:rsid w:val="36C04D17"/>
    <w:rsid w:val="36C72AF0"/>
    <w:rsid w:val="36E88ABD"/>
    <w:rsid w:val="3737A4FF"/>
    <w:rsid w:val="3747A428"/>
    <w:rsid w:val="374FC2B0"/>
    <w:rsid w:val="377AD1DB"/>
    <w:rsid w:val="378415AA"/>
    <w:rsid w:val="37C85265"/>
    <w:rsid w:val="37E6FD0E"/>
    <w:rsid w:val="38007DBA"/>
    <w:rsid w:val="381160E1"/>
    <w:rsid w:val="381A1973"/>
    <w:rsid w:val="3824CF31"/>
    <w:rsid w:val="382FCB8B"/>
    <w:rsid w:val="3835498F"/>
    <w:rsid w:val="3877B9AD"/>
    <w:rsid w:val="38A023F4"/>
    <w:rsid w:val="38B640F1"/>
    <w:rsid w:val="38BBBE88"/>
    <w:rsid w:val="3917F883"/>
    <w:rsid w:val="3942B953"/>
    <w:rsid w:val="394E4F10"/>
    <w:rsid w:val="395AFB0A"/>
    <w:rsid w:val="395C1347"/>
    <w:rsid w:val="39690D07"/>
    <w:rsid w:val="39738FD3"/>
    <w:rsid w:val="39764A6C"/>
    <w:rsid w:val="397B52C9"/>
    <w:rsid w:val="39969248"/>
    <w:rsid w:val="399D272A"/>
    <w:rsid w:val="39F04A4B"/>
    <w:rsid w:val="3A230824"/>
    <w:rsid w:val="3A3E5F2E"/>
    <w:rsid w:val="3A491EDA"/>
    <w:rsid w:val="3A6B5C49"/>
    <w:rsid w:val="3A8FE54E"/>
    <w:rsid w:val="3A97FF8F"/>
    <w:rsid w:val="3AB5CE6F"/>
    <w:rsid w:val="3B2F9A30"/>
    <w:rsid w:val="3B452339"/>
    <w:rsid w:val="3B680073"/>
    <w:rsid w:val="3B6D0FB4"/>
    <w:rsid w:val="3BA14BDE"/>
    <w:rsid w:val="3BBBDCE7"/>
    <w:rsid w:val="3BBEA2AB"/>
    <w:rsid w:val="3BD9B026"/>
    <w:rsid w:val="3BF9873D"/>
    <w:rsid w:val="3BFF8F56"/>
    <w:rsid w:val="3C08B94B"/>
    <w:rsid w:val="3C12CF55"/>
    <w:rsid w:val="3C30BBE1"/>
    <w:rsid w:val="3C3A1069"/>
    <w:rsid w:val="3C50DAE2"/>
    <w:rsid w:val="3C561D1B"/>
    <w:rsid w:val="3C7C6D26"/>
    <w:rsid w:val="3C893931"/>
    <w:rsid w:val="3CA1D938"/>
    <w:rsid w:val="3CACDAB7"/>
    <w:rsid w:val="3CBABA70"/>
    <w:rsid w:val="3CBD7DBA"/>
    <w:rsid w:val="3CD0BC8B"/>
    <w:rsid w:val="3CD929B3"/>
    <w:rsid w:val="3CE82C05"/>
    <w:rsid w:val="3CEA605F"/>
    <w:rsid w:val="3CED05BE"/>
    <w:rsid w:val="3D539AF9"/>
    <w:rsid w:val="3D60AEA9"/>
    <w:rsid w:val="3D6501EF"/>
    <w:rsid w:val="3D6560D2"/>
    <w:rsid w:val="3D7EF8CC"/>
    <w:rsid w:val="3D8D9E40"/>
    <w:rsid w:val="3D8E75FA"/>
    <w:rsid w:val="3D9B9E4D"/>
    <w:rsid w:val="3DA4476F"/>
    <w:rsid w:val="3DB1418D"/>
    <w:rsid w:val="3DC43F29"/>
    <w:rsid w:val="3DC7BD11"/>
    <w:rsid w:val="3DD01763"/>
    <w:rsid w:val="3DE72E6D"/>
    <w:rsid w:val="3DEE5298"/>
    <w:rsid w:val="3DF8C77F"/>
    <w:rsid w:val="3DFE9A7A"/>
    <w:rsid w:val="3E21100F"/>
    <w:rsid w:val="3E64055C"/>
    <w:rsid w:val="3E99E4B9"/>
    <w:rsid w:val="3ECEBE7A"/>
    <w:rsid w:val="3EF1B3E8"/>
    <w:rsid w:val="3F043576"/>
    <w:rsid w:val="3F49F2B6"/>
    <w:rsid w:val="3F64BA33"/>
    <w:rsid w:val="3F707C11"/>
    <w:rsid w:val="3F7C4633"/>
    <w:rsid w:val="3F7E8BF2"/>
    <w:rsid w:val="3F8AB2F7"/>
    <w:rsid w:val="3F92924A"/>
    <w:rsid w:val="3FA71BD6"/>
    <w:rsid w:val="3FD7C881"/>
    <w:rsid w:val="3FE75489"/>
    <w:rsid w:val="40297D85"/>
    <w:rsid w:val="40348A25"/>
    <w:rsid w:val="404C33BA"/>
    <w:rsid w:val="40519ABD"/>
    <w:rsid w:val="4057A1E3"/>
    <w:rsid w:val="405BD167"/>
    <w:rsid w:val="4075DD62"/>
    <w:rsid w:val="4077A3AB"/>
    <w:rsid w:val="4081C8CB"/>
    <w:rsid w:val="409E2E2E"/>
    <w:rsid w:val="40ABB507"/>
    <w:rsid w:val="40B138D7"/>
    <w:rsid w:val="40C051D7"/>
    <w:rsid w:val="40C0A11E"/>
    <w:rsid w:val="40E722A7"/>
    <w:rsid w:val="40F6DCF3"/>
    <w:rsid w:val="410C2E17"/>
    <w:rsid w:val="412AFC51"/>
    <w:rsid w:val="41366C7F"/>
    <w:rsid w:val="415C3126"/>
    <w:rsid w:val="4174740B"/>
    <w:rsid w:val="4185619A"/>
    <w:rsid w:val="41AA18B7"/>
    <w:rsid w:val="41DA456E"/>
    <w:rsid w:val="41FF7857"/>
    <w:rsid w:val="42021785"/>
    <w:rsid w:val="42038DBC"/>
    <w:rsid w:val="4268C4FD"/>
    <w:rsid w:val="42928D46"/>
    <w:rsid w:val="42BDB8F0"/>
    <w:rsid w:val="42D9F574"/>
    <w:rsid w:val="42FAB913"/>
    <w:rsid w:val="430F8F78"/>
    <w:rsid w:val="431191EF"/>
    <w:rsid w:val="4317120C"/>
    <w:rsid w:val="434236A6"/>
    <w:rsid w:val="43610575"/>
    <w:rsid w:val="438799A5"/>
    <w:rsid w:val="43B7D4D5"/>
    <w:rsid w:val="43C2AE08"/>
    <w:rsid w:val="43D16FCE"/>
    <w:rsid w:val="43D94084"/>
    <w:rsid w:val="43EACFDE"/>
    <w:rsid w:val="44157F21"/>
    <w:rsid w:val="44458941"/>
    <w:rsid w:val="444AE71C"/>
    <w:rsid w:val="444BE460"/>
    <w:rsid w:val="445ECCD4"/>
    <w:rsid w:val="44735CD4"/>
    <w:rsid w:val="4474B322"/>
    <w:rsid w:val="4484E8FF"/>
    <w:rsid w:val="448A0083"/>
    <w:rsid w:val="449F39CD"/>
    <w:rsid w:val="44A73DC8"/>
    <w:rsid w:val="44D3198D"/>
    <w:rsid w:val="44D322CC"/>
    <w:rsid w:val="44E255B1"/>
    <w:rsid w:val="45059E8A"/>
    <w:rsid w:val="45966904"/>
    <w:rsid w:val="45A10727"/>
    <w:rsid w:val="45DF8AE1"/>
    <w:rsid w:val="45E5814C"/>
    <w:rsid w:val="45F0B4A7"/>
    <w:rsid w:val="45FFFA42"/>
    <w:rsid w:val="4611C4EF"/>
    <w:rsid w:val="4626BC13"/>
    <w:rsid w:val="4628A949"/>
    <w:rsid w:val="4641B53E"/>
    <w:rsid w:val="4647FE0D"/>
    <w:rsid w:val="465A8929"/>
    <w:rsid w:val="466C0907"/>
    <w:rsid w:val="46A15BAE"/>
    <w:rsid w:val="46CC47E9"/>
    <w:rsid w:val="46D41116"/>
    <w:rsid w:val="46EA83B4"/>
    <w:rsid w:val="46F31EB1"/>
    <w:rsid w:val="46F99E71"/>
    <w:rsid w:val="4722D98D"/>
    <w:rsid w:val="472FDE6E"/>
    <w:rsid w:val="4743BFA4"/>
    <w:rsid w:val="4744BB56"/>
    <w:rsid w:val="475A68B4"/>
    <w:rsid w:val="4762CD14"/>
    <w:rsid w:val="47806360"/>
    <w:rsid w:val="4782B467"/>
    <w:rsid w:val="47B0D3B2"/>
    <w:rsid w:val="47B49500"/>
    <w:rsid w:val="47C66864"/>
    <w:rsid w:val="47D80EF4"/>
    <w:rsid w:val="47DB8C2E"/>
    <w:rsid w:val="4807A3F7"/>
    <w:rsid w:val="48086809"/>
    <w:rsid w:val="480D5113"/>
    <w:rsid w:val="48248F3F"/>
    <w:rsid w:val="4832172C"/>
    <w:rsid w:val="484A6EAC"/>
    <w:rsid w:val="48BBE322"/>
    <w:rsid w:val="48CDDC1E"/>
    <w:rsid w:val="48DDF6AE"/>
    <w:rsid w:val="48FC95C0"/>
    <w:rsid w:val="48FF2531"/>
    <w:rsid w:val="4961EBB2"/>
    <w:rsid w:val="497195C8"/>
    <w:rsid w:val="49797E6B"/>
    <w:rsid w:val="497A4061"/>
    <w:rsid w:val="497D7457"/>
    <w:rsid w:val="4980D5EB"/>
    <w:rsid w:val="49BF37F7"/>
    <w:rsid w:val="49CFED2A"/>
    <w:rsid w:val="49D5DFA2"/>
    <w:rsid w:val="49DD3866"/>
    <w:rsid w:val="49E00261"/>
    <w:rsid w:val="49E71BAB"/>
    <w:rsid w:val="49EE939B"/>
    <w:rsid w:val="4A3CC146"/>
    <w:rsid w:val="4A6694B3"/>
    <w:rsid w:val="4A7F8522"/>
    <w:rsid w:val="4A9E934E"/>
    <w:rsid w:val="4AC4D6F5"/>
    <w:rsid w:val="4ACC1CCD"/>
    <w:rsid w:val="4AE96763"/>
    <w:rsid w:val="4AEA32B1"/>
    <w:rsid w:val="4AF5042B"/>
    <w:rsid w:val="4B228D1B"/>
    <w:rsid w:val="4B29D561"/>
    <w:rsid w:val="4B35E04B"/>
    <w:rsid w:val="4B510478"/>
    <w:rsid w:val="4B569F04"/>
    <w:rsid w:val="4B5E68D9"/>
    <w:rsid w:val="4BCEC9BF"/>
    <w:rsid w:val="4BE11DF6"/>
    <w:rsid w:val="4C170BB2"/>
    <w:rsid w:val="4C239C64"/>
    <w:rsid w:val="4C443348"/>
    <w:rsid w:val="4C4634FD"/>
    <w:rsid w:val="4C999009"/>
    <w:rsid w:val="4C9E191C"/>
    <w:rsid w:val="4CB78E26"/>
    <w:rsid w:val="4CF39214"/>
    <w:rsid w:val="4CF6BFA8"/>
    <w:rsid w:val="4CFD0BFF"/>
    <w:rsid w:val="4D2ECDE0"/>
    <w:rsid w:val="4D40AD63"/>
    <w:rsid w:val="4D6B6C54"/>
    <w:rsid w:val="4D88EDE0"/>
    <w:rsid w:val="4DAAB4DD"/>
    <w:rsid w:val="4DC011E4"/>
    <w:rsid w:val="4DC8EA2D"/>
    <w:rsid w:val="4E24D65E"/>
    <w:rsid w:val="4E316F62"/>
    <w:rsid w:val="4E36B7C0"/>
    <w:rsid w:val="4E3AE333"/>
    <w:rsid w:val="4E3D5323"/>
    <w:rsid w:val="4E53503C"/>
    <w:rsid w:val="4E58DA68"/>
    <w:rsid w:val="4E6D7FBE"/>
    <w:rsid w:val="4EC2C41F"/>
    <w:rsid w:val="4EE1FDA2"/>
    <w:rsid w:val="4F229ADD"/>
    <w:rsid w:val="4F87AD40"/>
    <w:rsid w:val="4F9847CF"/>
    <w:rsid w:val="4FB8F235"/>
    <w:rsid w:val="4FC3E04D"/>
    <w:rsid w:val="4FDB0F2E"/>
    <w:rsid w:val="5002148F"/>
    <w:rsid w:val="5049F8EE"/>
    <w:rsid w:val="50B672C8"/>
    <w:rsid w:val="50D3AB60"/>
    <w:rsid w:val="50E00922"/>
    <w:rsid w:val="510E5586"/>
    <w:rsid w:val="5156B7B2"/>
    <w:rsid w:val="5160EE05"/>
    <w:rsid w:val="517F50E4"/>
    <w:rsid w:val="51817D95"/>
    <w:rsid w:val="51BEB27E"/>
    <w:rsid w:val="51C89C69"/>
    <w:rsid w:val="51CBAD8B"/>
    <w:rsid w:val="51D6B1C4"/>
    <w:rsid w:val="51F7094A"/>
    <w:rsid w:val="5255DF95"/>
    <w:rsid w:val="5282DE38"/>
    <w:rsid w:val="52C3B0C5"/>
    <w:rsid w:val="52D4F632"/>
    <w:rsid w:val="52FEF620"/>
    <w:rsid w:val="5302A46A"/>
    <w:rsid w:val="530ACA72"/>
    <w:rsid w:val="53423EA3"/>
    <w:rsid w:val="5399DABB"/>
    <w:rsid w:val="53E1389A"/>
    <w:rsid w:val="53EE13DD"/>
    <w:rsid w:val="53FA0728"/>
    <w:rsid w:val="54016407"/>
    <w:rsid w:val="543616F1"/>
    <w:rsid w:val="5441F1E1"/>
    <w:rsid w:val="54427665"/>
    <w:rsid w:val="546F122D"/>
    <w:rsid w:val="5486D590"/>
    <w:rsid w:val="549C1764"/>
    <w:rsid w:val="54A96629"/>
    <w:rsid w:val="54B8F81F"/>
    <w:rsid w:val="54D92CCE"/>
    <w:rsid w:val="54E102E2"/>
    <w:rsid w:val="5519D64F"/>
    <w:rsid w:val="5553C7D1"/>
    <w:rsid w:val="55606D18"/>
    <w:rsid w:val="55757FE9"/>
    <w:rsid w:val="557EA9E8"/>
    <w:rsid w:val="558C9DDC"/>
    <w:rsid w:val="558D1B8D"/>
    <w:rsid w:val="55A086C5"/>
    <w:rsid w:val="55A3CAD9"/>
    <w:rsid w:val="55B1A7EA"/>
    <w:rsid w:val="55D65FC0"/>
    <w:rsid w:val="55DA0527"/>
    <w:rsid w:val="55F87E05"/>
    <w:rsid w:val="56206A6A"/>
    <w:rsid w:val="564369B7"/>
    <w:rsid w:val="566C37C4"/>
    <w:rsid w:val="5675B287"/>
    <w:rsid w:val="56808BA3"/>
    <w:rsid w:val="568667E3"/>
    <w:rsid w:val="569978D1"/>
    <w:rsid w:val="56A9A5F0"/>
    <w:rsid w:val="56C5C5D0"/>
    <w:rsid w:val="56F2F55B"/>
    <w:rsid w:val="571E11E5"/>
    <w:rsid w:val="572E665B"/>
    <w:rsid w:val="5742323A"/>
    <w:rsid w:val="57459BCE"/>
    <w:rsid w:val="578813F3"/>
    <w:rsid w:val="5793456A"/>
    <w:rsid w:val="579C75C9"/>
    <w:rsid w:val="57ACD485"/>
    <w:rsid w:val="57C3755A"/>
    <w:rsid w:val="581E67C1"/>
    <w:rsid w:val="58395616"/>
    <w:rsid w:val="583EF539"/>
    <w:rsid w:val="5859C946"/>
    <w:rsid w:val="58F5637E"/>
    <w:rsid w:val="591708D5"/>
    <w:rsid w:val="591AE007"/>
    <w:rsid w:val="59288635"/>
    <w:rsid w:val="59348A1C"/>
    <w:rsid w:val="594528FB"/>
    <w:rsid w:val="5948A75B"/>
    <w:rsid w:val="5950F419"/>
    <w:rsid w:val="5985DEEA"/>
    <w:rsid w:val="5985ECF8"/>
    <w:rsid w:val="598CD606"/>
    <w:rsid w:val="598D29F7"/>
    <w:rsid w:val="59A7399D"/>
    <w:rsid w:val="5A082B1E"/>
    <w:rsid w:val="5A0A1497"/>
    <w:rsid w:val="5A0E5737"/>
    <w:rsid w:val="5A3A1DF9"/>
    <w:rsid w:val="5A5BFA50"/>
    <w:rsid w:val="5A929531"/>
    <w:rsid w:val="5AA3B2A8"/>
    <w:rsid w:val="5ACD71F3"/>
    <w:rsid w:val="5AD30B56"/>
    <w:rsid w:val="5AF16AC5"/>
    <w:rsid w:val="5B2AAF1E"/>
    <w:rsid w:val="5B425368"/>
    <w:rsid w:val="5B6B7C42"/>
    <w:rsid w:val="5BBF322A"/>
    <w:rsid w:val="5C078889"/>
    <w:rsid w:val="5C148F1B"/>
    <w:rsid w:val="5C2D330D"/>
    <w:rsid w:val="5C3C69BA"/>
    <w:rsid w:val="5C7AA3BD"/>
    <w:rsid w:val="5C8E4C12"/>
    <w:rsid w:val="5C8E6E5E"/>
    <w:rsid w:val="5CA46638"/>
    <w:rsid w:val="5CABD7D3"/>
    <w:rsid w:val="5CACEAEA"/>
    <w:rsid w:val="5CB2B4C1"/>
    <w:rsid w:val="5CB5B34F"/>
    <w:rsid w:val="5CDC142F"/>
    <w:rsid w:val="5CDDB1D3"/>
    <w:rsid w:val="5CE0FBFA"/>
    <w:rsid w:val="5CE3F184"/>
    <w:rsid w:val="5D794CAB"/>
    <w:rsid w:val="5D7CA6B1"/>
    <w:rsid w:val="5D90FCE2"/>
    <w:rsid w:val="5DA7E965"/>
    <w:rsid w:val="5DE35D85"/>
    <w:rsid w:val="5E0C7FC8"/>
    <w:rsid w:val="5E43E468"/>
    <w:rsid w:val="5E4D3680"/>
    <w:rsid w:val="5E5B8605"/>
    <w:rsid w:val="5E5F565B"/>
    <w:rsid w:val="5E64C644"/>
    <w:rsid w:val="5E661975"/>
    <w:rsid w:val="5E6B499F"/>
    <w:rsid w:val="5E926EB0"/>
    <w:rsid w:val="5E9C89D5"/>
    <w:rsid w:val="5E9E87A2"/>
    <w:rsid w:val="5EA017BD"/>
    <w:rsid w:val="5EBABD10"/>
    <w:rsid w:val="5ED1CF93"/>
    <w:rsid w:val="5F016673"/>
    <w:rsid w:val="5F2862E6"/>
    <w:rsid w:val="5F28A586"/>
    <w:rsid w:val="5F2EF17E"/>
    <w:rsid w:val="5F36BB8D"/>
    <w:rsid w:val="5F53325E"/>
    <w:rsid w:val="5F61790A"/>
    <w:rsid w:val="5F628845"/>
    <w:rsid w:val="5F75BA0F"/>
    <w:rsid w:val="5FA4B450"/>
    <w:rsid w:val="5FD2DAA4"/>
    <w:rsid w:val="5FEE1F28"/>
    <w:rsid w:val="5FEEC3C0"/>
    <w:rsid w:val="6004D644"/>
    <w:rsid w:val="6027986B"/>
    <w:rsid w:val="602B602A"/>
    <w:rsid w:val="602E77F3"/>
    <w:rsid w:val="6064613F"/>
    <w:rsid w:val="607DB511"/>
    <w:rsid w:val="6082E7ED"/>
    <w:rsid w:val="609CE4E8"/>
    <w:rsid w:val="60A091A0"/>
    <w:rsid w:val="60A14A9E"/>
    <w:rsid w:val="60AE9A51"/>
    <w:rsid w:val="60C77A64"/>
    <w:rsid w:val="60CD17EA"/>
    <w:rsid w:val="60D8A3E9"/>
    <w:rsid w:val="60DC5AF5"/>
    <w:rsid w:val="60E0D249"/>
    <w:rsid w:val="60F524F0"/>
    <w:rsid w:val="610B21FC"/>
    <w:rsid w:val="610CA3F0"/>
    <w:rsid w:val="611CED7A"/>
    <w:rsid w:val="613391BA"/>
    <w:rsid w:val="614009B6"/>
    <w:rsid w:val="61460360"/>
    <w:rsid w:val="61684461"/>
    <w:rsid w:val="61851BC2"/>
    <w:rsid w:val="61AC4207"/>
    <w:rsid w:val="61C0C4E3"/>
    <w:rsid w:val="61D48D57"/>
    <w:rsid w:val="61E0C66A"/>
    <w:rsid w:val="61E38926"/>
    <w:rsid w:val="61E4E276"/>
    <w:rsid w:val="61FC67CE"/>
    <w:rsid w:val="62062056"/>
    <w:rsid w:val="620ADC04"/>
    <w:rsid w:val="6255FB22"/>
    <w:rsid w:val="6284CBB3"/>
    <w:rsid w:val="62919CCC"/>
    <w:rsid w:val="62AE14EB"/>
    <w:rsid w:val="62B59641"/>
    <w:rsid w:val="62C0835A"/>
    <w:rsid w:val="62C1B85F"/>
    <w:rsid w:val="62E65EDA"/>
    <w:rsid w:val="62E86C0D"/>
    <w:rsid w:val="62F066DA"/>
    <w:rsid w:val="62F641BE"/>
    <w:rsid w:val="636AC975"/>
    <w:rsid w:val="63A268E5"/>
    <w:rsid w:val="63B1363B"/>
    <w:rsid w:val="63C5E347"/>
    <w:rsid w:val="63CA97E6"/>
    <w:rsid w:val="63EC43EF"/>
    <w:rsid w:val="6408B53E"/>
    <w:rsid w:val="645B0E66"/>
    <w:rsid w:val="6474936F"/>
    <w:rsid w:val="647CFBBA"/>
    <w:rsid w:val="6481330B"/>
    <w:rsid w:val="64BA98B6"/>
    <w:rsid w:val="64EB1F50"/>
    <w:rsid w:val="64EF3B29"/>
    <w:rsid w:val="6501C6F6"/>
    <w:rsid w:val="651E3CC8"/>
    <w:rsid w:val="6566D1B4"/>
    <w:rsid w:val="656D3995"/>
    <w:rsid w:val="657DE68D"/>
    <w:rsid w:val="658FE0F9"/>
    <w:rsid w:val="65938C27"/>
    <w:rsid w:val="65BB37DA"/>
    <w:rsid w:val="65DCE448"/>
    <w:rsid w:val="65E2C242"/>
    <w:rsid w:val="66109318"/>
    <w:rsid w:val="66182306"/>
    <w:rsid w:val="664F58A0"/>
    <w:rsid w:val="666C4D4D"/>
    <w:rsid w:val="66B60B33"/>
    <w:rsid w:val="66C1B410"/>
    <w:rsid w:val="66D4EBCF"/>
    <w:rsid w:val="66E8D11D"/>
    <w:rsid w:val="66F30BC1"/>
    <w:rsid w:val="673197AE"/>
    <w:rsid w:val="673690DA"/>
    <w:rsid w:val="67837B52"/>
    <w:rsid w:val="67885E80"/>
    <w:rsid w:val="67FE3FD8"/>
    <w:rsid w:val="6827C310"/>
    <w:rsid w:val="6845AF58"/>
    <w:rsid w:val="684EB98F"/>
    <w:rsid w:val="6857D5A0"/>
    <w:rsid w:val="6885CFC4"/>
    <w:rsid w:val="68CE85FC"/>
    <w:rsid w:val="68E972B2"/>
    <w:rsid w:val="68F80CE1"/>
    <w:rsid w:val="6909E4A5"/>
    <w:rsid w:val="6919F8BD"/>
    <w:rsid w:val="6929C44C"/>
    <w:rsid w:val="6955BF85"/>
    <w:rsid w:val="698D0996"/>
    <w:rsid w:val="69A0CD9E"/>
    <w:rsid w:val="69A4A074"/>
    <w:rsid w:val="69AD0C9E"/>
    <w:rsid w:val="69B3CC36"/>
    <w:rsid w:val="69B4124B"/>
    <w:rsid w:val="69C08005"/>
    <w:rsid w:val="69CD3DAB"/>
    <w:rsid w:val="6A81B998"/>
    <w:rsid w:val="6A874ABA"/>
    <w:rsid w:val="6AAC3148"/>
    <w:rsid w:val="6AC2E276"/>
    <w:rsid w:val="6AC395B2"/>
    <w:rsid w:val="6AE4632A"/>
    <w:rsid w:val="6AE9EEC4"/>
    <w:rsid w:val="6AED3E10"/>
    <w:rsid w:val="6B61EE92"/>
    <w:rsid w:val="6B62FC62"/>
    <w:rsid w:val="6B6CAD1E"/>
    <w:rsid w:val="6B728CBF"/>
    <w:rsid w:val="6B8070E0"/>
    <w:rsid w:val="6BB9CF40"/>
    <w:rsid w:val="6BD2E1F8"/>
    <w:rsid w:val="6BD9EA85"/>
    <w:rsid w:val="6BF50B02"/>
    <w:rsid w:val="6C0A554B"/>
    <w:rsid w:val="6C12C5C7"/>
    <w:rsid w:val="6C389186"/>
    <w:rsid w:val="6C43122F"/>
    <w:rsid w:val="6C9E6570"/>
    <w:rsid w:val="6CCD5001"/>
    <w:rsid w:val="6CE94C48"/>
    <w:rsid w:val="6D0F6D8B"/>
    <w:rsid w:val="6D4B4DC5"/>
    <w:rsid w:val="6D577E95"/>
    <w:rsid w:val="6D8D658B"/>
    <w:rsid w:val="6DA4FD55"/>
    <w:rsid w:val="6DB8DF18"/>
    <w:rsid w:val="6DBC0090"/>
    <w:rsid w:val="6DF3CFB3"/>
    <w:rsid w:val="6E042E3E"/>
    <w:rsid w:val="6E1A5610"/>
    <w:rsid w:val="6E276873"/>
    <w:rsid w:val="6E2E474C"/>
    <w:rsid w:val="6E452A42"/>
    <w:rsid w:val="6E63CC8F"/>
    <w:rsid w:val="6ED5287A"/>
    <w:rsid w:val="6ED610D1"/>
    <w:rsid w:val="6EE4F40A"/>
    <w:rsid w:val="6EE6A9EA"/>
    <w:rsid w:val="6EF5058C"/>
    <w:rsid w:val="6F19829E"/>
    <w:rsid w:val="6F1ED482"/>
    <w:rsid w:val="6F436367"/>
    <w:rsid w:val="6F4C7741"/>
    <w:rsid w:val="6F690E34"/>
    <w:rsid w:val="6F7BA6DA"/>
    <w:rsid w:val="6FA1E228"/>
    <w:rsid w:val="6FA20C5D"/>
    <w:rsid w:val="6FF75281"/>
    <w:rsid w:val="70070BBC"/>
    <w:rsid w:val="7014A96B"/>
    <w:rsid w:val="7016FDCD"/>
    <w:rsid w:val="70461BBA"/>
    <w:rsid w:val="70505F98"/>
    <w:rsid w:val="70996549"/>
    <w:rsid w:val="709CD74A"/>
    <w:rsid w:val="70B35C81"/>
    <w:rsid w:val="70CAFE75"/>
    <w:rsid w:val="70CBD903"/>
    <w:rsid w:val="70D8BE55"/>
    <w:rsid w:val="7101975A"/>
    <w:rsid w:val="7129A0D5"/>
    <w:rsid w:val="712C2B86"/>
    <w:rsid w:val="713F875F"/>
    <w:rsid w:val="717E557B"/>
    <w:rsid w:val="719337DD"/>
    <w:rsid w:val="71B372FB"/>
    <w:rsid w:val="71BC9860"/>
    <w:rsid w:val="723C6CF4"/>
    <w:rsid w:val="724DED35"/>
    <w:rsid w:val="72B655A5"/>
    <w:rsid w:val="72B8A675"/>
    <w:rsid w:val="72DD676E"/>
    <w:rsid w:val="730178CF"/>
    <w:rsid w:val="73265A5D"/>
    <w:rsid w:val="73383DB1"/>
    <w:rsid w:val="73466BED"/>
    <w:rsid w:val="7379C571"/>
    <w:rsid w:val="7387DC62"/>
    <w:rsid w:val="738EB094"/>
    <w:rsid w:val="739A0C8B"/>
    <w:rsid w:val="73C750A3"/>
    <w:rsid w:val="73CA8938"/>
    <w:rsid w:val="73DBAF91"/>
    <w:rsid w:val="73FAD24C"/>
    <w:rsid w:val="745416F4"/>
    <w:rsid w:val="7457ADA5"/>
    <w:rsid w:val="74580FC4"/>
    <w:rsid w:val="747B0B24"/>
    <w:rsid w:val="74837D40"/>
    <w:rsid w:val="748AF734"/>
    <w:rsid w:val="74B83488"/>
    <w:rsid w:val="74B8F0D3"/>
    <w:rsid w:val="74C67AE5"/>
    <w:rsid w:val="74EC0803"/>
    <w:rsid w:val="750C5BFC"/>
    <w:rsid w:val="7528CF24"/>
    <w:rsid w:val="753E91BC"/>
    <w:rsid w:val="75922DA4"/>
    <w:rsid w:val="75CEE927"/>
    <w:rsid w:val="7600941D"/>
    <w:rsid w:val="7601EF96"/>
    <w:rsid w:val="76070871"/>
    <w:rsid w:val="76329F1B"/>
    <w:rsid w:val="765286B7"/>
    <w:rsid w:val="7653F133"/>
    <w:rsid w:val="76695A7E"/>
    <w:rsid w:val="76805B8C"/>
    <w:rsid w:val="768C5B1C"/>
    <w:rsid w:val="76DCE976"/>
    <w:rsid w:val="7702AF1E"/>
    <w:rsid w:val="771FAA9B"/>
    <w:rsid w:val="7731EFCE"/>
    <w:rsid w:val="7747148A"/>
    <w:rsid w:val="775A1E2D"/>
    <w:rsid w:val="77791E99"/>
    <w:rsid w:val="7788CDFE"/>
    <w:rsid w:val="7796C224"/>
    <w:rsid w:val="77C44039"/>
    <w:rsid w:val="77DB8581"/>
    <w:rsid w:val="77E2BE8A"/>
    <w:rsid w:val="77EB8296"/>
    <w:rsid w:val="77FEA29F"/>
    <w:rsid w:val="7824191F"/>
    <w:rsid w:val="783F1879"/>
    <w:rsid w:val="7858B84B"/>
    <w:rsid w:val="7878B8CE"/>
    <w:rsid w:val="78A5E3C8"/>
    <w:rsid w:val="78BF0D72"/>
    <w:rsid w:val="78BF6F14"/>
    <w:rsid w:val="78DCF936"/>
    <w:rsid w:val="78F3E749"/>
    <w:rsid w:val="791B0908"/>
    <w:rsid w:val="793145EC"/>
    <w:rsid w:val="796198FB"/>
    <w:rsid w:val="79733C4D"/>
    <w:rsid w:val="797F6578"/>
    <w:rsid w:val="7991F72D"/>
    <w:rsid w:val="79A2DD1D"/>
    <w:rsid w:val="79B3FCF8"/>
    <w:rsid w:val="79D9E200"/>
    <w:rsid w:val="7A19F171"/>
    <w:rsid w:val="7A1AC3E6"/>
    <w:rsid w:val="7A46BFEA"/>
    <w:rsid w:val="7A492CBD"/>
    <w:rsid w:val="7A584FE7"/>
    <w:rsid w:val="7A707EA6"/>
    <w:rsid w:val="7A990814"/>
    <w:rsid w:val="7A9C9DF4"/>
    <w:rsid w:val="7ABA163E"/>
    <w:rsid w:val="7ACD454B"/>
    <w:rsid w:val="7AD491DE"/>
    <w:rsid w:val="7AD8E1CE"/>
    <w:rsid w:val="7AF674E2"/>
    <w:rsid w:val="7B379F6E"/>
    <w:rsid w:val="7B388170"/>
    <w:rsid w:val="7B48A096"/>
    <w:rsid w:val="7B64BF44"/>
    <w:rsid w:val="7B9F26DE"/>
    <w:rsid w:val="7BCC7105"/>
    <w:rsid w:val="7BCD4D05"/>
    <w:rsid w:val="7C726F16"/>
    <w:rsid w:val="7CD449EC"/>
    <w:rsid w:val="7D0327E6"/>
    <w:rsid w:val="7D1BD548"/>
    <w:rsid w:val="7D48BA9B"/>
    <w:rsid w:val="7D4B81BB"/>
    <w:rsid w:val="7D782D7E"/>
    <w:rsid w:val="7D7D4B78"/>
    <w:rsid w:val="7D8BB373"/>
    <w:rsid w:val="7D9C621D"/>
    <w:rsid w:val="7DA4ED2C"/>
    <w:rsid w:val="7E364F4A"/>
    <w:rsid w:val="7E6E67A4"/>
    <w:rsid w:val="7E84D937"/>
    <w:rsid w:val="7EBA36B6"/>
    <w:rsid w:val="7EEA5B20"/>
    <w:rsid w:val="7EFB0892"/>
    <w:rsid w:val="7EFE0F06"/>
    <w:rsid w:val="7F08EDFB"/>
    <w:rsid w:val="7F199CA1"/>
    <w:rsid w:val="7F3E7A13"/>
    <w:rsid w:val="7F43D363"/>
    <w:rsid w:val="7F554310"/>
    <w:rsid w:val="7F603DF0"/>
    <w:rsid w:val="7F6319AD"/>
    <w:rsid w:val="7F8B6AD3"/>
    <w:rsid w:val="7F9CB669"/>
    <w:rsid w:val="7FA3C0B4"/>
    <w:rsid w:val="7FC8C645"/>
    <w:rsid w:val="7FE7236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CFA2D"/>
  <w15:chartTrackingRefBased/>
  <w15:docId w15:val="{972B0EE4-34F8-4645-BA9E-C4602242C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6F8C"/>
    <w:rPr>
      <w:rFonts w:ascii="Times New Roman" w:hAnsi="Times New Roman" w:cs="Times New Roman"/>
      <w:kern w:val="0"/>
      <w:sz w:val="28"/>
      <w:szCs w:val="28"/>
      <w:lang w:val="es-ES"/>
    </w:rPr>
  </w:style>
  <w:style w:type="paragraph" w:styleId="Ttulo1">
    <w:name w:val="heading 1"/>
    <w:basedOn w:val="Normal"/>
    <w:link w:val="Ttulo1Car"/>
    <w:uiPriority w:val="9"/>
    <w:qFormat/>
    <w:rsid w:val="00016F60"/>
    <w:pPr>
      <w:numPr>
        <w:numId w:val="1"/>
      </w:numPr>
      <w:spacing w:before="100" w:beforeAutospacing="1" w:after="100" w:afterAutospacing="1"/>
      <w:jc w:val="left"/>
      <w:outlineLvl w:val="0"/>
    </w:pPr>
    <w:rPr>
      <w:rFonts w:eastAsia="Times New Roman"/>
      <w:b/>
      <w:bCs/>
      <w:kern w:val="36"/>
      <w:sz w:val="24"/>
      <w:szCs w:val="48"/>
      <w:lang w:val="es-CO" w:eastAsia="es-CO"/>
    </w:rPr>
  </w:style>
  <w:style w:type="paragraph" w:styleId="Ttulo2">
    <w:name w:val="heading 2"/>
    <w:basedOn w:val="Normal"/>
    <w:next w:val="Normal"/>
    <w:link w:val="Ttulo2Car"/>
    <w:uiPriority w:val="9"/>
    <w:unhideWhenUsed/>
    <w:qFormat/>
    <w:rsid w:val="00016F60"/>
    <w:pPr>
      <w:keepNext/>
      <w:keepLines/>
      <w:numPr>
        <w:numId w:val="2"/>
      </w:numPr>
      <w:spacing w:before="40"/>
      <w:outlineLvl w:val="1"/>
    </w:pPr>
    <w:rPr>
      <w:rFonts w:eastAsiaTheme="majorEastAsia" w:cstheme="majorBidi"/>
      <w:b/>
      <w:szCs w:val="26"/>
    </w:rPr>
  </w:style>
  <w:style w:type="paragraph" w:styleId="Ttulo3">
    <w:name w:val="heading 3"/>
    <w:basedOn w:val="Subttulo"/>
    <w:next w:val="Normal"/>
    <w:link w:val="Ttulo3Car"/>
    <w:uiPriority w:val="9"/>
    <w:unhideWhenUsed/>
    <w:qFormat/>
    <w:rsid w:val="003B2772"/>
    <w:pPr>
      <w:keepNext/>
      <w:keepLines/>
      <w:numPr>
        <w:ilvl w:val="0"/>
        <w:numId w:val="3"/>
      </w:numPr>
      <w:spacing w:before="40"/>
      <w:jc w:val="left"/>
      <w:outlineLvl w:val="2"/>
    </w:pPr>
    <w:rPr>
      <w:color w:val="000000" w:themeColor="text1"/>
      <w:sz w:val="24"/>
      <w:szCs w:val="24"/>
      <w:lang w:val="es-CO" w:eastAsia="es-ES_tradnl"/>
    </w:rPr>
  </w:style>
  <w:style w:type="paragraph" w:styleId="Ttulo4">
    <w:name w:val="heading 4"/>
    <w:basedOn w:val="Normal"/>
    <w:next w:val="Normal"/>
    <w:link w:val="Ttulo4Car"/>
    <w:uiPriority w:val="9"/>
    <w:semiHidden/>
    <w:unhideWhenUsed/>
    <w:qFormat/>
    <w:rsid w:val="003A6A4B"/>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F47F3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47F3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F47F3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47F3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47F3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C25A7"/>
    <w:pPr>
      <w:tabs>
        <w:tab w:val="center" w:pos="4419"/>
        <w:tab w:val="right" w:pos="8838"/>
      </w:tabs>
    </w:pPr>
  </w:style>
  <w:style w:type="character" w:customStyle="1" w:styleId="EncabezadoCar">
    <w:name w:val="Encabezado Car"/>
    <w:basedOn w:val="Fuentedeprrafopredeter"/>
    <w:link w:val="Encabezado"/>
    <w:uiPriority w:val="99"/>
    <w:rsid w:val="005C25A7"/>
    <w:rPr>
      <w:rFonts w:ascii="Times New Roman" w:hAnsi="Times New Roman" w:cs="Times New Roman"/>
      <w:kern w:val="0"/>
      <w:sz w:val="28"/>
      <w:szCs w:val="28"/>
      <w:lang w:val="es-ES"/>
    </w:rPr>
  </w:style>
  <w:style w:type="paragraph" w:styleId="Prrafodelista">
    <w:name w:val="List Paragraph"/>
    <w:aliases w:val="Colorful List - Accent 11,Ha,List Paragraph1,lp1,Footnote,List Paragraph2,párrafos sentencia,Normal1,Normal2,Lista vistosa - Énfasis 11,normal,List1,titulo 3,Párrafo de lista1,Bullets,Párrafo de lista2,Cuadrícula clara - Énfasis 31,Dot "/>
    <w:basedOn w:val="Normal"/>
    <w:link w:val="PrrafodelistaCar"/>
    <w:uiPriority w:val="34"/>
    <w:qFormat/>
    <w:rsid w:val="00746BB2"/>
    <w:pPr>
      <w:ind w:left="720"/>
      <w:contextualSpacing/>
    </w:pPr>
  </w:style>
  <w:style w:type="character" w:customStyle="1" w:styleId="PrrafodelistaCar">
    <w:name w:val="Párrafo de lista Car"/>
    <w:aliases w:val="Colorful List - Accent 11 Car,Ha Car,List Paragraph1 Car,lp1 Car,Footnote Car,List Paragraph2 Car,párrafos sentencia Car,Normal1 Car,Normal2 Car,Lista vistosa - Énfasis 11 Car,normal Car,List1 Car,titulo 3 Car,Párrafo de lista1 Car"/>
    <w:link w:val="Prrafodelista"/>
    <w:uiPriority w:val="34"/>
    <w:qFormat/>
    <w:locked/>
    <w:rsid w:val="00593767"/>
    <w:rPr>
      <w:rFonts w:ascii="Times New Roman" w:hAnsi="Times New Roman" w:cs="Times New Roman"/>
      <w:kern w:val="0"/>
      <w:sz w:val="28"/>
      <w:szCs w:val="28"/>
      <w:lang w:val="es-ES"/>
    </w:rPr>
  </w:style>
  <w:style w:type="paragraph" w:styleId="Textonotapie">
    <w:name w:val="footnote text"/>
    <w:aliases w:val="Footnote Text Char Char Char Char Char,Footnote Text Char Char Char Char,Footnote reference,FA Fu,texto de nota al pie,Footnote Text Char,Footnote Text Char Char Char Char Char Char Char Char,texto de nota al pi,Ref. de nota al pie1,ft,5_"/>
    <w:basedOn w:val="Normal"/>
    <w:link w:val="TextonotapieCar"/>
    <w:uiPriority w:val="99"/>
    <w:unhideWhenUsed/>
    <w:qFormat/>
    <w:rsid w:val="00593767"/>
    <w:pPr>
      <w:jc w:val="left"/>
    </w:pPr>
    <w:rPr>
      <w:rFonts w:eastAsia="Calibri"/>
      <w:sz w:val="20"/>
      <w:szCs w:val="20"/>
      <w:lang w:val="es-CO"/>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ft Car,5_ Car"/>
    <w:basedOn w:val="Fuentedeprrafopredeter"/>
    <w:link w:val="Textonotapie"/>
    <w:uiPriority w:val="99"/>
    <w:qFormat/>
    <w:rsid w:val="00593767"/>
    <w:rPr>
      <w:rFonts w:ascii="Times New Roman" w:eastAsia="Calibri" w:hAnsi="Times New Roman" w:cs="Times New Roman"/>
      <w:kern w:val="0"/>
      <w:sz w:val="20"/>
      <w:szCs w:val="20"/>
    </w:rPr>
  </w:style>
  <w:style w:type="character" w:styleId="Refdenotaalpie">
    <w:name w:val="footnote reference"/>
    <w:aliases w:val="Ref. de nota al pie 2,Texto de nota al pie,Appel note de bas de page,Footnotes refss,Footnote number,referencia nota al pie,BVI fnr,f,4_G,16 Point,Superscript 6 Point,Texto nota al pie,Pie de Página,FC,Texto de nota al pi,Pie de P_gi"/>
    <w:basedOn w:val="Fuentedeprrafopredeter"/>
    <w:link w:val="4GChar"/>
    <w:uiPriority w:val="99"/>
    <w:unhideWhenUsed/>
    <w:qFormat/>
    <w:rsid w:val="00593767"/>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593767"/>
    <w:rPr>
      <w:rFonts w:asciiTheme="minorHAnsi" w:hAnsiTheme="minorHAnsi" w:cstheme="minorBidi"/>
      <w:kern w:val="2"/>
      <w:sz w:val="22"/>
      <w:szCs w:val="22"/>
      <w:vertAlign w:val="superscript"/>
      <w:lang w:val="es-CO"/>
    </w:rPr>
  </w:style>
  <w:style w:type="paragraph" w:customStyle="1" w:styleId="Sinespaciado1">
    <w:name w:val="Sin espaciado1"/>
    <w:uiPriority w:val="99"/>
    <w:qFormat/>
    <w:rsid w:val="00364657"/>
    <w:pPr>
      <w:jc w:val="left"/>
    </w:pPr>
    <w:rPr>
      <w:rFonts w:ascii="Calibri" w:eastAsia="Times New Roman" w:hAnsi="Calibri" w:cs="Calibri"/>
      <w:kern w:val="0"/>
      <w:lang w:eastAsia="es-CO"/>
    </w:rPr>
  </w:style>
  <w:style w:type="paragraph" w:styleId="Textoindependiente">
    <w:name w:val="Body Text"/>
    <w:basedOn w:val="Normal"/>
    <w:link w:val="TextoindependienteCar"/>
    <w:uiPriority w:val="99"/>
    <w:unhideWhenUsed/>
    <w:rsid w:val="00342603"/>
    <w:pPr>
      <w:spacing w:before="100" w:beforeAutospacing="1" w:after="100" w:afterAutospacing="1"/>
      <w:jc w:val="left"/>
    </w:pPr>
    <w:rPr>
      <w:rFonts w:eastAsia="Times New Roman"/>
      <w:sz w:val="24"/>
      <w:szCs w:val="24"/>
      <w:lang w:val="es-CO" w:eastAsia="es-CO"/>
    </w:rPr>
  </w:style>
  <w:style w:type="character" w:customStyle="1" w:styleId="TextoindependienteCar">
    <w:name w:val="Texto independiente Car"/>
    <w:basedOn w:val="Fuentedeprrafopredeter"/>
    <w:link w:val="Textoindependiente"/>
    <w:uiPriority w:val="99"/>
    <w:rsid w:val="00342603"/>
    <w:rPr>
      <w:rFonts w:ascii="Times New Roman" w:eastAsia="Times New Roman" w:hAnsi="Times New Roman" w:cs="Times New Roman"/>
      <w:kern w:val="0"/>
      <w:sz w:val="24"/>
      <w:szCs w:val="24"/>
      <w:lang w:eastAsia="es-CO"/>
    </w:rPr>
  </w:style>
  <w:style w:type="character" w:styleId="Hipervnculo">
    <w:name w:val="Hyperlink"/>
    <w:basedOn w:val="Fuentedeprrafopredeter"/>
    <w:uiPriority w:val="99"/>
    <w:unhideWhenUsed/>
    <w:rsid w:val="00F570AD"/>
    <w:rPr>
      <w:color w:val="0000FF"/>
      <w:u w:val="single"/>
    </w:rPr>
  </w:style>
  <w:style w:type="paragraph" w:customStyle="1" w:styleId="Piedepagina">
    <w:name w:val="Pie de pagina"/>
    <w:aliases w:val="Ref. de nota al pie2"/>
    <w:basedOn w:val="Normal"/>
    <w:uiPriority w:val="99"/>
    <w:rsid w:val="000C0CD1"/>
    <w:pPr>
      <w:spacing w:after="160" w:line="240" w:lineRule="exact"/>
      <w:jc w:val="left"/>
    </w:pPr>
    <w:rPr>
      <w:rFonts w:eastAsia="Times New Roman"/>
      <w:sz w:val="24"/>
      <w:szCs w:val="24"/>
      <w:vertAlign w:val="superscript"/>
      <w:lang w:val="es-CO" w:eastAsia="es-ES_tradnl"/>
    </w:rPr>
  </w:style>
  <w:style w:type="table" w:styleId="Tablaconcuadrcula">
    <w:name w:val="Table Grid"/>
    <w:basedOn w:val="Tablanormal"/>
    <w:uiPriority w:val="39"/>
    <w:qFormat/>
    <w:rsid w:val="008D4A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73A8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73A84"/>
    <w:rPr>
      <w:rFonts w:ascii="Segoe UI" w:hAnsi="Segoe UI" w:cs="Segoe UI"/>
      <w:kern w:val="0"/>
      <w:sz w:val="18"/>
      <w:szCs w:val="18"/>
      <w:lang w:val="es-ES"/>
    </w:rPr>
  </w:style>
  <w:style w:type="paragraph" w:styleId="Revisin">
    <w:name w:val="Revision"/>
    <w:hidden/>
    <w:uiPriority w:val="99"/>
    <w:semiHidden/>
    <w:rsid w:val="002974D4"/>
    <w:pPr>
      <w:jc w:val="left"/>
    </w:pPr>
    <w:rPr>
      <w:rFonts w:ascii="Times New Roman" w:hAnsi="Times New Roman" w:cs="Times New Roman"/>
      <w:kern w:val="0"/>
      <w:sz w:val="28"/>
      <w:szCs w:val="28"/>
      <w:lang w:val="es-ES"/>
    </w:rPr>
  </w:style>
  <w:style w:type="paragraph" w:styleId="Piedepgina">
    <w:name w:val="footer"/>
    <w:basedOn w:val="Normal"/>
    <w:link w:val="PiedepginaCar"/>
    <w:uiPriority w:val="99"/>
    <w:unhideWhenUsed/>
    <w:rsid w:val="00A5093E"/>
    <w:pPr>
      <w:tabs>
        <w:tab w:val="center" w:pos="4419"/>
        <w:tab w:val="right" w:pos="8838"/>
      </w:tabs>
    </w:pPr>
  </w:style>
  <w:style w:type="character" w:customStyle="1" w:styleId="PiedepginaCar">
    <w:name w:val="Pie de página Car"/>
    <w:basedOn w:val="Fuentedeprrafopredeter"/>
    <w:link w:val="Piedepgina"/>
    <w:uiPriority w:val="99"/>
    <w:rsid w:val="00A5093E"/>
    <w:rPr>
      <w:rFonts w:ascii="Times New Roman" w:hAnsi="Times New Roman" w:cs="Times New Roman"/>
      <w:kern w:val="0"/>
      <w:sz w:val="28"/>
      <w:szCs w:val="28"/>
      <w:lang w:val="es-ES"/>
    </w:rPr>
  </w:style>
  <w:style w:type="character" w:styleId="Textoennegrita">
    <w:name w:val="Strong"/>
    <w:basedOn w:val="Fuentedeprrafopredeter"/>
    <w:uiPriority w:val="22"/>
    <w:qFormat/>
    <w:rsid w:val="002A13DE"/>
    <w:rPr>
      <w:b/>
      <w:bCs/>
    </w:rPr>
  </w:style>
  <w:style w:type="character" w:customStyle="1" w:styleId="Ttulo1Car">
    <w:name w:val="Título 1 Car"/>
    <w:basedOn w:val="Fuentedeprrafopredeter"/>
    <w:link w:val="Ttulo1"/>
    <w:uiPriority w:val="9"/>
    <w:rsid w:val="00016F60"/>
    <w:rPr>
      <w:rFonts w:ascii="Times New Roman" w:eastAsia="Times New Roman" w:hAnsi="Times New Roman" w:cs="Times New Roman"/>
      <w:b/>
      <w:bCs/>
      <w:kern w:val="36"/>
      <w:sz w:val="24"/>
      <w:szCs w:val="48"/>
      <w:lang w:eastAsia="es-CO"/>
    </w:rPr>
  </w:style>
  <w:style w:type="paragraph" w:styleId="NormalWeb">
    <w:name w:val="Normal (Web)"/>
    <w:basedOn w:val="Normal"/>
    <w:uiPriority w:val="99"/>
    <w:unhideWhenUsed/>
    <w:rsid w:val="003062DF"/>
    <w:pPr>
      <w:spacing w:before="100" w:beforeAutospacing="1" w:after="100" w:afterAutospacing="1"/>
      <w:jc w:val="left"/>
    </w:pPr>
    <w:rPr>
      <w:rFonts w:eastAsia="Times New Roman"/>
      <w:sz w:val="24"/>
      <w:szCs w:val="24"/>
      <w:lang w:val="es-CO" w:eastAsia="es-CO"/>
    </w:rPr>
  </w:style>
  <w:style w:type="paragraph" w:styleId="Sinespaciado">
    <w:name w:val="No Spacing"/>
    <w:link w:val="SinespaciadoCar"/>
    <w:uiPriority w:val="1"/>
    <w:qFormat/>
    <w:rsid w:val="00881BE6"/>
    <w:rPr>
      <w:rFonts w:ascii="Times New Roman" w:hAnsi="Times New Roman" w:cs="Times New Roman"/>
      <w:kern w:val="0"/>
      <w:sz w:val="28"/>
      <w:szCs w:val="28"/>
      <w:lang w:val="es-ES"/>
    </w:rPr>
  </w:style>
  <w:style w:type="character" w:customStyle="1" w:styleId="elementor-button-text">
    <w:name w:val="elementor-button-text"/>
    <w:basedOn w:val="Fuentedeprrafopredeter"/>
    <w:rsid w:val="003042C0"/>
  </w:style>
  <w:style w:type="character" w:styleId="Nmerodepgina">
    <w:name w:val="page number"/>
    <w:basedOn w:val="Fuentedeprrafopredeter"/>
    <w:uiPriority w:val="99"/>
    <w:semiHidden/>
    <w:unhideWhenUsed/>
    <w:rsid w:val="00AD4455"/>
  </w:style>
  <w:style w:type="character" w:customStyle="1" w:styleId="Ttulo2Car">
    <w:name w:val="Título 2 Car"/>
    <w:basedOn w:val="Fuentedeprrafopredeter"/>
    <w:link w:val="Ttulo2"/>
    <w:uiPriority w:val="9"/>
    <w:rsid w:val="00016F60"/>
    <w:rPr>
      <w:rFonts w:ascii="Times New Roman" w:eastAsiaTheme="majorEastAsia" w:hAnsi="Times New Roman" w:cstheme="majorBidi"/>
      <w:b/>
      <w:kern w:val="0"/>
      <w:sz w:val="28"/>
      <w:szCs w:val="26"/>
      <w:lang w:val="es-ES"/>
    </w:rPr>
  </w:style>
  <w:style w:type="character" w:customStyle="1" w:styleId="baj">
    <w:name w:val="b_aj"/>
    <w:basedOn w:val="Fuentedeprrafopredeter"/>
    <w:rsid w:val="00276BF4"/>
  </w:style>
  <w:style w:type="paragraph" w:customStyle="1" w:styleId="centrado">
    <w:name w:val="centrado"/>
    <w:basedOn w:val="Normal"/>
    <w:rsid w:val="00A508EC"/>
    <w:pPr>
      <w:spacing w:before="100" w:beforeAutospacing="1" w:after="100" w:afterAutospacing="1"/>
      <w:jc w:val="left"/>
    </w:pPr>
    <w:rPr>
      <w:rFonts w:eastAsia="Times New Roman"/>
      <w:sz w:val="24"/>
      <w:szCs w:val="24"/>
      <w:lang w:val="es-CO" w:eastAsia="es-MX"/>
    </w:rPr>
  </w:style>
  <w:style w:type="paragraph" w:customStyle="1" w:styleId="p1">
    <w:name w:val="p1"/>
    <w:basedOn w:val="Normal"/>
    <w:rsid w:val="001F4784"/>
    <w:pPr>
      <w:jc w:val="left"/>
    </w:pPr>
    <w:rPr>
      <w:rFonts w:eastAsia="Times New Roman"/>
      <w:color w:val="000000"/>
      <w:sz w:val="18"/>
      <w:szCs w:val="18"/>
      <w:lang w:val="es-CO" w:eastAsia="es-MX"/>
    </w:rPr>
  </w:style>
  <w:style w:type="character" w:customStyle="1" w:styleId="s1">
    <w:name w:val="s1"/>
    <w:basedOn w:val="Fuentedeprrafopredeter"/>
    <w:rsid w:val="00515246"/>
    <w:rPr>
      <w:rFonts w:ascii="Times New Roman" w:hAnsi="Times New Roman" w:cs="Times New Roman" w:hint="default"/>
      <w:sz w:val="12"/>
      <w:szCs w:val="12"/>
    </w:rPr>
  </w:style>
  <w:style w:type="character" w:customStyle="1" w:styleId="apple-converted-space">
    <w:name w:val="apple-converted-space"/>
    <w:basedOn w:val="Fuentedeprrafopredeter"/>
    <w:rsid w:val="00631C37"/>
  </w:style>
  <w:style w:type="table" w:styleId="Tablaconcuadrcula1Claro-nfasis2">
    <w:name w:val="Grid Table 1 Light Accent 2"/>
    <w:basedOn w:val="Tablanormal"/>
    <w:uiPriority w:val="46"/>
    <w:rsid w:val="00244537"/>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aconcuadrcula2-nfasis1">
    <w:name w:val="Grid Table 2 Accent 1"/>
    <w:basedOn w:val="Tablanormal"/>
    <w:uiPriority w:val="47"/>
    <w:rsid w:val="00244537"/>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3-nfasis6">
    <w:name w:val="Grid Table 3 Accent 6"/>
    <w:basedOn w:val="Tablanormal"/>
    <w:uiPriority w:val="48"/>
    <w:rsid w:val="00924F9B"/>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laconcuadrcula2-nfasis6">
    <w:name w:val="Grid Table 2 Accent 6"/>
    <w:basedOn w:val="Tablanormal"/>
    <w:uiPriority w:val="47"/>
    <w:rsid w:val="00924F9B"/>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2-nfasis3">
    <w:name w:val="Grid Table 2 Accent 3"/>
    <w:basedOn w:val="Tablanormal"/>
    <w:uiPriority w:val="47"/>
    <w:rsid w:val="00924F9B"/>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4-nfasis6">
    <w:name w:val="Grid Table 4 Accent 6"/>
    <w:basedOn w:val="Tablanormal"/>
    <w:uiPriority w:val="49"/>
    <w:rsid w:val="00F83E7B"/>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4-nfasis2">
    <w:name w:val="Grid Table 4 Accent 2"/>
    <w:basedOn w:val="Tablanormal"/>
    <w:uiPriority w:val="49"/>
    <w:rsid w:val="00E24E7C"/>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normaltextrun">
    <w:name w:val="normaltextrun"/>
    <w:basedOn w:val="Fuentedeprrafopredeter"/>
    <w:rsid w:val="004512CE"/>
  </w:style>
  <w:style w:type="character" w:customStyle="1" w:styleId="scxw264025873">
    <w:name w:val="scxw264025873"/>
    <w:basedOn w:val="Fuentedeprrafopredeter"/>
    <w:rsid w:val="00864603"/>
  </w:style>
  <w:style w:type="character" w:customStyle="1" w:styleId="eop">
    <w:name w:val="eop"/>
    <w:basedOn w:val="Fuentedeprrafopredeter"/>
    <w:rsid w:val="004949BA"/>
  </w:style>
  <w:style w:type="character" w:styleId="Mencinsinresolver">
    <w:name w:val="Unresolved Mention"/>
    <w:basedOn w:val="Fuentedeprrafopredeter"/>
    <w:uiPriority w:val="99"/>
    <w:semiHidden/>
    <w:unhideWhenUsed/>
    <w:rsid w:val="005859EA"/>
    <w:rPr>
      <w:color w:val="605E5C"/>
      <w:shd w:val="clear" w:color="auto" w:fill="E1DFDD"/>
    </w:rPr>
  </w:style>
  <w:style w:type="character" w:customStyle="1" w:styleId="Ttulo4Car">
    <w:name w:val="Título 4 Car"/>
    <w:basedOn w:val="Fuentedeprrafopredeter"/>
    <w:link w:val="Ttulo4"/>
    <w:uiPriority w:val="9"/>
    <w:rsid w:val="003A6A4B"/>
    <w:rPr>
      <w:rFonts w:asciiTheme="majorHAnsi" w:eastAsiaTheme="majorEastAsia" w:hAnsiTheme="majorHAnsi" w:cstheme="majorBidi"/>
      <w:i/>
      <w:iCs/>
      <w:color w:val="2F5496" w:themeColor="accent1" w:themeShade="BF"/>
      <w:kern w:val="0"/>
      <w:sz w:val="28"/>
      <w:szCs w:val="28"/>
      <w:lang w:val="es-ES"/>
    </w:rPr>
  </w:style>
  <w:style w:type="paragraph" w:customStyle="1" w:styleId="sombreadovistoso-nfasis31">
    <w:name w:val="sombreadovistoso-nfasis31"/>
    <w:basedOn w:val="Normal"/>
    <w:rsid w:val="002F0619"/>
    <w:pPr>
      <w:spacing w:before="100" w:beforeAutospacing="1" w:after="100" w:afterAutospacing="1"/>
      <w:jc w:val="left"/>
    </w:pPr>
    <w:rPr>
      <w:rFonts w:eastAsia="Times New Roman"/>
      <w:sz w:val="24"/>
      <w:szCs w:val="24"/>
      <w:lang w:val="es-CO" w:eastAsia="es-MX"/>
    </w:rPr>
  </w:style>
  <w:style w:type="character" w:customStyle="1" w:styleId="Ttulo3Car">
    <w:name w:val="Título 3 Car"/>
    <w:basedOn w:val="Fuentedeprrafopredeter"/>
    <w:link w:val="Ttulo3"/>
    <w:uiPriority w:val="9"/>
    <w:rsid w:val="003B2772"/>
    <w:rPr>
      <w:rFonts w:ascii="Times New Roman" w:eastAsiaTheme="majorEastAsia" w:hAnsi="Times New Roman" w:cstheme="majorBidi"/>
      <w:color w:val="000000" w:themeColor="text1"/>
      <w:spacing w:val="15"/>
      <w:kern w:val="0"/>
      <w:sz w:val="24"/>
      <w:szCs w:val="24"/>
      <w:lang w:eastAsia="es-ES_tradnl"/>
    </w:rPr>
  </w:style>
  <w:style w:type="character" w:customStyle="1" w:styleId="Ttulo5Car">
    <w:name w:val="Título 5 Car"/>
    <w:basedOn w:val="Fuentedeprrafopredeter"/>
    <w:link w:val="Ttulo5"/>
    <w:uiPriority w:val="9"/>
    <w:rsid w:val="00F47F35"/>
    <w:rPr>
      <w:rFonts w:ascii="Times New Roman" w:eastAsiaTheme="majorEastAsia" w:hAnsi="Times New Roman" w:cstheme="majorBidi"/>
      <w:color w:val="2F5496" w:themeColor="accent1" w:themeShade="BF"/>
      <w:kern w:val="0"/>
      <w:sz w:val="28"/>
      <w:szCs w:val="28"/>
      <w:lang w:val="es-ES"/>
    </w:rPr>
  </w:style>
  <w:style w:type="character" w:customStyle="1" w:styleId="Ttulo6Car">
    <w:name w:val="Título 6 Car"/>
    <w:basedOn w:val="Fuentedeprrafopredeter"/>
    <w:link w:val="Ttulo6"/>
    <w:uiPriority w:val="9"/>
    <w:rsid w:val="00F47F35"/>
    <w:rPr>
      <w:rFonts w:ascii="Times New Roman" w:eastAsiaTheme="majorEastAsia" w:hAnsi="Times New Roman" w:cstheme="majorBidi"/>
      <w:i/>
      <w:iCs/>
      <w:color w:val="595959" w:themeColor="text1" w:themeTint="A6"/>
      <w:kern w:val="0"/>
      <w:sz w:val="28"/>
      <w:szCs w:val="28"/>
      <w:lang w:val="es-ES"/>
    </w:rPr>
  </w:style>
  <w:style w:type="character" w:customStyle="1" w:styleId="Ttulo7Car">
    <w:name w:val="Título 7 Car"/>
    <w:basedOn w:val="Fuentedeprrafopredeter"/>
    <w:link w:val="Ttulo7"/>
    <w:uiPriority w:val="9"/>
    <w:rsid w:val="00F47F35"/>
    <w:rPr>
      <w:rFonts w:ascii="Times New Roman" w:eastAsiaTheme="majorEastAsia" w:hAnsi="Times New Roman" w:cstheme="majorBidi"/>
      <w:color w:val="595959" w:themeColor="text1" w:themeTint="A6"/>
      <w:kern w:val="0"/>
      <w:sz w:val="28"/>
      <w:szCs w:val="28"/>
      <w:lang w:val="es-ES"/>
    </w:rPr>
  </w:style>
  <w:style w:type="character" w:customStyle="1" w:styleId="Ttulo8Car">
    <w:name w:val="Título 8 Car"/>
    <w:basedOn w:val="Fuentedeprrafopredeter"/>
    <w:link w:val="Ttulo8"/>
    <w:uiPriority w:val="9"/>
    <w:semiHidden/>
    <w:rsid w:val="00F47F35"/>
    <w:rPr>
      <w:rFonts w:ascii="Times New Roman" w:eastAsiaTheme="majorEastAsia" w:hAnsi="Times New Roman" w:cstheme="majorBidi"/>
      <w:i/>
      <w:iCs/>
      <w:color w:val="272727" w:themeColor="text1" w:themeTint="D8"/>
      <w:kern w:val="0"/>
      <w:sz w:val="28"/>
      <w:szCs w:val="28"/>
      <w:lang w:val="es-ES"/>
    </w:rPr>
  </w:style>
  <w:style w:type="character" w:customStyle="1" w:styleId="Ttulo9Car">
    <w:name w:val="Título 9 Car"/>
    <w:basedOn w:val="Fuentedeprrafopredeter"/>
    <w:link w:val="Ttulo9"/>
    <w:uiPriority w:val="9"/>
    <w:semiHidden/>
    <w:rsid w:val="00F47F35"/>
    <w:rPr>
      <w:rFonts w:ascii="Times New Roman" w:eastAsiaTheme="majorEastAsia" w:hAnsi="Times New Roman" w:cstheme="majorBidi"/>
      <w:color w:val="272727" w:themeColor="text1" w:themeTint="D8"/>
      <w:kern w:val="0"/>
      <w:sz w:val="28"/>
      <w:szCs w:val="28"/>
      <w:lang w:val="es-ES"/>
    </w:rPr>
  </w:style>
  <w:style w:type="paragraph" w:styleId="Ttulo">
    <w:name w:val="Title"/>
    <w:basedOn w:val="Normal"/>
    <w:next w:val="Normal"/>
    <w:link w:val="TtuloCar"/>
    <w:uiPriority w:val="10"/>
    <w:qFormat/>
    <w:rsid w:val="00F47F3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47F35"/>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rsid w:val="00F47F35"/>
    <w:pPr>
      <w:numPr>
        <w:ilvl w:val="1"/>
      </w:numPr>
    </w:pPr>
    <w:rPr>
      <w:rFonts w:eastAsiaTheme="majorEastAsia" w:cstheme="majorBidi"/>
      <w:color w:val="595959" w:themeColor="text1" w:themeTint="A6"/>
      <w:spacing w:val="15"/>
    </w:rPr>
  </w:style>
  <w:style w:type="character" w:customStyle="1" w:styleId="SubttuloCar">
    <w:name w:val="Subtítulo Car"/>
    <w:basedOn w:val="Fuentedeprrafopredeter"/>
    <w:link w:val="Subttulo"/>
    <w:uiPriority w:val="11"/>
    <w:rsid w:val="00F47F35"/>
    <w:rPr>
      <w:rFonts w:ascii="Times New Roman" w:eastAsiaTheme="majorEastAsia" w:hAnsi="Times New Roman" w:cstheme="majorBidi"/>
      <w:color w:val="595959" w:themeColor="text1" w:themeTint="A6"/>
      <w:spacing w:val="15"/>
      <w:kern w:val="0"/>
      <w:sz w:val="28"/>
      <w:szCs w:val="28"/>
      <w:lang w:val="es-ES"/>
    </w:rPr>
  </w:style>
  <w:style w:type="paragraph" w:styleId="Cita">
    <w:name w:val="Quote"/>
    <w:basedOn w:val="Normal"/>
    <w:next w:val="Normal"/>
    <w:link w:val="CitaCar"/>
    <w:uiPriority w:val="29"/>
    <w:qFormat/>
    <w:rsid w:val="00F47F35"/>
    <w:pPr>
      <w:spacing w:before="160"/>
      <w:jc w:val="center"/>
    </w:pPr>
    <w:rPr>
      <w:i/>
      <w:iCs/>
      <w:color w:val="404040" w:themeColor="text1" w:themeTint="BF"/>
    </w:rPr>
  </w:style>
  <w:style w:type="character" w:customStyle="1" w:styleId="CitaCar">
    <w:name w:val="Cita Car"/>
    <w:basedOn w:val="Fuentedeprrafopredeter"/>
    <w:link w:val="Cita"/>
    <w:uiPriority w:val="29"/>
    <w:rsid w:val="00F47F35"/>
    <w:rPr>
      <w:rFonts w:ascii="Times New Roman" w:hAnsi="Times New Roman" w:cs="Times New Roman"/>
      <w:i/>
      <w:iCs/>
      <w:color w:val="404040" w:themeColor="text1" w:themeTint="BF"/>
      <w:kern w:val="0"/>
      <w:sz w:val="28"/>
      <w:szCs w:val="28"/>
      <w:lang w:val="es-ES"/>
    </w:rPr>
  </w:style>
  <w:style w:type="character" w:styleId="nfasisintenso">
    <w:name w:val="Intense Emphasis"/>
    <w:basedOn w:val="Fuentedeprrafopredeter"/>
    <w:uiPriority w:val="21"/>
    <w:qFormat/>
    <w:rsid w:val="00F47F35"/>
    <w:rPr>
      <w:i/>
      <w:iCs/>
      <w:color w:val="2F5496" w:themeColor="accent1" w:themeShade="BF"/>
    </w:rPr>
  </w:style>
  <w:style w:type="paragraph" w:styleId="Citadestacada">
    <w:name w:val="Intense Quote"/>
    <w:basedOn w:val="Normal"/>
    <w:next w:val="Normal"/>
    <w:link w:val="CitadestacadaCar"/>
    <w:uiPriority w:val="30"/>
    <w:qFormat/>
    <w:rsid w:val="00F47F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47F35"/>
    <w:rPr>
      <w:rFonts w:ascii="Times New Roman" w:hAnsi="Times New Roman" w:cs="Times New Roman"/>
      <w:i/>
      <w:iCs/>
      <w:color w:val="2F5496" w:themeColor="accent1" w:themeShade="BF"/>
      <w:kern w:val="0"/>
      <w:sz w:val="28"/>
      <w:szCs w:val="28"/>
      <w:lang w:val="es-ES"/>
    </w:rPr>
  </w:style>
  <w:style w:type="character" w:styleId="Referenciaintensa">
    <w:name w:val="Intense Reference"/>
    <w:basedOn w:val="Fuentedeprrafopredeter"/>
    <w:uiPriority w:val="32"/>
    <w:qFormat/>
    <w:rsid w:val="00F47F35"/>
    <w:rPr>
      <w:b/>
      <w:bCs/>
      <w:smallCaps/>
      <w:color w:val="2F5496" w:themeColor="accent1" w:themeShade="BF"/>
      <w:spacing w:val="5"/>
    </w:rPr>
  </w:style>
  <w:style w:type="character" w:customStyle="1" w:styleId="SinespaciadoCar">
    <w:name w:val="Sin espaciado Car"/>
    <w:link w:val="Sinespaciado"/>
    <w:uiPriority w:val="1"/>
    <w:locked/>
    <w:rsid w:val="00F47F35"/>
    <w:rPr>
      <w:rFonts w:ascii="Times New Roman" w:hAnsi="Times New Roman" w:cs="Times New Roman"/>
      <w:kern w:val="0"/>
      <w:sz w:val="28"/>
      <w:szCs w:val="28"/>
      <w:lang w:val="es-ES"/>
    </w:rPr>
  </w:style>
  <w:style w:type="table" w:styleId="Tablaconcuadrcula4-nfasis3">
    <w:name w:val="Grid Table 4 Accent 3"/>
    <w:basedOn w:val="Tablanormal"/>
    <w:uiPriority w:val="49"/>
    <w:rsid w:val="00E24C27"/>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tuloTDC">
    <w:name w:val="TOC Heading"/>
    <w:basedOn w:val="Ttulo1"/>
    <w:next w:val="Normal"/>
    <w:uiPriority w:val="39"/>
    <w:unhideWhenUsed/>
    <w:qFormat/>
    <w:rsid w:val="00BF16C7"/>
    <w:pPr>
      <w:keepNext/>
      <w:keepLines/>
      <w:numPr>
        <w:numId w:val="0"/>
      </w:numPr>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DC1">
    <w:name w:val="toc 1"/>
    <w:basedOn w:val="Normal"/>
    <w:next w:val="Normal"/>
    <w:autoRedefine/>
    <w:uiPriority w:val="39"/>
    <w:unhideWhenUsed/>
    <w:rsid w:val="0054259F"/>
    <w:pPr>
      <w:spacing w:after="100"/>
    </w:pPr>
    <w:rPr>
      <w:b/>
      <w:sz w:val="22"/>
    </w:rPr>
  </w:style>
  <w:style w:type="paragraph" w:styleId="TDC2">
    <w:name w:val="toc 2"/>
    <w:basedOn w:val="Normal"/>
    <w:next w:val="Normal"/>
    <w:autoRedefine/>
    <w:uiPriority w:val="39"/>
    <w:unhideWhenUsed/>
    <w:rsid w:val="00105B3D"/>
    <w:pPr>
      <w:tabs>
        <w:tab w:val="left" w:pos="720"/>
        <w:tab w:val="right" w:leader="dot" w:pos="8828"/>
      </w:tabs>
      <w:spacing w:after="100"/>
      <w:ind w:left="280"/>
    </w:pPr>
    <w:rPr>
      <w:sz w:val="22"/>
    </w:rPr>
  </w:style>
  <w:style w:type="paragraph" w:styleId="TDC3">
    <w:name w:val="toc 3"/>
    <w:basedOn w:val="Normal"/>
    <w:next w:val="Normal"/>
    <w:autoRedefine/>
    <w:uiPriority w:val="39"/>
    <w:unhideWhenUsed/>
    <w:rsid w:val="0054259F"/>
    <w:pPr>
      <w:spacing w:after="100"/>
      <w:ind w:left="560"/>
    </w:pPr>
    <w:rPr>
      <w:sz w:val="22"/>
    </w:rPr>
  </w:style>
  <w:style w:type="character" w:customStyle="1" w:styleId="fontstyle58">
    <w:name w:val="fontstyle58"/>
    <w:basedOn w:val="Fuentedeprrafopredeter"/>
    <w:rsid w:val="00A71F0E"/>
  </w:style>
  <w:style w:type="character" w:customStyle="1" w:styleId="fontstyle59">
    <w:name w:val="fontstyle59"/>
    <w:basedOn w:val="Fuentedeprrafopredeter"/>
    <w:rsid w:val="00A71F0E"/>
  </w:style>
  <w:style w:type="paragraph" w:styleId="Descripcin">
    <w:name w:val="caption"/>
    <w:basedOn w:val="Normal"/>
    <w:next w:val="Normal"/>
    <w:qFormat/>
    <w:rsid w:val="00B77115"/>
    <w:pPr>
      <w:overflowPunct w:val="0"/>
      <w:autoSpaceDE w:val="0"/>
      <w:autoSpaceDN w:val="0"/>
      <w:adjustRightInd w:val="0"/>
      <w:ind w:right="51"/>
      <w:jc w:val="center"/>
      <w:textAlignment w:val="baseline"/>
    </w:pPr>
    <w:rPr>
      <w:rFonts w:eastAsia="Times New Roman"/>
      <w:b/>
      <w:caps/>
      <w:sz w:val="24"/>
      <w:szCs w:val="20"/>
      <w:lang w:val="es-CO" w:eastAsia="es-ES"/>
    </w:rPr>
  </w:style>
  <w:style w:type="character" w:styleId="nfasis">
    <w:name w:val="Emphasis"/>
    <w:basedOn w:val="Fuentedeprrafopredeter"/>
    <w:uiPriority w:val="20"/>
    <w:qFormat/>
    <w:rsid w:val="006074FB"/>
    <w:rPr>
      <w:i/>
      <w:iCs/>
    </w:rPr>
  </w:style>
  <w:style w:type="paragraph" w:customStyle="1" w:styleId="h1">
    <w:name w:val="h1"/>
    <w:basedOn w:val="Normal"/>
    <w:rsid w:val="00EE672C"/>
    <w:pPr>
      <w:spacing w:before="100" w:beforeAutospacing="1" w:after="100" w:afterAutospacing="1"/>
      <w:jc w:val="left"/>
    </w:pPr>
    <w:rPr>
      <w:rFonts w:eastAsia="Times New Roman"/>
      <w:sz w:val="24"/>
      <w:szCs w:val="24"/>
      <w:lang w:val="es-ES_tradnl" w:eastAsia="es-ES_tradnl"/>
    </w:rPr>
  </w:style>
  <w:style w:type="paragraph" w:customStyle="1" w:styleId="singletxt">
    <w:name w:val="singletxt"/>
    <w:basedOn w:val="Normal"/>
    <w:rsid w:val="00EE672C"/>
    <w:pPr>
      <w:spacing w:before="100" w:beforeAutospacing="1" w:after="100" w:afterAutospacing="1"/>
      <w:jc w:val="left"/>
    </w:pPr>
    <w:rPr>
      <w:rFonts w:eastAsia="Times New Roman"/>
      <w:sz w:val="24"/>
      <w:szCs w:val="24"/>
      <w:lang w:val="es-ES_tradnl" w:eastAsia="es-ES_tradnl"/>
    </w:rPr>
  </w:style>
  <w:style w:type="paragraph" w:customStyle="1" w:styleId="style9">
    <w:name w:val="style9"/>
    <w:basedOn w:val="Normal"/>
    <w:rsid w:val="00EE672C"/>
    <w:pPr>
      <w:spacing w:before="100" w:beforeAutospacing="1" w:after="100" w:afterAutospacing="1"/>
      <w:jc w:val="left"/>
    </w:pPr>
    <w:rPr>
      <w:rFonts w:eastAsia="Times New Roman"/>
      <w:sz w:val="24"/>
      <w:szCs w:val="24"/>
      <w:lang w:val="es-CO" w:eastAsia="es-MX"/>
    </w:rPr>
  </w:style>
  <w:style w:type="numbering" w:customStyle="1" w:styleId="Listaactual1">
    <w:name w:val="Lista actual1"/>
    <w:uiPriority w:val="99"/>
    <w:rsid w:val="00F866D0"/>
    <w:pPr>
      <w:numPr>
        <w:numId w:val="4"/>
      </w:numPr>
    </w:pPr>
  </w:style>
  <w:style w:type="paragraph" w:styleId="Textoindependiente2">
    <w:name w:val="Body Text 2"/>
    <w:basedOn w:val="Normal"/>
    <w:link w:val="Textoindependiente2Car"/>
    <w:uiPriority w:val="99"/>
    <w:semiHidden/>
    <w:unhideWhenUsed/>
    <w:rsid w:val="00EE672C"/>
    <w:pPr>
      <w:spacing w:before="100" w:beforeAutospacing="1" w:after="100" w:afterAutospacing="1"/>
      <w:jc w:val="left"/>
    </w:pPr>
    <w:rPr>
      <w:rFonts w:eastAsia="Times New Roman"/>
      <w:sz w:val="24"/>
      <w:szCs w:val="24"/>
      <w:lang w:val="es-CO" w:eastAsia="es-MX"/>
    </w:rPr>
  </w:style>
  <w:style w:type="character" w:customStyle="1" w:styleId="Textoindependiente2Car">
    <w:name w:val="Texto independiente 2 Car"/>
    <w:basedOn w:val="Fuentedeprrafopredeter"/>
    <w:link w:val="Textoindependiente2"/>
    <w:uiPriority w:val="99"/>
    <w:semiHidden/>
    <w:rsid w:val="00EE672C"/>
    <w:rPr>
      <w:rFonts w:ascii="Times New Roman" w:eastAsia="Times New Roman" w:hAnsi="Times New Roman" w:cs="Times New Roman"/>
      <w:kern w:val="0"/>
      <w:sz w:val="24"/>
      <w:szCs w:val="24"/>
      <w:lang w:eastAsia="es-MX"/>
    </w:rPr>
  </w:style>
  <w:style w:type="paragraph" w:styleId="Textoindependiente3">
    <w:name w:val="Body Text 3"/>
    <w:basedOn w:val="Normal"/>
    <w:link w:val="Textoindependiente3Car"/>
    <w:uiPriority w:val="99"/>
    <w:semiHidden/>
    <w:unhideWhenUsed/>
    <w:rsid w:val="00EE672C"/>
    <w:pPr>
      <w:spacing w:after="120"/>
      <w:jc w:val="left"/>
    </w:pPr>
    <w:rPr>
      <w:rFonts w:eastAsia="Times New Roman"/>
      <w:sz w:val="16"/>
      <w:szCs w:val="16"/>
      <w:lang w:val="es-ES_tradnl" w:eastAsia="es-ES_tradnl"/>
    </w:rPr>
  </w:style>
  <w:style w:type="character" w:customStyle="1" w:styleId="Textoindependiente3Car">
    <w:name w:val="Texto independiente 3 Car"/>
    <w:basedOn w:val="Fuentedeprrafopredeter"/>
    <w:link w:val="Textoindependiente3"/>
    <w:uiPriority w:val="99"/>
    <w:semiHidden/>
    <w:rsid w:val="00EE672C"/>
    <w:rPr>
      <w:rFonts w:ascii="Times New Roman" w:eastAsia="Times New Roman" w:hAnsi="Times New Roman" w:cs="Times New Roman"/>
      <w:kern w:val="0"/>
      <w:sz w:val="16"/>
      <w:szCs w:val="16"/>
      <w:lang w:val="es-ES_tradnl" w:eastAsia="es-ES_tradnl"/>
    </w:rPr>
  </w:style>
  <w:style w:type="paragraph" w:customStyle="1" w:styleId="bloqueindentado">
    <w:name w:val="bloqueindentado"/>
    <w:basedOn w:val="Normal"/>
    <w:rsid w:val="00EE672C"/>
    <w:pPr>
      <w:spacing w:before="100" w:beforeAutospacing="1" w:after="100" w:afterAutospacing="1"/>
      <w:jc w:val="left"/>
    </w:pPr>
    <w:rPr>
      <w:rFonts w:eastAsia="Times New Roman"/>
      <w:sz w:val="24"/>
      <w:szCs w:val="24"/>
      <w:lang w:val="es-CO" w:eastAsia="es-MX"/>
    </w:rPr>
  </w:style>
  <w:style w:type="paragraph" w:styleId="Textodebloque">
    <w:name w:val="Block Text"/>
    <w:basedOn w:val="Normal"/>
    <w:uiPriority w:val="99"/>
    <w:semiHidden/>
    <w:unhideWhenUsed/>
    <w:rsid w:val="00EE672C"/>
    <w:pPr>
      <w:spacing w:before="100" w:beforeAutospacing="1" w:after="100" w:afterAutospacing="1"/>
      <w:jc w:val="left"/>
    </w:pPr>
    <w:rPr>
      <w:rFonts w:eastAsia="Times New Roman"/>
      <w:sz w:val="24"/>
      <w:szCs w:val="24"/>
      <w:lang w:val="es-CO" w:eastAsia="es-MX"/>
    </w:rPr>
  </w:style>
  <w:style w:type="character" w:styleId="Hipervnculovisitado">
    <w:name w:val="FollowedHyperlink"/>
    <w:basedOn w:val="Fuentedeprrafopredeter"/>
    <w:uiPriority w:val="99"/>
    <w:semiHidden/>
    <w:unhideWhenUsed/>
    <w:rsid w:val="005C2815"/>
    <w:rPr>
      <w:color w:val="954F72" w:themeColor="followedHyperlink"/>
      <w:u w:val="single"/>
    </w:rPr>
  </w:style>
  <w:style w:type="character" w:styleId="nfasissutil">
    <w:name w:val="Subtle Emphasis"/>
    <w:basedOn w:val="Fuentedeprrafopredeter"/>
    <w:uiPriority w:val="19"/>
    <w:qFormat/>
    <w:rsid w:val="00724E8B"/>
    <w:rPr>
      <w:i/>
      <w:iCs/>
      <w:color w:val="404040" w:themeColor="text1" w:themeTint="BF"/>
    </w:rPr>
  </w:style>
  <w:style w:type="numbering" w:customStyle="1" w:styleId="Listaactual2">
    <w:name w:val="Lista actual2"/>
    <w:uiPriority w:val="99"/>
    <w:rsid w:val="00724E8B"/>
    <w:pPr>
      <w:numPr>
        <w:numId w:val="5"/>
      </w:numPr>
    </w:pPr>
  </w:style>
  <w:style w:type="paragraph" w:customStyle="1" w:styleId="1">
    <w:name w:val="1"/>
    <w:link w:val="CommentTextChar"/>
    <w:uiPriority w:val="39"/>
    <w:rsid w:val="00CC6F8C"/>
    <w:rPr>
      <w:lang w:val="en-GB"/>
    </w:rPr>
  </w:style>
  <w:style w:type="character" w:customStyle="1" w:styleId="CommentTextChar">
    <w:name w:val="Comment Text Char"/>
    <w:basedOn w:val="Fuentedeprrafopredeter"/>
    <w:link w:val="1"/>
    <w:uiPriority w:val="39"/>
    <w:rsid w:val="00CC6F8C"/>
    <w:rPr>
      <w:lang w:val="en-GB"/>
    </w:rPr>
  </w:style>
  <w:style w:type="character" w:styleId="Refdecomentario">
    <w:name w:val="annotation reference"/>
    <w:basedOn w:val="Fuentedeprrafopredeter"/>
    <w:uiPriority w:val="99"/>
    <w:semiHidden/>
    <w:unhideWhenUsed/>
    <w:rsid w:val="00475882"/>
    <w:rPr>
      <w:sz w:val="16"/>
      <w:szCs w:val="16"/>
    </w:rPr>
  </w:style>
  <w:style w:type="paragraph" w:styleId="Textocomentario">
    <w:name w:val="annotation text"/>
    <w:basedOn w:val="Normal"/>
    <w:link w:val="TextocomentarioCar"/>
    <w:unhideWhenUsed/>
    <w:rsid w:val="00475882"/>
    <w:rPr>
      <w:sz w:val="20"/>
      <w:szCs w:val="20"/>
    </w:rPr>
  </w:style>
  <w:style w:type="character" w:customStyle="1" w:styleId="TextocomentarioCar">
    <w:name w:val="Texto comentario Car"/>
    <w:basedOn w:val="Fuentedeprrafopredeter"/>
    <w:link w:val="Textocomentario"/>
    <w:rsid w:val="00475882"/>
    <w:rPr>
      <w:rFonts w:ascii="Times New Roman" w:hAnsi="Times New Roman" w:cs="Times New Roman"/>
      <w:kern w:val="0"/>
      <w:sz w:val="20"/>
      <w:szCs w:val="20"/>
      <w:lang w:val="es-ES"/>
    </w:rPr>
  </w:style>
  <w:style w:type="paragraph" w:styleId="Asuntodelcomentario">
    <w:name w:val="annotation subject"/>
    <w:basedOn w:val="Textocomentario"/>
    <w:next w:val="Textocomentario"/>
    <w:link w:val="AsuntodelcomentarioCar"/>
    <w:uiPriority w:val="99"/>
    <w:semiHidden/>
    <w:unhideWhenUsed/>
    <w:rsid w:val="00475882"/>
    <w:rPr>
      <w:b/>
      <w:bCs/>
    </w:rPr>
  </w:style>
  <w:style w:type="character" w:customStyle="1" w:styleId="AsuntodelcomentarioCar">
    <w:name w:val="Asunto del comentario Car"/>
    <w:basedOn w:val="TextocomentarioCar"/>
    <w:link w:val="Asuntodelcomentario"/>
    <w:uiPriority w:val="99"/>
    <w:semiHidden/>
    <w:rsid w:val="00475882"/>
    <w:rPr>
      <w:rFonts w:ascii="Times New Roman" w:hAnsi="Times New Roman" w:cs="Times New Roman"/>
      <w:b/>
      <w:bCs/>
      <w:kern w:val="0"/>
      <w:sz w:val="20"/>
      <w:szCs w:val="20"/>
      <w:lang w:val="es-ES"/>
    </w:rPr>
  </w:style>
  <w:style w:type="paragraph" w:customStyle="1" w:styleId="paragraph">
    <w:name w:val="paragraph"/>
    <w:basedOn w:val="Normal"/>
    <w:rsid w:val="002A0FC8"/>
    <w:pPr>
      <w:spacing w:before="100" w:beforeAutospacing="1" w:after="100" w:afterAutospacing="1"/>
      <w:jc w:val="left"/>
    </w:pPr>
    <w:rPr>
      <w:rFonts w:eastAsia="Times New Roman"/>
      <w:sz w:val="24"/>
      <w:szCs w:val="24"/>
      <w:lang w:val="es-CO" w:eastAsia="es-MX"/>
    </w:rPr>
  </w:style>
  <w:style w:type="character" w:styleId="Mencionar">
    <w:name w:val="Mention"/>
    <w:basedOn w:val="Fuentedeprrafopredeter"/>
    <w:uiPriority w:val="99"/>
    <w:unhideWhenUsed/>
    <w:rsid w:val="00F84030"/>
    <w:rPr>
      <w:color w:val="2B579A"/>
      <w:shd w:val="clear" w:color="auto" w:fill="E1DFDD"/>
    </w:rPr>
  </w:style>
  <w:style w:type="paragraph" w:customStyle="1" w:styleId="font-claude-response-body">
    <w:name w:val="font-claude-response-body"/>
    <w:basedOn w:val="Normal"/>
    <w:rsid w:val="00B47EF6"/>
    <w:pPr>
      <w:spacing w:before="100" w:beforeAutospacing="1" w:after="100" w:afterAutospacing="1"/>
      <w:jc w:val="left"/>
    </w:pPr>
    <w:rPr>
      <w:rFonts w:eastAsia="Times New Roman"/>
      <w:sz w:val="24"/>
      <w:szCs w:val="24"/>
      <w:lang w:val="es-CO" w:eastAsia="es-CO"/>
    </w:rPr>
  </w:style>
  <w:style w:type="paragraph" w:customStyle="1" w:styleId="Fuerte1">
    <w:name w:val="Fuerte1"/>
    <w:qFormat/>
    <w:rPr>
      <w:b/>
      <w:bCs/>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6269">
      <w:bodyDiv w:val="1"/>
      <w:marLeft w:val="0"/>
      <w:marRight w:val="0"/>
      <w:marTop w:val="0"/>
      <w:marBottom w:val="0"/>
      <w:divBdr>
        <w:top w:val="none" w:sz="0" w:space="0" w:color="auto"/>
        <w:left w:val="none" w:sz="0" w:space="0" w:color="auto"/>
        <w:bottom w:val="none" w:sz="0" w:space="0" w:color="auto"/>
        <w:right w:val="none" w:sz="0" w:space="0" w:color="auto"/>
      </w:divBdr>
    </w:div>
    <w:div w:id="42022181">
      <w:bodyDiv w:val="1"/>
      <w:marLeft w:val="0"/>
      <w:marRight w:val="0"/>
      <w:marTop w:val="0"/>
      <w:marBottom w:val="0"/>
      <w:divBdr>
        <w:top w:val="none" w:sz="0" w:space="0" w:color="auto"/>
        <w:left w:val="none" w:sz="0" w:space="0" w:color="auto"/>
        <w:bottom w:val="none" w:sz="0" w:space="0" w:color="auto"/>
        <w:right w:val="none" w:sz="0" w:space="0" w:color="auto"/>
      </w:divBdr>
    </w:div>
    <w:div w:id="50034048">
      <w:bodyDiv w:val="1"/>
      <w:marLeft w:val="0"/>
      <w:marRight w:val="0"/>
      <w:marTop w:val="0"/>
      <w:marBottom w:val="0"/>
      <w:divBdr>
        <w:top w:val="none" w:sz="0" w:space="0" w:color="auto"/>
        <w:left w:val="none" w:sz="0" w:space="0" w:color="auto"/>
        <w:bottom w:val="none" w:sz="0" w:space="0" w:color="auto"/>
        <w:right w:val="none" w:sz="0" w:space="0" w:color="auto"/>
      </w:divBdr>
    </w:div>
    <w:div w:id="61030697">
      <w:bodyDiv w:val="1"/>
      <w:marLeft w:val="0"/>
      <w:marRight w:val="0"/>
      <w:marTop w:val="0"/>
      <w:marBottom w:val="0"/>
      <w:divBdr>
        <w:top w:val="none" w:sz="0" w:space="0" w:color="auto"/>
        <w:left w:val="none" w:sz="0" w:space="0" w:color="auto"/>
        <w:bottom w:val="none" w:sz="0" w:space="0" w:color="auto"/>
        <w:right w:val="none" w:sz="0" w:space="0" w:color="auto"/>
      </w:divBdr>
    </w:div>
    <w:div w:id="133374468">
      <w:bodyDiv w:val="1"/>
      <w:marLeft w:val="0"/>
      <w:marRight w:val="0"/>
      <w:marTop w:val="0"/>
      <w:marBottom w:val="0"/>
      <w:divBdr>
        <w:top w:val="none" w:sz="0" w:space="0" w:color="auto"/>
        <w:left w:val="none" w:sz="0" w:space="0" w:color="auto"/>
        <w:bottom w:val="none" w:sz="0" w:space="0" w:color="auto"/>
        <w:right w:val="none" w:sz="0" w:space="0" w:color="auto"/>
      </w:divBdr>
    </w:div>
    <w:div w:id="383336606">
      <w:bodyDiv w:val="1"/>
      <w:marLeft w:val="0"/>
      <w:marRight w:val="0"/>
      <w:marTop w:val="0"/>
      <w:marBottom w:val="0"/>
      <w:divBdr>
        <w:top w:val="none" w:sz="0" w:space="0" w:color="auto"/>
        <w:left w:val="none" w:sz="0" w:space="0" w:color="auto"/>
        <w:bottom w:val="none" w:sz="0" w:space="0" w:color="auto"/>
        <w:right w:val="none" w:sz="0" w:space="0" w:color="auto"/>
      </w:divBdr>
    </w:div>
    <w:div w:id="394819075">
      <w:bodyDiv w:val="1"/>
      <w:marLeft w:val="0"/>
      <w:marRight w:val="0"/>
      <w:marTop w:val="0"/>
      <w:marBottom w:val="0"/>
      <w:divBdr>
        <w:top w:val="none" w:sz="0" w:space="0" w:color="auto"/>
        <w:left w:val="none" w:sz="0" w:space="0" w:color="auto"/>
        <w:bottom w:val="none" w:sz="0" w:space="0" w:color="auto"/>
        <w:right w:val="none" w:sz="0" w:space="0" w:color="auto"/>
      </w:divBdr>
    </w:div>
    <w:div w:id="398600387">
      <w:bodyDiv w:val="1"/>
      <w:marLeft w:val="0"/>
      <w:marRight w:val="0"/>
      <w:marTop w:val="0"/>
      <w:marBottom w:val="0"/>
      <w:divBdr>
        <w:top w:val="none" w:sz="0" w:space="0" w:color="auto"/>
        <w:left w:val="none" w:sz="0" w:space="0" w:color="auto"/>
        <w:bottom w:val="none" w:sz="0" w:space="0" w:color="auto"/>
        <w:right w:val="none" w:sz="0" w:space="0" w:color="auto"/>
      </w:divBdr>
    </w:div>
    <w:div w:id="407465356">
      <w:bodyDiv w:val="1"/>
      <w:marLeft w:val="0"/>
      <w:marRight w:val="0"/>
      <w:marTop w:val="0"/>
      <w:marBottom w:val="0"/>
      <w:divBdr>
        <w:top w:val="none" w:sz="0" w:space="0" w:color="auto"/>
        <w:left w:val="none" w:sz="0" w:space="0" w:color="auto"/>
        <w:bottom w:val="none" w:sz="0" w:space="0" w:color="auto"/>
        <w:right w:val="none" w:sz="0" w:space="0" w:color="auto"/>
      </w:divBdr>
    </w:div>
    <w:div w:id="425002373">
      <w:bodyDiv w:val="1"/>
      <w:marLeft w:val="0"/>
      <w:marRight w:val="0"/>
      <w:marTop w:val="0"/>
      <w:marBottom w:val="0"/>
      <w:divBdr>
        <w:top w:val="none" w:sz="0" w:space="0" w:color="auto"/>
        <w:left w:val="none" w:sz="0" w:space="0" w:color="auto"/>
        <w:bottom w:val="none" w:sz="0" w:space="0" w:color="auto"/>
        <w:right w:val="none" w:sz="0" w:space="0" w:color="auto"/>
      </w:divBdr>
    </w:div>
    <w:div w:id="426197676">
      <w:bodyDiv w:val="1"/>
      <w:marLeft w:val="0"/>
      <w:marRight w:val="0"/>
      <w:marTop w:val="0"/>
      <w:marBottom w:val="0"/>
      <w:divBdr>
        <w:top w:val="none" w:sz="0" w:space="0" w:color="auto"/>
        <w:left w:val="none" w:sz="0" w:space="0" w:color="auto"/>
        <w:bottom w:val="none" w:sz="0" w:space="0" w:color="auto"/>
        <w:right w:val="none" w:sz="0" w:space="0" w:color="auto"/>
      </w:divBdr>
    </w:div>
    <w:div w:id="432013717">
      <w:bodyDiv w:val="1"/>
      <w:marLeft w:val="0"/>
      <w:marRight w:val="0"/>
      <w:marTop w:val="0"/>
      <w:marBottom w:val="0"/>
      <w:divBdr>
        <w:top w:val="none" w:sz="0" w:space="0" w:color="auto"/>
        <w:left w:val="none" w:sz="0" w:space="0" w:color="auto"/>
        <w:bottom w:val="none" w:sz="0" w:space="0" w:color="auto"/>
        <w:right w:val="none" w:sz="0" w:space="0" w:color="auto"/>
      </w:divBdr>
    </w:div>
    <w:div w:id="517429527">
      <w:bodyDiv w:val="1"/>
      <w:marLeft w:val="0"/>
      <w:marRight w:val="0"/>
      <w:marTop w:val="0"/>
      <w:marBottom w:val="0"/>
      <w:divBdr>
        <w:top w:val="none" w:sz="0" w:space="0" w:color="auto"/>
        <w:left w:val="none" w:sz="0" w:space="0" w:color="auto"/>
        <w:bottom w:val="none" w:sz="0" w:space="0" w:color="auto"/>
        <w:right w:val="none" w:sz="0" w:space="0" w:color="auto"/>
      </w:divBdr>
    </w:div>
    <w:div w:id="554900141">
      <w:bodyDiv w:val="1"/>
      <w:marLeft w:val="0"/>
      <w:marRight w:val="0"/>
      <w:marTop w:val="0"/>
      <w:marBottom w:val="0"/>
      <w:divBdr>
        <w:top w:val="none" w:sz="0" w:space="0" w:color="auto"/>
        <w:left w:val="none" w:sz="0" w:space="0" w:color="auto"/>
        <w:bottom w:val="none" w:sz="0" w:space="0" w:color="auto"/>
        <w:right w:val="none" w:sz="0" w:space="0" w:color="auto"/>
      </w:divBdr>
    </w:div>
    <w:div w:id="561252742">
      <w:marLeft w:val="0"/>
      <w:marRight w:val="0"/>
      <w:marTop w:val="0"/>
      <w:marBottom w:val="0"/>
      <w:divBdr>
        <w:top w:val="none" w:sz="0" w:space="0" w:color="auto"/>
        <w:left w:val="none" w:sz="0" w:space="0" w:color="auto"/>
        <w:bottom w:val="none" w:sz="0" w:space="0" w:color="auto"/>
        <w:right w:val="none" w:sz="0" w:space="0" w:color="auto"/>
      </w:divBdr>
    </w:div>
    <w:div w:id="578290027">
      <w:bodyDiv w:val="1"/>
      <w:marLeft w:val="0"/>
      <w:marRight w:val="0"/>
      <w:marTop w:val="0"/>
      <w:marBottom w:val="0"/>
      <w:divBdr>
        <w:top w:val="none" w:sz="0" w:space="0" w:color="auto"/>
        <w:left w:val="none" w:sz="0" w:space="0" w:color="auto"/>
        <w:bottom w:val="none" w:sz="0" w:space="0" w:color="auto"/>
        <w:right w:val="none" w:sz="0" w:space="0" w:color="auto"/>
      </w:divBdr>
    </w:div>
    <w:div w:id="583150729">
      <w:bodyDiv w:val="1"/>
      <w:marLeft w:val="0"/>
      <w:marRight w:val="0"/>
      <w:marTop w:val="0"/>
      <w:marBottom w:val="0"/>
      <w:divBdr>
        <w:top w:val="none" w:sz="0" w:space="0" w:color="auto"/>
        <w:left w:val="none" w:sz="0" w:space="0" w:color="auto"/>
        <w:bottom w:val="none" w:sz="0" w:space="0" w:color="auto"/>
        <w:right w:val="none" w:sz="0" w:space="0" w:color="auto"/>
      </w:divBdr>
    </w:div>
    <w:div w:id="644045867">
      <w:bodyDiv w:val="1"/>
      <w:marLeft w:val="0"/>
      <w:marRight w:val="0"/>
      <w:marTop w:val="0"/>
      <w:marBottom w:val="0"/>
      <w:divBdr>
        <w:top w:val="none" w:sz="0" w:space="0" w:color="auto"/>
        <w:left w:val="none" w:sz="0" w:space="0" w:color="auto"/>
        <w:bottom w:val="none" w:sz="0" w:space="0" w:color="auto"/>
        <w:right w:val="none" w:sz="0" w:space="0" w:color="auto"/>
      </w:divBdr>
    </w:div>
    <w:div w:id="656108559">
      <w:bodyDiv w:val="1"/>
      <w:marLeft w:val="0"/>
      <w:marRight w:val="0"/>
      <w:marTop w:val="0"/>
      <w:marBottom w:val="0"/>
      <w:divBdr>
        <w:top w:val="none" w:sz="0" w:space="0" w:color="auto"/>
        <w:left w:val="none" w:sz="0" w:space="0" w:color="auto"/>
        <w:bottom w:val="none" w:sz="0" w:space="0" w:color="auto"/>
        <w:right w:val="none" w:sz="0" w:space="0" w:color="auto"/>
      </w:divBdr>
    </w:div>
    <w:div w:id="665668281">
      <w:bodyDiv w:val="1"/>
      <w:marLeft w:val="0"/>
      <w:marRight w:val="0"/>
      <w:marTop w:val="0"/>
      <w:marBottom w:val="0"/>
      <w:divBdr>
        <w:top w:val="none" w:sz="0" w:space="0" w:color="auto"/>
        <w:left w:val="none" w:sz="0" w:space="0" w:color="auto"/>
        <w:bottom w:val="none" w:sz="0" w:space="0" w:color="auto"/>
        <w:right w:val="none" w:sz="0" w:space="0" w:color="auto"/>
      </w:divBdr>
    </w:div>
    <w:div w:id="670762648">
      <w:bodyDiv w:val="1"/>
      <w:marLeft w:val="0"/>
      <w:marRight w:val="0"/>
      <w:marTop w:val="0"/>
      <w:marBottom w:val="0"/>
      <w:divBdr>
        <w:top w:val="none" w:sz="0" w:space="0" w:color="auto"/>
        <w:left w:val="none" w:sz="0" w:space="0" w:color="auto"/>
        <w:bottom w:val="none" w:sz="0" w:space="0" w:color="auto"/>
        <w:right w:val="none" w:sz="0" w:space="0" w:color="auto"/>
      </w:divBdr>
    </w:div>
    <w:div w:id="722022385">
      <w:bodyDiv w:val="1"/>
      <w:marLeft w:val="0"/>
      <w:marRight w:val="0"/>
      <w:marTop w:val="0"/>
      <w:marBottom w:val="0"/>
      <w:divBdr>
        <w:top w:val="none" w:sz="0" w:space="0" w:color="auto"/>
        <w:left w:val="none" w:sz="0" w:space="0" w:color="auto"/>
        <w:bottom w:val="none" w:sz="0" w:space="0" w:color="auto"/>
        <w:right w:val="none" w:sz="0" w:space="0" w:color="auto"/>
      </w:divBdr>
      <w:divsChild>
        <w:div w:id="255526800">
          <w:marLeft w:val="0"/>
          <w:marRight w:val="0"/>
          <w:marTop w:val="0"/>
          <w:marBottom w:val="0"/>
          <w:divBdr>
            <w:top w:val="none" w:sz="0" w:space="0" w:color="auto"/>
            <w:left w:val="none" w:sz="0" w:space="0" w:color="auto"/>
            <w:bottom w:val="none" w:sz="0" w:space="0" w:color="auto"/>
            <w:right w:val="none" w:sz="0" w:space="0" w:color="auto"/>
          </w:divBdr>
          <w:divsChild>
            <w:div w:id="768232901">
              <w:marLeft w:val="300"/>
              <w:marRight w:val="300"/>
              <w:marTop w:val="300"/>
              <w:marBottom w:val="0"/>
              <w:divBdr>
                <w:top w:val="none" w:sz="0" w:space="0" w:color="auto"/>
                <w:left w:val="none" w:sz="0" w:space="0" w:color="auto"/>
                <w:bottom w:val="none" w:sz="0" w:space="0" w:color="auto"/>
                <w:right w:val="none" w:sz="0" w:space="0" w:color="auto"/>
              </w:divBdr>
            </w:div>
          </w:divsChild>
        </w:div>
      </w:divsChild>
    </w:div>
    <w:div w:id="760217938">
      <w:bodyDiv w:val="1"/>
      <w:marLeft w:val="0"/>
      <w:marRight w:val="0"/>
      <w:marTop w:val="0"/>
      <w:marBottom w:val="0"/>
      <w:divBdr>
        <w:top w:val="none" w:sz="0" w:space="0" w:color="auto"/>
        <w:left w:val="none" w:sz="0" w:space="0" w:color="auto"/>
        <w:bottom w:val="none" w:sz="0" w:space="0" w:color="auto"/>
        <w:right w:val="none" w:sz="0" w:space="0" w:color="auto"/>
      </w:divBdr>
    </w:div>
    <w:div w:id="791706769">
      <w:bodyDiv w:val="1"/>
      <w:marLeft w:val="0"/>
      <w:marRight w:val="0"/>
      <w:marTop w:val="0"/>
      <w:marBottom w:val="0"/>
      <w:divBdr>
        <w:top w:val="none" w:sz="0" w:space="0" w:color="auto"/>
        <w:left w:val="none" w:sz="0" w:space="0" w:color="auto"/>
        <w:bottom w:val="none" w:sz="0" w:space="0" w:color="auto"/>
        <w:right w:val="none" w:sz="0" w:space="0" w:color="auto"/>
      </w:divBdr>
    </w:div>
    <w:div w:id="891691341">
      <w:bodyDiv w:val="1"/>
      <w:marLeft w:val="0"/>
      <w:marRight w:val="0"/>
      <w:marTop w:val="0"/>
      <w:marBottom w:val="0"/>
      <w:divBdr>
        <w:top w:val="none" w:sz="0" w:space="0" w:color="auto"/>
        <w:left w:val="none" w:sz="0" w:space="0" w:color="auto"/>
        <w:bottom w:val="none" w:sz="0" w:space="0" w:color="auto"/>
        <w:right w:val="none" w:sz="0" w:space="0" w:color="auto"/>
      </w:divBdr>
    </w:div>
    <w:div w:id="898368236">
      <w:bodyDiv w:val="1"/>
      <w:marLeft w:val="0"/>
      <w:marRight w:val="0"/>
      <w:marTop w:val="0"/>
      <w:marBottom w:val="0"/>
      <w:divBdr>
        <w:top w:val="none" w:sz="0" w:space="0" w:color="auto"/>
        <w:left w:val="none" w:sz="0" w:space="0" w:color="auto"/>
        <w:bottom w:val="none" w:sz="0" w:space="0" w:color="auto"/>
        <w:right w:val="none" w:sz="0" w:space="0" w:color="auto"/>
      </w:divBdr>
    </w:div>
    <w:div w:id="925958448">
      <w:bodyDiv w:val="1"/>
      <w:marLeft w:val="0"/>
      <w:marRight w:val="0"/>
      <w:marTop w:val="0"/>
      <w:marBottom w:val="0"/>
      <w:divBdr>
        <w:top w:val="none" w:sz="0" w:space="0" w:color="auto"/>
        <w:left w:val="none" w:sz="0" w:space="0" w:color="auto"/>
        <w:bottom w:val="none" w:sz="0" w:space="0" w:color="auto"/>
        <w:right w:val="none" w:sz="0" w:space="0" w:color="auto"/>
      </w:divBdr>
    </w:div>
    <w:div w:id="944388484">
      <w:bodyDiv w:val="1"/>
      <w:marLeft w:val="0"/>
      <w:marRight w:val="0"/>
      <w:marTop w:val="0"/>
      <w:marBottom w:val="0"/>
      <w:divBdr>
        <w:top w:val="none" w:sz="0" w:space="0" w:color="auto"/>
        <w:left w:val="none" w:sz="0" w:space="0" w:color="auto"/>
        <w:bottom w:val="none" w:sz="0" w:space="0" w:color="auto"/>
        <w:right w:val="none" w:sz="0" w:space="0" w:color="auto"/>
      </w:divBdr>
    </w:div>
    <w:div w:id="1093547836">
      <w:bodyDiv w:val="1"/>
      <w:marLeft w:val="0"/>
      <w:marRight w:val="0"/>
      <w:marTop w:val="0"/>
      <w:marBottom w:val="0"/>
      <w:divBdr>
        <w:top w:val="none" w:sz="0" w:space="0" w:color="auto"/>
        <w:left w:val="none" w:sz="0" w:space="0" w:color="auto"/>
        <w:bottom w:val="none" w:sz="0" w:space="0" w:color="auto"/>
        <w:right w:val="none" w:sz="0" w:space="0" w:color="auto"/>
      </w:divBdr>
    </w:div>
    <w:div w:id="1181698093">
      <w:bodyDiv w:val="1"/>
      <w:marLeft w:val="0"/>
      <w:marRight w:val="0"/>
      <w:marTop w:val="0"/>
      <w:marBottom w:val="0"/>
      <w:divBdr>
        <w:top w:val="none" w:sz="0" w:space="0" w:color="auto"/>
        <w:left w:val="none" w:sz="0" w:space="0" w:color="auto"/>
        <w:bottom w:val="none" w:sz="0" w:space="0" w:color="auto"/>
        <w:right w:val="none" w:sz="0" w:space="0" w:color="auto"/>
      </w:divBdr>
    </w:div>
    <w:div w:id="1246186122">
      <w:bodyDiv w:val="1"/>
      <w:marLeft w:val="0"/>
      <w:marRight w:val="0"/>
      <w:marTop w:val="0"/>
      <w:marBottom w:val="0"/>
      <w:divBdr>
        <w:top w:val="none" w:sz="0" w:space="0" w:color="auto"/>
        <w:left w:val="none" w:sz="0" w:space="0" w:color="auto"/>
        <w:bottom w:val="none" w:sz="0" w:space="0" w:color="auto"/>
        <w:right w:val="none" w:sz="0" w:space="0" w:color="auto"/>
      </w:divBdr>
    </w:div>
    <w:div w:id="1273048901">
      <w:bodyDiv w:val="1"/>
      <w:marLeft w:val="0"/>
      <w:marRight w:val="0"/>
      <w:marTop w:val="0"/>
      <w:marBottom w:val="0"/>
      <w:divBdr>
        <w:top w:val="none" w:sz="0" w:space="0" w:color="auto"/>
        <w:left w:val="none" w:sz="0" w:space="0" w:color="auto"/>
        <w:bottom w:val="none" w:sz="0" w:space="0" w:color="auto"/>
        <w:right w:val="none" w:sz="0" w:space="0" w:color="auto"/>
      </w:divBdr>
      <w:divsChild>
        <w:div w:id="939875353">
          <w:marLeft w:val="0"/>
          <w:marRight w:val="0"/>
          <w:marTop w:val="0"/>
          <w:marBottom w:val="0"/>
          <w:divBdr>
            <w:top w:val="none" w:sz="0" w:space="0" w:color="auto"/>
            <w:left w:val="none" w:sz="0" w:space="0" w:color="auto"/>
            <w:bottom w:val="none" w:sz="0" w:space="0" w:color="auto"/>
            <w:right w:val="none" w:sz="0" w:space="0" w:color="auto"/>
          </w:divBdr>
          <w:divsChild>
            <w:div w:id="1722941568">
              <w:marLeft w:val="0"/>
              <w:marRight w:val="0"/>
              <w:marTop w:val="0"/>
              <w:marBottom w:val="0"/>
              <w:divBdr>
                <w:top w:val="none" w:sz="0" w:space="0" w:color="auto"/>
                <w:left w:val="none" w:sz="0" w:space="0" w:color="auto"/>
                <w:bottom w:val="none" w:sz="0" w:space="0" w:color="auto"/>
                <w:right w:val="none" w:sz="0" w:space="0" w:color="auto"/>
              </w:divBdr>
              <w:divsChild>
                <w:div w:id="1644002559">
                  <w:marLeft w:val="0"/>
                  <w:marRight w:val="0"/>
                  <w:marTop w:val="0"/>
                  <w:marBottom w:val="0"/>
                  <w:divBdr>
                    <w:top w:val="none" w:sz="0" w:space="0" w:color="auto"/>
                    <w:left w:val="none" w:sz="0" w:space="0" w:color="auto"/>
                    <w:bottom w:val="none" w:sz="0" w:space="0" w:color="auto"/>
                    <w:right w:val="none" w:sz="0" w:space="0" w:color="auto"/>
                  </w:divBdr>
                  <w:divsChild>
                    <w:div w:id="321743455">
                      <w:marLeft w:val="0"/>
                      <w:marRight w:val="0"/>
                      <w:marTop w:val="0"/>
                      <w:marBottom w:val="0"/>
                      <w:divBdr>
                        <w:top w:val="none" w:sz="0" w:space="0" w:color="auto"/>
                        <w:left w:val="none" w:sz="0" w:space="0" w:color="auto"/>
                        <w:bottom w:val="none" w:sz="0" w:space="0" w:color="auto"/>
                        <w:right w:val="none" w:sz="0" w:space="0" w:color="auto"/>
                      </w:divBdr>
                      <w:divsChild>
                        <w:div w:id="1791627399">
                          <w:marLeft w:val="0"/>
                          <w:marRight w:val="0"/>
                          <w:marTop w:val="0"/>
                          <w:marBottom w:val="0"/>
                          <w:divBdr>
                            <w:top w:val="none" w:sz="0" w:space="0" w:color="auto"/>
                            <w:left w:val="none" w:sz="0" w:space="0" w:color="auto"/>
                            <w:bottom w:val="none" w:sz="0" w:space="0" w:color="auto"/>
                            <w:right w:val="none" w:sz="0" w:space="0" w:color="auto"/>
                          </w:divBdr>
                          <w:divsChild>
                            <w:div w:id="508642969">
                              <w:marLeft w:val="0"/>
                              <w:marRight w:val="0"/>
                              <w:marTop w:val="0"/>
                              <w:marBottom w:val="0"/>
                              <w:divBdr>
                                <w:top w:val="none" w:sz="0" w:space="0" w:color="auto"/>
                                <w:left w:val="none" w:sz="0" w:space="0" w:color="auto"/>
                                <w:bottom w:val="none" w:sz="0" w:space="0" w:color="auto"/>
                                <w:right w:val="none" w:sz="0" w:space="0" w:color="auto"/>
                              </w:divBdr>
                              <w:divsChild>
                                <w:div w:id="1574313893">
                                  <w:marLeft w:val="0"/>
                                  <w:marRight w:val="0"/>
                                  <w:marTop w:val="0"/>
                                  <w:marBottom w:val="0"/>
                                  <w:divBdr>
                                    <w:top w:val="none" w:sz="0" w:space="0" w:color="auto"/>
                                    <w:left w:val="none" w:sz="0" w:space="0" w:color="auto"/>
                                    <w:bottom w:val="none" w:sz="0" w:space="0" w:color="auto"/>
                                    <w:right w:val="none" w:sz="0" w:space="0" w:color="auto"/>
                                  </w:divBdr>
                                  <w:divsChild>
                                    <w:div w:id="114107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5483667">
      <w:bodyDiv w:val="1"/>
      <w:marLeft w:val="0"/>
      <w:marRight w:val="0"/>
      <w:marTop w:val="0"/>
      <w:marBottom w:val="0"/>
      <w:divBdr>
        <w:top w:val="none" w:sz="0" w:space="0" w:color="auto"/>
        <w:left w:val="none" w:sz="0" w:space="0" w:color="auto"/>
        <w:bottom w:val="none" w:sz="0" w:space="0" w:color="auto"/>
        <w:right w:val="none" w:sz="0" w:space="0" w:color="auto"/>
      </w:divBdr>
    </w:div>
    <w:div w:id="1369719437">
      <w:bodyDiv w:val="1"/>
      <w:marLeft w:val="0"/>
      <w:marRight w:val="0"/>
      <w:marTop w:val="0"/>
      <w:marBottom w:val="0"/>
      <w:divBdr>
        <w:top w:val="none" w:sz="0" w:space="0" w:color="auto"/>
        <w:left w:val="none" w:sz="0" w:space="0" w:color="auto"/>
        <w:bottom w:val="none" w:sz="0" w:space="0" w:color="auto"/>
        <w:right w:val="none" w:sz="0" w:space="0" w:color="auto"/>
      </w:divBdr>
    </w:div>
    <w:div w:id="1399522272">
      <w:bodyDiv w:val="1"/>
      <w:marLeft w:val="0"/>
      <w:marRight w:val="0"/>
      <w:marTop w:val="0"/>
      <w:marBottom w:val="0"/>
      <w:divBdr>
        <w:top w:val="none" w:sz="0" w:space="0" w:color="auto"/>
        <w:left w:val="none" w:sz="0" w:space="0" w:color="auto"/>
        <w:bottom w:val="none" w:sz="0" w:space="0" w:color="auto"/>
        <w:right w:val="none" w:sz="0" w:space="0" w:color="auto"/>
      </w:divBdr>
    </w:div>
    <w:div w:id="1404445385">
      <w:bodyDiv w:val="1"/>
      <w:marLeft w:val="0"/>
      <w:marRight w:val="0"/>
      <w:marTop w:val="0"/>
      <w:marBottom w:val="0"/>
      <w:divBdr>
        <w:top w:val="none" w:sz="0" w:space="0" w:color="auto"/>
        <w:left w:val="none" w:sz="0" w:space="0" w:color="auto"/>
        <w:bottom w:val="none" w:sz="0" w:space="0" w:color="auto"/>
        <w:right w:val="none" w:sz="0" w:space="0" w:color="auto"/>
      </w:divBdr>
    </w:div>
    <w:div w:id="1477336117">
      <w:bodyDiv w:val="1"/>
      <w:marLeft w:val="0"/>
      <w:marRight w:val="0"/>
      <w:marTop w:val="0"/>
      <w:marBottom w:val="0"/>
      <w:divBdr>
        <w:top w:val="none" w:sz="0" w:space="0" w:color="auto"/>
        <w:left w:val="none" w:sz="0" w:space="0" w:color="auto"/>
        <w:bottom w:val="none" w:sz="0" w:space="0" w:color="auto"/>
        <w:right w:val="none" w:sz="0" w:space="0" w:color="auto"/>
      </w:divBdr>
    </w:div>
    <w:div w:id="1522084463">
      <w:bodyDiv w:val="1"/>
      <w:marLeft w:val="0"/>
      <w:marRight w:val="0"/>
      <w:marTop w:val="0"/>
      <w:marBottom w:val="0"/>
      <w:divBdr>
        <w:top w:val="none" w:sz="0" w:space="0" w:color="auto"/>
        <w:left w:val="none" w:sz="0" w:space="0" w:color="auto"/>
        <w:bottom w:val="none" w:sz="0" w:space="0" w:color="auto"/>
        <w:right w:val="none" w:sz="0" w:space="0" w:color="auto"/>
      </w:divBdr>
    </w:div>
    <w:div w:id="1585990136">
      <w:bodyDiv w:val="1"/>
      <w:marLeft w:val="0"/>
      <w:marRight w:val="0"/>
      <w:marTop w:val="0"/>
      <w:marBottom w:val="0"/>
      <w:divBdr>
        <w:top w:val="none" w:sz="0" w:space="0" w:color="auto"/>
        <w:left w:val="none" w:sz="0" w:space="0" w:color="auto"/>
        <w:bottom w:val="none" w:sz="0" w:space="0" w:color="auto"/>
        <w:right w:val="none" w:sz="0" w:space="0" w:color="auto"/>
      </w:divBdr>
    </w:div>
    <w:div w:id="1661233612">
      <w:bodyDiv w:val="1"/>
      <w:marLeft w:val="0"/>
      <w:marRight w:val="0"/>
      <w:marTop w:val="0"/>
      <w:marBottom w:val="0"/>
      <w:divBdr>
        <w:top w:val="none" w:sz="0" w:space="0" w:color="auto"/>
        <w:left w:val="none" w:sz="0" w:space="0" w:color="auto"/>
        <w:bottom w:val="none" w:sz="0" w:space="0" w:color="auto"/>
        <w:right w:val="none" w:sz="0" w:space="0" w:color="auto"/>
      </w:divBdr>
    </w:div>
    <w:div w:id="1684668650">
      <w:bodyDiv w:val="1"/>
      <w:marLeft w:val="0"/>
      <w:marRight w:val="0"/>
      <w:marTop w:val="0"/>
      <w:marBottom w:val="0"/>
      <w:divBdr>
        <w:top w:val="none" w:sz="0" w:space="0" w:color="auto"/>
        <w:left w:val="none" w:sz="0" w:space="0" w:color="auto"/>
        <w:bottom w:val="none" w:sz="0" w:space="0" w:color="auto"/>
        <w:right w:val="none" w:sz="0" w:space="0" w:color="auto"/>
      </w:divBdr>
    </w:div>
    <w:div w:id="1710379845">
      <w:bodyDiv w:val="1"/>
      <w:marLeft w:val="0"/>
      <w:marRight w:val="0"/>
      <w:marTop w:val="0"/>
      <w:marBottom w:val="0"/>
      <w:divBdr>
        <w:top w:val="none" w:sz="0" w:space="0" w:color="auto"/>
        <w:left w:val="none" w:sz="0" w:space="0" w:color="auto"/>
        <w:bottom w:val="none" w:sz="0" w:space="0" w:color="auto"/>
        <w:right w:val="none" w:sz="0" w:space="0" w:color="auto"/>
      </w:divBdr>
      <w:divsChild>
        <w:div w:id="1510561561">
          <w:marLeft w:val="0"/>
          <w:marRight w:val="0"/>
          <w:marTop w:val="0"/>
          <w:marBottom w:val="0"/>
          <w:divBdr>
            <w:top w:val="none" w:sz="0" w:space="0" w:color="auto"/>
            <w:left w:val="none" w:sz="0" w:space="0" w:color="auto"/>
            <w:bottom w:val="none" w:sz="0" w:space="0" w:color="auto"/>
            <w:right w:val="none" w:sz="0" w:space="0" w:color="auto"/>
          </w:divBdr>
          <w:divsChild>
            <w:div w:id="1260454577">
              <w:marLeft w:val="0"/>
              <w:marRight w:val="0"/>
              <w:marTop w:val="300"/>
              <w:marBottom w:val="300"/>
              <w:divBdr>
                <w:top w:val="none" w:sz="0" w:space="0" w:color="auto"/>
                <w:left w:val="none" w:sz="0" w:space="0" w:color="auto"/>
                <w:bottom w:val="none" w:sz="0" w:space="0" w:color="auto"/>
                <w:right w:val="none" w:sz="0" w:space="0" w:color="auto"/>
              </w:divBdr>
            </w:div>
          </w:divsChild>
        </w:div>
        <w:div w:id="1982616504">
          <w:marLeft w:val="0"/>
          <w:marRight w:val="0"/>
          <w:marTop w:val="0"/>
          <w:marBottom w:val="0"/>
          <w:divBdr>
            <w:top w:val="none" w:sz="0" w:space="0" w:color="auto"/>
            <w:left w:val="none" w:sz="0" w:space="0" w:color="auto"/>
            <w:bottom w:val="none" w:sz="0" w:space="0" w:color="auto"/>
            <w:right w:val="none" w:sz="0" w:space="0" w:color="auto"/>
          </w:divBdr>
          <w:divsChild>
            <w:div w:id="177447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390476">
      <w:bodyDiv w:val="1"/>
      <w:marLeft w:val="0"/>
      <w:marRight w:val="0"/>
      <w:marTop w:val="0"/>
      <w:marBottom w:val="0"/>
      <w:divBdr>
        <w:top w:val="none" w:sz="0" w:space="0" w:color="auto"/>
        <w:left w:val="none" w:sz="0" w:space="0" w:color="auto"/>
        <w:bottom w:val="none" w:sz="0" w:space="0" w:color="auto"/>
        <w:right w:val="none" w:sz="0" w:space="0" w:color="auto"/>
      </w:divBdr>
    </w:div>
    <w:div w:id="1930770136">
      <w:bodyDiv w:val="1"/>
      <w:marLeft w:val="0"/>
      <w:marRight w:val="0"/>
      <w:marTop w:val="0"/>
      <w:marBottom w:val="0"/>
      <w:divBdr>
        <w:top w:val="none" w:sz="0" w:space="0" w:color="auto"/>
        <w:left w:val="none" w:sz="0" w:space="0" w:color="auto"/>
        <w:bottom w:val="none" w:sz="0" w:space="0" w:color="auto"/>
        <w:right w:val="none" w:sz="0" w:space="0" w:color="auto"/>
      </w:divBdr>
    </w:div>
    <w:div w:id="1948653331">
      <w:bodyDiv w:val="1"/>
      <w:marLeft w:val="0"/>
      <w:marRight w:val="0"/>
      <w:marTop w:val="0"/>
      <w:marBottom w:val="0"/>
      <w:divBdr>
        <w:top w:val="none" w:sz="0" w:space="0" w:color="auto"/>
        <w:left w:val="none" w:sz="0" w:space="0" w:color="auto"/>
        <w:bottom w:val="none" w:sz="0" w:space="0" w:color="auto"/>
        <w:right w:val="none" w:sz="0" w:space="0" w:color="auto"/>
      </w:divBdr>
    </w:div>
    <w:div w:id="2095082036">
      <w:bodyDiv w:val="1"/>
      <w:marLeft w:val="0"/>
      <w:marRight w:val="0"/>
      <w:marTop w:val="0"/>
      <w:marBottom w:val="0"/>
      <w:divBdr>
        <w:top w:val="none" w:sz="0" w:space="0" w:color="auto"/>
        <w:left w:val="none" w:sz="0" w:space="0" w:color="auto"/>
        <w:bottom w:val="none" w:sz="0" w:space="0" w:color="auto"/>
        <w:right w:val="none" w:sz="0" w:space="0" w:color="auto"/>
      </w:divBdr>
    </w:div>
    <w:div w:id="2143300983">
      <w:bodyDiv w:val="1"/>
      <w:marLeft w:val="0"/>
      <w:marRight w:val="0"/>
      <w:marTop w:val="0"/>
      <w:marBottom w:val="0"/>
      <w:divBdr>
        <w:top w:val="none" w:sz="0" w:space="0" w:color="auto"/>
        <w:left w:val="none" w:sz="0" w:space="0" w:color="auto"/>
        <w:bottom w:val="none" w:sz="0" w:space="0" w:color="auto"/>
        <w:right w:val="none" w:sz="0" w:space="0" w:color="auto"/>
      </w:divBdr>
    </w:div>
    <w:div w:id="2145925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 Type="http://schemas.openxmlformats.org/officeDocument/2006/relationships/settings" Target="settings.xml"/><Relationship Id="rId21" Type="http://schemas.openxmlformats.org/officeDocument/2006/relationships/diagramColors" Target="diagrams/colors3.xml"/><Relationship Id="rId34" Type="http://schemas.openxmlformats.org/officeDocument/2006/relationships/fontTable" Target="fontTable.xml"/><Relationship Id="rId7" Type="http://schemas.openxmlformats.org/officeDocument/2006/relationships/image" Target="media/image1.bin"/><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image" Target="media/image2.bin"/><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diagramData" Target="diagrams/data1.xml"/></Relationships>
</file>

<file path=word/_rels/footnotes.xml.rels><?xml version="1.0" encoding="UTF-8" standalone="yes"?>
<Relationships xmlns="http://schemas.openxmlformats.org/package/2006/relationships"><Relationship Id="rId8" Type="http://schemas.openxmlformats.org/officeDocument/2006/relationships/hyperlink" Target="https://doi.org/10.1093/9780198909293.003.0014" TargetMode="External"/><Relationship Id="rId3" Type="http://schemas.openxmlformats.org/officeDocument/2006/relationships/hyperlink" Target="https://www.cancilleria.gov.co/sites/default/files/Fotos2016/12.11_1.2016nuevoacuerdofinal.pdf" TargetMode="External"/><Relationship Id="rId7" Type="http://schemas.openxmlformats.org/officeDocument/2006/relationships/hyperlink" Target="https://biblioteca.cejamericas.org/bitstream/handle/2015/570/Paige_arthur.pdf" TargetMode="External"/><Relationship Id="rId12" Type="http://schemas.openxmlformats.org/officeDocument/2006/relationships/hyperlink" Target="https://docs.un.org/es/A/HRC/48/60" TargetMode="External"/><Relationship Id="rId2" Type="http://schemas.openxmlformats.org/officeDocument/2006/relationships/hyperlink" Target="https://www.youtube.com/watch?v=a9hq_cgPrd0&amp;t=18s" TargetMode="External"/><Relationship Id="rId1" Type="http://schemas.openxmlformats.org/officeDocument/2006/relationships/hyperlink" Target="https://siicor.corteconstitucional.gov.co/controldeprocesos/archivo.php?id=127577" TargetMode="External"/><Relationship Id="rId6" Type="http://schemas.openxmlformats.org/officeDocument/2006/relationships/hyperlink" Target="https://docs.un.org/es/A/HRC/45/45" TargetMode="External"/><Relationship Id="rId11" Type="http://schemas.openxmlformats.org/officeDocument/2006/relationships/hyperlink" Target="https://docs.un.org/es/A/HRC/27/56" TargetMode="External"/><Relationship Id="rId5" Type="http://schemas.openxmlformats.org/officeDocument/2006/relationships/hyperlink" Target="https://docs.un.org/es/A/HRC/21/46" TargetMode="External"/><Relationship Id="rId10" Type="http://schemas.openxmlformats.org/officeDocument/2006/relationships/hyperlink" Target="https://docs.un.org/es/E/CN.4/2005/102/Add.1" TargetMode="External"/><Relationship Id="rId4" Type="http://schemas.openxmlformats.org/officeDocument/2006/relationships/hyperlink" Target="https://www.comisiondelaverdad.co/el-informe-final-en-cifras" TargetMode="External"/><Relationship Id="rId9" Type="http://schemas.openxmlformats.org/officeDocument/2006/relationships/hyperlink" Target="https://www.jstor.org/stable/41179084" TargetMode="Externa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8EF0C4-B73A-41F2-8FC9-E012B3514A0C}" type="doc">
      <dgm:prSet loTypeId="urn:microsoft.com/office/officeart/2009/3/layout/HorizontalOrganizationChart" loCatId="hierarchy" qsTypeId="urn:microsoft.com/office/officeart/2005/8/quickstyle/simple2" qsCatId="simple" csTypeId="urn:microsoft.com/office/officeart/2005/8/colors/accent1_1" csCatId="accent1" phldr="1"/>
      <dgm:spPr/>
      <dgm:t>
        <a:bodyPr/>
        <a:lstStyle/>
        <a:p>
          <a:endParaRPr lang="en-GB"/>
        </a:p>
      </dgm:t>
    </dgm:pt>
    <dgm:pt modelId="{C769E187-88C9-4C09-93A5-A355E9D78EE3}">
      <dgm:prSet phldrT="[Texto]" custT="1"/>
      <dgm:spPr/>
      <dgm:t>
        <a:bodyPr/>
        <a:lstStyle/>
        <a:p>
          <a:r>
            <a:rPr lang="en-GB" sz="1000" i="1">
              <a:latin typeface="Times New Roman" panose="02020603050405020304" pitchFamily="18" charset="0"/>
              <a:cs typeface="Times New Roman" panose="02020603050405020304" pitchFamily="18" charset="0"/>
            </a:rPr>
            <a:t>Rutas procesales frente a comparecientes no seleccionados como máximos responsables a cargo de la Sala de Definición de Situaciones Jurídicas</a:t>
          </a:r>
        </a:p>
      </dgm:t>
    </dgm:pt>
    <dgm:pt modelId="{8126CAE5-A368-4125-A47A-C8F6DEA03D01}" type="parTrans" cxnId="{F7080A47-C2E6-4799-90D2-531D0B933CEA}">
      <dgm:prSet/>
      <dgm:spPr/>
      <dgm:t>
        <a:bodyPr/>
        <a:lstStyle/>
        <a:p>
          <a:endParaRPr lang="en-GB" i="1">
            <a:latin typeface="Times New Roman" panose="02020603050405020304" pitchFamily="18" charset="0"/>
            <a:cs typeface="Times New Roman" panose="02020603050405020304" pitchFamily="18" charset="0"/>
          </a:endParaRPr>
        </a:p>
      </dgm:t>
    </dgm:pt>
    <dgm:pt modelId="{9412574F-2ACA-4CC4-A0DE-4E176C43A156}" type="sibTrans" cxnId="{F7080A47-C2E6-4799-90D2-531D0B933CEA}">
      <dgm:prSet/>
      <dgm:spPr/>
      <dgm:t>
        <a:bodyPr/>
        <a:lstStyle/>
        <a:p>
          <a:endParaRPr lang="en-GB" i="1">
            <a:latin typeface="Times New Roman" panose="02020603050405020304" pitchFamily="18" charset="0"/>
            <a:cs typeface="Times New Roman" panose="02020603050405020304" pitchFamily="18" charset="0"/>
          </a:endParaRPr>
        </a:p>
      </dgm:t>
    </dgm:pt>
    <dgm:pt modelId="{183D328F-5E19-4AEE-B1C6-3B7CE4605269}">
      <dgm:prSet phldrT="[Texto]" custT="1"/>
      <dgm:spPr/>
      <dgm:t>
        <a:bodyPr/>
        <a:lstStyle/>
        <a:p>
          <a:r>
            <a:rPr lang="en-GB" sz="1000" i="0">
              <a:latin typeface="Times New Roman" panose="02020603050405020304" pitchFamily="18" charset="0"/>
              <a:cs typeface="Times New Roman" panose="02020603050405020304" pitchFamily="18" charset="0"/>
            </a:rPr>
            <a:t>Aportes a verdad plena (sin reconocimiento de responsabilidad - Senit 8)</a:t>
          </a:r>
        </a:p>
      </dgm:t>
    </dgm:pt>
    <dgm:pt modelId="{E900B524-E4BF-4586-B0D0-64F80684CF71}" type="parTrans" cxnId="{A5C49D50-755F-4CAD-8876-993C93C7DE4A}">
      <dgm:prSet/>
      <dgm:spPr>
        <a:ln>
          <a:solidFill>
            <a:srgbClr val="00B0F0"/>
          </a:solidFill>
        </a:ln>
      </dgm:spPr>
      <dgm:t>
        <a:bodyPr/>
        <a:lstStyle/>
        <a:p>
          <a:endParaRPr lang="en-GB" i="1">
            <a:latin typeface="Times New Roman" panose="02020603050405020304" pitchFamily="18" charset="0"/>
            <a:cs typeface="Times New Roman" panose="02020603050405020304" pitchFamily="18" charset="0"/>
          </a:endParaRPr>
        </a:p>
      </dgm:t>
    </dgm:pt>
    <dgm:pt modelId="{3B555BC2-46AF-4CB7-8B03-0130F37FD09D}" type="sibTrans" cxnId="{A5C49D50-755F-4CAD-8876-993C93C7DE4A}">
      <dgm:prSet/>
      <dgm:spPr/>
      <dgm:t>
        <a:bodyPr/>
        <a:lstStyle/>
        <a:p>
          <a:endParaRPr lang="en-GB" i="1">
            <a:latin typeface="Times New Roman" panose="02020603050405020304" pitchFamily="18" charset="0"/>
            <a:cs typeface="Times New Roman" panose="02020603050405020304" pitchFamily="18" charset="0"/>
          </a:endParaRPr>
        </a:p>
      </dgm:t>
    </dgm:pt>
    <dgm:pt modelId="{B203B1D5-9AB3-4D8B-95CD-72A39F30B91E}">
      <dgm:prSet phldrT="[Texto]" custT="1"/>
      <dgm:spPr/>
      <dgm:t>
        <a:bodyPr/>
        <a:lstStyle/>
        <a:p>
          <a:pPr algn="ctr">
            <a:buNone/>
          </a:pPr>
          <a:r>
            <a:rPr lang="es-US" sz="900">
              <a:latin typeface="Times New Roman" panose="02020603050405020304" pitchFamily="18" charset="0"/>
              <a:cs typeface="Times New Roman" panose="02020603050405020304" pitchFamily="18" charset="0"/>
            </a:rPr>
            <a:t>Iniciar incidente de incumplimiento del régimen de condicionalidad - puede resultar en la expulsión</a:t>
          </a:r>
          <a:endParaRPr lang="en-GB" sz="900" i="1">
            <a:latin typeface="Times New Roman" panose="02020603050405020304" pitchFamily="18" charset="0"/>
            <a:cs typeface="Times New Roman" panose="02020603050405020304" pitchFamily="18" charset="0"/>
          </a:endParaRPr>
        </a:p>
      </dgm:t>
    </dgm:pt>
    <dgm:pt modelId="{2C925940-7CF5-4156-9602-1F9917C38154}" type="parTrans" cxnId="{3F19BF31-AD1D-4CC3-AB9B-A9968D968B97}">
      <dgm:prSet/>
      <dgm:spPr>
        <a:ln>
          <a:solidFill>
            <a:srgbClr val="00B0F0"/>
          </a:solidFill>
        </a:ln>
      </dgm:spPr>
      <dgm:t>
        <a:bodyPr/>
        <a:lstStyle/>
        <a:p>
          <a:endParaRPr lang="en-GB" i="1">
            <a:latin typeface="Times New Roman" panose="02020603050405020304" pitchFamily="18" charset="0"/>
            <a:cs typeface="Times New Roman" panose="02020603050405020304" pitchFamily="18" charset="0"/>
          </a:endParaRPr>
        </a:p>
      </dgm:t>
    </dgm:pt>
    <dgm:pt modelId="{0B10AD71-1DA7-4CC2-A56C-A46A26BF8004}" type="sibTrans" cxnId="{3F19BF31-AD1D-4CC3-AB9B-A9968D968B97}">
      <dgm:prSet/>
      <dgm:spPr/>
      <dgm:t>
        <a:bodyPr/>
        <a:lstStyle/>
        <a:p>
          <a:endParaRPr lang="en-GB" i="1">
            <a:latin typeface="Times New Roman" panose="02020603050405020304" pitchFamily="18" charset="0"/>
            <a:cs typeface="Times New Roman" panose="02020603050405020304" pitchFamily="18" charset="0"/>
          </a:endParaRPr>
        </a:p>
      </dgm:t>
    </dgm:pt>
    <dgm:pt modelId="{7337305B-239E-4AF7-A3F6-2A38EAFFD31B}">
      <dgm:prSet phldrT="[Texto]" custT="1"/>
      <dgm:spPr>
        <a:ln>
          <a:solidFill>
            <a:srgbClr val="00B050"/>
          </a:solidFill>
        </a:ln>
      </dgm:spPr>
      <dgm:t>
        <a:bodyPr/>
        <a:lstStyle/>
        <a:p>
          <a:r>
            <a:rPr lang="en-GB" sz="1000" i="1">
              <a:latin typeface="Times New Roman" panose="02020603050405020304" pitchFamily="18" charset="0"/>
              <a:cs typeface="Times New Roman" panose="02020603050405020304" pitchFamily="18" charset="0"/>
            </a:rPr>
            <a:t>Selección de segundo orden: remitirlo a la UIA para trámite adversarial</a:t>
          </a:r>
        </a:p>
      </dgm:t>
    </dgm:pt>
    <dgm:pt modelId="{D5A02264-65F5-4288-A61E-D4AA6E836B06}" type="parTrans" cxnId="{CB26AE8D-BF42-4195-9914-78E8CA665E20}">
      <dgm:prSet/>
      <dgm:spPr>
        <a:ln>
          <a:solidFill>
            <a:srgbClr val="00B0F0"/>
          </a:solidFill>
        </a:ln>
      </dgm:spPr>
      <dgm:t>
        <a:bodyPr/>
        <a:lstStyle/>
        <a:p>
          <a:endParaRPr lang="en-GB" i="1">
            <a:latin typeface="Times New Roman" panose="02020603050405020304" pitchFamily="18" charset="0"/>
            <a:cs typeface="Times New Roman" panose="02020603050405020304" pitchFamily="18" charset="0"/>
          </a:endParaRPr>
        </a:p>
      </dgm:t>
    </dgm:pt>
    <dgm:pt modelId="{78D43454-EC12-4F81-BD3C-B6B4D5525495}" type="sibTrans" cxnId="{CB26AE8D-BF42-4195-9914-78E8CA665E20}">
      <dgm:prSet/>
      <dgm:spPr/>
      <dgm:t>
        <a:bodyPr/>
        <a:lstStyle/>
        <a:p>
          <a:endParaRPr lang="en-GB" i="1">
            <a:latin typeface="Times New Roman" panose="02020603050405020304" pitchFamily="18" charset="0"/>
            <a:cs typeface="Times New Roman" panose="02020603050405020304" pitchFamily="18" charset="0"/>
          </a:endParaRPr>
        </a:p>
      </dgm:t>
    </dgm:pt>
    <dgm:pt modelId="{D23A4278-6FAE-4BE0-B95A-FED1896C89DC}">
      <dgm:prSet phldrT="[Texto]" custT="1"/>
      <dgm:spPr/>
      <dgm:t>
        <a:bodyPr/>
        <a:lstStyle/>
        <a:p>
          <a:r>
            <a:rPr lang="en-GB" sz="1000" i="0">
              <a:latin typeface="Times New Roman" panose="02020603050405020304" pitchFamily="18" charset="0"/>
              <a:cs typeface="Times New Roman" panose="02020603050405020304" pitchFamily="18" charset="0"/>
            </a:rPr>
            <a:t>Ausencia de aportes a la verdad plena</a:t>
          </a:r>
        </a:p>
      </dgm:t>
    </dgm:pt>
    <dgm:pt modelId="{0C66B56E-8D68-436D-8F83-21F264BDCED4}" type="parTrans" cxnId="{524753C3-7BC6-40C8-8FC8-11FD0D498CCE}">
      <dgm:prSet/>
      <dgm:spPr>
        <a:ln>
          <a:solidFill>
            <a:srgbClr val="00B0F0"/>
          </a:solidFill>
        </a:ln>
      </dgm:spPr>
      <dgm:t>
        <a:bodyPr/>
        <a:lstStyle/>
        <a:p>
          <a:endParaRPr lang="en-GB" i="1">
            <a:latin typeface="Times New Roman" panose="02020603050405020304" pitchFamily="18" charset="0"/>
            <a:cs typeface="Times New Roman" panose="02020603050405020304" pitchFamily="18" charset="0"/>
          </a:endParaRPr>
        </a:p>
      </dgm:t>
    </dgm:pt>
    <dgm:pt modelId="{1B13EB10-D66D-4F51-B5BF-18E91F89A430}" type="sibTrans" cxnId="{524753C3-7BC6-40C8-8FC8-11FD0D498CCE}">
      <dgm:prSet/>
      <dgm:spPr/>
      <dgm:t>
        <a:bodyPr/>
        <a:lstStyle/>
        <a:p>
          <a:endParaRPr lang="en-GB" i="1">
            <a:latin typeface="Times New Roman" panose="02020603050405020304" pitchFamily="18" charset="0"/>
            <a:cs typeface="Times New Roman" panose="02020603050405020304" pitchFamily="18" charset="0"/>
          </a:endParaRPr>
        </a:p>
      </dgm:t>
    </dgm:pt>
    <dgm:pt modelId="{AAFC42B9-BF78-47E9-B7C6-410872DB1CA2}">
      <dgm:prSet phldrT="[Texto]" custT="1"/>
      <dgm:spPr>
        <a:ln>
          <a:solidFill>
            <a:srgbClr val="00B050"/>
          </a:solidFill>
        </a:ln>
      </dgm:spPr>
      <dgm:t>
        <a:bodyPr/>
        <a:lstStyle/>
        <a:p>
          <a:r>
            <a:rPr lang="en-GB" sz="1000" i="1">
              <a:latin typeface="Times New Roman" panose="02020603050405020304" pitchFamily="18" charset="0"/>
              <a:cs typeface="Times New Roman" panose="02020603050405020304" pitchFamily="18" charset="0"/>
            </a:rPr>
            <a:t>Selección de segundo orden</a:t>
          </a:r>
        </a:p>
      </dgm:t>
    </dgm:pt>
    <dgm:pt modelId="{EFE892C6-0BB4-4B4C-A29C-46C71BDACD29}" type="parTrans" cxnId="{E510A782-86DE-401C-A12D-44B7E5328DF7}">
      <dgm:prSet/>
      <dgm:spPr>
        <a:ln>
          <a:solidFill>
            <a:srgbClr val="00B0F0"/>
          </a:solidFill>
        </a:ln>
      </dgm:spPr>
      <dgm:t>
        <a:bodyPr/>
        <a:lstStyle/>
        <a:p>
          <a:endParaRPr lang="en-GB" i="1">
            <a:latin typeface="Times New Roman" panose="02020603050405020304" pitchFamily="18" charset="0"/>
            <a:cs typeface="Times New Roman" panose="02020603050405020304" pitchFamily="18" charset="0"/>
          </a:endParaRPr>
        </a:p>
      </dgm:t>
    </dgm:pt>
    <dgm:pt modelId="{ED3C33E5-8CA1-4803-97B5-47E8C5DF02F2}" type="sibTrans" cxnId="{E510A782-86DE-401C-A12D-44B7E5328DF7}">
      <dgm:prSet/>
      <dgm:spPr/>
      <dgm:t>
        <a:bodyPr/>
        <a:lstStyle/>
        <a:p>
          <a:endParaRPr lang="en-GB" i="1">
            <a:latin typeface="Times New Roman" panose="02020603050405020304" pitchFamily="18" charset="0"/>
            <a:cs typeface="Times New Roman" panose="02020603050405020304" pitchFamily="18" charset="0"/>
          </a:endParaRPr>
        </a:p>
      </dgm:t>
    </dgm:pt>
    <dgm:pt modelId="{41415B35-5E15-441A-A58E-8C1AE5BE4289}">
      <dgm:prSet phldrT="[Texto]" custT="1"/>
      <dgm:spPr/>
      <dgm:t>
        <a:bodyPr/>
        <a:lstStyle/>
        <a:p>
          <a:r>
            <a:rPr lang="en-GB" sz="1000" i="0">
              <a:latin typeface="Times New Roman" panose="02020603050405020304" pitchFamily="18" charset="0"/>
              <a:cs typeface="Times New Roman" panose="02020603050405020304" pitchFamily="18" charset="0"/>
            </a:rPr>
            <a:t>Aportes insuficientes a la verdad: 3 cursos de acción posibles</a:t>
          </a:r>
        </a:p>
      </dgm:t>
    </dgm:pt>
    <dgm:pt modelId="{C5AF39BF-39E9-408B-9455-D4D042493FC2}" type="parTrans" cxnId="{602D5243-4BE3-41DC-91D6-E34F4A628A32}">
      <dgm:prSet/>
      <dgm:spPr/>
      <dgm:t>
        <a:bodyPr/>
        <a:lstStyle/>
        <a:p>
          <a:endParaRPr lang="en-GB" i="1">
            <a:latin typeface="Times New Roman" panose="02020603050405020304" pitchFamily="18" charset="0"/>
            <a:cs typeface="Times New Roman" panose="02020603050405020304" pitchFamily="18" charset="0"/>
          </a:endParaRPr>
        </a:p>
      </dgm:t>
    </dgm:pt>
    <dgm:pt modelId="{D305072A-9050-489B-B325-535FC745A392}" type="sibTrans" cxnId="{602D5243-4BE3-41DC-91D6-E34F4A628A32}">
      <dgm:prSet/>
      <dgm:spPr/>
      <dgm:t>
        <a:bodyPr/>
        <a:lstStyle/>
        <a:p>
          <a:endParaRPr lang="en-GB" i="1">
            <a:latin typeface="Times New Roman" panose="02020603050405020304" pitchFamily="18" charset="0"/>
            <a:cs typeface="Times New Roman" panose="02020603050405020304" pitchFamily="18" charset="0"/>
          </a:endParaRPr>
        </a:p>
      </dgm:t>
    </dgm:pt>
    <dgm:pt modelId="{91C1BCB2-AE95-4417-9F3C-2344A37FAB1D}">
      <dgm:prSet phldrT="[Texto]" custT="1"/>
      <dgm:spPr/>
      <dgm:t>
        <a:bodyPr/>
        <a:lstStyle/>
        <a:p>
          <a:pPr algn="ctr"/>
          <a:r>
            <a:rPr lang="en-GB" sz="900" i="0">
              <a:latin typeface="Times New Roman" panose="02020603050405020304" pitchFamily="18" charset="0"/>
              <a:cs typeface="Times New Roman" panose="02020603050405020304" pitchFamily="18" charset="0"/>
            </a:rPr>
            <a:t>Aplicar un mecanismo no sancionatorio como la renuncia condicionada a la persecución penal (con régimen de condicionalidad estricto)</a:t>
          </a:r>
        </a:p>
      </dgm:t>
    </dgm:pt>
    <dgm:pt modelId="{32D249FC-DA02-4955-AFCD-9D5890D3F387}" type="parTrans" cxnId="{0B84741B-300C-4F91-B635-B77D4E095EB6}">
      <dgm:prSet/>
      <dgm:spPr>
        <a:ln>
          <a:solidFill>
            <a:srgbClr val="00B0F0"/>
          </a:solidFill>
        </a:ln>
      </dgm:spPr>
      <dgm:t>
        <a:bodyPr/>
        <a:lstStyle/>
        <a:p>
          <a:endParaRPr lang="en-GB">
            <a:latin typeface="Times New Roman" panose="02020603050405020304" pitchFamily="18" charset="0"/>
            <a:cs typeface="Times New Roman" panose="02020603050405020304" pitchFamily="18" charset="0"/>
          </a:endParaRPr>
        </a:p>
      </dgm:t>
    </dgm:pt>
    <dgm:pt modelId="{635DCD7B-A541-4DDB-8625-BA0EADDF5163}" type="sibTrans" cxnId="{0B84741B-300C-4F91-B635-B77D4E095EB6}">
      <dgm:prSet/>
      <dgm:spPr/>
      <dgm:t>
        <a:bodyPr/>
        <a:lstStyle/>
        <a:p>
          <a:endParaRPr lang="en-GB">
            <a:latin typeface="Times New Roman" panose="02020603050405020304" pitchFamily="18" charset="0"/>
            <a:cs typeface="Times New Roman" panose="02020603050405020304" pitchFamily="18" charset="0"/>
          </a:endParaRPr>
        </a:p>
      </dgm:t>
    </dgm:pt>
    <dgm:pt modelId="{A7D455C3-2589-4D3F-84E5-0CC1D788E465}">
      <dgm:prSet phldrT="[Texto]" custT="1"/>
      <dgm:spPr/>
      <dgm:t>
        <a:bodyPr/>
        <a:lstStyle/>
        <a:p>
          <a:r>
            <a:rPr lang="en-GB" sz="1000" i="0">
              <a:latin typeface="Times New Roman" panose="02020603050405020304" pitchFamily="18" charset="0"/>
              <a:cs typeface="Times New Roman" panose="02020603050405020304" pitchFamily="18" charset="0"/>
            </a:rPr>
            <a:t>Apertura de incidente de incumplimiento</a:t>
          </a:r>
        </a:p>
      </dgm:t>
    </dgm:pt>
    <dgm:pt modelId="{9404EEDC-FCCA-428B-867E-0CEBF5687C70}" type="parTrans" cxnId="{23A6044D-EACD-4A1D-8849-27CF93E86D26}">
      <dgm:prSet/>
      <dgm:spPr>
        <a:ln>
          <a:solidFill>
            <a:srgbClr val="00B0F0"/>
          </a:solidFill>
        </a:ln>
      </dgm:spPr>
      <dgm:t>
        <a:bodyPr/>
        <a:lstStyle/>
        <a:p>
          <a:endParaRPr lang="en-GB">
            <a:latin typeface="Times New Roman" panose="02020603050405020304" pitchFamily="18" charset="0"/>
            <a:cs typeface="Times New Roman" panose="02020603050405020304" pitchFamily="18" charset="0"/>
          </a:endParaRPr>
        </a:p>
      </dgm:t>
    </dgm:pt>
    <dgm:pt modelId="{534F6640-0234-42C1-965D-15EDE64C4F94}" type="sibTrans" cxnId="{23A6044D-EACD-4A1D-8849-27CF93E86D26}">
      <dgm:prSet/>
      <dgm:spPr/>
      <dgm:t>
        <a:bodyPr/>
        <a:lstStyle/>
        <a:p>
          <a:endParaRPr lang="en-GB">
            <a:latin typeface="Times New Roman" panose="02020603050405020304" pitchFamily="18" charset="0"/>
            <a:cs typeface="Times New Roman" panose="02020603050405020304" pitchFamily="18" charset="0"/>
          </a:endParaRPr>
        </a:p>
      </dgm:t>
    </dgm:pt>
    <dgm:pt modelId="{447EB61E-E162-4432-978F-13BD7DF8278D}">
      <dgm:prSet phldrT="[Texto]" custT="1"/>
      <dgm:spPr/>
      <dgm:t>
        <a:bodyPr/>
        <a:lstStyle/>
        <a:p>
          <a:r>
            <a:rPr lang="en-GB" sz="1000" i="0">
              <a:latin typeface="Times New Roman" panose="02020603050405020304" pitchFamily="18" charset="0"/>
              <a:cs typeface="Times New Roman" panose="02020603050405020304" pitchFamily="18" charset="0"/>
            </a:rPr>
            <a:t>Negar el mecanismo no sancionatorio de definición de la situación jurídica</a:t>
          </a:r>
        </a:p>
      </dgm:t>
    </dgm:pt>
    <dgm:pt modelId="{13F9677D-0DD5-497C-8935-08D200089370}" type="parTrans" cxnId="{CA833AC4-57EB-47F1-B369-0EBC78A8CC82}">
      <dgm:prSet/>
      <dgm:spPr>
        <a:ln>
          <a:solidFill>
            <a:srgbClr val="00B0F0"/>
          </a:solidFill>
        </a:ln>
      </dgm:spPr>
      <dgm:t>
        <a:bodyPr/>
        <a:lstStyle/>
        <a:p>
          <a:endParaRPr lang="en-GB">
            <a:latin typeface="Times New Roman" panose="02020603050405020304" pitchFamily="18" charset="0"/>
            <a:cs typeface="Times New Roman" panose="02020603050405020304" pitchFamily="18" charset="0"/>
          </a:endParaRPr>
        </a:p>
      </dgm:t>
    </dgm:pt>
    <dgm:pt modelId="{1FB76720-F8BE-4491-A0A8-AAD400B0E0AC}" type="sibTrans" cxnId="{CA833AC4-57EB-47F1-B369-0EBC78A8CC82}">
      <dgm:prSet/>
      <dgm:spPr/>
      <dgm:t>
        <a:bodyPr/>
        <a:lstStyle/>
        <a:p>
          <a:endParaRPr lang="en-GB">
            <a:latin typeface="Times New Roman" panose="02020603050405020304" pitchFamily="18" charset="0"/>
            <a:cs typeface="Times New Roman" panose="02020603050405020304" pitchFamily="18" charset="0"/>
          </a:endParaRPr>
        </a:p>
      </dgm:t>
    </dgm:pt>
    <dgm:pt modelId="{B367A62E-EEB6-4F64-AD5C-BBD4B906B07E}">
      <dgm:prSet phldrT="[Texto]" custT="1"/>
      <dgm:spPr/>
      <dgm:t>
        <a:bodyPr/>
        <a:lstStyle/>
        <a:p>
          <a:r>
            <a:rPr lang="en-GB" sz="900" i="0">
              <a:latin typeface="Times New Roman" panose="02020603050405020304" pitchFamily="18" charset="0"/>
              <a:cs typeface="Times New Roman" panose="02020603050405020304" pitchFamily="18" charset="0"/>
            </a:rPr>
            <a:t>Mecanismo no sancionatorio como renuncia condicionada a la persecución penal</a:t>
          </a:r>
        </a:p>
      </dgm:t>
    </dgm:pt>
    <dgm:pt modelId="{8CB5286B-B38A-4CC8-B88C-3FA30DE2FE1E}" type="parTrans" cxnId="{D2B0F272-C376-4398-A5C6-6D4E0D276181}">
      <dgm:prSet/>
      <dgm:spPr>
        <a:ln>
          <a:solidFill>
            <a:srgbClr val="00B0F0"/>
          </a:solidFill>
        </a:ln>
      </dgm:spPr>
      <dgm:t>
        <a:bodyPr/>
        <a:lstStyle/>
        <a:p>
          <a:endParaRPr lang="en-GB"/>
        </a:p>
      </dgm:t>
    </dgm:pt>
    <dgm:pt modelId="{ED8C6BF1-0CB2-4EC7-9C2C-FA1D8B0D06F4}" type="sibTrans" cxnId="{D2B0F272-C376-4398-A5C6-6D4E0D276181}">
      <dgm:prSet/>
      <dgm:spPr/>
      <dgm:t>
        <a:bodyPr/>
        <a:lstStyle/>
        <a:p>
          <a:endParaRPr lang="en-GB"/>
        </a:p>
      </dgm:t>
    </dgm:pt>
    <dgm:pt modelId="{2358A152-D6D0-43AE-9A7C-5A823E2E1A04}" type="pres">
      <dgm:prSet presAssocID="{7A8EF0C4-B73A-41F2-8FC9-E012B3514A0C}" presName="hierChild1" presStyleCnt="0">
        <dgm:presLayoutVars>
          <dgm:orgChart val="1"/>
          <dgm:chPref val="1"/>
          <dgm:dir/>
          <dgm:animOne val="branch"/>
          <dgm:animLvl val="lvl"/>
          <dgm:resizeHandles/>
        </dgm:presLayoutVars>
      </dgm:prSet>
      <dgm:spPr/>
    </dgm:pt>
    <dgm:pt modelId="{8234CE8E-653A-4E66-BC7D-68F893DA88DD}" type="pres">
      <dgm:prSet presAssocID="{C769E187-88C9-4C09-93A5-A355E9D78EE3}" presName="hierRoot1" presStyleCnt="0">
        <dgm:presLayoutVars>
          <dgm:hierBranch val="init"/>
        </dgm:presLayoutVars>
      </dgm:prSet>
      <dgm:spPr/>
    </dgm:pt>
    <dgm:pt modelId="{73CD6E2B-86DB-4764-B3A1-0386A4E22FC0}" type="pres">
      <dgm:prSet presAssocID="{C769E187-88C9-4C09-93A5-A355E9D78EE3}" presName="rootComposite1" presStyleCnt="0"/>
      <dgm:spPr/>
    </dgm:pt>
    <dgm:pt modelId="{C2929284-7BF5-4993-B9AC-18F6DC2AABA0}" type="pres">
      <dgm:prSet presAssocID="{C769E187-88C9-4C09-93A5-A355E9D78EE3}" presName="rootText1" presStyleLbl="node0" presStyleIdx="0" presStyleCnt="1" custScaleY="196810">
        <dgm:presLayoutVars>
          <dgm:chPref val="3"/>
        </dgm:presLayoutVars>
      </dgm:prSet>
      <dgm:spPr/>
    </dgm:pt>
    <dgm:pt modelId="{FA6FA133-FAC9-45BC-8148-55A7B4E01C9E}" type="pres">
      <dgm:prSet presAssocID="{C769E187-88C9-4C09-93A5-A355E9D78EE3}" presName="rootConnector1" presStyleLbl="node1" presStyleIdx="0" presStyleCnt="0"/>
      <dgm:spPr/>
    </dgm:pt>
    <dgm:pt modelId="{2E504FE1-4BFF-4A1E-8C9A-685F385B2A4C}" type="pres">
      <dgm:prSet presAssocID="{C769E187-88C9-4C09-93A5-A355E9D78EE3}" presName="hierChild2" presStyleCnt="0"/>
      <dgm:spPr/>
    </dgm:pt>
    <dgm:pt modelId="{130D466D-2213-40C1-9123-B002B1D1ACCE}" type="pres">
      <dgm:prSet presAssocID="{E900B524-E4BF-4586-B0D0-64F80684CF71}" presName="Name64" presStyleLbl="parChTrans1D2" presStyleIdx="0" presStyleCnt="3"/>
      <dgm:spPr/>
    </dgm:pt>
    <dgm:pt modelId="{DDF81AD0-DA6C-45CC-9C50-CFB51AD25573}" type="pres">
      <dgm:prSet presAssocID="{183D328F-5E19-4AEE-B1C6-3B7CE4605269}" presName="hierRoot2" presStyleCnt="0">
        <dgm:presLayoutVars>
          <dgm:hierBranch val="init"/>
        </dgm:presLayoutVars>
      </dgm:prSet>
      <dgm:spPr/>
    </dgm:pt>
    <dgm:pt modelId="{B6FCFD1D-02B5-4635-B5E9-46C87D914408}" type="pres">
      <dgm:prSet presAssocID="{183D328F-5E19-4AEE-B1C6-3B7CE4605269}" presName="rootComposite" presStyleCnt="0"/>
      <dgm:spPr/>
    </dgm:pt>
    <dgm:pt modelId="{873C1D08-883B-4ABA-84C0-62F1050B5B1A}" type="pres">
      <dgm:prSet presAssocID="{183D328F-5E19-4AEE-B1C6-3B7CE4605269}" presName="rootText" presStyleLbl="node2" presStyleIdx="0" presStyleCnt="3" custScaleY="139499">
        <dgm:presLayoutVars>
          <dgm:chPref val="3"/>
        </dgm:presLayoutVars>
      </dgm:prSet>
      <dgm:spPr/>
    </dgm:pt>
    <dgm:pt modelId="{C566D25B-868F-4AC1-8E24-34349C8509C1}" type="pres">
      <dgm:prSet presAssocID="{183D328F-5E19-4AEE-B1C6-3B7CE4605269}" presName="rootConnector" presStyleLbl="node2" presStyleIdx="0" presStyleCnt="3"/>
      <dgm:spPr/>
    </dgm:pt>
    <dgm:pt modelId="{23E3AF18-4312-4AA0-8020-9116B2339B33}" type="pres">
      <dgm:prSet presAssocID="{183D328F-5E19-4AEE-B1C6-3B7CE4605269}" presName="hierChild4" presStyleCnt="0"/>
      <dgm:spPr/>
    </dgm:pt>
    <dgm:pt modelId="{BD2B8DB3-F76E-4FB4-A5C3-3A7B08BF71B9}" type="pres">
      <dgm:prSet presAssocID="{8CB5286B-B38A-4CC8-B88C-3FA30DE2FE1E}" presName="Name64" presStyleLbl="parChTrans1D3" presStyleIdx="0" presStyleCnt="7"/>
      <dgm:spPr/>
    </dgm:pt>
    <dgm:pt modelId="{0A3AF29E-1D36-449A-B6C6-DBDC65EED414}" type="pres">
      <dgm:prSet presAssocID="{B367A62E-EEB6-4F64-AD5C-BBD4B906B07E}" presName="hierRoot2" presStyleCnt="0">
        <dgm:presLayoutVars>
          <dgm:hierBranch val="init"/>
        </dgm:presLayoutVars>
      </dgm:prSet>
      <dgm:spPr/>
    </dgm:pt>
    <dgm:pt modelId="{31AE4D45-7178-4909-B8F3-32E14AF6D815}" type="pres">
      <dgm:prSet presAssocID="{B367A62E-EEB6-4F64-AD5C-BBD4B906B07E}" presName="rootComposite" presStyleCnt="0"/>
      <dgm:spPr/>
    </dgm:pt>
    <dgm:pt modelId="{6F79A028-F250-4A18-86D7-44EA2DC4FDCB}" type="pres">
      <dgm:prSet presAssocID="{B367A62E-EEB6-4F64-AD5C-BBD4B906B07E}" presName="rootText" presStyleLbl="node3" presStyleIdx="0" presStyleCnt="7" custScaleY="139918">
        <dgm:presLayoutVars>
          <dgm:chPref val="3"/>
        </dgm:presLayoutVars>
      </dgm:prSet>
      <dgm:spPr/>
    </dgm:pt>
    <dgm:pt modelId="{2DF4FDE8-F39D-4633-AFF0-DBBF33578BA5}" type="pres">
      <dgm:prSet presAssocID="{B367A62E-EEB6-4F64-AD5C-BBD4B906B07E}" presName="rootConnector" presStyleLbl="node3" presStyleIdx="0" presStyleCnt="7"/>
      <dgm:spPr/>
    </dgm:pt>
    <dgm:pt modelId="{8E36DE63-3FE7-46B1-8866-C0023D05AD76}" type="pres">
      <dgm:prSet presAssocID="{B367A62E-EEB6-4F64-AD5C-BBD4B906B07E}" presName="hierChild4" presStyleCnt="0"/>
      <dgm:spPr/>
    </dgm:pt>
    <dgm:pt modelId="{F33A4683-13A0-4D58-95AE-33258933CEC1}" type="pres">
      <dgm:prSet presAssocID="{B367A62E-EEB6-4F64-AD5C-BBD4B906B07E}" presName="hierChild5" presStyleCnt="0"/>
      <dgm:spPr/>
    </dgm:pt>
    <dgm:pt modelId="{05AD4DC6-CF7A-4D19-8327-C9975716D44D}" type="pres">
      <dgm:prSet presAssocID="{183D328F-5E19-4AEE-B1C6-3B7CE4605269}" presName="hierChild5" presStyleCnt="0"/>
      <dgm:spPr/>
    </dgm:pt>
    <dgm:pt modelId="{6A92D140-9BCF-44C9-B458-D7172A9D1E5E}" type="pres">
      <dgm:prSet presAssocID="{C5AF39BF-39E9-408B-9455-D4D042493FC2}" presName="Name64" presStyleLbl="parChTrans1D2" presStyleIdx="1" presStyleCnt="3"/>
      <dgm:spPr/>
    </dgm:pt>
    <dgm:pt modelId="{F2A773BE-D170-4DCC-B006-4B56B6658505}" type="pres">
      <dgm:prSet presAssocID="{41415B35-5E15-441A-A58E-8C1AE5BE4289}" presName="hierRoot2" presStyleCnt="0">
        <dgm:presLayoutVars>
          <dgm:hierBranch val="init"/>
        </dgm:presLayoutVars>
      </dgm:prSet>
      <dgm:spPr/>
    </dgm:pt>
    <dgm:pt modelId="{BC27E7AB-3852-4A0D-8B36-1F260C10324B}" type="pres">
      <dgm:prSet presAssocID="{41415B35-5E15-441A-A58E-8C1AE5BE4289}" presName="rootComposite" presStyleCnt="0"/>
      <dgm:spPr/>
    </dgm:pt>
    <dgm:pt modelId="{0B4EF885-9C1E-4B40-AC00-3CE3E102C707}" type="pres">
      <dgm:prSet presAssocID="{41415B35-5E15-441A-A58E-8C1AE5BE4289}" presName="rootText" presStyleLbl="node2" presStyleIdx="1" presStyleCnt="3" custScaleY="112344">
        <dgm:presLayoutVars>
          <dgm:chPref val="3"/>
        </dgm:presLayoutVars>
      </dgm:prSet>
      <dgm:spPr/>
    </dgm:pt>
    <dgm:pt modelId="{BD6603E8-9D89-4B0C-8F5A-7D80E60F3874}" type="pres">
      <dgm:prSet presAssocID="{41415B35-5E15-441A-A58E-8C1AE5BE4289}" presName="rootConnector" presStyleLbl="node2" presStyleIdx="1" presStyleCnt="3"/>
      <dgm:spPr/>
    </dgm:pt>
    <dgm:pt modelId="{6FC74C37-6D09-4A59-A112-77DC711E7F70}" type="pres">
      <dgm:prSet presAssocID="{41415B35-5E15-441A-A58E-8C1AE5BE4289}" presName="hierChild4" presStyleCnt="0"/>
      <dgm:spPr/>
    </dgm:pt>
    <dgm:pt modelId="{2717EFA6-DA9F-415D-AB96-E7DC7BA9DD2B}" type="pres">
      <dgm:prSet presAssocID="{2C925940-7CF5-4156-9602-1F9917C38154}" presName="Name64" presStyleLbl="parChTrans1D3" presStyleIdx="1" presStyleCnt="7"/>
      <dgm:spPr/>
    </dgm:pt>
    <dgm:pt modelId="{74EE83BF-5058-4389-9A4D-B019E68DE63C}" type="pres">
      <dgm:prSet presAssocID="{B203B1D5-9AB3-4D8B-95CD-72A39F30B91E}" presName="hierRoot2" presStyleCnt="0">
        <dgm:presLayoutVars>
          <dgm:hierBranch val="init"/>
        </dgm:presLayoutVars>
      </dgm:prSet>
      <dgm:spPr/>
    </dgm:pt>
    <dgm:pt modelId="{542E1092-57F1-48BA-B439-3A4EC0884371}" type="pres">
      <dgm:prSet presAssocID="{B203B1D5-9AB3-4D8B-95CD-72A39F30B91E}" presName="rootComposite" presStyleCnt="0"/>
      <dgm:spPr/>
    </dgm:pt>
    <dgm:pt modelId="{3D76CE87-695E-4A24-BCC5-304FC12FA68C}" type="pres">
      <dgm:prSet presAssocID="{B203B1D5-9AB3-4D8B-95CD-72A39F30B91E}" presName="rootText" presStyleLbl="node3" presStyleIdx="1" presStyleCnt="7" custLinFactNeighborX="463" custLinFactNeighborY="-3038">
        <dgm:presLayoutVars>
          <dgm:chPref val="3"/>
        </dgm:presLayoutVars>
      </dgm:prSet>
      <dgm:spPr/>
    </dgm:pt>
    <dgm:pt modelId="{6A043457-1833-499D-9E03-4348FF6E4F82}" type="pres">
      <dgm:prSet presAssocID="{B203B1D5-9AB3-4D8B-95CD-72A39F30B91E}" presName="rootConnector" presStyleLbl="node3" presStyleIdx="1" presStyleCnt="7"/>
      <dgm:spPr/>
    </dgm:pt>
    <dgm:pt modelId="{96658028-88CB-4854-9B30-FDFE5A0C6925}" type="pres">
      <dgm:prSet presAssocID="{B203B1D5-9AB3-4D8B-95CD-72A39F30B91E}" presName="hierChild4" presStyleCnt="0"/>
      <dgm:spPr/>
    </dgm:pt>
    <dgm:pt modelId="{8CCAF829-3458-4B4E-A695-41007AECF5B2}" type="pres">
      <dgm:prSet presAssocID="{B203B1D5-9AB3-4D8B-95CD-72A39F30B91E}" presName="hierChild5" presStyleCnt="0"/>
      <dgm:spPr/>
    </dgm:pt>
    <dgm:pt modelId="{CFAB24F4-419D-433F-A5B8-268E4157A6E2}" type="pres">
      <dgm:prSet presAssocID="{D5A02264-65F5-4288-A61E-D4AA6E836B06}" presName="Name64" presStyleLbl="parChTrans1D3" presStyleIdx="2" presStyleCnt="7"/>
      <dgm:spPr/>
    </dgm:pt>
    <dgm:pt modelId="{21959CD2-46E8-4EF7-B82D-E831D1D824E0}" type="pres">
      <dgm:prSet presAssocID="{7337305B-239E-4AF7-A3F6-2A38EAFFD31B}" presName="hierRoot2" presStyleCnt="0">
        <dgm:presLayoutVars>
          <dgm:hierBranch val="init"/>
        </dgm:presLayoutVars>
      </dgm:prSet>
      <dgm:spPr/>
    </dgm:pt>
    <dgm:pt modelId="{0F6F46F8-ADC8-4E95-87A3-9C75120A5813}" type="pres">
      <dgm:prSet presAssocID="{7337305B-239E-4AF7-A3F6-2A38EAFFD31B}" presName="rootComposite" presStyleCnt="0"/>
      <dgm:spPr/>
    </dgm:pt>
    <dgm:pt modelId="{DC8C78CD-C8DF-402E-AAA2-10F3C7E8528B}" type="pres">
      <dgm:prSet presAssocID="{7337305B-239E-4AF7-A3F6-2A38EAFFD31B}" presName="rootText" presStyleLbl="node3" presStyleIdx="2" presStyleCnt="7">
        <dgm:presLayoutVars>
          <dgm:chPref val="3"/>
        </dgm:presLayoutVars>
      </dgm:prSet>
      <dgm:spPr/>
    </dgm:pt>
    <dgm:pt modelId="{6F663A64-D1C4-41B2-B81A-EBE178F9B03B}" type="pres">
      <dgm:prSet presAssocID="{7337305B-239E-4AF7-A3F6-2A38EAFFD31B}" presName="rootConnector" presStyleLbl="node3" presStyleIdx="2" presStyleCnt="7"/>
      <dgm:spPr/>
    </dgm:pt>
    <dgm:pt modelId="{8EEE8F30-F88F-4AD2-926D-4CE7B57C06D1}" type="pres">
      <dgm:prSet presAssocID="{7337305B-239E-4AF7-A3F6-2A38EAFFD31B}" presName="hierChild4" presStyleCnt="0"/>
      <dgm:spPr/>
    </dgm:pt>
    <dgm:pt modelId="{5E0FD73D-FD99-4078-A999-C8B9E946418A}" type="pres">
      <dgm:prSet presAssocID="{7337305B-239E-4AF7-A3F6-2A38EAFFD31B}" presName="hierChild5" presStyleCnt="0"/>
      <dgm:spPr/>
    </dgm:pt>
    <dgm:pt modelId="{EEAA3914-83FF-4E21-A813-41195C12B839}" type="pres">
      <dgm:prSet presAssocID="{32D249FC-DA02-4955-AFCD-9D5890D3F387}" presName="Name64" presStyleLbl="parChTrans1D3" presStyleIdx="3" presStyleCnt="7"/>
      <dgm:spPr/>
    </dgm:pt>
    <dgm:pt modelId="{8F2884E3-86D8-4564-88EE-93A2100D83A6}" type="pres">
      <dgm:prSet presAssocID="{91C1BCB2-AE95-4417-9F3C-2344A37FAB1D}" presName="hierRoot2" presStyleCnt="0">
        <dgm:presLayoutVars>
          <dgm:hierBranch val="init"/>
        </dgm:presLayoutVars>
      </dgm:prSet>
      <dgm:spPr/>
    </dgm:pt>
    <dgm:pt modelId="{D52CDC31-DFCB-42BC-83EC-7C20F9A4F6F8}" type="pres">
      <dgm:prSet presAssocID="{91C1BCB2-AE95-4417-9F3C-2344A37FAB1D}" presName="rootComposite" presStyleCnt="0"/>
      <dgm:spPr/>
    </dgm:pt>
    <dgm:pt modelId="{19AA52BD-200D-4D7F-BF02-E185C188C725}" type="pres">
      <dgm:prSet presAssocID="{91C1BCB2-AE95-4417-9F3C-2344A37FAB1D}" presName="rootText" presStyleLbl="node3" presStyleIdx="3" presStyleCnt="7" custScaleX="110429" custScaleY="132197">
        <dgm:presLayoutVars>
          <dgm:chPref val="3"/>
        </dgm:presLayoutVars>
      </dgm:prSet>
      <dgm:spPr/>
    </dgm:pt>
    <dgm:pt modelId="{BF24F75D-FC0B-440C-B158-9C9FB2E0CC6C}" type="pres">
      <dgm:prSet presAssocID="{91C1BCB2-AE95-4417-9F3C-2344A37FAB1D}" presName="rootConnector" presStyleLbl="node3" presStyleIdx="3" presStyleCnt="7"/>
      <dgm:spPr/>
    </dgm:pt>
    <dgm:pt modelId="{F8D951FB-FA2D-479D-8993-3ED91BACF6CE}" type="pres">
      <dgm:prSet presAssocID="{91C1BCB2-AE95-4417-9F3C-2344A37FAB1D}" presName="hierChild4" presStyleCnt="0"/>
      <dgm:spPr/>
    </dgm:pt>
    <dgm:pt modelId="{3F1FD736-470D-4B72-9AF4-7A5F4C2D5063}" type="pres">
      <dgm:prSet presAssocID="{91C1BCB2-AE95-4417-9F3C-2344A37FAB1D}" presName="hierChild5" presStyleCnt="0"/>
      <dgm:spPr/>
    </dgm:pt>
    <dgm:pt modelId="{C2D9387C-4B0D-4CC5-ADF8-9723A5EA08B1}" type="pres">
      <dgm:prSet presAssocID="{41415B35-5E15-441A-A58E-8C1AE5BE4289}" presName="hierChild5" presStyleCnt="0"/>
      <dgm:spPr/>
    </dgm:pt>
    <dgm:pt modelId="{0BE76B53-2D82-46EF-8F9E-ABF71579A37B}" type="pres">
      <dgm:prSet presAssocID="{0C66B56E-8D68-436D-8F83-21F264BDCED4}" presName="Name64" presStyleLbl="parChTrans1D2" presStyleIdx="2" presStyleCnt="3"/>
      <dgm:spPr/>
    </dgm:pt>
    <dgm:pt modelId="{88A77E63-180E-4A0D-AFA8-6D4B3EC94200}" type="pres">
      <dgm:prSet presAssocID="{D23A4278-6FAE-4BE0-B95A-FED1896C89DC}" presName="hierRoot2" presStyleCnt="0">
        <dgm:presLayoutVars>
          <dgm:hierBranch val="init"/>
        </dgm:presLayoutVars>
      </dgm:prSet>
      <dgm:spPr/>
    </dgm:pt>
    <dgm:pt modelId="{965C79CC-8ED6-4484-A0AA-999F9EC33ECA}" type="pres">
      <dgm:prSet presAssocID="{D23A4278-6FAE-4BE0-B95A-FED1896C89DC}" presName="rootComposite" presStyleCnt="0"/>
      <dgm:spPr/>
    </dgm:pt>
    <dgm:pt modelId="{ED2C42BF-D822-465C-A89D-B7C05B834BE2}" type="pres">
      <dgm:prSet presAssocID="{D23A4278-6FAE-4BE0-B95A-FED1896C89DC}" presName="rootText" presStyleLbl="node2" presStyleIdx="2" presStyleCnt="3">
        <dgm:presLayoutVars>
          <dgm:chPref val="3"/>
        </dgm:presLayoutVars>
      </dgm:prSet>
      <dgm:spPr/>
    </dgm:pt>
    <dgm:pt modelId="{82BEFFC8-2FD9-46DD-B715-84FEDA7C654F}" type="pres">
      <dgm:prSet presAssocID="{D23A4278-6FAE-4BE0-B95A-FED1896C89DC}" presName="rootConnector" presStyleLbl="node2" presStyleIdx="2" presStyleCnt="3"/>
      <dgm:spPr/>
    </dgm:pt>
    <dgm:pt modelId="{A3F384D1-3ADC-4BDD-B8B6-C69CAD51C0D1}" type="pres">
      <dgm:prSet presAssocID="{D23A4278-6FAE-4BE0-B95A-FED1896C89DC}" presName="hierChild4" presStyleCnt="0"/>
      <dgm:spPr/>
    </dgm:pt>
    <dgm:pt modelId="{44474100-BEE4-447F-A9B6-875D5D0C6BE5}" type="pres">
      <dgm:prSet presAssocID="{EFE892C6-0BB4-4B4C-A29C-46C71BDACD29}" presName="Name64" presStyleLbl="parChTrans1D3" presStyleIdx="4" presStyleCnt="7"/>
      <dgm:spPr/>
    </dgm:pt>
    <dgm:pt modelId="{381A80CB-0D20-43FA-A1B8-E6E347F86974}" type="pres">
      <dgm:prSet presAssocID="{AAFC42B9-BF78-47E9-B7C6-410872DB1CA2}" presName="hierRoot2" presStyleCnt="0">
        <dgm:presLayoutVars>
          <dgm:hierBranch val="init"/>
        </dgm:presLayoutVars>
      </dgm:prSet>
      <dgm:spPr/>
    </dgm:pt>
    <dgm:pt modelId="{8ED69FD7-7749-48B5-BA3C-18EDE87AA30C}" type="pres">
      <dgm:prSet presAssocID="{AAFC42B9-BF78-47E9-B7C6-410872DB1CA2}" presName="rootComposite" presStyleCnt="0"/>
      <dgm:spPr/>
    </dgm:pt>
    <dgm:pt modelId="{185B587D-C3A4-4BFB-BEDA-51CCB0D1A97C}" type="pres">
      <dgm:prSet presAssocID="{AAFC42B9-BF78-47E9-B7C6-410872DB1CA2}" presName="rootText" presStyleLbl="node3" presStyleIdx="4" presStyleCnt="7">
        <dgm:presLayoutVars>
          <dgm:chPref val="3"/>
        </dgm:presLayoutVars>
      </dgm:prSet>
      <dgm:spPr/>
    </dgm:pt>
    <dgm:pt modelId="{AEFA61D9-FAF7-41C0-8E66-DFF92F4C7756}" type="pres">
      <dgm:prSet presAssocID="{AAFC42B9-BF78-47E9-B7C6-410872DB1CA2}" presName="rootConnector" presStyleLbl="node3" presStyleIdx="4" presStyleCnt="7"/>
      <dgm:spPr/>
    </dgm:pt>
    <dgm:pt modelId="{4B30B8FE-AD46-4BEA-A53C-8B8C194AB02C}" type="pres">
      <dgm:prSet presAssocID="{AAFC42B9-BF78-47E9-B7C6-410872DB1CA2}" presName="hierChild4" presStyleCnt="0"/>
      <dgm:spPr/>
    </dgm:pt>
    <dgm:pt modelId="{6112C09F-B0CF-4329-9286-0ED45F140253}" type="pres">
      <dgm:prSet presAssocID="{AAFC42B9-BF78-47E9-B7C6-410872DB1CA2}" presName="hierChild5" presStyleCnt="0"/>
      <dgm:spPr/>
    </dgm:pt>
    <dgm:pt modelId="{F4643635-C34D-4F7A-9A9F-16DD4BF277D8}" type="pres">
      <dgm:prSet presAssocID="{9404EEDC-FCCA-428B-867E-0CEBF5687C70}" presName="Name64" presStyleLbl="parChTrans1D3" presStyleIdx="5" presStyleCnt="7"/>
      <dgm:spPr/>
    </dgm:pt>
    <dgm:pt modelId="{88C931BA-90D8-47F5-B89C-864FCECBA32D}" type="pres">
      <dgm:prSet presAssocID="{A7D455C3-2589-4D3F-84E5-0CC1D788E465}" presName="hierRoot2" presStyleCnt="0">
        <dgm:presLayoutVars>
          <dgm:hierBranch val="init"/>
        </dgm:presLayoutVars>
      </dgm:prSet>
      <dgm:spPr/>
    </dgm:pt>
    <dgm:pt modelId="{25AB4C61-202B-4145-B7AB-DC4D914D7624}" type="pres">
      <dgm:prSet presAssocID="{A7D455C3-2589-4D3F-84E5-0CC1D788E465}" presName="rootComposite" presStyleCnt="0"/>
      <dgm:spPr/>
    </dgm:pt>
    <dgm:pt modelId="{D58DDC79-237C-43FD-A9DE-4FEF11EE0685}" type="pres">
      <dgm:prSet presAssocID="{A7D455C3-2589-4D3F-84E5-0CC1D788E465}" presName="rootText" presStyleLbl="node3" presStyleIdx="5" presStyleCnt="7">
        <dgm:presLayoutVars>
          <dgm:chPref val="3"/>
        </dgm:presLayoutVars>
      </dgm:prSet>
      <dgm:spPr/>
    </dgm:pt>
    <dgm:pt modelId="{C7609A0A-387B-4EBA-98C9-F071ADFE42E7}" type="pres">
      <dgm:prSet presAssocID="{A7D455C3-2589-4D3F-84E5-0CC1D788E465}" presName="rootConnector" presStyleLbl="node3" presStyleIdx="5" presStyleCnt="7"/>
      <dgm:spPr/>
    </dgm:pt>
    <dgm:pt modelId="{7371BC27-A748-4C28-AB56-3622F91FD90B}" type="pres">
      <dgm:prSet presAssocID="{A7D455C3-2589-4D3F-84E5-0CC1D788E465}" presName="hierChild4" presStyleCnt="0"/>
      <dgm:spPr/>
    </dgm:pt>
    <dgm:pt modelId="{7578276A-18C4-4254-8967-BAFCD9E8FA17}" type="pres">
      <dgm:prSet presAssocID="{A7D455C3-2589-4D3F-84E5-0CC1D788E465}" presName="hierChild5" presStyleCnt="0"/>
      <dgm:spPr/>
    </dgm:pt>
    <dgm:pt modelId="{C849229B-F0E4-4B3D-B674-1F8E99868B89}" type="pres">
      <dgm:prSet presAssocID="{13F9677D-0DD5-497C-8935-08D200089370}" presName="Name64" presStyleLbl="parChTrans1D3" presStyleIdx="6" presStyleCnt="7"/>
      <dgm:spPr/>
    </dgm:pt>
    <dgm:pt modelId="{80B0274E-C983-481E-BC98-9324F3833815}" type="pres">
      <dgm:prSet presAssocID="{447EB61E-E162-4432-978F-13BD7DF8278D}" presName="hierRoot2" presStyleCnt="0">
        <dgm:presLayoutVars>
          <dgm:hierBranch val="init"/>
        </dgm:presLayoutVars>
      </dgm:prSet>
      <dgm:spPr/>
    </dgm:pt>
    <dgm:pt modelId="{EDB9DC6C-BA50-4695-8C52-A863F5CD99BC}" type="pres">
      <dgm:prSet presAssocID="{447EB61E-E162-4432-978F-13BD7DF8278D}" presName="rootComposite" presStyleCnt="0"/>
      <dgm:spPr/>
    </dgm:pt>
    <dgm:pt modelId="{405EC680-938F-4B77-B2F3-3C7ECC4C8294}" type="pres">
      <dgm:prSet presAssocID="{447EB61E-E162-4432-978F-13BD7DF8278D}" presName="rootText" presStyleLbl="node3" presStyleIdx="6" presStyleCnt="7">
        <dgm:presLayoutVars>
          <dgm:chPref val="3"/>
        </dgm:presLayoutVars>
      </dgm:prSet>
      <dgm:spPr/>
    </dgm:pt>
    <dgm:pt modelId="{898AFE75-1BF1-4972-AE6F-340F66B508E8}" type="pres">
      <dgm:prSet presAssocID="{447EB61E-E162-4432-978F-13BD7DF8278D}" presName="rootConnector" presStyleLbl="node3" presStyleIdx="6" presStyleCnt="7"/>
      <dgm:spPr/>
    </dgm:pt>
    <dgm:pt modelId="{6FF80A30-AAEC-44C8-83FA-3B75354C156B}" type="pres">
      <dgm:prSet presAssocID="{447EB61E-E162-4432-978F-13BD7DF8278D}" presName="hierChild4" presStyleCnt="0"/>
      <dgm:spPr/>
    </dgm:pt>
    <dgm:pt modelId="{684B7720-5B80-4B2B-8C32-96BB5F3F7670}" type="pres">
      <dgm:prSet presAssocID="{447EB61E-E162-4432-978F-13BD7DF8278D}" presName="hierChild5" presStyleCnt="0"/>
      <dgm:spPr/>
    </dgm:pt>
    <dgm:pt modelId="{848637E5-86FC-42EF-B69E-FD385744771A}" type="pres">
      <dgm:prSet presAssocID="{D23A4278-6FAE-4BE0-B95A-FED1896C89DC}" presName="hierChild5" presStyleCnt="0"/>
      <dgm:spPr/>
    </dgm:pt>
    <dgm:pt modelId="{3D2D3EA4-3A31-4934-BA96-0CB1C5EFE267}" type="pres">
      <dgm:prSet presAssocID="{C769E187-88C9-4C09-93A5-A355E9D78EE3}" presName="hierChild3" presStyleCnt="0"/>
      <dgm:spPr/>
    </dgm:pt>
  </dgm:ptLst>
  <dgm:cxnLst>
    <dgm:cxn modelId="{0B84741B-300C-4F91-B635-B77D4E095EB6}" srcId="{41415B35-5E15-441A-A58E-8C1AE5BE4289}" destId="{91C1BCB2-AE95-4417-9F3C-2344A37FAB1D}" srcOrd="2" destOrd="0" parTransId="{32D249FC-DA02-4955-AFCD-9D5890D3F387}" sibTransId="{635DCD7B-A541-4DDB-8625-BA0EADDF5163}"/>
    <dgm:cxn modelId="{63C2FE1B-46FC-4AAD-B2AD-98E1FE724FF1}" type="presOf" srcId="{41415B35-5E15-441A-A58E-8C1AE5BE4289}" destId="{BD6603E8-9D89-4B0C-8F5A-7D80E60F3874}" srcOrd="1" destOrd="0" presId="urn:microsoft.com/office/officeart/2009/3/layout/HorizontalOrganizationChart"/>
    <dgm:cxn modelId="{B1D1371C-D564-4DB9-B80E-2E7658AAE35F}" type="presOf" srcId="{7337305B-239E-4AF7-A3F6-2A38EAFFD31B}" destId="{DC8C78CD-C8DF-402E-AAA2-10F3C7E8528B}" srcOrd="0" destOrd="0" presId="urn:microsoft.com/office/officeart/2009/3/layout/HorizontalOrganizationChart"/>
    <dgm:cxn modelId="{11CDB71D-97CE-49EF-96C7-BB68CF2A4271}" type="presOf" srcId="{D23A4278-6FAE-4BE0-B95A-FED1896C89DC}" destId="{82BEFFC8-2FD9-46DD-B715-84FEDA7C654F}" srcOrd="1" destOrd="0" presId="urn:microsoft.com/office/officeart/2009/3/layout/HorizontalOrganizationChart"/>
    <dgm:cxn modelId="{6161572F-46E3-4D00-8809-898672ADC0B5}" type="presOf" srcId="{32D249FC-DA02-4955-AFCD-9D5890D3F387}" destId="{EEAA3914-83FF-4E21-A813-41195C12B839}" srcOrd="0" destOrd="0" presId="urn:microsoft.com/office/officeart/2009/3/layout/HorizontalOrganizationChart"/>
    <dgm:cxn modelId="{3F19BF31-AD1D-4CC3-AB9B-A9968D968B97}" srcId="{41415B35-5E15-441A-A58E-8C1AE5BE4289}" destId="{B203B1D5-9AB3-4D8B-95CD-72A39F30B91E}" srcOrd="0" destOrd="0" parTransId="{2C925940-7CF5-4156-9602-1F9917C38154}" sibTransId="{0B10AD71-1DA7-4CC2-A56C-A46A26BF8004}"/>
    <dgm:cxn modelId="{2A844F36-3019-4F2B-8E05-8A05C23BF7DB}" type="presOf" srcId="{EFE892C6-0BB4-4B4C-A29C-46C71BDACD29}" destId="{44474100-BEE4-447F-A9B6-875D5D0C6BE5}" srcOrd="0" destOrd="0" presId="urn:microsoft.com/office/officeart/2009/3/layout/HorizontalOrganizationChart"/>
    <dgm:cxn modelId="{602D5243-4BE3-41DC-91D6-E34F4A628A32}" srcId="{C769E187-88C9-4C09-93A5-A355E9D78EE3}" destId="{41415B35-5E15-441A-A58E-8C1AE5BE4289}" srcOrd="1" destOrd="0" parTransId="{C5AF39BF-39E9-408B-9455-D4D042493FC2}" sibTransId="{D305072A-9050-489B-B325-535FC745A392}"/>
    <dgm:cxn modelId="{1972C963-B19F-443A-9FCE-57947E2AFE7D}" type="presOf" srcId="{C769E187-88C9-4C09-93A5-A355E9D78EE3}" destId="{C2929284-7BF5-4993-B9AC-18F6DC2AABA0}" srcOrd="0" destOrd="0" presId="urn:microsoft.com/office/officeart/2009/3/layout/HorizontalOrganizationChart"/>
    <dgm:cxn modelId="{F7080A47-C2E6-4799-90D2-531D0B933CEA}" srcId="{7A8EF0C4-B73A-41F2-8FC9-E012B3514A0C}" destId="{C769E187-88C9-4C09-93A5-A355E9D78EE3}" srcOrd="0" destOrd="0" parTransId="{8126CAE5-A368-4125-A47A-C8F6DEA03D01}" sibTransId="{9412574F-2ACA-4CC4-A0DE-4E176C43A156}"/>
    <dgm:cxn modelId="{23A6044D-EACD-4A1D-8849-27CF93E86D26}" srcId="{D23A4278-6FAE-4BE0-B95A-FED1896C89DC}" destId="{A7D455C3-2589-4D3F-84E5-0CC1D788E465}" srcOrd="1" destOrd="0" parTransId="{9404EEDC-FCCA-428B-867E-0CEBF5687C70}" sibTransId="{534F6640-0234-42C1-965D-15EDE64C4F94}"/>
    <dgm:cxn modelId="{D0DA8E4D-03D7-495E-A1A7-CB5FEF3326B9}" type="presOf" srcId="{91C1BCB2-AE95-4417-9F3C-2344A37FAB1D}" destId="{BF24F75D-FC0B-440C-B158-9C9FB2E0CC6C}" srcOrd="1" destOrd="0" presId="urn:microsoft.com/office/officeart/2009/3/layout/HorizontalOrganizationChart"/>
    <dgm:cxn modelId="{A5C49D50-755F-4CAD-8876-993C93C7DE4A}" srcId="{C769E187-88C9-4C09-93A5-A355E9D78EE3}" destId="{183D328F-5E19-4AEE-B1C6-3B7CE4605269}" srcOrd="0" destOrd="0" parTransId="{E900B524-E4BF-4586-B0D0-64F80684CF71}" sibTransId="{3B555BC2-46AF-4CB7-8B03-0130F37FD09D}"/>
    <dgm:cxn modelId="{D2B0F272-C376-4398-A5C6-6D4E0D276181}" srcId="{183D328F-5E19-4AEE-B1C6-3B7CE4605269}" destId="{B367A62E-EEB6-4F64-AD5C-BBD4B906B07E}" srcOrd="0" destOrd="0" parTransId="{8CB5286B-B38A-4CC8-B88C-3FA30DE2FE1E}" sibTransId="{ED8C6BF1-0CB2-4EC7-9C2C-FA1D8B0D06F4}"/>
    <dgm:cxn modelId="{3518B453-0E50-487F-98C9-1812E816D988}" type="presOf" srcId="{B203B1D5-9AB3-4D8B-95CD-72A39F30B91E}" destId="{3D76CE87-695E-4A24-BCC5-304FC12FA68C}" srcOrd="0" destOrd="0" presId="urn:microsoft.com/office/officeart/2009/3/layout/HorizontalOrganizationChart"/>
    <dgm:cxn modelId="{00A74E59-F5A8-4D48-B96B-624BF178EACA}" type="presOf" srcId="{13F9677D-0DD5-497C-8935-08D200089370}" destId="{C849229B-F0E4-4B3D-B674-1F8E99868B89}" srcOrd="0" destOrd="0" presId="urn:microsoft.com/office/officeart/2009/3/layout/HorizontalOrganizationChart"/>
    <dgm:cxn modelId="{4D48277C-5931-4E6A-8AB1-E7025E68B4F1}" type="presOf" srcId="{D5A02264-65F5-4288-A61E-D4AA6E836B06}" destId="{CFAB24F4-419D-433F-A5B8-268E4157A6E2}" srcOrd="0" destOrd="0" presId="urn:microsoft.com/office/officeart/2009/3/layout/HorizontalOrganizationChart"/>
    <dgm:cxn modelId="{A8E47B7E-2B94-4F2C-A3C9-710AFCFF58D3}" type="presOf" srcId="{AAFC42B9-BF78-47E9-B7C6-410872DB1CA2}" destId="{AEFA61D9-FAF7-41C0-8E66-DFF92F4C7756}" srcOrd="1" destOrd="0" presId="urn:microsoft.com/office/officeart/2009/3/layout/HorizontalOrganizationChart"/>
    <dgm:cxn modelId="{B59FA381-C6E8-4E86-ADF2-B4858F9CEE44}" type="presOf" srcId="{E900B524-E4BF-4586-B0D0-64F80684CF71}" destId="{130D466D-2213-40C1-9123-B002B1D1ACCE}" srcOrd="0" destOrd="0" presId="urn:microsoft.com/office/officeart/2009/3/layout/HorizontalOrganizationChart"/>
    <dgm:cxn modelId="{E510A782-86DE-401C-A12D-44B7E5328DF7}" srcId="{D23A4278-6FAE-4BE0-B95A-FED1896C89DC}" destId="{AAFC42B9-BF78-47E9-B7C6-410872DB1CA2}" srcOrd="0" destOrd="0" parTransId="{EFE892C6-0BB4-4B4C-A29C-46C71BDACD29}" sibTransId="{ED3C33E5-8CA1-4803-97B5-47E8C5DF02F2}"/>
    <dgm:cxn modelId="{FF4EC18A-2153-408F-8A72-C35825C99649}" type="presOf" srcId="{91C1BCB2-AE95-4417-9F3C-2344A37FAB1D}" destId="{19AA52BD-200D-4D7F-BF02-E185C188C725}" srcOrd="0" destOrd="0" presId="urn:microsoft.com/office/officeart/2009/3/layout/HorizontalOrganizationChart"/>
    <dgm:cxn modelId="{4AF2798D-100F-4035-8E1B-66056DCFE338}" type="presOf" srcId="{9404EEDC-FCCA-428B-867E-0CEBF5687C70}" destId="{F4643635-C34D-4F7A-9A9F-16DD4BF277D8}" srcOrd="0" destOrd="0" presId="urn:microsoft.com/office/officeart/2009/3/layout/HorizontalOrganizationChart"/>
    <dgm:cxn modelId="{CB26AE8D-BF42-4195-9914-78E8CA665E20}" srcId="{41415B35-5E15-441A-A58E-8C1AE5BE4289}" destId="{7337305B-239E-4AF7-A3F6-2A38EAFFD31B}" srcOrd="1" destOrd="0" parTransId="{D5A02264-65F5-4288-A61E-D4AA6E836B06}" sibTransId="{78D43454-EC12-4F81-BD3C-B6B4D5525495}"/>
    <dgm:cxn modelId="{EE9FE090-EC35-4D51-9D1B-E96091C20067}" type="presOf" srcId="{C769E187-88C9-4C09-93A5-A355E9D78EE3}" destId="{FA6FA133-FAC9-45BC-8148-55A7B4E01C9E}" srcOrd="1" destOrd="0" presId="urn:microsoft.com/office/officeart/2009/3/layout/HorizontalOrganizationChart"/>
    <dgm:cxn modelId="{BDCD70A0-0196-4A9A-A19B-02FFA62FC0CF}" type="presOf" srcId="{7337305B-239E-4AF7-A3F6-2A38EAFFD31B}" destId="{6F663A64-D1C4-41B2-B81A-EBE178F9B03B}" srcOrd="1" destOrd="0" presId="urn:microsoft.com/office/officeart/2009/3/layout/HorizontalOrganizationChart"/>
    <dgm:cxn modelId="{64F5E8A2-2D88-4E96-B92E-E2F9B9447573}" type="presOf" srcId="{B203B1D5-9AB3-4D8B-95CD-72A39F30B91E}" destId="{6A043457-1833-499D-9E03-4348FF6E4F82}" srcOrd="1" destOrd="0" presId="urn:microsoft.com/office/officeart/2009/3/layout/HorizontalOrganizationChart"/>
    <dgm:cxn modelId="{95ED2AA7-A358-4881-B678-9621E817BA94}" type="presOf" srcId="{AAFC42B9-BF78-47E9-B7C6-410872DB1CA2}" destId="{185B587D-C3A4-4BFB-BEDA-51CCB0D1A97C}" srcOrd="0" destOrd="0" presId="urn:microsoft.com/office/officeart/2009/3/layout/HorizontalOrganizationChart"/>
    <dgm:cxn modelId="{044FECBF-0386-4B31-B676-7A7A2E24F4EF}" type="presOf" srcId="{A7D455C3-2589-4D3F-84E5-0CC1D788E465}" destId="{C7609A0A-387B-4EBA-98C9-F071ADFE42E7}" srcOrd="1" destOrd="0" presId="urn:microsoft.com/office/officeart/2009/3/layout/HorizontalOrganizationChart"/>
    <dgm:cxn modelId="{524753C3-7BC6-40C8-8FC8-11FD0D498CCE}" srcId="{C769E187-88C9-4C09-93A5-A355E9D78EE3}" destId="{D23A4278-6FAE-4BE0-B95A-FED1896C89DC}" srcOrd="2" destOrd="0" parTransId="{0C66B56E-8D68-436D-8F83-21F264BDCED4}" sibTransId="{1B13EB10-D66D-4F51-B5BF-18E91F89A430}"/>
    <dgm:cxn modelId="{CA833AC4-57EB-47F1-B369-0EBC78A8CC82}" srcId="{D23A4278-6FAE-4BE0-B95A-FED1896C89DC}" destId="{447EB61E-E162-4432-978F-13BD7DF8278D}" srcOrd="2" destOrd="0" parTransId="{13F9677D-0DD5-497C-8935-08D200089370}" sibTransId="{1FB76720-F8BE-4491-A0A8-AAD400B0E0AC}"/>
    <dgm:cxn modelId="{6F2AFED2-235B-43BA-93AF-0B589CDFC20A}" type="presOf" srcId="{183D328F-5E19-4AEE-B1C6-3B7CE4605269}" destId="{C566D25B-868F-4AC1-8E24-34349C8509C1}" srcOrd="1" destOrd="0" presId="urn:microsoft.com/office/officeart/2009/3/layout/HorizontalOrganizationChart"/>
    <dgm:cxn modelId="{CAE3D1D5-A3F5-4681-B99F-B250CEA0DD82}" type="presOf" srcId="{B367A62E-EEB6-4F64-AD5C-BBD4B906B07E}" destId="{6F79A028-F250-4A18-86D7-44EA2DC4FDCB}" srcOrd="0" destOrd="0" presId="urn:microsoft.com/office/officeart/2009/3/layout/HorizontalOrganizationChart"/>
    <dgm:cxn modelId="{F095ECD7-6C5F-46AA-B777-64F0A7017F40}" type="presOf" srcId="{0C66B56E-8D68-436D-8F83-21F264BDCED4}" destId="{0BE76B53-2D82-46EF-8F9E-ABF71579A37B}" srcOrd="0" destOrd="0" presId="urn:microsoft.com/office/officeart/2009/3/layout/HorizontalOrganizationChart"/>
    <dgm:cxn modelId="{247240DB-6D74-442B-9700-235E17F6A797}" type="presOf" srcId="{7A8EF0C4-B73A-41F2-8FC9-E012B3514A0C}" destId="{2358A152-D6D0-43AE-9A7C-5A823E2E1A04}" srcOrd="0" destOrd="0" presId="urn:microsoft.com/office/officeart/2009/3/layout/HorizontalOrganizationChart"/>
    <dgm:cxn modelId="{048385DD-BA3C-4A2D-B300-CADB77F1509B}" type="presOf" srcId="{183D328F-5E19-4AEE-B1C6-3B7CE4605269}" destId="{873C1D08-883B-4ABA-84C0-62F1050B5B1A}" srcOrd="0" destOrd="0" presId="urn:microsoft.com/office/officeart/2009/3/layout/HorizontalOrganizationChart"/>
    <dgm:cxn modelId="{E6CB00DE-0CDB-4616-B262-860CB372D1C1}" type="presOf" srcId="{447EB61E-E162-4432-978F-13BD7DF8278D}" destId="{405EC680-938F-4B77-B2F3-3C7ECC4C8294}" srcOrd="0" destOrd="0" presId="urn:microsoft.com/office/officeart/2009/3/layout/HorizontalOrganizationChart"/>
    <dgm:cxn modelId="{66F2C3E0-A906-49E2-A439-1793E358C679}" type="presOf" srcId="{2C925940-7CF5-4156-9602-1F9917C38154}" destId="{2717EFA6-DA9F-415D-AB96-E7DC7BA9DD2B}" srcOrd="0" destOrd="0" presId="urn:microsoft.com/office/officeart/2009/3/layout/HorizontalOrganizationChart"/>
    <dgm:cxn modelId="{D70AEEE3-DD64-4F25-B114-35C08EC5519F}" type="presOf" srcId="{B367A62E-EEB6-4F64-AD5C-BBD4B906B07E}" destId="{2DF4FDE8-F39D-4633-AFF0-DBBF33578BA5}" srcOrd="1" destOrd="0" presId="urn:microsoft.com/office/officeart/2009/3/layout/HorizontalOrganizationChart"/>
    <dgm:cxn modelId="{BB2124E7-39AA-4FD7-B4FC-CAFD50E45031}" type="presOf" srcId="{447EB61E-E162-4432-978F-13BD7DF8278D}" destId="{898AFE75-1BF1-4972-AE6F-340F66B508E8}" srcOrd="1" destOrd="0" presId="urn:microsoft.com/office/officeart/2009/3/layout/HorizontalOrganizationChart"/>
    <dgm:cxn modelId="{E7CB67EB-E479-4DEC-B5D3-AF96F4C9A91A}" type="presOf" srcId="{8CB5286B-B38A-4CC8-B88C-3FA30DE2FE1E}" destId="{BD2B8DB3-F76E-4FB4-A5C3-3A7B08BF71B9}" srcOrd="0" destOrd="0" presId="urn:microsoft.com/office/officeart/2009/3/layout/HorizontalOrganizationChart"/>
    <dgm:cxn modelId="{DF823FED-DA89-4CAF-8783-8DF0F6475F53}" type="presOf" srcId="{41415B35-5E15-441A-A58E-8C1AE5BE4289}" destId="{0B4EF885-9C1E-4B40-AC00-3CE3E102C707}" srcOrd="0" destOrd="0" presId="urn:microsoft.com/office/officeart/2009/3/layout/HorizontalOrganizationChart"/>
    <dgm:cxn modelId="{E0525DF9-E77C-42DC-970F-B918FD75258E}" type="presOf" srcId="{D23A4278-6FAE-4BE0-B95A-FED1896C89DC}" destId="{ED2C42BF-D822-465C-A89D-B7C05B834BE2}" srcOrd="0" destOrd="0" presId="urn:microsoft.com/office/officeart/2009/3/layout/HorizontalOrganizationChart"/>
    <dgm:cxn modelId="{F06DECFA-4675-48A3-B54A-696595A125EB}" type="presOf" srcId="{A7D455C3-2589-4D3F-84E5-0CC1D788E465}" destId="{D58DDC79-237C-43FD-A9DE-4FEF11EE0685}" srcOrd="0" destOrd="0" presId="urn:microsoft.com/office/officeart/2009/3/layout/HorizontalOrganizationChart"/>
    <dgm:cxn modelId="{5F9EEBFB-7BF9-48A6-A658-81CE59EBD9C5}" type="presOf" srcId="{C5AF39BF-39E9-408B-9455-D4D042493FC2}" destId="{6A92D140-9BCF-44C9-B458-D7172A9D1E5E}" srcOrd="0" destOrd="0" presId="urn:microsoft.com/office/officeart/2009/3/layout/HorizontalOrganizationChart"/>
    <dgm:cxn modelId="{FA160141-B363-4744-80FC-D605D0DDCB9E}" type="presParOf" srcId="{2358A152-D6D0-43AE-9A7C-5A823E2E1A04}" destId="{8234CE8E-653A-4E66-BC7D-68F893DA88DD}" srcOrd="0" destOrd="0" presId="urn:microsoft.com/office/officeart/2009/3/layout/HorizontalOrganizationChart"/>
    <dgm:cxn modelId="{C32B5A21-8E52-4798-A396-9975C7A84660}" type="presParOf" srcId="{8234CE8E-653A-4E66-BC7D-68F893DA88DD}" destId="{73CD6E2B-86DB-4764-B3A1-0386A4E22FC0}" srcOrd="0" destOrd="0" presId="urn:microsoft.com/office/officeart/2009/3/layout/HorizontalOrganizationChart"/>
    <dgm:cxn modelId="{B0036734-1158-4B94-9705-3F32B61DC0A7}" type="presParOf" srcId="{73CD6E2B-86DB-4764-B3A1-0386A4E22FC0}" destId="{C2929284-7BF5-4993-B9AC-18F6DC2AABA0}" srcOrd="0" destOrd="0" presId="urn:microsoft.com/office/officeart/2009/3/layout/HorizontalOrganizationChart"/>
    <dgm:cxn modelId="{48A53A95-4D6E-4070-828B-5EDD8165A274}" type="presParOf" srcId="{73CD6E2B-86DB-4764-B3A1-0386A4E22FC0}" destId="{FA6FA133-FAC9-45BC-8148-55A7B4E01C9E}" srcOrd="1" destOrd="0" presId="urn:microsoft.com/office/officeart/2009/3/layout/HorizontalOrganizationChart"/>
    <dgm:cxn modelId="{CEEB69BC-191A-4146-B7B4-053FB811C7CE}" type="presParOf" srcId="{8234CE8E-653A-4E66-BC7D-68F893DA88DD}" destId="{2E504FE1-4BFF-4A1E-8C9A-685F385B2A4C}" srcOrd="1" destOrd="0" presId="urn:microsoft.com/office/officeart/2009/3/layout/HorizontalOrganizationChart"/>
    <dgm:cxn modelId="{4FC58E80-A377-4605-8CB2-11184F12D116}" type="presParOf" srcId="{2E504FE1-4BFF-4A1E-8C9A-685F385B2A4C}" destId="{130D466D-2213-40C1-9123-B002B1D1ACCE}" srcOrd="0" destOrd="0" presId="urn:microsoft.com/office/officeart/2009/3/layout/HorizontalOrganizationChart"/>
    <dgm:cxn modelId="{709D10F5-25FE-4406-A06B-335CFC195BBC}" type="presParOf" srcId="{2E504FE1-4BFF-4A1E-8C9A-685F385B2A4C}" destId="{DDF81AD0-DA6C-45CC-9C50-CFB51AD25573}" srcOrd="1" destOrd="0" presId="urn:microsoft.com/office/officeart/2009/3/layout/HorizontalOrganizationChart"/>
    <dgm:cxn modelId="{93E5AA6E-C7B3-4A02-822B-3C41F214C9EA}" type="presParOf" srcId="{DDF81AD0-DA6C-45CC-9C50-CFB51AD25573}" destId="{B6FCFD1D-02B5-4635-B5E9-46C87D914408}" srcOrd="0" destOrd="0" presId="urn:microsoft.com/office/officeart/2009/3/layout/HorizontalOrganizationChart"/>
    <dgm:cxn modelId="{0512FC2A-2C3F-43D2-AA44-B1C1BA793100}" type="presParOf" srcId="{B6FCFD1D-02B5-4635-B5E9-46C87D914408}" destId="{873C1D08-883B-4ABA-84C0-62F1050B5B1A}" srcOrd="0" destOrd="0" presId="urn:microsoft.com/office/officeart/2009/3/layout/HorizontalOrganizationChart"/>
    <dgm:cxn modelId="{29CC502A-F4FE-484F-8C47-B033DC1147D1}" type="presParOf" srcId="{B6FCFD1D-02B5-4635-B5E9-46C87D914408}" destId="{C566D25B-868F-4AC1-8E24-34349C8509C1}" srcOrd="1" destOrd="0" presId="urn:microsoft.com/office/officeart/2009/3/layout/HorizontalOrganizationChart"/>
    <dgm:cxn modelId="{88662020-5A6F-4042-B6E7-DD0AB821FEDC}" type="presParOf" srcId="{DDF81AD0-DA6C-45CC-9C50-CFB51AD25573}" destId="{23E3AF18-4312-4AA0-8020-9116B2339B33}" srcOrd="1" destOrd="0" presId="urn:microsoft.com/office/officeart/2009/3/layout/HorizontalOrganizationChart"/>
    <dgm:cxn modelId="{751BE5BA-E4A1-4654-8A4B-74BDB76A2894}" type="presParOf" srcId="{23E3AF18-4312-4AA0-8020-9116B2339B33}" destId="{BD2B8DB3-F76E-4FB4-A5C3-3A7B08BF71B9}" srcOrd="0" destOrd="0" presId="urn:microsoft.com/office/officeart/2009/3/layout/HorizontalOrganizationChart"/>
    <dgm:cxn modelId="{0FC2A819-B9CE-4D15-BEA3-E18B7976E156}" type="presParOf" srcId="{23E3AF18-4312-4AA0-8020-9116B2339B33}" destId="{0A3AF29E-1D36-449A-B6C6-DBDC65EED414}" srcOrd="1" destOrd="0" presId="urn:microsoft.com/office/officeart/2009/3/layout/HorizontalOrganizationChart"/>
    <dgm:cxn modelId="{8F60C4C2-FF39-418D-97E9-392ABEA2263A}" type="presParOf" srcId="{0A3AF29E-1D36-449A-B6C6-DBDC65EED414}" destId="{31AE4D45-7178-4909-B8F3-32E14AF6D815}" srcOrd="0" destOrd="0" presId="urn:microsoft.com/office/officeart/2009/3/layout/HorizontalOrganizationChart"/>
    <dgm:cxn modelId="{693A08D7-E001-4981-813A-959816679BA8}" type="presParOf" srcId="{31AE4D45-7178-4909-B8F3-32E14AF6D815}" destId="{6F79A028-F250-4A18-86D7-44EA2DC4FDCB}" srcOrd="0" destOrd="0" presId="urn:microsoft.com/office/officeart/2009/3/layout/HorizontalOrganizationChart"/>
    <dgm:cxn modelId="{F26F6D00-832F-4569-9518-984288F088C9}" type="presParOf" srcId="{31AE4D45-7178-4909-B8F3-32E14AF6D815}" destId="{2DF4FDE8-F39D-4633-AFF0-DBBF33578BA5}" srcOrd="1" destOrd="0" presId="urn:microsoft.com/office/officeart/2009/3/layout/HorizontalOrganizationChart"/>
    <dgm:cxn modelId="{E4E24178-5F05-4E9A-A0EB-F1962E33E422}" type="presParOf" srcId="{0A3AF29E-1D36-449A-B6C6-DBDC65EED414}" destId="{8E36DE63-3FE7-46B1-8866-C0023D05AD76}" srcOrd="1" destOrd="0" presId="urn:microsoft.com/office/officeart/2009/3/layout/HorizontalOrganizationChart"/>
    <dgm:cxn modelId="{67956744-580C-47CE-B2F5-7A041B87246B}" type="presParOf" srcId="{0A3AF29E-1D36-449A-B6C6-DBDC65EED414}" destId="{F33A4683-13A0-4D58-95AE-33258933CEC1}" srcOrd="2" destOrd="0" presId="urn:microsoft.com/office/officeart/2009/3/layout/HorizontalOrganizationChart"/>
    <dgm:cxn modelId="{AE7BC309-156F-45DA-AC6C-9E659108F0CF}" type="presParOf" srcId="{DDF81AD0-DA6C-45CC-9C50-CFB51AD25573}" destId="{05AD4DC6-CF7A-4D19-8327-C9975716D44D}" srcOrd="2" destOrd="0" presId="urn:microsoft.com/office/officeart/2009/3/layout/HorizontalOrganizationChart"/>
    <dgm:cxn modelId="{2CECECDD-550A-4E53-9211-AD9BA094C378}" type="presParOf" srcId="{2E504FE1-4BFF-4A1E-8C9A-685F385B2A4C}" destId="{6A92D140-9BCF-44C9-B458-D7172A9D1E5E}" srcOrd="2" destOrd="0" presId="urn:microsoft.com/office/officeart/2009/3/layout/HorizontalOrganizationChart"/>
    <dgm:cxn modelId="{538E05DB-E037-4749-BC61-63FE1D9B0D5C}" type="presParOf" srcId="{2E504FE1-4BFF-4A1E-8C9A-685F385B2A4C}" destId="{F2A773BE-D170-4DCC-B006-4B56B6658505}" srcOrd="3" destOrd="0" presId="urn:microsoft.com/office/officeart/2009/3/layout/HorizontalOrganizationChart"/>
    <dgm:cxn modelId="{D8D0E94D-7BAA-44F1-9F48-7B0739AD2DAE}" type="presParOf" srcId="{F2A773BE-D170-4DCC-B006-4B56B6658505}" destId="{BC27E7AB-3852-4A0D-8B36-1F260C10324B}" srcOrd="0" destOrd="0" presId="urn:microsoft.com/office/officeart/2009/3/layout/HorizontalOrganizationChart"/>
    <dgm:cxn modelId="{3E026BE5-D267-4F7C-BA35-527621FA4574}" type="presParOf" srcId="{BC27E7AB-3852-4A0D-8B36-1F260C10324B}" destId="{0B4EF885-9C1E-4B40-AC00-3CE3E102C707}" srcOrd="0" destOrd="0" presId="urn:microsoft.com/office/officeart/2009/3/layout/HorizontalOrganizationChart"/>
    <dgm:cxn modelId="{1EE39721-F791-4556-B4DE-496844A94288}" type="presParOf" srcId="{BC27E7AB-3852-4A0D-8B36-1F260C10324B}" destId="{BD6603E8-9D89-4B0C-8F5A-7D80E60F3874}" srcOrd="1" destOrd="0" presId="urn:microsoft.com/office/officeart/2009/3/layout/HorizontalOrganizationChart"/>
    <dgm:cxn modelId="{0EDA9C7D-03B1-421F-AF0D-0DC0DC5FE3C5}" type="presParOf" srcId="{F2A773BE-D170-4DCC-B006-4B56B6658505}" destId="{6FC74C37-6D09-4A59-A112-77DC711E7F70}" srcOrd="1" destOrd="0" presId="urn:microsoft.com/office/officeart/2009/3/layout/HorizontalOrganizationChart"/>
    <dgm:cxn modelId="{9F423F16-FCFF-494D-8BE2-4F7DABB2A8AE}" type="presParOf" srcId="{6FC74C37-6D09-4A59-A112-77DC711E7F70}" destId="{2717EFA6-DA9F-415D-AB96-E7DC7BA9DD2B}" srcOrd="0" destOrd="0" presId="urn:microsoft.com/office/officeart/2009/3/layout/HorizontalOrganizationChart"/>
    <dgm:cxn modelId="{9066D22A-BDF8-4933-AFDF-61ADA5901D7A}" type="presParOf" srcId="{6FC74C37-6D09-4A59-A112-77DC711E7F70}" destId="{74EE83BF-5058-4389-9A4D-B019E68DE63C}" srcOrd="1" destOrd="0" presId="urn:microsoft.com/office/officeart/2009/3/layout/HorizontalOrganizationChart"/>
    <dgm:cxn modelId="{7890BE86-8CBA-44B6-94A2-CE3794835EB6}" type="presParOf" srcId="{74EE83BF-5058-4389-9A4D-B019E68DE63C}" destId="{542E1092-57F1-48BA-B439-3A4EC0884371}" srcOrd="0" destOrd="0" presId="urn:microsoft.com/office/officeart/2009/3/layout/HorizontalOrganizationChart"/>
    <dgm:cxn modelId="{BCF1C78F-3314-4EA1-87A9-21ADFA2D089B}" type="presParOf" srcId="{542E1092-57F1-48BA-B439-3A4EC0884371}" destId="{3D76CE87-695E-4A24-BCC5-304FC12FA68C}" srcOrd="0" destOrd="0" presId="urn:microsoft.com/office/officeart/2009/3/layout/HorizontalOrganizationChart"/>
    <dgm:cxn modelId="{AA76D020-0FEF-4CAD-9FF0-2EC03790B60B}" type="presParOf" srcId="{542E1092-57F1-48BA-B439-3A4EC0884371}" destId="{6A043457-1833-499D-9E03-4348FF6E4F82}" srcOrd="1" destOrd="0" presId="urn:microsoft.com/office/officeart/2009/3/layout/HorizontalOrganizationChart"/>
    <dgm:cxn modelId="{1B2D706F-FC16-4493-ADEC-97A716BD00D9}" type="presParOf" srcId="{74EE83BF-5058-4389-9A4D-B019E68DE63C}" destId="{96658028-88CB-4854-9B30-FDFE5A0C6925}" srcOrd="1" destOrd="0" presId="urn:microsoft.com/office/officeart/2009/3/layout/HorizontalOrganizationChart"/>
    <dgm:cxn modelId="{CF954DCF-F042-4554-8F21-ACDF8748F345}" type="presParOf" srcId="{74EE83BF-5058-4389-9A4D-B019E68DE63C}" destId="{8CCAF829-3458-4B4E-A695-41007AECF5B2}" srcOrd="2" destOrd="0" presId="urn:microsoft.com/office/officeart/2009/3/layout/HorizontalOrganizationChart"/>
    <dgm:cxn modelId="{92B8FB82-2D43-4A64-9AA3-EF56FFE54869}" type="presParOf" srcId="{6FC74C37-6D09-4A59-A112-77DC711E7F70}" destId="{CFAB24F4-419D-433F-A5B8-268E4157A6E2}" srcOrd="2" destOrd="0" presId="urn:microsoft.com/office/officeart/2009/3/layout/HorizontalOrganizationChart"/>
    <dgm:cxn modelId="{2B95D388-8ADA-4084-B398-120410AD03D7}" type="presParOf" srcId="{6FC74C37-6D09-4A59-A112-77DC711E7F70}" destId="{21959CD2-46E8-4EF7-B82D-E831D1D824E0}" srcOrd="3" destOrd="0" presId="urn:microsoft.com/office/officeart/2009/3/layout/HorizontalOrganizationChart"/>
    <dgm:cxn modelId="{B53ADAD0-028A-4EEB-9A8E-DFF66CADA229}" type="presParOf" srcId="{21959CD2-46E8-4EF7-B82D-E831D1D824E0}" destId="{0F6F46F8-ADC8-4E95-87A3-9C75120A5813}" srcOrd="0" destOrd="0" presId="urn:microsoft.com/office/officeart/2009/3/layout/HorizontalOrganizationChart"/>
    <dgm:cxn modelId="{0FEE0126-93B2-4486-AF21-798572ACD335}" type="presParOf" srcId="{0F6F46F8-ADC8-4E95-87A3-9C75120A5813}" destId="{DC8C78CD-C8DF-402E-AAA2-10F3C7E8528B}" srcOrd="0" destOrd="0" presId="urn:microsoft.com/office/officeart/2009/3/layout/HorizontalOrganizationChart"/>
    <dgm:cxn modelId="{D5EF7522-E33C-4DF6-AD6A-9E98A559494F}" type="presParOf" srcId="{0F6F46F8-ADC8-4E95-87A3-9C75120A5813}" destId="{6F663A64-D1C4-41B2-B81A-EBE178F9B03B}" srcOrd="1" destOrd="0" presId="urn:microsoft.com/office/officeart/2009/3/layout/HorizontalOrganizationChart"/>
    <dgm:cxn modelId="{7BABF875-5B92-491B-B464-7161B8C5C07F}" type="presParOf" srcId="{21959CD2-46E8-4EF7-B82D-E831D1D824E0}" destId="{8EEE8F30-F88F-4AD2-926D-4CE7B57C06D1}" srcOrd="1" destOrd="0" presId="urn:microsoft.com/office/officeart/2009/3/layout/HorizontalOrganizationChart"/>
    <dgm:cxn modelId="{F29AF005-16C0-4B97-8676-CAA2B4AAB8AB}" type="presParOf" srcId="{21959CD2-46E8-4EF7-B82D-E831D1D824E0}" destId="{5E0FD73D-FD99-4078-A999-C8B9E946418A}" srcOrd="2" destOrd="0" presId="urn:microsoft.com/office/officeart/2009/3/layout/HorizontalOrganizationChart"/>
    <dgm:cxn modelId="{89C3E4F4-7AD9-45DC-8662-3DA811F53A9B}" type="presParOf" srcId="{6FC74C37-6D09-4A59-A112-77DC711E7F70}" destId="{EEAA3914-83FF-4E21-A813-41195C12B839}" srcOrd="4" destOrd="0" presId="urn:microsoft.com/office/officeart/2009/3/layout/HorizontalOrganizationChart"/>
    <dgm:cxn modelId="{EE4D30C4-A851-4BF3-916A-2B4D16BE0481}" type="presParOf" srcId="{6FC74C37-6D09-4A59-A112-77DC711E7F70}" destId="{8F2884E3-86D8-4564-88EE-93A2100D83A6}" srcOrd="5" destOrd="0" presId="urn:microsoft.com/office/officeart/2009/3/layout/HorizontalOrganizationChart"/>
    <dgm:cxn modelId="{100D53C1-0B03-456F-AE8F-156BF665CD37}" type="presParOf" srcId="{8F2884E3-86D8-4564-88EE-93A2100D83A6}" destId="{D52CDC31-DFCB-42BC-83EC-7C20F9A4F6F8}" srcOrd="0" destOrd="0" presId="urn:microsoft.com/office/officeart/2009/3/layout/HorizontalOrganizationChart"/>
    <dgm:cxn modelId="{CD112D35-CCD7-489B-970F-8A276D817F08}" type="presParOf" srcId="{D52CDC31-DFCB-42BC-83EC-7C20F9A4F6F8}" destId="{19AA52BD-200D-4D7F-BF02-E185C188C725}" srcOrd="0" destOrd="0" presId="urn:microsoft.com/office/officeart/2009/3/layout/HorizontalOrganizationChart"/>
    <dgm:cxn modelId="{E21B72F2-E32E-4998-8BD4-9DED2C343DF9}" type="presParOf" srcId="{D52CDC31-DFCB-42BC-83EC-7C20F9A4F6F8}" destId="{BF24F75D-FC0B-440C-B158-9C9FB2E0CC6C}" srcOrd="1" destOrd="0" presId="urn:microsoft.com/office/officeart/2009/3/layout/HorizontalOrganizationChart"/>
    <dgm:cxn modelId="{9BCD45E8-477E-4682-AF67-FCE03F687BD5}" type="presParOf" srcId="{8F2884E3-86D8-4564-88EE-93A2100D83A6}" destId="{F8D951FB-FA2D-479D-8993-3ED91BACF6CE}" srcOrd="1" destOrd="0" presId="urn:microsoft.com/office/officeart/2009/3/layout/HorizontalOrganizationChart"/>
    <dgm:cxn modelId="{7CCEB16A-297E-4CC7-8658-4746EBE0C79E}" type="presParOf" srcId="{8F2884E3-86D8-4564-88EE-93A2100D83A6}" destId="{3F1FD736-470D-4B72-9AF4-7A5F4C2D5063}" srcOrd="2" destOrd="0" presId="urn:microsoft.com/office/officeart/2009/3/layout/HorizontalOrganizationChart"/>
    <dgm:cxn modelId="{FD9D166F-3415-4A61-ADAF-79E5EBD8E41A}" type="presParOf" srcId="{F2A773BE-D170-4DCC-B006-4B56B6658505}" destId="{C2D9387C-4B0D-4CC5-ADF8-9723A5EA08B1}" srcOrd="2" destOrd="0" presId="urn:microsoft.com/office/officeart/2009/3/layout/HorizontalOrganizationChart"/>
    <dgm:cxn modelId="{970DEE7D-54E1-453E-A161-B091FEF47A7F}" type="presParOf" srcId="{2E504FE1-4BFF-4A1E-8C9A-685F385B2A4C}" destId="{0BE76B53-2D82-46EF-8F9E-ABF71579A37B}" srcOrd="4" destOrd="0" presId="urn:microsoft.com/office/officeart/2009/3/layout/HorizontalOrganizationChart"/>
    <dgm:cxn modelId="{2C2BCA4D-9C1B-4290-9598-AA77449A54B7}" type="presParOf" srcId="{2E504FE1-4BFF-4A1E-8C9A-685F385B2A4C}" destId="{88A77E63-180E-4A0D-AFA8-6D4B3EC94200}" srcOrd="5" destOrd="0" presId="urn:microsoft.com/office/officeart/2009/3/layout/HorizontalOrganizationChart"/>
    <dgm:cxn modelId="{708A9166-4A1A-4641-AEF6-797CB8AD538E}" type="presParOf" srcId="{88A77E63-180E-4A0D-AFA8-6D4B3EC94200}" destId="{965C79CC-8ED6-4484-A0AA-999F9EC33ECA}" srcOrd="0" destOrd="0" presId="urn:microsoft.com/office/officeart/2009/3/layout/HorizontalOrganizationChart"/>
    <dgm:cxn modelId="{E05AF41F-8039-45E5-8E33-1370234D514F}" type="presParOf" srcId="{965C79CC-8ED6-4484-A0AA-999F9EC33ECA}" destId="{ED2C42BF-D822-465C-A89D-B7C05B834BE2}" srcOrd="0" destOrd="0" presId="urn:microsoft.com/office/officeart/2009/3/layout/HorizontalOrganizationChart"/>
    <dgm:cxn modelId="{6B5EAF39-E035-4B79-BEA1-ED094540FC07}" type="presParOf" srcId="{965C79CC-8ED6-4484-A0AA-999F9EC33ECA}" destId="{82BEFFC8-2FD9-46DD-B715-84FEDA7C654F}" srcOrd="1" destOrd="0" presId="urn:microsoft.com/office/officeart/2009/3/layout/HorizontalOrganizationChart"/>
    <dgm:cxn modelId="{30A4A236-7B6A-4113-98D5-A09092ADF65D}" type="presParOf" srcId="{88A77E63-180E-4A0D-AFA8-6D4B3EC94200}" destId="{A3F384D1-3ADC-4BDD-B8B6-C69CAD51C0D1}" srcOrd="1" destOrd="0" presId="urn:microsoft.com/office/officeart/2009/3/layout/HorizontalOrganizationChart"/>
    <dgm:cxn modelId="{6FA285A7-315C-4FAD-A48A-FD6D2F60FE49}" type="presParOf" srcId="{A3F384D1-3ADC-4BDD-B8B6-C69CAD51C0D1}" destId="{44474100-BEE4-447F-A9B6-875D5D0C6BE5}" srcOrd="0" destOrd="0" presId="urn:microsoft.com/office/officeart/2009/3/layout/HorizontalOrganizationChart"/>
    <dgm:cxn modelId="{2DCCF5F6-C855-4437-9C1F-8DD9F0EBF9BF}" type="presParOf" srcId="{A3F384D1-3ADC-4BDD-B8B6-C69CAD51C0D1}" destId="{381A80CB-0D20-43FA-A1B8-E6E347F86974}" srcOrd="1" destOrd="0" presId="urn:microsoft.com/office/officeart/2009/3/layout/HorizontalOrganizationChart"/>
    <dgm:cxn modelId="{C716B129-835A-470A-AC02-14EC31ECBD48}" type="presParOf" srcId="{381A80CB-0D20-43FA-A1B8-E6E347F86974}" destId="{8ED69FD7-7749-48B5-BA3C-18EDE87AA30C}" srcOrd="0" destOrd="0" presId="urn:microsoft.com/office/officeart/2009/3/layout/HorizontalOrganizationChart"/>
    <dgm:cxn modelId="{BD9816FB-B135-4573-9465-C295851596B3}" type="presParOf" srcId="{8ED69FD7-7749-48B5-BA3C-18EDE87AA30C}" destId="{185B587D-C3A4-4BFB-BEDA-51CCB0D1A97C}" srcOrd="0" destOrd="0" presId="urn:microsoft.com/office/officeart/2009/3/layout/HorizontalOrganizationChart"/>
    <dgm:cxn modelId="{0FF33E86-3AA0-4024-A74B-ABDC3A11B4E1}" type="presParOf" srcId="{8ED69FD7-7749-48B5-BA3C-18EDE87AA30C}" destId="{AEFA61D9-FAF7-41C0-8E66-DFF92F4C7756}" srcOrd="1" destOrd="0" presId="urn:microsoft.com/office/officeart/2009/3/layout/HorizontalOrganizationChart"/>
    <dgm:cxn modelId="{982E9B7B-5048-416F-A83C-6D359B3E185E}" type="presParOf" srcId="{381A80CB-0D20-43FA-A1B8-E6E347F86974}" destId="{4B30B8FE-AD46-4BEA-A53C-8B8C194AB02C}" srcOrd="1" destOrd="0" presId="urn:microsoft.com/office/officeart/2009/3/layout/HorizontalOrganizationChart"/>
    <dgm:cxn modelId="{C903C44E-FAF3-4007-B936-92A25854BBAC}" type="presParOf" srcId="{381A80CB-0D20-43FA-A1B8-E6E347F86974}" destId="{6112C09F-B0CF-4329-9286-0ED45F140253}" srcOrd="2" destOrd="0" presId="urn:microsoft.com/office/officeart/2009/3/layout/HorizontalOrganizationChart"/>
    <dgm:cxn modelId="{5540003F-E561-4DC7-91B4-63B4885CD270}" type="presParOf" srcId="{A3F384D1-3ADC-4BDD-B8B6-C69CAD51C0D1}" destId="{F4643635-C34D-4F7A-9A9F-16DD4BF277D8}" srcOrd="2" destOrd="0" presId="urn:microsoft.com/office/officeart/2009/3/layout/HorizontalOrganizationChart"/>
    <dgm:cxn modelId="{1DD3FDDE-2B29-4C49-AE81-E457A5964BC1}" type="presParOf" srcId="{A3F384D1-3ADC-4BDD-B8B6-C69CAD51C0D1}" destId="{88C931BA-90D8-47F5-B89C-864FCECBA32D}" srcOrd="3" destOrd="0" presId="urn:microsoft.com/office/officeart/2009/3/layout/HorizontalOrganizationChart"/>
    <dgm:cxn modelId="{1DE4A3E1-3527-4F1C-844C-9140333F02D6}" type="presParOf" srcId="{88C931BA-90D8-47F5-B89C-864FCECBA32D}" destId="{25AB4C61-202B-4145-B7AB-DC4D914D7624}" srcOrd="0" destOrd="0" presId="urn:microsoft.com/office/officeart/2009/3/layout/HorizontalOrganizationChart"/>
    <dgm:cxn modelId="{EA684304-9A68-400D-BCBC-A8CA49AC5DAC}" type="presParOf" srcId="{25AB4C61-202B-4145-B7AB-DC4D914D7624}" destId="{D58DDC79-237C-43FD-A9DE-4FEF11EE0685}" srcOrd="0" destOrd="0" presId="urn:microsoft.com/office/officeart/2009/3/layout/HorizontalOrganizationChart"/>
    <dgm:cxn modelId="{A0B942E2-F3CD-4330-B704-6FAA2AF6AD0B}" type="presParOf" srcId="{25AB4C61-202B-4145-B7AB-DC4D914D7624}" destId="{C7609A0A-387B-4EBA-98C9-F071ADFE42E7}" srcOrd="1" destOrd="0" presId="urn:microsoft.com/office/officeart/2009/3/layout/HorizontalOrganizationChart"/>
    <dgm:cxn modelId="{5C377DC0-477E-4059-ACAA-A1AAFAEBABEF}" type="presParOf" srcId="{88C931BA-90D8-47F5-B89C-864FCECBA32D}" destId="{7371BC27-A748-4C28-AB56-3622F91FD90B}" srcOrd="1" destOrd="0" presId="urn:microsoft.com/office/officeart/2009/3/layout/HorizontalOrganizationChart"/>
    <dgm:cxn modelId="{88AEE804-8E25-4EFC-863E-374F73200798}" type="presParOf" srcId="{88C931BA-90D8-47F5-B89C-864FCECBA32D}" destId="{7578276A-18C4-4254-8967-BAFCD9E8FA17}" srcOrd="2" destOrd="0" presId="urn:microsoft.com/office/officeart/2009/3/layout/HorizontalOrganizationChart"/>
    <dgm:cxn modelId="{87CA613B-A94E-481F-AD88-8BBA3F51B614}" type="presParOf" srcId="{A3F384D1-3ADC-4BDD-B8B6-C69CAD51C0D1}" destId="{C849229B-F0E4-4B3D-B674-1F8E99868B89}" srcOrd="4" destOrd="0" presId="urn:microsoft.com/office/officeart/2009/3/layout/HorizontalOrganizationChart"/>
    <dgm:cxn modelId="{6B547E0E-D697-46AB-AF1F-56A7289C572B}" type="presParOf" srcId="{A3F384D1-3ADC-4BDD-B8B6-C69CAD51C0D1}" destId="{80B0274E-C983-481E-BC98-9324F3833815}" srcOrd="5" destOrd="0" presId="urn:microsoft.com/office/officeart/2009/3/layout/HorizontalOrganizationChart"/>
    <dgm:cxn modelId="{70AE7A85-0ADC-4DCC-B919-60AD068EC92A}" type="presParOf" srcId="{80B0274E-C983-481E-BC98-9324F3833815}" destId="{EDB9DC6C-BA50-4695-8C52-A863F5CD99BC}" srcOrd="0" destOrd="0" presId="urn:microsoft.com/office/officeart/2009/3/layout/HorizontalOrganizationChart"/>
    <dgm:cxn modelId="{59BCDD7D-C620-4F84-BCE7-CE1852B00502}" type="presParOf" srcId="{EDB9DC6C-BA50-4695-8C52-A863F5CD99BC}" destId="{405EC680-938F-4B77-B2F3-3C7ECC4C8294}" srcOrd="0" destOrd="0" presId="urn:microsoft.com/office/officeart/2009/3/layout/HorizontalOrganizationChart"/>
    <dgm:cxn modelId="{0FE75A0F-E896-48E9-BE88-0B517BA69A94}" type="presParOf" srcId="{EDB9DC6C-BA50-4695-8C52-A863F5CD99BC}" destId="{898AFE75-1BF1-4972-AE6F-340F66B508E8}" srcOrd="1" destOrd="0" presId="urn:microsoft.com/office/officeart/2009/3/layout/HorizontalOrganizationChart"/>
    <dgm:cxn modelId="{78C414A1-5D97-4127-A88C-8EFB70AF1BD7}" type="presParOf" srcId="{80B0274E-C983-481E-BC98-9324F3833815}" destId="{6FF80A30-AAEC-44C8-83FA-3B75354C156B}" srcOrd="1" destOrd="0" presId="urn:microsoft.com/office/officeart/2009/3/layout/HorizontalOrganizationChart"/>
    <dgm:cxn modelId="{D2679B04-789B-442F-B74D-AB7AC8422744}" type="presParOf" srcId="{80B0274E-C983-481E-BC98-9324F3833815}" destId="{684B7720-5B80-4B2B-8C32-96BB5F3F7670}" srcOrd="2" destOrd="0" presId="urn:microsoft.com/office/officeart/2009/3/layout/HorizontalOrganizationChart"/>
    <dgm:cxn modelId="{B9B6BDD8-743E-4909-82C6-51440B3167F8}" type="presParOf" srcId="{88A77E63-180E-4A0D-AFA8-6D4B3EC94200}" destId="{848637E5-86FC-42EF-B69E-FD385744771A}" srcOrd="2" destOrd="0" presId="urn:microsoft.com/office/officeart/2009/3/layout/HorizontalOrganizationChart"/>
    <dgm:cxn modelId="{4DDF4F77-4D10-438B-8EC3-2F67D9CAFB68}" type="presParOf" srcId="{8234CE8E-653A-4E66-BC7D-68F893DA88DD}" destId="{3D2D3EA4-3A31-4934-BA96-0CB1C5EFE267}" srcOrd="2" destOrd="0" presId="urn:microsoft.com/office/officeart/2009/3/layout/Horizontal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2C12725-4B51-6D46-8DFA-7E3CDFDCF707}" type="doc">
      <dgm:prSet loTypeId="urn:microsoft.com/office/officeart/2005/8/layout/vProcess5" loCatId="" qsTypeId="urn:microsoft.com/office/officeart/2005/8/quickstyle/simple2" qsCatId="simple" csTypeId="urn:microsoft.com/office/officeart/2005/8/colors/accent1_1" csCatId="accent1" phldr="1"/>
      <dgm:spPr/>
      <dgm:t>
        <a:bodyPr/>
        <a:lstStyle/>
        <a:p>
          <a:endParaRPr lang="es-MX"/>
        </a:p>
      </dgm:t>
    </dgm:pt>
    <dgm:pt modelId="{3A403F37-57E2-0E4B-B1A9-02A56C89227C}">
      <dgm:prSet phldrT="[Texto]"/>
      <dgm:spPr/>
      <dgm:t>
        <a:bodyPr/>
        <a:lstStyle/>
        <a:p>
          <a:r>
            <a:rPr lang="es-MX">
              <a:latin typeface="Times New Roman" panose="02020603050405020304" pitchFamily="18" charset="0"/>
              <a:cs typeface="Times New Roman" panose="02020603050405020304" pitchFamily="18" charset="0"/>
            </a:rPr>
            <a:t>La selección de segundo orden no hace parte del acuerdo final de paz. Lo desconoce y constituye perfidia o traición.</a:t>
          </a:r>
        </a:p>
      </dgm:t>
    </dgm:pt>
    <dgm:pt modelId="{48899488-7701-5343-BB15-9704F4F4E768}" type="parTrans" cxnId="{8B69A806-1AB7-C94D-BF37-CBB0DCCF4A4B}">
      <dgm:prSet/>
      <dgm:spPr/>
      <dgm:t>
        <a:bodyPr/>
        <a:lstStyle/>
        <a:p>
          <a:endParaRPr lang="es-MX"/>
        </a:p>
      </dgm:t>
    </dgm:pt>
    <dgm:pt modelId="{79517DD0-592A-ED44-A6F3-89DFBE6DE66C}" type="sibTrans" cxnId="{8B69A806-1AB7-C94D-BF37-CBB0DCCF4A4B}">
      <dgm:prSet/>
      <dgm:spPr/>
      <dgm:t>
        <a:bodyPr/>
        <a:lstStyle/>
        <a:p>
          <a:endParaRPr lang="es-MX"/>
        </a:p>
      </dgm:t>
    </dgm:pt>
    <dgm:pt modelId="{6ECAEECC-0D1C-A04A-B815-EA8ECA4833A5}">
      <dgm:prSet phldrT="[Texto]"/>
      <dgm:spPr/>
      <dgm:t>
        <a:bodyPr/>
        <a:lstStyle/>
        <a:p>
          <a:r>
            <a:rPr lang="es-MX">
              <a:latin typeface="Times New Roman" panose="02020603050405020304" pitchFamily="18" charset="0"/>
              <a:cs typeface="Times New Roman" panose="02020603050405020304" pitchFamily="18" charset="0"/>
            </a:rPr>
            <a:t>La selección de segundo orden es un obstáculo para el cumplimiento de lo pactado. Genera el riesgo de que los comparecientes que esperan la </a:t>
          </a:r>
          <a:r>
            <a:rPr lang="es-MX" baseline="0">
              <a:latin typeface="Times New Roman" panose="02020603050405020304" pitchFamily="18" charset="0"/>
              <a:cs typeface="Times New Roman" panose="02020603050405020304" pitchFamily="18" charset="0"/>
            </a:rPr>
            <a:t>definición</a:t>
          </a:r>
          <a:r>
            <a:rPr lang="es-MX">
              <a:latin typeface="Times New Roman" panose="02020603050405020304" pitchFamily="18" charset="0"/>
              <a:cs typeface="Times New Roman" panose="02020603050405020304" pitchFamily="18" charset="0"/>
            </a:rPr>
            <a:t> de la situación jurídica vuelvan al conflicto.</a:t>
          </a:r>
        </a:p>
      </dgm:t>
    </dgm:pt>
    <dgm:pt modelId="{2CEEF949-6819-5C46-A9E5-6646BE94F576}" type="parTrans" cxnId="{D418FCCC-375E-C041-83AF-73006D67D828}">
      <dgm:prSet/>
      <dgm:spPr/>
      <dgm:t>
        <a:bodyPr/>
        <a:lstStyle/>
        <a:p>
          <a:endParaRPr lang="es-MX"/>
        </a:p>
      </dgm:t>
    </dgm:pt>
    <dgm:pt modelId="{6B2412C6-2418-6246-AD46-67C15AA03A5A}" type="sibTrans" cxnId="{D418FCCC-375E-C041-83AF-73006D67D828}">
      <dgm:prSet/>
      <dgm:spPr/>
      <dgm:t>
        <a:bodyPr/>
        <a:lstStyle/>
        <a:p>
          <a:endParaRPr lang="es-MX"/>
        </a:p>
      </dgm:t>
    </dgm:pt>
    <dgm:pt modelId="{E7A92BD8-9E2A-B047-9187-7A1CCB2AE3A5}">
      <dgm:prSet phldrT="[Texto]"/>
      <dgm:spPr/>
      <dgm:t>
        <a:bodyPr/>
        <a:lstStyle/>
        <a:p>
          <a:pPr>
            <a:buClr>
              <a:srgbClr val="000000"/>
            </a:buClr>
            <a:buSzPts val="1400"/>
            <a:buFont typeface="+mj-lt"/>
            <a:buAutoNum type="arabicPeriod"/>
          </a:pPr>
          <a:r>
            <a:rPr lang="es-ES">
              <a:latin typeface="Times New Roman" panose="02020603050405020304" pitchFamily="18" charset="0"/>
              <a:cs typeface="Times New Roman" panose="02020603050405020304" pitchFamily="18" charset="0"/>
            </a:rPr>
            <a:t>La JEP no tiene competencia para crear la selección de segundo orden, ni funciones en cabeza de la Sala de Definición de Situaciones Jurídicas.</a:t>
          </a:r>
          <a:endParaRPr lang="es-MX">
            <a:latin typeface="Times New Roman" panose="02020603050405020304" pitchFamily="18" charset="0"/>
            <a:cs typeface="Times New Roman" panose="02020603050405020304" pitchFamily="18" charset="0"/>
          </a:endParaRPr>
        </a:p>
      </dgm:t>
    </dgm:pt>
    <dgm:pt modelId="{F1FAF1E0-BC84-6A46-AD9C-B41FF5087D6C}" type="parTrans" cxnId="{FB35BAE1-FD86-5142-B82A-72B42D5893D8}">
      <dgm:prSet/>
      <dgm:spPr/>
      <dgm:t>
        <a:bodyPr/>
        <a:lstStyle/>
        <a:p>
          <a:endParaRPr lang="es-MX"/>
        </a:p>
      </dgm:t>
    </dgm:pt>
    <dgm:pt modelId="{974E35AA-F330-504A-B65E-880F92ED4E44}" type="sibTrans" cxnId="{FB35BAE1-FD86-5142-B82A-72B42D5893D8}">
      <dgm:prSet/>
      <dgm:spPr/>
      <dgm:t>
        <a:bodyPr/>
        <a:lstStyle/>
        <a:p>
          <a:endParaRPr lang="es-MX"/>
        </a:p>
      </dgm:t>
    </dgm:pt>
    <dgm:pt modelId="{2C1906B5-8D27-F84E-87CB-9EA5BAFA3F4C}">
      <dgm:prSet/>
      <dgm:spPr/>
      <dgm:t>
        <a:bodyPr/>
        <a:lstStyle/>
        <a:p>
          <a:pPr>
            <a:buClr>
              <a:srgbClr val="000000"/>
            </a:buClr>
            <a:buSzPts val="1400"/>
            <a:buFont typeface="+mj-lt"/>
            <a:buAutoNum type="arabicPeriod"/>
          </a:pPr>
          <a:r>
            <a:rPr lang="es-CO">
              <a:latin typeface="Times New Roman" panose="02020603050405020304" pitchFamily="18" charset="0"/>
              <a:cs typeface="Times New Roman" panose="02020603050405020304" pitchFamily="18" charset="0"/>
            </a:rPr>
            <a:t>La</a:t>
          </a:r>
          <a:r>
            <a:rPr lang="es-CO" baseline="0">
              <a:latin typeface="Times New Roman" panose="02020603050405020304" pitchFamily="18" charset="0"/>
              <a:cs typeface="Times New Roman" panose="02020603050405020304" pitchFamily="18" charset="0"/>
            </a:rPr>
            <a:t> Sección de Apelación no tiene competencia para dictar sentencias interpretativas. Solo debe aplicar las normas de implementación existentes.</a:t>
          </a:r>
          <a:endParaRPr lang="es-CO">
            <a:latin typeface="Times New Roman" panose="02020603050405020304" pitchFamily="18" charset="0"/>
            <a:cs typeface="Times New Roman" panose="02020603050405020304" pitchFamily="18" charset="0"/>
          </a:endParaRPr>
        </a:p>
      </dgm:t>
    </dgm:pt>
    <dgm:pt modelId="{08AD1A6D-2161-BF45-B97F-8170C61910F1}" type="parTrans" cxnId="{D4139E5C-3F69-AA45-828D-E647D00AA13B}">
      <dgm:prSet/>
      <dgm:spPr/>
      <dgm:t>
        <a:bodyPr/>
        <a:lstStyle/>
        <a:p>
          <a:endParaRPr lang="es-MX"/>
        </a:p>
      </dgm:t>
    </dgm:pt>
    <dgm:pt modelId="{67F6D1FD-A06C-8447-BB6A-8EC526AD1208}" type="sibTrans" cxnId="{D4139E5C-3F69-AA45-828D-E647D00AA13B}">
      <dgm:prSet/>
      <dgm:spPr/>
      <dgm:t>
        <a:bodyPr/>
        <a:lstStyle/>
        <a:p>
          <a:endParaRPr lang="es-MX"/>
        </a:p>
      </dgm:t>
    </dgm:pt>
    <dgm:pt modelId="{E73D32FA-1490-C040-9A92-B4C1D83DFBB3}" type="pres">
      <dgm:prSet presAssocID="{72C12725-4B51-6D46-8DFA-7E3CDFDCF707}" presName="outerComposite" presStyleCnt="0">
        <dgm:presLayoutVars>
          <dgm:chMax val="5"/>
          <dgm:dir/>
          <dgm:resizeHandles val="exact"/>
        </dgm:presLayoutVars>
      </dgm:prSet>
      <dgm:spPr/>
    </dgm:pt>
    <dgm:pt modelId="{C7A0062B-0720-2946-AF73-DB2389BEE7F3}" type="pres">
      <dgm:prSet presAssocID="{72C12725-4B51-6D46-8DFA-7E3CDFDCF707}" presName="dummyMaxCanvas" presStyleCnt="0">
        <dgm:presLayoutVars/>
      </dgm:prSet>
      <dgm:spPr/>
    </dgm:pt>
    <dgm:pt modelId="{04961C0C-94B2-5D43-B70C-72B51186CD06}" type="pres">
      <dgm:prSet presAssocID="{72C12725-4B51-6D46-8DFA-7E3CDFDCF707}" presName="FourNodes_1" presStyleLbl="node1" presStyleIdx="0" presStyleCnt="4" custLinFactNeighborY="-5865">
        <dgm:presLayoutVars>
          <dgm:bulletEnabled val="1"/>
        </dgm:presLayoutVars>
      </dgm:prSet>
      <dgm:spPr/>
    </dgm:pt>
    <dgm:pt modelId="{B64103EB-3C60-3A42-AE35-9483E655FCC7}" type="pres">
      <dgm:prSet presAssocID="{72C12725-4B51-6D46-8DFA-7E3CDFDCF707}" presName="FourNodes_2" presStyleLbl="node1" presStyleIdx="1" presStyleCnt="4">
        <dgm:presLayoutVars>
          <dgm:bulletEnabled val="1"/>
        </dgm:presLayoutVars>
      </dgm:prSet>
      <dgm:spPr/>
    </dgm:pt>
    <dgm:pt modelId="{CD7F36F1-9267-2A44-AB38-5BB1F2E60E95}" type="pres">
      <dgm:prSet presAssocID="{72C12725-4B51-6D46-8DFA-7E3CDFDCF707}" presName="FourNodes_3" presStyleLbl="node1" presStyleIdx="2" presStyleCnt="4">
        <dgm:presLayoutVars>
          <dgm:bulletEnabled val="1"/>
        </dgm:presLayoutVars>
      </dgm:prSet>
      <dgm:spPr/>
    </dgm:pt>
    <dgm:pt modelId="{379509FD-436C-E845-88B2-4A0D15736F1F}" type="pres">
      <dgm:prSet presAssocID="{72C12725-4B51-6D46-8DFA-7E3CDFDCF707}" presName="FourNodes_4" presStyleLbl="node1" presStyleIdx="3" presStyleCnt="4">
        <dgm:presLayoutVars>
          <dgm:bulletEnabled val="1"/>
        </dgm:presLayoutVars>
      </dgm:prSet>
      <dgm:spPr/>
    </dgm:pt>
    <dgm:pt modelId="{28319C93-7C70-774F-8544-C33E45611011}" type="pres">
      <dgm:prSet presAssocID="{72C12725-4B51-6D46-8DFA-7E3CDFDCF707}" presName="FourConn_1-2" presStyleLbl="fgAccFollowNode1" presStyleIdx="0" presStyleCnt="3">
        <dgm:presLayoutVars>
          <dgm:bulletEnabled val="1"/>
        </dgm:presLayoutVars>
      </dgm:prSet>
      <dgm:spPr/>
    </dgm:pt>
    <dgm:pt modelId="{5AA2F930-3257-4549-BC11-0C219759855C}" type="pres">
      <dgm:prSet presAssocID="{72C12725-4B51-6D46-8DFA-7E3CDFDCF707}" presName="FourConn_2-3" presStyleLbl="fgAccFollowNode1" presStyleIdx="1" presStyleCnt="3">
        <dgm:presLayoutVars>
          <dgm:bulletEnabled val="1"/>
        </dgm:presLayoutVars>
      </dgm:prSet>
      <dgm:spPr/>
    </dgm:pt>
    <dgm:pt modelId="{6C447C3E-0BC5-4D4B-9582-60D06E927A8F}" type="pres">
      <dgm:prSet presAssocID="{72C12725-4B51-6D46-8DFA-7E3CDFDCF707}" presName="FourConn_3-4" presStyleLbl="fgAccFollowNode1" presStyleIdx="2" presStyleCnt="3">
        <dgm:presLayoutVars>
          <dgm:bulletEnabled val="1"/>
        </dgm:presLayoutVars>
      </dgm:prSet>
      <dgm:spPr/>
    </dgm:pt>
    <dgm:pt modelId="{327642EE-D297-7B47-B67A-C967B2071076}" type="pres">
      <dgm:prSet presAssocID="{72C12725-4B51-6D46-8DFA-7E3CDFDCF707}" presName="FourNodes_1_text" presStyleLbl="node1" presStyleIdx="3" presStyleCnt="4">
        <dgm:presLayoutVars>
          <dgm:bulletEnabled val="1"/>
        </dgm:presLayoutVars>
      </dgm:prSet>
      <dgm:spPr/>
    </dgm:pt>
    <dgm:pt modelId="{E2B9F709-D044-4E42-88BB-76895B2A1840}" type="pres">
      <dgm:prSet presAssocID="{72C12725-4B51-6D46-8DFA-7E3CDFDCF707}" presName="FourNodes_2_text" presStyleLbl="node1" presStyleIdx="3" presStyleCnt="4">
        <dgm:presLayoutVars>
          <dgm:bulletEnabled val="1"/>
        </dgm:presLayoutVars>
      </dgm:prSet>
      <dgm:spPr/>
    </dgm:pt>
    <dgm:pt modelId="{9AE7FF7E-40E1-AF46-8CFD-5BB35BAB5B54}" type="pres">
      <dgm:prSet presAssocID="{72C12725-4B51-6D46-8DFA-7E3CDFDCF707}" presName="FourNodes_3_text" presStyleLbl="node1" presStyleIdx="3" presStyleCnt="4">
        <dgm:presLayoutVars>
          <dgm:bulletEnabled val="1"/>
        </dgm:presLayoutVars>
      </dgm:prSet>
      <dgm:spPr/>
    </dgm:pt>
    <dgm:pt modelId="{E8314C43-D788-E545-B3A0-73355C5A238B}" type="pres">
      <dgm:prSet presAssocID="{72C12725-4B51-6D46-8DFA-7E3CDFDCF707}" presName="FourNodes_4_text" presStyleLbl="node1" presStyleIdx="3" presStyleCnt="4">
        <dgm:presLayoutVars>
          <dgm:bulletEnabled val="1"/>
        </dgm:presLayoutVars>
      </dgm:prSet>
      <dgm:spPr/>
    </dgm:pt>
  </dgm:ptLst>
  <dgm:cxnLst>
    <dgm:cxn modelId="{8B69A806-1AB7-C94D-BF37-CBB0DCCF4A4B}" srcId="{72C12725-4B51-6D46-8DFA-7E3CDFDCF707}" destId="{3A403F37-57E2-0E4B-B1A9-02A56C89227C}" srcOrd="0" destOrd="0" parTransId="{48899488-7701-5343-BB15-9704F4F4E768}" sibTransId="{79517DD0-592A-ED44-A6F3-89DFBE6DE66C}"/>
    <dgm:cxn modelId="{D190C025-02F9-B14F-A944-97417148DBC4}" type="presOf" srcId="{79517DD0-592A-ED44-A6F3-89DFBE6DE66C}" destId="{28319C93-7C70-774F-8544-C33E45611011}" srcOrd="0" destOrd="0" presId="urn:microsoft.com/office/officeart/2005/8/layout/vProcess5"/>
    <dgm:cxn modelId="{EBAF1D36-9F65-2A4F-A319-76D27365F9C4}" type="presOf" srcId="{E7A92BD8-9E2A-B047-9187-7A1CCB2AE3A5}" destId="{9AE7FF7E-40E1-AF46-8CFD-5BB35BAB5B54}" srcOrd="1" destOrd="0" presId="urn:microsoft.com/office/officeart/2005/8/layout/vProcess5"/>
    <dgm:cxn modelId="{D4139E5C-3F69-AA45-828D-E647D00AA13B}" srcId="{72C12725-4B51-6D46-8DFA-7E3CDFDCF707}" destId="{2C1906B5-8D27-F84E-87CB-9EA5BAFA3F4C}" srcOrd="3" destOrd="0" parTransId="{08AD1A6D-2161-BF45-B97F-8170C61910F1}" sibTransId="{67F6D1FD-A06C-8447-BB6A-8EC526AD1208}"/>
    <dgm:cxn modelId="{D494D841-4D0A-544C-A9EE-97A99CFBAD38}" type="presOf" srcId="{974E35AA-F330-504A-B65E-880F92ED4E44}" destId="{6C447C3E-0BC5-4D4B-9582-60D06E927A8F}" srcOrd="0" destOrd="0" presId="urn:microsoft.com/office/officeart/2005/8/layout/vProcess5"/>
    <dgm:cxn modelId="{B708066B-2A1D-7A4A-8A21-9287B39AB958}" type="presOf" srcId="{2C1906B5-8D27-F84E-87CB-9EA5BAFA3F4C}" destId="{E8314C43-D788-E545-B3A0-73355C5A238B}" srcOrd="1" destOrd="0" presId="urn:microsoft.com/office/officeart/2005/8/layout/vProcess5"/>
    <dgm:cxn modelId="{BDBC2C84-09E5-FA47-93F6-E49D83DEB549}" type="presOf" srcId="{6ECAEECC-0D1C-A04A-B815-EA8ECA4833A5}" destId="{B64103EB-3C60-3A42-AE35-9483E655FCC7}" srcOrd="0" destOrd="0" presId="urn:microsoft.com/office/officeart/2005/8/layout/vProcess5"/>
    <dgm:cxn modelId="{A50B0591-5D19-A749-BD0E-7E9179924BB0}" type="presOf" srcId="{3A403F37-57E2-0E4B-B1A9-02A56C89227C}" destId="{327642EE-D297-7B47-B67A-C967B2071076}" srcOrd="1" destOrd="0" presId="urn:microsoft.com/office/officeart/2005/8/layout/vProcess5"/>
    <dgm:cxn modelId="{EE30999A-36D5-EC45-8704-D91E27E51387}" type="presOf" srcId="{2C1906B5-8D27-F84E-87CB-9EA5BAFA3F4C}" destId="{379509FD-436C-E845-88B2-4A0D15736F1F}" srcOrd="0" destOrd="0" presId="urn:microsoft.com/office/officeart/2005/8/layout/vProcess5"/>
    <dgm:cxn modelId="{A43492B4-3EA1-7945-93CE-4DDFECE45E24}" type="presOf" srcId="{72C12725-4B51-6D46-8DFA-7E3CDFDCF707}" destId="{E73D32FA-1490-C040-9A92-B4C1D83DFBB3}" srcOrd="0" destOrd="0" presId="urn:microsoft.com/office/officeart/2005/8/layout/vProcess5"/>
    <dgm:cxn modelId="{16A9ECB4-D0C0-084E-81F9-466F10D118BF}" type="presOf" srcId="{E7A92BD8-9E2A-B047-9187-7A1CCB2AE3A5}" destId="{CD7F36F1-9267-2A44-AB38-5BB1F2E60E95}" srcOrd="0" destOrd="0" presId="urn:microsoft.com/office/officeart/2005/8/layout/vProcess5"/>
    <dgm:cxn modelId="{56786EB6-A540-8A46-9F49-F5F8E260E0DA}" type="presOf" srcId="{6ECAEECC-0D1C-A04A-B815-EA8ECA4833A5}" destId="{E2B9F709-D044-4E42-88BB-76895B2A1840}" srcOrd="1" destOrd="0" presId="urn:microsoft.com/office/officeart/2005/8/layout/vProcess5"/>
    <dgm:cxn modelId="{3413B6BA-3A68-CA4F-937D-D1C1EE4C73A1}" type="presOf" srcId="{3A403F37-57E2-0E4B-B1A9-02A56C89227C}" destId="{04961C0C-94B2-5D43-B70C-72B51186CD06}" srcOrd="0" destOrd="0" presId="urn:microsoft.com/office/officeart/2005/8/layout/vProcess5"/>
    <dgm:cxn modelId="{20F2D1C7-CB4D-4242-A566-484D50092237}" type="presOf" srcId="{6B2412C6-2418-6246-AD46-67C15AA03A5A}" destId="{5AA2F930-3257-4549-BC11-0C219759855C}" srcOrd="0" destOrd="0" presId="urn:microsoft.com/office/officeart/2005/8/layout/vProcess5"/>
    <dgm:cxn modelId="{D418FCCC-375E-C041-83AF-73006D67D828}" srcId="{72C12725-4B51-6D46-8DFA-7E3CDFDCF707}" destId="{6ECAEECC-0D1C-A04A-B815-EA8ECA4833A5}" srcOrd="1" destOrd="0" parTransId="{2CEEF949-6819-5C46-A9E5-6646BE94F576}" sibTransId="{6B2412C6-2418-6246-AD46-67C15AA03A5A}"/>
    <dgm:cxn modelId="{FB35BAE1-FD86-5142-B82A-72B42D5893D8}" srcId="{72C12725-4B51-6D46-8DFA-7E3CDFDCF707}" destId="{E7A92BD8-9E2A-B047-9187-7A1CCB2AE3A5}" srcOrd="2" destOrd="0" parTransId="{F1FAF1E0-BC84-6A46-AD9C-B41FF5087D6C}" sibTransId="{974E35AA-F330-504A-B65E-880F92ED4E44}"/>
    <dgm:cxn modelId="{417EDCDA-A9B3-8E49-BF34-8286BD32A6A3}" type="presParOf" srcId="{E73D32FA-1490-C040-9A92-B4C1D83DFBB3}" destId="{C7A0062B-0720-2946-AF73-DB2389BEE7F3}" srcOrd="0" destOrd="0" presId="urn:microsoft.com/office/officeart/2005/8/layout/vProcess5"/>
    <dgm:cxn modelId="{1CFC1C9D-854B-A84B-9E3D-FDA8928E4598}" type="presParOf" srcId="{E73D32FA-1490-C040-9A92-B4C1D83DFBB3}" destId="{04961C0C-94B2-5D43-B70C-72B51186CD06}" srcOrd="1" destOrd="0" presId="urn:microsoft.com/office/officeart/2005/8/layout/vProcess5"/>
    <dgm:cxn modelId="{3663A32A-850F-624C-BF20-1B091E6CB62C}" type="presParOf" srcId="{E73D32FA-1490-C040-9A92-B4C1D83DFBB3}" destId="{B64103EB-3C60-3A42-AE35-9483E655FCC7}" srcOrd="2" destOrd="0" presId="urn:microsoft.com/office/officeart/2005/8/layout/vProcess5"/>
    <dgm:cxn modelId="{5E766392-7F92-8846-A864-D37681A70A8B}" type="presParOf" srcId="{E73D32FA-1490-C040-9A92-B4C1D83DFBB3}" destId="{CD7F36F1-9267-2A44-AB38-5BB1F2E60E95}" srcOrd="3" destOrd="0" presId="urn:microsoft.com/office/officeart/2005/8/layout/vProcess5"/>
    <dgm:cxn modelId="{8F37EE40-5B76-594F-A8F8-CA6AA9F14935}" type="presParOf" srcId="{E73D32FA-1490-C040-9A92-B4C1D83DFBB3}" destId="{379509FD-436C-E845-88B2-4A0D15736F1F}" srcOrd="4" destOrd="0" presId="urn:microsoft.com/office/officeart/2005/8/layout/vProcess5"/>
    <dgm:cxn modelId="{D83340C9-C9D0-C046-879A-CB8DCC9E1B5F}" type="presParOf" srcId="{E73D32FA-1490-C040-9A92-B4C1D83DFBB3}" destId="{28319C93-7C70-774F-8544-C33E45611011}" srcOrd="5" destOrd="0" presId="urn:microsoft.com/office/officeart/2005/8/layout/vProcess5"/>
    <dgm:cxn modelId="{D8500369-E76E-374C-B7F5-65F38F617BC5}" type="presParOf" srcId="{E73D32FA-1490-C040-9A92-B4C1D83DFBB3}" destId="{5AA2F930-3257-4549-BC11-0C219759855C}" srcOrd="6" destOrd="0" presId="urn:microsoft.com/office/officeart/2005/8/layout/vProcess5"/>
    <dgm:cxn modelId="{155D07D4-D1AE-2B47-B7B0-7350415BA1F5}" type="presParOf" srcId="{E73D32FA-1490-C040-9A92-B4C1D83DFBB3}" destId="{6C447C3E-0BC5-4D4B-9582-60D06E927A8F}" srcOrd="7" destOrd="0" presId="urn:microsoft.com/office/officeart/2005/8/layout/vProcess5"/>
    <dgm:cxn modelId="{208485CE-86F3-AA4C-849F-D1C6028F31B9}" type="presParOf" srcId="{E73D32FA-1490-C040-9A92-B4C1D83DFBB3}" destId="{327642EE-D297-7B47-B67A-C967B2071076}" srcOrd="8" destOrd="0" presId="urn:microsoft.com/office/officeart/2005/8/layout/vProcess5"/>
    <dgm:cxn modelId="{710B3AE6-6D6A-0045-A443-39C9EDDFCEC5}" type="presParOf" srcId="{E73D32FA-1490-C040-9A92-B4C1D83DFBB3}" destId="{E2B9F709-D044-4E42-88BB-76895B2A1840}" srcOrd="9" destOrd="0" presId="urn:microsoft.com/office/officeart/2005/8/layout/vProcess5"/>
    <dgm:cxn modelId="{25BED0C6-EA41-BE4C-88A4-8B7CD5CE8DDB}" type="presParOf" srcId="{E73D32FA-1490-C040-9A92-B4C1D83DFBB3}" destId="{9AE7FF7E-40E1-AF46-8CFD-5BB35BAB5B54}" srcOrd="10" destOrd="0" presId="urn:microsoft.com/office/officeart/2005/8/layout/vProcess5"/>
    <dgm:cxn modelId="{E206E26E-A5E0-AF47-B927-1C8CC49FEBC2}" type="presParOf" srcId="{E73D32FA-1490-C040-9A92-B4C1D83DFBB3}" destId="{E8314C43-D788-E545-B3A0-73355C5A238B}" srcOrd="11" destOrd="0" presId="urn:microsoft.com/office/officeart/2005/8/layout/vProcess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B1CB69B-14F5-974F-9244-7EFE5CDED4D7}" type="doc">
      <dgm:prSet loTypeId="urn:microsoft.com/office/officeart/2005/8/layout/vProcess5" loCatId="process" qsTypeId="urn:microsoft.com/office/officeart/2005/8/quickstyle/simple2" qsCatId="simple" csTypeId="urn:microsoft.com/office/officeart/2005/8/colors/accent1_1" csCatId="accent1" phldr="1"/>
      <dgm:spPr/>
      <dgm:t>
        <a:bodyPr/>
        <a:lstStyle/>
        <a:p>
          <a:endParaRPr lang="es-MX"/>
        </a:p>
      </dgm:t>
    </dgm:pt>
    <dgm:pt modelId="{DC090D2D-D082-B746-B531-B83167DA73B1}">
      <dgm:prSet phldrT="[Texto]"/>
      <dgm:spPr/>
      <dgm:t>
        <a:bodyPr/>
        <a:lstStyle/>
        <a:p>
          <a:r>
            <a:rPr lang="es-MX">
              <a:latin typeface="Times New Roman" panose="02020603050405020304" pitchFamily="18" charset="0"/>
              <a:cs typeface="Times New Roman" panose="02020603050405020304" pitchFamily="18" charset="0"/>
            </a:rPr>
            <a:t>La Sección de Apelación no creó la selección de segundo orden. Esta hace parte del AFP y sus normas de implementación.</a:t>
          </a:r>
        </a:p>
      </dgm:t>
    </dgm:pt>
    <dgm:pt modelId="{99F01997-BB1E-2F42-9081-421DEB8A6ED0}" type="parTrans" cxnId="{4EFD5511-582C-4049-9DE6-EA8EE754F82B}">
      <dgm:prSet/>
      <dgm:spPr/>
      <dgm:t>
        <a:bodyPr/>
        <a:lstStyle/>
        <a:p>
          <a:endParaRPr lang="es-MX"/>
        </a:p>
      </dgm:t>
    </dgm:pt>
    <dgm:pt modelId="{07EB4D11-6D8E-B047-8EFB-51297F6DE8A4}" type="sibTrans" cxnId="{4EFD5511-582C-4049-9DE6-EA8EE754F82B}">
      <dgm:prSet/>
      <dgm:spPr/>
      <dgm:t>
        <a:bodyPr/>
        <a:lstStyle/>
        <a:p>
          <a:endParaRPr lang="es-MX"/>
        </a:p>
      </dgm:t>
    </dgm:pt>
    <dgm:pt modelId="{826D7FA0-EBF0-A443-BFEC-ADD11ADA2E64}">
      <dgm:prSet phldrT="[Texto]"/>
      <dgm:spPr/>
      <dgm:t>
        <a:bodyPr/>
        <a:lstStyle/>
        <a:p>
          <a:r>
            <a:rPr lang="es-MX">
              <a:latin typeface="Times New Roman" panose="02020603050405020304" pitchFamily="18" charset="0"/>
              <a:cs typeface="Times New Roman" panose="02020603050405020304" pitchFamily="18" charset="0"/>
            </a:rPr>
            <a:t>El derecho internacional de los derechos humanos prohíbe las amnistías o autoamnistías frente a los crímenes más graves. </a:t>
          </a:r>
        </a:p>
      </dgm:t>
    </dgm:pt>
    <dgm:pt modelId="{75D9142C-CFFA-984D-8B7F-938CBBDD32CA}" type="parTrans" cxnId="{EFB9EBDA-DDB7-1F4C-8AD1-C846BDA29C2E}">
      <dgm:prSet/>
      <dgm:spPr/>
      <dgm:t>
        <a:bodyPr/>
        <a:lstStyle/>
        <a:p>
          <a:endParaRPr lang="es-MX"/>
        </a:p>
      </dgm:t>
    </dgm:pt>
    <dgm:pt modelId="{9218BABD-6F68-2B4D-809F-896890F50B31}" type="sibTrans" cxnId="{EFB9EBDA-DDB7-1F4C-8AD1-C846BDA29C2E}">
      <dgm:prSet/>
      <dgm:spPr/>
      <dgm:t>
        <a:bodyPr/>
        <a:lstStyle/>
        <a:p>
          <a:endParaRPr lang="es-MX"/>
        </a:p>
      </dgm:t>
    </dgm:pt>
    <dgm:pt modelId="{CBB6BF25-3BE5-9345-B034-398AF7036F9A}">
      <dgm:prSet phldrT="[Texto]"/>
      <dgm:spPr/>
      <dgm:t>
        <a:bodyPr/>
        <a:lstStyle/>
        <a:p>
          <a:r>
            <a:rPr lang="es-MX">
              <a:latin typeface="Times New Roman" panose="02020603050405020304" pitchFamily="18" charset="0"/>
              <a:cs typeface="Times New Roman" panose="02020603050405020304" pitchFamily="18" charset="0"/>
            </a:rPr>
            <a:t>Las víctimas no tolerarían que no se mantenga la investigación, juzgamiento y sanción de partícipes no determinantes mediante la selección de segundo orden.</a:t>
          </a:r>
        </a:p>
      </dgm:t>
    </dgm:pt>
    <dgm:pt modelId="{E427D73A-A5AA-E94C-B7FD-61143013EC7C}" type="parTrans" cxnId="{B54FFA03-CA14-4741-A643-121E79F5D5FD}">
      <dgm:prSet/>
      <dgm:spPr/>
      <dgm:t>
        <a:bodyPr/>
        <a:lstStyle/>
        <a:p>
          <a:endParaRPr lang="es-MX"/>
        </a:p>
      </dgm:t>
    </dgm:pt>
    <dgm:pt modelId="{BAF6A92B-C762-CD4D-976D-58B1B05E8894}" type="sibTrans" cxnId="{B54FFA03-CA14-4741-A643-121E79F5D5FD}">
      <dgm:prSet/>
      <dgm:spPr/>
      <dgm:t>
        <a:bodyPr/>
        <a:lstStyle/>
        <a:p>
          <a:endParaRPr lang="es-MX"/>
        </a:p>
      </dgm:t>
    </dgm:pt>
    <dgm:pt modelId="{F4B306FA-613A-D049-94F5-BB65564243B0}">
      <dgm:prSet/>
      <dgm:spPr/>
      <dgm:t>
        <a:bodyPr/>
        <a:lstStyle/>
        <a:p>
          <a:r>
            <a:rPr lang="es-MX">
              <a:latin typeface="Times New Roman" panose="02020603050405020304" pitchFamily="18" charset="0"/>
              <a:cs typeface="Times New Roman" panose="02020603050405020304" pitchFamily="18" charset="0"/>
            </a:rPr>
            <a:t>La selección de segundo orden blinda a la jurisdicción del escrutinio de instancias internacionales por evantuales hechos que impliquen impunidad. </a:t>
          </a:r>
        </a:p>
      </dgm:t>
    </dgm:pt>
    <dgm:pt modelId="{37C19BB5-E843-CD44-A16E-076CDD1D53E1}" type="parTrans" cxnId="{CC73AF3A-41DC-F64C-87C5-9740C9D99E52}">
      <dgm:prSet/>
      <dgm:spPr/>
      <dgm:t>
        <a:bodyPr/>
        <a:lstStyle/>
        <a:p>
          <a:endParaRPr lang="es-MX"/>
        </a:p>
      </dgm:t>
    </dgm:pt>
    <dgm:pt modelId="{7798D53C-2410-E24F-BA7C-C92408A75BA2}" type="sibTrans" cxnId="{CC73AF3A-41DC-F64C-87C5-9740C9D99E52}">
      <dgm:prSet/>
      <dgm:spPr/>
      <dgm:t>
        <a:bodyPr/>
        <a:lstStyle/>
        <a:p>
          <a:endParaRPr lang="es-MX"/>
        </a:p>
      </dgm:t>
    </dgm:pt>
    <dgm:pt modelId="{9501AB10-C8B5-2C40-B78E-46655A09D098}">
      <dgm:prSet/>
      <dgm:spPr/>
      <dgm:t>
        <a:bodyPr/>
        <a:lstStyle/>
        <a:p>
          <a:r>
            <a:rPr lang="es-MX">
              <a:latin typeface="Times New Roman" panose="02020603050405020304" pitchFamily="18" charset="0"/>
              <a:cs typeface="Times New Roman" panose="02020603050405020304" pitchFamily="18" charset="0"/>
            </a:rPr>
            <a:t>La Sección de Apelación es intérprete autorizada de las normas de implementación y </a:t>
          </a:r>
        </a:p>
      </dgm:t>
    </dgm:pt>
    <dgm:pt modelId="{6D163BB7-8FDB-E147-807F-C9BF1188BA65}" type="parTrans" cxnId="{F5A8FE70-9887-D141-96EF-45C1F624EEA7}">
      <dgm:prSet/>
      <dgm:spPr/>
      <dgm:t>
        <a:bodyPr/>
        <a:lstStyle/>
        <a:p>
          <a:endParaRPr lang="es-MX"/>
        </a:p>
      </dgm:t>
    </dgm:pt>
    <dgm:pt modelId="{BCB0B80D-12B8-DB43-9A89-D71483F324ED}" type="sibTrans" cxnId="{F5A8FE70-9887-D141-96EF-45C1F624EEA7}">
      <dgm:prSet/>
      <dgm:spPr/>
      <dgm:t>
        <a:bodyPr/>
        <a:lstStyle/>
        <a:p>
          <a:endParaRPr lang="es-MX"/>
        </a:p>
      </dgm:t>
    </dgm:pt>
    <dgm:pt modelId="{613AF8BD-F969-CF4B-9BC9-CDE488A54806}" type="pres">
      <dgm:prSet presAssocID="{BB1CB69B-14F5-974F-9244-7EFE5CDED4D7}" presName="outerComposite" presStyleCnt="0">
        <dgm:presLayoutVars>
          <dgm:chMax val="5"/>
          <dgm:dir/>
          <dgm:resizeHandles val="exact"/>
        </dgm:presLayoutVars>
      </dgm:prSet>
      <dgm:spPr/>
    </dgm:pt>
    <dgm:pt modelId="{E24C191D-F217-0A40-949C-D3A0A962DCDB}" type="pres">
      <dgm:prSet presAssocID="{BB1CB69B-14F5-974F-9244-7EFE5CDED4D7}" presName="dummyMaxCanvas" presStyleCnt="0">
        <dgm:presLayoutVars/>
      </dgm:prSet>
      <dgm:spPr/>
    </dgm:pt>
    <dgm:pt modelId="{33AF40AC-576E-EA4A-82A4-1F2C42BD5DA9}" type="pres">
      <dgm:prSet presAssocID="{BB1CB69B-14F5-974F-9244-7EFE5CDED4D7}" presName="FiveNodes_1" presStyleLbl="node1" presStyleIdx="0" presStyleCnt="5">
        <dgm:presLayoutVars>
          <dgm:bulletEnabled val="1"/>
        </dgm:presLayoutVars>
      </dgm:prSet>
      <dgm:spPr/>
    </dgm:pt>
    <dgm:pt modelId="{3B6382EC-E2DE-3542-8828-C162F3B19F11}" type="pres">
      <dgm:prSet presAssocID="{BB1CB69B-14F5-974F-9244-7EFE5CDED4D7}" presName="FiveNodes_2" presStyleLbl="node1" presStyleIdx="1" presStyleCnt="5">
        <dgm:presLayoutVars>
          <dgm:bulletEnabled val="1"/>
        </dgm:presLayoutVars>
      </dgm:prSet>
      <dgm:spPr/>
    </dgm:pt>
    <dgm:pt modelId="{CC159A9C-637F-0546-81BD-55BEA030EE58}" type="pres">
      <dgm:prSet presAssocID="{BB1CB69B-14F5-974F-9244-7EFE5CDED4D7}" presName="FiveNodes_3" presStyleLbl="node1" presStyleIdx="2" presStyleCnt="5">
        <dgm:presLayoutVars>
          <dgm:bulletEnabled val="1"/>
        </dgm:presLayoutVars>
      </dgm:prSet>
      <dgm:spPr/>
    </dgm:pt>
    <dgm:pt modelId="{0A21B428-0C2D-9744-8C7F-C6E31637B2B3}" type="pres">
      <dgm:prSet presAssocID="{BB1CB69B-14F5-974F-9244-7EFE5CDED4D7}" presName="FiveNodes_4" presStyleLbl="node1" presStyleIdx="3" presStyleCnt="5">
        <dgm:presLayoutVars>
          <dgm:bulletEnabled val="1"/>
        </dgm:presLayoutVars>
      </dgm:prSet>
      <dgm:spPr/>
    </dgm:pt>
    <dgm:pt modelId="{9FDB0F2B-3DAF-4D4F-9578-B2CC1C010B73}" type="pres">
      <dgm:prSet presAssocID="{BB1CB69B-14F5-974F-9244-7EFE5CDED4D7}" presName="FiveNodes_5" presStyleLbl="node1" presStyleIdx="4" presStyleCnt="5">
        <dgm:presLayoutVars>
          <dgm:bulletEnabled val="1"/>
        </dgm:presLayoutVars>
      </dgm:prSet>
      <dgm:spPr/>
    </dgm:pt>
    <dgm:pt modelId="{F57C8E1B-09A1-494A-BA59-8757052AADD9}" type="pres">
      <dgm:prSet presAssocID="{BB1CB69B-14F5-974F-9244-7EFE5CDED4D7}" presName="FiveConn_1-2" presStyleLbl="fgAccFollowNode1" presStyleIdx="0" presStyleCnt="4">
        <dgm:presLayoutVars>
          <dgm:bulletEnabled val="1"/>
        </dgm:presLayoutVars>
      </dgm:prSet>
      <dgm:spPr/>
    </dgm:pt>
    <dgm:pt modelId="{0E934FC3-932A-A648-B391-73008CC90C89}" type="pres">
      <dgm:prSet presAssocID="{BB1CB69B-14F5-974F-9244-7EFE5CDED4D7}" presName="FiveConn_2-3" presStyleLbl="fgAccFollowNode1" presStyleIdx="1" presStyleCnt="4">
        <dgm:presLayoutVars>
          <dgm:bulletEnabled val="1"/>
        </dgm:presLayoutVars>
      </dgm:prSet>
      <dgm:spPr/>
    </dgm:pt>
    <dgm:pt modelId="{4CDF50A4-6B77-DE46-B77D-7E17696FA326}" type="pres">
      <dgm:prSet presAssocID="{BB1CB69B-14F5-974F-9244-7EFE5CDED4D7}" presName="FiveConn_3-4" presStyleLbl="fgAccFollowNode1" presStyleIdx="2" presStyleCnt="4">
        <dgm:presLayoutVars>
          <dgm:bulletEnabled val="1"/>
        </dgm:presLayoutVars>
      </dgm:prSet>
      <dgm:spPr/>
    </dgm:pt>
    <dgm:pt modelId="{A9408526-5080-E746-B59E-B25CAE4DA7B5}" type="pres">
      <dgm:prSet presAssocID="{BB1CB69B-14F5-974F-9244-7EFE5CDED4D7}" presName="FiveConn_4-5" presStyleLbl="fgAccFollowNode1" presStyleIdx="3" presStyleCnt="4">
        <dgm:presLayoutVars>
          <dgm:bulletEnabled val="1"/>
        </dgm:presLayoutVars>
      </dgm:prSet>
      <dgm:spPr/>
    </dgm:pt>
    <dgm:pt modelId="{C5A3B8BD-8BD4-2743-832A-5E1CB2C02194}" type="pres">
      <dgm:prSet presAssocID="{BB1CB69B-14F5-974F-9244-7EFE5CDED4D7}" presName="FiveNodes_1_text" presStyleLbl="node1" presStyleIdx="4" presStyleCnt="5">
        <dgm:presLayoutVars>
          <dgm:bulletEnabled val="1"/>
        </dgm:presLayoutVars>
      </dgm:prSet>
      <dgm:spPr/>
    </dgm:pt>
    <dgm:pt modelId="{E47ADDA1-B3A9-B447-8E4E-998B6B33BBB1}" type="pres">
      <dgm:prSet presAssocID="{BB1CB69B-14F5-974F-9244-7EFE5CDED4D7}" presName="FiveNodes_2_text" presStyleLbl="node1" presStyleIdx="4" presStyleCnt="5">
        <dgm:presLayoutVars>
          <dgm:bulletEnabled val="1"/>
        </dgm:presLayoutVars>
      </dgm:prSet>
      <dgm:spPr/>
    </dgm:pt>
    <dgm:pt modelId="{F6E44125-E7F2-EF49-99B0-9002BD266E1E}" type="pres">
      <dgm:prSet presAssocID="{BB1CB69B-14F5-974F-9244-7EFE5CDED4D7}" presName="FiveNodes_3_text" presStyleLbl="node1" presStyleIdx="4" presStyleCnt="5">
        <dgm:presLayoutVars>
          <dgm:bulletEnabled val="1"/>
        </dgm:presLayoutVars>
      </dgm:prSet>
      <dgm:spPr/>
    </dgm:pt>
    <dgm:pt modelId="{5D21EDE5-61AF-BB46-91F8-62ACDC32827D}" type="pres">
      <dgm:prSet presAssocID="{BB1CB69B-14F5-974F-9244-7EFE5CDED4D7}" presName="FiveNodes_4_text" presStyleLbl="node1" presStyleIdx="4" presStyleCnt="5">
        <dgm:presLayoutVars>
          <dgm:bulletEnabled val="1"/>
        </dgm:presLayoutVars>
      </dgm:prSet>
      <dgm:spPr/>
    </dgm:pt>
    <dgm:pt modelId="{0A5B5C30-905D-F24E-BB78-1085E882B2D5}" type="pres">
      <dgm:prSet presAssocID="{BB1CB69B-14F5-974F-9244-7EFE5CDED4D7}" presName="FiveNodes_5_text" presStyleLbl="node1" presStyleIdx="4" presStyleCnt="5">
        <dgm:presLayoutVars>
          <dgm:bulletEnabled val="1"/>
        </dgm:presLayoutVars>
      </dgm:prSet>
      <dgm:spPr/>
    </dgm:pt>
  </dgm:ptLst>
  <dgm:cxnLst>
    <dgm:cxn modelId="{B54FFA03-CA14-4741-A643-121E79F5D5FD}" srcId="{BB1CB69B-14F5-974F-9244-7EFE5CDED4D7}" destId="{CBB6BF25-3BE5-9345-B034-398AF7036F9A}" srcOrd="2" destOrd="0" parTransId="{E427D73A-A5AA-E94C-B7FD-61143013EC7C}" sibTransId="{BAF6A92B-C762-CD4D-976D-58B1B05E8894}"/>
    <dgm:cxn modelId="{B5F5CF07-548A-844E-BA62-A130F9017043}" type="presOf" srcId="{F4B306FA-613A-D049-94F5-BB65564243B0}" destId="{5D21EDE5-61AF-BB46-91F8-62ACDC32827D}" srcOrd="1" destOrd="0" presId="urn:microsoft.com/office/officeart/2005/8/layout/vProcess5"/>
    <dgm:cxn modelId="{4EFD5511-582C-4049-9DE6-EA8EE754F82B}" srcId="{BB1CB69B-14F5-974F-9244-7EFE5CDED4D7}" destId="{DC090D2D-D082-B746-B531-B83167DA73B1}" srcOrd="0" destOrd="0" parTransId="{99F01997-BB1E-2F42-9081-421DEB8A6ED0}" sibTransId="{07EB4D11-6D8E-B047-8EFB-51297F6DE8A4}"/>
    <dgm:cxn modelId="{59505416-89AA-474E-8C53-F486036FD80D}" type="presOf" srcId="{9218BABD-6F68-2B4D-809F-896890F50B31}" destId="{0E934FC3-932A-A648-B391-73008CC90C89}" srcOrd="0" destOrd="0" presId="urn:microsoft.com/office/officeart/2005/8/layout/vProcess5"/>
    <dgm:cxn modelId="{C63A7A2C-EDC0-6C47-937C-D7F95DCAE9DA}" type="presOf" srcId="{826D7FA0-EBF0-A443-BFEC-ADD11ADA2E64}" destId="{E47ADDA1-B3A9-B447-8E4E-998B6B33BBB1}" srcOrd="1" destOrd="0" presId="urn:microsoft.com/office/officeart/2005/8/layout/vProcess5"/>
    <dgm:cxn modelId="{1CB5BA33-331B-064A-857D-41A616502819}" type="presOf" srcId="{F4B306FA-613A-D049-94F5-BB65564243B0}" destId="{0A21B428-0C2D-9744-8C7F-C6E31637B2B3}" srcOrd="0" destOrd="0" presId="urn:microsoft.com/office/officeart/2005/8/layout/vProcess5"/>
    <dgm:cxn modelId="{CC73AF3A-41DC-F64C-87C5-9740C9D99E52}" srcId="{BB1CB69B-14F5-974F-9244-7EFE5CDED4D7}" destId="{F4B306FA-613A-D049-94F5-BB65564243B0}" srcOrd="3" destOrd="0" parTransId="{37C19BB5-E843-CD44-A16E-076CDD1D53E1}" sibTransId="{7798D53C-2410-E24F-BA7C-C92408A75BA2}"/>
    <dgm:cxn modelId="{BD0C0668-39E9-5D45-9735-329CC050403E}" type="presOf" srcId="{9501AB10-C8B5-2C40-B78E-46655A09D098}" destId="{0A5B5C30-905D-F24E-BB78-1085E882B2D5}" srcOrd="1" destOrd="0" presId="urn:microsoft.com/office/officeart/2005/8/layout/vProcess5"/>
    <dgm:cxn modelId="{D9C7B56B-1046-7843-850D-9C99EF21F580}" type="presOf" srcId="{826D7FA0-EBF0-A443-BFEC-ADD11ADA2E64}" destId="{3B6382EC-E2DE-3542-8828-C162F3B19F11}" srcOrd="0" destOrd="0" presId="urn:microsoft.com/office/officeart/2005/8/layout/vProcess5"/>
    <dgm:cxn modelId="{F5A8FE70-9887-D141-96EF-45C1F624EEA7}" srcId="{BB1CB69B-14F5-974F-9244-7EFE5CDED4D7}" destId="{9501AB10-C8B5-2C40-B78E-46655A09D098}" srcOrd="4" destOrd="0" parTransId="{6D163BB7-8FDB-E147-807F-C9BF1188BA65}" sibTransId="{BCB0B80D-12B8-DB43-9A89-D71483F324ED}"/>
    <dgm:cxn modelId="{4DDCB471-415A-CC40-9EC7-1FE49753D255}" type="presOf" srcId="{07EB4D11-6D8E-B047-8EFB-51297F6DE8A4}" destId="{F57C8E1B-09A1-494A-BA59-8757052AADD9}" srcOrd="0" destOrd="0" presId="urn:microsoft.com/office/officeart/2005/8/layout/vProcess5"/>
    <dgm:cxn modelId="{0D65C671-1625-444F-91FD-7E3980DA470A}" type="presOf" srcId="{DC090D2D-D082-B746-B531-B83167DA73B1}" destId="{C5A3B8BD-8BD4-2743-832A-5E1CB2C02194}" srcOrd="1" destOrd="0" presId="urn:microsoft.com/office/officeart/2005/8/layout/vProcess5"/>
    <dgm:cxn modelId="{6846127A-BF0D-AA4D-948A-630B31E6B8A0}" type="presOf" srcId="{DC090D2D-D082-B746-B531-B83167DA73B1}" destId="{33AF40AC-576E-EA4A-82A4-1F2C42BD5DA9}" srcOrd="0" destOrd="0" presId="urn:microsoft.com/office/officeart/2005/8/layout/vProcess5"/>
    <dgm:cxn modelId="{2144AC8E-C12F-9947-B706-0AA6FB56D6D9}" type="presOf" srcId="{9501AB10-C8B5-2C40-B78E-46655A09D098}" destId="{9FDB0F2B-3DAF-4D4F-9578-B2CC1C010B73}" srcOrd="0" destOrd="0" presId="urn:microsoft.com/office/officeart/2005/8/layout/vProcess5"/>
    <dgm:cxn modelId="{41060DA9-EB00-314E-815D-1D49C63CEF42}" type="presOf" srcId="{BB1CB69B-14F5-974F-9244-7EFE5CDED4D7}" destId="{613AF8BD-F969-CF4B-9BC9-CDE488A54806}" srcOrd="0" destOrd="0" presId="urn:microsoft.com/office/officeart/2005/8/layout/vProcess5"/>
    <dgm:cxn modelId="{9C378BAB-47EC-0E49-96AA-7B451C43B0C8}" type="presOf" srcId="{7798D53C-2410-E24F-BA7C-C92408A75BA2}" destId="{A9408526-5080-E746-B59E-B25CAE4DA7B5}" srcOrd="0" destOrd="0" presId="urn:microsoft.com/office/officeart/2005/8/layout/vProcess5"/>
    <dgm:cxn modelId="{CC7752B5-F8ED-E84C-B08F-E5C9344F65A1}" type="presOf" srcId="{CBB6BF25-3BE5-9345-B034-398AF7036F9A}" destId="{CC159A9C-637F-0546-81BD-55BEA030EE58}" srcOrd="0" destOrd="0" presId="urn:microsoft.com/office/officeart/2005/8/layout/vProcess5"/>
    <dgm:cxn modelId="{01B285B9-0D46-2641-9A33-3EB449E7E528}" type="presOf" srcId="{CBB6BF25-3BE5-9345-B034-398AF7036F9A}" destId="{F6E44125-E7F2-EF49-99B0-9002BD266E1E}" srcOrd="1" destOrd="0" presId="urn:microsoft.com/office/officeart/2005/8/layout/vProcess5"/>
    <dgm:cxn modelId="{EFB9EBDA-DDB7-1F4C-8AD1-C846BDA29C2E}" srcId="{BB1CB69B-14F5-974F-9244-7EFE5CDED4D7}" destId="{826D7FA0-EBF0-A443-BFEC-ADD11ADA2E64}" srcOrd="1" destOrd="0" parTransId="{75D9142C-CFFA-984D-8B7F-938CBBDD32CA}" sibTransId="{9218BABD-6F68-2B4D-809F-896890F50B31}"/>
    <dgm:cxn modelId="{1481CAF5-7203-C345-8ED0-D67F79A3892C}" type="presOf" srcId="{BAF6A92B-C762-CD4D-976D-58B1B05E8894}" destId="{4CDF50A4-6B77-DE46-B77D-7E17696FA326}" srcOrd="0" destOrd="0" presId="urn:microsoft.com/office/officeart/2005/8/layout/vProcess5"/>
    <dgm:cxn modelId="{CCF519C8-ABA9-A440-B624-D40F598AB297}" type="presParOf" srcId="{613AF8BD-F969-CF4B-9BC9-CDE488A54806}" destId="{E24C191D-F217-0A40-949C-D3A0A962DCDB}" srcOrd="0" destOrd="0" presId="urn:microsoft.com/office/officeart/2005/8/layout/vProcess5"/>
    <dgm:cxn modelId="{3B4B06CA-5A04-D14C-8247-B87F22BF5446}" type="presParOf" srcId="{613AF8BD-F969-CF4B-9BC9-CDE488A54806}" destId="{33AF40AC-576E-EA4A-82A4-1F2C42BD5DA9}" srcOrd="1" destOrd="0" presId="urn:microsoft.com/office/officeart/2005/8/layout/vProcess5"/>
    <dgm:cxn modelId="{44E620A9-F97D-1540-B40E-2DF70478E794}" type="presParOf" srcId="{613AF8BD-F969-CF4B-9BC9-CDE488A54806}" destId="{3B6382EC-E2DE-3542-8828-C162F3B19F11}" srcOrd="2" destOrd="0" presId="urn:microsoft.com/office/officeart/2005/8/layout/vProcess5"/>
    <dgm:cxn modelId="{BD54C8E2-E40E-FA43-B70E-8C2D861AF877}" type="presParOf" srcId="{613AF8BD-F969-CF4B-9BC9-CDE488A54806}" destId="{CC159A9C-637F-0546-81BD-55BEA030EE58}" srcOrd="3" destOrd="0" presId="urn:microsoft.com/office/officeart/2005/8/layout/vProcess5"/>
    <dgm:cxn modelId="{2243CFE6-13B9-FB4D-B99C-C2D9C360FA7A}" type="presParOf" srcId="{613AF8BD-F969-CF4B-9BC9-CDE488A54806}" destId="{0A21B428-0C2D-9744-8C7F-C6E31637B2B3}" srcOrd="4" destOrd="0" presId="urn:microsoft.com/office/officeart/2005/8/layout/vProcess5"/>
    <dgm:cxn modelId="{252D450B-D888-D540-9192-569CBFCB3E76}" type="presParOf" srcId="{613AF8BD-F969-CF4B-9BC9-CDE488A54806}" destId="{9FDB0F2B-3DAF-4D4F-9578-B2CC1C010B73}" srcOrd="5" destOrd="0" presId="urn:microsoft.com/office/officeart/2005/8/layout/vProcess5"/>
    <dgm:cxn modelId="{9C1455F0-2860-A24F-816D-72E4545D32BE}" type="presParOf" srcId="{613AF8BD-F969-CF4B-9BC9-CDE488A54806}" destId="{F57C8E1B-09A1-494A-BA59-8757052AADD9}" srcOrd="6" destOrd="0" presId="urn:microsoft.com/office/officeart/2005/8/layout/vProcess5"/>
    <dgm:cxn modelId="{ABF49222-C4A8-A442-9BA2-C607D10EF1AB}" type="presParOf" srcId="{613AF8BD-F969-CF4B-9BC9-CDE488A54806}" destId="{0E934FC3-932A-A648-B391-73008CC90C89}" srcOrd="7" destOrd="0" presId="urn:microsoft.com/office/officeart/2005/8/layout/vProcess5"/>
    <dgm:cxn modelId="{99E810A2-B443-124B-8867-F624A6C0415D}" type="presParOf" srcId="{613AF8BD-F969-CF4B-9BC9-CDE488A54806}" destId="{4CDF50A4-6B77-DE46-B77D-7E17696FA326}" srcOrd="8" destOrd="0" presId="urn:microsoft.com/office/officeart/2005/8/layout/vProcess5"/>
    <dgm:cxn modelId="{CDE4DDA2-842E-0F42-BE32-B7076ECEB0AC}" type="presParOf" srcId="{613AF8BD-F969-CF4B-9BC9-CDE488A54806}" destId="{A9408526-5080-E746-B59E-B25CAE4DA7B5}" srcOrd="9" destOrd="0" presId="urn:microsoft.com/office/officeart/2005/8/layout/vProcess5"/>
    <dgm:cxn modelId="{BCCA0369-9E90-514A-9F50-64777ED64BD9}" type="presParOf" srcId="{613AF8BD-F969-CF4B-9BC9-CDE488A54806}" destId="{C5A3B8BD-8BD4-2743-832A-5E1CB2C02194}" srcOrd="10" destOrd="0" presId="urn:microsoft.com/office/officeart/2005/8/layout/vProcess5"/>
    <dgm:cxn modelId="{07C9CE22-29E6-B54B-86BA-2038D50B7F24}" type="presParOf" srcId="{613AF8BD-F969-CF4B-9BC9-CDE488A54806}" destId="{E47ADDA1-B3A9-B447-8E4E-998B6B33BBB1}" srcOrd="11" destOrd="0" presId="urn:microsoft.com/office/officeart/2005/8/layout/vProcess5"/>
    <dgm:cxn modelId="{F68DE96B-7A1F-D74C-BFBF-5184AD8E16F8}" type="presParOf" srcId="{613AF8BD-F969-CF4B-9BC9-CDE488A54806}" destId="{F6E44125-E7F2-EF49-99B0-9002BD266E1E}" srcOrd="12" destOrd="0" presId="urn:microsoft.com/office/officeart/2005/8/layout/vProcess5"/>
    <dgm:cxn modelId="{A270E04C-95E5-B049-AE0F-C91BB7FC3180}" type="presParOf" srcId="{613AF8BD-F969-CF4B-9BC9-CDE488A54806}" destId="{5D21EDE5-61AF-BB46-91F8-62ACDC32827D}" srcOrd="13" destOrd="0" presId="urn:microsoft.com/office/officeart/2005/8/layout/vProcess5"/>
    <dgm:cxn modelId="{0A58BF97-2038-8F4B-AE8D-43A03CD80803}" type="presParOf" srcId="{613AF8BD-F969-CF4B-9BC9-CDE488A54806}" destId="{0A5B5C30-905D-F24E-BB78-1085E882B2D5}" srcOrd="14" destOrd="0" presId="urn:microsoft.com/office/officeart/2005/8/layout/vProcess5"/>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A8EF0C4-B73A-41F2-8FC9-E012B3514A0C}" type="doc">
      <dgm:prSet loTypeId="urn:microsoft.com/office/officeart/2009/3/layout/HorizontalOrganizationChart" loCatId="hierarchy" qsTypeId="urn:microsoft.com/office/officeart/2005/8/quickstyle/simple2" qsCatId="simple" csTypeId="urn:microsoft.com/office/officeart/2005/8/colors/accent1_1" csCatId="accent1" phldr="1"/>
      <dgm:spPr/>
      <dgm:t>
        <a:bodyPr/>
        <a:lstStyle/>
        <a:p>
          <a:endParaRPr lang="en-GB"/>
        </a:p>
      </dgm:t>
    </dgm:pt>
    <dgm:pt modelId="{C769E187-88C9-4C09-93A5-A355E9D78EE3}">
      <dgm:prSet phldrT="[Texto]" custT="1"/>
      <dgm:spPr/>
      <dgm:t>
        <a:bodyPr/>
        <a:lstStyle/>
        <a:p>
          <a:r>
            <a:rPr lang="en-GB" sz="1000" i="1">
              <a:latin typeface="Times New Roman" panose="02020603050405020304" pitchFamily="18" charset="0"/>
              <a:cs typeface="Times New Roman" panose="02020603050405020304" pitchFamily="18" charset="0"/>
            </a:rPr>
            <a:t>Rutas procesales frente a comparecientes no seleccionados como máximos responsables a cargo de la Sala de Definición de Situaciones Jurídicas</a:t>
          </a:r>
        </a:p>
      </dgm:t>
    </dgm:pt>
    <dgm:pt modelId="{8126CAE5-A368-4125-A47A-C8F6DEA03D01}" type="parTrans" cxnId="{F7080A47-C2E6-4799-90D2-531D0B933CEA}">
      <dgm:prSet/>
      <dgm:spPr/>
      <dgm:t>
        <a:bodyPr/>
        <a:lstStyle/>
        <a:p>
          <a:endParaRPr lang="en-GB" i="1">
            <a:latin typeface="Times New Roman" panose="02020603050405020304" pitchFamily="18" charset="0"/>
            <a:cs typeface="Times New Roman" panose="02020603050405020304" pitchFamily="18" charset="0"/>
          </a:endParaRPr>
        </a:p>
      </dgm:t>
    </dgm:pt>
    <dgm:pt modelId="{9412574F-2ACA-4CC4-A0DE-4E176C43A156}" type="sibTrans" cxnId="{F7080A47-C2E6-4799-90D2-531D0B933CEA}">
      <dgm:prSet/>
      <dgm:spPr/>
      <dgm:t>
        <a:bodyPr/>
        <a:lstStyle/>
        <a:p>
          <a:endParaRPr lang="en-GB" i="1">
            <a:latin typeface="Times New Roman" panose="02020603050405020304" pitchFamily="18" charset="0"/>
            <a:cs typeface="Times New Roman" panose="02020603050405020304" pitchFamily="18" charset="0"/>
          </a:endParaRPr>
        </a:p>
      </dgm:t>
    </dgm:pt>
    <dgm:pt modelId="{183D328F-5E19-4AEE-B1C6-3B7CE4605269}">
      <dgm:prSet phldrT="[Texto]" custT="1"/>
      <dgm:spPr/>
      <dgm:t>
        <a:bodyPr/>
        <a:lstStyle/>
        <a:p>
          <a:r>
            <a:rPr lang="en-GB" sz="1000" i="0">
              <a:latin typeface="Times New Roman" panose="02020603050405020304" pitchFamily="18" charset="0"/>
              <a:cs typeface="Times New Roman" panose="02020603050405020304" pitchFamily="18" charset="0"/>
            </a:rPr>
            <a:t>Aportes a verdad plena (sin reconocimiento de responsabilidad - Senit 8)</a:t>
          </a:r>
        </a:p>
      </dgm:t>
    </dgm:pt>
    <dgm:pt modelId="{E900B524-E4BF-4586-B0D0-64F80684CF71}" type="parTrans" cxnId="{A5C49D50-755F-4CAD-8876-993C93C7DE4A}">
      <dgm:prSet/>
      <dgm:spPr>
        <a:ln>
          <a:solidFill>
            <a:srgbClr val="00B0F0"/>
          </a:solidFill>
        </a:ln>
      </dgm:spPr>
      <dgm:t>
        <a:bodyPr/>
        <a:lstStyle/>
        <a:p>
          <a:endParaRPr lang="en-GB" i="1">
            <a:latin typeface="Times New Roman" panose="02020603050405020304" pitchFamily="18" charset="0"/>
            <a:cs typeface="Times New Roman" panose="02020603050405020304" pitchFamily="18" charset="0"/>
          </a:endParaRPr>
        </a:p>
      </dgm:t>
    </dgm:pt>
    <dgm:pt modelId="{3B555BC2-46AF-4CB7-8B03-0130F37FD09D}" type="sibTrans" cxnId="{A5C49D50-755F-4CAD-8876-993C93C7DE4A}">
      <dgm:prSet/>
      <dgm:spPr/>
      <dgm:t>
        <a:bodyPr/>
        <a:lstStyle/>
        <a:p>
          <a:endParaRPr lang="en-GB" i="1">
            <a:latin typeface="Times New Roman" panose="02020603050405020304" pitchFamily="18" charset="0"/>
            <a:cs typeface="Times New Roman" panose="02020603050405020304" pitchFamily="18" charset="0"/>
          </a:endParaRPr>
        </a:p>
      </dgm:t>
    </dgm:pt>
    <dgm:pt modelId="{B203B1D5-9AB3-4D8B-95CD-72A39F30B91E}">
      <dgm:prSet phldrT="[Texto]" custT="1"/>
      <dgm:spPr/>
      <dgm:t>
        <a:bodyPr/>
        <a:lstStyle/>
        <a:p>
          <a:pPr algn="ctr">
            <a:buNone/>
          </a:pPr>
          <a:r>
            <a:rPr lang="es-US" sz="900">
              <a:latin typeface="Times New Roman" panose="02020603050405020304" pitchFamily="18" charset="0"/>
              <a:cs typeface="Times New Roman" panose="02020603050405020304" pitchFamily="18" charset="0"/>
            </a:rPr>
            <a:t>Iniciar incidente de incumplimiento del régimen de condicionalidad - puede resultar en la expulsión</a:t>
          </a:r>
          <a:endParaRPr lang="en-GB" sz="900" i="1">
            <a:latin typeface="Times New Roman" panose="02020603050405020304" pitchFamily="18" charset="0"/>
            <a:cs typeface="Times New Roman" panose="02020603050405020304" pitchFamily="18" charset="0"/>
          </a:endParaRPr>
        </a:p>
      </dgm:t>
    </dgm:pt>
    <dgm:pt modelId="{2C925940-7CF5-4156-9602-1F9917C38154}" type="parTrans" cxnId="{3F19BF31-AD1D-4CC3-AB9B-A9968D968B97}">
      <dgm:prSet/>
      <dgm:spPr>
        <a:ln>
          <a:solidFill>
            <a:srgbClr val="00B0F0"/>
          </a:solidFill>
        </a:ln>
      </dgm:spPr>
      <dgm:t>
        <a:bodyPr/>
        <a:lstStyle/>
        <a:p>
          <a:endParaRPr lang="en-GB" i="1">
            <a:latin typeface="Times New Roman" panose="02020603050405020304" pitchFamily="18" charset="0"/>
            <a:cs typeface="Times New Roman" panose="02020603050405020304" pitchFamily="18" charset="0"/>
          </a:endParaRPr>
        </a:p>
      </dgm:t>
    </dgm:pt>
    <dgm:pt modelId="{0B10AD71-1DA7-4CC2-A56C-A46A26BF8004}" type="sibTrans" cxnId="{3F19BF31-AD1D-4CC3-AB9B-A9968D968B97}">
      <dgm:prSet/>
      <dgm:spPr/>
      <dgm:t>
        <a:bodyPr/>
        <a:lstStyle/>
        <a:p>
          <a:endParaRPr lang="en-GB" i="1">
            <a:latin typeface="Times New Roman" panose="02020603050405020304" pitchFamily="18" charset="0"/>
            <a:cs typeface="Times New Roman" panose="02020603050405020304" pitchFamily="18" charset="0"/>
          </a:endParaRPr>
        </a:p>
      </dgm:t>
    </dgm:pt>
    <dgm:pt modelId="{41415B35-5E15-441A-A58E-8C1AE5BE4289}">
      <dgm:prSet phldrT="[Texto]" custT="1"/>
      <dgm:spPr/>
      <dgm:t>
        <a:bodyPr/>
        <a:lstStyle/>
        <a:p>
          <a:r>
            <a:rPr lang="en-GB" sz="1000" i="0">
              <a:latin typeface="Times New Roman" panose="02020603050405020304" pitchFamily="18" charset="0"/>
              <a:cs typeface="Times New Roman" panose="02020603050405020304" pitchFamily="18" charset="0"/>
            </a:rPr>
            <a:t>Aportes insuficientes a la verdad: 2 cursos de acción posibles</a:t>
          </a:r>
        </a:p>
      </dgm:t>
    </dgm:pt>
    <dgm:pt modelId="{C5AF39BF-39E9-408B-9455-D4D042493FC2}" type="parTrans" cxnId="{602D5243-4BE3-41DC-91D6-E34F4A628A32}">
      <dgm:prSet/>
      <dgm:spPr>
        <a:ln>
          <a:solidFill>
            <a:srgbClr val="00B0F0"/>
          </a:solidFill>
        </a:ln>
      </dgm:spPr>
      <dgm:t>
        <a:bodyPr/>
        <a:lstStyle/>
        <a:p>
          <a:endParaRPr lang="en-GB" i="1">
            <a:latin typeface="Times New Roman" panose="02020603050405020304" pitchFamily="18" charset="0"/>
            <a:cs typeface="Times New Roman" panose="02020603050405020304" pitchFamily="18" charset="0"/>
          </a:endParaRPr>
        </a:p>
      </dgm:t>
    </dgm:pt>
    <dgm:pt modelId="{D305072A-9050-489B-B325-535FC745A392}" type="sibTrans" cxnId="{602D5243-4BE3-41DC-91D6-E34F4A628A32}">
      <dgm:prSet/>
      <dgm:spPr/>
      <dgm:t>
        <a:bodyPr/>
        <a:lstStyle/>
        <a:p>
          <a:endParaRPr lang="en-GB" i="1">
            <a:latin typeface="Times New Roman" panose="02020603050405020304" pitchFamily="18" charset="0"/>
            <a:cs typeface="Times New Roman" panose="02020603050405020304" pitchFamily="18" charset="0"/>
          </a:endParaRPr>
        </a:p>
      </dgm:t>
    </dgm:pt>
    <dgm:pt modelId="{91C1BCB2-AE95-4417-9F3C-2344A37FAB1D}">
      <dgm:prSet phldrT="[Texto]"/>
      <dgm:spPr/>
      <dgm:t>
        <a:bodyPr/>
        <a:lstStyle/>
        <a:p>
          <a:r>
            <a:rPr lang="en-GB" sz="900" i="0">
              <a:latin typeface="Times New Roman" panose="02020603050405020304" pitchFamily="18" charset="0"/>
              <a:cs typeface="Times New Roman" panose="02020603050405020304" pitchFamily="18" charset="0"/>
            </a:rPr>
            <a:t>Aplicar un mecanismo no sancionatorio como la renuncia condicionada a la persecución penal </a:t>
          </a:r>
          <a:r>
            <a:rPr lang="en-GB">
              <a:latin typeface="Times New Roman" panose="02020603050405020304" pitchFamily="18" charset="0"/>
              <a:cs typeface="Times New Roman" panose="02020603050405020304" pitchFamily="18" charset="0"/>
            </a:rPr>
            <a:t>(con régimen de condicionalidad estricto)</a:t>
          </a:r>
          <a:endParaRPr lang="en-GB" sz="900" i="0">
            <a:solidFill>
              <a:sysClr val="windowText" lastClr="000000"/>
            </a:solidFill>
            <a:highlight>
              <a:srgbClr val="FFFF00"/>
            </a:highlight>
            <a:latin typeface="Times New Roman" panose="02020603050405020304" pitchFamily="18" charset="0"/>
            <a:cs typeface="Times New Roman" panose="02020603050405020304" pitchFamily="18" charset="0"/>
          </a:endParaRPr>
        </a:p>
      </dgm:t>
    </dgm:pt>
    <dgm:pt modelId="{32D249FC-DA02-4955-AFCD-9D5890D3F387}" type="parTrans" cxnId="{0B84741B-300C-4F91-B635-B77D4E095EB6}">
      <dgm:prSet/>
      <dgm:spPr>
        <a:ln>
          <a:solidFill>
            <a:srgbClr val="00B0F0"/>
          </a:solidFill>
        </a:ln>
      </dgm:spPr>
      <dgm:t>
        <a:bodyPr/>
        <a:lstStyle/>
        <a:p>
          <a:endParaRPr lang="en-GB">
            <a:latin typeface="Times New Roman" panose="02020603050405020304" pitchFamily="18" charset="0"/>
            <a:cs typeface="Times New Roman" panose="02020603050405020304" pitchFamily="18" charset="0"/>
          </a:endParaRPr>
        </a:p>
      </dgm:t>
    </dgm:pt>
    <dgm:pt modelId="{635DCD7B-A541-4DDB-8625-BA0EADDF5163}" type="sibTrans" cxnId="{0B84741B-300C-4F91-B635-B77D4E095EB6}">
      <dgm:prSet/>
      <dgm:spPr/>
      <dgm:t>
        <a:bodyPr/>
        <a:lstStyle/>
        <a:p>
          <a:endParaRPr lang="en-GB">
            <a:latin typeface="Times New Roman" panose="02020603050405020304" pitchFamily="18" charset="0"/>
            <a:cs typeface="Times New Roman" panose="02020603050405020304" pitchFamily="18" charset="0"/>
          </a:endParaRPr>
        </a:p>
      </dgm:t>
    </dgm:pt>
    <dgm:pt modelId="{A7D455C3-2589-4D3F-84E5-0CC1D788E465}">
      <dgm:prSet phldrT="[Texto]" custT="1"/>
      <dgm:spPr/>
      <dgm:t>
        <a:bodyPr/>
        <a:lstStyle/>
        <a:p>
          <a:r>
            <a:rPr lang="en-GB" sz="1000" i="0">
              <a:latin typeface="Times New Roman" panose="02020603050405020304" pitchFamily="18" charset="0"/>
              <a:cs typeface="Times New Roman" panose="02020603050405020304" pitchFamily="18" charset="0"/>
            </a:rPr>
            <a:t>Apertura de incidente de incumplimiento del régimen de condicionalidad (IIRC) - eventual expulsión</a:t>
          </a:r>
        </a:p>
      </dgm:t>
    </dgm:pt>
    <dgm:pt modelId="{9404EEDC-FCCA-428B-867E-0CEBF5687C70}" type="parTrans" cxnId="{23A6044D-EACD-4A1D-8849-27CF93E86D26}">
      <dgm:prSet/>
      <dgm:spPr>
        <a:ln>
          <a:solidFill>
            <a:srgbClr val="00B0F0"/>
          </a:solidFill>
        </a:ln>
      </dgm:spPr>
      <dgm:t>
        <a:bodyPr/>
        <a:lstStyle/>
        <a:p>
          <a:endParaRPr lang="en-GB">
            <a:latin typeface="Times New Roman" panose="02020603050405020304" pitchFamily="18" charset="0"/>
            <a:cs typeface="Times New Roman" panose="02020603050405020304" pitchFamily="18" charset="0"/>
          </a:endParaRPr>
        </a:p>
      </dgm:t>
    </dgm:pt>
    <dgm:pt modelId="{534F6640-0234-42C1-965D-15EDE64C4F94}" type="sibTrans" cxnId="{23A6044D-EACD-4A1D-8849-27CF93E86D26}">
      <dgm:prSet/>
      <dgm:spPr/>
      <dgm:t>
        <a:bodyPr/>
        <a:lstStyle/>
        <a:p>
          <a:endParaRPr lang="en-GB">
            <a:latin typeface="Times New Roman" panose="02020603050405020304" pitchFamily="18" charset="0"/>
            <a:cs typeface="Times New Roman" panose="02020603050405020304" pitchFamily="18" charset="0"/>
          </a:endParaRPr>
        </a:p>
      </dgm:t>
    </dgm:pt>
    <dgm:pt modelId="{447EB61E-E162-4432-978F-13BD7DF8278D}">
      <dgm:prSet phldrT="[Texto]" custT="1"/>
      <dgm:spPr/>
      <dgm:t>
        <a:bodyPr/>
        <a:lstStyle/>
        <a:p>
          <a:r>
            <a:rPr lang="en-GB" sz="1000" i="0">
              <a:latin typeface="Times New Roman" panose="02020603050405020304" pitchFamily="18" charset="0"/>
              <a:cs typeface="Times New Roman" panose="02020603050405020304" pitchFamily="18" charset="0"/>
            </a:rPr>
            <a:t>Negar el mecanismo no sancionatorio de definición de la situación jurídica</a:t>
          </a:r>
        </a:p>
      </dgm:t>
    </dgm:pt>
    <dgm:pt modelId="{13F9677D-0DD5-497C-8935-08D200089370}" type="parTrans" cxnId="{CA833AC4-57EB-47F1-B369-0EBC78A8CC82}">
      <dgm:prSet/>
      <dgm:spPr>
        <a:ln>
          <a:solidFill>
            <a:srgbClr val="00B0F0"/>
          </a:solidFill>
        </a:ln>
      </dgm:spPr>
      <dgm:t>
        <a:bodyPr/>
        <a:lstStyle/>
        <a:p>
          <a:endParaRPr lang="en-GB">
            <a:latin typeface="Times New Roman" panose="02020603050405020304" pitchFamily="18" charset="0"/>
            <a:cs typeface="Times New Roman" panose="02020603050405020304" pitchFamily="18" charset="0"/>
          </a:endParaRPr>
        </a:p>
      </dgm:t>
    </dgm:pt>
    <dgm:pt modelId="{1FB76720-F8BE-4491-A0A8-AAD400B0E0AC}" type="sibTrans" cxnId="{CA833AC4-57EB-47F1-B369-0EBC78A8CC82}">
      <dgm:prSet/>
      <dgm:spPr/>
      <dgm:t>
        <a:bodyPr/>
        <a:lstStyle/>
        <a:p>
          <a:endParaRPr lang="en-GB">
            <a:latin typeface="Times New Roman" panose="02020603050405020304" pitchFamily="18" charset="0"/>
            <a:cs typeface="Times New Roman" panose="02020603050405020304" pitchFamily="18" charset="0"/>
          </a:endParaRPr>
        </a:p>
      </dgm:t>
    </dgm:pt>
    <dgm:pt modelId="{B367A62E-EEB6-4F64-AD5C-BBD4B906B07E}">
      <dgm:prSet phldrT="[Texto]" custT="1"/>
      <dgm:spPr/>
      <dgm:t>
        <a:bodyPr/>
        <a:lstStyle/>
        <a:p>
          <a:r>
            <a:rPr lang="en-GB" sz="900" i="0">
              <a:latin typeface="Times New Roman" panose="02020603050405020304" pitchFamily="18" charset="0"/>
              <a:cs typeface="Times New Roman" panose="02020603050405020304" pitchFamily="18" charset="0"/>
            </a:rPr>
            <a:t>Mecanismo no sancionatorio como renuncia condicionada a la persecución penal</a:t>
          </a:r>
        </a:p>
      </dgm:t>
    </dgm:pt>
    <dgm:pt modelId="{8CB5286B-B38A-4CC8-B88C-3FA30DE2FE1E}" type="parTrans" cxnId="{D2B0F272-C376-4398-A5C6-6D4E0D276181}">
      <dgm:prSet/>
      <dgm:spPr>
        <a:ln>
          <a:solidFill>
            <a:srgbClr val="00B0F0"/>
          </a:solidFill>
        </a:ln>
      </dgm:spPr>
      <dgm:t>
        <a:bodyPr/>
        <a:lstStyle/>
        <a:p>
          <a:endParaRPr lang="en-GB"/>
        </a:p>
      </dgm:t>
    </dgm:pt>
    <dgm:pt modelId="{ED8C6BF1-0CB2-4EC7-9C2C-FA1D8B0D06F4}" type="sibTrans" cxnId="{D2B0F272-C376-4398-A5C6-6D4E0D276181}">
      <dgm:prSet/>
      <dgm:spPr/>
      <dgm:t>
        <a:bodyPr/>
        <a:lstStyle/>
        <a:p>
          <a:endParaRPr lang="en-GB"/>
        </a:p>
      </dgm:t>
    </dgm:pt>
    <dgm:pt modelId="{2358A152-D6D0-43AE-9A7C-5A823E2E1A04}" type="pres">
      <dgm:prSet presAssocID="{7A8EF0C4-B73A-41F2-8FC9-E012B3514A0C}" presName="hierChild1" presStyleCnt="0">
        <dgm:presLayoutVars>
          <dgm:orgChart val="1"/>
          <dgm:chPref val="1"/>
          <dgm:dir/>
          <dgm:animOne val="branch"/>
          <dgm:animLvl val="lvl"/>
          <dgm:resizeHandles/>
        </dgm:presLayoutVars>
      </dgm:prSet>
      <dgm:spPr/>
    </dgm:pt>
    <dgm:pt modelId="{8234CE8E-653A-4E66-BC7D-68F893DA88DD}" type="pres">
      <dgm:prSet presAssocID="{C769E187-88C9-4C09-93A5-A355E9D78EE3}" presName="hierRoot1" presStyleCnt="0">
        <dgm:presLayoutVars>
          <dgm:hierBranch val="init"/>
        </dgm:presLayoutVars>
      </dgm:prSet>
      <dgm:spPr/>
    </dgm:pt>
    <dgm:pt modelId="{73CD6E2B-86DB-4764-B3A1-0386A4E22FC0}" type="pres">
      <dgm:prSet presAssocID="{C769E187-88C9-4C09-93A5-A355E9D78EE3}" presName="rootComposite1" presStyleCnt="0"/>
      <dgm:spPr/>
    </dgm:pt>
    <dgm:pt modelId="{C2929284-7BF5-4993-B9AC-18F6DC2AABA0}" type="pres">
      <dgm:prSet presAssocID="{C769E187-88C9-4C09-93A5-A355E9D78EE3}" presName="rootText1" presStyleLbl="node0" presStyleIdx="0" presStyleCnt="1" custScaleY="228973">
        <dgm:presLayoutVars>
          <dgm:chPref val="3"/>
        </dgm:presLayoutVars>
      </dgm:prSet>
      <dgm:spPr/>
    </dgm:pt>
    <dgm:pt modelId="{FA6FA133-FAC9-45BC-8148-55A7B4E01C9E}" type="pres">
      <dgm:prSet presAssocID="{C769E187-88C9-4C09-93A5-A355E9D78EE3}" presName="rootConnector1" presStyleLbl="node1" presStyleIdx="0" presStyleCnt="0"/>
      <dgm:spPr/>
    </dgm:pt>
    <dgm:pt modelId="{2E504FE1-4BFF-4A1E-8C9A-685F385B2A4C}" type="pres">
      <dgm:prSet presAssocID="{C769E187-88C9-4C09-93A5-A355E9D78EE3}" presName="hierChild2" presStyleCnt="0"/>
      <dgm:spPr/>
    </dgm:pt>
    <dgm:pt modelId="{130D466D-2213-40C1-9123-B002B1D1ACCE}" type="pres">
      <dgm:prSet presAssocID="{E900B524-E4BF-4586-B0D0-64F80684CF71}" presName="Name64" presStyleLbl="parChTrans1D2" presStyleIdx="0" presStyleCnt="3"/>
      <dgm:spPr/>
    </dgm:pt>
    <dgm:pt modelId="{DDF81AD0-DA6C-45CC-9C50-CFB51AD25573}" type="pres">
      <dgm:prSet presAssocID="{183D328F-5E19-4AEE-B1C6-3B7CE4605269}" presName="hierRoot2" presStyleCnt="0">
        <dgm:presLayoutVars>
          <dgm:hierBranch val="init"/>
        </dgm:presLayoutVars>
      </dgm:prSet>
      <dgm:spPr/>
    </dgm:pt>
    <dgm:pt modelId="{B6FCFD1D-02B5-4635-B5E9-46C87D914408}" type="pres">
      <dgm:prSet presAssocID="{183D328F-5E19-4AEE-B1C6-3B7CE4605269}" presName="rootComposite" presStyleCnt="0"/>
      <dgm:spPr/>
    </dgm:pt>
    <dgm:pt modelId="{873C1D08-883B-4ABA-84C0-62F1050B5B1A}" type="pres">
      <dgm:prSet presAssocID="{183D328F-5E19-4AEE-B1C6-3B7CE4605269}" presName="rootText" presStyleLbl="node2" presStyleIdx="0" presStyleCnt="3" custScaleY="139499">
        <dgm:presLayoutVars>
          <dgm:chPref val="3"/>
        </dgm:presLayoutVars>
      </dgm:prSet>
      <dgm:spPr/>
    </dgm:pt>
    <dgm:pt modelId="{C566D25B-868F-4AC1-8E24-34349C8509C1}" type="pres">
      <dgm:prSet presAssocID="{183D328F-5E19-4AEE-B1C6-3B7CE4605269}" presName="rootConnector" presStyleLbl="node2" presStyleIdx="0" presStyleCnt="3"/>
      <dgm:spPr/>
    </dgm:pt>
    <dgm:pt modelId="{23E3AF18-4312-4AA0-8020-9116B2339B33}" type="pres">
      <dgm:prSet presAssocID="{183D328F-5E19-4AEE-B1C6-3B7CE4605269}" presName="hierChild4" presStyleCnt="0"/>
      <dgm:spPr/>
    </dgm:pt>
    <dgm:pt modelId="{BD2B8DB3-F76E-4FB4-A5C3-3A7B08BF71B9}" type="pres">
      <dgm:prSet presAssocID="{8CB5286B-B38A-4CC8-B88C-3FA30DE2FE1E}" presName="Name64" presStyleLbl="parChTrans1D3" presStyleIdx="0" presStyleCnt="4"/>
      <dgm:spPr/>
    </dgm:pt>
    <dgm:pt modelId="{0A3AF29E-1D36-449A-B6C6-DBDC65EED414}" type="pres">
      <dgm:prSet presAssocID="{B367A62E-EEB6-4F64-AD5C-BBD4B906B07E}" presName="hierRoot2" presStyleCnt="0">
        <dgm:presLayoutVars>
          <dgm:hierBranch val="init"/>
        </dgm:presLayoutVars>
      </dgm:prSet>
      <dgm:spPr/>
    </dgm:pt>
    <dgm:pt modelId="{31AE4D45-7178-4909-B8F3-32E14AF6D815}" type="pres">
      <dgm:prSet presAssocID="{B367A62E-EEB6-4F64-AD5C-BBD4B906B07E}" presName="rootComposite" presStyleCnt="0"/>
      <dgm:spPr/>
    </dgm:pt>
    <dgm:pt modelId="{6F79A028-F250-4A18-86D7-44EA2DC4FDCB}" type="pres">
      <dgm:prSet presAssocID="{B367A62E-EEB6-4F64-AD5C-BBD4B906B07E}" presName="rootText" presStyleLbl="node3" presStyleIdx="0" presStyleCnt="4" custScaleY="149882">
        <dgm:presLayoutVars>
          <dgm:chPref val="3"/>
        </dgm:presLayoutVars>
      </dgm:prSet>
      <dgm:spPr/>
    </dgm:pt>
    <dgm:pt modelId="{2DF4FDE8-F39D-4633-AFF0-DBBF33578BA5}" type="pres">
      <dgm:prSet presAssocID="{B367A62E-EEB6-4F64-AD5C-BBD4B906B07E}" presName="rootConnector" presStyleLbl="node3" presStyleIdx="0" presStyleCnt="4"/>
      <dgm:spPr/>
    </dgm:pt>
    <dgm:pt modelId="{8E36DE63-3FE7-46B1-8866-C0023D05AD76}" type="pres">
      <dgm:prSet presAssocID="{B367A62E-EEB6-4F64-AD5C-BBD4B906B07E}" presName="hierChild4" presStyleCnt="0"/>
      <dgm:spPr/>
    </dgm:pt>
    <dgm:pt modelId="{F33A4683-13A0-4D58-95AE-33258933CEC1}" type="pres">
      <dgm:prSet presAssocID="{B367A62E-EEB6-4F64-AD5C-BBD4B906B07E}" presName="hierChild5" presStyleCnt="0"/>
      <dgm:spPr/>
    </dgm:pt>
    <dgm:pt modelId="{05AD4DC6-CF7A-4D19-8327-C9975716D44D}" type="pres">
      <dgm:prSet presAssocID="{183D328F-5E19-4AEE-B1C6-3B7CE4605269}" presName="hierChild5" presStyleCnt="0"/>
      <dgm:spPr/>
    </dgm:pt>
    <dgm:pt modelId="{6A92D140-9BCF-44C9-B458-D7172A9D1E5E}" type="pres">
      <dgm:prSet presAssocID="{C5AF39BF-39E9-408B-9455-D4D042493FC2}" presName="Name64" presStyleLbl="parChTrans1D2" presStyleIdx="1" presStyleCnt="3"/>
      <dgm:spPr/>
    </dgm:pt>
    <dgm:pt modelId="{F2A773BE-D170-4DCC-B006-4B56B6658505}" type="pres">
      <dgm:prSet presAssocID="{41415B35-5E15-441A-A58E-8C1AE5BE4289}" presName="hierRoot2" presStyleCnt="0">
        <dgm:presLayoutVars>
          <dgm:hierBranch val="init"/>
        </dgm:presLayoutVars>
      </dgm:prSet>
      <dgm:spPr/>
    </dgm:pt>
    <dgm:pt modelId="{BC27E7AB-3852-4A0D-8B36-1F260C10324B}" type="pres">
      <dgm:prSet presAssocID="{41415B35-5E15-441A-A58E-8C1AE5BE4289}" presName="rootComposite" presStyleCnt="0"/>
      <dgm:spPr/>
    </dgm:pt>
    <dgm:pt modelId="{0B4EF885-9C1E-4B40-AC00-3CE3E102C707}" type="pres">
      <dgm:prSet presAssocID="{41415B35-5E15-441A-A58E-8C1AE5BE4289}" presName="rootText" presStyleLbl="node2" presStyleIdx="1" presStyleCnt="3" custScaleY="112344">
        <dgm:presLayoutVars>
          <dgm:chPref val="3"/>
        </dgm:presLayoutVars>
      </dgm:prSet>
      <dgm:spPr/>
    </dgm:pt>
    <dgm:pt modelId="{BD6603E8-9D89-4B0C-8F5A-7D80E60F3874}" type="pres">
      <dgm:prSet presAssocID="{41415B35-5E15-441A-A58E-8C1AE5BE4289}" presName="rootConnector" presStyleLbl="node2" presStyleIdx="1" presStyleCnt="3"/>
      <dgm:spPr/>
    </dgm:pt>
    <dgm:pt modelId="{6FC74C37-6D09-4A59-A112-77DC711E7F70}" type="pres">
      <dgm:prSet presAssocID="{41415B35-5E15-441A-A58E-8C1AE5BE4289}" presName="hierChild4" presStyleCnt="0"/>
      <dgm:spPr/>
    </dgm:pt>
    <dgm:pt modelId="{2717EFA6-DA9F-415D-AB96-E7DC7BA9DD2B}" type="pres">
      <dgm:prSet presAssocID="{2C925940-7CF5-4156-9602-1F9917C38154}" presName="Name64" presStyleLbl="parChTrans1D3" presStyleIdx="1" presStyleCnt="4"/>
      <dgm:spPr/>
    </dgm:pt>
    <dgm:pt modelId="{74EE83BF-5058-4389-9A4D-B019E68DE63C}" type="pres">
      <dgm:prSet presAssocID="{B203B1D5-9AB3-4D8B-95CD-72A39F30B91E}" presName="hierRoot2" presStyleCnt="0">
        <dgm:presLayoutVars>
          <dgm:hierBranch val="init"/>
        </dgm:presLayoutVars>
      </dgm:prSet>
      <dgm:spPr/>
    </dgm:pt>
    <dgm:pt modelId="{542E1092-57F1-48BA-B439-3A4EC0884371}" type="pres">
      <dgm:prSet presAssocID="{B203B1D5-9AB3-4D8B-95CD-72A39F30B91E}" presName="rootComposite" presStyleCnt="0"/>
      <dgm:spPr/>
    </dgm:pt>
    <dgm:pt modelId="{3D76CE87-695E-4A24-BCC5-304FC12FA68C}" type="pres">
      <dgm:prSet presAssocID="{B203B1D5-9AB3-4D8B-95CD-72A39F30B91E}" presName="rootText" presStyleLbl="node3" presStyleIdx="1" presStyleCnt="4" custLinFactNeighborX="463" custLinFactNeighborY="-3038">
        <dgm:presLayoutVars>
          <dgm:chPref val="3"/>
        </dgm:presLayoutVars>
      </dgm:prSet>
      <dgm:spPr/>
    </dgm:pt>
    <dgm:pt modelId="{6A043457-1833-499D-9E03-4348FF6E4F82}" type="pres">
      <dgm:prSet presAssocID="{B203B1D5-9AB3-4D8B-95CD-72A39F30B91E}" presName="rootConnector" presStyleLbl="node3" presStyleIdx="1" presStyleCnt="4"/>
      <dgm:spPr/>
    </dgm:pt>
    <dgm:pt modelId="{96658028-88CB-4854-9B30-FDFE5A0C6925}" type="pres">
      <dgm:prSet presAssocID="{B203B1D5-9AB3-4D8B-95CD-72A39F30B91E}" presName="hierChild4" presStyleCnt="0"/>
      <dgm:spPr/>
    </dgm:pt>
    <dgm:pt modelId="{8CCAF829-3458-4B4E-A695-41007AECF5B2}" type="pres">
      <dgm:prSet presAssocID="{B203B1D5-9AB3-4D8B-95CD-72A39F30B91E}" presName="hierChild5" presStyleCnt="0"/>
      <dgm:spPr/>
    </dgm:pt>
    <dgm:pt modelId="{EEAA3914-83FF-4E21-A813-41195C12B839}" type="pres">
      <dgm:prSet presAssocID="{32D249FC-DA02-4955-AFCD-9D5890D3F387}" presName="Name64" presStyleLbl="parChTrans1D3" presStyleIdx="2" presStyleCnt="4"/>
      <dgm:spPr/>
    </dgm:pt>
    <dgm:pt modelId="{8F2884E3-86D8-4564-88EE-93A2100D83A6}" type="pres">
      <dgm:prSet presAssocID="{91C1BCB2-AE95-4417-9F3C-2344A37FAB1D}" presName="hierRoot2" presStyleCnt="0">
        <dgm:presLayoutVars>
          <dgm:hierBranch val="init"/>
        </dgm:presLayoutVars>
      </dgm:prSet>
      <dgm:spPr/>
    </dgm:pt>
    <dgm:pt modelId="{D52CDC31-DFCB-42BC-83EC-7C20F9A4F6F8}" type="pres">
      <dgm:prSet presAssocID="{91C1BCB2-AE95-4417-9F3C-2344A37FAB1D}" presName="rootComposite" presStyleCnt="0"/>
      <dgm:spPr/>
    </dgm:pt>
    <dgm:pt modelId="{19AA52BD-200D-4D7F-BF02-E185C188C725}" type="pres">
      <dgm:prSet presAssocID="{91C1BCB2-AE95-4417-9F3C-2344A37FAB1D}" presName="rootText" presStyleLbl="node3" presStyleIdx="2" presStyleCnt="4" custScaleX="110429" custScaleY="131168">
        <dgm:presLayoutVars>
          <dgm:chPref val="3"/>
        </dgm:presLayoutVars>
      </dgm:prSet>
      <dgm:spPr/>
    </dgm:pt>
    <dgm:pt modelId="{BF24F75D-FC0B-440C-B158-9C9FB2E0CC6C}" type="pres">
      <dgm:prSet presAssocID="{91C1BCB2-AE95-4417-9F3C-2344A37FAB1D}" presName="rootConnector" presStyleLbl="node3" presStyleIdx="2" presStyleCnt="4"/>
      <dgm:spPr/>
    </dgm:pt>
    <dgm:pt modelId="{F8D951FB-FA2D-479D-8993-3ED91BACF6CE}" type="pres">
      <dgm:prSet presAssocID="{91C1BCB2-AE95-4417-9F3C-2344A37FAB1D}" presName="hierChild4" presStyleCnt="0"/>
      <dgm:spPr/>
    </dgm:pt>
    <dgm:pt modelId="{3F1FD736-470D-4B72-9AF4-7A5F4C2D5063}" type="pres">
      <dgm:prSet presAssocID="{91C1BCB2-AE95-4417-9F3C-2344A37FAB1D}" presName="hierChild5" presStyleCnt="0"/>
      <dgm:spPr/>
    </dgm:pt>
    <dgm:pt modelId="{C2D9387C-4B0D-4CC5-ADF8-9723A5EA08B1}" type="pres">
      <dgm:prSet presAssocID="{41415B35-5E15-441A-A58E-8C1AE5BE4289}" presName="hierChild5" presStyleCnt="0"/>
      <dgm:spPr/>
    </dgm:pt>
    <dgm:pt modelId="{F4643635-C34D-4F7A-9A9F-16DD4BF277D8}" type="pres">
      <dgm:prSet presAssocID="{9404EEDC-FCCA-428B-867E-0CEBF5687C70}" presName="Name64" presStyleLbl="parChTrans1D2" presStyleIdx="2" presStyleCnt="3"/>
      <dgm:spPr/>
    </dgm:pt>
    <dgm:pt modelId="{88C931BA-90D8-47F5-B89C-864FCECBA32D}" type="pres">
      <dgm:prSet presAssocID="{A7D455C3-2589-4D3F-84E5-0CC1D788E465}" presName="hierRoot2" presStyleCnt="0">
        <dgm:presLayoutVars>
          <dgm:hierBranch val="init"/>
        </dgm:presLayoutVars>
      </dgm:prSet>
      <dgm:spPr/>
    </dgm:pt>
    <dgm:pt modelId="{25AB4C61-202B-4145-B7AB-DC4D914D7624}" type="pres">
      <dgm:prSet presAssocID="{A7D455C3-2589-4D3F-84E5-0CC1D788E465}" presName="rootComposite" presStyleCnt="0"/>
      <dgm:spPr/>
    </dgm:pt>
    <dgm:pt modelId="{D58DDC79-237C-43FD-A9DE-4FEF11EE0685}" type="pres">
      <dgm:prSet presAssocID="{A7D455C3-2589-4D3F-84E5-0CC1D788E465}" presName="rootText" presStyleLbl="node2" presStyleIdx="2" presStyleCnt="3" custScaleX="103221" custScaleY="117738">
        <dgm:presLayoutVars>
          <dgm:chPref val="3"/>
        </dgm:presLayoutVars>
      </dgm:prSet>
      <dgm:spPr/>
    </dgm:pt>
    <dgm:pt modelId="{C7609A0A-387B-4EBA-98C9-F071ADFE42E7}" type="pres">
      <dgm:prSet presAssocID="{A7D455C3-2589-4D3F-84E5-0CC1D788E465}" presName="rootConnector" presStyleLbl="node2" presStyleIdx="2" presStyleCnt="3"/>
      <dgm:spPr/>
    </dgm:pt>
    <dgm:pt modelId="{7371BC27-A748-4C28-AB56-3622F91FD90B}" type="pres">
      <dgm:prSet presAssocID="{A7D455C3-2589-4D3F-84E5-0CC1D788E465}" presName="hierChild4" presStyleCnt="0"/>
      <dgm:spPr/>
    </dgm:pt>
    <dgm:pt modelId="{C849229B-F0E4-4B3D-B674-1F8E99868B89}" type="pres">
      <dgm:prSet presAssocID="{13F9677D-0DD5-497C-8935-08D200089370}" presName="Name64" presStyleLbl="parChTrans1D3" presStyleIdx="3" presStyleCnt="4"/>
      <dgm:spPr/>
    </dgm:pt>
    <dgm:pt modelId="{80B0274E-C983-481E-BC98-9324F3833815}" type="pres">
      <dgm:prSet presAssocID="{447EB61E-E162-4432-978F-13BD7DF8278D}" presName="hierRoot2" presStyleCnt="0">
        <dgm:presLayoutVars>
          <dgm:hierBranch val="init"/>
        </dgm:presLayoutVars>
      </dgm:prSet>
      <dgm:spPr/>
    </dgm:pt>
    <dgm:pt modelId="{EDB9DC6C-BA50-4695-8C52-A863F5CD99BC}" type="pres">
      <dgm:prSet presAssocID="{447EB61E-E162-4432-978F-13BD7DF8278D}" presName="rootComposite" presStyleCnt="0"/>
      <dgm:spPr/>
    </dgm:pt>
    <dgm:pt modelId="{405EC680-938F-4B77-B2F3-3C7ECC4C8294}" type="pres">
      <dgm:prSet presAssocID="{447EB61E-E162-4432-978F-13BD7DF8278D}" presName="rootText" presStyleLbl="node3" presStyleIdx="3" presStyleCnt="4">
        <dgm:presLayoutVars>
          <dgm:chPref val="3"/>
        </dgm:presLayoutVars>
      </dgm:prSet>
      <dgm:spPr/>
    </dgm:pt>
    <dgm:pt modelId="{898AFE75-1BF1-4972-AE6F-340F66B508E8}" type="pres">
      <dgm:prSet presAssocID="{447EB61E-E162-4432-978F-13BD7DF8278D}" presName="rootConnector" presStyleLbl="node3" presStyleIdx="3" presStyleCnt="4"/>
      <dgm:spPr/>
    </dgm:pt>
    <dgm:pt modelId="{6FF80A30-AAEC-44C8-83FA-3B75354C156B}" type="pres">
      <dgm:prSet presAssocID="{447EB61E-E162-4432-978F-13BD7DF8278D}" presName="hierChild4" presStyleCnt="0"/>
      <dgm:spPr/>
    </dgm:pt>
    <dgm:pt modelId="{684B7720-5B80-4B2B-8C32-96BB5F3F7670}" type="pres">
      <dgm:prSet presAssocID="{447EB61E-E162-4432-978F-13BD7DF8278D}" presName="hierChild5" presStyleCnt="0"/>
      <dgm:spPr/>
    </dgm:pt>
    <dgm:pt modelId="{7578276A-18C4-4254-8967-BAFCD9E8FA17}" type="pres">
      <dgm:prSet presAssocID="{A7D455C3-2589-4D3F-84E5-0CC1D788E465}" presName="hierChild5" presStyleCnt="0"/>
      <dgm:spPr/>
    </dgm:pt>
    <dgm:pt modelId="{3D2D3EA4-3A31-4934-BA96-0CB1C5EFE267}" type="pres">
      <dgm:prSet presAssocID="{C769E187-88C9-4C09-93A5-A355E9D78EE3}" presName="hierChild3" presStyleCnt="0"/>
      <dgm:spPr/>
    </dgm:pt>
  </dgm:ptLst>
  <dgm:cxnLst>
    <dgm:cxn modelId="{0B84741B-300C-4F91-B635-B77D4E095EB6}" srcId="{41415B35-5E15-441A-A58E-8C1AE5BE4289}" destId="{91C1BCB2-AE95-4417-9F3C-2344A37FAB1D}" srcOrd="1" destOrd="0" parTransId="{32D249FC-DA02-4955-AFCD-9D5890D3F387}" sibTransId="{635DCD7B-A541-4DDB-8625-BA0EADDF5163}"/>
    <dgm:cxn modelId="{63C2FE1B-46FC-4AAD-B2AD-98E1FE724FF1}" type="presOf" srcId="{41415B35-5E15-441A-A58E-8C1AE5BE4289}" destId="{BD6603E8-9D89-4B0C-8F5A-7D80E60F3874}" srcOrd="1" destOrd="0" presId="urn:microsoft.com/office/officeart/2009/3/layout/HorizontalOrganizationChart"/>
    <dgm:cxn modelId="{BC329F1F-5F43-DD40-AE2A-7E470C5C4054}" type="presOf" srcId="{A7D455C3-2589-4D3F-84E5-0CC1D788E465}" destId="{C7609A0A-387B-4EBA-98C9-F071ADFE42E7}" srcOrd="1" destOrd="0" presId="urn:microsoft.com/office/officeart/2009/3/layout/HorizontalOrganizationChart"/>
    <dgm:cxn modelId="{6161572F-46E3-4D00-8809-898672ADC0B5}" type="presOf" srcId="{32D249FC-DA02-4955-AFCD-9D5890D3F387}" destId="{EEAA3914-83FF-4E21-A813-41195C12B839}" srcOrd="0" destOrd="0" presId="urn:microsoft.com/office/officeart/2009/3/layout/HorizontalOrganizationChart"/>
    <dgm:cxn modelId="{74EA1530-5A17-9A46-BEA4-5EFA8AB9778B}" type="presOf" srcId="{9404EEDC-FCCA-428B-867E-0CEBF5687C70}" destId="{F4643635-C34D-4F7A-9A9F-16DD4BF277D8}" srcOrd="0" destOrd="0" presId="urn:microsoft.com/office/officeart/2009/3/layout/HorizontalOrganizationChart"/>
    <dgm:cxn modelId="{3F19BF31-AD1D-4CC3-AB9B-A9968D968B97}" srcId="{41415B35-5E15-441A-A58E-8C1AE5BE4289}" destId="{B203B1D5-9AB3-4D8B-95CD-72A39F30B91E}" srcOrd="0" destOrd="0" parTransId="{2C925940-7CF5-4156-9602-1F9917C38154}" sibTransId="{0B10AD71-1DA7-4CC2-A56C-A46A26BF8004}"/>
    <dgm:cxn modelId="{602D5243-4BE3-41DC-91D6-E34F4A628A32}" srcId="{C769E187-88C9-4C09-93A5-A355E9D78EE3}" destId="{41415B35-5E15-441A-A58E-8C1AE5BE4289}" srcOrd="1" destOrd="0" parTransId="{C5AF39BF-39E9-408B-9455-D4D042493FC2}" sibTransId="{D305072A-9050-489B-B325-535FC745A392}"/>
    <dgm:cxn modelId="{1972C963-B19F-443A-9FCE-57947E2AFE7D}" type="presOf" srcId="{C769E187-88C9-4C09-93A5-A355E9D78EE3}" destId="{C2929284-7BF5-4993-B9AC-18F6DC2AABA0}" srcOrd="0" destOrd="0" presId="urn:microsoft.com/office/officeart/2009/3/layout/HorizontalOrganizationChart"/>
    <dgm:cxn modelId="{F7080A47-C2E6-4799-90D2-531D0B933CEA}" srcId="{7A8EF0C4-B73A-41F2-8FC9-E012B3514A0C}" destId="{C769E187-88C9-4C09-93A5-A355E9D78EE3}" srcOrd="0" destOrd="0" parTransId="{8126CAE5-A368-4125-A47A-C8F6DEA03D01}" sibTransId="{9412574F-2ACA-4CC4-A0DE-4E176C43A156}"/>
    <dgm:cxn modelId="{23A6044D-EACD-4A1D-8849-27CF93E86D26}" srcId="{C769E187-88C9-4C09-93A5-A355E9D78EE3}" destId="{A7D455C3-2589-4D3F-84E5-0CC1D788E465}" srcOrd="2" destOrd="0" parTransId="{9404EEDC-FCCA-428B-867E-0CEBF5687C70}" sibTransId="{534F6640-0234-42C1-965D-15EDE64C4F94}"/>
    <dgm:cxn modelId="{D0DA8E4D-03D7-495E-A1A7-CB5FEF3326B9}" type="presOf" srcId="{91C1BCB2-AE95-4417-9F3C-2344A37FAB1D}" destId="{BF24F75D-FC0B-440C-B158-9C9FB2E0CC6C}" srcOrd="1" destOrd="0" presId="urn:microsoft.com/office/officeart/2009/3/layout/HorizontalOrganizationChart"/>
    <dgm:cxn modelId="{A5C49D50-755F-4CAD-8876-993C93C7DE4A}" srcId="{C769E187-88C9-4C09-93A5-A355E9D78EE3}" destId="{183D328F-5E19-4AEE-B1C6-3B7CE4605269}" srcOrd="0" destOrd="0" parTransId="{E900B524-E4BF-4586-B0D0-64F80684CF71}" sibTransId="{3B555BC2-46AF-4CB7-8B03-0130F37FD09D}"/>
    <dgm:cxn modelId="{D2B0F272-C376-4398-A5C6-6D4E0D276181}" srcId="{183D328F-5E19-4AEE-B1C6-3B7CE4605269}" destId="{B367A62E-EEB6-4F64-AD5C-BBD4B906B07E}" srcOrd="0" destOrd="0" parTransId="{8CB5286B-B38A-4CC8-B88C-3FA30DE2FE1E}" sibTransId="{ED8C6BF1-0CB2-4EC7-9C2C-FA1D8B0D06F4}"/>
    <dgm:cxn modelId="{3518B453-0E50-487F-98C9-1812E816D988}" type="presOf" srcId="{B203B1D5-9AB3-4D8B-95CD-72A39F30B91E}" destId="{3D76CE87-695E-4A24-BCC5-304FC12FA68C}" srcOrd="0" destOrd="0" presId="urn:microsoft.com/office/officeart/2009/3/layout/HorizontalOrganizationChart"/>
    <dgm:cxn modelId="{172EC780-7BF2-D04E-8EFF-6199FEE493B3}" type="presOf" srcId="{447EB61E-E162-4432-978F-13BD7DF8278D}" destId="{898AFE75-1BF1-4972-AE6F-340F66B508E8}" srcOrd="1" destOrd="0" presId="urn:microsoft.com/office/officeart/2009/3/layout/HorizontalOrganizationChart"/>
    <dgm:cxn modelId="{B59FA381-C6E8-4E86-ADF2-B4858F9CEE44}" type="presOf" srcId="{E900B524-E4BF-4586-B0D0-64F80684CF71}" destId="{130D466D-2213-40C1-9123-B002B1D1ACCE}" srcOrd="0" destOrd="0" presId="urn:microsoft.com/office/officeart/2009/3/layout/HorizontalOrganizationChart"/>
    <dgm:cxn modelId="{FF4EC18A-2153-408F-8A72-C35825C99649}" type="presOf" srcId="{91C1BCB2-AE95-4417-9F3C-2344A37FAB1D}" destId="{19AA52BD-200D-4D7F-BF02-E185C188C725}" srcOrd="0" destOrd="0" presId="urn:microsoft.com/office/officeart/2009/3/layout/HorizontalOrganizationChart"/>
    <dgm:cxn modelId="{E254D190-4DEC-D447-BDFD-9DD7296E2CA7}" type="presOf" srcId="{A7D455C3-2589-4D3F-84E5-0CC1D788E465}" destId="{D58DDC79-237C-43FD-A9DE-4FEF11EE0685}" srcOrd="0" destOrd="0" presId="urn:microsoft.com/office/officeart/2009/3/layout/HorizontalOrganizationChart"/>
    <dgm:cxn modelId="{EE9FE090-EC35-4D51-9D1B-E96091C20067}" type="presOf" srcId="{C769E187-88C9-4C09-93A5-A355E9D78EE3}" destId="{FA6FA133-FAC9-45BC-8148-55A7B4E01C9E}" srcOrd="1" destOrd="0" presId="urn:microsoft.com/office/officeart/2009/3/layout/HorizontalOrganizationChart"/>
    <dgm:cxn modelId="{401F8E98-C25A-D24E-A096-422A9B3BC385}" type="presOf" srcId="{447EB61E-E162-4432-978F-13BD7DF8278D}" destId="{405EC680-938F-4B77-B2F3-3C7ECC4C8294}" srcOrd="0" destOrd="0" presId="urn:microsoft.com/office/officeart/2009/3/layout/HorizontalOrganizationChart"/>
    <dgm:cxn modelId="{6FEDCCA0-6BDC-C14D-9534-0459CE1ABF53}" type="presOf" srcId="{13F9677D-0DD5-497C-8935-08D200089370}" destId="{C849229B-F0E4-4B3D-B674-1F8E99868B89}" srcOrd="0" destOrd="0" presId="urn:microsoft.com/office/officeart/2009/3/layout/HorizontalOrganizationChart"/>
    <dgm:cxn modelId="{64F5E8A2-2D88-4E96-B92E-E2F9B9447573}" type="presOf" srcId="{B203B1D5-9AB3-4D8B-95CD-72A39F30B91E}" destId="{6A043457-1833-499D-9E03-4348FF6E4F82}" srcOrd="1" destOrd="0" presId="urn:microsoft.com/office/officeart/2009/3/layout/HorizontalOrganizationChart"/>
    <dgm:cxn modelId="{CA833AC4-57EB-47F1-B369-0EBC78A8CC82}" srcId="{A7D455C3-2589-4D3F-84E5-0CC1D788E465}" destId="{447EB61E-E162-4432-978F-13BD7DF8278D}" srcOrd="0" destOrd="0" parTransId="{13F9677D-0DD5-497C-8935-08D200089370}" sibTransId="{1FB76720-F8BE-4491-A0A8-AAD400B0E0AC}"/>
    <dgm:cxn modelId="{6F2AFED2-235B-43BA-93AF-0B589CDFC20A}" type="presOf" srcId="{183D328F-5E19-4AEE-B1C6-3B7CE4605269}" destId="{C566D25B-868F-4AC1-8E24-34349C8509C1}" srcOrd="1" destOrd="0" presId="urn:microsoft.com/office/officeart/2009/3/layout/HorizontalOrganizationChart"/>
    <dgm:cxn modelId="{CAE3D1D5-A3F5-4681-B99F-B250CEA0DD82}" type="presOf" srcId="{B367A62E-EEB6-4F64-AD5C-BBD4B906B07E}" destId="{6F79A028-F250-4A18-86D7-44EA2DC4FDCB}" srcOrd="0" destOrd="0" presId="urn:microsoft.com/office/officeart/2009/3/layout/HorizontalOrganizationChart"/>
    <dgm:cxn modelId="{247240DB-6D74-442B-9700-235E17F6A797}" type="presOf" srcId="{7A8EF0C4-B73A-41F2-8FC9-E012B3514A0C}" destId="{2358A152-D6D0-43AE-9A7C-5A823E2E1A04}" srcOrd="0" destOrd="0" presId="urn:microsoft.com/office/officeart/2009/3/layout/HorizontalOrganizationChart"/>
    <dgm:cxn modelId="{048385DD-BA3C-4A2D-B300-CADB77F1509B}" type="presOf" srcId="{183D328F-5E19-4AEE-B1C6-3B7CE4605269}" destId="{873C1D08-883B-4ABA-84C0-62F1050B5B1A}" srcOrd="0" destOrd="0" presId="urn:microsoft.com/office/officeart/2009/3/layout/HorizontalOrganizationChart"/>
    <dgm:cxn modelId="{66F2C3E0-A906-49E2-A439-1793E358C679}" type="presOf" srcId="{2C925940-7CF5-4156-9602-1F9917C38154}" destId="{2717EFA6-DA9F-415D-AB96-E7DC7BA9DD2B}" srcOrd="0" destOrd="0" presId="urn:microsoft.com/office/officeart/2009/3/layout/HorizontalOrganizationChart"/>
    <dgm:cxn modelId="{D70AEEE3-DD64-4F25-B114-35C08EC5519F}" type="presOf" srcId="{B367A62E-EEB6-4F64-AD5C-BBD4B906B07E}" destId="{2DF4FDE8-F39D-4633-AFF0-DBBF33578BA5}" srcOrd="1" destOrd="0" presId="urn:microsoft.com/office/officeart/2009/3/layout/HorizontalOrganizationChart"/>
    <dgm:cxn modelId="{E7CB67EB-E479-4DEC-B5D3-AF96F4C9A91A}" type="presOf" srcId="{8CB5286B-B38A-4CC8-B88C-3FA30DE2FE1E}" destId="{BD2B8DB3-F76E-4FB4-A5C3-3A7B08BF71B9}" srcOrd="0" destOrd="0" presId="urn:microsoft.com/office/officeart/2009/3/layout/HorizontalOrganizationChart"/>
    <dgm:cxn modelId="{DF823FED-DA89-4CAF-8783-8DF0F6475F53}" type="presOf" srcId="{41415B35-5E15-441A-A58E-8C1AE5BE4289}" destId="{0B4EF885-9C1E-4B40-AC00-3CE3E102C707}" srcOrd="0" destOrd="0" presId="urn:microsoft.com/office/officeart/2009/3/layout/HorizontalOrganizationChart"/>
    <dgm:cxn modelId="{5F9EEBFB-7BF9-48A6-A658-81CE59EBD9C5}" type="presOf" srcId="{C5AF39BF-39E9-408B-9455-D4D042493FC2}" destId="{6A92D140-9BCF-44C9-B458-D7172A9D1E5E}" srcOrd="0" destOrd="0" presId="urn:microsoft.com/office/officeart/2009/3/layout/HorizontalOrganizationChart"/>
    <dgm:cxn modelId="{FA160141-B363-4744-80FC-D605D0DDCB9E}" type="presParOf" srcId="{2358A152-D6D0-43AE-9A7C-5A823E2E1A04}" destId="{8234CE8E-653A-4E66-BC7D-68F893DA88DD}" srcOrd="0" destOrd="0" presId="urn:microsoft.com/office/officeart/2009/3/layout/HorizontalOrganizationChart"/>
    <dgm:cxn modelId="{C32B5A21-8E52-4798-A396-9975C7A84660}" type="presParOf" srcId="{8234CE8E-653A-4E66-BC7D-68F893DA88DD}" destId="{73CD6E2B-86DB-4764-B3A1-0386A4E22FC0}" srcOrd="0" destOrd="0" presId="urn:microsoft.com/office/officeart/2009/3/layout/HorizontalOrganizationChart"/>
    <dgm:cxn modelId="{B0036734-1158-4B94-9705-3F32B61DC0A7}" type="presParOf" srcId="{73CD6E2B-86DB-4764-B3A1-0386A4E22FC0}" destId="{C2929284-7BF5-4993-B9AC-18F6DC2AABA0}" srcOrd="0" destOrd="0" presId="urn:microsoft.com/office/officeart/2009/3/layout/HorizontalOrganizationChart"/>
    <dgm:cxn modelId="{48A53A95-4D6E-4070-828B-5EDD8165A274}" type="presParOf" srcId="{73CD6E2B-86DB-4764-B3A1-0386A4E22FC0}" destId="{FA6FA133-FAC9-45BC-8148-55A7B4E01C9E}" srcOrd="1" destOrd="0" presId="urn:microsoft.com/office/officeart/2009/3/layout/HorizontalOrganizationChart"/>
    <dgm:cxn modelId="{CEEB69BC-191A-4146-B7B4-053FB811C7CE}" type="presParOf" srcId="{8234CE8E-653A-4E66-BC7D-68F893DA88DD}" destId="{2E504FE1-4BFF-4A1E-8C9A-685F385B2A4C}" srcOrd="1" destOrd="0" presId="urn:microsoft.com/office/officeart/2009/3/layout/HorizontalOrganizationChart"/>
    <dgm:cxn modelId="{4FC58E80-A377-4605-8CB2-11184F12D116}" type="presParOf" srcId="{2E504FE1-4BFF-4A1E-8C9A-685F385B2A4C}" destId="{130D466D-2213-40C1-9123-B002B1D1ACCE}" srcOrd="0" destOrd="0" presId="urn:microsoft.com/office/officeart/2009/3/layout/HorizontalOrganizationChart"/>
    <dgm:cxn modelId="{709D10F5-25FE-4406-A06B-335CFC195BBC}" type="presParOf" srcId="{2E504FE1-4BFF-4A1E-8C9A-685F385B2A4C}" destId="{DDF81AD0-DA6C-45CC-9C50-CFB51AD25573}" srcOrd="1" destOrd="0" presId="urn:microsoft.com/office/officeart/2009/3/layout/HorizontalOrganizationChart"/>
    <dgm:cxn modelId="{93E5AA6E-C7B3-4A02-822B-3C41F214C9EA}" type="presParOf" srcId="{DDF81AD0-DA6C-45CC-9C50-CFB51AD25573}" destId="{B6FCFD1D-02B5-4635-B5E9-46C87D914408}" srcOrd="0" destOrd="0" presId="urn:microsoft.com/office/officeart/2009/3/layout/HorizontalOrganizationChart"/>
    <dgm:cxn modelId="{0512FC2A-2C3F-43D2-AA44-B1C1BA793100}" type="presParOf" srcId="{B6FCFD1D-02B5-4635-B5E9-46C87D914408}" destId="{873C1D08-883B-4ABA-84C0-62F1050B5B1A}" srcOrd="0" destOrd="0" presId="urn:microsoft.com/office/officeart/2009/3/layout/HorizontalOrganizationChart"/>
    <dgm:cxn modelId="{29CC502A-F4FE-484F-8C47-B033DC1147D1}" type="presParOf" srcId="{B6FCFD1D-02B5-4635-B5E9-46C87D914408}" destId="{C566D25B-868F-4AC1-8E24-34349C8509C1}" srcOrd="1" destOrd="0" presId="urn:microsoft.com/office/officeart/2009/3/layout/HorizontalOrganizationChart"/>
    <dgm:cxn modelId="{88662020-5A6F-4042-B6E7-DD0AB821FEDC}" type="presParOf" srcId="{DDF81AD0-DA6C-45CC-9C50-CFB51AD25573}" destId="{23E3AF18-4312-4AA0-8020-9116B2339B33}" srcOrd="1" destOrd="0" presId="urn:microsoft.com/office/officeart/2009/3/layout/HorizontalOrganizationChart"/>
    <dgm:cxn modelId="{751BE5BA-E4A1-4654-8A4B-74BDB76A2894}" type="presParOf" srcId="{23E3AF18-4312-4AA0-8020-9116B2339B33}" destId="{BD2B8DB3-F76E-4FB4-A5C3-3A7B08BF71B9}" srcOrd="0" destOrd="0" presId="urn:microsoft.com/office/officeart/2009/3/layout/HorizontalOrganizationChart"/>
    <dgm:cxn modelId="{0FC2A819-B9CE-4D15-BEA3-E18B7976E156}" type="presParOf" srcId="{23E3AF18-4312-4AA0-8020-9116B2339B33}" destId="{0A3AF29E-1D36-449A-B6C6-DBDC65EED414}" srcOrd="1" destOrd="0" presId="urn:microsoft.com/office/officeart/2009/3/layout/HorizontalOrganizationChart"/>
    <dgm:cxn modelId="{8F60C4C2-FF39-418D-97E9-392ABEA2263A}" type="presParOf" srcId="{0A3AF29E-1D36-449A-B6C6-DBDC65EED414}" destId="{31AE4D45-7178-4909-B8F3-32E14AF6D815}" srcOrd="0" destOrd="0" presId="urn:microsoft.com/office/officeart/2009/3/layout/HorizontalOrganizationChart"/>
    <dgm:cxn modelId="{693A08D7-E001-4981-813A-959816679BA8}" type="presParOf" srcId="{31AE4D45-7178-4909-B8F3-32E14AF6D815}" destId="{6F79A028-F250-4A18-86D7-44EA2DC4FDCB}" srcOrd="0" destOrd="0" presId="urn:microsoft.com/office/officeart/2009/3/layout/HorizontalOrganizationChart"/>
    <dgm:cxn modelId="{F26F6D00-832F-4569-9518-984288F088C9}" type="presParOf" srcId="{31AE4D45-7178-4909-B8F3-32E14AF6D815}" destId="{2DF4FDE8-F39D-4633-AFF0-DBBF33578BA5}" srcOrd="1" destOrd="0" presId="urn:microsoft.com/office/officeart/2009/3/layout/HorizontalOrganizationChart"/>
    <dgm:cxn modelId="{E4E24178-5F05-4E9A-A0EB-F1962E33E422}" type="presParOf" srcId="{0A3AF29E-1D36-449A-B6C6-DBDC65EED414}" destId="{8E36DE63-3FE7-46B1-8866-C0023D05AD76}" srcOrd="1" destOrd="0" presId="urn:microsoft.com/office/officeart/2009/3/layout/HorizontalOrganizationChart"/>
    <dgm:cxn modelId="{67956744-580C-47CE-B2F5-7A041B87246B}" type="presParOf" srcId="{0A3AF29E-1D36-449A-B6C6-DBDC65EED414}" destId="{F33A4683-13A0-4D58-95AE-33258933CEC1}" srcOrd="2" destOrd="0" presId="urn:microsoft.com/office/officeart/2009/3/layout/HorizontalOrganizationChart"/>
    <dgm:cxn modelId="{AE7BC309-156F-45DA-AC6C-9E659108F0CF}" type="presParOf" srcId="{DDF81AD0-DA6C-45CC-9C50-CFB51AD25573}" destId="{05AD4DC6-CF7A-4D19-8327-C9975716D44D}" srcOrd="2" destOrd="0" presId="urn:microsoft.com/office/officeart/2009/3/layout/HorizontalOrganizationChart"/>
    <dgm:cxn modelId="{2CECECDD-550A-4E53-9211-AD9BA094C378}" type="presParOf" srcId="{2E504FE1-4BFF-4A1E-8C9A-685F385B2A4C}" destId="{6A92D140-9BCF-44C9-B458-D7172A9D1E5E}" srcOrd="2" destOrd="0" presId="urn:microsoft.com/office/officeart/2009/3/layout/HorizontalOrganizationChart"/>
    <dgm:cxn modelId="{538E05DB-E037-4749-BC61-63FE1D9B0D5C}" type="presParOf" srcId="{2E504FE1-4BFF-4A1E-8C9A-685F385B2A4C}" destId="{F2A773BE-D170-4DCC-B006-4B56B6658505}" srcOrd="3" destOrd="0" presId="urn:microsoft.com/office/officeart/2009/3/layout/HorizontalOrganizationChart"/>
    <dgm:cxn modelId="{D8D0E94D-7BAA-44F1-9F48-7B0739AD2DAE}" type="presParOf" srcId="{F2A773BE-D170-4DCC-B006-4B56B6658505}" destId="{BC27E7AB-3852-4A0D-8B36-1F260C10324B}" srcOrd="0" destOrd="0" presId="urn:microsoft.com/office/officeart/2009/3/layout/HorizontalOrganizationChart"/>
    <dgm:cxn modelId="{3E026BE5-D267-4F7C-BA35-527621FA4574}" type="presParOf" srcId="{BC27E7AB-3852-4A0D-8B36-1F260C10324B}" destId="{0B4EF885-9C1E-4B40-AC00-3CE3E102C707}" srcOrd="0" destOrd="0" presId="urn:microsoft.com/office/officeart/2009/3/layout/HorizontalOrganizationChart"/>
    <dgm:cxn modelId="{1EE39721-F791-4556-B4DE-496844A94288}" type="presParOf" srcId="{BC27E7AB-3852-4A0D-8B36-1F260C10324B}" destId="{BD6603E8-9D89-4B0C-8F5A-7D80E60F3874}" srcOrd="1" destOrd="0" presId="urn:microsoft.com/office/officeart/2009/3/layout/HorizontalOrganizationChart"/>
    <dgm:cxn modelId="{0EDA9C7D-03B1-421F-AF0D-0DC0DC5FE3C5}" type="presParOf" srcId="{F2A773BE-D170-4DCC-B006-4B56B6658505}" destId="{6FC74C37-6D09-4A59-A112-77DC711E7F70}" srcOrd="1" destOrd="0" presId="urn:microsoft.com/office/officeart/2009/3/layout/HorizontalOrganizationChart"/>
    <dgm:cxn modelId="{9F423F16-FCFF-494D-8BE2-4F7DABB2A8AE}" type="presParOf" srcId="{6FC74C37-6D09-4A59-A112-77DC711E7F70}" destId="{2717EFA6-DA9F-415D-AB96-E7DC7BA9DD2B}" srcOrd="0" destOrd="0" presId="urn:microsoft.com/office/officeart/2009/3/layout/HorizontalOrganizationChart"/>
    <dgm:cxn modelId="{9066D22A-BDF8-4933-AFDF-61ADA5901D7A}" type="presParOf" srcId="{6FC74C37-6D09-4A59-A112-77DC711E7F70}" destId="{74EE83BF-5058-4389-9A4D-B019E68DE63C}" srcOrd="1" destOrd="0" presId="urn:microsoft.com/office/officeart/2009/3/layout/HorizontalOrganizationChart"/>
    <dgm:cxn modelId="{7890BE86-8CBA-44B6-94A2-CE3794835EB6}" type="presParOf" srcId="{74EE83BF-5058-4389-9A4D-B019E68DE63C}" destId="{542E1092-57F1-48BA-B439-3A4EC0884371}" srcOrd="0" destOrd="0" presId="urn:microsoft.com/office/officeart/2009/3/layout/HorizontalOrganizationChart"/>
    <dgm:cxn modelId="{BCF1C78F-3314-4EA1-87A9-21ADFA2D089B}" type="presParOf" srcId="{542E1092-57F1-48BA-B439-3A4EC0884371}" destId="{3D76CE87-695E-4A24-BCC5-304FC12FA68C}" srcOrd="0" destOrd="0" presId="urn:microsoft.com/office/officeart/2009/3/layout/HorizontalOrganizationChart"/>
    <dgm:cxn modelId="{AA76D020-0FEF-4CAD-9FF0-2EC03790B60B}" type="presParOf" srcId="{542E1092-57F1-48BA-B439-3A4EC0884371}" destId="{6A043457-1833-499D-9E03-4348FF6E4F82}" srcOrd="1" destOrd="0" presId="urn:microsoft.com/office/officeart/2009/3/layout/HorizontalOrganizationChart"/>
    <dgm:cxn modelId="{1B2D706F-FC16-4493-ADEC-97A716BD00D9}" type="presParOf" srcId="{74EE83BF-5058-4389-9A4D-B019E68DE63C}" destId="{96658028-88CB-4854-9B30-FDFE5A0C6925}" srcOrd="1" destOrd="0" presId="urn:microsoft.com/office/officeart/2009/3/layout/HorizontalOrganizationChart"/>
    <dgm:cxn modelId="{CF954DCF-F042-4554-8F21-ACDF8748F345}" type="presParOf" srcId="{74EE83BF-5058-4389-9A4D-B019E68DE63C}" destId="{8CCAF829-3458-4B4E-A695-41007AECF5B2}" srcOrd="2" destOrd="0" presId="urn:microsoft.com/office/officeart/2009/3/layout/HorizontalOrganizationChart"/>
    <dgm:cxn modelId="{89C3E4F4-7AD9-45DC-8662-3DA811F53A9B}" type="presParOf" srcId="{6FC74C37-6D09-4A59-A112-77DC711E7F70}" destId="{EEAA3914-83FF-4E21-A813-41195C12B839}" srcOrd="2" destOrd="0" presId="urn:microsoft.com/office/officeart/2009/3/layout/HorizontalOrganizationChart"/>
    <dgm:cxn modelId="{EE4D30C4-A851-4BF3-916A-2B4D16BE0481}" type="presParOf" srcId="{6FC74C37-6D09-4A59-A112-77DC711E7F70}" destId="{8F2884E3-86D8-4564-88EE-93A2100D83A6}" srcOrd="3" destOrd="0" presId="urn:microsoft.com/office/officeart/2009/3/layout/HorizontalOrganizationChart"/>
    <dgm:cxn modelId="{100D53C1-0B03-456F-AE8F-156BF665CD37}" type="presParOf" srcId="{8F2884E3-86D8-4564-88EE-93A2100D83A6}" destId="{D52CDC31-DFCB-42BC-83EC-7C20F9A4F6F8}" srcOrd="0" destOrd="0" presId="urn:microsoft.com/office/officeart/2009/3/layout/HorizontalOrganizationChart"/>
    <dgm:cxn modelId="{CD112D35-CCD7-489B-970F-8A276D817F08}" type="presParOf" srcId="{D52CDC31-DFCB-42BC-83EC-7C20F9A4F6F8}" destId="{19AA52BD-200D-4D7F-BF02-E185C188C725}" srcOrd="0" destOrd="0" presId="urn:microsoft.com/office/officeart/2009/3/layout/HorizontalOrganizationChart"/>
    <dgm:cxn modelId="{E21B72F2-E32E-4998-8BD4-9DED2C343DF9}" type="presParOf" srcId="{D52CDC31-DFCB-42BC-83EC-7C20F9A4F6F8}" destId="{BF24F75D-FC0B-440C-B158-9C9FB2E0CC6C}" srcOrd="1" destOrd="0" presId="urn:microsoft.com/office/officeart/2009/3/layout/HorizontalOrganizationChart"/>
    <dgm:cxn modelId="{9BCD45E8-477E-4682-AF67-FCE03F687BD5}" type="presParOf" srcId="{8F2884E3-86D8-4564-88EE-93A2100D83A6}" destId="{F8D951FB-FA2D-479D-8993-3ED91BACF6CE}" srcOrd="1" destOrd="0" presId="urn:microsoft.com/office/officeart/2009/3/layout/HorizontalOrganizationChart"/>
    <dgm:cxn modelId="{7CCEB16A-297E-4CC7-8658-4746EBE0C79E}" type="presParOf" srcId="{8F2884E3-86D8-4564-88EE-93A2100D83A6}" destId="{3F1FD736-470D-4B72-9AF4-7A5F4C2D5063}" srcOrd="2" destOrd="0" presId="urn:microsoft.com/office/officeart/2009/3/layout/HorizontalOrganizationChart"/>
    <dgm:cxn modelId="{FD9D166F-3415-4A61-ADAF-79E5EBD8E41A}" type="presParOf" srcId="{F2A773BE-D170-4DCC-B006-4B56B6658505}" destId="{C2D9387C-4B0D-4CC5-ADF8-9723A5EA08B1}" srcOrd="2" destOrd="0" presId="urn:microsoft.com/office/officeart/2009/3/layout/HorizontalOrganizationChart"/>
    <dgm:cxn modelId="{1B88ABE9-957C-E546-B67E-4AF397412949}" type="presParOf" srcId="{2E504FE1-4BFF-4A1E-8C9A-685F385B2A4C}" destId="{F4643635-C34D-4F7A-9A9F-16DD4BF277D8}" srcOrd="4" destOrd="0" presId="urn:microsoft.com/office/officeart/2009/3/layout/HorizontalOrganizationChart"/>
    <dgm:cxn modelId="{A4A0B883-02D1-B14F-846E-5BC799DDAEA5}" type="presParOf" srcId="{2E504FE1-4BFF-4A1E-8C9A-685F385B2A4C}" destId="{88C931BA-90D8-47F5-B89C-864FCECBA32D}" srcOrd="5" destOrd="0" presId="urn:microsoft.com/office/officeart/2009/3/layout/HorizontalOrganizationChart"/>
    <dgm:cxn modelId="{A9B472D0-9FC1-0B46-8B9F-5FF461092F25}" type="presParOf" srcId="{88C931BA-90D8-47F5-B89C-864FCECBA32D}" destId="{25AB4C61-202B-4145-B7AB-DC4D914D7624}" srcOrd="0" destOrd="0" presId="urn:microsoft.com/office/officeart/2009/3/layout/HorizontalOrganizationChart"/>
    <dgm:cxn modelId="{92D0B46F-A01A-C647-A012-712E995A3BD0}" type="presParOf" srcId="{25AB4C61-202B-4145-B7AB-DC4D914D7624}" destId="{D58DDC79-237C-43FD-A9DE-4FEF11EE0685}" srcOrd="0" destOrd="0" presId="urn:microsoft.com/office/officeart/2009/3/layout/HorizontalOrganizationChart"/>
    <dgm:cxn modelId="{9354A778-6519-0E48-8012-514193EC8E6D}" type="presParOf" srcId="{25AB4C61-202B-4145-B7AB-DC4D914D7624}" destId="{C7609A0A-387B-4EBA-98C9-F071ADFE42E7}" srcOrd="1" destOrd="0" presId="urn:microsoft.com/office/officeart/2009/3/layout/HorizontalOrganizationChart"/>
    <dgm:cxn modelId="{140F3E75-6266-F24F-8B71-BD846B4B239C}" type="presParOf" srcId="{88C931BA-90D8-47F5-B89C-864FCECBA32D}" destId="{7371BC27-A748-4C28-AB56-3622F91FD90B}" srcOrd="1" destOrd="0" presId="urn:microsoft.com/office/officeart/2009/3/layout/HorizontalOrganizationChart"/>
    <dgm:cxn modelId="{633854B6-2D4F-8C4E-A0CD-836B8E0735E3}" type="presParOf" srcId="{7371BC27-A748-4C28-AB56-3622F91FD90B}" destId="{C849229B-F0E4-4B3D-B674-1F8E99868B89}" srcOrd="0" destOrd="0" presId="urn:microsoft.com/office/officeart/2009/3/layout/HorizontalOrganizationChart"/>
    <dgm:cxn modelId="{B63E13A4-51DC-EE45-A042-B37D7B4FB660}" type="presParOf" srcId="{7371BC27-A748-4C28-AB56-3622F91FD90B}" destId="{80B0274E-C983-481E-BC98-9324F3833815}" srcOrd="1" destOrd="0" presId="urn:microsoft.com/office/officeart/2009/3/layout/HorizontalOrganizationChart"/>
    <dgm:cxn modelId="{5D357BDA-4F48-6B4B-88F7-91913B733137}" type="presParOf" srcId="{80B0274E-C983-481E-BC98-9324F3833815}" destId="{EDB9DC6C-BA50-4695-8C52-A863F5CD99BC}" srcOrd="0" destOrd="0" presId="urn:microsoft.com/office/officeart/2009/3/layout/HorizontalOrganizationChart"/>
    <dgm:cxn modelId="{47780608-8088-CC43-8219-E016BA16E0B2}" type="presParOf" srcId="{EDB9DC6C-BA50-4695-8C52-A863F5CD99BC}" destId="{405EC680-938F-4B77-B2F3-3C7ECC4C8294}" srcOrd="0" destOrd="0" presId="urn:microsoft.com/office/officeart/2009/3/layout/HorizontalOrganizationChart"/>
    <dgm:cxn modelId="{0200F55F-9436-E942-89C7-8BF4E2FE8501}" type="presParOf" srcId="{EDB9DC6C-BA50-4695-8C52-A863F5CD99BC}" destId="{898AFE75-1BF1-4972-AE6F-340F66B508E8}" srcOrd="1" destOrd="0" presId="urn:microsoft.com/office/officeart/2009/3/layout/HorizontalOrganizationChart"/>
    <dgm:cxn modelId="{CA7C201E-E47B-644D-9DE0-4D81EFBD94C0}" type="presParOf" srcId="{80B0274E-C983-481E-BC98-9324F3833815}" destId="{6FF80A30-AAEC-44C8-83FA-3B75354C156B}" srcOrd="1" destOrd="0" presId="urn:microsoft.com/office/officeart/2009/3/layout/HorizontalOrganizationChart"/>
    <dgm:cxn modelId="{B1D62595-84C9-394C-9FD1-A60A6E4F1108}" type="presParOf" srcId="{80B0274E-C983-481E-BC98-9324F3833815}" destId="{684B7720-5B80-4B2B-8C32-96BB5F3F7670}" srcOrd="2" destOrd="0" presId="urn:microsoft.com/office/officeart/2009/3/layout/HorizontalOrganizationChart"/>
    <dgm:cxn modelId="{6698E23A-B39D-9C45-91C6-80699A4C9194}" type="presParOf" srcId="{88C931BA-90D8-47F5-B89C-864FCECBA32D}" destId="{7578276A-18C4-4254-8967-BAFCD9E8FA17}" srcOrd="2" destOrd="0" presId="urn:microsoft.com/office/officeart/2009/3/layout/HorizontalOrganizationChart"/>
    <dgm:cxn modelId="{4DDF4F77-4D10-438B-8EC3-2F67D9CAFB68}" type="presParOf" srcId="{8234CE8E-653A-4E66-BC7D-68F893DA88DD}" destId="{3D2D3EA4-3A31-4934-BA96-0CB1C5EFE267}" srcOrd="2" destOrd="0" presId="urn:microsoft.com/office/officeart/2009/3/layout/HorizontalOrganizationChar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49229B-F0E4-4B3D-B674-1F8E99868B89}">
      <dsp:nvSpPr>
        <dsp:cNvPr id="0" name=""/>
        <dsp:cNvSpPr/>
      </dsp:nvSpPr>
      <dsp:spPr>
        <a:xfrm>
          <a:off x="3637255" y="4170850"/>
          <a:ext cx="330636" cy="710868"/>
        </a:xfrm>
        <a:custGeom>
          <a:avLst/>
          <a:gdLst/>
          <a:ahLst/>
          <a:cxnLst/>
          <a:rect l="0" t="0" r="0" b="0"/>
          <a:pathLst>
            <a:path>
              <a:moveTo>
                <a:pt x="0" y="0"/>
              </a:moveTo>
              <a:lnTo>
                <a:pt x="165318" y="0"/>
              </a:lnTo>
              <a:lnTo>
                <a:pt x="165318" y="710868"/>
              </a:lnTo>
              <a:lnTo>
                <a:pt x="330636" y="710868"/>
              </a:lnTo>
            </a:path>
          </a:pathLst>
        </a:custGeom>
        <a:noFill/>
        <a:ln w="12700" cap="flat" cmpd="sng" algn="ctr">
          <a:solidFill>
            <a:srgbClr val="00B0F0"/>
          </a:solidFill>
          <a:prstDash val="solid"/>
          <a:miter lim="800000"/>
        </a:ln>
        <a:effectLst/>
      </dsp:spPr>
      <dsp:style>
        <a:lnRef idx="2">
          <a:scrgbClr r="0" g="0" b="0"/>
        </a:lnRef>
        <a:fillRef idx="0">
          <a:scrgbClr r="0" g="0" b="0"/>
        </a:fillRef>
        <a:effectRef idx="0">
          <a:scrgbClr r="0" g="0" b="0"/>
        </a:effectRef>
        <a:fontRef idx="minor"/>
      </dsp:style>
    </dsp:sp>
    <dsp:sp modelId="{F4643635-C34D-4F7A-9A9F-16DD4BF277D8}">
      <dsp:nvSpPr>
        <dsp:cNvPr id="0" name=""/>
        <dsp:cNvSpPr/>
      </dsp:nvSpPr>
      <dsp:spPr>
        <a:xfrm>
          <a:off x="3637255" y="4125130"/>
          <a:ext cx="330636" cy="91440"/>
        </a:xfrm>
        <a:custGeom>
          <a:avLst/>
          <a:gdLst/>
          <a:ahLst/>
          <a:cxnLst/>
          <a:rect l="0" t="0" r="0" b="0"/>
          <a:pathLst>
            <a:path>
              <a:moveTo>
                <a:pt x="0" y="45720"/>
              </a:moveTo>
              <a:lnTo>
                <a:pt x="330636" y="45720"/>
              </a:lnTo>
            </a:path>
          </a:pathLst>
        </a:custGeom>
        <a:noFill/>
        <a:ln w="12700" cap="flat" cmpd="sng" algn="ctr">
          <a:solidFill>
            <a:srgbClr val="00B0F0"/>
          </a:solidFill>
          <a:prstDash val="solid"/>
          <a:miter lim="800000"/>
        </a:ln>
        <a:effectLst/>
      </dsp:spPr>
      <dsp:style>
        <a:lnRef idx="2">
          <a:scrgbClr r="0" g="0" b="0"/>
        </a:lnRef>
        <a:fillRef idx="0">
          <a:scrgbClr r="0" g="0" b="0"/>
        </a:fillRef>
        <a:effectRef idx="0">
          <a:scrgbClr r="0" g="0" b="0"/>
        </a:effectRef>
        <a:fontRef idx="minor"/>
      </dsp:style>
    </dsp:sp>
    <dsp:sp modelId="{44474100-BEE4-447F-A9B6-875D5D0C6BE5}">
      <dsp:nvSpPr>
        <dsp:cNvPr id="0" name=""/>
        <dsp:cNvSpPr/>
      </dsp:nvSpPr>
      <dsp:spPr>
        <a:xfrm>
          <a:off x="3637255" y="3459982"/>
          <a:ext cx="330636" cy="710868"/>
        </a:xfrm>
        <a:custGeom>
          <a:avLst/>
          <a:gdLst/>
          <a:ahLst/>
          <a:cxnLst/>
          <a:rect l="0" t="0" r="0" b="0"/>
          <a:pathLst>
            <a:path>
              <a:moveTo>
                <a:pt x="0" y="710868"/>
              </a:moveTo>
              <a:lnTo>
                <a:pt x="165318" y="710868"/>
              </a:lnTo>
              <a:lnTo>
                <a:pt x="165318" y="0"/>
              </a:lnTo>
              <a:lnTo>
                <a:pt x="330636" y="0"/>
              </a:lnTo>
            </a:path>
          </a:pathLst>
        </a:custGeom>
        <a:noFill/>
        <a:ln w="12700" cap="flat" cmpd="sng" algn="ctr">
          <a:solidFill>
            <a:srgbClr val="00B0F0"/>
          </a:solidFill>
          <a:prstDash val="solid"/>
          <a:miter lim="800000"/>
        </a:ln>
        <a:effectLst/>
      </dsp:spPr>
      <dsp:style>
        <a:lnRef idx="2">
          <a:scrgbClr r="0" g="0" b="0"/>
        </a:lnRef>
        <a:fillRef idx="0">
          <a:scrgbClr r="0" g="0" b="0"/>
        </a:fillRef>
        <a:effectRef idx="0">
          <a:scrgbClr r="0" g="0" b="0"/>
        </a:effectRef>
        <a:fontRef idx="minor"/>
      </dsp:style>
    </dsp:sp>
    <dsp:sp modelId="{0BE76B53-2D82-46EF-8F9E-ABF71579A37B}">
      <dsp:nvSpPr>
        <dsp:cNvPr id="0" name=""/>
        <dsp:cNvSpPr/>
      </dsp:nvSpPr>
      <dsp:spPr>
        <a:xfrm>
          <a:off x="1653437" y="2212399"/>
          <a:ext cx="330636" cy="1958451"/>
        </a:xfrm>
        <a:custGeom>
          <a:avLst/>
          <a:gdLst/>
          <a:ahLst/>
          <a:cxnLst/>
          <a:rect l="0" t="0" r="0" b="0"/>
          <a:pathLst>
            <a:path>
              <a:moveTo>
                <a:pt x="0" y="0"/>
              </a:moveTo>
              <a:lnTo>
                <a:pt x="165318" y="0"/>
              </a:lnTo>
              <a:lnTo>
                <a:pt x="165318" y="1958451"/>
              </a:lnTo>
              <a:lnTo>
                <a:pt x="330636" y="1958451"/>
              </a:lnTo>
            </a:path>
          </a:pathLst>
        </a:custGeom>
        <a:noFill/>
        <a:ln w="12700" cap="flat" cmpd="sng" algn="ctr">
          <a:solidFill>
            <a:srgbClr val="00B0F0"/>
          </a:solidFill>
          <a:prstDash val="solid"/>
          <a:miter lim="800000"/>
        </a:ln>
        <a:effectLst/>
      </dsp:spPr>
      <dsp:style>
        <a:lnRef idx="2">
          <a:scrgbClr r="0" g="0" b="0"/>
        </a:lnRef>
        <a:fillRef idx="0">
          <a:scrgbClr r="0" g="0" b="0"/>
        </a:fillRef>
        <a:effectRef idx="0">
          <a:scrgbClr r="0" g="0" b="0"/>
        </a:effectRef>
        <a:fontRef idx="minor"/>
      </dsp:style>
    </dsp:sp>
    <dsp:sp modelId="{EEAA3914-83FF-4E21-A813-41195C12B839}">
      <dsp:nvSpPr>
        <dsp:cNvPr id="0" name=""/>
        <dsp:cNvSpPr/>
      </dsp:nvSpPr>
      <dsp:spPr>
        <a:xfrm>
          <a:off x="3637255" y="1957074"/>
          <a:ext cx="330636" cy="710868"/>
        </a:xfrm>
        <a:custGeom>
          <a:avLst/>
          <a:gdLst/>
          <a:ahLst/>
          <a:cxnLst/>
          <a:rect l="0" t="0" r="0" b="0"/>
          <a:pathLst>
            <a:path>
              <a:moveTo>
                <a:pt x="0" y="0"/>
              </a:moveTo>
              <a:lnTo>
                <a:pt x="165318" y="0"/>
              </a:lnTo>
              <a:lnTo>
                <a:pt x="165318" y="710868"/>
              </a:lnTo>
              <a:lnTo>
                <a:pt x="330636" y="710868"/>
              </a:lnTo>
            </a:path>
          </a:pathLst>
        </a:custGeom>
        <a:noFill/>
        <a:ln w="12700" cap="flat" cmpd="sng" algn="ctr">
          <a:solidFill>
            <a:srgbClr val="00B0F0"/>
          </a:solidFill>
          <a:prstDash val="solid"/>
          <a:miter lim="800000"/>
        </a:ln>
        <a:effectLst/>
      </dsp:spPr>
      <dsp:style>
        <a:lnRef idx="2">
          <a:scrgbClr r="0" g="0" b="0"/>
        </a:lnRef>
        <a:fillRef idx="0">
          <a:scrgbClr r="0" g="0" b="0"/>
        </a:fillRef>
        <a:effectRef idx="0">
          <a:scrgbClr r="0" g="0" b="0"/>
        </a:effectRef>
        <a:fontRef idx="minor"/>
      </dsp:style>
    </dsp:sp>
    <dsp:sp modelId="{CFAB24F4-419D-433F-A5B8-268E4157A6E2}">
      <dsp:nvSpPr>
        <dsp:cNvPr id="0" name=""/>
        <dsp:cNvSpPr/>
      </dsp:nvSpPr>
      <dsp:spPr>
        <a:xfrm>
          <a:off x="3637255" y="1830182"/>
          <a:ext cx="330636" cy="91440"/>
        </a:xfrm>
        <a:custGeom>
          <a:avLst/>
          <a:gdLst/>
          <a:ahLst/>
          <a:cxnLst/>
          <a:rect l="0" t="0" r="0" b="0"/>
          <a:pathLst>
            <a:path>
              <a:moveTo>
                <a:pt x="0" y="126891"/>
              </a:moveTo>
              <a:lnTo>
                <a:pt x="165318" y="126891"/>
              </a:lnTo>
              <a:lnTo>
                <a:pt x="165318" y="45720"/>
              </a:lnTo>
              <a:lnTo>
                <a:pt x="330636" y="45720"/>
              </a:lnTo>
            </a:path>
          </a:pathLst>
        </a:custGeom>
        <a:noFill/>
        <a:ln w="12700" cap="flat" cmpd="sng" algn="ctr">
          <a:solidFill>
            <a:srgbClr val="00B0F0"/>
          </a:solidFill>
          <a:prstDash val="solid"/>
          <a:miter lim="800000"/>
        </a:ln>
        <a:effectLst/>
      </dsp:spPr>
      <dsp:style>
        <a:lnRef idx="2">
          <a:scrgbClr r="0" g="0" b="0"/>
        </a:lnRef>
        <a:fillRef idx="0">
          <a:scrgbClr r="0" g="0" b="0"/>
        </a:fillRef>
        <a:effectRef idx="0">
          <a:scrgbClr r="0" g="0" b="0"/>
        </a:effectRef>
        <a:fontRef idx="minor"/>
      </dsp:style>
    </dsp:sp>
    <dsp:sp modelId="{2717EFA6-DA9F-415D-AB96-E7DC7BA9DD2B}">
      <dsp:nvSpPr>
        <dsp:cNvPr id="0" name=""/>
        <dsp:cNvSpPr/>
      </dsp:nvSpPr>
      <dsp:spPr>
        <a:xfrm>
          <a:off x="3637255" y="1149715"/>
          <a:ext cx="338290" cy="807358"/>
        </a:xfrm>
        <a:custGeom>
          <a:avLst/>
          <a:gdLst/>
          <a:ahLst/>
          <a:cxnLst/>
          <a:rect l="0" t="0" r="0" b="0"/>
          <a:pathLst>
            <a:path>
              <a:moveTo>
                <a:pt x="0" y="807358"/>
              </a:moveTo>
              <a:lnTo>
                <a:pt x="172972" y="807358"/>
              </a:lnTo>
              <a:lnTo>
                <a:pt x="172972" y="0"/>
              </a:lnTo>
              <a:lnTo>
                <a:pt x="338290" y="0"/>
              </a:lnTo>
            </a:path>
          </a:pathLst>
        </a:custGeom>
        <a:noFill/>
        <a:ln w="12700" cap="flat" cmpd="sng" algn="ctr">
          <a:solidFill>
            <a:srgbClr val="00B0F0"/>
          </a:solidFill>
          <a:prstDash val="solid"/>
          <a:miter lim="800000"/>
        </a:ln>
        <a:effectLst/>
      </dsp:spPr>
      <dsp:style>
        <a:lnRef idx="2">
          <a:scrgbClr r="0" g="0" b="0"/>
        </a:lnRef>
        <a:fillRef idx="0">
          <a:scrgbClr r="0" g="0" b="0"/>
        </a:fillRef>
        <a:effectRef idx="0">
          <a:scrgbClr r="0" g="0" b="0"/>
        </a:effectRef>
        <a:fontRef idx="minor"/>
      </dsp:style>
    </dsp:sp>
    <dsp:sp modelId="{6A92D140-9BCF-44C9-B458-D7172A9D1E5E}">
      <dsp:nvSpPr>
        <dsp:cNvPr id="0" name=""/>
        <dsp:cNvSpPr/>
      </dsp:nvSpPr>
      <dsp:spPr>
        <a:xfrm>
          <a:off x="1653437" y="1957074"/>
          <a:ext cx="330636" cy="255324"/>
        </a:xfrm>
        <a:custGeom>
          <a:avLst/>
          <a:gdLst/>
          <a:ahLst/>
          <a:cxnLst/>
          <a:rect l="0" t="0" r="0" b="0"/>
          <a:pathLst>
            <a:path>
              <a:moveTo>
                <a:pt x="0" y="255324"/>
              </a:moveTo>
              <a:lnTo>
                <a:pt x="165318" y="255324"/>
              </a:lnTo>
              <a:lnTo>
                <a:pt x="165318" y="0"/>
              </a:lnTo>
              <a:lnTo>
                <a:pt x="330636"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2B8DB3-F76E-4FB4-A5C3-3A7B08BF71B9}">
      <dsp:nvSpPr>
        <dsp:cNvPr id="0" name=""/>
        <dsp:cNvSpPr/>
      </dsp:nvSpPr>
      <dsp:spPr>
        <a:xfrm>
          <a:off x="3637255" y="307808"/>
          <a:ext cx="330636" cy="91440"/>
        </a:xfrm>
        <a:custGeom>
          <a:avLst/>
          <a:gdLst/>
          <a:ahLst/>
          <a:cxnLst/>
          <a:rect l="0" t="0" r="0" b="0"/>
          <a:pathLst>
            <a:path>
              <a:moveTo>
                <a:pt x="0" y="45720"/>
              </a:moveTo>
              <a:lnTo>
                <a:pt x="330636" y="45720"/>
              </a:lnTo>
            </a:path>
          </a:pathLst>
        </a:custGeom>
        <a:noFill/>
        <a:ln w="12700" cap="flat" cmpd="sng" algn="ctr">
          <a:solidFill>
            <a:srgbClr val="00B0F0"/>
          </a:solidFill>
          <a:prstDash val="solid"/>
          <a:miter lim="800000"/>
        </a:ln>
        <a:effectLst/>
      </dsp:spPr>
      <dsp:style>
        <a:lnRef idx="2">
          <a:scrgbClr r="0" g="0" b="0"/>
        </a:lnRef>
        <a:fillRef idx="0">
          <a:scrgbClr r="0" g="0" b="0"/>
        </a:fillRef>
        <a:effectRef idx="0">
          <a:scrgbClr r="0" g="0" b="0"/>
        </a:effectRef>
        <a:fontRef idx="minor"/>
      </dsp:style>
    </dsp:sp>
    <dsp:sp modelId="{130D466D-2213-40C1-9123-B002B1D1ACCE}">
      <dsp:nvSpPr>
        <dsp:cNvPr id="0" name=""/>
        <dsp:cNvSpPr/>
      </dsp:nvSpPr>
      <dsp:spPr>
        <a:xfrm>
          <a:off x="1653437" y="353528"/>
          <a:ext cx="330636" cy="1858870"/>
        </a:xfrm>
        <a:custGeom>
          <a:avLst/>
          <a:gdLst/>
          <a:ahLst/>
          <a:cxnLst/>
          <a:rect l="0" t="0" r="0" b="0"/>
          <a:pathLst>
            <a:path>
              <a:moveTo>
                <a:pt x="0" y="1858870"/>
              </a:moveTo>
              <a:lnTo>
                <a:pt x="165318" y="1858870"/>
              </a:lnTo>
              <a:lnTo>
                <a:pt x="165318" y="0"/>
              </a:lnTo>
              <a:lnTo>
                <a:pt x="330636" y="0"/>
              </a:lnTo>
            </a:path>
          </a:pathLst>
        </a:custGeom>
        <a:noFill/>
        <a:ln w="12700" cap="flat" cmpd="sng" algn="ctr">
          <a:solidFill>
            <a:srgbClr val="00B0F0"/>
          </a:solidFill>
          <a:prstDash val="solid"/>
          <a:miter lim="800000"/>
        </a:ln>
        <a:effectLst/>
      </dsp:spPr>
      <dsp:style>
        <a:lnRef idx="2">
          <a:scrgbClr r="0" g="0" b="0"/>
        </a:lnRef>
        <a:fillRef idx="0">
          <a:scrgbClr r="0" g="0" b="0"/>
        </a:fillRef>
        <a:effectRef idx="0">
          <a:scrgbClr r="0" g="0" b="0"/>
        </a:effectRef>
        <a:fontRef idx="minor"/>
      </dsp:style>
    </dsp:sp>
    <dsp:sp modelId="{C2929284-7BF5-4993-B9AC-18F6DC2AABA0}">
      <dsp:nvSpPr>
        <dsp:cNvPr id="0" name=""/>
        <dsp:cNvSpPr/>
      </dsp:nvSpPr>
      <dsp:spPr>
        <a:xfrm>
          <a:off x="255" y="1716220"/>
          <a:ext cx="1653182" cy="992356"/>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i="1" kern="1200">
              <a:latin typeface="Times New Roman" panose="02020603050405020304" pitchFamily="18" charset="0"/>
              <a:cs typeface="Times New Roman" panose="02020603050405020304" pitchFamily="18" charset="0"/>
            </a:rPr>
            <a:t>Rutas procesales frente a comparecientes no seleccionados como máximos responsables a cargo de la Sala de Definición de Situaciones Jurídicas</a:t>
          </a:r>
        </a:p>
      </dsp:txBody>
      <dsp:txXfrm>
        <a:off x="255" y="1716220"/>
        <a:ext cx="1653182" cy="992356"/>
      </dsp:txXfrm>
    </dsp:sp>
    <dsp:sp modelId="{873C1D08-883B-4ABA-84C0-62F1050B5B1A}">
      <dsp:nvSpPr>
        <dsp:cNvPr id="0" name=""/>
        <dsp:cNvSpPr/>
      </dsp:nvSpPr>
      <dsp:spPr>
        <a:xfrm>
          <a:off x="1984073" y="1836"/>
          <a:ext cx="1653182" cy="703382"/>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i="0" kern="1200">
              <a:latin typeface="Times New Roman" panose="02020603050405020304" pitchFamily="18" charset="0"/>
              <a:cs typeface="Times New Roman" panose="02020603050405020304" pitchFamily="18" charset="0"/>
            </a:rPr>
            <a:t>Aportes a verdad plena (sin reconocimiento de responsabilidad - Senit 8)</a:t>
          </a:r>
        </a:p>
      </dsp:txBody>
      <dsp:txXfrm>
        <a:off x="1984073" y="1836"/>
        <a:ext cx="1653182" cy="703382"/>
      </dsp:txXfrm>
    </dsp:sp>
    <dsp:sp modelId="{6F79A028-F250-4A18-86D7-44EA2DC4FDCB}">
      <dsp:nvSpPr>
        <dsp:cNvPr id="0" name=""/>
        <dsp:cNvSpPr/>
      </dsp:nvSpPr>
      <dsp:spPr>
        <a:xfrm>
          <a:off x="3967892" y="780"/>
          <a:ext cx="1653182" cy="705495"/>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i="0" kern="1200">
              <a:latin typeface="Times New Roman" panose="02020603050405020304" pitchFamily="18" charset="0"/>
              <a:cs typeface="Times New Roman" panose="02020603050405020304" pitchFamily="18" charset="0"/>
            </a:rPr>
            <a:t>Mecanismo no sancionatorio como renuncia condicionada a la persecución penal</a:t>
          </a:r>
        </a:p>
      </dsp:txBody>
      <dsp:txXfrm>
        <a:off x="3967892" y="780"/>
        <a:ext cx="1653182" cy="705495"/>
      </dsp:txXfrm>
    </dsp:sp>
    <dsp:sp modelId="{0B4EF885-9C1E-4B40-AC00-3CE3E102C707}">
      <dsp:nvSpPr>
        <dsp:cNvPr id="0" name=""/>
        <dsp:cNvSpPr/>
      </dsp:nvSpPr>
      <dsp:spPr>
        <a:xfrm>
          <a:off x="1984073" y="1673843"/>
          <a:ext cx="1653182" cy="566461"/>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i="0" kern="1200">
              <a:latin typeface="Times New Roman" panose="02020603050405020304" pitchFamily="18" charset="0"/>
              <a:cs typeface="Times New Roman" panose="02020603050405020304" pitchFamily="18" charset="0"/>
            </a:rPr>
            <a:t>Aportes insuficientes a la verdad: 3 cursos de acción posibles</a:t>
          </a:r>
        </a:p>
      </dsp:txBody>
      <dsp:txXfrm>
        <a:off x="1984073" y="1673843"/>
        <a:ext cx="1653182" cy="566461"/>
      </dsp:txXfrm>
    </dsp:sp>
    <dsp:sp modelId="{3D76CE87-695E-4A24-BCC5-304FC12FA68C}">
      <dsp:nvSpPr>
        <dsp:cNvPr id="0" name=""/>
        <dsp:cNvSpPr/>
      </dsp:nvSpPr>
      <dsp:spPr>
        <a:xfrm>
          <a:off x="3975546" y="897605"/>
          <a:ext cx="1653182" cy="504220"/>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US" sz="900" kern="1200">
              <a:latin typeface="Times New Roman" panose="02020603050405020304" pitchFamily="18" charset="0"/>
              <a:cs typeface="Times New Roman" panose="02020603050405020304" pitchFamily="18" charset="0"/>
            </a:rPr>
            <a:t>Iniciar incidente de incumplimiento del régimen de condicionalidad - puede resultar en la expulsión</a:t>
          </a:r>
          <a:endParaRPr lang="en-GB" sz="900" i="1" kern="1200">
            <a:latin typeface="Times New Roman" panose="02020603050405020304" pitchFamily="18" charset="0"/>
            <a:cs typeface="Times New Roman" panose="02020603050405020304" pitchFamily="18" charset="0"/>
          </a:endParaRPr>
        </a:p>
      </dsp:txBody>
      <dsp:txXfrm>
        <a:off x="3975546" y="897605"/>
        <a:ext cx="1653182" cy="504220"/>
      </dsp:txXfrm>
    </dsp:sp>
    <dsp:sp modelId="{DC8C78CD-C8DF-402E-AAA2-10F3C7E8528B}">
      <dsp:nvSpPr>
        <dsp:cNvPr id="0" name=""/>
        <dsp:cNvSpPr/>
      </dsp:nvSpPr>
      <dsp:spPr>
        <a:xfrm>
          <a:off x="3967892" y="1623791"/>
          <a:ext cx="1653182" cy="504220"/>
        </a:xfrm>
        <a:prstGeom prst="rect">
          <a:avLst/>
        </a:prstGeom>
        <a:solidFill>
          <a:schemeClr val="lt1">
            <a:hueOff val="0"/>
            <a:satOff val="0"/>
            <a:lumOff val="0"/>
            <a:alphaOff val="0"/>
          </a:schemeClr>
        </a:solidFill>
        <a:ln w="19050" cap="flat" cmpd="sng" algn="ctr">
          <a:solidFill>
            <a:srgbClr val="00B050"/>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i="1" kern="1200">
              <a:latin typeface="Times New Roman" panose="02020603050405020304" pitchFamily="18" charset="0"/>
              <a:cs typeface="Times New Roman" panose="02020603050405020304" pitchFamily="18" charset="0"/>
            </a:rPr>
            <a:t>Selección de segundo orden: remitirlo a la UIA para trámite adversarial</a:t>
          </a:r>
        </a:p>
      </dsp:txBody>
      <dsp:txXfrm>
        <a:off x="3967892" y="1623791"/>
        <a:ext cx="1653182" cy="504220"/>
      </dsp:txXfrm>
    </dsp:sp>
    <dsp:sp modelId="{19AA52BD-200D-4D7F-BF02-E185C188C725}">
      <dsp:nvSpPr>
        <dsp:cNvPr id="0" name=""/>
        <dsp:cNvSpPr/>
      </dsp:nvSpPr>
      <dsp:spPr>
        <a:xfrm>
          <a:off x="3967892" y="2334660"/>
          <a:ext cx="1825592" cy="666564"/>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i="0" kern="1200">
              <a:latin typeface="Times New Roman" panose="02020603050405020304" pitchFamily="18" charset="0"/>
              <a:cs typeface="Times New Roman" panose="02020603050405020304" pitchFamily="18" charset="0"/>
            </a:rPr>
            <a:t>Aplicar un mecanismo no sancionatorio como la renuncia condicionada a la persecución penal (con régimen de condicionalidad estricto)</a:t>
          </a:r>
        </a:p>
      </dsp:txBody>
      <dsp:txXfrm>
        <a:off x="3967892" y="2334660"/>
        <a:ext cx="1825592" cy="666564"/>
      </dsp:txXfrm>
    </dsp:sp>
    <dsp:sp modelId="{ED2C42BF-D822-465C-A89D-B7C05B834BE2}">
      <dsp:nvSpPr>
        <dsp:cNvPr id="0" name=""/>
        <dsp:cNvSpPr/>
      </dsp:nvSpPr>
      <dsp:spPr>
        <a:xfrm>
          <a:off x="1984073" y="3918740"/>
          <a:ext cx="1653182" cy="504220"/>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i="0" kern="1200">
              <a:latin typeface="Times New Roman" panose="02020603050405020304" pitchFamily="18" charset="0"/>
              <a:cs typeface="Times New Roman" panose="02020603050405020304" pitchFamily="18" charset="0"/>
            </a:rPr>
            <a:t>Ausencia de aportes a la verdad plena</a:t>
          </a:r>
        </a:p>
      </dsp:txBody>
      <dsp:txXfrm>
        <a:off x="1984073" y="3918740"/>
        <a:ext cx="1653182" cy="504220"/>
      </dsp:txXfrm>
    </dsp:sp>
    <dsp:sp modelId="{185B587D-C3A4-4BFB-BEDA-51CCB0D1A97C}">
      <dsp:nvSpPr>
        <dsp:cNvPr id="0" name=""/>
        <dsp:cNvSpPr/>
      </dsp:nvSpPr>
      <dsp:spPr>
        <a:xfrm>
          <a:off x="3967892" y="3207872"/>
          <a:ext cx="1653182" cy="504220"/>
        </a:xfrm>
        <a:prstGeom prst="rect">
          <a:avLst/>
        </a:prstGeom>
        <a:solidFill>
          <a:schemeClr val="lt1">
            <a:hueOff val="0"/>
            <a:satOff val="0"/>
            <a:lumOff val="0"/>
            <a:alphaOff val="0"/>
          </a:schemeClr>
        </a:solidFill>
        <a:ln w="19050" cap="flat" cmpd="sng" algn="ctr">
          <a:solidFill>
            <a:srgbClr val="00B050"/>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i="1" kern="1200">
              <a:latin typeface="Times New Roman" panose="02020603050405020304" pitchFamily="18" charset="0"/>
              <a:cs typeface="Times New Roman" panose="02020603050405020304" pitchFamily="18" charset="0"/>
            </a:rPr>
            <a:t>Selección de segundo orden</a:t>
          </a:r>
        </a:p>
      </dsp:txBody>
      <dsp:txXfrm>
        <a:off x="3967892" y="3207872"/>
        <a:ext cx="1653182" cy="504220"/>
      </dsp:txXfrm>
    </dsp:sp>
    <dsp:sp modelId="{D58DDC79-237C-43FD-A9DE-4FEF11EE0685}">
      <dsp:nvSpPr>
        <dsp:cNvPr id="0" name=""/>
        <dsp:cNvSpPr/>
      </dsp:nvSpPr>
      <dsp:spPr>
        <a:xfrm>
          <a:off x="3967892" y="3918740"/>
          <a:ext cx="1653182" cy="504220"/>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i="0" kern="1200">
              <a:latin typeface="Times New Roman" panose="02020603050405020304" pitchFamily="18" charset="0"/>
              <a:cs typeface="Times New Roman" panose="02020603050405020304" pitchFamily="18" charset="0"/>
            </a:rPr>
            <a:t>Apertura de incidente de incumplimiento</a:t>
          </a:r>
        </a:p>
      </dsp:txBody>
      <dsp:txXfrm>
        <a:off x="3967892" y="3918740"/>
        <a:ext cx="1653182" cy="504220"/>
      </dsp:txXfrm>
    </dsp:sp>
    <dsp:sp modelId="{405EC680-938F-4B77-B2F3-3C7ECC4C8294}">
      <dsp:nvSpPr>
        <dsp:cNvPr id="0" name=""/>
        <dsp:cNvSpPr/>
      </dsp:nvSpPr>
      <dsp:spPr>
        <a:xfrm>
          <a:off x="3967892" y="4629608"/>
          <a:ext cx="1653182" cy="504220"/>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i="0" kern="1200">
              <a:latin typeface="Times New Roman" panose="02020603050405020304" pitchFamily="18" charset="0"/>
              <a:cs typeface="Times New Roman" panose="02020603050405020304" pitchFamily="18" charset="0"/>
            </a:rPr>
            <a:t>Negar el mecanismo no sancionatorio de definición de la situación jurídica</a:t>
          </a:r>
        </a:p>
      </dsp:txBody>
      <dsp:txXfrm>
        <a:off x="3967892" y="4629608"/>
        <a:ext cx="1653182" cy="50422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961C0C-94B2-5D43-B70C-72B51186CD06}">
      <dsp:nvSpPr>
        <dsp:cNvPr id="0" name=""/>
        <dsp:cNvSpPr/>
      </dsp:nvSpPr>
      <dsp:spPr>
        <a:xfrm>
          <a:off x="0" y="0"/>
          <a:ext cx="4389120" cy="704088"/>
        </a:xfrm>
        <a:prstGeom prst="roundRect">
          <a:avLst>
            <a:gd name="adj" fmla="val 10000"/>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MX" sz="1100" kern="1200">
              <a:latin typeface="Times New Roman" panose="02020603050405020304" pitchFamily="18" charset="0"/>
              <a:cs typeface="Times New Roman" panose="02020603050405020304" pitchFamily="18" charset="0"/>
            </a:rPr>
            <a:t>La selección de segundo orden no hace parte del acuerdo final de paz. Lo desconoce y constituye perfidia o traición.</a:t>
          </a:r>
        </a:p>
      </dsp:txBody>
      <dsp:txXfrm>
        <a:off x="20622" y="20622"/>
        <a:ext cx="3569858" cy="662844"/>
      </dsp:txXfrm>
    </dsp:sp>
    <dsp:sp modelId="{B64103EB-3C60-3A42-AE35-9483E655FCC7}">
      <dsp:nvSpPr>
        <dsp:cNvPr id="0" name=""/>
        <dsp:cNvSpPr/>
      </dsp:nvSpPr>
      <dsp:spPr>
        <a:xfrm>
          <a:off x="367588" y="832104"/>
          <a:ext cx="4389120" cy="704088"/>
        </a:xfrm>
        <a:prstGeom prst="roundRect">
          <a:avLst>
            <a:gd name="adj" fmla="val 10000"/>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MX" sz="1100" kern="1200">
              <a:latin typeface="Times New Roman" panose="02020603050405020304" pitchFamily="18" charset="0"/>
              <a:cs typeface="Times New Roman" panose="02020603050405020304" pitchFamily="18" charset="0"/>
            </a:rPr>
            <a:t>La selección de segundo orden es un obstáculo para el cumplimiento de lo pactado. Genera el riesgo de que los comparecientes que esperan la </a:t>
          </a:r>
          <a:r>
            <a:rPr lang="es-MX" sz="1100" kern="1200" baseline="0">
              <a:latin typeface="Times New Roman" panose="02020603050405020304" pitchFamily="18" charset="0"/>
              <a:cs typeface="Times New Roman" panose="02020603050405020304" pitchFamily="18" charset="0"/>
            </a:rPr>
            <a:t>definición</a:t>
          </a:r>
          <a:r>
            <a:rPr lang="es-MX" sz="1100" kern="1200">
              <a:latin typeface="Times New Roman" panose="02020603050405020304" pitchFamily="18" charset="0"/>
              <a:cs typeface="Times New Roman" panose="02020603050405020304" pitchFamily="18" charset="0"/>
            </a:rPr>
            <a:t> de la situación jurídica vuelvan al conflicto.</a:t>
          </a:r>
        </a:p>
      </dsp:txBody>
      <dsp:txXfrm>
        <a:off x="388210" y="852726"/>
        <a:ext cx="3522630" cy="662844"/>
      </dsp:txXfrm>
    </dsp:sp>
    <dsp:sp modelId="{CD7F36F1-9267-2A44-AB38-5BB1F2E60E95}">
      <dsp:nvSpPr>
        <dsp:cNvPr id="0" name=""/>
        <dsp:cNvSpPr/>
      </dsp:nvSpPr>
      <dsp:spPr>
        <a:xfrm>
          <a:off x="729691" y="1664208"/>
          <a:ext cx="4389120" cy="704088"/>
        </a:xfrm>
        <a:prstGeom prst="roundRect">
          <a:avLst>
            <a:gd name="adj" fmla="val 10000"/>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Clr>
              <a:srgbClr val="000000"/>
            </a:buClr>
            <a:buSzPts val="1400"/>
            <a:buFont typeface="+mj-lt"/>
            <a:buNone/>
          </a:pPr>
          <a:r>
            <a:rPr lang="es-ES" sz="1100" kern="1200">
              <a:latin typeface="Times New Roman" panose="02020603050405020304" pitchFamily="18" charset="0"/>
              <a:cs typeface="Times New Roman" panose="02020603050405020304" pitchFamily="18" charset="0"/>
            </a:rPr>
            <a:t>La JEP no tiene competencia para crear la selección de segundo orden, ni funciones en cabeza de la Sala de Definición de Situaciones Jurídicas.</a:t>
          </a:r>
          <a:endParaRPr lang="es-MX" sz="1100" kern="1200">
            <a:latin typeface="Times New Roman" panose="02020603050405020304" pitchFamily="18" charset="0"/>
            <a:cs typeface="Times New Roman" panose="02020603050405020304" pitchFamily="18" charset="0"/>
          </a:endParaRPr>
        </a:p>
      </dsp:txBody>
      <dsp:txXfrm>
        <a:off x="750313" y="1684830"/>
        <a:ext cx="3528116" cy="662844"/>
      </dsp:txXfrm>
    </dsp:sp>
    <dsp:sp modelId="{379509FD-436C-E845-88B2-4A0D15736F1F}">
      <dsp:nvSpPr>
        <dsp:cNvPr id="0" name=""/>
        <dsp:cNvSpPr/>
      </dsp:nvSpPr>
      <dsp:spPr>
        <a:xfrm>
          <a:off x="1097279" y="2496312"/>
          <a:ext cx="4389120" cy="704088"/>
        </a:xfrm>
        <a:prstGeom prst="roundRect">
          <a:avLst>
            <a:gd name="adj" fmla="val 10000"/>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Clr>
              <a:srgbClr val="000000"/>
            </a:buClr>
            <a:buSzPts val="1400"/>
            <a:buFont typeface="+mj-lt"/>
            <a:buNone/>
          </a:pPr>
          <a:r>
            <a:rPr lang="es-CO" sz="1100" kern="1200">
              <a:latin typeface="Times New Roman" panose="02020603050405020304" pitchFamily="18" charset="0"/>
              <a:cs typeface="Times New Roman" panose="02020603050405020304" pitchFamily="18" charset="0"/>
            </a:rPr>
            <a:t>La</a:t>
          </a:r>
          <a:r>
            <a:rPr lang="es-CO" sz="1100" kern="1200" baseline="0">
              <a:latin typeface="Times New Roman" panose="02020603050405020304" pitchFamily="18" charset="0"/>
              <a:cs typeface="Times New Roman" panose="02020603050405020304" pitchFamily="18" charset="0"/>
            </a:rPr>
            <a:t> Sección de Apelación no tiene competencia para dictar sentencias interpretativas. Solo debe aplicar las normas de implementación existentes.</a:t>
          </a:r>
          <a:endParaRPr lang="es-CO" sz="1100" kern="1200">
            <a:latin typeface="Times New Roman" panose="02020603050405020304" pitchFamily="18" charset="0"/>
            <a:cs typeface="Times New Roman" panose="02020603050405020304" pitchFamily="18" charset="0"/>
          </a:endParaRPr>
        </a:p>
      </dsp:txBody>
      <dsp:txXfrm>
        <a:off x="1117901" y="2516934"/>
        <a:ext cx="3522630" cy="662844"/>
      </dsp:txXfrm>
    </dsp:sp>
    <dsp:sp modelId="{28319C93-7C70-774F-8544-C33E45611011}">
      <dsp:nvSpPr>
        <dsp:cNvPr id="0" name=""/>
        <dsp:cNvSpPr/>
      </dsp:nvSpPr>
      <dsp:spPr>
        <a:xfrm>
          <a:off x="3931462" y="539267"/>
          <a:ext cx="457657" cy="457657"/>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endParaRPr lang="es-MX" sz="2000" kern="1200"/>
        </a:p>
      </dsp:txBody>
      <dsp:txXfrm>
        <a:off x="4034435" y="539267"/>
        <a:ext cx="251711" cy="344387"/>
      </dsp:txXfrm>
    </dsp:sp>
    <dsp:sp modelId="{5AA2F930-3257-4549-BC11-0C219759855C}">
      <dsp:nvSpPr>
        <dsp:cNvPr id="0" name=""/>
        <dsp:cNvSpPr/>
      </dsp:nvSpPr>
      <dsp:spPr>
        <a:xfrm>
          <a:off x="4299051" y="1371371"/>
          <a:ext cx="457657" cy="457657"/>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endParaRPr lang="es-MX" sz="2000" kern="1200"/>
        </a:p>
      </dsp:txBody>
      <dsp:txXfrm>
        <a:off x="4402024" y="1371371"/>
        <a:ext cx="251711" cy="344387"/>
      </dsp:txXfrm>
    </dsp:sp>
    <dsp:sp modelId="{6C447C3E-0BC5-4D4B-9582-60D06E927A8F}">
      <dsp:nvSpPr>
        <dsp:cNvPr id="0" name=""/>
        <dsp:cNvSpPr/>
      </dsp:nvSpPr>
      <dsp:spPr>
        <a:xfrm>
          <a:off x="4661154" y="2203475"/>
          <a:ext cx="457657" cy="457657"/>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endParaRPr lang="es-MX" sz="2000" kern="1200"/>
        </a:p>
      </dsp:txBody>
      <dsp:txXfrm>
        <a:off x="4764127" y="2203475"/>
        <a:ext cx="251711" cy="34438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AF40AC-576E-EA4A-82A4-1F2C42BD5DA9}">
      <dsp:nvSpPr>
        <dsp:cNvPr id="0" name=""/>
        <dsp:cNvSpPr/>
      </dsp:nvSpPr>
      <dsp:spPr>
        <a:xfrm>
          <a:off x="0" y="0"/>
          <a:ext cx="4224528" cy="576072"/>
        </a:xfrm>
        <a:prstGeom prst="roundRect">
          <a:avLst>
            <a:gd name="adj" fmla="val 10000"/>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MX" sz="1100" kern="1200">
              <a:latin typeface="Times New Roman" panose="02020603050405020304" pitchFamily="18" charset="0"/>
              <a:cs typeface="Times New Roman" panose="02020603050405020304" pitchFamily="18" charset="0"/>
            </a:rPr>
            <a:t>La Sección de Apelación no creó la selección de segundo orden. Esta hace parte del AFP y sus normas de implementación.</a:t>
          </a:r>
        </a:p>
      </dsp:txBody>
      <dsp:txXfrm>
        <a:off x="16873" y="16873"/>
        <a:ext cx="3535500" cy="542326"/>
      </dsp:txXfrm>
    </dsp:sp>
    <dsp:sp modelId="{3B6382EC-E2DE-3542-8828-C162F3B19F11}">
      <dsp:nvSpPr>
        <dsp:cNvPr id="0" name=""/>
        <dsp:cNvSpPr/>
      </dsp:nvSpPr>
      <dsp:spPr>
        <a:xfrm>
          <a:off x="315468" y="656082"/>
          <a:ext cx="4224528" cy="576072"/>
        </a:xfrm>
        <a:prstGeom prst="roundRect">
          <a:avLst>
            <a:gd name="adj" fmla="val 10000"/>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MX" sz="1100" kern="1200">
              <a:latin typeface="Times New Roman" panose="02020603050405020304" pitchFamily="18" charset="0"/>
              <a:cs typeface="Times New Roman" panose="02020603050405020304" pitchFamily="18" charset="0"/>
            </a:rPr>
            <a:t>El derecho internacional de los derechos humanos prohíbe las amnistías o autoamnistías frente a los crímenes más graves. </a:t>
          </a:r>
        </a:p>
      </dsp:txBody>
      <dsp:txXfrm>
        <a:off x="332341" y="672955"/>
        <a:ext cx="3500867" cy="542326"/>
      </dsp:txXfrm>
    </dsp:sp>
    <dsp:sp modelId="{CC159A9C-637F-0546-81BD-55BEA030EE58}">
      <dsp:nvSpPr>
        <dsp:cNvPr id="0" name=""/>
        <dsp:cNvSpPr/>
      </dsp:nvSpPr>
      <dsp:spPr>
        <a:xfrm>
          <a:off x="630935" y="1312164"/>
          <a:ext cx="4224528" cy="576072"/>
        </a:xfrm>
        <a:prstGeom prst="roundRect">
          <a:avLst>
            <a:gd name="adj" fmla="val 10000"/>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MX" sz="1100" kern="1200">
              <a:latin typeface="Times New Roman" panose="02020603050405020304" pitchFamily="18" charset="0"/>
              <a:cs typeface="Times New Roman" panose="02020603050405020304" pitchFamily="18" charset="0"/>
            </a:rPr>
            <a:t>Las víctimas no tolerarían que no se mantenga la investigación, juzgamiento y sanción de partícipes no determinantes mediante la selección de segundo orden.</a:t>
          </a:r>
        </a:p>
      </dsp:txBody>
      <dsp:txXfrm>
        <a:off x="647808" y="1329037"/>
        <a:ext cx="3500867" cy="542326"/>
      </dsp:txXfrm>
    </dsp:sp>
    <dsp:sp modelId="{0A21B428-0C2D-9744-8C7F-C6E31637B2B3}">
      <dsp:nvSpPr>
        <dsp:cNvPr id="0" name=""/>
        <dsp:cNvSpPr/>
      </dsp:nvSpPr>
      <dsp:spPr>
        <a:xfrm>
          <a:off x="946404" y="1968246"/>
          <a:ext cx="4224528" cy="576072"/>
        </a:xfrm>
        <a:prstGeom prst="roundRect">
          <a:avLst>
            <a:gd name="adj" fmla="val 10000"/>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MX" sz="1100" kern="1200">
              <a:latin typeface="Times New Roman" panose="02020603050405020304" pitchFamily="18" charset="0"/>
              <a:cs typeface="Times New Roman" panose="02020603050405020304" pitchFamily="18" charset="0"/>
            </a:rPr>
            <a:t>La selección de segundo orden blinda a la jurisdicción del escrutinio de instancias internacionales por evantuales hechos que impliquen impunidad. </a:t>
          </a:r>
        </a:p>
      </dsp:txBody>
      <dsp:txXfrm>
        <a:off x="963277" y="1985119"/>
        <a:ext cx="3500867" cy="542326"/>
      </dsp:txXfrm>
    </dsp:sp>
    <dsp:sp modelId="{9FDB0F2B-3DAF-4D4F-9578-B2CC1C010B73}">
      <dsp:nvSpPr>
        <dsp:cNvPr id="0" name=""/>
        <dsp:cNvSpPr/>
      </dsp:nvSpPr>
      <dsp:spPr>
        <a:xfrm>
          <a:off x="1261871" y="2624328"/>
          <a:ext cx="4224528" cy="576072"/>
        </a:xfrm>
        <a:prstGeom prst="roundRect">
          <a:avLst>
            <a:gd name="adj" fmla="val 10000"/>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MX" sz="1100" kern="1200">
              <a:latin typeface="Times New Roman" panose="02020603050405020304" pitchFamily="18" charset="0"/>
              <a:cs typeface="Times New Roman" panose="02020603050405020304" pitchFamily="18" charset="0"/>
            </a:rPr>
            <a:t>La Sección de Apelación es intérprete autorizada de las normas de implementación y </a:t>
          </a:r>
        </a:p>
      </dsp:txBody>
      <dsp:txXfrm>
        <a:off x="1278744" y="2641201"/>
        <a:ext cx="3500867" cy="542326"/>
      </dsp:txXfrm>
    </dsp:sp>
    <dsp:sp modelId="{F57C8E1B-09A1-494A-BA59-8757052AADD9}">
      <dsp:nvSpPr>
        <dsp:cNvPr id="0" name=""/>
        <dsp:cNvSpPr/>
      </dsp:nvSpPr>
      <dsp:spPr>
        <a:xfrm>
          <a:off x="3850081" y="420852"/>
          <a:ext cx="374446" cy="374446"/>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s-MX" sz="1700" kern="1200"/>
        </a:p>
      </dsp:txBody>
      <dsp:txXfrm>
        <a:off x="3934331" y="420852"/>
        <a:ext cx="205946" cy="281771"/>
      </dsp:txXfrm>
    </dsp:sp>
    <dsp:sp modelId="{0E934FC3-932A-A648-B391-73008CC90C89}">
      <dsp:nvSpPr>
        <dsp:cNvPr id="0" name=""/>
        <dsp:cNvSpPr/>
      </dsp:nvSpPr>
      <dsp:spPr>
        <a:xfrm>
          <a:off x="4165549" y="1076934"/>
          <a:ext cx="374446" cy="374446"/>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s-MX" sz="1700" kern="1200"/>
        </a:p>
      </dsp:txBody>
      <dsp:txXfrm>
        <a:off x="4249799" y="1076934"/>
        <a:ext cx="205946" cy="281771"/>
      </dsp:txXfrm>
    </dsp:sp>
    <dsp:sp modelId="{4CDF50A4-6B77-DE46-B77D-7E17696FA326}">
      <dsp:nvSpPr>
        <dsp:cNvPr id="0" name=""/>
        <dsp:cNvSpPr/>
      </dsp:nvSpPr>
      <dsp:spPr>
        <a:xfrm>
          <a:off x="4481017" y="1723415"/>
          <a:ext cx="374446" cy="374446"/>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s-MX" sz="1700" kern="1200"/>
        </a:p>
      </dsp:txBody>
      <dsp:txXfrm>
        <a:off x="4565267" y="1723415"/>
        <a:ext cx="205946" cy="281771"/>
      </dsp:txXfrm>
    </dsp:sp>
    <dsp:sp modelId="{A9408526-5080-E746-B59E-B25CAE4DA7B5}">
      <dsp:nvSpPr>
        <dsp:cNvPr id="0" name=""/>
        <dsp:cNvSpPr/>
      </dsp:nvSpPr>
      <dsp:spPr>
        <a:xfrm>
          <a:off x="4796485" y="2385898"/>
          <a:ext cx="374446" cy="374446"/>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s-MX" sz="1700" kern="1200"/>
        </a:p>
      </dsp:txBody>
      <dsp:txXfrm>
        <a:off x="4880735" y="2385898"/>
        <a:ext cx="205946" cy="28177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49229B-F0E4-4B3D-B674-1F8E99868B89}">
      <dsp:nvSpPr>
        <dsp:cNvPr id="0" name=""/>
        <dsp:cNvSpPr/>
      </dsp:nvSpPr>
      <dsp:spPr>
        <a:xfrm>
          <a:off x="3574822" y="3129029"/>
          <a:ext cx="320272" cy="91440"/>
        </a:xfrm>
        <a:custGeom>
          <a:avLst/>
          <a:gdLst/>
          <a:ahLst/>
          <a:cxnLst/>
          <a:rect l="0" t="0" r="0" b="0"/>
          <a:pathLst>
            <a:path>
              <a:moveTo>
                <a:pt x="0" y="45720"/>
              </a:moveTo>
              <a:lnTo>
                <a:pt x="320272" y="45720"/>
              </a:lnTo>
            </a:path>
          </a:pathLst>
        </a:custGeom>
        <a:noFill/>
        <a:ln w="12700" cap="flat" cmpd="sng" algn="ctr">
          <a:solidFill>
            <a:srgbClr val="00B0F0"/>
          </a:solidFill>
          <a:prstDash val="solid"/>
          <a:miter lim="800000"/>
        </a:ln>
        <a:effectLst/>
      </dsp:spPr>
      <dsp:style>
        <a:lnRef idx="2">
          <a:scrgbClr r="0" g="0" b="0"/>
        </a:lnRef>
        <a:fillRef idx="0">
          <a:scrgbClr r="0" g="0" b="0"/>
        </a:fillRef>
        <a:effectRef idx="0">
          <a:scrgbClr r="0" g="0" b="0"/>
        </a:effectRef>
        <a:fontRef idx="minor"/>
      </dsp:style>
    </dsp:sp>
    <dsp:sp modelId="{F4643635-C34D-4F7A-9A9F-16DD4BF277D8}">
      <dsp:nvSpPr>
        <dsp:cNvPr id="0" name=""/>
        <dsp:cNvSpPr/>
      </dsp:nvSpPr>
      <dsp:spPr>
        <a:xfrm>
          <a:off x="1601608" y="1978278"/>
          <a:ext cx="320272" cy="1196471"/>
        </a:xfrm>
        <a:custGeom>
          <a:avLst/>
          <a:gdLst/>
          <a:ahLst/>
          <a:cxnLst/>
          <a:rect l="0" t="0" r="0" b="0"/>
          <a:pathLst>
            <a:path>
              <a:moveTo>
                <a:pt x="0" y="0"/>
              </a:moveTo>
              <a:lnTo>
                <a:pt x="160136" y="0"/>
              </a:lnTo>
              <a:lnTo>
                <a:pt x="160136" y="1196471"/>
              </a:lnTo>
              <a:lnTo>
                <a:pt x="320272" y="1196471"/>
              </a:lnTo>
            </a:path>
          </a:pathLst>
        </a:custGeom>
        <a:noFill/>
        <a:ln w="12700" cap="flat" cmpd="sng" algn="ctr">
          <a:solidFill>
            <a:srgbClr val="00B0F0"/>
          </a:solidFill>
          <a:prstDash val="solid"/>
          <a:miter lim="800000"/>
        </a:ln>
        <a:effectLst/>
      </dsp:spPr>
      <dsp:style>
        <a:lnRef idx="2">
          <a:scrgbClr r="0" g="0" b="0"/>
        </a:lnRef>
        <a:fillRef idx="0">
          <a:scrgbClr r="0" g="0" b="0"/>
        </a:fillRef>
        <a:effectRef idx="0">
          <a:scrgbClr r="0" g="0" b="0"/>
        </a:effectRef>
        <a:fontRef idx="minor"/>
      </dsp:style>
    </dsp:sp>
    <dsp:sp modelId="{EEAA3914-83FF-4E21-A813-41195C12B839}">
      <dsp:nvSpPr>
        <dsp:cNvPr id="0" name=""/>
        <dsp:cNvSpPr/>
      </dsp:nvSpPr>
      <dsp:spPr>
        <a:xfrm>
          <a:off x="3523242" y="2065756"/>
          <a:ext cx="320272" cy="344292"/>
        </a:xfrm>
        <a:custGeom>
          <a:avLst/>
          <a:gdLst/>
          <a:ahLst/>
          <a:cxnLst/>
          <a:rect l="0" t="0" r="0" b="0"/>
          <a:pathLst>
            <a:path>
              <a:moveTo>
                <a:pt x="0" y="0"/>
              </a:moveTo>
              <a:lnTo>
                <a:pt x="160136" y="0"/>
              </a:lnTo>
              <a:lnTo>
                <a:pt x="160136" y="344292"/>
              </a:lnTo>
              <a:lnTo>
                <a:pt x="320272" y="344292"/>
              </a:lnTo>
            </a:path>
          </a:pathLst>
        </a:custGeom>
        <a:noFill/>
        <a:ln w="12700" cap="flat" cmpd="sng" algn="ctr">
          <a:solidFill>
            <a:srgbClr val="00B0F0"/>
          </a:solidFill>
          <a:prstDash val="solid"/>
          <a:miter lim="800000"/>
        </a:ln>
        <a:effectLst/>
      </dsp:spPr>
      <dsp:style>
        <a:lnRef idx="2">
          <a:scrgbClr r="0" g="0" b="0"/>
        </a:lnRef>
        <a:fillRef idx="0">
          <a:scrgbClr r="0" g="0" b="0"/>
        </a:fillRef>
        <a:effectRef idx="0">
          <a:scrgbClr r="0" g="0" b="0"/>
        </a:effectRef>
        <a:fontRef idx="minor"/>
      </dsp:style>
    </dsp:sp>
    <dsp:sp modelId="{2717EFA6-DA9F-415D-AB96-E7DC7BA9DD2B}">
      <dsp:nvSpPr>
        <dsp:cNvPr id="0" name=""/>
        <dsp:cNvSpPr/>
      </dsp:nvSpPr>
      <dsp:spPr>
        <a:xfrm>
          <a:off x="3523242" y="1630511"/>
          <a:ext cx="327686" cy="435245"/>
        </a:xfrm>
        <a:custGeom>
          <a:avLst/>
          <a:gdLst/>
          <a:ahLst/>
          <a:cxnLst/>
          <a:rect l="0" t="0" r="0" b="0"/>
          <a:pathLst>
            <a:path>
              <a:moveTo>
                <a:pt x="0" y="435245"/>
              </a:moveTo>
              <a:lnTo>
                <a:pt x="167550" y="435245"/>
              </a:lnTo>
              <a:lnTo>
                <a:pt x="167550" y="0"/>
              </a:lnTo>
              <a:lnTo>
                <a:pt x="327686" y="0"/>
              </a:lnTo>
            </a:path>
          </a:pathLst>
        </a:custGeom>
        <a:noFill/>
        <a:ln w="12700" cap="flat" cmpd="sng" algn="ctr">
          <a:solidFill>
            <a:srgbClr val="00B0F0"/>
          </a:solidFill>
          <a:prstDash val="solid"/>
          <a:miter lim="800000"/>
        </a:ln>
        <a:effectLst/>
      </dsp:spPr>
      <dsp:style>
        <a:lnRef idx="2">
          <a:scrgbClr r="0" g="0" b="0"/>
        </a:lnRef>
        <a:fillRef idx="0">
          <a:scrgbClr r="0" g="0" b="0"/>
        </a:fillRef>
        <a:effectRef idx="0">
          <a:scrgbClr r="0" g="0" b="0"/>
        </a:effectRef>
        <a:fontRef idx="minor"/>
      </dsp:style>
    </dsp:sp>
    <dsp:sp modelId="{6A92D140-9BCF-44C9-B458-D7172A9D1E5E}">
      <dsp:nvSpPr>
        <dsp:cNvPr id="0" name=""/>
        <dsp:cNvSpPr/>
      </dsp:nvSpPr>
      <dsp:spPr>
        <a:xfrm>
          <a:off x="1601608" y="1932558"/>
          <a:ext cx="320272" cy="91440"/>
        </a:xfrm>
        <a:custGeom>
          <a:avLst/>
          <a:gdLst/>
          <a:ahLst/>
          <a:cxnLst/>
          <a:rect l="0" t="0" r="0" b="0"/>
          <a:pathLst>
            <a:path>
              <a:moveTo>
                <a:pt x="0" y="45720"/>
              </a:moveTo>
              <a:lnTo>
                <a:pt x="160136" y="45720"/>
              </a:lnTo>
              <a:lnTo>
                <a:pt x="160136" y="133198"/>
              </a:lnTo>
              <a:lnTo>
                <a:pt x="320272" y="133198"/>
              </a:lnTo>
            </a:path>
          </a:pathLst>
        </a:custGeom>
        <a:noFill/>
        <a:ln w="12700" cap="flat" cmpd="sng" algn="ctr">
          <a:solidFill>
            <a:srgbClr val="00B0F0"/>
          </a:solidFill>
          <a:prstDash val="solid"/>
          <a:miter lim="800000"/>
        </a:ln>
        <a:effectLst/>
      </dsp:spPr>
      <dsp:style>
        <a:lnRef idx="2">
          <a:scrgbClr r="0" g="0" b="0"/>
        </a:lnRef>
        <a:fillRef idx="0">
          <a:scrgbClr r="0" g="0" b="0"/>
        </a:fillRef>
        <a:effectRef idx="0">
          <a:scrgbClr r="0" g="0" b="0"/>
        </a:effectRef>
        <a:fontRef idx="minor"/>
      </dsp:style>
    </dsp:sp>
    <dsp:sp modelId="{BD2B8DB3-F76E-4FB4-A5C3-3A7B08BF71B9}">
      <dsp:nvSpPr>
        <dsp:cNvPr id="0" name=""/>
        <dsp:cNvSpPr/>
      </dsp:nvSpPr>
      <dsp:spPr>
        <a:xfrm>
          <a:off x="3523242" y="789228"/>
          <a:ext cx="320272" cy="91440"/>
        </a:xfrm>
        <a:custGeom>
          <a:avLst/>
          <a:gdLst/>
          <a:ahLst/>
          <a:cxnLst/>
          <a:rect l="0" t="0" r="0" b="0"/>
          <a:pathLst>
            <a:path>
              <a:moveTo>
                <a:pt x="0" y="45720"/>
              </a:moveTo>
              <a:lnTo>
                <a:pt x="320272" y="45720"/>
              </a:lnTo>
            </a:path>
          </a:pathLst>
        </a:custGeom>
        <a:noFill/>
        <a:ln w="12700" cap="flat" cmpd="sng" algn="ctr">
          <a:solidFill>
            <a:srgbClr val="00B0F0"/>
          </a:solidFill>
          <a:prstDash val="solid"/>
          <a:miter lim="800000"/>
        </a:ln>
        <a:effectLst/>
      </dsp:spPr>
      <dsp:style>
        <a:lnRef idx="2">
          <a:scrgbClr r="0" g="0" b="0"/>
        </a:lnRef>
        <a:fillRef idx="0">
          <a:scrgbClr r="0" g="0" b="0"/>
        </a:fillRef>
        <a:effectRef idx="0">
          <a:scrgbClr r="0" g="0" b="0"/>
        </a:effectRef>
        <a:fontRef idx="minor"/>
      </dsp:style>
    </dsp:sp>
    <dsp:sp modelId="{130D466D-2213-40C1-9123-B002B1D1ACCE}">
      <dsp:nvSpPr>
        <dsp:cNvPr id="0" name=""/>
        <dsp:cNvSpPr/>
      </dsp:nvSpPr>
      <dsp:spPr>
        <a:xfrm>
          <a:off x="1601608" y="834948"/>
          <a:ext cx="320272" cy="1143329"/>
        </a:xfrm>
        <a:custGeom>
          <a:avLst/>
          <a:gdLst/>
          <a:ahLst/>
          <a:cxnLst/>
          <a:rect l="0" t="0" r="0" b="0"/>
          <a:pathLst>
            <a:path>
              <a:moveTo>
                <a:pt x="0" y="1143329"/>
              </a:moveTo>
              <a:lnTo>
                <a:pt x="160136" y="1143329"/>
              </a:lnTo>
              <a:lnTo>
                <a:pt x="160136" y="0"/>
              </a:lnTo>
              <a:lnTo>
                <a:pt x="320272" y="0"/>
              </a:lnTo>
            </a:path>
          </a:pathLst>
        </a:custGeom>
        <a:noFill/>
        <a:ln w="12700" cap="flat" cmpd="sng" algn="ctr">
          <a:solidFill>
            <a:srgbClr val="00B0F0"/>
          </a:solidFill>
          <a:prstDash val="solid"/>
          <a:miter lim="800000"/>
        </a:ln>
        <a:effectLst/>
      </dsp:spPr>
      <dsp:style>
        <a:lnRef idx="2">
          <a:scrgbClr r="0" g="0" b="0"/>
        </a:lnRef>
        <a:fillRef idx="0">
          <a:scrgbClr r="0" g="0" b="0"/>
        </a:fillRef>
        <a:effectRef idx="0">
          <a:scrgbClr r="0" g="0" b="0"/>
        </a:effectRef>
        <a:fontRef idx="minor"/>
      </dsp:style>
    </dsp:sp>
    <dsp:sp modelId="{C2929284-7BF5-4993-B9AC-18F6DC2AABA0}">
      <dsp:nvSpPr>
        <dsp:cNvPr id="0" name=""/>
        <dsp:cNvSpPr/>
      </dsp:nvSpPr>
      <dsp:spPr>
        <a:xfrm>
          <a:off x="247" y="1419108"/>
          <a:ext cx="1601361" cy="1118339"/>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i="1" kern="1200">
              <a:latin typeface="Times New Roman" panose="02020603050405020304" pitchFamily="18" charset="0"/>
              <a:cs typeface="Times New Roman" panose="02020603050405020304" pitchFamily="18" charset="0"/>
            </a:rPr>
            <a:t>Rutas procesales frente a comparecientes no seleccionados como máximos responsables a cargo de la Sala de Definición de Situaciones Jurídicas</a:t>
          </a:r>
        </a:p>
      </dsp:txBody>
      <dsp:txXfrm>
        <a:off x="247" y="1419108"/>
        <a:ext cx="1601361" cy="1118339"/>
      </dsp:txXfrm>
    </dsp:sp>
    <dsp:sp modelId="{873C1D08-883B-4ABA-84C0-62F1050B5B1A}">
      <dsp:nvSpPr>
        <dsp:cNvPr id="0" name=""/>
        <dsp:cNvSpPr/>
      </dsp:nvSpPr>
      <dsp:spPr>
        <a:xfrm>
          <a:off x="1921881" y="494281"/>
          <a:ext cx="1601361" cy="681334"/>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i="0" kern="1200">
              <a:latin typeface="Times New Roman" panose="02020603050405020304" pitchFamily="18" charset="0"/>
              <a:cs typeface="Times New Roman" panose="02020603050405020304" pitchFamily="18" charset="0"/>
            </a:rPr>
            <a:t>Aportes a verdad plena (sin reconocimiento de responsabilidad - Senit 8)</a:t>
          </a:r>
        </a:p>
      </dsp:txBody>
      <dsp:txXfrm>
        <a:off x="1921881" y="494281"/>
        <a:ext cx="1601361" cy="681334"/>
      </dsp:txXfrm>
    </dsp:sp>
    <dsp:sp modelId="{6F79A028-F250-4A18-86D7-44EA2DC4FDCB}">
      <dsp:nvSpPr>
        <dsp:cNvPr id="0" name=""/>
        <dsp:cNvSpPr/>
      </dsp:nvSpPr>
      <dsp:spPr>
        <a:xfrm>
          <a:off x="3843515" y="468925"/>
          <a:ext cx="1601361" cy="732046"/>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i="0" kern="1200">
              <a:latin typeface="Times New Roman" panose="02020603050405020304" pitchFamily="18" charset="0"/>
              <a:cs typeface="Times New Roman" panose="02020603050405020304" pitchFamily="18" charset="0"/>
            </a:rPr>
            <a:t>Mecanismo no sancionatorio como renuncia condicionada a la persecución penal</a:t>
          </a:r>
        </a:p>
      </dsp:txBody>
      <dsp:txXfrm>
        <a:off x="3843515" y="468925"/>
        <a:ext cx="1601361" cy="732046"/>
      </dsp:txXfrm>
    </dsp:sp>
    <dsp:sp modelId="{0B4EF885-9C1E-4B40-AC00-3CE3E102C707}">
      <dsp:nvSpPr>
        <dsp:cNvPr id="0" name=""/>
        <dsp:cNvSpPr/>
      </dsp:nvSpPr>
      <dsp:spPr>
        <a:xfrm>
          <a:off x="1921881" y="1791404"/>
          <a:ext cx="1601361" cy="548705"/>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i="0" kern="1200">
              <a:latin typeface="Times New Roman" panose="02020603050405020304" pitchFamily="18" charset="0"/>
              <a:cs typeface="Times New Roman" panose="02020603050405020304" pitchFamily="18" charset="0"/>
            </a:rPr>
            <a:t>Aportes insuficientes a la verdad: 2 cursos de acción posibles</a:t>
          </a:r>
        </a:p>
      </dsp:txBody>
      <dsp:txXfrm>
        <a:off x="1921881" y="1791404"/>
        <a:ext cx="1601361" cy="548705"/>
      </dsp:txXfrm>
    </dsp:sp>
    <dsp:sp modelId="{3D76CE87-695E-4A24-BCC5-304FC12FA68C}">
      <dsp:nvSpPr>
        <dsp:cNvPr id="0" name=""/>
        <dsp:cNvSpPr/>
      </dsp:nvSpPr>
      <dsp:spPr>
        <a:xfrm>
          <a:off x="3850929" y="1386303"/>
          <a:ext cx="1601361" cy="488415"/>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s-US" sz="900" kern="1200">
              <a:latin typeface="Times New Roman" panose="02020603050405020304" pitchFamily="18" charset="0"/>
              <a:cs typeface="Times New Roman" panose="02020603050405020304" pitchFamily="18" charset="0"/>
            </a:rPr>
            <a:t>Iniciar incidente de incumplimiento del régimen de condicionalidad - puede resultar en la expulsión</a:t>
          </a:r>
          <a:endParaRPr lang="en-GB" sz="900" i="1" kern="1200">
            <a:latin typeface="Times New Roman" panose="02020603050405020304" pitchFamily="18" charset="0"/>
            <a:cs typeface="Times New Roman" panose="02020603050405020304" pitchFamily="18" charset="0"/>
          </a:endParaRPr>
        </a:p>
      </dsp:txBody>
      <dsp:txXfrm>
        <a:off x="3850929" y="1386303"/>
        <a:ext cx="1601361" cy="488415"/>
      </dsp:txXfrm>
    </dsp:sp>
    <dsp:sp modelId="{19AA52BD-200D-4D7F-BF02-E185C188C725}">
      <dsp:nvSpPr>
        <dsp:cNvPr id="0" name=""/>
        <dsp:cNvSpPr/>
      </dsp:nvSpPr>
      <dsp:spPr>
        <a:xfrm>
          <a:off x="3843515" y="2089727"/>
          <a:ext cx="1768367" cy="640644"/>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i="0" kern="1200">
              <a:latin typeface="Times New Roman" panose="02020603050405020304" pitchFamily="18" charset="0"/>
              <a:cs typeface="Times New Roman" panose="02020603050405020304" pitchFamily="18" charset="0"/>
            </a:rPr>
            <a:t>Aplicar un mecanismo no sancionatorio como la renuncia condicionada a la persecución penal </a:t>
          </a:r>
          <a:r>
            <a:rPr lang="en-GB" sz="900" kern="1200">
              <a:latin typeface="Times New Roman" panose="02020603050405020304" pitchFamily="18" charset="0"/>
              <a:cs typeface="Times New Roman" panose="02020603050405020304" pitchFamily="18" charset="0"/>
            </a:rPr>
            <a:t>(con régimen de condicionalidad estricto)</a:t>
          </a:r>
          <a:endParaRPr lang="en-GB" sz="900" i="0" kern="1200">
            <a:solidFill>
              <a:sysClr val="windowText" lastClr="000000"/>
            </a:solidFill>
            <a:highlight>
              <a:srgbClr val="FFFF00"/>
            </a:highlight>
            <a:latin typeface="Times New Roman" panose="02020603050405020304" pitchFamily="18" charset="0"/>
            <a:cs typeface="Times New Roman" panose="02020603050405020304" pitchFamily="18" charset="0"/>
          </a:endParaRPr>
        </a:p>
      </dsp:txBody>
      <dsp:txXfrm>
        <a:off x="3843515" y="2089727"/>
        <a:ext cx="1768367" cy="640644"/>
      </dsp:txXfrm>
    </dsp:sp>
    <dsp:sp modelId="{D58DDC79-237C-43FD-A9DE-4FEF11EE0685}">
      <dsp:nvSpPr>
        <dsp:cNvPr id="0" name=""/>
        <dsp:cNvSpPr/>
      </dsp:nvSpPr>
      <dsp:spPr>
        <a:xfrm>
          <a:off x="1921881" y="2887224"/>
          <a:ext cx="1652941" cy="575050"/>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i="0" kern="1200">
              <a:latin typeface="Times New Roman" panose="02020603050405020304" pitchFamily="18" charset="0"/>
              <a:cs typeface="Times New Roman" panose="02020603050405020304" pitchFamily="18" charset="0"/>
            </a:rPr>
            <a:t>Apertura de incidente de incumplimiento del régimen de condicionalidad (IIRC) - eventual expulsión</a:t>
          </a:r>
        </a:p>
      </dsp:txBody>
      <dsp:txXfrm>
        <a:off x="1921881" y="2887224"/>
        <a:ext cx="1652941" cy="575050"/>
      </dsp:txXfrm>
    </dsp:sp>
    <dsp:sp modelId="{405EC680-938F-4B77-B2F3-3C7ECC4C8294}">
      <dsp:nvSpPr>
        <dsp:cNvPr id="0" name=""/>
        <dsp:cNvSpPr/>
      </dsp:nvSpPr>
      <dsp:spPr>
        <a:xfrm>
          <a:off x="3895094" y="2930542"/>
          <a:ext cx="1601361" cy="488415"/>
        </a:xfrm>
        <a:prstGeom prst="rect">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i="0" kern="1200">
              <a:latin typeface="Times New Roman" panose="02020603050405020304" pitchFamily="18" charset="0"/>
              <a:cs typeface="Times New Roman" panose="02020603050405020304" pitchFamily="18" charset="0"/>
            </a:rPr>
            <a:t>Negar el mecanismo no sancionatorio de definición de la situación jurídica</a:t>
          </a:r>
        </a:p>
      </dsp:txBody>
      <dsp:txXfrm>
        <a:off x="3895094" y="2930542"/>
        <a:ext cx="1601361" cy="488415"/>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4.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77020</Words>
  <Characters>423611</Characters>
  <Application>Microsoft Office Word</Application>
  <DocSecurity>0</DocSecurity>
  <Lines>3530</Lines>
  <Paragraphs>999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499632</CharactersWithSpaces>
  <SharedDoc>false</SharedDoc>
  <HLinks>
    <vt:vector size="462" baseType="variant">
      <vt:variant>
        <vt:i4>1048635</vt:i4>
      </vt:variant>
      <vt:variant>
        <vt:i4>374</vt:i4>
      </vt:variant>
      <vt:variant>
        <vt:i4>0</vt:i4>
      </vt:variant>
      <vt:variant>
        <vt:i4>5</vt:i4>
      </vt:variant>
      <vt:variant>
        <vt:lpwstr/>
      </vt:variant>
      <vt:variant>
        <vt:lpwstr>_Toc229473722</vt:lpwstr>
      </vt:variant>
      <vt:variant>
        <vt:i4>1048635</vt:i4>
      </vt:variant>
      <vt:variant>
        <vt:i4>368</vt:i4>
      </vt:variant>
      <vt:variant>
        <vt:i4>0</vt:i4>
      </vt:variant>
      <vt:variant>
        <vt:i4>5</vt:i4>
      </vt:variant>
      <vt:variant>
        <vt:lpwstr/>
      </vt:variant>
      <vt:variant>
        <vt:lpwstr>_Toc229473721</vt:lpwstr>
      </vt:variant>
      <vt:variant>
        <vt:i4>1048635</vt:i4>
      </vt:variant>
      <vt:variant>
        <vt:i4>362</vt:i4>
      </vt:variant>
      <vt:variant>
        <vt:i4>0</vt:i4>
      </vt:variant>
      <vt:variant>
        <vt:i4>5</vt:i4>
      </vt:variant>
      <vt:variant>
        <vt:lpwstr/>
      </vt:variant>
      <vt:variant>
        <vt:lpwstr>_Toc229473720</vt:lpwstr>
      </vt:variant>
      <vt:variant>
        <vt:i4>1245243</vt:i4>
      </vt:variant>
      <vt:variant>
        <vt:i4>356</vt:i4>
      </vt:variant>
      <vt:variant>
        <vt:i4>0</vt:i4>
      </vt:variant>
      <vt:variant>
        <vt:i4>5</vt:i4>
      </vt:variant>
      <vt:variant>
        <vt:lpwstr/>
      </vt:variant>
      <vt:variant>
        <vt:lpwstr>_Toc229473719</vt:lpwstr>
      </vt:variant>
      <vt:variant>
        <vt:i4>1245243</vt:i4>
      </vt:variant>
      <vt:variant>
        <vt:i4>350</vt:i4>
      </vt:variant>
      <vt:variant>
        <vt:i4>0</vt:i4>
      </vt:variant>
      <vt:variant>
        <vt:i4>5</vt:i4>
      </vt:variant>
      <vt:variant>
        <vt:lpwstr/>
      </vt:variant>
      <vt:variant>
        <vt:lpwstr>_Toc229473718</vt:lpwstr>
      </vt:variant>
      <vt:variant>
        <vt:i4>1245243</vt:i4>
      </vt:variant>
      <vt:variant>
        <vt:i4>344</vt:i4>
      </vt:variant>
      <vt:variant>
        <vt:i4>0</vt:i4>
      </vt:variant>
      <vt:variant>
        <vt:i4>5</vt:i4>
      </vt:variant>
      <vt:variant>
        <vt:lpwstr/>
      </vt:variant>
      <vt:variant>
        <vt:lpwstr>_Toc229473717</vt:lpwstr>
      </vt:variant>
      <vt:variant>
        <vt:i4>1245243</vt:i4>
      </vt:variant>
      <vt:variant>
        <vt:i4>338</vt:i4>
      </vt:variant>
      <vt:variant>
        <vt:i4>0</vt:i4>
      </vt:variant>
      <vt:variant>
        <vt:i4>5</vt:i4>
      </vt:variant>
      <vt:variant>
        <vt:lpwstr/>
      </vt:variant>
      <vt:variant>
        <vt:lpwstr>_Toc229473716</vt:lpwstr>
      </vt:variant>
      <vt:variant>
        <vt:i4>1245243</vt:i4>
      </vt:variant>
      <vt:variant>
        <vt:i4>332</vt:i4>
      </vt:variant>
      <vt:variant>
        <vt:i4>0</vt:i4>
      </vt:variant>
      <vt:variant>
        <vt:i4>5</vt:i4>
      </vt:variant>
      <vt:variant>
        <vt:lpwstr/>
      </vt:variant>
      <vt:variant>
        <vt:lpwstr>_Toc229473715</vt:lpwstr>
      </vt:variant>
      <vt:variant>
        <vt:i4>1245243</vt:i4>
      </vt:variant>
      <vt:variant>
        <vt:i4>326</vt:i4>
      </vt:variant>
      <vt:variant>
        <vt:i4>0</vt:i4>
      </vt:variant>
      <vt:variant>
        <vt:i4>5</vt:i4>
      </vt:variant>
      <vt:variant>
        <vt:lpwstr/>
      </vt:variant>
      <vt:variant>
        <vt:lpwstr>_Toc229473714</vt:lpwstr>
      </vt:variant>
      <vt:variant>
        <vt:i4>1245243</vt:i4>
      </vt:variant>
      <vt:variant>
        <vt:i4>320</vt:i4>
      </vt:variant>
      <vt:variant>
        <vt:i4>0</vt:i4>
      </vt:variant>
      <vt:variant>
        <vt:i4>5</vt:i4>
      </vt:variant>
      <vt:variant>
        <vt:lpwstr/>
      </vt:variant>
      <vt:variant>
        <vt:lpwstr>_Toc229473713</vt:lpwstr>
      </vt:variant>
      <vt:variant>
        <vt:i4>1245243</vt:i4>
      </vt:variant>
      <vt:variant>
        <vt:i4>314</vt:i4>
      </vt:variant>
      <vt:variant>
        <vt:i4>0</vt:i4>
      </vt:variant>
      <vt:variant>
        <vt:i4>5</vt:i4>
      </vt:variant>
      <vt:variant>
        <vt:lpwstr/>
      </vt:variant>
      <vt:variant>
        <vt:lpwstr>_Toc229473712</vt:lpwstr>
      </vt:variant>
      <vt:variant>
        <vt:i4>1245243</vt:i4>
      </vt:variant>
      <vt:variant>
        <vt:i4>308</vt:i4>
      </vt:variant>
      <vt:variant>
        <vt:i4>0</vt:i4>
      </vt:variant>
      <vt:variant>
        <vt:i4>5</vt:i4>
      </vt:variant>
      <vt:variant>
        <vt:lpwstr/>
      </vt:variant>
      <vt:variant>
        <vt:lpwstr>_Toc229473711</vt:lpwstr>
      </vt:variant>
      <vt:variant>
        <vt:i4>1245243</vt:i4>
      </vt:variant>
      <vt:variant>
        <vt:i4>302</vt:i4>
      </vt:variant>
      <vt:variant>
        <vt:i4>0</vt:i4>
      </vt:variant>
      <vt:variant>
        <vt:i4>5</vt:i4>
      </vt:variant>
      <vt:variant>
        <vt:lpwstr/>
      </vt:variant>
      <vt:variant>
        <vt:lpwstr>_Toc229473710</vt:lpwstr>
      </vt:variant>
      <vt:variant>
        <vt:i4>1179707</vt:i4>
      </vt:variant>
      <vt:variant>
        <vt:i4>296</vt:i4>
      </vt:variant>
      <vt:variant>
        <vt:i4>0</vt:i4>
      </vt:variant>
      <vt:variant>
        <vt:i4>5</vt:i4>
      </vt:variant>
      <vt:variant>
        <vt:lpwstr/>
      </vt:variant>
      <vt:variant>
        <vt:lpwstr>_Toc229473709</vt:lpwstr>
      </vt:variant>
      <vt:variant>
        <vt:i4>1179707</vt:i4>
      </vt:variant>
      <vt:variant>
        <vt:i4>290</vt:i4>
      </vt:variant>
      <vt:variant>
        <vt:i4>0</vt:i4>
      </vt:variant>
      <vt:variant>
        <vt:i4>5</vt:i4>
      </vt:variant>
      <vt:variant>
        <vt:lpwstr/>
      </vt:variant>
      <vt:variant>
        <vt:lpwstr>_Toc229473708</vt:lpwstr>
      </vt:variant>
      <vt:variant>
        <vt:i4>1179707</vt:i4>
      </vt:variant>
      <vt:variant>
        <vt:i4>284</vt:i4>
      </vt:variant>
      <vt:variant>
        <vt:i4>0</vt:i4>
      </vt:variant>
      <vt:variant>
        <vt:i4>5</vt:i4>
      </vt:variant>
      <vt:variant>
        <vt:lpwstr/>
      </vt:variant>
      <vt:variant>
        <vt:lpwstr>_Toc229473707</vt:lpwstr>
      </vt:variant>
      <vt:variant>
        <vt:i4>1179707</vt:i4>
      </vt:variant>
      <vt:variant>
        <vt:i4>278</vt:i4>
      </vt:variant>
      <vt:variant>
        <vt:i4>0</vt:i4>
      </vt:variant>
      <vt:variant>
        <vt:i4>5</vt:i4>
      </vt:variant>
      <vt:variant>
        <vt:lpwstr/>
      </vt:variant>
      <vt:variant>
        <vt:lpwstr>_Toc229473706</vt:lpwstr>
      </vt:variant>
      <vt:variant>
        <vt:i4>1179707</vt:i4>
      </vt:variant>
      <vt:variant>
        <vt:i4>272</vt:i4>
      </vt:variant>
      <vt:variant>
        <vt:i4>0</vt:i4>
      </vt:variant>
      <vt:variant>
        <vt:i4>5</vt:i4>
      </vt:variant>
      <vt:variant>
        <vt:lpwstr/>
      </vt:variant>
      <vt:variant>
        <vt:lpwstr>_Toc229473705</vt:lpwstr>
      </vt:variant>
      <vt:variant>
        <vt:i4>1179707</vt:i4>
      </vt:variant>
      <vt:variant>
        <vt:i4>266</vt:i4>
      </vt:variant>
      <vt:variant>
        <vt:i4>0</vt:i4>
      </vt:variant>
      <vt:variant>
        <vt:i4>5</vt:i4>
      </vt:variant>
      <vt:variant>
        <vt:lpwstr/>
      </vt:variant>
      <vt:variant>
        <vt:lpwstr>_Toc229473704</vt:lpwstr>
      </vt:variant>
      <vt:variant>
        <vt:i4>1179707</vt:i4>
      </vt:variant>
      <vt:variant>
        <vt:i4>260</vt:i4>
      </vt:variant>
      <vt:variant>
        <vt:i4>0</vt:i4>
      </vt:variant>
      <vt:variant>
        <vt:i4>5</vt:i4>
      </vt:variant>
      <vt:variant>
        <vt:lpwstr/>
      </vt:variant>
      <vt:variant>
        <vt:lpwstr>_Toc229473703</vt:lpwstr>
      </vt:variant>
      <vt:variant>
        <vt:i4>1179707</vt:i4>
      </vt:variant>
      <vt:variant>
        <vt:i4>254</vt:i4>
      </vt:variant>
      <vt:variant>
        <vt:i4>0</vt:i4>
      </vt:variant>
      <vt:variant>
        <vt:i4>5</vt:i4>
      </vt:variant>
      <vt:variant>
        <vt:lpwstr/>
      </vt:variant>
      <vt:variant>
        <vt:lpwstr>_Toc229473702</vt:lpwstr>
      </vt:variant>
      <vt:variant>
        <vt:i4>1179707</vt:i4>
      </vt:variant>
      <vt:variant>
        <vt:i4>248</vt:i4>
      </vt:variant>
      <vt:variant>
        <vt:i4>0</vt:i4>
      </vt:variant>
      <vt:variant>
        <vt:i4>5</vt:i4>
      </vt:variant>
      <vt:variant>
        <vt:lpwstr/>
      </vt:variant>
      <vt:variant>
        <vt:lpwstr>_Toc229473701</vt:lpwstr>
      </vt:variant>
      <vt:variant>
        <vt:i4>1179707</vt:i4>
      </vt:variant>
      <vt:variant>
        <vt:i4>242</vt:i4>
      </vt:variant>
      <vt:variant>
        <vt:i4>0</vt:i4>
      </vt:variant>
      <vt:variant>
        <vt:i4>5</vt:i4>
      </vt:variant>
      <vt:variant>
        <vt:lpwstr/>
      </vt:variant>
      <vt:variant>
        <vt:lpwstr>_Toc229473700</vt:lpwstr>
      </vt:variant>
      <vt:variant>
        <vt:i4>1769530</vt:i4>
      </vt:variant>
      <vt:variant>
        <vt:i4>236</vt:i4>
      </vt:variant>
      <vt:variant>
        <vt:i4>0</vt:i4>
      </vt:variant>
      <vt:variant>
        <vt:i4>5</vt:i4>
      </vt:variant>
      <vt:variant>
        <vt:lpwstr/>
      </vt:variant>
      <vt:variant>
        <vt:lpwstr>_Toc229473699</vt:lpwstr>
      </vt:variant>
      <vt:variant>
        <vt:i4>1769530</vt:i4>
      </vt:variant>
      <vt:variant>
        <vt:i4>230</vt:i4>
      </vt:variant>
      <vt:variant>
        <vt:i4>0</vt:i4>
      </vt:variant>
      <vt:variant>
        <vt:i4>5</vt:i4>
      </vt:variant>
      <vt:variant>
        <vt:lpwstr/>
      </vt:variant>
      <vt:variant>
        <vt:lpwstr>_Toc229473698</vt:lpwstr>
      </vt:variant>
      <vt:variant>
        <vt:i4>1769530</vt:i4>
      </vt:variant>
      <vt:variant>
        <vt:i4>224</vt:i4>
      </vt:variant>
      <vt:variant>
        <vt:i4>0</vt:i4>
      </vt:variant>
      <vt:variant>
        <vt:i4>5</vt:i4>
      </vt:variant>
      <vt:variant>
        <vt:lpwstr/>
      </vt:variant>
      <vt:variant>
        <vt:lpwstr>_Toc229473697</vt:lpwstr>
      </vt:variant>
      <vt:variant>
        <vt:i4>1769530</vt:i4>
      </vt:variant>
      <vt:variant>
        <vt:i4>218</vt:i4>
      </vt:variant>
      <vt:variant>
        <vt:i4>0</vt:i4>
      </vt:variant>
      <vt:variant>
        <vt:i4>5</vt:i4>
      </vt:variant>
      <vt:variant>
        <vt:lpwstr/>
      </vt:variant>
      <vt:variant>
        <vt:lpwstr>_Toc229473696</vt:lpwstr>
      </vt:variant>
      <vt:variant>
        <vt:i4>1769530</vt:i4>
      </vt:variant>
      <vt:variant>
        <vt:i4>212</vt:i4>
      </vt:variant>
      <vt:variant>
        <vt:i4>0</vt:i4>
      </vt:variant>
      <vt:variant>
        <vt:i4>5</vt:i4>
      </vt:variant>
      <vt:variant>
        <vt:lpwstr/>
      </vt:variant>
      <vt:variant>
        <vt:lpwstr>_Toc229473695</vt:lpwstr>
      </vt:variant>
      <vt:variant>
        <vt:i4>1769530</vt:i4>
      </vt:variant>
      <vt:variant>
        <vt:i4>206</vt:i4>
      </vt:variant>
      <vt:variant>
        <vt:i4>0</vt:i4>
      </vt:variant>
      <vt:variant>
        <vt:i4>5</vt:i4>
      </vt:variant>
      <vt:variant>
        <vt:lpwstr/>
      </vt:variant>
      <vt:variant>
        <vt:lpwstr>_Toc229473694</vt:lpwstr>
      </vt:variant>
      <vt:variant>
        <vt:i4>1769530</vt:i4>
      </vt:variant>
      <vt:variant>
        <vt:i4>200</vt:i4>
      </vt:variant>
      <vt:variant>
        <vt:i4>0</vt:i4>
      </vt:variant>
      <vt:variant>
        <vt:i4>5</vt:i4>
      </vt:variant>
      <vt:variant>
        <vt:lpwstr/>
      </vt:variant>
      <vt:variant>
        <vt:lpwstr>_Toc229473693</vt:lpwstr>
      </vt:variant>
      <vt:variant>
        <vt:i4>1769530</vt:i4>
      </vt:variant>
      <vt:variant>
        <vt:i4>194</vt:i4>
      </vt:variant>
      <vt:variant>
        <vt:i4>0</vt:i4>
      </vt:variant>
      <vt:variant>
        <vt:i4>5</vt:i4>
      </vt:variant>
      <vt:variant>
        <vt:lpwstr/>
      </vt:variant>
      <vt:variant>
        <vt:lpwstr>_Toc229473692</vt:lpwstr>
      </vt:variant>
      <vt:variant>
        <vt:i4>1769530</vt:i4>
      </vt:variant>
      <vt:variant>
        <vt:i4>188</vt:i4>
      </vt:variant>
      <vt:variant>
        <vt:i4>0</vt:i4>
      </vt:variant>
      <vt:variant>
        <vt:i4>5</vt:i4>
      </vt:variant>
      <vt:variant>
        <vt:lpwstr/>
      </vt:variant>
      <vt:variant>
        <vt:lpwstr>_Toc229473691</vt:lpwstr>
      </vt:variant>
      <vt:variant>
        <vt:i4>1769530</vt:i4>
      </vt:variant>
      <vt:variant>
        <vt:i4>182</vt:i4>
      </vt:variant>
      <vt:variant>
        <vt:i4>0</vt:i4>
      </vt:variant>
      <vt:variant>
        <vt:i4>5</vt:i4>
      </vt:variant>
      <vt:variant>
        <vt:lpwstr/>
      </vt:variant>
      <vt:variant>
        <vt:lpwstr>_Toc229473690</vt:lpwstr>
      </vt:variant>
      <vt:variant>
        <vt:i4>1703994</vt:i4>
      </vt:variant>
      <vt:variant>
        <vt:i4>176</vt:i4>
      </vt:variant>
      <vt:variant>
        <vt:i4>0</vt:i4>
      </vt:variant>
      <vt:variant>
        <vt:i4>5</vt:i4>
      </vt:variant>
      <vt:variant>
        <vt:lpwstr/>
      </vt:variant>
      <vt:variant>
        <vt:lpwstr>_Toc229473689</vt:lpwstr>
      </vt:variant>
      <vt:variant>
        <vt:i4>1703994</vt:i4>
      </vt:variant>
      <vt:variant>
        <vt:i4>170</vt:i4>
      </vt:variant>
      <vt:variant>
        <vt:i4>0</vt:i4>
      </vt:variant>
      <vt:variant>
        <vt:i4>5</vt:i4>
      </vt:variant>
      <vt:variant>
        <vt:lpwstr/>
      </vt:variant>
      <vt:variant>
        <vt:lpwstr>_Toc229473688</vt:lpwstr>
      </vt:variant>
      <vt:variant>
        <vt:i4>1703994</vt:i4>
      </vt:variant>
      <vt:variant>
        <vt:i4>164</vt:i4>
      </vt:variant>
      <vt:variant>
        <vt:i4>0</vt:i4>
      </vt:variant>
      <vt:variant>
        <vt:i4>5</vt:i4>
      </vt:variant>
      <vt:variant>
        <vt:lpwstr/>
      </vt:variant>
      <vt:variant>
        <vt:lpwstr>_Toc229473687</vt:lpwstr>
      </vt:variant>
      <vt:variant>
        <vt:i4>1703994</vt:i4>
      </vt:variant>
      <vt:variant>
        <vt:i4>158</vt:i4>
      </vt:variant>
      <vt:variant>
        <vt:i4>0</vt:i4>
      </vt:variant>
      <vt:variant>
        <vt:i4>5</vt:i4>
      </vt:variant>
      <vt:variant>
        <vt:lpwstr/>
      </vt:variant>
      <vt:variant>
        <vt:lpwstr>_Toc229473686</vt:lpwstr>
      </vt:variant>
      <vt:variant>
        <vt:i4>1703994</vt:i4>
      </vt:variant>
      <vt:variant>
        <vt:i4>152</vt:i4>
      </vt:variant>
      <vt:variant>
        <vt:i4>0</vt:i4>
      </vt:variant>
      <vt:variant>
        <vt:i4>5</vt:i4>
      </vt:variant>
      <vt:variant>
        <vt:lpwstr/>
      </vt:variant>
      <vt:variant>
        <vt:lpwstr>_Toc229473685</vt:lpwstr>
      </vt:variant>
      <vt:variant>
        <vt:i4>1703994</vt:i4>
      </vt:variant>
      <vt:variant>
        <vt:i4>146</vt:i4>
      </vt:variant>
      <vt:variant>
        <vt:i4>0</vt:i4>
      </vt:variant>
      <vt:variant>
        <vt:i4>5</vt:i4>
      </vt:variant>
      <vt:variant>
        <vt:lpwstr/>
      </vt:variant>
      <vt:variant>
        <vt:lpwstr>_Toc229473684</vt:lpwstr>
      </vt:variant>
      <vt:variant>
        <vt:i4>1703994</vt:i4>
      </vt:variant>
      <vt:variant>
        <vt:i4>140</vt:i4>
      </vt:variant>
      <vt:variant>
        <vt:i4>0</vt:i4>
      </vt:variant>
      <vt:variant>
        <vt:i4>5</vt:i4>
      </vt:variant>
      <vt:variant>
        <vt:lpwstr/>
      </vt:variant>
      <vt:variant>
        <vt:lpwstr>_Toc229473683</vt:lpwstr>
      </vt:variant>
      <vt:variant>
        <vt:i4>1703994</vt:i4>
      </vt:variant>
      <vt:variant>
        <vt:i4>134</vt:i4>
      </vt:variant>
      <vt:variant>
        <vt:i4>0</vt:i4>
      </vt:variant>
      <vt:variant>
        <vt:i4>5</vt:i4>
      </vt:variant>
      <vt:variant>
        <vt:lpwstr/>
      </vt:variant>
      <vt:variant>
        <vt:lpwstr>_Toc229473682</vt:lpwstr>
      </vt:variant>
      <vt:variant>
        <vt:i4>1703994</vt:i4>
      </vt:variant>
      <vt:variant>
        <vt:i4>128</vt:i4>
      </vt:variant>
      <vt:variant>
        <vt:i4>0</vt:i4>
      </vt:variant>
      <vt:variant>
        <vt:i4>5</vt:i4>
      </vt:variant>
      <vt:variant>
        <vt:lpwstr/>
      </vt:variant>
      <vt:variant>
        <vt:lpwstr>_Toc229473681</vt:lpwstr>
      </vt:variant>
      <vt:variant>
        <vt:i4>1703994</vt:i4>
      </vt:variant>
      <vt:variant>
        <vt:i4>122</vt:i4>
      </vt:variant>
      <vt:variant>
        <vt:i4>0</vt:i4>
      </vt:variant>
      <vt:variant>
        <vt:i4>5</vt:i4>
      </vt:variant>
      <vt:variant>
        <vt:lpwstr/>
      </vt:variant>
      <vt:variant>
        <vt:lpwstr>_Toc229473680</vt:lpwstr>
      </vt:variant>
      <vt:variant>
        <vt:i4>1376314</vt:i4>
      </vt:variant>
      <vt:variant>
        <vt:i4>116</vt:i4>
      </vt:variant>
      <vt:variant>
        <vt:i4>0</vt:i4>
      </vt:variant>
      <vt:variant>
        <vt:i4>5</vt:i4>
      </vt:variant>
      <vt:variant>
        <vt:lpwstr/>
      </vt:variant>
      <vt:variant>
        <vt:lpwstr>_Toc229473679</vt:lpwstr>
      </vt:variant>
      <vt:variant>
        <vt:i4>1376314</vt:i4>
      </vt:variant>
      <vt:variant>
        <vt:i4>110</vt:i4>
      </vt:variant>
      <vt:variant>
        <vt:i4>0</vt:i4>
      </vt:variant>
      <vt:variant>
        <vt:i4>5</vt:i4>
      </vt:variant>
      <vt:variant>
        <vt:lpwstr/>
      </vt:variant>
      <vt:variant>
        <vt:lpwstr>_Toc229473678</vt:lpwstr>
      </vt:variant>
      <vt:variant>
        <vt:i4>1376314</vt:i4>
      </vt:variant>
      <vt:variant>
        <vt:i4>104</vt:i4>
      </vt:variant>
      <vt:variant>
        <vt:i4>0</vt:i4>
      </vt:variant>
      <vt:variant>
        <vt:i4>5</vt:i4>
      </vt:variant>
      <vt:variant>
        <vt:lpwstr/>
      </vt:variant>
      <vt:variant>
        <vt:lpwstr>_Toc229473677</vt:lpwstr>
      </vt:variant>
      <vt:variant>
        <vt:i4>1376314</vt:i4>
      </vt:variant>
      <vt:variant>
        <vt:i4>98</vt:i4>
      </vt:variant>
      <vt:variant>
        <vt:i4>0</vt:i4>
      </vt:variant>
      <vt:variant>
        <vt:i4>5</vt:i4>
      </vt:variant>
      <vt:variant>
        <vt:lpwstr/>
      </vt:variant>
      <vt:variant>
        <vt:lpwstr>_Toc229473676</vt:lpwstr>
      </vt:variant>
      <vt:variant>
        <vt:i4>1376314</vt:i4>
      </vt:variant>
      <vt:variant>
        <vt:i4>92</vt:i4>
      </vt:variant>
      <vt:variant>
        <vt:i4>0</vt:i4>
      </vt:variant>
      <vt:variant>
        <vt:i4>5</vt:i4>
      </vt:variant>
      <vt:variant>
        <vt:lpwstr/>
      </vt:variant>
      <vt:variant>
        <vt:lpwstr>_Toc229473675</vt:lpwstr>
      </vt:variant>
      <vt:variant>
        <vt:i4>1376314</vt:i4>
      </vt:variant>
      <vt:variant>
        <vt:i4>86</vt:i4>
      </vt:variant>
      <vt:variant>
        <vt:i4>0</vt:i4>
      </vt:variant>
      <vt:variant>
        <vt:i4>5</vt:i4>
      </vt:variant>
      <vt:variant>
        <vt:lpwstr/>
      </vt:variant>
      <vt:variant>
        <vt:lpwstr>_Toc229473674</vt:lpwstr>
      </vt:variant>
      <vt:variant>
        <vt:i4>1376314</vt:i4>
      </vt:variant>
      <vt:variant>
        <vt:i4>80</vt:i4>
      </vt:variant>
      <vt:variant>
        <vt:i4>0</vt:i4>
      </vt:variant>
      <vt:variant>
        <vt:i4>5</vt:i4>
      </vt:variant>
      <vt:variant>
        <vt:lpwstr/>
      </vt:variant>
      <vt:variant>
        <vt:lpwstr>_Toc229473673</vt:lpwstr>
      </vt:variant>
      <vt:variant>
        <vt:i4>1376314</vt:i4>
      </vt:variant>
      <vt:variant>
        <vt:i4>74</vt:i4>
      </vt:variant>
      <vt:variant>
        <vt:i4>0</vt:i4>
      </vt:variant>
      <vt:variant>
        <vt:i4>5</vt:i4>
      </vt:variant>
      <vt:variant>
        <vt:lpwstr/>
      </vt:variant>
      <vt:variant>
        <vt:lpwstr>_Toc229473672</vt:lpwstr>
      </vt:variant>
      <vt:variant>
        <vt:i4>1376314</vt:i4>
      </vt:variant>
      <vt:variant>
        <vt:i4>68</vt:i4>
      </vt:variant>
      <vt:variant>
        <vt:i4>0</vt:i4>
      </vt:variant>
      <vt:variant>
        <vt:i4>5</vt:i4>
      </vt:variant>
      <vt:variant>
        <vt:lpwstr/>
      </vt:variant>
      <vt:variant>
        <vt:lpwstr>_Toc229473671</vt:lpwstr>
      </vt:variant>
      <vt:variant>
        <vt:i4>1376314</vt:i4>
      </vt:variant>
      <vt:variant>
        <vt:i4>62</vt:i4>
      </vt:variant>
      <vt:variant>
        <vt:i4>0</vt:i4>
      </vt:variant>
      <vt:variant>
        <vt:i4>5</vt:i4>
      </vt:variant>
      <vt:variant>
        <vt:lpwstr/>
      </vt:variant>
      <vt:variant>
        <vt:lpwstr>_Toc229473670</vt:lpwstr>
      </vt:variant>
      <vt:variant>
        <vt:i4>1310778</vt:i4>
      </vt:variant>
      <vt:variant>
        <vt:i4>56</vt:i4>
      </vt:variant>
      <vt:variant>
        <vt:i4>0</vt:i4>
      </vt:variant>
      <vt:variant>
        <vt:i4>5</vt:i4>
      </vt:variant>
      <vt:variant>
        <vt:lpwstr/>
      </vt:variant>
      <vt:variant>
        <vt:lpwstr>_Toc229473669</vt:lpwstr>
      </vt:variant>
      <vt:variant>
        <vt:i4>1310778</vt:i4>
      </vt:variant>
      <vt:variant>
        <vt:i4>50</vt:i4>
      </vt:variant>
      <vt:variant>
        <vt:i4>0</vt:i4>
      </vt:variant>
      <vt:variant>
        <vt:i4>5</vt:i4>
      </vt:variant>
      <vt:variant>
        <vt:lpwstr/>
      </vt:variant>
      <vt:variant>
        <vt:lpwstr>_Toc229473668</vt:lpwstr>
      </vt:variant>
      <vt:variant>
        <vt:i4>1310778</vt:i4>
      </vt:variant>
      <vt:variant>
        <vt:i4>44</vt:i4>
      </vt:variant>
      <vt:variant>
        <vt:i4>0</vt:i4>
      </vt:variant>
      <vt:variant>
        <vt:i4>5</vt:i4>
      </vt:variant>
      <vt:variant>
        <vt:lpwstr/>
      </vt:variant>
      <vt:variant>
        <vt:lpwstr>_Toc229473667</vt:lpwstr>
      </vt:variant>
      <vt:variant>
        <vt:i4>1310778</vt:i4>
      </vt:variant>
      <vt:variant>
        <vt:i4>38</vt:i4>
      </vt:variant>
      <vt:variant>
        <vt:i4>0</vt:i4>
      </vt:variant>
      <vt:variant>
        <vt:i4>5</vt:i4>
      </vt:variant>
      <vt:variant>
        <vt:lpwstr/>
      </vt:variant>
      <vt:variant>
        <vt:lpwstr>_Toc229473666</vt:lpwstr>
      </vt:variant>
      <vt:variant>
        <vt:i4>1310778</vt:i4>
      </vt:variant>
      <vt:variant>
        <vt:i4>32</vt:i4>
      </vt:variant>
      <vt:variant>
        <vt:i4>0</vt:i4>
      </vt:variant>
      <vt:variant>
        <vt:i4>5</vt:i4>
      </vt:variant>
      <vt:variant>
        <vt:lpwstr/>
      </vt:variant>
      <vt:variant>
        <vt:lpwstr>_Toc229473665</vt:lpwstr>
      </vt:variant>
      <vt:variant>
        <vt:i4>1310778</vt:i4>
      </vt:variant>
      <vt:variant>
        <vt:i4>26</vt:i4>
      </vt:variant>
      <vt:variant>
        <vt:i4>0</vt:i4>
      </vt:variant>
      <vt:variant>
        <vt:i4>5</vt:i4>
      </vt:variant>
      <vt:variant>
        <vt:lpwstr/>
      </vt:variant>
      <vt:variant>
        <vt:lpwstr>_Toc229473664</vt:lpwstr>
      </vt:variant>
      <vt:variant>
        <vt:i4>1310778</vt:i4>
      </vt:variant>
      <vt:variant>
        <vt:i4>20</vt:i4>
      </vt:variant>
      <vt:variant>
        <vt:i4>0</vt:i4>
      </vt:variant>
      <vt:variant>
        <vt:i4>5</vt:i4>
      </vt:variant>
      <vt:variant>
        <vt:lpwstr/>
      </vt:variant>
      <vt:variant>
        <vt:lpwstr>_Toc229473663</vt:lpwstr>
      </vt:variant>
      <vt:variant>
        <vt:i4>1310778</vt:i4>
      </vt:variant>
      <vt:variant>
        <vt:i4>14</vt:i4>
      </vt:variant>
      <vt:variant>
        <vt:i4>0</vt:i4>
      </vt:variant>
      <vt:variant>
        <vt:i4>5</vt:i4>
      </vt:variant>
      <vt:variant>
        <vt:lpwstr/>
      </vt:variant>
      <vt:variant>
        <vt:lpwstr>_Toc229473662</vt:lpwstr>
      </vt:variant>
      <vt:variant>
        <vt:i4>1310778</vt:i4>
      </vt:variant>
      <vt:variant>
        <vt:i4>8</vt:i4>
      </vt:variant>
      <vt:variant>
        <vt:i4>0</vt:i4>
      </vt:variant>
      <vt:variant>
        <vt:i4>5</vt:i4>
      </vt:variant>
      <vt:variant>
        <vt:lpwstr/>
      </vt:variant>
      <vt:variant>
        <vt:lpwstr>_Toc229473661</vt:lpwstr>
      </vt:variant>
      <vt:variant>
        <vt:i4>1310778</vt:i4>
      </vt:variant>
      <vt:variant>
        <vt:i4>2</vt:i4>
      </vt:variant>
      <vt:variant>
        <vt:i4>0</vt:i4>
      </vt:variant>
      <vt:variant>
        <vt:i4>5</vt:i4>
      </vt:variant>
      <vt:variant>
        <vt:lpwstr/>
      </vt:variant>
      <vt:variant>
        <vt:lpwstr>_Toc229473660</vt:lpwstr>
      </vt:variant>
      <vt:variant>
        <vt:i4>3473441</vt:i4>
      </vt:variant>
      <vt:variant>
        <vt:i4>39</vt:i4>
      </vt:variant>
      <vt:variant>
        <vt:i4>0</vt:i4>
      </vt:variant>
      <vt:variant>
        <vt:i4>5</vt:i4>
      </vt:variant>
      <vt:variant>
        <vt:lpwstr>https://docs.un.org/es/a/res/60/147</vt:lpwstr>
      </vt:variant>
      <vt:variant>
        <vt:lpwstr/>
      </vt:variant>
      <vt:variant>
        <vt:i4>3735609</vt:i4>
      </vt:variant>
      <vt:variant>
        <vt:i4>36</vt:i4>
      </vt:variant>
      <vt:variant>
        <vt:i4>0</vt:i4>
      </vt:variant>
      <vt:variant>
        <vt:i4>5</vt:i4>
      </vt:variant>
      <vt:variant>
        <vt:lpwstr>https://docs.un.org/es/A/HRC/48/60</vt:lpwstr>
      </vt:variant>
      <vt:variant>
        <vt:lpwstr/>
      </vt:variant>
      <vt:variant>
        <vt:i4>3735605</vt:i4>
      </vt:variant>
      <vt:variant>
        <vt:i4>33</vt:i4>
      </vt:variant>
      <vt:variant>
        <vt:i4>0</vt:i4>
      </vt:variant>
      <vt:variant>
        <vt:i4>5</vt:i4>
      </vt:variant>
      <vt:variant>
        <vt:lpwstr>https://docs.un.org/es/A/HRC/27/56</vt:lpwstr>
      </vt:variant>
      <vt:variant>
        <vt:lpwstr/>
      </vt:variant>
      <vt:variant>
        <vt:i4>5046344</vt:i4>
      </vt:variant>
      <vt:variant>
        <vt:i4>30</vt:i4>
      </vt:variant>
      <vt:variant>
        <vt:i4>0</vt:i4>
      </vt:variant>
      <vt:variant>
        <vt:i4>5</vt:i4>
      </vt:variant>
      <vt:variant>
        <vt:lpwstr>https://docs.un.org/es/E/CN.4/2005/102/Add.1</vt:lpwstr>
      </vt:variant>
      <vt:variant>
        <vt:lpwstr/>
      </vt:variant>
      <vt:variant>
        <vt:i4>1507356</vt:i4>
      </vt:variant>
      <vt:variant>
        <vt:i4>27</vt:i4>
      </vt:variant>
      <vt:variant>
        <vt:i4>0</vt:i4>
      </vt:variant>
      <vt:variant>
        <vt:i4>5</vt:i4>
      </vt:variant>
      <vt:variant>
        <vt:lpwstr>https://scholarship.law.cornell.edu/clr/vol100/iss5/2</vt:lpwstr>
      </vt:variant>
      <vt:variant>
        <vt:lpwstr/>
      </vt:variant>
      <vt:variant>
        <vt:i4>5242947</vt:i4>
      </vt:variant>
      <vt:variant>
        <vt:i4>24</vt:i4>
      </vt:variant>
      <vt:variant>
        <vt:i4>0</vt:i4>
      </vt:variant>
      <vt:variant>
        <vt:i4>5</vt:i4>
      </vt:variant>
      <vt:variant>
        <vt:lpwstr>https://www.jstor.org/stable/41179084</vt:lpwstr>
      </vt:variant>
      <vt:variant>
        <vt:lpwstr/>
      </vt:variant>
      <vt:variant>
        <vt:i4>2687074</vt:i4>
      </vt:variant>
      <vt:variant>
        <vt:i4>21</vt:i4>
      </vt:variant>
      <vt:variant>
        <vt:i4>0</vt:i4>
      </vt:variant>
      <vt:variant>
        <vt:i4>5</vt:i4>
      </vt:variant>
      <vt:variant>
        <vt:lpwstr>https://doi.org/10.1093/9780198909293.003.0014</vt:lpwstr>
      </vt:variant>
      <vt:variant>
        <vt:lpwstr/>
      </vt:variant>
      <vt:variant>
        <vt:i4>524345</vt:i4>
      </vt:variant>
      <vt:variant>
        <vt:i4>18</vt:i4>
      </vt:variant>
      <vt:variant>
        <vt:i4>0</vt:i4>
      </vt:variant>
      <vt:variant>
        <vt:i4>5</vt:i4>
      </vt:variant>
      <vt:variant>
        <vt:lpwstr>https://biblioteca.cejamericas.org/bitstream/handle/2015/570/Paige_arthur.pdf</vt:lpwstr>
      </vt:variant>
      <vt:variant>
        <vt:lpwstr/>
      </vt:variant>
      <vt:variant>
        <vt:i4>3932214</vt:i4>
      </vt:variant>
      <vt:variant>
        <vt:i4>15</vt:i4>
      </vt:variant>
      <vt:variant>
        <vt:i4>0</vt:i4>
      </vt:variant>
      <vt:variant>
        <vt:i4>5</vt:i4>
      </vt:variant>
      <vt:variant>
        <vt:lpwstr>https://docs.un.org/es/A/HRC/45/45</vt:lpwstr>
      </vt:variant>
      <vt:variant>
        <vt:lpwstr/>
      </vt:variant>
      <vt:variant>
        <vt:i4>3735602</vt:i4>
      </vt:variant>
      <vt:variant>
        <vt:i4>12</vt:i4>
      </vt:variant>
      <vt:variant>
        <vt:i4>0</vt:i4>
      </vt:variant>
      <vt:variant>
        <vt:i4>5</vt:i4>
      </vt:variant>
      <vt:variant>
        <vt:lpwstr>https://docs.un.org/es/A/HRC/21/46</vt:lpwstr>
      </vt:variant>
      <vt:variant>
        <vt:lpwstr/>
      </vt:variant>
      <vt:variant>
        <vt:i4>5505112</vt:i4>
      </vt:variant>
      <vt:variant>
        <vt:i4>9</vt:i4>
      </vt:variant>
      <vt:variant>
        <vt:i4>0</vt:i4>
      </vt:variant>
      <vt:variant>
        <vt:i4>5</vt:i4>
      </vt:variant>
      <vt:variant>
        <vt:lpwstr>https://www.comisiondelaverdad.co/el-informe-final-en-cifras</vt:lpwstr>
      </vt:variant>
      <vt:variant>
        <vt:lpwstr/>
      </vt:variant>
      <vt:variant>
        <vt:i4>2818129</vt:i4>
      </vt:variant>
      <vt:variant>
        <vt:i4>6</vt:i4>
      </vt:variant>
      <vt:variant>
        <vt:i4>0</vt:i4>
      </vt:variant>
      <vt:variant>
        <vt:i4>5</vt:i4>
      </vt:variant>
      <vt:variant>
        <vt:lpwstr>https://www.cancilleria.gov.co/sites/default/files/Fotos2016/12.11_1.2016nuevoacuerdofinal.pdf</vt:lpwstr>
      </vt:variant>
      <vt:variant>
        <vt:lpwstr/>
      </vt:variant>
      <vt:variant>
        <vt:i4>4391033</vt:i4>
      </vt:variant>
      <vt:variant>
        <vt:i4>3</vt:i4>
      </vt:variant>
      <vt:variant>
        <vt:i4>0</vt:i4>
      </vt:variant>
      <vt:variant>
        <vt:i4>5</vt:i4>
      </vt:variant>
      <vt:variant>
        <vt:lpwstr>https://www.youtube.com/watch?v=a9hq_cgPrd0&amp;t=18s</vt:lpwstr>
      </vt:variant>
      <vt:variant>
        <vt:lpwstr/>
      </vt:variant>
      <vt:variant>
        <vt:i4>4259920</vt:i4>
      </vt:variant>
      <vt:variant>
        <vt:i4>0</vt:i4>
      </vt:variant>
      <vt:variant>
        <vt:i4>0</vt:i4>
      </vt:variant>
      <vt:variant>
        <vt:i4>5</vt:i4>
      </vt:variant>
      <vt:variant>
        <vt:lpwstr>https://siicor.corteconstitucional.gov.co/controldeprocesos/archivo.php?id=127577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Fonseca Abril</dc:creator>
  <cp:keywords/>
  <dc:description/>
  <cp:lastModifiedBy>wilmancc</cp:lastModifiedBy>
  <cp:revision>2</cp:revision>
  <dcterms:created xsi:type="dcterms:W3CDTF">2026-08-19T15:45:00Z</dcterms:created>
  <dcterms:modified xsi:type="dcterms:W3CDTF">2026-08-19T15:45:00Z</dcterms:modified>
</cp:coreProperties>
</file>