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A0F" w:rsidRPr="00113298" w:rsidRDefault="00BD2B8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13298">
        <w:rPr>
          <w:rFonts w:ascii="Times New Roman" w:hAnsi="Times New Roman" w:cs="Times New Roman"/>
          <w:sz w:val="28"/>
          <w:szCs w:val="24"/>
        </w:rPr>
        <w:t xml:space="preserve"> </w:t>
      </w:r>
    </w:p>
    <w:p w:rsidR="00C20A0F" w:rsidRPr="00113298" w:rsidRDefault="00C20A0F">
      <w:pPr>
        <w:widowControl w:val="0"/>
        <w:autoSpaceDE w:val="0"/>
        <w:autoSpaceDN w:val="0"/>
        <w:adjustRightInd w:val="0"/>
        <w:spacing w:after="0" w:line="240" w:lineRule="auto"/>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center"/>
        <w:rPr>
          <w:rFonts w:ascii="Times New Roman" w:hAnsi="Times New Roman" w:cs="Times New Roman"/>
          <w:b/>
          <w:bCs/>
          <w:sz w:val="28"/>
          <w:szCs w:val="28"/>
        </w:rPr>
      </w:pPr>
      <w:r w:rsidRPr="00113298">
        <w:rPr>
          <w:rFonts w:ascii="Times New Roman" w:hAnsi="Times New Roman" w:cs="Times New Roman"/>
          <w:b/>
          <w:bCs/>
          <w:sz w:val="28"/>
          <w:szCs w:val="28"/>
        </w:rPr>
        <w:t xml:space="preserve">TEMAS-SUBTEMAS </w:t>
      </w:r>
    </w:p>
    <w:p w:rsidR="00C20A0F" w:rsidRPr="00113298" w:rsidRDefault="00C20A0F">
      <w:pPr>
        <w:widowControl w:val="0"/>
        <w:autoSpaceDE w:val="0"/>
        <w:autoSpaceDN w:val="0"/>
        <w:adjustRightInd w:val="0"/>
        <w:spacing w:after="0" w:line="240" w:lineRule="auto"/>
        <w:jc w:val="center"/>
        <w:rPr>
          <w:rFonts w:ascii="Times New Roman" w:hAnsi="Times New Roman" w:cs="Times New Roman"/>
          <w:b/>
          <w:bCs/>
          <w:sz w:val="28"/>
          <w:szCs w:val="28"/>
        </w:rPr>
      </w:pPr>
    </w:p>
    <w:p w:rsidR="00C20A0F" w:rsidRPr="00113298" w:rsidRDefault="00BD2B84">
      <w:pPr>
        <w:widowControl w:val="0"/>
        <w:autoSpaceDE w:val="0"/>
        <w:autoSpaceDN w:val="0"/>
        <w:adjustRightInd w:val="0"/>
        <w:spacing w:after="0" w:line="240" w:lineRule="auto"/>
        <w:jc w:val="center"/>
        <w:rPr>
          <w:rFonts w:ascii="Times New Roman" w:hAnsi="Times New Roman" w:cs="Times New Roman"/>
          <w:sz w:val="28"/>
          <w:szCs w:val="28"/>
        </w:rPr>
      </w:pPr>
      <w:r w:rsidRPr="00113298">
        <w:rPr>
          <w:rFonts w:ascii="Times New Roman" w:hAnsi="Times New Roman" w:cs="Times New Roman"/>
          <w:b/>
          <w:bCs/>
          <w:sz w:val="28"/>
          <w:szCs w:val="28"/>
        </w:rPr>
        <w:t xml:space="preserve">Sentencia C-074/26 </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b/>
          <w:bCs/>
          <w:sz w:val="28"/>
          <w:szCs w:val="28"/>
        </w:rPr>
        <w:t>INHIBICION DE LA CORTE CONSTITUCIONAL EN DEMANDA DE INCONSTITUCIONALIDAD POR OMISION LEGISLATIVA RELATIVA</w:t>
      </w:r>
      <w:r w:rsidRPr="00113298">
        <w:rPr>
          <w:rFonts w:ascii="Times New Roman" w:hAnsi="Times New Roman" w:cs="Times New Roman"/>
          <w:sz w:val="28"/>
          <w:szCs w:val="28"/>
        </w:rPr>
        <w:t>-Cargo desconoce alcance y contexto de la norma</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i/>
          <w:iCs/>
          <w:sz w:val="28"/>
          <w:szCs w:val="28"/>
        </w:rPr>
        <w:t>(...) la Sala advierte que la demandante incumplió la carga mínima de estructurar un cargo a partir de una interpretación razonable y jurídicamente sostenible de las normas acusadas. En particular, omitió aplicar criterios de interpretación sistemática e integradora, indispensables cuando se trata de disposiciones que, como en este caso, remiten expresamente a estándares del Derecho Internacional Humanitario. Por el contrario, el planteamiento de inconstitucionalidad parte de ignorar el contenido y alcance del artículo 135 del Código Penal, el cual establece que la noción de “persona protegida” debe entenderse conforme al Derecho Internacional Humanitario. Esta remisión no es meramente formal, sino que implica la incorporación de un conjunto de normas y principios que amplían el ámbito de protección más allá de una enumeración literal.</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b/>
          <w:bCs/>
          <w:sz w:val="28"/>
          <w:szCs w:val="28"/>
        </w:rPr>
        <w:t>DEMANDA DE INCONSTITUCIONALIDAD POR OMISION LEGISLATIVA RELATIVA</w:t>
      </w:r>
      <w:r w:rsidRPr="00113298">
        <w:rPr>
          <w:rFonts w:ascii="Times New Roman" w:hAnsi="Times New Roman" w:cs="Times New Roman"/>
          <w:sz w:val="28"/>
          <w:szCs w:val="28"/>
        </w:rPr>
        <w:t>-Incumplimiento de carga argumentativa</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i/>
          <w:iCs/>
          <w:sz w:val="28"/>
          <w:szCs w:val="28"/>
        </w:rPr>
        <w:t>(...) la argumentación ofrecida por la demandante incumple con la carga estricta y reforzada que debe ser acreditada en los cargos por omisión legislativa. En especial y, como consecuencia de las falencias identificadas, la accionante no logró probar que las normas acusadas excluyan de sus consecuencias jurídicas aquellos casos que, por ser asimilables, tenían que estar contenidos en el texto normativo.</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b/>
          <w:bCs/>
          <w:sz w:val="28"/>
          <w:szCs w:val="28"/>
        </w:rPr>
        <w:t>DEMANDA DE INCONSTITUCIONALIDAD POR OMISION LEGISLATIVA RELATIVA</w:t>
      </w:r>
      <w:r w:rsidRPr="00113298">
        <w:rPr>
          <w:rFonts w:ascii="Times New Roman" w:hAnsi="Times New Roman" w:cs="Times New Roman"/>
          <w:sz w:val="28"/>
          <w:szCs w:val="28"/>
        </w:rPr>
        <w:t xml:space="preserve">-Impone al demandante una mayor carga argumentativa </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b/>
          <w:bCs/>
          <w:sz w:val="28"/>
          <w:szCs w:val="28"/>
        </w:rPr>
        <w:t>DEMANDA DE INCONSTITUCIONALIDAD POR OMISION LEGISLATIVA RELATIVA</w:t>
      </w:r>
      <w:r w:rsidRPr="00113298">
        <w:rPr>
          <w:rFonts w:ascii="Times New Roman" w:hAnsi="Times New Roman" w:cs="Times New Roman"/>
          <w:sz w:val="28"/>
          <w:szCs w:val="28"/>
        </w:rPr>
        <w:t>-Requisitos</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BD2B84">
      <w:pPr>
        <w:widowControl w:val="0"/>
        <w:autoSpaceDE w:val="0"/>
        <w:autoSpaceDN w:val="0"/>
        <w:adjustRightInd w:val="0"/>
        <w:spacing w:after="0" w:line="240" w:lineRule="auto"/>
        <w:jc w:val="both"/>
        <w:rPr>
          <w:rFonts w:ascii="Times New Roman" w:hAnsi="Times New Roman" w:cs="Times New Roman"/>
          <w:sz w:val="28"/>
          <w:szCs w:val="28"/>
        </w:rPr>
      </w:pPr>
      <w:r w:rsidRPr="00113298">
        <w:rPr>
          <w:rFonts w:ascii="Times New Roman" w:hAnsi="Times New Roman" w:cs="Times New Roman"/>
          <w:i/>
          <w:iCs/>
          <w:sz w:val="28"/>
          <w:szCs w:val="28"/>
        </w:rPr>
        <w:t>(...) debe acreditar: (i) la identificación precisa de la norma respecto de la cual se predica la omisión; (ii) que dicha disposición excluya de sus efectos jurídicos supuestos equivalentes o comparables, o que omite la inclusión de un elemento o contenido normativo específico; (iii) la existencia de un deber concreto, impuesto directamente por la Constitución al legislador, que ha sido incumplido; (iv) que la exclusión de tales supuestos o elementos carezca de una justificación razonable; y (v) que, en los casos de exclusión, esa falta objetiva genere una desigualdad en perjuicio de quienes no quedaron cobijados por las consecuencias de la norma.</w:t>
      </w:r>
    </w:p>
    <w:p w:rsidR="00C20A0F" w:rsidRPr="00113298" w:rsidRDefault="00C20A0F">
      <w:pPr>
        <w:widowControl w:val="0"/>
        <w:autoSpaceDE w:val="0"/>
        <w:autoSpaceDN w:val="0"/>
        <w:adjustRightInd w:val="0"/>
        <w:spacing w:after="0" w:line="240" w:lineRule="auto"/>
        <w:jc w:val="both"/>
        <w:rPr>
          <w:rFonts w:ascii="Times New Roman" w:hAnsi="Times New Roman" w:cs="Times New Roman"/>
          <w:sz w:val="28"/>
          <w:szCs w:val="28"/>
        </w:rPr>
      </w:pPr>
    </w:p>
    <w:p w:rsidR="00C20A0F" w:rsidRPr="00113298" w:rsidRDefault="00113298">
      <w:pPr>
        <w:widowControl w:val="0"/>
        <w:autoSpaceDE w:val="0"/>
        <w:autoSpaceDN w:val="0"/>
        <w:adjustRightInd w:val="0"/>
        <w:spacing w:after="0" w:line="240" w:lineRule="auto"/>
        <w:jc w:val="both"/>
        <w:rPr>
          <w:rFonts w:ascii="Times New Roman" w:hAnsi="Times New Roman" w:cs="Times New Roman"/>
          <w:sz w:val="28"/>
        </w:rPr>
      </w:pPr>
      <w:r w:rsidRPr="00113298">
        <w:rPr>
          <w:rFonts w:ascii="Times New Roman" w:hAnsi="Times New Roman" w:cs="Times New Roman"/>
          <w:sz w:val="28"/>
          <w:szCs w:val="28"/>
        </w:rPr>
        <w:pict>
          <v:rect id="_x0000_i1025" style="width:0;height:1.5pt" o:hralign="center" o:hrstd="t" o:hr="t" fillcolor="#a0a0a0" stroked="f"/>
        </w:pict>
      </w:r>
    </w:p>
    <w:p w:rsidR="004F5A58" w:rsidRPr="00113298" w:rsidRDefault="00113298" w:rsidP="00FB39DD">
      <w:pPr>
        <w:pStyle w:val="Encabezado"/>
        <w:jc w:val="center"/>
        <w:rPr>
          <w:rFonts w:ascii="Times New Roman" w:hAnsi="Times New Roman" w:cs="Times New Roman"/>
          <w:b/>
          <w:bCs/>
          <w:sz w:val="28"/>
          <w:szCs w:val="28"/>
          <w:lang w:val="es-ES"/>
        </w:rPr>
      </w:pPr>
      <w:r w:rsidRPr="00113298">
        <w:rPr>
          <w:rFonts w:ascii="Times New Roman" w:hAnsi="Times New Roman" w:cs="Times New Roman"/>
          <w:b/>
          <w:bCs/>
          <w:sz w:val="28"/>
          <w:szCs w:val="28"/>
          <w:lang w:val="es-ES"/>
        </w:rPr>
        <w:t>REPÚBLICA DE COLOMBIA</w:t>
      </w:r>
    </w:p>
    <w:p w:rsidR="00974AE1" w:rsidRPr="00113298" w:rsidRDefault="00113298" w:rsidP="00974AE1">
      <w:pPr>
        <w:pStyle w:val="Encabezado"/>
        <w:jc w:val="center"/>
        <w:rPr>
          <w:rFonts w:ascii="Times New Roman" w:hAnsi="Times New Roman" w:cs="Times New Roman"/>
          <w:b/>
          <w:bCs/>
          <w:sz w:val="28"/>
          <w:szCs w:val="28"/>
          <w:lang w:val="es-ES"/>
        </w:rPr>
      </w:pPr>
      <w:r w:rsidRPr="00113298">
        <w:rPr>
          <w:rFonts w:ascii="Times New Roman" w:hAnsi="Times New Roman" w:cs="Times New Roman"/>
          <w:b/>
          <w:bCs/>
          <w:noProof/>
          <w:sz w:val="28"/>
          <w:szCs w:val="28"/>
          <w:lang w:val="es-ES"/>
        </w:rPr>
        <w:drawing>
          <wp:inline distT="0" distB="0" distL="0" distR="0" wp14:anchorId="1873504F" wp14:editId="7EE56242">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4F5A58" w:rsidRPr="00113298" w:rsidRDefault="00113298" w:rsidP="00FB39DD">
      <w:pPr>
        <w:pStyle w:val="Encabezado"/>
        <w:jc w:val="center"/>
        <w:rPr>
          <w:rFonts w:ascii="Times New Roman" w:hAnsi="Times New Roman" w:cs="Times New Roman"/>
          <w:b/>
          <w:bCs/>
          <w:sz w:val="28"/>
          <w:szCs w:val="28"/>
          <w:lang w:val="es-ES"/>
        </w:rPr>
      </w:pPr>
      <w:r w:rsidRPr="00113298">
        <w:rPr>
          <w:rFonts w:ascii="Times New Roman" w:hAnsi="Times New Roman" w:cs="Times New Roman"/>
          <w:b/>
          <w:bCs/>
          <w:sz w:val="28"/>
          <w:szCs w:val="28"/>
          <w:lang w:val="es-ES"/>
        </w:rPr>
        <w:t>CORTE CONSTITUCIONAL</w:t>
      </w:r>
    </w:p>
    <w:p w:rsidR="004F5A58" w:rsidRPr="00113298" w:rsidRDefault="00113298" w:rsidP="00FB39DD">
      <w:pPr>
        <w:pStyle w:val="Encabezado"/>
        <w:tabs>
          <w:tab w:val="clear" w:pos="8504"/>
        </w:tabs>
        <w:jc w:val="center"/>
        <w:rPr>
          <w:rFonts w:ascii="Times New Roman" w:hAnsi="Times New Roman" w:cs="Times New Roman"/>
          <w:b/>
          <w:bCs/>
          <w:sz w:val="28"/>
          <w:szCs w:val="28"/>
          <w:lang w:val="es-ES"/>
        </w:rPr>
      </w:pPr>
      <w:r w:rsidRPr="00113298">
        <w:rPr>
          <w:rFonts w:ascii="Times New Roman" w:hAnsi="Times New Roman" w:cs="Times New Roman"/>
          <w:b/>
          <w:bCs/>
          <w:sz w:val="28"/>
          <w:szCs w:val="28"/>
          <w:lang w:val="es-ES"/>
        </w:rPr>
        <w:t>Sala Plena</w:t>
      </w:r>
    </w:p>
    <w:p w:rsidR="004F5A58" w:rsidRPr="00113298" w:rsidRDefault="00113298" w:rsidP="00FB39DD">
      <w:pPr>
        <w:kinsoku w:val="0"/>
        <w:overflowPunct w:val="0"/>
        <w:autoSpaceDE w:val="0"/>
        <w:autoSpaceDN w:val="0"/>
        <w:adjustRightInd w:val="0"/>
        <w:spacing w:line="309" w:lineRule="exact"/>
        <w:ind w:right="49"/>
        <w:jc w:val="center"/>
        <w:outlineLvl w:val="0"/>
        <w:rPr>
          <w:rFonts w:ascii="Times New Roman" w:hAnsi="Times New Roman" w:cs="Times New Roman"/>
          <w:b/>
          <w:bCs/>
          <w:sz w:val="28"/>
          <w:szCs w:val="28"/>
          <w:lang w:val="es-ES"/>
        </w:rPr>
      </w:pPr>
    </w:p>
    <w:p w:rsidR="00930F15" w:rsidRPr="00113298" w:rsidRDefault="00113298" w:rsidP="00930F15">
      <w:pPr>
        <w:jc w:val="center"/>
        <w:rPr>
          <w:rFonts w:ascii="Times New Roman" w:eastAsiaTheme="minorHAnsi" w:hAnsi="Times New Roman" w:cs="Times New Roman"/>
          <w:b/>
          <w:bCs/>
          <w:color w:val="000000" w:themeColor="text1"/>
          <w:sz w:val="28"/>
          <w:szCs w:val="28"/>
          <w:lang w:val="es-ES_tradnl"/>
        </w:rPr>
      </w:pPr>
      <w:r w:rsidRPr="00113298">
        <w:rPr>
          <w:rFonts w:ascii="Times New Roman" w:eastAsiaTheme="minorHAnsi" w:hAnsi="Times New Roman" w:cs="Times New Roman"/>
          <w:b/>
          <w:bCs/>
          <w:color w:val="000000" w:themeColor="text1"/>
          <w:sz w:val="28"/>
          <w:szCs w:val="28"/>
          <w:lang w:val="es-ES_tradnl"/>
        </w:rPr>
        <w:t>SENTENCIA C-074 DE 2026</w:t>
      </w:r>
    </w:p>
    <w:p w:rsidR="00930F15" w:rsidRPr="00113298" w:rsidRDefault="00113298" w:rsidP="00930F15">
      <w:pPr>
        <w:kinsoku w:val="0"/>
        <w:overflowPunct w:val="0"/>
        <w:autoSpaceDE w:val="0"/>
        <w:autoSpaceDN w:val="0"/>
        <w:adjustRightInd w:val="0"/>
        <w:ind w:left="3827" w:right="51"/>
        <w:jc w:val="both"/>
        <w:rPr>
          <w:rFonts w:ascii="Times New Roman" w:eastAsiaTheme="minorHAnsi" w:hAnsi="Times New Roman" w:cs="Times New Roman"/>
          <w:b/>
          <w:bCs/>
          <w:color w:val="000000" w:themeColor="text1"/>
          <w:sz w:val="28"/>
          <w:szCs w:val="28"/>
          <w:lang w:val="es-ES_tradnl"/>
        </w:rPr>
      </w:pP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color w:val="000000" w:themeColor="text1"/>
          <w:sz w:val="28"/>
          <w:szCs w:val="28"/>
          <w:lang w:val="es-ES_tradnl"/>
        </w:rPr>
      </w:pPr>
      <w:r w:rsidRPr="00113298">
        <w:rPr>
          <w:rFonts w:ascii="Times New Roman" w:eastAsiaTheme="minorHAnsi" w:hAnsi="Times New Roman" w:cs="Times New Roman"/>
          <w:b/>
          <w:bCs/>
          <w:color w:val="000000" w:themeColor="text1"/>
          <w:sz w:val="28"/>
          <w:szCs w:val="28"/>
          <w:lang w:val="es-ES_tradnl"/>
        </w:rPr>
        <w:t xml:space="preserve">Referencia: </w:t>
      </w:r>
      <w:r w:rsidRPr="00113298">
        <w:rPr>
          <w:rFonts w:ascii="Times New Roman" w:eastAsiaTheme="minorHAnsi" w:hAnsi="Times New Roman" w:cs="Times New Roman"/>
          <w:color w:val="000000" w:themeColor="text1"/>
          <w:sz w:val="28"/>
          <w:szCs w:val="28"/>
          <w:lang w:val="es-ES_tradnl"/>
        </w:rPr>
        <w:t>D-16.296</w:t>
      </w: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color w:val="000000" w:themeColor="text1"/>
          <w:sz w:val="28"/>
          <w:szCs w:val="28"/>
          <w:lang w:val="es-ES_tradnl"/>
        </w:rPr>
      </w:pPr>
    </w:p>
    <w:p w:rsidR="00930F15" w:rsidRPr="00113298" w:rsidRDefault="00113298" w:rsidP="00930F15">
      <w:pPr>
        <w:kinsoku w:val="0"/>
        <w:overflowPunct w:val="0"/>
        <w:autoSpaceDE w:val="0"/>
        <w:autoSpaceDN w:val="0"/>
        <w:adjustRightInd w:val="0"/>
        <w:ind w:left="3969" w:right="51"/>
        <w:jc w:val="both"/>
        <w:rPr>
          <w:rFonts w:ascii="Times New Roman" w:eastAsia="Times New Roman" w:hAnsi="Times New Roman" w:cs="Times New Roman"/>
          <w:bCs/>
          <w:sz w:val="28"/>
          <w:szCs w:val="28"/>
          <w:lang w:val="es-ES"/>
        </w:rPr>
      </w:pPr>
      <w:r w:rsidRPr="00113298">
        <w:rPr>
          <w:rFonts w:ascii="Times New Roman" w:eastAsiaTheme="minorHAnsi" w:hAnsi="Times New Roman" w:cs="Times New Roman"/>
          <w:b/>
          <w:bCs/>
          <w:color w:val="000000" w:themeColor="text1"/>
          <w:sz w:val="28"/>
          <w:szCs w:val="28"/>
          <w:lang w:val="es-ES"/>
        </w:rPr>
        <w:t xml:space="preserve">Asunto: </w:t>
      </w:r>
      <w:r w:rsidRPr="00113298">
        <w:rPr>
          <w:rFonts w:ascii="Times New Roman" w:eastAsia="Times New Roman" w:hAnsi="Times New Roman" w:cs="Times New Roman"/>
          <w:bCs/>
          <w:sz w:val="28"/>
          <w:szCs w:val="28"/>
          <w:lang w:val="es-ES"/>
        </w:rPr>
        <w:t>Acción pública de inconstitucionalidad en contra de las expresiones: “y las demás normas del presente título”, contenida en el parágrafo del artículo 135, y “persona protegida”, contenida en los artículos 138, 138 A, 139, 139 A, 139 B, 139 C, 139 D, 139 E,</w:t>
      </w:r>
      <w:r w:rsidRPr="00113298">
        <w:rPr>
          <w:rFonts w:ascii="Times New Roman" w:eastAsia="Times New Roman" w:hAnsi="Times New Roman" w:cs="Times New Roman"/>
          <w:bCs/>
          <w:sz w:val="28"/>
          <w:szCs w:val="28"/>
          <w:lang w:val="es-ES"/>
        </w:rPr>
        <w:t xml:space="preserve"> 141, 141 A y 141 B de la Ley 599 de 2000, “Por la cual se expide el Código Penal”.</w:t>
      </w: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color w:val="000000" w:themeColor="text1"/>
          <w:sz w:val="28"/>
          <w:szCs w:val="28"/>
          <w:lang w:val="es-ES"/>
        </w:rPr>
      </w:pP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color w:val="000000" w:themeColor="text1"/>
          <w:sz w:val="28"/>
          <w:szCs w:val="28"/>
          <w:lang w:val="es-ES"/>
        </w:rPr>
      </w:pPr>
      <w:r w:rsidRPr="00113298">
        <w:rPr>
          <w:rFonts w:ascii="Times New Roman" w:eastAsiaTheme="minorHAnsi" w:hAnsi="Times New Roman" w:cs="Times New Roman"/>
          <w:b/>
          <w:bCs/>
          <w:color w:val="000000" w:themeColor="text1"/>
          <w:sz w:val="28"/>
          <w:szCs w:val="28"/>
          <w:lang w:val="es-ES"/>
        </w:rPr>
        <w:t xml:space="preserve">Demandante: </w:t>
      </w:r>
      <w:r w:rsidRPr="00113298">
        <w:rPr>
          <w:rFonts w:ascii="Times New Roman" w:eastAsiaTheme="minorHAnsi" w:hAnsi="Times New Roman" w:cs="Times New Roman"/>
          <w:color w:val="000000" w:themeColor="text1"/>
          <w:sz w:val="28"/>
          <w:szCs w:val="28"/>
          <w:lang w:val="es-ES"/>
        </w:rPr>
        <w:t>Natalia María Springer.</w:t>
      </w: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iCs/>
          <w:color w:val="000000" w:themeColor="text1"/>
          <w:sz w:val="28"/>
          <w:szCs w:val="28"/>
          <w:lang w:val="es-ES"/>
        </w:rPr>
      </w:pPr>
    </w:p>
    <w:p w:rsidR="00930F15" w:rsidRPr="00113298" w:rsidRDefault="00113298" w:rsidP="00930F15">
      <w:pPr>
        <w:kinsoku w:val="0"/>
        <w:overflowPunct w:val="0"/>
        <w:autoSpaceDE w:val="0"/>
        <w:autoSpaceDN w:val="0"/>
        <w:adjustRightInd w:val="0"/>
        <w:ind w:left="3969" w:right="51"/>
        <w:jc w:val="both"/>
        <w:rPr>
          <w:rFonts w:ascii="Times New Roman" w:eastAsiaTheme="minorHAnsi" w:hAnsi="Times New Roman" w:cs="Times New Roman"/>
          <w:iCs/>
          <w:color w:val="000000" w:themeColor="text1"/>
          <w:sz w:val="28"/>
          <w:szCs w:val="28"/>
          <w:lang w:val="es-ES_tradnl"/>
        </w:rPr>
      </w:pPr>
      <w:r w:rsidRPr="00113298">
        <w:rPr>
          <w:rFonts w:ascii="Times New Roman" w:eastAsiaTheme="minorHAnsi" w:hAnsi="Times New Roman" w:cs="Times New Roman"/>
          <w:b/>
          <w:bCs/>
          <w:iCs/>
          <w:color w:val="000000" w:themeColor="text1"/>
          <w:sz w:val="28"/>
          <w:szCs w:val="28"/>
          <w:lang w:val="es-ES_tradnl"/>
        </w:rPr>
        <w:t>Magistrada ponente</w:t>
      </w:r>
      <w:r w:rsidRPr="00113298">
        <w:rPr>
          <w:rFonts w:ascii="Times New Roman" w:eastAsiaTheme="minorHAnsi" w:hAnsi="Times New Roman" w:cs="Times New Roman"/>
          <w:iCs/>
          <w:color w:val="000000" w:themeColor="text1"/>
          <w:sz w:val="28"/>
          <w:szCs w:val="28"/>
          <w:lang w:val="es-ES_tradnl"/>
        </w:rPr>
        <w:t xml:space="preserve">: </w:t>
      </w:r>
      <w:r w:rsidRPr="00113298">
        <w:rPr>
          <w:rFonts w:ascii="Times New Roman" w:eastAsiaTheme="minorHAnsi" w:hAnsi="Times New Roman" w:cs="Times New Roman"/>
          <w:color w:val="000000" w:themeColor="text1"/>
          <w:sz w:val="28"/>
          <w:szCs w:val="28"/>
          <w:lang w:val="es-ES_tradnl"/>
        </w:rPr>
        <w:t>Paola Andrea Meneses Mosquera</w:t>
      </w:r>
    </w:p>
    <w:p w:rsidR="00930F15" w:rsidRPr="00113298" w:rsidRDefault="00113298" w:rsidP="00930F15">
      <w:pPr>
        <w:jc w:val="both"/>
        <w:rPr>
          <w:rFonts w:ascii="Times New Roman" w:eastAsiaTheme="minorHAnsi" w:hAnsi="Times New Roman" w:cs="Times New Roman"/>
          <w:color w:val="000000" w:themeColor="text1"/>
          <w:sz w:val="28"/>
          <w:szCs w:val="28"/>
          <w:lang w:val="es-ES_tradnl"/>
        </w:rPr>
      </w:pPr>
    </w:p>
    <w:p w:rsidR="00930F15" w:rsidRPr="00113298" w:rsidRDefault="00113298" w:rsidP="00930F15">
      <w:pPr>
        <w:jc w:val="both"/>
        <w:rPr>
          <w:rFonts w:ascii="Times New Roman" w:eastAsiaTheme="minorHAnsi" w:hAnsi="Times New Roman" w:cs="Times New Roman"/>
          <w:color w:val="000000" w:themeColor="text1"/>
          <w:sz w:val="28"/>
          <w:szCs w:val="28"/>
          <w:lang w:val="es-ES_tradnl" w:eastAsia="es-ES"/>
        </w:rPr>
      </w:pPr>
      <w:r w:rsidRPr="00113298">
        <w:rPr>
          <w:rFonts w:ascii="Times New Roman" w:eastAsiaTheme="minorHAnsi" w:hAnsi="Times New Roman" w:cs="Times New Roman"/>
          <w:color w:val="000000" w:themeColor="text1"/>
          <w:sz w:val="28"/>
          <w:szCs w:val="28"/>
        </w:rPr>
        <w:t>Bogotá</w:t>
      </w:r>
      <w:r w:rsidRPr="00113298">
        <w:rPr>
          <w:rFonts w:ascii="Times New Roman" w:eastAsiaTheme="minorHAnsi" w:hAnsi="Times New Roman" w:cs="Times New Roman"/>
          <w:color w:val="000000" w:themeColor="text1"/>
          <w:sz w:val="28"/>
          <w:szCs w:val="28"/>
          <w:lang w:val="es-ES_tradnl" w:eastAsia="es-ES"/>
        </w:rPr>
        <w:t>, D. C., nueve (09) de abril de dos mil veintiséis (2026)</w:t>
      </w: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eastAsia="es-ES"/>
        </w:rPr>
      </w:pPr>
    </w:p>
    <w:p w:rsidR="00930F15" w:rsidRPr="00113298" w:rsidRDefault="00113298" w:rsidP="00930F15">
      <w:pPr>
        <w:jc w:val="both"/>
        <w:rPr>
          <w:rFonts w:ascii="Times New Roman" w:eastAsiaTheme="minorHAnsi" w:hAnsi="Times New Roman" w:cs="Times New Roman"/>
          <w:iCs/>
          <w:sz w:val="28"/>
          <w:szCs w:val="28"/>
          <w:lang w:val="es-ES_tradnl"/>
        </w:rPr>
      </w:pPr>
      <w:r w:rsidRPr="00113298">
        <w:rPr>
          <w:rFonts w:ascii="Times New Roman" w:eastAsiaTheme="minorHAnsi" w:hAnsi="Times New Roman" w:cs="Times New Roman"/>
          <w:iCs/>
          <w:sz w:val="28"/>
          <w:szCs w:val="28"/>
          <w:lang w:val="es-ES_tradnl"/>
        </w:rPr>
        <w:t xml:space="preserve">La Sala Plena de la Corte Constitucional en ejercicio de sus competencias constitucionales y de conformidad con los requisitos y trámites previstos por el Decreto 2067 de 1991, profiere la siguiente: </w:t>
      </w: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rPr>
      </w:pPr>
    </w:p>
    <w:p w:rsidR="00930F15" w:rsidRPr="00113298" w:rsidRDefault="00113298" w:rsidP="00930F15">
      <w:pPr>
        <w:jc w:val="center"/>
        <w:rPr>
          <w:rFonts w:ascii="Times New Roman" w:eastAsiaTheme="minorHAnsi" w:hAnsi="Times New Roman" w:cs="Times New Roman"/>
          <w:b/>
          <w:bCs/>
          <w:iCs/>
          <w:color w:val="000000" w:themeColor="text1"/>
          <w:sz w:val="28"/>
          <w:szCs w:val="28"/>
          <w:lang w:val="es-ES_tradnl"/>
        </w:rPr>
      </w:pPr>
      <w:r w:rsidRPr="00113298">
        <w:rPr>
          <w:rFonts w:ascii="Times New Roman" w:eastAsiaTheme="minorHAnsi" w:hAnsi="Times New Roman" w:cs="Times New Roman"/>
          <w:b/>
          <w:bCs/>
          <w:iCs/>
          <w:color w:val="000000" w:themeColor="text1"/>
          <w:sz w:val="28"/>
          <w:szCs w:val="28"/>
          <w:lang w:val="es-ES_tradnl"/>
        </w:rPr>
        <w:t>SENTENCIA</w:t>
      </w:r>
    </w:p>
    <w:p w:rsidR="00930F15" w:rsidRPr="00113298" w:rsidRDefault="00113298" w:rsidP="00930F15">
      <w:pPr>
        <w:rPr>
          <w:rFonts w:ascii="Times New Roman" w:eastAsiaTheme="minorHAnsi" w:hAnsi="Times New Roman" w:cs="Times New Roman"/>
          <w:b/>
          <w:bCs/>
          <w:iCs/>
          <w:color w:val="000000" w:themeColor="text1"/>
          <w:sz w:val="28"/>
          <w:szCs w:val="28"/>
          <w:lang w:val="es-ES_tradnl"/>
        </w:rPr>
      </w:pPr>
    </w:p>
    <w:p w:rsidR="00930F15" w:rsidRPr="00113298" w:rsidRDefault="00113298" w:rsidP="00930F15">
      <w:pPr>
        <w:rPr>
          <w:rFonts w:ascii="Times New Roman" w:eastAsiaTheme="minorHAnsi" w:hAnsi="Times New Roman" w:cs="Times New Roman"/>
          <w:b/>
          <w:bCs/>
          <w:iCs/>
          <w:color w:val="000000" w:themeColor="text1"/>
          <w:sz w:val="28"/>
          <w:szCs w:val="28"/>
          <w:lang w:val="es-ES_tradnl"/>
        </w:rPr>
      </w:pPr>
      <w:r w:rsidRPr="00113298">
        <w:rPr>
          <w:rFonts w:ascii="Times New Roman" w:eastAsiaTheme="minorHAnsi" w:hAnsi="Times New Roman" w:cs="Times New Roman"/>
          <w:b/>
          <w:bCs/>
          <w:iCs/>
          <w:color w:val="000000" w:themeColor="text1"/>
          <w:sz w:val="28"/>
          <w:szCs w:val="28"/>
          <w:lang w:val="es-ES_tradnl"/>
        </w:rPr>
        <w:t>Síntesis de la decisión</w:t>
      </w:r>
    </w:p>
    <w:p w:rsidR="00930F15" w:rsidRPr="00113298" w:rsidRDefault="00113298" w:rsidP="00930F15">
      <w:pPr>
        <w:jc w:val="both"/>
        <w:rPr>
          <w:rFonts w:ascii="Times New Roman" w:eastAsiaTheme="minorHAnsi" w:hAnsi="Times New Roman" w:cs="Times New Roman"/>
          <w:b/>
          <w:bCs/>
          <w:iCs/>
          <w:color w:val="000000" w:themeColor="text1"/>
          <w:sz w:val="28"/>
          <w:szCs w:val="28"/>
          <w:lang w:val="es-ES_tradnl"/>
        </w:rPr>
      </w:pP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rPr>
      </w:pPr>
      <w:r w:rsidRPr="00113298">
        <w:rPr>
          <w:rFonts w:ascii="Times New Roman" w:eastAsiaTheme="minorHAnsi" w:hAnsi="Times New Roman" w:cs="Times New Roman"/>
          <w:i/>
          <w:color w:val="000000" w:themeColor="text1"/>
          <w:sz w:val="28"/>
          <w:szCs w:val="28"/>
          <w:lang w:val="es-ES_tradnl"/>
        </w:rPr>
        <w:t xml:space="preserve">Normas demandadas. </w:t>
      </w:r>
      <w:r w:rsidRPr="00113298">
        <w:rPr>
          <w:rFonts w:ascii="Times New Roman" w:eastAsiaTheme="minorHAnsi" w:hAnsi="Times New Roman" w:cs="Times New Roman"/>
          <w:iCs/>
          <w:color w:val="000000" w:themeColor="text1"/>
          <w:sz w:val="28"/>
          <w:szCs w:val="28"/>
          <w:lang w:val="es-ES_tradnl"/>
        </w:rPr>
        <w:t xml:space="preserve">La Sala Plena estudió una demanda en contra de </w:t>
      </w:r>
      <w:r w:rsidRPr="00113298">
        <w:rPr>
          <w:rFonts w:ascii="Times New Roman" w:eastAsia="Times New Roman" w:hAnsi="Times New Roman" w:cs="Times New Roman"/>
          <w:bCs/>
          <w:sz w:val="28"/>
          <w:szCs w:val="28"/>
          <w:lang w:val="es-ES"/>
        </w:rPr>
        <w:t>las expresiones: “y las demás normas del presente título”, contenida en el parágrafo del artículo 135, y “persona protegida”, contenida en los artículos 138, 138 A, 139, 139 A, 139 B, 139 C,</w:t>
      </w:r>
      <w:r w:rsidRPr="00113298">
        <w:rPr>
          <w:rFonts w:ascii="Times New Roman" w:eastAsia="Times New Roman" w:hAnsi="Times New Roman" w:cs="Times New Roman"/>
          <w:bCs/>
          <w:sz w:val="28"/>
          <w:szCs w:val="28"/>
          <w:lang w:val="es-ES"/>
        </w:rPr>
        <w:t xml:space="preserve"> 139 D, 139 E, 141, 141 A y 141 B de la Ley 599 de 2000, mediante los cuales se tipificaron varios delitos relacionados con violencia sexual y reproductiva y se incluyeron en el título II del Código Penal, denominado “delitos contra personas y bienes prote</w:t>
      </w:r>
      <w:r w:rsidRPr="00113298">
        <w:rPr>
          <w:rFonts w:ascii="Times New Roman" w:eastAsia="Times New Roman" w:hAnsi="Times New Roman" w:cs="Times New Roman"/>
          <w:bCs/>
          <w:sz w:val="28"/>
          <w:szCs w:val="28"/>
          <w:lang w:val="es-ES"/>
        </w:rPr>
        <w:t xml:space="preserve">gidos por el Derecho Internacional Humanitario”. </w:t>
      </w:r>
    </w:p>
    <w:p w:rsidR="00930F15" w:rsidRPr="00113298" w:rsidRDefault="00113298" w:rsidP="00930F15">
      <w:pPr>
        <w:jc w:val="both"/>
        <w:rPr>
          <w:rFonts w:ascii="Times New Roman" w:eastAsiaTheme="minorHAnsi" w:hAnsi="Times New Roman" w:cs="Times New Roman"/>
          <w:i/>
          <w:color w:val="000000" w:themeColor="text1"/>
          <w:sz w:val="28"/>
          <w:szCs w:val="28"/>
          <w:lang w:val="es-ES_tradnl"/>
        </w:rPr>
      </w:pP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rPr>
      </w:pPr>
      <w:r w:rsidRPr="00113298">
        <w:rPr>
          <w:rFonts w:ascii="Times New Roman" w:eastAsiaTheme="minorHAnsi" w:hAnsi="Times New Roman" w:cs="Times New Roman"/>
          <w:i/>
          <w:color w:val="000000" w:themeColor="text1"/>
          <w:sz w:val="28"/>
          <w:szCs w:val="28"/>
          <w:lang w:val="es-ES_tradnl"/>
        </w:rPr>
        <w:t xml:space="preserve">Demanda. </w:t>
      </w:r>
      <w:r w:rsidRPr="00113298">
        <w:rPr>
          <w:rFonts w:ascii="Times New Roman" w:eastAsiaTheme="minorHAnsi" w:hAnsi="Times New Roman" w:cs="Times New Roman"/>
          <w:iCs/>
          <w:color w:val="000000" w:themeColor="text1"/>
          <w:sz w:val="28"/>
          <w:szCs w:val="28"/>
          <w:lang w:val="es-ES_tradnl"/>
        </w:rPr>
        <w:t>El 4 de noviembre de 2024, la ciudadana Natalia María Springer presentó acción pública de inconstitucionalidad en contra de los artículos mencionados. A su juicio se configuró una omisión legislat</w:t>
      </w:r>
      <w:r w:rsidRPr="00113298">
        <w:rPr>
          <w:rFonts w:ascii="Times New Roman" w:eastAsiaTheme="minorHAnsi" w:hAnsi="Times New Roman" w:cs="Times New Roman"/>
          <w:iCs/>
          <w:color w:val="000000" w:themeColor="text1"/>
          <w:sz w:val="28"/>
          <w:szCs w:val="28"/>
          <w:lang w:val="es-ES_tradnl"/>
        </w:rPr>
        <w:t>iva relativa, la cual a su vez genera una contradicción del bloque de constitucionalidad, un trato desigual, innecesario, desproporcionado e injustificado y afectaciones a varios derechos fundamentales. Lo expuesto, porque exigir la calidad de “persona pro</w:t>
      </w:r>
      <w:r w:rsidRPr="00113298">
        <w:rPr>
          <w:rFonts w:ascii="Times New Roman" w:eastAsiaTheme="minorHAnsi" w:hAnsi="Times New Roman" w:cs="Times New Roman"/>
          <w:iCs/>
          <w:color w:val="000000" w:themeColor="text1"/>
          <w:sz w:val="28"/>
          <w:szCs w:val="28"/>
          <w:lang w:val="es-ES_tradnl"/>
        </w:rPr>
        <w:t>tegida” para las víctimas de violencias sexuales, introduce un requisito que no está previsto en el Estatuto de Roma y que genera una excepción a la prohibición absoluta de la esclavitud y</w:t>
      </w:r>
      <w:r w:rsidRPr="00113298">
        <w:rPr>
          <w:rFonts w:ascii="Times New Roman" w:eastAsiaTheme="minorHAnsi" w:hAnsi="Times New Roman" w:cs="Times New Roman"/>
          <w:iCs/>
          <w:color w:val="000000" w:themeColor="text1"/>
          <w:sz w:val="28"/>
          <w:szCs w:val="28"/>
          <w:lang w:val="es-ES_tradnl"/>
        </w:rPr>
        <w:t xml:space="preserve"> de</w:t>
      </w:r>
      <w:r w:rsidRPr="00113298">
        <w:rPr>
          <w:rFonts w:ascii="Times New Roman" w:eastAsiaTheme="minorHAnsi" w:hAnsi="Times New Roman" w:cs="Times New Roman"/>
          <w:iCs/>
          <w:color w:val="000000" w:themeColor="text1"/>
          <w:sz w:val="28"/>
          <w:szCs w:val="28"/>
          <w:lang w:val="es-ES_tradnl"/>
        </w:rPr>
        <w:t xml:space="preserve"> la servidumbre sexual y reduce el umbral de protección para combatientes intrafilas, sin justificación alguna. </w:t>
      </w:r>
    </w:p>
    <w:p w:rsidR="00930F15" w:rsidRPr="00113298" w:rsidRDefault="00113298" w:rsidP="00930F15">
      <w:pPr>
        <w:jc w:val="both"/>
        <w:rPr>
          <w:rFonts w:ascii="Times New Roman" w:eastAsiaTheme="minorHAnsi" w:hAnsi="Times New Roman" w:cs="Times New Roman"/>
          <w:i/>
          <w:color w:val="000000" w:themeColor="text1"/>
          <w:sz w:val="28"/>
          <w:szCs w:val="28"/>
          <w:lang w:val="es-ES_tradnl"/>
        </w:rPr>
      </w:pP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rPr>
      </w:pPr>
      <w:r w:rsidRPr="00113298">
        <w:rPr>
          <w:rFonts w:ascii="Times New Roman" w:eastAsiaTheme="minorHAnsi" w:hAnsi="Times New Roman" w:cs="Times New Roman"/>
          <w:i/>
          <w:color w:val="000000" w:themeColor="text1"/>
          <w:sz w:val="28"/>
          <w:szCs w:val="28"/>
          <w:lang w:val="es-ES_tradnl"/>
        </w:rPr>
        <w:t xml:space="preserve">Examen de la Corte. </w:t>
      </w:r>
      <w:r w:rsidRPr="00113298">
        <w:rPr>
          <w:rFonts w:ascii="Times New Roman" w:eastAsiaTheme="minorHAnsi" w:hAnsi="Times New Roman" w:cs="Times New Roman"/>
          <w:iCs/>
          <w:color w:val="000000" w:themeColor="text1"/>
          <w:sz w:val="28"/>
          <w:szCs w:val="28"/>
          <w:lang w:val="es-ES_tradnl"/>
        </w:rPr>
        <w:t>La Corte concluyó que la demanda carece de claridad, certeza, pertinencia y suficiencia. De igual forma, no cumple con los</w:t>
      </w:r>
      <w:r w:rsidRPr="00113298">
        <w:rPr>
          <w:rFonts w:ascii="Times New Roman" w:eastAsiaTheme="minorHAnsi" w:hAnsi="Times New Roman" w:cs="Times New Roman"/>
          <w:iCs/>
          <w:color w:val="000000" w:themeColor="text1"/>
          <w:sz w:val="28"/>
          <w:szCs w:val="28"/>
          <w:lang w:val="es-ES_tradnl"/>
        </w:rPr>
        <w:t xml:space="preserve"> requisitos específicos y reforzados que se les exigen a los cargos por omisión legislativa relativa. Lo anterior, porque </w:t>
      </w:r>
      <w:r w:rsidRPr="00113298">
        <w:rPr>
          <w:rFonts w:ascii="Times New Roman" w:eastAsiaTheme="minorHAnsi" w:hAnsi="Times New Roman" w:cs="Times New Roman"/>
          <w:i/>
          <w:color w:val="000000" w:themeColor="text1"/>
          <w:sz w:val="28"/>
          <w:szCs w:val="28"/>
          <w:lang w:val="es-ES_tradnl"/>
        </w:rPr>
        <w:t xml:space="preserve">(i) </w:t>
      </w:r>
      <w:r w:rsidRPr="00113298">
        <w:rPr>
          <w:rFonts w:ascii="Times New Roman" w:eastAsiaTheme="minorHAnsi" w:hAnsi="Times New Roman" w:cs="Times New Roman"/>
          <w:iCs/>
          <w:color w:val="000000" w:themeColor="text1"/>
          <w:sz w:val="28"/>
          <w:szCs w:val="28"/>
          <w:lang w:val="es-ES_tradnl"/>
        </w:rPr>
        <w:t xml:space="preserve">los argumentos expuestos entremezclan elementos pertenecientes a distintas líneas argumentativas, sin ser desarrolladas de manera </w:t>
      </w:r>
      <w:r w:rsidRPr="00113298">
        <w:rPr>
          <w:rFonts w:ascii="Times New Roman" w:eastAsiaTheme="minorHAnsi" w:hAnsi="Times New Roman" w:cs="Times New Roman"/>
          <w:iCs/>
          <w:color w:val="000000" w:themeColor="text1"/>
          <w:sz w:val="28"/>
          <w:szCs w:val="28"/>
          <w:lang w:val="es-ES_tradnl"/>
        </w:rPr>
        <w:t xml:space="preserve">completa y coherente; </w:t>
      </w:r>
      <w:r w:rsidRPr="00113298">
        <w:rPr>
          <w:rFonts w:ascii="Times New Roman" w:eastAsiaTheme="minorHAnsi" w:hAnsi="Times New Roman" w:cs="Times New Roman"/>
          <w:i/>
          <w:color w:val="000000" w:themeColor="text1"/>
          <w:sz w:val="28"/>
          <w:szCs w:val="28"/>
          <w:lang w:val="es-ES_tradnl"/>
        </w:rPr>
        <w:t xml:space="preserve">(ii) </w:t>
      </w:r>
      <w:r w:rsidRPr="00113298">
        <w:rPr>
          <w:rFonts w:ascii="Times New Roman" w:eastAsiaTheme="minorHAnsi" w:hAnsi="Times New Roman" w:cs="Times New Roman"/>
          <w:iCs/>
          <w:color w:val="000000" w:themeColor="text1"/>
          <w:sz w:val="28"/>
          <w:szCs w:val="28"/>
          <w:lang w:val="es-ES_tradnl"/>
        </w:rPr>
        <w:t>la actora no cumplió con la carga argumentativa de presentar una interpretación razonable de la disposición acusada y, además, sus alegatos partieron de una lectura aislada, incompleta y que no deriva del contenido normativo real</w:t>
      </w:r>
      <w:r w:rsidRPr="00113298">
        <w:rPr>
          <w:rFonts w:ascii="Times New Roman" w:eastAsiaTheme="minorHAnsi" w:hAnsi="Times New Roman" w:cs="Times New Roman"/>
          <w:iCs/>
          <w:color w:val="000000" w:themeColor="text1"/>
          <w:sz w:val="28"/>
          <w:szCs w:val="28"/>
          <w:lang w:val="es-ES_tradnl"/>
        </w:rPr>
        <w:t xml:space="preserve"> del parágrafo 135 del Código Penal; </w:t>
      </w:r>
      <w:r w:rsidRPr="00113298">
        <w:rPr>
          <w:rFonts w:ascii="Times New Roman" w:eastAsiaTheme="minorHAnsi" w:hAnsi="Times New Roman" w:cs="Times New Roman"/>
          <w:i/>
          <w:color w:val="000000" w:themeColor="text1"/>
          <w:sz w:val="28"/>
          <w:szCs w:val="28"/>
          <w:lang w:val="es-ES_tradnl"/>
        </w:rPr>
        <w:t xml:space="preserve">(iii) </w:t>
      </w:r>
      <w:r w:rsidRPr="00113298">
        <w:rPr>
          <w:rFonts w:ascii="Times New Roman" w:eastAsiaTheme="minorHAnsi" w:hAnsi="Times New Roman" w:cs="Times New Roman"/>
          <w:iCs/>
          <w:color w:val="000000" w:themeColor="text1"/>
          <w:sz w:val="28"/>
          <w:szCs w:val="28"/>
          <w:lang w:val="es-ES_tradnl"/>
        </w:rPr>
        <w:t xml:space="preserve">la demandante se fundamentó en consideraciones sobre la eventual aplicación práctica de la norma, las cuales no son aptas en el marco de un análisis de constitucionalidad en abstracto; </w:t>
      </w:r>
      <w:r w:rsidRPr="00113298">
        <w:rPr>
          <w:rFonts w:ascii="Times New Roman" w:eastAsiaTheme="minorHAnsi" w:hAnsi="Times New Roman" w:cs="Times New Roman"/>
          <w:i/>
          <w:color w:val="000000" w:themeColor="text1"/>
          <w:sz w:val="28"/>
          <w:szCs w:val="28"/>
          <w:lang w:val="es-ES_tradnl"/>
        </w:rPr>
        <w:t>(iv)</w:t>
      </w:r>
      <w:r w:rsidRPr="00113298">
        <w:rPr>
          <w:rFonts w:ascii="Times New Roman" w:eastAsiaTheme="minorHAnsi" w:hAnsi="Times New Roman" w:cs="Times New Roman"/>
          <w:iCs/>
          <w:color w:val="000000" w:themeColor="text1"/>
          <w:sz w:val="28"/>
          <w:szCs w:val="28"/>
          <w:lang w:val="es-ES_tradnl"/>
        </w:rPr>
        <w:t xml:space="preserve"> no se logró desvirtuar </w:t>
      </w:r>
      <w:r w:rsidRPr="00113298">
        <w:rPr>
          <w:rFonts w:ascii="Times New Roman" w:eastAsiaTheme="minorHAnsi" w:hAnsi="Times New Roman" w:cs="Times New Roman"/>
          <w:iCs/>
          <w:color w:val="000000" w:themeColor="text1"/>
          <w:sz w:val="28"/>
          <w:szCs w:val="28"/>
          <w:lang w:val="es-ES_tradnl"/>
        </w:rPr>
        <w:t xml:space="preserve">la presunción de </w:t>
      </w:r>
      <w:r w:rsidRPr="00113298">
        <w:rPr>
          <w:rFonts w:ascii="Times New Roman" w:eastAsiaTheme="minorHAnsi" w:hAnsi="Times New Roman" w:cs="Times New Roman"/>
          <w:bCs/>
          <w:iCs/>
          <w:color w:val="000000" w:themeColor="text1"/>
          <w:sz w:val="28"/>
          <w:szCs w:val="28"/>
          <w:lang w:val="es-ES"/>
        </w:rPr>
        <w:t xml:space="preserve">constitucionalidad que tienen las normas legales, de forma que se propicie un pronunciamiento de fondo por parte de esta Corporación y, </w:t>
      </w:r>
      <w:r w:rsidRPr="00113298">
        <w:rPr>
          <w:rFonts w:ascii="Times New Roman" w:eastAsiaTheme="minorHAnsi" w:hAnsi="Times New Roman" w:cs="Times New Roman"/>
          <w:bCs/>
          <w:i/>
          <w:color w:val="000000" w:themeColor="text1"/>
          <w:sz w:val="28"/>
          <w:szCs w:val="28"/>
          <w:lang w:val="es-ES"/>
        </w:rPr>
        <w:t xml:space="preserve">(v) </w:t>
      </w:r>
      <w:r w:rsidRPr="00113298">
        <w:rPr>
          <w:rFonts w:ascii="Times New Roman" w:eastAsiaTheme="minorHAnsi" w:hAnsi="Times New Roman" w:cs="Times New Roman"/>
          <w:bCs/>
          <w:iCs/>
          <w:color w:val="000000" w:themeColor="text1"/>
          <w:sz w:val="28"/>
          <w:szCs w:val="28"/>
          <w:lang w:val="es-ES"/>
        </w:rPr>
        <w:t xml:space="preserve">todas esas falencias impactaron negativamente el cumplimiento de las cargas reforzadas en relación </w:t>
      </w:r>
      <w:r w:rsidRPr="00113298">
        <w:rPr>
          <w:rFonts w:ascii="Times New Roman" w:eastAsiaTheme="minorHAnsi" w:hAnsi="Times New Roman" w:cs="Times New Roman"/>
          <w:bCs/>
          <w:iCs/>
          <w:color w:val="000000" w:themeColor="text1"/>
          <w:sz w:val="28"/>
          <w:szCs w:val="28"/>
          <w:lang w:val="es-ES"/>
        </w:rPr>
        <w:t xml:space="preserve">con los cargos por omisión legislativa relativa. </w:t>
      </w:r>
    </w:p>
    <w:p w:rsidR="00930F15" w:rsidRPr="00113298" w:rsidRDefault="00113298" w:rsidP="00930F15">
      <w:pPr>
        <w:jc w:val="both"/>
        <w:rPr>
          <w:rFonts w:ascii="Times New Roman" w:eastAsiaTheme="minorHAnsi" w:hAnsi="Times New Roman" w:cs="Times New Roman"/>
          <w:i/>
          <w:color w:val="000000" w:themeColor="text1"/>
          <w:sz w:val="28"/>
          <w:szCs w:val="28"/>
          <w:lang w:val="es-ES_tradnl"/>
        </w:rPr>
      </w:pPr>
    </w:p>
    <w:p w:rsidR="00930F15" w:rsidRPr="00113298" w:rsidRDefault="00113298" w:rsidP="00930F15">
      <w:pPr>
        <w:jc w:val="both"/>
        <w:rPr>
          <w:rFonts w:ascii="Times New Roman" w:eastAsiaTheme="minorHAnsi" w:hAnsi="Times New Roman" w:cs="Times New Roman"/>
          <w:iCs/>
          <w:color w:val="000000" w:themeColor="text1"/>
          <w:sz w:val="28"/>
          <w:szCs w:val="28"/>
          <w:lang w:val="es-ES_tradnl"/>
        </w:rPr>
      </w:pPr>
      <w:r w:rsidRPr="00113298">
        <w:rPr>
          <w:rFonts w:ascii="Times New Roman" w:eastAsiaTheme="minorHAnsi" w:hAnsi="Times New Roman" w:cs="Times New Roman"/>
          <w:i/>
          <w:color w:val="000000" w:themeColor="text1"/>
          <w:sz w:val="28"/>
          <w:szCs w:val="28"/>
          <w:lang w:val="es-ES_tradnl"/>
        </w:rPr>
        <w:t xml:space="preserve">Decisión. </w:t>
      </w:r>
      <w:r w:rsidRPr="00113298">
        <w:rPr>
          <w:rFonts w:ascii="Times New Roman" w:eastAsiaTheme="minorHAnsi" w:hAnsi="Times New Roman" w:cs="Times New Roman"/>
          <w:iCs/>
          <w:color w:val="000000" w:themeColor="text1"/>
          <w:sz w:val="28"/>
          <w:szCs w:val="28"/>
          <w:lang w:val="es-ES_tradnl"/>
        </w:rPr>
        <w:t xml:space="preserve">La Corte se declaró inhibida para pronunciarse de fondo sobre la constitucionalidad de </w:t>
      </w:r>
      <w:r w:rsidRPr="00113298">
        <w:rPr>
          <w:rFonts w:ascii="Times New Roman" w:eastAsia="Times New Roman" w:hAnsi="Times New Roman" w:cs="Times New Roman"/>
          <w:bCs/>
          <w:sz w:val="28"/>
          <w:szCs w:val="28"/>
          <w:lang w:val="es-ES"/>
        </w:rPr>
        <w:t>las expresiones: “y las demás normas del presente título”, contenida en el parágrafo del artículo 135, y “pe</w:t>
      </w:r>
      <w:r w:rsidRPr="00113298">
        <w:rPr>
          <w:rFonts w:ascii="Times New Roman" w:eastAsia="Times New Roman" w:hAnsi="Times New Roman" w:cs="Times New Roman"/>
          <w:bCs/>
          <w:sz w:val="28"/>
          <w:szCs w:val="28"/>
          <w:lang w:val="es-ES"/>
        </w:rPr>
        <w:t xml:space="preserve">rsona protegida”, contenida en los artículos 138, 138 A, 139, 139 A, 139 B, 139 C, 139 D, 139 E, 141, 141 A y 141 B de la Ley 599 de 2000, por ineptitud sustantiva de la demanda. </w:t>
      </w:r>
    </w:p>
    <w:p w:rsidR="00930F15" w:rsidRPr="00113298" w:rsidRDefault="00113298" w:rsidP="00930F15">
      <w:pPr>
        <w:rPr>
          <w:rFonts w:ascii="Times New Roman" w:eastAsiaTheme="minorHAnsi" w:hAnsi="Times New Roman" w:cs="Times New Roman"/>
          <w:color w:val="000000" w:themeColor="text1"/>
          <w:sz w:val="28"/>
          <w:lang w:val="es-ES_tradnl"/>
        </w:rPr>
      </w:pPr>
    </w:p>
    <w:p w:rsidR="00930F15" w:rsidRPr="00113298" w:rsidRDefault="00113298" w:rsidP="00930F15">
      <w:pPr>
        <w:numPr>
          <w:ilvl w:val="0"/>
          <w:numId w:val="1"/>
        </w:numPr>
        <w:pBdr>
          <w:left w:val="none" w:sz="0" w:space="31" w:color="000000"/>
        </w:pBdr>
        <w:autoSpaceDE w:val="0"/>
        <w:autoSpaceDN w:val="0"/>
        <w:adjustRightInd w:val="0"/>
        <w:ind w:left="360" w:hanging="360"/>
        <w:outlineLvl w:val="0"/>
        <w:rPr>
          <w:rFonts w:ascii="Times New Roman" w:hAnsi="Times New Roman" w:cs="Times New Roman"/>
          <w:b/>
          <w:bCs/>
          <w:color w:val="000000" w:themeColor="text1"/>
          <w:sz w:val="28"/>
          <w:szCs w:val="28"/>
          <w:lang w:val="es-ES_tradnl"/>
        </w:rPr>
      </w:pPr>
      <w:bookmarkStart w:id="1" w:name="_Toc208183504"/>
      <w:r w:rsidRPr="00113298">
        <w:rPr>
          <w:rFonts w:ascii="Times New Roman" w:hAnsi="Times New Roman" w:cs="Times New Roman"/>
          <w:b/>
          <w:bCs/>
          <w:color w:val="000000" w:themeColor="text1"/>
          <w:sz w:val="28"/>
          <w:szCs w:val="28"/>
          <w:lang w:val="es-ES_tradnl"/>
        </w:rPr>
        <w:t>ANTECEDENTES</w:t>
      </w:r>
      <w:bookmarkEnd w:id="1"/>
    </w:p>
    <w:p w:rsidR="00930F15" w:rsidRPr="00113298" w:rsidRDefault="00113298" w:rsidP="00930F15">
      <w:pPr>
        <w:ind w:right="-8"/>
        <w:contextualSpacing/>
        <w:rPr>
          <w:rFonts w:ascii="Times New Roman" w:eastAsiaTheme="minorHAnsi" w:hAnsi="Times New Roman" w:cs="Times New Roman"/>
          <w:b/>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bookmarkStart w:id="2" w:name="_Toc208183505"/>
      <w:r w:rsidRPr="00113298">
        <w:rPr>
          <w:rFonts w:ascii="Times New Roman" w:hAnsi="Times New Roman" w:cs="Times New Roman"/>
          <w:b/>
          <w:bCs/>
          <w:color w:val="000000" w:themeColor="text1"/>
          <w:sz w:val="28"/>
          <w:szCs w:val="28"/>
          <w:lang w:val="es-ES_tradnl"/>
        </w:rPr>
        <w:t>Trámite procesal</w:t>
      </w:r>
      <w:bookmarkEnd w:id="2"/>
    </w:p>
    <w:p w:rsidR="00930F15" w:rsidRPr="00113298" w:rsidRDefault="00113298" w:rsidP="00930F15">
      <w:pPr>
        <w:ind w:right="-8"/>
        <w:contextualSpacing/>
        <w:rPr>
          <w:rFonts w:ascii="Times New Roman" w:eastAsiaTheme="minorHAnsi" w:hAnsi="Times New Roman" w:cs="Times New Roman"/>
          <w:b/>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Demanda. </w:t>
      </w:r>
      <w:r w:rsidRPr="00113298">
        <w:rPr>
          <w:rFonts w:ascii="Times New Roman" w:hAnsi="Times New Roman" w:cs="Times New Roman"/>
          <w:bCs/>
          <w:color w:val="000000" w:themeColor="text1"/>
          <w:sz w:val="28"/>
          <w:szCs w:val="28"/>
        </w:rPr>
        <w:t xml:space="preserve">El 4 de noviembre de 2024, la ciudadana Natalia María Springer demandó los artículos 135, </w:t>
      </w:r>
      <w:r w:rsidRPr="00113298">
        <w:rPr>
          <w:rFonts w:ascii="Times New Roman" w:hAnsi="Times New Roman" w:cs="Times New Roman"/>
          <w:color w:val="000000" w:themeColor="text1"/>
          <w:sz w:val="28"/>
          <w:szCs w:val="28"/>
          <w:lang w:val="es-ES_tradnl"/>
        </w:rPr>
        <w:t>138, 138 A, 139, 139 A, 139 B, 139 C, 139 D, 139 E, 141, 141 A y 141 B (parciales) de la Ley 599 de 2000. La demandante indicó que esas normas incurren en</w:t>
      </w:r>
      <w:r w:rsidRPr="00113298">
        <w:rPr>
          <w:rFonts w:ascii="Times New Roman" w:hAnsi="Times New Roman" w:cs="Times New Roman"/>
          <w:i/>
          <w:iCs/>
          <w:color w:val="000000" w:themeColor="text1"/>
          <w:sz w:val="28"/>
          <w:szCs w:val="28"/>
          <w:lang w:val="es-ES_tradnl"/>
        </w:rPr>
        <w:t xml:space="preserve"> </w:t>
      </w:r>
      <w:r w:rsidRPr="00113298">
        <w:rPr>
          <w:rFonts w:ascii="Times New Roman" w:hAnsi="Times New Roman" w:cs="Times New Roman"/>
          <w:color w:val="000000" w:themeColor="text1"/>
          <w:sz w:val="28"/>
          <w:szCs w:val="28"/>
          <w:lang w:val="es-ES_tradnl"/>
        </w:rPr>
        <w:t xml:space="preserve">una omisión legislativa relativa que genera un desconocimiento de los artículos 13, 17, 44 y 93 de la Constitución Política, así como de normas imperativas de </w:t>
      </w:r>
      <w:r w:rsidRPr="00113298">
        <w:rPr>
          <w:rFonts w:ascii="Times New Roman" w:hAnsi="Times New Roman" w:cs="Times New Roman"/>
          <w:i/>
          <w:iCs/>
          <w:color w:val="000000" w:themeColor="text1"/>
          <w:sz w:val="28"/>
          <w:szCs w:val="28"/>
          <w:lang w:val="es-ES_tradnl"/>
        </w:rPr>
        <w:t>ius cogens</w:t>
      </w:r>
      <w:r w:rsidRPr="00113298">
        <w:rPr>
          <w:rFonts w:ascii="Times New Roman" w:hAnsi="Times New Roman" w:cs="Times New Roman"/>
          <w:color w:val="000000" w:themeColor="text1"/>
          <w:sz w:val="28"/>
          <w:szCs w:val="28"/>
          <w:lang w:val="es-ES_tradnl"/>
        </w:rPr>
        <w:t>, entre las que resaltan, la prohibición absoluta de esclavitud en todas sus formas y l</w:t>
      </w:r>
      <w:r w:rsidRPr="00113298">
        <w:rPr>
          <w:rFonts w:ascii="Times New Roman" w:hAnsi="Times New Roman" w:cs="Times New Roman"/>
          <w:color w:val="000000" w:themeColor="text1"/>
          <w:sz w:val="28"/>
          <w:szCs w:val="28"/>
          <w:lang w:val="es-ES_tradnl"/>
        </w:rPr>
        <w:t xml:space="preserve">a prohibición absoluta de la violencia sexual. </w:t>
      </w:r>
    </w:p>
    <w:p w:rsidR="00930F15" w:rsidRPr="00113298" w:rsidRDefault="00113298" w:rsidP="00930F15">
      <w:pPr>
        <w:tabs>
          <w:tab w:val="left" w:pos="0"/>
          <w:tab w:val="left" w:pos="426"/>
        </w:tabs>
        <w:ind w:right="51"/>
        <w:contextualSpacing/>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Auto de admisión. </w:t>
      </w:r>
      <w:r w:rsidRPr="00113298">
        <w:rPr>
          <w:rFonts w:ascii="Times New Roman" w:hAnsi="Times New Roman" w:cs="Times New Roman"/>
          <w:bCs/>
          <w:color w:val="000000" w:themeColor="text1"/>
          <w:sz w:val="28"/>
          <w:szCs w:val="28"/>
        </w:rPr>
        <w:t xml:space="preserve">En auto del 4 de diciembre de 2024, el magistrado Jorge Enrique Ibáñez Najar </w:t>
      </w:r>
      <w:r w:rsidRPr="00113298">
        <w:rPr>
          <w:rFonts w:ascii="Times New Roman" w:hAnsi="Times New Roman" w:cs="Times New Roman"/>
          <w:bCs/>
          <w:i/>
          <w:iCs/>
          <w:color w:val="000000" w:themeColor="text1"/>
          <w:sz w:val="28"/>
          <w:szCs w:val="28"/>
        </w:rPr>
        <w:t>(i)</w:t>
      </w:r>
      <w:r w:rsidRPr="00113298">
        <w:rPr>
          <w:rFonts w:ascii="Times New Roman" w:hAnsi="Times New Roman" w:cs="Times New Roman"/>
          <w:bCs/>
          <w:color w:val="000000" w:themeColor="text1"/>
          <w:sz w:val="28"/>
          <w:szCs w:val="28"/>
        </w:rPr>
        <w:t xml:space="preserve"> admitió la demanda en contra de los artículos 135, </w:t>
      </w:r>
      <w:r w:rsidRPr="00113298">
        <w:rPr>
          <w:rFonts w:ascii="Times New Roman" w:hAnsi="Times New Roman" w:cs="Times New Roman"/>
          <w:color w:val="000000" w:themeColor="text1"/>
          <w:sz w:val="28"/>
          <w:szCs w:val="28"/>
          <w:lang w:val="es-ES_tradnl"/>
        </w:rPr>
        <w:t xml:space="preserve">138, 138 A, 139, 139 A, 139 B, 139 C, 139 D, 139 E, 141, </w:t>
      </w:r>
      <w:r w:rsidRPr="00113298">
        <w:rPr>
          <w:rFonts w:ascii="Times New Roman" w:hAnsi="Times New Roman" w:cs="Times New Roman"/>
          <w:color w:val="000000" w:themeColor="text1"/>
          <w:sz w:val="28"/>
          <w:szCs w:val="28"/>
          <w:lang w:val="es-ES_tradnl"/>
        </w:rPr>
        <w:t xml:space="preserve">141 A y 141 B (parciales) de la Ley 599 de 2000; </w:t>
      </w:r>
      <w:r w:rsidRPr="00113298">
        <w:rPr>
          <w:rFonts w:ascii="Times New Roman" w:hAnsi="Times New Roman" w:cs="Times New Roman"/>
          <w:i/>
          <w:iCs/>
          <w:color w:val="000000" w:themeColor="text1"/>
          <w:sz w:val="28"/>
          <w:szCs w:val="28"/>
          <w:lang w:val="es-ES_tradnl"/>
        </w:rPr>
        <w:t xml:space="preserve">(ii) </w:t>
      </w:r>
      <w:r w:rsidRPr="00113298">
        <w:rPr>
          <w:rFonts w:ascii="Times New Roman" w:hAnsi="Times New Roman" w:cs="Times New Roman"/>
          <w:color w:val="000000" w:themeColor="text1"/>
          <w:sz w:val="28"/>
          <w:szCs w:val="28"/>
          <w:lang w:val="es-ES_tradnl"/>
        </w:rPr>
        <w:t xml:space="preserve">fijó en lista el proceso; </w:t>
      </w:r>
      <w:r w:rsidRPr="00113298">
        <w:rPr>
          <w:rFonts w:ascii="Times New Roman" w:hAnsi="Times New Roman" w:cs="Times New Roman"/>
          <w:i/>
          <w:iCs/>
          <w:color w:val="000000" w:themeColor="text1"/>
          <w:sz w:val="28"/>
          <w:szCs w:val="28"/>
          <w:lang w:val="es-ES_tradnl"/>
        </w:rPr>
        <w:t xml:space="preserve">(iii) </w:t>
      </w:r>
      <w:r w:rsidRPr="00113298">
        <w:rPr>
          <w:rFonts w:ascii="Times New Roman" w:hAnsi="Times New Roman" w:cs="Times New Roman"/>
          <w:color w:val="000000" w:themeColor="text1"/>
          <w:sz w:val="28"/>
          <w:szCs w:val="28"/>
          <w:lang w:val="es-ES_tradnl"/>
        </w:rPr>
        <w:t xml:space="preserve">corrió traslado al procurador general de la Nación; </w:t>
      </w:r>
      <w:r w:rsidRPr="00113298">
        <w:rPr>
          <w:rFonts w:ascii="Times New Roman" w:hAnsi="Times New Roman" w:cs="Times New Roman"/>
          <w:i/>
          <w:iCs/>
          <w:color w:val="000000" w:themeColor="text1"/>
          <w:sz w:val="28"/>
          <w:szCs w:val="28"/>
          <w:lang w:val="es-ES_tradnl"/>
        </w:rPr>
        <w:t xml:space="preserve">(iv) </w:t>
      </w:r>
      <w:r w:rsidRPr="00113298">
        <w:rPr>
          <w:rFonts w:ascii="Times New Roman" w:hAnsi="Times New Roman" w:cs="Times New Roman"/>
          <w:color w:val="000000" w:themeColor="text1"/>
          <w:sz w:val="28"/>
          <w:szCs w:val="28"/>
          <w:lang w:val="es-ES_tradnl"/>
        </w:rPr>
        <w:t>comunicó el inicio del proceso al presidente de la República, al presidente del Senado de la República, al presid</w:t>
      </w:r>
      <w:r w:rsidRPr="00113298">
        <w:rPr>
          <w:rFonts w:ascii="Times New Roman" w:hAnsi="Times New Roman" w:cs="Times New Roman"/>
          <w:color w:val="000000" w:themeColor="text1"/>
          <w:sz w:val="28"/>
          <w:szCs w:val="28"/>
          <w:lang w:val="es-ES_tradnl"/>
        </w:rPr>
        <w:t xml:space="preserve">ente de la Cámara de Representantes y al Ministerio de Justicia y del Derecho para que intervinieran si lo consideraban </w:t>
      </w:r>
      <w:r w:rsidRPr="00113298">
        <w:rPr>
          <w:rFonts w:ascii="Times New Roman" w:hAnsi="Times New Roman" w:cs="Times New Roman"/>
          <w:color w:val="000000" w:themeColor="text1"/>
          <w:sz w:val="28"/>
          <w:szCs w:val="28"/>
          <w:lang w:val="es-ES_tradnl"/>
        </w:rPr>
        <w:t>pertinente</w:t>
      </w:r>
      <w:r w:rsidRPr="00113298">
        <w:rPr>
          <w:rFonts w:ascii="Times New Roman" w:hAnsi="Times New Roman" w:cs="Times New Roman"/>
          <w:color w:val="000000" w:themeColor="text1"/>
          <w:sz w:val="28"/>
          <w:szCs w:val="28"/>
          <w:lang w:val="es-ES_tradnl"/>
        </w:rPr>
        <w:t xml:space="preserve"> y, por último, </w:t>
      </w:r>
      <w:r w:rsidRPr="00113298">
        <w:rPr>
          <w:rFonts w:ascii="Times New Roman" w:hAnsi="Times New Roman" w:cs="Times New Roman"/>
          <w:i/>
          <w:iCs/>
          <w:color w:val="000000" w:themeColor="text1"/>
          <w:sz w:val="28"/>
          <w:szCs w:val="28"/>
          <w:lang w:val="es-ES_tradnl"/>
        </w:rPr>
        <w:t xml:space="preserve">(v) </w:t>
      </w:r>
      <w:r w:rsidRPr="00113298">
        <w:rPr>
          <w:rFonts w:ascii="Times New Roman" w:hAnsi="Times New Roman" w:cs="Times New Roman"/>
          <w:color w:val="000000" w:themeColor="text1"/>
          <w:sz w:val="28"/>
          <w:szCs w:val="28"/>
          <w:lang w:val="es-ES_tradnl"/>
        </w:rPr>
        <w:t>invitó a varias autoridades, entidades e instituciones a rendir concepto técnico especializado, de conform</w:t>
      </w:r>
      <w:r w:rsidRPr="00113298">
        <w:rPr>
          <w:rFonts w:ascii="Times New Roman" w:hAnsi="Times New Roman" w:cs="Times New Roman"/>
          <w:color w:val="000000" w:themeColor="text1"/>
          <w:sz w:val="28"/>
          <w:szCs w:val="28"/>
          <w:lang w:val="es-ES_tradnl"/>
        </w:rPr>
        <w:t>idad con lo dispuesto en el artículo 13 del Decreto 2067 de 1991</w:t>
      </w:r>
      <w:r w:rsidRPr="00113298">
        <w:rPr>
          <w:rFonts w:ascii="Times New Roman" w:hAnsi="Times New Roman" w:cs="Times New Roman"/>
          <w:color w:val="000000" w:themeColor="text1"/>
          <w:sz w:val="28"/>
          <w:szCs w:val="28"/>
          <w:vertAlign w:val="superscript"/>
          <w:lang w:val="es-ES_tradnl"/>
        </w:rPr>
        <w:footnoteReference w:id="1"/>
      </w:r>
      <w:r w:rsidRPr="00113298">
        <w:rPr>
          <w:rFonts w:ascii="Times New Roman" w:hAnsi="Times New Roman" w:cs="Times New Roman"/>
          <w:color w:val="000000" w:themeColor="text1"/>
          <w:sz w:val="28"/>
          <w:szCs w:val="28"/>
          <w:lang w:val="es-ES_tradnl"/>
        </w:rPr>
        <w:t>.</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Solicitud de audiencia. </w:t>
      </w:r>
      <w:r w:rsidRPr="00113298">
        <w:rPr>
          <w:rFonts w:ascii="Times New Roman" w:hAnsi="Times New Roman" w:cs="Times New Roman"/>
          <w:bCs/>
          <w:color w:val="000000" w:themeColor="text1"/>
          <w:sz w:val="28"/>
          <w:szCs w:val="28"/>
        </w:rPr>
        <w:t>El 16 de enero de 2025</w:t>
      </w:r>
      <w:r w:rsidRPr="00113298">
        <w:rPr>
          <w:rFonts w:ascii="Times New Roman" w:hAnsi="Times New Roman" w:cs="Times New Roman"/>
          <w:bCs/>
          <w:color w:val="000000" w:themeColor="text1"/>
          <w:sz w:val="28"/>
          <w:szCs w:val="28"/>
          <w:vertAlign w:val="superscript"/>
        </w:rPr>
        <w:footnoteReference w:id="2"/>
      </w:r>
      <w:r w:rsidRPr="00113298">
        <w:rPr>
          <w:rFonts w:ascii="Times New Roman" w:hAnsi="Times New Roman" w:cs="Times New Roman"/>
          <w:bCs/>
          <w:color w:val="000000" w:themeColor="text1"/>
          <w:sz w:val="28"/>
          <w:szCs w:val="28"/>
        </w:rPr>
        <w:t xml:space="preserve">, la demandante, con fundamento en el artículo 64 del Acuerdo 02 de 2015, solicitó que se convocara a una audiencia a fin </w:t>
      </w:r>
      <w:r w:rsidRPr="00113298">
        <w:rPr>
          <w:rFonts w:ascii="Times New Roman" w:hAnsi="Times New Roman" w:cs="Times New Roman"/>
          <w:bCs/>
          <w:color w:val="000000" w:themeColor="text1"/>
          <w:sz w:val="28"/>
          <w:szCs w:val="28"/>
        </w:rPr>
        <w:t xml:space="preserve">de </w:t>
      </w:r>
      <w:r w:rsidRPr="00113298">
        <w:rPr>
          <w:rFonts w:ascii="Times New Roman" w:hAnsi="Times New Roman" w:cs="Times New Roman"/>
          <w:bCs/>
          <w:color w:val="000000" w:themeColor="text1"/>
          <w:sz w:val="28"/>
          <w:szCs w:val="28"/>
        </w:rPr>
        <w:t xml:space="preserve">que la Corte </w:t>
      </w:r>
      <w:r w:rsidRPr="00113298">
        <w:rPr>
          <w:rFonts w:ascii="Times New Roman" w:hAnsi="Times New Roman" w:cs="Times New Roman"/>
          <w:bCs/>
          <w:color w:val="000000" w:themeColor="text1"/>
          <w:sz w:val="28"/>
          <w:szCs w:val="28"/>
        </w:rPr>
        <w:t>pudiera escuchar a expertos en la materia y a las víctimas. A su juicio, “solo así se podrá dimensionar en toda su magnitud el impacto devastador de estas prácticas y la necesidad imperiosa de garantizar una protección efectiva a todas las víctimas de la v</w:t>
      </w:r>
      <w:r w:rsidRPr="00113298">
        <w:rPr>
          <w:rFonts w:ascii="Times New Roman" w:hAnsi="Times New Roman" w:cs="Times New Roman"/>
          <w:bCs/>
          <w:color w:val="000000" w:themeColor="text1"/>
          <w:sz w:val="28"/>
          <w:szCs w:val="28"/>
        </w:rPr>
        <w:t>iolencia sexual, independientemente de su estatus como combatientes”</w:t>
      </w:r>
      <w:r w:rsidRPr="00113298">
        <w:rPr>
          <w:rFonts w:ascii="Times New Roman" w:hAnsi="Times New Roman" w:cs="Times New Roman"/>
          <w:bCs/>
          <w:color w:val="000000" w:themeColor="text1"/>
          <w:sz w:val="28"/>
          <w:szCs w:val="28"/>
          <w:vertAlign w:val="superscript"/>
        </w:rPr>
        <w:footnoteReference w:id="3"/>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Manifestación de impedimento por parte del procurador general de la Nación. </w:t>
      </w:r>
      <w:r w:rsidRPr="00113298">
        <w:rPr>
          <w:rFonts w:ascii="Times New Roman" w:hAnsi="Times New Roman" w:cs="Times New Roman"/>
          <w:bCs/>
          <w:color w:val="000000" w:themeColor="text1"/>
          <w:sz w:val="28"/>
          <w:szCs w:val="28"/>
        </w:rPr>
        <w:t>En escrito recibido el 16 de enero de 2025</w:t>
      </w:r>
      <w:r w:rsidRPr="00113298">
        <w:rPr>
          <w:rFonts w:ascii="Times New Roman" w:hAnsi="Times New Roman" w:cs="Times New Roman"/>
          <w:bCs/>
          <w:color w:val="000000" w:themeColor="text1"/>
          <w:sz w:val="28"/>
          <w:szCs w:val="28"/>
          <w:vertAlign w:val="superscript"/>
        </w:rPr>
        <w:footnoteReference w:id="4"/>
      </w:r>
      <w:r w:rsidRPr="00113298">
        <w:rPr>
          <w:rFonts w:ascii="Times New Roman" w:hAnsi="Times New Roman" w:cs="Times New Roman"/>
          <w:bCs/>
          <w:color w:val="000000" w:themeColor="text1"/>
          <w:sz w:val="28"/>
          <w:szCs w:val="28"/>
        </w:rPr>
        <w:t>, el procurador general de la Nación manifestó estar impedido pa</w:t>
      </w:r>
      <w:r w:rsidRPr="00113298">
        <w:rPr>
          <w:rFonts w:ascii="Times New Roman" w:hAnsi="Times New Roman" w:cs="Times New Roman"/>
          <w:bCs/>
          <w:color w:val="000000" w:themeColor="text1"/>
          <w:sz w:val="28"/>
          <w:szCs w:val="28"/>
        </w:rPr>
        <w:t xml:space="preserve">ra participar en el presente proceso y, en consecuencia, para rendir el concepto de que trata el artículo 278.5 de la Constitución. </w:t>
      </w:r>
      <w:r w:rsidRPr="00113298">
        <w:rPr>
          <w:rFonts w:ascii="Times New Roman" w:hAnsi="Times New Roman" w:cs="Times New Roman"/>
          <w:bCs/>
          <w:color w:val="000000" w:themeColor="text1"/>
          <w:sz w:val="28"/>
          <w:szCs w:val="28"/>
        </w:rPr>
        <w:t>Ello,</w:t>
      </w:r>
      <w:r w:rsidRPr="00113298">
        <w:rPr>
          <w:rFonts w:ascii="Times New Roman" w:hAnsi="Times New Roman" w:cs="Times New Roman"/>
          <w:bCs/>
          <w:color w:val="000000" w:themeColor="text1"/>
          <w:sz w:val="28"/>
          <w:szCs w:val="28"/>
        </w:rPr>
        <w:t xml:space="preserve"> pues, a su juicio, se encontraba incurso en la causal de impedimento consistente en “haber intervenido en la expedició</w:t>
      </w:r>
      <w:r w:rsidRPr="00113298">
        <w:rPr>
          <w:rFonts w:ascii="Times New Roman" w:hAnsi="Times New Roman" w:cs="Times New Roman"/>
          <w:bCs/>
          <w:color w:val="000000" w:themeColor="text1"/>
          <w:sz w:val="28"/>
          <w:szCs w:val="28"/>
        </w:rPr>
        <w:t xml:space="preserve">n de las normas objeto de control”, ya que participó de forma verbal y escrita durante el trámite legislativo de los artículos acusados, en el marco de sus funciones de secretario general del Senado de la República.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Mediante auto del 27 de febrero de 202</w:t>
      </w:r>
      <w:r w:rsidRPr="00113298">
        <w:rPr>
          <w:rFonts w:ascii="Times New Roman" w:hAnsi="Times New Roman" w:cs="Times New Roman"/>
          <w:bCs/>
          <w:color w:val="000000" w:themeColor="text1"/>
          <w:sz w:val="28"/>
          <w:szCs w:val="28"/>
        </w:rPr>
        <w:t>5, se requirió al procurador general de la Nación para que informara “en qué consistió su participación durante el trámite legislativo que surtió el Proyecto de Ley número 244 de 2013 Senado, 037 de 2012 Cámara”</w:t>
      </w:r>
      <w:r w:rsidRPr="00113298">
        <w:rPr>
          <w:rFonts w:ascii="Times New Roman" w:hAnsi="Times New Roman" w:cs="Times New Roman"/>
          <w:bCs/>
          <w:color w:val="000000" w:themeColor="text1"/>
          <w:sz w:val="28"/>
          <w:szCs w:val="28"/>
          <w:vertAlign w:val="superscript"/>
        </w:rPr>
        <w:footnoteReference w:id="5"/>
      </w:r>
      <w:r w:rsidRPr="00113298">
        <w:rPr>
          <w:rFonts w:ascii="Times New Roman" w:hAnsi="Times New Roman" w:cs="Times New Roman"/>
          <w:bCs/>
          <w:color w:val="000000" w:themeColor="text1"/>
          <w:sz w:val="28"/>
          <w:szCs w:val="28"/>
        </w:rPr>
        <w:t>. Esto, a fin de resolver sobre la manifesta</w:t>
      </w:r>
      <w:r w:rsidRPr="00113298">
        <w:rPr>
          <w:rFonts w:ascii="Times New Roman" w:hAnsi="Times New Roman" w:cs="Times New Roman"/>
          <w:bCs/>
          <w:color w:val="000000" w:themeColor="text1"/>
          <w:sz w:val="28"/>
          <w:szCs w:val="28"/>
        </w:rPr>
        <w:t xml:space="preserve">ción de impedimento allegada.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El 13 de marzo de 2025</w:t>
      </w:r>
      <w:r w:rsidRPr="00113298">
        <w:rPr>
          <w:rFonts w:ascii="Times New Roman" w:hAnsi="Times New Roman" w:cs="Times New Roman"/>
          <w:bCs/>
          <w:color w:val="000000" w:themeColor="text1"/>
          <w:sz w:val="28"/>
          <w:szCs w:val="28"/>
          <w:vertAlign w:val="superscript"/>
        </w:rPr>
        <w:footnoteReference w:id="6"/>
      </w:r>
      <w:r w:rsidRPr="00113298">
        <w:rPr>
          <w:rFonts w:ascii="Times New Roman" w:hAnsi="Times New Roman" w:cs="Times New Roman"/>
          <w:bCs/>
          <w:color w:val="000000" w:themeColor="text1"/>
          <w:sz w:val="28"/>
          <w:szCs w:val="28"/>
        </w:rPr>
        <w:t>, el procurador general de la Nación remitió informe en el cual resaltó que intervino en el trámite legislativo del Proyecto de Ley número 244 de 2013 Senado, 037 de 2012 Cámara, posteriormente sancionado como la Ley 1719 de 2014, en cumplimiento de sus fu</w:t>
      </w:r>
      <w:r w:rsidRPr="00113298">
        <w:rPr>
          <w:rFonts w:ascii="Times New Roman" w:hAnsi="Times New Roman" w:cs="Times New Roman"/>
          <w:bCs/>
          <w:color w:val="000000" w:themeColor="text1"/>
          <w:sz w:val="28"/>
          <w:szCs w:val="28"/>
        </w:rPr>
        <w:t xml:space="preserve">nciones y deberes propios del cargo de secretario general del Senado de la República.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En Auto 406 del 26 de marzo de 2025</w:t>
      </w:r>
      <w:r w:rsidRPr="00113298">
        <w:rPr>
          <w:rFonts w:ascii="Times New Roman" w:hAnsi="Times New Roman" w:cs="Times New Roman"/>
          <w:bCs/>
          <w:color w:val="000000" w:themeColor="text1"/>
          <w:sz w:val="28"/>
          <w:szCs w:val="28"/>
          <w:vertAlign w:val="superscript"/>
        </w:rPr>
        <w:footnoteReference w:id="7"/>
      </w:r>
      <w:r w:rsidRPr="00113298">
        <w:rPr>
          <w:rFonts w:ascii="Times New Roman" w:hAnsi="Times New Roman" w:cs="Times New Roman"/>
          <w:bCs/>
          <w:color w:val="000000" w:themeColor="text1"/>
          <w:sz w:val="28"/>
          <w:szCs w:val="28"/>
        </w:rPr>
        <w:t>, la Sala Plena declaró infundado el impedimento presentado por el procurador general de la Nación para rendir concepto en el presen</w:t>
      </w:r>
      <w:r w:rsidRPr="00113298">
        <w:rPr>
          <w:rFonts w:ascii="Times New Roman" w:hAnsi="Times New Roman" w:cs="Times New Roman"/>
          <w:bCs/>
          <w:color w:val="000000" w:themeColor="text1"/>
          <w:sz w:val="28"/>
          <w:szCs w:val="28"/>
        </w:rPr>
        <w:t>te trámite. Ello, pues su participación en el trámite legislativo se dio en el marco de las funciones propias del cargo de secretario general del Senado de la República. Además, se constató que no participó en la redacción de los artículos demandados, tamp</w:t>
      </w:r>
      <w:r w:rsidRPr="00113298">
        <w:rPr>
          <w:rFonts w:ascii="Times New Roman" w:hAnsi="Times New Roman" w:cs="Times New Roman"/>
          <w:bCs/>
          <w:color w:val="000000" w:themeColor="text1"/>
          <w:sz w:val="28"/>
          <w:szCs w:val="28"/>
        </w:rPr>
        <w:t xml:space="preserve">oco presentó el proyecto de ley que los contiene, ni se pronunció sobre su contenido.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Audiencia. </w:t>
      </w:r>
      <w:r w:rsidRPr="00113298">
        <w:rPr>
          <w:rFonts w:ascii="Times New Roman" w:hAnsi="Times New Roman" w:cs="Times New Roman"/>
          <w:bCs/>
          <w:color w:val="000000" w:themeColor="text1"/>
          <w:sz w:val="28"/>
          <w:szCs w:val="28"/>
        </w:rPr>
        <w:t>Mediante escrito del 5 de mayo de 2025</w:t>
      </w:r>
      <w:r w:rsidRPr="00113298">
        <w:rPr>
          <w:rFonts w:ascii="Times New Roman" w:hAnsi="Times New Roman" w:cs="Times New Roman"/>
          <w:bCs/>
          <w:color w:val="000000" w:themeColor="text1"/>
          <w:sz w:val="28"/>
          <w:szCs w:val="28"/>
          <w:vertAlign w:val="superscript"/>
        </w:rPr>
        <w:footnoteReference w:id="8"/>
      </w:r>
      <w:r w:rsidRPr="00113298">
        <w:rPr>
          <w:rFonts w:ascii="Times New Roman" w:hAnsi="Times New Roman" w:cs="Times New Roman"/>
          <w:bCs/>
          <w:color w:val="000000" w:themeColor="text1"/>
          <w:sz w:val="28"/>
          <w:szCs w:val="28"/>
        </w:rPr>
        <w:t>, la demandante reiteró la solicitud de audiencia y, en Auto 991 del 2 de julio de 2025, la Sala Plena convocó a audie</w:t>
      </w:r>
      <w:r w:rsidRPr="00113298">
        <w:rPr>
          <w:rFonts w:ascii="Times New Roman" w:hAnsi="Times New Roman" w:cs="Times New Roman"/>
          <w:bCs/>
          <w:color w:val="000000" w:themeColor="text1"/>
          <w:sz w:val="28"/>
          <w:szCs w:val="28"/>
        </w:rPr>
        <w:t xml:space="preserve">ncia pública, la cual se llevó a cabo el 12 de agosto de 2025.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i/>
          <w:iCs/>
          <w:color w:val="000000" w:themeColor="text1"/>
          <w:sz w:val="28"/>
          <w:szCs w:val="28"/>
        </w:rPr>
        <w:t xml:space="preserve">Cambio de magistrado sustanciador. </w:t>
      </w:r>
      <w:r w:rsidRPr="00113298">
        <w:rPr>
          <w:rFonts w:ascii="Times New Roman" w:hAnsi="Times New Roman" w:cs="Times New Roman"/>
          <w:bCs/>
          <w:color w:val="000000" w:themeColor="text1"/>
          <w:sz w:val="28"/>
          <w:szCs w:val="28"/>
        </w:rPr>
        <w:t xml:space="preserve">En la votación de la sesión de la Sala Plena del 9 de abril de 2026, la ponencia presentada por el magistrado Jorge Enrique Ibáñez Najar fue derrotada por </w:t>
      </w:r>
      <w:r w:rsidRPr="00113298">
        <w:rPr>
          <w:rFonts w:ascii="Times New Roman" w:hAnsi="Times New Roman" w:cs="Times New Roman"/>
          <w:bCs/>
          <w:color w:val="000000" w:themeColor="text1"/>
          <w:sz w:val="28"/>
          <w:szCs w:val="28"/>
        </w:rPr>
        <w:t xml:space="preserve">la mayoría. En </w:t>
      </w:r>
      <w:r w:rsidRPr="00113298">
        <w:rPr>
          <w:rFonts w:ascii="Times New Roman" w:hAnsi="Times New Roman" w:cs="Times New Roman"/>
          <w:bCs/>
          <w:color w:val="000000" w:themeColor="text1"/>
          <w:sz w:val="28"/>
          <w:szCs w:val="28"/>
        </w:rPr>
        <w:t>consecuencia</w:t>
      </w:r>
      <w:r w:rsidRPr="00113298">
        <w:rPr>
          <w:rFonts w:ascii="Times New Roman" w:hAnsi="Times New Roman" w:cs="Times New Roman"/>
          <w:bCs/>
          <w:color w:val="000000" w:themeColor="text1"/>
          <w:sz w:val="28"/>
          <w:szCs w:val="28"/>
        </w:rPr>
        <w:t>, la sustanciación del asunto fue repartida a la magistrada</w:t>
      </w:r>
      <w:r w:rsidRPr="00113298">
        <w:rPr>
          <w:rFonts w:ascii="Times New Roman" w:hAnsi="Times New Roman" w:cs="Times New Roman"/>
          <w:bCs/>
          <w:color w:val="000000" w:themeColor="text1"/>
          <w:sz w:val="28"/>
          <w:szCs w:val="28"/>
        </w:rPr>
        <w:t xml:space="preserve"> Paola Andrea Meneses Mosquera</w:t>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r w:rsidRPr="00113298">
        <w:rPr>
          <w:rFonts w:ascii="Times New Roman" w:hAnsi="Times New Roman" w:cs="Times New Roman"/>
          <w:b/>
          <w:bCs/>
          <w:color w:val="000000" w:themeColor="text1"/>
          <w:sz w:val="28"/>
          <w:szCs w:val="28"/>
          <w:lang w:val="es-ES_tradnl"/>
        </w:rPr>
        <w:t>Norma demandada</w:t>
      </w:r>
    </w:p>
    <w:p w:rsidR="00930F15" w:rsidRPr="00113298" w:rsidRDefault="00113298" w:rsidP="00930F15">
      <w:pPr>
        <w:tabs>
          <w:tab w:val="left" w:pos="709"/>
        </w:tabs>
        <w:autoSpaceDE w:val="0"/>
        <w:autoSpaceDN w:val="0"/>
        <w:adjustRightInd w:val="0"/>
        <w:spacing w:before="1"/>
        <w:ind w:right="-8"/>
        <w:contextualSpacing/>
        <w:jc w:val="both"/>
        <w:rPr>
          <w:rFonts w:ascii="Times New Roman" w:hAnsi="Times New Roman" w:cs="Times New Roman"/>
          <w:b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A continuación, se transcriben los artículos 135, </w:t>
      </w:r>
      <w:r w:rsidRPr="00113298">
        <w:rPr>
          <w:rFonts w:ascii="Times New Roman" w:eastAsia="Times New Roman" w:hAnsi="Times New Roman" w:cs="Times New Roman"/>
          <w:bCs/>
          <w:sz w:val="28"/>
          <w:szCs w:val="28"/>
          <w:lang w:val="es-ES"/>
        </w:rPr>
        <w:t xml:space="preserve">138, 138 A, 139, 139 A, 139 B, 139 C, 139 D, 139 E, 141, 141 A y 141 </w:t>
      </w:r>
      <w:r w:rsidRPr="00113298">
        <w:rPr>
          <w:rFonts w:ascii="Times New Roman" w:eastAsia="Times New Roman" w:hAnsi="Times New Roman" w:cs="Times New Roman"/>
          <w:bCs/>
          <w:sz w:val="28"/>
          <w:szCs w:val="28"/>
          <w:lang w:val="es-ES"/>
        </w:rPr>
        <w:t>B de la Ley 599 de 2000 y se subrayan los apartes demandados:</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
          <w:iCs/>
          <w:color w:val="000000" w:themeColor="text1"/>
          <w:sz w:val="28"/>
          <w:szCs w:val="20"/>
        </w:rPr>
      </w:pPr>
      <w:r w:rsidRPr="00113298">
        <w:rPr>
          <w:rFonts w:ascii="Times New Roman" w:eastAsiaTheme="minorHAnsi" w:hAnsi="Times New Roman" w:cs="Times New Roman"/>
          <w:b/>
          <w:iCs/>
          <w:color w:val="000000" w:themeColor="text1"/>
          <w:sz w:val="28"/>
          <w:szCs w:val="20"/>
        </w:rPr>
        <w:t>“Ley 599 de 2000</w:t>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
          <w:iCs/>
          <w:color w:val="000000" w:themeColor="text1"/>
          <w:sz w:val="28"/>
          <w:szCs w:val="20"/>
        </w:rPr>
      </w:pPr>
      <w:r w:rsidRPr="00113298">
        <w:rPr>
          <w:rFonts w:ascii="Times New Roman" w:eastAsiaTheme="minorHAnsi" w:hAnsi="Times New Roman" w:cs="Times New Roman"/>
          <w:b/>
          <w:iCs/>
          <w:color w:val="000000" w:themeColor="text1"/>
          <w:sz w:val="28"/>
          <w:szCs w:val="20"/>
        </w:rPr>
        <w:t>(julio 24)</w:t>
      </w:r>
      <w:r w:rsidRPr="00113298">
        <w:rPr>
          <w:rFonts w:ascii="Times New Roman" w:eastAsiaTheme="minorHAnsi" w:hAnsi="Times New Roman" w:cs="Times New Roman"/>
          <w:b/>
          <w:iCs/>
          <w:sz w:val="28"/>
          <w:vertAlign w:val="superscript"/>
        </w:rPr>
        <w:footnoteReference w:id="9"/>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Por la cual se expide el Código Penal</w:t>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El Congreso de Colombia,</w:t>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DECRETA</w:t>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ARTÍCULO 135. HOMICIDIO EN PERSONA PROTEGIDA.</w:t>
      </w:r>
      <w:r w:rsidRPr="00113298">
        <w:rPr>
          <w:rFonts w:ascii="Times New Roman" w:eastAsiaTheme="minorHAnsi" w:hAnsi="Times New Roman" w:cs="Times New Roman"/>
          <w:bCs/>
          <w:iCs/>
          <w:color w:val="000000" w:themeColor="text1"/>
          <w:sz w:val="28"/>
          <w:szCs w:val="20"/>
        </w:rPr>
        <w:t xml:space="preserve"> &lt;Adicionado por el artículo 27 de la Ley 1257 de 2008&gt;. El que, con ocasión y en desarrollo de conflicto armado, ocasione la muerte de una persona protegida conforme a los Convenios Internacionales sobre Derecho Humanitario ratificados por Colombia, incur</w:t>
      </w:r>
      <w:r w:rsidRPr="00113298">
        <w:rPr>
          <w:rFonts w:ascii="Times New Roman" w:eastAsiaTheme="minorHAnsi" w:hAnsi="Times New Roman" w:cs="Times New Roman"/>
          <w:bCs/>
          <w:iCs/>
          <w:color w:val="000000" w:themeColor="text1"/>
          <w:sz w:val="28"/>
          <w:szCs w:val="20"/>
        </w:rPr>
        <w:t xml:space="preserve">rirá en prisión de cuatrocientos ochenta (480) a seiscientos (600) meses, multa de dos mil seiscientos sesenta y seis punto sesenta y seis (2.666,66) a siete mil quinientos (7.500) salarios mínimos mensuales vigentes, e inhabilitación para el ejercicio de </w:t>
      </w:r>
      <w:r w:rsidRPr="00113298">
        <w:rPr>
          <w:rFonts w:ascii="Times New Roman" w:eastAsiaTheme="minorHAnsi" w:hAnsi="Times New Roman" w:cs="Times New Roman"/>
          <w:bCs/>
          <w:iCs/>
          <w:color w:val="000000" w:themeColor="text1"/>
          <w:sz w:val="28"/>
          <w:szCs w:val="20"/>
        </w:rPr>
        <w:t>derechos y funciones públicas de doscientos cuarenta (240) a trescientos sesenta (360) meses.</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La pena prevista en este artículo se aumentará de la tercera parte a la mitad cuando se cometiere contra una mujer por el hecho de ser mujer.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PARÁGRAFO. Para los efectos de este artículo </w:t>
      </w:r>
      <w:r w:rsidRPr="00113298">
        <w:rPr>
          <w:rFonts w:ascii="Times New Roman" w:eastAsiaTheme="minorHAnsi" w:hAnsi="Times New Roman" w:cs="Times New Roman"/>
          <w:bCs/>
          <w:iCs/>
          <w:color w:val="000000" w:themeColor="text1"/>
          <w:sz w:val="28"/>
          <w:szCs w:val="20"/>
          <w:u w:val="single"/>
        </w:rPr>
        <w:t xml:space="preserve">y las demás normas del presente título </w:t>
      </w:r>
      <w:r w:rsidRPr="00113298">
        <w:rPr>
          <w:rFonts w:ascii="Times New Roman" w:eastAsiaTheme="minorHAnsi" w:hAnsi="Times New Roman" w:cs="Times New Roman"/>
          <w:bCs/>
          <w:iCs/>
          <w:color w:val="000000" w:themeColor="text1"/>
          <w:sz w:val="28"/>
          <w:szCs w:val="20"/>
        </w:rPr>
        <w:t xml:space="preserve">se entiende por personas protegidas conforme al derecho internacional humanitario: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1. Los integrantes de la población civil.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2. Las personas que no participan en hostili</w:t>
      </w:r>
      <w:r w:rsidRPr="00113298">
        <w:rPr>
          <w:rFonts w:ascii="Times New Roman" w:eastAsiaTheme="minorHAnsi" w:hAnsi="Times New Roman" w:cs="Times New Roman"/>
          <w:bCs/>
          <w:iCs/>
          <w:color w:val="000000" w:themeColor="text1"/>
          <w:sz w:val="28"/>
          <w:szCs w:val="20"/>
        </w:rPr>
        <w:t xml:space="preserve">dades y los civiles en poder de la parte adversa.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3. Los heridos, enfermos o náufragos puestos fuera de combate.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4. El personal sanitario o religioso.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5. Los periodistas en misión o corresponsales de guerra acreditados.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6. Los combatientes que hayan de</w:t>
      </w:r>
      <w:r w:rsidRPr="00113298">
        <w:rPr>
          <w:rFonts w:ascii="Times New Roman" w:eastAsiaTheme="minorHAnsi" w:hAnsi="Times New Roman" w:cs="Times New Roman"/>
          <w:bCs/>
          <w:iCs/>
          <w:color w:val="000000" w:themeColor="text1"/>
          <w:sz w:val="28"/>
          <w:szCs w:val="20"/>
        </w:rPr>
        <w:t>puesto las armas por captura, rendición u otra causa análoga.</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7. Quienes antes del comienzo de las hostilidades fueren considerados como apátridas o refugiados.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8. Cualquier otra persona que tenga aquella condición en virtud de los Convenios I, II, III y </w:t>
      </w:r>
      <w:r w:rsidRPr="00113298">
        <w:rPr>
          <w:rFonts w:ascii="Times New Roman" w:eastAsiaTheme="minorHAnsi" w:hAnsi="Times New Roman" w:cs="Times New Roman"/>
          <w:bCs/>
          <w:iCs/>
          <w:color w:val="000000" w:themeColor="text1"/>
          <w:sz w:val="28"/>
          <w:szCs w:val="20"/>
        </w:rPr>
        <w:t>IV de Ginebra de 1949 y los Protocolos Adicionales I y II de 1977 y otros que llegaren a ratificarse.</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w:t>
      </w: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138. ACCESO CARNAL VIOLENTO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w:t>
      </w:r>
      <w:r w:rsidRPr="00113298">
        <w:rPr>
          <w:rFonts w:ascii="Times New Roman" w:eastAsiaTheme="minorHAnsi" w:hAnsi="Times New Roman" w:cs="Times New Roman"/>
          <w:bCs/>
          <w:iCs/>
          <w:color w:val="000000" w:themeColor="text1"/>
          <w:sz w:val="28"/>
          <w:szCs w:val="20"/>
        </w:rPr>
        <w:t xml:space="preserve"> &lt;Penas aumentadas por el artículo 14 de la Ley 890 de 2004, a partir del 1º de enero de 2005. El texto con las penas aumentadas es el siguiente:&gt; El que, con ocasión y en desarrollo de conflicto armado, realice acceso carnal por medio de violencia en </w:t>
      </w:r>
      <w:r w:rsidRPr="00113298">
        <w:rPr>
          <w:rFonts w:ascii="Times New Roman" w:eastAsiaTheme="minorHAnsi" w:hAnsi="Times New Roman" w:cs="Times New Roman"/>
          <w:bCs/>
          <w:iCs/>
          <w:color w:val="000000" w:themeColor="text1"/>
          <w:sz w:val="28"/>
          <w:szCs w:val="20"/>
          <w:u w:val="single"/>
        </w:rPr>
        <w:t>pers</w:t>
      </w:r>
      <w:r w:rsidRPr="00113298">
        <w:rPr>
          <w:rFonts w:ascii="Times New Roman" w:eastAsiaTheme="minorHAnsi" w:hAnsi="Times New Roman" w:cs="Times New Roman"/>
          <w:bCs/>
          <w:iCs/>
          <w:color w:val="000000" w:themeColor="text1"/>
          <w:sz w:val="28"/>
          <w:szCs w:val="20"/>
          <w:u w:val="single"/>
        </w:rPr>
        <w:t>ona protegida</w:t>
      </w:r>
      <w:r w:rsidRPr="00113298">
        <w:rPr>
          <w:rFonts w:ascii="Times New Roman" w:eastAsiaTheme="minorHAnsi" w:hAnsi="Times New Roman" w:cs="Times New Roman"/>
          <w:bCs/>
          <w:iCs/>
          <w:color w:val="000000" w:themeColor="text1"/>
          <w:sz w:val="28"/>
          <w:szCs w:val="20"/>
        </w:rPr>
        <w:t xml:space="preserve"> incurrirá en prisión de ciento sesenta (160) a trescientos veinticuatro (324) meses y multa de seiscientos sesenta y seis punto sesenta y seis (666.66) a mil quinientos (1500) salarios mínimos legales mensuales vigentes.</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 xml:space="preserve">Para los efectos de </w:t>
      </w:r>
      <w:r w:rsidRPr="00113298">
        <w:rPr>
          <w:rFonts w:ascii="Times New Roman" w:eastAsiaTheme="minorHAnsi" w:hAnsi="Times New Roman" w:cs="Times New Roman"/>
          <w:bCs/>
          <w:iCs/>
          <w:color w:val="000000" w:themeColor="text1"/>
          <w:sz w:val="28"/>
          <w:szCs w:val="20"/>
        </w:rPr>
        <w:t xml:space="preserve">este Artículo se entenderá por acceso carnal lo dispuesto en el artículo 212 de este código.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138A. ACCESO CARNAL ABUSIVO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 xml:space="preserve"> MENOR DE CATORCE AÑOS</w:t>
      </w:r>
      <w:r w:rsidRPr="00113298">
        <w:rPr>
          <w:rFonts w:ascii="Times New Roman" w:eastAsiaTheme="minorHAnsi" w:hAnsi="Times New Roman" w:cs="Times New Roman"/>
          <w:bCs/>
          <w:iCs/>
          <w:color w:val="000000" w:themeColor="text1"/>
          <w:sz w:val="28"/>
          <w:szCs w:val="20"/>
        </w:rPr>
        <w:t>. &lt;Artículo adicionado por el artículo 2 de la Ley 1719 de 2014. El nuevo texto es</w:t>
      </w:r>
      <w:r w:rsidRPr="00113298">
        <w:rPr>
          <w:rFonts w:ascii="Times New Roman" w:eastAsiaTheme="minorHAnsi" w:hAnsi="Times New Roman" w:cs="Times New Roman"/>
          <w:bCs/>
          <w:iCs/>
          <w:color w:val="000000" w:themeColor="text1"/>
          <w:sz w:val="28"/>
          <w:szCs w:val="20"/>
        </w:rPr>
        <w:t xml:space="preserve"> el siguiente:&gt; El que, con ocasión y en desarrollo de conflicto armado, acceda carnalmente a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menor de catorce (14) años, incurrirá en prisión de ciento sesenta (160) a trescientos veinticuatro (324) meses y multa de seiscientos sesenta y</w:t>
      </w:r>
      <w:r w:rsidRPr="00113298">
        <w:rPr>
          <w:rFonts w:ascii="Times New Roman" w:eastAsiaTheme="minorHAnsi" w:hAnsi="Times New Roman" w:cs="Times New Roman"/>
          <w:bCs/>
          <w:iCs/>
          <w:color w:val="000000" w:themeColor="text1"/>
          <w:sz w:val="28"/>
          <w:szCs w:val="20"/>
        </w:rPr>
        <w:t xml:space="preserve"> seis punto sesenta y seis (666.66) a mil quinientos (1.500) salarios mínimos legales mensuales vigentes.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139. ACTOS SEXUALES VIOLENTOS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Cs/>
          <w:iCs/>
          <w:color w:val="000000" w:themeColor="text1"/>
          <w:sz w:val="28"/>
          <w:szCs w:val="20"/>
        </w:rPr>
        <w:t>&lt;Penas aumentadas por el artículo 14 de la Ley 890 de 2004, a partir del 1º de enero de 2</w:t>
      </w:r>
      <w:r w:rsidRPr="00113298">
        <w:rPr>
          <w:rFonts w:ascii="Times New Roman" w:eastAsiaTheme="minorHAnsi" w:hAnsi="Times New Roman" w:cs="Times New Roman"/>
          <w:bCs/>
          <w:iCs/>
          <w:color w:val="000000" w:themeColor="text1"/>
          <w:sz w:val="28"/>
          <w:szCs w:val="20"/>
        </w:rPr>
        <w:t xml:space="preserve">005. El texto con las penas aumentadas es el siguiente:&gt; El que, con ocasión y en desarrollo de conflicto armado, realice acto sexual diverso al acceso carnal, por medio de violencia en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incurrirá en prisión de sesenta y cuatro (64) a cien</w:t>
      </w:r>
      <w:r w:rsidRPr="00113298">
        <w:rPr>
          <w:rFonts w:ascii="Times New Roman" w:eastAsiaTheme="minorHAnsi" w:hAnsi="Times New Roman" w:cs="Times New Roman"/>
          <w:bCs/>
          <w:iCs/>
          <w:color w:val="000000" w:themeColor="text1"/>
          <w:sz w:val="28"/>
          <w:szCs w:val="20"/>
        </w:rPr>
        <w:t>to sesenta y dos (162) meses y multa de ciento treinta y tres punto treinta y tres (133.33) a setecientos cincuenta (750) salarios mínimos legales mensuales vigentes.</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139A. ACTOS SEXUALES CON </w:t>
      </w:r>
      <w:r w:rsidRPr="00113298">
        <w:rPr>
          <w:rFonts w:ascii="Times New Roman" w:eastAsiaTheme="minorHAnsi" w:hAnsi="Times New Roman" w:cs="Times New Roman"/>
          <w:b/>
          <w:iCs/>
          <w:color w:val="000000" w:themeColor="text1"/>
          <w:sz w:val="28"/>
          <w:szCs w:val="20"/>
          <w:u w:val="single"/>
        </w:rPr>
        <w:t>PERSONA PROTEGIDA</w:t>
      </w:r>
      <w:r w:rsidRPr="00113298">
        <w:rPr>
          <w:rFonts w:ascii="Times New Roman" w:eastAsiaTheme="minorHAnsi" w:hAnsi="Times New Roman" w:cs="Times New Roman"/>
          <w:b/>
          <w:iCs/>
          <w:color w:val="000000" w:themeColor="text1"/>
          <w:sz w:val="28"/>
          <w:szCs w:val="20"/>
        </w:rPr>
        <w:t xml:space="preserve"> MENOR DE CATORCE AÑOS.</w:t>
      </w:r>
      <w:r w:rsidRPr="00113298">
        <w:rPr>
          <w:rFonts w:ascii="Times New Roman" w:eastAsiaTheme="minorHAnsi" w:hAnsi="Times New Roman" w:cs="Times New Roman"/>
          <w:bCs/>
          <w:iCs/>
          <w:color w:val="000000" w:themeColor="text1"/>
          <w:sz w:val="28"/>
          <w:szCs w:val="20"/>
        </w:rPr>
        <w:t xml:space="preserve"> &lt;Artículo adi</w:t>
      </w:r>
      <w:r w:rsidRPr="00113298">
        <w:rPr>
          <w:rFonts w:ascii="Times New Roman" w:eastAsiaTheme="minorHAnsi" w:hAnsi="Times New Roman" w:cs="Times New Roman"/>
          <w:bCs/>
          <w:iCs/>
          <w:color w:val="000000" w:themeColor="text1"/>
          <w:sz w:val="28"/>
          <w:szCs w:val="20"/>
        </w:rPr>
        <w:t xml:space="preserve">cionado por el artículo 3 de la Ley 1719 de 2014. El nuevo texto es el siguiente:&gt;  El que con ocasión y en desarrollo de conflicto armado realizare actos sexuales diversos del acceso carnal con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menor de catorce (14) años o en su presenci</w:t>
      </w:r>
      <w:r w:rsidRPr="00113298">
        <w:rPr>
          <w:rFonts w:ascii="Times New Roman" w:eastAsiaTheme="minorHAnsi" w:hAnsi="Times New Roman" w:cs="Times New Roman"/>
          <w:bCs/>
          <w:iCs/>
          <w:color w:val="000000" w:themeColor="text1"/>
          <w:sz w:val="28"/>
          <w:szCs w:val="20"/>
        </w:rPr>
        <w:t>a, o la induzca a prácticas sexuales, incurrirá en prisión de sesenta y cuatro (64) a ciento sesenta y dos (162) meses y multa de ciento treinta y tres punto treinta y tres (133.33) a setecientos cincuenta (750) salarios mínimos legales mensuales vigentes.</w:t>
      </w:r>
      <w:r w:rsidRPr="00113298">
        <w:rPr>
          <w:rFonts w:ascii="Times New Roman" w:eastAsiaTheme="minorHAnsi" w:hAnsi="Times New Roman" w:cs="Times New Roman"/>
          <w:bCs/>
          <w:iCs/>
          <w:color w:val="000000" w:themeColor="text1"/>
          <w:sz w:val="28"/>
          <w:szCs w:val="20"/>
        </w:rPr>
        <w:t xml:space="preserve">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139B. ESTERILIZACIÓN FORZADA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w:t>
      </w:r>
      <w:r w:rsidRPr="00113298">
        <w:rPr>
          <w:rFonts w:ascii="Times New Roman" w:eastAsiaTheme="minorHAnsi" w:hAnsi="Times New Roman" w:cs="Times New Roman"/>
          <w:bCs/>
          <w:iCs/>
          <w:color w:val="000000" w:themeColor="text1"/>
          <w:sz w:val="28"/>
          <w:szCs w:val="20"/>
        </w:rPr>
        <w:t xml:space="preserve"> &lt;Artículo adicionado por el artículo 7 de la Ley 1719 de 2014. El nuevo texto es el siguiente:&gt;  El que con ocasión y en desarrollo del conflicto armado, por medio de la violencia, prive a </w:t>
      </w:r>
      <w:r w:rsidRPr="00113298">
        <w:rPr>
          <w:rFonts w:ascii="Times New Roman" w:eastAsiaTheme="minorHAnsi" w:hAnsi="Times New Roman" w:cs="Times New Roman"/>
          <w:bCs/>
          <w:iCs/>
          <w:color w:val="000000" w:themeColor="text1"/>
          <w:sz w:val="28"/>
          <w:szCs w:val="20"/>
          <w:u w:val="single"/>
        </w:rPr>
        <w:t>pers</w:t>
      </w:r>
      <w:r w:rsidRPr="00113298">
        <w:rPr>
          <w:rFonts w:ascii="Times New Roman" w:eastAsiaTheme="minorHAnsi" w:hAnsi="Times New Roman" w:cs="Times New Roman"/>
          <w:bCs/>
          <w:iCs/>
          <w:color w:val="000000" w:themeColor="text1"/>
          <w:sz w:val="28"/>
          <w:szCs w:val="20"/>
          <w:u w:val="single"/>
        </w:rPr>
        <w:t>ona protegida</w:t>
      </w:r>
      <w:r w:rsidRPr="00113298">
        <w:rPr>
          <w:rFonts w:ascii="Times New Roman" w:eastAsiaTheme="minorHAnsi" w:hAnsi="Times New Roman" w:cs="Times New Roman"/>
          <w:bCs/>
          <w:iCs/>
          <w:color w:val="000000" w:themeColor="text1"/>
          <w:sz w:val="28"/>
          <w:szCs w:val="20"/>
        </w:rPr>
        <w:t xml:space="preserve"> de la capacidad de reproducción biológica, incurrirá en prisión de sesenta y cuatro (64) a ciento sesenta y dos (162) meses y multa de ciento treinta y tres punto treinta y tres (133.33) a setecientos cincuenta (750) salarios mínimos legales </w:t>
      </w:r>
      <w:r w:rsidRPr="00113298">
        <w:rPr>
          <w:rFonts w:ascii="Times New Roman" w:eastAsiaTheme="minorHAnsi" w:hAnsi="Times New Roman" w:cs="Times New Roman"/>
          <w:bCs/>
          <w:iCs/>
          <w:color w:val="000000" w:themeColor="text1"/>
          <w:sz w:val="28"/>
          <w:szCs w:val="20"/>
        </w:rPr>
        <w:t xml:space="preserve">mensuales vigentes.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PARÁGRAFO. No se entenderá como esterilización forzada la privación de la capacidad de reproducción biológica que corresponda a las necesidades de tratamiento consentido por la víctima.</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139C. EMBARAZO FORZADO </w:t>
      </w:r>
      <w:r w:rsidRPr="00113298">
        <w:rPr>
          <w:rFonts w:ascii="Times New Roman" w:eastAsiaTheme="minorHAnsi" w:hAnsi="Times New Roman" w:cs="Times New Roman"/>
          <w:b/>
          <w:iCs/>
          <w:color w:val="000000" w:themeColor="text1"/>
          <w:sz w:val="28"/>
          <w:szCs w:val="20"/>
          <w:u w:val="single"/>
        </w:rPr>
        <w:t xml:space="preserve">EN PERSONA </w:t>
      </w:r>
      <w:r w:rsidRPr="00113298">
        <w:rPr>
          <w:rFonts w:ascii="Times New Roman" w:eastAsiaTheme="minorHAnsi" w:hAnsi="Times New Roman" w:cs="Times New Roman"/>
          <w:b/>
          <w:iCs/>
          <w:color w:val="000000" w:themeColor="text1"/>
          <w:sz w:val="28"/>
          <w:szCs w:val="20"/>
          <w:u w:val="single"/>
        </w:rPr>
        <w:t>PROTEGIDA</w:t>
      </w:r>
      <w:r w:rsidRPr="00113298">
        <w:rPr>
          <w:rFonts w:ascii="Times New Roman" w:eastAsiaTheme="minorHAnsi" w:hAnsi="Times New Roman" w:cs="Times New Roman"/>
          <w:b/>
          <w:iCs/>
          <w:color w:val="000000" w:themeColor="text1"/>
          <w:sz w:val="28"/>
          <w:szCs w:val="20"/>
        </w:rPr>
        <w:t xml:space="preserve">. </w:t>
      </w:r>
      <w:r w:rsidRPr="00113298">
        <w:rPr>
          <w:rFonts w:ascii="Times New Roman" w:eastAsiaTheme="minorHAnsi" w:hAnsi="Times New Roman" w:cs="Times New Roman"/>
          <w:bCs/>
          <w:iCs/>
          <w:color w:val="000000" w:themeColor="text1"/>
          <w:sz w:val="28"/>
          <w:szCs w:val="20"/>
        </w:rPr>
        <w:t xml:space="preserve"> &lt;Artículo adicionado por el artículo 8 de la Ley 1719 de 2014. El nuevo texto es el siguiente:&gt;  El que con ocasión del conflicto armado, habiendo dejado en embarazo a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como resultado de una conducta constitutiva de acceso carn</w:t>
      </w:r>
      <w:r w:rsidRPr="00113298">
        <w:rPr>
          <w:rFonts w:ascii="Times New Roman" w:eastAsiaTheme="minorHAnsi" w:hAnsi="Times New Roman" w:cs="Times New Roman"/>
          <w:bCs/>
          <w:iCs/>
          <w:color w:val="000000" w:themeColor="text1"/>
          <w:sz w:val="28"/>
          <w:szCs w:val="20"/>
        </w:rPr>
        <w:t>al violento, abusivo o en persona puesta en incapacidad de resistir, obligue a quien ha quedado en embarazo a continuar con la gestación, incurrirá en prisión de ciento sesenta (160) meses a trescientos veinticuatro (324) meses y multa de seiscientos sesen</w:t>
      </w:r>
      <w:r w:rsidRPr="00113298">
        <w:rPr>
          <w:rFonts w:ascii="Times New Roman" w:eastAsiaTheme="minorHAnsi" w:hAnsi="Times New Roman" w:cs="Times New Roman"/>
          <w:bCs/>
          <w:iCs/>
          <w:color w:val="000000" w:themeColor="text1"/>
          <w:sz w:val="28"/>
          <w:szCs w:val="20"/>
        </w:rPr>
        <w:t>ta y seis punto sesenta y seis (666.66) a mil quinientos (1.500) salarios mínimos legales mensuales vigentes.</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139D. DESNUDEZ FORZADA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w:t>
      </w:r>
      <w:r w:rsidRPr="00113298">
        <w:rPr>
          <w:rFonts w:ascii="Times New Roman" w:eastAsiaTheme="minorHAnsi" w:hAnsi="Times New Roman" w:cs="Times New Roman"/>
          <w:bCs/>
          <w:iCs/>
          <w:color w:val="000000" w:themeColor="text1"/>
          <w:sz w:val="28"/>
          <w:szCs w:val="20"/>
        </w:rPr>
        <w:t xml:space="preserve">  &lt;Artículo adicionado por el artículo 9 de la Ley 1719 de 2014. El nuevo texto es el siguiente:&gt;  El que, con ocasión y en desarrollo del conflicto armado, por medio de la violencia, obligue a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a desnudarse total o parcialmente o a perman</w:t>
      </w:r>
      <w:r w:rsidRPr="00113298">
        <w:rPr>
          <w:rFonts w:ascii="Times New Roman" w:eastAsiaTheme="minorHAnsi" w:hAnsi="Times New Roman" w:cs="Times New Roman"/>
          <w:bCs/>
          <w:iCs/>
          <w:color w:val="000000" w:themeColor="text1"/>
          <w:sz w:val="28"/>
          <w:szCs w:val="20"/>
        </w:rPr>
        <w:t xml:space="preserve">ecer desnuda, incurrirá en prisión de sesenta y cuatro (64) a ciento sesenta y dos (162) meses y multa de ciento treinta y tres punto treinta y tres (133.33) a setecientos cincuenta (750) salarios mínimos legales mensuales vigentes.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ARTÍCULO 139E. ABORTO</w:t>
      </w:r>
      <w:r w:rsidRPr="00113298">
        <w:rPr>
          <w:rFonts w:ascii="Times New Roman" w:eastAsiaTheme="minorHAnsi" w:hAnsi="Times New Roman" w:cs="Times New Roman"/>
          <w:b/>
          <w:iCs/>
          <w:color w:val="000000" w:themeColor="text1"/>
          <w:sz w:val="28"/>
          <w:szCs w:val="20"/>
        </w:rPr>
        <w:t xml:space="preserve"> FORZADO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w:t>
      </w:r>
      <w:r w:rsidRPr="00113298">
        <w:rPr>
          <w:rFonts w:ascii="Times New Roman" w:eastAsiaTheme="minorHAnsi" w:hAnsi="Times New Roman" w:cs="Times New Roman"/>
          <w:bCs/>
          <w:iCs/>
          <w:color w:val="000000" w:themeColor="text1"/>
          <w:sz w:val="28"/>
          <w:szCs w:val="20"/>
        </w:rPr>
        <w:t xml:space="preserve"> </w:t>
      </w:r>
      <w:bookmarkStart w:id="3" w:name="_Hlk201726499"/>
      <w:r w:rsidRPr="00113298">
        <w:rPr>
          <w:rFonts w:ascii="Times New Roman" w:eastAsiaTheme="minorHAnsi" w:hAnsi="Times New Roman" w:cs="Times New Roman"/>
          <w:bCs/>
          <w:iCs/>
          <w:color w:val="000000" w:themeColor="text1"/>
          <w:sz w:val="28"/>
          <w:szCs w:val="20"/>
        </w:rPr>
        <w:t xml:space="preserve">&lt;Artículo adicionado por el artículo 10 de la Ley 1719 de 2014. El nuevo texto es el siguiente:&gt; </w:t>
      </w:r>
      <w:bookmarkEnd w:id="3"/>
      <w:r w:rsidRPr="00113298">
        <w:rPr>
          <w:rFonts w:ascii="Times New Roman" w:eastAsiaTheme="minorHAnsi" w:hAnsi="Times New Roman" w:cs="Times New Roman"/>
          <w:bCs/>
          <w:iCs/>
          <w:color w:val="000000" w:themeColor="text1"/>
          <w:sz w:val="28"/>
          <w:szCs w:val="20"/>
        </w:rPr>
        <w:t>El que con ocasión y en desarrollo del conflicto armado, a través de la violencia interrumpa u obligue a interrumpir el embarazo</w:t>
      </w:r>
      <w:r w:rsidRPr="00113298">
        <w:rPr>
          <w:rFonts w:ascii="Times New Roman" w:eastAsiaTheme="minorHAnsi" w:hAnsi="Times New Roman" w:cs="Times New Roman"/>
          <w:bCs/>
          <w:iCs/>
          <w:color w:val="000000" w:themeColor="text1"/>
          <w:sz w:val="28"/>
          <w:szCs w:val="20"/>
        </w:rPr>
        <w:t xml:space="preserve"> de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sin su consentimiento, incurrirá en prisión de ciento sesenta (160) meses a trescientos veinticuatro (324) meses y multa de seiscientos sesenta y seis punto sesenta y seis (666.66) a mil quinientos (1.500) salarios mínimos legales men</w:t>
      </w:r>
      <w:r w:rsidRPr="00113298">
        <w:rPr>
          <w:rFonts w:ascii="Times New Roman" w:eastAsiaTheme="minorHAnsi" w:hAnsi="Times New Roman" w:cs="Times New Roman"/>
          <w:bCs/>
          <w:iCs/>
          <w:color w:val="000000" w:themeColor="text1"/>
          <w:sz w:val="28"/>
          <w:szCs w:val="20"/>
        </w:rPr>
        <w:t>suales vigentes.</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p>
    <w:p w:rsidR="00930F15" w:rsidRPr="00113298" w:rsidRDefault="00113298" w:rsidP="00930F15">
      <w:pPr>
        <w:tabs>
          <w:tab w:val="left" w:pos="0"/>
          <w:tab w:val="left" w:pos="567"/>
        </w:tabs>
        <w:ind w:left="284" w:right="333"/>
        <w:contextualSpacing/>
        <w:jc w:val="center"/>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Cs/>
          <w:iCs/>
          <w:color w:val="000000" w:themeColor="text1"/>
          <w:sz w:val="28"/>
          <w:szCs w:val="20"/>
        </w:rPr>
        <w:t>[…]</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141. PROSTITUCIÓN FORZADA EN </w:t>
      </w:r>
      <w:r w:rsidRPr="00113298">
        <w:rPr>
          <w:rFonts w:ascii="Times New Roman" w:eastAsiaTheme="minorHAnsi" w:hAnsi="Times New Roman" w:cs="Times New Roman"/>
          <w:b/>
          <w:iCs/>
          <w:color w:val="000000" w:themeColor="text1"/>
          <w:sz w:val="28"/>
          <w:szCs w:val="20"/>
          <w:u w:val="single"/>
        </w:rPr>
        <w:t>PERSONA PROTEGIDA</w:t>
      </w:r>
      <w:r w:rsidRPr="00113298">
        <w:rPr>
          <w:rFonts w:ascii="Times New Roman" w:eastAsiaTheme="minorHAnsi" w:hAnsi="Times New Roman" w:cs="Times New Roman"/>
          <w:b/>
          <w:iCs/>
          <w:color w:val="000000" w:themeColor="text1"/>
          <w:sz w:val="28"/>
          <w:szCs w:val="20"/>
        </w:rPr>
        <w:t xml:space="preserve">. </w:t>
      </w:r>
      <w:r w:rsidRPr="00113298">
        <w:rPr>
          <w:rFonts w:ascii="Times New Roman" w:eastAsiaTheme="minorHAnsi" w:hAnsi="Times New Roman" w:cs="Times New Roman"/>
          <w:bCs/>
          <w:iCs/>
          <w:color w:val="000000" w:themeColor="text1"/>
          <w:sz w:val="28"/>
          <w:szCs w:val="20"/>
        </w:rPr>
        <w:t xml:space="preserve">&lt;Artículo modificado por el artículo 4 de la Ley 1719 de 2014. El nuevo texto es el siguiente:&gt; El que, con ocasión y en desarrollo del conflicto armado, obligue a </w:t>
      </w:r>
      <w:r w:rsidRPr="00113298">
        <w:rPr>
          <w:rFonts w:ascii="Times New Roman" w:eastAsiaTheme="minorHAnsi" w:hAnsi="Times New Roman" w:cs="Times New Roman"/>
          <w:bCs/>
          <w:iCs/>
          <w:color w:val="000000" w:themeColor="text1"/>
          <w:sz w:val="28"/>
          <w:szCs w:val="20"/>
          <w:u w:val="single"/>
        </w:rPr>
        <w:t>persona prot</w:t>
      </w:r>
      <w:r w:rsidRPr="00113298">
        <w:rPr>
          <w:rFonts w:ascii="Times New Roman" w:eastAsiaTheme="minorHAnsi" w:hAnsi="Times New Roman" w:cs="Times New Roman"/>
          <w:bCs/>
          <w:iCs/>
          <w:color w:val="000000" w:themeColor="text1"/>
          <w:sz w:val="28"/>
          <w:szCs w:val="20"/>
          <w:u w:val="single"/>
        </w:rPr>
        <w:t>egida</w:t>
      </w:r>
      <w:r w:rsidRPr="00113298">
        <w:rPr>
          <w:rFonts w:ascii="Times New Roman" w:eastAsiaTheme="minorHAnsi" w:hAnsi="Times New Roman" w:cs="Times New Roman"/>
          <w:bCs/>
          <w:iCs/>
          <w:color w:val="000000" w:themeColor="text1"/>
          <w:sz w:val="28"/>
          <w:szCs w:val="20"/>
        </w:rPr>
        <w:t xml:space="preserve"> a prestar servicios sexuales, incurrirá en prisión de ciento sesenta (160) a trescientos veinticuatro (324) meses y multa de seiscientos sesenta y seis punto sesenta y seis (666.66) a mil quinientos (1.500) salarios mínimos legales mensuales vigentes</w:t>
      </w:r>
      <w:r w:rsidRPr="00113298">
        <w:rPr>
          <w:rFonts w:ascii="Times New Roman" w:eastAsiaTheme="minorHAnsi" w:hAnsi="Times New Roman" w:cs="Times New Roman"/>
          <w:bCs/>
          <w:iCs/>
          <w:color w:val="000000" w:themeColor="text1"/>
          <w:sz w:val="28"/>
          <w:szCs w:val="20"/>
        </w:rPr>
        <w:t>.</w:t>
      </w:r>
      <w:r w:rsidRPr="00113298">
        <w:rPr>
          <w:rFonts w:ascii="Times New Roman" w:eastAsiaTheme="minorHAnsi" w:hAnsi="Times New Roman" w:cs="Times New Roman"/>
          <w:b/>
          <w:iCs/>
          <w:color w:val="000000" w:themeColor="text1"/>
          <w:sz w:val="28"/>
          <w:szCs w:val="20"/>
        </w:rPr>
        <w:t xml:space="preserve"> </w:t>
      </w: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
          <w:iCs/>
          <w:color w:val="000000" w:themeColor="text1"/>
          <w:sz w:val="28"/>
          <w:szCs w:val="20"/>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141A. ESCLAVITUD SEXUAL EN </w:t>
      </w:r>
      <w:r w:rsidRPr="00113298">
        <w:rPr>
          <w:rFonts w:ascii="Times New Roman" w:eastAsiaTheme="minorHAnsi" w:hAnsi="Times New Roman" w:cs="Times New Roman"/>
          <w:b/>
          <w:iCs/>
          <w:color w:val="000000" w:themeColor="text1"/>
          <w:sz w:val="28"/>
          <w:szCs w:val="20"/>
          <w:u w:val="single"/>
        </w:rPr>
        <w:t>PERSONA PROTEGIDA</w:t>
      </w:r>
      <w:r w:rsidRPr="00113298">
        <w:rPr>
          <w:rFonts w:ascii="Times New Roman" w:eastAsiaTheme="minorHAnsi" w:hAnsi="Times New Roman" w:cs="Times New Roman"/>
          <w:b/>
          <w:iCs/>
          <w:color w:val="000000" w:themeColor="text1"/>
          <w:sz w:val="28"/>
          <w:szCs w:val="20"/>
        </w:rPr>
        <w:t xml:space="preserve">. </w:t>
      </w:r>
      <w:r w:rsidRPr="00113298">
        <w:rPr>
          <w:rFonts w:ascii="Times New Roman" w:eastAsiaTheme="minorHAnsi" w:hAnsi="Times New Roman" w:cs="Times New Roman"/>
          <w:bCs/>
          <w:iCs/>
          <w:color w:val="000000" w:themeColor="text1"/>
          <w:sz w:val="28"/>
          <w:szCs w:val="20"/>
        </w:rPr>
        <w:t xml:space="preserve">&lt;Artículo adicionado por el artículo 5 de la Ley 1719 de 2014. El nuevo texto es el siguiente:&gt; El que, con ocasión y en desarrollo del conflicto armado, ejerza uno de los atributos del derecho de </w:t>
      </w:r>
      <w:r w:rsidRPr="00113298">
        <w:rPr>
          <w:rFonts w:ascii="Times New Roman" w:eastAsiaTheme="minorHAnsi" w:hAnsi="Times New Roman" w:cs="Times New Roman"/>
          <w:bCs/>
          <w:iCs/>
          <w:color w:val="000000" w:themeColor="text1"/>
          <w:sz w:val="28"/>
          <w:szCs w:val="20"/>
        </w:rPr>
        <w:t xml:space="preserve">propiedad por medio de la violencia sobre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para que realice uno o más actos de naturaleza sexual, incurrirá en prisión de ciento sesenta (160) a trescientos veinticuatro (324) meses y multa de seiscientos sesenta y seis punto sesenta y sei</w:t>
      </w:r>
      <w:r w:rsidRPr="00113298">
        <w:rPr>
          <w:rFonts w:ascii="Times New Roman" w:eastAsiaTheme="minorHAnsi" w:hAnsi="Times New Roman" w:cs="Times New Roman"/>
          <w:bCs/>
          <w:iCs/>
          <w:color w:val="000000" w:themeColor="text1"/>
          <w:sz w:val="28"/>
          <w:szCs w:val="20"/>
        </w:rPr>
        <w:t xml:space="preserve">s (666.66) a mil quinientos (1.500) salarios mínimos legales mensuales vigentes. </w:t>
      </w:r>
    </w:p>
    <w:p w:rsidR="00930F15" w:rsidRPr="00113298" w:rsidRDefault="00113298" w:rsidP="00930F15">
      <w:pPr>
        <w:ind w:left="567" w:right="334"/>
        <w:jc w:val="both"/>
        <w:rPr>
          <w:rFonts w:ascii="Times New Roman" w:hAnsi="Times New Roman" w:cs="Times New Roman"/>
          <w:color w:val="000000" w:themeColor="text1"/>
          <w:sz w:val="28"/>
          <w:szCs w:val="20"/>
          <w:lang w:val="es-ES_tradnl"/>
        </w:rPr>
      </w:pPr>
    </w:p>
    <w:p w:rsidR="00930F15" w:rsidRPr="00113298" w:rsidRDefault="00113298" w:rsidP="00930F15">
      <w:pPr>
        <w:tabs>
          <w:tab w:val="left" w:pos="0"/>
          <w:tab w:val="left" w:pos="567"/>
        </w:tabs>
        <w:ind w:left="284" w:right="333"/>
        <w:contextualSpacing/>
        <w:jc w:val="both"/>
        <w:rPr>
          <w:rFonts w:ascii="Times New Roman" w:eastAsiaTheme="minorHAnsi" w:hAnsi="Times New Roman" w:cs="Times New Roman"/>
          <w:bCs/>
          <w:iCs/>
          <w:color w:val="000000" w:themeColor="text1"/>
          <w:sz w:val="28"/>
          <w:szCs w:val="20"/>
        </w:rPr>
      </w:pPr>
      <w:r w:rsidRPr="00113298">
        <w:rPr>
          <w:rFonts w:ascii="Times New Roman" w:eastAsiaTheme="minorHAnsi" w:hAnsi="Times New Roman" w:cs="Times New Roman"/>
          <w:b/>
          <w:iCs/>
          <w:color w:val="000000" w:themeColor="text1"/>
          <w:sz w:val="28"/>
          <w:szCs w:val="20"/>
        </w:rPr>
        <w:t xml:space="preserve">ARTÍCULO 141B. TRATA DE PERSONAS </w:t>
      </w:r>
      <w:r w:rsidRPr="00113298">
        <w:rPr>
          <w:rFonts w:ascii="Times New Roman" w:eastAsiaTheme="minorHAnsi" w:hAnsi="Times New Roman" w:cs="Times New Roman"/>
          <w:b/>
          <w:iCs/>
          <w:color w:val="000000" w:themeColor="text1"/>
          <w:sz w:val="28"/>
          <w:szCs w:val="20"/>
          <w:u w:val="single"/>
        </w:rPr>
        <w:t>EN PERSONA PROTEGIDA</w:t>
      </w:r>
      <w:r w:rsidRPr="00113298">
        <w:rPr>
          <w:rFonts w:ascii="Times New Roman" w:eastAsiaTheme="minorHAnsi" w:hAnsi="Times New Roman" w:cs="Times New Roman"/>
          <w:b/>
          <w:iCs/>
          <w:color w:val="000000" w:themeColor="text1"/>
          <w:sz w:val="28"/>
          <w:szCs w:val="20"/>
        </w:rPr>
        <w:t xml:space="preserve"> CON FINES DE EXPLOTACIÓN SEXUAL</w:t>
      </w:r>
      <w:r w:rsidRPr="00113298">
        <w:rPr>
          <w:rFonts w:ascii="Times New Roman" w:eastAsiaTheme="minorHAnsi" w:hAnsi="Times New Roman" w:cs="Times New Roman"/>
          <w:bCs/>
          <w:iCs/>
          <w:color w:val="000000" w:themeColor="text1"/>
          <w:sz w:val="28"/>
          <w:szCs w:val="20"/>
        </w:rPr>
        <w:t xml:space="preserve">.&lt;Artículo adicionado por el artículo 6 de la Ley 1719 de 2014. El nuevo texto es el siguiente:&gt; El que, con ocasión y en desarrollo del conflicto armado, capte, traslade, acoja o reciba a una </w:t>
      </w:r>
      <w:r w:rsidRPr="00113298">
        <w:rPr>
          <w:rFonts w:ascii="Times New Roman" w:eastAsiaTheme="minorHAnsi" w:hAnsi="Times New Roman" w:cs="Times New Roman"/>
          <w:bCs/>
          <w:iCs/>
          <w:color w:val="000000" w:themeColor="text1"/>
          <w:sz w:val="28"/>
          <w:szCs w:val="20"/>
          <w:u w:val="single"/>
        </w:rPr>
        <w:t>persona protegida</w:t>
      </w:r>
      <w:r w:rsidRPr="00113298">
        <w:rPr>
          <w:rFonts w:ascii="Times New Roman" w:eastAsiaTheme="minorHAnsi" w:hAnsi="Times New Roman" w:cs="Times New Roman"/>
          <w:bCs/>
          <w:iCs/>
          <w:color w:val="000000" w:themeColor="text1"/>
          <w:sz w:val="28"/>
          <w:szCs w:val="20"/>
        </w:rPr>
        <w:t xml:space="preserve"> dentro del territorio nacional o hacia el ext</w:t>
      </w:r>
      <w:r w:rsidRPr="00113298">
        <w:rPr>
          <w:rFonts w:ascii="Times New Roman" w:eastAsiaTheme="minorHAnsi" w:hAnsi="Times New Roman" w:cs="Times New Roman"/>
          <w:bCs/>
          <w:iCs/>
          <w:color w:val="000000" w:themeColor="text1"/>
          <w:sz w:val="28"/>
          <w:szCs w:val="20"/>
        </w:rPr>
        <w:t>erior, con fines de explotación sexual, incurrirá en prisión de ciento cincuenta y seis (156) a doscientos setenta y seis (276) meses y una multa de ochocientos (800) a mil quinientos (1.500) salarios mínimos legales mensuales vigentes. Para efectos de est</w:t>
      </w:r>
      <w:r w:rsidRPr="00113298">
        <w:rPr>
          <w:rFonts w:ascii="Times New Roman" w:eastAsiaTheme="minorHAnsi" w:hAnsi="Times New Roman" w:cs="Times New Roman"/>
          <w:bCs/>
          <w:iCs/>
          <w:color w:val="000000" w:themeColor="text1"/>
          <w:sz w:val="28"/>
          <w:szCs w:val="20"/>
        </w:rPr>
        <w:t>e artículo se entenderá por explotación de carácter sexual el obtener provecho económico o cualquier otro beneficio para sí o para otra persona, mediante la explotación de la prostitución ajena, la esclavitud sexual, el matrimonio servil, el turismo sexual</w:t>
      </w:r>
      <w:r w:rsidRPr="00113298">
        <w:rPr>
          <w:rFonts w:ascii="Times New Roman" w:eastAsiaTheme="minorHAnsi" w:hAnsi="Times New Roman" w:cs="Times New Roman"/>
          <w:bCs/>
          <w:iCs/>
          <w:color w:val="000000" w:themeColor="text1"/>
          <w:sz w:val="28"/>
          <w:szCs w:val="20"/>
        </w:rPr>
        <w:t xml:space="preserve"> o cualquier otra forma de explotación sexual.”</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r w:rsidRPr="00113298">
        <w:rPr>
          <w:rFonts w:ascii="Times New Roman" w:hAnsi="Times New Roman" w:cs="Times New Roman"/>
          <w:b/>
          <w:bCs/>
          <w:color w:val="000000" w:themeColor="text1"/>
          <w:sz w:val="28"/>
          <w:szCs w:val="28"/>
          <w:lang w:val="es-ES_tradnl"/>
        </w:rPr>
        <w:t>La demanda</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bookmarkStart w:id="4" w:name="_Hlk178756707"/>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 xml:space="preserve">La demandante señaló que las normas acusadas excluyen de la esfera de amparo a los combatientes que han sido víctimas de violencia sexual </w:t>
      </w:r>
      <w:r w:rsidRPr="00113298">
        <w:rPr>
          <w:rFonts w:ascii="Times New Roman" w:hAnsi="Times New Roman" w:cs="Times New Roman"/>
          <w:bCs/>
          <w:color w:val="000000" w:themeColor="text1"/>
          <w:sz w:val="28"/>
          <w:szCs w:val="28"/>
        </w:rPr>
        <w:t xml:space="preserve">como </w:t>
      </w:r>
      <w:r w:rsidRPr="00113298">
        <w:rPr>
          <w:rFonts w:ascii="Times New Roman" w:hAnsi="Times New Roman" w:cs="Times New Roman"/>
          <w:bCs/>
          <w:color w:val="000000" w:themeColor="text1"/>
          <w:sz w:val="28"/>
          <w:szCs w:val="28"/>
        </w:rPr>
        <w:t xml:space="preserve"> crimen de guerra cuando han sido atacados por miembros de su propio grupo armado. En tal sentido, el legislador incurrió en una omisión legislativa porque, a su juicio, estas personas deberían estar comprendidas en la definición de “persona protegida” per</w:t>
      </w:r>
      <w:r w:rsidRPr="00113298">
        <w:rPr>
          <w:rFonts w:ascii="Times New Roman" w:hAnsi="Times New Roman" w:cs="Times New Roman"/>
          <w:bCs/>
          <w:color w:val="000000" w:themeColor="text1"/>
          <w:sz w:val="28"/>
          <w:szCs w:val="28"/>
        </w:rPr>
        <w:t>o no lo están</w:t>
      </w:r>
      <w:r w:rsidRPr="00113298">
        <w:rPr>
          <w:rFonts w:ascii="Times New Roman" w:hAnsi="Times New Roman" w:cs="Times New Roman"/>
          <w:bCs/>
          <w:color w:val="000000" w:themeColor="text1"/>
          <w:sz w:val="28"/>
          <w:szCs w:val="28"/>
          <w:vertAlign w:val="superscript"/>
        </w:rPr>
        <w:footnoteReference w:id="10"/>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 xml:space="preserve">Aseguró que lo anterior propicia </w:t>
      </w:r>
      <w:r w:rsidRPr="00113298">
        <w:rPr>
          <w:rFonts w:ascii="Times New Roman" w:hAnsi="Times New Roman" w:cs="Times New Roman"/>
          <w:bCs/>
          <w:i/>
          <w:iCs/>
          <w:color w:val="000000" w:themeColor="text1"/>
          <w:sz w:val="28"/>
          <w:szCs w:val="28"/>
        </w:rPr>
        <w:t xml:space="preserve">(i) </w:t>
      </w:r>
      <w:r w:rsidRPr="00113298">
        <w:rPr>
          <w:rFonts w:ascii="Times New Roman" w:hAnsi="Times New Roman" w:cs="Times New Roman"/>
          <w:bCs/>
          <w:color w:val="000000" w:themeColor="text1"/>
          <w:sz w:val="28"/>
          <w:szCs w:val="28"/>
        </w:rPr>
        <w:t>que las disposiciones atacadas contraríen el artículo 93 de la Constitución Política al introducir un requisito no previsto en el Estatuto de Roma, el cual genera una excepción a la prohibición absolut</w:t>
      </w:r>
      <w:r w:rsidRPr="00113298">
        <w:rPr>
          <w:rFonts w:ascii="Times New Roman" w:hAnsi="Times New Roman" w:cs="Times New Roman"/>
          <w:bCs/>
          <w:color w:val="000000" w:themeColor="text1"/>
          <w:sz w:val="28"/>
          <w:szCs w:val="28"/>
        </w:rPr>
        <w:t>a de la esclavitud y a la servidumbre sexual y reduce el umbral de protección sin justificación alguna</w:t>
      </w:r>
      <w:r w:rsidRPr="00113298">
        <w:rPr>
          <w:rFonts w:ascii="Times New Roman" w:hAnsi="Times New Roman" w:cs="Times New Roman"/>
          <w:bCs/>
          <w:color w:val="000000" w:themeColor="text1"/>
          <w:sz w:val="28"/>
          <w:szCs w:val="28"/>
          <w:vertAlign w:val="superscript"/>
        </w:rPr>
        <w:footnoteReference w:id="11"/>
      </w:r>
      <w:r w:rsidRPr="00113298">
        <w:rPr>
          <w:rFonts w:ascii="Times New Roman" w:hAnsi="Times New Roman" w:cs="Times New Roman"/>
          <w:bCs/>
          <w:color w:val="000000" w:themeColor="text1"/>
          <w:sz w:val="28"/>
          <w:szCs w:val="28"/>
        </w:rPr>
        <w:t xml:space="preserve"> y </w:t>
      </w:r>
      <w:r w:rsidRPr="00113298">
        <w:rPr>
          <w:rFonts w:ascii="Times New Roman" w:hAnsi="Times New Roman" w:cs="Times New Roman"/>
          <w:bCs/>
          <w:i/>
          <w:iCs/>
          <w:color w:val="000000" w:themeColor="text1"/>
          <w:sz w:val="28"/>
          <w:szCs w:val="28"/>
        </w:rPr>
        <w:t xml:space="preserve">(ii) </w:t>
      </w:r>
      <w:r w:rsidRPr="00113298">
        <w:rPr>
          <w:rFonts w:ascii="Times New Roman" w:hAnsi="Times New Roman" w:cs="Times New Roman"/>
          <w:bCs/>
          <w:color w:val="000000" w:themeColor="text1"/>
          <w:sz w:val="28"/>
          <w:szCs w:val="28"/>
        </w:rPr>
        <w:t xml:space="preserve">un trato desigual innecesario, desproporcionado e injustificado, circunstancia que afecta derechos fundamentales y constituye una discriminación </w:t>
      </w:r>
      <w:r w:rsidRPr="00113298">
        <w:rPr>
          <w:rFonts w:ascii="Times New Roman" w:hAnsi="Times New Roman" w:cs="Times New Roman"/>
          <w:bCs/>
          <w:color w:val="000000" w:themeColor="text1"/>
          <w:sz w:val="28"/>
          <w:szCs w:val="28"/>
        </w:rPr>
        <w:t>que desconoce el principio de protección reforzada a personas en condición de debilidad manifiesta</w:t>
      </w:r>
      <w:r w:rsidRPr="00113298">
        <w:rPr>
          <w:rFonts w:ascii="Times New Roman" w:hAnsi="Times New Roman" w:cs="Times New Roman"/>
          <w:bCs/>
          <w:color w:val="000000" w:themeColor="text1"/>
          <w:sz w:val="28"/>
          <w:szCs w:val="28"/>
          <w:vertAlign w:val="superscript"/>
        </w:rPr>
        <w:footnoteReference w:id="12"/>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 xml:space="preserve">En especial, la demandante afirmó, primero, que las expresiones atacadas son incompatibles con los artículos 13 (principio de igualdad), 17 (prohibición </w:t>
      </w:r>
      <w:r w:rsidRPr="00113298">
        <w:rPr>
          <w:rFonts w:ascii="Times New Roman" w:hAnsi="Times New Roman" w:cs="Times New Roman"/>
          <w:bCs/>
          <w:color w:val="000000" w:themeColor="text1"/>
          <w:sz w:val="28"/>
          <w:szCs w:val="28"/>
        </w:rPr>
        <w:t>de la esclavitud y servidumbre sexual) y 44 (prevalencia de los derechos de los niños) de la Constitución y, por la vía del bloque de constitucionalidad, también refirió al principio de legalidad en materia penal internacional, la prohibición absoluta de l</w:t>
      </w:r>
      <w:r w:rsidRPr="00113298">
        <w:rPr>
          <w:rFonts w:ascii="Times New Roman" w:hAnsi="Times New Roman" w:cs="Times New Roman"/>
          <w:bCs/>
          <w:color w:val="000000" w:themeColor="text1"/>
          <w:sz w:val="28"/>
          <w:szCs w:val="28"/>
        </w:rPr>
        <w:t xml:space="preserve">a esclavitud en todas sus formas (norma de </w:t>
      </w:r>
      <w:r w:rsidRPr="00113298">
        <w:rPr>
          <w:rFonts w:ascii="Times New Roman" w:hAnsi="Times New Roman" w:cs="Times New Roman"/>
          <w:bCs/>
          <w:i/>
          <w:iCs/>
          <w:color w:val="000000" w:themeColor="text1"/>
          <w:sz w:val="28"/>
          <w:szCs w:val="28"/>
        </w:rPr>
        <w:t>ius cogens</w:t>
      </w:r>
      <w:r w:rsidRPr="00113298">
        <w:rPr>
          <w:rFonts w:ascii="Times New Roman" w:hAnsi="Times New Roman" w:cs="Times New Roman"/>
          <w:bCs/>
          <w:color w:val="000000" w:themeColor="text1"/>
          <w:sz w:val="28"/>
          <w:szCs w:val="28"/>
        </w:rPr>
        <w:t xml:space="preserve">), el artículo 3 común a los Convenios de Ginebra, la Regla 93 del Derecho Internacional Humanitario (DIH) consuetudinario, que prohíbe la violación y otras formas de violencia sexual, el artículo 8 (2) </w:t>
      </w:r>
      <w:r w:rsidRPr="00113298">
        <w:rPr>
          <w:rFonts w:ascii="Times New Roman" w:hAnsi="Times New Roman" w:cs="Times New Roman"/>
          <w:bCs/>
          <w:color w:val="000000" w:themeColor="text1"/>
          <w:sz w:val="28"/>
          <w:szCs w:val="28"/>
        </w:rPr>
        <w:t xml:space="preserve">(e) (vi) del Estatuto de Roma y diversos instrumentos internacionales de derechos humanos relacionados con la protección de la infancia y la erradicación de la explotación infantil.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Segundo, la actora se refirió a la sentencias C-225 de 1995 y C-269 de 2</w:t>
      </w:r>
      <w:r w:rsidRPr="00113298">
        <w:rPr>
          <w:rFonts w:ascii="Times New Roman" w:hAnsi="Times New Roman" w:cs="Times New Roman"/>
          <w:bCs/>
          <w:color w:val="000000" w:themeColor="text1"/>
          <w:sz w:val="28"/>
          <w:szCs w:val="28"/>
        </w:rPr>
        <w:t xml:space="preserve">014, las cuales reconocen la prevalencia de tratados de derechos humanos en el bloque de constitucionalidad. A su vez, citó la Resolución 1820 de 2008 de la ONU, la cual reconoció la violencia sexual como táctica de guerra. También aludió a jurisprudencia </w:t>
      </w:r>
      <w:r w:rsidRPr="00113298">
        <w:rPr>
          <w:rFonts w:ascii="Times New Roman" w:hAnsi="Times New Roman" w:cs="Times New Roman"/>
          <w:bCs/>
          <w:color w:val="000000" w:themeColor="text1"/>
          <w:sz w:val="28"/>
          <w:szCs w:val="28"/>
        </w:rPr>
        <w:t xml:space="preserve">internacional como el caso </w:t>
      </w:r>
      <w:r w:rsidRPr="00113298">
        <w:rPr>
          <w:rFonts w:ascii="Times New Roman" w:hAnsi="Times New Roman" w:cs="Times New Roman"/>
          <w:bCs/>
          <w:i/>
          <w:iCs/>
          <w:color w:val="000000" w:themeColor="text1"/>
          <w:sz w:val="28"/>
          <w:szCs w:val="28"/>
        </w:rPr>
        <w:t xml:space="preserve">Sepur Zarco </w:t>
      </w:r>
      <w:r w:rsidRPr="00113298">
        <w:rPr>
          <w:rFonts w:ascii="Times New Roman" w:hAnsi="Times New Roman" w:cs="Times New Roman"/>
          <w:bCs/>
          <w:color w:val="000000" w:themeColor="text1"/>
          <w:sz w:val="28"/>
          <w:szCs w:val="28"/>
        </w:rPr>
        <w:t xml:space="preserve">en Guatemala y a la decisión de la Corte Penal Internacional en el Caso </w:t>
      </w:r>
      <w:r w:rsidRPr="00113298">
        <w:rPr>
          <w:rFonts w:ascii="Times New Roman" w:hAnsi="Times New Roman" w:cs="Times New Roman"/>
          <w:bCs/>
          <w:i/>
          <w:iCs/>
          <w:color w:val="000000" w:themeColor="text1"/>
          <w:sz w:val="28"/>
          <w:szCs w:val="28"/>
        </w:rPr>
        <w:t>Ntaganda</w:t>
      </w:r>
      <w:r w:rsidRPr="00113298">
        <w:rPr>
          <w:rFonts w:ascii="Times New Roman" w:hAnsi="Times New Roman" w:cs="Times New Roman"/>
          <w:bCs/>
          <w:color w:val="000000" w:themeColor="text1"/>
          <w:sz w:val="28"/>
          <w:szCs w:val="28"/>
        </w:rPr>
        <w:t>, a partir del cual se concluyó que el estatus de la víctima es irrelevante para la calificación de la violencia sexual como crimen de gu</w:t>
      </w:r>
      <w:r w:rsidRPr="00113298">
        <w:rPr>
          <w:rFonts w:ascii="Times New Roman" w:hAnsi="Times New Roman" w:cs="Times New Roman"/>
          <w:bCs/>
          <w:color w:val="000000" w:themeColor="text1"/>
          <w:sz w:val="28"/>
          <w:szCs w:val="28"/>
        </w:rPr>
        <w:t>erra, pues el factor determinante es el nexo con el conflicto armado</w:t>
      </w:r>
      <w:r w:rsidRPr="00113298">
        <w:rPr>
          <w:rFonts w:ascii="Times New Roman" w:hAnsi="Times New Roman" w:cs="Times New Roman"/>
          <w:bCs/>
          <w:color w:val="000000" w:themeColor="text1"/>
          <w:sz w:val="28"/>
          <w:szCs w:val="28"/>
          <w:vertAlign w:val="superscript"/>
        </w:rPr>
        <w:footnoteReference w:id="13"/>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Tercero, la accionante precisó que le corresponde a la Corte Constitucional analizar las normas acusadas, pues no se configura el fenómeno de la cosa juzgada constitucional respecto d</w:t>
      </w:r>
      <w:r w:rsidRPr="00113298">
        <w:rPr>
          <w:rFonts w:ascii="Times New Roman" w:hAnsi="Times New Roman" w:cs="Times New Roman"/>
          <w:bCs/>
          <w:color w:val="000000" w:themeColor="text1"/>
          <w:sz w:val="28"/>
          <w:szCs w:val="28"/>
        </w:rPr>
        <w:t>e la Sentencia C-291 de 2007, mediante la cual la Corte Constitucional examinó parcialmente los artículos 135, 156 y 157 de la Ley 599 de 2000. Lo anterior, por cuanto en dicha oportunidad el análisis se centró en la expresión “combatientes”, sin que se ab</w:t>
      </w:r>
      <w:r w:rsidRPr="00113298">
        <w:rPr>
          <w:rFonts w:ascii="Times New Roman" w:hAnsi="Times New Roman" w:cs="Times New Roman"/>
          <w:bCs/>
          <w:color w:val="000000" w:themeColor="text1"/>
          <w:sz w:val="28"/>
          <w:szCs w:val="28"/>
        </w:rPr>
        <w:t>ordara la interpretación ni el alcance general del concepto de “persona protegida” en relación con la violencia sexual</w:t>
      </w:r>
      <w:r w:rsidRPr="00113298">
        <w:rPr>
          <w:rFonts w:ascii="Times New Roman" w:hAnsi="Times New Roman" w:cs="Times New Roman"/>
          <w:bCs/>
          <w:color w:val="000000" w:themeColor="text1"/>
          <w:sz w:val="28"/>
          <w:szCs w:val="28"/>
          <w:vertAlign w:val="superscript"/>
        </w:rPr>
        <w:footnoteReference w:id="14"/>
      </w:r>
      <w:r w:rsidRPr="00113298">
        <w:rPr>
          <w:rFonts w:ascii="Times New Roman" w:hAnsi="Times New Roman" w:cs="Times New Roman"/>
          <w:b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Cuarto, sostuvo que en el marco de una “Constitución viviente”, han surgido circunstancias fácticas, tanto a nivel nacional como internacional, que exigen un nuevo examen del asunto. Agregó que la aplicación práctica de las normas cuestionadas por la Juris</w:t>
      </w:r>
      <w:r w:rsidRPr="00113298">
        <w:rPr>
          <w:rFonts w:ascii="Times New Roman" w:hAnsi="Times New Roman" w:cs="Times New Roman"/>
          <w:bCs/>
          <w:color w:val="000000" w:themeColor="text1"/>
          <w:sz w:val="28"/>
          <w:szCs w:val="28"/>
        </w:rPr>
        <w:t xml:space="preserve">dicción Especial para la Paz (JEP) ha puesto en evidencia un impacto discriminatorio en los casos de violencia sexual en contra de las mujeres y niñas reclutadas, lo que ha generado una “zona gris legal” y ha dificultado la cooperación internacional en la </w:t>
      </w:r>
      <w:r w:rsidRPr="00113298">
        <w:rPr>
          <w:rFonts w:ascii="Times New Roman" w:hAnsi="Times New Roman" w:cs="Times New Roman"/>
          <w:bCs/>
          <w:color w:val="000000" w:themeColor="text1"/>
          <w:sz w:val="28"/>
          <w:szCs w:val="28"/>
        </w:rPr>
        <w:t>lucha en contra de la impunidad. A esto se le suma que existe una reticencia judicial y administrativa para reconocer la condición de víctima a esas mujeres y niñas, lo cual atribuye a una utilización errónea de la expresión “persona protegida” en los tipo</w:t>
      </w:r>
      <w:r w:rsidRPr="00113298">
        <w:rPr>
          <w:rFonts w:ascii="Times New Roman" w:hAnsi="Times New Roman" w:cs="Times New Roman"/>
          <w:bCs/>
          <w:color w:val="000000" w:themeColor="text1"/>
          <w:sz w:val="28"/>
          <w:szCs w:val="28"/>
        </w:rPr>
        <w:t xml:space="preserve">s penales de violencia sexual. Por ende, desconoce la ley de víctimas y la jurisprudencia de la Corte Constitucional y el Derecho Internacional Humanitario. </w:t>
      </w:r>
    </w:p>
    <w:p w:rsidR="00930F15" w:rsidRPr="00113298" w:rsidRDefault="00113298" w:rsidP="00930F15">
      <w:pPr>
        <w:rPr>
          <w:rFonts w:ascii="Times New Roman" w:eastAsiaTheme="minorHAnsi"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 xml:space="preserve">Por último, la demandante también argumentó que “la desmovilización voluntaria no existe” y que </w:t>
      </w:r>
      <w:r w:rsidRPr="00113298">
        <w:rPr>
          <w:rFonts w:ascii="Times New Roman" w:hAnsi="Times New Roman" w:cs="Times New Roman"/>
          <w:bCs/>
          <w:color w:val="000000" w:themeColor="text1"/>
          <w:sz w:val="28"/>
          <w:szCs w:val="28"/>
        </w:rPr>
        <w:t>“las personas que expresan la intención de desmovilizarse de los grupos armados ilegales son tenidas como traidores y enfrentan la tortura aleccionante y la muerte, no solo para ellos sino también para sus familiares”</w:t>
      </w:r>
      <w:r w:rsidRPr="00113298">
        <w:rPr>
          <w:rFonts w:ascii="Times New Roman" w:hAnsi="Times New Roman" w:cs="Times New Roman"/>
          <w:bCs/>
          <w:color w:val="000000" w:themeColor="text1"/>
          <w:sz w:val="28"/>
          <w:szCs w:val="28"/>
          <w:vertAlign w:val="superscript"/>
        </w:rPr>
        <w:footnoteReference w:id="15"/>
      </w:r>
      <w:r w:rsidRPr="00113298">
        <w:rPr>
          <w:rFonts w:ascii="Times New Roman" w:hAnsi="Times New Roman" w:cs="Times New Roman"/>
          <w:bCs/>
          <w:color w:val="000000" w:themeColor="text1"/>
          <w:sz w:val="28"/>
          <w:szCs w:val="28"/>
        </w:rPr>
        <w:t>. También llamó la atención sobre el i</w:t>
      </w:r>
      <w:r w:rsidRPr="00113298">
        <w:rPr>
          <w:rFonts w:ascii="Times New Roman" w:hAnsi="Times New Roman" w:cs="Times New Roman"/>
          <w:bCs/>
          <w:color w:val="000000" w:themeColor="text1"/>
          <w:sz w:val="28"/>
          <w:szCs w:val="28"/>
        </w:rPr>
        <w:t>ncremento en el reclutamiento forzado de niños y niñas desde el año 2016</w:t>
      </w:r>
      <w:r w:rsidRPr="00113298">
        <w:rPr>
          <w:rFonts w:ascii="Times New Roman" w:hAnsi="Times New Roman" w:cs="Times New Roman"/>
          <w:bCs/>
          <w:color w:val="000000" w:themeColor="text1"/>
          <w:sz w:val="28"/>
          <w:szCs w:val="28"/>
          <w:vertAlign w:val="superscript"/>
        </w:rPr>
        <w:footnoteReference w:id="16"/>
      </w:r>
      <w:r w:rsidRPr="00113298">
        <w:rPr>
          <w:rFonts w:ascii="Times New Roman" w:hAnsi="Times New Roman" w:cs="Times New Roman"/>
          <w:bCs/>
          <w:color w:val="000000" w:themeColor="text1"/>
          <w:sz w:val="28"/>
          <w:szCs w:val="28"/>
        </w:rPr>
        <w:t xml:space="preserve"> y, señaló que ello, generalmente está vinculado a la esclavitud sexual y a la trata de personas dentro de los grupos armados. Añadió que la Corte Constitucional ha reconocido que la </w:t>
      </w:r>
      <w:r w:rsidRPr="00113298">
        <w:rPr>
          <w:rFonts w:ascii="Times New Roman" w:hAnsi="Times New Roman" w:cs="Times New Roman"/>
          <w:bCs/>
          <w:color w:val="000000" w:themeColor="text1"/>
          <w:sz w:val="28"/>
          <w:szCs w:val="28"/>
        </w:rPr>
        <w:t xml:space="preserve">violencia sexual en el contexto de grupos armados ilegales es “habitual, extendida y sistemática”, con una afectación particularmente grave sobre niños y niñas.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color w:val="000000" w:themeColor="text1"/>
          <w:sz w:val="28"/>
          <w:szCs w:val="28"/>
        </w:rPr>
      </w:pPr>
    </w:p>
    <w:p w:rsidR="00930F15" w:rsidRPr="00113298" w:rsidRDefault="00113298" w:rsidP="00930F15">
      <w:pPr>
        <w:numPr>
          <w:ilvl w:val="0"/>
          <w:numId w:val="3"/>
        </w:numPr>
        <w:tabs>
          <w:tab w:val="left" w:pos="0"/>
          <w:tab w:val="left" w:pos="426"/>
        </w:tabs>
        <w:ind w:left="0" w:right="51" w:firstLine="0"/>
        <w:contextualSpacing/>
        <w:jc w:val="both"/>
        <w:rPr>
          <w:rFonts w:ascii="Times New Roman" w:hAnsi="Times New Roman" w:cs="Times New Roman"/>
          <w:bCs/>
          <w:color w:val="000000" w:themeColor="text1"/>
          <w:sz w:val="28"/>
          <w:szCs w:val="28"/>
        </w:rPr>
      </w:pPr>
      <w:r w:rsidRPr="00113298">
        <w:rPr>
          <w:rFonts w:ascii="Times New Roman" w:hAnsi="Times New Roman" w:cs="Times New Roman"/>
          <w:bCs/>
          <w:color w:val="000000" w:themeColor="text1"/>
          <w:sz w:val="28"/>
          <w:szCs w:val="28"/>
        </w:rPr>
        <w:t xml:space="preserve">En síntesis, sostuvo que las normas acusadas generan una discrepancia entre el derecho penal </w:t>
      </w:r>
      <w:r w:rsidRPr="00113298">
        <w:rPr>
          <w:rFonts w:ascii="Times New Roman" w:hAnsi="Times New Roman" w:cs="Times New Roman"/>
          <w:bCs/>
          <w:color w:val="000000" w:themeColor="text1"/>
          <w:sz w:val="28"/>
          <w:szCs w:val="28"/>
        </w:rPr>
        <w:t xml:space="preserve">colombiano y el Derecho Internacional Humanitario, en particular, dada la definición restrictiva de la categoría “persona protegida”, situación que conlleva a que exista un vacío de protección legal para las mujeres y niñas reclutadas, lo cual perpetúa la </w:t>
      </w:r>
      <w:r w:rsidRPr="00113298">
        <w:rPr>
          <w:rFonts w:ascii="Times New Roman" w:hAnsi="Times New Roman" w:cs="Times New Roman"/>
          <w:bCs/>
          <w:color w:val="000000" w:themeColor="text1"/>
          <w:sz w:val="28"/>
          <w:szCs w:val="28"/>
        </w:rPr>
        <w:t xml:space="preserve">impunidad y obstaculiza gravemente el acceso a la administración de justicia, la verdad y la reparación. Además, esa cláusula de exclusión contradice la prohibición de la esclavitud en todas sus formas y en contra de todas las personas, norma de </w:t>
      </w:r>
      <w:r w:rsidRPr="00113298">
        <w:rPr>
          <w:rFonts w:ascii="Times New Roman" w:hAnsi="Times New Roman" w:cs="Times New Roman"/>
          <w:bCs/>
          <w:i/>
          <w:iCs/>
          <w:color w:val="000000" w:themeColor="text1"/>
          <w:sz w:val="28"/>
          <w:szCs w:val="28"/>
        </w:rPr>
        <w:t>ius cogens</w:t>
      </w:r>
      <w:r w:rsidRPr="00113298">
        <w:rPr>
          <w:rFonts w:ascii="Times New Roman" w:hAnsi="Times New Roman" w:cs="Times New Roman"/>
          <w:bCs/>
          <w:color w:val="000000" w:themeColor="text1"/>
          <w:sz w:val="28"/>
          <w:szCs w:val="28"/>
        </w:rPr>
        <w:t xml:space="preserve"> que no puede ser modificada y que forma parte del núcleo duro del Derecho Internacional Humanitario y del bloque de constitucionalidad.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bookmarkStart w:id="5" w:name="_Toc208183508"/>
      <w:bookmarkEnd w:id="4"/>
      <w:r w:rsidRPr="00113298">
        <w:rPr>
          <w:rFonts w:ascii="Times New Roman" w:hAnsi="Times New Roman" w:cs="Times New Roman"/>
          <w:b/>
          <w:bCs/>
          <w:color w:val="000000" w:themeColor="text1"/>
          <w:sz w:val="28"/>
          <w:szCs w:val="28"/>
          <w:lang w:val="es-ES_tradnl"/>
        </w:rPr>
        <w:t>Intervenciones</w:t>
      </w:r>
      <w:bookmarkEnd w:id="5"/>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La Corte recibió nueve escritos de intervención</w:t>
      </w:r>
      <w:r w:rsidRPr="00113298">
        <w:rPr>
          <w:rFonts w:ascii="Times New Roman" w:eastAsiaTheme="minorHAnsi" w:hAnsi="Times New Roman" w:cs="Times New Roman"/>
          <w:bCs/>
          <w:iCs/>
          <w:color w:val="000000" w:themeColor="text1"/>
          <w:sz w:val="28"/>
          <w:szCs w:val="28"/>
          <w:vertAlign w:val="superscript"/>
        </w:rPr>
        <w:footnoteReference w:id="17"/>
      </w:r>
      <w:r w:rsidRPr="00113298">
        <w:rPr>
          <w:rFonts w:ascii="Times New Roman" w:eastAsiaTheme="minorHAnsi" w:hAnsi="Times New Roman" w:cs="Times New Roman"/>
          <w:bCs/>
          <w:iCs/>
          <w:color w:val="000000" w:themeColor="text1"/>
          <w:sz w:val="28"/>
          <w:szCs w:val="28"/>
        </w:rPr>
        <w:t xml:space="preserve">. La siguiente tabla sintetiza el sentido de las intervenciones ciudadanas y del concepto del procurador general de la Nación: </w:t>
      </w:r>
    </w:p>
    <w:p w:rsidR="00930F15" w:rsidRPr="00113298" w:rsidRDefault="00113298" w:rsidP="00930F15">
      <w:pPr>
        <w:rPr>
          <w:rFonts w:ascii="Times New Roman" w:eastAsiaTheme="minorHAnsi" w:hAnsi="Times New Roman" w:cs="Times New Roman"/>
          <w:bCs/>
          <w:i/>
          <w:color w:val="000000" w:themeColor="text1"/>
          <w:sz w:val="28"/>
        </w:rPr>
      </w:pP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lang w:val="es-ES_tradnl"/>
        </w:rPr>
      </w:pPr>
      <w:r w:rsidRPr="00113298">
        <w:rPr>
          <w:rFonts w:ascii="Times New Roman" w:hAnsi="Times New Roman" w:cs="Times New Roman"/>
          <w:bCs/>
          <w:i/>
          <w:color w:val="000000" w:themeColor="text1"/>
          <w:sz w:val="28"/>
          <w:lang w:val="es-ES_tradnl"/>
        </w:rPr>
        <w:t>Tabla 1. Intervenciones ciudadanas y concepto del PGN.</w:t>
      </w:r>
    </w:p>
    <w:tbl>
      <w:tblPr>
        <w:tblStyle w:val="Tablaconcuadrcula"/>
        <w:tblW w:w="9064" w:type="dxa"/>
        <w:tblLook w:val="04A0" w:firstRow="1" w:lastRow="0" w:firstColumn="1" w:lastColumn="0" w:noHBand="0" w:noVBand="1"/>
      </w:tblPr>
      <w:tblGrid>
        <w:gridCol w:w="488"/>
        <w:gridCol w:w="2768"/>
        <w:gridCol w:w="3260"/>
        <w:gridCol w:w="2548"/>
      </w:tblGrid>
      <w:tr w:rsidR="00930F15" w:rsidRPr="00113298" w:rsidTr="00CE1CA6">
        <w:tc>
          <w:tcPr>
            <w:tcW w:w="488"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eastAsiaTheme="minorHAnsi" w:cs="Times New Roman"/>
                <w:b/>
                <w:iCs/>
                <w:sz w:val="28"/>
              </w:rPr>
            </w:pPr>
          </w:p>
        </w:tc>
        <w:tc>
          <w:tcPr>
            <w:tcW w:w="2768"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Interviniente</w:t>
            </w:r>
          </w:p>
        </w:tc>
        <w:tc>
          <w:tcPr>
            <w:tcW w:w="3260"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Solicitud principal</w:t>
            </w:r>
          </w:p>
        </w:tc>
        <w:tc>
          <w:tcPr>
            <w:tcW w:w="2548"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Solicitudes subsidiarias</w:t>
            </w: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1</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r w:rsidRPr="00113298">
              <w:rPr>
                <w:rFonts w:eastAsiaTheme="minorHAnsi" w:cs="Times New Roman"/>
                <w:bCs/>
                <w:iCs/>
                <w:sz w:val="28"/>
              </w:rPr>
              <w:t>Instituto</w:t>
            </w:r>
            <w:r w:rsidRPr="00113298">
              <w:rPr>
                <w:rFonts w:eastAsiaTheme="minorHAnsi" w:cs="Times New Roman"/>
                <w:bCs/>
                <w:iCs/>
                <w:sz w:val="28"/>
              </w:rPr>
              <w:t xml:space="preserve"> Colombiano de Derecho Procesal</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r w:rsidRPr="00113298">
              <w:rPr>
                <w:rFonts w:eastAsiaTheme="minorHAnsi" w:cs="Times New Roman"/>
                <w:bCs/>
                <w:iCs/>
                <w:sz w:val="28"/>
              </w:rPr>
              <w:t>Exequibilidad de las expresiones “y las demás normas del presente título” y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2</w:t>
            </w:r>
          </w:p>
          <w:p w:rsidR="00930F15" w:rsidRPr="00113298" w:rsidRDefault="00113298" w:rsidP="00930F15">
            <w:pPr>
              <w:tabs>
                <w:tab w:val="left" w:pos="0"/>
                <w:tab w:val="left" w:pos="567"/>
              </w:tabs>
              <w:ind w:right="51"/>
              <w:contextualSpacing/>
              <w:jc w:val="center"/>
              <w:rPr>
                <w:rFonts w:eastAsiaTheme="minorHAnsi" w:cs="Times New Roman"/>
                <w:b/>
                <w:iCs/>
                <w:sz w:val="28"/>
              </w:rPr>
            </w:pP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Fundación Jurídica Proyecto Inocencia</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condicionada de la expresión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3</w:t>
            </w:r>
          </w:p>
        </w:tc>
        <w:tc>
          <w:tcPr>
            <w:tcW w:w="2768" w:type="dxa"/>
            <w:vAlign w:val="center"/>
          </w:tcPr>
          <w:p w:rsidR="00930F15" w:rsidRPr="00113298" w:rsidRDefault="00113298" w:rsidP="00930F15">
            <w:pPr>
              <w:tabs>
                <w:tab w:val="left" w:pos="0"/>
                <w:tab w:val="left" w:pos="567"/>
                <w:tab w:val="left" w:pos="765"/>
              </w:tabs>
              <w:ind w:right="51"/>
              <w:contextualSpacing/>
              <w:jc w:val="both"/>
              <w:rPr>
                <w:rFonts w:eastAsiaTheme="minorHAnsi" w:cs="Times New Roman"/>
                <w:bCs/>
                <w:iCs/>
                <w:sz w:val="28"/>
              </w:rPr>
            </w:pPr>
            <w:r w:rsidRPr="00113298">
              <w:rPr>
                <w:rFonts w:eastAsiaTheme="minorHAnsi" w:cs="Times New Roman"/>
                <w:bCs/>
                <w:iCs/>
                <w:sz w:val="28"/>
              </w:rPr>
              <w:t xml:space="preserve">Ministerio de </w:t>
            </w:r>
            <w:r w:rsidRPr="00113298">
              <w:rPr>
                <w:rFonts w:eastAsiaTheme="minorHAnsi" w:cs="Times New Roman"/>
                <w:bCs/>
                <w:iCs/>
                <w:sz w:val="28"/>
              </w:rPr>
              <w:t>Justicia y del Derecho</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de las expresiones “y las demás normas del presente título” y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4</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Universidad Pontificia Bolivariana</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r w:rsidRPr="00113298">
              <w:rPr>
                <w:rFonts w:eastAsiaTheme="minorHAnsi" w:cs="Times New Roman"/>
                <w:bCs/>
                <w:iCs/>
                <w:sz w:val="28"/>
              </w:rPr>
              <w:t>Exequibilidad condicionada de las expresiones “y las demás normas del presente título” y “persona</w:t>
            </w:r>
            <w:r w:rsidRPr="00113298">
              <w:rPr>
                <w:rFonts w:eastAsiaTheme="minorHAnsi" w:cs="Times New Roman"/>
                <w:bCs/>
                <w:iCs/>
                <w:sz w:val="28"/>
              </w:rPr>
              <w:t xml:space="preserve">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5</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Pontificia Universidad Javeriana</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r w:rsidRPr="00113298">
              <w:rPr>
                <w:rFonts w:eastAsiaTheme="minorHAnsi" w:cs="Times New Roman"/>
                <w:bCs/>
                <w:iCs/>
                <w:sz w:val="28"/>
              </w:rPr>
              <w:t>Exequibilidad de las expresiones “y las demás normas del presente título” y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6</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Universidad Libre de Colombia</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de las expresiones “y las demás normas del presente título” y</w:t>
            </w:r>
            <w:r w:rsidRPr="00113298">
              <w:rPr>
                <w:rFonts w:eastAsiaTheme="minorHAnsi" w:cs="Times New Roman"/>
                <w:bCs/>
                <w:iCs/>
                <w:sz w:val="28"/>
              </w:rPr>
              <w:t xml:space="preserve">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 xml:space="preserve">Exequibilidad condicionada </w:t>
            </w: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7</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Sala de Casación Penal Corte Suprema de Justicia</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de las expresiones “y las demás normas del presente título” y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8</w:t>
            </w:r>
          </w:p>
          <w:p w:rsidR="00930F15" w:rsidRPr="00113298" w:rsidRDefault="00113298" w:rsidP="00930F15">
            <w:pPr>
              <w:tabs>
                <w:tab w:val="left" w:pos="0"/>
                <w:tab w:val="left" w:pos="567"/>
              </w:tabs>
              <w:ind w:right="51"/>
              <w:contextualSpacing/>
              <w:jc w:val="center"/>
              <w:rPr>
                <w:rFonts w:eastAsiaTheme="minorHAnsi" w:cs="Times New Roman"/>
                <w:b/>
                <w:iCs/>
                <w:sz w:val="28"/>
              </w:rPr>
            </w:pP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Sala de Reconocimiento de Verdad, de Responsabilidad</w:t>
            </w:r>
            <w:r w:rsidRPr="00113298">
              <w:rPr>
                <w:rFonts w:eastAsiaTheme="minorHAnsi" w:cs="Times New Roman"/>
                <w:bCs/>
                <w:iCs/>
                <w:sz w:val="28"/>
              </w:rPr>
              <w:t xml:space="preserve"> y de Determinación de los Hechos y Conductas de la Jurisdicción Especial para la Paz (JEP)</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de la expresión “y las demás normas del presente título” e inexequibilidad de la expresión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“Abordar la discusión propuesta en la d</w:t>
            </w:r>
            <w:r w:rsidRPr="00113298">
              <w:rPr>
                <w:rFonts w:eastAsiaTheme="minorHAnsi" w:cs="Times New Roman"/>
                <w:bCs/>
                <w:iCs/>
                <w:sz w:val="28"/>
              </w:rPr>
              <w:t>emanda alrededor del entendimiento del concepto de persona protegida, aclarando que, en el uso genérico de esa expresión por el Código Penal, se debe entender que, en cualquier caso, abarca a las personas que integran un grupo armado respecto de las violen</w:t>
            </w:r>
            <w:r w:rsidRPr="00113298">
              <w:rPr>
                <w:rFonts w:eastAsiaTheme="minorHAnsi" w:cs="Times New Roman"/>
                <w:bCs/>
                <w:iCs/>
                <w:sz w:val="28"/>
              </w:rPr>
              <w:t>cias provenientes de otros integrantes de las filas”</w:t>
            </w: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9</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Defensoría del Pueblo</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Inexequibilidad de las expresiones “y las demás normas del presente título” y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r w:rsidR="00930F15" w:rsidRPr="00113298" w:rsidTr="00CE1CA6">
        <w:tc>
          <w:tcPr>
            <w:tcW w:w="488"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eastAsiaTheme="minorHAnsi" w:cs="Times New Roman"/>
                <w:b/>
                <w:iCs/>
                <w:sz w:val="28"/>
              </w:rPr>
            </w:pPr>
            <w:r w:rsidRPr="00113298">
              <w:rPr>
                <w:rFonts w:eastAsiaTheme="minorHAnsi" w:cs="Times New Roman"/>
                <w:b/>
                <w:iCs/>
                <w:sz w:val="28"/>
              </w:rPr>
              <w:t>10</w:t>
            </w:r>
          </w:p>
        </w:tc>
        <w:tc>
          <w:tcPr>
            <w:tcW w:w="2768"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Concepto del procurador general de la Nación</w:t>
            </w:r>
          </w:p>
        </w:tc>
        <w:tc>
          <w:tcPr>
            <w:tcW w:w="3260" w:type="dxa"/>
            <w:vAlign w:val="center"/>
          </w:tcPr>
          <w:p w:rsidR="00930F15" w:rsidRPr="00113298" w:rsidRDefault="00113298" w:rsidP="00930F15">
            <w:pPr>
              <w:tabs>
                <w:tab w:val="left" w:pos="0"/>
                <w:tab w:val="left" w:pos="567"/>
              </w:tabs>
              <w:ind w:right="51"/>
              <w:contextualSpacing/>
              <w:jc w:val="both"/>
              <w:rPr>
                <w:rFonts w:eastAsiaTheme="minorHAnsi" w:cs="Times New Roman"/>
                <w:bCs/>
                <w:iCs/>
                <w:sz w:val="28"/>
              </w:rPr>
            </w:pPr>
            <w:r w:rsidRPr="00113298">
              <w:rPr>
                <w:rFonts w:eastAsiaTheme="minorHAnsi" w:cs="Times New Roman"/>
                <w:bCs/>
                <w:iCs/>
                <w:sz w:val="28"/>
              </w:rPr>
              <w:t>Exequibilidad de la expresión</w:t>
            </w:r>
            <w:r w:rsidRPr="00113298">
              <w:rPr>
                <w:rFonts w:eastAsiaTheme="minorHAnsi" w:cs="Times New Roman"/>
                <w:bCs/>
                <w:iCs/>
                <w:sz w:val="28"/>
              </w:rPr>
              <w:t xml:space="preserve"> “y las demás normas del presente título” e inexequibilidad de la expresión “persona protegida”</w:t>
            </w:r>
          </w:p>
        </w:tc>
        <w:tc>
          <w:tcPr>
            <w:tcW w:w="2548" w:type="dxa"/>
            <w:vAlign w:val="center"/>
          </w:tcPr>
          <w:p w:rsidR="00930F15" w:rsidRPr="00113298" w:rsidRDefault="00113298" w:rsidP="00930F15">
            <w:pPr>
              <w:tabs>
                <w:tab w:val="left" w:pos="0"/>
                <w:tab w:val="left" w:pos="567"/>
              </w:tabs>
              <w:ind w:right="51"/>
              <w:contextualSpacing/>
              <w:jc w:val="both"/>
              <w:rPr>
                <w:rFonts w:eastAsiaTheme="minorHAnsi" w:cs="Times New Roman"/>
                <w:b/>
                <w:iCs/>
                <w:sz w:val="28"/>
              </w:rPr>
            </w:pPr>
          </w:p>
        </w:tc>
      </w:tr>
    </w:tbl>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keepNext/>
        <w:keepLines/>
        <w:widowControl w:val="0"/>
        <w:numPr>
          <w:ilvl w:val="1"/>
          <w:numId w:val="2"/>
        </w:numPr>
        <w:pBdr>
          <w:top w:val="none" w:sz="0" w:space="0" w:color="000000"/>
          <w:left w:val="none" w:sz="0" w:space="0" w:color="000000"/>
          <w:bottom w:val="none" w:sz="0" w:space="0" w:color="000000"/>
          <w:right w:val="none" w:sz="0" w:space="0" w:color="000000"/>
          <w:between w:val="none" w:sz="0" w:space="0" w:color="000000"/>
        </w:pBdr>
        <w:tabs>
          <w:tab w:val="left" w:pos="1134"/>
        </w:tabs>
        <w:jc w:val="both"/>
        <w:outlineLvl w:val="0"/>
        <w:rPr>
          <w:rFonts w:ascii="Times New Roman" w:hAnsi="Times New Roman" w:cs="Times New Roman"/>
          <w:b/>
          <w:bCs/>
          <w:sz w:val="28"/>
          <w:szCs w:val="28"/>
          <w:lang w:val="es-ES_tradnl"/>
        </w:rPr>
      </w:pPr>
      <w:r w:rsidRPr="00113298">
        <w:rPr>
          <w:rFonts w:ascii="Times New Roman" w:hAnsi="Times New Roman" w:cs="Times New Roman"/>
          <w:b/>
          <w:bCs/>
          <w:sz w:val="28"/>
          <w:szCs w:val="28"/>
          <w:lang w:val="es-ES_tradnl"/>
        </w:rPr>
        <w:t>Solicitudes de exequibilidad</w:t>
      </w:r>
    </w:p>
    <w:p w:rsidR="00930F15" w:rsidRPr="00113298" w:rsidRDefault="00113298" w:rsidP="00930F15">
      <w:pPr>
        <w:rPr>
          <w:rFonts w:ascii="Times New Roman" w:eastAsiaTheme="minorHAnsi" w:hAnsi="Times New Roman" w:cs="Times New Roman"/>
          <w:sz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sz w:val="28"/>
          <w:szCs w:val="28"/>
        </w:rPr>
        <w:t>Cinco intervinientes</w:t>
      </w:r>
      <w:r w:rsidRPr="00113298">
        <w:rPr>
          <w:rFonts w:ascii="Times New Roman" w:eastAsiaTheme="minorHAnsi" w:hAnsi="Times New Roman" w:cs="Times New Roman"/>
          <w:sz w:val="28"/>
          <w:vertAlign w:val="superscript"/>
        </w:rPr>
        <w:footnoteReference w:id="18"/>
      </w:r>
      <w:r w:rsidRPr="00113298">
        <w:rPr>
          <w:rFonts w:ascii="Times New Roman" w:eastAsiaTheme="minorHAnsi" w:hAnsi="Times New Roman" w:cs="Times New Roman"/>
          <w:sz w:val="28"/>
          <w:szCs w:val="28"/>
        </w:rPr>
        <w:t xml:space="preserve"> solicitaron que la Sala Plena declare la exequibilidad de las normas demandadas, ya que el legislador no incurrió en una omisión legislativa relativa, </w:t>
      </w:r>
      <w:r w:rsidRPr="00113298">
        <w:rPr>
          <w:rFonts w:ascii="Times New Roman" w:eastAsiaTheme="minorHAnsi" w:hAnsi="Times New Roman" w:cs="Times New Roman"/>
          <w:sz w:val="28"/>
          <w:szCs w:val="28"/>
        </w:rPr>
        <w:t>en atención a los siguientes argu</w:t>
      </w:r>
      <w:r w:rsidRPr="00113298">
        <w:rPr>
          <w:rFonts w:ascii="Times New Roman" w:eastAsiaTheme="minorHAnsi" w:hAnsi="Times New Roman" w:cs="Times New Roman"/>
          <w:sz w:val="28"/>
          <w:szCs w:val="28"/>
        </w:rPr>
        <w:t>m</w:t>
      </w:r>
      <w:r w:rsidRPr="00113298">
        <w:rPr>
          <w:rFonts w:ascii="Times New Roman" w:eastAsiaTheme="minorHAnsi" w:hAnsi="Times New Roman" w:cs="Times New Roman"/>
          <w:sz w:val="28"/>
          <w:szCs w:val="28"/>
        </w:rPr>
        <w:t>entos:</w:t>
      </w:r>
      <w:r w:rsidRPr="00113298">
        <w:rPr>
          <w:rFonts w:ascii="Times New Roman" w:eastAsiaTheme="minorHAnsi" w:hAnsi="Times New Roman" w:cs="Times New Roman"/>
          <w:sz w:val="28"/>
          <w:szCs w:val="28"/>
        </w:rPr>
        <w:t xml:space="preserve">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i/>
          <w:iCs/>
          <w:sz w:val="28"/>
          <w:szCs w:val="28"/>
        </w:rPr>
        <w:t>Primero,</w:t>
      </w:r>
      <w:r w:rsidRPr="00113298">
        <w:rPr>
          <w:rFonts w:ascii="Times New Roman" w:eastAsiaTheme="minorHAnsi" w:hAnsi="Times New Roman" w:cs="Times New Roman"/>
          <w:sz w:val="28"/>
          <w:szCs w:val="28"/>
        </w:rPr>
        <w:t xml:space="preserve"> el concepto de “persona protegida” previsto en el pa</w:t>
      </w:r>
      <w:r w:rsidRPr="00113298">
        <w:rPr>
          <w:rFonts w:ascii="Times New Roman" w:eastAsiaTheme="minorHAnsi" w:hAnsi="Times New Roman" w:cs="Times New Roman"/>
          <w:sz w:val="28"/>
          <w:szCs w:val="28"/>
        </w:rPr>
        <w:t xml:space="preserve">rágrafo del artículo 135 del Código Penal no constituye una categoría cerrada ni taxativa, sino una noción abierta que debe ser interpretada conforme al Derecho Internacional Humanitario y al bloque de constitucionalidad. Bajo esa perspectiva, la remisión </w:t>
      </w:r>
      <w:r w:rsidRPr="00113298">
        <w:rPr>
          <w:rFonts w:ascii="Times New Roman" w:eastAsiaTheme="minorHAnsi" w:hAnsi="Times New Roman" w:cs="Times New Roman"/>
          <w:sz w:val="28"/>
          <w:szCs w:val="28"/>
        </w:rPr>
        <w:t>expresa a los Convenios de Ginebra de 1949, a sus Protocolos Adicionales y otros instrumentos internacionales ratificados por Colombia, en especial a través del numeral 8 del parágrafo del artículo 135, permite</w:t>
      </w:r>
      <w:r w:rsidRPr="00113298">
        <w:rPr>
          <w:rFonts w:ascii="Times New Roman" w:eastAsiaTheme="minorHAnsi" w:hAnsi="Times New Roman" w:cs="Times New Roman"/>
          <w:sz w:val="28"/>
          <w:szCs w:val="28"/>
        </w:rPr>
        <w:t>n</w:t>
      </w:r>
      <w:r w:rsidRPr="00113298">
        <w:rPr>
          <w:rFonts w:ascii="Times New Roman" w:eastAsiaTheme="minorHAnsi" w:hAnsi="Times New Roman" w:cs="Times New Roman"/>
          <w:sz w:val="28"/>
          <w:szCs w:val="28"/>
        </w:rPr>
        <w:t xml:space="preserve"> integrar dentro de la protección a sujetos que, aunque formen parte de grupos armados, adquieren la condición de personas protegidas cuando son víctimas de crímenes de guerra, lo cual incluye la violencia sexual intrafilas. En consecuencia, el ordenamient</w:t>
      </w:r>
      <w:r w:rsidRPr="00113298">
        <w:rPr>
          <w:rFonts w:ascii="Times New Roman" w:eastAsiaTheme="minorHAnsi" w:hAnsi="Times New Roman" w:cs="Times New Roman"/>
          <w:sz w:val="28"/>
          <w:szCs w:val="28"/>
        </w:rPr>
        <w:t xml:space="preserve">o jurídico vigente ya ofrece herramientas normativas suficientes para garantizar la protección de tales víctimas. </w:t>
      </w:r>
    </w:p>
    <w:p w:rsidR="00930F15" w:rsidRPr="00113298" w:rsidRDefault="00113298" w:rsidP="00930F15">
      <w:pPr>
        <w:autoSpaceDE w:val="0"/>
        <w:autoSpaceDN w:val="0"/>
        <w:adjustRightInd w:val="0"/>
        <w:spacing w:before="1"/>
        <w:ind w:left="39" w:right="103"/>
        <w:jc w:val="both"/>
        <w:rPr>
          <w:rFonts w:ascii="Times New Roman" w:hAnsi="Times New Roman" w:cs="Times New Roman"/>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i/>
          <w:iCs/>
          <w:sz w:val="28"/>
          <w:szCs w:val="28"/>
        </w:rPr>
        <w:t>Segundo,</w:t>
      </w:r>
      <w:r w:rsidRPr="00113298">
        <w:rPr>
          <w:rFonts w:ascii="Times New Roman" w:eastAsiaTheme="minorHAnsi" w:hAnsi="Times New Roman" w:cs="Times New Roman"/>
          <w:sz w:val="28"/>
          <w:szCs w:val="28"/>
        </w:rPr>
        <w:t xml:space="preserve"> en la Sentencia C-291 de 2007, la Corte Constitucional determinó que, en el caso de mujeres, cuando hacen parte de grupos armados a</w:t>
      </w:r>
      <w:r w:rsidRPr="00113298">
        <w:rPr>
          <w:rFonts w:ascii="Times New Roman" w:eastAsiaTheme="minorHAnsi" w:hAnsi="Times New Roman" w:cs="Times New Roman"/>
          <w:sz w:val="28"/>
          <w:szCs w:val="28"/>
        </w:rPr>
        <w:t>l margen de la ley y son sometidas a agresiones sexuales, gozan de la condición de “persona protegida”, debido a que no son sujetos activos en las hostilidades. Por otro lado, frente a los niños, niñas y adolescentes, estos también son “personas protegidas</w:t>
      </w:r>
      <w:r w:rsidRPr="00113298">
        <w:rPr>
          <w:rFonts w:ascii="Times New Roman" w:eastAsiaTheme="minorHAnsi" w:hAnsi="Times New Roman" w:cs="Times New Roman"/>
          <w:sz w:val="28"/>
          <w:szCs w:val="28"/>
        </w:rPr>
        <w:t xml:space="preserve">”, pues el artículo 162 del Código Penal, tipifica el reclutamiento de menores como una conducta ilícita, mandato que fue reiterado en la Sentencia C-240 de 2009. </w:t>
      </w:r>
    </w:p>
    <w:p w:rsidR="00930F15" w:rsidRPr="00113298" w:rsidRDefault="00113298" w:rsidP="00930F15">
      <w:pPr>
        <w:autoSpaceDE w:val="0"/>
        <w:autoSpaceDN w:val="0"/>
        <w:adjustRightInd w:val="0"/>
        <w:spacing w:before="1"/>
        <w:ind w:left="39" w:right="103"/>
        <w:jc w:val="both"/>
        <w:rPr>
          <w:rFonts w:ascii="Times New Roman" w:hAnsi="Times New Roman" w:cs="Times New Roman"/>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i/>
          <w:iCs/>
          <w:sz w:val="28"/>
          <w:szCs w:val="28"/>
        </w:rPr>
        <w:t>Tercero</w:t>
      </w:r>
      <w:r w:rsidRPr="00113298">
        <w:rPr>
          <w:rFonts w:ascii="Times New Roman" w:eastAsiaTheme="minorHAnsi" w:hAnsi="Times New Roman" w:cs="Times New Roman"/>
          <w:sz w:val="28"/>
          <w:szCs w:val="28"/>
        </w:rPr>
        <w:t>, el Derecho Internacional Humanitario no se agota en el principio de distinción, po</w:t>
      </w:r>
      <w:r w:rsidRPr="00113298">
        <w:rPr>
          <w:rFonts w:ascii="Times New Roman" w:eastAsiaTheme="minorHAnsi" w:hAnsi="Times New Roman" w:cs="Times New Roman"/>
          <w:sz w:val="28"/>
          <w:szCs w:val="28"/>
        </w:rPr>
        <w:t>r el contrario, encuentra su eje estructural en el principio de humanidad, el cual impide considerar legítimos actos como la violencia sexual, incluso cuando son cometidos al interior de las propias filas. En ese sentido, la Corte Penal Internacional en el</w:t>
      </w:r>
      <w:r w:rsidRPr="00113298">
        <w:rPr>
          <w:rFonts w:ascii="Times New Roman" w:eastAsiaTheme="minorHAnsi" w:hAnsi="Times New Roman" w:cs="Times New Roman"/>
          <w:sz w:val="28"/>
          <w:szCs w:val="28"/>
        </w:rPr>
        <w:t xml:space="preserve"> caso </w:t>
      </w:r>
      <w:r w:rsidRPr="00113298">
        <w:rPr>
          <w:rFonts w:ascii="Times New Roman" w:eastAsiaTheme="minorHAnsi" w:hAnsi="Times New Roman" w:cs="Times New Roman"/>
          <w:i/>
          <w:iCs/>
          <w:sz w:val="28"/>
          <w:szCs w:val="28"/>
        </w:rPr>
        <w:t>Bosco Ntaganda</w:t>
      </w:r>
      <w:r w:rsidRPr="00113298">
        <w:rPr>
          <w:rFonts w:ascii="Times New Roman" w:eastAsiaTheme="minorHAnsi" w:hAnsi="Times New Roman" w:cs="Times New Roman"/>
          <w:sz w:val="28"/>
          <w:szCs w:val="28"/>
        </w:rPr>
        <w:t xml:space="preserve"> concluyó que los miembros de las mismas fuerzas armadas en conflicto pueden ser considerados víctimas de crímenes de guerra, de violación y esclavitud sexual. Así, las disposiciones demandadas no desconocen que las víctimas de violenci</w:t>
      </w:r>
      <w:r w:rsidRPr="00113298">
        <w:rPr>
          <w:rFonts w:ascii="Times New Roman" w:eastAsiaTheme="minorHAnsi" w:hAnsi="Times New Roman" w:cs="Times New Roman"/>
          <w:sz w:val="28"/>
          <w:szCs w:val="28"/>
        </w:rPr>
        <w:t xml:space="preserve">a sexual intrafilas tienen el carácter de “persona protegida” comprendido en el Derecho Internacional Humanitario. </w:t>
      </w:r>
    </w:p>
    <w:p w:rsidR="00930F15" w:rsidRPr="00113298" w:rsidRDefault="00113298" w:rsidP="00930F15">
      <w:pPr>
        <w:autoSpaceDE w:val="0"/>
        <w:autoSpaceDN w:val="0"/>
        <w:adjustRightInd w:val="0"/>
        <w:spacing w:before="1"/>
        <w:ind w:left="39" w:right="103"/>
        <w:jc w:val="both"/>
        <w:rPr>
          <w:rFonts w:ascii="Times New Roman" w:hAnsi="Times New Roman" w:cs="Times New Roman"/>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i/>
          <w:iCs/>
          <w:sz w:val="28"/>
          <w:szCs w:val="28"/>
        </w:rPr>
        <w:t xml:space="preserve">Cuarto, </w:t>
      </w:r>
      <w:r w:rsidRPr="00113298">
        <w:rPr>
          <w:rFonts w:ascii="Times New Roman" w:eastAsiaTheme="minorHAnsi" w:hAnsi="Times New Roman" w:cs="Times New Roman"/>
          <w:sz w:val="28"/>
          <w:szCs w:val="28"/>
        </w:rPr>
        <w:t>las conductas desplegadas en el marco del conflicto armado no internacional colombiano deben ser analizadas a partir de los princip</w:t>
      </w:r>
      <w:r w:rsidRPr="00113298">
        <w:rPr>
          <w:rFonts w:ascii="Times New Roman" w:eastAsiaTheme="minorHAnsi" w:hAnsi="Times New Roman" w:cs="Times New Roman"/>
          <w:sz w:val="28"/>
          <w:szCs w:val="28"/>
        </w:rPr>
        <w:t xml:space="preserve">ios </w:t>
      </w:r>
      <w:r w:rsidRPr="00113298">
        <w:rPr>
          <w:rFonts w:ascii="Times New Roman" w:eastAsiaTheme="minorHAnsi" w:hAnsi="Times New Roman" w:cs="Times New Roman"/>
          <w:i/>
          <w:iCs/>
          <w:sz w:val="28"/>
          <w:szCs w:val="28"/>
        </w:rPr>
        <w:t xml:space="preserve">pro homine </w:t>
      </w:r>
      <w:r w:rsidRPr="00113298">
        <w:rPr>
          <w:rFonts w:ascii="Times New Roman" w:eastAsiaTheme="minorHAnsi" w:hAnsi="Times New Roman" w:cs="Times New Roman"/>
          <w:sz w:val="28"/>
          <w:szCs w:val="28"/>
        </w:rPr>
        <w:t xml:space="preserve">y </w:t>
      </w:r>
      <w:r w:rsidRPr="00113298">
        <w:rPr>
          <w:rFonts w:ascii="Times New Roman" w:eastAsiaTheme="minorHAnsi" w:hAnsi="Times New Roman" w:cs="Times New Roman"/>
          <w:i/>
          <w:iCs/>
          <w:sz w:val="28"/>
          <w:szCs w:val="28"/>
        </w:rPr>
        <w:t>pro víctima</w:t>
      </w:r>
      <w:r w:rsidRPr="00113298">
        <w:rPr>
          <w:rFonts w:ascii="Times New Roman" w:eastAsiaTheme="minorHAnsi" w:hAnsi="Times New Roman" w:cs="Times New Roman"/>
          <w:sz w:val="28"/>
          <w:szCs w:val="28"/>
        </w:rPr>
        <w:t>, así como a partir de un alcance teleológico de las normas del Derecho Internacional Humanitario. Bajo esa interpretación, es posible concluir que dentro de las disposiciones jurídicas demandadas existe una protección a las víc</w:t>
      </w:r>
      <w:r w:rsidRPr="00113298">
        <w:rPr>
          <w:rFonts w:ascii="Times New Roman" w:eastAsiaTheme="minorHAnsi" w:hAnsi="Times New Roman" w:cs="Times New Roman"/>
          <w:sz w:val="28"/>
          <w:szCs w:val="28"/>
        </w:rPr>
        <w:t>timas de violencia sexual intrafilas, con independencia del estatus ostentado al interior del grupo armado al que pertenezcan.</w:t>
      </w:r>
    </w:p>
    <w:p w:rsidR="00930F15" w:rsidRPr="00113298" w:rsidRDefault="00113298" w:rsidP="00930F15">
      <w:pPr>
        <w:keepNext/>
        <w:keepLines/>
        <w:widowControl w:val="0"/>
        <w:pBdr>
          <w:top w:val="none" w:sz="0" w:space="0" w:color="000000"/>
          <w:left w:val="none" w:sz="0" w:space="0" w:color="000000"/>
          <w:bottom w:val="none" w:sz="0" w:space="0" w:color="000000"/>
          <w:right w:val="none" w:sz="0" w:space="0" w:color="000000"/>
          <w:between w:val="none" w:sz="0" w:space="0" w:color="000000"/>
        </w:pBdr>
        <w:tabs>
          <w:tab w:val="left" w:pos="1134"/>
        </w:tabs>
        <w:ind w:left="792"/>
        <w:jc w:val="both"/>
        <w:outlineLvl w:val="0"/>
        <w:rPr>
          <w:rFonts w:ascii="Times New Roman" w:hAnsi="Times New Roman" w:cs="Times New Roman"/>
          <w:b/>
          <w:bCs/>
          <w:sz w:val="28"/>
          <w:szCs w:val="28"/>
          <w:lang w:val="es-ES_tradnl"/>
        </w:rPr>
      </w:pPr>
    </w:p>
    <w:p w:rsidR="00930F15" w:rsidRPr="00113298" w:rsidRDefault="00113298" w:rsidP="00930F15">
      <w:pPr>
        <w:keepNext/>
        <w:keepLines/>
        <w:widowControl w:val="0"/>
        <w:numPr>
          <w:ilvl w:val="1"/>
          <w:numId w:val="2"/>
        </w:numPr>
        <w:pBdr>
          <w:top w:val="none" w:sz="0" w:space="0" w:color="000000"/>
          <w:left w:val="none" w:sz="0" w:space="0" w:color="000000"/>
          <w:bottom w:val="none" w:sz="0" w:space="0" w:color="000000"/>
          <w:right w:val="none" w:sz="0" w:space="0" w:color="000000"/>
          <w:between w:val="none" w:sz="0" w:space="0" w:color="000000"/>
        </w:pBdr>
        <w:tabs>
          <w:tab w:val="left" w:pos="1134"/>
        </w:tabs>
        <w:jc w:val="both"/>
        <w:outlineLvl w:val="0"/>
        <w:rPr>
          <w:rFonts w:ascii="Times New Roman" w:hAnsi="Times New Roman" w:cs="Times New Roman"/>
          <w:b/>
          <w:bCs/>
          <w:sz w:val="28"/>
          <w:szCs w:val="28"/>
          <w:lang w:val="es-ES_tradnl"/>
        </w:rPr>
      </w:pPr>
      <w:r w:rsidRPr="00113298">
        <w:rPr>
          <w:rFonts w:ascii="Times New Roman" w:hAnsi="Times New Roman" w:cs="Times New Roman"/>
          <w:b/>
          <w:bCs/>
          <w:sz w:val="28"/>
          <w:szCs w:val="28"/>
          <w:lang w:val="es-ES_tradnl"/>
        </w:rPr>
        <w:t xml:space="preserve"> Solicitudes exequibilidad condicionada</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Dos intervinientes</w:t>
      </w:r>
      <w:r w:rsidRPr="00113298">
        <w:rPr>
          <w:rFonts w:ascii="Times New Roman" w:eastAsiaTheme="minorHAnsi" w:hAnsi="Times New Roman" w:cs="Times New Roman"/>
          <w:bCs/>
          <w:iCs/>
          <w:sz w:val="28"/>
          <w:szCs w:val="28"/>
          <w:vertAlign w:val="superscript"/>
        </w:rPr>
        <w:footnoteReference w:id="19"/>
      </w:r>
      <w:r w:rsidRPr="00113298">
        <w:rPr>
          <w:rFonts w:ascii="Times New Roman" w:eastAsiaTheme="minorHAnsi" w:hAnsi="Times New Roman" w:cs="Times New Roman"/>
          <w:bCs/>
          <w:iCs/>
          <w:sz w:val="28"/>
          <w:szCs w:val="28"/>
        </w:rPr>
        <w:t xml:space="preserve"> pidieron la declaratoria de exequibilidad condicionada de las normas demandadas, ya que consideran que la actual redacción de las normas puede generar un riesgo de déficit de protección frente a las víctimas de violencia sexual intrafilas, en la medida en</w:t>
      </w:r>
      <w:r w:rsidRPr="00113298">
        <w:rPr>
          <w:rFonts w:ascii="Times New Roman" w:eastAsiaTheme="minorHAnsi" w:hAnsi="Times New Roman" w:cs="Times New Roman"/>
          <w:bCs/>
          <w:iCs/>
          <w:sz w:val="28"/>
          <w:szCs w:val="28"/>
        </w:rPr>
        <w:t xml:space="preserve"> que una lectura literal del concepto de “persona protegida” podría conducir a la exclusión de combatientes que sufren ese tipo de violencias al interior de los grupos armados.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A su vez, resaltaron que la violencia sexual y reproductiva carece de cualqui</w:t>
      </w:r>
      <w:r w:rsidRPr="00113298">
        <w:rPr>
          <w:rFonts w:ascii="Times New Roman" w:eastAsiaTheme="minorHAnsi" w:hAnsi="Times New Roman" w:cs="Times New Roman"/>
          <w:bCs/>
          <w:iCs/>
          <w:sz w:val="28"/>
          <w:szCs w:val="28"/>
        </w:rPr>
        <w:t>er justificación y se encuentra proscrita de manera absoluta por el Derecho Internacional Humanitario y el Derecho Penal Internacional. Por ello, resulta irrazonable supeditar la protección penal a la condición formal de combatiente o no combatiente. Igual</w:t>
      </w:r>
      <w:r w:rsidRPr="00113298">
        <w:rPr>
          <w:rFonts w:ascii="Times New Roman" w:eastAsiaTheme="minorHAnsi" w:hAnsi="Times New Roman" w:cs="Times New Roman"/>
          <w:bCs/>
          <w:iCs/>
          <w:sz w:val="28"/>
          <w:szCs w:val="28"/>
        </w:rPr>
        <w:t xml:space="preserve">mente, precisaron que excluir a las víctimas intrafilas genera un trato desigual injustificado frente a otras víctimas del mismo conflicto.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A pesar de lo anterior, adujeron que tal circunstancia no amerita expul</w:t>
      </w:r>
      <w:r w:rsidRPr="00113298">
        <w:rPr>
          <w:rFonts w:ascii="Times New Roman" w:eastAsiaTheme="minorHAnsi" w:hAnsi="Times New Roman" w:cs="Times New Roman"/>
          <w:bCs/>
          <w:iCs/>
          <w:sz w:val="28"/>
          <w:szCs w:val="28"/>
        </w:rPr>
        <w:t>sar</w:t>
      </w:r>
      <w:r w:rsidRPr="00113298">
        <w:rPr>
          <w:rFonts w:ascii="Times New Roman" w:eastAsiaTheme="minorHAnsi" w:hAnsi="Times New Roman" w:cs="Times New Roman"/>
          <w:bCs/>
          <w:iCs/>
          <w:sz w:val="28"/>
          <w:szCs w:val="28"/>
        </w:rPr>
        <w:t xml:space="preserve"> de las disposiciones del ordenamiento j</w:t>
      </w:r>
      <w:r w:rsidRPr="00113298">
        <w:rPr>
          <w:rFonts w:ascii="Times New Roman" w:eastAsiaTheme="minorHAnsi" w:hAnsi="Times New Roman" w:cs="Times New Roman"/>
          <w:bCs/>
          <w:iCs/>
          <w:sz w:val="28"/>
          <w:szCs w:val="28"/>
        </w:rPr>
        <w:t>urídico, sino una decisión interpretativa que armonice el texto legal con los estándares constitucionales e internacionales aplicables, de forma tal que el concepto de persona protegida se interprete de forma amplia e incluyente. En ese sentido, solicitaro</w:t>
      </w:r>
      <w:r w:rsidRPr="00113298">
        <w:rPr>
          <w:rFonts w:ascii="Times New Roman" w:eastAsiaTheme="minorHAnsi" w:hAnsi="Times New Roman" w:cs="Times New Roman"/>
          <w:bCs/>
          <w:iCs/>
          <w:sz w:val="28"/>
          <w:szCs w:val="28"/>
        </w:rPr>
        <w:t xml:space="preserve">n que la Corte declare la exequibilidad de las expresiones acusadas, bajo el entendido de que las víctimas de violencia sexual cometida con ocasión y en desarrollo del conflicto armado, tienen la condición de personas protegidas.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sz w:val="28"/>
          <w:szCs w:val="28"/>
        </w:rPr>
      </w:pPr>
    </w:p>
    <w:p w:rsidR="00930F15" w:rsidRPr="00113298" w:rsidRDefault="00113298" w:rsidP="00930F15">
      <w:pPr>
        <w:keepNext/>
        <w:keepLines/>
        <w:widowControl w:val="0"/>
        <w:numPr>
          <w:ilvl w:val="1"/>
          <w:numId w:val="2"/>
        </w:numPr>
        <w:pBdr>
          <w:top w:val="none" w:sz="0" w:space="0" w:color="000000"/>
          <w:left w:val="none" w:sz="0" w:space="0" w:color="000000"/>
          <w:bottom w:val="none" w:sz="0" w:space="0" w:color="000000"/>
          <w:right w:val="none" w:sz="0" w:space="0" w:color="000000"/>
          <w:between w:val="none" w:sz="0" w:space="0" w:color="000000"/>
        </w:pBdr>
        <w:tabs>
          <w:tab w:val="left" w:pos="1134"/>
        </w:tabs>
        <w:jc w:val="both"/>
        <w:outlineLvl w:val="0"/>
        <w:rPr>
          <w:rFonts w:ascii="Times New Roman" w:hAnsi="Times New Roman" w:cs="Times New Roman"/>
          <w:b/>
          <w:bCs/>
          <w:sz w:val="28"/>
          <w:szCs w:val="28"/>
          <w:lang w:val="es-ES_tradnl"/>
        </w:rPr>
      </w:pPr>
      <w:r w:rsidRPr="00113298">
        <w:rPr>
          <w:rFonts w:ascii="Times New Roman" w:hAnsi="Times New Roman" w:cs="Times New Roman"/>
          <w:b/>
          <w:bCs/>
          <w:sz w:val="28"/>
          <w:szCs w:val="28"/>
          <w:lang w:val="es-ES_tradnl"/>
        </w:rPr>
        <w:t xml:space="preserve">Solicitudes </w:t>
      </w:r>
      <w:r w:rsidRPr="00113298">
        <w:rPr>
          <w:rFonts w:ascii="Times New Roman" w:hAnsi="Times New Roman" w:cs="Times New Roman"/>
          <w:b/>
          <w:bCs/>
          <w:sz w:val="28"/>
          <w:szCs w:val="28"/>
          <w:lang w:val="es-ES_tradnl"/>
        </w:rPr>
        <w:t>inexequibilidad</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Dos intervinientes presentaron argumentos que dan cuenta de la inexequibilidad de las normas</w:t>
      </w:r>
      <w:r w:rsidRPr="00113298">
        <w:rPr>
          <w:rFonts w:ascii="Times New Roman" w:eastAsiaTheme="minorHAnsi" w:hAnsi="Times New Roman" w:cs="Times New Roman"/>
          <w:bCs/>
          <w:iCs/>
          <w:sz w:val="28"/>
          <w:szCs w:val="28"/>
          <w:vertAlign w:val="superscript"/>
        </w:rPr>
        <w:footnoteReference w:id="20"/>
      </w:r>
      <w:r w:rsidRPr="00113298">
        <w:rPr>
          <w:rFonts w:ascii="Times New Roman" w:eastAsiaTheme="minorHAnsi" w:hAnsi="Times New Roman" w:cs="Times New Roman"/>
          <w:bCs/>
          <w:iCs/>
          <w:sz w:val="28"/>
          <w:szCs w:val="28"/>
        </w:rPr>
        <w:t>, en especial, de la expresión “persona protegida”. Para tal fin, afirmaron que el legislador incurrió en una omisión legislativa relativa al intr</w:t>
      </w:r>
      <w:r w:rsidRPr="00113298">
        <w:rPr>
          <w:rFonts w:ascii="Times New Roman" w:eastAsiaTheme="minorHAnsi" w:hAnsi="Times New Roman" w:cs="Times New Roman"/>
          <w:bCs/>
          <w:iCs/>
          <w:sz w:val="28"/>
          <w:szCs w:val="28"/>
        </w:rPr>
        <w:t xml:space="preserve">oducir un requisito de estatus del sujeto pasivo que no existe en el Derecho Internacional Humanitario ni en el Derecho Penal Internacional.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Según esta postura, condicionar la configuración de los delitos a que la víctima sea una “persona protegida” conf</w:t>
      </w:r>
      <w:r w:rsidRPr="00113298">
        <w:rPr>
          <w:rFonts w:ascii="Times New Roman" w:eastAsiaTheme="minorHAnsi" w:hAnsi="Times New Roman" w:cs="Times New Roman"/>
          <w:bCs/>
          <w:iCs/>
          <w:sz w:val="28"/>
          <w:szCs w:val="28"/>
        </w:rPr>
        <w:t>orme al parágrafo del artículo 135 del Código Penal</w:t>
      </w:r>
      <w:r w:rsidRPr="00113298">
        <w:rPr>
          <w:rFonts w:ascii="Times New Roman" w:eastAsiaTheme="minorHAnsi" w:hAnsi="Times New Roman" w:cs="Times New Roman"/>
          <w:bCs/>
          <w:iCs/>
          <w:sz w:val="28"/>
          <w:szCs w:val="28"/>
        </w:rPr>
        <w:t>,</w:t>
      </w:r>
      <w:r w:rsidRPr="00113298">
        <w:rPr>
          <w:rFonts w:ascii="Times New Roman" w:eastAsiaTheme="minorHAnsi" w:hAnsi="Times New Roman" w:cs="Times New Roman"/>
          <w:bCs/>
          <w:iCs/>
          <w:sz w:val="28"/>
          <w:szCs w:val="28"/>
        </w:rPr>
        <w:t xml:space="preserve"> excluye injustificadamente a combatientes que han sufrido violencias sexuales intrafilas, lo cual desconoce la prohibición absoluta de estas conductas y genera una desprotección incompatible con el bloqu</w:t>
      </w:r>
      <w:r w:rsidRPr="00113298">
        <w:rPr>
          <w:rFonts w:ascii="Times New Roman" w:eastAsiaTheme="minorHAnsi" w:hAnsi="Times New Roman" w:cs="Times New Roman"/>
          <w:bCs/>
          <w:iCs/>
          <w:sz w:val="28"/>
          <w:szCs w:val="28"/>
        </w:rPr>
        <w:t>e de constitucionalidad. Esto, pues el Estatuto de Roma y el Derecho internacional Humanitario establecen que la violación, la esclavitud sexual, el embarazo forzado, la esterilización forzada y otras formas de violencia sexual constituyen crímenes de guer</w:t>
      </w:r>
      <w:r w:rsidRPr="00113298">
        <w:rPr>
          <w:rFonts w:ascii="Times New Roman" w:eastAsiaTheme="minorHAnsi" w:hAnsi="Times New Roman" w:cs="Times New Roman"/>
          <w:bCs/>
          <w:iCs/>
          <w:sz w:val="28"/>
          <w:szCs w:val="28"/>
        </w:rPr>
        <w:t xml:space="preserve">ra con independencia de la calidad de la víctima.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Así, la exigencia de un sujeto pasivo calificado vulnera principios constitucionales como la dignidad humana, la igualdad, la prohibición de tratos crueles, inhumanos y degradantes y la especial protecció</w:t>
      </w:r>
      <w:r w:rsidRPr="00113298">
        <w:rPr>
          <w:rFonts w:ascii="Times New Roman" w:eastAsiaTheme="minorHAnsi" w:hAnsi="Times New Roman" w:cs="Times New Roman"/>
          <w:bCs/>
          <w:iCs/>
          <w:sz w:val="28"/>
          <w:szCs w:val="28"/>
        </w:rPr>
        <w:t xml:space="preserve">n de mujeres, niños, niñas y adolescentes, quienes sufren de forma desproporcionada este tipo de violencias en contextos de guerra.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Finalmente, agregaron que mantener esa exigencia tienen efectos prácticos gravemente lesivos, en tanto desplaza esos hecho</w:t>
      </w:r>
      <w:r w:rsidRPr="00113298">
        <w:rPr>
          <w:rFonts w:ascii="Times New Roman" w:eastAsiaTheme="minorHAnsi" w:hAnsi="Times New Roman" w:cs="Times New Roman"/>
          <w:bCs/>
          <w:iCs/>
          <w:sz w:val="28"/>
          <w:szCs w:val="28"/>
        </w:rPr>
        <w:t>s al régimen de los delitos comunes, con penas menores, riesgos de prescripción, mayores dificultades probatorias y un tratamiento judicial que desconoce la naturaleza estructural y sistemática de la violencia sexual como táctica de guerra. En consecuencia</w:t>
      </w:r>
      <w:r w:rsidRPr="00113298">
        <w:rPr>
          <w:rFonts w:ascii="Times New Roman" w:eastAsiaTheme="minorHAnsi" w:hAnsi="Times New Roman" w:cs="Times New Roman"/>
          <w:bCs/>
          <w:iCs/>
          <w:sz w:val="28"/>
          <w:szCs w:val="28"/>
        </w:rPr>
        <w:t xml:space="preserve">, la única solución compatible con la Constitución Política es la declaratoria de inexequibilidad de la expresión “persona protegida” en los tipos penales demandados.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bookmarkStart w:id="6" w:name="_Toc208183509"/>
      <w:r w:rsidRPr="00113298">
        <w:rPr>
          <w:rFonts w:ascii="Times New Roman" w:hAnsi="Times New Roman" w:cs="Times New Roman"/>
          <w:b/>
          <w:bCs/>
          <w:color w:val="000000" w:themeColor="text1"/>
          <w:sz w:val="28"/>
          <w:szCs w:val="28"/>
          <w:lang w:val="es-ES_tradnl"/>
        </w:rPr>
        <w:t>Concepto del procurador General de la Nación</w:t>
      </w:r>
      <w:bookmarkEnd w:id="6"/>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El procurador General de la Nación destacó que en el presente caso no se configura el fenómeno de la cosa juzgada constitucional, en relación con la Sentencia C-291 de 2007. Esto, pues tal y como lo precisa la demandante y el auto admisorio, en esa oportun</w:t>
      </w:r>
      <w:r w:rsidRPr="00113298">
        <w:rPr>
          <w:rFonts w:ascii="Times New Roman" w:eastAsiaTheme="minorHAnsi" w:hAnsi="Times New Roman" w:cs="Times New Roman"/>
          <w:bCs/>
          <w:iCs/>
          <w:color w:val="000000" w:themeColor="text1"/>
          <w:sz w:val="28"/>
          <w:szCs w:val="28"/>
        </w:rPr>
        <w:t xml:space="preserve">idad la Corte Constitucional analizó la expresión “combatientes” contenida en el numeral sexto del parágrafo del artículo 135 del Código Penal. Por lo tanto, las expresiones </w:t>
      </w:r>
      <w:r w:rsidRPr="00113298">
        <w:rPr>
          <w:rFonts w:ascii="Times New Roman" w:eastAsiaTheme="minorHAnsi" w:hAnsi="Times New Roman" w:cs="Times New Roman"/>
          <w:bCs/>
          <w:i/>
          <w:color w:val="000000" w:themeColor="text1"/>
          <w:sz w:val="28"/>
          <w:szCs w:val="28"/>
        </w:rPr>
        <w:t xml:space="preserve">sub examine </w:t>
      </w:r>
      <w:r w:rsidRPr="00113298">
        <w:rPr>
          <w:rFonts w:ascii="Times New Roman" w:eastAsiaTheme="minorHAnsi" w:hAnsi="Times New Roman" w:cs="Times New Roman"/>
          <w:bCs/>
          <w:iCs/>
          <w:color w:val="000000" w:themeColor="text1"/>
          <w:sz w:val="28"/>
          <w:szCs w:val="28"/>
        </w:rPr>
        <w:t xml:space="preserve">difieren de la estudiada en esa ocasión.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En segundo lugar, luego de </w:t>
      </w:r>
      <w:r w:rsidRPr="00113298">
        <w:rPr>
          <w:rFonts w:ascii="Times New Roman" w:eastAsiaTheme="minorHAnsi" w:hAnsi="Times New Roman" w:cs="Times New Roman"/>
          <w:bCs/>
          <w:iCs/>
          <w:color w:val="000000" w:themeColor="text1"/>
          <w:sz w:val="28"/>
          <w:szCs w:val="28"/>
        </w:rPr>
        <w:t>explicar conceptualmente los cargos por omisión legislativa relativa y sus requisitos específicos, el procurador señaló que concurren los criterios establecidos por la jurisprudencia constitucional para entender que esta se presenta. Lo expuesto, por las s</w:t>
      </w:r>
      <w:r w:rsidRPr="00113298">
        <w:rPr>
          <w:rFonts w:ascii="Times New Roman" w:eastAsiaTheme="minorHAnsi" w:hAnsi="Times New Roman" w:cs="Times New Roman"/>
          <w:bCs/>
          <w:iCs/>
          <w:color w:val="000000" w:themeColor="text1"/>
          <w:sz w:val="28"/>
          <w:szCs w:val="28"/>
        </w:rPr>
        <w:t xml:space="preserve">iguientes razones: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lang w:val="es-ES_tradnl"/>
        </w:rPr>
        <w:t xml:space="preserve">Primera, </w:t>
      </w:r>
      <w:r w:rsidRPr="00113298">
        <w:rPr>
          <w:rFonts w:ascii="Times New Roman" w:eastAsiaTheme="minorHAnsi" w:hAnsi="Times New Roman" w:cs="Times New Roman"/>
          <w:bCs/>
          <w:iCs/>
          <w:color w:val="000000" w:themeColor="text1"/>
          <w:sz w:val="28"/>
          <w:szCs w:val="28"/>
        </w:rPr>
        <w:t>la omisión se predica sobre una norma positiva, esto es, sobre las expresiones “y las demás normas del presente título”, del parágrafo del artículo 135 y “persona protegida” de los demás artículos atacados. En esas disposiciones, el Congreso de la Repúblic</w:t>
      </w:r>
      <w:r w:rsidRPr="00113298">
        <w:rPr>
          <w:rFonts w:ascii="Times New Roman" w:eastAsiaTheme="minorHAnsi" w:hAnsi="Times New Roman" w:cs="Times New Roman"/>
          <w:bCs/>
          <w:iCs/>
          <w:color w:val="000000" w:themeColor="text1"/>
          <w:sz w:val="28"/>
          <w:szCs w:val="28"/>
        </w:rPr>
        <w:t xml:space="preserve">a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“estableció lo que se entiende por “personas protegidas”, para los efectos del mismo artículo 135 del Código Penal”</w:t>
      </w:r>
      <w:r w:rsidRPr="00113298">
        <w:rPr>
          <w:rFonts w:ascii="Times New Roman" w:eastAsiaTheme="minorHAnsi" w:hAnsi="Times New Roman" w:cs="Times New Roman"/>
          <w:bCs/>
          <w:iCs/>
          <w:color w:val="000000" w:themeColor="text1"/>
          <w:sz w:val="28"/>
          <w:szCs w:val="28"/>
          <w:vertAlign w:val="superscript"/>
        </w:rPr>
        <w:footnoteReference w:id="21"/>
      </w:r>
      <w:r w:rsidRPr="00113298">
        <w:rPr>
          <w:rFonts w:ascii="Times New Roman" w:eastAsiaTheme="minorHAnsi" w:hAnsi="Times New Roman" w:cs="Times New Roman"/>
          <w:bCs/>
          <w:iCs/>
          <w:color w:val="000000" w:themeColor="text1"/>
          <w:sz w:val="28"/>
          <w:szCs w:val="28"/>
        </w:rPr>
        <w:t xml:space="preserve"> y </w:t>
      </w:r>
      <w:r w:rsidRPr="00113298">
        <w:rPr>
          <w:rFonts w:ascii="Times New Roman" w:eastAsiaTheme="minorHAnsi" w:hAnsi="Times New Roman" w:cs="Times New Roman"/>
          <w:bCs/>
          <w:i/>
          <w:color w:val="000000" w:themeColor="text1"/>
          <w:sz w:val="28"/>
          <w:szCs w:val="28"/>
        </w:rPr>
        <w:t xml:space="preserve">(ii) </w:t>
      </w:r>
      <w:r w:rsidRPr="00113298">
        <w:rPr>
          <w:rFonts w:ascii="Times New Roman" w:eastAsiaTheme="minorHAnsi" w:hAnsi="Times New Roman" w:cs="Times New Roman"/>
          <w:bCs/>
          <w:iCs/>
          <w:color w:val="000000" w:themeColor="text1"/>
          <w:sz w:val="28"/>
          <w:szCs w:val="28"/>
        </w:rPr>
        <w:t>tipificó ciertos delitos.</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lang w:val="es-ES_tradnl"/>
        </w:rPr>
        <w:t>Segunda,</w:t>
      </w:r>
      <w:r w:rsidRPr="00113298">
        <w:rPr>
          <w:rFonts w:ascii="Times New Roman" w:eastAsiaTheme="minorHAnsi" w:hAnsi="Times New Roman" w:cs="Times New Roman"/>
          <w:bCs/>
          <w:i/>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los artículos 13, 17, 44 y 93 de la Constitución Política, le imponen al Congreso de la Re</w:t>
      </w:r>
      <w:r w:rsidRPr="00113298">
        <w:rPr>
          <w:rFonts w:ascii="Times New Roman" w:eastAsiaTheme="minorHAnsi" w:hAnsi="Times New Roman" w:cs="Times New Roman"/>
          <w:bCs/>
          <w:iCs/>
          <w:color w:val="000000" w:themeColor="text1"/>
          <w:sz w:val="28"/>
          <w:szCs w:val="28"/>
        </w:rPr>
        <w:t xml:space="preserve">pública el deber específico de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 xml:space="preserve">garantizar el derecho a la igualdad, </w:t>
      </w:r>
      <w:r w:rsidRPr="00113298">
        <w:rPr>
          <w:rFonts w:ascii="Times New Roman" w:eastAsiaTheme="minorHAnsi" w:hAnsi="Times New Roman" w:cs="Times New Roman"/>
          <w:bCs/>
          <w:i/>
          <w:color w:val="000000" w:themeColor="text1"/>
          <w:sz w:val="28"/>
          <w:szCs w:val="28"/>
        </w:rPr>
        <w:t xml:space="preserve">(ii) </w:t>
      </w:r>
      <w:r w:rsidRPr="00113298">
        <w:rPr>
          <w:rFonts w:ascii="Times New Roman" w:eastAsiaTheme="minorHAnsi" w:hAnsi="Times New Roman" w:cs="Times New Roman"/>
          <w:bCs/>
          <w:iCs/>
          <w:color w:val="000000" w:themeColor="text1"/>
          <w:sz w:val="28"/>
          <w:szCs w:val="28"/>
        </w:rPr>
        <w:t xml:space="preserve">observar la prohibición de la esclavitud, la servidumbre y la trata de seres humanos en todas sus formas, </w:t>
      </w:r>
      <w:r w:rsidRPr="00113298">
        <w:rPr>
          <w:rFonts w:ascii="Times New Roman" w:eastAsiaTheme="minorHAnsi" w:hAnsi="Times New Roman" w:cs="Times New Roman"/>
          <w:bCs/>
          <w:i/>
          <w:color w:val="000000" w:themeColor="text1"/>
          <w:sz w:val="28"/>
          <w:szCs w:val="28"/>
        </w:rPr>
        <w:t xml:space="preserve">(iii) </w:t>
      </w:r>
      <w:r w:rsidRPr="00113298">
        <w:rPr>
          <w:rFonts w:ascii="Times New Roman" w:eastAsiaTheme="minorHAnsi" w:hAnsi="Times New Roman" w:cs="Times New Roman"/>
          <w:bCs/>
          <w:iCs/>
          <w:color w:val="000000" w:themeColor="text1"/>
          <w:sz w:val="28"/>
          <w:szCs w:val="28"/>
        </w:rPr>
        <w:t>proteger de forma prevalente los derechos fundamentales de los niño</w:t>
      </w:r>
      <w:r w:rsidRPr="00113298">
        <w:rPr>
          <w:rFonts w:ascii="Times New Roman" w:eastAsiaTheme="minorHAnsi" w:hAnsi="Times New Roman" w:cs="Times New Roman"/>
          <w:bCs/>
          <w:iCs/>
          <w:color w:val="000000" w:themeColor="text1"/>
          <w:sz w:val="28"/>
          <w:szCs w:val="28"/>
        </w:rPr>
        <w:t xml:space="preserve">s, niñas y adolescentes y, </w:t>
      </w:r>
      <w:r w:rsidRPr="00113298">
        <w:rPr>
          <w:rFonts w:ascii="Times New Roman" w:eastAsiaTheme="minorHAnsi" w:hAnsi="Times New Roman" w:cs="Times New Roman"/>
          <w:bCs/>
          <w:i/>
          <w:color w:val="000000" w:themeColor="text1"/>
          <w:sz w:val="28"/>
          <w:szCs w:val="28"/>
        </w:rPr>
        <w:t xml:space="preserve">(iv) </w:t>
      </w:r>
      <w:r w:rsidRPr="00113298">
        <w:rPr>
          <w:rFonts w:ascii="Times New Roman" w:eastAsiaTheme="minorHAnsi" w:hAnsi="Times New Roman" w:cs="Times New Roman"/>
          <w:bCs/>
          <w:iCs/>
          <w:color w:val="000000" w:themeColor="text1"/>
          <w:sz w:val="28"/>
          <w:szCs w:val="28"/>
        </w:rPr>
        <w:t>aplicar los tratos y convenios internacionales ratificados por el Congreso que reconocen los derechos humanos, los cuales integran el bloque de constitucionalidad en sentido estricto y, por lo tanto, hacen parte del parámetr</w:t>
      </w:r>
      <w:r w:rsidRPr="00113298">
        <w:rPr>
          <w:rFonts w:ascii="Times New Roman" w:eastAsiaTheme="minorHAnsi" w:hAnsi="Times New Roman" w:cs="Times New Roman"/>
          <w:bCs/>
          <w:iCs/>
          <w:color w:val="000000" w:themeColor="text1"/>
          <w:sz w:val="28"/>
          <w:szCs w:val="28"/>
        </w:rPr>
        <w:t xml:space="preserve">o de constitucionalidad de las leyes.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Tercera, </w:t>
      </w:r>
      <w:r w:rsidRPr="00113298">
        <w:rPr>
          <w:rFonts w:ascii="Times New Roman" w:eastAsiaTheme="minorHAnsi" w:hAnsi="Times New Roman" w:cs="Times New Roman"/>
          <w:bCs/>
          <w:iCs/>
          <w:color w:val="000000" w:themeColor="text1"/>
          <w:sz w:val="28"/>
          <w:szCs w:val="28"/>
        </w:rPr>
        <w:t>no existe una razón suficiente que justifique desde una perspectiva constitucional, dar un trato diferenciado a las víctimas de violencia sexual que son combatientes y aquellas que sí son consideradas “perso</w:t>
      </w:r>
      <w:r w:rsidRPr="00113298">
        <w:rPr>
          <w:rFonts w:ascii="Times New Roman" w:eastAsiaTheme="minorHAnsi" w:hAnsi="Times New Roman" w:cs="Times New Roman"/>
          <w:bCs/>
          <w:iCs/>
          <w:color w:val="000000" w:themeColor="text1"/>
          <w:sz w:val="28"/>
          <w:szCs w:val="28"/>
        </w:rPr>
        <w:t>nas protegidas”, en los términos del parágrafo del artículo 135 del Código Penal. Por el contrario, la exclusión “desatiende los deberes específicos impuestos al Congreso de la República respecto de la prohibición absoluta de cualquier forma de violencia s</w:t>
      </w:r>
      <w:r w:rsidRPr="00113298">
        <w:rPr>
          <w:rFonts w:ascii="Times New Roman" w:eastAsiaTheme="minorHAnsi" w:hAnsi="Times New Roman" w:cs="Times New Roman"/>
          <w:bCs/>
          <w:iCs/>
          <w:color w:val="000000" w:themeColor="text1"/>
          <w:sz w:val="28"/>
          <w:szCs w:val="28"/>
        </w:rPr>
        <w:t>exual, pero también de las distintas normas (convencionales y consuetudinarias) que componen el Derecho Internacional Humanitario”</w:t>
      </w:r>
      <w:r w:rsidRPr="00113298">
        <w:rPr>
          <w:rFonts w:ascii="Times New Roman" w:eastAsiaTheme="minorHAnsi" w:hAnsi="Times New Roman" w:cs="Times New Roman"/>
          <w:bCs/>
          <w:iCs/>
          <w:color w:val="000000" w:themeColor="text1"/>
          <w:sz w:val="28"/>
          <w:szCs w:val="28"/>
          <w:vertAlign w:val="superscript"/>
        </w:rPr>
        <w:footnoteReference w:id="22"/>
      </w:r>
      <w:r w:rsidRPr="00113298">
        <w:rPr>
          <w:rFonts w:ascii="Times New Roman" w:eastAsiaTheme="minorHAnsi" w:hAnsi="Times New Roman" w:cs="Times New Roman"/>
          <w:bCs/>
          <w:i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Cuarta, </w:t>
      </w:r>
      <w:r w:rsidRPr="00113298">
        <w:rPr>
          <w:rFonts w:ascii="Times New Roman" w:eastAsiaTheme="minorHAnsi" w:hAnsi="Times New Roman" w:cs="Times New Roman"/>
          <w:bCs/>
          <w:iCs/>
          <w:color w:val="000000" w:themeColor="text1"/>
          <w:sz w:val="28"/>
          <w:szCs w:val="28"/>
        </w:rPr>
        <w:t xml:space="preserve">la omisión advertida “genera una desigualdad negativa frente a los sujetos que se encuentran afectados por las </w:t>
      </w:r>
      <w:r w:rsidRPr="00113298">
        <w:rPr>
          <w:rFonts w:ascii="Times New Roman" w:eastAsiaTheme="minorHAnsi" w:hAnsi="Times New Roman" w:cs="Times New Roman"/>
          <w:bCs/>
          <w:iCs/>
          <w:color w:val="000000" w:themeColor="text1"/>
          <w:sz w:val="28"/>
          <w:szCs w:val="28"/>
        </w:rPr>
        <w:t>consecuencias de las normas cuestionadas, porque la exclusión de algunas víctimas de la violencia sexual en el conflicto armado, esto es, de los y las combatientes atacados por miembros de su propio grupo armado, deriva en una desprotección que riñe con la</w:t>
      </w:r>
      <w:r w:rsidRPr="00113298">
        <w:rPr>
          <w:rFonts w:ascii="Times New Roman" w:eastAsiaTheme="minorHAnsi" w:hAnsi="Times New Roman" w:cs="Times New Roman"/>
          <w:bCs/>
          <w:iCs/>
          <w:color w:val="000000" w:themeColor="text1"/>
          <w:sz w:val="28"/>
          <w:szCs w:val="28"/>
        </w:rPr>
        <w:t xml:space="preserve"> absoluta prohibición de este tipo de conductas que se establece en los instrumentos internacionales ratificados y en la Carta Política, con el derecho de igualdad y con la protección prevalente de los derechos fundamentales de los niños y las niñas”</w:t>
      </w:r>
      <w:r w:rsidRPr="00113298">
        <w:rPr>
          <w:rFonts w:ascii="Times New Roman" w:eastAsiaTheme="minorHAnsi" w:hAnsi="Times New Roman" w:cs="Times New Roman"/>
          <w:bCs/>
          <w:iCs/>
          <w:color w:val="000000" w:themeColor="text1"/>
          <w:sz w:val="28"/>
          <w:szCs w:val="28"/>
          <w:vertAlign w:val="superscript"/>
        </w:rPr>
        <w:footnoteReference w:id="23"/>
      </w:r>
      <w:r w:rsidRPr="00113298">
        <w:rPr>
          <w:rFonts w:ascii="Times New Roman" w:eastAsiaTheme="minorHAnsi" w:hAnsi="Times New Roman" w:cs="Times New Roman"/>
          <w:bCs/>
          <w:i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En relación con ese último punto, el procurador hizo referencia a información proporcionada por la Jurisdicción Especial para la Paz y, a partir de ello concluyó que la desigualdad negativa que se advierte “no deviene de la expresión “y las demás normas de</w:t>
      </w:r>
      <w:r w:rsidRPr="00113298">
        <w:rPr>
          <w:rFonts w:ascii="Times New Roman" w:eastAsiaTheme="minorHAnsi" w:hAnsi="Times New Roman" w:cs="Times New Roman"/>
          <w:bCs/>
          <w:iCs/>
          <w:color w:val="000000" w:themeColor="text1"/>
          <w:sz w:val="28"/>
          <w:szCs w:val="28"/>
        </w:rPr>
        <w:t>l presente título”, contenida en el parágrafo del artículo 135 del Código Penal, sino de la aplicación de esta expresión ordenada en los artículos 138, 138A, 139, 139A, 139B, 139C, 139D, 139E, 141, 141A, y 141B ibidem”</w:t>
      </w:r>
      <w:r w:rsidRPr="00113298">
        <w:rPr>
          <w:rFonts w:ascii="Times New Roman" w:eastAsiaTheme="minorHAnsi" w:hAnsi="Times New Roman" w:cs="Times New Roman"/>
          <w:bCs/>
          <w:iCs/>
          <w:color w:val="000000" w:themeColor="text1"/>
          <w:sz w:val="28"/>
          <w:szCs w:val="28"/>
          <w:vertAlign w:val="superscript"/>
        </w:rPr>
        <w:footnoteReference w:id="24"/>
      </w:r>
      <w:r w:rsidRPr="00113298">
        <w:rPr>
          <w:rFonts w:ascii="Times New Roman" w:eastAsiaTheme="minorHAnsi" w:hAnsi="Times New Roman" w:cs="Times New Roman"/>
          <w:bCs/>
          <w:iCs/>
          <w:color w:val="000000" w:themeColor="text1"/>
          <w:sz w:val="28"/>
          <w:szCs w:val="28"/>
        </w:rPr>
        <w:t>.</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Por lo expuesto, solicitó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la e</w:t>
      </w:r>
      <w:r w:rsidRPr="00113298">
        <w:rPr>
          <w:rFonts w:ascii="Times New Roman" w:eastAsiaTheme="minorHAnsi" w:hAnsi="Times New Roman" w:cs="Times New Roman"/>
          <w:bCs/>
          <w:iCs/>
          <w:color w:val="000000" w:themeColor="text1"/>
          <w:sz w:val="28"/>
          <w:szCs w:val="28"/>
        </w:rPr>
        <w:t xml:space="preserve">xequibilidad de la expresión “y las demás normas del presente título” contenida en el parágrafo del artículo 135 de la Ley 599 de 2000 y, </w:t>
      </w:r>
      <w:r w:rsidRPr="00113298">
        <w:rPr>
          <w:rFonts w:ascii="Times New Roman" w:eastAsiaTheme="minorHAnsi" w:hAnsi="Times New Roman" w:cs="Times New Roman"/>
          <w:bCs/>
          <w:i/>
          <w:color w:val="000000" w:themeColor="text1"/>
          <w:sz w:val="28"/>
          <w:szCs w:val="28"/>
        </w:rPr>
        <w:t xml:space="preserve">(ii) </w:t>
      </w:r>
      <w:r w:rsidRPr="00113298">
        <w:rPr>
          <w:rFonts w:ascii="Times New Roman" w:eastAsiaTheme="minorHAnsi" w:hAnsi="Times New Roman" w:cs="Times New Roman"/>
          <w:bCs/>
          <w:iCs/>
          <w:color w:val="000000" w:themeColor="text1"/>
          <w:sz w:val="28"/>
          <w:szCs w:val="28"/>
        </w:rPr>
        <w:t>la inexequibilidad de la expresión “persona protegida” en las conductas penales tipificadas en las normas acusada</w:t>
      </w:r>
      <w:r w:rsidRPr="00113298">
        <w:rPr>
          <w:rFonts w:ascii="Times New Roman" w:eastAsiaTheme="minorHAnsi" w:hAnsi="Times New Roman" w:cs="Times New Roman"/>
          <w:bCs/>
          <w:iCs/>
          <w:color w:val="000000" w:themeColor="text1"/>
          <w:sz w:val="28"/>
          <w:szCs w:val="28"/>
        </w:rPr>
        <w:t>s.</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Cs/>
          <w:color w:val="000000" w:themeColor="text1"/>
          <w:sz w:val="28"/>
          <w:szCs w:val="28"/>
        </w:rPr>
      </w:pPr>
    </w:p>
    <w:p w:rsidR="00930F15" w:rsidRPr="00113298" w:rsidRDefault="00113298" w:rsidP="00930F15">
      <w:pPr>
        <w:keepNext/>
        <w:keepLines/>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jc w:val="both"/>
        <w:outlineLvl w:val="0"/>
        <w:rPr>
          <w:rFonts w:ascii="Times New Roman" w:hAnsi="Times New Roman" w:cs="Times New Roman"/>
          <w:b/>
          <w:bCs/>
          <w:color w:val="000000" w:themeColor="text1"/>
          <w:sz w:val="28"/>
          <w:szCs w:val="28"/>
          <w:lang w:val="es-ES_tradnl"/>
        </w:rPr>
      </w:pPr>
      <w:r w:rsidRPr="00113298">
        <w:rPr>
          <w:rFonts w:ascii="Times New Roman" w:hAnsi="Times New Roman" w:cs="Times New Roman"/>
          <w:b/>
          <w:bCs/>
          <w:color w:val="000000" w:themeColor="text1"/>
          <w:sz w:val="28"/>
          <w:szCs w:val="28"/>
          <w:lang w:val="es-ES_tradnl"/>
        </w:rPr>
        <w:t xml:space="preserve">La audiencia pública </w:t>
      </w:r>
    </w:p>
    <w:p w:rsidR="00930F15" w:rsidRPr="00113298" w:rsidRDefault="00113298" w:rsidP="00930F15">
      <w:pPr>
        <w:rPr>
          <w:rFonts w:ascii="Times New Roman" w:eastAsiaTheme="minorHAnsi" w:hAnsi="Times New Roman" w:cs="Times New Roman"/>
          <w:sz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Mediante el Auto 991 de 2025, la Sala Plena convocó a una audiencia pública, tras considerar que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 xml:space="preserve">las intervenciones y los conceptos técnicos recibidos daban cuenta de controversias relevantes para adelantar el juicio de constitucionalidad y, </w:t>
      </w:r>
      <w:r w:rsidRPr="00113298">
        <w:rPr>
          <w:rFonts w:ascii="Times New Roman" w:eastAsiaTheme="minorHAnsi" w:hAnsi="Times New Roman" w:cs="Times New Roman"/>
          <w:bCs/>
          <w:i/>
          <w:color w:val="000000" w:themeColor="text1"/>
          <w:sz w:val="28"/>
          <w:szCs w:val="28"/>
        </w:rPr>
        <w:t xml:space="preserve">(ii) </w:t>
      </w:r>
      <w:r w:rsidRPr="00113298">
        <w:rPr>
          <w:rFonts w:ascii="Times New Roman" w:eastAsiaTheme="minorHAnsi" w:hAnsi="Times New Roman" w:cs="Times New Roman"/>
          <w:bCs/>
          <w:iCs/>
          <w:color w:val="000000" w:themeColor="text1"/>
          <w:sz w:val="28"/>
          <w:szCs w:val="28"/>
        </w:rPr>
        <w:t xml:space="preserve">el asunto </w:t>
      </w:r>
      <w:r w:rsidRPr="00113298">
        <w:rPr>
          <w:rFonts w:ascii="Times New Roman" w:eastAsiaTheme="minorHAnsi" w:hAnsi="Times New Roman" w:cs="Times New Roman"/>
          <w:bCs/>
          <w:i/>
          <w:color w:val="000000" w:themeColor="text1"/>
          <w:sz w:val="28"/>
          <w:szCs w:val="28"/>
        </w:rPr>
        <w:t xml:space="preserve">sub examine </w:t>
      </w:r>
      <w:r w:rsidRPr="00113298">
        <w:rPr>
          <w:rFonts w:ascii="Times New Roman" w:eastAsiaTheme="minorHAnsi" w:hAnsi="Times New Roman" w:cs="Times New Roman"/>
          <w:bCs/>
          <w:iCs/>
          <w:color w:val="000000" w:themeColor="text1"/>
          <w:sz w:val="28"/>
          <w:szCs w:val="28"/>
        </w:rPr>
        <w:t>revestía la mayor trascendencia y requería para su análisis considerar diversos elem</w:t>
      </w:r>
      <w:r w:rsidRPr="00113298">
        <w:rPr>
          <w:rFonts w:ascii="Times New Roman" w:eastAsiaTheme="minorHAnsi" w:hAnsi="Times New Roman" w:cs="Times New Roman"/>
          <w:bCs/>
          <w:iCs/>
          <w:color w:val="000000" w:themeColor="text1"/>
          <w:sz w:val="28"/>
          <w:szCs w:val="28"/>
        </w:rPr>
        <w:t xml:space="preserve">entos de juicio. Con fundamento en lo anterior, la Corte fijó tres ejes temáticos: el </w:t>
      </w:r>
      <w:r w:rsidRPr="00113298">
        <w:rPr>
          <w:rFonts w:ascii="Times New Roman" w:eastAsiaTheme="minorHAnsi" w:hAnsi="Times New Roman" w:cs="Times New Roman"/>
          <w:bCs/>
          <w:i/>
          <w:color w:val="000000" w:themeColor="text1"/>
          <w:sz w:val="28"/>
          <w:szCs w:val="28"/>
        </w:rPr>
        <w:t>primero</w:t>
      </w:r>
      <w:r w:rsidRPr="00113298">
        <w:rPr>
          <w:rFonts w:ascii="Times New Roman" w:eastAsiaTheme="minorHAnsi" w:hAnsi="Times New Roman" w:cs="Times New Roman"/>
          <w:bCs/>
          <w:iCs/>
          <w:color w:val="000000" w:themeColor="text1"/>
          <w:sz w:val="28"/>
          <w:szCs w:val="28"/>
        </w:rPr>
        <w:t xml:space="preserve">, “enfocado en determinar si el reclutamiento forzado y la violencia intrafilas son o no un problema sistémico de derechos humanos y no un hecho aislado; el </w:t>
      </w:r>
      <w:r w:rsidRPr="00113298">
        <w:rPr>
          <w:rFonts w:ascii="Times New Roman" w:eastAsiaTheme="minorHAnsi" w:hAnsi="Times New Roman" w:cs="Times New Roman"/>
          <w:bCs/>
          <w:i/>
          <w:color w:val="000000" w:themeColor="text1"/>
          <w:sz w:val="28"/>
          <w:szCs w:val="28"/>
        </w:rPr>
        <w:t>segund</w:t>
      </w:r>
      <w:r w:rsidRPr="00113298">
        <w:rPr>
          <w:rFonts w:ascii="Times New Roman" w:eastAsiaTheme="minorHAnsi" w:hAnsi="Times New Roman" w:cs="Times New Roman"/>
          <w:bCs/>
          <w:i/>
          <w:color w:val="000000" w:themeColor="text1"/>
          <w:sz w:val="28"/>
          <w:szCs w:val="28"/>
        </w:rPr>
        <w:t>o</w:t>
      </w:r>
      <w:r w:rsidRPr="00113298">
        <w:rPr>
          <w:rFonts w:ascii="Times New Roman" w:eastAsiaTheme="minorHAnsi" w:hAnsi="Times New Roman" w:cs="Times New Roman"/>
          <w:bCs/>
          <w:iCs/>
          <w:color w:val="000000" w:themeColor="text1"/>
          <w:sz w:val="28"/>
          <w:szCs w:val="28"/>
        </w:rPr>
        <w:t xml:space="preserve">, el cual se ocupó en “analizar el sentido y alcance de la protección a las personas de las mismas filas y de precisar las diversas categorías relacionadas con ella; y, finalmente, el </w:t>
      </w:r>
      <w:r w:rsidRPr="00113298">
        <w:rPr>
          <w:rFonts w:ascii="Times New Roman" w:eastAsiaTheme="minorHAnsi" w:hAnsi="Times New Roman" w:cs="Times New Roman"/>
          <w:bCs/>
          <w:i/>
          <w:color w:val="000000" w:themeColor="text1"/>
          <w:sz w:val="28"/>
          <w:szCs w:val="28"/>
        </w:rPr>
        <w:t>tercero</w:t>
      </w:r>
      <w:r w:rsidRPr="00113298">
        <w:rPr>
          <w:rFonts w:ascii="Times New Roman" w:eastAsiaTheme="minorHAnsi" w:hAnsi="Times New Roman" w:cs="Times New Roman"/>
          <w:bCs/>
          <w:iCs/>
          <w:color w:val="000000" w:themeColor="text1"/>
          <w:sz w:val="28"/>
          <w:szCs w:val="28"/>
        </w:rPr>
        <w:t>, a partir del cual se examinó el fenómeno respecto de hombres y</w:t>
      </w:r>
      <w:r w:rsidRPr="00113298">
        <w:rPr>
          <w:rFonts w:ascii="Times New Roman" w:eastAsiaTheme="minorHAnsi" w:hAnsi="Times New Roman" w:cs="Times New Roman"/>
          <w:bCs/>
          <w:iCs/>
          <w:color w:val="000000" w:themeColor="text1"/>
          <w:sz w:val="28"/>
          <w:szCs w:val="28"/>
        </w:rPr>
        <w:t xml:space="preserve"> personas diversas</w:t>
      </w:r>
      <w:r w:rsidRPr="00113298">
        <w:rPr>
          <w:rFonts w:ascii="Times New Roman" w:eastAsiaTheme="minorHAnsi" w:hAnsi="Times New Roman" w:cs="Times New Roman"/>
          <w:bCs/>
          <w:iCs/>
          <w:color w:val="000000" w:themeColor="text1"/>
          <w:sz w:val="28"/>
          <w:szCs w:val="28"/>
          <w:vertAlign w:val="superscript"/>
        </w:rPr>
        <w:footnoteReference w:id="25"/>
      </w:r>
      <w:r w:rsidRPr="00113298">
        <w:rPr>
          <w:rFonts w:ascii="Times New Roman" w:eastAsiaTheme="minorHAnsi" w:hAnsi="Times New Roman" w:cs="Times New Roman"/>
          <w:bCs/>
          <w:iCs/>
          <w:color w:val="000000" w:themeColor="text1"/>
          <w:sz w:val="28"/>
          <w:szCs w:val="28"/>
        </w:rPr>
        <w:t xml:space="preserve">.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A través de Auto del 11 de agosto de 2025, el magistrado sustanciador fijó la agenda definitiva de la audiencia y determinó que los participantes de la sesión serían: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 xml:space="preserve">Natalia María Springer; </w:t>
      </w:r>
      <w:r w:rsidRPr="00113298">
        <w:rPr>
          <w:rFonts w:ascii="Times New Roman" w:eastAsiaTheme="minorHAnsi" w:hAnsi="Times New Roman" w:cs="Times New Roman"/>
          <w:bCs/>
          <w:i/>
          <w:color w:val="000000" w:themeColor="text1"/>
          <w:sz w:val="28"/>
          <w:szCs w:val="28"/>
        </w:rPr>
        <w:t xml:space="preserve">(ii) </w:t>
      </w:r>
      <w:r w:rsidRPr="00113298">
        <w:rPr>
          <w:rFonts w:ascii="Times New Roman" w:eastAsiaTheme="minorHAnsi" w:hAnsi="Times New Roman" w:cs="Times New Roman"/>
          <w:bCs/>
          <w:iCs/>
          <w:color w:val="000000" w:themeColor="text1"/>
          <w:sz w:val="28"/>
          <w:szCs w:val="28"/>
        </w:rPr>
        <w:t xml:space="preserve">Oscar Iván Hernández, procurador </w:t>
      </w:r>
      <w:r w:rsidRPr="00113298">
        <w:rPr>
          <w:rFonts w:ascii="Times New Roman" w:eastAsiaTheme="minorHAnsi" w:hAnsi="Times New Roman" w:cs="Times New Roman"/>
          <w:bCs/>
          <w:iCs/>
          <w:color w:val="000000" w:themeColor="text1"/>
          <w:sz w:val="28"/>
          <w:szCs w:val="28"/>
        </w:rPr>
        <w:t xml:space="preserve">delegado para asuntos penales; </w:t>
      </w:r>
      <w:r w:rsidRPr="00113298">
        <w:rPr>
          <w:rFonts w:ascii="Times New Roman" w:eastAsiaTheme="minorHAnsi" w:hAnsi="Times New Roman" w:cs="Times New Roman"/>
          <w:bCs/>
          <w:i/>
          <w:color w:val="000000" w:themeColor="text1"/>
          <w:sz w:val="28"/>
          <w:szCs w:val="28"/>
        </w:rPr>
        <w:t xml:space="preserve">(iii) </w:t>
      </w:r>
      <w:r w:rsidRPr="00113298">
        <w:rPr>
          <w:rFonts w:ascii="Times New Roman" w:eastAsiaTheme="minorHAnsi" w:hAnsi="Times New Roman" w:cs="Times New Roman"/>
          <w:bCs/>
          <w:iCs/>
          <w:color w:val="000000" w:themeColor="text1"/>
          <w:sz w:val="28"/>
          <w:szCs w:val="28"/>
        </w:rPr>
        <w:t xml:space="preserve">Iris Marín Ortiz, defensora del pueblo; </w:t>
      </w:r>
      <w:r w:rsidRPr="00113298">
        <w:rPr>
          <w:rFonts w:ascii="Times New Roman" w:eastAsiaTheme="minorHAnsi" w:hAnsi="Times New Roman" w:cs="Times New Roman"/>
          <w:bCs/>
          <w:i/>
          <w:color w:val="000000" w:themeColor="text1"/>
          <w:sz w:val="28"/>
          <w:szCs w:val="28"/>
        </w:rPr>
        <w:t xml:space="preserve">(iv) </w:t>
      </w:r>
      <w:r w:rsidRPr="00113298">
        <w:rPr>
          <w:rFonts w:ascii="Times New Roman" w:eastAsiaTheme="minorHAnsi" w:hAnsi="Times New Roman" w:cs="Times New Roman"/>
          <w:bCs/>
          <w:iCs/>
          <w:color w:val="000000" w:themeColor="text1"/>
          <w:sz w:val="28"/>
          <w:szCs w:val="28"/>
        </w:rPr>
        <w:t xml:space="preserve">Myriam Ávila Roldán, presidenta de la Sala de Casación Penal de la Corte Suprema de Justicia; </w:t>
      </w:r>
      <w:r w:rsidRPr="00113298">
        <w:rPr>
          <w:rFonts w:ascii="Times New Roman" w:eastAsiaTheme="minorHAnsi" w:hAnsi="Times New Roman" w:cs="Times New Roman"/>
          <w:bCs/>
          <w:i/>
          <w:color w:val="000000" w:themeColor="text1"/>
          <w:sz w:val="28"/>
          <w:szCs w:val="28"/>
        </w:rPr>
        <w:t xml:space="preserve">(v) </w:t>
      </w:r>
      <w:r w:rsidRPr="00113298">
        <w:rPr>
          <w:rFonts w:ascii="Times New Roman" w:eastAsiaTheme="minorHAnsi" w:hAnsi="Times New Roman" w:cs="Times New Roman"/>
          <w:bCs/>
          <w:iCs/>
          <w:color w:val="000000" w:themeColor="text1"/>
          <w:sz w:val="28"/>
          <w:szCs w:val="28"/>
        </w:rPr>
        <w:t xml:space="preserve">Lily Andrea Rueda, magistrada de la Jurisdicción Especial para la Paz, </w:t>
      </w:r>
      <w:r w:rsidRPr="00113298">
        <w:rPr>
          <w:rFonts w:ascii="Times New Roman" w:eastAsiaTheme="minorHAnsi" w:hAnsi="Times New Roman" w:cs="Times New Roman"/>
          <w:bCs/>
          <w:i/>
          <w:color w:val="000000" w:themeColor="text1"/>
          <w:sz w:val="28"/>
          <w:szCs w:val="28"/>
        </w:rPr>
        <w:t xml:space="preserve">(vi) </w:t>
      </w:r>
      <w:r w:rsidRPr="00113298">
        <w:rPr>
          <w:rFonts w:ascii="Times New Roman" w:eastAsiaTheme="minorHAnsi" w:hAnsi="Times New Roman" w:cs="Times New Roman"/>
          <w:bCs/>
          <w:iCs/>
          <w:color w:val="000000" w:themeColor="text1"/>
          <w:sz w:val="28"/>
          <w:szCs w:val="28"/>
        </w:rPr>
        <w:t xml:space="preserve">Astrid Eliana Cáceres Cárdenas, directora General del Instituto Colombiano de Bienestar Familiar (ICBF); </w:t>
      </w:r>
      <w:r w:rsidRPr="00113298">
        <w:rPr>
          <w:rFonts w:ascii="Times New Roman" w:eastAsiaTheme="minorHAnsi" w:hAnsi="Times New Roman" w:cs="Times New Roman"/>
          <w:bCs/>
          <w:i/>
          <w:color w:val="000000" w:themeColor="text1"/>
          <w:sz w:val="28"/>
          <w:szCs w:val="28"/>
        </w:rPr>
        <w:t xml:space="preserve">(vii) </w:t>
      </w:r>
      <w:r w:rsidRPr="00113298">
        <w:rPr>
          <w:rFonts w:ascii="Times New Roman" w:eastAsiaTheme="minorHAnsi" w:hAnsi="Times New Roman" w:cs="Times New Roman"/>
          <w:bCs/>
          <w:iCs/>
          <w:color w:val="000000" w:themeColor="text1"/>
          <w:sz w:val="28"/>
          <w:szCs w:val="28"/>
        </w:rPr>
        <w:t xml:space="preserve">Daniel Guio, representante del Instituto Colombiano de Derecho Procesal; </w:t>
      </w:r>
      <w:r w:rsidRPr="00113298">
        <w:rPr>
          <w:rFonts w:ascii="Times New Roman" w:eastAsiaTheme="minorHAnsi" w:hAnsi="Times New Roman" w:cs="Times New Roman"/>
          <w:bCs/>
          <w:i/>
          <w:color w:val="000000" w:themeColor="text1"/>
          <w:sz w:val="28"/>
          <w:szCs w:val="28"/>
        </w:rPr>
        <w:t xml:space="preserve">(viii) </w:t>
      </w:r>
      <w:r w:rsidRPr="00113298">
        <w:rPr>
          <w:rFonts w:ascii="Times New Roman" w:eastAsiaTheme="minorHAnsi" w:hAnsi="Times New Roman" w:cs="Times New Roman"/>
          <w:bCs/>
          <w:iCs/>
          <w:color w:val="000000" w:themeColor="text1"/>
          <w:sz w:val="28"/>
          <w:szCs w:val="28"/>
        </w:rPr>
        <w:t xml:space="preserve">Juan Manuel Martínez, coordinador de la secretaría técnica de la </w:t>
      </w:r>
      <w:r w:rsidRPr="00113298">
        <w:rPr>
          <w:rFonts w:ascii="Times New Roman" w:eastAsiaTheme="minorHAnsi" w:hAnsi="Times New Roman" w:cs="Times New Roman"/>
          <w:bCs/>
          <w:iCs/>
          <w:color w:val="000000" w:themeColor="text1"/>
          <w:sz w:val="28"/>
          <w:szCs w:val="28"/>
        </w:rPr>
        <w:t xml:space="preserve">Coalición contra la vinculación de niños, niñas y jóvenes al conflicto armado en Colombia (COALICO); </w:t>
      </w:r>
      <w:r w:rsidRPr="00113298">
        <w:rPr>
          <w:rFonts w:ascii="Times New Roman" w:eastAsiaTheme="minorHAnsi" w:hAnsi="Times New Roman" w:cs="Times New Roman"/>
          <w:bCs/>
          <w:i/>
          <w:color w:val="000000" w:themeColor="text1"/>
          <w:sz w:val="28"/>
          <w:szCs w:val="28"/>
        </w:rPr>
        <w:t xml:space="preserve">(ix) </w:t>
      </w:r>
      <w:r w:rsidRPr="00113298">
        <w:rPr>
          <w:rFonts w:ascii="Times New Roman" w:eastAsiaTheme="minorHAnsi" w:hAnsi="Times New Roman" w:cs="Times New Roman"/>
          <w:bCs/>
          <w:iCs/>
          <w:color w:val="000000" w:themeColor="text1"/>
          <w:sz w:val="28"/>
          <w:szCs w:val="28"/>
        </w:rPr>
        <w:t xml:space="preserve">Carlos Arturo Vásquez Aldana, Unidad de Atención Integral de las Víctimas (UARIV) y, </w:t>
      </w:r>
      <w:r w:rsidRPr="00113298">
        <w:rPr>
          <w:rFonts w:ascii="Times New Roman" w:eastAsiaTheme="minorHAnsi" w:hAnsi="Times New Roman" w:cs="Times New Roman"/>
          <w:bCs/>
          <w:i/>
          <w:color w:val="000000" w:themeColor="text1"/>
          <w:sz w:val="28"/>
          <w:szCs w:val="28"/>
        </w:rPr>
        <w:t xml:space="preserve">(x) </w:t>
      </w:r>
      <w:r w:rsidRPr="00113298">
        <w:rPr>
          <w:rFonts w:ascii="Times New Roman" w:eastAsiaTheme="minorHAnsi" w:hAnsi="Times New Roman" w:cs="Times New Roman"/>
          <w:bCs/>
          <w:iCs/>
          <w:color w:val="000000" w:themeColor="text1"/>
          <w:sz w:val="28"/>
          <w:szCs w:val="28"/>
        </w:rPr>
        <w:t>víctimas (en transmisión cerrada).</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La audiencia se practicó </w:t>
      </w:r>
      <w:r w:rsidRPr="00113298">
        <w:rPr>
          <w:rFonts w:ascii="Times New Roman" w:eastAsiaTheme="minorHAnsi" w:hAnsi="Times New Roman" w:cs="Times New Roman"/>
          <w:bCs/>
          <w:iCs/>
          <w:color w:val="000000" w:themeColor="text1"/>
          <w:sz w:val="28"/>
          <w:szCs w:val="28"/>
        </w:rPr>
        <w:t>el 12 de agosto de 2025, en el Palacio de Justicia Alfonso Reyes Echandía en Bogotá. En dicha sesión, se escucharon intervenciones de la demandante, expertos en la materia y de algunas víctimas del conflicto armado colombiano. De igual forma, se solicitó a</w:t>
      </w:r>
      <w:r w:rsidRPr="00113298">
        <w:rPr>
          <w:rFonts w:ascii="Times New Roman" w:eastAsiaTheme="minorHAnsi" w:hAnsi="Times New Roman" w:cs="Times New Roman"/>
          <w:bCs/>
          <w:iCs/>
          <w:color w:val="000000" w:themeColor="text1"/>
          <w:sz w:val="28"/>
          <w:szCs w:val="28"/>
        </w:rPr>
        <w:t xml:space="preserve"> los expertos invitados remitir dentro de los diez días siguientes a la celebración de la audiencia pública, los escritos de sus intervenciones, los cuales se encuentran incorporados en el expediente digital</w:t>
      </w:r>
      <w:r w:rsidRPr="00113298">
        <w:rPr>
          <w:rFonts w:ascii="Times New Roman" w:eastAsiaTheme="minorHAnsi" w:hAnsi="Times New Roman" w:cs="Times New Roman"/>
          <w:bCs/>
          <w:iCs/>
          <w:color w:val="000000" w:themeColor="text1"/>
          <w:sz w:val="28"/>
          <w:szCs w:val="28"/>
          <w:vertAlign w:val="superscript"/>
        </w:rPr>
        <w:footnoteReference w:id="26"/>
      </w:r>
      <w:r w:rsidRPr="00113298">
        <w:rPr>
          <w:rFonts w:ascii="Times New Roman" w:eastAsiaTheme="minorHAnsi" w:hAnsi="Times New Roman" w:cs="Times New Roman"/>
          <w:bCs/>
          <w:iCs/>
          <w:color w:val="000000" w:themeColor="text1"/>
          <w:sz w:val="28"/>
          <w:szCs w:val="28"/>
        </w:rPr>
        <w:t>. Adicionalmente, el registro completo de la aud</w:t>
      </w:r>
      <w:r w:rsidRPr="00113298">
        <w:rPr>
          <w:rFonts w:ascii="Times New Roman" w:eastAsiaTheme="minorHAnsi" w:hAnsi="Times New Roman" w:cs="Times New Roman"/>
          <w:bCs/>
          <w:iCs/>
          <w:color w:val="000000" w:themeColor="text1"/>
          <w:sz w:val="28"/>
          <w:szCs w:val="28"/>
        </w:rPr>
        <w:t>iencia</w:t>
      </w:r>
      <w:r w:rsidRPr="00113298">
        <w:rPr>
          <w:rFonts w:ascii="Times New Roman" w:eastAsiaTheme="minorHAnsi" w:hAnsi="Times New Roman" w:cs="Times New Roman"/>
          <w:bCs/>
          <w:iCs/>
          <w:color w:val="000000" w:themeColor="text1"/>
          <w:sz w:val="28"/>
          <w:szCs w:val="28"/>
          <w:vertAlign w:val="superscript"/>
        </w:rPr>
        <w:footnoteReference w:id="27"/>
      </w:r>
      <w:r w:rsidRPr="00113298">
        <w:rPr>
          <w:rFonts w:ascii="Times New Roman" w:eastAsiaTheme="minorHAnsi" w:hAnsi="Times New Roman" w:cs="Times New Roman"/>
          <w:bCs/>
          <w:iCs/>
          <w:color w:val="000000" w:themeColor="text1"/>
          <w:sz w:val="28"/>
          <w:szCs w:val="28"/>
        </w:rPr>
        <w:t xml:space="preserve"> puede consultarse en el link de YouTube de la Corte Constitucional</w:t>
      </w:r>
      <w:r w:rsidRPr="00113298">
        <w:rPr>
          <w:rFonts w:ascii="Times New Roman" w:eastAsiaTheme="minorHAnsi" w:hAnsi="Times New Roman" w:cs="Times New Roman"/>
          <w:bCs/>
          <w:iCs/>
          <w:color w:val="000000" w:themeColor="text1"/>
          <w:sz w:val="28"/>
          <w:szCs w:val="28"/>
          <w:vertAlign w:val="superscript"/>
        </w:rPr>
        <w:footnoteReference w:id="28"/>
      </w:r>
      <w:r w:rsidRPr="00113298">
        <w:rPr>
          <w:rFonts w:ascii="Times New Roman" w:eastAsiaTheme="minorHAnsi" w:hAnsi="Times New Roman" w:cs="Times New Roman"/>
          <w:bCs/>
          <w:iCs/>
          <w:color w:val="000000" w:themeColor="text1"/>
          <w:sz w:val="28"/>
          <w:szCs w:val="28"/>
        </w:rPr>
        <w:t>. A continuación se presenta una tabla en la que se resume el sentido de las intervenciones</w:t>
      </w:r>
      <w:r w:rsidRPr="00113298">
        <w:rPr>
          <w:rFonts w:ascii="Times New Roman" w:eastAsiaTheme="minorHAnsi" w:hAnsi="Times New Roman" w:cs="Times New Roman"/>
          <w:bCs/>
          <w:iCs/>
          <w:color w:val="000000" w:themeColor="text1"/>
          <w:sz w:val="28"/>
          <w:szCs w:val="28"/>
          <w:vertAlign w:val="superscript"/>
        </w:rPr>
        <w:footnoteReference w:id="29"/>
      </w:r>
      <w:r w:rsidRPr="00113298">
        <w:rPr>
          <w:rFonts w:ascii="Times New Roman" w:eastAsiaTheme="minorHAnsi" w:hAnsi="Times New Roman" w:cs="Times New Roman"/>
          <w:bCs/>
          <w:i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lang w:val="es-ES_tradnl"/>
        </w:rPr>
      </w:pPr>
      <w:r w:rsidRPr="00113298">
        <w:rPr>
          <w:rFonts w:ascii="Times New Roman" w:hAnsi="Times New Roman" w:cs="Times New Roman"/>
          <w:bCs/>
          <w:i/>
          <w:color w:val="000000" w:themeColor="text1"/>
          <w:sz w:val="28"/>
          <w:lang w:val="es-ES_tradnl"/>
        </w:rPr>
        <w:t>Tabla 2. Intervenciones en audiencia pública</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7"/>
        <w:gridCol w:w="5143"/>
      </w:tblGrid>
      <w:tr w:rsidR="00930F15" w:rsidRPr="00113298" w:rsidTr="00CE1CA6">
        <w:trPr>
          <w:trHeight w:val="360"/>
        </w:trPr>
        <w:tc>
          <w:tcPr>
            <w:tcW w:w="3617"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iCs/>
                <w:sz w:val="28"/>
              </w:rPr>
              <w:t>Participante</w:t>
            </w:r>
          </w:p>
        </w:tc>
        <w:tc>
          <w:tcPr>
            <w:tcW w:w="5143" w:type="dxa"/>
            <w:shd w:val="clear" w:color="auto" w:fill="D9D9D9" w:themeFill="background1" w:themeFillShade="D9"/>
          </w:tcPr>
          <w:p w:rsidR="00930F15" w:rsidRPr="00113298" w:rsidRDefault="00113298" w:rsidP="00930F15">
            <w:pPr>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Resumen intervención</w:t>
            </w:r>
          </w:p>
        </w:tc>
      </w:tr>
      <w:tr w:rsidR="00930F15" w:rsidRPr="00113298" w:rsidTr="00CE1CA6">
        <w:trPr>
          <w:trHeight w:val="465"/>
        </w:trPr>
        <w:tc>
          <w:tcPr>
            <w:tcW w:w="8760" w:type="dxa"/>
            <w:gridSpan w:val="2"/>
            <w:shd w:val="clear" w:color="auto" w:fill="D9D9D9" w:themeFill="background1" w:themeFillShade="D9"/>
          </w:tcPr>
          <w:p w:rsidR="00930F15" w:rsidRPr="00113298" w:rsidRDefault="00113298" w:rsidP="00930F15">
            <w:pPr>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Primer eje temático:</w:t>
            </w:r>
          </w:p>
          <w:p w:rsidR="00930F15" w:rsidRPr="00113298" w:rsidRDefault="00113298" w:rsidP="00930F15">
            <w:pPr>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 xml:space="preserve">Intervenciones oficiales </w:t>
            </w:r>
          </w:p>
        </w:tc>
      </w:tr>
      <w:tr w:rsidR="00930F15" w:rsidRPr="00113298" w:rsidTr="00CE1CA6">
        <w:trPr>
          <w:trHeight w:val="315"/>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Natalia María Springer</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Demandante</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Reiteró los argumentos expuestos en su demanda. En particular, resaltó que la expresión “y las demás normas del presente título” contenida en el artículo 135 del Código Penal conlleva a una aplicación generalizada de una cláusula restrictiva y que la expre</w:t>
            </w:r>
            <w:r w:rsidRPr="00113298">
              <w:rPr>
                <w:rFonts w:ascii="Times New Roman" w:eastAsiaTheme="minorHAnsi" w:hAnsi="Times New Roman" w:cs="Times New Roman"/>
                <w:sz w:val="28"/>
              </w:rPr>
              <w:t xml:space="preserve">sión “en persona protegida”, contenida en los demás artículos acusados, excluye injustificadamente la protección penal a combatientes víctimas de violencia sexual intrafilas. </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Destacó que el reclutamiento de niñas y la violencia sexual intrafilas son compo</w:t>
            </w:r>
            <w:r w:rsidRPr="00113298">
              <w:rPr>
                <w:rFonts w:ascii="Times New Roman" w:eastAsiaTheme="minorHAnsi" w:hAnsi="Times New Roman" w:cs="Times New Roman"/>
                <w:sz w:val="28"/>
              </w:rPr>
              <w:t>nentes de un sistema integrado y que es la técnica central de dominación utilizada por las organizaciones criminales.</w:t>
            </w:r>
          </w:p>
        </w:tc>
      </w:tr>
      <w:tr w:rsidR="00930F15" w:rsidRPr="00113298" w:rsidTr="00CE1CA6">
        <w:trPr>
          <w:trHeight w:val="315"/>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Oscar Iván Hernández</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Delegado para asuntos penales</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Procuraduría General de la Nación</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Afirmó que el núcleo del problema es que las normas </w:t>
            </w:r>
            <w:r w:rsidRPr="00113298">
              <w:rPr>
                <w:rFonts w:ascii="Times New Roman" w:eastAsiaTheme="minorHAnsi" w:hAnsi="Times New Roman" w:cs="Times New Roman"/>
                <w:sz w:val="28"/>
              </w:rPr>
              <w:t>atacadas excluyen a las víctimas de violencia sexual intrafilas, lo cual configura una omisión legislativa relativa que desconoce el bloque de constitucionalidad, el derecho a la igualdad, la prohibición de la esclavitud y servidumbre sexual, y la prevalen</w:t>
            </w:r>
            <w:r w:rsidRPr="00113298">
              <w:rPr>
                <w:rFonts w:ascii="Times New Roman" w:eastAsiaTheme="minorHAnsi" w:hAnsi="Times New Roman" w:cs="Times New Roman"/>
                <w:sz w:val="28"/>
              </w:rPr>
              <w:t>cia de los derechos de los niños, establecidos en los artículos 13, 17, 44 y 93 de la Constitución Política.</w:t>
            </w:r>
          </w:p>
        </w:tc>
      </w:tr>
      <w:tr w:rsidR="00930F15" w:rsidRPr="00113298" w:rsidTr="00CE1CA6">
        <w:trPr>
          <w:trHeight w:val="315"/>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Iris Marín Ortiz</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Defensoría del Pueblo</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Expuso la situación crítica que se vive al interior de los grupos armados al margen de la ley, en relación </w:t>
            </w:r>
            <w:r w:rsidRPr="00113298">
              <w:rPr>
                <w:rFonts w:ascii="Times New Roman" w:eastAsiaTheme="minorHAnsi" w:hAnsi="Times New Roman" w:cs="Times New Roman"/>
                <w:sz w:val="28"/>
              </w:rPr>
              <w:t>con la violencia sexual y resaltó que las víctimas de violencia sexual en el conflicto armado enfrentan barreras significativas para denunciar y acceder a la justicia. En esa línea, sostuvo que la violencia sexual intrafilas tiene que ser penalizada en igu</w:t>
            </w:r>
            <w:r w:rsidRPr="00113298">
              <w:rPr>
                <w:rFonts w:ascii="Times New Roman" w:eastAsiaTheme="minorHAnsi" w:hAnsi="Times New Roman" w:cs="Times New Roman"/>
                <w:sz w:val="28"/>
              </w:rPr>
              <w:t>aldad de condiciones, sin importar el estatus de combat</w:t>
            </w:r>
            <w:r w:rsidRPr="00113298">
              <w:rPr>
                <w:rFonts w:ascii="Times New Roman" w:eastAsiaTheme="minorHAnsi" w:hAnsi="Times New Roman" w:cs="Times New Roman"/>
                <w:sz w:val="28"/>
              </w:rPr>
              <w:t>iente</w:t>
            </w:r>
            <w:r w:rsidRPr="00113298">
              <w:rPr>
                <w:rFonts w:ascii="Times New Roman" w:eastAsiaTheme="minorHAnsi" w:hAnsi="Times New Roman" w:cs="Times New Roman"/>
                <w:sz w:val="28"/>
              </w:rPr>
              <w:t xml:space="preserve"> de la víctima y, por lo tanto, se debe declarar la inexequibilidad de las normas acusadas. </w:t>
            </w:r>
          </w:p>
        </w:tc>
      </w:tr>
      <w:tr w:rsidR="00930F15" w:rsidRPr="00113298" w:rsidTr="00CE1CA6">
        <w:trPr>
          <w:trHeight w:val="420"/>
        </w:trPr>
        <w:tc>
          <w:tcPr>
            <w:tcW w:w="8760" w:type="dxa"/>
            <w:gridSpan w:val="2"/>
            <w:shd w:val="clear" w:color="auto" w:fill="D9D9D9" w:themeFill="background1" w:themeFillShade="D9"/>
          </w:tcPr>
          <w:p w:rsidR="00930F15" w:rsidRPr="00113298" w:rsidRDefault="00113298" w:rsidP="00930F15">
            <w:pPr>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Segundo y Tercer eje temático:</w:t>
            </w:r>
          </w:p>
          <w:p w:rsidR="00930F15" w:rsidRPr="00113298" w:rsidRDefault="00113298" w:rsidP="00930F15">
            <w:pPr>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Intervenciones oficiales</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Myriam Ávila Roldán</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Corte Suprema de </w:t>
            </w:r>
            <w:r w:rsidRPr="00113298">
              <w:rPr>
                <w:rFonts w:ascii="Times New Roman" w:eastAsiaTheme="minorHAnsi" w:hAnsi="Times New Roman" w:cs="Times New Roman"/>
                <w:sz w:val="28"/>
              </w:rPr>
              <w:t>Justicia, Sala de Casación Penal</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Consideró que la demanda carece de aptitud sustancial </w:t>
            </w:r>
            <w:r w:rsidRPr="00113298">
              <w:rPr>
                <w:rFonts w:ascii="Times New Roman" w:eastAsiaTheme="minorHAnsi" w:hAnsi="Times New Roman" w:cs="Times New Roman"/>
                <w:sz w:val="28"/>
              </w:rPr>
              <w:t>ya que</w:t>
            </w:r>
            <w:r w:rsidRPr="00113298">
              <w:rPr>
                <w:rFonts w:ascii="Times New Roman" w:eastAsiaTheme="minorHAnsi" w:hAnsi="Times New Roman" w:cs="Times New Roman"/>
                <w:sz w:val="28"/>
              </w:rPr>
              <w:t xml:space="preserve"> parte de una interpretación incompleta de las premisas normativas, pues a la luz de los principios del Derecho Internacional Humanitario, el derecho penal interna</w:t>
            </w:r>
            <w:r w:rsidRPr="00113298">
              <w:rPr>
                <w:rFonts w:ascii="Times New Roman" w:eastAsiaTheme="minorHAnsi" w:hAnsi="Times New Roman" w:cs="Times New Roman"/>
                <w:sz w:val="28"/>
              </w:rPr>
              <w:t>cional y los dispositivos penales, se podría concluir que sí se incluye a las personas pertenecientes a grupos armados que son víctimas de violencia sexual intrafilas. Agregó que, en todo caso, incluso si las normas atacadas no comprendieran la violencia s</w:t>
            </w:r>
            <w:r w:rsidRPr="00113298">
              <w:rPr>
                <w:rFonts w:ascii="Times New Roman" w:eastAsiaTheme="minorHAnsi" w:hAnsi="Times New Roman" w:cs="Times New Roman"/>
                <w:sz w:val="28"/>
              </w:rPr>
              <w:t xml:space="preserve">exual intrafilas, tal situación debe ser investigada, juzgada y sancionada conforme a los tipos penales generales que prevé el Código Penal. </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Lily Andrea Rueda Guzmán</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Jurisdicción Especial para la Paz (JEP)</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Destacó que la demanda </w:t>
            </w:r>
            <w:r w:rsidRPr="00113298">
              <w:rPr>
                <w:rFonts w:ascii="Times New Roman" w:eastAsiaTheme="minorHAnsi" w:hAnsi="Times New Roman" w:cs="Times New Roman"/>
                <w:i/>
                <w:iCs/>
                <w:sz w:val="28"/>
              </w:rPr>
              <w:t xml:space="preserve">sub examine </w:t>
            </w:r>
            <w:r w:rsidRPr="00113298">
              <w:rPr>
                <w:rFonts w:ascii="Times New Roman" w:eastAsiaTheme="minorHAnsi" w:hAnsi="Times New Roman" w:cs="Times New Roman"/>
                <w:sz w:val="28"/>
              </w:rPr>
              <w:t xml:space="preserve">es una </w:t>
            </w:r>
            <w:r w:rsidRPr="00113298">
              <w:rPr>
                <w:rFonts w:ascii="Times New Roman" w:eastAsiaTheme="minorHAnsi" w:hAnsi="Times New Roman" w:cs="Times New Roman"/>
                <w:sz w:val="28"/>
              </w:rPr>
              <w:t>oportunidad histórica para aclarar el tratamiento penal que se le debe dar a las violencias sexuales y reproductivas cometidas al interior de un grupo armado en el conflicto armado colombiano. Refirió al trabajo que ha hecho la JEP en materia de documentac</w:t>
            </w:r>
            <w:r w:rsidRPr="00113298">
              <w:rPr>
                <w:rFonts w:ascii="Times New Roman" w:eastAsiaTheme="minorHAnsi" w:hAnsi="Times New Roman" w:cs="Times New Roman"/>
                <w:sz w:val="28"/>
              </w:rPr>
              <w:t>ión de estos asuntos y reiteró que la tesis de la JEP reside en la necesidad de declarar la inexequibilidad de la expresión “persona protegida”.</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Daniel Guio</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Instituto Colombiano de Derecho Procesal</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Defendió la constitucionalidad de las expresiones demanda</w:t>
            </w:r>
            <w:r w:rsidRPr="00113298">
              <w:rPr>
                <w:rFonts w:ascii="Times New Roman" w:eastAsiaTheme="minorHAnsi" w:hAnsi="Times New Roman" w:cs="Times New Roman"/>
                <w:sz w:val="28"/>
              </w:rPr>
              <w:t xml:space="preserve">das y precisó que la expresión “persona protegida” admite una interpretación dinámica. Resaltó que la violencia sexual por su naturaleza y gravedad está prohibida siempre y que las víctimas de ese tipo de conductas, incluso intrafilas, están cobijadas por </w:t>
            </w:r>
            <w:r w:rsidRPr="00113298">
              <w:rPr>
                <w:rFonts w:ascii="Times New Roman" w:eastAsiaTheme="minorHAnsi" w:hAnsi="Times New Roman" w:cs="Times New Roman"/>
                <w:sz w:val="28"/>
              </w:rPr>
              <w:t>esa protección.</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Juan Manuel Martínez</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Coalición contra la Vinculación de Niños, Niñas y Jóvenes al Conflicto Armado Colombiano (COALICO)</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Indicó que desde 2016 ha habido un incremento en el reclutamiento ilícito y que se trata de un problema sistémico en Co</w:t>
            </w:r>
            <w:r w:rsidRPr="00113298">
              <w:rPr>
                <w:rFonts w:ascii="Times New Roman" w:eastAsiaTheme="minorHAnsi" w:hAnsi="Times New Roman" w:cs="Times New Roman"/>
                <w:sz w:val="28"/>
              </w:rPr>
              <w:t>lombia. Instó a la Corte a integrar los conceptos del Derecho Internacional Humanitario con una visión más amplia del derecho internacional.</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Carlos Arturo Vásquez Aldana</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Unidad de Atención y Reparación Integral de Víctimas (UARIV)</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 xml:space="preserve">Señaló que los miembros </w:t>
            </w:r>
            <w:r w:rsidRPr="00113298">
              <w:rPr>
                <w:rFonts w:ascii="Times New Roman" w:eastAsiaTheme="minorHAnsi" w:hAnsi="Times New Roman" w:cs="Times New Roman"/>
                <w:sz w:val="28"/>
              </w:rPr>
              <w:t xml:space="preserve">de grupos armados organizados en un conflicto no internacional son combatientes y que no adquieren automáticamente la condición de personas protegidas. No obstante, esta protección se les otorga, cuando se verifica que se encuentran fuera de combate,  que </w:t>
            </w:r>
            <w:r w:rsidRPr="00113298">
              <w:rPr>
                <w:rFonts w:ascii="Times New Roman" w:eastAsiaTheme="minorHAnsi" w:hAnsi="Times New Roman" w:cs="Times New Roman"/>
                <w:sz w:val="28"/>
              </w:rPr>
              <w:t xml:space="preserve">no están participando de las hostilidades o que han dejado las armas. Resaltó que la Corte Penal Internacional estableció un precedente importante en relación con la violencia sexual intrafilas, en el caso del Congo, en tanto precisó que esos actos pueden </w:t>
            </w:r>
            <w:r w:rsidRPr="00113298">
              <w:rPr>
                <w:rFonts w:ascii="Times New Roman" w:eastAsiaTheme="minorHAnsi" w:hAnsi="Times New Roman" w:cs="Times New Roman"/>
                <w:sz w:val="28"/>
              </w:rPr>
              <w:t xml:space="preserve">constituir crímenes de guerra. </w:t>
            </w:r>
          </w:p>
        </w:tc>
      </w:tr>
      <w:tr w:rsidR="00930F15" w:rsidRPr="00113298" w:rsidTr="00CE1CA6">
        <w:trPr>
          <w:trHeight w:val="360"/>
        </w:trPr>
        <w:tc>
          <w:tcPr>
            <w:tcW w:w="3617"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Astrid Eliana Cáceres Cárdenas</w:t>
            </w:r>
          </w:p>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Instituto Colombiano de Bienestar Familiar (ICBF)</w:t>
            </w:r>
          </w:p>
        </w:tc>
        <w:tc>
          <w:tcPr>
            <w:tcW w:w="5143" w:type="dxa"/>
          </w:tcPr>
          <w:p w:rsidR="00930F15" w:rsidRPr="00113298" w:rsidRDefault="00113298" w:rsidP="00930F15">
            <w:pPr>
              <w:jc w:val="both"/>
              <w:rPr>
                <w:rFonts w:ascii="Times New Roman" w:eastAsiaTheme="minorHAnsi" w:hAnsi="Times New Roman" w:cs="Times New Roman"/>
                <w:sz w:val="28"/>
              </w:rPr>
            </w:pPr>
            <w:r w:rsidRPr="00113298">
              <w:rPr>
                <w:rFonts w:ascii="Times New Roman" w:eastAsiaTheme="minorHAnsi" w:hAnsi="Times New Roman" w:cs="Times New Roman"/>
                <w:sz w:val="28"/>
              </w:rPr>
              <w:t>Resaltó que existe una gran problemática en relación con el reclutamiento de niños, niñas y adolescentes en Colombia, por parte de grupos armados y bandas delincuenciales. Solicitó que prevalezca la Convención sobre los Derechos del Niño y la legislación n</w:t>
            </w:r>
            <w:r w:rsidRPr="00113298">
              <w:rPr>
                <w:rFonts w:ascii="Times New Roman" w:eastAsiaTheme="minorHAnsi" w:hAnsi="Times New Roman" w:cs="Times New Roman"/>
                <w:sz w:val="28"/>
              </w:rPr>
              <w:t xml:space="preserve">acional, sobre otras normas que consideran combatientes a las personas por encima de los 15 años. </w:t>
            </w:r>
          </w:p>
        </w:tc>
      </w:tr>
    </w:tbl>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1"/>
        </w:numPr>
        <w:pBdr>
          <w:left w:val="none" w:sz="0" w:space="31" w:color="000000"/>
        </w:pBdr>
        <w:autoSpaceDE w:val="0"/>
        <w:autoSpaceDN w:val="0"/>
        <w:adjustRightInd w:val="0"/>
        <w:ind w:left="360" w:hanging="360"/>
        <w:outlineLvl w:val="0"/>
        <w:rPr>
          <w:rFonts w:ascii="Times New Roman" w:hAnsi="Times New Roman" w:cs="Times New Roman"/>
          <w:b/>
          <w:bCs/>
          <w:color w:val="000000" w:themeColor="text1"/>
          <w:sz w:val="28"/>
          <w:szCs w:val="28"/>
          <w:lang w:val="es-ES_tradnl"/>
        </w:rPr>
      </w:pPr>
      <w:bookmarkStart w:id="7" w:name="_Toc208183510"/>
      <w:r w:rsidRPr="00113298">
        <w:rPr>
          <w:rFonts w:ascii="Times New Roman" w:hAnsi="Times New Roman" w:cs="Times New Roman"/>
          <w:b/>
          <w:bCs/>
          <w:color w:val="000000" w:themeColor="text1"/>
          <w:sz w:val="28"/>
          <w:szCs w:val="28"/>
          <w:lang w:val="es-ES_tradnl"/>
        </w:rPr>
        <w:t>CONSIDERACIONES</w:t>
      </w:r>
      <w:bookmarkEnd w:id="7"/>
    </w:p>
    <w:p w:rsidR="00930F15" w:rsidRPr="00113298" w:rsidRDefault="00113298" w:rsidP="00930F15">
      <w:pPr>
        <w:rPr>
          <w:rFonts w:ascii="Times New Roman" w:eastAsiaTheme="minorHAnsi" w:hAnsi="Times New Roman" w:cs="Times New Roman"/>
          <w:b/>
          <w:color w:val="000000" w:themeColor="text1"/>
          <w:sz w:val="28"/>
          <w:szCs w:val="28"/>
        </w:rPr>
      </w:pPr>
    </w:p>
    <w:p w:rsidR="00930F15" w:rsidRPr="00113298" w:rsidRDefault="00113298" w:rsidP="00930F15">
      <w:pPr>
        <w:keepNext/>
        <w:keepLines/>
        <w:widowControl w:val="0"/>
        <w:numPr>
          <w:ilvl w:val="0"/>
          <w:numId w:val="4"/>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firstLine="0"/>
        <w:jc w:val="both"/>
        <w:outlineLvl w:val="0"/>
        <w:rPr>
          <w:rFonts w:ascii="Times New Roman" w:eastAsiaTheme="majorEastAsia" w:hAnsi="Times New Roman" w:cs="Times New Roman"/>
          <w:b/>
          <w:bCs/>
          <w:color w:val="000000" w:themeColor="text1"/>
          <w:sz w:val="28"/>
          <w:szCs w:val="28"/>
          <w:lang w:val="es-ES" w:eastAsia="es-ES"/>
        </w:rPr>
      </w:pPr>
      <w:bookmarkStart w:id="8" w:name="_Toc208183511"/>
      <w:r w:rsidRPr="00113298">
        <w:rPr>
          <w:rFonts w:ascii="Times New Roman" w:eastAsiaTheme="majorEastAsia" w:hAnsi="Times New Roman" w:cs="Times New Roman"/>
          <w:b/>
          <w:bCs/>
          <w:color w:val="000000" w:themeColor="text1"/>
          <w:sz w:val="28"/>
          <w:szCs w:val="28"/>
          <w:lang w:val="es-ES" w:eastAsia="es-ES"/>
        </w:rPr>
        <w:t>Competencia</w:t>
      </w:r>
      <w:bookmarkEnd w:id="8"/>
    </w:p>
    <w:p w:rsidR="00930F15" w:rsidRPr="00113298" w:rsidRDefault="00113298" w:rsidP="00930F15">
      <w:pPr>
        <w:autoSpaceDE w:val="0"/>
        <w:autoSpaceDN w:val="0"/>
        <w:adjustRightInd w:val="0"/>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sz w:val="28"/>
          <w:szCs w:val="28"/>
        </w:rPr>
      </w:pPr>
      <w:r w:rsidRPr="00113298">
        <w:rPr>
          <w:rFonts w:ascii="Times New Roman" w:eastAsiaTheme="minorHAnsi" w:hAnsi="Times New Roman" w:cs="Times New Roman"/>
          <w:bCs/>
          <w:iCs/>
          <w:sz w:val="28"/>
          <w:szCs w:val="28"/>
        </w:rPr>
        <w:t xml:space="preserve">La Corte Constitucional es competente para adelantar el control de constitucionalidad de las normas demandadas, de conformidad con lo dispuesto por el numeral 4 del artículo 241 de la Constitución. </w:t>
      </w:r>
    </w:p>
    <w:p w:rsidR="00930F15" w:rsidRPr="00113298" w:rsidRDefault="00113298" w:rsidP="00930F15">
      <w:pPr>
        <w:tabs>
          <w:tab w:val="left" w:pos="709"/>
        </w:tabs>
        <w:autoSpaceDE w:val="0"/>
        <w:autoSpaceDN w:val="0"/>
        <w:adjustRightInd w:val="0"/>
        <w:spacing w:before="1"/>
        <w:ind w:right="-8"/>
        <w:contextualSpacing/>
        <w:jc w:val="both"/>
        <w:rPr>
          <w:rFonts w:ascii="Times New Roman" w:hAnsi="Times New Roman" w:cs="Times New Roman"/>
          <w:bCs/>
          <w:i/>
          <w:color w:val="000000" w:themeColor="text1"/>
          <w:sz w:val="28"/>
          <w:szCs w:val="28"/>
          <w:lang w:val="es-ES_tradnl"/>
        </w:rPr>
      </w:pPr>
    </w:p>
    <w:p w:rsidR="00930F15" w:rsidRPr="00113298" w:rsidRDefault="00113298" w:rsidP="00930F15">
      <w:pPr>
        <w:keepNext/>
        <w:keepLines/>
        <w:widowControl w:val="0"/>
        <w:numPr>
          <w:ilvl w:val="0"/>
          <w:numId w:val="4"/>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firstLine="0"/>
        <w:jc w:val="both"/>
        <w:outlineLvl w:val="0"/>
        <w:rPr>
          <w:rFonts w:ascii="Times New Roman" w:hAnsi="Times New Roman" w:cs="Times New Roman"/>
          <w:b/>
          <w:bCs/>
          <w:color w:val="000000" w:themeColor="text1"/>
          <w:sz w:val="28"/>
          <w:szCs w:val="28"/>
          <w:shd w:val="clear" w:color="auto" w:fill="FFFFFF"/>
          <w:lang w:val="es-ES_tradnl"/>
        </w:rPr>
      </w:pPr>
      <w:r w:rsidRPr="00113298">
        <w:rPr>
          <w:rFonts w:ascii="Times New Roman" w:hAnsi="Times New Roman" w:cs="Times New Roman"/>
          <w:b/>
          <w:bCs/>
          <w:color w:val="000000" w:themeColor="text1"/>
          <w:sz w:val="28"/>
          <w:szCs w:val="28"/>
          <w:shd w:val="clear" w:color="auto" w:fill="FFFFFF"/>
          <w:lang w:val="es-ES_tradnl"/>
        </w:rPr>
        <w:t>Estructura de la decisión</w:t>
      </w:r>
    </w:p>
    <w:p w:rsidR="00930F15" w:rsidRPr="00113298" w:rsidRDefault="00113298" w:rsidP="00930F15">
      <w:pPr>
        <w:rPr>
          <w:rFonts w:ascii="Times New Roman" w:eastAsiaTheme="minorHAnsi" w:hAnsi="Times New Roman" w:cs="Times New Roman"/>
          <w:color w:val="000000" w:themeColor="text1"/>
          <w:sz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La presente decisión tendrá la siguiente estructura. En primer lugar, como cuestión previa, la Sala Plena estudiará la aptitud sustantiva de la demanda. En segundo lugar, de ser procedente, analizará si las normas demandadas incurren en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una omisión leg</w:t>
      </w:r>
      <w:r w:rsidRPr="00113298">
        <w:rPr>
          <w:rFonts w:ascii="Times New Roman" w:eastAsiaTheme="minorHAnsi" w:hAnsi="Times New Roman" w:cs="Times New Roman"/>
          <w:bCs/>
          <w:iCs/>
          <w:color w:val="000000" w:themeColor="text1"/>
          <w:sz w:val="28"/>
          <w:szCs w:val="28"/>
        </w:rPr>
        <w:t>islativa relativa que desconoce preceptos del bloque de constitucionalidad y ocasiona vulneraciones al derecho a la igualdad, la prohibición de la esclavitud y servidumbre sexual y contrarían las normas que señalan que los derechos de los niños prevalecen.</w:t>
      </w:r>
      <w:r w:rsidRPr="00113298">
        <w:rPr>
          <w:rFonts w:ascii="Times New Roman" w:eastAsiaTheme="minorHAnsi" w:hAnsi="Times New Roman" w:cs="Times New Roman"/>
          <w:bCs/>
          <w:iCs/>
          <w:color w:val="000000" w:themeColor="text1"/>
          <w:sz w:val="28"/>
          <w:szCs w:val="28"/>
        </w:rPr>
        <w:t xml:space="preserve"> En esa sección, la </w:t>
      </w:r>
      <w:r w:rsidRPr="00113298">
        <w:rPr>
          <w:rFonts w:ascii="Times New Roman" w:eastAsiaTheme="minorHAnsi" w:hAnsi="Times New Roman" w:cs="Times New Roman"/>
          <w:bCs/>
          <w:iCs/>
          <w:color w:val="000000" w:themeColor="text1"/>
          <w:sz w:val="28"/>
          <w:szCs w:val="28"/>
        </w:rPr>
        <w:t>S</w:t>
      </w:r>
      <w:r w:rsidRPr="00113298">
        <w:rPr>
          <w:rFonts w:ascii="Times New Roman" w:eastAsiaTheme="minorHAnsi" w:hAnsi="Times New Roman" w:cs="Times New Roman"/>
          <w:bCs/>
          <w:iCs/>
          <w:color w:val="000000" w:themeColor="text1"/>
          <w:sz w:val="28"/>
          <w:szCs w:val="28"/>
        </w:rPr>
        <w:t>ala formulará el problema jurídico de fondo, determinará la metodología para solucionarlo y resolverá el caso concreto.</w:t>
      </w:r>
    </w:p>
    <w:p w:rsidR="00930F15" w:rsidRPr="00113298" w:rsidRDefault="00113298" w:rsidP="00930F15">
      <w:pPr>
        <w:rPr>
          <w:rFonts w:ascii="Times New Roman" w:eastAsiaTheme="minorHAnsi" w:hAnsi="Times New Roman" w:cs="Times New Roman"/>
          <w:color w:val="000000" w:themeColor="text1"/>
          <w:sz w:val="28"/>
          <w:lang w:val="es-ES_tradnl"/>
        </w:rPr>
      </w:pPr>
    </w:p>
    <w:p w:rsidR="00930F15" w:rsidRPr="00113298" w:rsidRDefault="00113298" w:rsidP="00930F15">
      <w:pPr>
        <w:keepNext/>
        <w:keepLines/>
        <w:widowControl w:val="0"/>
        <w:numPr>
          <w:ilvl w:val="0"/>
          <w:numId w:val="4"/>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firstLine="0"/>
        <w:jc w:val="both"/>
        <w:outlineLvl w:val="0"/>
        <w:rPr>
          <w:rFonts w:ascii="Times New Roman" w:hAnsi="Times New Roman" w:cs="Times New Roman"/>
          <w:b/>
          <w:bCs/>
          <w:color w:val="000000" w:themeColor="text1"/>
          <w:sz w:val="28"/>
          <w:szCs w:val="28"/>
          <w:shd w:val="clear" w:color="auto" w:fill="FFFFFF"/>
          <w:lang w:val="es-ES_tradnl"/>
        </w:rPr>
      </w:pPr>
      <w:bookmarkStart w:id="9" w:name="_Toc208183516"/>
      <w:r w:rsidRPr="00113298">
        <w:rPr>
          <w:rFonts w:ascii="Times New Roman" w:hAnsi="Times New Roman" w:cs="Times New Roman"/>
          <w:b/>
          <w:bCs/>
          <w:color w:val="000000" w:themeColor="text1"/>
          <w:sz w:val="28"/>
          <w:szCs w:val="28"/>
          <w:shd w:val="clear" w:color="auto" w:fill="FFFFFF"/>
          <w:lang w:val="es-ES_tradnl"/>
        </w:rPr>
        <w:t xml:space="preserve">Cuestión previa: </w:t>
      </w:r>
      <w:bookmarkEnd w:id="9"/>
      <w:r w:rsidRPr="00113298">
        <w:rPr>
          <w:rFonts w:ascii="Times New Roman" w:hAnsi="Times New Roman" w:cs="Times New Roman"/>
          <w:b/>
          <w:bCs/>
          <w:color w:val="000000" w:themeColor="text1"/>
          <w:sz w:val="28"/>
          <w:szCs w:val="28"/>
          <w:shd w:val="clear" w:color="auto" w:fill="FFFFFF"/>
          <w:lang w:val="es-ES_tradnl"/>
        </w:rPr>
        <w:t xml:space="preserve">Aptitud de la demanda </w:t>
      </w:r>
    </w:p>
    <w:p w:rsidR="00930F15" w:rsidRPr="00113298" w:rsidRDefault="00113298" w:rsidP="00930F15">
      <w:pPr>
        <w:rPr>
          <w:rFonts w:ascii="Times New Roman" w:eastAsiaTheme="minorHAnsi" w:hAnsi="Times New Roman" w:cs="Times New Roman"/>
          <w:color w:val="000000" w:themeColor="text1"/>
          <w:sz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color w:val="000000" w:themeColor="text1"/>
          <w:sz w:val="28"/>
          <w:szCs w:val="28"/>
        </w:rPr>
      </w:pPr>
      <w:r w:rsidRPr="00113298">
        <w:rPr>
          <w:rFonts w:ascii="Times New Roman" w:eastAsiaTheme="minorHAnsi" w:hAnsi="Times New Roman" w:cs="Times New Roman"/>
          <w:color w:val="000000" w:themeColor="text1"/>
          <w:sz w:val="28"/>
          <w:szCs w:val="28"/>
        </w:rPr>
        <w:t>La Sala procederá a analizar si la demanda satisface las exigencias mínim</w:t>
      </w:r>
      <w:r w:rsidRPr="00113298">
        <w:rPr>
          <w:rFonts w:ascii="Times New Roman" w:eastAsiaTheme="minorHAnsi" w:hAnsi="Times New Roman" w:cs="Times New Roman"/>
          <w:color w:val="000000" w:themeColor="text1"/>
          <w:sz w:val="28"/>
          <w:szCs w:val="28"/>
        </w:rPr>
        <w:t>as de argumentación desarrolladas por la jurisprudencia constitucional</w:t>
      </w:r>
      <w:r w:rsidRPr="00113298">
        <w:rPr>
          <w:rFonts w:ascii="Times New Roman" w:eastAsiaTheme="minorHAnsi" w:hAnsi="Times New Roman" w:cs="Times New Roman"/>
          <w:color w:val="000000" w:themeColor="text1"/>
          <w:sz w:val="28"/>
          <w:szCs w:val="28"/>
        </w:rPr>
        <w:t>,</w:t>
      </w:r>
      <w:r w:rsidRPr="00113298">
        <w:rPr>
          <w:rFonts w:ascii="Times New Roman" w:eastAsiaTheme="minorHAnsi" w:hAnsi="Times New Roman" w:cs="Times New Roman"/>
          <w:color w:val="000000" w:themeColor="text1"/>
          <w:sz w:val="28"/>
          <w:szCs w:val="28"/>
        </w:rPr>
        <w:t xml:space="preserve"> pues tal y como lo ha advertido esta Corte, “la etapa de admisión a cargo del magistrado sustanciador no compromete ni limita la competencia de la Sala Plena de la Corte Constitucional, para analizar la aptitud sustantiva de la demanda, al conocer al proc</w:t>
      </w:r>
      <w:r w:rsidRPr="00113298">
        <w:rPr>
          <w:rFonts w:ascii="Times New Roman" w:eastAsiaTheme="minorHAnsi" w:hAnsi="Times New Roman" w:cs="Times New Roman"/>
          <w:color w:val="000000" w:themeColor="text1"/>
          <w:sz w:val="28"/>
          <w:szCs w:val="28"/>
        </w:rPr>
        <w:t>eso”</w:t>
      </w:r>
      <w:r w:rsidRPr="00113298">
        <w:rPr>
          <w:rFonts w:ascii="Times New Roman" w:eastAsiaTheme="minorHAnsi" w:hAnsi="Times New Roman" w:cs="Times New Roman"/>
          <w:color w:val="000000" w:themeColor="text1"/>
          <w:sz w:val="28"/>
          <w:szCs w:val="28"/>
          <w:vertAlign w:val="superscript"/>
        </w:rPr>
        <w:footnoteReference w:id="30"/>
      </w:r>
      <w:r w:rsidRPr="00113298">
        <w:rPr>
          <w:rFonts w:ascii="Times New Roman" w:eastAsiaTheme="minorHAnsi" w:hAnsi="Times New Roman" w:cs="Times New Roman"/>
          <w:color w:val="000000" w:themeColor="text1"/>
          <w:sz w:val="28"/>
          <w:szCs w:val="28"/>
        </w:rPr>
        <w:t>.</w:t>
      </w:r>
    </w:p>
    <w:p w:rsidR="00037B63" w:rsidRPr="00113298" w:rsidRDefault="00113298" w:rsidP="00E3729E">
      <w:pPr>
        <w:tabs>
          <w:tab w:val="left" w:pos="0"/>
          <w:tab w:val="left" w:pos="567"/>
        </w:tabs>
        <w:ind w:right="51"/>
        <w:contextualSpacing/>
        <w:jc w:val="both"/>
        <w:rPr>
          <w:rFonts w:ascii="Times New Roman" w:eastAsiaTheme="minorHAnsi" w:hAnsi="Times New Roman" w:cs="Times New Roman"/>
          <w:color w:val="000000" w:themeColor="text1"/>
          <w:sz w:val="28"/>
          <w:szCs w:val="28"/>
        </w:rPr>
      </w:pPr>
    </w:p>
    <w:p w:rsidR="00CB5E67" w:rsidRPr="00113298" w:rsidRDefault="00113298" w:rsidP="008F7FB7">
      <w:pPr>
        <w:numPr>
          <w:ilvl w:val="0"/>
          <w:numId w:val="3"/>
        </w:numPr>
        <w:tabs>
          <w:tab w:val="left" w:pos="0"/>
          <w:tab w:val="left" w:pos="567"/>
        </w:tabs>
        <w:ind w:left="0" w:right="51" w:firstLine="0"/>
        <w:contextualSpacing/>
        <w:jc w:val="both"/>
        <w:rPr>
          <w:rFonts w:ascii="Times New Roman" w:hAnsi="Times New Roman" w:cs="Times New Roman"/>
          <w:color w:val="000000" w:themeColor="text1"/>
          <w:sz w:val="28"/>
          <w:szCs w:val="28"/>
        </w:rPr>
      </w:pPr>
      <w:r w:rsidRPr="00113298">
        <w:rPr>
          <w:rFonts w:ascii="Times New Roman" w:hAnsi="Times New Roman" w:cs="Times New Roman"/>
          <w:color w:val="000000" w:themeColor="text1"/>
          <w:sz w:val="28"/>
          <w:szCs w:val="28"/>
        </w:rPr>
        <w:t>A l</w:t>
      </w:r>
      <w:r w:rsidRPr="00113298">
        <w:rPr>
          <w:rFonts w:ascii="Times New Roman" w:hAnsi="Times New Roman" w:cs="Times New Roman"/>
          <w:color w:val="000000" w:themeColor="text1"/>
          <w:sz w:val="28"/>
          <w:szCs w:val="28"/>
        </w:rPr>
        <w:t>o anterior</w:t>
      </w:r>
      <w:r w:rsidRPr="00113298">
        <w:rPr>
          <w:rFonts w:ascii="Times New Roman" w:hAnsi="Times New Roman" w:cs="Times New Roman"/>
          <w:color w:val="000000" w:themeColor="text1"/>
          <w:sz w:val="28"/>
          <w:szCs w:val="28"/>
        </w:rPr>
        <w:t xml:space="preserve"> se suma que en la audiencia pública celebrada el 12 de agosto de 2025, la </w:t>
      </w:r>
      <w:r w:rsidRPr="00113298">
        <w:rPr>
          <w:rFonts w:ascii="Times New Roman" w:hAnsi="Times New Roman" w:cs="Times New Roman"/>
          <w:color w:val="000000" w:themeColor="text1"/>
          <w:sz w:val="28"/>
          <w:szCs w:val="28"/>
        </w:rPr>
        <w:t xml:space="preserve">presidenta de la Sala de Casación Penal de la Corte Suprema de Justicia cuestionó la aptitud </w:t>
      </w:r>
      <w:r w:rsidRPr="00113298">
        <w:rPr>
          <w:rFonts w:ascii="Times New Roman" w:hAnsi="Times New Roman" w:cs="Times New Roman"/>
          <w:color w:val="000000" w:themeColor="text1"/>
          <w:sz w:val="28"/>
          <w:szCs w:val="28"/>
        </w:rPr>
        <w:t>sustantiva</w:t>
      </w:r>
      <w:r w:rsidRPr="00113298">
        <w:rPr>
          <w:rFonts w:ascii="Times New Roman" w:hAnsi="Times New Roman" w:cs="Times New Roman"/>
          <w:color w:val="000000" w:themeColor="text1"/>
          <w:sz w:val="28"/>
          <w:szCs w:val="28"/>
        </w:rPr>
        <w:t xml:space="preserve"> de la demanda. En particular,</w:t>
      </w:r>
      <w:r w:rsidRPr="00113298">
        <w:rPr>
          <w:rFonts w:ascii="Times New Roman" w:hAnsi="Times New Roman" w:cs="Times New Roman"/>
          <w:color w:val="000000" w:themeColor="text1"/>
          <w:sz w:val="28"/>
          <w:szCs w:val="28"/>
        </w:rPr>
        <w:t xml:space="preserve"> advirtió una </w:t>
      </w:r>
      <w:r w:rsidRPr="00113298">
        <w:rPr>
          <w:rFonts w:ascii="Times New Roman" w:hAnsi="Times New Roman" w:cs="Times New Roman"/>
          <w:color w:val="000000" w:themeColor="text1"/>
          <w:sz w:val="28"/>
          <w:szCs w:val="28"/>
        </w:rPr>
        <w:t xml:space="preserve">interpretación incompleta de </w:t>
      </w:r>
      <w:r w:rsidRPr="00113298">
        <w:rPr>
          <w:rFonts w:ascii="Times New Roman" w:hAnsi="Times New Roman" w:cs="Times New Roman"/>
          <w:color w:val="000000" w:themeColor="text1"/>
          <w:sz w:val="28"/>
          <w:szCs w:val="28"/>
        </w:rPr>
        <w:t xml:space="preserve">las </w:t>
      </w:r>
      <w:r w:rsidRPr="00113298">
        <w:rPr>
          <w:rFonts w:ascii="Times New Roman" w:hAnsi="Times New Roman" w:cs="Times New Roman"/>
          <w:color w:val="000000" w:themeColor="text1"/>
          <w:sz w:val="28"/>
          <w:szCs w:val="28"/>
        </w:rPr>
        <w:t xml:space="preserve">premisas normativas, </w:t>
      </w:r>
      <w:r w:rsidRPr="00113298">
        <w:rPr>
          <w:rFonts w:ascii="Times New Roman" w:hAnsi="Times New Roman" w:cs="Times New Roman"/>
          <w:color w:val="000000" w:themeColor="text1"/>
          <w:sz w:val="28"/>
          <w:szCs w:val="28"/>
        </w:rPr>
        <w:t>en la medida en que</w:t>
      </w:r>
      <w:r w:rsidRPr="00113298">
        <w:rPr>
          <w:rFonts w:ascii="Times New Roman" w:hAnsi="Times New Roman" w:cs="Times New Roman"/>
          <w:color w:val="000000" w:themeColor="text1"/>
          <w:sz w:val="28"/>
          <w:szCs w:val="28"/>
        </w:rPr>
        <w:t xml:space="preserve"> </w:t>
      </w:r>
      <w:r w:rsidRPr="00113298">
        <w:rPr>
          <w:rFonts w:ascii="Times New Roman" w:hAnsi="Times New Roman" w:cs="Times New Roman"/>
          <w:color w:val="000000" w:themeColor="text1"/>
          <w:sz w:val="28"/>
          <w:szCs w:val="28"/>
        </w:rPr>
        <w:t>desconoce el alcance integral de las disposiciones acusadas</w:t>
      </w:r>
      <w:r w:rsidRPr="00113298">
        <w:rPr>
          <w:rFonts w:ascii="Times New Roman" w:hAnsi="Times New Roman" w:cs="Times New Roman"/>
          <w:color w:val="000000" w:themeColor="text1"/>
          <w:sz w:val="28"/>
          <w:szCs w:val="28"/>
        </w:rPr>
        <w:t>, así como</w:t>
      </w:r>
      <w:r w:rsidRPr="00113298">
        <w:rPr>
          <w:rFonts w:ascii="Times New Roman" w:hAnsi="Times New Roman" w:cs="Times New Roman"/>
          <w:color w:val="000000" w:themeColor="text1"/>
          <w:sz w:val="28"/>
          <w:szCs w:val="28"/>
        </w:rPr>
        <w:t xml:space="preserve"> su carácter dinámico, ampliable y actualizable. En es</w:t>
      </w:r>
      <w:r w:rsidRPr="00113298">
        <w:rPr>
          <w:rFonts w:ascii="Times New Roman" w:hAnsi="Times New Roman" w:cs="Times New Roman"/>
          <w:color w:val="000000" w:themeColor="text1"/>
          <w:sz w:val="28"/>
          <w:szCs w:val="28"/>
        </w:rPr>
        <w:t>e</w:t>
      </w:r>
      <w:r w:rsidRPr="00113298">
        <w:rPr>
          <w:rFonts w:ascii="Times New Roman" w:hAnsi="Times New Roman" w:cs="Times New Roman"/>
          <w:color w:val="000000" w:themeColor="text1"/>
          <w:sz w:val="28"/>
          <w:szCs w:val="28"/>
        </w:rPr>
        <w:t xml:space="preserve"> </w:t>
      </w:r>
      <w:r w:rsidRPr="00113298">
        <w:rPr>
          <w:rFonts w:ascii="Times New Roman" w:hAnsi="Times New Roman" w:cs="Times New Roman"/>
          <w:color w:val="000000" w:themeColor="text1"/>
          <w:sz w:val="28"/>
          <w:szCs w:val="28"/>
        </w:rPr>
        <w:t>sentido</w:t>
      </w:r>
      <w:r w:rsidRPr="00113298">
        <w:rPr>
          <w:rFonts w:ascii="Times New Roman" w:hAnsi="Times New Roman" w:cs="Times New Roman"/>
          <w:color w:val="000000" w:themeColor="text1"/>
          <w:sz w:val="28"/>
          <w:szCs w:val="28"/>
        </w:rPr>
        <w:t xml:space="preserve">, </w:t>
      </w:r>
      <w:r w:rsidRPr="00113298">
        <w:rPr>
          <w:rFonts w:ascii="Times New Roman" w:hAnsi="Times New Roman" w:cs="Times New Roman"/>
          <w:color w:val="000000" w:themeColor="text1"/>
          <w:sz w:val="28"/>
          <w:szCs w:val="28"/>
        </w:rPr>
        <w:t xml:space="preserve">sostuvo que </w:t>
      </w:r>
      <w:r w:rsidRPr="00113298">
        <w:rPr>
          <w:rFonts w:ascii="Times New Roman" w:hAnsi="Times New Roman" w:cs="Times New Roman"/>
          <w:color w:val="000000" w:themeColor="text1"/>
          <w:sz w:val="28"/>
          <w:szCs w:val="28"/>
        </w:rPr>
        <w:t xml:space="preserve">el concepto de “persona protegida” no puede analizarse de </w:t>
      </w:r>
      <w:r w:rsidRPr="00113298">
        <w:rPr>
          <w:rFonts w:ascii="Times New Roman" w:hAnsi="Times New Roman" w:cs="Times New Roman"/>
          <w:color w:val="000000" w:themeColor="text1"/>
          <w:sz w:val="28"/>
          <w:szCs w:val="28"/>
        </w:rPr>
        <w:t>forma</w:t>
      </w:r>
      <w:r w:rsidRPr="00113298">
        <w:rPr>
          <w:rFonts w:ascii="Times New Roman" w:hAnsi="Times New Roman" w:cs="Times New Roman"/>
          <w:color w:val="000000" w:themeColor="text1"/>
          <w:sz w:val="28"/>
          <w:szCs w:val="28"/>
        </w:rPr>
        <w:t xml:space="preserve"> aislada, sino que debe interpretarse conforme al derecho internacional humanitario</w:t>
      </w:r>
      <w:r w:rsidRPr="00113298">
        <w:rPr>
          <w:rFonts w:ascii="Times New Roman" w:hAnsi="Times New Roman" w:cs="Times New Roman"/>
          <w:color w:val="000000" w:themeColor="text1"/>
          <w:sz w:val="28"/>
          <w:szCs w:val="28"/>
        </w:rPr>
        <w:t xml:space="preserve">, el cual extiende su protección tanto a quienes no participan en el conflicto como a los combatientes.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szCs w:val="28"/>
        </w:rPr>
      </w:pPr>
    </w:p>
    <w:p w:rsidR="00930F15" w:rsidRPr="00113298" w:rsidRDefault="00113298" w:rsidP="00930F15">
      <w:pPr>
        <w:keepNext/>
        <w:keepLines/>
        <w:widowControl w:val="0"/>
        <w:numPr>
          <w:ilvl w:val="1"/>
          <w:numId w:val="4"/>
        </w:numPr>
        <w:pBdr>
          <w:top w:val="none" w:sz="0" w:space="0" w:color="000000"/>
          <w:left w:val="none" w:sz="0" w:space="0" w:color="000000"/>
          <w:bottom w:val="none" w:sz="0" w:space="0" w:color="000000"/>
          <w:right w:val="none" w:sz="0" w:space="0" w:color="000000"/>
          <w:between w:val="none" w:sz="0" w:space="0" w:color="000000"/>
        </w:pBdr>
        <w:tabs>
          <w:tab w:val="left" w:pos="1134"/>
        </w:tabs>
        <w:jc w:val="both"/>
        <w:outlineLvl w:val="0"/>
        <w:rPr>
          <w:rFonts w:ascii="Times New Roman" w:hAnsi="Times New Roman" w:cs="Times New Roman"/>
          <w:b/>
          <w:bCs/>
          <w:iCs/>
          <w:color w:val="000000" w:themeColor="text1"/>
          <w:sz w:val="28"/>
          <w:szCs w:val="28"/>
          <w:lang w:val="es-ES_tradnl"/>
        </w:rPr>
      </w:pPr>
      <w:r w:rsidRPr="00113298">
        <w:rPr>
          <w:rFonts w:ascii="Times New Roman" w:hAnsi="Times New Roman" w:cs="Times New Roman"/>
          <w:b/>
          <w:bCs/>
          <w:iCs/>
          <w:color w:val="000000" w:themeColor="text1"/>
          <w:sz w:val="28"/>
          <w:szCs w:val="28"/>
          <w:lang w:val="es-ES_tradnl"/>
        </w:rPr>
        <w:t>Requ</w:t>
      </w:r>
      <w:r w:rsidRPr="00113298">
        <w:rPr>
          <w:rFonts w:ascii="Times New Roman" w:hAnsi="Times New Roman" w:cs="Times New Roman"/>
          <w:b/>
          <w:bCs/>
          <w:iCs/>
          <w:color w:val="000000" w:themeColor="text1"/>
          <w:sz w:val="28"/>
          <w:szCs w:val="28"/>
          <w:lang w:val="es-ES_tradnl"/>
        </w:rPr>
        <w:t>isitos generales de las demandas de inconstitucionalidad y exigencias argumentativas</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szCs w:val="28"/>
        </w:rPr>
      </w:pPr>
    </w:p>
    <w:p w:rsidR="00DC0A88"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sz w:val="28"/>
          <w:szCs w:val="28"/>
        </w:rPr>
        <w:t>El artículo 2º del Decreto 2067 de 1991 prevé que uno de los requisitos de las demandas de inconstitucionalidad es la formulación del concepto de la violación. Esto impli</w:t>
      </w:r>
      <w:r w:rsidRPr="00113298">
        <w:rPr>
          <w:rFonts w:ascii="Times New Roman" w:eastAsiaTheme="minorHAnsi" w:hAnsi="Times New Roman" w:cs="Times New Roman"/>
          <w:sz w:val="28"/>
          <w:szCs w:val="28"/>
        </w:rPr>
        <w:t xml:space="preserve">ca que el demandante debe </w:t>
      </w:r>
      <w:r w:rsidRPr="00113298">
        <w:rPr>
          <w:rFonts w:ascii="Times New Roman" w:eastAsiaTheme="minorHAnsi" w:hAnsi="Times New Roman" w:cs="Times New Roman"/>
          <w:i/>
          <w:iCs/>
          <w:sz w:val="28"/>
          <w:szCs w:val="28"/>
        </w:rPr>
        <w:t xml:space="preserve">(i) </w:t>
      </w:r>
      <w:r w:rsidRPr="00113298">
        <w:rPr>
          <w:rFonts w:ascii="Times New Roman" w:eastAsiaTheme="minorHAnsi" w:hAnsi="Times New Roman" w:cs="Times New Roman"/>
          <w:sz w:val="28"/>
          <w:szCs w:val="28"/>
        </w:rPr>
        <w:t xml:space="preserve">identificar las normas constitucionales vulneradas, </w:t>
      </w:r>
      <w:r w:rsidRPr="00113298">
        <w:rPr>
          <w:rFonts w:ascii="Times New Roman" w:eastAsiaTheme="minorHAnsi" w:hAnsi="Times New Roman" w:cs="Times New Roman"/>
          <w:i/>
          <w:iCs/>
          <w:sz w:val="28"/>
          <w:szCs w:val="28"/>
        </w:rPr>
        <w:t xml:space="preserve">(ii) </w:t>
      </w:r>
      <w:r w:rsidRPr="00113298">
        <w:rPr>
          <w:rFonts w:ascii="Times New Roman" w:eastAsiaTheme="minorHAnsi" w:hAnsi="Times New Roman" w:cs="Times New Roman"/>
          <w:sz w:val="28"/>
          <w:szCs w:val="28"/>
        </w:rPr>
        <w:t>exponer el contenido normativo de las disposiciones acusadas</w:t>
      </w:r>
      <w:r w:rsidRPr="00113298">
        <w:rPr>
          <w:rFonts w:ascii="Times New Roman" w:eastAsiaTheme="minorHAnsi" w:hAnsi="Times New Roman" w:cs="Times New Roman"/>
          <w:sz w:val="28"/>
          <w:szCs w:val="28"/>
          <w:vertAlign w:val="superscript"/>
        </w:rPr>
        <w:footnoteReference w:id="31"/>
      </w:r>
      <w:r w:rsidRPr="00113298">
        <w:rPr>
          <w:rFonts w:ascii="Times New Roman" w:eastAsiaTheme="minorHAnsi" w:hAnsi="Times New Roman" w:cs="Times New Roman"/>
          <w:sz w:val="28"/>
          <w:szCs w:val="28"/>
        </w:rPr>
        <w:t xml:space="preserve"> y </w:t>
      </w:r>
      <w:r w:rsidRPr="00113298">
        <w:rPr>
          <w:rFonts w:ascii="Times New Roman" w:eastAsiaTheme="minorHAnsi" w:hAnsi="Times New Roman" w:cs="Times New Roman"/>
          <w:i/>
          <w:iCs/>
          <w:sz w:val="28"/>
          <w:szCs w:val="28"/>
        </w:rPr>
        <w:t xml:space="preserve">(iii) </w:t>
      </w:r>
      <w:r w:rsidRPr="00113298">
        <w:rPr>
          <w:rFonts w:ascii="Times New Roman" w:eastAsiaTheme="minorHAnsi" w:hAnsi="Times New Roman" w:cs="Times New Roman"/>
          <w:sz w:val="28"/>
          <w:szCs w:val="28"/>
        </w:rPr>
        <w:t xml:space="preserve">expresar las razones por las cuales los textos demandados violan la Constitución. A partir de la </w:t>
      </w:r>
      <w:r w:rsidRPr="00113298">
        <w:rPr>
          <w:rFonts w:ascii="Times New Roman" w:eastAsiaTheme="minorHAnsi" w:hAnsi="Times New Roman" w:cs="Times New Roman"/>
          <w:sz w:val="28"/>
          <w:szCs w:val="28"/>
        </w:rPr>
        <w:t>Sentencia C-1052 de 2001, la jurisprudencia constitucional ha sostenido que las razones que fundamentan el concepto de la violación deben satisfacer cinco exigencias mínimas de argumentación: certeza, claridad, especificidad, pertinencia y suficiencia</w:t>
      </w:r>
      <w:r w:rsidRPr="00113298">
        <w:rPr>
          <w:rFonts w:ascii="Times New Roman" w:eastAsiaTheme="minorHAnsi" w:hAnsi="Times New Roman" w:cs="Times New Roman"/>
          <w:sz w:val="28"/>
          <w:szCs w:val="28"/>
          <w:vertAlign w:val="superscript"/>
        </w:rPr>
        <w:footnoteReference w:id="32"/>
      </w:r>
      <w:r w:rsidRPr="00113298">
        <w:rPr>
          <w:rFonts w:ascii="Times New Roman" w:eastAsiaTheme="minorHAnsi" w:hAnsi="Times New Roman" w:cs="Times New Roman"/>
          <w:sz w:val="28"/>
          <w:szCs w:val="28"/>
        </w:rPr>
        <w:t>.</w:t>
      </w:r>
    </w:p>
    <w:p w:rsidR="00DC0A88"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rPr>
      </w:pP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i/>
          <w:iCs/>
          <w:color w:val="000000" w:themeColor="text1"/>
          <w:sz w:val="28"/>
        </w:rPr>
      </w:pPr>
      <w:r w:rsidRPr="00113298">
        <w:rPr>
          <w:rFonts w:ascii="Times New Roman" w:eastAsiaTheme="minorHAnsi" w:hAnsi="Times New Roman" w:cs="Times New Roman"/>
          <w:i/>
          <w:iCs/>
          <w:color w:val="000000" w:themeColor="text1"/>
          <w:sz w:val="28"/>
        </w:rPr>
        <w:t>T</w:t>
      </w:r>
      <w:r w:rsidRPr="00113298">
        <w:rPr>
          <w:rFonts w:ascii="Times New Roman" w:eastAsiaTheme="minorHAnsi" w:hAnsi="Times New Roman" w:cs="Times New Roman"/>
          <w:i/>
          <w:iCs/>
          <w:color w:val="000000" w:themeColor="text1"/>
          <w:sz w:val="28"/>
        </w:rPr>
        <w:t>abla 3. Exigencias argumentativas de las demandas de inconstitucionalidad.</w:t>
      </w:r>
    </w:p>
    <w:p w:rsidR="00DC0A88" w:rsidRPr="00113298" w:rsidRDefault="00113298" w:rsidP="00930F15">
      <w:pPr>
        <w:tabs>
          <w:tab w:val="left" w:pos="0"/>
          <w:tab w:val="left" w:pos="567"/>
        </w:tabs>
        <w:ind w:right="51"/>
        <w:contextualSpacing/>
        <w:jc w:val="both"/>
        <w:rPr>
          <w:rFonts w:ascii="Times New Roman" w:eastAsiaTheme="minorHAnsi" w:hAnsi="Times New Roman" w:cs="Times New Roman"/>
          <w:i/>
          <w:iCs/>
          <w:color w:val="000000" w:themeColor="text1"/>
          <w:sz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7097"/>
      </w:tblGrid>
      <w:tr w:rsidR="00930F15" w:rsidRPr="00113298" w:rsidTr="00CE1CA6">
        <w:tc>
          <w:tcPr>
            <w:tcW w:w="1736"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sz w:val="28"/>
              </w:rPr>
            </w:pPr>
            <w:r w:rsidRPr="00113298">
              <w:rPr>
                <w:rFonts w:ascii="Times New Roman" w:eastAsiaTheme="minorHAnsi" w:hAnsi="Times New Roman" w:cs="Times New Roman"/>
                <w:b/>
                <w:sz w:val="28"/>
              </w:rPr>
              <w:t>Carga</w:t>
            </w:r>
          </w:p>
        </w:tc>
        <w:tc>
          <w:tcPr>
            <w:tcW w:w="7097" w:type="dxa"/>
            <w:shd w:val="clear" w:color="auto" w:fill="D9D9D9" w:themeFill="background1" w:themeFillShade="D9"/>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sz w:val="28"/>
              </w:rPr>
            </w:pPr>
            <w:r w:rsidRPr="00113298">
              <w:rPr>
                <w:rFonts w:ascii="Times New Roman" w:eastAsiaTheme="minorHAnsi" w:hAnsi="Times New Roman" w:cs="Times New Roman"/>
                <w:b/>
                <w:sz w:val="28"/>
              </w:rPr>
              <w:t>Contenido</w:t>
            </w:r>
          </w:p>
        </w:tc>
      </w:tr>
      <w:tr w:rsidR="00930F15" w:rsidRPr="00113298" w:rsidTr="00CE1CA6">
        <w:tc>
          <w:tcPr>
            <w:tcW w:w="1736"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Certeza</w:t>
            </w:r>
            <w:r w:rsidRPr="00113298">
              <w:rPr>
                <w:rFonts w:ascii="Times New Roman" w:eastAsiaTheme="minorHAnsi" w:hAnsi="Times New Roman" w:cs="Times New Roman"/>
                <w:b/>
                <w:bCs/>
                <w:sz w:val="28"/>
                <w:vertAlign w:val="superscript"/>
              </w:rPr>
              <w:footnoteReference w:id="33"/>
            </w:r>
          </w:p>
        </w:tc>
        <w:tc>
          <w:tcPr>
            <w:tcW w:w="7097" w:type="dxa"/>
          </w:tcPr>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sz w:val="28"/>
              </w:rPr>
            </w:pPr>
            <w:r w:rsidRPr="00113298">
              <w:rPr>
                <w:rFonts w:ascii="Times New Roman" w:eastAsiaTheme="minorHAnsi" w:hAnsi="Times New Roman" w:cs="Times New Roman"/>
                <w:bCs/>
                <w:sz w:val="28"/>
              </w:rPr>
              <w:t>Exige que la acusación recaiga sobre una “</w:t>
            </w:r>
            <w:r w:rsidRPr="00113298">
              <w:rPr>
                <w:rFonts w:ascii="Times New Roman" w:eastAsiaTheme="minorHAnsi" w:hAnsi="Times New Roman" w:cs="Times New Roman"/>
                <w:bCs/>
                <w:iCs/>
                <w:sz w:val="28"/>
              </w:rPr>
              <w:t>proposición jurídica real y existente</w:t>
            </w:r>
            <w:r w:rsidRPr="00113298">
              <w:rPr>
                <w:rFonts w:ascii="Times New Roman" w:eastAsiaTheme="minorHAnsi" w:hAnsi="Times New Roman" w:cs="Times New Roman"/>
                <w:bCs/>
                <w:sz w:val="28"/>
              </w:rPr>
              <w:t>”</w:t>
            </w:r>
            <w:r w:rsidRPr="00113298">
              <w:rPr>
                <w:rFonts w:ascii="Times New Roman" w:eastAsiaTheme="minorHAnsi" w:hAnsi="Times New Roman" w:cs="Times New Roman"/>
                <w:bCs/>
                <w:sz w:val="28"/>
                <w:vertAlign w:val="superscript"/>
              </w:rPr>
              <w:footnoteReference w:id="34"/>
            </w:r>
            <w:r w:rsidRPr="00113298">
              <w:rPr>
                <w:rFonts w:ascii="Times New Roman" w:eastAsiaTheme="minorHAnsi" w:hAnsi="Times New Roman" w:cs="Times New Roman"/>
                <w:bCs/>
                <w:sz w:val="28"/>
              </w:rPr>
              <w:t xml:space="preserve"> y no esté basada en “interpretaciones puramente subjetivas, caprichosas o irrazonables de los textos demandados”</w:t>
            </w:r>
            <w:r w:rsidRPr="00113298">
              <w:rPr>
                <w:rFonts w:ascii="Times New Roman" w:eastAsiaTheme="minorHAnsi" w:hAnsi="Times New Roman" w:cs="Times New Roman"/>
                <w:bCs/>
                <w:sz w:val="28"/>
                <w:vertAlign w:val="superscript"/>
              </w:rPr>
              <w:footnoteReference w:id="35"/>
            </w:r>
            <w:r w:rsidRPr="00113298">
              <w:rPr>
                <w:rFonts w:ascii="Times New Roman" w:eastAsiaTheme="minorHAnsi" w:hAnsi="Times New Roman" w:cs="Times New Roman"/>
                <w:bCs/>
                <w:sz w:val="28"/>
              </w:rPr>
              <w:t>.</w:t>
            </w:r>
          </w:p>
        </w:tc>
      </w:tr>
      <w:tr w:rsidR="00930F15" w:rsidRPr="00113298" w:rsidTr="00CE1CA6">
        <w:tc>
          <w:tcPr>
            <w:tcW w:w="1736"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Claridad</w:t>
            </w:r>
            <w:r w:rsidRPr="00113298">
              <w:rPr>
                <w:rFonts w:ascii="Times New Roman" w:eastAsiaTheme="minorHAnsi" w:hAnsi="Times New Roman" w:cs="Times New Roman"/>
                <w:b/>
                <w:bCs/>
                <w:sz w:val="28"/>
                <w:vertAlign w:val="superscript"/>
              </w:rPr>
              <w:footnoteReference w:id="36"/>
            </w:r>
          </w:p>
        </w:tc>
        <w:tc>
          <w:tcPr>
            <w:tcW w:w="7097" w:type="dxa"/>
          </w:tcPr>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sz w:val="28"/>
              </w:rPr>
            </w:pPr>
            <w:r w:rsidRPr="00113298">
              <w:rPr>
                <w:rFonts w:ascii="Times New Roman" w:eastAsiaTheme="minorHAnsi" w:hAnsi="Times New Roman" w:cs="Times New Roman"/>
                <w:bCs/>
                <w:sz w:val="28"/>
              </w:rPr>
              <w:t>Las palabras empleadas para formular los argumentos deben ser inteligibles o comprensibles</w:t>
            </w:r>
            <w:r w:rsidRPr="00113298">
              <w:rPr>
                <w:rFonts w:ascii="Times New Roman" w:eastAsiaTheme="minorHAnsi" w:hAnsi="Times New Roman" w:cs="Times New Roman"/>
                <w:bCs/>
                <w:sz w:val="28"/>
                <w:vertAlign w:val="superscript"/>
              </w:rPr>
              <w:footnoteReference w:id="37"/>
            </w:r>
            <w:r w:rsidRPr="00113298">
              <w:rPr>
                <w:rFonts w:ascii="Times New Roman" w:eastAsiaTheme="minorHAnsi" w:hAnsi="Times New Roman" w:cs="Times New Roman"/>
                <w:bCs/>
                <w:sz w:val="28"/>
              </w:rPr>
              <w:t xml:space="preserve">. Además, la exposición argumentativa </w:t>
            </w:r>
            <w:r w:rsidRPr="00113298">
              <w:rPr>
                <w:rFonts w:ascii="Times New Roman" w:eastAsiaTheme="minorHAnsi" w:hAnsi="Times New Roman" w:cs="Times New Roman"/>
                <w:bCs/>
                <w:sz w:val="28"/>
              </w:rPr>
              <w:t>debe seguir un hilo conductor lógico</w:t>
            </w:r>
            <w:r w:rsidRPr="00113298">
              <w:rPr>
                <w:rFonts w:ascii="Times New Roman" w:eastAsiaTheme="minorHAnsi" w:hAnsi="Times New Roman" w:cs="Times New Roman"/>
                <w:bCs/>
                <w:sz w:val="28"/>
                <w:vertAlign w:val="superscript"/>
              </w:rPr>
              <w:footnoteReference w:id="38"/>
            </w:r>
            <w:r w:rsidRPr="00113298">
              <w:rPr>
                <w:rFonts w:ascii="Times New Roman" w:eastAsiaTheme="minorHAnsi" w:hAnsi="Times New Roman" w:cs="Times New Roman"/>
                <w:bCs/>
                <w:sz w:val="28"/>
              </w:rPr>
              <w:t xml:space="preserve"> que “permita al lector comprender el contenido de su demanda y las justificaciones en las que se basa”</w:t>
            </w:r>
            <w:r w:rsidRPr="00113298">
              <w:rPr>
                <w:rFonts w:ascii="Times New Roman" w:eastAsiaTheme="minorHAnsi" w:hAnsi="Times New Roman" w:cs="Times New Roman"/>
                <w:bCs/>
                <w:sz w:val="28"/>
                <w:vertAlign w:val="superscript"/>
              </w:rPr>
              <w:footnoteReference w:id="39"/>
            </w:r>
            <w:r w:rsidRPr="00113298">
              <w:rPr>
                <w:rFonts w:ascii="Times New Roman" w:eastAsiaTheme="minorHAnsi" w:hAnsi="Times New Roman" w:cs="Times New Roman"/>
                <w:bCs/>
                <w:sz w:val="28"/>
              </w:rPr>
              <w:t>.</w:t>
            </w:r>
          </w:p>
        </w:tc>
      </w:tr>
      <w:tr w:rsidR="00930F15" w:rsidRPr="00113298" w:rsidTr="00CE1CA6">
        <w:tc>
          <w:tcPr>
            <w:tcW w:w="1736"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Especificidad</w:t>
            </w:r>
            <w:r w:rsidRPr="00113298">
              <w:rPr>
                <w:rFonts w:ascii="Times New Roman" w:eastAsiaTheme="minorHAnsi" w:hAnsi="Times New Roman" w:cs="Times New Roman"/>
                <w:b/>
                <w:bCs/>
                <w:sz w:val="28"/>
                <w:vertAlign w:val="superscript"/>
              </w:rPr>
              <w:footnoteReference w:id="40"/>
            </w:r>
          </w:p>
        </w:tc>
        <w:tc>
          <w:tcPr>
            <w:tcW w:w="7097" w:type="dxa"/>
          </w:tcPr>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sz w:val="28"/>
              </w:rPr>
            </w:pPr>
            <w:r w:rsidRPr="00113298">
              <w:rPr>
                <w:rFonts w:ascii="Times New Roman" w:eastAsiaTheme="minorHAnsi" w:hAnsi="Times New Roman" w:cs="Times New Roman"/>
                <w:bCs/>
                <w:iCs/>
                <w:sz w:val="28"/>
              </w:rPr>
              <w:t>Impone al demandante la carga de exponer argumentos concretos y precisos que sustenten la solicit</w:t>
            </w:r>
            <w:r w:rsidRPr="00113298">
              <w:rPr>
                <w:rFonts w:ascii="Times New Roman" w:eastAsiaTheme="minorHAnsi" w:hAnsi="Times New Roman" w:cs="Times New Roman"/>
                <w:bCs/>
                <w:iCs/>
                <w:sz w:val="28"/>
              </w:rPr>
              <w:t>ud de inconstitucionalidad, no</w:t>
            </w:r>
            <w:r w:rsidRPr="00113298">
              <w:rPr>
                <w:rFonts w:ascii="Times New Roman" w:eastAsiaTheme="minorHAnsi" w:hAnsi="Times New Roman" w:cs="Times New Roman"/>
                <w:bCs/>
                <w:i/>
                <w:iCs/>
                <w:sz w:val="28"/>
              </w:rPr>
              <w:t xml:space="preserve"> </w:t>
            </w:r>
            <w:r w:rsidRPr="00113298">
              <w:rPr>
                <w:rFonts w:ascii="Times New Roman" w:eastAsiaTheme="minorHAnsi" w:hAnsi="Times New Roman" w:cs="Times New Roman"/>
                <w:bCs/>
                <w:sz w:val="28"/>
              </w:rPr>
              <w:t>“genéricos o excesivamente vagos</w:t>
            </w:r>
            <w:r w:rsidRPr="00113298">
              <w:rPr>
                <w:rFonts w:ascii="Times New Roman" w:eastAsiaTheme="minorHAnsi" w:hAnsi="Times New Roman" w:cs="Times New Roman"/>
                <w:bCs/>
                <w:iCs/>
                <w:sz w:val="28"/>
              </w:rPr>
              <w:t>”</w:t>
            </w:r>
            <w:r w:rsidRPr="00113298">
              <w:rPr>
                <w:rFonts w:ascii="Times New Roman" w:eastAsiaTheme="minorHAnsi" w:hAnsi="Times New Roman" w:cs="Times New Roman"/>
                <w:bCs/>
                <w:sz w:val="28"/>
                <w:vertAlign w:val="superscript"/>
              </w:rPr>
              <w:footnoteReference w:id="41"/>
            </w:r>
            <w:r w:rsidRPr="00113298">
              <w:rPr>
                <w:rFonts w:ascii="Times New Roman" w:eastAsiaTheme="minorHAnsi" w:hAnsi="Times New Roman" w:cs="Times New Roman"/>
                <w:bCs/>
                <w:sz w:val="28"/>
              </w:rPr>
              <w:t>.</w:t>
            </w:r>
          </w:p>
        </w:tc>
      </w:tr>
      <w:tr w:rsidR="00930F15" w:rsidRPr="00113298" w:rsidTr="00CE1CA6">
        <w:tc>
          <w:tcPr>
            <w:tcW w:w="1736"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Pertinencia</w:t>
            </w:r>
            <w:r w:rsidRPr="00113298">
              <w:rPr>
                <w:rFonts w:ascii="Times New Roman" w:eastAsiaTheme="minorHAnsi" w:hAnsi="Times New Roman" w:cs="Times New Roman"/>
                <w:b/>
                <w:bCs/>
                <w:sz w:val="28"/>
                <w:vertAlign w:val="superscript"/>
              </w:rPr>
              <w:footnoteReference w:id="42"/>
            </w:r>
          </w:p>
        </w:tc>
        <w:tc>
          <w:tcPr>
            <w:tcW w:w="7097" w:type="dxa"/>
          </w:tcPr>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sz w:val="28"/>
              </w:rPr>
            </w:pPr>
            <w:r w:rsidRPr="00113298">
              <w:rPr>
                <w:rFonts w:ascii="Times New Roman" w:eastAsiaTheme="minorHAnsi" w:hAnsi="Times New Roman" w:cs="Times New Roman"/>
                <w:bCs/>
                <w:sz w:val="28"/>
              </w:rPr>
              <w:t>La acusación debe estar fundada en la transgresión de una disposición constitucional</w:t>
            </w:r>
            <w:r w:rsidRPr="00113298">
              <w:rPr>
                <w:rFonts w:ascii="Times New Roman" w:eastAsiaTheme="minorHAnsi" w:hAnsi="Times New Roman" w:cs="Times New Roman"/>
                <w:bCs/>
                <w:sz w:val="28"/>
                <w:vertAlign w:val="superscript"/>
              </w:rPr>
              <w:footnoteReference w:id="43"/>
            </w:r>
            <w:r w:rsidRPr="00113298">
              <w:rPr>
                <w:rFonts w:ascii="Times New Roman" w:eastAsiaTheme="minorHAnsi" w:hAnsi="Times New Roman" w:cs="Times New Roman"/>
                <w:bCs/>
                <w:sz w:val="28"/>
              </w:rPr>
              <w:t>. El demandante debe plantear argumentos de “</w:t>
            </w:r>
            <w:r w:rsidRPr="00113298">
              <w:rPr>
                <w:rFonts w:ascii="Times New Roman" w:eastAsiaTheme="minorHAnsi" w:hAnsi="Times New Roman" w:cs="Times New Roman"/>
                <w:bCs/>
                <w:iCs/>
                <w:sz w:val="28"/>
              </w:rPr>
              <w:t>naturaleza estrictamente constitucional</w:t>
            </w:r>
            <w:r w:rsidRPr="00113298">
              <w:rPr>
                <w:rFonts w:ascii="Times New Roman" w:eastAsiaTheme="minorHAnsi" w:hAnsi="Times New Roman" w:cs="Times New Roman"/>
                <w:bCs/>
                <w:sz w:val="28"/>
              </w:rPr>
              <w:t>”</w:t>
            </w:r>
            <w:r w:rsidRPr="00113298">
              <w:rPr>
                <w:rFonts w:ascii="Times New Roman" w:eastAsiaTheme="minorHAnsi" w:hAnsi="Times New Roman" w:cs="Times New Roman"/>
                <w:bCs/>
                <w:sz w:val="28"/>
                <w:vertAlign w:val="superscript"/>
              </w:rPr>
              <w:footnoteReference w:id="44"/>
            </w:r>
            <w:r w:rsidRPr="00113298">
              <w:rPr>
                <w:rFonts w:ascii="Times New Roman" w:eastAsiaTheme="minorHAnsi" w:hAnsi="Times New Roman" w:cs="Times New Roman"/>
                <w:bCs/>
                <w:sz w:val="28"/>
              </w:rPr>
              <w:t xml:space="preserve"> </w:t>
            </w:r>
            <w:r w:rsidRPr="00113298">
              <w:rPr>
                <w:rFonts w:ascii="Times New Roman" w:eastAsiaTheme="minorHAnsi" w:hAnsi="Times New Roman" w:cs="Times New Roman"/>
                <w:bCs/>
                <w:iCs/>
                <w:sz w:val="28"/>
              </w:rPr>
              <w:t xml:space="preserve">y </w:t>
            </w:r>
            <w:r w:rsidRPr="00113298">
              <w:rPr>
                <w:rFonts w:ascii="Times New Roman" w:eastAsiaTheme="minorHAnsi" w:hAnsi="Times New Roman" w:cs="Times New Roman"/>
                <w:bCs/>
                <w:iCs/>
                <w:sz w:val="28"/>
              </w:rPr>
              <w:t>no de legalidad</w:t>
            </w:r>
            <w:r w:rsidRPr="00113298">
              <w:rPr>
                <w:rFonts w:ascii="Times New Roman" w:eastAsiaTheme="minorHAnsi" w:hAnsi="Times New Roman" w:cs="Times New Roman"/>
                <w:bCs/>
                <w:sz w:val="28"/>
              </w:rPr>
              <w:t>,</w:t>
            </w:r>
            <w:r w:rsidRPr="00113298">
              <w:rPr>
                <w:rFonts w:ascii="Times New Roman" w:eastAsiaTheme="minorHAnsi" w:hAnsi="Times New Roman" w:cs="Times New Roman"/>
                <w:bCs/>
                <w:i/>
                <w:iCs/>
                <w:sz w:val="28"/>
              </w:rPr>
              <w:t xml:space="preserve"> </w:t>
            </w:r>
            <w:r w:rsidRPr="00113298">
              <w:rPr>
                <w:rFonts w:ascii="Times New Roman" w:eastAsiaTheme="minorHAnsi" w:hAnsi="Times New Roman" w:cs="Times New Roman"/>
                <w:bCs/>
                <w:iCs/>
                <w:sz w:val="28"/>
              </w:rPr>
              <w:t>“</w:t>
            </w:r>
            <w:r w:rsidRPr="00113298">
              <w:rPr>
                <w:rFonts w:ascii="Times New Roman" w:eastAsiaTheme="minorHAnsi" w:hAnsi="Times New Roman" w:cs="Times New Roman"/>
                <w:bCs/>
                <w:sz w:val="28"/>
              </w:rPr>
              <w:t>conveniencia o corrección de las decisiones legislativas”</w:t>
            </w:r>
            <w:r w:rsidRPr="00113298">
              <w:rPr>
                <w:rFonts w:ascii="Times New Roman" w:eastAsiaTheme="minorHAnsi" w:hAnsi="Times New Roman" w:cs="Times New Roman"/>
                <w:bCs/>
                <w:sz w:val="28"/>
                <w:vertAlign w:val="superscript"/>
              </w:rPr>
              <w:footnoteReference w:id="45"/>
            </w:r>
            <w:r w:rsidRPr="00113298">
              <w:rPr>
                <w:rFonts w:ascii="Times New Roman" w:eastAsiaTheme="minorHAnsi" w:hAnsi="Times New Roman" w:cs="Times New Roman"/>
                <w:bCs/>
                <w:sz w:val="28"/>
              </w:rPr>
              <w:t>.</w:t>
            </w:r>
          </w:p>
        </w:tc>
      </w:tr>
      <w:tr w:rsidR="00930F15" w:rsidRPr="00113298" w:rsidTr="00CE1CA6">
        <w:tc>
          <w:tcPr>
            <w:tcW w:w="1736" w:type="dxa"/>
            <w:shd w:val="clear" w:color="auto" w:fill="D9D9D9" w:themeFill="background1" w:themeFillShade="D9"/>
            <w:vAlign w:val="center"/>
          </w:tcPr>
          <w:p w:rsidR="00930F15" w:rsidRPr="00113298" w:rsidRDefault="00113298" w:rsidP="00930F15">
            <w:pPr>
              <w:tabs>
                <w:tab w:val="left" w:pos="0"/>
                <w:tab w:val="left" w:pos="567"/>
              </w:tabs>
              <w:ind w:right="51"/>
              <w:contextualSpacing/>
              <w:jc w:val="center"/>
              <w:rPr>
                <w:rFonts w:ascii="Times New Roman" w:eastAsiaTheme="minorHAnsi" w:hAnsi="Times New Roman" w:cs="Times New Roman"/>
                <w:b/>
                <w:bCs/>
                <w:sz w:val="28"/>
              </w:rPr>
            </w:pPr>
            <w:r w:rsidRPr="00113298">
              <w:rPr>
                <w:rFonts w:ascii="Times New Roman" w:eastAsiaTheme="minorHAnsi" w:hAnsi="Times New Roman" w:cs="Times New Roman"/>
                <w:b/>
                <w:bCs/>
                <w:sz w:val="28"/>
              </w:rPr>
              <w:t>Suficiencia</w:t>
            </w:r>
          </w:p>
        </w:tc>
        <w:tc>
          <w:tcPr>
            <w:tcW w:w="7097" w:type="dxa"/>
          </w:tcPr>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sz w:val="28"/>
              </w:rPr>
            </w:pPr>
            <w:r w:rsidRPr="00113298">
              <w:rPr>
                <w:rFonts w:ascii="Times New Roman" w:eastAsiaTheme="minorHAnsi" w:hAnsi="Times New Roman" w:cs="Times New Roman"/>
                <w:bCs/>
                <w:sz w:val="28"/>
              </w:rPr>
              <w:t>Exige que los argumentos formulados generen “una duda inicial sobre la constitucionalidad de la disposición demandada”</w:t>
            </w:r>
            <w:r w:rsidRPr="00113298">
              <w:rPr>
                <w:rFonts w:ascii="Times New Roman" w:eastAsiaTheme="minorHAnsi" w:hAnsi="Times New Roman" w:cs="Times New Roman"/>
                <w:bCs/>
                <w:sz w:val="28"/>
                <w:vertAlign w:val="superscript"/>
              </w:rPr>
              <w:footnoteReference w:id="46"/>
            </w:r>
            <w:r w:rsidRPr="00113298">
              <w:rPr>
                <w:rFonts w:ascii="Times New Roman" w:eastAsiaTheme="minorHAnsi" w:hAnsi="Times New Roman" w:cs="Times New Roman"/>
                <w:bCs/>
                <w:sz w:val="28"/>
              </w:rPr>
              <w:t xml:space="preserve">. La carga de suficiencia es un “criterio de </w:t>
            </w:r>
            <w:r w:rsidRPr="00113298">
              <w:rPr>
                <w:rFonts w:ascii="Times New Roman" w:eastAsiaTheme="minorHAnsi" w:hAnsi="Times New Roman" w:cs="Times New Roman"/>
                <w:bCs/>
                <w:sz w:val="28"/>
              </w:rPr>
              <w:t>cierre para definir la aptitud del cargo”</w:t>
            </w:r>
            <w:r w:rsidRPr="00113298">
              <w:rPr>
                <w:rFonts w:ascii="Times New Roman" w:eastAsiaTheme="minorHAnsi" w:hAnsi="Times New Roman" w:cs="Times New Roman"/>
                <w:bCs/>
                <w:sz w:val="28"/>
                <w:vertAlign w:val="superscript"/>
              </w:rPr>
              <w:footnoteReference w:id="47"/>
            </w:r>
            <w:r w:rsidRPr="00113298">
              <w:rPr>
                <w:rFonts w:ascii="Times New Roman" w:eastAsiaTheme="minorHAnsi" w:hAnsi="Times New Roman" w:cs="Times New Roman"/>
                <w:bCs/>
                <w:sz w:val="28"/>
              </w:rPr>
              <w:t>.</w:t>
            </w:r>
          </w:p>
        </w:tc>
      </w:tr>
    </w:tbl>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color w:val="000000" w:themeColor="text1"/>
          <w:sz w:val="28"/>
          <w:szCs w:val="28"/>
        </w:rPr>
      </w:pPr>
      <w:r w:rsidRPr="00113298">
        <w:rPr>
          <w:rFonts w:ascii="Times New Roman" w:eastAsiaTheme="minorHAnsi" w:hAnsi="Times New Roman" w:cs="Times New Roman"/>
          <w:color w:val="000000" w:themeColor="text1"/>
          <w:sz w:val="28"/>
          <w:szCs w:val="28"/>
        </w:rPr>
        <w:t xml:space="preserve">Sumado a lo anterior, la jurisprudencia constitucional ha sido enfática en señalar que cuando se alega la existencia de una omisión legislativa relativa, el demandante asume unas cargas más rigurosas. En particular, debe acreditar: </w:t>
      </w:r>
      <w:r w:rsidRPr="00113298">
        <w:rPr>
          <w:rFonts w:ascii="Times New Roman" w:eastAsiaTheme="minorHAnsi" w:hAnsi="Times New Roman" w:cs="Times New Roman"/>
          <w:i/>
          <w:iCs/>
          <w:color w:val="000000" w:themeColor="text1"/>
          <w:sz w:val="28"/>
          <w:szCs w:val="28"/>
        </w:rPr>
        <w:t>(i)</w:t>
      </w:r>
      <w:r w:rsidRPr="00113298">
        <w:rPr>
          <w:rFonts w:ascii="Times New Roman" w:eastAsiaTheme="minorHAnsi" w:hAnsi="Times New Roman" w:cs="Times New Roman"/>
          <w:color w:val="000000" w:themeColor="text1"/>
          <w:sz w:val="28"/>
          <w:szCs w:val="28"/>
        </w:rPr>
        <w:t xml:space="preserve"> la identificación pr</w:t>
      </w:r>
      <w:r w:rsidRPr="00113298">
        <w:rPr>
          <w:rFonts w:ascii="Times New Roman" w:eastAsiaTheme="minorHAnsi" w:hAnsi="Times New Roman" w:cs="Times New Roman"/>
          <w:color w:val="000000" w:themeColor="text1"/>
          <w:sz w:val="28"/>
          <w:szCs w:val="28"/>
        </w:rPr>
        <w:t xml:space="preserve">ecisa de la norma respecto de la cual se predica la omisión; </w:t>
      </w:r>
      <w:r w:rsidRPr="00113298">
        <w:rPr>
          <w:rFonts w:ascii="Times New Roman" w:eastAsiaTheme="minorHAnsi" w:hAnsi="Times New Roman" w:cs="Times New Roman"/>
          <w:i/>
          <w:iCs/>
          <w:color w:val="000000" w:themeColor="text1"/>
          <w:sz w:val="28"/>
          <w:szCs w:val="28"/>
        </w:rPr>
        <w:t>(ii)</w:t>
      </w:r>
      <w:r w:rsidRPr="00113298">
        <w:rPr>
          <w:rFonts w:ascii="Times New Roman" w:eastAsiaTheme="minorHAnsi" w:hAnsi="Times New Roman" w:cs="Times New Roman"/>
          <w:color w:val="000000" w:themeColor="text1"/>
          <w:sz w:val="28"/>
          <w:szCs w:val="28"/>
        </w:rPr>
        <w:t xml:space="preserve"> que dicha disposición excluya de sus efectos jurídicos supuestos equivalentes o comparables, o que omite la inclusión de un elemento o contenido normativo específico; </w:t>
      </w:r>
      <w:r w:rsidRPr="00113298">
        <w:rPr>
          <w:rFonts w:ascii="Times New Roman" w:eastAsiaTheme="minorHAnsi" w:hAnsi="Times New Roman" w:cs="Times New Roman"/>
          <w:i/>
          <w:iCs/>
          <w:color w:val="000000" w:themeColor="text1"/>
          <w:sz w:val="28"/>
          <w:szCs w:val="28"/>
        </w:rPr>
        <w:t xml:space="preserve">(iii) </w:t>
      </w:r>
      <w:r w:rsidRPr="00113298">
        <w:rPr>
          <w:rFonts w:ascii="Times New Roman" w:eastAsiaTheme="minorHAnsi" w:hAnsi="Times New Roman" w:cs="Times New Roman"/>
          <w:color w:val="000000" w:themeColor="text1"/>
          <w:sz w:val="28"/>
          <w:szCs w:val="28"/>
        </w:rPr>
        <w:t xml:space="preserve">la existencia de </w:t>
      </w:r>
      <w:r w:rsidRPr="00113298">
        <w:rPr>
          <w:rFonts w:ascii="Times New Roman" w:eastAsiaTheme="minorHAnsi" w:hAnsi="Times New Roman" w:cs="Times New Roman"/>
          <w:color w:val="000000" w:themeColor="text1"/>
          <w:sz w:val="28"/>
          <w:szCs w:val="28"/>
        </w:rPr>
        <w:t xml:space="preserve">un deber concreto, impuesto directamente por la Constitución al legislador, que ha sido incumplido; </w:t>
      </w:r>
      <w:r w:rsidRPr="00113298">
        <w:rPr>
          <w:rFonts w:ascii="Times New Roman" w:eastAsiaTheme="minorHAnsi" w:hAnsi="Times New Roman" w:cs="Times New Roman"/>
          <w:i/>
          <w:iCs/>
          <w:color w:val="000000" w:themeColor="text1"/>
          <w:sz w:val="28"/>
          <w:szCs w:val="28"/>
        </w:rPr>
        <w:t>(iv)</w:t>
      </w:r>
      <w:r w:rsidRPr="00113298">
        <w:rPr>
          <w:rFonts w:ascii="Times New Roman" w:eastAsiaTheme="minorHAnsi" w:hAnsi="Times New Roman" w:cs="Times New Roman"/>
          <w:color w:val="000000" w:themeColor="text1"/>
          <w:sz w:val="28"/>
          <w:szCs w:val="28"/>
        </w:rPr>
        <w:t xml:space="preserve"> que la exclusión de tales supuestos o elementos carezca de una justificación razonable; y </w:t>
      </w:r>
      <w:r w:rsidRPr="00113298">
        <w:rPr>
          <w:rFonts w:ascii="Times New Roman" w:eastAsiaTheme="minorHAnsi" w:hAnsi="Times New Roman" w:cs="Times New Roman"/>
          <w:i/>
          <w:iCs/>
          <w:color w:val="000000" w:themeColor="text1"/>
          <w:sz w:val="28"/>
          <w:szCs w:val="28"/>
        </w:rPr>
        <w:t xml:space="preserve">(v) </w:t>
      </w:r>
      <w:r w:rsidRPr="00113298">
        <w:rPr>
          <w:rFonts w:ascii="Times New Roman" w:eastAsiaTheme="minorHAnsi" w:hAnsi="Times New Roman" w:cs="Times New Roman"/>
          <w:color w:val="000000" w:themeColor="text1"/>
          <w:sz w:val="28"/>
          <w:szCs w:val="28"/>
        </w:rPr>
        <w:t>que, en los casos de exclusión, esa falta objetiva genere</w:t>
      </w:r>
      <w:r w:rsidRPr="00113298">
        <w:rPr>
          <w:rFonts w:ascii="Times New Roman" w:eastAsiaTheme="minorHAnsi" w:hAnsi="Times New Roman" w:cs="Times New Roman"/>
          <w:color w:val="000000" w:themeColor="text1"/>
          <w:sz w:val="28"/>
          <w:szCs w:val="28"/>
        </w:rPr>
        <w:t xml:space="preserve"> una desigualdad en perjuicio de quienes no quedaron cobijados por las consecuencias de la norma</w:t>
      </w:r>
      <w:r w:rsidRPr="00113298">
        <w:rPr>
          <w:rFonts w:ascii="Times New Roman" w:eastAsiaTheme="minorHAnsi" w:hAnsi="Times New Roman" w:cs="Times New Roman"/>
          <w:color w:val="000000" w:themeColor="text1"/>
          <w:sz w:val="28"/>
          <w:szCs w:val="28"/>
          <w:vertAlign w:val="superscript"/>
        </w:rPr>
        <w:footnoteReference w:id="48"/>
      </w:r>
      <w:r w:rsidRPr="00113298">
        <w:rPr>
          <w:rFonts w:ascii="Times New Roman" w:eastAsiaTheme="minorHAnsi" w:hAnsi="Times New Roman" w:cs="Times New Roman"/>
          <w:color w:val="000000" w:themeColor="text1"/>
          <w:sz w:val="28"/>
          <w:szCs w:val="28"/>
        </w:rPr>
        <w:t>.</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color w:val="000000" w:themeColor="text1"/>
          <w:sz w:val="28"/>
          <w:szCs w:val="28"/>
        </w:rPr>
      </w:pPr>
      <w:r w:rsidRPr="00113298">
        <w:rPr>
          <w:rFonts w:ascii="Times New Roman" w:eastAsiaTheme="minorHAnsi" w:hAnsi="Times New Roman" w:cs="Times New Roman"/>
          <w:color w:val="000000" w:themeColor="text1"/>
          <w:sz w:val="28"/>
          <w:szCs w:val="28"/>
        </w:rPr>
        <w:t>En principio, la satisfacción de estos presupuestos se verifica durante la etapa de admisibilidad de la demanda. No obstante, tal y como se mencionó previam</w:t>
      </w:r>
      <w:r w:rsidRPr="00113298">
        <w:rPr>
          <w:rFonts w:ascii="Times New Roman" w:eastAsiaTheme="minorHAnsi" w:hAnsi="Times New Roman" w:cs="Times New Roman"/>
          <w:color w:val="000000" w:themeColor="text1"/>
          <w:sz w:val="28"/>
          <w:szCs w:val="28"/>
        </w:rPr>
        <w:t>ente, la Sala Plena es competente para efectuar un nuevo análisis al momento de resolver el asunto, escenario en el cual tiene a su disposición mayores elementos de juicio, en particular, tras haber estudiado los argumentos de los intervinientes y el conce</w:t>
      </w:r>
      <w:r w:rsidRPr="00113298">
        <w:rPr>
          <w:rFonts w:ascii="Times New Roman" w:eastAsiaTheme="minorHAnsi" w:hAnsi="Times New Roman" w:cs="Times New Roman"/>
          <w:color w:val="000000" w:themeColor="text1"/>
          <w:sz w:val="28"/>
          <w:szCs w:val="28"/>
        </w:rPr>
        <w:t>pto de la Procuraduría General de la Nación. Tal ejercicio propende por el uso racional y eficiente de la acción pública de inconstitucionalidad, ya que tal control se activa únicamente cuando quien demanda propone cargos que generen al menos una mínima du</w:t>
      </w:r>
      <w:r w:rsidRPr="00113298">
        <w:rPr>
          <w:rFonts w:ascii="Times New Roman" w:eastAsiaTheme="minorHAnsi" w:hAnsi="Times New Roman" w:cs="Times New Roman"/>
          <w:color w:val="000000" w:themeColor="text1"/>
          <w:sz w:val="28"/>
          <w:szCs w:val="28"/>
        </w:rPr>
        <w:t>da frente a la validez de la norma acusada, “y que por tanto justifiquen la apertura del debate constitucional de fondo</w:t>
      </w:r>
      <w:r w:rsidRPr="00113298">
        <w:rPr>
          <w:rFonts w:ascii="Times New Roman" w:eastAsiaTheme="minorHAnsi" w:hAnsi="Times New Roman" w:cs="Times New Roman"/>
          <w:color w:val="000000"/>
          <w:sz w:val="28"/>
          <w:shd w:val="clear" w:color="auto" w:fill="FFFFFF"/>
          <w:vertAlign w:val="superscript"/>
        </w:rPr>
        <w:footnoteReference w:id="49"/>
      </w:r>
      <w:r w:rsidRPr="00113298">
        <w:rPr>
          <w:rFonts w:ascii="Times New Roman" w:eastAsiaTheme="minorHAnsi" w:hAnsi="Times New Roman" w:cs="Times New Roman"/>
          <w:color w:val="000000" w:themeColor="text1"/>
          <w:sz w:val="28"/>
          <w:szCs w:val="28"/>
        </w:rPr>
        <w:t>”.</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sz w:val="28"/>
          <w:szCs w:val="28"/>
        </w:rPr>
      </w:pPr>
      <w:r w:rsidRPr="00113298">
        <w:rPr>
          <w:rFonts w:ascii="Times New Roman" w:eastAsiaTheme="minorHAnsi" w:hAnsi="Times New Roman" w:cs="Times New Roman"/>
          <w:sz w:val="28"/>
          <w:szCs w:val="28"/>
        </w:rPr>
        <w:t xml:space="preserve">En tal virtud, el cumplimiento de esas exigencias argumentativas debe ser constatado por este Alto Tribunal a partir de un examen </w:t>
      </w:r>
      <w:r w:rsidRPr="00113298">
        <w:rPr>
          <w:rFonts w:ascii="Times New Roman" w:eastAsiaTheme="minorHAnsi" w:hAnsi="Times New Roman" w:cs="Times New Roman"/>
          <w:sz w:val="28"/>
          <w:szCs w:val="28"/>
        </w:rPr>
        <w:t>que articule la naturaleza pública e informal de la acción de inconstitucionalidad</w:t>
      </w:r>
      <w:r w:rsidRPr="00113298">
        <w:rPr>
          <w:rFonts w:ascii="Times New Roman" w:eastAsiaTheme="minorHAnsi" w:hAnsi="Times New Roman" w:cs="Times New Roman"/>
          <w:sz w:val="28"/>
          <w:szCs w:val="28"/>
          <w:vertAlign w:val="superscript"/>
        </w:rPr>
        <w:footnoteReference w:id="50"/>
      </w:r>
      <w:r w:rsidRPr="00113298">
        <w:rPr>
          <w:rFonts w:ascii="Times New Roman" w:eastAsiaTheme="minorHAnsi" w:hAnsi="Times New Roman" w:cs="Times New Roman"/>
          <w:sz w:val="28"/>
          <w:szCs w:val="28"/>
        </w:rPr>
        <w:t>, de un lado, y el carácter rogado de la misma</w:t>
      </w:r>
      <w:r w:rsidRPr="00113298">
        <w:rPr>
          <w:rFonts w:ascii="Times New Roman" w:eastAsiaTheme="minorHAnsi" w:hAnsi="Times New Roman" w:cs="Times New Roman"/>
          <w:sz w:val="28"/>
          <w:szCs w:val="28"/>
          <w:vertAlign w:val="superscript"/>
        </w:rPr>
        <w:footnoteReference w:id="51"/>
      </w:r>
      <w:r w:rsidRPr="00113298">
        <w:rPr>
          <w:rFonts w:ascii="Times New Roman" w:eastAsiaTheme="minorHAnsi" w:hAnsi="Times New Roman" w:cs="Times New Roman"/>
          <w:sz w:val="28"/>
          <w:szCs w:val="28"/>
        </w:rPr>
        <w:t>, de otro. La constatación de falencias argumentativas en la formulación del concepto de violación impide que se adelante un e</w:t>
      </w:r>
      <w:r w:rsidRPr="00113298">
        <w:rPr>
          <w:rFonts w:ascii="Times New Roman" w:eastAsiaTheme="minorHAnsi" w:hAnsi="Times New Roman" w:cs="Times New Roman"/>
          <w:sz w:val="28"/>
          <w:szCs w:val="28"/>
        </w:rPr>
        <w:t xml:space="preserve">studio de fondo y, en consecuencia, conduce a un fallo inhibitorio. </w:t>
      </w:r>
    </w:p>
    <w:p w:rsidR="00930F15" w:rsidRPr="00113298" w:rsidRDefault="00113298" w:rsidP="00930F15">
      <w:pPr>
        <w:autoSpaceDE w:val="0"/>
        <w:autoSpaceDN w:val="0"/>
        <w:adjustRightInd w:val="0"/>
        <w:spacing w:before="1"/>
        <w:ind w:left="39" w:right="103"/>
        <w:jc w:val="both"/>
        <w:rPr>
          <w:rFonts w:ascii="Times New Roman" w:hAnsi="Times New Roman" w:cs="Times New Roman"/>
          <w:color w:val="000000" w:themeColor="text1"/>
          <w:sz w:val="28"/>
          <w:szCs w:val="28"/>
          <w:lang w:val="es-ES_tradnl"/>
        </w:rPr>
      </w:pPr>
    </w:p>
    <w:p w:rsidR="00930F15" w:rsidRPr="00113298" w:rsidRDefault="00113298" w:rsidP="00930F15">
      <w:pPr>
        <w:keepNext/>
        <w:keepLines/>
        <w:widowControl w:val="0"/>
        <w:numPr>
          <w:ilvl w:val="1"/>
          <w:numId w:val="4"/>
        </w:numPr>
        <w:pBdr>
          <w:top w:val="none" w:sz="0" w:space="0" w:color="000000"/>
          <w:left w:val="none" w:sz="0" w:space="0" w:color="000000"/>
          <w:bottom w:val="none" w:sz="0" w:space="0" w:color="000000"/>
          <w:right w:val="none" w:sz="0" w:space="0" w:color="000000"/>
          <w:between w:val="none" w:sz="0" w:space="0" w:color="000000"/>
        </w:pBdr>
        <w:tabs>
          <w:tab w:val="left" w:pos="1134"/>
        </w:tabs>
        <w:jc w:val="both"/>
        <w:outlineLvl w:val="0"/>
        <w:rPr>
          <w:rFonts w:ascii="Times New Roman" w:hAnsi="Times New Roman" w:cs="Times New Roman"/>
          <w:b/>
          <w:bCs/>
          <w:iCs/>
          <w:color w:val="000000" w:themeColor="text1"/>
          <w:sz w:val="28"/>
          <w:szCs w:val="28"/>
          <w:lang w:val="es-ES_tradnl"/>
        </w:rPr>
      </w:pPr>
      <w:r w:rsidRPr="00113298">
        <w:rPr>
          <w:rFonts w:ascii="Times New Roman" w:hAnsi="Times New Roman" w:cs="Times New Roman"/>
          <w:b/>
          <w:bCs/>
          <w:iCs/>
          <w:color w:val="000000" w:themeColor="text1"/>
          <w:sz w:val="28"/>
          <w:szCs w:val="28"/>
          <w:lang w:val="es-ES_tradnl"/>
        </w:rPr>
        <w:t>Examen de aptitud de la demanda</w:t>
      </w:r>
    </w:p>
    <w:p w:rsidR="00930F15" w:rsidRPr="00113298" w:rsidRDefault="00113298" w:rsidP="00930F15">
      <w:pPr>
        <w:autoSpaceDE w:val="0"/>
        <w:autoSpaceDN w:val="0"/>
        <w:adjustRightInd w:val="0"/>
        <w:spacing w:before="1"/>
        <w:ind w:left="39" w:right="103"/>
        <w:jc w:val="both"/>
        <w:rPr>
          <w:rFonts w:ascii="Times New Roman" w:hAnsi="Times New Roman" w:cs="Times New Roman"/>
          <w:color w:val="000000" w:themeColor="text1"/>
          <w:sz w:val="28"/>
          <w:szCs w:val="28"/>
          <w:lang w:val="es-ES_tradnl"/>
        </w:rPr>
      </w:pPr>
    </w:p>
    <w:p w:rsidR="00930F15" w:rsidRPr="00113298" w:rsidRDefault="00113298" w:rsidP="004C52A1">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La Sala Plena encuentra que el cargo propuesto por la accionante no satisface las exigencias de argumentación desarrolladas por la Corte Constitucional</w:t>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en particular, claridad, certeza, pertinencia y suficiencia, por las razones que expondrá a continuación.</w:t>
      </w:r>
      <w:r w:rsidRPr="00113298">
        <w:rPr>
          <w:rFonts w:ascii="Times New Roman" w:eastAsiaTheme="minorHAnsi" w:hAnsi="Times New Roman" w:cs="Times New Roman"/>
          <w:bCs/>
          <w:iCs/>
          <w:color w:val="000000" w:themeColor="text1"/>
          <w:sz w:val="28"/>
          <w:szCs w:val="28"/>
        </w:rPr>
        <w:t xml:space="preserve"> </w:t>
      </w:r>
    </w:p>
    <w:p w:rsidR="004C52A1" w:rsidRPr="00113298" w:rsidRDefault="00113298" w:rsidP="004C52A1">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Claridad. </w:t>
      </w:r>
      <w:r w:rsidRPr="00113298">
        <w:rPr>
          <w:rFonts w:ascii="Times New Roman" w:eastAsiaTheme="minorHAnsi" w:hAnsi="Times New Roman" w:cs="Times New Roman"/>
          <w:bCs/>
          <w:iCs/>
          <w:color w:val="000000" w:themeColor="text1"/>
          <w:sz w:val="28"/>
          <w:szCs w:val="28"/>
        </w:rPr>
        <w:t>La demanda carece de claridad, en la medida en que el argumento central expuesto por la actora entremezcla elementos propios de distintas líneas argumentativas sin desarrollarlas de manera suficiente, ordenada y coherente. En efecto, aunque inicialmente pr</w:t>
      </w:r>
      <w:r w:rsidRPr="00113298">
        <w:rPr>
          <w:rFonts w:ascii="Times New Roman" w:eastAsiaTheme="minorHAnsi" w:hAnsi="Times New Roman" w:cs="Times New Roman"/>
          <w:bCs/>
          <w:iCs/>
          <w:color w:val="000000" w:themeColor="text1"/>
          <w:sz w:val="28"/>
          <w:szCs w:val="28"/>
        </w:rPr>
        <w:t>etende estructurar un cargo por omisión legislativa relativa, a lo largo de la exposición incorpora consideraciones propias de una eventual vulneración del bloque de constitucionalidad y de un posible trato desigual. Sin embargo, estos planteamientos no so</w:t>
      </w:r>
      <w:r w:rsidRPr="00113298">
        <w:rPr>
          <w:rFonts w:ascii="Times New Roman" w:eastAsiaTheme="minorHAnsi" w:hAnsi="Times New Roman" w:cs="Times New Roman"/>
          <w:bCs/>
          <w:iCs/>
          <w:color w:val="000000" w:themeColor="text1"/>
          <w:sz w:val="28"/>
          <w:szCs w:val="28"/>
        </w:rPr>
        <w:t xml:space="preserve">n formulados de manera autónoma y tampoco se encuentran articulados completamente entre sí, lo que impide identificar con precisión el alcance del reproche de inconstitucionalidad. </w:t>
      </w:r>
    </w:p>
    <w:p w:rsidR="00740FE0" w:rsidRPr="00113298" w:rsidRDefault="00113298" w:rsidP="00740FE0">
      <w:pPr>
        <w:pStyle w:val="Prrafodelista"/>
        <w:rPr>
          <w:rFonts w:eastAsiaTheme="minorHAnsi"/>
          <w:bCs/>
          <w:i/>
          <w:color w:val="000000" w:themeColor="text1"/>
          <w:sz w:val="28"/>
          <w:szCs w:val="28"/>
        </w:rPr>
      </w:pPr>
    </w:p>
    <w:p w:rsidR="00EF1A51" w:rsidRPr="00113298" w:rsidRDefault="00113298" w:rsidP="00EF1A51">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Así, la </w:t>
      </w:r>
      <w:r w:rsidRPr="00113298">
        <w:rPr>
          <w:rFonts w:ascii="Times New Roman" w:eastAsiaTheme="minorHAnsi" w:hAnsi="Times New Roman" w:cs="Times New Roman"/>
          <w:bCs/>
          <w:iCs/>
          <w:color w:val="000000" w:themeColor="text1"/>
          <w:sz w:val="28"/>
          <w:szCs w:val="28"/>
        </w:rPr>
        <w:t>accionante</w:t>
      </w:r>
      <w:r w:rsidRPr="00113298">
        <w:rPr>
          <w:rFonts w:ascii="Times New Roman" w:eastAsiaTheme="minorHAnsi" w:hAnsi="Times New Roman" w:cs="Times New Roman"/>
          <w:bCs/>
          <w:iCs/>
          <w:color w:val="000000" w:themeColor="text1"/>
          <w:sz w:val="28"/>
          <w:szCs w:val="28"/>
        </w:rPr>
        <w:t xml:space="preserve"> señal</w:t>
      </w:r>
      <w:r w:rsidRPr="00113298">
        <w:rPr>
          <w:rFonts w:ascii="Times New Roman" w:eastAsiaTheme="minorHAnsi" w:hAnsi="Times New Roman" w:cs="Times New Roman"/>
          <w:bCs/>
          <w:iCs/>
          <w:color w:val="000000" w:themeColor="text1"/>
          <w:sz w:val="28"/>
          <w:szCs w:val="28"/>
        </w:rPr>
        <w:t>ó</w:t>
      </w:r>
      <w:r w:rsidRPr="00113298">
        <w:rPr>
          <w:rFonts w:ascii="Times New Roman" w:eastAsiaTheme="minorHAnsi" w:hAnsi="Times New Roman" w:cs="Times New Roman"/>
          <w:bCs/>
          <w:iCs/>
          <w:color w:val="000000" w:themeColor="text1"/>
          <w:sz w:val="28"/>
          <w:szCs w:val="28"/>
        </w:rPr>
        <w:t xml:space="preserve"> que </w:t>
      </w:r>
      <w:r w:rsidRPr="00113298">
        <w:rPr>
          <w:rFonts w:ascii="Times New Roman" w:eastAsiaTheme="minorHAnsi" w:hAnsi="Times New Roman" w:cs="Times New Roman"/>
          <w:bCs/>
          <w:iCs/>
          <w:color w:val="000000" w:themeColor="text1"/>
          <w:sz w:val="28"/>
          <w:szCs w:val="28"/>
        </w:rPr>
        <w:t xml:space="preserve">su “alegato se estructura alrededor de los </w:t>
      </w:r>
      <w:r w:rsidRPr="00113298">
        <w:rPr>
          <w:rFonts w:ascii="Times New Roman" w:eastAsiaTheme="minorHAnsi" w:hAnsi="Times New Roman" w:cs="Times New Roman"/>
          <w:bCs/>
          <w:iCs/>
          <w:color w:val="000000" w:themeColor="text1"/>
          <w:sz w:val="28"/>
          <w:szCs w:val="28"/>
        </w:rPr>
        <w:t>criterios requeridos en el test de omisión legislativa relativa</w:t>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 con desarrollo de criterios adicionales por alegarse aquí, entre otros, una violación al derecho a la igualdad y una discriminación injustificada”</w:t>
      </w:r>
      <w:r w:rsidRPr="00113298">
        <w:rPr>
          <w:rStyle w:val="Refdenotaalpie"/>
          <w:rFonts w:ascii="Times New Roman" w:eastAsiaTheme="minorHAnsi" w:hAnsi="Times New Roman" w:cs="Times New Roman"/>
          <w:bCs/>
          <w:iCs/>
          <w:color w:val="000000" w:themeColor="text1"/>
          <w:sz w:val="28"/>
          <w:szCs w:val="28"/>
        </w:rPr>
        <w:footnoteReference w:id="52"/>
      </w:r>
      <w:r w:rsidRPr="00113298">
        <w:rPr>
          <w:rFonts w:ascii="Times New Roman" w:eastAsiaTheme="minorHAnsi" w:hAnsi="Times New Roman" w:cs="Times New Roman"/>
          <w:bCs/>
          <w:iCs/>
          <w:color w:val="000000" w:themeColor="text1"/>
          <w:sz w:val="28"/>
          <w:szCs w:val="28"/>
        </w:rPr>
        <w:t>. A pesar de</w:t>
      </w:r>
      <w:r w:rsidRPr="00113298">
        <w:rPr>
          <w:rFonts w:ascii="Times New Roman" w:eastAsiaTheme="minorHAnsi" w:hAnsi="Times New Roman" w:cs="Times New Roman"/>
          <w:bCs/>
          <w:iCs/>
          <w:color w:val="000000" w:themeColor="text1"/>
          <w:sz w:val="28"/>
          <w:szCs w:val="28"/>
        </w:rPr>
        <w:t xml:space="preserve"> iniciar</w:t>
      </w:r>
      <w:r w:rsidRPr="00113298">
        <w:rPr>
          <w:rFonts w:ascii="Times New Roman" w:eastAsiaTheme="minorHAnsi" w:hAnsi="Times New Roman" w:cs="Times New Roman"/>
          <w:bCs/>
          <w:iCs/>
          <w:color w:val="000000" w:themeColor="text1"/>
          <w:sz w:val="28"/>
          <w:szCs w:val="28"/>
        </w:rPr>
        <w:t xml:space="preserve"> con esa afirmación, </w:t>
      </w:r>
      <w:r w:rsidRPr="00113298">
        <w:rPr>
          <w:rFonts w:ascii="Times New Roman" w:eastAsiaTheme="minorHAnsi" w:hAnsi="Times New Roman" w:cs="Times New Roman"/>
          <w:bCs/>
          <w:iCs/>
          <w:color w:val="000000" w:themeColor="text1"/>
          <w:sz w:val="28"/>
          <w:szCs w:val="28"/>
        </w:rPr>
        <w:t xml:space="preserve">a renglón seguido </w:t>
      </w:r>
      <w:r w:rsidRPr="00113298">
        <w:rPr>
          <w:rFonts w:ascii="Times New Roman" w:eastAsiaTheme="minorHAnsi" w:hAnsi="Times New Roman" w:cs="Times New Roman"/>
          <w:bCs/>
          <w:iCs/>
          <w:color w:val="000000" w:themeColor="text1"/>
          <w:sz w:val="28"/>
          <w:szCs w:val="28"/>
        </w:rPr>
        <w:t>sostuvo</w:t>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que organizaba su ataque a las nomas “sobre dos cargos principales”</w:t>
      </w:r>
      <w:r w:rsidRPr="00113298">
        <w:rPr>
          <w:rStyle w:val="Refdenotaalpie"/>
          <w:rFonts w:ascii="Times New Roman" w:eastAsiaTheme="minorHAnsi" w:hAnsi="Times New Roman" w:cs="Times New Roman"/>
          <w:bCs/>
          <w:iCs/>
          <w:color w:val="000000" w:themeColor="text1"/>
          <w:sz w:val="28"/>
          <w:szCs w:val="28"/>
        </w:rPr>
        <w:footnoteReference w:id="53"/>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
          <w:color w:val="000000" w:themeColor="text1"/>
          <w:sz w:val="28"/>
          <w:szCs w:val="28"/>
        </w:rPr>
        <w:t xml:space="preserve">(i) </w:t>
      </w:r>
      <w:r w:rsidRPr="00113298">
        <w:rPr>
          <w:rFonts w:ascii="Times New Roman" w:eastAsiaTheme="minorHAnsi" w:hAnsi="Times New Roman" w:cs="Times New Roman"/>
          <w:bCs/>
          <w:iCs/>
          <w:color w:val="000000" w:themeColor="text1"/>
          <w:sz w:val="28"/>
          <w:szCs w:val="28"/>
        </w:rPr>
        <w:t>“como una violación del bloque de constitucionalidad”</w:t>
      </w:r>
      <w:r w:rsidRPr="00113298">
        <w:rPr>
          <w:rStyle w:val="Refdenotaalpie"/>
          <w:rFonts w:ascii="Times New Roman" w:eastAsiaTheme="minorHAnsi" w:hAnsi="Times New Roman" w:cs="Times New Roman"/>
          <w:bCs/>
          <w:iCs/>
          <w:color w:val="000000" w:themeColor="text1"/>
          <w:sz w:val="28"/>
          <w:szCs w:val="28"/>
        </w:rPr>
        <w:footnoteReference w:id="54"/>
      </w:r>
      <w:r w:rsidRPr="00113298">
        <w:rPr>
          <w:rFonts w:ascii="Times New Roman" w:eastAsiaTheme="minorHAnsi" w:hAnsi="Times New Roman" w:cs="Times New Roman"/>
          <w:bCs/>
          <w:iCs/>
          <w:color w:val="000000" w:themeColor="text1"/>
          <w:sz w:val="28"/>
          <w:szCs w:val="28"/>
        </w:rPr>
        <w:t xml:space="preserve"> y </w:t>
      </w:r>
      <w:r w:rsidRPr="00113298">
        <w:rPr>
          <w:rFonts w:ascii="Times New Roman" w:eastAsiaTheme="minorHAnsi" w:hAnsi="Times New Roman" w:cs="Times New Roman"/>
          <w:bCs/>
          <w:i/>
          <w:color w:val="000000" w:themeColor="text1"/>
          <w:sz w:val="28"/>
          <w:szCs w:val="28"/>
        </w:rPr>
        <w:t>(ii)</w:t>
      </w:r>
      <w:r w:rsidRPr="00113298">
        <w:rPr>
          <w:rFonts w:ascii="Times New Roman" w:eastAsiaTheme="minorHAnsi" w:hAnsi="Times New Roman" w:cs="Times New Roman"/>
          <w:bCs/>
          <w:iCs/>
          <w:color w:val="000000" w:themeColor="text1"/>
          <w:sz w:val="28"/>
          <w:szCs w:val="28"/>
        </w:rPr>
        <w:t>“afectación de derechos fundamentales”</w:t>
      </w:r>
      <w:r w:rsidRPr="00113298">
        <w:rPr>
          <w:rStyle w:val="Refdenotaalpie"/>
          <w:rFonts w:ascii="Times New Roman" w:eastAsiaTheme="minorHAnsi" w:hAnsi="Times New Roman" w:cs="Times New Roman"/>
          <w:bCs/>
          <w:iCs/>
          <w:color w:val="000000" w:themeColor="text1"/>
          <w:sz w:val="28"/>
          <w:szCs w:val="28"/>
        </w:rPr>
        <w:footnoteReference w:id="55"/>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 xml:space="preserve">En lo que denominó el primer cargo, </w:t>
      </w:r>
      <w:r w:rsidRPr="00113298">
        <w:rPr>
          <w:rFonts w:ascii="Times New Roman" w:eastAsiaTheme="minorHAnsi" w:hAnsi="Times New Roman" w:cs="Times New Roman"/>
          <w:bCs/>
          <w:iCs/>
          <w:color w:val="000000" w:themeColor="text1"/>
          <w:sz w:val="28"/>
          <w:szCs w:val="28"/>
        </w:rPr>
        <w:t>precisó</w:t>
      </w:r>
      <w:r w:rsidRPr="00113298">
        <w:rPr>
          <w:rFonts w:ascii="Times New Roman" w:eastAsiaTheme="minorHAnsi" w:hAnsi="Times New Roman" w:cs="Times New Roman"/>
          <w:bCs/>
          <w:iCs/>
          <w:color w:val="000000" w:themeColor="text1"/>
          <w:sz w:val="28"/>
          <w:szCs w:val="28"/>
        </w:rPr>
        <w:t xml:space="preserve"> que “la exclusión de los casos no está justificada y es contraria al Derecho Internacional Humanitario”</w:t>
      </w:r>
      <w:r w:rsidRPr="00113298">
        <w:rPr>
          <w:rStyle w:val="Refdenotaalpie"/>
          <w:rFonts w:ascii="Times New Roman" w:eastAsiaTheme="minorHAnsi" w:hAnsi="Times New Roman" w:cs="Times New Roman"/>
          <w:bCs/>
          <w:iCs/>
          <w:color w:val="000000" w:themeColor="text1"/>
          <w:sz w:val="28"/>
          <w:szCs w:val="28"/>
        </w:rPr>
        <w:footnoteReference w:id="56"/>
      </w:r>
      <w:r w:rsidRPr="00113298">
        <w:rPr>
          <w:rFonts w:ascii="Times New Roman" w:eastAsiaTheme="minorHAnsi" w:hAnsi="Times New Roman" w:cs="Times New Roman"/>
          <w:bCs/>
          <w:iCs/>
          <w:color w:val="000000" w:themeColor="text1"/>
          <w:sz w:val="28"/>
          <w:szCs w:val="28"/>
        </w:rPr>
        <w:t xml:space="preserve"> y, en el segundo, dedicó varias páginas a argumentar que las normas reprochadas comportan un “tratamiento desigual, innecesario, desproporcionado e in</w:t>
      </w:r>
      <w:r w:rsidRPr="00113298">
        <w:rPr>
          <w:rFonts w:ascii="Times New Roman" w:eastAsiaTheme="minorHAnsi" w:hAnsi="Times New Roman" w:cs="Times New Roman"/>
          <w:bCs/>
          <w:iCs/>
          <w:color w:val="000000" w:themeColor="text1"/>
          <w:sz w:val="28"/>
          <w:szCs w:val="28"/>
        </w:rPr>
        <w:t>justificado”</w:t>
      </w:r>
      <w:r w:rsidRPr="00113298">
        <w:rPr>
          <w:rStyle w:val="Refdenotaalpie"/>
          <w:rFonts w:ascii="Times New Roman" w:eastAsiaTheme="minorHAnsi" w:hAnsi="Times New Roman" w:cs="Times New Roman"/>
          <w:bCs/>
          <w:iCs/>
          <w:color w:val="000000" w:themeColor="text1"/>
          <w:sz w:val="28"/>
          <w:szCs w:val="28"/>
        </w:rPr>
        <w:footnoteReference w:id="57"/>
      </w:r>
      <w:r w:rsidRPr="00113298">
        <w:rPr>
          <w:rFonts w:ascii="Times New Roman" w:eastAsiaTheme="minorHAnsi" w:hAnsi="Times New Roman" w:cs="Times New Roman"/>
          <w:bCs/>
          <w:iCs/>
          <w:color w:val="000000" w:themeColor="text1"/>
          <w:sz w:val="28"/>
          <w:szCs w:val="28"/>
        </w:rPr>
        <w:t xml:space="preserve">, a partir de </w:t>
      </w:r>
      <w:r w:rsidRPr="00113298">
        <w:rPr>
          <w:rFonts w:ascii="Times New Roman" w:eastAsiaTheme="minorHAnsi" w:hAnsi="Times New Roman" w:cs="Times New Roman"/>
          <w:bCs/>
          <w:iCs/>
          <w:color w:val="000000" w:themeColor="text1"/>
          <w:sz w:val="28"/>
          <w:szCs w:val="28"/>
        </w:rPr>
        <w:t>lo que denominó</w:t>
      </w:r>
      <w:r w:rsidRPr="00113298">
        <w:rPr>
          <w:rFonts w:ascii="Times New Roman" w:eastAsiaTheme="minorHAnsi" w:hAnsi="Times New Roman" w:cs="Times New Roman"/>
          <w:bCs/>
          <w:iCs/>
          <w:color w:val="000000" w:themeColor="text1"/>
          <w:sz w:val="28"/>
          <w:szCs w:val="28"/>
        </w:rPr>
        <w:t xml:space="preserve"> test integrado de igualdad y consideraciones relacionadas con los derechos de los niños y las niñas, así como de la esclavitud, la servidumbre y la trata de personas. </w:t>
      </w:r>
    </w:p>
    <w:p w:rsidR="00641E2D" w:rsidRPr="00113298" w:rsidRDefault="00113298" w:rsidP="00641E2D">
      <w:pPr>
        <w:pStyle w:val="Prrafodelista"/>
        <w:rPr>
          <w:rFonts w:eastAsiaTheme="minorHAnsi"/>
          <w:bCs/>
          <w:i/>
          <w:color w:val="000000" w:themeColor="text1"/>
          <w:sz w:val="28"/>
          <w:szCs w:val="28"/>
        </w:rPr>
      </w:pPr>
    </w:p>
    <w:p w:rsidR="00641E2D" w:rsidRPr="00113298" w:rsidRDefault="00113298" w:rsidP="0017529E">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Entonces, si bien inicialmente la </w:t>
      </w:r>
      <w:r w:rsidRPr="00113298">
        <w:rPr>
          <w:rFonts w:ascii="Times New Roman" w:eastAsiaTheme="minorHAnsi" w:hAnsi="Times New Roman" w:cs="Times New Roman"/>
          <w:bCs/>
          <w:iCs/>
          <w:color w:val="000000" w:themeColor="text1"/>
          <w:sz w:val="28"/>
          <w:szCs w:val="28"/>
        </w:rPr>
        <w:t>demandante</w:t>
      </w:r>
      <w:r w:rsidRPr="00113298">
        <w:rPr>
          <w:rFonts w:ascii="Times New Roman" w:eastAsiaTheme="minorHAnsi" w:hAnsi="Times New Roman" w:cs="Times New Roman"/>
          <w:bCs/>
          <w:iCs/>
          <w:color w:val="000000" w:themeColor="text1"/>
          <w:sz w:val="28"/>
          <w:szCs w:val="28"/>
        </w:rPr>
        <w:t xml:space="preserve"> intent</w:t>
      </w:r>
      <w:r w:rsidRPr="00113298">
        <w:rPr>
          <w:rFonts w:ascii="Times New Roman" w:eastAsiaTheme="minorHAnsi" w:hAnsi="Times New Roman" w:cs="Times New Roman"/>
          <w:bCs/>
          <w:iCs/>
          <w:color w:val="000000" w:themeColor="text1"/>
          <w:sz w:val="28"/>
          <w:szCs w:val="28"/>
        </w:rPr>
        <w:t>ó</w:t>
      </w:r>
      <w:r w:rsidRPr="00113298">
        <w:rPr>
          <w:rFonts w:ascii="Times New Roman" w:eastAsiaTheme="minorHAnsi" w:hAnsi="Times New Roman" w:cs="Times New Roman"/>
          <w:bCs/>
          <w:iCs/>
          <w:color w:val="000000" w:themeColor="text1"/>
          <w:sz w:val="28"/>
          <w:szCs w:val="28"/>
        </w:rPr>
        <w:t xml:space="preserve"> estructurar un reproche a partir de una omisión legislativa relativa, lo cierto es que dicho planteamiento no se mant</w:t>
      </w:r>
      <w:r w:rsidRPr="00113298">
        <w:rPr>
          <w:rFonts w:ascii="Times New Roman" w:eastAsiaTheme="minorHAnsi" w:hAnsi="Times New Roman" w:cs="Times New Roman"/>
          <w:bCs/>
          <w:iCs/>
          <w:color w:val="000000" w:themeColor="text1"/>
          <w:sz w:val="28"/>
          <w:szCs w:val="28"/>
        </w:rPr>
        <w:t>uvo</w:t>
      </w:r>
      <w:r w:rsidRPr="00113298">
        <w:rPr>
          <w:rFonts w:ascii="Times New Roman" w:eastAsiaTheme="minorHAnsi" w:hAnsi="Times New Roman" w:cs="Times New Roman"/>
          <w:bCs/>
          <w:iCs/>
          <w:color w:val="000000" w:themeColor="text1"/>
          <w:sz w:val="28"/>
          <w:szCs w:val="28"/>
        </w:rPr>
        <w:t xml:space="preserve"> de forma consistente </w:t>
      </w:r>
      <w:r w:rsidRPr="00113298">
        <w:rPr>
          <w:rFonts w:ascii="Times New Roman" w:eastAsiaTheme="minorHAnsi" w:hAnsi="Times New Roman" w:cs="Times New Roman"/>
          <w:bCs/>
          <w:iCs/>
          <w:color w:val="000000" w:themeColor="text1"/>
          <w:sz w:val="28"/>
          <w:szCs w:val="28"/>
        </w:rPr>
        <w:t>a lo largo del escrito. Por el contrario, la argumentación de torn</w:t>
      </w:r>
      <w:r w:rsidRPr="00113298">
        <w:rPr>
          <w:rFonts w:ascii="Times New Roman" w:eastAsiaTheme="minorHAnsi" w:hAnsi="Times New Roman" w:cs="Times New Roman"/>
          <w:bCs/>
          <w:iCs/>
          <w:color w:val="000000" w:themeColor="text1"/>
          <w:sz w:val="28"/>
          <w:szCs w:val="28"/>
        </w:rPr>
        <w:t>ó</w:t>
      </w:r>
      <w:r w:rsidRPr="00113298">
        <w:rPr>
          <w:rFonts w:ascii="Times New Roman" w:eastAsiaTheme="minorHAnsi" w:hAnsi="Times New Roman" w:cs="Times New Roman"/>
          <w:bCs/>
          <w:iCs/>
          <w:color w:val="000000" w:themeColor="text1"/>
          <w:sz w:val="28"/>
          <w:szCs w:val="28"/>
        </w:rPr>
        <w:t xml:space="preserve"> confusa y ambigua, al mezclar diverso</w:t>
      </w:r>
      <w:r w:rsidRPr="00113298">
        <w:rPr>
          <w:rFonts w:ascii="Times New Roman" w:eastAsiaTheme="minorHAnsi" w:hAnsi="Times New Roman" w:cs="Times New Roman"/>
          <w:bCs/>
          <w:iCs/>
          <w:color w:val="000000" w:themeColor="text1"/>
          <w:sz w:val="28"/>
          <w:szCs w:val="28"/>
        </w:rPr>
        <w:t>s enfoques sin una adecuada delimitación conceptual</w:t>
      </w:r>
      <w:r w:rsidRPr="00113298">
        <w:rPr>
          <w:rFonts w:ascii="Times New Roman" w:eastAsiaTheme="minorHAnsi" w:hAnsi="Times New Roman" w:cs="Times New Roman"/>
          <w:bCs/>
          <w:iCs/>
          <w:color w:val="000000" w:themeColor="text1"/>
          <w:sz w:val="28"/>
          <w:szCs w:val="28"/>
        </w:rPr>
        <w:t>. Por lo tanto,</w:t>
      </w:r>
      <w:r w:rsidRPr="00113298">
        <w:rPr>
          <w:rFonts w:ascii="Times New Roman" w:eastAsiaTheme="minorHAnsi" w:hAnsi="Times New Roman" w:cs="Times New Roman"/>
          <w:bCs/>
          <w:iCs/>
          <w:color w:val="000000" w:themeColor="text1"/>
          <w:sz w:val="28"/>
          <w:szCs w:val="28"/>
        </w:rPr>
        <w:t xml:space="preserve"> no es posible identificar con claridad si la acusación se dirige a cuestionar un problema de igualdad, de omisión legislativa o de desconocimiento de mandatos constitucionales específicos. </w:t>
      </w:r>
    </w:p>
    <w:p w:rsidR="0019694F" w:rsidRPr="00113298" w:rsidRDefault="00113298" w:rsidP="0019694F">
      <w:pPr>
        <w:pStyle w:val="Prrafodelista"/>
        <w:rPr>
          <w:rFonts w:eastAsiaTheme="minorHAnsi"/>
          <w:bCs/>
          <w:i/>
          <w:color w:val="000000" w:themeColor="text1"/>
          <w:sz w:val="28"/>
          <w:szCs w:val="28"/>
        </w:rPr>
      </w:pPr>
    </w:p>
    <w:p w:rsidR="0019694F" w:rsidRPr="00113298" w:rsidRDefault="00113298" w:rsidP="00300721">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Adicionalmente, en el escrito introdujo afirmaciones fragmentadas y desarticuladas que no logran consolidar una línea argumentativa coherente. Por ejemplo, en lo que denominó el eje del cargo dos, refirió que iba a “argumentar que la calificación </w:t>
      </w:r>
      <w:r w:rsidRPr="00113298">
        <w:rPr>
          <w:rFonts w:ascii="Times New Roman" w:eastAsiaTheme="minorHAnsi" w:hAnsi="Times New Roman" w:cs="Times New Roman"/>
          <w:bCs/>
          <w:iCs/>
          <w:color w:val="000000" w:themeColor="text1"/>
          <w:sz w:val="28"/>
          <w:szCs w:val="28"/>
        </w:rPr>
        <w:t>especial de los sujetos pasivos de las conductas reprochadas es inconstitucional al materializar un tratamiento discriminatorio”</w:t>
      </w:r>
      <w:r w:rsidRPr="00113298">
        <w:rPr>
          <w:rStyle w:val="Refdenotaalpie"/>
          <w:rFonts w:ascii="Times New Roman" w:eastAsiaTheme="minorHAnsi" w:hAnsi="Times New Roman" w:cs="Times New Roman"/>
          <w:bCs/>
          <w:iCs/>
          <w:color w:val="000000" w:themeColor="text1"/>
          <w:sz w:val="28"/>
          <w:szCs w:val="28"/>
        </w:rPr>
        <w:footnoteReference w:id="58"/>
      </w:r>
      <w:r w:rsidRPr="00113298">
        <w:rPr>
          <w:rFonts w:ascii="Times New Roman" w:eastAsiaTheme="minorHAnsi" w:hAnsi="Times New Roman" w:cs="Times New Roman"/>
          <w:bCs/>
          <w:iCs/>
          <w:color w:val="000000" w:themeColor="text1"/>
          <w:sz w:val="28"/>
          <w:szCs w:val="28"/>
        </w:rPr>
        <w:t>. Sin embargo, en ese mismo cap</w:t>
      </w:r>
      <w:r w:rsidRPr="00113298">
        <w:rPr>
          <w:rFonts w:ascii="Times New Roman" w:eastAsiaTheme="minorHAnsi" w:hAnsi="Times New Roman" w:cs="Times New Roman"/>
          <w:bCs/>
          <w:iCs/>
          <w:color w:val="000000" w:themeColor="text1"/>
          <w:sz w:val="28"/>
          <w:szCs w:val="28"/>
        </w:rPr>
        <w:t>í</w:t>
      </w:r>
      <w:r w:rsidRPr="00113298">
        <w:rPr>
          <w:rFonts w:ascii="Times New Roman" w:eastAsiaTheme="minorHAnsi" w:hAnsi="Times New Roman" w:cs="Times New Roman"/>
          <w:bCs/>
          <w:iCs/>
          <w:color w:val="000000" w:themeColor="text1"/>
          <w:sz w:val="28"/>
          <w:szCs w:val="28"/>
        </w:rPr>
        <w:t xml:space="preserve">tulo retomó lo que denominó como </w:t>
      </w:r>
      <w:r w:rsidRPr="00113298">
        <w:rPr>
          <w:rFonts w:ascii="Times New Roman" w:eastAsiaTheme="minorHAnsi" w:hAnsi="Times New Roman" w:cs="Times New Roman"/>
          <w:bCs/>
          <w:iCs/>
          <w:color w:val="000000" w:themeColor="text1"/>
          <w:sz w:val="28"/>
          <w:szCs w:val="28"/>
        </w:rPr>
        <w:t>“</w:t>
      </w:r>
      <w:r w:rsidRPr="00113298">
        <w:rPr>
          <w:rFonts w:ascii="Times New Roman" w:eastAsiaTheme="minorHAnsi" w:hAnsi="Times New Roman" w:cs="Times New Roman"/>
          <w:bCs/>
          <w:iCs/>
          <w:color w:val="000000" w:themeColor="text1"/>
          <w:sz w:val="28"/>
          <w:szCs w:val="28"/>
        </w:rPr>
        <w:t>argumentos del eje anterior</w:t>
      </w:r>
      <w:r w:rsidRPr="00113298">
        <w:rPr>
          <w:rFonts w:ascii="Times New Roman" w:eastAsiaTheme="minorHAnsi" w:hAnsi="Times New Roman" w:cs="Times New Roman"/>
          <w:bCs/>
          <w:iCs/>
          <w:color w:val="000000" w:themeColor="text1"/>
          <w:sz w:val="28"/>
          <w:szCs w:val="28"/>
        </w:rPr>
        <w:t>”</w:t>
      </w:r>
      <w:r w:rsidRPr="00113298">
        <w:rPr>
          <w:rFonts w:ascii="Times New Roman" w:eastAsiaTheme="minorHAnsi" w:hAnsi="Times New Roman" w:cs="Times New Roman"/>
          <w:bCs/>
          <w:iCs/>
          <w:color w:val="000000" w:themeColor="text1"/>
          <w:sz w:val="28"/>
          <w:szCs w:val="28"/>
        </w:rPr>
        <w:t xml:space="preserve">, “según el cual la exclusión de </w:t>
      </w:r>
      <w:r w:rsidRPr="00113298">
        <w:rPr>
          <w:rFonts w:ascii="Times New Roman" w:eastAsiaTheme="minorHAnsi" w:hAnsi="Times New Roman" w:cs="Times New Roman"/>
          <w:bCs/>
          <w:iCs/>
          <w:color w:val="000000" w:themeColor="text1"/>
          <w:sz w:val="28"/>
          <w:szCs w:val="28"/>
        </w:rPr>
        <w:t xml:space="preserve">la esfera de protección deriva en una violación de los derechos fundamentales inderogables que prohíben la esclavitud, la servidumbre y la trata de personas”. Esto impide establecer con precisión cuál es el parámetro constitucional que se alega, dificulta </w:t>
      </w:r>
      <w:r w:rsidRPr="00113298">
        <w:rPr>
          <w:rFonts w:ascii="Times New Roman" w:eastAsiaTheme="minorHAnsi" w:hAnsi="Times New Roman" w:cs="Times New Roman"/>
          <w:bCs/>
          <w:iCs/>
          <w:color w:val="000000" w:themeColor="text1"/>
          <w:sz w:val="28"/>
          <w:szCs w:val="28"/>
        </w:rPr>
        <w:t>la comprensión del cargo e imposibilita el ejercicio adecuado del control por parte de la Sala Plena. A su vez, e</w:t>
      </w:r>
      <w:r w:rsidRPr="00113298">
        <w:rPr>
          <w:rFonts w:ascii="Times New Roman" w:eastAsiaTheme="minorHAnsi" w:hAnsi="Times New Roman" w:cs="Times New Roman"/>
          <w:bCs/>
          <w:iCs/>
          <w:color w:val="000000" w:themeColor="text1"/>
          <w:sz w:val="28"/>
          <w:szCs w:val="28"/>
        </w:rPr>
        <w:t xml:space="preserve">sta falta de delimitación argumentativa no solo </w:t>
      </w:r>
      <w:r w:rsidRPr="00113298">
        <w:rPr>
          <w:rFonts w:ascii="Times New Roman" w:eastAsiaTheme="minorHAnsi" w:hAnsi="Times New Roman" w:cs="Times New Roman"/>
          <w:bCs/>
          <w:iCs/>
          <w:color w:val="000000" w:themeColor="text1"/>
          <w:sz w:val="28"/>
          <w:szCs w:val="28"/>
        </w:rPr>
        <w:t>impide</w:t>
      </w:r>
      <w:r w:rsidRPr="00113298">
        <w:rPr>
          <w:rFonts w:ascii="Times New Roman" w:eastAsiaTheme="minorHAnsi" w:hAnsi="Times New Roman" w:cs="Times New Roman"/>
          <w:bCs/>
          <w:iCs/>
          <w:color w:val="000000" w:themeColor="text1"/>
          <w:sz w:val="28"/>
          <w:szCs w:val="28"/>
        </w:rPr>
        <w:t xml:space="preserve"> la comprensión integral de la demanda, sino que además impacta el cumplimiento de las de</w:t>
      </w:r>
      <w:r w:rsidRPr="00113298">
        <w:rPr>
          <w:rFonts w:ascii="Times New Roman" w:eastAsiaTheme="minorHAnsi" w:hAnsi="Times New Roman" w:cs="Times New Roman"/>
          <w:bCs/>
          <w:iCs/>
          <w:color w:val="000000" w:themeColor="text1"/>
          <w:sz w:val="28"/>
          <w:szCs w:val="28"/>
        </w:rPr>
        <w:t>más cargas mínimas, en particular, la certeza, la pertinencia y la suficiencia, así como los requisitos específicos que se exigen a los cargos por omisión legislativa relativa.</w:t>
      </w:r>
    </w:p>
    <w:p w:rsidR="00930F15" w:rsidRPr="00113298" w:rsidRDefault="00113298" w:rsidP="00930F15">
      <w:pPr>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Certeza. </w:t>
      </w:r>
      <w:r w:rsidRPr="00113298">
        <w:rPr>
          <w:rFonts w:ascii="Times New Roman" w:eastAsiaTheme="minorHAnsi" w:hAnsi="Times New Roman" w:cs="Times New Roman"/>
          <w:bCs/>
          <w:iCs/>
          <w:color w:val="000000" w:themeColor="text1"/>
          <w:sz w:val="28"/>
          <w:szCs w:val="28"/>
        </w:rPr>
        <w:t xml:space="preserve">El cargo formulado carece de certeza en la medida en que los argumentos expuestos por la demandante se sustentan en una lectura incorrecta, fragmentada y descontextualizada de las disposiciones acusadas. En efecto, la accionante no deriva sus conclusiones </w:t>
      </w:r>
      <w:r w:rsidRPr="00113298">
        <w:rPr>
          <w:rFonts w:ascii="Times New Roman" w:eastAsiaTheme="minorHAnsi" w:hAnsi="Times New Roman" w:cs="Times New Roman"/>
          <w:bCs/>
          <w:iCs/>
          <w:color w:val="000000" w:themeColor="text1"/>
          <w:sz w:val="28"/>
          <w:szCs w:val="28"/>
        </w:rPr>
        <w:t xml:space="preserve">del contenido normativo real de las normas, sino que, por el contrario, construye inferencias subjetivas que no encuentran respaldo en su tenor literal, ni en una interpretación sistemática o </w:t>
      </w:r>
      <w:r w:rsidRPr="00113298">
        <w:rPr>
          <w:rFonts w:ascii="Times New Roman" w:eastAsiaTheme="minorHAnsi" w:hAnsi="Times New Roman" w:cs="Times New Roman"/>
          <w:bCs/>
          <w:iCs/>
          <w:color w:val="000000" w:themeColor="text1"/>
          <w:sz w:val="28"/>
          <w:szCs w:val="28"/>
        </w:rPr>
        <w:t xml:space="preserve">teleológica </w:t>
      </w:r>
      <w:r w:rsidRPr="00113298">
        <w:rPr>
          <w:rFonts w:ascii="Times New Roman" w:eastAsiaTheme="minorHAnsi" w:hAnsi="Times New Roman" w:cs="Times New Roman"/>
          <w:bCs/>
          <w:iCs/>
          <w:color w:val="000000" w:themeColor="text1"/>
          <w:sz w:val="28"/>
          <w:szCs w:val="28"/>
        </w:rPr>
        <w:t>de las mismas</w:t>
      </w:r>
      <w:r w:rsidRPr="00113298">
        <w:rPr>
          <w:rFonts w:ascii="Times New Roman" w:eastAsiaTheme="minorHAnsi" w:hAnsi="Times New Roman" w:cs="Times New Roman"/>
          <w:bCs/>
          <w:iCs/>
          <w:color w:val="000000" w:themeColor="text1"/>
          <w:sz w:val="28"/>
          <w:szCs w:val="28"/>
        </w:rPr>
        <w:t xml:space="preserve">, </w:t>
      </w:r>
      <w:r w:rsidRPr="00113298">
        <w:rPr>
          <w:rFonts w:ascii="Times New Roman" w:eastAsiaTheme="minorHAnsi" w:hAnsi="Times New Roman" w:cs="Times New Roman"/>
          <w:bCs/>
          <w:iCs/>
          <w:color w:val="000000" w:themeColor="text1"/>
          <w:sz w:val="28"/>
          <w:szCs w:val="28"/>
        </w:rPr>
        <w:t>lo cual impide adelantar un juicio de</w:t>
      </w:r>
      <w:r w:rsidRPr="00113298">
        <w:rPr>
          <w:rFonts w:ascii="Times New Roman" w:eastAsiaTheme="minorHAnsi" w:hAnsi="Times New Roman" w:cs="Times New Roman"/>
          <w:bCs/>
          <w:iCs/>
          <w:color w:val="000000" w:themeColor="text1"/>
          <w:sz w:val="28"/>
          <w:szCs w:val="28"/>
        </w:rPr>
        <w:t xml:space="preserve"> contraste entre la norma acusada y la Constitución.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Según la actora, las normas acusadas excluyen del ámbito de protección a los combatientes que han sido víctimas de violencia sexual en el contexto del conflicto armado, específicamente, cuando dichos actos son perpetrados por miembros del mismo grupo armad</w:t>
      </w:r>
      <w:r w:rsidRPr="00113298">
        <w:rPr>
          <w:rFonts w:ascii="Times New Roman" w:eastAsiaTheme="minorHAnsi" w:hAnsi="Times New Roman" w:cs="Times New Roman"/>
          <w:bCs/>
          <w:iCs/>
          <w:color w:val="000000" w:themeColor="text1"/>
          <w:sz w:val="28"/>
          <w:szCs w:val="28"/>
        </w:rPr>
        <w:t xml:space="preserve">o. Sin embargo, tal conclusión no se desprende de una interpretación completa de las disposiciones demandadas, sino de una lectura aislada que desconoce el marco normativo integral en el que estas se insertan.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lang w:val="es-ES_tradnl"/>
        </w:rPr>
      </w:pPr>
      <w:r w:rsidRPr="00113298">
        <w:rPr>
          <w:rFonts w:ascii="Times New Roman" w:eastAsiaTheme="minorHAnsi" w:hAnsi="Times New Roman" w:cs="Times New Roman"/>
          <w:bCs/>
          <w:iCs/>
          <w:color w:val="000000" w:themeColor="text1"/>
          <w:sz w:val="28"/>
          <w:szCs w:val="28"/>
          <w:lang w:val="es-ES_tradnl"/>
        </w:rPr>
        <w:t>En tal sentido, la Sala advierte que la dema</w:t>
      </w:r>
      <w:r w:rsidRPr="00113298">
        <w:rPr>
          <w:rFonts w:ascii="Times New Roman" w:eastAsiaTheme="minorHAnsi" w:hAnsi="Times New Roman" w:cs="Times New Roman"/>
          <w:bCs/>
          <w:iCs/>
          <w:color w:val="000000" w:themeColor="text1"/>
          <w:sz w:val="28"/>
          <w:szCs w:val="28"/>
          <w:lang w:val="es-ES_tradnl"/>
        </w:rPr>
        <w:t xml:space="preserve">ndante incumplió la carga mínima de estructurar un cargo a partir de una interpretación razonable y jurídicamente sostenible de las normas acusadas. En particular, omitió aplicar criterios de interpretación sistemática e integradora, indispensables cuando </w:t>
      </w:r>
      <w:r w:rsidRPr="00113298">
        <w:rPr>
          <w:rFonts w:ascii="Times New Roman" w:eastAsiaTheme="minorHAnsi" w:hAnsi="Times New Roman" w:cs="Times New Roman"/>
          <w:bCs/>
          <w:iCs/>
          <w:color w:val="000000" w:themeColor="text1"/>
          <w:sz w:val="28"/>
          <w:szCs w:val="28"/>
          <w:lang w:val="es-ES_tradnl"/>
        </w:rPr>
        <w:t xml:space="preserve">se trata de disposiciones que, como en este caso, remiten expresamente a estándares del Derecho Internacional Humanitario.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Por el contrario, el planteamiento de inconstitucionalidad parte de ignorar el contenido y alcance del artículo 135 del Código Penal, el cual establece que la noción de “persona protegida” debe entenderse conforme al Derecho Internacional Humanitario. Esta</w:t>
      </w:r>
      <w:r w:rsidRPr="00113298">
        <w:rPr>
          <w:rFonts w:ascii="Times New Roman" w:eastAsiaTheme="minorHAnsi" w:hAnsi="Times New Roman" w:cs="Times New Roman"/>
          <w:bCs/>
          <w:iCs/>
          <w:color w:val="000000" w:themeColor="text1"/>
          <w:sz w:val="28"/>
          <w:szCs w:val="28"/>
        </w:rPr>
        <w:t xml:space="preserve"> remisión no es meramente formal, sino que implica la incorporación de un conjunto de normas y principios que amplían el ámbito de protección más allá de una enumeración literal. De hecho, el numeral 8º de dicha disposición precisa que también serán consid</w:t>
      </w:r>
      <w:r w:rsidRPr="00113298">
        <w:rPr>
          <w:rFonts w:ascii="Times New Roman" w:eastAsiaTheme="minorHAnsi" w:hAnsi="Times New Roman" w:cs="Times New Roman"/>
          <w:bCs/>
          <w:iCs/>
          <w:color w:val="000000" w:themeColor="text1"/>
          <w:sz w:val="28"/>
          <w:szCs w:val="28"/>
        </w:rPr>
        <w:t xml:space="preserve">eradas personas protegidas “cualquier otra persona que tenga aquella condición en virtud de los Convenios I, II, III y IV de Ginebra de 1949, los Protocolos Adicionales I y II de 1977 y otros que llegaran a ratificarse”.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En ese orden de ideas, resulta eq</w:t>
      </w:r>
      <w:r w:rsidRPr="00113298">
        <w:rPr>
          <w:rFonts w:ascii="Times New Roman" w:eastAsiaTheme="minorHAnsi" w:hAnsi="Times New Roman" w:cs="Times New Roman"/>
          <w:bCs/>
          <w:iCs/>
          <w:color w:val="000000" w:themeColor="text1"/>
          <w:sz w:val="28"/>
          <w:szCs w:val="28"/>
        </w:rPr>
        <w:t>uivocado concluir, como lo hace la accionante, que la ausencia de una mención expresa de las víctimas de violencia sexual intrafilas implica su exclusión automática del ámbito de protección de la norma. Tal inferencia desconoce que la disposición no contie</w:t>
      </w:r>
      <w:r w:rsidRPr="00113298">
        <w:rPr>
          <w:rFonts w:ascii="Times New Roman" w:eastAsiaTheme="minorHAnsi" w:hAnsi="Times New Roman" w:cs="Times New Roman"/>
          <w:bCs/>
          <w:iCs/>
          <w:color w:val="000000" w:themeColor="text1"/>
          <w:sz w:val="28"/>
          <w:szCs w:val="28"/>
        </w:rPr>
        <w:t>ne un listado taxativo ni cerrado de sujetos protegidos, sino que consagra una cláusula abierta, susceptible de ser integrada a la luz de las fuentes del Derecho Internacional Humanitario. Por consiguiente, no resulta jurídicamente admisible derivar efecto</w:t>
      </w:r>
      <w:r w:rsidRPr="00113298">
        <w:rPr>
          <w:rFonts w:ascii="Times New Roman" w:eastAsiaTheme="minorHAnsi" w:hAnsi="Times New Roman" w:cs="Times New Roman"/>
          <w:bCs/>
          <w:iCs/>
          <w:color w:val="000000" w:themeColor="text1"/>
          <w:sz w:val="28"/>
          <w:szCs w:val="28"/>
        </w:rPr>
        <w:t>s excluyentes a partir de un presunto silencio del legislador, cuando este optó por un modelo normativo de integración con fuentes internacionales.</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En esa línea, la Sala encuentra que tampoco es cierto que las normas acusadas incurran en una contradicción</w:t>
      </w:r>
      <w:r w:rsidRPr="00113298">
        <w:rPr>
          <w:rFonts w:ascii="Times New Roman" w:eastAsiaTheme="minorHAnsi" w:hAnsi="Times New Roman" w:cs="Times New Roman"/>
          <w:bCs/>
          <w:iCs/>
          <w:color w:val="000000" w:themeColor="text1"/>
          <w:sz w:val="28"/>
          <w:szCs w:val="28"/>
        </w:rPr>
        <w:t xml:space="preserve"> con el Derecho Internacional Humanitario. Antes bien, se complementan e integran a partir de una lectura armónica de esas fuentes normativas. En particular, se destaca que el artículo 4 del Protocolo II adicional a los Convenios de Ginebra establece que “</w:t>
      </w:r>
      <w:r w:rsidRPr="00113298">
        <w:rPr>
          <w:rFonts w:ascii="Times New Roman" w:eastAsiaTheme="minorHAnsi" w:hAnsi="Times New Roman" w:cs="Times New Roman"/>
          <w:bCs/>
          <w:iCs/>
          <w:color w:val="000000" w:themeColor="text1"/>
          <w:sz w:val="28"/>
          <w:szCs w:val="28"/>
        </w:rPr>
        <w:t>todas las personas que no participan directamente en las hostilidades, o que hayan dejado de participar en ellas […] tienen derecho a que se respete su persona […]” y, deberán ser tratadas con humanidad, en cualquier circunstancia. A su vez, esa norma tamb</w:t>
      </w:r>
      <w:r w:rsidRPr="00113298">
        <w:rPr>
          <w:rFonts w:ascii="Times New Roman" w:eastAsiaTheme="minorHAnsi" w:hAnsi="Times New Roman" w:cs="Times New Roman"/>
          <w:bCs/>
          <w:iCs/>
          <w:color w:val="000000" w:themeColor="text1"/>
          <w:sz w:val="28"/>
          <w:szCs w:val="28"/>
        </w:rPr>
        <w:t xml:space="preserve">ién contempla que están “prohibidos en todo tiempo y lugar con respecto a las personas a que se refiere el párrafo 1: […] e) los atentados contra la dignidad personal, en especial los tratos humillantes y degradantes, la violación, la prostitución forzada </w:t>
      </w:r>
      <w:r w:rsidRPr="00113298">
        <w:rPr>
          <w:rFonts w:ascii="Times New Roman" w:eastAsiaTheme="minorHAnsi" w:hAnsi="Times New Roman" w:cs="Times New Roman"/>
          <w:bCs/>
          <w:iCs/>
          <w:color w:val="000000" w:themeColor="text1"/>
          <w:sz w:val="28"/>
          <w:szCs w:val="28"/>
        </w:rPr>
        <w:t>y cualquier forma de atentado al pudor”. En igual sentido, se destaca el artículo 3 común a los Convenios de Ginebra</w:t>
      </w:r>
      <w:r w:rsidRPr="00113298">
        <w:rPr>
          <w:rFonts w:ascii="Times New Roman" w:eastAsiaTheme="minorHAnsi" w:hAnsi="Times New Roman" w:cs="Times New Roman"/>
          <w:bCs/>
          <w:iCs/>
          <w:color w:val="000000" w:themeColor="text1"/>
          <w:sz w:val="28"/>
          <w:szCs w:val="28"/>
          <w:vertAlign w:val="superscript"/>
        </w:rPr>
        <w:footnoteReference w:id="59"/>
      </w:r>
      <w:r w:rsidRPr="00113298">
        <w:rPr>
          <w:rFonts w:ascii="Times New Roman" w:eastAsiaTheme="minorHAnsi" w:hAnsi="Times New Roman" w:cs="Times New Roman"/>
          <w:bCs/>
          <w:iCs/>
          <w:color w:val="000000" w:themeColor="text1"/>
          <w:sz w:val="28"/>
          <w:szCs w:val="28"/>
        </w:rPr>
        <w:t xml:space="preserve">.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lang w:val="es-ES_tradnl"/>
        </w:rPr>
        <w:t>Estas disposiciones, leídas de manera sistemática con el artículo 135 del Código Penal, permiten concluir que el universo de personas p</w:t>
      </w:r>
      <w:r w:rsidRPr="00113298">
        <w:rPr>
          <w:rFonts w:ascii="Times New Roman" w:eastAsiaTheme="minorHAnsi" w:hAnsi="Times New Roman" w:cs="Times New Roman"/>
          <w:bCs/>
          <w:iCs/>
          <w:color w:val="000000" w:themeColor="text1"/>
          <w:sz w:val="28"/>
          <w:szCs w:val="28"/>
          <w:lang w:val="es-ES_tradnl"/>
        </w:rPr>
        <w:t xml:space="preserve">rotegidas no se agota en una enumeración cerrada, sino que incluye, entre otros, a quienes no participan directamente de las hostilidades o han cesado en su participación. En esa medida, lejos de respaldar la tesis de la demandante, el marco normativo del </w:t>
      </w:r>
      <w:r w:rsidRPr="00113298">
        <w:rPr>
          <w:rFonts w:ascii="Times New Roman" w:eastAsiaTheme="minorHAnsi" w:hAnsi="Times New Roman" w:cs="Times New Roman"/>
          <w:bCs/>
          <w:iCs/>
          <w:color w:val="000000" w:themeColor="text1"/>
          <w:sz w:val="28"/>
          <w:szCs w:val="28"/>
          <w:lang w:val="es-ES_tradnl"/>
        </w:rPr>
        <w:t xml:space="preserve">Derecho Internacional Humanitario la desvirtúa.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Finalmente, no puede perderse de vista que, aun en el evento de que existiera alguna ambigüedad, circunstancia que la Sala descarta, los principios que orientan la aplicación del Derecho Internacional Human</w:t>
      </w:r>
      <w:r w:rsidRPr="00113298">
        <w:rPr>
          <w:rFonts w:ascii="Times New Roman" w:eastAsiaTheme="minorHAnsi" w:hAnsi="Times New Roman" w:cs="Times New Roman"/>
          <w:bCs/>
          <w:iCs/>
          <w:color w:val="000000" w:themeColor="text1"/>
          <w:sz w:val="28"/>
          <w:szCs w:val="28"/>
        </w:rPr>
        <w:t xml:space="preserve">itario imponen resolverla a favor de la persona. En particular, el principio </w:t>
      </w:r>
      <w:r w:rsidRPr="00113298">
        <w:rPr>
          <w:rFonts w:ascii="Times New Roman" w:eastAsiaTheme="minorHAnsi" w:hAnsi="Times New Roman" w:cs="Times New Roman"/>
          <w:bCs/>
          <w:i/>
          <w:color w:val="000000" w:themeColor="text1"/>
          <w:sz w:val="28"/>
          <w:szCs w:val="28"/>
        </w:rPr>
        <w:t xml:space="preserve">pro homine </w:t>
      </w:r>
      <w:r w:rsidRPr="00113298">
        <w:rPr>
          <w:rFonts w:ascii="Times New Roman" w:eastAsiaTheme="minorHAnsi" w:hAnsi="Times New Roman" w:cs="Times New Roman"/>
          <w:bCs/>
          <w:iCs/>
          <w:color w:val="000000" w:themeColor="text1"/>
          <w:sz w:val="28"/>
          <w:szCs w:val="28"/>
        </w:rPr>
        <w:t>y la denominada Cl</w:t>
      </w:r>
      <w:r w:rsidRPr="00113298">
        <w:rPr>
          <w:rFonts w:ascii="Times New Roman" w:eastAsiaTheme="minorHAnsi" w:hAnsi="Times New Roman" w:cs="Times New Roman"/>
          <w:bCs/>
          <w:iCs/>
          <w:color w:val="000000" w:themeColor="text1"/>
          <w:sz w:val="28"/>
          <w:szCs w:val="28"/>
        </w:rPr>
        <w:t>á</w:t>
      </w:r>
      <w:r w:rsidRPr="00113298">
        <w:rPr>
          <w:rFonts w:ascii="Times New Roman" w:eastAsiaTheme="minorHAnsi" w:hAnsi="Times New Roman" w:cs="Times New Roman"/>
          <w:bCs/>
          <w:iCs/>
          <w:color w:val="000000" w:themeColor="text1"/>
          <w:sz w:val="28"/>
          <w:szCs w:val="28"/>
        </w:rPr>
        <w:t xml:space="preserve">usula </w:t>
      </w:r>
      <w:r w:rsidRPr="00113298">
        <w:rPr>
          <w:rFonts w:ascii="Times New Roman" w:eastAsiaTheme="minorHAnsi" w:hAnsi="Times New Roman" w:cs="Times New Roman"/>
          <w:bCs/>
          <w:i/>
          <w:color w:val="000000" w:themeColor="text1"/>
          <w:sz w:val="28"/>
          <w:szCs w:val="28"/>
        </w:rPr>
        <w:t>Martens</w:t>
      </w:r>
      <w:r w:rsidRPr="00113298">
        <w:rPr>
          <w:rFonts w:ascii="Times New Roman" w:eastAsiaTheme="minorHAnsi" w:hAnsi="Times New Roman" w:cs="Times New Roman"/>
          <w:bCs/>
          <w:iCs/>
          <w:color w:val="000000" w:themeColor="text1"/>
          <w:sz w:val="28"/>
          <w:szCs w:val="28"/>
        </w:rPr>
        <w:t xml:space="preserve"> exigen privilegiar la interpretación más favorable a la dignidad humana y a la garantía de los derechos fundamentales en contextos de c</w:t>
      </w:r>
      <w:r w:rsidRPr="00113298">
        <w:rPr>
          <w:rFonts w:ascii="Times New Roman" w:eastAsiaTheme="minorHAnsi" w:hAnsi="Times New Roman" w:cs="Times New Roman"/>
          <w:bCs/>
          <w:iCs/>
          <w:color w:val="000000" w:themeColor="text1"/>
          <w:sz w:val="28"/>
          <w:szCs w:val="28"/>
        </w:rPr>
        <w:t>onflicto armado. En consecuencia, incluso bajo un escenario de duda, resultaría contrario a estos postulados concluir la exclusión de las víctimas de violencia sexual intrafilas en el ámbito de protección.</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Cs/>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Así las cosas, aceptar la lectura propuesta por la demandante implicaría desconocer la remisión expresa al Derecho Internacional Humanitario contenida en el artículo 135 y contrariar los principios de interpretación sistemática e integradora, así como los </w:t>
      </w:r>
      <w:r w:rsidRPr="00113298">
        <w:rPr>
          <w:rFonts w:ascii="Times New Roman" w:eastAsiaTheme="minorHAnsi" w:hAnsi="Times New Roman" w:cs="Times New Roman"/>
          <w:bCs/>
          <w:iCs/>
          <w:color w:val="000000" w:themeColor="text1"/>
          <w:sz w:val="28"/>
          <w:szCs w:val="28"/>
        </w:rPr>
        <w:t xml:space="preserve">mandatos de protección propios del Derecho Internacional Humanitario. Por consiguiente, al fundarse el cargo en una proposición normativa inexistente, la Corte concluye que la demanda carece de certeza.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Pertinencia. </w:t>
      </w:r>
      <w:r w:rsidRPr="00113298">
        <w:rPr>
          <w:rFonts w:ascii="Times New Roman" w:eastAsiaTheme="minorHAnsi" w:hAnsi="Times New Roman" w:cs="Times New Roman"/>
          <w:bCs/>
          <w:iCs/>
          <w:color w:val="000000" w:themeColor="text1"/>
          <w:sz w:val="28"/>
          <w:szCs w:val="28"/>
        </w:rPr>
        <w:t xml:space="preserve">En línea con </w:t>
      </w:r>
      <w:r w:rsidRPr="00113298">
        <w:rPr>
          <w:rFonts w:ascii="Times New Roman" w:eastAsiaTheme="minorHAnsi" w:hAnsi="Times New Roman" w:cs="Times New Roman"/>
          <w:bCs/>
          <w:iCs/>
          <w:color w:val="000000" w:themeColor="text1"/>
          <w:sz w:val="28"/>
          <w:szCs w:val="28"/>
        </w:rPr>
        <w:t xml:space="preserve">lo </w:t>
      </w:r>
      <w:r w:rsidRPr="00113298">
        <w:rPr>
          <w:rFonts w:ascii="Times New Roman" w:eastAsiaTheme="minorHAnsi" w:hAnsi="Times New Roman" w:cs="Times New Roman"/>
          <w:bCs/>
          <w:iCs/>
          <w:color w:val="000000" w:themeColor="text1"/>
          <w:sz w:val="28"/>
          <w:szCs w:val="28"/>
        </w:rPr>
        <w:t>expuesto, el cargo for</w:t>
      </w:r>
      <w:r w:rsidRPr="00113298">
        <w:rPr>
          <w:rFonts w:ascii="Times New Roman" w:eastAsiaTheme="minorHAnsi" w:hAnsi="Times New Roman" w:cs="Times New Roman"/>
          <w:bCs/>
          <w:iCs/>
          <w:color w:val="000000" w:themeColor="text1"/>
          <w:sz w:val="28"/>
          <w:szCs w:val="28"/>
        </w:rPr>
        <w:t xml:space="preserve">mulado resulta igualmente impertinente, en la medida en que también se sustenta en hipótesis relativas a una eventual aplicación práctica de las disposiciones acusadas, construidas a partir de eventuales escenarios. Tales planteamientos, por su naturaleza </w:t>
      </w:r>
      <w:r w:rsidRPr="00113298">
        <w:rPr>
          <w:rFonts w:ascii="Times New Roman" w:eastAsiaTheme="minorHAnsi" w:hAnsi="Times New Roman" w:cs="Times New Roman"/>
          <w:bCs/>
          <w:iCs/>
          <w:color w:val="000000" w:themeColor="text1"/>
          <w:sz w:val="28"/>
          <w:szCs w:val="28"/>
        </w:rPr>
        <w:t>casuística y especulativa, no satisfacen los requisitos que ha decantado la jurisprudencia para ser objeto de análisis en el marco del control abstracto de constitucionalidad. En efecto, la Corte ha reiterado que este tipo de control no está llamado a reso</w:t>
      </w:r>
      <w:r w:rsidRPr="00113298">
        <w:rPr>
          <w:rFonts w:ascii="Times New Roman" w:eastAsiaTheme="minorHAnsi" w:hAnsi="Times New Roman" w:cs="Times New Roman"/>
          <w:bCs/>
          <w:iCs/>
          <w:color w:val="000000" w:themeColor="text1"/>
          <w:sz w:val="28"/>
          <w:szCs w:val="28"/>
        </w:rPr>
        <w:t xml:space="preserve">lver problemas derivados de aplicaciones concretas o contingentes de la norma, sino a verificar su compatibilidad objetiva con la Constitución, a partir de su contenido normativo.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En el presente caso, la argumentación de la accionante no se limita a cues</w:t>
      </w:r>
      <w:r w:rsidRPr="00113298">
        <w:rPr>
          <w:rFonts w:ascii="Times New Roman" w:eastAsiaTheme="minorHAnsi" w:hAnsi="Times New Roman" w:cs="Times New Roman"/>
          <w:bCs/>
          <w:iCs/>
          <w:color w:val="000000" w:themeColor="text1"/>
          <w:sz w:val="28"/>
          <w:szCs w:val="28"/>
        </w:rPr>
        <w:t xml:space="preserve">tionar el sentido normativo de la disposición, sino que proyecta posibles consecuencias prácticas que podrían derivarse de su aplicación en contextos particulares. Por ejemplo, la demandante afirmó que “la aplicación práctica de las normas cuestionadas en </w:t>
      </w:r>
      <w:r w:rsidRPr="00113298">
        <w:rPr>
          <w:rFonts w:ascii="Times New Roman" w:eastAsiaTheme="minorHAnsi" w:hAnsi="Times New Roman" w:cs="Times New Roman"/>
          <w:bCs/>
          <w:iCs/>
          <w:color w:val="000000" w:themeColor="text1"/>
          <w:sz w:val="28"/>
          <w:szCs w:val="28"/>
        </w:rPr>
        <w:t>la Jurisdicción Especial ha revelado un impacto discriminatorio, especialmente en casos de violencia sexual contra mujeres y niñas reclutadas por grupos armados”</w:t>
      </w:r>
      <w:r w:rsidRPr="00113298">
        <w:rPr>
          <w:rFonts w:ascii="Times New Roman" w:eastAsiaTheme="minorHAnsi" w:hAnsi="Times New Roman" w:cs="Times New Roman"/>
          <w:bCs/>
          <w:iCs/>
          <w:color w:val="000000" w:themeColor="text1"/>
          <w:sz w:val="28"/>
          <w:szCs w:val="28"/>
          <w:vertAlign w:val="superscript"/>
        </w:rPr>
        <w:footnoteReference w:id="60"/>
      </w:r>
      <w:r w:rsidRPr="00113298">
        <w:rPr>
          <w:rFonts w:ascii="Times New Roman" w:eastAsiaTheme="minorHAnsi" w:hAnsi="Times New Roman" w:cs="Times New Roman"/>
          <w:bCs/>
          <w:iCs/>
          <w:color w:val="000000" w:themeColor="text1"/>
          <w:sz w:val="28"/>
          <w:szCs w:val="28"/>
        </w:rPr>
        <w:t>.</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Asimismo, destacó que la estructura semántica de los tipos penales crea “dos conjuntos de m</w:t>
      </w:r>
      <w:r w:rsidRPr="00113298">
        <w:rPr>
          <w:rFonts w:ascii="Times New Roman" w:eastAsiaTheme="minorHAnsi" w:hAnsi="Times New Roman" w:cs="Times New Roman"/>
          <w:bCs/>
          <w:iCs/>
          <w:color w:val="000000" w:themeColor="text1"/>
          <w:sz w:val="28"/>
          <w:szCs w:val="28"/>
        </w:rPr>
        <w:t xml:space="preserve">undos: aquellos donde existen “personas protegidas” y aquellos donde no [..], lo que lleva a una interpretación donde la naturaleza de la acción depende del estatus del sujeto, lo cual puede ser problemático desde una perspectiva de teoría de la acción al </w:t>
      </w:r>
      <w:r w:rsidRPr="00113298">
        <w:rPr>
          <w:rFonts w:ascii="Times New Roman" w:eastAsiaTheme="minorHAnsi" w:hAnsi="Times New Roman" w:cs="Times New Roman"/>
          <w:bCs/>
          <w:iCs/>
          <w:color w:val="000000" w:themeColor="text1"/>
          <w:sz w:val="28"/>
          <w:szCs w:val="28"/>
        </w:rPr>
        <w:t xml:space="preserve">traer consigo el siguiente resultado: si la víctima no fuera persona protegida, la acción no constituiría el delito específico. Este resultado puede llevar a situaciones paradójicas </w:t>
      </w:r>
      <w:r w:rsidRPr="00113298">
        <w:rPr>
          <w:rFonts w:ascii="Times New Roman" w:eastAsiaTheme="minorHAnsi" w:hAnsi="Times New Roman" w:cs="Times New Roman"/>
          <w:b/>
          <w:iCs/>
          <w:color w:val="000000" w:themeColor="text1"/>
          <w:sz w:val="28"/>
          <w:szCs w:val="28"/>
        </w:rPr>
        <w:t>en la aplicación de la ley</w:t>
      </w:r>
      <w:r w:rsidRPr="00113298">
        <w:rPr>
          <w:rFonts w:ascii="Times New Roman" w:eastAsiaTheme="minorHAnsi" w:hAnsi="Times New Roman" w:cs="Times New Roman"/>
          <w:bCs/>
          <w:iCs/>
          <w:color w:val="000000" w:themeColor="text1"/>
          <w:sz w:val="28"/>
          <w:szCs w:val="28"/>
        </w:rPr>
        <w:t xml:space="preserve"> […]. La práctica claramente indica que la rigid</w:t>
      </w:r>
      <w:r w:rsidRPr="00113298">
        <w:rPr>
          <w:rFonts w:ascii="Times New Roman" w:eastAsiaTheme="minorHAnsi" w:hAnsi="Times New Roman" w:cs="Times New Roman"/>
          <w:bCs/>
          <w:iCs/>
          <w:color w:val="000000" w:themeColor="text1"/>
          <w:sz w:val="28"/>
          <w:szCs w:val="28"/>
        </w:rPr>
        <w:t xml:space="preserve">ez de esta construcción lógico semántica lleva a interpretaciones y aplicaciones de la ley que no se alinean completamente con los principios del Derecho Internacional Humanitario y de los Derechos Humanos, y contradice normas imperativas del </w:t>
      </w:r>
      <w:r w:rsidRPr="00113298">
        <w:rPr>
          <w:rFonts w:ascii="Times New Roman" w:eastAsiaTheme="minorHAnsi" w:hAnsi="Times New Roman" w:cs="Times New Roman"/>
          <w:bCs/>
          <w:i/>
          <w:color w:val="000000" w:themeColor="text1"/>
          <w:sz w:val="28"/>
          <w:szCs w:val="28"/>
        </w:rPr>
        <w:t>Ius Cogens</w:t>
      </w:r>
      <w:r w:rsidRPr="00113298">
        <w:rPr>
          <w:rFonts w:ascii="Times New Roman" w:eastAsiaTheme="minorHAnsi" w:hAnsi="Times New Roman" w:cs="Times New Roman"/>
          <w:bCs/>
          <w:iCs/>
          <w:color w:val="000000" w:themeColor="text1"/>
          <w:sz w:val="28"/>
          <w:szCs w:val="28"/>
        </w:rPr>
        <w:t>”</w:t>
      </w:r>
      <w:r w:rsidRPr="00113298">
        <w:rPr>
          <w:rFonts w:ascii="Times New Roman" w:eastAsiaTheme="minorHAnsi" w:hAnsi="Times New Roman" w:cs="Times New Roman"/>
          <w:bCs/>
          <w:iCs/>
          <w:color w:val="000000" w:themeColor="text1"/>
          <w:sz w:val="28"/>
          <w:szCs w:val="28"/>
          <w:vertAlign w:val="superscript"/>
        </w:rPr>
        <w:footnoteReference w:id="61"/>
      </w:r>
      <w:r w:rsidRPr="00113298">
        <w:rPr>
          <w:rFonts w:ascii="Times New Roman" w:eastAsiaTheme="minorHAnsi" w:hAnsi="Times New Roman" w:cs="Times New Roman"/>
          <w:bCs/>
          <w:iCs/>
          <w:color w:val="000000" w:themeColor="text1"/>
          <w:sz w:val="28"/>
          <w:szCs w:val="28"/>
        </w:rPr>
        <w:t>.</w:t>
      </w:r>
      <w:r w:rsidRPr="00113298">
        <w:rPr>
          <w:rFonts w:ascii="Times New Roman" w:eastAsiaTheme="minorHAnsi" w:hAnsi="Times New Roman" w:cs="Times New Roman"/>
          <w:bCs/>
          <w:iCs/>
          <w:color w:val="000000" w:themeColor="text1"/>
          <w:sz w:val="28"/>
          <w:szCs w:val="28"/>
        </w:rPr>
        <w:t xml:space="preserve"> (Énfasis añadido)</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En esa misma línea, afirmó que “la aplicación de la definición del artículo 135 […] crea una situación de inconstitucionalidad manifiesta” y que, por ello, “se hace imperativo que la Corte Constitucional revise la aplicación de esta </w:t>
      </w:r>
      <w:r w:rsidRPr="00113298">
        <w:rPr>
          <w:rFonts w:ascii="Times New Roman" w:eastAsiaTheme="minorHAnsi" w:hAnsi="Times New Roman" w:cs="Times New Roman"/>
          <w:bCs/>
          <w:iCs/>
          <w:color w:val="000000" w:themeColor="text1"/>
          <w:sz w:val="28"/>
          <w:szCs w:val="28"/>
        </w:rPr>
        <w:t>definición en el contexto de los crímenes de violencia sexual, con el fin de garantizar una protección amplia y no discriminatoria […]”</w:t>
      </w:r>
      <w:r w:rsidRPr="00113298">
        <w:rPr>
          <w:rFonts w:ascii="Times New Roman" w:eastAsiaTheme="minorHAnsi" w:hAnsi="Times New Roman" w:cs="Times New Roman"/>
          <w:bCs/>
          <w:iCs/>
          <w:color w:val="000000" w:themeColor="text1"/>
          <w:sz w:val="28"/>
          <w:szCs w:val="28"/>
          <w:vertAlign w:val="superscript"/>
        </w:rPr>
        <w:footnoteReference w:id="62"/>
      </w:r>
      <w:r w:rsidRPr="00113298">
        <w:rPr>
          <w:rFonts w:ascii="Times New Roman" w:eastAsiaTheme="minorHAnsi" w:hAnsi="Times New Roman" w:cs="Times New Roman"/>
          <w:bCs/>
          <w:iCs/>
          <w:color w:val="000000" w:themeColor="text1"/>
          <w:sz w:val="28"/>
          <w:szCs w:val="28"/>
        </w:rPr>
        <w:t>. Igualmente, refirió al “descarte administrativo” que han sufrido algunas víctimas a quienes se les ha negado el recono</w:t>
      </w:r>
      <w:r w:rsidRPr="00113298">
        <w:rPr>
          <w:rFonts w:ascii="Times New Roman" w:eastAsiaTheme="minorHAnsi" w:hAnsi="Times New Roman" w:cs="Times New Roman"/>
          <w:bCs/>
          <w:iCs/>
          <w:color w:val="000000" w:themeColor="text1"/>
          <w:sz w:val="28"/>
          <w:szCs w:val="28"/>
        </w:rPr>
        <w:t>cimiento de la calidad de víctimas por haber sido miembros de grupos armados al margen de la ley. Sin embargo, la Sala reitera que este tipo de reproches y, en especial, este último, no están relacionados de manera directa con la omisión legislativa que se</w:t>
      </w:r>
      <w:r w:rsidRPr="00113298">
        <w:rPr>
          <w:rFonts w:ascii="Times New Roman" w:eastAsiaTheme="minorHAnsi" w:hAnsi="Times New Roman" w:cs="Times New Roman"/>
          <w:bCs/>
          <w:iCs/>
          <w:color w:val="000000" w:themeColor="text1"/>
          <w:sz w:val="28"/>
          <w:szCs w:val="28"/>
        </w:rPr>
        <w:t xml:space="preserve"> alega y, además, trasladan al  juez constitucional debates propios de la aplicación concreta del derecho, los cuales deben ser resueltos en otros escenarios judiciales.</w:t>
      </w:r>
    </w:p>
    <w:p w:rsidR="00930F15" w:rsidRPr="00113298" w:rsidRDefault="00113298" w:rsidP="00930F15">
      <w:pPr>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
          <w:color w:val="000000" w:themeColor="text1"/>
          <w:sz w:val="28"/>
          <w:szCs w:val="28"/>
        </w:rPr>
        <w:t xml:space="preserve">Suficiencia. </w:t>
      </w:r>
      <w:r w:rsidRPr="00113298">
        <w:rPr>
          <w:rFonts w:ascii="Times New Roman" w:eastAsiaTheme="minorHAnsi" w:hAnsi="Times New Roman" w:cs="Times New Roman"/>
          <w:bCs/>
          <w:iCs/>
          <w:color w:val="000000" w:themeColor="text1"/>
          <w:sz w:val="28"/>
          <w:szCs w:val="28"/>
        </w:rPr>
        <w:t>En línea con lo expuesto, la demanda tampoco satisface el requisito de s</w:t>
      </w:r>
      <w:r w:rsidRPr="00113298">
        <w:rPr>
          <w:rFonts w:ascii="Times New Roman" w:eastAsiaTheme="minorHAnsi" w:hAnsi="Times New Roman" w:cs="Times New Roman"/>
          <w:bCs/>
          <w:iCs/>
          <w:color w:val="000000" w:themeColor="text1"/>
          <w:sz w:val="28"/>
          <w:szCs w:val="28"/>
        </w:rPr>
        <w:t>uficiencia, en la medida en que no logra suscitar una duda mínima, seria y razonable sobre la constitucionalidad de las disposiciones acusadas. En efecto, sus planteamientos carecen de la entidad argumentativa necesaria para desvirtuar la presunción de con</w:t>
      </w:r>
      <w:r w:rsidRPr="00113298">
        <w:rPr>
          <w:rFonts w:ascii="Times New Roman" w:eastAsiaTheme="minorHAnsi" w:hAnsi="Times New Roman" w:cs="Times New Roman"/>
          <w:bCs/>
          <w:iCs/>
          <w:color w:val="000000" w:themeColor="text1"/>
          <w:sz w:val="28"/>
          <w:szCs w:val="28"/>
        </w:rPr>
        <w:t xml:space="preserve">stitucionalidad que ampara a las normas legales y, por lo tanto, no logra que se propicie un pronunciamiento de fondo por parte de esta Corporación. </w:t>
      </w:r>
    </w:p>
    <w:p w:rsidR="00930F15" w:rsidRPr="00113298" w:rsidRDefault="00113298" w:rsidP="00930F15">
      <w:pPr>
        <w:autoSpaceDE w:val="0"/>
        <w:autoSpaceDN w:val="0"/>
        <w:adjustRightInd w:val="0"/>
        <w:spacing w:before="1"/>
        <w:ind w:left="39" w:right="103"/>
        <w:jc w:val="both"/>
        <w:rPr>
          <w:rFonts w:ascii="Times New Roman" w:hAnsi="Times New Roman" w:cs="Times New Roman"/>
          <w:bCs/>
          <w:iCs/>
          <w:color w:val="000000" w:themeColor="text1"/>
          <w:sz w:val="28"/>
          <w:szCs w:val="28"/>
          <w:lang w:val="es-ES_tradnl"/>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Sumado a lo anterior, la argumentación ofrecida por la demandante incumple con la carga estricta y reforz</w:t>
      </w:r>
      <w:r w:rsidRPr="00113298">
        <w:rPr>
          <w:rFonts w:ascii="Times New Roman" w:eastAsiaTheme="minorHAnsi" w:hAnsi="Times New Roman" w:cs="Times New Roman"/>
          <w:bCs/>
          <w:iCs/>
          <w:color w:val="000000" w:themeColor="text1"/>
          <w:sz w:val="28"/>
          <w:szCs w:val="28"/>
        </w:rPr>
        <w:t>ada que debe ser acreditada en los cargos por omisión legislativa. En especial y, como consecuencia de las falencias identificadas, la accionante no logró probar que las normas acusadas excluyan de sus consecuencias jurídicas aquellos casos que, por ser as</w:t>
      </w:r>
      <w:r w:rsidRPr="00113298">
        <w:rPr>
          <w:rFonts w:ascii="Times New Roman" w:eastAsiaTheme="minorHAnsi" w:hAnsi="Times New Roman" w:cs="Times New Roman"/>
          <w:bCs/>
          <w:iCs/>
          <w:color w:val="000000" w:themeColor="text1"/>
          <w:sz w:val="28"/>
          <w:szCs w:val="28"/>
        </w:rPr>
        <w:t xml:space="preserve">imilables, tenían que estar contenidos en el texto normativo. </w:t>
      </w:r>
    </w:p>
    <w:p w:rsidR="00930F15" w:rsidRPr="00113298" w:rsidRDefault="00113298" w:rsidP="00930F15">
      <w:pPr>
        <w:rPr>
          <w:rFonts w:ascii="Times New Roman" w:eastAsiaTheme="minorHAnsi" w:hAnsi="Times New Roman" w:cs="Times New Roman"/>
          <w:bCs/>
          <w:i/>
          <w:color w:val="000000" w:themeColor="text1"/>
          <w:sz w:val="28"/>
          <w:szCs w:val="28"/>
        </w:rPr>
      </w:pPr>
    </w:p>
    <w:p w:rsidR="00930F15" w:rsidRPr="00113298" w:rsidRDefault="00113298" w:rsidP="00930F15">
      <w:pPr>
        <w:numPr>
          <w:ilvl w:val="0"/>
          <w:numId w:val="3"/>
        </w:numPr>
        <w:tabs>
          <w:tab w:val="left" w:pos="0"/>
          <w:tab w:val="left" w:pos="567"/>
        </w:tabs>
        <w:ind w:left="0" w:right="51" w:firstLine="0"/>
        <w:contextualSpacing/>
        <w:jc w:val="both"/>
        <w:rPr>
          <w:rFonts w:ascii="Times New Roman" w:eastAsiaTheme="minorHAnsi" w:hAnsi="Times New Roman" w:cs="Times New Roman"/>
          <w:bCs/>
          <w:i/>
          <w:color w:val="000000" w:themeColor="text1"/>
          <w:sz w:val="28"/>
          <w:szCs w:val="28"/>
        </w:rPr>
      </w:pPr>
      <w:r w:rsidRPr="00113298">
        <w:rPr>
          <w:rFonts w:ascii="Times New Roman" w:eastAsiaTheme="minorHAnsi" w:hAnsi="Times New Roman" w:cs="Times New Roman"/>
          <w:bCs/>
          <w:iCs/>
          <w:color w:val="000000" w:themeColor="text1"/>
          <w:sz w:val="28"/>
          <w:szCs w:val="28"/>
        </w:rPr>
        <w:t xml:space="preserve">En consecuencia, la Corte concluye que el cargo formulado en contra de las expresiones </w:t>
      </w:r>
      <w:r w:rsidRPr="00113298">
        <w:rPr>
          <w:rFonts w:ascii="Times New Roman" w:eastAsia="Times New Roman" w:hAnsi="Times New Roman" w:cs="Times New Roman"/>
          <w:bCs/>
          <w:sz w:val="28"/>
          <w:szCs w:val="28"/>
          <w:lang w:val="es-ES"/>
        </w:rPr>
        <w:t>“y las demás normas del presente título”, contenida en el parágrafo del artículo 135, y “persona protegid</w:t>
      </w:r>
      <w:r w:rsidRPr="00113298">
        <w:rPr>
          <w:rFonts w:ascii="Times New Roman" w:eastAsia="Times New Roman" w:hAnsi="Times New Roman" w:cs="Times New Roman"/>
          <w:bCs/>
          <w:sz w:val="28"/>
          <w:szCs w:val="28"/>
          <w:lang w:val="es-ES"/>
        </w:rPr>
        <w:t>a”, contenida en los artículos 138, 138 A, 139, 139 A, 139 B, 139 C, 139 D, 139 E, 141, 141 A y 141 B de la Ley 599 de 2000</w:t>
      </w:r>
      <w:r w:rsidRPr="00113298">
        <w:rPr>
          <w:rFonts w:ascii="Times New Roman" w:eastAsia="Times New Roman" w:hAnsi="Times New Roman" w:cs="Times New Roman"/>
          <w:bCs/>
          <w:sz w:val="28"/>
          <w:szCs w:val="28"/>
          <w:vertAlign w:val="superscript"/>
          <w:lang w:val="es-ES"/>
        </w:rPr>
        <w:footnoteReference w:id="63"/>
      </w:r>
      <w:r w:rsidRPr="00113298">
        <w:rPr>
          <w:rFonts w:ascii="Times New Roman" w:eastAsia="Times New Roman" w:hAnsi="Times New Roman" w:cs="Times New Roman"/>
          <w:bCs/>
          <w:sz w:val="28"/>
          <w:szCs w:val="28"/>
          <w:lang w:val="es-ES"/>
        </w:rPr>
        <w:t xml:space="preserve">, no es apto, por lo que le corresponde a la Corte declararse inhibida para pronunciarse de fondo. </w:t>
      </w: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i/>
          <w:iCs/>
          <w:color w:val="000000" w:themeColor="text1"/>
          <w:sz w:val="28"/>
          <w:szCs w:val="28"/>
          <w:lang w:val="es-ES_tradnl"/>
        </w:rPr>
      </w:pPr>
    </w:p>
    <w:p w:rsidR="00930F15" w:rsidRPr="00113298" w:rsidRDefault="00113298" w:rsidP="00930F15">
      <w:pPr>
        <w:numPr>
          <w:ilvl w:val="0"/>
          <w:numId w:val="1"/>
        </w:numPr>
        <w:pBdr>
          <w:left w:val="none" w:sz="0" w:space="31" w:color="000000"/>
        </w:pBdr>
        <w:autoSpaceDE w:val="0"/>
        <w:autoSpaceDN w:val="0"/>
        <w:adjustRightInd w:val="0"/>
        <w:ind w:left="360" w:hanging="360"/>
        <w:outlineLvl w:val="0"/>
        <w:rPr>
          <w:rFonts w:ascii="Times New Roman" w:hAnsi="Times New Roman" w:cs="Times New Roman"/>
          <w:b/>
          <w:bCs/>
          <w:iCs/>
          <w:color w:val="000000" w:themeColor="text1"/>
          <w:sz w:val="28"/>
          <w:szCs w:val="28"/>
          <w:lang w:val="es-ES_tradnl"/>
        </w:rPr>
      </w:pPr>
      <w:bookmarkStart w:id="10" w:name="_Toc208183540"/>
      <w:r w:rsidRPr="00113298">
        <w:rPr>
          <w:rFonts w:ascii="Times New Roman" w:hAnsi="Times New Roman" w:cs="Times New Roman"/>
          <w:b/>
          <w:bCs/>
          <w:color w:val="000000" w:themeColor="text1"/>
          <w:sz w:val="28"/>
          <w:szCs w:val="28"/>
          <w:lang w:val="es-ES_tradnl"/>
        </w:rPr>
        <w:t>DECISIÓN</w:t>
      </w:r>
      <w:bookmarkEnd w:id="10"/>
    </w:p>
    <w:p w:rsidR="00930F15" w:rsidRPr="00113298" w:rsidRDefault="00113298" w:rsidP="00930F15">
      <w:pPr>
        <w:widowControl w:val="0"/>
        <w:ind w:right="51"/>
        <w:jc w:val="both"/>
        <w:rPr>
          <w:rFonts w:ascii="Times New Roman" w:eastAsiaTheme="minorHAnsi" w:hAnsi="Times New Roman" w:cs="Times New Roman"/>
          <w:b/>
          <w:color w:val="000000" w:themeColor="text1"/>
          <w:sz w:val="28"/>
          <w:szCs w:val="28"/>
        </w:rPr>
      </w:pPr>
    </w:p>
    <w:p w:rsidR="00930F15" w:rsidRPr="00113298" w:rsidRDefault="00113298" w:rsidP="00930F15">
      <w:pPr>
        <w:widowControl w:val="0"/>
        <w:ind w:right="51"/>
        <w:jc w:val="both"/>
        <w:rPr>
          <w:rFonts w:ascii="Times New Roman" w:eastAsiaTheme="minorHAnsi" w:hAnsi="Times New Roman" w:cs="Times New Roman"/>
          <w:color w:val="000000" w:themeColor="text1"/>
          <w:sz w:val="28"/>
          <w:szCs w:val="28"/>
        </w:rPr>
      </w:pPr>
      <w:r w:rsidRPr="00113298">
        <w:rPr>
          <w:rFonts w:ascii="Times New Roman" w:eastAsiaTheme="minorHAnsi" w:hAnsi="Times New Roman" w:cs="Times New Roman"/>
          <w:color w:val="000000" w:themeColor="text1"/>
          <w:sz w:val="28"/>
          <w:szCs w:val="28"/>
        </w:rPr>
        <w:t xml:space="preserve">En mérito de lo </w:t>
      </w:r>
      <w:r w:rsidRPr="00113298">
        <w:rPr>
          <w:rFonts w:ascii="Times New Roman" w:eastAsiaTheme="minorHAnsi" w:hAnsi="Times New Roman" w:cs="Times New Roman"/>
          <w:color w:val="000000" w:themeColor="text1"/>
          <w:sz w:val="28"/>
          <w:szCs w:val="28"/>
        </w:rPr>
        <w:t>expuesto, la Sala Plena de la Corte Constitucional,</w:t>
      </w:r>
      <w:r w:rsidRPr="00113298">
        <w:rPr>
          <w:rFonts w:ascii="Times New Roman" w:eastAsiaTheme="minorHAnsi" w:hAnsi="Times New Roman" w:cs="Times New Roman"/>
          <w:color w:val="000000" w:themeColor="text1"/>
          <w:sz w:val="28"/>
          <w:szCs w:val="28"/>
        </w:rPr>
        <w:t xml:space="preserve"> administrando justicia</w:t>
      </w:r>
      <w:r w:rsidRPr="00113298">
        <w:rPr>
          <w:rFonts w:ascii="Times New Roman" w:eastAsiaTheme="minorHAnsi" w:hAnsi="Times New Roman" w:cs="Times New Roman"/>
          <w:color w:val="000000" w:themeColor="text1"/>
          <w:sz w:val="28"/>
          <w:szCs w:val="28"/>
        </w:rPr>
        <w:t xml:space="preserve"> en nombre del pueblo y por mandato de la Constitución,</w:t>
      </w:r>
    </w:p>
    <w:p w:rsidR="00930F15" w:rsidRPr="00113298" w:rsidRDefault="00113298" w:rsidP="00930F15">
      <w:pPr>
        <w:ind w:right="51"/>
        <w:jc w:val="both"/>
        <w:rPr>
          <w:rFonts w:ascii="Times New Roman" w:eastAsiaTheme="minorHAnsi" w:hAnsi="Times New Roman" w:cs="Times New Roman"/>
          <w:color w:val="000000" w:themeColor="text1"/>
          <w:sz w:val="28"/>
          <w:szCs w:val="28"/>
        </w:rPr>
      </w:pPr>
    </w:p>
    <w:p w:rsidR="00DC0A88" w:rsidRPr="00113298" w:rsidRDefault="00113298" w:rsidP="00930F15">
      <w:pPr>
        <w:ind w:right="51"/>
        <w:jc w:val="both"/>
        <w:rPr>
          <w:rFonts w:ascii="Times New Roman" w:eastAsiaTheme="minorHAnsi" w:hAnsi="Times New Roman" w:cs="Times New Roman"/>
          <w:color w:val="000000" w:themeColor="text1"/>
          <w:sz w:val="28"/>
          <w:szCs w:val="28"/>
        </w:rPr>
      </w:pPr>
    </w:p>
    <w:p w:rsidR="00930F15" w:rsidRPr="00113298" w:rsidRDefault="00113298" w:rsidP="00930F15">
      <w:pPr>
        <w:widowControl w:val="0"/>
        <w:ind w:right="51"/>
        <w:jc w:val="center"/>
        <w:rPr>
          <w:rFonts w:ascii="Times New Roman" w:eastAsiaTheme="minorHAnsi" w:hAnsi="Times New Roman" w:cs="Times New Roman"/>
          <w:b/>
          <w:color w:val="000000" w:themeColor="text1"/>
          <w:sz w:val="28"/>
          <w:szCs w:val="28"/>
        </w:rPr>
      </w:pPr>
      <w:r w:rsidRPr="00113298">
        <w:rPr>
          <w:rFonts w:ascii="Times New Roman" w:eastAsiaTheme="minorHAnsi" w:hAnsi="Times New Roman" w:cs="Times New Roman"/>
          <w:b/>
          <w:color w:val="000000" w:themeColor="text1"/>
          <w:sz w:val="28"/>
          <w:szCs w:val="28"/>
        </w:rPr>
        <w:t>RESUELVE</w:t>
      </w:r>
    </w:p>
    <w:p w:rsidR="00930F15" w:rsidRPr="00113298" w:rsidRDefault="00113298" w:rsidP="00930F15">
      <w:pPr>
        <w:widowControl w:val="0"/>
        <w:ind w:right="51"/>
        <w:jc w:val="both"/>
        <w:rPr>
          <w:rFonts w:ascii="Times New Roman" w:eastAsiaTheme="minorHAnsi" w:hAnsi="Times New Roman" w:cs="Times New Roman"/>
          <w:b/>
          <w:color w:val="000000" w:themeColor="text1"/>
          <w:sz w:val="28"/>
          <w:szCs w:val="28"/>
        </w:rPr>
      </w:pPr>
    </w:p>
    <w:p w:rsidR="00930F15" w:rsidRPr="00113298" w:rsidRDefault="00113298" w:rsidP="00930F15">
      <w:pPr>
        <w:tabs>
          <w:tab w:val="left" w:pos="0"/>
          <w:tab w:val="left" w:pos="567"/>
        </w:tabs>
        <w:ind w:right="51"/>
        <w:contextualSpacing/>
        <w:jc w:val="both"/>
        <w:rPr>
          <w:rFonts w:ascii="Times New Roman" w:eastAsiaTheme="minorHAnsi" w:hAnsi="Times New Roman" w:cs="Times New Roman"/>
          <w:bCs/>
          <w:color w:val="000000" w:themeColor="text1"/>
          <w:sz w:val="28"/>
          <w:szCs w:val="28"/>
        </w:rPr>
      </w:pPr>
      <w:r w:rsidRPr="00113298">
        <w:rPr>
          <w:rFonts w:ascii="Times New Roman" w:eastAsiaTheme="minorHAnsi" w:hAnsi="Times New Roman" w:cs="Times New Roman"/>
          <w:b/>
          <w:color w:val="000000" w:themeColor="text1"/>
          <w:sz w:val="28"/>
          <w:szCs w:val="28"/>
        </w:rPr>
        <w:t xml:space="preserve">ÚNICO. </w:t>
      </w:r>
      <w:r w:rsidRPr="00113298">
        <w:rPr>
          <w:rFonts w:ascii="Times New Roman" w:eastAsiaTheme="minorHAnsi" w:hAnsi="Times New Roman" w:cs="Times New Roman"/>
          <w:bCs/>
          <w:color w:val="000000" w:themeColor="text1"/>
          <w:sz w:val="28"/>
          <w:szCs w:val="28"/>
        </w:rPr>
        <w:t xml:space="preserve">Declararse </w:t>
      </w:r>
      <w:r w:rsidRPr="00113298">
        <w:rPr>
          <w:rFonts w:ascii="Times New Roman" w:eastAsiaTheme="minorHAnsi" w:hAnsi="Times New Roman" w:cs="Times New Roman"/>
          <w:b/>
          <w:color w:val="000000" w:themeColor="text1"/>
          <w:sz w:val="28"/>
          <w:szCs w:val="28"/>
        </w:rPr>
        <w:t>INHIBIDA</w:t>
      </w:r>
      <w:r w:rsidRPr="00113298">
        <w:rPr>
          <w:rFonts w:ascii="Times New Roman" w:eastAsiaTheme="minorHAnsi" w:hAnsi="Times New Roman" w:cs="Times New Roman"/>
          <w:bCs/>
          <w:color w:val="000000" w:themeColor="text1"/>
          <w:sz w:val="28"/>
          <w:szCs w:val="28"/>
        </w:rPr>
        <w:t xml:space="preserve"> para pronunciarse sobre la constitucionalidad de las expresiones: </w:t>
      </w:r>
      <w:r w:rsidRPr="00113298">
        <w:rPr>
          <w:rFonts w:ascii="Times New Roman" w:eastAsia="Times New Roman" w:hAnsi="Times New Roman" w:cs="Times New Roman"/>
          <w:bCs/>
          <w:sz w:val="28"/>
          <w:szCs w:val="28"/>
          <w:lang w:val="es-ES"/>
        </w:rPr>
        <w:t xml:space="preserve">“y las demás normas del presente título”, contenida en el parágrafo del artículo 135, y “persona protegida”, contenida en los artículos 138, 138 A, 139, 139 A, 139 B, 139 C, 139 D, 139 E, 141, 141 A y 141 B de la Ley 599 de 2000, </w:t>
      </w:r>
      <w:r w:rsidRPr="00113298">
        <w:rPr>
          <w:rFonts w:ascii="Times New Roman" w:eastAsia="Times New Roman" w:hAnsi="Times New Roman" w:cs="Times New Roman"/>
          <w:bCs/>
          <w:sz w:val="28"/>
          <w:szCs w:val="28"/>
          <w:lang w:val="es-ES"/>
        </w:rPr>
        <w:t xml:space="preserve">“Por la cual se expide el </w:t>
      </w:r>
      <w:r w:rsidRPr="00113298">
        <w:rPr>
          <w:rFonts w:ascii="Times New Roman" w:eastAsia="Times New Roman" w:hAnsi="Times New Roman" w:cs="Times New Roman"/>
          <w:bCs/>
          <w:sz w:val="28"/>
          <w:szCs w:val="28"/>
          <w:lang w:val="es-ES"/>
        </w:rPr>
        <w:t>Código Penal”.</w:t>
      </w:r>
      <w:r w:rsidRPr="00113298">
        <w:rPr>
          <w:rFonts w:ascii="Times New Roman" w:eastAsia="Times New Roman" w:hAnsi="Times New Roman" w:cs="Times New Roman"/>
          <w:bCs/>
          <w:sz w:val="28"/>
          <w:szCs w:val="28"/>
          <w:lang w:val="es-ES"/>
        </w:rPr>
        <w:t xml:space="preserve"> </w:t>
      </w:r>
    </w:p>
    <w:p w:rsidR="00930F15" w:rsidRPr="00113298" w:rsidRDefault="00113298" w:rsidP="00930F15">
      <w:pPr>
        <w:ind w:right="51"/>
        <w:jc w:val="both"/>
        <w:rPr>
          <w:rFonts w:ascii="Times New Roman" w:eastAsiaTheme="minorHAnsi" w:hAnsi="Times New Roman" w:cs="Times New Roman"/>
          <w:b/>
          <w:color w:val="000000" w:themeColor="text1"/>
          <w:sz w:val="28"/>
          <w:szCs w:val="28"/>
        </w:rPr>
      </w:pPr>
      <w:bookmarkStart w:id="11" w:name="OLE_LINK4"/>
    </w:p>
    <w:bookmarkEnd w:id="11"/>
    <w:p w:rsidR="00930F15" w:rsidRPr="00113298" w:rsidRDefault="00113298" w:rsidP="00930F15">
      <w:pPr>
        <w:ind w:right="51"/>
        <w:jc w:val="both"/>
        <w:rPr>
          <w:rFonts w:ascii="Times New Roman" w:eastAsiaTheme="minorHAnsi" w:hAnsi="Times New Roman" w:cs="Times New Roman"/>
          <w:color w:val="000000" w:themeColor="text1"/>
          <w:sz w:val="28"/>
          <w:szCs w:val="28"/>
        </w:rPr>
      </w:pPr>
      <w:r w:rsidRPr="00113298">
        <w:rPr>
          <w:rFonts w:ascii="Times New Roman" w:eastAsiaTheme="minorHAnsi" w:hAnsi="Times New Roman" w:cs="Times New Roman"/>
          <w:color w:val="000000" w:themeColor="text1"/>
          <w:sz w:val="28"/>
          <w:szCs w:val="28"/>
        </w:rPr>
        <w:t>Notifíquese, comuníquese y cúmplase,</w:t>
      </w:r>
    </w:p>
    <w:p w:rsidR="00B37684"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PAOLA ANDREA MENESES MOSQUERA</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Presidenta</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NATALIA ÁNGEL CABO</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Magistrada</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Con aclaración de voto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CARLOS CAMARGO ASSIS</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Con aclaración de voto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HECTOR ALFONSO CARVAJAL LONDOÑO</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JUAN CARLOS CORTÉS GONZÁLEZ</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LINA MARCELA ESCOBAR MARTÍNEZ</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Magistrada</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VLADIMIR FERNÁNDEZ ANDRADE</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 xml:space="preserve">JORGE ENRIQUE IBÁÑEZ NAJAR </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Con salvamento de voto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MIGUEL POLO ROSERO</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Magistrado</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ANDREA LILIANA ROMERO LOPEZ</w:t>
      </w:r>
    </w:p>
    <w:p w:rsidR="00891A21" w:rsidRPr="00113298" w:rsidRDefault="00113298" w:rsidP="00891A21">
      <w:pPr>
        <w:kinsoku w:val="0"/>
        <w:overflowPunct w:val="0"/>
        <w:autoSpaceDE w:val="0"/>
        <w:autoSpaceDN w:val="0"/>
        <w:adjustRightInd w:val="0"/>
        <w:spacing w:line="309" w:lineRule="exact"/>
        <w:ind w:right="49"/>
        <w:jc w:val="center"/>
        <w:outlineLvl w:val="0"/>
        <w:rPr>
          <w:rFonts w:ascii="Times New Roman" w:hAnsi="Times New Roman" w:cs="Times New Roman"/>
          <w:sz w:val="28"/>
          <w:szCs w:val="28"/>
        </w:rPr>
      </w:pPr>
      <w:r w:rsidRPr="00113298">
        <w:rPr>
          <w:rFonts w:ascii="Times New Roman" w:hAnsi="Times New Roman" w:cs="Times New Roman"/>
          <w:sz w:val="28"/>
          <w:szCs w:val="28"/>
        </w:rPr>
        <w:t>Secretaria General</w:t>
      </w:r>
    </w:p>
    <w:p w:rsidR="00891A21" w:rsidRPr="00113298" w:rsidRDefault="00113298" w:rsidP="00DC0A88">
      <w:pPr>
        <w:kinsoku w:val="0"/>
        <w:overflowPunct w:val="0"/>
        <w:autoSpaceDE w:val="0"/>
        <w:autoSpaceDN w:val="0"/>
        <w:adjustRightInd w:val="0"/>
        <w:spacing w:line="309" w:lineRule="exact"/>
        <w:ind w:right="49"/>
        <w:outlineLvl w:val="0"/>
        <w:rPr>
          <w:rFonts w:ascii="Times New Roman" w:hAnsi="Times New Roman" w:cs="Times New Roman"/>
          <w:sz w:val="28"/>
          <w:szCs w:val="28"/>
        </w:rPr>
      </w:pPr>
    </w:p>
    <w:p w:rsidR="0069251C" w:rsidRPr="00113298" w:rsidRDefault="00113298" w:rsidP="00B63E24">
      <w:pPr>
        <w:pStyle w:val="Ttulo3"/>
        <w:spacing w:before="0"/>
        <w:ind w:right="49"/>
        <w:rPr>
          <w:sz w:val="28"/>
          <w:szCs w:val="28"/>
          <w:lang w:val="es-ES_tradnl"/>
        </w:rPr>
      </w:pPr>
    </w:p>
    <w:p w:rsidR="0069251C" w:rsidRPr="00113298" w:rsidRDefault="00113298" w:rsidP="00B63E24">
      <w:pPr>
        <w:pStyle w:val="Ttulo3"/>
        <w:spacing w:before="0"/>
        <w:ind w:right="49"/>
        <w:rPr>
          <w:sz w:val="28"/>
          <w:szCs w:val="28"/>
          <w:lang w:val="es-ES_tradnl"/>
        </w:rPr>
      </w:pPr>
    </w:p>
    <w:p w:rsidR="00BC1030" w:rsidRPr="00113298" w:rsidRDefault="00113298" w:rsidP="00B63E24">
      <w:pPr>
        <w:pStyle w:val="Ttulo3"/>
        <w:spacing w:before="0"/>
        <w:ind w:right="49"/>
        <w:rPr>
          <w:sz w:val="28"/>
          <w:szCs w:val="28"/>
          <w:lang w:val="es-ES_tradnl"/>
        </w:rPr>
      </w:pPr>
      <w:r w:rsidRPr="00113298">
        <w:rPr>
          <w:sz w:val="28"/>
          <w:szCs w:val="28"/>
          <w:lang w:val="es-ES_tradnl"/>
        </w:rPr>
        <w:t>ACLARACIÓN DE VOTO</w:t>
      </w:r>
      <w:r w:rsidRPr="00113298">
        <w:rPr>
          <w:sz w:val="28"/>
          <w:szCs w:val="28"/>
          <w:lang w:val="es-ES_tradnl"/>
        </w:rPr>
        <w:t xml:space="preserve"> DEL MAGISTRADO </w:t>
      </w:r>
    </w:p>
    <w:p w:rsidR="00FC5046" w:rsidRPr="00113298" w:rsidRDefault="00113298" w:rsidP="00B63E24">
      <w:pPr>
        <w:pStyle w:val="Ttulo3"/>
        <w:spacing w:before="0"/>
        <w:ind w:right="49"/>
        <w:rPr>
          <w:b w:val="0"/>
          <w:bCs/>
          <w:sz w:val="28"/>
          <w:szCs w:val="28"/>
          <w:lang w:val="es-ES_tradnl"/>
        </w:rPr>
      </w:pPr>
      <w:r w:rsidRPr="00113298">
        <w:rPr>
          <w:sz w:val="28"/>
          <w:szCs w:val="28"/>
          <w:lang w:val="es-ES_tradnl"/>
        </w:rPr>
        <w:t>CARLOS CAMARGO ASSIS</w:t>
      </w:r>
    </w:p>
    <w:p w:rsidR="00CF2A64" w:rsidRPr="00113298" w:rsidRDefault="00113298" w:rsidP="00FB0F86">
      <w:pPr>
        <w:ind w:right="49"/>
        <w:jc w:val="center"/>
        <w:rPr>
          <w:rFonts w:ascii="Times New Roman" w:hAnsi="Times New Roman" w:cs="Times New Roman"/>
          <w:b/>
          <w:bCs/>
          <w:sz w:val="28"/>
          <w:szCs w:val="28"/>
          <w:lang w:val="es-ES_tradnl" w:eastAsia="zh-CN"/>
        </w:rPr>
      </w:pPr>
      <w:r w:rsidRPr="00113298">
        <w:rPr>
          <w:rFonts w:ascii="Times New Roman" w:hAnsi="Times New Roman" w:cs="Times New Roman"/>
          <w:b/>
          <w:bCs/>
          <w:sz w:val="28"/>
          <w:szCs w:val="28"/>
          <w:lang w:val="es-ES_tradnl"/>
        </w:rPr>
        <w:t xml:space="preserve">A LA </w:t>
      </w:r>
      <w:r w:rsidRPr="00113298">
        <w:rPr>
          <w:rFonts w:ascii="Times New Roman" w:hAnsi="Times New Roman" w:cs="Times New Roman"/>
          <w:b/>
          <w:bCs/>
          <w:sz w:val="28"/>
          <w:szCs w:val="28"/>
          <w:lang w:val="es-ES_tradnl"/>
        </w:rPr>
        <w:t>SENTENCIA C-074</w:t>
      </w:r>
      <w:r w:rsidRPr="00113298">
        <w:rPr>
          <w:rFonts w:ascii="Times New Roman" w:hAnsi="Times New Roman" w:cs="Times New Roman"/>
          <w:b/>
          <w:bCs/>
          <w:sz w:val="28"/>
          <w:szCs w:val="28"/>
          <w:lang w:val="es-ES_tradnl"/>
        </w:rPr>
        <w:t>/</w:t>
      </w:r>
      <w:r w:rsidRPr="00113298">
        <w:rPr>
          <w:rFonts w:ascii="Times New Roman" w:hAnsi="Times New Roman" w:cs="Times New Roman"/>
          <w:b/>
          <w:bCs/>
          <w:sz w:val="28"/>
          <w:szCs w:val="28"/>
          <w:lang w:val="es-ES_tradnl"/>
        </w:rPr>
        <w:t>26</w:t>
      </w:r>
    </w:p>
    <w:p w:rsidR="001411CC" w:rsidRPr="00113298" w:rsidRDefault="00113298" w:rsidP="00FB0F86">
      <w:pPr>
        <w:pStyle w:val="Prrafodelista"/>
        <w:spacing w:before="0"/>
        <w:ind w:left="0" w:right="49"/>
        <w:rPr>
          <w:sz w:val="28"/>
          <w:szCs w:val="28"/>
        </w:rPr>
      </w:pPr>
    </w:p>
    <w:p w:rsidR="00BC1030" w:rsidRPr="00113298" w:rsidRDefault="00113298" w:rsidP="00FB0F86">
      <w:pPr>
        <w:pStyle w:val="Prrafodelista"/>
        <w:spacing w:before="0"/>
        <w:ind w:left="0" w:right="49"/>
        <w:rPr>
          <w:sz w:val="28"/>
          <w:szCs w:val="28"/>
        </w:rPr>
      </w:pPr>
    </w:p>
    <w:p w:rsidR="00BE3957" w:rsidRPr="00113298" w:rsidRDefault="00113298" w:rsidP="000F3459">
      <w:pPr>
        <w:pStyle w:val="Prrafodelista"/>
        <w:numPr>
          <w:ilvl w:val="0"/>
          <w:numId w:val="5"/>
        </w:numPr>
        <w:spacing w:before="0"/>
        <w:ind w:right="49"/>
        <w:rPr>
          <w:color w:val="000000" w:themeColor="text1"/>
          <w:sz w:val="28"/>
          <w:szCs w:val="28"/>
          <w:bdr w:val="none" w:sz="0" w:space="0" w:color="auto" w:frame="1"/>
        </w:rPr>
      </w:pPr>
      <w:r w:rsidRPr="00113298">
        <w:rPr>
          <w:sz w:val="28"/>
          <w:szCs w:val="28"/>
        </w:rPr>
        <w:t>Con el respeto por las decisiones de la Sala mayoritaria, a continuación presento las razones de mi aclaración de voto a la Sentencia C-0</w:t>
      </w:r>
      <w:r w:rsidRPr="00113298">
        <w:rPr>
          <w:sz w:val="28"/>
          <w:szCs w:val="28"/>
        </w:rPr>
        <w:t>74</w:t>
      </w:r>
      <w:r w:rsidRPr="00113298">
        <w:rPr>
          <w:sz w:val="28"/>
          <w:szCs w:val="28"/>
        </w:rPr>
        <w:t xml:space="preserve"> de 2026. En esta providencia, la Corte Constitucional</w:t>
      </w:r>
      <w:r w:rsidRPr="00113298">
        <w:rPr>
          <w:sz w:val="28"/>
          <w:szCs w:val="28"/>
        </w:rPr>
        <w:t xml:space="preserve"> se declaró</w:t>
      </w:r>
      <w:r w:rsidRPr="00113298">
        <w:rPr>
          <w:sz w:val="28"/>
          <w:szCs w:val="28"/>
        </w:rPr>
        <w:t xml:space="preserve"> </w:t>
      </w:r>
      <w:r w:rsidRPr="00113298">
        <w:rPr>
          <w:sz w:val="28"/>
          <w:szCs w:val="28"/>
        </w:rPr>
        <w:t>inhibida para pronunciarse sobre la demanda de inconstitucionalidad en contra de las expresiones “y las demás normas del presente título”, contenida en el parágrafo del artículo 135, y “pers</w:t>
      </w:r>
      <w:r w:rsidRPr="00113298">
        <w:rPr>
          <w:sz w:val="28"/>
          <w:szCs w:val="28"/>
        </w:rPr>
        <w:t>ona protegida”, contenida en los artículos 138, 138 A, 139, 139 A, 139 B, 139 C, 139 D, 139 E, 141, 141 A y 141 B de la Ley 599 de 2000</w:t>
      </w:r>
      <w:r w:rsidRPr="00113298">
        <w:rPr>
          <w:sz w:val="28"/>
          <w:szCs w:val="28"/>
        </w:rPr>
        <w:t xml:space="preserve">. </w:t>
      </w:r>
    </w:p>
    <w:p w:rsidR="009709A3" w:rsidRPr="00113298" w:rsidRDefault="00113298" w:rsidP="009709A3">
      <w:pPr>
        <w:pStyle w:val="Prrafodelista"/>
        <w:spacing w:before="0"/>
        <w:ind w:left="0" w:right="49"/>
        <w:rPr>
          <w:color w:val="000000" w:themeColor="text1"/>
          <w:sz w:val="28"/>
          <w:szCs w:val="28"/>
          <w:bdr w:val="none" w:sz="0" w:space="0" w:color="auto" w:frame="1"/>
        </w:rPr>
      </w:pPr>
    </w:p>
    <w:p w:rsidR="00412444" w:rsidRPr="00113298" w:rsidRDefault="00113298" w:rsidP="00312341">
      <w:pPr>
        <w:pStyle w:val="Prrafodelista"/>
        <w:numPr>
          <w:ilvl w:val="0"/>
          <w:numId w:val="5"/>
        </w:numPr>
        <w:spacing w:before="0"/>
        <w:ind w:right="49"/>
        <w:rPr>
          <w:sz w:val="28"/>
          <w:szCs w:val="28"/>
          <w:lang w:val="es-CO"/>
        </w:rPr>
      </w:pPr>
      <w:r w:rsidRPr="00113298">
        <w:rPr>
          <w:color w:val="000000" w:themeColor="text1"/>
          <w:sz w:val="28"/>
          <w:szCs w:val="28"/>
          <w:bdr w:val="none" w:sz="0" w:space="0" w:color="auto" w:frame="1"/>
        </w:rPr>
        <w:t>A</w:t>
      </w:r>
      <w:r w:rsidRPr="00113298">
        <w:rPr>
          <w:color w:val="000000" w:themeColor="text1"/>
          <w:sz w:val="28"/>
          <w:szCs w:val="28"/>
          <w:bdr w:val="none" w:sz="0" w:space="0" w:color="auto" w:frame="1"/>
        </w:rPr>
        <w:t xml:space="preserve">unque </w:t>
      </w:r>
      <w:r w:rsidRPr="00113298">
        <w:rPr>
          <w:color w:val="000000" w:themeColor="text1"/>
          <w:sz w:val="28"/>
          <w:szCs w:val="28"/>
          <w:bdr w:val="none" w:sz="0" w:space="0" w:color="auto" w:frame="1"/>
        </w:rPr>
        <w:t>comparto</w:t>
      </w:r>
      <w:r w:rsidRPr="00113298">
        <w:rPr>
          <w:color w:val="000000" w:themeColor="text1"/>
          <w:sz w:val="28"/>
          <w:szCs w:val="28"/>
          <w:bdr w:val="none" w:sz="0" w:space="0" w:color="auto" w:frame="1"/>
        </w:rPr>
        <w:t xml:space="preserve"> que la demanda presentaba algunas deficiencias argumentativas principalmente relacionadas con el requisito de certeza, estimo que la Sala Plena a partir de la aplicación del principio </w:t>
      </w:r>
      <w:r w:rsidRPr="00113298">
        <w:rPr>
          <w:i/>
          <w:iCs/>
          <w:color w:val="000000" w:themeColor="text1"/>
          <w:sz w:val="28"/>
          <w:szCs w:val="28"/>
          <w:bdr w:val="none" w:sz="0" w:space="0" w:color="auto" w:frame="1"/>
        </w:rPr>
        <w:t xml:space="preserve">pro actione </w:t>
      </w:r>
      <w:r w:rsidRPr="00113298">
        <w:rPr>
          <w:color w:val="000000" w:themeColor="text1"/>
          <w:sz w:val="28"/>
          <w:szCs w:val="28"/>
          <w:bdr w:val="none" w:sz="0" w:space="0" w:color="auto" w:frame="1"/>
        </w:rPr>
        <w:t>pudo</w:t>
      </w:r>
      <w:r w:rsidRPr="00113298">
        <w:rPr>
          <w:color w:val="000000" w:themeColor="text1"/>
          <w:sz w:val="28"/>
          <w:szCs w:val="28"/>
          <w:bdr w:val="none" w:sz="0" w:space="0" w:color="auto" w:frame="1"/>
        </w:rPr>
        <w:t xml:space="preserve"> superar la</w:t>
      </w:r>
      <w:r w:rsidRPr="00113298">
        <w:rPr>
          <w:color w:val="000000" w:themeColor="text1"/>
          <w:sz w:val="28"/>
          <w:szCs w:val="28"/>
          <w:bdr w:val="none" w:sz="0" w:space="0" w:color="auto" w:frame="1"/>
        </w:rPr>
        <w:t>s</w:t>
      </w:r>
      <w:r w:rsidRPr="00113298">
        <w:rPr>
          <w:color w:val="000000" w:themeColor="text1"/>
          <w:sz w:val="28"/>
          <w:szCs w:val="28"/>
          <w:bdr w:val="none" w:sz="0" w:space="0" w:color="auto" w:frame="1"/>
        </w:rPr>
        <w:t xml:space="preserve"> </w:t>
      </w:r>
      <w:r w:rsidRPr="00113298">
        <w:rPr>
          <w:color w:val="000000" w:themeColor="text1"/>
          <w:sz w:val="28"/>
          <w:szCs w:val="28"/>
          <w:bdr w:val="none" w:sz="0" w:space="0" w:color="auto" w:frame="1"/>
        </w:rPr>
        <w:t>falencias</w:t>
      </w:r>
      <w:r w:rsidRPr="00113298">
        <w:rPr>
          <w:color w:val="000000" w:themeColor="text1"/>
          <w:sz w:val="28"/>
          <w:szCs w:val="28"/>
          <w:bdr w:val="none" w:sz="0" w:space="0" w:color="auto" w:frame="1"/>
        </w:rPr>
        <w:t xml:space="preserve"> identificada</w:t>
      </w:r>
      <w:r w:rsidRPr="00113298">
        <w:rPr>
          <w:color w:val="000000" w:themeColor="text1"/>
          <w:sz w:val="28"/>
          <w:szCs w:val="28"/>
          <w:bdr w:val="none" w:sz="0" w:space="0" w:color="auto" w:frame="1"/>
        </w:rPr>
        <w:t>s</w:t>
      </w:r>
      <w:r w:rsidRPr="00113298">
        <w:rPr>
          <w:color w:val="000000" w:themeColor="text1"/>
          <w:sz w:val="28"/>
          <w:szCs w:val="28"/>
          <w:bdr w:val="none" w:sz="0" w:space="0" w:color="auto" w:frame="1"/>
        </w:rPr>
        <w:t xml:space="preserve"> y pronunciarse sobre el fondo de la discusión</w:t>
      </w:r>
      <w:r w:rsidRPr="00113298">
        <w:rPr>
          <w:color w:val="000000" w:themeColor="text1"/>
          <w:sz w:val="28"/>
          <w:szCs w:val="28"/>
          <w:bdr w:val="none" w:sz="0" w:space="0" w:color="auto" w:frame="1"/>
        </w:rPr>
        <w:t>.</w:t>
      </w:r>
      <w:r w:rsidRPr="00113298">
        <w:rPr>
          <w:color w:val="000000" w:themeColor="text1"/>
          <w:sz w:val="28"/>
          <w:szCs w:val="28"/>
          <w:bdr w:val="none" w:sz="0" w:space="0" w:color="auto" w:frame="1"/>
        </w:rPr>
        <w:t xml:space="preserve"> </w:t>
      </w:r>
      <w:r w:rsidRPr="00113298">
        <w:rPr>
          <w:sz w:val="28"/>
          <w:szCs w:val="28"/>
        </w:rPr>
        <w:t>A mi juicio,</w:t>
      </w:r>
      <w:r w:rsidRPr="00113298">
        <w:rPr>
          <w:sz w:val="28"/>
          <w:szCs w:val="28"/>
          <w:lang w:val="es-CO"/>
        </w:rPr>
        <w:t xml:space="preserve"> el rigor en el examen de los requisitos </w:t>
      </w:r>
      <w:r w:rsidRPr="00113298">
        <w:rPr>
          <w:sz w:val="28"/>
          <w:szCs w:val="28"/>
          <w:lang w:val="es-CO"/>
        </w:rPr>
        <w:t xml:space="preserve">de admisión </w:t>
      </w:r>
      <w:r w:rsidRPr="00113298">
        <w:rPr>
          <w:sz w:val="28"/>
          <w:szCs w:val="28"/>
          <w:lang w:val="es-CO"/>
        </w:rPr>
        <w:t xml:space="preserve">de la acción pública de inconstitucionalidad no puede convertirse en una barrera para el acceso efectivo a la administración de justicia. </w:t>
      </w:r>
    </w:p>
    <w:p w:rsidR="00412444" w:rsidRPr="00113298" w:rsidRDefault="00113298" w:rsidP="00412444">
      <w:pPr>
        <w:pStyle w:val="Prrafodelista"/>
        <w:rPr>
          <w:color w:val="000000" w:themeColor="text1"/>
          <w:sz w:val="28"/>
          <w:szCs w:val="28"/>
          <w:bdr w:val="none" w:sz="0" w:space="0" w:color="auto" w:frame="1"/>
        </w:rPr>
      </w:pPr>
    </w:p>
    <w:p w:rsidR="00BE3957" w:rsidRPr="00113298" w:rsidRDefault="00113298" w:rsidP="00BE3957">
      <w:pPr>
        <w:pStyle w:val="Prrafodelista"/>
        <w:numPr>
          <w:ilvl w:val="0"/>
          <w:numId w:val="5"/>
        </w:numPr>
        <w:spacing w:before="0"/>
        <w:ind w:right="49"/>
        <w:rPr>
          <w:sz w:val="28"/>
          <w:szCs w:val="28"/>
          <w:lang w:val="es-CO"/>
        </w:rPr>
      </w:pPr>
      <w:r w:rsidRPr="00113298">
        <w:rPr>
          <w:color w:val="000000" w:themeColor="text1"/>
          <w:sz w:val="28"/>
          <w:szCs w:val="28"/>
          <w:bdr w:val="none" w:sz="0" w:space="0" w:color="auto" w:frame="1"/>
        </w:rPr>
        <w:t xml:space="preserve"> </w:t>
      </w:r>
      <w:r w:rsidRPr="00113298">
        <w:rPr>
          <w:color w:val="000000" w:themeColor="text1"/>
          <w:sz w:val="28"/>
          <w:szCs w:val="28"/>
          <w:bdr w:val="none" w:sz="0" w:space="0" w:color="auto" w:frame="1"/>
        </w:rPr>
        <w:t>E</w:t>
      </w:r>
      <w:r w:rsidRPr="00113298">
        <w:rPr>
          <w:color w:val="000000" w:themeColor="text1"/>
          <w:sz w:val="28"/>
          <w:szCs w:val="28"/>
          <w:bdr w:val="none" w:sz="0" w:space="0" w:color="auto" w:frame="1"/>
        </w:rPr>
        <w:t xml:space="preserve">n </w:t>
      </w:r>
      <w:r w:rsidRPr="00113298">
        <w:rPr>
          <w:color w:val="000000" w:themeColor="text1"/>
          <w:sz w:val="28"/>
          <w:szCs w:val="28"/>
          <w:bdr w:val="none" w:sz="0" w:space="0" w:color="auto" w:frame="1"/>
        </w:rPr>
        <w:t>reiterados pronunciamientos</w:t>
      </w:r>
      <w:r w:rsidRPr="00113298">
        <w:rPr>
          <w:color w:val="000000" w:themeColor="text1"/>
          <w:sz w:val="28"/>
          <w:szCs w:val="28"/>
          <w:bdr w:val="none" w:sz="0" w:space="0" w:color="auto" w:frame="1"/>
        </w:rPr>
        <w:t>,</w:t>
      </w:r>
      <w:r w:rsidRPr="00113298">
        <w:rPr>
          <w:color w:val="000000" w:themeColor="text1"/>
          <w:sz w:val="28"/>
          <w:szCs w:val="28"/>
          <w:bdr w:val="none" w:sz="0" w:space="0" w:color="auto" w:frame="1"/>
        </w:rPr>
        <w:t xml:space="preserve"> la Sala Plena ha reconocido que por virtud del principio </w:t>
      </w:r>
      <w:r w:rsidRPr="00113298">
        <w:rPr>
          <w:i/>
          <w:iCs/>
          <w:color w:val="000000" w:themeColor="text1"/>
          <w:sz w:val="28"/>
          <w:szCs w:val="28"/>
          <w:bdr w:val="none" w:sz="0" w:space="0" w:color="auto" w:frame="1"/>
        </w:rPr>
        <w:t>pro actione</w:t>
      </w:r>
      <w:r w:rsidRPr="00113298">
        <w:rPr>
          <w:color w:val="000000" w:themeColor="text1"/>
          <w:sz w:val="28"/>
          <w:szCs w:val="28"/>
          <w:bdr w:val="none" w:sz="0" w:space="0" w:color="auto" w:frame="1"/>
        </w:rPr>
        <w:t xml:space="preserve"> no puede suplirse la carga que tiene el ciudadano de cuestionar con suficiencia la constitucionalidad de las disposiciones que integran el ordenamiento jurí</w:t>
      </w:r>
      <w:r w:rsidRPr="00113298">
        <w:rPr>
          <w:color w:val="000000" w:themeColor="text1"/>
          <w:sz w:val="28"/>
          <w:szCs w:val="28"/>
          <w:bdr w:val="none" w:sz="0" w:space="0" w:color="auto" w:frame="1"/>
        </w:rPr>
        <w:t>dico</w:t>
      </w:r>
      <w:r w:rsidRPr="00113298">
        <w:rPr>
          <w:color w:val="000000" w:themeColor="text1"/>
          <w:sz w:val="28"/>
          <w:szCs w:val="28"/>
          <w:bdr w:val="none" w:sz="0" w:space="0" w:color="auto" w:frame="1"/>
        </w:rPr>
        <w:t xml:space="preserve">. No obstante, </w:t>
      </w:r>
      <w:r w:rsidRPr="00113298">
        <w:rPr>
          <w:color w:val="000000" w:themeColor="text1"/>
          <w:sz w:val="28"/>
          <w:szCs w:val="28"/>
          <w:bdr w:val="none" w:sz="0" w:space="0" w:color="auto" w:frame="1"/>
        </w:rPr>
        <w:t xml:space="preserve">considero que en este caso particular se presentaron razones mínimas respecto de </w:t>
      </w:r>
      <w:r w:rsidRPr="00113298">
        <w:rPr>
          <w:i/>
          <w:iCs/>
          <w:color w:val="000000" w:themeColor="text1"/>
          <w:sz w:val="28"/>
          <w:szCs w:val="28"/>
          <w:bdr w:val="none" w:sz="0" w:space="0" w:color="auto" w:frame="1"/>
        </w:rPr>
        <w:t xml:space="preserve">(i) </w:t>
      </w:r>
      <w:r w:rsidRPr="00113298">
        <w:rPr>
          <w:color w:val="000000" w:themeColor="text1"/>
          <w:sz w:val="28"/>
          <w:szCs w:val="28"/>
          <w:bdr w:val="none" w:sz="0" w:space="0" w:color="auto" w:frame="1"/>
        </w:rPr>
        <w:t xml:space="preserve">la exclusión del deber concreto omitido por el legislador en la formulación del concepto de persona protegida dentro del Código Penal, </w:t>
      </w:r>
      <w:r w:rsidRPr="00113298">
        <w:rPr>
          <w:i/>
          <w:iCs/>
          <w:color w:val="000000" w:themeColor="text1"/>
          <w:sz w:val="28"/>
          <w:szCs w:val="28"/>
          <w:bdr w:val="none" w:sz="0" w:space="0" w:color="auto" w:frame="1"/>
        </w:rPr>
        <w:t xml:space="preserve">(ii) </w:t>
      </w:r>
      <w:r w:rsidRPr="00113298">
        <w:rPr>
          <w:color w:val="000000" w:themeColor="text1"/>
          <w:sz w:val="28"/>
          <w:szCs w:val="28"/>
          <w:bdr w:val="none" w:sz="0" w:space="0" w:color="auto" w:frame="1"/>
        </w:rPr>
        <w:t>la existenci</w:t>
      </w:r>
      <w:r w:rsidRPr="00113298">
        <w:rPr>
          <w:color w:val="000000" w:themeColor="text1"/>
          <w:sz w:val="28"/>
          <w:szCs w:val="28"/>
          <w:bdr w:val="none" w:sz="0" w:space="0" w:color="auto" w:frame="1"/>
        </w:rPr>
        <w:t xml:space="preserve">a de un trato desigual  entre los sujetos que se encuentran amparados por las consecuencias de la norma y aquellas que se excluyen y </w:t>
      </w:r>
      <w:r w:rsidRPr="00113298">
        <w:rPr>
          <w:i/>
          <w:iCs/>
          <w:color w:val="000000" w:themeColor="text1"/>
          <w:sz w:val="28"/>
          <w:szCs w:val="28"/>
          <w:bdr w:val="none" w:sz="0" w:space="0" w:color="auto" w:frame="1"/>
        </w:rPr>
        <w:t>(iii)</w:t>
      </w:r>
      <w:r w:rsidRPr="00113298">
        <w:rPr>
          <w:color w:val="000000" w:themeColor="text1"/>
          <w:sz w:val="28"/>
          <w:szCs w:val="28"/>
          <w:bdr w:val="none" w:sz="0" w:space="0" w:color="auto" w:frame="1"/>
        </w:rPr>
        <w:t xml:space="preserve"> el parámetro de control contrastado en relación con la protección de las personas víctimas de violencia sexual a títu</w:t>
      </w:r>
      <w:r w:rsidRPr="00113298">
        <w:rPr>
          <w:color w:val="000000" w:themeColor="text1"/>
          <w:sz w:val="28"/>
          <w:szCs w:val="28"/>
          <w:bdr w:val="none" w:sz="0" w:space="0" w:color="auto" w:frame="1"/>
        </w:rPr>
        <w:t>lo de crimen de guerra cuando han sido atacad</w:t>
      </w:r>
      <w:r w:rsidRPr="00113298">
        <w:rPr>
          <w:color w:val="000000" w:themeColor="text1"/>
          <w:sz w:val="28"/>
          <w:szCs w:val="28"/>
          <w:bdr w:val="none" w:sz="0" w:space="0" w:color="auto" w:frame="1"/>
        </w:rPr>
        <w:t>a</w:t>
      </w:r>
      <w:r w:rsidRPr="00113298">
        <w:rPr>
          <w:color w:val="000000" w:themeColor="text1"/>
          <w:sz w:val="28"/>
          <w:szCs w:val="28"/>
          <w:bdr w:val="none" w:sz="0" w:space="0" w:color="auto" w:frame="1"/>
        </w:rPr>
        <w:t>s por miembros de su propio grupo armado.</w:t>
      </w:r>
    </w:p>
    <w:p w:rsidR="00412444" w:rsidRPr="00113298" w:rsidRDefault="00113298" w:rsidP="00412444">
      <w:pPr>
        <w:pStyle w:val="Prrafodelista"/>
        <w:rPr>
          <w:sz w:val="28"/>
          <w:szCs w:val="28"/>
          <w:lang w:val="es-CO"/>
        </w:rPr>
      </w:pPr>
    </w:p>
    <w:p w:rsidR="00C53C3A" w:rsidRPr="00113298" w:rsidRDefault="00113298" w:rsidP="00255A5A">
      <w:pPr>
        <w:pStyle w:val="Prrafodelista"/>
        <w:numPr>
          <w:ilvl w:val="0"/>
          <w:numId w:val="5"/>
        </w:numPr>
        <w:ind w:right="49"/>
        <w:rPr>
          <w:sz w:val="28"/>
          <w:szCs w:val="28"/>
          <w:lang w:val="es-ES"/>
        </w:rPr>
      </w:pPr>
      <w:r w:rsidRPr="00113298">
        <w:rPr>
          <w:sz w:val="28"/>
          <w:szCs w:val="28"/>
          <w:lang w:val="es-CO"/>
        </w:rPr>
        <w:t>Por este motivo</w:t>
      </w:r>
      <w:r w:rsidRPr="00113298">
        <w:rPr>
          <w:sz w:val="28"/>
          <w:szCs w:val="28"/>
          <w:lang w:val="es-CO"/>
        </w:rPr>
        <w:t xml:space="preserve">, </w:t>
      </w:r>
      <w:r w:rsidRPr="00113298">
        <w:rPr>
          <w:sz w:val="28"/>
          <w:szCs w:val="28"/>
          <w:lang w:val="es-CO"/>
        </w:rPr>
        <w:t>estimo</w:t>
      </w:r>
      <w:r w:rsidRPr="00113298">
        <w:rPr>
          <w:sz w:val="28"/>
          <w:szCs w:val="28"/>
          <w:lang w:val="es-CO"/>
        </w:rPr>
        <w:t xml:space="preserve"> que de haberse efectuado el análisis de fondo la Sala Plena </w:t>
      </w:r>
      <w:r w:rsidRPr="00113298">
        <w:rPr>
          <w:sz w:val="28"/>
          <w:szCs w:val="28"/>
          <w:lang w:val="es-CO"/>
        </w:rPr>
        <w:t xml:space="preserve">pudo declarar la exequibilidad condicionada de la expresión “persona protegida” en </w:t>
      </w:r>
      <w:r w:rsidRPr="00113298">
        <w:rPr>
          <w:sz w:val="28"/>
          <w:szCs w:val="28"/>
          <w:lang w:val="es-CO"/>
        </w:rPr>
        <w:t>el entendido de que ella no excluye la aplicación de los tipos penales establecidos en los artículos 138, 138 A, 139, 139 A, 139 B, 139 C, 139 D, 139 E, 141, 141 A y 141 B de la Ley 599 de 2000, a los eventos en los que el sujeto pasivo de la conducta es u</w:t>
      </w:r>
      <w:r w:rsidRPr="00113298">
        <w:rPr>
          <w:sz w:val="28"/>
          <w:szCs w:val="28"/>
          <w:lang w:val="es-CO"/>
        </w:rPr>
        <w:t>na persona vinculada a los grupos combatientes.</w:t>
      </w:r>
    </w:p>
    <w:p w:rsidR="00C53C3A" w:rsidRPr="00113298" w:rsidRDefault="00113298" w:rsidP="00C53C3A">
      <w:pPr>
        <w:pStyle w:val="Prrafodelista"/>
        <w:rPr>
          <w:sz w:val="28"/>
          <w:szCs w:val="28"/>
          <w:lang w:val="es-CO"/>
        </w:rPr>
      </w:pPr>
    </w:p>
    <w:p w:rsidR="00C53C3A" w:rsidRPr="00113298" w:rsidRDefault="00113298" w:rsidP="00BA54E7">
      <w:pPr>
        <w:pStyle w:val="Prrafodelista"/>
        <w:numPr>
          <w:ilvl w:val="0"/>
          <w:numId w:val="5"/>
        </w:numPr>
        <w:ind w:right="49"/>
        <w:rPr>
          <w:sz w:val="28"/>
          <w:szCs w:val="28"/>
          <w:lang w:val="es-ES"/>
        </w:rPr>
      </w:pPr>
      <w:r w:rsidRPr="00113298">
        <w:rPr>
          <w:sz w:val="28"/>
          <w:szCs w:val="28"/>
          <w:lang w:val="es-CO"/>
        </w:rPr>
        <w:t>A mi juicio, esta solución resultaba razonable</w:t>
      </w:r>
      <w:r w:rsidRPr="00113298">
        <w:rPr>
          <w:sz w:val="28"/>
          <w:szCs w:val="28"/>
          <w:lang w:val="es-CO"/>
        </w:rPr>
        <w:t xml:space="preserve"> a partir de un análisis integral de las disposiciones que integran el ordenamiento jurídico</w:t>
      </w:r>
      <w:r w:rsidRPr="00113298">
        <w:rPr>
          <w:sz w:val="28"/>
          <w:szCs w:val="28"/>
          <w:lang w:val="es-ES"/>
        </w:rPr>
        <w:t xml:space="preserve">, porque </w:t>
      </w:r>
      <w:r w:rsidRPr="00113298">
        <w:rPr>
          <w:i/>
          <w:iCs/>
          <w:sz w:val="28"/>
          <w:szCs w:val="28"/>
          <w:lang w:val="es-ES"/>
        </w:rPr>
        <w:t>(i)</w:t>
      </w:r>
      <w:r w:rsidRPr="00113298">
        <w:rPr>
          <w:sz w:val="28"/>
          <w:szCs w:val="28"/>
          <w:lang w:val="es-ES"/>
        </w:rPr>
        <w:t xml:space="preserve"> </w:t>
      </w:r>
      <w:r w:rsidRPr="00113298">
        <w:rPr>
          <w:sz w:val="28"/>
          <w:szCs w:val="28"/>
          <w:lang w:val="es-ES"/>
        </w:rPr>
        <w:t xml:space="preserve">identifica la existencia de una discrepancia interpretativa que se ve reflejada en las diferentes intervenciones y, posiblemente, en decisiones judiciales adoptadas por diversas autoridades; </w:t>
      </w:r>
      <w:r w:rsidRPr="00113298">
        <w:rPr>
          <w:i/>
          <w:iCs/>
          <w:sz w:val="28"/>
          <w:szCs w:val="28"/>
          <w:lang w:val="es-ES"/>
        </w:rPr>
        <w:t>(ii)</w:t>
      </w:r>
      <w:r w:rsidRPr="00113298">
        <w:rPr>
          <w:sz w:val="28"/>
          <w:szCs w:val="28"/>
          <w:lang w:val="es-ES"/>
        </w:rPr>
        <w:t xml:space="preserve"> reconoce que el derecho nacional ha sido, desde hace mucho t</w:t>
      </w:r>
      <w:r w:rsidRPr="00113298">
        <w:rPr>
          <w:sz w:val="28"/>
          <w:szCs w:val="28"/>
          <w:lang w:val="es-ES"/>
        </w:rPr>
        <w:t xml:space="preserve">iempo, sensible al derecho internacional humanitario, y </w:t>
      </w:r>
      <w:r w:rsidRPr="00113298">
        <w:rPr>
          <w:i/>
          <w:iCs/>
          <w:sz w:val="28"/>
          <w:szCs w:val="28"/>
          <w:lang w:val="es-ES"/>
        </w:rPr>
        <w:t>(iii)</w:t>
      </w:r>
      <w:r w:rsidRPr="00113298">
        <w:rPr>
          <w:sz w:val="28"/>
          <w:szCs w:val="28"/>
          <w:lang w:val="es-ES"/>
        </w:rPr>
        <w:t xml:space="preserve"> </w:t>
      </w:r>
      <w:r w:rsidRPr="00113298">
        <w:rPr>
          <w:sz w:val="28"/>
          <w:szCs w:val="28"/>
          <w:lang w:val="es-ES"/>
        </w:rPr>
        <w:t>en relación con el</w:t>
      </w:r>
      <w:r w:rsidRPr="00113298">
        <w:rPr>
          <w:sz w:val="28"/>
          <w:szCs w:val="28"/>
          <w:lang w:val="es-ES"/>
        </w:rPr>
        <w:t xml:space="preserve"> principio de legalidad no suscita, al menos en principio, problemas muy agudos</w:t>
      </w:r>
      <w:r w:rsidRPr="00113298">
        <w:rPr>
          <w:sz w:val="28"/>
          <w:szCs w:val="28"/>
          <w:lang w:val="es-ES"/>
        </w:rPr>
        <w:t xml:space="preserve">, porque su </w:t>
      </w:r>
      <w:r w:rsidRPr="00113298">
        <w:rPr>
          <w:sz w:val="28"/>
          <w:szCs w:val="28"/>
          <w:lang w:val="es-ES"/>
        </w:rPr>
        <w:t xml:space="preserve">propósito </w:t>
      </w:r>
      <w:r w:rsidRPr="00113298">
        <w:rPr>
          <w:sz w:val="28"/>
          <w:szCs w:val="28"/>
          <w:lang w:val="es-ES"/>
        </w:rPr>
        <w:t xml:space="preserve">era </w:t>
      </w:r>
      <w:r w:rsidRPr="00113298">
        <w:rPr>
          <w:sz w:val="28"/>
          <w:szCs w:val="28"/>
          <w:lang w:val="es-ES"/>
        </w:rPr>
        <w:t>reconocer</w:t>
      </w:r>
      <w:r w:rsidRPr="00113298">
        <w:rPr>
          <w:sz w:val="28"/>
          <w:szCs w:val="28"/>
          <w:lang w:val="es-ES"/>
        </w:rPr>
        <w:t xml:space="preserve"> que las interpretaciones que existieron fueron admisibles. Si</w:t>
      </w:r>
      <w:r w:rsidRPr="00113298">
        <w:rPr>
          <w:sz w:val="28"/>
          <w:szCs w:val="28"/>
          <w:lang w:val="es-ES"/>
        </w:rPr>
        <w:t xml:space="preserve">n embargo, una de ellas es incompatible con la Constitución y </w:t>
      </w:r>
      <w:r w:rsidRPr="00113298">
        <w:rPr>
          <w:sz w:val="28"/>
          <w:szCs w:val="28"/>
          <w:lang w:val="es-ES"/>
        </w:rPr>
        <w:t>así</w:t>
      </w:r>
      <w:r w:rsidRPr="00113298">
        <w:rPr>
          <w:sz w:val="28"/>
          <w:szCs w:val="28"/>
          <w:lang w:val="es-ES"/>
        </w:rPr>
        <w:t xml:space="preserve"> se declara hacia el futuro.  </w:t>
      </w:r>
    </w:p>
    <w:p w:rsidR="00C53C3A" w:rsidRPr="00113298" w:rsidRDefault="00113298" w:rsidP="00C53C3A">
      <w:pPr>
        <w:pStyle w:val="Prrafodelista"/>
        <w:ind w:left="0" w:right="49"/>
        <w:rPr>
          <w:sz w:val="28"/>
          <w:lang w:val="es-ES"/>
        </w:rPr>
      </w:pPr>
    </w:p>
    <w:p w:rsidR="00E14F45" w:rsidRPr="00113298" w:rsidRDefault="00113298" w:rsidP="00E14F45">
      <w:pPr>
        <w:pStyle w:val="Prrafodelista"/>
        <w:numPr>
          <w:ilvl w:val="0"/>
          <w:numId w:val="5"/>
        </w:numPr>
        <w:ind w:right="49"/>
        <w:rPr>
          <w:sz w:val="28"/>
          <w:szCs w:val="28"/>
          <w:lang w:val="es-ES"/>
        </w:rPr>
      </w:pPr>
      <w:r w:rsidRPr="00113298">
        <w:rPr>
          <w:sz w:val="28"/>
          <w:szCs w:val="28"/>
          <w:lang w:val="es-ES"/>
        </w:rPr>
        <w:t>L</w:t>
      </w:r>
      <w:r w:rsidRPr="00113298">
        <w:rPr>
          <w:sz w:val="28"/>
          <w:szCs w:val="28"/>
          <w:lang w:val="es-ES"/>
        </w:rPr>
        <w:t>a jurisprudencia de la Corte Constitucional ha establecido que el contraste de una ley con un tratado internacional no da lugar a una declaratoria automática de inconstitucionalidad, sino que estos instrumentos de derechos deben ser considerados para inter</w:t>
      </w:r>
      <w:r w:rsidRPr="00113298">
        <w:rPr>
          <w:sz w:val="28"/>
          <w:szCs w:val="28"/>
          <w:lang w:val="es-ES"/>
        </w:rPr>
        <w:t xml:space="preserve">pretar el contenido y </w:t>
      </w:r>
      <w:r w:rsidRPr="00113298">
        <w:rPr>
          <w:sz w:val="28"/>
          <w:szCs w:val="28"/>
          <w:lang w:val="es-ES"/>
        </w:rPr>
        <w:t xml:space="preserve">el </w:t>
      </w:r>
      <w:r w:rsidRPr="00113298">
        <w:rPr>
          <w:sz w:val="28"/>
          <w:szCs w:val="28"/>
          <w:lang w:val="es-ES"/>
        </w:rPr>
        <w:t xml:space="preserve">alcance de los mandatos constitucionales y </w:t>
      </w:r>
      <w:r w:rsidRPr="00113298">
        <w:rPr>
          <w:sz w:val="28"/>
          <w:szCs w:val="28"/>
          <w:lang w:val="es-ES"/>
        </w:rPr>
        <w:t xml:space="preserve">así, </w:t>
      </w:r>
      <w:r w:rsidRPr="00113298">
        <w:rPr>
          <w:sz w:val="28"/>
          <w:szCs w:val="28"/>
          <w:lang w:val="es-ES"/>
        </w:rPr>
        <w:t>armonizarlos con la normativa interna</w:t>
      </w:r>
      <w:r w:rsidRPr="00113298">
        <w:rPr>
          <w:rStyle w:val="Refdenotaalpie"/>
          <w:sz w:val="28"/>
          <w:szCs w:val="28"/>
          <w:lang w:val="es-ES"/>
        </w:rPr>
        <w:footnoteReference w:id="64"/>
      </w:r>
      <w:r w:rsidRPr="00113298">
        <w:rPr>
          <w:sz w:val="28"/>
          <w:szCs w:val="28"/>
          <w:lang w:val="es-ES"/>
        </w:rPr>
        <w:t>. A su vez, la Corte ha advertido que las normas de derecho internacional incorporadas al bloque de constitucionalidad, ya sea en sentido estrict</w:t>
      </w:r>
      <w:r w:rsidRPr="00113298">
        <w:rPr>
          <w:sz w:val="28"/>
          <w:szCs w:val="28"/>
          <w:lang w:val="es-ES"/>
        </w:rPr>
        <w:t>o o amplio, sirven para interpretar la Constitución y determinar si una ley en particular se ajusta al texto superior.</w:t>
      </w:r>
    </w:p>
    <w:p w:rsidR="00E14F45" w:rsidRPr="00113298" w:rsidRDefault="00113298" w:rsidP="00E14F45">
      <w:pPr>
        <w:pStyle w:val="Prrafodelista"/>
        <w:rPr>
          <w:sz w:val="28"/>
          <w:szCs w:val="28"/>
          <w:lang w:val="es-ES"/>
        </w:rPr>
      </w:pPr>
    </w:p>
    <w:p w:rsidR="00E14F45" w:rsidRPr="00113298" w:rsidRDefault="00113298" w:rsidP="00E14F45">
      <w:pPr>
        <w:pStyle w:val="Prrafodelista"/>
        <w:numPr>
          <w:ilvl w:val="0"/>
          <w:numId w:val="5"/>
        </w:numPr>
        <w:ind w:right="49"/>
        <w:rPr>
          <w:sz w:val="28"/>
          <w:szCs w:val="28"/>
          <w:lang w:val="es-ES"/>
        </w:rPr>
      </w:pPr>
      <w:r w:rsidRPr="00113298">
        <w:rPr>
          <w:sz w:val="28"/>
          <w:szCs w:val="28"/>
          <w:lang w:val="es-ES"/>
        </w:rPr>
        <w:t>E</w:t>
      </w:r>
      <w:r w:rsidRPr="00113298">
        <w:rPr>
          <w:sz w:val="28"/>
          <w:szCs w:val="28"/>
          <w:lang w:val="es-ES"/>
        </w:rPr>
        <w:t>l artículo 3</w:t>
      </w:r>
      <w:r w:rsidRPr="00113298">
        <w:rPr>
          <w:sz w:val="28"/>
          <w:szCs w:val="28"/>
          <w:lang w:val="es-ES"/>
        </w:rPr>
        <w:t xml:space="preserve"> común de los Convenios de Ginebra</w:t>
      </w:r>
      <w:r w:rsidRPr="00113298">
        <w:rPr>
          <w:sz w:val="28"/>
          <w:szCs w:val="28"/>
          <w:lang w:val="es-ES"/>
        </w:rPr>
        <w:t xml:space="preserve"> establece que las partes en conflicto deben respetar, </w:t>
      </w:r>
      <w:r w:rsidRPr="00113298">
        <w:rPr>
          <w:b/>
          <w:bCs/>
          <w:i/>
          <w:iCs/>
          <w:sz w:val="28"/>
          <w:szCs w:val="28"/>
          <w:lang w:val="es-ES"/>
        </w:rPr>
        <w:t>como mínimo</w:t>
      </w:r>
      <w:r w:rsidRPr="00113298">
        <w:rPr>
          <w:sz w:val="28"/>
          <w:szCs w:val="28"/>
          <w:lang w:val="es-ES"/>
        </w:rPr>
        <w:t>, el trato con humanida</w:t>
      </w:r>
      <w:r w:rsidRPr="00113298">
        <w:rPr>
          <w:sz w:val="28"/>
          <w:szCs w:val="28"/>
          <w:lang w:val="es-ES"/>
        </w:rPr>
        <w:t>d a las personas que no participen directamente en las hostilidades, incluidos los miembros de las fuerzas armadas que hayan depuesto las armas y las personas puestas fuera de combate por enfermedad, herida, detención o por cualquier otra causa. En tal sen</w:t>
      </w:r>
      <w:r w:rsidRPr="00113298">
        <w:rPr>
          <w:sz w:val="28"/>
          <w:szCs w:val="28"/>
          <w:lang w:val="es-ES"/>
        </w:rPr>
        <w:t>tido, la norma prohíbe que contra estas personas se cometan, entre otros atentados, aquellos contra la dignidad personal, especialmente los tratos humillantes y degradantes.</w:t>
      </w:r>
    </w:p>
    <w:p w:rsidR="00E14F45" w:rsidRPr="00113298" w:rsidRDefault="00113298" w:rsidP="00E14F45">
      <w:pPr>
        <w:pStyle w:val="Prrafodelista"/>
        <w:rPr>
          <w:sz w:val="28"/>
          <w:szCs w:val="28"/>
          <w:lang w:val="es-ES"/>
        </w:rPr>
      </w:pPr>
    </w:p>
    <w:p w:rsidR="008678E3" w:rsidRPr="00113298" w:rsidRDefault="00113298" w:rsidP="00E14F45">
      <w:pPr>
        <w:pStyle w:val="Prrafodelista"/>
        <w:numPr>
          <w:ilvl w:val="0"/>
          <w:numId w:val="5"/>
        </w:numPr>
        <w:ind w:right="49"/>
        <w:rPr>
          <w:sz w:val="28"/>
          <w:szCs w:val="28"/>
          <w:lang w:val="es-ES"/>
        </w:rPr>
      </w:pPr>
      <w:r w:rsidRPr="00113298">
        <w:rPr>
          <w:sz w:val="28"/>
          <w:szCs w:val="28"/>
          <w:lang w:val="es-ES"/>
        </w:rPr>
        <w:t>Por su parte, el Estatuto de Roma concibe como delitos de lesa humanidad y de gue</w:t>
      </w:r>
      <w:r w:rsidRPr="00113298">
        <w:rPr>
          <w:sz w:val="28"/>
          <w:szCs w:val="28"/>
          <w:lang w:val="es-ES"/>
        </w:rPr>
        <w:t>rra: la esclavitud sexual, la prostitución forzada, el embarazo forzado, la esterilización forzada o cualquier otra forma de violencia sexual en contra de las personas aludidas en los convenios de Ginebra (heridos, enfermos y náufragos de las fuerzas armad</w:t>
      </w:r>
      <w:r w:rsidRPr="00113298">
        <w:rPr>
          <w:sz w:val="28"/>
          <w:szCs w:val="28"/>
          <w:lang w:val="es-ES"/>
        </w:rPr>
        <w:t xml:space="preserve">as en campaña; prisioneros de guerra, la población civil y las personas puestas fuera de combate). </w:t>
      </w:r>
    </w:p>
    <w:p w:rsidR="008678E3" w:rsidRPr="00113298" w:rsidRDefault="00113298" w:rsidP="008678E3">
      <w:pPr>
        <w:pStyle w:val="Prrafodelista"/>
        <w:rPr>
          <w:sz w:val="28"/>
          <w:szCs w:val="28"/>
          <w:lang w:val="es-ES"/>
        </w:rPr>
      </w:pPr>
    </w:p>
    <w:p w:rsidR="00E14F45" w:rsidRPr="00113298" w:rsidRDefault="00113298" w:rsidP="00E14F45">
      <w:pPr>
        <w:pStyle w:val="Prrafodelista"/>
        <w:numPr>
          <w:ilvl w:val="0"/>
          <w:numId w:val="5"/>
        </w:numPr>
        <w:ind w:right="49"/>
        <w:rPr>
          <w:sz w:val="28"/>
          <w:szCs w:val="28"/>
          <w:lang w:val="es-ES"/>
        </w:rPr>
      </w:pPr>
      <w:r w:rsidRPr="00113298">
        <w:rPr>
          <w:sz w:val="28"/>
          <w:szCs w:val="28"/>
          <w:lang w:val="es-ES"/>
        </w:rPr>
        <w:t>Esa normativa permite comprender que, incluso las personas combatientes, cuando son sometidas a una agresión sexual, también son puestas por fuera del comb</w:t>
      </w:r>
      <w:r w:rsidRPr="00113298">
        <w:rPr>
          <w:sz w:val="28"/>
          <w:szCs w:val="28"/>
          <w:lang w:val="es-ES"/>
        </w:rPr>
        <w:t>ate. Lo anterior porque, mientras ocurre el vejamen, no tienen posibilidad alguna de participar en las hostilidades, en la defensa de su grupo o en ataques contra el enemigo u otras poblaciones. De este modo, puede concluirse que dicha agresión es una de e</w:t>
      </w:r>
      <w:r w:rsidRPr="00113298">
        <w:rPr>
          <w:sz w:val="28"/>
          <w:szCs w:val="28"/>
          <w:lang w:val="es-ES"/>
        </w:rPr>
        <w:t>sas otras causas previstas en el artículo 3 común a los Convenios de Ginebra, al cual remite el numeral 8 del artículo 135 d</w:t>
      </w:r>
      <w:r w:rsidRPr="00113298">
        <w:rPr>
          <w:sz w:val="28"/>
          <w:szCs w:val="28"/>
          <w:lang w:val="es-ES"/>
        </w:rPr>
        <w:t>e la Ley 599 de 2000</w:t>
      </w:r>
      <w:r w:rsidRPr="00113298">
        <w:rPr>
          <w:sz w:val="28"/>
          <w:szCs w:val="28"/>
          <w:lang w:val="es-ES"/>
        </w:rPr>
        <w:t xml:space="preserve">. Por lo tanto, el margen de protección de </w:t>
      </w:r>
      <w:r w:rsidRPr="00113298">
        <w:rPr>
          <w:sz w:val="28"/>
          <w:szCs w:val="28"/>
          <w:lang w:val="es-ES"/>
        </w:rPr>
        <w:t>dicha disposición</w:t>
      </w:r>
      <w:r w:rsidRPr="00113298">
        <w:rPr>
          <w:sz w:val="28"/>
          <w:szCs w:val="28"/>
          <w:lang w:val="es-ES"/>
        </w:rPr>
        <w:t>, así como del Estatuto de Roma, abarca a quienes ha</w:t>
      </w:r>
      <w:r w:rsidRPr="00113298">
        <w:rPr>
          <w:sz w:val="28"/>
          <w:szCs w:val="28"/>
          <w:lang w:val="es-ES"/>
        </w:rPr>
        <w:t>cen parte de las filas.</w:t>
      </w:r>
    </w:p>
    <w:p w:rsidR="00312341" w:rsidRPr="00113298" w:rsidRDefault="00113298" w:rsidP="00312341">
      <w:pPr>
        <w:pStyle w:val="Prrafodelista"/>
        <w:ind w:left="0" w:right="49"/>
        <w:rPr>
          <w:sz w:val="28"/>
          <w:szCs w:val="28"/>
          <w:lang w:val="es-ES"/>
        </w:rPr>
      </w:pPr>
    </w:p>
    <w:p w:rsidR="00312341" w:rsidRPr="00113298" w:rsidRDefault="00113298" w:rsidP="00E14F45">
      <w:pPr>
        <w:pStyle w:val="Prrafodelista"/>
        <w:numPr>
          <w:ilvl w:val="0"/>
          <w:numId w:val="5"/>
        </w:numPr>
        <w:ind w:right="49"/>
        <w:rPr>
          <w:sz w:val="28"/>
          <w:szCs w:val="28"/>
          <w:lang w:val="es-ES"/>
        </w:rPr>
      </w:pPr>
      <w:r w:rsidRPr="00113298">
        <w:rPr>
          <w:sz w:val="28"/>
          <w:szCs w:val="28"/>
          <w:lang w:val="es-ES"/>
        </w:rPr>
        <w:t xml:space="preserve">En conclusión, aunque reconozco que la presente demanda de inconstitucionalidad tenía algunas deficiencias argumentativas, considero que a través de la aplicación del principio </w:t>
      </w:r>
      <w:r w:rsidRPr="00113298">
        <w:rPr>
          <w:i/>
          <w:iCs/>
          <w:sz w:val="28"/>
          <w:szCs w:val="28"/>
          <w:lang w:val="es-ES"/>
        </w:rPr>
        <w:t xml:space="preserve">pro actione </w:t>
      </w:r>
      <w:r w:rsidRPr="00113298">
        <w:rPr>
          <w:sz w:val="28"/>
          <w:szCs w:val="28"/>
          <w:lang w:val="es-ES"/>
        </w:rPr>
        <w:t xml:space="preserve">la Sala Plena pudo comprender mínimamente el contenido de la acusación y como consecuencia, declarar la exequibilidad condicionada de la </w:t>
      </w:r>
      <w:r w:rsidRPr="00113298">
        <w:rPr>
          <w:sz w:val="28"/>
          <w:szCs w:val="28"/>
          <w:lang w:val="es-ES"/>
        </w:rPr>
        <w:t>norma demandada</w:t>
      </w:r>
      <w:r w:rsidRPr="00113298">
        <w:rPr>
          <w:sz w:val="28"/>
          <w:szCs w:val="28"/>
          <w:lang w:val="es-ES"/>
        </w:rPr>
        <w:t xml:space="preserve"> en los términos esbozados líneas arriba</w:t>
      </w:r>
      <w:r w:rsidRPr="00113298">
        <w:rPr>
          <w:sz w:val="28"/>
          <w:szCs w:val="28"/>
          <w:lang w:val="es-ES"/>
        </w:rPr>
        <w:t>.</w:t>
      </w:r>
      <w:r w:rsidRPr="00113298">
        <w:rPr>
          <w:sz w:val="28"/>
          <w:szCs w:val="28"/>
          <w:lang w:val="es-ES"/>
        </w:rPr>
        <w:t xml:space="preserve"> </w:t>
      </w:r>
    </w:p>
    <w:p w:rsidR="00412444" w:rsidRPr="00113298" w:rsidRDefault="00113298" w:rsidP="00FB0F86">
      <w:pPr>
        <w:pStyle w:val="Prrafodelista"/>
        <w:spacing w:before="0"/>
        <w:ind w:left="0" w:right="49"/>
        <w:rPr>
          <w:i/>
          <w:iCs/>
          <w:sz w:val="28"/>
          <w:szCs w:val="28"/>
        </w:rPr>
      </w:pPr>
    </w:p>
    <w:p w:rsidR="00E05879" w:rsidRPr="00113298" w:rsidRDefault="00113298" w:rsidP="009E02C8">
      <w:pPr>
        <w:pStyle w:val="Prrafodelista"/>
        <w:spacing w:before="0"/>
        <w:ind w:left="0" w:right="49"/>
        <w:rPr>
          <w:i/>
          <w:iCs/>
          <w:sz w:val="28"/>
          <w:szCs w:val="28"/>
        </w:rPr>
      </w:pPr>
      <w:r w:rsidRPr="00113298">
        <w:rPr>
          <w:i/>
          <w:iCs/>
          <w:sz w:val="28"/>
          <w:szCs w:val="28"/>
        </w:rPr>
        <w:t>Fecha ut supr</w:t>
      </w:r>
      <w:r w:rsidRPr="00113298">
        <w:rPr>
          <w:i/>
          <w:iCs/>
          <w:sz w:val="28"/>
          <w:szCs w:val="28"/>
        </w:rPr>
        <w:t>a</w:t>
      </w:r>
      <w:r w:rsidRPr="00113298">
        <w:rPr>
          <w:i/>
          <w:iCs/>
          <w:sz w:val="28"/>
          <w:szCs w:val="28"/>
        </w:rPr>
        <w:t>,</w:t>
      </w:r>
    </w:p>
    <w:p w:rsidR="0059335A" w:rsidRPr="00113298" w:rsidRDefault="00113298" w:rsidP="009E02C8">
      <w:pPr>
        <w:pStyle w:val="Prrafodelista"/>
        <w:spacing w:before="0"/>
        <w:ind w:left="0" w:right="49"/>
        <w:rPr>
          <w:b/>
          <w:bCs/>
          <w:sz w:val="28"/>
          <w:szCs w:val="28"/>
        </w:rPr>
      </w:pPr>
    </w:p>
    <w:p w:rsidR="00BC1030" w:rsidRPr="00113298" w:rsidRDefault="00113298" w:rsidP="009E02C8">
      <w:pPr>
        <w:pStyle w:val="Prrafodelista"/>
        <w:spacing w:before="0"/>
        <w:ind w:left="0" w:right="49"/>
        <w:rPr>
          <w:b/>
          <w:bCs/>
          <w:sz w:val="28"/>
          <w:szCs w:val="28"/>
        </w:rPr>
      </w:pPr>
    </w:p>
    <w:p w:rsidR="0059335A" w:rsidRPr="00113298" w:rsidRDefault="00113298" w:rsidP="0059335A">
      <w:pPr>
        <w:pStyle w:val="Prrafodelista"/>
        <w:spacing w:before="0"/>
        <w:ind w:left="0" w:right="49"/>
        <w:jc w:val="center"/>
        <w:rPr>
          <w:b/>
          <w:sz w:val="28"/>
          <w:szCs w:val="28"/>
        </w:rPr>
      </w:pPr>
      <w:r w:rsidRPr="00113298">
        <w:rPr>
          <w:b/>
          <w:sz w:val="28"/>
          <w:szCs w:val="28"/>
        </w:rPr>
        <w:t>CARLOS CAMARGO ASSIS</w:t>
      </w:r>
    </w:p>
    <w:p w:rsidR="0059335A" w:rsidRPr="00113298" w:rsidRDefault="00113298" w:rsidP="0059335A">
      <w:pPr>
        <w:pStyle w:val="Prrafodelista"/>
        <w:spacing w:before="0"/>
        <w:ind w:left="0" w:right="49"/>
        <w:jc w:val="center"/>
        <w:rPr>
          <w:b/>
          <w:sz w:val="28"/>
          <w:szCs w:val="28"/>
        </w:rPr>
      </w:pPr>
      <w:r w:rsidRPr="00113298">
        <w:rPr>
          <w:b/>
          <w:sz w:val="28"/>
          <w:szCs w:val="28"/>
        </w:rPr>
        <w:t>Magistrado</w:t>
      </w:r>
    </w:p>
    <w:p w:rsidR="001C1A2B" w:rsidRPr="00113298" w:rsidRDefault="00113298" w:rsidP="00F56643">
      <w:pPr>
        <w:shd w:val="clear" w:color="auto" w:fill="FFFFFF"/>
        <w:spacing w:line="293" w:lineRule="atLeast"/>
        <w:jc w:val="center"/>
        <w:textAlignment w:val="baseline"/>
        <w:rPr>
          <w:rFonts w:ascii="Times New Roman" w:eastAsia="Times New Roman" w:hAnsi="Times New Roman" w:cs="Times New Roman"/>
          <w:b/>
          <w:bCs/>
          <w:sz w:val="28"/>
          <w:szCs w:val="28"/>
          <w:bdr w:val="none" w:sz="0" w:space="0" w:color="auto" w:frame="1"/>
          <w:lang w:val="es-ES" w:eastAsia="es-ES_tradnl"/>
        </w:rPr>
      </w:pPr>
    </w:p>
    <w:p w:rsidR="001C1A2B" w:rsidRPr="00113298" w:rsidRDefault="00113298" w:rsidP="00F56643">
      <w:pPr>
        <w:shd w:val="clear" w:color="auto" w:fill="FFFFFF"/>
        <w:spacing w:line="293" w:lineRule="atLeast"/>
        <w:jc w:val="center"/>
        <w:textAlignment w:val="baseline"/>
        <w:rPr>
          <w:rFonts w:ascii="Times New Roman" w:eastAsia="Times New Roman" w:hAnsi="Times New Roman" w:cs="Times New Roman"/>
          <w:b/>
          <w:bCs/>
          <w:sz w:val="28"/>
          <w:szCs w:val="28"/>
          <w:bdr w:val="none" w:sz="0" w:space="0" w:color="auto" w:frame="1"/>
          <w:lang w:val="es-ES" w:eastAsia="es-ES_tradnl"/>
        </w:rPr>
      </w:pPr>
    </w:p>
    <w:p w:rsidR="00C76EFC" w:rsidRPr="00113298" w:rsidRDefault="00113298" w:rsidP="00F56643">
      <w:pPr>
        <w:shd w:val="clear" w:color="auto" w:fill="FFFFFF"/>
        <w:spacing w:line="293" w:lineRule="atLeast"/>
        <w:jc w:val="center"/>
        <w:textAlignment w:val="baseline"/>
        <w:rPr>
          <w:rFonts w:ascii="Times New Roman" w:eastAsia="Times New Roman" w:hAnsi="Times New Roman" w:cs="Times New Roman"/>
          <w:b/>
          <w:bCs/>
          <w:sz w:val="28"/>
          <w:szCs w:val="28"/>
          <w:bdr w:val="none" w:sz="0" w:space="0" w:color="auto" w:frame="1"/>
          <w:lang w:val="es-ES" w:eastAsia="es-ES_tradnl"/>
        </w:rPr>
      </w:pPr>
      <w:r w:rsidRPr="00113298">
        <w:rPr>
          <w:rFonts w:ascii="Times New Roman" w:eastAsia="Times New Roman" w:hAnsi="Times New Roman" w:cs="Times New Roman"/>
          <w:b/>
          <w:bCs/>
          <w:sz w:val="28"/>
          <w:szCs w:val="28"/>
          <w:bdr w:val="none" w:sz="0" w:space="0" w:color="auto" w:frame="1"/>
          <w:lang w:val="es-ES" w:eastAsia="es-ES_tradnl"/>
        </w:rPr>
        <w:t>SALVAMENTO</w:t>
      </w:r>
      <w:r w:rsidRPr="00113298">
        <w:rPr>
          <w:rFonts w:ascii="Times New Roman" w:eastAsia="Times New Roman" w:hAnsi="Times New Roman" w:cs="Times New Roman"/>
          <w:b/>
          <w:bCs/>
          <w:sz w:val="28"/>
          <w:szCs w:val="28"/>
          <w:bdr w:val="none" w:sz="0" w:space="0" w:color="auto" w:frame="1"/>
          <w:lang w:val="es-ES" w:eastAsia="es-ES_tradnl"/>
        </w:rPr>
        <w:t xml:space="preserve"> </w:t>
      </w:r>
      <w:r w:rsidRPr="00113298">
        <w:rPr>
          <w:rFonts w:ascii="Times New Roman" w:eastAsia="Times New Roman" w:hAnsi="Times New Roman" w:cs="Times New Roman"/>
          <w:b/>
          <w:bCs/>
          <w:sz w:val="28"/>
          <w:szCs w:val="28"/>
          <w:bdr w:val="none" w:sz="0" w:space="0" w:color="auto" w:frame="1"/>
          <w:lang w:val="es-ES" w:eastAsia="es-ES_tradnl"/>
        </w:rPr>
        <w:t>D</w:t>
      </w:r>
      <w:r w:rsidRPr="00113298">
        <w:rPr>
          <w:rFonts w:ascii="Times New Roman" w:eastAsia="Times New Roman" w:hAnsi="Times New Roman" w:cs="Times New Roman"/>
          <w:b/>
          <w:bCs/>
          <w:sz w:val="28"/>
          <w:szCs w:val="28"/>
          <w:bdr w:val="none" w:sz="0" w:space="0" w:color="auto" w:frame="1"/>
          <w:lang w:val="es-ES" w:eastAsia="es-ES_tradnl"/>
        </w:rPr>
        <w:t>E VOTO DEL MAGISTRADO</w:t>
      </w:r>
    </w:p>
    <w:p w:rsidR="00C76EFC" w:rsidRPr="00113298" w:rsidRDefault="00113298" w:rsidP="00F56643">
      <w:pPr>
        <w:shd w:val="clear" w:color="auto" w:fill="FFFFFF"/>
        <w:spacing w:line="293" w:lineRule="atLeast"/>
        <w:jc w:val="center"/>
        <w:textAlignment w:val="baseline"/>
        <w:rPr>
          <w:rFonts w:ascii="Times New Roman" w:eastAsia="Times New Roman" w:hAnsi="Times New Roman" w:cs="Times New Roman"/>
          <w:b/>
          <w:bCs/>
          <w:sz w:val="28"/>
          <w:szCs w:val="28"/>
          <w:bdr w:val="none" w:sz="0" w:space="0" w:color="auto" w:frame="1"/>
          <w:lang w:val="es-ES" w:eastAsia="es-ES_tradnl"/>
        </w:rPr>
      </w:pPr>
      <w:r w:rsidRPr="00113298">
        <w:rPr>
          <w:rFonts w:ascii="Times New Roman" w:eastAsia="Times New Roman" w:hAnsi="Times New Roman" w:cs="Times New Roman"/>
          <w:b/>
          <w:bCs/>
          <w:sz w:val="28"/>
          <w:szCs w:val="28"/>
          <w:bdr w:val="none" w:sz="0" w:space="0" w:color="auto" w:frame="1"/>
          <w:lang w:val="es-ES" w:eastAsia="es-ES_tradnl"/>
        </w:rPr>
        <w:t xml:space="preserve"> </w:t>
      </w:r>
      <w:r w:rsidRPr="00113298">
        <w:rPr>
          <w:rFonts w:ascii="Times New Roman" w:eastAsia="Times New Roman" w:hAnsi="Times New Roman" w:cs="Times New Roman"/>
          <w:b/>
          <w:bCs/>
          <w:sz w:val="28"/>
          <w:szCs w:val="28"/>
          <w:bdr w:val="none" w:sz="0" w:space="0" w:color="auto" w:frame="1"/>
          <w:lang w:val="es-ES" w:eastAsia="es-ES_tradnl"/>
        </w:rPr>
        <w:t>JORGE ENRIQUE IBÁÑEZ NAJAR</w:t>
      </w:r>
    </w:p>
    <w:p w:rsidR="00F56643" w:rsidRPr="00113298" w:rsidRDefault="00113298" w:rsidP="00F56643">
      <w:pPr>
        <w:shd w:val="clear" w:color="auto" w:fill="FFFFFF"/>
        <w:spacing w:line="293" w:lineRule="atLeast"/>
        <w:jc w:val="center"/>
        <w:textAlignment w:val="baseline"/>
        <w:rPr>
          <w:rFonts w:ascii="Times New Roman" w:eastAsia="Times New Roman" w:hAnsi="Times New Roman" w:cs="Times New Roman"/>
          <w:sz w:val="28"/>
          <w:szCs w:val="24"/>
          <w:lang w:val="es-ES" w:eastAsia="es-ES_tradnl"/>
        </w:rPr>
      </w:pPr>
      <w:r w:rsidRPr="00113298">
        <w:rPr>
          <w:rFonts w:ascii="Times New Roman" w:eastAsia="Times New Roman" w:hAnsi="Times New Roman" w:cs="Times New Roman"/>
          <w:b/>
          <w:bCs/>
          <w:sz w:val="28"/>
          <w:szCs w:val="28"/>
          <w:bdr w:val="none" w:sz="0" w:space="0" w:color="auto" w:frame="1"/>
          <w:lang w:val="es-ES" w:eastAsia="es-ES_tradnl"/>
        </w:rPr>
        <w:t xml:space="preserve"> </w:t>
      </w:r>
      <w:r w:rsidRPr="00113298">
        <w:rPr>
          <w:rFonts w:ascii="Times New Roman" w:eastAsia="Times New Roman" w:hAnsi="Times New Roman" w:cs="Times New Roman"/>
          <w:b/>
          <w:bCs/>
          <w:sz w:val="28"/>
          <w:szCs w:val="28"/>
          <w:bdr w:val="none" w:sz="0" w:space="0" w:color="auto" w:frame="1"/>
          <w:lang w:val="es-ES" w:eastAsia="es-ES_tradnl"/>
        </w:rPr>
        <w:t xml:space="preserve">A LA SENTENCIA </w:t>
      </w:r>
      <w:r w:rsidRPr="00113298">
        <w:rPr>
          <w:rFonts w:ascii="Times New Roman" w:eastAsia="Times New Roman" w:hAnsi="Times New Roman" w:cs="Times New Roman"/>
          <w:b/>
          <w:bCs/>
          <w:sz w:val="28"/>
          <w:szCs w:val="28"/>
          <w:bdr w:val="none" w:sz="0" w:space="0" w:color="auto" w:frame="1"/>
          <w:lang w:val="es-ES" w:eastAsia="es-ES_tradnl"/>
        </w:rPr>
        <w:t>C-</w:t>
      </w:r>
      <w:r w:rsidRPr="00113298">
        <w:rPr>
          <w:rFonts w:ascii="Times New Roman" w:eastAsia="Times New Roman" w:hAnsi="Times New Roman" w:cs="Times New Roman"/>
          <w:b/>
          <w:bCs/>
          <w:sz w:val="28"/>
          <w:szCs w:val="28"/>
          <w:bdr w:val="none" w:sz="0" w:space="0" w:color="auto" w:frame="1"/>
          <w:lang w:val="es-ES" w:eastAsia="es-ES_tradnl"/>
        </w:rPr>
        <w:t>0</w:t>
      </w:r>
      <w:r w:rsidRPr="00113298">
        <w:rPr>
          <w:rFonts w:ascii="Times New Roman" w:eastAsia="Times New Roman" w:hAnsi="Times New Roman" w:cs="Times New Roman"/>
          <w:b/>
          <w:bCs/>
          <w:sz w:val="28"/>
          <w:szCs w:val="28"/>
          <w:bdr w:val="none" w:sz="0" w:space="0" w:color="auto" w:frame="1"/>
          <w:lang w:val="es-ES" w:eastAsia="es-ES_tradnl"/>
        </w:rPr>
        <w:t>74</w:t>
      </w:r>
      <w:r w:rsidRPr="00113298">
        <w:rPr>
          <w:rFonts w:ascii="Times New Roman" w:eastAsia="Times New Roman" w:hAnsi="Times New Roman" w:cs="Times New Roman"/>
          <w:b/>
          <w:bCs/>
          <w:sz w:val="28"/>
          <w:szCs w:val="28"/>
          <w:bdr w:val="none" w:sz="0" w:space="0" w:color="auto" w:frame="1"/>
          <w:lang w:val="es-ES" w:eastAsia="es-ES_tradnl"/>
        </w:rPr>
        <w:t>/</w:t>
      </w:r>
      <w:r w:rsidRPr="00113298">
        <w:rPr>
          <w:rFonts w:ascii="Times New Roman" w:eastAsia="Times New Roman" w:hAnsi="Times New Roman" w:cs="Times New Roman"/>
          <w:b/>
          <w:bCs/>
          <w:sz w:val="28"/>
          <w:szCs w:val="28"/>
          <w:bdr w:val="none" w:sz="0" w:space="0" w:color="auto" w:frame="1"/>
          <w:lang w:val="es-ES" w:eastAsia="es-ES_tradnl"/>
        </w:rPr>
        <w:t>2</w:t>
      </w:r>
      <w:r w:rsidRPr="00113298">
        <w:rPr>
          <w:rFonts w:ascii="Times New Roman" w:eastAsia="Times New Roman" w:hAnsi="Times New Roman" w:cs="Times New Roman"/>
          <w:b/>
          <w:bCs/>
          <w:sz w:val="28"/>
          <w:szCs w:val="28"/>
          <w:bdr w:val="none" w:sz="0" w:space="0" w:color="auto" w:frame="1"/>
          <w:lang w:val="es-ES" w:eastAsia="es-ES_tradnl"/>
        </w:rPr>
        <w:t>6</w:t>
      </w:r>
    </w:p>
    <w:p w:rsidR="00F56643" w:rsidRPr="00113298" w:rsidRDefault="00113298" w:rsidP="00F56643">
      <w:pPr>
        <w:shd w:val="clear" w:color="auto" w:fill="FFFFFF"/>
        <w:spacing w:line="293" w:lineRule="atLeast"/>
        <w:ind w:left="3969"/>
        <w:textAlignment w:val="baseline"/>
        <w:rPr>
          <w:rFonts w:ascii="Times New Roman" w:eastAsia="Times New Roman" w:hAnsi="Times New Roman" w:cs="Times New Roman"/>
          <w:sz w:val="28"/>
          <w:szCs w:val="28"/>
          <w:bdr w:val="none" w:sz="0" w:space="0" w:color="auto" w:frame="1"/>
          <w:lang w:val="es-ES" w:eastAsia="es-ES_tradnl"/>
        </w:rPr>
      </w:pPr>
      <w:r w:rsidRPr="00113298">
        <w:rPr>
          <w:rFonts w:ascii="Times New Roman" w:eastAsia="Times New Roman" w:hAnsi="Times New Roman" w:cs="Times New Roman"/>
          <w:sz w:val="28"/>
          <w:szCs w:val="28"/>
          <w:bdr w:val="none" w:sz="0" w:space="0" w:color="auto" w:frame="1"/>
          <w:lang w:val="es-ES" w:eastAsia="es-ES_tradnl"/>
        </w:rPr>
        <w:t> </w:t>
      </w:r>
    </w:p>
    <w:p w:rsidR="00C76EFC" w:rsidRPr="00113298" w:rsidRDefault="00113298" w:rsidP="00F56643">
      <w:pPr>
        <w:shd w:val="clear" w:color="auto" w:fill="FFFFFF"/>
        <w:spacing w:line="293" w:lineRule="atLeast"/>
        <w:ind w:left="3969"/>
        <w:textAlignment w:val="baseline"/>
        <w:rPr>
          <w:rFonts w:ascii="Times New Roman" w:eastAsia="Times New Roman" w:hAnsi="Times New Roman" w:cs="Times New Roman"/>
          <w:sz w:val="28"/>
          <w:szCs w:val="28"/>
          <w:bdr w:val="none" w:sz="0" w:space="0" w:color="auto" w:frame="1"/>
          <w:lang w:val="es-ES" w:eastAsia="es-ES_tradnl"/>
        </w:rPr>
      </w:pPr>
    </w:p>
    <w:p w:rsidR="0065786E" w:rsidRPr="00113298" w:rsidRDefault="00113298" w:rsidP="00D543A4">
      <w:pPr>
        <w:overflowPunct w:val="0"/>
        <w:autoSpaceDE w:val="0"/>
        <w:autoSpaceDN w:val="0"/>
        <w:adjustRightInd w:val="0"/>
        <w:ind w:left="2832" w:firstLine="708"/>
        <w:contextualSpacing/>
        <w:textAlignment w:val="baseline"/>
        <w:outlineLvl w:val="0"/>
        <w:rPr>
          <w:rFonts w:ascii="Times New Roman" w:eastAsia="Calibri" w:hAnsi="Times New Roman" w:cs="Times New Roman"/>
          <w:sz w:val="28"/>
          <w:szCs w:val="28"/>
          <w:lang w:val="es-ES_tradnl" w:eastAsia="es-ES"/>
        </w:rPr>
      </w:pPr>
      <w:r w:rsidRPr="00113298">
        <w:rPr>
          <w:rFonts w:ascii="Times New Roman" w:eastAsia="Times New Roman" w:hAnsi="Times New Roman" w:cs="Times New Roman"/>
          <w:sz w:val="28"/>
          <w:szCs w:val="28"/>
          <w:lang w:val="es-ES" w:eastAsia="es-ES"/>
        </w:rPr>
        <w:t xml:space="preserve">Expediente: </w:t>
      </w:r>
      <w:r w:rsidRPr="00113298">
        <w:rPr>
          <w:rFonts w:ascii="Times New Roman" w:eastAsia="Calibri" w:hAnsi="Times New Roman" w:cs="Times New Roman"/>
          <w:sz w:val="28"/>
          <w:szCs w:val="28"/>
          <w:lang w:val="es-ES_tradnl" w:eastAsia="es-ES"/>
        </w:rPr>
        <w:t>D-1</w:t>
      </w:r>
      <w:r w:rsidRPr="00113298">
        <w:rPr>
          <w:rFonts w:ascii="Times New Roman" w:eastAsia="Calibri" w:hAnsi="Times New Roman" w:cs="Times New Roman"/>
          <w:sz w:val="28"/>
          <w:szCs w:val="28"/>
          <w:lang w:val="es-ES_tradnl" w:eastAsia="es-ES"/>
        </w:rPr>
        <w:t>6</w:t>
      </w:r>
      <w:r w:rsidRPr="00113298">
        <w:rPr>
          <w:rFonts w:ascii="Times New Roman" w:eastAsia="Calibri" w:hAnsi="Times New Roman" w:cs="Times New Roman"/>
          <w:sz w:val="28"/>
          <w:szCs w:val="28"/>
          <w:lang w:val="es-ES_tradnl" w:eastAsia="es-ES"/>
        </w:rPr>
        <w:t>.</w:t>
      </w:r>
      <w:r w:rsidRPr="00113298">
        <w:rPr>
          <w:rFonts w:ascii="Times New Roman" w:eastAsia="Calibri" w:hAnsi="Times New Roman" w:cs="Times New Roman"/>
          <w:sz w:val="28"/>
          <w:szCs w:val="28"/>
          <w:lang w:val="es-ES_tradnl" w:eastAsia="es-ES"/>
        </w:rPr>
        <w:t>296</w:t>
      </w:r>
    </w:p>
    <w:p w:rsidR="0065786E" w:rsidRPr="00113298" w:rsidRDefault="00113298" w:rsidP="0065786E">
      <w:pPr>
        <w:contextualSpacing/>
        <w:rPr>
          <w:rFonts w:ascii="Times New Roman" w:eastAsia="Calibri" w:hAnsi="Times New Roman" w:cs="Times New Roman"/>
          <w:sz w:val="28"/>
          <w:szCs w:val="28"/>
          <w:lang w:val="es-ES_tradnl" w:eastAsia="es-ES"/>
        </w:rPr>
      </w:pPr>
    </w:p>
    <w:p w:rsidR="00720AC8" w:rsidRPr="00113298" w:rsidRDefault="00113298" w:rsidP="00D543A4">
      <w:pPr>
        <w:kinsoku w:val="0"/>
        <w:overflowPunct w:val="0"/>
        <w:autoSpaceDE w:val="0"/>
        <w:autoSpaceDN w:val="0"/>
        <w:adjustRightInd w:val="0"/>
        <w:spacing w:before="4"/>
        <w:ind w:left="3540" w:right="49"/>
        <w:rPr>
          <w:rFonts w:ascii="Times New Roman" w:hAnsi="Times New Roman" w:cs="Times New Roman"/>
          <w:i/>
          <w:iCs/>
          <w:sz w:val="28"/>
          <w:szCs w:val="28"/>
          <w:lang w:val="es-ES"/>
        </w:rPr>
      </w:pPr>
      <w:r w:rsidRPr="00113298">
        <w:rPr>
          <w:rFonts w:ascii="Times New Roman" w:eastAsia="Times New Roman" w:hAnsi="Times New Roman" w:cs="Times New Roman"/>
          <w:sz w:val="28"/>
          <w:szCs w:val="28"/>
          <w:lang w:eastAsia="es-MX"/>
        </w:rPr>
        <w:t xml:space="preserve">Asunto: </w:t>
      </w:r>
      <w:r w:rsidRPr="00113298">
        <w:rPr>
          <w:rFonts w:ascii="Times New Roman" w:hAnsi="Times New Roman" w:cs="Times New Roman"/>
          <w:sz w:val="28"/>
          <w:szCs w:val="28"/>
          <w:lang w:val="es-ES"/>
        </w:rPr>
        <w:t xml:space="preserve">Acción pública de inconstitucionalidad </w:t>
      </w:r>
      <w:bookmarkStart w:id="12" w:name="_Hlk201724362"/>
      <w:r w:rsidRPr="00113298">
        <w:rPr>
          <w:rFonts w:ascii="Times New Roman" w:hAnsi="Times New Roman" w:cs="Times New Roman"/>
          <w:sz w:val="28"/>
          <w:szCs w:val="28"/>
          <w:lang w:val="es-ES"/>
        </w:rPr>
        <w:t xml:space="preserve">en contra de las normas enunciadas en las expresiones: </w:t>
      </w:r>
      <w:r w:rsidRPr="00113298">
        <w:rPr>
          <w:rFonts w:ascii="Times New Roman" w:hAnsi="Times New Roman" w:cs="Times New Roman"/>
          <w:i/>
          <w:iCs/>
          <w:sz w:val="28"/>
          <w:szCs w:val="28"/>
          <w:lang w:val="es-ES"/>
        </w:rPr>
        <w:t>“y las demás normas del presente título”,</w:t>
      </w:r>
      <w:r w:rsidRPr="00113298">
        <w:rPr>
          <w:rFonts w:ascii="Times New Roman" w:hAnsi="Times New Roman" w:cs="Times New Roman"/>
          <w:sz w:val="28"/>
          <w:szCs w:val="28"/>
          <w:lang w:val="es-ES"/>
        </w:rPr>
        <w:t xml:space="preserve"> contenida en el parágrafo del artículo 135, y </w:t>
      </w:r>
      <w:r w:rsidRPr="00113298">
        <w:rPr>
          <w:rFonts w:ascii="Times New Roman" w:hAnsi="Times New Roman" w:cs="Times New Roman"/>
          <w:i/>
          <w:iCs/>
          <w:sz w:val="28"/>
          <w:szCs w:val="28"/>
          <w:lang w:val="es-ES"/>
        </w:rPr>
        <w:t>“persona protegida”,</w:t>
      </w:r>
      <w:r w:rsidRPr="00113298">
        <w:rPr>
          <w:rFonts w:ascii="Times New Roman" w:hAnsi="Times New Roman" w:cs="Times New Roman"/>
          <w:sz w:val="28"/>
          <w:szCs w:val="28"/>
          <w:lang w:val="es-ES"/>
        </w:rPr>
        <w:t xml:space="preserve"> contenida en los artículos 138, 138 A, 139, 139 A, 139 B, 139 C, 139 D, 139 E, 141, 141 A y 141 B de la Ley 599 de 2000, </w:t>
      </w:r>
      <w:r w:rsidRPr="00113298">
        <w:rPr>
          <w:rFonts w:ascii="Times New Roman" w:hAnsi="Times New Roman" w:cs="Times New Roman"/>
          <w:i/>
          <w:iCs/>
          <w:sz w:val="28"/>
          <w:szCs w:val="28"/>
          <w:lang w:val="es-ES"/>
        </w:rPr>
        <w:t>“Por la cual se expide el Código Penal”</w:t>
      </w:r>
      <w:bookmarkEnd w:id="12"/>
      <w:r w:rsidRPr="00113298">
        <w:rPr>
          <w:rFonts w:ascii="Times New Roman" w:hAnsi="Times New Roman" w:cs="Times New Roman"/>
          <w:i/>
          <w:iCs/>
          <w:sz w:val="28"/>
          <w:szCs w:val="28"/>
          <w:lang w:val="es-ES"/>
        </w:rPr>
        <w:t>.</w:t>
      </w:r>
    </w:p>
    <w:p w:rsidR="00720AC8" w:rsidRPr="00113298" w:rsidRDefault="00113298" w:rsidP="00720AC8">
      <w:pPr>
        <w:contextualSpacing/>
        <w:rPr>
          <w:rFonts w:ascii="Times New Roman" w:eastAsia="Times New Roman" w:hAnsi="Times New Roman" w:cs="Times New Roman"/>
          <w:i/>
          <w:iCs/>
          <w:sz w:val="28"/>
          <w:szCs w:val="28"/>
          <w:lang w:val="es-ES" w:eastAsia="es-MX"/>
        </w:rPr>
      </w:pPr>
    </w:p>
    <w:p w:rsidR="00916E0C" w:rsidRPr="00113298" w:rsidRDefault="00113298" w:rsidP="00D543A4">
      <w:pPr>
        <w:ind w:left="2832" w:firstLine="708"/>
        <w:contextualSpacing/>
        <w:rPr>
          <w:rFonts w:ascii="Times New Roman" w:eastAsia="Times New Roman" w:hAnsi="Times New Roman" w:cs="Times New Roman"/>
          <w:sz w:val="28"/>
          <w:szCs w:val="28"/>
          <w:lang w:val="es-ES" w:eastAsia="es-MX"/>
        </w:rPr>
      </w:pPr>
      <w:r w:rsidRPr="00113298">
        <w:rPr>
          <w:rFonts w:ascii="Times New Roman" w:eastAsia="Times New Roman" w:hAnsi="Times New Roman" w:cs="Times New Roman"/>
          <w:sz w:val="28"/>
          <w:szCs w:val="28"/>
          <w:lang w:val="es-ES" w:eastAsia="es-MX"/>
        </w:rPr>
        <w:t xml:space="preserve">Demandante: </w:t>
      </w:r>
      <w:r w:rsidRPr="00113298">
        <w:rPr>
          <w:rFonts w:ascii="Times New Roman" w:eastAsia="Times New Roman" w:hAnsi="Times New Roman" w:cs="Times New Roman"/>
          <w:sz w:val="28"/>
          <w:szCs w:val="28"/>
          <w:lang w:val="es-ES" w:eastAsia="es-MX"/>
        </w:rPr>
        <w:t>Natalia María</w:t>
      </w:r>
      <w:r w:rsidRPr="00113298">
        <w:rPr>
          <w:rFonts w:ascii="Times New Roman" w:eastAsia="Times New Roman" w:hAnsi="Times New Roman" w:cs="Times New Roman"/>
          <w:sz w:val="28"/>
          <w:szCs w:val="28"/>
          <w:lang w:val="es-ES" w:eastAsia="es-MX"/>
        </w:rPr>
        <w:t xml:space="preserve"> Springer.</w:t>
      </w:r>
    </w:p>
    <w:p w:rsidR="00D61041" w:rsidRPr="00113298" w:rsidRDefault="00113298" w:rsidP="00D61041">
      <w:pPr>
        <w:ind w:left="3969"/>
        <w:contextualSpacing/>
        <w:rPr>
          <w:rFonts w:ascii="Times New Roman" w:eastAsia="Times New Roman" w:hAnsi="Times New Roman" w:cs="Times New Roman"/>
          <w:sz w:val="28"/>
          <w:szCs w:val="28"/>
          <w:lang w:val="es-ES" w:eastAsia="es-MX"/>
        </w:rPr>
      </w:pPr>
    </w:p>
    <w:p w:rsidR="00C76EFC" w:rsidRPr="00113298" w:rsidRDefault="00113298" w:rsidP="00D61041">
      <w:pPr>
        <w:ind w:left="3969"/>
        <w:contextualSpacing/>
        <w:rPr>
          <w:rFonts w:ascii="Times New Roman" w:eastAsia="Times New Roman" w:hAnsi="Times New Roman" w:cs="Times New Roman"/>
          <w:sz w:val="28"/>
          <w:szCs w:val="28"/>
          <w:lang w:val="es-ES" w:eastAsia="es-MX"/>
        </w:rPr>
      </w:pPr>
    </w:p>
    <w:p w:rsidR="00D61041" w:rsidRPr="00113298" w:rsidRDefault="00113298" w:rsidP="00D61041">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r w:rsidRPr="00113298">
        <w:rPr>
          <w:rFonts w:ascii="Times New Roman" w:eastAsia="Times New Roman" w:hAnsi="Times New Roman" w:cs="Times New Roman"/>
          <w:bCs/>
          <w:sz w:val="28"/>
          <w:szCs w:val="28"/>
          <w:bdr w:val="none" w:sz="0" w:space="0" w:color="auto" w:frame="1"/>
          <w:lang w:val="es-ES" w:eastAsia="es-ES_tradnl"/>
        </w:rPr>
        <w:t xml:space="preserve">Con el acostumbrado respeto </w:t>
      </w:r>
      <w:r w:rsidRPr="00113298">
        <w:rPr>
          <w:rFonts w:ascii="Times New Roman" w:eastAsia="Times New Roman" w:hAnsi="Times New Roman" w:cs="Times New Roman"/>
          <w:bCs/>
          <w:sz w:val="28"/>
          <w:szCs w:val="28"/>
          <w:bdr w:val="none" w:sz="0" w:space="0" w:color="auto" w:frame="1"/>
          <w:lang w:val="es-ES" w:eastAsia="es-ES_tradnl"/>
        </w:rPr>
        <w:t xml:space="preserve">que profeso </w:t>
      </w:r>
      <w:r w:rsidRPr="00113298">
        <w:rPr>
          <w:rFonts w:ascii="Times New Roman" w:eastAsia="Times New Roman" w:hAnsi="Times New Roman" w:cs="Times New Roman"/>
          <w:bCs/>
          <w:sz w:val="28"/>
          <w:szCs w:val="28"/>
          <w:bdr w:val="none" w:sz="0" w:space="0" w:color="auto" w:frame="1"/>
          <w:lang w:val="es-ES" w:eastAsia="es-ES_tradnl"/>
        </w:rPr>
        <w:t xml:space="preserve">por las decisiones de </w:t>
      </w:r>
      <w:r w:rsidRPr="00113298">
        <w:rPr>
          <w:rFonts w:ascii="Times New Roman" w:eastAsia="Times New Roman" w:hAnsi="Times New Roman" w:cs="Times New Roman"/>
          <w:bCs/>
          <w:sz w:val="28"/>
          <w:szCs w:val="28"/>
          <w:bdr w:val="none" w:sz="0" w:space="0" w:color="auto" w:frame="1"/>
          <w:lang w:val="es-ES" w:eastAsia="es-ES_tradnl"/>
        </w:rPr>
        <w:t>la</w:t>
      </w:r>
      <w:r w:rsidRPr="00113298">
        <w:rPr>
          <w:rFonts w:ascii="Times New Roman" w:eastAsia="Times New Roman" w:hAnsi="Times New Roman" w:cs="Times New Roman"/>
          <w:bCs/>
          <w:sz w:val="28"/>
          <w:szCs w:val="28"/>
          <w:bdr w:val="none" w:sz="0" w:space="0" w:color="auto" w:frame="1"/>
          <w:lang w:val="es-ES" w:eastAsia="es-ES_tradnl"/>
        </w:rPr>
        <w:t xml:space="preserve"> Sala, procedo a </w:t>
      </w:r>
      <w:r w:rsidRPr="00113298">
        <w:rPr>
          <w:rFonts w:ascii="Times New Roman" w:eastAsia="Times New Roman" w:hAnsi="Times New Roman" w:cs="Times New Roman"/>
          <w:bCs/>
          <w:sz w:val="28"/>
          <w:szCs w:val="28"/>
          <w:bdr w:val="none" w:sz="0" w:space="0" w:color="auto" w:frame="1"/>
          <w:lang w:val="es-ES" w:eastAsia="es-ES_tradnl"/>
        </w:rPr>
        <w:t xml:space="preserve">presentar </w:t>
      </w:r>
      <w:r w:rsidRPr="00113298">
        <w:rPr>
          <w:rFonts w:ascii="Times New Roman" w:eastAsia="Times New Roman" w:hAnsi="Times New Roman" w:cs="Times New Roman"/>
          <w:bCs/>
          <w:sz w:val="28"/>
          <w:szCs w:val="28"/>
          <w:bdr w:val="none" w:sz="0" w:space="0" w:color="auto" w:frame="1"/>
          <w:lang w:val="es-ES" w:eastAsia="es-ES_tradnl"/>
        </w:rPr>
        <w:t xml:space="preserve">las razones que me llevan a </w:t>
      </w:r>
      <w:r w:rsidRPr="00113298">
        <w:rPr>
          <w:rFonts w:ascii="Times New Roman" w:eastAsia="Times New Roman" w:hAnsi="Times New Roman" w:cs="Times New Roman"/>
          <w:bCs/>
          <w:sz w:val="28"/>
          <w:szCs w:val="28"/>
          <w:bdr w:val="none" w:sz="0" w:space="0" w:color="auto" w:frame="1"/>
          <w:lang w:val="es-ES" w:eastAsia="es-ES_tradnl"/>
        </w:rPr>
        <w:t xml:space="preserve">salvar el voto </w:t>
      </w:r>
      <w:r w:rsidRPr="00113298">
        <w:rPr>
          <w:rFonts w:ascii="Times New Roman" w:eastAsia="Times New Roman" w:hAnsi="Times New Roman" w:cs="Times New Roman"/>
          <w:bCs/>
          <w:sz w:val="28"/>
          <w:szCs w:val="28"/>
          <w:bdr w:val="none" w:sz="0" w:space="0" w:color="auto" w:frame="1"/>
          <w:lang w:val="es-ES" w:eastAsia="es-ES_tradnl"/>
        </w:rPr>
        <w:t xml:space="preserve">frente a la Sentencia C-074 de 2026 adoptada por la mayoría de los integrantes de la Sala Plena con ponencia de la Magistrada Paola Andrea Meneses Mosquera, </w:t>
      </w:r>
      <w:r w:rsidRPr="00113298">
        <w:rPr>
          <w:rFonts w:ascii="Times New Roman" w:eastAsia="Times New Roman" w:hAnsi="Times New Roman" w:cs="Times New Roman"/>
          <w:bCs/>
          <w:sz w:val="28"/>
          <w:szCs w:val="28"/>
          <w:bdr w:val="none" w:sz="0" w:space="0" w:color="auto" w:frame="1"/>
          <w:lang w:val="es-ES" w:eastAsia="es-ES_tradnl"/>
        </w:rPr>
        <w:t>por cuanto</w:t>
      </w:r>
      <w:r w:rsidRPr="00113298">
        <w:rPr>
          <w:rFonts w:ascii="Times New Roman" w:eastAsia="Times New Roman" w:hAnsi="Times New Roman" w:cs="Times New Roman"/>
          <w:bCs/>
          <w:sz w:val="28"/>
          <w:szCs w:val="28"/>
          <w:bdr w:val="none" w:sz="0" w:space="0" w:color="auto" w:frame="1"/>
          <w:lang w:val="es-ES" w:eastAsia="es-ES_tradnl"/>
        </w:rPr>
        <w:t>,</w:t>
      </w:r>
      <w:r w:rsidRPr="00113298">
        <w:rPr>
          <w:rFonts w:ascii="Times New Roman" w:eastAsia="Times New Roman" w:hAnsi="Times New Roman" w:cs="Times New Roman"/>
          <w:bCs/>
          <w:sz w:val="28"/>
          <w:szCs w:val="28"/>
          <w:bdr w:val="none" w:sz="0" w:space="0" w:color="auto" w:frame="1"/>
          <w:lang w:val="es-ES" w:eastAsia="es-ES_tradnl"/>
        </w:rPr>
        <w:t xml:space="preserve"> como </w:t>
      </w:r>
      <w:r w:rsidRPr="00113298">
        <w:rPr>
          <w:rFonts w:ascii="Times New Roman" w:eastAsia="Times New Roman" w:hAnsi="Times New Roman" w:cs="Times New Roman"/>
          <w:bCs/>
          <w:sz w:val="28"/>
          <w:szCs w:val="28"/>
          <w:bdr w:val="none" w:sz="0" w:space="0" w:color="auto" w:frame="1"/>
          <w:lang w:val="es-ES" w:eastAsia="es-ES_tradnl"/>
        </w:rPr>
        <w:t xml:space="preserve">lo </w:t>
      </w:r>
      <w:r w:rsidRPr="00113298">
        <w:rPr>
          <w:rFonts w:ascii="Times New Roman" w:eastAsia="Times New Roman" w:hAnsi="Times New Roman" w:cs="Times New Roman"/>
          <w:bCs/>
          <w:sz w:val="28"/>
          <w:szCs w:val="28"/>
          <w:bdr w:val="none" w:sz="0" w:space="0" w:color="auto" w:frame="1"/>
          <w:lang w:val="es-ES" w:eastAsia="es-ES_tradnl"/>
        </w:rPr>
        <w:t xml:space="preserve">sostuve en la ponencia </w:t>
      </w:r>
      <w:r w:rsidRPr="00113298">
        <w:rPr>
          <w:rFonts w:ascii="Times New Roman" w:eastAsia="Times New Roman" w:hAnsi="Times New Roman" w:cs="Times New Roman"/>
          <w:bCs/>
          <w:sz w:val="28"/>
          <w:szCs w:val="28"/>
          <w:bdr w:val="none" w:sz="0" w:space="0" w:color="auto" w:frame="1"/>
          <w:lang w:val="es-ES" w:eastAsia="es-ES_tradnl"/>
        </w:rPr>
        <w:t>inicial</w:t>
      </w:r>
      <w:r w:rsidRPr="00113298">
        <w:rPr>
          <w:rFonts w:ascii="Times New Roman" w:eastAsia="Times New Roman" w:hAnsi="Times New Roman" w:cs="Times New Roman"/>
          <w:bCs/>
          <w:sz w:val="28"/>
          <w:szCs w:val="28"/>
          <w:bdr w:val="none" w:sz="0" w:space="0" w:color="auto" w:frame="1"/>
          <w:lang w:val="es-ES" w:eastAsia="es-ES_tradnl"/>
        </w:rPr>
        <w:t xml:space="preserve"> de este expediente y que fue derrotada</w:t>
      </w:r>
      <w:r w:rsidRPr="00113298">
        <w:rPr>
          <w:rFonts w:ascii="Times New Roman" w:eastAsia="Times New Roman" w:hAnsi="Times New Roman" w:cs="Times New Roman"/>
          <w:bCs/>
          <w:sz w:val="28"/>
          <w:szCs w:val="28"/>
          <w:bdr w:val="none" w:sz="0" w:space="0" w:color="auto" w:frame="1"/>
          <w:lang w:val="es-ES" w:eastAsia="es-ES_tradnl"/>
        </w:rPr>
        <w:t xml:space="preserve">, </w:t>
      </w:r>
      <w:r w:rsidRPr="00113298">
        <w:rPr>
          <w:rFonts w:ascii="Times New Roman" w:eastAsia="Times New Roman" w:hAnsi="Times New Roman" w:cs="Times New Roman"/>
          <w:bCs/>
          <w:sz w:val="28"/>
          <w:szCs w:val="28"/>
          <w:bdr w:val="none" w:sz="0" w:space="0" w:color="auto" w:frame="1"/>
          <w:lang w:val="es-ES" w:eastAsia="es-ES_tradnl"/>
        </w:rPr>
        <w:t xml:space="preserve">considero </w:t>
      </w:r>
      <w:r w:rsidRPr="00113298">
        <w:rPr>
          <w:rFonts w:ascii="Times New Roman" w:eastAsia="Times New Roman" w:hAnsi="Times New Roman" w:cs="Times New Roman"/>
          <w:bCs/>
          <w:sz w:val="28"/>
          <w:szCs w:val="28"/>
          <w:bdr w:val="none" w:sz="0" w:space="0" w:color="auto" w:frame="1"/>
          <w:lang w:eastAsia="es-ES_tradnl"/>
        </w:rPr>
        <w:t xml:space="preserve">que la demanda </w:t>
      </w:r>
      <w:r w:rsidRPr="00113298">
        <w:rPr>
          <w:rFonts w:ascii="Times New Roman" w:eastAsia="Times New Roman" w:hAnsi="Times New Roman" w:cs="Times New Roman"/>
          <w:bCs/>
          <w:i/>
          <w:iCs/>
          <w:sz w:val="28"/>
          <w:szCs w:val="28"/>
          <w:bdr w:val="none" w:sz="0" w:space="0" w:color="auto" w:frame="1"/>
          <w:lang w:eastAsia="es-ES_tradnl"/>
        </w:rPr>
        <w:t>sub examine</w:t>
      </w:r>
      <w:r w:rsidRPr="00113298">
        <w:rPr>
          <w:rFonts w:ascii="Times New Roman" w:eastAsia="Times New Roman" w:hAnsi="Times New Roman" w:cs="Times New Roman"/>
          <w:bCs/>
          <w:sz w:val="28"/>
          <w:szCs w:val="28"/>
          <w:bdr w:val="none" w:sz="0" w:space="0" w:color="auto" w:frame="1"/>
          <w:lang w:eastAsia="es-ES_tradnl"/>
        </w:rPr>
        <w:t xml:space="preserve"> sí tenía aptitud sustancial</w:t>
      </w:r>
      <w:r w:rsidRPr="00113298">
        <w:rPr>
          <w:rFonts w:ascii="Times New Roman" w:eastAsia="Times New Roman" w:hAnsi="Times New Roman" w:cs="Times New Roman"/>
          <w:bCs/>
          <w:sz w:val="28"/>
          <w:szCs w:val="28"/>
          <w:bdr w:val="none" w:sz="0" w:space="0" w:color="auto" w:frame="1"/>
          <w:lang w:eastAsia="es-ES_tradnl"/>
        </w:rPr>
        <w:t xml:space="preserve"> para ser resuelta de mérito</w:t>
      </w:r>
      <w:r w:rsidRPr="00113298">
        <w:rPr>
          <w:rFonts w:ascii="Times New Roman" w:eastAsia="Times New Roman" w:hAnsi="Times New Roman" w:cs="Times New Roman"/>
          <w:bCs/>
          <w:sz w:val="28"/>
          <w:szCs w:val="28"/>
          <w:bdr w:val="none" w:sz="0" w:space="0" w:color="auto" w:frame="1"/>
          <w:lang w:eastAsia="es-ES_tradnl"/>
        </w:rPr>
        <w:t>.</w:t>
      </w:r>
      <w:r w:rsidRPr="00113298">
        <w:rPr>
          <w:rFonts w:ascii="Times New Roman" w:eastAsia="Times New Roman" w:hAnsi="Times New Roman" w:cs="Times New Roman"/>
          <w:bCs/>
          <w:sz w:val="28"/>
          <w:szCs w:val="28"/>
          <w:bdr w:val="none" w:sz="0" w:space="0" w:color="auto" w:frame="1"/>
          <w:lang w:eastAsia="es-ES_tradnl"/>
        </w:rPr>
        <w:t xml:space="preserve"> Algo más,</w:t>
      </w:r>
      <w:r w:rsidRPr="00113298">
        <w:rPr>
          <w:rFonts w:ascii="Times New Roman" w:eastAsia="Times New Roman" w:hAnsi="Times New Roman" w:cs="Times New Roman"/>
          <w:bCs/>
          <w:sz w:val="28"/>
          <w:szCs w:val="28"/>
          <w:bdr w:val="none" w:sz="0" w:space="0" w:color="auto" w:frame="1"/>
          <w:lang w:eastAsia="es-ES_tradnl"/>
        </w:rPr>
        <w:t xml:space="preserve"> </w:t>
      </w:r>
      <w:r w:rsidRPr="00113298">
        <w:rPr>
          <w:rFonts w:ascii="Times New Roman" w:eastAsia="Times New Roman" w:hAnsi="Times New Roman" w:cs="Times New Roman"/>
          <w:bCs/>
          <w:sz w:val="28"/>
          <w:szCs w:val="28"/>
          <w:bdr w:val="none" w:sz="0" w:space="0" w:color="auto" w:frame="1"/>
          <w:lang w:eastAsia="es-ES_tradnl"/>
        </w:rPr>
        <w:t>estoy</w:t>
      </w:r>
      <w:r w:rsidRPr="00113298">
        <w:rPr>
          <w:rFonts w:ascii="Times New Roman" w:eastAsia="Times New Roman" w:hAnsi="Times New Roman" w:cs="Times New Roman"/>
          <w:bCs/>
          <w:sz w:val="28"/>
          <w:szCs w:val="28"/>
          <w:bdr w:val="none" w:sz="0" w:space="0" w:color="auto" w:frame="1"/>
          <w:lang w:eastAsia="es-ES_tradnl"/>
        </w:rPr>
        <w:t xml:space="preserve"> convencido</w:t>
      </w:r>
      <w:r w:rsidRPr="00113298">
        <w:rPr>
          <w:rFonts w:ascii="Times New Roman" w:eastAsia="Times New Roman" w:hAnsi="Times New Roman" w:cs="Times New Roman"/>
          <w:bCs/>
          <w:sz w:val="28"/>
          <w:szCs w:val="28"/>
          <w:bdr w:val="none" w:sz="0" w:space="0" w:color="auto" w:frame="1"/>
          <w:lang w:eastAsia="es-ES_tradnl"/>
        </w:rPr>
        <w:t xml:space="preserve"> no sólo de ello</w:t>
      </w:r>
      <w:r w:rsidRPr="00113298">
        <w:rPr>
          <w:rFonts w:ascii="Times New Roman" w:eastAsia="Times New Roman" w:hAnsi="Times New Roman" w:cs="Times New Roman"/>
          <w:bCs/>
          <w:sz w:val="28"/>
          <w:szCs w:val="28"/>
          <w:bdr w:val="none" w:sz="0" w:space="0" w:color="auto" w:frame="1"/>
          <w:lang w:eastAsia="es-ES_tradnl"/>
        </w:rPr>
        <w:t xml:space="preserve">, sino </w:t>
      </w:r>
      <w:r w:rsidRPr="00113298">
        <w:rPr>
          <w:rFonts w:ascii="Times New Roman" w:eastAsia="Times New Roman" w:hAnsi="Times New Roman" w:cs="Times New Roman"/>
          <w:bCs/>
          <w:sz w:val="28"/>
          <w:szCs w:val="28"/>
          <w:bdr w:val="none" w:sz="0" w:space="0" w:color="auto" w:frame="1"/>
          <w:lang w:eastAsia="es-ES_tradnl"/>
        </w:rPr>
        <w:t xml:space="preserve">de </w:t>
      </w:r>
      <w:r w:rsidRPr="00113298">
        <w:rPr>
          <w:rFonts w:ascii="Times New Roman" w:eastAsia="Times New Roman" w:hAnsi="Times New Roman" w:cs="Times New Roman"/>
          <w:bCs/>
          <w:sz w:val="28"/>
          <w:szCs w:val="28"/>
          <w:bdr w:val="none" w:sz="0" w:space="0" w:color="auto" w:frame="1"/>
          <w:lang w:eastAsia="es-ES_tradnl"/>
        </w:rPr>
        <w:t xml:space="preserve">que </w:t>
      </w:r>
      <w:r w:rsidRPr="00113298">
        <w:rPr>
          <w:rFonts w:ascii="Times New Roman" w:eastAsia="Times New Roman" w:hAnsi="Times New Roman" w:cs="Times New Roman"/>
          <w:bCs/>
          <w:sz w:val="28"/>
          <w:szCs w:val="28"/>
          <w:bdr w:val="none" w:sz="0" w:space="0" w:color="auto" w:frame="1"/>
          <w:lang w:eastAsia="es-ES_tradnl"/>
        </w:rPr>
        <w:t>exp</w:t>
      </w:r>
      <w:r w:rsidRPr="00113298">
        <w:rPr>
          <w:rFonts w:ascii="Times New Roman" w:eastAsia="Times New Roman" w:hAnsi="Times New Roman" w:cs="Times New Roman"/>
          <w:bCs/>
          <w:sz w:val="28"/>
          <w:szCs w:val="28"/>
          <w:bdr w:val="none" w:sz="0" w:space="0" w:color="auto" w:frame="1"/>
          <w:lang w:eastAsia="es-ES_tradnl"/>
        </w:rPr>
        <w:t xml:space="preserve">uso </w:t>
      </w:r>
      <w:r w:rsidRPr="00113298">
        <w:rPr>
          <w:rFonts w:ascii="Times New Roman" w:eastAsia="Times New Roman" w:hAnsi="Times New Roman" w:cs="Times New Roman"/>
          <w:bCs/>
          <w:sz w:val="28"/>
          <w:szCs w:val="28"/>
          <w:bdr w:val="none" w:sz="0" w:space="0" w:color="auto" w:frame="1"/>
          <w:lang w:eastAsia="es-ES_tradnl"/>
        </w:rPr>
        <w:t xml:space="preserve">un </w:t>
      </w:r>
      <w:r w:rsidRPr="00113298">
        <w:rPr>
          <w:rFonts w:ascii="Times New Roman" w:eastAsia="Times New Roman" w:hAnsi="Times New Roman" w:cs="Times New Roman"/>
          <w:bCs/>
          <w:sz w:val="28"/>
          <w:szCs w:val="28"/>
          <w:bdr w:val="none" w:sz="0" w:space="0" w:color="auto" w:frame="1"/>
          <w:lang w:eastAsia="es-ES_tradnl"/>
        </w:rPr>
        <w:t xml:space="preserve">verdadero </w:t>
      </w:r>
      <w:r w:rsidRPr="00113298">
        <w:rPr>
          <w:rFonts w:ascii="Times New Roman" w:eastAsia="Times New Roman" w:hAnsi="Times New Roman" w:cs="Times New Roman"/>
          <w:bCs/>
          <w:sz w:val="28"/>
          <w:szCs w:val="28"/>
          <w:bdr w:val="none" w:sz="0" w:space="0" w:color="auto" w:frame="1"/>
          <w:lang w:eastAsia="es-ES_tradnl"/>
        </w:rPr>
        <w:t xml:space="preserve">problema de </w:t>
      </w:r>
      <w:r w:rsidRPr="00113298">
        <w:rPr>
          <w:rFonts w:ascii="Times New Roman" w:eastAsia="Times New Roman" w:hAnsi="Times New Roman" w:cs="Times New Roman"/>
          <w:bCs/>
          <w:sz w:val="28"/>
          <w:szCs w:val="28"/>
          <w:bdr w:val="none" w:sz="0" w:space="0" w:color="auto" w:frame="1"/>
          <w:lang w:eastAsia="es-ES_tradnl"/>
        </w:rPr>
        <w:t>evidente</w:t>
      </w:r>
      <w:r w:rsidRPr="00113298">
        <w:rPr>
          <w:rFonts w:ascii="Times New Roman" w:eastAsia="Times New Roman" w:hAnsi="Times New Roman" w:cs="Times New Roman"/>
          <w:bCs/>
          <w:sz w:val="28"/>
          <w:szCs w:val="28"/>
          <w:bdr w:val="none" w:sz="0" w:space="0" w:color="auto" w:frame="1"/>
          <w:lang w:eastAsia="es-ES_tradnl"/>
        </w:rPr>
        <w:t xml:space="preserve"> relevancia constitucional y, por tanto, la </w:t>
      </w:r>
      <w:r w:rsidRPr="00113298">
        <w:rPr>
          <w:rFonts w:ascii="Times New Roman" w:eastAsia="Times New Roman" w:hAnsi="Times New Roman" w:cs="Times New Roman"/>
          <w:bCs/>
          <w:sz w:val="28"/>
          <w:szCs w:val="28"/>
          <w:bdr w:val="none" w:sz="0" w:space="0" w:color="auto" w:frame="1"/>
          <w:lang w:eastAsia="es-ES_tradnl"/>
        </w:rPr>
        <w:t xml:space="preserve">Sala Plena de la </w:t>
      </w:r>
      <w:r w:rsidRPr="00113298">
        <w:rPr>
          <w:rFonts w:ascii="Times New Roman" w:eastAsia="Times New Roman" w:hAnsi="Times New Roman" w:cs="Times New Roman"/>
          <w:bCs/>
          <w:sz w:val="28"/>
          <w:szCs w:val="28"/>
          <w:bdr w:val="none" w:sz="0" w:space="0" w:color="auto" w:frame="1"/>
          <w:lang w:eastAsia="es-ES_tradnl"/>
        </w:rPr>
        <w:t xml:space="preserve">Corte </w:t>
      </w:r>
      <w:r w:rsidRPr="00113298">
        <w:rPr>
          <w:rFonts w:ascii="Times New Roman" w:eastAsia="Times New Roman" w:hAnsi="Times New Roman" w:cs="Times New Roman"/>
          <w:bCs/>
          <w:sz w:val="28"/>
          <w:szCs w:val="28"/>
          <w:bdr w:val="none" w:sz="0" w:space="0" w:color="auto" w:frame="1"/>
          <w:lang w:eastAsia="es-ES_tradnl"/>
        </w:rPr>
        <w:t xml:space="preserve">Constitucional </w:t>
      </w:r>
      <w:r w:rsidRPr="00113298">
        <w:rPr>
          <w:rFonts w:ascii="Times New Roman" w:eastAsia="Times New Roman" w:hAnsi="Times New Roman" w:cs="Times New Roman"/>
          <w:bCs/>
          <w:sz w:val="28"/>
          <w:szCs w:val="28"/>
          <w:bdr w:val="none" w:sz="0" w:space="0" w:color="auto" w:frame="1"/>
          <w:lang w:eastAsia="es-ES_tradnl"/>
        </w:rPr>
        <w:t xml:space="preserve">debía emitir un pronunciamiento de fondo sobre la constitucionalidad o no de las </w:t>
      </w:r>
      <w:r w:rsidRPr="00113298">
        <w:rPr>
          <w:rFonts w:ascii="Times New Roman" w:eastAsia="Times New Roman" w:hAnsi="Times New Roman" w:cs="Times New Roman"/>
          <w:bCs/>
          <w:sz w:val="28"/>
          <w:szCs w:val="28"/>
          <w:bdr w:val="none" w:sz="0" w:space="0" w:color="auto" w:frame="1"/>
          <w:lang w:eastAsia="es-ES_tradnl"/>
        </w:rPr>
        <w:t>disposicione</w:t>
      </w:r>
      <w:r w:rsidRPr="00113298">
        <w:rPr>
          <w:rFonts w:ascii="Times New Roman" w:eastAsia="Times New Roman" w:hAnsi="Times New Roman" w:cs="Times New Roman"/>
          <w:bCs/>
          <w:sz w:val="28"/>
          <w:szCs w:val="28"/>
          <w:bdr w:val="none" w:sz="0" w:space="0" w:color="auto" w:frame="1"/>
          <w:lang w:eastAsia="es-ES_tradnl"/>
        </w:rPr>
        <w:t xml:space="preserve">s </w:t>
      </w:r>
      <w:r w:rsidRPr="00113298">
        <w:rPr>
          <w:rFonts w:ascii="Times New Roman" w:eastAsia="Times New Roman" w:hAnsi="Times New Roman" w:cs="Times New Roman"/>
          <w:bCs/>
          <w:sz w:val="28"/>
          <w:szCs w:val="28"/>
          <w:bdr w:val="none" w:sz="0" w:space="0" w:color="auto" w:frame="1"/>
          <w:lang w:eastAsia="es-ES_tradnl"/>
        </w:rPr>
        <w:t>y/</w:t>
      </w:r>
      <w:r w:rsidRPr="00113298">
        <w:rPr>
          <w:rFonts w:ascii="Times New Roman" w:eastAsia="Times New Roman" w:hAnsi="Times New Roman" w:cs="Times New Roman"/>
          <w:bCs/>
          <w:sz w:val="28"/>
          <w:szCs w:val="28"/>
          <w:bdr w:val="none" w:sz="0" w:space="0" w:color="auto" w:frame="1"/>
          <w:lang w:eastAsia="es-ES_tradnl"/>
        </w:rPr>
        <w:t xml:space="preserve">o </w:t>
      </w:r>
      <w:r w:rsidRPr="00113298">
        <w:rPr>
          <w:rFonts w:ascii="Times New Roman" w:eastAsia="Times New Roman" w:hAnsi="Times New Roman" w:cs="Times New Roman"/>
          <w:bCs/>
          <w:sz w:val="28"/>
          <w:szCs w:val="28"/>
          <w:bdr w:val="none" w:sz="0" w:space="0" w:color="auto" w:frame="1"/>
          <w:lang w:eastAsia="es-ES_tradnl"/>
        </w:rPr>
        <w:t>el</w:t>
      </w:r>
      <w:r w:rsidRPr="00113298">
        <w:rPr>
          <w:rFonts w:ascii="Times New Roman" w:eastAsia="Times New Roman" w:hAnsi="Times New Roman" w:cs="Times New Roman"/>
          <w:bCs/>
          <w:sz w:val="28"/>
          <w:szCs w:val="28"/>
          <w:bdr w:val="none" w:sz="0" w:space="0" w:color="auto" w:frame="1"/>
          <w:lang w:eastAsia="es-ES_tradnl"/>
        </w:rPr>
        <w:t xml:space="preserve"> aparte acusado</w:t>
      </w:r>
      <w:r w:rsidRPr="00113298">
        <w:rPr>
          <w:rFonts w:ascii="Times New Roman" w:eastAsia="Times New Roman" w:hAnsi="Times New Roman" w:cs="Times New Roman"/>
          <w:bCs/>
          <w:sz w:val="28"/>
          <w:szCs w:val="28"/>
          <w:bdr w:val="none" w:sz="0" w:space="0" w:color="auto" w:frame="1"/>
          <w:lang w:eastAsia="es-ES_tradnl"/>
        </w:rPr>
        <w:t>.</w:t>
      </w:r>
      <w:r w:rsidRPr="00113298">
        <w:rPr>
          <w:rFonts w:ascii="Times New Roman" w:eastAsia="Times New Roman" w:hAnsi="Times New Roman" w:cs="Times New Roman"/>
          <w:bCs/>
          <w:sz w:val="28"/>
          <w:szCs w:val="28"/>
          <w:bdr w:val="none" w:sz="0" w:space="0" w:color="auto" w:frame="1"/>
          <w:lang w:eastAsia="es-ES_tradnl"/>
        </w:rPr>
        <w:t xml:space="preserve"> </w:t>
      </w:r>
    </w:p>
    <w:p w:rsidR="00597886" w:rsidRPr="00113298" w:rsidRDefault="00113298" w:rsidP="00D61041">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p>
    <w:p w:rsidR="00597886" w:rsidRPr="00113298" w:rsidRDefault="00113298" w:rsidP="00D61041">
      <w:pPr>
        <w:kinsoku w:val="0"/>
        <w:overflowPunct w:val="0"/>
        <w:spacing w:line="220" w:lineRule="atLeast"/>
        <w:ind w:right="49"/>
        <w:rPr>
          <w:rFonts w:ascii="Times New Roman" w:hAnsi="Times New Roman" w:cs="Times New Roman"/>
          <w:sz w:val="28"/>
          <w:szCs w:val="28"/>
        </w:rPr>
      </w:pPr>
      <w:r w:rsidRPr="00113298">
        <w:rPr>
          <w:rFonts w:ascii="Times New Roman" w:eastAsia="Times New Roman" w:hAnsi="Times New Roman" w:cs="Times New Roman"/>
          <w:bCs/>
          <w:sz w:val="28"/>
          <w:szCs w:val="28"/>
          <w:bdr w:val="none" w:sz="0" w:space="0" w:color="auto" w:frame="1"/>
          <w:lang w:eastAsia="es-ES_tradnl"/>
        </w:rPr>
        <w:t>Además, c</w:t>
      </w:r>
      <w:r w:rsidRPr="00113298">
        <w:rPr>
          <w:rFonts w:ascii="Times New Roman" w:eastAsia="Times New Roman" w:hAnsi="Times New Roman" w:cs="Times New Roman"/>
          <w:bCs/>
          <w:sz w:val="28"/>
          <w:szCs w:val="28"/>
          <w:bdr w:val="none" w:sz="0" w:space="0" w:color="auto" w:frame="1"/>
          <w:lang w:eastAsia="es-ES_tradnl"/>
        </w:rPr>
        <w:t xml:space="preserve">reo firmemente que </w:t>
      </w:r>
      <w:r w:rsidRPr="00113298">
        <w:rPr>
          <w:rFonts w:ascii="Times New Roman" w:hAnsi="Times New Roman" w:cs="Times New Roman"/>
          <w:sz w:val="28"/>
          <w:szCs w:val="28"/>
        </w:rPr>
        <w:t>e</w:t>
      </w:r>
      <w:r w:rsidRPr="00113298">
        <w:rPr>
          <w:rFonts w:ascii="Times New Roman" w:hAnsi="Times New Roman" w:cs="Times New Roman"/>
          <w:sz w:val="28"/>
          <w:szCs w:val="28"/>
        </w:rPr>
        <w:t xml:space="preserve">l problema constitucional que la demanda identificaba era real. La exclusión de los </w:t>
      </w:r>
      <w:r w:rsidRPr="00113298">
        <w:rPr>
          <w:rFonts w:ascii="Times New Roman" w:hAnsi="Times New Roman" w:cs="Times New Roman"/>
          <w:sz w:val="28"/>
          <w:szCs w:val="28"/>
        </w:rPr>
        <w:t>combatientes intrafilas de los tipos penales de violencia sexual es un déficit normativo documentado, reconocido por la</w:t>
      </w:r>
      <w:r w:rsidRPr="00113298">
        <w:rPr>
          <w:rFonts w:ascii="Times New Roman" w:hAnsi="Times New Roman" w:cs="Times New Roman"/>
          <w:sz w:val="28"/>
          <w:szCs w:val="28"/>
        </w:rPr>
        <w:t xml:space="preserve"> propia Corte en la Sentencia</w:t>
      </w:r>
      <w:r w:rsidRPr="00113298">
        <w:rPr>
          <w:rFonts w:ascii="Times New Roman" w:hAnsi="Times New Roman" w:cs="Times New Roman"/>
          <w:sz w:val="28"/>
          <w:szCs w:val="28"/>
        </w:rPr>
        <w:t xml:space="preserve"> SU-599 de 2019, confirmado por la J</w:t>
      </w:r>
      <w:r w:rsidRPr="00113298">
        <w:rPr>
          <w:rFonts w:ascii="Times New Roman" w:hAnsi="Times New Roman" w:cs="Times New Roman"/>
          <w:sz w:val="28"/>
          <w:szCs w:val="28"/>
        </w:rPr>
        <w:t xml:space="preserve">urisdicción </w:t>
      </w:r>
      <w:r w:rsidRPr="00113298">
        <w:rPr>
          <w:rFonts w:ascii="Times New Roman" w:hAnsi="Times New Roman" w:cs="Times New Roman"/>
          <w:sz w:val="28"/>
          <w:szCs w:val="28"/>
        </w:rPr>
        <w:t>E</w:t>
      </w:r>
      <w:r w:rsidRPr="00113298">
        <w:rPr>
          <w:rFonts w:ascii="Times New Roman" w:hAnsi="Times New Roman" w:cs="Times New Roman"/>
          <w:sz w:val="28"/>
          <w:szCs w:val="28"/>
        </w:rPr>
        <w:t xml:space="preserve">special para la </w:t>
      </w:r>
      <w:r w:rsidRPr="00113298">
        <w:rPr>
          <w:rFonts w:ascii="Times New Roman" w:hAnsi="Times New Roman" w:cs="Times New Roman"/>
          <w:sz w:val="28"/>
          <w:szCs w:val="28"/>
        </w:rPr>
        <w:t>P</w:t>
      </w:r>
      <w:r w:rsidRPr="00113298">
        <w:rPr>
          <w:rFonts w:ascii="Times New Roman" w:hAnsi="Times New Roman" w:cs="Times New Roman"/>
          <w:sz w:val="28"/>
          <w:szCs w:val="28"/>
        </w:rPr>
        <w:t>az</w:t>
      </w:r>
      <w:r w:rsidRPr="00113298">
        <w:rPr>
          <w:rFonts w:ascii="Times New Roman" w:hAnsi="Times New Roman" w:cs="Times New Roman"/>
          <w:sz w:val="28"/>
          <w:szCs w:val="28"/>
        </w:rPr>
        <w:t>, la Defensoría del Pueblo y el Minister</w:t>
      </w:r>
      <w:r w:rsidRPr="00113298">
        <w:rPr>
          <w:rFonts w:ascii="Times New Roman" w:hAnsi="Times New Roman" w:cs="Times New Roman"/>
          <w:sz w:val="28"/>
          <w:szCs w:val="28"/>
        </w:rPr>
        <w:t>io Público</w:t>
      </w:r>
      <w:r w:rsidRPr="00113298">
        <w:rPr>
          <w:rFonts w:ascii="Times New Roman" w:hAnsi="Times New Roman" w:cs="Times New Roman"/>
          <w:sz w:val="28"/>
          <w:szCs w:val="28"/>
        </w:rPr>
        <w:t xml:space="preserve"> en este trámite</w:t>
      </w:r>
      <w:r w:rsidRPr="00113298">
        <w:rPr>
          <w:rFonts w:ascii="Times New Roman" w:hAnsi="Times New Roman" w:cs="Times New Roman"/>
          <w:sz w:val="28"/>
          <w:szCs w:val="28"/>
        </w:rPr>
        <w:t xml:space="preserve">, y avalado por el precedente </w:t>
      </w:r>
      <w:r w:rsidRPr="00113298">
        <w:rPr>
          <w:rFonts w:ascii="Times New Roman" w:hAnsi="Times New Roman" w:cs="Times New Roman"/>
          <w:i/>
          <w:iCs/>
          <w:sz w:val="28"/>
          <w:szCs w:val="28"/>
        </w:rPr>
        <w:t>Ntaganda</w:t>
      </w:r>
      <w:r w:rsidRPr="00113298">
        <w:rPr>
          <w:rFonts w:ascii="Times New Roman" w:hAnsi="Times New Roman" w:cs="Times New Roman"/>
          <w:sz w:val="28"/>
          <w:szCs w:val="28"/>
        </w:rPr>
        <w:t xml:space="preserve"> de la C</w:t>
      </w:r>
      <w:r w:rsidRPr="00113298">
        <w:rPr>
          <w:rFonts w:ascii="Times New Roman" w:hAnsi="Times New Roman" w:cs="Times New Roman"/>
          <w:sz w:val="28"/>
          <w:szCs w:val="28"/>
        </w:rPr>
        <w:t xml:space="preserve">orte </w:t>
      </w:r>
      <w:r w:rsidRPr="00113298">
        <w:rPr>
          <w:rFonts w:ascii="Times New Roman" w:hAnsi="Times New Roman" w:cs="Times New Roman"/>
          <w:sz w:val="28"/>
          <w:szCs w:val="28"/>
        </w:rPr>
        <w:t>P</w:t>
      </w:r>
      <w:r w:rsidRPr="00113298">
        <w:rPr>
          <w:rFonts w:ascii="Times New Roman" w:hAnsi="Times New Roman" w:cs="Times New Roman"/>
          <w:sz w:val="28"/>
          <w:szCs w:val="28"/>
        </w:rPr>
        <w:t xml:space="preserve">enal </w:t>
      </w:r>
      <w:r w:rsidRPr="00113298">
        <w:rPr>
          <w:rFonts w:ascii="Times New Roman" w:hAnsi="Times New Roman" w:cs="Times New Roman"/>
          <w:sz w:val="28"/>
          <w:szCs w:val="28"/>
        </w:rPr>
        <w:t>I</w:t>
      </w:r>
      <w:r w:rsidRPr="00113298">
        <w:rPr>
          <w:rFonts w:ascii="Times New Roman" w:hAnsi="Times New Roman" w:cs="Times New Roman"/>
          <w:sz w:val="28"/>
          <w:szCs w:val="28"/>
        </w:rPr>
        <w:t>nternacional</w:t>
      </w:r>
      <w:r w:rsidRPr="00113298">
        <w:rPr>
          <w:rFonts w:ascii="Times New Roman" w:hAnsi="Times New Roman" w:cs="Times New Roman"/>
          <w:sz w:val="28"/>
          <w:szCs w:val="28"/>
        </w:rPr>
        <w:t xml:space="preserve">. </w:t>
      </w:r>
    </w:p>
    <w:p w:rsidR="00597886" w:rsidRPr="00113298" w:rsidRDefault="00113298" w:rsidP="00D61041">
      <w:pPr>
        <w:kinsoku w:val="0"/>
        <w:overflowPunct w:val="0"/>
        <w:spacing w:line="220" w:lineRule="atLeast"/>
        <w:ind w:right="49"/>
        <w:rPr>
          <w:rFonts w:ascii="Times New Roman" w:hAnsi="Times New Roman" w:cs="Times New Roman"/>
          <w:sz w:val="28"/>
          <w:szCs w:val="28"/>
        </w:rPr>
      </w:pPr>
    </w:p>
    <w:p w:rsidR="00597886" w:rsidRPr="00113298" w:rsidRDefault="00113298" w:rsidP="00597886">
      <w:pPr>
        <w:rPr>
          <w:rFonts w:ascii="Times New Roman" w:hAnsi="Times New Roman" w:cs="Times New Roman"/>
          <w:sz w:val="28"/>
          <w:szCs w:val="28"/>
        </w:rPr>
      </w:pPr>
      <w:r w:rsidRPr="00113298">
        <w:rPr>
          <w:rFonts w:ascii="Times New Roman" w:hAnsi="Times New Roman" w:cs="Times New Roman"/>
          <w:sz w:val="28"/>
          <w:szCs w:val="28"/>
        </w:rPr>
        <w:t xml:space="preserve">Debido a lo anterior, </w:t>
      </w:r>
      <w:r w:rsidRPr="00113298">
        <w:rPr>
          <w:rFonts w:ascii="Times New Roman" w:hAnsi="Times New Roman" w:cs="Times New Roman"/>
          <w:sz w:val="28"/>
          <w:szCs w:val="28"/>
        </w:rPr>
        <w:t>considero</w:t>
      </w:r>
      <w:r w:rsidRPr="00113298">
        <w:rPr>
          <w:rFonts w:ascii="Times New Roman" w:hAnsi="Times New Roman" w:cs="Times New Roman"/>
          <w:sz w:val="28"/>
          <w:szCs w:val="28"/>
        </w:rPr>
        <w:t xml:space="preserve"> que</w:t>
      </w:r>
      <w:r w:rsidRPr="00113298">
        <w:rPr>
          <w:rFonts w:ascii="Times New Roman" w:hAnsi="Times New Roman" w:cs="Times New Roman"/>
          <w:sz w:val="28"/>
          <w:szCs w:val="28"/>
        </w:rPr>
        <w:t xml:space="preserve"> l</w:t>
      </w:r>
      <w:r w:rsidRPr="00113298">
        <w:rPr>
          <w:rFonts w:ascii="Times New Roman" w:hAnsi="Times New Roman" w:cs="Times New Roman"/>
          <w:sz w:val="28"/>
          <w:szCs w:val="28"/>
        </w:rPr>
        <w:t>a inexequibilidad de la expresión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xml:space="preserve">" en los tipos penales de violencia sexual, combinada con la </w:t>
      </w:r>
      <w:r w:rsidRPr="00113298">
        <w:rPr>
          <w:rFonts w:ascii="Times New Roman" w:hAnsi="Times New Roman" w:cs="Times New Roman"/>
          <w:sz w:val="28"/>
          <w:szCs w:val="28"/>
        </w:rPr>
        <w:t>exequibilidad condicionada de la norma de remisión del parágrafo del artículo 135</w:t>
      </w:r>
      <w:r w:rsidRPr="00113298">
        <w:rPr>
          <w:rFonts w:ascii="Times New Roman" w:hAnsi="Times New Roman" w:cs="Times New Roman"/>
          <w:sz w:val="28"/>
          <w:szCs w:val="28"/>
        </w:rPr>
        <w:t xml:space="preserve"> como fue propuesto en</w:t>
      </w:r>
      <w:r w:rsidRPr="00113298">
        <w:rPr>
          <w:rFonts w:ascii="Times New Roman" w:hAnsi="Times New Roman" w:cs="Times New Roman"/>
          <w:sz w:val="28"/>
          <w:szCs w:val="28"/>
        </w:rPr>
        <w:t xml:space="preserve"> el proyecto que puse a consideración de la Sala, </w:t>
      </w:r>
      <w:r w:rsidRPr="00113298">
        <w:rPr>
          <w:rFonts w:ascii="Times New Roman" w:hAnsi="Times New Roman" w:cs="Times New Roman"/>
          <w:sz w:val="28"/>
          <w:szCs w:val="28"/>
        </w:rPr>
        <w:t>respondía con precisión al problema identificado y lo hacía de manera coherente con el D</w:t>
      </w:r>
      <w:r w:rsidRPr="00113298">
        <w:rPr>
          <w:rFonts w:ascii="Times New Roman" w:hAnsi="Times New Roman" w:cs="Times New Roman"/>
          <w:sz w:val="28"/>
          <w:szCs w:val="28"/>
        </w:rPr>
        <w:t xml:space="preserve">erecho </w:t>
      </w:r>
      <w:r w:rsidRPr="00113298">
        <w:rPr>
          <w:rFonts w:ascii="Times New Roman" w:hAnsi="Times New Roman" w:cs="Times New Roman"/>
          <w:sz w:val="28"/>
          <w:szCs w:val="28"/>
        </w:rPr>
        <w:t>I</w:t>
      </w:r>
      <w:r w:rsidRPr="00113298">
        <w:rPr>
          <w:rFonts w:ascii="Times New Roman" w:hAnsi="Times New Roman" w:cs="Times New Roman"/>
          <w:sz w:val="28"/>
          <w:szCs w:val="28"/>
        </w:rPr>
        <w:t>nternac</w:t>
      </w:r>
      <w:r w:rsidRPr="00113298">
        <w:rPr>
          <w:rFonts w:ascii="Times New Roman" w:hAnsi="Times New Roman" w:cs="Times New Roman"/>
          <w:sz w:val="28"/>
          <w:szCs w:val="28"/>
        </w:rPr>
        <w:t xml:space="preserve">ional </w:t>
      </w:r>
      <w:r w:rsidRPr="00113298">
        <w:rPr>
          <w:rFonts w:ascii="Times New Roman" w:hAnsi="Times New Roman" w:cs="Times New Roman"/>
          <w:sz w:val="28"/>
          <w:szCs w:val="28"/>
        </w:rPr>
        <w:t>H</w:t>
      </w:r>
      <w:r w:rsidRPr="00113298">
        <w:rPr>
          <w:rFonts w:ascii="Times New Roman" w:hAnsi="Times New Roman" w:cs="Times New Roman"/>
          <w:sz w:val="28"/>
          <w:szCs w:val="28"/>
        </w:rPr>
        <w:t>umanitario</w:t>
      </w:r>
      <w:r w:rsidRPr="00113298">
        <w:rPr>
          <w:rFonts w:ascii="Times New Roman" w:hAnsi="Times New Roman" w:cs="Times New Roman"/>
          <w:sz w:val="28"/>
          <w:szCs w:val="28"/>
        </w:rPr>
        <w:t>, el bloque de constitucionalidad y el principio de humanidad.</w:t>
      </w:r>
      <w:r w:rsidRPr="00113298">
        <w:rPr>
          <w:rFonts w:ascii="Times New Roman" w:hAnsi="Times New Roman" w:cs="Times New Roman"/>
          <w:sz w:val="28"/>
          <w:szCs w:val="28"/>
        </w:rPr>
        <w:t xml:space="preserve"> Este último,</w:t>
      </w:r>
      <w:r w:rsidRPr="00113298">
        <w:rPr>
          <w:rFonts w:ascii="Times New Roman" w:hAnsi="Times New Roman" w:cs="Times New Roman"/>
          <w:sz w:val="28"/>
          <w:szCs w:val="28"/>
        </w:rPr>
        <w:t xml:space="preserve"> precisamente,</w:t>
      </w:r>
      <w:r w:rsidRPr="00113298">
        <w:rPr>
          <w:rFonts w:ascii="Times New Roman" w:hAnsi="Times New Roman" w:cs="Times New Roman"/>
          <w:sz w:val="28"/>
          <w:szCs w:val="28"/>
        </w:rPr>
        <w:t xml:space="preserve"> en cuanto no admite excepciones. </w:t>
      </w:r>
      <w:r w:rsidRPr="00113298">
        <w:rPr>
          <w:rFonts w:ascii="Times New Roman" w:hAnsi="Times New Roman" w:cs="Times New Roman"/>
          <w:sz w:val="28"/>
          <w:szCs w:val="28"/>
        </w:rPr>
        <w:t>La violencia sexual no es</w:t>
      </w:r>
      <w:r w:rsidRPr="00113298">
        <w:rPr>
          <w:rFonts w:ascii="Times New Roman" w:hAnsi="Times New Roman" w:cs="Times New Roman"/>
          <w:sz w:val="28"/>
          <w:szCs w:val="28"/>
        </w:rPr>
        <w:t xml:space="preserve"> ni puede ser considerada como</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un</w:t>
      </w:r>
      <w:r w:rsidRPr="00113298">
        <w:rPr>
          <w:rFonts w:ascii="Times New Roman" w:hAnsi="Times New Roman" w:cs="Times New Roman"/>
          <w:sz w:val="28"/>
          <w:szCs w:val="28"/>
        </w:rPr>
        <w:t xml:space="preserve"> arma legítima</w:t>
      </w:r>
      <w:r w:rsidRPr="00113298">
        <w:rPr>
          <w:rFonts w:ascii="Times New Roman" w:hAnsi="Times New Roman" w:cs="Times New Roman"/>
          <w:sz w:val="28"/>
          <w:szCs w:val="28"/>
        </w:rPr>
        <w:t>, incluso en los conflictos armados más inte</w:t>
      </w:r>
      <w:r w:rsidRPr="00113298">
        <w:rPr>
          <w:rFonts w:ascii="Times New Roman" w:hAnsi="Times New Roman" w:cs="Times New Roman"/>
          <w:sz w:val="28"/>
          <w:szCs w:val="28"/>
        </w:rPr>
        <w:t>nsos o degradados.</w:t>
      </w:r>
      <w:r w:rsidRPr="00113298">
        <w:rPr>
          <w:rFonts w:ascii="Times New Roman" w:hAnsi="Times New Roman" w:cs="Times New Roman"/>
          <w:sz w:val="28"/>
          <w:szCs w:val="28"/>
        </w:rPr>
        <w:t xml:space="preserve"> Ninguna persona puede quedar excluida de </w:t>
      </w:r>
      <w:r w:rsidRPr="00113298">
        <w:rPr>
          <w:rFonts w:ascii="Times New Roman" w:hAnsi="Times New Roman" w:cs="Times New Roman"/>
          <w:sz w:val="28"/>
          <w:szCs w:val="28"/>
        </w:rPr>
        <w:t xml:space="preserve">una </w:t>
      </w:r>
      <w:r w:rsidRPr="00113298">
        <w:rPr>
          <w:rFonts w:ascii="Times New Roman" w:hAnsi="Times New Roman" w:cs="Times New Roman"/>
          <w:sz w:val="28"/>
          <w:szCs w:val="28"/>
        </w:rPr>
        <w:t xml:space="preserve">protección legal frente a ella. Estos no son enunciados abstractos: son mandatos constitucionales y normas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xml:space="preserve"> que la </w:t>
      </w:r>
      <w:r w:rsidRPr="00113298">
        <w:rPr>
          <w:rFonts w:ascii="Times New Roman" w:hAnsi="Times New Roman" w:cs="Times New Roman"/>
          <w:sz w:val="28"/>
          <w:szCs w:val="28"/>
        </w:rPr>
        <w:t xml:space="preserve">Sala Plena de la </w:t>
      </w:r>
      <w:r w:rsidRPr="00113298">
        <w:rPr>
          <w:rFonts w:ascii="Times New Roman" w:hAnsi="Times New Roman" w:cs="Times New Roman"/>
          <w:sz w:val="28"/>
          <w:szCs w:val="28"/>
        </w:rPr>
        <w:t xml:space="preserve">Corte </w:t>
      </w:r>
      <w:r w:rsidRPr="00113298">
        <w:rPr>
          <w:rFonts w:ascii="Times New Roman" w:hAnsi="Times New Roman" w:cs="Times New Roman"/>
          <w:sz w:val="28"/>
          <w:szCs w:val="28"/>
        </w:rPr>
        <w:t>Constitucional t</w:t>
      </w:r>
      <w:r w:rsidRPr="00113298">
        <w:rPr>
          <w:rFonts w:ascii="Times New Roman" w:hAnsi="Times New Roman" w:cs="Times New Roman"/>
          <w:sz w:val="28"/>
          <w:szCs w:val="28"/>
        </w:rPr>
        <w:t xml:space="preserve">enía la obligación de </w:t>
      </w:r>
      <w:r w:rsidRPr="00113298">
        <w:rPr>
          <w:rFonts w:ascii="Times New Roman" w:hAnsi="Times New Roman" w:cs="Times New Roman"/>
          <w:sz w:val="28"/>
          <w:szCs w:val="28"/>
        </w:rPr>
        <w:t>re</w:t>
      </w:r>
      <w:r w:rsidRPr="00113298">
        <w:rPr>
          <w:rFonts w:ascii="Times New Roman" w:hAnsi="Times New Roman" w:cs="Times New Roman"/>
          <w:sz w:val="28"/>
          <w:szCs w:val="28"/>
        </w:rPr>
        <w:t>a</w:t>
      </w:r>
      <w:r w:rsidRPr="00113298">
        <w:rPr>
          <w:rFonts w:ascii="Times New Roman" w:hAnsi="Times New Roman" w:cs="Times New Roman"/>
          <w:sz w:val="28"/>
          <w:szCs w:val="28"/>
        </w:rPr>
        <w:t>firmar con todas sus consecuencias en la Sentencia C-074 de 2026</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N</w:t>
      </w:r>
      <w:r w:rsidRPr="00113298">
        <w:rPr>
          <w:rFonts w:ascii="Times New Roman" w:hAnsi="Times New Roman" w:cs="Times New Roman"/>
          <w:sz w:val="28"/>
          <w:szCs w:val="28"/>
        </w:rPr>
        <w:t>o obstante</w:t>
      </w:r>
      <w:r w:rsidRPr="00113298">
        <w:rPr>
          <w:rFonts w:ascii="Times New Roman" w:hAnsi="Times New Roman" w:cs="Times New Roman"/>
          <w:sz w:val="28"/>
          <w:szCs w:val="28"/>
        </w:rPr>
        <w:t>, la mayoría</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eligió no hacerlo</w:t>
      </w:r>
      <w:r w:rsidRPr="00113298">
        <w:rPr>
          <w:rFonts w:ascii="Times New Roman" w:hAnsi="Times New Roman" w:cs="Times New Roman"/>
          <w:sz w:val="28"/>
          <w:szCs w:val="28"/>
        </w:rPr>
        <w:t>, a partir de descalificar la aptitud sustantiva de la demanda</w:t>
      </w:r>
      <w:r w:rsidRPr="00113298">
        <w:rPr>
          <w:rFonts w:ascii="Times New Roman" w:hAnsi="Times New Roman" w:cs="Times New Roman"/>
          <w:sz w:val="28"/>
          <w:szCs w:val="28"/>
        </w:rPr>
        <w:t>.</w:t>
      </w:r>
    </w:p>
    <w:p w:rsidR="0043373E" w:rsidRPr="00113298" w:rsidRDefault="00113298" w:rsidP="00597886">
      <w:pPr>
        <w:rPr>
          <w:rFonts w:ascii="Times New Roman" w:hAnsi="Times New Roman" w:cs="Times New Roman"/>
          <w:sz w:val="28"/>
          <w:szCs w:val="28"/>
        </w:rPr>
      </w:pPr>
    </w:p>
    <w:p w:rsidR="0043373E" w:rsidRPr="00113298" w:rsidRDefault="00113298" w:rsidP="0043373E">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r w:rsidRPr="00113298">
        <w:rPr>
          <w:rFonts w:ascii="Times New Roman" w:eastAsia="Times New Roman" w:hAnsi="Times New Roman" w:cs="Times New Roman"/>
          <w:bCs/>
          <w:sz w:val="28"/>
          <w:szCs w:val="28"/>
          <w:bdr w:val="none" w:sz="0" w:space="0" w:color="auto" w:frame="1"/>
          <w:lang w:eastAsia="es-ES_tradnl"/>
        </w:rPr>
        <w:t xml:space="preserve">Consecuente con tal postura, mi discrepancia comprende los siguientes acápites: </w:t>
      </w:r>
      <w:r w:rsidRPr="00113298">
        <w:rPr>
          <w:rFonts w:ascii="Times New Roman" w:eastAsia="Times New Roman" w:hAnsi="Times New Roman" w:cs="Times New Roman"/>
          <w:bCs/>
          <w:i/>
          <w:iCs/>
          <w:sz w:val="28"/>
          <w:szCs w:val="28"/>
          <w:bdr w:val="none" w:sz="0" w:space="0" w:color="auto" w:frame="1"/>
          <w:lang w:eastAsia="es-ES_tradnl"/>
        </w:rPr>
        <w:t>(i)</w:t>
      </w:r>
      <w:r w:rsidRPr="00113298">
        <w:rPr>
          <w:rFonts w:ascii="Times New Roman" w:eastAsia="Times New Roman" w:hAnsi="Times New Roman" w:cs="Times New Roman"/>
          <w:bCs/>
          <w:sz w:val="28"/>
          <w:szCs w:val="28"/>
          <w:bdr w:val="none" w:sz="0" w:space="0" w:color="auto" w:frame="1"/>
          <w:lang w:eastAsia="es-ES_tradnl"/>
        </w:rPr>
        <w:t xml:space="preserve"> la decisión de la mayoría; </w:t>
      </w:r>
      <w:r w:rsidRPr="00113298">
        <w:rPr>
          <w:rFonts w:ascii="Times New Roman" w:eastAsia="Times New Roman" w:hAnsi="Times New Roman" w:cs="Times New Roman"/>
          <w:bCs/>
          <w:i/>
          <w:iCs/>
          <w:sz w:val="28"/>
          <w:szCs w:val="28"/>
          <w:bdr w:val="none" w:sz="0" w:space="0" w:color="auto" w:frame="1"/>
          <w:lang w:eastAsia="es-ES_tradnl"/>
        </w:rPr>
        <w:t>(ii)</w:t>
      </w:r>
      <w:r w:rsidRPr="00113298">
        <w:rPr>
          <w:rFonts w:ascii="Times New Roman" w:eastAsia="Times New Roman" w:hAnsi="Times New Roman" w:cs="Times New Roman"/>
          <w:bCs/>
          <w:sz w:val="28"/>
          <w:szCs w:val="28"/>
          <w:bdr w:val="none" w:sz="0" w:space="0" w:color="auto" w:frame="1"/>
          <w:lang w:eastAsia="es-ES_tradnl"/>
        </w:rPr>
        <w:t xml:space="preserve"> razones por las que no comparto la postura mayoritaria de decisión inhibitoria y, </w:t>
      </w:r>
      <w:r w:rsidRPr="00113298">
        <w:rPr>
          <w:rFonts w:ascii="Times New Roman" w:eastAsia="Times New Roman" w:hAnsi="Times New Roman" w:cs="Times New Roman"/>
          <w:bCs/>
          <w:i/>
          <w:iCs/>
          <w:sz w:val="28"/>
          <w:szCs w:val="28"/>
          <w:bdr w:val="none" w:sz="0" w:space="0" w:color="auto" w:frame="1"/>
          <w:lang w:eastAsia="es-ES_tradnl"/>
        </w:rPr>
        <w:t xml:space="preserve">(iii) </w:t>
      </w:r>
      <w:r w:rsidRPr="00113298">
        <w:rPr>
          <w:rFonts w:ascii="Times New Roman" w:eastAsia="Times New Roman" w:hAnsi="Times New Roman" w:cs="Times New Roman"/>
          <w:bCs/>
          <w:sz w:val="28"/>
          <w:szCs w:val="28"/>
          <w:bdr w:val="none" w:sz="0" w:space="0" w:color="auto" w:frame="1"/>
          <w:lang w:eastAsia="es-ES_tradnl"/>
        </w:rPr>
        <w:t xml:space="preserve">el sentido de la decisión que considero debió adoptarse. </w:t>
      </w:r>
    </w:p>
    <w:p w:rsidR="0043373E" w:rsidRPr="00113298" w:rsidRDefault="00113298" w:rsidP="00D61041">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p>
    <w:p w:rsidR="000F4EDC" w:rsidRPr="00113298" w:rsidRDefault="00113298" w:rsidP="00D61041">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p>
    <w:p w:rsidR="0043373E" w:rsidRPr="00113298" w:rsidRDefault="00113298" w:rsidP="000F4EDC">
      <w:pPr>
        <w:kinsoku w:val="0"/>
        <w:overflowPunct w:val="0"/>
        <w:spacing w:line="220" w:lineRule="atLeast"/>
        <w:ind w:right="49"/>
        <w:rPr>
          <w:rFonts w:ascii="Times New Roman" w:eastAsia="Times New Roman" w:hAnsi="Times New Roman" w:cs="Times New Roman"/>
          <w:b/>
          <w:i/>
          <w:iCs/>
          <w:sz w:val="28"/>
          <w:szCs w:val="28"/>
          <w:bdr w:val="none" w:sz="0" w:space="0" w:color="auto" w:frame="1"/>
          <w:lang w:eastAsia="es-ES_tradnl"/>
        </w:rPr>
      </w:pPr>
      <w:r w:rsidRPr="00113298">
        <w:rPr>
          <w:rFonts w:ascii="Times New Roman" w:eastAsia="Times New Roman" w:hAnsi="Times New Roman" w:cs="Times New Roman"/>
          <w:b/>
          <w:i/>
          <w:iCs/>
          <w:sz w:val="28"/>
          <w:szCs w:val="28"/>
          <w:bdr w:val="none" w:sz="0" w:space="0" w:color="auto" w:frame="1"/>
          <w:lang w:eastAsia="es-ES_tradnl"/>
        </w:rPr>
        <w:t xml:space="preserve">(i) </w:t>
      </w:r>
      <w:r w:rsidRPr="00113298">
        <w:rPr>
          <w:rFonts w:ascii="Times New Roman" w:eastAsia="Times New Roman" w:hAnsi="Times New Roman" w:cs="Times New Roman"/>
          <w:b/>
          <w:i/>
          <w:iCs/>
          <w:sz w:val="28"/>
          <w:szCs w:val="28"/>
          <w:bdr w:val="none" w:sz="0" w:space="0" w:color="auto" w:frame="1"/>
          <w:lang w:eastAsia="es-ES_tradnl"/>
        </w:rPr>
        <w:tab/>
      </w:r>
      <w:r w:rsidRPr="00113298">
        <w:rPr>
          <w:rFonts w:ascii="Times New Roman" w:eastAsia="Times New Roman" w:hAnsi="Times New Roman" w:cs="Times New Roman"/>
          <w:b/>
          <w:i/>
          <w:iCs/>
          <w:sz w:val="28"/>
          <w:szCs w:val="28"/>
          <w:bdr w:val="none" w:sz="0" w:space="0" w:color="auto" w:frame="1"/>
          <w:lang w:eastAsia="es-ES_tradnl"/>
        </w:rPr>
        <w:t>La decisión de la mayoría</w:t>
      </w:r>
    </w:p>
    <w:p w:rsidR="0043373E" w:rsidRPr="00113298" w:rsidRDefault="00113298" w:rsidP="00D61041">
      <w:pPr>
        <w:kinsoku w:val="0"/>
        <w:overflowPunct w:val="0"/>
        <w:spacing w:line="220" w:lineRule="atLeast"/>
        <w:ind w:right="49"/>
        <w:rPr>
          <w:rFonts w:ascii="Times New Roman" w:eastAsia="Times New Roman" w:hAnsi="Times New Roman" w:cs="Times New Roman"/>
          <w:bCs/>
          <w:sz w:val="28"/>
          <w:szCs w:val="28"/>
          <w:bdr w:val="none" w:sz="0" w:space="0" w:color="auto" w:frame="1"/>
          <w:lang w:eastAsia="es-ES_tradnl"/>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L</w:t>
      </w:r>
      <w:r w:rsidRPr="00113298">
        <w:rPr>
          <w:rFonts w:ascii="Times New Roman" w:hAnsi="Times New Roman" w:cs="Times New Roman"/>
          <w:sz w:val="28"/>
          <w:szCs w:val="28"/>
        </w:rPr>
        <w:t xml:space="preserve">a </w:t>
      </w:r>
      <w:r w:rsidRPr="00113298">
        <w:rPr>
          <w:rFonts w:ascii="Times New Roman" w:hAnsi="Times New Roman" w:cs="Times New Roman"/>
          <w:sz w:val="28"/>
          <w:szCs w:val="28"/>
        </w:rPr>
        <w:t>mayoría adoptó una decisión inhibitoria</w:t>
      </w:r>
      <w:r w:rsidRPr="00113298">
        <w:rPr>
          <w:rFonts w:ascii="Times New Roman" w:hAnsi="Times New Roman" w:cs="Times New Roman"/>
          <w:sz w:val="28"/>
          <w:szCs w:val="28"/>
        </w:rPr>
        <w:t xml:space="preserve"> frente a una demanda </w:t>
      </w:r>
      <w:r w:rsidRPr="00113298">
        <w:rPr>
          <w:rFonts w:ascii="Times New Roman" w:hAnsi="Times New Roman" w:cs="Times New Roman"/>
          <w:sz w:val="28"/>
          <w:szCs w:val="28"/>
        </w:rPr>
        <w:t xml:space="preserve">apta sustancialmente </w:t>
      </w:r>
      <w:r w:rsidRPr="00113298">
        <w:rPr>
          <w:rFonts w:ascii="Times New Roman" w:hAnsi="Times New Roman" w:cs="Times New Roman"/>
          <w:sz w:val="28"/>
          <w:szCs w:val="28"/>
        </w:rPr>
        <w:t>que buscaba</w:t>
      </w:r>
      <w:r w:rsidRPr="00113298">
        <w:rPr>
          <w:rFonts w:ascii="Times New Roman" w:hAnsi="Times New Roman" w:cs="Times New Roman"/>
          <w:sz w:val="28"/>
          <w:szCs w:val="28"/>
        </w:rPr>
        <w:t xml:space="preserve"> condicionar</w:t>
      </w:r>
      <w:r w:rsidRPr="00113298">
        <w:rPr>
          <w:rFonts w:ascii="Times New Roman" w:hAnsi="Times New Roman" w:cs="Times New Roman"/>
          <w:sz w:val="28"/>
          <w:szCs w:val="28"/>
        </w:rPr>
        <w:t xml:space="preserve"> algunas expresiones del Código Penal relacionadas con los delitos de violencia sexual en el marco del conflicto armado</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La demandante</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 xml:space="preserve">argumentaba que exigir que la víctima tenga la calidad </w:t>
      </w:r>
      <w:r w:rsidRPr="00113298">
        <w:rPr>
          <w:rFonts w:ascii="Times New Roman" w:hAnsi="Times New Roman" w:cs="Times New Roman"/>
          <w:sz w:val="28"/>
          <w:szCs w:val="28"/>
        </w:rPr>
        <w:t>legal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para configurar estos crímenes dejaba por fuera a los propios combatientes cuando son víctimas de violencia sexual por parte de miembros de</w:t>
      </w:r>
      <w:r w:rsidRPr="00113298">
        <w:rPr>
          <w:rFonts w:ascii="Times New Roman" w:hAnsi="Times New Roman" w:cs="Times New Roman"/>
          <w:sz w:val="28"/>
          <w:szCs w:val="28"/>
        </w:rPr>
        <w:t xml:space="preserve">l </w:t>
      </w:r>
      <w:r w:rsidRPr="00113298">
        <w:rPr>
          <w:rFonts w:ascii="Times New Roman" w:hAnsi="Times New Roman" w:cs="Times New Roman"/>
          <w:sz w:val="28"/>
          <w:szCs w:val="28"/>
        </w:rPr>
        <w:t>mismo grupo armado (lo que se conoce como violencia intrafilas)</w:t>
      </w:r>
      <w:r w:rsidRPr="00113298">
        <w:rPr>
          <w:rFonts w:ascii="Times New Roman" w:hAnsi="Times New Roman" w:cs="Times New Roman"/>
          <w:sz w:val="28"/>
          <w:szCs w:val="28"/>
        </w:rPr>
        <w:t xml:space="preserve">. </w:t>
      </w:r>
    </w:p>
    <w:p w:rsidR="00720AC8" w:rsidRPr="00113298" w:rsidRDefault="00113298" w:rsidP="00720AC8">
      <w:pPr>
        <w:rPr>
          <w:rFonts w:ascii="Times New Roman" w:hAnsi="Times New Roman" w:cs="Times New Roman"/>
          <w:sz w:val="28"/>
          <w:szCs w:val="28"/>
        </w:rPr>
      </w:pPr>
    </w:p>
    <w:p w:rsidR="00720AC8" w:rsidRPr="00113298" w:rsidRDefault="00113298" w:rsidP="00A86885">
      <w:pPr>
        <w:rPr>
          <w:rFonts w:ascii="Times New Roman" w:hAnsi="Times New Roman" w:cs="Times New Roman"/>
          <w:sz w:val="28"/>
          <w:szCs w:val="28"/>
        </w:rPr>
      </w:pPr>
      <w:r w:rsidRPr="00113298">
        <w:rPr>
          <w:rFonts w:ascii="Times New Roman" w:hAnsi="Times New Roman" w:cs="Times New Roman"/>
          <w:sz w:val="28"/>
          <w:szCs w:val="28"/>
        </w:rPr>
        <w:t>Para la accionante</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el </w:t>
      </w:r>
      <w:r w:rsidRPr="00113298">
        <w:rPr>
          <w:rFonts w:ascii="Times New Roman" w:hAnsi="Times New Roman" w:cs="Times New Roman"/>
          <w:sz w:val="28"/>
          <w:szCs w:val="28"/>
        </w:rPr>
        <w:t xml:space="preserve">legislador </w:t>
      </w:r>
      <w:r w:rsidRPr="00113298">
        <w:rPr>
          <w:rFonts w:ascii="Times New Roman" w:hAnsi="Times New Roman" w:cs="Times New Roman"/>
          <w:sz w:val="28"/>
          <w:szCs w:val="28"/>
        </w:rPr>
        <w:t>hab</w:t>
      </w:r>
      <w:r w:rsidRPr="00113298">
        <w:rPr>
          <w:rFonts w:ascii="Times New Roman" w:hAnsi="Times New Roman" w:cs="Times New Roman"/>
          <w:sz w:val="28"/>
          <w:szCs w:val="28"/>
        </w:rPr>
        <w:t>r</w:t>
      </w:r>
      <w:r w:rsidRPr="00113298">
        <w:rPr>
          <w:rFonts w:ascii="Times New Roman" w:hAnsi="Times New Roman" w:cs="Times New Roman"/>
          <w:sz w:val="28"/>
          <w:szCs w:val="28"/>
        </w:rPr>
        <w:t>ía incurrido en una omisión legislativa</w:t>
      </w:r>
      <w:r w:rsidRPr="00113298">
        <w:rPr>
          <w:rFonts w:ascii="Times New Roman" w:hAnsi="Times New Roman" w:cs="Times New Roman"/>
          <w:sz w:val="28"/>
          <w:szCs w:val="28"/>
        </w:rPr>
        <w:t xml:space="preserve"> relativa</w:t>
      </w:r>
      <w:r w:rsidRPr="00113298">
        <w:rPr>
          <w:rFonts w:ascii="Times New Roman" w:hAnsi="Times New Roman" w:cs="Times New Roman"/>
          <w:sz w:val="28"/>
          <w:szCs w:val="28"/>
        </w:rPr>
        <w:t>, creando un trato desigual y violando normas internacionales que prohíben absolutamente la esclavitud y la violencia sexual</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Sin embargo, la</w:t>
      </w:r>
      <w:r w:rsidRPr="00113298">
        <w:rPr>
          <w:rFonts w:ascii="Times New Roman" w:hAnsi="Times New Roman" w:cs="Times New Roman"/>
          <w:sz w:val="28"/>
          <w:szCs w:val="28"/>
        </w:rPr>
        <w:t xml:space="preserve"> mayoría</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optó por un fallo inhibitorio</w:t>
      </w:r>
      <w:r w:rsidRPr="00113298">
        <w:rPr>
          <w:rFonts w:ascii="Times New Roman" w:hAnsi="Times New Roman" w:cs="Times New Roman"/>
          <w:sz w:val="28"/>
          <w:szCs w:val="28"/>
        </w:rPr>
        <w:t xml:space="preserve"> al consid</w:t>
      </w:r>
      <w:r w:rsidRPr="00113298">
        <w:rPr>
          <w:rFonts w:ascii="Times New Roman" w:hAnsi="Times New Roman" w:cs="Times New Roman"/>
          <w:sz w:val="28"/>
          <w:szCs w:val="28"/>
        </w:rPr>
        <w:t>erar la demanda sustancialmente inepta debido a lo que calificó como</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w:t>
      </w:r>
      <w:r w:rsidRPr="00113298">
        <w:rPr>
          <w:rFonts w:ascii="Times New Roman" w:hAnsi="Times New Roman" w:cs="Times New Roman"/>
          <w:sz w:val="28"/>
          <w:szCs w:val="28"/>
        </w:rPr>
        <w:t>errores argumentativos profundos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que</w:t>
      </w:r>
      <w:r w:rsidRPr="00113298">
        <w:rPr>
          <w:rFonts w:ascii="Times New Roman" w:hAnsi="Times New Roman" w:cs="Times New Roman"/>
          <w:sz w:val="28"/>
          <w:szCs w:val="28"/>
        </w:rPr>
        <w:t xml:space="preserve"> llevaron a que fuera imposible </w:t>
      </w:r>
      <w:r w:rsidRPr="00113298">
        <w:rPr>
          <w:rFonts w:ascii="Times New Roman" w:hAnsi="Times New Roman" w:cs="Times New Roman"/>
          <w:sz w:val="28"/>
          <w:szCs w:val="28"/>
        </w:rPr>
        <w:t>hacer el estudio de fondo.</w:t>
      </w:r>
      <w:r w:rsidRPr="00113298">
        <w:rPr>
          <w:rFonts w:ascii="Times New Roman" w:hAnsi="Times New Roman" w:cs="Times New Roman"/>
          <w:sz w:val="28"/>
          <w:szCs w:val="28"/>
        </w:rPr>
        <w:t xml:space="preserve"> En síntesis, </w:t>
      </w:r>
      <w:r w:rsidRPr="00113298">
        <w:rPr>
          <w:rFonts w:ascii="Times New Roman" w:hAnsi="Times New Roman" w:cs="Times New Roman"/>
          <w:sz w:val="28"/>
          <w:szCs w:val="28"/>
        </w:rPr>
        <w:t>la mayoría consideró que la Demanda adolecía de f</w:t>
      </w:r>
      <w:r w:rsidRPr="00113298">
        <w:rPr>
          <w:rFonts w:ascii="Times New Roman" w:hAnsi="Times New Roman" w:cs="Times New Roman"/>
          <w:sz w:val="28"/>
          <w:szCs w:val="28"/>
        </w:rPr>
        <w:t xml:space="preserve">alta de </w:t>
      </w:r>
      <w:r w:rsidRPr="00113298">
        <w:rPr>
          <w:rFonts w:ascii="Times New Roman" w:hAnsi="Times New Roman" w:cs="Times New Roman"/>
          <w:b/>
          <w:bCs/>
          <w:sz w:val="28"/>
          <w:szCs w:val="28"/>
        </w:rPr>
        <w:t>claridad</w:t>
      </w:r>
      <w:r w:rsidRPr="00113298">
        <w:rPr>
          <w:rFonts w:ascii="Times New Roman" w:hAnsi="Times New Roman" w:cs="Times New Roman"/>
          <w:sz w:val="28"/>
          <w:szCs w:val="28"/>
        </w:rPr>
        <w:t xml:space="preserve"> al</w:t>
      </w:r>
      <w:r w:rsidRPr="00113298">
        <w:rPr>
          <w:rFonts w:ascii="Times New Roman" w:hAnsi="Times New Roman" w:cs="Times New Roman"/>
          <w:sz w:val="28"/>
          <w:szCs w:val="28"/>
        </w:rPr>
        <w:t xml:space="preserve"> señalar</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que se acudió a una argumentación confusa y desarticulada</w:t>
      </w:r>
      <w:r w:rsidRPr="00113298">
        <w:rPr>
          <w:rFonts w:ascii="Times New Roman" w:hAnsi="Times New Roman" w:cs="Times New Roman"/>
          <w:sz w:val="28"/>
          <w:szCs w:val="28"/>
        </w:rPr>
        <w:t>; f</w:t>
      </w:r>
      <w:r w:rsidRPr="00113298">
        <w:rPr>
          <w:rStyle w:val="Textoennegrita"/>
          <w:rFonts w:ascii="Times New Roman" w:hAnsi="Times New Roman" w:cs="Times New Roman"/>
          <w:b w:val="0"/>
          <w:bCs w:val="0"/>
          <w:sz w:val="28"/>
          <w:szCs w:val="28"/>
        </w:rPr>
        <w:t xml:space="preserve">alta de </w:t>
      </w:r>
      <w:r w:rsidRPr="00113298">
        <w:rPr>
          <w:rStyle w:val="Textoennegrita"/>
          <w:rFonts w:ascii="Times New Roman" w:hAnsi="Times New Roman" w:cs="Times New Roman"/>
          <w:sz w:val="28"/>
          <w:szCs w:val="28"/>
        </w:rPr>
        <w:t>certeza</w:t>
      </w:r>
      <w:r w:rsidRPr="00113298">
        <w:rPr>
          <w:rStyle w:val="Textoennegrita"/>
          <w:rFonts w:ascii="Times New Roman" w:hAnsi="Times New Roman" w:cs="Times New Roman"/>
          <w:b w:val="0"/>
          <w:bCs w:val="0"/>
          <w:sz w:val="28"/>
          <w:szCs w:val="28"/>
        </w:rPr>
        <w:t xml:space="preserve"> al </w:t>
      </w:r>
      <w:r w:rsidRPr="00113298">
        <w:rPr>
          <w:rFonts w:ascii="Times New Roman" w:hAnsi="Times New Roman" w:cs="Times New Roman"/>
          <w:sz w:val="28"/>
          <w:szCs w:val="28"/>
        </w:rPr>
        <w:t>sost</w:t>
      </w:r>
      <w:r w:rsidRPr="00113298">
        <w:rPr>
          <w:rFonts w:ascii="Times New Roman" w:hAnsi="Times New Roman" w:cs="Times New Roman"/>
          <w:sz w:val="28"/>
          <w:szCs w:val="28"/>
        </w:rPr>
        <w:t>ener</w:t>
      </w:r>
      <w:r w:rsidRPr="00113298">
        <w:rPr>
          <w:rFonts w:ascii="Times New Roman" w:hAnsi="Times New Roman" w:cs="Times New Roman"/>
          <w:sz w:val="28"/>
          <w:szCs w:val="28"/>
        </w:rPr>
        <w:t xml:space="preserve"> que la demandante part</w:t>
      </w:r>
      <w:r w:rsidRPr="00113298">
        <w:rPr>
          <w:rFonts w:ascii="Times New Roman" w:hAnsi="Times New Roman" w:cs="Times New Roman"/>
          <w:sz w:val="28"/>
          <w:szCs w:val="28"/>
        </w:rPr>
        <w:t>ió</w:t>
      </w:r>
      <w:r w:rsidRPr="00113298">
        <w:rPr>
          <w:rFonts w:ascii="Times New Roman" w:hAnsi="Times New Roman" w:cs="Times New Roman"/>
          <w:sz w:val="28"/>
          <w:szCs w:val="28"/>
        </w:rPr>
        <w:t xml:space="preserve"> de una lectura equivocada y aislada del contenido de la norma acusada</w:t>
      </w:r>
      <w:r w:rsidRPr="00113298">
        <w:rPr>
          <w:rFonts w:ascii="Times New Roman" w:hAnsi="Times New Roman" w:cs="Times New Roman"/>
          <w:sz w:val="28"/>
          <w:szCs w:val="28"/>
        </w:rPr>
        <w:t>; f</w:t>
      </w:r>
      <w:r w:rsidRPr="00113298">
        <w:rPr>
          <w:rFonts w:ascii="Times New Roman" w:hAnsi="Times New Roman" w:cs="Times New Roman"/>
          <w:sz w:val="28"/>
          <w:szCs w:val="28"/>
        </w:rPr>
        <w:t xml:space="preserve">alta de </w:t>
      </w:r>
      <w:r w:rsidRPr="00113298">
        <w:rPr>
          <w:rFonts w:ascii="Times New Roman" w:hAnsi="Times New Roman" w:cs="Times New Roman"/>
          <w:b/>
          <w:bCs/>
          <w:sz w:val="28"/>
          <w:szCs w:val="28"/>
        </w:rPr>
        <w:t>p</w:t>
      </w:r>
      <w:r w:rsidRPr="00113298">
        <w:rPr>
          <w:rFonts w:ascii="Times New Roman" w:hAnsi="Times New Roman" w:cs="Times New Roman"/>
          <w:b/>
          <w:bCs/>
          <w:sz w:val="28"/>
          <w:szCs w:val="28"/>
        </w:rPr>
        <w:t>ertinencia</w:t>
      </w:r>
      <w:r w:rsidRPr="00113298">
        <w:rPr>
          <w:rFonts w:ascii="Times New Roman" w:hAnsi="Times New Roman" w:cs="Times New Roman"/>
          <w:sz w:val="28"/>
          <w:szCs w:val="28"/>
        </w:rPr>
        <w:t xml:space="preserve"> en tanto la demandante estructuró su</w:t>
      </w:r>
      <w:r w:rsidRPr="00113298">
        <w:rPr>
          <w:rFonts w:ascii="Times New Roman" w:hAnsi="Times New Roman" w:cs="Times New Roman"/>
          <w:sz w:val="28"/>
          <w:szCs w:val="28"/>
        </w:rPr>
        <w:t xml:space="preserve"> acusación</w:t>
      </w:r>
      <w:r w:rsidRPr="00113298">
        <w:rPr>
          <w:rFonts w:ascii="Times New Roman" w:hAnsi="Times New Roman" w:cs="Times New Roman"/>
          <w:sz w:val="28"/>
          <w:szCs w:val="28"/>
        </w:rPr>
        <w:t xml:space="preserve"> basándose en la manera en que ciertas autoridades, como la Jurisdicción Especial para la Paz o entidades administrativas, aplican la norma en la vida real</w:t>
      </w:r>
      <w:r w:rsidRPr="00113298">
        <w:rPr>
          <w:rFonts w:ascii="Times New Roman" w:hAnsi="Times New Roman" w:cs="Times New Roman"/>
          <w:sz w:val="28"/>
          <w:szCs w:val="28"/>
        </w:rPr>
        <w:t>; f</w:t>
      </w:r>
      <w:r w:rsidRPr="00113298">
        <w:rPr>
          <w:rFonts w:ascii="Times New Roman" w:hAnsi="Times New Roman" w:cs="Times New Roman"/>
          <w:sz w:val="28"/>
          <w:szCs w:val="28"/>
        </w:rPr>
        <w:t xml:space="preserve">alta de </w:t>
      </w:r>
      <w:r w:rsidRPr="00113298">
        <w:rPr>
          <w:rFonts w:ascii="Times New Roman" w:hAnsi="Times New Roman" w:cs="Times New Roman"/>
          <w:b/>
          <w:bCs/>
          <w:sz w:val="28"/>
          <w:szCs w:val="28"/>
        </w:rPr>
        <w:t>s</w:t>
      </w:r>
      <w:r w:rsidRPr="00113298">
        <w:rPr>
          <w:rFonts w:ascii="Times New Roman" w:hAnsi="Times New Roman" w:cs="Times New Roman"/>
          <w:b/>
          <w:bCs/>
          <w:sz w:val="28"/>
          <w:szCs w:val="28"/>
        </w:rPr>
        <w:t>uficiencia</w:t>
      </w:r>
      <w:r w:rsidRPr="00113298">
        <w:rPr>
          <w:rFonts w:ascii="Times New Roman" w:hAnsi="Times New Roman" w:cs="Times New Roman"/>
          <w:sz w:val="28"/>
          <w:szCs w:val="28"/>
        </w:rPr>
        <w:t xml:space="preserve"> para</w:t>
      </w:r>
      <w:r w:rsidRPr="00113298">
        <w:rPr>
          <w:rFonts w:ascii="Times New Roman" w:hAnsi="Times New Roman" w:cs="Times New Roman"/>
          <w:sz w:val="28"/>
          <w:szCs w:val="28"/>
        </w:rPr>
        <w:t xml:space="preserve"> generar una duda. </w:t>
      </w:r>
      <w:r w:rsidRPr="00113298">
        <w:rPr>
          <w:rStyle w:val="Textoennegrita"/>
          <w:rFonts w:ascii="Times New Roman" w:hAnsi="Times New Roman" w:cs="Times New Roman"/>
          <w:b w:val="0"/>
          <w:bCs w:val="0"/>
          <w:sz w:val="28"/>
          <w:szCs w:val="28"/>
        </w:rPr>
        <w:t>Adicionalmente</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 xml:space="preserve">se </w:t>
      </w:r>
      <w:r w:rsidRPr="00113298">
        <w:rPr>
          <w:rFonts w:ascii="Times New Roman" w:hAnsi="Times New Roman" w:cs="Times New Roman"/>
          <w:sz w:val="28"/>
          <w:szCs w:val="28"/>
        </w:rPr>
        <w:t>destacó que, tratándose de una omisi</w:t>
      </w:r>
      <w:r w:rsidRPr="00113298">
        <w:rPr>
          <w:rFonts w:ascii="Times New Roman" w:hAnsi="Times New Roman" w:cs="Times New Roman"/>
          <w:sz w:val="28"/>
          <w:szCs w:val="28"/>
        </w:rPr>
        <w:t>ón legislativa relativa, la jurisprudencia exige una carga argumentativa particularmente rigurosa, la cual, en criterio de la mayoría, no fue satisfecha en el presente caso.</w:t>
      </w:r>
    </w:p>
    <w:p w:rsidR="00AD6544" w:rsidRPr="00113298" w:rsidRDefault="00113298" w:rsidP="00A86885">
      <w:pPr>
        <w:tabs>
          <w:tab w:val="left" w:pos="2844"/>
        </w:tabs>
        <w:rPr>
          <w:rFonts w:ascii="Times New Roman" w:eastAsia="Times New Roman" w:hAnsi="Times New Roman" w:cs="Times New Roman"/>
          <w:b/>
          <w:i/>
          <w:iCs/>
          <w:sz w:val="28"/>
          <w:szCs w:val="28"/>
          <w:bdr w:val="none" w:sz="0" w:space="0" w:color="auto" w:frame="1"/>
          <w:lang w:eastAsia="es-ES_tradnl"/>
        </w:rPr>
      </w:pPr>
      <w:r w:rsidRPr="00113298">
        <w:rPr>
          <w:rFonts w:ascii="Times New Roman" w:hAnsi="Times New Roman" w:cs="Times New Roman"/>
          <w:sz w:val="28"/>
          <w:szCs w:val="28"/>
        </w:rPr>
        <w:tab/>
      </w:r>
    </w:p>
    <w:p w:rsidR="00720AC8" w:rsidRPr="00113298" w:rsidRDefault="00113298" w:rsidP="00AD6544">
      <w:pPr>
        <w:shd w:val="clear" w:color="auto" w:fill="FFFFFF"/>
        <w:spacing w:line="293" w:lineRule="atLeast"/>
        <w:textAlignment w:val="baseline"/>
        <w:rPr>
          <w:rFonts w:ascii="Times New Roman" w:eastAsia="Times New Roman" w:hAnsi="Times New Roman" w:cs="Times New Roman"/>
          <w:b/>
          <w:i/>
          <w:iCs/>
          <w:sz w:val="28"/>
          <w:szCs w:val="28"/>
          <w:bdr w:val="none" w:sz="0" w:space="0" w:color="auto" w:frame="1"/>
          <w:lang w:val="es-ES" w:eastAsia="es-ES_tradnl"/>
        </w:rPr>
      </w:pPr>
      <w:r w:rsidRPr="00113298">
        <w:rPr>
          <w:rFonts w:ascii="Times New Roman" w:eastAsia="Times New Roman" w:hAnsi="Times New Roman" w:cs="Times New Roman"/>
          <w:b/>
          <w:i/>
          <w:iCs/>
          <w:sz w:val="28"/>
          <w:szCs w:val="28"/>
          <w:bdr w:val="none" w:sz="0" w:space="0" w:color="auto" w:frame="1"/>
          <w:lang w:eastAsia="es-ES_tradnl"/>
        </w:rPr>
        <w:t>(ii)</w:t>
      </w:r>
      <w:r w:rsidRPr="00113298">
        <w:rPr>
          <w:rFonts w:ascii="Times New Roman" w:eastAsia="Times New Roman" w:hAnsi="Times New Roman" w:cs="Times New Roman"/>
          <w:b/>
          <w:i/>
          <w:iCs/>
          <w:sz w:val="28"/>
          <w:szCs w:val="28"/>
          <w:bdr w:val="none" w:sz="0" w:space="0" w:color="auto" w:frame="1"/>
          <w:lang w:eastAsia="es-ES_tradnl"/>
        </w:rPr>
        <w:tab/>
      </w:r>
      <w:r w:rsidRPr="00113298">
        <w:rPr>
          <w:rFonts w:ascii="Times New Roman" w:eastAsia="Times New Roman" w:hAnsi="Times New Roman" w:cs="Times New Roman"/>
          <w:b/>
          <w:i/>
          <w:iCs/>
          <w:sz w:val="28"/>
          <w:szCs w:val="28"/>
          <w:bdr w:val="none" w:sz="0" w:space="0" w:color="auto" w:frame="1"/>
          <w:lang w:eastAsia="es-ES_tradnl"/>
        </w:rPr>
        <w:t xml:space="preserve">Razones por las que me aparto de </w:t>
      </w:r>
      <w:r w:rsidRPr="00113298">
        <w:rPr>
          <w:rFonts w:ascii="Times New Roman" w:eastAsia="Times New Roman" w:hAnsi="Times New Roman" w:cs="Times New Roman"/>
          <w:b/>
          <w:i/>
          <w:iCs/>
          <w:sz w:val="28"/>
          <w:szCs w:val="28"/>
          <w:bdr w:val="none" w:sz="0" w:space="0" w:color="auto" w:frame="1"/>
          <w:lang w:eastAsia="es-ES_tradnl"/>
        </w:rPr>
        <w:t>tal</w:t>
      </w:r>
      <w:r w:rsidRPr="00113298">
        <w:rPr>
          <w:rFonts w:ascii="Times New Roman" w:eastAsia="Times New Roman" w:hAnsi="Times New Roman" w:cs="Times New Roman"/>
          <w:b/>
          <w:i/>
          <w:iCs/>
          <w:sz w:val="28"/>
          <w:szCs w:val="28"/>
          <w:bdr w:val="none" w:sz="0" w:space="0" w:color="auto" w:frame="1"/>
          <w:lang w:eastAsia="es-ES_tradnl"/>
        </w:rPr>
        <w:t xml:space="preserve"> postura</w:t>
      </w:r>
      <w:r w:rsidRPr="00113298">
        <w:rPr>
          <w:rFonts w:ascii="Times New Roman" w:eastAsia="Times New Roman" w:hAnsi="Times New Roman" w:cs="Times New Roman"/>
          <w:b/>
          <w:i/>
          <w:iCs/>
          <w:sz w:val="28"/>
          <w:szCs w:val="28"/>
          <w:bdr w:val="none" w:sz="0" w:space="0" w:color="auto" w:frame="1"/>
          <w:lang w:eastAsia="es-ES_tradnl"/>
        </w:rPr>
        <w:t xml:space="preserve"> </w:t>
      </w:r>
      <w:r w:rsidRPr="00113298">
        <w:rPr>
          <w:rFonts w:ascii="Times New Roman" w:eastAsia="Times New Roman" w:hAnsi="Times New Roman" w:cs="Times New Roman"/>
          <w:b/>
          <w:i/>
          <w:iCs/>
          <w:sz w:val="28"/>
          <w:szCs w:val="28"/>
          <w:bdr w:val="none" w:sz="0" w:space="0" w:color="auto" w:frame="1"/>
          <w:lang w:eastAsia="es-ES_tradnl"/>
        </w:rPr>
        <w:t>mayoritaria</w:t>
      </w:r>
    </w:p>
    <w:p w:rsidR="00720AC8" w:rsidRPr="00113298" w:rsidRDefault="00113298" w:rsidP="00720AC8">
      <w:pPr>
        <w:rPr>
          <w:rFonts w:ascii="Times New Roman" w:eastAsia="Times New Roman" w:hAnsi="Times New Roman" w:cs="Times New Roman"/>
          <w:color w:val="000000" w:themeColor="text1"/>
          <w:sz w:val="28"/>
          <w:szCs w:val="28"/>
        </w:rPr>
      </w:pPr>
    </w:p>
    <w:p w:rsidR="00BF7B2C"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Ante una demanda </w:t>
      </w:r>
      <w:r w:rsidRPr="00113298">
        <w:rPr>
          <w:rFonts w:ascii="Times New Roman" w:hAnsi="Times New Roman" w:cs="Times New Roman"/>
          <w:sz w:val="28"/>
          <w:szCs w:val="28"/>
        </w:rPr>
        <w:t xml:space="preserve">apta </w:t>
      </w:r>
      <w:r w:rsidRPr="00113298">
        <w:rPr>
          <w:rFonts w:ascii="Times New Roman" w:hAnsi="Times New Roman" w:cs="Times New Roman"/>
          <w:sz w:val="28"/>
          <w:szCs w:val="28"/>
        </w:rPr>
        <w:t>que planteaba uno de los problemas constitucionales más graves y urgentes del ordenamiento jurídico colombiano</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la desprotección penal </w:t>
      </w:r>
      <w:r w:rsidRPr="00113298">
        <w:rPr>
          <w:rFonts w:ascii="Times New Roman" w:hAnsi="Times New Roman" w:cs="Times New Roman"/>
          <w:sz w:val="28"/>
          <w:szCs w:val="28"/>
        </w:rPr>
        <w:t xml:space="preserve">adecuada </w:t>
      </w:r>
      <w:r w:rsidRPr="00113298">
        <w:rPr>
          <w:rFonts w:ascii="Times New Roman" w:hAnsi="Times New Roman" w:cs="Times New Roman"/>
          <w:sz w:val="28"/>
          <w:szCs w:val="28"/>
        </w:rPr>
        <w:t>de los combatientes víctimas de violencia sexual cometida por miembros de su propio grupo armado, la mayorí</w:t>
      </w:r>
      <w:r w:rsidRPr="00113298">
        <w:rPr>
          <w:rFonts w:ascii="Times New Roman" w:hAnsi="Times New Roman" w:cs="Times New Roman"/>
          <w:sz w:val="28"/>
          <w:szCs w:val="28"/>
        </w:rPr>
        <w:t xml:space="preserve">a optó por declararse inhibida. </w:t>
      </w:r>
    </w:p>
    <w:p w:rsidR="003F605D" w:rsidRPr="00113298" w:rsidRDefault="00113298" w:rsidP="003F605D">
      <w:pPr>
        <w:rPr>
          <w:rFonts w:ascii="Times New Roman" w:hAnsi="Times New Roman" w:cs="Times New Roman"/>
          <w:sz w:val="28"/>
          <w:szCs w:val="28"/>
        </w:rPr>
      </w:pPr>
    </w:p>
    <w:p w:rsidR="00BF7B2C"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Mi voto discrepante reitera el desacuerdo con esa decisión. La crítica que formulo se construye a partir de los propios insumos del proceso: el texto de la sentencia, el proyecto de </w:t>
      </w:r>
      <w:r w:rsidRPr="00113298">
        <w:rPr>
          <w:rFonts w:ascii="Times New Roman" w:hAnsi="Times New Roman" w:cs="Times New Roman"/>
          <w:sz w:val="28"/>
          <w:szCs w:val="28"/>
        </w:rPr>
        <w:t xml:space="preserve">sentencia </w:t>
      </w:r>
      <w:r w:rsidRPr="00113298">
        <w:rPr>
          <w:rFonts w:ascii="Times New Roman" w:hAnsi="Times New Roman" w:cs="Times New Roman"/>
          <w:sz w:val="28"/>
          <w:szCs w:val="28"/>
        </w:rPr>
        <w:t>derrotado por la mayoría y las</w:t>
      </w:r>
      <w:r w:rsidRPr="00113298">
        <w:rPr>
          <w:rFonts w:ascii="Times New Roman" w:hAnsi="Times New Roman" w:cs="Times New Roman"/>
          <w:sz w:val="28"/>
          <w:szCs w:val="28"/>
        </w:rPr>
        <w:t xml:space="preserve"> distintas posturas expuestas por los intervinientes a lo largo del trámite.</w:t>
      </w:r>
    </w:p>
    <w:p w:rsidR="003F605D" w:rsidRPr="00113298" w:rsidRDefault="00113298" w:rsidP="003F605D">
      <w:pPr>
        <w:rPr>
          <w:rFonts w:ascii="Times New Roman" w:hAnsi="Times New Roman" w:cs="Times New Roman"/>
          <w:sz w:val="28"/>
          <w:szCs w:val="28"/>
        </w:rPr>
      </w:pPr>
    </w:p>
    <w:p w:rsidR="00BF7B2C"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Desde el inicio consideré que la demanda era apta y que el asunto debía resolverse de fondo. Más aún, </w:t>
      </w:r>
      <w:r w:rsidRPr="00113298">
        <w:rPr>
          <w:rFonts w:ascii="Times New Roman" w:hAnsi="Times New Roman" w:cs="Times New Roman"/>
          <w:sz w:val="28"/>
          <w:szCs w:val="28"/>
        </w:rPr>
        <w:t>e</w:t>
      </w:r>
      <w:r w:rsidRPr="00113298">
        <w:rPr>
          <w:rFonts w:ascii="Times New Roman" w:hAnsi="Times New Roman" w:cs="Times New Roman"/>
          <w:sz w:val="28"/>
          <w:szCs w:val="28"/>
        </w:rPr>
        <w:t>l</w:t>
      </w:r>
      <w:r w:rsidRPr="00113298">
        <w:rPr>
          <w:rFonts w:ascii="Times New Roman" w:hAnsi="Times New Roman" w:cs="Times New Roman"/>
          <w:sz w:val="28"/>
          <w:szCs w:val="28"/>
        </w:rPr>
        <w:t xml:space="preserve"> proyecto </w:t>
      </w:r>
      <w:r w:rsidRPr="00113298">
        <w:rPr>
          <w:rFonts w:ascii="Times New Roman" w:hAnsi="Times New Roman" w:cs="Times New Roman"/>
          <w:sz w:val="28"/>
          <w:szCs w:val="28"/>
        </w:rPr>
        <w:t>derrotad</w:t>
      </w:r>
      <w:r w:rsidRPr="00113298">
        <w:rPr>
          <w:rFonts w:ascii="Times New Roman" w:hAnsi="Times New Roman" w:cs="Times New Roman"/>
          <w:sz w:val="28"/>
          <w:szCs w:val="28"/>
        </w:rPr>
        <w:t>o</w:t>
      </w:r>
      <w:r w:rsidRPr="00113298">
        <w:rPr>
          <w:rFonts w:ascii="Times New Roman" w:hAnsi="Times New Roman" w:cs="Times New Roman"/>
          <w:sz w:val="28"/>
          <w:szCs w:val="28"/>
        </w:rPr>
        <w:t xml:space="preserve"> no solo concluía que la demanda satisfacía los requisitos de aptitud, sino que proponía declarar la inexequibilidad de la expresión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contenida en los tipos penales relativos a las violencias sexuales, decisión que, a mi juicio, habría r</w:t>
      </w:r>
      <w:r w:rsidRPr="00113298">
        <w:rPr>
          <w:rFonts w:ascii="Times New Roman" w:hAnsi="Times New Roman" w:cs="Times New Roman"/>
          <w:sz w:val="28"/>
          <w:szCs w:val="28"/>
        </w:rPr>
        <w:t xml:space="preserve">epresentado un hito en la protección de los derechos </w:t>
      </w:r>
      <w:r w:rsidRPr="00113298">
        <w:rPr>
          <w:rFonts w:ascii="Times New Roman" w:hAnsi="Times New Roman" w:cs="Times New Roman"/>
          <w:sz w:val="28"/>
          <w:szCs w:val="28"/>
        </w:rPr>
        <w:t>de los combatientes</w:t>
      </w:r>
      <w:r w:rsidRPr="00113298">
        <w:rPr>
          <w:rFonts w:ascii="Times New Roman" w:hAnsi="Times New Roman" w:cs="Times New Roman"/>
          <w:sz w:val="28"/>
          <w:szCs w:val="28"/>
        </w:rPr>
        <w:t xml:space="preserve"> en contextos de conflicto armado. La mayoría, sin embargo, optó por un camino distinto.</w:t>
      </w:r>
    </w:p>
    <w:p w:rsidR="003F605D" w:rsidRPr="00113298" w:rsidRDefault="00113298" w:rsidP="003F605D">
      <w:pPr>
        <w:rPr>
          <w:rFonts w:ascii="Times New Roman" w:hAnsi="Times New Roman" w:cs="Times New Roman"/>
          <w:sz w:val="28"/>
          <w:szCs w:val="28"/>
        </w:rPr>
      </w:pPr>
    </w:p>
    <w:p w:rsidR="00BF7B2C"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Cada una de las razones que la sentencia expone para justificar la inhibición se confronta, en</w:t>
      </w:r>
      <w:r w:rsidRPr="00113298">
        <w:rPr>
          <w:rFonts w:ascii="Times New Roman" w:hAnsi="Times New Roman" w:cs="Times New Roman"/>
          <w:sz w:val="28"/>
          <w:szCs w:val="28"/>
        </w:rPr>
        <w:t xml:space="preserve"> este salvamento, con los argumentos que, en mi criterio, demostraban la necesidad de un pronunciamiento de fondo. El resultado </w:t>
      </w:r>
      <w:r w:rsidRPr="00113298">
        <w:rPr>
          <w:rFonts w:ascii="Times New Roman" w:hAnsi="Times New Roman" w:cs="Times New Roman"/>
          <w:sz w:val="28"/>
          <w:szCs w:val="28"/>
        </w:rPr>
        <w:t xml:space="preserve">pone en </w:t>
      </w:r>
      <w:r w:rsidRPr="00113298">
        <w:rPr>
          <w:rFonts w:ascii="Times New Roman" w:hAnsi="Times New Roman" w:cs="Times New Roman"/>
          <w:sz w:val="28"/>
          <w:szCs w:val="28"/>
        </w:rPr>
        <w:t>evidencia una decisión que, en uno de los debates constitucionales más delicados de los últimos años, privilegió una sal</w:t>
      </w:r>
      <w:r w:rsidRPr="00113298">
        <w:rPr>
          <w:rFonts w:ascii="Times New Roman" w:hAnsi="Times New Roman" w:cs="Times New Roman"/>
          <w:sz w:val="28"/>
          <w:szCs w:val="28"/>
        </w:rPr>
        <w:t>ida inhibitoria al costo de dejar sin respuesta de fondo la situación de las víctimas más vulnerables del conflicto armado colombiano.</w:t>
      </w:r>
    </w:p>
    <w:p w:rsidR="00A86885"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En primer término, la Sentencia C-074 de 2026 fundamentó su decisión inhibitoria en cuatro supuestos déficits argumentat</w:t>
      </w:r>
      <w:r w:rsidRPr="00113298">
        <w:rPr>
          <w:rFonts w:ascii="Times New Roman" w:hAnsi="Times New Roman" w:cs="Times New Roman"/>
          <w:sz w:val="28"/>
          <w:szCs w:val="28"/>
        </w:rPr>
        <w:t>ivos de la demanda: falta de claridad, certeza, pertinencia y suficiencia. A mi juicio, cada uno de esos reproches parte de una premisa metodológica discutible y, en algunos casos, de una lectura excesivamente restrictiva del contenido y alcance de la dema</w:t>
      </w:r>
      <w:r w:rsidRPr="00113298">
        <w:rPr>
          <w:rFonts w:ascii="Times New Roman" w:hAnsi="Times New Roman" w:cs="Times New Roman"/>
          <w:sz w:val="28"/>
          <w:szCs w:val="28"/>
        </w:rPr>
        <w:t>nda</w:t>
      </w:r>
      <w:r w:rsidRPr="00113298">
        <w:rPr>
          <w:rFonts w:ascii="Times New Roman" w:hAnsi="Times New Roman" w:cs="Times New Roman"/>
          <w:sz w:val="28"/>
          <w:szCs w:val="28"/>
        </w:rPr>
        <w:t>.</w:t>
      </w:r>
    </w:p>
    <w:p w:rsidR="003F605D"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Respecto a la claridad, la mayoría sostiene que la demanda entremezclaba diversas líneas argumentativas -omisión legislativa relativa, violación al bloque de constitucionalidad y trato desigual- sin desarrollarlas de manera autónoma y articulada. La </w:t>
      </w:r>
      <w:r w:rsidRPr="00113298">
        <w:rPr>
          <w:rFonts w:ascii="Times New Roman" w:hAnsi="Times New Roman" w:cs="Times New Roman"/>
          <w:sz w:val="28"/>
          <w:szCs w:val="28"/>
        </w:rPr>
        <w:t>crítica tiene un punto de apoyo textual: la demanda organiza su estructura de manera poco convencional. Pero confundir la forma expositiva de un escrito con su contenido constitucional es un error de diagnóstico. La acusación central era inequívoca: exigir</w:t>
      </w:r>
      <w:r w:rsidRPr="00113298">
        <w:rPr>
          <w:rFonts w:ascii="Times New Roman" w:hAnsi="Times New Roman" w:cs="Times New Roman"/>
          <w:sz w:val="28"/>
          <w:szCs w:val="28"/>
        </w:rPr>
        <w:t xml:space="preserve"> la calidad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para que los combatientes víctimas de violencia sexual intrafilas puedan acceder a los tipos penales del Título II del Código Penal genera una exclusión injustificada que viola el bloque de constitucionalidad y el princip</w:t>
      </w:r>
      <w:r w:rsidRPr="00113298">
        <w:rPr>
          <w:rFonts w:ascii="Times New Roman" w:hAnsi="Times New Roman" w:cs="Times New Roman"/>
          <w:sz w:val="28"/>
          <w:szCs w:val="28"/>
        </w:rPr>
        <w:t>io de igualdad. Que la demandante haya desplegado esa acusación desde varios ángulos no la vuelve confusa; la hace comprensiva.</w:t>
      </w:r>
    </w:p>
    <w:p w:rsidR="003F605D"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En su momento, como sustanciador del trámite al admitir la demanda identifiqué con precisión los cargos y los </w:t>
      </w:r>
      <w:r w:rsidRPr="00113298">
        <w:rPr>
          <w:rFonts w:ascii="Times New Roman" w:hAnsi="Times New Roman" w:cs="Times New Roman"/>
          <w:sz w:val="28"/>
          <w:szCs w:val="28"/>
        </w:rPr>
        <w:t xml:space="preserve">consideré </w:t>
      </w:r>
      <w:r w:rsidRPr="00113298">
        <w:rPr>
          <w:rFonts w:ascii="Times New Roman" w:hAnsi="Times New Roman" w:cs="Times New Roman"/>
          <w:sz w:val="28"/>
          <w:szCs w:val="28"/>
        </w:rPr>
        <w:t xml:space="preserve">aptos. </w:t>
      </w:r>
      <w:r w:rsidRPr="00113298">
        <w:rPr>
          <w:rFonts w:ascii="Times New Roman" w:hAnsi="Times New Roman" w:cs="Times New Roman"/>
          <w:sz w:val="28"/>
          <w:szCs w:val="28"/>
        </w:rPr>
        <w:t>Más significativo aún: la ponencia original -cuya estructura analítica fue construida precisamente para responder a esos cargos- demostraba que el problema constitucional era perfectamente identificable y resoluble. Un cargo que permite estructurar una pon</w:t>
      </w:r>
      <w:r w:rsidRPr="00113298">
        <w:rPr>
          <w:rFonts w:ascii="Times New Roman" w:hAnsi="Times New Roman" w:cs="Times New Roman"/>
          <w:sz w:val="28"/>
          <w:szCs w:val="28"/>
        </w:rPr>
        <w:t>encia de fondo de esas dimensiones no puede ser simultáneamente un cargo que carece de claridad. El argumento de la mayoría colapsa ante su propio proceso de elaboración.</w:t>
      </w:r>
    </w:p>
    <w:p w:rsidR="003F605D"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En cuanto a la certeza, la mayoría argumentó que la demanda partía de una lectura </w:t>
      </w:r>
      <w:r w:rsidRPr="00113298">
        <w:rPr>
          <w:rFonts w:ascii="Times New Roman" w:hAnsi="Times New Roman" w:cs="Times New Roman"/>
          <w:sz w:val="28"/>
          <w:szCs w:val="28"/>
        </w:rPr>
        <w:t>incorrecta de las normas acusadas. A su juicio, el concepto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del parágrafo del artículo 135 del Código Penal no es un listado taxativo, sino una cláusula abierta que, vía el numeral 8º, permite integrar a los combatientes intrafilas c</w:t>
      </w:r>
      <w:r w:rsidRPr="00113298">
        <w:rPr>
          <w:rFonts w:ascii="Times New Roman" w:hAnsi="Times New Roman" w:cs="Times New Roman"/>
          <w:sz w:val="28"/>
          <w:szCs w:val="28"/>
        </w:rPr>
        <w:t>omo personas protegidas a través de los Convenios de Ginebra y sus protocolos. En consecuencia, la exclusión que la demandante denunciaba no existía en el texto normativo, sino que era una construcción subjetiva.</w:t>
      </w:r>
    </w:p>
    <w:p w:rsidR="003F605D"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Esta respuesta es formalmente </w:t>
      </w:r>
      <w:r w:rsidRPr="00113298">
        <w:rPr>
          <w:rFonts w:ascii="Times New Roman" w:hAnsi="Times New Roman" w:cs="Times New Roman"/>
          <w:sz w:val="28"/>
          <w:szCs w:val="28"/>
        </w:rPr>
        <w:t>plausible</w:t>
      </w:r>
      <w:r w:rsidRPr="00113298">
        <w:rPr>
          <w:rFonts w:ascii="Times New Roman" w:hAnsi="Times New Roman" w:cs="Times New Roman"/>
          <w:sz w:val="28"/>
          <w:szCs w:val="28"/>
        </w:rPr>
        <w:t>, p</w:t>
      </w:r>
      <w:r w:rsidRPr="00113298">
        <w:rPr>
          <w:rFonts w:ascii="Times New Roman" w:hAnsi="Times New Roman" w:cs="Times New Roman"/>
          <w:sz w:val="28"/>
          <w:szCs w:val="28"/>
        </w:rPr>
        <w:t>ero sustantivamente insatisfactoria. Si el ordenamiento vigente ya brindaba protección suficiente a estas víctimas, ¿por qué la Corte tuvo que pronunciarse en sede de unificación en 2019 para aclarar que los combatientes víctimas de violencia sexual intraf</w:t>
      </w:r>
      <w:r w:rsidRPr="00113298">
        <w:rPr>
          <w:rFonts w:ascii="Times New Roman" w:hAnsi="Times New Roman" w:cs="Times New Roman"/>
          <w:sz w:val="28"/>
          <w:szCs w:val="28"/>
        </w:rPr>
        <w:t>ilas sí debían ser reconocidos como víctimas? La Sentencia SU-599 de 2019 no es un fallo en el vacío: es la prueba documental de que el texto del artículo 135</w:t>
      </w:r>
      <w:r w:rsidRPr="00113298">
        <w:rPr>
          <w:rFonts w:ascii="Times New Roman" w:hAnsi="Times New Roman" w:cs="Times New Roman"/>
          <w:sz w:val="28"/>
          <w:szCs w:val="28"/>
        </w:rPr>
        <w:t xml:space="preserve"> del Código </w:t>
      </w:r>
      <w:r w:rsidRPr="00113298">
        <w:rPr>
          <w:rFonts w:ascii="Times New Roman" w:hAnsi="Times New Roman" w:cs="Times New Roman"/>
          <w:sz w:val="28"/>
          <w:szCs w:val="28"/>
        </w:rPr>
        <w:t>P</w:t>
      </w:r>
      <w:r w:rsidRPr="00113298">
        <w:rPr>
          <w:rFonts w:ascii="Times New Roman" w:hAnsi="Times New Roman" w:cs="Times New Roman"/>
          <w:sz w:val="28"/>
          <w:szCs w:val="28"/>
        </w:rPr>
        <w:t>enal</w:t>
      </w:r>
      <w:r w:rsidRPr="00113298">
        <w:rPr>
          <w:rFonts w:ascii="Times New Roman" w:hAnsi="Times New Roman" w:cs="Times New Roman"/>
          <w:sz w:val="28"/>
          <w:szCs w:val="28"/>
        </w:rPr>
        <w:t xml:space="preserve"> y su remisión al Derecho Internacional Humanitario no resolvían el problema, sin</w:t>
      </w:r>
      <w:r w:rsidRPr="00113298">
        <w:rPr>
          <w:rFonts w:ascii="Times New Roman" w:hAnsi="Times New Roman" w:cs="Times New Roman"/>
          <w:sz w:val="28"/>
          <w:szCs w:val="28"/>
        </w:rPr>
        <w:t>o que lo dejaba abierto a interpretaciones que en la práctica excluían a estas víctimas. En ese orden de ideas,</w:t>
      </w:r>
      <w:r w:rsidRPr="00113298">
        <w:rPr>
          <w:rFonts w:ascii="Times New Roman" w:hAnsi="Times New Roman" w:cs="Times New Roman"/>
          <w:sz w:val="28"/>
          <w:szCs w:val="28"/>
        </w:rPr>
        <w:t xml:space="preserve"> creo firmemente</w:t>
      </w:r>
      <w:r w:rsidRPr="00113298">
        <w:rPr>
          <w:rFonts w:ascii="Times New Roman" w:hAnsi="Times New Roman" w:cs="Times New Roman"/>
          <w:sz w:val="28"/>
          <w:szCs w:val="28"/>
        </w:rPr>
        <w:t xml:space="preserve"> que una Corte que en 2019 tuvo que pronunciarse de urgencia para conjurar ese déficit no puede decir en 2026 que el déficit nunc</w:t>
      </w:r>
      <w:r w:rsidRPr="00113298">
        <w:rPr>
          <w:rFonts w:ascii="Times New Roman" w:hAnsi="Times New Roman" w:cs="Times New Roman"/>
          <w:sz w:val="28"/>
          <w:szCs w:val="28"/>
        </w:rPr>
        <w:t>a existió.</w:t>
      </w:r>
    </w:p>
    <w:p w:rsidR="003F605D"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Ahora bien, la pregunta sobre la sentencia de unificación es retórica pero devastadora. La mayoría no tiene respuesta para ella. Lo que hace, en cambio, es sostener que el ordenamiento vigente ya resolvía el problema y que la demanda simplement</w:t>
      </w:r>
      <w:r w:rsidRPr="00113298">
        <w:rPr>
          <w:rFonts w:ascii="Times New Roman" w:hAnsi="Times New Roman" w:cs="Times New Roman"/>
          <w:sz w:val="28"/>
          <w:szCs w:val="28"/>
        </w:rPr>
        <w:t>e no lo vio. Pero esa postura requiere ignorar el fallo de unificación del año 2019, hacer lo propio con los casos documentados ante la Jurisdicción Especial para la Paz, ignorar las intervenciones de la Procuraduría, Defensoría del Pueblo y de la propia J</w:t>
      </w:r>
      <w:r w:rsidRPr="00113298">
        <w:rPr>
          <w:rFonts w:ascii="Times New Roman" w:hAnsi="Times New Roman" w:cs="Times New Roman"/>
          <w:sz w:val="28"/>
          <w:szCs w:val="28"/>
        </w:rPr>
        <w:t>urisdicción Especial para la Paz durante el trámite, y -sobre todo- desconocer el testimonio de las víctimas que la Corte tuvo la oportunidad de escuchar en la audiencia pública del 12 de agosto de 2025.</w:t>
      </w:r>
    </w:p>
    <w:p w:rsidR="00720AC8"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En segundo lugar, respecto de la carga </w:t>
      </w:r>
      <w:r w:rsidRPr="00113298">
        <w:rPr>
          <w:rFonts w:ascii="Times New Roman" w:hAnsi="Times New Roman" w:cs="Times New Roman"/>
          <w:sz w:val="28"/>
          <w:szCs w:val="28"/>
        </w:rPr>
        <w:t>argumentativa exigible en una acción pública de inconstitucionalidad, con el debido respeto, y como lo he sostenido en varios asuntos, entre ellos en el salvamento de voto a la Sentencia C-037 de 2026, considero que la Corte está convirtiendo la acción púb</w:t>
      </w:r>
      <w:r w:rsidRPr="00113298">
        <w:rPr>
          <w:rFonts w:ascii="Times New Roman" w:hAnsi="Times New Roman" w:cs="Times New Roman"/>
          <w:sz w:val="28"/>
          <w:szCs w:val="28"/>
        </w:rPr>
        <w:t>lica de inconstitucionalidad en algo que no es y que nunca debió ser.</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El artículo 40 de la Constitución reconoce la acción pública de inconstitucionalidad como un derecho político fundamental. Cualquier ciudadano puede ejercerla. No se exige título de abo</w:t>
      </w:r>
      <w:r w:rsidRPr="00113298">
        <w:rPr>
          <w:rFonts w:ascii="Times New Roman" w:hAnsi="Times New Roman" w:cs="Times New Roman"/>
          <w:sz w:val="28"/>
          <w:szCs w:val="28"/>
        </w:rPr>
        <w:t>gado, conocimiento técnico especializado ni el rigor argumentativo propio de un recurso extraordinario. Lo único que se exige es que el cargo sea concreto, razonable y genere, al menos, una duda sobre la constitucionalidad de la norma.</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En la Sentencia C-0</w:t>
      </w:r>
      <w:r w:rsidRPr="00113298">
        <w:rPr>
          <w:rFonts w:ascii="Times New Roman" w:hAnsi="Times New Roman" w:cs="Times New Roman"/>
          <w:sz w:val="28"/>
          <w:szCs w:val="28"/>
        </w:rPr>
        <w:t>74 de 2026, de la cual me aparto, se exige mucho más. Al calificar de insuficiente una demanda que contaba con el respaldo argumentativo de la Defensoría del Pueblo, la Jurisdicción Especial para la Paz, el propio Ministerio Público y de una audiencia públ</w:t>
      </w:r>
      <w:r w:rsidRPr="00113298">
        <w:rPr>
          <w:rFonts w:ascii="Times New Roman" w:hAnsi="Times New Roman" w:cs="Times New Roman"/>
          <w:sz w:val="28"/>
          <w:szCs w:val="28"/>
        </w:rPr>
        <w:t>ica en la que participaron expertos y víctimas, la mayoría termina estableciendo un estándar que supera ampliamente el umbral constitucional de aptitud. Insisto: a mi juicio, la demanda no solo cumplía el mínimo exigido, sino que lo superaba con creces.</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C</w:t>
      </w:r>
      <w:r w:rsidRPr="00113298">
        <w:rPr>
          <w:rFonts w:ascii="Times New Roman" w:hAnsi="Times New Roman" w:cs="Times New Roman"/>
          <w:sz w:val="28"/>
          <w:szCs w:val="28"/>
        </w:rPr>
        <w:t>omo lo he sostenido en otras oportunidades, si bien la acción pública de inconstitucionalidad está sometida al cumplimiento de determinados requisitos legales, estos no pueden exigirse con una rigurosidad tal que imponga cargas desproporcionadas a los dema</w:t>
      </w:r>
      <w:r w:rsidRPr="00113298">
        <w:rPr>
          <w:rFonts w:ascii="Times New Roman" w:hAnsi="Times New Roman" w:cs="Times New Roman"/>
          <w:sz w:val="28"/>
          <w:szCs w:val="28"/>
        </w:rPr>
        <w:t>ndantes, quienes, por regla general, son ciudadanos que ejercen un derecho político fundamental, hasta convertir esta acción en una especie de recurso extraordinario excesivamente cualificado.</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La precisión es relevante. Una doctrina que exige la demostrac</w:t>
      </w:r>
      <w:r w:rsidRPr="00113298">
        <w:rPr>
          <w:rFonts w:ascii="Times New Roman" w:hAnsi="Times New Roman" w:cs="Times New Roman"/>
          <w:sz w:val="28"/>
          <w:szCs w:val="28"/>
        </w:rPr>
        <w:t>ión plena de la inconstitucionalidad como condición de aptitud de la demanda no es una doctrina sobre la admisibilidad; es una doctrina sobre el mérito disfrazada de inadmisibilidad. Y ello, además de ser conceptualmente incorrecto, tiene consecuencias prá</w:t>
      </w:r>
      <w:r w:rsidRPr="00113298">
        <w:rPr>
          <w:rFonts w:ascii="Times New Roman" w:hAnsi="Times New Roman" w:cs="Times New Roman"/>
          <w:sz w:val="28"/>
          <w:szCs w:val="28"/>
        </w:rPr>
        <w:t>cticas de enorme trascendencia: las sentencias de exequibilidad estarían llamadas a desaparecer, pues si la inconstitucionalidad debe demostrarse plenamente desde el inicio, el desenlace inevitable será siempre la inhibición. Por esta vía, la Corte termina</w:t>
      </w:r>
      <w:r w:rsidRPr="00113298">
        <w:rPr>
          <w:rFonts w:ascii="Times New Roman" w:hAnsi="Times New Roman" w:cs="Times New Roman"/>
          <w:sz w:val="28"/>
          <w:szCs w:val="28"/>
        </w:rPr>
        <w:t>ría liberándose de la obligación de pronunciarse precisamente en aquellos casos en los que existen argumentos sólidos que requieren un examen de fondo, que son, justamente, los más frecuentes en el control abstracto de constitucionalidad.</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La realidad del </w:t>
      </w:r>
      <w:r w:rsidRPr="00113298">
        <w:rPr>
          <w:rFonts w:ascii="Times New Roman" w:hAnsi="Times New Roman" w:cs="Times New Roman"/>
          <w:sz w:val="28"/>
          <w:szCs w:val="28"/>
        </w:rPr>
        <w:t>expediente demuestra, además, que la premisa sobre la cual se edificó la decisión inhibitoria no se corresponde con lo ocurrido durante el trámite constitucional. La mayoría construye su inhibición como si la demanda hubiera sido un escrito aislado y defic</w:t>
      </w:r>
      <w:r w:rsidRPr="00113298">
        <w:rPr>
          <w:rFonts w:ascii="Times New Roman" w:hAnsi="Times New Roman" w:cs="Times New Roman"/>
          <w:sz w:val="28"/>
          <w:szCs w:val="28"/>
        </w:rPr>
        <w:t xml:space="preserve">ientemente elaborado, incapaz de suscitar un debate constitucional serio. Sin embargo, el expediente </w:t>
      </w:r>
      <w:r w:rsidRPr="00113298">
        <w:rPr>
          <w:rFonts w:ascii="Times New Roman" w:hAnsi="Times New Roman" w:cs="Times New Roman"/>
          <w:sz w:val="28"/>
          <w:szCs w:val="28"/>
        </w:rPr>
        <w:t>muestr</w:t>
      </w:r>
      <w:r w:rsidRPr="00113298">
        <w:rPr>
          <w:rFonts w:ascii="Times New Roman" w:hAnsi="Times New Roman" w:cs="Times New Roman"/>
          <w:sz w:val="28"/>
          <w:szCs w:val="28"/>
        </w:rPr>
        <w:t>a exactamente lo contrario.</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La demanda fue presentada en noviembre de 2024. En los meses siguientes, la Corte recibió nueve escritos de intervención</w:t>
      </w:r>
      <w:r w:rsidRPr="00113298">
        <w:rPr>
          <w:rFonts w:ascii="Times New Roman" w:hAnsi="Times New Roman" w:cs="Times New Roman"/>
          <w:sz w:val="28"/>
          <w:szCs w:val="28"/>
        </w:rPr>
        <w:t xml:space="preserve">. La Defensoría del Pueblo, la Jurisdicción Especial para la Paz y el Ministerio Público coincidieron </w:t>
      </w:r>
      <w:r w:rsidRPr="00113298">
        <w:rPr>
          <w:rFonts w:ascii="Times New Roman" w:hAnsi="Times New Roman" w:cs="Times New Roman"/>
          <w:sz w:val="28"/>
          <w:szCs w:val="28"/>
        </w:rPr>
        <w:t>-</w:t>
      </w:r>
      <w:r w:rsidRPr="00113298">
        <w:rPr>
          <w:rFonts w:ascii="Times New Roman" w:hAnsi="Times New Roman" w:cs="Times New Roman"/>
          <w:sz w:val="28"/>
          <w:szCs w:val="28"/>
        </w:rPr>
        <w:t>desde perspectivas distintas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en la existencia de un problema constitucional real. El Procurador General solicitó la inexequibilidad de la expresión "</w:t>
      </w:r>
      <w:r w:rsidRPr="00113298">
        <w:rPr>
          <w:rFonts w:ascii="Times New Roman" w:hAnsi="Times New Roman" w:cs="Times New Roman"/>
          <w:i/>
          <w:iCs/>
          <w:sz w:val="28"/>
          <w:szCs w:val="28"/>
        </w:rPr>
        <w:t>per</w:t>
      </w:r>
      <w:r w:rsidRPr="00113298">
        <w:rPr>
          <w:rFonts w:ascii="Times New Roman" w:hAnsi="Times New Roman" w:cs="Times New Roman"/>
          <w:i/>
          <w:iCs/>
          <w:sz w:val="28"/>
          <w:szCs w:val="28"/>
        </w:rPr>
        <w:t>sona protegida"</w:t>
      </w:r>
      <w:r w:rsidRPr="00113298">
        <w:rPr>
          <w:rFonts w:ascii="Times New Roman" w:hAnsi="Times New Roman" w:cs="Times New Roman"/>
          <w:sz w:val="28"/>
          <w:szCs w:val="28"/>
        </w:rPr>
        <w:t xml:space="preserve"> en los tipos penales relativos a la violencia sexual. La Jurisdicción Especial para la Paz aportó información precisa sobre la magnitud del déficit de protección. A ello se sumó la audiencia pública del 12 de agosto de 2025, en la que exper</w:t>
      </w:r>
      <w:r w:rsidRPr="00113298">
        <w:rPr>
          <w:rFonts w:ascii="Times New Roman" w:hAnsi="Times New Roman" w:cs="Times New Roman"/>
          <w:sz w:val="28"/>
          <w:szCs w:val="28"/>
        </w:rPr>
        <w:t>tos, autoridades y víctimas coincidieron en que la exclusión normativa denunciada producía consecuencias reales y devastadoras.</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Incluso la propia presidenta de la Sala de Casación Penal de la Corte Suprema de Justicia reconoció, durante esa audiencia, que</w:t>
      </w:r>
      <w:r w:rsidRPr="00113298">
        <w:rPr>
          <w:rFonts w:ascii="Times New Roman" w:hAnsi="Times New Roman" w:cs="Times New Roman"/>
          <w:sz w:val="28"/>
          <w:szCs w:val="28"/>
        </w:rPr>
        <w:t xml:space="preserve"> desde una lectura objetiva del texto legal era posible concluir que las víctimas de violencia sexual intrafilas quedaban por fuera de la protección prevista por la norma. Ese reconocimiento </w:t>
      </w:r>
      <w:r w:rsidRPr="00113298">
        <w:rPr>
          <w:rFonts w:ascii="Times New Roman" w:hAnsi="Times New Roman" w:cs="Times New Roman"/>
          <w:sz w:val="28"/>
          <w:szCs w:val="28"/>
        </w:rPr>
        <w:t>-</w:t>
      </w:r>
      <w:r w:rsidRPr="00113298">
        <w:rPr>
          <w:rFonts w:ascii="Times New Roman" w:hAnsi="Times New Roman" w:cs="Times New Roman"/>
          <w:sz w:val="28"/>
          <w:szCs w:val="28"/>
        </w:rPr>
        <w:t>proveniente precisamente de la autoridad judicial que más ha apl</w:t>
      </w:r>
      <w:r w:rsidRPr="00113298">
        <w:rPr>
          <w:rFonts w:ascii="Times New Roman" w:hAnsi="Times New Roman" w:cs="Times New Roman"/>
          <w:sz w:val="28"/>
          <w:szCs w:val="28"/>
        </w:rPr>
        <w:t>icado esos tipos penales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resulta, por sí solo, suficiente para demostrar que la acusación recaía sobre una proposición jurídica real y razonablemente defendible, y no sobre una interpretación caprichosa o subjetiva.</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Que, después de todo ese despliegue de</w:t>
      </w:r>
      <w:r w:rsidRPr="00113298">
        <w:rPr>
          <w:rFonts w:ascii="Times New Roman" w:hAnsi="Times New Roman" w:cs="Times New Roman"/>
          <w:sz w:val="28"/>
          <w:szCs w:val="28"/>
        </w:rPr>
        <w:t xml:space="preserve"> información, la Corte haya concluido que la demanda carecía de certeza porque la exclusión no se desprendía del contenido normativo de las disposiciones acusadas demuestra, a mi juicio, que la mayoría prefirió encontrar una razón para inhibirse antes que </w:t>
      </w:r>
      <w:r w:rsidRPr="00113298">
        <w:rPr>
          <w:rFonts w:ascii="Times New Roman" w:hAnsi="Times New Roman" w:cs="Times New Roman"/>
          <w:sz w:val="28"/>
          <w:szCs w:val="28"/>
        </w:rPr>
        <w:t xml:space="preserve">afrontar el problema constitucional planteado. En ello advierto, además, una tendencia creciente y </w:t>
      </w:r>
      <w:r w:rsidRPr="00113298">
        <w:rPr>
          <w:rFonts w:ascii="Times New Roman" w:hAnsi="Times New Roman" w:cs="Times New Roman"/>
          <w:sz w:val="28"/>
          <w:szCs w:val="28"/>
        </w:rPr>
        <w:t>preocupante: la Corte Constitucional está elevando progresivamente el umbral de aptitud de las demandas hasta convertirlo, en la práctica, en una verdadera b</w:t>
      </w:r>
      <w:r w:rsidRPr="00113298">
        <w:rPr>
          <w:rFonts w:ascii="Times New Roman" w:hAnsi="Times New Roman" w:cs="Times New Roman"/>
          <w:sz w:val="28"/>
          <w:szCs w:val="28"/>
        </w:rPr>
        <w:t>arrera de acceso a la justicia constitucional.</w:t>
      </w:r>
    </w:p>
    <w:p w:rsidR="004210E8"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En tercer lugar, el argumento de la mayoría sobre la suficiencia resulta particularmente ilustrativo de este fenómeno. A juicio de la Sala, la demanda no logró suscitar una duda mínima, seria y razonable sobr</w:t>
      </w:r>
      <w:r w:rsidRPr="00113298">
        <w:rPr>
          <w:rFonts w:ascii="Times New Roman" w:hAnsi="Times New Roman" w:cs="Times New Roman"/>
          <w:sz w:val="28"/>
          <w:szCs w:val="28"/>
        </w:rPr>
        <w:t>e la constitucionalidad de las disposiciones acusadas, ni desvirtuar la presunción de constitucionalidad que las ampara. Formulado en esos términos, el requisito de suficiencia deja de ser un presupuesto para habilitar el juicio constitucional y pasa a con</w:t>
      </w:r>
      <w:r w:rsidRPr="00113298">
        <w:rPr>
          <w:rFonts w:ascii="Times New Roman" w:hAnsi="Times New Roman" w:cs="Times New Roman"/>
          <w:sz w:val="28"/>
          <w:szCs w:val="28"/>
        </w:rPr>
        <w:t>vertirse en un mecanismo para excluir del control abstracto precisamente aquellas demandas que plantean los problemas constitucionales más complejos y controvertidos.</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Existe una evidente paradoja en esa construcción. La presunción de constitucionalidad de</w:t>
      </w:r>
      <w:r w:rsidRPr="00113298">
        <w:rPr>
          <w:rFonts w:ascii="Times New Roman" w:hAnsi="Times New Roman" w:cs="Times New Roman"/>
          <w:sz w:val="28"/>
          <w:szCs w:val="28"/>
        </w:rPr>
        <w:t xml:space="preserve"> la ley fue concebida para preservar la actividad legislativa frente a controles judiciales precipitados o infundados. Sin embargo, cuando esa presunción se transforma en la exigencia de demostrar plenamente la inconstitucionalidad antes siquiera de inicia</w:t>
      </w:r>
      <w:r w:rsidRPr="00113298">
        <w:rPr>
          <w:rFonts w:ascii="Times New Roman" w:hAnsi="Times New Roman" w:cs="Times New Roman"/>
          <w:sz w:val="28"/>
          <w:szCs w:val="28"/>
        </w:rPr>
        <w:t>r el juicio de fondo, deja de operar como una presunción y se convierte en un verdadero escudo frente al control constitucional. Ya no se presume la constitucionalidad para permitir que esta sea controvertida en el proceso; se exige desvirtuarla como condi</w:t>
      </w:r>
      <w:r w:rsidRPr="00113298">
        <w:rPr>
          <w:rFonts w:ascii="Times New Roman" w:hAnsi="Times New Roman" w:cs="Times New Roman"/>
          <w:sz w:val="28"/>
          <w:szCs w:val="28"/>
        </w:rPr>
        <w:t>ción para acceder al propio debate constitucional.</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 xml:space="preserve">Por esa vía, insisto, las sentencias que declaran la exequibilidad de las normas demandadas estarían llamadas a desaparecer. Si desde la etapa de admisibilidad se exige una demostración cabal de la inconstitucionalidad, capaz de desvirtuar </w:t>
      </w:r>
      <w:r w:rsidRPr="00113298">
        <w:rPr>
          <w:rFonts w:ascii="Times New Roman" w:hAnsi="Times New Roman" w:cs="Times New Roman"/>
          <w:i/>
          <w:iCs/>
          <w:sz w:val="28"/>
          <w:szCs w:val="28"/>
        </w:rPr>
        <w:t>ab initio</w:t>
      </w:r>
      <w:r w:rsidRPr="00113298">
        <w:rPr>
          <w:rFonts w:ascii="Times New Roman" w:hAnsi="Times New Roman" w:cs="Times New Roman"/>
          <w:sz w:val="28"/>
          <w:szCs w:val="28"/>
        </w:rPr>
        <w:t xml:space="preserve"> la pre</w:t>
      </w:r>
      <w:r w:rsidRPr="00113298">
        <w:rPr>
          <w:rFonts w:ascii="Times New Roman" w:hAnsi="Times New Roman" w:cs="Times New Roman"/>
          <w:sz w:val="28"/>
          <w:szCs w:val="28"/>
        </w:rPr>
        <w:t>sunción de constitucionalidad, el desenlace será, invariablemente, la inhibición.</w:t>
      </w:r>
    </w:p>
    <w:p w:rsidR="00FD4FD3" w:rsidRPr="00113298" w:rsidRDefault="00113298" w:rsidP="003F605D">
      <w:pPr>
        <w:rPr>
          <w:rFonts w:ascii="Times New Roman" w:hAnsi="Times New Roman" w:cs="Times New Roman"/>
          <w:sz w:val="28"/>
          <w:szCs w:val="28"/>
        </w:rPr>
      </w:pPr>
    </w:p>
    <w:p w:rsidR="003F605D" w:rsidRPr="00113298" w:rsidRDefault="00113298" w:rsidP="003F605D">
      <w:pPr>
        <w:rPr>
          <w:rFonts w:ascii="Times New Roman" w:hAnsi="Times New Roman" w:cs="Times New Roman"/>
          <w:sz w:val="28"/>
          <w:szCs w:val="28"/>
        </w:rPr>
      </w:pPr>
      <w:r w:rsidRPr="00113298">
        <w:rPr>
          <w:rFonts w:ascii="Times New Roman" w:hAnsi="Times New Roman" w:cs="Times New Roman"/>
          <w:sz w:val="28"/>
          <w:szCs w:val="28"/>
        </w:rPr>
        <w:t>Las implicaciones de esta tesis trascienden ampliamente el presente expediente (D-16.296). Si este es el estándar que la Corte pretende consolidar, la acción pública de inco</w:t>
      </w:r>
      <w:r w:rsidRPr="00113298">
        <w:rPr>
          <w:rFonts w:ascii="Times New Roman" w:hAnsi="Times New Roman" w:cs="Times New Roman"/>
          <w:sz w:val="28"/>
          <w:szCs w:val="28"/>
        </w:rPr>
        <w:t>nstitucionalidad pierde buena parte de su razón de ser. El ciudadano que identifica un problema constitucional grave, pero jurídicamente complejo, difícilmente podrá satisfacer un umbral de demostración que, en realidad, corresponde al juicio de fondo y no</w:t>
      </w:r>
      <w:r w:rsidRPr="00113298">
        <w:rPr>
          <w:rFonts w:ascii="Times New Roman" w:hAnsi="Times New Roman" w:cs="Times New Roman"/>
          <w:sz w:val="28"/>
          <w:szCs w:val="28"/>
        </w:rPr>
        <w:t xml:space="preserve"> a la aptitud de la demanda. Y esa conclusión resulta especialmente preocupante, porque la función de la Corte Constitucional no consiste en resolver únicamente los casos fáciles, sino, precisamente, aquellos en los que las tensiones constitucionales exige</w:t>
      </w:r>
      <w:r w:rsidRPr="00113298">
        <w:rPr>
          <w:rFonts w:ascii="Times New Roman" w:hAnsi="Times New Roman" w:cs="Times New Roman"/>
          <w:sz w:val="28"/>
          <w:szCs w:val="28"/>
        </w:rPr>
        <w:t>n una respuesta judicial de fondo.</w:t>
      </w:r>
    </w:p>
    <w:p w:rsidR="00FD4FD3" w:rsidRPr="00113298" w:rsidRDefault="00113298" w:rsidP="003F605D">
      <w:pPr>
        <w:rPr>
          <w:rFonts w:ascii="Times New Roman" w:hAnsi="Times New Roman" w:cs="Times New Roman"/>
          <w:sz w:val="28"/>
          <w:szCs w:val="28"/>
        </w:rPr>
      </w:pPr>
    </w:p>
    <w:p w:rsidR="003F3B3A"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La preocupación aumenta cuando se advierte que, en este caso, la "</w:t>
      </w:r>
      <w:r w:rsidRPr="00113298">
        <w:rPr>
          <w:rFonts w:ascii="Times New Roman" w:hAnsi="Times New Roman" w:cs="Times New Roman"/>
          <w:i/>
          <w:iCs/>
          <w:sz w:val="28"/>
          <w:szCs w:val="28"/>
        </w:rPr>
        <w:t>duda fundada</w:t>
      </w:r>
      <w:r w:rsidRPr="00113298">
        <w:rPr>
          <w:rFonts w:ascii="Times New Roman" w:hAnsi="Times New Roman" w:cs="Times New Roman"/>
          <w:sz w:val="28"/>
          <w:szCs w:val="28"/>
        </w:rPr>
        <w:t>" que la mayoría afirma no encontrar fue expresamente planteada por el Ministerio Público, la Jurisdicción Especial para la Paz, la Defensoría</w:t>
      </w:r>
      <w:r w:rsidRPr="00113298">
        <w:rPr>
          <w:rFonts w:ascii="Times New Roman" w:hAnsi="Times New Roman" w:cs="Times New Roman"/>
          <w:sz w:val="28"/>
          <w:szCs w:val="28"/>
        </w:rPr>
        <w:t xml:space="preserve"> del Pueblo, dos universidades y reconocidos expertos en Derecho Internacional Humanitario y derecho penal internacional. Si un debate constitucional respaldado por ese conjunto de instituciones y expertos no alcanza siquiera el umbral mínimo para abrir un</w:t>
      </w:r>
      <w:r w:rsidRPr="00113298">
        <w:rPr>
          <w:rFonts w:ascii="Times New Roman" w:hAnsi="Times New Roman" w:cs="Times New Roman"/>
          <w:sz w:val="28"/>
          <w:szCs w:val="28"/>
        </w:rPr>
        <w:t xml:space="preserve"> juicio de constitucionalidad, entonces el estándar deja de ser un criterio jurídico de admisibilidad y se convierte, en la práctica, en una barrera de acceso al control abstracto de constitucionalidad</w:t>
      </w:r>
      <w:r w:rsidRPr="00113298">
        <w:rPr>
          <w:rFonts w:ascii="Times New Roman" w:hAnsi="Times New Roman" w:cs="Times New Roman"/>
          <w:sz w:val="28"/>
          <w:szCs w:val="28"/>
        </w:rPr>
        <w:t>.</w:t>
      </w:r>
    </w:p>
    <w:p w:rsidR="004210E8" w:rsidRPr="00113298" w:rsidRDefault="00113298" w:rsidP="00720AC8">
      <w:pPr>
        <w:rPr>
          <w:rFonts w:ascii="Times New Roman" w:hAnsi="Times New Roman" w:cs="Times New Roman"/>
          <w:sz w:val="28"/>
          <w:szCs w:val="28"/>
        </w:rPr>
      </w:pPr>
    </w:p>
    <w:p w:rsidR="008862E4" w:rsidRPr="00113298" w:rsidRDefault="00113298" w:rsidP="00720AC8">
      <w:pPr>
        <w:rPr>
          <w:rFonts w:ascii="Times New Roman" w:hAnsi="Times New Roman" w:cs="Times New Roman"/>
          <w:sz w:val="28"/>
          <w:szCs w:val="28"/>
        </w:rPr>
      </w:pPr>
    </w:p>
    <w:p w:rsidR="0043373E" w:rsidRPr="00113298" w:rsidRDefault="00113298" w:rsidP="00F7564A">
      <w:pPr>
        <w:rPr>
          <w:rFonts w:ascii="Times New Roman" w:hAnsi="Times New Roman" w:cs="Times New Roman"/>
          <w:b/>
          <w:bCs/>
          <w:i/>
          <w:iCs/>
          <w:sz w:val="28"/>
          <w:szCs w:val="28"/>
        </w:rPr>
      </w:pPr>
      <w:r w:rsidRPr="00113298">
        <w:rPr>
          <w:rFonts w:ascii="Times New Roman" w:hAnsi="Times New Roman" w:cs="Times New Roman"/>
          <w:b/>
          <w:bCs/>
          <w:i/>
          <w:iCs/>
          <w:sz w:val="28"/>
          <w:szCs w:val="28"/>
        </w:rPr>
        <w:t>(iii)</w:t>
      </w:r>
      <w:r w:rsidRPr="00113298">
        <w:rPr>
          <w:rFonts w:ascii="Times New Roman" w:hAnsi="Times New Roman" w:cs="Times New Roman"/>
          <w:b/>
          <w:bCs/>
          <w:i/>
          <w:iCs/>
          <w:sz w:val="28"/>
          <w:szCs w:val="28"/>
        </w:rPr>
        <w:tab/>
      </w:r>
      <w:r w:rsidRPr="00113298">
        <w:rPr>
          <w:rFonts w:ascii="Times New Roman" w:eastAsia="Times New Roman" w:hAnsi="Times New Roman" w:cs="Times New Roman"/>
          <w:b/>
          <w:bCs/>
          <w:i/>
          <w:iCs/>
          <w:sz w:val="28"/>
          <w:szCs w:val="28"/>
          <w:bdr w:val="none" w:sz="0" w:space="0" w:color="auto" w:frame="1"/>
          <w:lang w:eastAsia="es-ES_tradnl"/>
        </w:rPr>
        <w:t>El sentido de la decisión que considero debió</w:t>
      </w:r>
      <w:r w:rsidRPr="00113298">
        <w:rPr>
          <w:rFonts w:ascii="Times New Roman" w:eastAsia="Times New Roman" w:hAnsi="Times New Roman" w:cs="Times New Roman"/>
          <w:b/>
          <w:bCs/>
          <w:i/>
          <w:iCs/>
          <w:sz w:val="28"/>
          <w:szCs w:val="28"/>
          <w:bdr w:val="none" w:sz="0" w:space="0" w:color="auto" w:frame="1"/>
          <w:lang w:eastAsia="es-ES_tradnl"/>
        </w:rPr>
        <w:t xml:space="preserve"> adoptarse</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Como siempre advertí durante el trámite</w:t>
      </w:r>
      <w:r w:rsidRPr="00113298">
        <w:rPr>
          <w:rFonts w:ascii="Times New Roman" w:hAnsi="Times New Roman" w:cs="Times New Roman"/>
          <w:sz w:val="28"/>
          <w:szCs w:val="28"/>
        </w:rPr>
        <w:t xml:space="preserve"> y persisto en ello</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en mi criterio</w:t>
      </w:r>
      <w:r w:rsidRPr="00113298">
        <w:rPr>
          <w:rFonts w:ascii="Times New Roman" w:hAnsi="Times New Roman" w:cs="Times New Roman"/>
          <w:sz w:val="28"/>
          <w:szCs w:val="28"/>
        </w:rPr>
        <w:t xml:space="preserve"> la demanda no solo era apta en abstracto, sino que ponía en evidencia un déficit de protección real y un tratamiento diferenciado sin justificación constitucional. </w:t>
      </w:r>
      <w:r w:rsidRPr="00113298">
        <w:rPr>
          <w:rFonts w:ascii="Times New Roman" w:hAnsi="Times New Roman" w:cs="Times New Roman"/>
          <w:sz w:val="28"/>
          <w:szCs w:val="28"/>
        </w:rPr>
        <w:t>Inclu</w:t>
      </w:r>
      <w:r w:rsidRPr="00113298">
        <w:rPr>
          <w:rFonts w:ascii="Times New Roman" w:hAnsi="Times New Roman" w:cs="Times New Roman"/>
          <w:sz w:val="28"/>
          <w:szCs w:val="28"/>
        </w:rPr>
        <w:t>so, varios magistrados que inicialmente acompañaron el sentido de la ponencia reconocieron que la demanda cumplía los requisitos. Que la mayoría final</w:t>
      </w:r>
      <w:r w:rsidRPr="00113298">
        <w:rPr>
          <w:rFonts w:ascii="Times New Roman" w:hAnsi="Times New Roman" w:cs="Times New Roman"/>
          <w:sz w:val="28"/>
          <w:szCs w:val="28"/>
        </w:rPr>
        <w:t>mente</w:t>
      </w:r>
      <w:r w:rsidRPr="00113298">
        <w:rPr>
          <w:rFonts w:ascii="Times New Roman" w:hAnsi="Times New Roman" w:cs="Times New Roman"/>
          <w:sz w:val="28"/>
          <w:szCs w:val="28"/>
        </w:rPr>
        <w:t xml:space="preserve"> haya resuelto lo contrario requiere de una explicación que la sentencia no ofrece.</w:t>
      </w:r>
    </w:p>
    <w:p w:rsidR="00720AC8" w:rsidRPr="00113298" w:rsidRDefault="00113298" w:rsidP="00720AC8">
      <w:pPr>
        <w:rPr>
          <w:rFonts w:ascii="Times New Roman" w:hAnsi="Times New Roman" w:cs="Times New Roman"/>
          <w:sz w:val="28"/>
          <w:szCs w:val="28"/>
        </w:rPr>
      </w:pPr>
    </w:p>
    <w:p w:rsidR="00167597" w:rsidRPr="00113298" w:rsidRDefault="00113298" w:rsidP="00720AC8">
      <w:pPr>
        <w:rPr>
          <w:rFonts w:ascii="Times New Roman" w:hAnsi="Times New Roman" w:cs="Times New Roman"/>
          <w:sz w:val="28"/>
          <w:szCs w:val="28"/>
        </w:rPr>
      </w:pPr>
    </w:p>
    <w:p w:rsidR="00720AC8" w:rsidRPr="00113298" w:rsidRDefault="00113298" w:rsidP="00FD4FD3">
      <w:pPr>
        <w:pStyle w:val="Prrafodelista"/>
        <w:numPr>
          <w:ilvl w:val="0"/>
          <w:numId w:val="6"/>
        </w:numPr>
        <w:rPr>
          <w:b/>
          <w:bCs/>
          <w:i/>
          <w:iCs/>
          <w:sz w:val="28"/>
          <w:szCs w:val="28"/>
        </w:rPr>
      </w:pPr>
      <w:r w:rsidRPr="00113298">
        <w:rPr>
          <w:b/>
          <w:bCs/>
          <w:i/>
          <w:iCs/>
          <w:sz w:val="28"/>
          <w:szCs w:val="28"/>
        </w:rPr>
        <w:t>El principio de</w:t>
      </w:r>
      <w:r w:rsidRPr="00113298">
        <w:rPr>
          <w:b/>
          <w:bCs/>
          <w:i/>
          <w:iCs/>
          <w:sz w:val="28"/>
          <w:szCs w:val="28"/>
        </w:rPr>
        <w:t xml:space="preserve"> distinción y sus límites propios</w:t>
      </w:r>
    </w:p>
    <w:p w:rsidR="00720AC8" w:rsidRPr="00113298" w:rsidRDefault="00113298" w:rsidP="00720AC8">
      <w:pPr>
        <w:ind w:firstLine="708"/>
        <w:rPr>
          <w:rFonts w:ascii="Times New Roman" w:hAnsi="Times New Roman" w:cs="Times New Roman"/>
          <w:b/>
          <w:bCs/>
          <w:i/>
          <w:iCs/>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La decisión de inhibirse no solo impidió un pronunciamiento de mérito: suprimió también la oportunidad de clarificar una tensión conceptual que sigue abierta en el ordenamiento y que la ponencia derrotada</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res</w:t>
      </w:r>
      <w:r w:rsidRPr="00113298">
        <w:rPr>
          <w:rFonts w:ascii="Times New Roman" w:hAnsi="Times New Roman" w:cs="Times New Roman"/>
          <w:sz w:val="28"/>
          <w:szCs w:val="28"/>
        </w:rPr>
        <w:t>olv</w:t>
      </w:r>
      <w:r w:rsidRPr="00113298">
        <w:rPr>
          <w:rFonts w:ascii="Times New Roman" w:hAnsi="Times New Roman" w:cs="Times New Roman"/>
          <w:sz w:val="28"/>
          <w:szCs w:val="28"/>
        </w:rPr>
        <w:t>ía</w:t>
      </w:r>
      <w:r w:rsidRPr="00113298">
        <w:rPr>
          <w:rFonts w:ascii="Times New Roman" w:hAnsi="Times New Roman" w:cs="Times New Roman"/>
          <w:sz w:val="28"/>
          <w:szCs w:val="28"/>
        </w:rPr>
        <w:t>.</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El </w:t>
      </w:r>
      <w:r w:rsidRPr="00113298">
        <w:rPr>
          <w:rFonts w:ascii="Times New Roman" w:hAnsi="Times New Roman" w:cs="Times New Roman"/>
          <w:sz w:val="28"/>
          <w:szCs w:val="28"/>
        </w:rPr>
        <w:t>Código Penal</w:t>
      </w:r>
      <w:r w:rsidRPr="00113298">
        <w:rPr>
          <w:rFonts w:ascii="Times New Roman" w:hAnsi="Times New Roman" w:cs="Times New Roman"/>
          <w:sz w:val="28"/>
          <w:szCs w:val="28"/>
        </w:rPr>
        <w:t>, Ley 599 de 2000,</w:t>
      </w:r>
      <w:r w:rsidRPr="00113298">
        <w:rPr>
          <w:rFonts w:ascii="Times New Roman" w:hAnsi="Times New Roman" w:cs="Times New Roman"/>
          <w:sz w:val="28"/>
          <w:szCs w:val="28"/>
        </w:rPr>
        <w:t xml:space="preserve"> organiza los delitos contra el D</w:t>
      </w:r>
      <w:r w:rsidRPr="00113298">
        <w:rPr>
          <w:rFonts w:ascii="Times New Roman" w:hAnsi="Times New Roman" w:cs="Times New Roman"/>
          <w:sz w:val="28"/>
          <w:szCs w:val="28"/>
        </w:rPr>
        <w:t xml:space="preserve">erecho Internacional </w:t>
      </w:r>
      <w:r w:rsidRPr="00113298">
        <w:rPr>
          <w:rFonts w:ascii="Times New Roman" w:hAnsi="Times New Roman" w:cs="Times New Roman"/>
          <w:sz w:val="28"/>
          <w:szCs w:val="28"/>
        </w:rPr>
        <w:t>H</w:t>
      </w:r>
      <w:r w:rsidRPr="00113298">
        <w:rPr>
          <w:rFonts w:ascii="Times New Roman" w:hAnsi="Times New Roman" w:cs="Times New Roman"/>
          <w:sz w:val="28"/>
          <w:szCs w:val="28"/>
        </w:rPr>
        <w:t>umanitario</w:t>
      </w:r>
      <w:r w:rsidRPr="00113298">
        <w:rPr>
          <w:rFonts w:ascii="Times New Roman" w:hAnsi="Times New Roman" w:cs="Times New Roman"/>
          <w:sz w:val="28"/>
          <w:szCs w:val="28"/>
        </w:rPr>
        <w:t xml:space="preserve"> en torno a la noción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definida en el parágrafo del artículo 135. Esa noción tiene una lógica clara en el contexto de las hostilidades: el</w:t>
      </w:r>
      <w:r w:rsidRPr="00113298">
        <w:rPr>
          <w:rFonts w:ascii="Times New Roman" w:hAnsi="Times New Roman" w:cs="Times New Roman"/>
          <w:sz w:val="28"/>
          <w:szCs w:val="28"/>
        </w:rPr>
        <w:t xml:space="preserve"> principio de distinción exige diferenciar entre quienes participan directamente en el conflicto </w:t>
      </w:r>
      <w:r w:rsidRPr="00113298">
        <w:rPr>
          <w:rFonts w:ascii="Times New Roman" w:hAnsi="Times New Roman" w:cs="Times New Roman"/>
          <w:sz w:val="28"/>
          <w:szCs w:val="28"/>
        </w:rPr>
        <w:t>-</w:t>
      </w:r>
      <w:r w:rsidRPr="00113298">
        <w:rPr>
          <w:rFonts w:ascii="Times New Roman" w:hAnsi="Times New Roman" w:cs="Times New Roman"/>
          <w:sz w:val="28"/>
          <w:szCs w:val="28"/>
        </w:rPr>
        <w:t>y que pueden ser objetivos militares legítimos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y quienes no participan, que no pueden serlo. En ese contexto, la calificación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tiene se</w:t>
      </w:r>
      <w:r w:rsidRPr="00113298">
        <w:rPr>
          <w:rFonts w:ascii="Times New Roman" w:hAnsi="Times New Roman" w:cs="Times New Roman"/>
          <w:sz w:val="28"/>
          <w:szCs w:val="28"/>
        </w:rPr>
        <w:t>ntido y utilidad normativa: protege a los civiles, a los heridos, a quienes han depuesto las armas, frente a quienes siguen combatiendo.</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El problema surge cuando esa misma calificación </w:t>
      </w:r>
      <w:r w:rsidRPr="00113298">
        <w:rPr>
          <w:rFonts w:ascii="Times New Roman" w:hAnsi="Times New Roman" w:cs="Times New Roman"/>
          <w:sz w:val="28"/>
          <w:szCs w:val="28"/>
        </w:rPr>
        <w:t>-</w:t>
      </w:r>
      <w:r w:rsidRPr="00113298">
        <w:rPr>
          <w:rFonts w:ascii="Times New Roman" w:hAnsi="Times New Roman" w:cs="Times New Roman"/>
          <w:sz w:val="28"/>
          <w:szCs w:val="28"/>
        </w:rPr>
        <w:t>diseñada</w:t>
      </w:r>
      <w:r w:rsidRPr="00113298">
        <w:rPr>
          <w:rFonts w:ascii="Times New Roman" w:hAnsi="Times New Roman" w:cs="Times New Roman"/>
          <w:sz w:val="28"/>
          <w:szCs w:val="28"/>
        </w:rPr>
        <w:t xml:space="preserve"> e implementada</w:t>
      </w:r>
      <w:r w:rsidRPr="00113298">
        <w:rPr>
          <w:rFonts w:ascii="Times New Roman" w:hAnsi="Times New Roman" w:cs="Times New Roman"/>
          <w:sz w:val="28"/>
          <w:szCs w:val="28"/>
        </w:rPr>
        <w:t xml:space="preserve"> para regular las hostilidades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se traslada a </w:t>
      </w:r>
      <w:r w:rsidRPr="00113298">
        <w:rPr>
          <w:rFonts w:ascii="Times New Roman" w:hAnsi="Times New Roman" w:cs="Times New Roman"/>
          <w:sz w:val="28"/>
          <w:szCs w:val="28"/>
        </w:rPr>
        <w:t xml:space="preserve">los tipos penales de violencia sexual. Porque la violencia sexual no ocurre en el contexto de las hostilidades. No es un ataque entre bandos. No obedece a lógicas </w:t>
      </w:r>
      <w:r w:rsidRPr="00113298">
        <w:rPr>
          <w:rFonts w:ascii="Times New Roman" w:hAnsi="Times New Roman" w:cs="Times New Roman"/>
          <w:sz w:val="28"/>
          <w:szCs w:val="28"/>
        </w:rPr>
        <w:t>de combate</w:t>
      </w:r>
      <w:r w:rsidRPr="00113298">
        <w:rPr>
          <w:rFonts w:ascii="Times New Roman" w:hAnsi="Times New Roman" w:cs="Times New Roman"/>
          <w:sz w:val="28"/>
          <w:szCs w:val="28"/>
        </w:rPr>
        <w:t xml:space="preserve">. Es, como lo demostró la audiencia pública con datos precisos, una herramienta de </w:t>
      </w:r>
      <w:r w:rsidRPr="00113298">
        <w:rPr>
          <w:rFonts w:ascii="Times New Roman" w:hAnsi="Times New Roman" w:cs="Times New Roman"/>
          <w:sz w:val="28"/>
          <w:szCs w:val="28"/>
        </w:rPr>
        <w:t xml:space="preserve">dominación interna, un instrumento de control, una tecnología de sujeción que las organizaciones armadas ejercen sobre sus propios integrantes. En ese contexto, el principio de distinción </w:t>
      </w:r>
      <w:r w:rsidRPr="00113298">
        <w:rPr>
          <w:rFonts w:ascii="Times New Roman" w:hAnsi="Times New Roman" w:cs="Times New Roman"/>
          <w:sz w:val="28"/>
          <w:szCs w:val="28"/>
        </w:rPr>
        <w:t>-</w:t>
      </w:r>
      <w:r w:rsidRPr="00113298">
        <w:rPr>
          <w:rFonts w:ascii="Times New Roman" w:hAnsi="Times New Roman" w:cs="Times New Roman"/>
          <w:sz w:val="28"/>
          <w:szCs w:val="28"/>
        </w:rPr>
        <w:t>¿es esta persona un objetivo militar legítimo?</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no es la pregunta p</w:t>
      </w:r>
      <w:r w:rsidRPr="00113298">
        <w:rPr>
          <w:rFonts w:ascii="Times New Roman" w:hAnsi="Times New Roman" w:cs="Times New Roman"/>
          <w:sz w:val="28"/>
          <w:szCs w:val="28"/>
        </w:rPr>
        <w:t xml:space="preserve">ertinente. La pregunta pertinente es otra: ¿puede este acto ser legítimo bajo </w:t>
      </w:r>
      <w:r w:rsidRPr="00113298">
        <w:rPr>
          <w:rFonts w:ascii="Times New Roman" w:hAnsi="Times New Roman" w:cs="Times New Roman"/>
          <w:sz w:val="28"/>
          <w:szCs w:val="28"/>
        </w:rPr>
        <w:t>algu</w:t>
      </w:r>
      <w:r w:rsidRPr="00113298">
        <w:rPr>
          <w:rFonts w:ascii="Times New Roman" w:hAnsi="Times New Roman" w:cs="Times New Roman"/>
          <w:sz w:val="28"/>
          <w:szCs w:val="28"/>
        </w:rPr>
        <w:t>na circunstancia?</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La ponencia </w:t>
      </w:r>
      <w:r w:rsidRPr="00113298">
        <w:rPr>
          <w:rFonts w:ascii="Times New Roman" w:hAnsi="Times New Roman" w:cs="Times New Roman"/>
          <w:sz w:val="28"/>
          <w:szCs w:val="28"/>
        </w:rPr>
        <w:t>inicial</w:t>
      </w:r>
      <w:r w:rsidRPr="00113298">
        <w:rPr>
          <w:rFonts w:ascii="Times New Roman" w:hAnsi="Times New Roman" w:cs="Times New Roman"/>
          <w:sz w:val="28"/>
          <w:szCs w:val="28"/>
        </w:rPr>
        <w:t xml:space="preserve"> respond</w:t>
      </w:r>
      <w:r w:rsidRPr="00113298">
        <w:rPr>
          <w:rFonts w:ascii="Times New Roman" w:hAnsi="Times New Roman" w:cs="Times New Roman"/>
          <w:sz w:val="28"/>
          <w:szCs w:val="28"/>
        </w:rPr>
        <w:t>ía a</w:t>
      </w:r>
      <w:r w:rsidRPr="00113298">
        <w:rPr>
          <w:rFonts w:ascii="Times New Roman" w:hAnsi="Times New Roman" w:cs="Times New Roman"/>
          <w:sz w:val="28"/>
          <w:szCs w:val="28"/>
        </w:rPr>
        <w:t xml:space="preserve"> esa pregunta con claridad y fundamento</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La distinción opera como una norma concreta y práctica: qué o a quién se puede atac</w:t>
      </w:r>
      <w:r w:rsidRPr="00113298">
        <w:rPr>
          <w:rFonts w:ascii="Times New Roman" w:hAnsi="Times New Roman" w:cs="Times New Roman"/>
          <w:sz w:val="28"/>
          <w:szCs w:val="28"/>
        </w:rPr>
        <w:t xml:space="preserve">ar; mientras que la humanidad funge como un principio más amplio y valorativo: qué límites morales no se pueden transgredir al hacer la guerra. Cuando se alega necesidad militar para un acto extremo, </w:t>
      </w:r>
      <w:r w:rsidRPr="00113298">
        <w:rPr>
          <w:rFonts w:ascii="Times New Roman" w:hAnsi="Times New Roman" w:cs="Times New Roman"/>
          <w:sz w:val="28"/>
          <w:szCs w:val="28"/>
        </w:rPr>
        <w:t>el principio de</w:t>
      </w:r>
      <w:r w:rsidRPr="00113298">
        <w:rPr>
          <w:rFonts w:ascii="Times New Roman" w:hAnsi="Times New Roman" w:cs="Times New Roman"/>
          <w:sz w:val="28"/>
          <w:szCs w:val="28"/>
        </w:rPr>
        <w:t xml:space="preserve"> distinción pregunta: ¿Es un blanco milit</w:t>
      </w:r>
      <w:r w:rsidRPr="00113298">
        <w:rPr>
          <w:rFonts w:ascii="Times New Roman" w:hAnsi="Times New Roman" w:cs="Times New Roman"/>
          <w:sz w:val="28"/>
          <w:szCs w:val="28"/>
        </w:rPr>
        <w:t>ar válido?;</w:t>
      </w:r>
      <w:r w:rsidRPr="00113298">
        <w:rPr>
          <w:rFonts w:ascii="Times New Roman" w:hAnsi="Times New Roman" w:cs="Times New Roman"/>
          <w:sz w:val="28"/>
          <w:szCs w:val="28"/>
        </w:rPr>
        <w:t xml:space="preserve"> el principio de</w:t>
      </w:r>
      <w:r w:rsidRPr="00113298">
        <w:rPr>
          <w:rFonts w:ascii="Times New Roman" w:hAnsi="Times New Roman" w:cs="Times New Roman"/>
          <w:sz w:val="28"/>
          <w:szCs w:val="28"/>
        </w:rPr>
        <w:t xml:space="preserve"> humanidad cuestiona: ¿Es este acto inherentemente cruel o innecesario? Ubi</w:t>
      </w:r>
      <w:r w:rsidRPr="00113298">
        <w:rPr>
          <w:rFonts w:ascii="Times New Roman" w:hAnsi="Times New Roman" w:cs="Times New Roman"/>
          <w:sz w:val="28"/>
          <w:szCs w:val="28"/>
        </w:rPr>
        <w:t>cando</w:t>
      </w:r>
      <w:r w:rsidRPr="00113298">
        <w:rPr>
          <w:rFonts w:ascii="Times New Roman" w:hAnsi="Times New Roman" w:cs="Times New Roman"/>
          <w:sz w:val="28"/>
          <w:szCs w:val="28"/>
        </w:rPr>
        <w:t xml:space="preserve"> la problemática en el segundo de los interrogantes.</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Esta distinción conceptual es fundamental. El principio de humanidad es transversal: no depende</w:t>
      </w:r>
      <w:r w:rsidRPr="00113298">
        <w:rPr>
          <w:rFonts w:ascii="Times New Roman" w:hAnsi="Times New Roman" w:cs="Times New Roman"/>
          <w:sz w:val="28"/>
          <w:szCs w:val="28"/>
        </w:rPr>
        <w:t xml:space="preserve"> del estatus de la víctima, no depende de su participación en las hostilidades, no depende de si porta o no un arma. Se aplica a toda persona en todo momento, precisamente porque ciertos actos son incompatibles con la dignidad humana independientemente de </w:t>
      </w:r>
      <w:r w:rsidRPr="00113298">
        <w:rPr>
          <w:rFonts w:ascii="Times New Roman" w:hAnsi="Times New Roman" w:cs="Times New Roman"/>
          <w:sz w:val="28"/>
          <w:szCs w:val="28"/>
        </w:rPr>
        <w:t>las circunstancias. La violencia sexual es uno de ellos.</w:t>
      </w:r>
    </w:p>
    <w:p w:rsidR="00E55949" w:rsidRPr="00113298" w:rsidRDefault="00113298" w:rsidP="00720AC8">
      <w:pPr>
        <w:rPr>
          <w:rFonts w:ascii="Times New Roman" w:hAnsi="Times New Roman" w:cs="Times New Roman"/>
          <w:sz w:val="28"/>
          <w:szCs w:val="28"/>
        </w:rPr>
      </w:pPr>
    </w:p>
    <w:p w:rsidR="00327CBE" w:rsidRPr="00113298" w:rsidRDefault="00113298" w:rsidP="00720AC8">
      <w:pPr>
        <w:rPr>
          <w:rFonts w:ascii="Times New Roman" w:hAnsi="Times New Roman" w:cs="Times New Roman"/>
          <w:sz w:val="28"/>
          <w:szCs w:val="28"/>
        </w:rPr>
      </w:pPr>
    </w:p>
    <w:p w:rsidR="00720AC8" w:rsidRPr="00113298" w:rsidRDefault="00113298" w:rsidP="00FD4FD3">
      <w:pPr>
        <w:pStyle w:val="Prrafodelista"/>
        <w:numPr>
          <w:ilvl w:val="0"/>
          <w:numId w:val="6"/>
        </w:numPr>
        <w:rPr>
          <w:b/>
          <w:bCs/>
          <w:i/>
          <w:iCs/>
          <w:sz w:val="28"/>
          <w:szCs w:val="28"/>
        </w:rPr>
      </w:pPr>
      <w:r w:rsidRPr="00113298">
        <w:rPr>
          <w:b/>
          <w:bCs/>
          <w:i/>
          <w:iCs/>
          <w:sz w:val="28"/>
          <w:szCs w:val="28"/>
        </w:rPr>
        <w:t>La violencia sexual intrafilas: ni es un acto de guerra ni corresponde a delito común</w:t>
      </w:r>
      <w:r w:rsidRPr="00113298">
        <w:rPr>
          <w:b/>
          <w:bCs/>
          <w:i/>
          <w:iCs/>
          <w:sz w:val="28"/>
          <w:szCs w:val="28"/>
        </w:rPr>
        <w:t>.</w:t>
      </w:r>
    </w:p>
    <w:p w:rsidR="00720AC8" w:rsidRPr="00113298" w:rsidRDefault="00113298" w:rsidP="00720AC8">
      <w:pPr>
        <w:ind w:firstLine="708"/>
        <w:rPr>
          <w:rFonts w:ascii="Times New Roman" w:hAnsi="Times New Roman" w:cs="Times New Roman"/>
          <w:i/>
          <w:iCs/>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Uno de los argumentos que la sentencia inhibitoria asume de manera implícita</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sin examinarlo a fondo, porque para eso habría necesitado pronunciarse de mérito</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es que la violencia sexual intrafilas puede ser adecuadamente tratada como delito común bajo el </w:t>
      </w:r>
      <w:r w:rsidRPr="00113298">
        <w:rPr>
          <w:rFonts w:ascii="Times New Roman" w:hAnsi="Times New Roman" w:cs="Times New Roman"/>
          <w:sz w:val="28"/>
          <w:szCs w:val="28"/>
        </w:rPr>
        <w:t>derecho</w:t>
      </w:r>
      <w:r w:rsidRPr="00113298">
        <w:rPr>
          <w:rFonts w:ascii="Times New Roman" w:hAnsi="Times New Roman" w:cs="Times New Roman"/>
          <w:sz w:val="28"/>
          <w:szCs w:val="28"/>
        </w:rPr>
        <w:t xml:space="preserve"> p</w:t>
      </w:r>
      <w:r w:rsidRPr="00113298">
        <w:rPr>
          <w:rFonts w:ascii="Times New Roman" w:hAnsi="Times New Roman" w:cs="Times New Roman"/>
          <w:sz w:val="28"/>
          <w:szCs w:val="28"/>
        </w:rPr>
        <w:t xml:space="preserve">enal ordinario. Si bien la mayoría no lo afirma explícitamente como </w:t>
      </w:r>
      <w:r w:rsidRPr="00113298">
        <w:rPr>
          <w:rFonts w:ascii="Times New Roman" w:hAnsi="Times New Roman" w:cs="Times New Roman"/>
          <w:sz w:val="28"/>
          <w:szCs w:val="28"/>
        </w:rPr>
        <w:t>razón de la inhibición, esa fue la postura de algunos intervinientes</w:t>
      </w:r>
      <w:r w:rsidRPr="00113298">
        <w:rPr>
          <w:rFonts w:ascii="Times New Roman" w:hAnsi="Times New Roman" w:cs="Times New Roman"/>
          <w:sz w:val="28"/>
          <w:szCs w:val="28"/>
        </w:rPr>
        <w:t xml:space="preserve"> con sustento en la intervención de la Corte Suprema de Justicia durante el trámite</w:t>
      </w:r>
      <w:r w:rsidRPr="00113298">
        <w:rPr>
          <w:rFonts w:ascii="Times New Roman" w:hAnsi="Times New Roman" w:cs="Times New Roman"/>
          <w:sz w:val="28"/>
          <w:szCs w:val="28"/>
        </w:rPr>
        <w:t xml:space="preserve"> y constituye el subtexto de la decisión: como hay normas penales que pueden aplicarse, el problema no re</w:t>
      </w:r>
      <w:r w:rsidRPr="00113298">
        <w:rPr>
          <w:rFonts w:ascii="Times New Roman" w:hAnsi="Times New Roman" w:cs="Times New Roman"/>
          <w:sz w:val="28"/>
          <w:szCs w:val="28"/>
        </w:rPr>
        <w:t>quiere de solución constitucional urgente.</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Esta postur</w:t>
      </w:r>
      <w:r w:rsidRPr="00113298">
        <w:rPr>
          <w:rFonts w:ascii="Times New Roman" w:hAnsi="Times New Roman" w:cs="Times New Roman"/>
          <w:sz w:val="28"/>
          <w:szCs w:val="28"/>
        </w:rPr>
        <w:t>a debe rebatirse</w:t>
      </w:r>
      <w:r w:rsidRPr="00113298">
        <w:rPr>
          <w:rFonts w:ascii="Times New Roman" w:hAnsi="Times New Roman" w:cs="Times New Roman"/>
          <w:sz w:val="28"/>
          <w:szCs w:val="28"/>
        </w:rPr>
        <w:t xml:space="preserve"> con contundencia,</w:t>
      </w:r>
      <w:r w:rsidRPr="00113298">
        <w:rPr>
          <w:rFonts w:ascii="Times New Roman" w:hAnsi="Times New Roman" w:cs="Times New Roman"/>
          <w:sz w:val="28"/>
          <w:szCs w:val="28"/>
        </w:rPr>
        <w:t xml:space="preserve"> pues a mi juicio,</w:t>
      </w:r>
      <w:r w:rsidRPr="00113298">
        <w:rPr>
          <w:rFonts w:ascii="Times New Roman" w:hAnsi="Times New Roman" w:cs="Times New Roman"/>
          <w:sz w:val="28"/>
          <w:szCs w:val="28"/>
        </w:rPr>
        <w:t xml:space="preserve"> es jurídicamente incorrecta y humanamente inaceptable.</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Es jurídicamente incorrecta porque calificar como delito común una conducta que ocurre en el</w:t>
      </w:r>
      <w:r w:rsidRPr="00113298">
        <w:rPr>
          <w:rFonts w:ascii="Times New Roman" w:hAnsi="Times New Roman" w:cs="Times New Roman"/>
          <w:sz w:val="28"/>
          <w:szCs w:val="28"/>
        </w:rPr>
        <w:t xml:space="preserve"> contexto de un conflicto armado, que es instrumentalizada como herramienta de dominación por un aparato armado organizado, y que está prohibida por normas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no es un ejercicio neutro de calificación jurídica. Tiene consecuencias concretas: la</w:t>
      </w:r>
      <w:r w:rsidRPr="00113298">
        <w:rPr>
          <w:rFonts w:ascii="Times New Roman" w:hAnsi="Times New Roman" w:cs="Times New Roman"/>
          <w:sz w:val="28"/>
          <w:szCs w:val="28"/>
        </w:rPr>
        <w:t xml:space="preserve"> prescriptibilidad de la acción penal, la imposibilidad de invocar el principio </w:t>
      </w:r>
      <w:r w:rsidRPr="00113298">
        <w:rPr>
          <w:rFonts w:ascii="Times New Roman" w:hAnsi="Times New Roman" w:cs="Times New Roman"/>
          <w:i/>
          <w:iCs/>
          <w:sz w:val="28"/>
          <w:szCs w:val="28"/>
        </w:rPr>
        <w:t>nullum crimen sine iure</w:t>
      </w:r>
      <w:r w:rsidRPr="00113298">
        <w:rPr>
          <w:rFonts w:ascii="Times New Roman" w:hAnsi="Times New Roman" w:cs="Times New Roman"/>
          <w:sz w:val="28"/>
          <w:szCs w:val="28"/>
        </w:rPr>
        <w:t>, la exclusión de mecanismos de complementariedad internacional y la invisibilización del contexto que hace estos crímenes especialmente graves.</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En el p</w:t>
      </w:r>
      <w:r w:rsidRPr="00113298">
        <w:rPr>
          <w:rFonts w:ascii="Times New Roman" w:hAnsi="Times New Roman" w:cs="Times New Roman"/>
          <w:sz w:val="28"/>
          <w:szCs w:val="28"/>
        </w:rPr>
        <w:t>royecto inicial sostuve que</w:t>
      </w:r>
      <w:r w:rsidRPr="00113298">
        <w:rPr>
          <w:rFonts w:ascii="Times New Roman" w:hAnsi="Times New Roman" w:cs="Times New Roman"/>
          <w:sz w:val="28"/>
          <w:szCs w:val="28"/>
        </w:rPr>
        <w:t xml:space="preserve"> la circunstancia de </w:t>
      </w:r>
      <w:r w:rsidRPr="00113298">
        <w:rPr>
          <w:rFonts w:ascii="Times New Roman" w:hAnsi="Times New Roman" w:cs="Times New Roman"/>
          <w:sz w:val="28"/>
          <w:szCs w:val="28"/>
        </w:rPr>
        <w:t>que una conducta sea crimen común, a pesar de cometerse en el contexto de un conflicto armado no internacional, no implica que exista una protección suficiente a las víctimas. Si el crimen común fuese una pro</w:t>
      </w:r>
      <w:r w:rsidRPr="00113298">
        <w:rPr>
          <w:rFonts w:ascii="Times New Roman" w:hAnsi="Times New Roman" w:cs="Times New Roman"/>
          <w:sz w:val="28"/>
          <w:szCs w:val="28"/>
        </w:rPr>
        <w:t>tección suficiente</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es difícil comprender las razones por las cuales el D</w:t>
      </w:r>
      <w:r w:rsidRPr="00113298">
        <w:rPr>
          <w:rFonts w:ascii="Times New Roman" w:hAnsi="Times New Roman" w:cs="Times New Roman"/>
          <w:sz w:val="28"/>
          <w:szCs w:val="28"/>
        </w:rPr>
        <w:t xml:space="preserve">erecho </w:t>
      </w:r>
      <w:r w:rsidRPr="00113298">
        <w:rPr>
          <w:rFonts w:ascii="Times New Roman" w:hAnsi="Times New Roman" w:cs="Times New Roman"/>
          <w:sz w:val="28"/>
          <w:szCs w:val="28"/>
        </w:rPr>
        <w:t>I</w:t>
      </w:r>
      <w:r w:rsidRPr="00113298">
        <w:rPr>
          <w:rFonts w:ascii="Times New Roman" w:hAnsi="Times New Roman" w:cs="Times New Roman"/>
          <w:sz w:val="28"/>
          <w:szCs w:val="28"/>
        </w:rPr>
        <w:t xml:space="preserve">nternacional </w:t>
      </w:r>
      <w:r w:rsidRPr="00113298">
        <w:rPr>
          <w:rFonts w:ascii="Times New Roman" w:hAnsi="Times New Roman" w:cs="Times New Roman"/>
          <w:sz w:val="28"/>
          <w:szCs w:val="28"/>
        </w:rPr>
        <w:t>H</w:t>
      </w:r>
      <w:r w:rsidRPr="00113298">
        <w:rPr>
          <w:rFonts w:ascii="Times New Roman" w:hAnsi="Times New Roman" w:cs="Times New Roman"/>
          <w:sz w:val="28"/>
          <w:szCs w:val="28"/>
        </w:rPr>
        <w:t>umanitario</w:t>
      </w:r>
      <w:r w:rsidRPr="00113298">
        <w:rPr>
          <w:rFonts w:ascii="Times New Roman" w:hAnsi="Times New Roman" w:cs="Times New Roman"/>
          <w:sz w:val="28"/>
          <w:szCs w:val="28"/>
        </w:rPr>
        <w:t xml:space="preserve"> y los tribunales internacionales se ocupan de él. Y más difícil aún, comprender por qué en ciertos casos un tipo penal común pueda ser una protección </w:t>
      </w:r>
      <w:r w:rsidRPr="00113298">
        <w:rPr>
          <w:rFonts w:ascii="Times New Roman" w:hAnsi="Times New Roman" w:cs="Times New Roman"/>
          <w:sz w:val="28"/>
          <w:szCs w:val="28"/>
        </w:rPr>
        <w:t>suficiente frente a un crimen de guerra o un crimen de lesa humanidad. Estos crímenes no solo comportan unas penas, sino que tienen otras importantes garantías, como la de la no prescriptibilidad de la acción penal.</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Y</w:t>
      </w:r>
      <w:r w:rsidRPr="00113298">
        <w:rPr>
          <w:rFonts w:ascii="Times New Roman" w:hAnsi="Times New Roman" w:cs="Times New Roman"/>
          <w:sz w:val="28"/>
          <w:szCs w:val="28"/>
        </w:rPr>
        <w:t xml:space="preserve"> a su turno,</w:t>
      </w:r>
      <w:r w:rsidRPr="00113298">
        <w:rPr>
          <w:rFonts w:ascii="Times New Roman" w:hAnsi="Times New Roman" w:cs="Times New Roman"/>
          <w:sz w:val="28"/>
          <w:szCs w:val="28"/>
        </w:rPr>
        <w:t xml:space="preserve"> es humanamente inaceptabl</w:t>
      </w:r>
      <w:r w:rsidRPr="00113298">
        <w:rPr>
          <w:rFonts w:ascii="Times New Roman" w:hAnsi="Times New Roman" w:cs="Times New Roman"/>
          <w:sz w:val="28"/>
          <w:szCs w:val="28"/>
        </w:rPr>
        <w:t>e porque descontextualiza la experiencia de la víctima. Una niña reclutada forzosamente a los doce</w:t>
      </w:r>
      <w:r w:rsidRPr="00113298">
        <w:rPr>
          <w:rFonts w:ascii="Times New Roman" w:hAnsi="Times New Roman" w:cs="Times New Roman"/>
          <w:sz w:val="28"/>
          <w:szCs w:val="28"/>
        </w:rPr>
        <w:t xml:space="preserve"> (12)</w:t>
      </w:r>
      <w:r w:rsidRPr="00113298">
        <w:rPr>
          <w:rFonts w:ascii="Times New Roman" w:hAnsi="Times New Roman" w:cs="Times New Roman"/>
          <w:sz w:val="28"/>
          <w:szCs w:val="28"/>
        </w:rPr>
        <w:t xml:space="preserve"> años, sometida a esclavitud sexual por la organización armada de la que forma parte, no está experimentando un delito común de violencia sexual. Está si</w:t>
      </w:r>
      <w:r w:rsidRPr="00113298">
        <w:rPr>
          <w:rFonts w:ascii="Times New Roman" w:hAnsi="Times New Roman" w:cs="Times New Roman"/>
          <w:sz w:val="28"/>
          <w:szCs w:val="28"/>
        </w:rPr>
        <w:t>endo víctima de un crimen de guerra que ocurre dentro de lo que la ponencia</w:t>
      </w:r>
      <w:r w:rsidRPr="00113298">
        <w:rPr>
          <w:rFonts w:ascii="Times New Roman" w:hAnsi="Times New Roman" w:cs="Times New Roman"/>
          <w:sz w:val="28"/>
          <w:szCs w:val="28"/>
        </w:rPr>
        <w:t xml:space="preserve"> derrotada</w:t>
      </w:r>
      <w:r w:rsidRPr="00113298">
        <w:rPr>
          <w:rFonts w:ascii="Times New Roman" w:hAnsi="Times New Roman" w:cs="Times New Roman"/>
          <w:sz w:val="28"/>
          <w:szCs w:val="28"/>
        </w:rPr>
        <w:t xml:space="preserve"> denomin</w:t>
      </w:r>
      <w:r w:rsidRPr="00113298">
        <w:rPr>
          <w:rFonts w:ascii="Times New Roman" w:hAnsi="Times New Roman" w:cs="Times New Roman"/>
          <w:sz w:val="28"/>
          <w:szCs w:val="28"/>
        </w:rPr>
        <w:t>aba</w:t>
      </w:r>
      <w:r w:rsidRPr="00113298">
        <w:rPr>
          <w:rFonts w:ascii="Times New Roman" w:hAnsi="Times New Roman" w:cs="Times New Roman"/>
          <w:sz w:val="28"/>
          <w:szCs w:val="28"/>
        </w:rPr>
        <w:t xml:space="preserve"> una arquitectura de la violencia sistemática: rituales de iniciación, mecanismos de lealtad forzada, esclavitud doméstica sexualizada, anticoncepción y abortos</w:t>
      </w:r>
      <w:r w:rsidRPr="00113298">
        <w:rPr>
          <w:rFonts w:ascii="Times New Roman" w:hAnsi="Times New Roman" w:cs="Times New Roman"/>
          <w:sz w:val="28"/>
          <w:szCs w:val="28"/>
        </w:rPr>
        <w:t xml:space="preserve"> forzados. Tratar eso como delito común es, además de un error jurídico, una segunda victimización.</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Sostuve en su momento que a</w:t>
      </w:r>
      <w:r w:rsidRPr="00113298">
        <w:rPr>
          <w:rFonts w:ascii="Times New Roman" w:hAnsi="Times New Roman" w:cs="Times New Roman"/>
          <w:sz w:val="28"/>
          <w:szCs w:val="28"/>
        </w:rPr>
        <w:t>rgumentar que basta con procesar estas agresiones o atrocidades como delitos comunes descontextualiza por completo el crimen, ya</w:t>
      </w:r>
      <w:r w:rsidRPr="00113298">
        <w:rPr>
          <w:rFonts w:ascii="Times New Roman" w:hAnsi="Times New Roman" w:cs="Times New Roman"/>
          <w:sz w:val="28"/>
          <w:szCs w:val="28"/>
        </w:rPr>
        <w:t xml:space="preserve"> que ignora que la víctima está sometida a un aparato armado organizado que utiliza el abuso sexual como instrumento de dominación o castigo como se demostró con datos precisos en la audiencia pública realizada, privando a las víctimas de garantías fundame</w:t>
      </w:r>
      <w:r w:rsidRPr="00113298">
        <w:rPr>
          <w:rFonts w:ascii="Times New Roman" w:hAnsi="Times New Roman" w:cs="Times New Roman"/>
          <w:sz w:val="28"/>
          <w:szCs w:val="28"/>
        </w:rPr>
        <w:t>ntales que ofrece el Derecho Internacional Humanitario.</w:t>
      </w:r>
    </w:p>
    <w:p w:rsidR="00FC0E6F" w:rsidRPr="00113298" w:rsidRDefault="00113298" w:rsidP="00720AC8">
      <w:pPr>
        <w:rPr>
          <w:rFonts w:ascii="Times New Roman" w:hAnsi="Times New Roman" w:cs="Times New Roman"/>
          <w:sz w:val="28"/>
          <w:szCs w:val="28"/>
        </w:rPr>
      </w:pPr>
    </w:p>
    <w:p w:rsidR="00720AC8" w:rsidRPr="00113298" w:rsidRDefault="00113298" w:rsidP="00327CBE">
      <w:pPr>
        <w:pStyle w:val="Prrafodelista"/>
        <w:numPr>
          <w:ilvl w:val="0"/>
          <w:numId w:val="6"/>
        </w:numPr>
        <w:rPr>
          <w:b/>
          <w:bCs/>
          <w:i/>
          <w:iCs/>
          <w:sz w:val="28"/>
          <w:szCs w:val="28"/>
        </w:rPr>
      </w:pPr>
      <w:r w:rsidRPr="00113298">
        <w:rPr>
          <w:b/>
          <w:bCs/>
          <w:i/>
          <w:iCs/>
          <w:sz w:val="28"/>
          <w:szCs w:val="28"/>
        </w:rPr>
        <w:t>La norma de ius cogens que la mayoría prefirió no confrontar</w:t>
      </w:r>
    </w:p>
    <w:p w:rsidR="00720AC8" w:rsidRPr="00113298" w:rsidRDefault="00113298" w:rsidP="00720AC8">
      <w:pPr>
        <w:ind w:firstLine="708"/>
        <w:rPr>
          <w:rFonts w:ascii="Times New Roman" w:hAnsi="Times New Roman" w:cs="Times New Roman"/>
          <w:b/>
          <w:bCs/>
          <w:i/>
          <w:iCs/>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Hay un elemento del problema jurídico que la inhibición esquiva de manera particularmente llamativa: la prohibición de la violencia sexual como norma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Las normas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xml:space="preserve"> son normas imperativas del derecho internacional general, univers</w:t>
      </w:r>
      <w:r w:rsidRPr="00113298">
        <w:rPr>
          <w:rFonts w:ascii="Times New Roman" w:hAnsi="Times New Roman" w:cs="Times New Roman"/>
          <w:sz w:val="28"/>
          <w:szCs w:val="28"/>
        </w:rPr>
        <w:t>almente reconocidas, de las que ningún Estado puede apartarse mediante tratado o acto unilateral. La prohibición de la violencia sexual en conflictos armados tiene ese carácter. Lo han reconocido los Tribunales Penales Internacionales para Ruanda y la Anti</w:t>
      </w:r>
      <w:r w:rsidRPr="00113298">
        <w:rPr>
          <w:rFonts w:ascii="Times New Roman" w:hAnsi="Times New Roman" w:cs="Times New Roman"/>
          <w:sz w:val="28"/>
          <w:szCs w:val="28"/>
        </w:rPr>
        <w:t xml:space="preserve">gua Yugoslavia, la Corte Penal Internacional en el caso </w:t>
      </w:r>
      <w:r w:rsidRPr="00113298">
        <w:rPr>
          <w:rFonts w:ascii="Times New Roman" w:hAnsi="Times New Roman" w:cs="Times New Roman"/>
          <w:i/>
          <w:iCs/>
          <w:sz w:val="28"/>
          <w:szCs w:val="28"/>
        </w:rPr>
        <w:t>Ntaganda</w:t>
      </w:r>
      <w:r w:rsidRPr="00113298">
        <w:rPr>
          <w:rFonts w:ascii="Times New Roman" w:hAnsi="Times New Roman" w:cs="Times New Roman"/>
          <w:sz w:val="28"/>
          <w:szCs w:val="28"/>
        </w:rPr>
        <w:t xml:space="preserve"> (2019), y la propia Sala Plena de la Corte Constitucional en la</w:t>
      </w:r>
      <w:r w:rsidRPr="00113298">
        <w:rPr>
          <w:rFonts w:ascii="Times New Roman" w:hAnsi="Times New Roman" w:cs="Times New Roman"/>
          <w:sz w:val="28"/>
          <w:szCs w:val="28"/>
        </w:rPr>
        <w:t xml:space="preserve"> Sentencia</w:t>
      </w:r>
      <w:r w:rsidRPr="00113298">
        <w:rPr>
          <w:rFonts w:ascii="Times New Roman" w:hAnsi="Times New Roman" w:cs="Times New Roman"/>
          <w:sz w:val="28"/>
          <w:szCs w:val="28"/>
        </w:rPr>
        <w:t xml:space="preserve"> SU-599 de 2019.</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Frente a una norma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xml:space="preserve">, la pregunta </w:t>
      </w:r>
      <w:r w:rsidRPr="00113298">
        <w:rPr>
          <w:rFonts w:ascii="Times New Roman" w:hAnsi="Times New Roman" w:cs="Times New Roman"/>
          <w:sz w:val="28"/>
          <w:szCs w:val="28"/>
        </w:rPr>
        <w:t>que surge</w:t>
      </w:r>
      <w:r w:rsidRPr="00113298">
        <w:rPr>
          <w:rFonts w:ascii="Times New Roman" w:hAnsi="Times New Roman" w:cs="Times New Roman"/>
          <w:sz w:val="28"/>
          <w:szCs w:val="28"/>
        </w:rPr>
        <w:t xml:space="preserve"> es si el legislador puede introducir una cal</w:t>
      </w:r>
      <w:r w:rsidRPr="00113298">
        <w:rPr>
          <w:rFonts w:ascii="Times New Roman" w:hAnsi="Times New Roman" w:cs="Times New Roman"/>
          <w:sz w:val="28"/>
          <w:szCs w:val="28"/>
        </w:rPr>
        <w:t xml:space="preserve">ificación del sujeto pasivo </w:t>
      </w:r>
      <w:r w:rsidRPr="00113298">
        <w:rPr>
          <w:rFonts w:ascii="Times New Roman" w:hAnsi="Times New Roman" w:cs="Times New Roman"/>
          <w:sz w:val="28"/>
          <w:szCs w:val="28"/>
        </w:rPr>
        <w:t>-</w:t>
      </w:r>
      <w:r w:rsidRPr="00113298">
        <w:rPr>
          <w:rFonts w:ascii="Times New Roman" w:hAnsi="Times New Roman" w:cs="Times New Roman"/>
          <w:sz w:val="28"/>
          <w:szCs w:val="28"/>
        </w:rPr>
        <w:t>"</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que tenga como efecto excluir a ciertas víctimas del ámbito de aplicación de los tipos penales que sancionan esa conducta. La respuesta que el proyecto de ponencia derrotad</w:t>
      </w:r>
      <w:r w:rsidRPr="00113298">
        <w:rPr>
          <w:rFonts w:ascii="Times New Roman" w:hAnsi="Times New Roman" w:cs="Times New Roman"/>
          <w:sz w:val="28"/>
          <w:szCs w:val="28"/>
        </w:rPr>
        <w:t>o</w:t>
      </w:r>
      <w:r w:rsidRPr="00113298">
        <w:rPr>
          <w:rFonts w:ascii="Times New Roman" w:hAnsi="Times New Roman" w:cs="Times New Roman"/>
          <w:sz w:val="28"/>
          <w:szCs w:val="28"/>
        </w:rPr>
        <w:t xml:space="preserve"> construyó </w:t>
      </w:r>
      <w:r w:rsidRPr="00113298">
        <w:rPr>
          <w:rFonts w:ascii="Times New Roman" w:hAnsi="Times New Roman" w:cs="Times New Roman"/>
          <w:sz w:val="28"/>
          <w:szCs w:val="28"/>
        </w:rPr>
        <w:t>era</w:t>
      </w:r>
      <w:r w:rsidRPr="00113298">
        <w:rPr>
          <w:rFonts w:ascii="Times New Roman" w:hAnsi="Times New Roman" w:cs="Times New Roman"/>
          <w:sz w:val="28"/>
          <w:szCs w:val="28"/>
        </w:rPr>
        <w:t xml:space="preserve"> negativa: no puede</w:t>
      </w:r>
      <w:r w:rsidRPr="00113298">
        <w:rPr>
          <w:rFonts w:ascii="Times New Roman" w:hAnsi="Times New Roman" w:cs="Times New Roman"/>
          <w:sz w:val="28"/>
          <w:szCs w:val="28"/>
        </w:rPr>
        <w:t>, porque hacerlo equivale a tolerar la violación de una norma que no admite excepciones.</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De esta manera</w:t>
      </w:r>
      <w:r w:rsidRPr="00113298">
        <w:rPr>
          <w:rFonts w:ascii="Times New Roman" w:hAnsi="Times New Roman" w:cs="Times New Roman"/>
          <w:sz w:val="28"/>
          <w:szCs w:val="28"/>
        </w:rPr>
        <w:t xml:space="preserve">, precisaba allí que, si </w:t>
      </w:r>
      <w:r w:rsidRPr="00113298">
        <w:rPr>
          <w:rFonts w:ascii="Times New Roman" w:hAnsi="Times New Roman" w:cs="Times New Roman"/>
          <w:sz w:val="28"/>
          <w:szCs w:val="28"/>
        </w:rPr>
        <w:t>en esta materia no caben distinciones, carece de sentido establecerlas y deja de tener cualquier efecto útil hacerlas para deci</w:t>
      </w:r>
      <w:r w:rsidRPr="00113298">
        <w:rPr>
          <w:rFonts w:ascii="Times New Roman" w:hAnsi="Times New Roman" w:cs="Times New Roman"/>
          <w:sz w:val="28"/>
          <w:szCs w:val="28"/>
        </w:rPr>
        <w:t>r que todas las personas son personas protegidas. En rigor, si se le da un sentido real a la calidad de persona protegida, la conclusión inevitable es que habrá personas no protegidas. Esto, que es plausible cuando se trata de contextos de hostilidades, no</w:t>
      </w:r>
      <w:r w:rsidRPr="00113298">
        <w:rPr>
          <w:rFonts w:ascii="Times New Roman" w:hAnsi="Times New Roman" w:cs="Times New Roman"/>
          <w:sz w:val="28"/>
          <w:szCs w:val="28"/>
        </w:rPr>
        <w:t xml:space="preserve"> resulta en modo alguno aceptable en contextos de no hostilidades, como son los de la violencia sexual.</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Ahora bien, l</w:t>
      </w:r>
      <w:r w:rsidRPr="00113298">
        <w:rPr>
          <w:rFonts w:ascii="Times New Roman" w:hAnsi="Times New Roman" w:cs="Times New Roman"/>
          <w:sz w:val="28"/>
          <w:szCs w:val="28"/>
        </w:rPr>
        <w:t xml:space="preserve">a Corte </w:t>
      </w:r>
      <w:r w:rsidRPr="00113298">
        <w:rPr>
          <w:rFonts w:ascii="Times New Roman" w:hAnsi="Times New Roman" w:cs="Times New Roman"/>
          <w:sz w:val="28"/>
          <w:szCs w:val="28"/>
        </w:rPr>
        <w:t>al inhibirse</w:t>
      </w:r>
      <w:r w:rsidRPr="00113298">
        <w:rPr>
          <w:rFonts w:ascii="Times New Roman" w:hAnsi="Times New Roman" w:cs="Times New Roman"/>
          <w:sz w:val="28"/>
          <w:szCs w:val="28"/>
        </w:rPr>
        <w:t xml:space="preserve"> no tuvo que resolver esa tensión. Pero</w:t>
      </w:r>
      <w:r w:rsidRPr="00113298">
        <w:rPr>
          <w:rFonts w:ascii="Times New Roman" w:hAnsi="Times New Roman" w:cs="Times New Roman"/>
          <w:sz w:val="28"/>
          <w:szCs w:val="28"/>
        </w:rPr>
        <w:t xml:space="preserve"> lo cierto es que aquella</w:t>
      </w:r>
      <w:r w:rsidRPr="00113298">
        <w:rPr>
          <w:rFonts w:ascii="Times New Roman" w:hAnsi="Times New Roman" w:cs="Times New Roman"/>
          <w:sz w:val="28"/>
          <w:szCs w:val="28"/>
        </w:rPr>
        <w:t xml:space="preserve"> no desaparece por el hecho de que la </w:t>
      </w:r>
      <w:r w:rsidRPr="00113298">
        <w:rPr>
          <w:rFonts w:ascii="Times New Roman" w:hAnsi="Times New Roman" w:cs="Times New Roman"/>
          <w:sz w:val="28"/>
          <w:szCs w:val="28"/>
        </w:rPr>
        <w:t>mayoría</w:t>
      </w:r>
      <w:r w:rsidRPr="00113298">
        <w:rPr>
          <w:rFonts w:ascii="Times New Roman" w:hAnsi="Times New Roman" w:cs="Times New Roman"/>
          <w:sz w:val="28"/>
          <w:szCs w:val="28"/>
        </w:rPr>
        <w:t xml:space="preserve"> haya dec</w:t>
      </w:r>
      <w:r w:rsidRPr="00113298">
        <w:rPr>
          <w:rFonts w:ascii="Times New Roman" w:hAnsi="Times New Roman" w:cs="Times New Roman"/>
          <w:sz w:val="28"/>
          <w:szCs w:val="28"/>
        </w:rPr>
        <w:t xml:space="preserve">idido no mirarla. Las víctimas siguen en el limbo. Las normas siguen vigentes. Y el problema constitucional que la demanda identificó sigue </w:t>
      </w:r>
      <w:r w:rsidRPr="00113298">
        <w:rPr>
          <w:rFonts w:ascii="Times New Roman" w:hAnsi="Times New Roman" w:cs="Times New Roman"/>
          <w:sz w:val="28"/>
          <w:szCs w:val="28"/>
        </w:rPr>
        <w:t>sin resolverse</w:t>
      </w:r>
      <w:r w:rsidRPr="00113298">
        <w:rPr>
          <w:rFonts w:ascii="Times New Roman" w:hAnsi="Times New Roman" w:cs="Times New Roman"/>
          <w:sz w:val="28"/>
          <w:szCs w:val="28"/>
        </w:rPr>
        <w:t>.</w:t>
      </w:r>
    </w:p>
    <w:p w:rsidR="00720AC8" w:rsidRPr="00113298" w:rsidRDefault="00113298" w:rsidP="00720AC8">
      <w:pPr>
        <w:rPr>
          <w:rFonts w:ascii="Times New Roman" w:hAnsi="Times New Roman" w:cs="Times New Roman"/>
          <w:sz w:val="28"/>
          <w:szCs w:val="28"/>
        </w:rPr>
      </w:pPr>
    </w:p>
    <w:p w:rsidR="00720AC8" w:rsidRPr="00113298" w:rsidRDefault="00113298" w:rsidP="00327CBE">
      <w:pPr>
        <w:pStyle w:val="Prrafodelista"/>
        <w:numPr>
          <w:ilvl w:val="0"/>
          <w:numId w:val="6"/>
        </w:numPr>
        <w:rPr>
          <w:b/>
          <w:bCs/>
          <w:i/>
          <w:iCs/>
          <w:sz w:val="28"/>
          <w:szCs w:val="28"/>
        </w:rPr>
      </w:pPr>
      <w:r w:rsidRPr="00113298">
        <w:rPr>
          <w:b/>
          <w:bCs/>
          <w:i/>
          <w:iCs/>
          <w:sz w:val="28"/>
          <w:szCs w:val="28"/>
        </w:rPr>
        <w:t>Las víctimas que el fallo inhibitorio abandona</w:t>
      </w:r>
    </w:p>
    <w:p w:rsidR="00720AC8" w:rsidRPr="00113298" w:rsidRDefault="00113298" w:rsidP="00720AC8">
      <w:pPr>
        <w:ind w:left="708"/>
        <w:rPr>
          <w:rFonts w:ascii="Times New Roman" w:hAnsi="Times New Roman" w:cs="Times New Roman"/>
          <w:b/>
          <w:bCs/>
          <w:i/>
          <w:iCs/>
          <w:sz w:val="28"/>
          <w:szCs w:val="28"/>
        </w:rPr>
      </w:pPr>
    </w:p>
    <w:p w:rsidR="00327CBE" w:rsidRPr="00113298" w:rsidRDefault="00113298" w:rsidP="00327CBE">
      <w:pPr>
        <w:pStyle w:val="Sinespaciado"/>
        <w:jc w:val="both"/>
        <w:rPr>
          <w:rFonts w:ascii="Times New Roman" w:hAnsi="Times New Roman" w:cs="Times New Roman"/>
          <w:sz w:val="28"/>
          <w:szCs w:val="28"/>
        </w:rPr>
      </w:pPr>
      <w:r w:rsidRPr="00113298">
        <w:rPr>
          <w:rStyle w:val="Textoennegrita"/>
          <w:rFonts w:ascii="Times New Roman" w:hAnsi="Times New Roman" w:cs="Times New Roman"/>
          <w:b w:val="0"/>
          <w:bCs w:val="0"/>
          <w:sz w:val="28"/>
          <w:szCs w:val="28"/>
        </w:rPr>
        <w:t xml:space="preserve">Para comprender aquello que la Sentencia C-074 de </w:t>
      </w:r>
      <w:r w:rsidRPr="00113298">
        <w:rPr>
          <w:rStyle w:val="Textoennegrita"/>
          <w:rFonts w:ascii="Times New Roman" w:hAnsi="Times New Roman" w:cs="Times New Roman"/>
          <w:b w:val="0"/>
          <w:bCs w:val="0"/>
          <w:sz w:val="28"/>
          <w:szCs w:val="28"/>
        </w:rPr>
        <w:t>2026 dejó sin resolver, es necesario ponerles nombre y rostro a las víctimas que permanecen en un limbo de protección.</w:t>
      </w:r>
      <w:r w:rsidRPr="00113298">
        <w:rPr>
          <w:rFonts w:ascii="Times New Roman" w:hAnsi="Times New Roman" w:cs="Times New Roman"/>
          <w:sz w:val="28"/>
          <w:szCs w:val="28"/>
        </w:rPr>
        <w:t xml:space="preserve"> No se trata de una abstracción jurídica ni de una categoría teórica del Derecho Internacional Humanitario. Son niñas y niños reclutados p</w:t>
      </w:r>
      <w:r w:rsidRPr="00113298">
        <w:rPr>
          <w:rFonts w:ascii="Times New Roman" w:hAnsi="Times New Roman" w:cs="Times New Roman"/>
          <w:sz w:val="28"/>
          <w:szCs w:val="28"/>
        </w:rPr>
        <w:t>or grupos armados cuando apenas tienen ocho (8) o doce (12) años. Son mujeres que, al interior de las filas, son sometidas a esclavitud sexual como mecanismo de control y castigo. Son personas con orientaciones sexuales e identidades de género diversas cuy</w:t>
      </w:r>
      <w:r w:rsidRPr="00113298">
        <w:rPr>
          <w:rFonts w:ascii="Times New Roman" w:hAnsi="Times New Roman" w:cs="Times New Roman"/>
          <w:sz w:val="28"/>
          <w:szCs w:val="28"/>
        </w:rPr>
        <w:t xml:space="preserve">os cuerpos son instrumentalizados como parte de lo que la ponencia derrotada denominó la </w:t>
      </w:r>
      <w:r w:rsidRPr="00113298">
        <w:rPr>
          <w:rStyle w:val="nfasis"/>
          <w:rFonts w:ascii="Times New Roman" w:hAnsi="Times New Roman" w:cs="Times New Roman"/>
          <w:i w:val="0"/>
          <w:iCs w:val="0"/>
          <w:sz w:val="28"/>
          <w:szCs w:val="28"/>
        </w:rPr>
        <w:t>"tecnología central de dominación"</w:t>
      </w:r>
      <w:r w:rsidRPr="00113298">
        <w:rPr>
          <w:rFonts w:ascii="Times New Roman" w:hAnsi="Times New Roman" w:cs="Times New Roman"/>
          <w:sz w:val="28"/>
          <w:szCs w:val="28"/>
        </w:rPr>
        <w:t xml:space="preserve"> de estas organizaciones.</w:t>
      </w:r>
    </w:p>
    <w:p w:rsidR="00327CBE" w:rsidRPr="00113298" w:rsidRDefault="00113298" w:rsidP="00327CBE">
      <w:pPr>
        <w:pStyle w:val="Sinespaciado"/>
        <w:jc w:val="both"/>
        <w:rPr>
          <w:rFonts w:ascii="Times New Roman" w:hAnsi="Times New Roman" w:cs="Times New Roman"/>
          <w:sz w:val="28"/>
          <w:szCs w:val="28"/>
        </w:rPr>
      </w:pPr>
    </w:p>
    <w:p w:rsidR="00327CBE" w:rsidRPr="00113298" w:rsidRDefault="00113298" w:rsidP="00327CBE">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La audiencia pública del 12 de agosto de 2025 documentó con precisión la magnitud de ese fenómeno. El Inst</w:t>
      </w:r>
      <w:r w:rsidRPr="00113298">
        <w:rPr>
          <w:rFonts w:ascii="Times New Roman" w:hAnsi="Times New Roman" w:cs="Times New Roman"/>
          <w:sz w:val="28"/>
          <w:szCs w:val="28"/>
        </w:rPr>
        <w:t>ituto Colombiano de Bienestar Familiar describió cómo, entre 2013 y 2022, miles de niñas, niños y adolescentes fueron reclutados por grupos armados. La Jurisdicción Especial para la Paz aportó casos concretos en los que el sistema penal ordinario había exc</w:t>
      </w:r>
      <w:r w:rsidRPr="00113298">
        <w:rPr>
          <w:rFonts w:ascii="Times New Roman" w:hAnsi="Times New Roman" w:cs="Times New Roman"/>
          <w:sz w:val="28"/>
          <w:szCs w:val="28"/>
        </w:rPr>
        <w:t xml:space="preserve">luido a estas víctimas de la protección que les correspondía, precisamente por las dudas interpretativas que genera la exigencia de la calidad de </w:t>
      </w:r>
      <w:r w:rsidRPr="00113298">
        <w:rPr>
          <w:rStyle w:val="nfasis"/>
          <w:rFonts w:ascii="Times New Roman" w:hAnsi="Times New Roman" w:cs="Times New Roman"/>
          <w:i w:val="0"/>
          <w:iCs w:val="0"/>
          <w:sz w:val="28"/>
          <w:szCs w:val="28"/>
        </w:rPr>
        <w:t>"</w:t>
      </w:r>
      <w:r w:rsidRPr="00113298">
        <w:rPr>
          <w:rStyle w:val="nfasis"/>
          <w:rFonts w:ascii="Times New Roman" w:hAnsi="Times New Roman" w:cs="Times New Roman"/>
          <w:sz w:val="28"/>
          <w:szCs w:val="28"/>
        </w:rPr>
        <w:t>persona protegida</w:t>
      </w:r>
      <w:r w:rsidRPr="00113298">
        <w:rPr>
          <w:rStyle w:val="nfasis"/>
          <w:rFonts w:ascii="Times New Roman" w:hAnsi="Times New Roman" w:cs="Times New Roman"/>
          <w:i w:val="0"/>
          <w:iCs w:val="0"/>
          <w:sz w:val="28"/>
          <w:szCs w:val="28"/>
        </w:rPr>
        <w:t>"</w:t>
      </w:r>
      <w:r w:rsidRPr="00113298">
        <w:rPr>
          <w:rFonts w:ascii="Times New Roman" w:hAnsi="Times New Roman" w:cs="Times New Roman"/>
          <w:sz w:val="28"/>
          <w:szCs w:val="28"/>
        </w:rPr>
        <w:t>. A su turno, la Defensoría del Pueblo expuso las barreras que enfrentan estas víctimas par</w:t>
      </w:r>
      <w:r w:rsidRPr="00113298">
        <w:rPr>
          <w:rFonts w:ascii="Times New Roman" w:hAnsi="Times New Roman" w:cs="Times New Roman"/>
          <w:sz w:val="28"/>
          <w:szCs w:val="28"/>
        </w:rPr>
        <w:t>a denunciar los hechos y acceder efectivamente a la administración de justicia.</w:t>
      </w:r>
    </w:p>
    <w:p w:rsidR="00327CBE" w:rsidRPr="00113298" w:rsidRDefault="00113298" w:rsidP="00327CBE">
      <w:pPr>
        <w:pStyle w:val="Sinespaciado"/>
        <w:jc w:val="both"/>
        <w:rPr>
          <w:rFonts w:ascii="Times New Roman" w:hAnsi="Times New Roman" w:cs="Times New Roman"/>
          <w:sz w:val="28"/>
          <w:szCs w:val="28"/>
        </w:rPr>
      </w:pPr>
    </w:p>
    <w:p w:rsidR="00327CBE" w:rsidRPr="00113298" w:rsidRDefault="00113298" w:rsidP="00327CBE">
      <w:pPr>
        <w:pStyle w:val="Sinespaciado"/>
        <w:jc w:val="both"/>
        <w:rPr>
          <w:rFonts w:ascii="Times New Roman" w:hAnsi="Times New Roman" w:cs="Times New Roman"/>
          <w:sz w:val="28"/>
          <w:szCs w:val="28"/>
        </w:rPr>
      </w:pPr>
      <w:r w:rsidRPr="00113298">
        <w:rPr>
          <w:rStyle w:val="Textoennegrita"/>
          <w:rFonts w:ascii="Times New Roman" w:hAnsi="Times New Roman" w:cs="Times New Roman"/>
          <w:b w:val="0"/>
          <w:bCs w:val="0"/>
          <w:sz w:val="28"/>
          <w:szCs w:val="28"/>
        </w:rPr>
        <w:t>Pese a ese panorama probatorio, la Corte optó por no emitir un pronunciamiento de fondo. Esa es, precisamente, la razón que explica mi apartamiento de la decisión mayoritaria.</w:t>
      </w:r>
      <w:r w:rsidRPr="00113298">
        <w:rPr>
          <w:rStyle w:val="Textoennegrita"/>
          <w:rFonts w:ascii="Times New Roman" w:hAnsi="Times New Roman" w:cs="Times New Roman"/>
          <w:b w:val="0"/>
          <w:bCs w:val="0"/>
          <w:sz w:val="28"/>
          <w:szCs w:val="28"/>
        </w:rPr>
        <w:t xml:space="preserve"> Mientras el expediente </w:t>
      </w:r>
      <w:r w:rsidRPr="00113298">
        <w:rPr>
          <w:rStyle w:val="Textoennegrita"/>
          <w:rFonts w:ascii="Times New Roman" w:hAnsi="Times New Roman" w:cs="Times New Roman"/>
          <w:b w:val="0"/>
          <w:bCs w:val="0"/>
          <w:sz w:val="28"/>
          <w:szCs w:val="28"/>
        </w:rPr>
        <w:t>mostraba</w:t>
      </w:r>
      <w:r w:rsidRPr="00113298">
        <w:rPr>
          <w:rStyle w:val="Textoennegrita"/>
          <w:rFonts w:ascii="Times New Roman" w:hAnsi="Times New Roman" w:cs="Times New Roman"/>
          <w:b w:val="0"/>
          <w:bCs w:val="0"/>
          <w:sz w:val="28"/>
          <w:szCs w:val="28"/>
        </w:rPr>
        <w:t xml:space="preserve"> la existencia de un problema constitucional con profundas consecuencias para miles de víctimas del conflicto armado, la mayoría consideró que la demanda no había articulado sus argumentos con la claridad suficiente y que no</w:t>
      </w:r>
      <w:r w:rsidRPr="00113298">
        <w:rPr>
          <w:rStyle w:val="Textoennegrita"/>
          <w:rFonts w:ascii="Times New Roman" w:hAnsi="Times New Roman" w:cs="Times New Roman"/>
          <w:b w:val="0"/>
          <w:bCs w:val="0"/>
          <w:sz w:val="28"/>
          <w:szCs w:val="28"/>
        </w:rPr>
        <w:t xml:space="preserve"> lograba suscitar una duda razonable sobre la constitucionalidad de las normas acusadas.</w:t>
      </w:r>
    </w:p>
    <w:p w:rsidR="008177B1" w:rsidRPr="00113298" w:rsidRDefault="00113298" w:rsidP="00720AC8">
      <w:pPr>
        <w:rPr>
          <w:rFonts w:ascii="Times New Roman" w:hAnsi="Times New Roman" w:cs="Times New Roman"/>
          <w:sz w:val="28"/>
          <w:szCs w:val="28"/>
        </w:rPr>
      </w:pPr>
    </w:p>
    <w:p w:rsidR="00720AC8" w:rsidRPr="00113298" w:rsidRDefault="00113298" w:rsidP="00327CBE">
      <w:pPr>
        <w:pStyle w:val="Prrafodelista"/>
        <w:numPr>
          <w:ilvl w:val="0"/>
          <w:numId w:val="6"/>
        </w:numPr>
        <w:rPr>
          <w:b/>
          <w:bCs/>
          <w:i/>
          <w:iCs/>
          <w:sz w:val="28"/>
          <w:szCs w:val="28"/>
        </w:rPr>
      </w:pPr>
      <w:r w:rsidRPr="00113298">
        <w:rPr>
          <w:b/>
          <w:bCs/>
          <w:i/>
          <w:iCs/>
          <w:sz w:val="28"/>
          <w:szCs w:val="28"/>
        </w:rPr>
        <w:t>La tecnología de dominación que la Corte no quiso nombrar</w:t>
      </w:r>
    </w:p>
    <w:p w:rsidR="00720AC8" w:rsidRPr="00113298" w:rsidRDefault="00113298" w:rsidP="00720AC8">
      <w:pPr>
        <w:ind w:firstLine="708"/>
        <w:rPr>
          <w:rFonts w:ascii="Times New Roman" w:hAnsi="Times New Roman" w:cs="Times New Roman"/>
          <w:b/>
          <w:bCs/>
          <w:i/>
          <w:iCs/>
          <w:sz w:val="28"/>
          <w:szCs w:val="28"/>
        </w:rPr>
      </w:pPr>
    </w:p>
    <w:p w:rsidR="006130F9" w:rsidRPr="00113298" w:rsidRDefault="00113298" w:rsidP="006130F9">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La ponencia inicial incorporó al expediente una realidad que finalmente no encontró lugar en la decisión ad</w:t>
      </w:r>
      <w:r w:rsidRPr="00113298">
        <w:rPr>
          <w:rFonts w:ascii="Times New Roman" w:hAnsi="Times New Roman" w:cs="Times New Roman"/>
          <w:sz w:val="28"/>
          <w:szCs w:val="28"/>
        </w:rPr>
        <w:t xml:space="preserve">optada por la Sala Plena. A partir de las intervenciones presentadas durante la audiencia pública y de los estudios especializados allegados al proceso, se documentó lo que la literatura especializada ha denominado las </w:t>
      </w:r>
      <w:r w:rsidRPr="00113298">
        <w:rPr>
          <w:rStyle w:val="Textoennegrita"/>
          <w:rFonts w:ascii="Times New Roman" w:hAnsi="Times New Roman" w:cs="Times New Roman"/>
          <w:b w:val="0"/>
          <w:bCs w:val="0"/>
          <w:sz w:val="28"/>
          <w:szCs w:val="28"/>
        </w:rPr>
        <w:t>"</w:t>
      </w:r>
      <w:r w:rsidRPr="00113298">
        <w:rPr>
          <w:rStyle w:val="Textoennegrita"/>
          <w:rFonts w:ascii="Times New Roman" w:hAnsi="Times New Roman" w:cs="Times New Roman"/>
          <w:b w:val="0"/>
          <w:bCs w:val="0"/>
          <w:i/>
          <w:iCs/>
          <w:sz w:val="28"/>
          <w:szCs w:val="28"/>
        </w:rPr>
        <w:t>arquitecturas de la violencia sexual</w:t>
      </w:r>
      <w:r w:rsidRPr="00113298">
        <w:rPr>
          <w:rStyle w:val="Textoennegrita"/>
          <w:rFonts w:ascii="Times New Roman" w:hAnsi="Times New Roman" w:cs="Times New Roman"/>
          <w:b w:val="0"/>
          <w:bCs w:val="0"/>
          <w:i/>
          <w:iCs/>
          <w:sz w:val="28"/>
          <w:szCs w:val="28"/>
        </w:rPr>
        <w:t xml:space="preserve"> intrafilas</w:t>
      </w:r>
      <w:r w:rsidRPr="00113298">
        <w:rPr>
          <w:rStyle w:val="Textoennegrita"/>
          <w:rFonts w:ascii="Times New Roman" w:hAnsi="Times New Roman" w:cs="Times New Roman"/>
          <w:b w:val="0"/>
          <w:bCs w:val="0"/>
          <w:sz w:val="28"/>
          <w:szCs w:val="28"/>
        </w:rPr>
        <w:t>"</w:t>
      </w:r>
      <w:r w:rsidRPr="00113298">
        <w:rPr>
          <w:rFonts w:ascii="Times New Roman" w:hAnsi="Times New Roman" w:cs="Times New Roman"/>
          <w:sz w:val="28"/>
          <w:szCs w:val="28"/>
        </w:rPr>
        <w:t>.</w:t>
      </w:r>
    </w:p>
    <w:p w:rsidR="006130F9" w:rsidRPr="00113298" w:rsidRDefault="00113298" w:rsidP="006130F9">
      <w:pPr>
        <w:pStyle w:val="Sinespaciado"/>
        <w:jc w:val="both"/>
        <w:rPr>
          <w:rFonts w:ascii="Times New Roman" w:hAnsi="Times New Roman" w:cs="Times New Roman"/>
          <w:sz w:val="28"/>
          <w:szCs w:val="28"/>
        </w:rPr>
      </w:pPr>
    </w:p>
    <w:p w:rsidR="006130F9" w:rsidRPr="00113298" w:rsidRDefault="00113298" w:rsidP="006130F9">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Con fundamento en esos elementos de juicio, la ponencia dejó constancia de la existencia de catorce (14) rituales de iniciación y once (11) mecanismos de lealtad forzada que configuran cinco arquitecturas de violencia sexual intrafilas, dise</w:t>
      </w:r>
      <w:r w:rsidRPr="00113298">
        <w:rPr>
          <w:rFonts w:ascii="Times New Roman" w:hAnsi="Times New Roman" w:cs="Times New Roman"/>
          <w:sz w:val="28"/>
          <w:szCs w:val="28"/>
        </w:rPr>
        <w:t>ñadas para anular la autonomía, destruir la identidad y asegurar el sometimiento absoluto de las víctimas. Entre ellas se identifican la esclavitud doméstica sexualizada, la prostitución forzada, los abortos y la anticoncepción forzada, la violación recurr</w:t>
      </w:r>
      <w:r w:rsidRPr="00113298">
        <w:rPr>
          <w:rFonts w:ascii="Times New Roman" w:hAnsi="Times New Roman" w:cs="Times New Roman"/>
          <w:sz w:val="28"/>
          <w:szCs w:val="28"/>
        </w:rPr>
        <w:t xml:space="preserve">ente, la esterilización forzada y la mutilación genital. </w:t>
      </w:r>
    </w:p>
    <w:p w:rsidR="006130F9" w:rsidRPr="00113298" w:rsidRDefault="00113298" w:rsidP="006130F9">
      <w:pPr>
        <w:pStyle w:val="Sinespaciado"/>
        <w:jc w:val="both"/>
        <w:rPr>
          <w:rFonts w:ascii="Times New Roman" w:hAnsi="Times New Roman" w:cs="Times New Roman"/>
          <w:sz w:val="28"/>
          <w:szCs w:val="28"/>
        </w:rPr>
      </w:pPr>
    </w:p>
    <w:p w:rsidR="006130F9" w:rsidRPr="00113298" w:rsidRDefault="00113298" w:rsidP="006130F9">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Todas estas prácticas se desarrollan, además, en el marco de un </w:t>
      </w:r>
      <w:r w:rsidRPr="00113298">
        <w:rPr>
          <w:rStyle w:val="Textoennegrita"/>
          <w:rFonts w:ascii="Times New Roman" w:hAnsi="Times New Roman" w:cs="Times New Roman"/>
          <w:b w:val="0"/>
          <w:bCs w:val="0"/>
          <w:sz w:val="28"/>
          <w:szCs w:val="28"/>
        </w:rPr>
        <w:t>"ejercicio intencional del derecho de propiedad"</w:t>
      </w:r>
      <w:r w:rsidRPr="00113298">
        <w:rPr>
          <w:rFonts w:ascii="Times New Roman" w:hAnsi="Times New Roman" w:cs="Times New Roman"/>
          <w:sz w:val="28"/>
          <w:szCs w:val="28"/>
        </w:rPr>
        <w:t xml:space="preserve"> que los grupos armados ejercen sobre las víctimas, reduciéndolas de sujetos de derec</w:t>
      </w:r>
      <w:r w:rsidRPr="00113298">
        <w:rPr>
          <w:rFonts w:ascii="Times New Roman" w:hAnsi="Times New Roman" w:cs="Times New Roman"/>
          <w:sz w:val="28"/>
          <w:szCs w:val="28"/>
        </w:rPr>
        <w:t>hos a objetos del patrimonio criminal.</w:t>
      </w:r>
    </w:p>
    <w:p w:rsidR="006130F9" w:rsidRPr="00113298" w:rsidRDefault="00113298" w:rsidP="006130F9">
      <w:pPr>
        <w:pStyle w:val="Sinespaciado"/>
        <w:jc w:val="both"/>
        <w:rPr>
          <w:rFonts w:ascii="Times New Roman" w:hAnsi="Times New Roman" w:cs="Times New Roman"/>
          <w:sz w:val="28"/>
          <w:szCs w:val="28"/>
        </w:rPr>
      </w:pPr>
    </w:p>
    <w:p w:rsidR="006130F9" w:rsidRPr="00113298" w:rsidRDefault="00113298" w:rsidP="006130F9">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Esta descripción no constituye un recurso retórico. Corresponde al resultado de años de documentación adelantada por organismos nacionales e internacionales especializados y era, precisamente, la realidad constitucio</w:t>
      </w:r>
      <w:r w:rsidRPr="00113298">
        <w:rPr>
          <w:rFonts w:ascii="Times New Roman" w:hAnsi="Times New Roman" w:cs="Times New Roman"/>
          <w:sz w:val="28"/>
          <w:szCs w:val="28"/>
        </w:rPr>
        <w:t xml:space="preserve">nal que la Corte estaba llamada a examinar. A partir de ella debía responderse una pregunta fundamental: </w:t>
      </w:r>
      <w:r w:rsidRPr="00113298">
        <w:rPr>
          <w:rStyle w:val="Textoennegrita"/>
          <w:rFonts w:ascii="Times New Roman" w:hAnsi="Times New Roman" w:cs="Times New Roman"/>
          <w:b w:val="0"/>
          <w:bCs w:val="0"/>
          <w:sz w:val="28"/>
          <w:szCs w:val="28"/>
        </w:rPr>
        <w:t>¿puede el ordenamiento jurídico colombiano admitir que la protección penal frente a la violencia sexual dependa del estatus que el victimario y la víct</w:t>
      </w:r>
      <w:r w:rsidRPr="00113298">
        <w:rPr>
          <w:rStyle w:val="Textoennegrita"/>
          <w:rFonts w:ascii="Times New Roman" w:hAnsi="Times New Roman" w:cs="Times New Roman"/>
          <w:b w:val="0"/>
          <w:bCs w:val="0"/>
          <w:sz w:val="28"/>
          <w:szCs w:val="28"/>
        </w:rPr>
        <w:t>ima ocupan dentro de un mismo grupo armado?</w:t>
      </w:r>
    </w:p>
    <w:p w:rsidR="006130F9" w:rsidRPr="00113298" w:rsidRDefault="00113298" w:rsidP="006130F9">
      <w:pPr>
        <w:pStyle w:val="Sinespaciado"/>
        <w:jc w:val="both"/>
        <w:rPr>
          <w:rFonts w:ascii="Times New Roman" w:hAnsi="Times New Roman" w:cs="Times New Roman"/>
          <w:sz w:val="28"/>
          <w:szCs w:val="28"/>
        </w:rPr>
      </w:pPr>
    </w:p>
    <w:p w:rsidR="006130F9" w:rsidRPr="00113298" w:rsidRDefault="00113298" w:rsidP="006130F9">
      <w:pPr>
        <w:pStyle w:val="Sinespaciado"/>
        <w:jc w:val="both"/>
        <w:rPr>
          <w:rFonts w:ascii="Times New Roman" w:hAnsi="Times New Roman" w:cs="Times New Roman"/>
          <w:sz w:val="28"/>
        </w:rPr>
      </w:pPr>
      <w:r w:rsidRPr="00113298">
        <w:rPr>
          <w:rFonts w:ascii="Times New Roman" w:hAnsi="Times New Roman" w:cs="Times New Roman"/>
          <w:sz w:val="28"/>
          <w:szCs w:val="28"/>
        </w:rPr>
        <w:t xml:space="preserve">En mi criterio, esa pregunta debía responderse negativamente. Así lo imponen el Derecho Internacional Humanitario, el Derecho Internacional de los Derechos Humanos y el carácter de </w:t>
      </w:r>
      <w:r w:rsidRPr="00113298">
        <w:rPr>
          <w:rStyle w:val="nfasis"/>
          <w:rFonts w:ascii="Times New Roman" w:hAnsi="Times New Roman" w:cs="Times New Roman"/>
          <w:sz w:val="28"/>
          <w:szCs w:val="28"/>
        </w:rPr>
        <w:t>ius cogens</w:t>
      </w:r>
      <w:r w:rsidRPr="00113298">
        <w:rPr>
          <w:rFonts w:ascii="Times New Roman" w:hAnsi="Times New Roman" w:cs="Times New Roman"/>
          <w:sz w:val="28"/>
          <w:szCs w:val="28"/>
        </w:rPr>
        <w:t xml:space="preserve"> que reviste la proh</w:t>
      </w:r>
      <w:r w:rsidRPr="00113298">
        <w:rPr>
          <w:rFonts w:ascii="Times New Roman" w:hAnsi="Times New Roman" w:cs="Times New Roman"/>
          <w:sz w:val="28"/>
          <w:szCs w:val="28"/>
        </w:rPr>
        <w:t xml:space="preserve">ibición de la violencia sexual en los conflictos armados. Sin embargo, la </w:t>
      </w:r>
      <w:r w:rsidRPr="00113298">
        <w:rPr>
          <w:rFonts w:ascii="Times New Roman" w:hAnsi="Times New Roman" w:cs="Times New Roman"/>
          <w:sz w:val="28"/>
          <w:szCs w:val="28"/>
        </w:rPr>
        <w:t>mayoría</w:t>
      </w:r>
      <w:r w:rsidRPr="00113298">
        <w:rPr>
          <w:rFonts w:ascii="Times New Roman" w:hAnsi="Times New Roman" w:cs="Times New Roman"/>
          <w:sz w:val="28"/>
          <w:szCs w:val="28"/>
        </w:rPr>
        <w:t xml:space="preserve"> nunca llegó a enfrentar ese debate. La decisión inhibitoria impidió que la Sala Plena se pronunciara sobre el verdadero problema constitucional planteado y dejó sin resolver </w:t>
      </w:r>
      <w:r w:rsidRPr="00113298">
        <w:rPr>
          <w:rFonts w:ascii="Times New Roman" w:hAnsi="Times New Roman" w:cs="Times New Roman"/>
          <w:sz w:val="28"/>
          <w:szCs w:val="28"/>
        </w:rPr>
        <w:t>una cuestión que afecta de manera directa a algunas de las víctimas más vulnerables del conflicto armado colombiano</w:t>
      </w:r>
      <w:r w:rsidRPr="00113298">
        <w:rPr>
          <w:rFonts w:ascii="Times New Roman" w:hAnsi="Times New Roman" w:cs="Times New Roman"/>
          <w:sz w:val="28"/>
        </w:rPr>
        <w:t>.</w:t>
      </w:r>
    </w:p>
    <w:p w:rsidR="00720AC8" w:rsidRPr="00113298" w:rsidRDefault="00113298" w:rsidP="00720AC8">
      <w:pPr>
        <w:rPr>
          <w:rFonts w:ascii="Times New Roman" w:hAnsi="Times New Roman" w:cs="Times New Roman"/>
          <w:sz w:val="28"/>
          <w:szCs w:val="28"/>
        </w:rPr>
      </w:pPr>
    </w:p>
    <w:p w:rsidR="00720AC8" w:rsidRPr="00113298" w:rsidRDefault="00113298" w:rsidP="006130F9">
      <w:pPr>
        <w:pStyle w:val="Prrafodelista"/>
        <w:numPr>
          <w:ilvl w:val="0"/>
          <w:numId w:val="6"/>
        </w:numPr>
        <w:rPr>
          <w:b/>
          <w:bCs/>
          <w:i/>
          <w:iCs/>
          <w:sz w:val="28"/>
          <w:szCs w:val="28"/>
        </w:rPr>
      </w:pPr>
      <w:r w:rsidRPr="00113298">
        <w:rPr>
          <w:b/>
          <w:bCs/>
          <w:i/>
          <w:iCs/>
          <w:sz w:val="28"/>
          <w:szCs w:val="28"/>
        </w:rPr>
        <w:t xml:space="preserve">El limbo que la SU-599 de 2019 </w:t>
      </w:r>
      <w:r w:rsidRPr="00113298">
        <w:rPr>
          <w:b/>
          <w:bCs/>
          <w:i/>
          <w:iCs/>
          <w:sz w:val="28"/>
          <w:szCs w:val="28"/>
        </w:rPr>
        <w:t>detectó</w:t>
      </w:r>
      <w:r w:rsidRPr="00113298">
        <w:rPr>
          <w:b/>
          <w:bCs/>
          <w:i/>
          <w:iCs/>
          <w:sz w:val="28"/>
          <w:szCs w:val="28"/>
        </w:rPr>
        <w:t xml:space="preserve"> y que la </w:t>
      </w:r>
      <w:r w:rsidRPr="00113298">
        <w:rPr>
          <w:b/>
          <w:bCs/>
          <w:i/>
          <w:iCs/>
          <w:sz w:val="28"/>
          <w:szCs w:val="28"/>
        </w:rPr>
        <w:t xml:space="preserve">Sentencia </w:t>
      </w:r>
      <w:r w:rsidRPr="00113298">
        <w:rPr>
          <w:b/>
          <w:bCs/>
          <w:i/>
          <w:iCs/>
          <w:sz w:val="28"/>
          <w:szCs w:val="28"/>
        </w:rPr>
        <w:t>C-074 perpetúa</w:t>
      </w:r>
    </w:p>
    <w:p w:rsidR="00720AC8" w:rsidRPr="00113298" w:rsidRDefault="00113298" w:rsidP="00720AC8">
      <w:pPr>
        <w:ind w:firstLine="708"/>
        <w:rPr>
          <w:rFonts w:ascii="Times New Roman" w:hAnsi="Times New Roman" w:cs="Times New Roman"/>
          <w:b/>
          <w:bCs/>
          <w:i/>
          <w:iCs/>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Como también lo advertí, la ponencia inicial citaba y analizaba ampliamente la Sentencia SU-599 de 2019 por una razón precisa: demostrar que el problema constitucional planteado en esta demanda no surgió con la acción pública presentada en 2024, sino que h</w:t>
      </w:r>
      <w:r w:rsidRPr="00113298">
        <w:rPr>
          <w:rFonts w:ascii="Times New Roman" w:hAnsi="Times New Roman" w:cs="Times New Roman"/>
          <w:sz w:val="28"/>
          <w:szCs w:val="28"/>
        </w:rPr>
        <w:t>abía sido previamente identificado por la propia Sala Plena y permanecía sin una solución definitiva. En esa sentencia de unificación, la Corte sostuvo que los crímenes de guerra sancionan conductas dirigidas tanto contra la población civil como contra mie</w:t>
      </w:r>
      <w:r w:rsidRPr="00113298">
        <w:rPr>
          <w:rFonts w:ascii="Times New Roman" w:hAnsi="Times New Roman" w:cs="Times New Roman"/>
          <w:sz w:val="28"/>
          <w:szCs w:val="28"/>
        </w:rPr>
        <w:t xml:space="preserve">mbros de grupos armados y que excluir a estos últimos de la categoría de </w:t>
      </w:r>
      <w:r w:rsidRPr="00113298">
        <w:rPr>
          <w:rStyle w:val="nfasis"/>
          <w:rFonts w:ascii="Times New Roman" w:hAnsi="Times New Roman" w:cs="Times New Roman"/>
          <w:i w:val="0"/>
          <w:iCs w:val="0"/>
          <w:sz w:val="28"/>
          <w:szCs w:val="28"/>
        </w:rPr>
        <w:t>persona protegida</w:t>
      </w:r>
      <w:r w:rsidRPr="00113298">
        <w:rPr>
          <w:rFonts w:ascii="Times New Roman" w:hAnsi="Times New Roman" w:cs="Times New Roman"/>
          <w:sz w:val="28"/>
          <w:szCs w:val="28"/>
        </w:rPr>
        <w:t xml:space="preserve"> cuando son víctimas de violencia sexual resulta incompatible con el Derecho Internacional Humanitario.</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Style w:val="Textoennegrita"/>
          <w:rFonts w:ascii="Times New Roman" w:hAnsi="Times New Roman" w:cs="Times New Roman"/>
          <w:b w:val="0"/>
          <w:bCs w:val="0"/>
          <w:sz w:val="28"/>
          <w:szCs w:val="28"/>
        </w:rPr>
        <w:t>Sin embargo</w:t>
      </w:r>
      <w:r w:rsidRPr="00113298">
        <w:rPr>
          <w:rFonts w:ascii="Times New Roman" w:hAnsi="Times New Roman" w:cs="Times New Roman"/>
          <w:sz w:val="28"/>
          <w:szCs w:val="28"/>
        </w:rPr>
        <w:t xml:space="preserve">, ese importante precedente no resolvió el problema normativo de fondo. Los tipos penales previstos en la Ley 599 de 2000 continuaron exigiendo la calidad de </w:t>
      </w:r>
      <w:r w:rsidRPr="00113298">
        <w:rPr>
          <w:rFonts w:ascii="Times New Roman" w:hAnsi="Times New Roman" w:cs="Times New Roman"/>
          <w:sz w:val="28"/>
          <w:szCs w:val="28"/>
        </w:rPr>
        <w:t>“</w:t>
      </w:r>
      <w:r w:rsidRPr="00113298">
        <w:rPr>
          <w:rStyle w:val="nfasis"/>
          <w:rFonts w:ascii="Times New Roman" w:hAnsi="Times New Roman" w:cs="Times New Roman"/>
          <w:sz w:val="28"/>
          <w:szCs w:val="28"/>
        </w:rPr>
        <w:t>persona protegida</w:t>
      </w:r>
      <w:r w:rsidRPr="00113298">
        <w:rPr>
          <w:rStyle w:val="nfasis"/>
          <w:rFonts w:ascii="Times New Roman" w:hAnsi="Times New Roman" w:cs="Times New Roman"/>
          <w:i w:val="0"/>
          <w:iCs w:val="0"/>
          <w:sz w:val="28"/>
          <w:szCs w:val="28"/>
        </w:rPr>
        <w:t>”</w:t>
      </w:r>
      <w:r w:rsidRPr="00113298">
        <w:rPr>
          <w:rFonts w:ascii="Times New Roman" w:hAnsi="Times New Roman" w:cs="Times New Roman"/>
          <w:sz w:val="28"/>
          <w:szCs w:val="28"/>
        </w:rPr>
        <w:t xml:space="preserve"> y, como quedó demostrado durante este proceso, esa exigencia siguió dando luga</w:t>
      </w:r>
      <w:r w:rsidRPr="00113298">
        <w:rPr>
          <w:rFonts w:ascii="Times New Roman" w:hAnsi="Times New Roman" w:cs="Times New Roman"/>
          <w:sz w:val="28"/>
          <w:szCs w:val="28"/>
        </w:rPr>
        <w:t>r a interpretaciones judiciales y administrativas que excluían de la protección penal a estas víctimas. La propia Sentencia SU-599 de 2019 reconoció que persistían barreras normativas, entre ellas el parágrafo 2 del artículo 3 de la Ley 1448 de 2011, que e</w:t>
      </w:r>
      <w:r w:rsidRPr="00113298">
        <w:rPr>
          <w:rFonts w:ascii="Times New Roman" w:hAnsi="Times New Roman" w:cs="Times New Roman"/>
          <w:sz w:val="28"/>
          <w:szCs w:val="28"/>
        </w:rPr>
        <w:t>xcluía expresamente a los integrantes de grupos armados organizados de la condición de víctimas.</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Precisamente por ello, considero que la presente demanda ofrecía a la Sala Plena la oportunidad de resolver de manera definitiva ese problema. Le permitía hac</w:t>
      </w:r>
      <w:r w:rsidRPr="00113298">
        <w:rPr>
          <w:rFonts w:ascii="Times New Roman" w:hAnsi="Times New Roman" w:cs="Times New Roman"/>
          <w:sz w:val="28"/>
          <w:szCs w:val="28"/>
        </w:rPr>
        <w:t>er aquello que la Sentencia SU-599 de 2019, por la naturaleza propia de la acción de tutela, no podía hacer: retirar del ordenamiento el presupuesto normativo que daba lugar a esa exclusión y adoptar una decisión con efectos generales y vinculantes para to</w:t>
      </w:r>
      <w:r w:rsidRPr="00113298">
        <w:rPr>
          <w:rFonts w:ascii="Times New Roman" w:hAnsi="Times New Roman" w:cs="Times New Roman"/>
          <w:sz w:val="28"/>
          <w:szCs w:val="28"/>
        </w:rPr>
        <w:t>das las autoridades.</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Con todo, al inhibirse, la Sentencia C-074 de 2026 no hizo desaparecer el problema constitucional. </w:t>
      </w:r>
      <w:r w:rsidRPr="00113298">
        <w:rPr>
          <w:rStyle w:val="Textoennegrita"/>
          <w:rFonts w:ascii="Times New Roman" w:hAnsi="Times New Roman" w:cs="Times New Roman"/>
          <w:b w:val="0"/>
          <w:bCs w:val="0"/>
          <w:sz w:val="28"/>
          <w:szCs w:val="28"/>
        </w:rPr>
        <w:t>Lo dejó intacto.</w:t>
      </w:r>
      <w:r w:rsidRPr="00113298">
        <w:rPr>
          <w:rFonts w:ascii="Times New Roman" w:hAnsi="Times New Roman" w:cs="Times New Roman"/>
          <w:sz w:val="28"/>
          <w:szCs w:val="28"/>
        </w:rPr>
        <w:t xml:space="preserve"> La decisión mayoritaria frustró la posibilidad de resolver, mediante el control abstracto de constitucionalidad, una d</w:t>
      </w:r>
      <w:r w:rsidRPr="00113298">
        <w:rPr>
          <w:rFonts w:ascii="Times New Roman" w:hAnsi="Times New Roman" w:cs="Times New Roman"/>
          <w:sz w:val="28"/>
          <w:szCs w:val="28"/>
        </w:rPr>
        <w:t>iscusión que la propia Corte había identificado siete años atrás y que continuaba produciendo efectos concretos sobre las víctimas. Aquellas personas cuyo reconocimiento fue reivindicado por la Sentencia SU-599 de 2019 permanecen, aún hoy, en el mismo limb</w:t>
      </w:r>
      <w:r w:rsidRPr="00113298">
        <w:rPr>
          <w:rFonts w:ascii="Times New Roman" w:hAnsi="Times New Roman" w:cs="Times New Roman"/>
          <w:sz w:val="28"/>
          <w:szCs w:val="28"/>
        </w:rPr>
        <w:t>o normativo que esa providencia puso de presente. La Corte tuvo la oportunidad de cerrar ese capítulo y decidió no hacerlo.</w:t>
      </w:r>
    </w:p>
    <w:p w:rsidR="00720AC8" w:rsidRPr="00113298" w:rsidRDefault="00113298" w:rsidP="00720AC8">
      <w:pPr>
        <w:rPr>
          <w:rFonts w:ascii="Times New Roman" w:hAnsi="Times New Roman" w:cs="Times New Roman"/>
          <w:sz w:val="28"/>
          <w:szCs w:val="28"/>
        </w:rPr>
      </w:pPr>
    </w:p>
    <w:p w:rsidR="00720AC8" w:rsidRPr="00113298" w:rsidRDefault="00113298" w:rsidP="006130F9">
      <w:pPr>
        <w:pStyle w:val="Prrafodelista"/>
        <w:numPr>
          <w:ilvl w:val="0"/>
          <w:numId w:val="6"/>
        </w:numPr>
        <w:rPr>
          <w:b/>
          <w:bCs/>
          <w:i/>
          <w:iCs/>
          <w:sz w:val="28"/>
          <w:szCs w:val="28"/>
        </w:rPr>
      </w:pPr>
      <w:r w:rsidRPr="00113298">
        <w:rPr>
          <w:b/>
          <w:bCs/>
          <w:i/>
          <w:iCs/>
          <w:sz w:val="28"/>
          <w:szCs w:val="28"/>
        </w:rPr>
        <w:t>La solución que la Corte debió adoptar</w:t>
      </w:r>
    </w:p>
    <w:p w:rsidR="00720AC8" w:rsidRPr="00113298" w:rsidRDefault="00113298" w:rsidP="00720AC8">
      <w:pPr>
        <w:ind w:firstLine="708"/>
        <w:rPr>
          <w:rFonts w:ascii="Times New Roman" w:hAnsi="Times New Roman" w:cs="Times New Roman"/>
          <w:b/>
          <w:bCs/>
          <w:i/>
          <w:iCs/>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En su momento, luego de varias observaciones y discusiones en torno a la ponencia </w:t>
      </w:r>
      <w:r w:rsidRPr="00113298">
        <w:rPr>
          <w:rFonts w:ascii="Times New Roman" w:hAnsi="Times New Roman" w:cs="Times New Roman"/>
          <w:sz w:val="28"/>
          <w:szCs w:val="28"/>
        </w:rPr>
        <w:t>inicialmente presentada, sometí a consideración de la Sala Plena una propuesta alternativa que contemplaba una doble solución: la inexequibilidad de una de las expresiones demandadas y la exequibilidad condicionada de la otra.</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La ponencia derrotada había </w:t>
      </w:r>
      <w:r w:rsidRPr="00113298">
        <w:rPr>
          <w:rFonts w:ascii="Times New Roman" w:hAnsi="Times New Roman" w:cs="Times New Roman"/>
          <w:sz w:val="28"/>
          <w:szCs w:val="28"/>
        </w:rPr>
        <w:t>construido una respuesta que atendía con precisión el problema constitucional planteado en la demanda. Para ello, proponía analizar separadamente las dos expresiones acusadas, por responder a lógicas normativas distintas. De un lado, la expresión "</w:t>
      </w:r>
      <w:r w:rsidRPr="00113298">
        <w:rPr>
          <w:rFonts w:ascii="Times New Roman" w:hAnsi="Times New Roman" w:cs="Times New Roman"/>
          <w:i/>
          <w:iCs/>
          <w:sz w:val="28"/>
          <w:szCs w:val="28"/>
        </w:rPr>
        <w:t>y las de</w:t>
      </w:r>
      <w:r w:rsidRPr="00113298">
        <w:rPr>
          <w:rFonts w:ascii="Times New Roman" w:hAnsi="Times New Roman" w:cs="Times New Roman"/>
          <w:i/>
          <w:iCs/>
          <w:sz w:val="28"/>
          <w:szCs w:val="28"/>
        </w:rPr>
        <w:t>más normas del presente título</w:t>
      </w:r>
      <w:r w:rsidRPr="00113298">
        <w:rPr>
          <w:rFonts w:ascii="Times New Roman" w:hAnsi="Times New Roman" w:cs="Times New Roman"/>
          <w:sz w:val="28"/>
          <w:szCs w:val="28"/>
        </w:rPr>
        <w:t>", contenida en el parágrafo del artículo 135 del Código Penal, mediante la cual se extiende la definición de persona protegida a todos los tipos penales previstos en el Título II. De otro, la expresión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in</w:t>
      </w:r>
      <w:r w:rsidRPr="00113298">
        <w:rPr>
          <w:rFonts w:ascii="Times New Roman" w:hAnsi="Times New Roman" w:cs="Times New Roman"/>
          <w:sz w:val="28"/>
          <w:szCs w:val="28"/>
        </w:rPr>
        <w:t>corporada específicamente en los artículos 138 a 141B del mismo estatuto, relativos a los delitos de violencia sexual.</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Respecto de la primera expresión, la ponencia proponía declarar su exequibilidad condicionada, bajo el entendido de que esa remisión no </w:t>
      </w:r>
      <w:r w:rsidRPr="00113298">
        <w:rPr>
          <w:rFonts w:ascii="Times New Roman" w:hAnsi="Times New Roman" w:cs="Times New Roman"/>
          <w:sz w:val="28"/>
          <w:szCs w:val="28"/>
        </w:rPr>
        <w:t>resultaba aplicable a los tipos penales de violencia sexual. Esa solución preservaba la utilidad normativa de la categoría de persona protegida para aquellos delitos que sí se desarrollan en el contexto de las hostilidades, donde el principio de distinción</w:t>
      </w:r>
      <w:r w:rsidRPr="00113298">
        <w:rPr>
          <w:rFonts w:ascii="Times New Roman" w:hAnsi="Times New Roman" w:cs="Times New Roman"/>
          <w:sz w:val="28"/>
          <w:szCs w:val="28"/>
        </w:rPr>
        <w:t xml:space="preserve"> conserva plena relevancia, sin extender ese requisito a los delitos de violencia sexual, ámbito en el cual dicho principio carece de</w:t>
      </w:r>
      <w:r w:rsidRPr="00113298">
        <w:rPr>
          <w:rFonts w:ascii="Times New Roman" w:hAnsi="Times New Roman" w:cs="Times New Roman"/>
          <w:sz w:val="28"/>
          <w:szCs w:val="28"/>
        </w:rPr>
        <w:t xml:space="preserve"> sentido</w:t>
      </w:r>
      <w:r w:rsidRPr="00113298">
        <w:rPr>
          <w:rFonts w:ascii="Times New Roman" w:hAnsi="Times New Roman" w:cs="Times New Roman"/>
          <w:sz w:val="28"/>
          <w:szCs w:val="28"/>
        </w:rPr>
        <w:t>.</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En cuanto a la segunda expresión </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la exigencia de que la víctima sea una persona protegida en los tipos penales </w:t>
      </w:r>
      <w:r w:rsidRPr="00113298">
        <w:rPr>
          <w:rFonts w:ascii="Times New Roman" w:hAnsi="Times New Roman" w:cs="Times New Roman"/>
          <w:sz w:val="28"/>
          <w:szCs w:val="28"/>
        </w:rPr>
        <w:t>de violencia sexual</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la ponencia proponía su inexequibilidad. La razón era, a mi juicio, jurídicamente incontrovertible: en materia de violencia sexual no puede existir una persona desprovista de protección jurídica. Si toda persona está protegida frente a</w:t>
      </w:r>
      <w:r w:rsidRPr="00113298">
        <w:rPr>
          <w:rFonts w:ascii="Times New Roman" w:hAnsi="Times New Roman" w:cs="Times New Roman"/>
          <w:sz w:val="28"/>
          <w:szCs w:val="28"/>
        </w:rPr>
        <w:t xml:space="preserve"> estas conductas, esa calificación pierde sentido normativo y su permanencia en el texto legal únicamente genera incertidumbre interpretativa y déficits de protección. Su eliminación permitía remover esa barrera y armonizar la legislación penal con el Dere</w:t>
      </w:r>
      <w:r w:rsidRPr="00113298">
        <w:rPr>
          <w:rFonts w:ascii="Times New Roman" w:hAnsi="Times New Roman" w:cs="Times New Roman"/>
          <w:sz w:val="28"/>
          <w:szCs w:val="28"/>
        </w:rPr>
        <w:t>cho Internacional Humanitario y el bloque de constitucionalidad.</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La ponencia lo expresaba con claridad: esa solución era la que mejor desarrollaba el mandato contenido en las normas de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xml:space="preserve"> que integran el Derecho Internacional Humanitario, en parti</w:t>
      </w:r>
      <w:r w:rsidRPr="00113298">
        <w:rPr>
          <w:rFonts w:ascii="Times New Roman" w:hAnsi="Times New Roman" w:cs="Times New Roman"/>
          <w:sz w:val="28"/>
          <w:szCs w:val="28"/>
        </w:rPr>
        <w:t>cular la prohibición absoluta de la violencia sexual aun en contextos de conflicto armado, y la que realizaba de mejor manera el principio de humanidad. Quedaba así claramente establecido que esa prohibición, por su carácter absoluto, no admite excepciones</w:t>
      </w:r>
      <w:r w:rsidRPr="00113298">
        <w:rPr>
          <w:rFonts w:ascii="Times New Roman" w:hAnsi="Times New Roman" w:cs="Times New Roman"/>
          <w:sz w:val="28"/>
          <w:szCs w:val="28"/>
        </w:rPr>
        <w:t xml:space="preserve"> derivadas del estatus de la víctima o de su pertenencia a un grupo armado.</w:t>
      </w:r>
    </w:p>
    <w:p w:rsidR="00CA7094"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La propuesta encontraba respaldo, además, en uno de los precedentes más relevantes del Derecho Penal Internacional: la sentencia de la Corte Penal Internacional en el caso </w:t>
      </w:r>
      <w:r w:rsidRPr="00113298">
        <w:rPr>
          <w:rFonts w:ascii="Times New Roman" w:hAnsi="Times New Roman" w:cs="Times New Roman"/>
          <w:i/>
          <w:iCs/>
          <w:sz w:val="28"/>
          <w:szCs w:val="28"/>
        </w:rPr>
        <w:t>Bosco N</w:t>
      </w:r>
      <w:r w:rsidRPr="00113298">
        <w:rPr>
          <w:rFonts w:ascii="Times New Roman" w:hAnsi="Times New Roman" w:cs="Times New Roman"/>
          <w:i/>
          <w:iCs/>
          <w:sz w:val="28"/>
          <w:szCs w:val="28"/>
        </w:rPr>
        <w:t>taganda</w:t>
      </w:r>
      <w:r w:rsidRPr="00113298">
        <w:rPr>
          <w:rFonts w:ascii="Times New Roman" w:hAnsi="Times New Roman" w:cs="Times New Roman"/>
          <w:sz w:val="28"/>
          <w:szCs w:val="28"/>
        </w:rPr>
        <w:t xml:space="preserve"> (2019). En esa decisión, la Corte concluyó que el estatus de la víctima resulta jurídicamente irrelevante para calificar la violencia sexual como crimen de guerra. Lo determinante no es si la víctima es civil o combatiente, si pertenece a las propi</w:t>
      </w:r>
      <w:r w:rsidRPr="00113298">
        <w:rPr>
          <w:rFonts w:ascii="Times New Roman" w:hAnsi="Times New Roman" w:cs="Times New Roman"/>
          <w:sz w:val="28"/>
          <w:szCs w:val="28"/>
        </w:rPr>
        <w:t>as filas del agresor o al grupo adversario. Lo determinante es la existencia de un nexo con el conflicto armado. Todo acto de violencia sexual cometido con ocasión y en desarrollo del conflicto constituye un crimen de guerra, con independencia de la condic</w:t>
      </w:r>
      <w:r w:rsidRPr="00113298">
        <w:rPr>
          <w:rFonts w:ascii="Times New Roman" w:hAnsi="Times New Roman" w:cs="Times New Roman"/>
          <w:sz w:val="28"/>
          <w:szCs w:val="28"/>
        </w:rPr>
        <w:t>ión de la víctima.</w:t>
      </w:r>
    </w:p>
    <w:p w:rsidR="00695A96"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Ese precedente no solo posee un indudable valor persuasivo en el ámbito del Derecho Internacional. También integra el parámetro de control constitucional colombiano, en la medida en que el bloque de constitucionalidad incorpora las norm</w:t>
      </w:r>
      <w:r w:rsidRPr="00113298">
        <w:rPr>
          <w:rFonts w:ascii="Times New Roman" w:hAnsi="Times New Roman" w:cs="Times New Roman"/>
          <w:sz w:val="28"/>
          <w:szCs w:val="28"/>
        </w:rPr>
        <w:t>as del Derecho Internacional Humanitario y los desarrollos jurisprudenciales de los tribunales internacionales competentes en la materia. La propia Corte Constitucional acogió esa comprensión en la Sentencia SU-599 de 2019. La ponencia derrotada, sencillam</w:t>
      </w:r>
      <w:r w:rsidRPr="00113298">
        <w:rPr>
          <w:rFonts w:ascii="Times New Roman" w:hAnsi="Times New Roman" w:cs="Times New Roman"/>
          <w:sz w:val="28"/>
          <w:szCs w:val="28"/>
        </w:rPr>
        <w:t>ente, profundizaba ese desarrollo y lo convertía en fundamento de una decisión de constitucionalidad.</w:t>
      </w:r>
    </w:p>
    <w:p w:rsidR="00695A96"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Al inhibirse, la mayoría no rechazó el precedente </w:t>
      </w:r>
      <w:r w:rsidRPr="00113298">
        <w:rPr>
          <w:rFonts w:ascii="Times New Roman" w:hAnsi="Times New Roman" w:cs="Times New Roman"/>
          <w:i/>
          <w:iCs/>
          <w:sz w:val="28"/>
          <w:szCs w:val="28"/>
        </w:rPr>
        <w:t>Bosco Ntaganda</w:t>
      </w:r>
      <w:r w:rsidRPr="00113298">
        <w:rPr>
          <w:rFonts w:ascii="Times New Roman" w:hAnsi="Times New Roman" w:cs="Times New Roman"/>
          <w:sz w:val="28"/>
          <w:szCs w:val="28"/>
        </w:rPr>
        <w:t xml:space="preserve"> ni cuestionó la interpretación del Derecho Internacional Humanitario que este contiene. </w:t>
      </w:r>
      <w:r w:rsidRPr="00113298">
        <w:rPr>
          <w:rFonts w:ascii="Times New Roman" w:hAnsi="Times New Roman" w:cs="Times New Roman"/>
          <w:sz w:val="28"/>
          <w:szCs w:val="28"/>
        </w:rPr>
        <w:t>Ni siquiera llegó a examinarla. La discusión quedó detenida en el análisis de la aptitud de la demanda. Y es precisamente allí donde radica, a mi juicio, la principal objeción a la Sentencia C-074 de 2026: no se trata de una providencia que hubiera estudia</w:t>
      </w:r>
      <w:r w:rsidRPr="00113298">
        <w:rPr>
          <w:rFonts w:ascii="Times New Roman" w:hAnsi="Times New Roman" w:cs="Times New Roman"/>
          <w:sz w:val="28"/>
          <w:szCs w:val="28"/>
        </w:rPr>
        <w:t>do el problema constitucional y concluido que la exclusión denunciada no existía; se trata de una decisión que optó por no abordar ese problema.</w:t>
      </w:r>
    </w:p>
    <w:p w:rsidR="00695A96"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Las consecuencias de esa inhibición trascienden el expediente D-16.296. Es cierto que, al no existir un pronun</w:t>
      </w:r>
      <w:r w:rsidRPr="00113298">
        <w:rPr>
          <w:rFonts w:ascii="Times New Roman" w:hAnsi="Times New Roman" w:cs="Times New Roman"/>
          <w:sz w:val="28"/>
          <w:szCs w:val="28"/>
        </w:rPr>
        <w:t>ciamiento de fondo, permanece abierta la posibilidad de presentar una nueva demanda. Pero, mientras ello ocurre, las disposiciones acusadas continúan produciendo efectos. Las autoridades judiciales y administrativas</w:t>
      </w:r>
      <w:r w:rsidRPr="00113298">
        <w:rPr>
          <w:rFonts w:ascii="Times New Roman" w:hAnsi="Times New Roman" w:cs="Times New Roman"/>
          <w:sz w:val="28"/>
          <w:szCs w:val="28"/>
        </w:rPr>
        <w:t xml:space="preserve"> pueden seguir invocando </w:t>
      </w:r>
      <w:r w:rsidRPr="00113298">
        <w:rPr>
          <w:rFonts w:ascii="Times New Roman" w:hAnsi="Times New Roman" w:cs="Times New Roman"/>
          <w:sz w:val="28"/>
          <w:szCs w:val="28"/>
        </w:rPr>
        <w:t xml:space="preserve">la exigencia de </w:t>
      </w:r>
      <w:r w:rsidRPr="00113298">
        <w:rPr>
          <w:rFonts w:ascii="Times New Roman" w:hAnsi="Times New Roman" w:cs="Times New Roman"/>
          <w:sz w:val="28"/>
          <w:szCs w:val="28"/>
        </w:rPr>
        <w:t>la calidad de persona protegida para excluir de la protección penal</w:t>
      </w:r>
      <w:r w:rsidRPr="00113298">
        <w:rPr>
          <w:rFonts w:ascii="Times New Roman" w:hAnsi="Times New Roman" w:cs="Times New Roman"/>
          <w:sz w:val="28"/>
          <w:szCs w:val="28"/>
        </w:rPr>
        <w:t xml:space="preserve"> adecuada</w:t>
      </w:r>
      <w:r w:rsidRPr="00113298">
        <w:rPr>
          <w:rFonts w:ascii="Times New Roman" w:hAnsi="Times New Roman" w:cs="Times New Roman"/>
          <w:sz w:val="28"/>
          <w:szCs w:val="28"/>
        </w:rPr>
        <w:t xml:space="preserve"> a combatientes víctimas de violencia sexual intrafilas. Las barreras identificadas por la Jurisdicción Especial para la Paz, la Defensoría del Pueblo y el Ministerio Público perma</w:t>
      </w:r>
      <w:r w:rsidRPr="00113298">
        <w:rPr>
          <w:rFonts w:ascii="Times New Roman" w:hAnsi="Times New Roman" w:cs="Times New Roman"/>
          <w:sz w:val="28"/>
          <w:szCs w:val="28"/>
        </w:rPr>
        <w:t>necen intactas.</w:t>
      </w:r>
    </w:p>
    <w:p w:rsidR="00695A96"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Y con ello también se pierde algo más: el mensaje constitucional que esta Corte estaba llamada a transmitir. La ponencia derrotada lo identificaba con claridad. Un fallo de mérito en este caso no habría supuesto únicamente un ajuste </w:t>
      </w:r>
      <w:r w:rsidRPr="00113298">
        <w:rPr>
          <w:rFonts w:ascii="Times New Roman" w:hAnsi="Times New Roman" w:cs="Times New Roman"/>
          <w:sz w:val="28"/>
          <w:szCs w:val="28"/>
        </w:rPr>
        <w:t>técnico del ordenamiento jurídico. Habría significado una declaración inequívoca de la máxima autoridad constitucional del país en el sentido de que la violencia sexual nunca puede constituir un instrumento legítimo de guerra; que ninguna persona puede que</w:t>
      </w:r>
      <w:r w:rsidRPr="00113298">
        <w:rPr>
          <w:rFonts w:ascii="Times New Roman" w:hAnsi="Times New Roman" w:cs="Times New Roman"/>
          <w:sz w:val="28"/>
          <w:szCs w:val="28"/>
        </w:rPr>
        <w:t>dar excluida de la protección jurídica</w:t>
      </w:r>
      <w:r w:rsidRPr="00113298">
        <w:rPr>
          <w:rFonts w:ascii="Times New Roman" w:hAnsi="Times New Roman" w:cs="Times New Roman"/>
          <w:sz w:val="28"/>
          <w:szCs w:val="28"/>
        </w:rPr>
        <w:t xml:space="preserve"> adecuada</w:t>
      </w:r>
      <w:r w:rsidRPr="00113298">
        <w:rPr>
          <w:rFonts w:ascii="Times New Roman" w:hAnsi="Times New Roman" w:cs="Times New Roman"/>
          <w:sz w:val="28"/>
          <w:szCs w:val="28"/>
        </w:rPr>
        <w:t xml:space="preserve"> frente a esas conductas; y que el principio de humanidad no admite excepciones. Ese mensaje trasciende el plano estrictamente normativo: les dice a las víctimas que el Estado las reconoce y protege, y les dic</w:t>
      </w:r>
      <w:r w:rsidRPr="00113298">
        <w:rPr>
          <w:rFonts w:ascii="Times New Roman" w:hAnsi="Times New Roman" w:cs="Times New Roman"/>
          <w:sz w:val="28"/>
          <w:szCs w:val="28"/>
        </w:rPr>
        <w:t>e a los victimarios que la violencia sexual jamás encontrará amparo en el derecho</w:t>
      </w:r>
      <w:r w:rsidRPr="00113298">
        <w:rPr>
          <w:rFonts w:ascii="Times New Roman" w:hAnsi="Times New Roman" w:cs="Times New Roman"/>
          <w:sz w:val="28"/>
          <w:szCs w:val="28"/>
        </w:rPr>
        <w:t>, ni puede quedar impune</w:t>
      </w:r>
      <w:r w:rsidRPr="00113298">
        <w:rPr>
          <w:rFonts w:ascii="Times New Roman" w:hAnsi="Times New Roman" w:cs="Times New Roman"/>
          <w:sz w:val="28"/>
          <w:szCs w:val="28"/>
        </w:rPr>
        <w:t>.</w:t>
      </w:r>
    </w:p>
    <w:p w:rsidR="00695A96" w:rsidRPr="00113298" w:rsidRDefault="00113298" w:rsidP="00CA7094">
      <w:pPr>
        <w:pStyle w:val="Sinespaciado"/>
        <w:jc w:val="both"/>
        <w:rPr>
          <w:rFonts w:ascii="Times New Roman" w:hAnsi="Times New Roman" w:cs="Times New Roman"/>
          <w:sz w:val="28"/>
          <w:szCs w:val="28"/>
        </w:rPr>
      </w:pPr>
    </w:p>
    <w:p w:rsidR="00CA7094" w:rsidRPr="00113298" w:rsidRDefault="00113298" w:rsidP="00CA7094">
      <w:pPr>
        <w:pStyle w:val="Sinespaciado"/>
        <w:jc w:val="both"/>
        <w:rPr>
          <w:rFonts w:ascii="Times New Roman" w:hAnsi="Times New Roman" w:cs="Times New Roman"/>
          <w:sz w:val="28"/>
          <w:lang w:eastAsia="es-MX"/>
        </w:rPr>
      </w:pPr>
      <w:r w:rsidRPr="00113298">
        <w:rPr>
          <w:rFonts w:ascii="Times New Roman" w:hAnsi="Times New Roman" w:cs="Times New Roman"/>
          <w:sz w:val="28"/>
          <w:szCs w:val="28"/>
        </w:rPr>
        <w:t>La Sentencia C-074 de 2026, al inhibirse, no transmitió ese mensaje. Transmitió otro: que el problema constitucional permanece abierto; que las norm</w:t>
      </w:r>
      <w:r w:rsidRPr="00113298">
        <w:rPr>
          <w:rFonts w:ascii="Times New Roman" w:hAnsi="Times New Roman" w:cs="Times New Roman"/>
          <w:sz w:val="28"/>
          <w:szCs w:val="28"/>
        </w:rPr>
        <w:t>as continúan produciendo los mismos efectos; y que quienes pretendan cuestionarlas deberán intentarlo nuevamente, esta vez con una demanda que satisfaga un estándar de aptitud aún más exigente</w:t>
      </w:r>
      <w:r w:rsidRPr="00113298">
        <w:rPr>
          <w:rFonts w:ascii="Times New Roman" w:hAnsi="Times New Roman" w:cs="Times New Roman"/>
          <w:sz w:val="28"/>
          <w:lang w:eastAsia="es-MX"/>
        </w:rPr>
        <w:t>.</w:t>
      </w:r>
    </w:p>
    <w:p w:rsidR="002B61F5" w:rsidRPr="00113298" w:rsidRDefault="00113298" w:rsidP="006130F9">
      <w:pPr>
        <w:rPr>
          <w:rFonts w:ascii="Times New Roman" w:hAnsi="Times New Roman" w:cs="Times New Roman"/>
          <w:sz w:val="28"/>
          <w:szCs w:val="28"/>
        </w:rPr>
      </w:pPr>
    </w:p>
    <w:p w:rsidR="008862E4" w:rsidRPr="00113298" w:rsidRDefault="00113298" w:rsidP="006130F9">
      <w:pPr>
        <w:rPr>
          <w:rFonts w:ascii="Times New Roman" w:hAnsi="Times New Roman" w:cs="Times New Roman"/>
          <w:sz w:val="28"/>
          <w:szCs w:val="28"/>
        </w:rPr>
      </w:pPr>
    </w:p>
    <w:p w:rsidR="00720AC8" w:rsidRPr="00113298" w:rsidRDefault="00113298" w:rsidP="006130F9">
      <w:pPr>
        <w:pStyle w:val="Prrafodelista"/>
        <w:numPr>
          <w:ilvl w:val="0"/>
          <w:numId w:val="6"/>
        </w:numPr>
        <w:rPr>
          <w:b/>
          <w:bCs/>
          <w:i/>
          <w:iCs/>
          <w:sz w:val="28"/>
          <w:szCs w:val="28"/>
        </w:rPr>
      </w:pPr>
      <w:r w:rsidRPr="00113298">
        <w:rPr>
          <w:b/>
          <w:bCs/>
          <w:i/>
          <w:iCs/>
          <w:sz w:val="28"/>
          <w:szCs w:val="28"/>
        </w:rPr>
        <w:t>El principio de humanidad no tiene excepciones</w:t>
      </w:r>
    </w:p>
    <w:p w:rsidR="00720AC8" w:rsidRPr="00113298" w:rsidRDefault="00113298" w:rsidP="00720AC8">
      <w:pPr>
        <w:ind w:firstLine="708"/>
        <w:rPr>
          <w:rFonts w:ascii="Times New Roman" w:hAnsi="Times New Roman" w:cs="Times New Roman"/>
          <w:b/>
          <w:bCs/>
          <w:i/>
          <w:iCs/>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Como sostuve</w:t>
      </w:r>
      <w:r w:rsidRPr="00113298">
        <w:rPr>
          <w:rFonts w:ascii="Times New Roman" w:hAnsi="Times New Roman" w:cs="Times New Roman"/>
          <w:sz w:val="28"/>
          <w:szCs w:val="28"/>
        </w:rPr>
        <w:t xml:space="preserve"> y debo seguir haciéndolo ahora en este voto discrepante, </w:t>
      </w:r>
      <w:r w:rsidRPr="00113298">
        <w:rPr>
          <w:rFonts w:ascii="Times New Roman" w:hAnsi="Times New Roman" w:cs="Times New Roman"/>
          <w:sz w:val="28"/>
          <w:szCs w:val="28"/>
        </w:rPr>
        <w:t>proferir una decisión de fondo</w:t>
      </w:r>
      <w:r w:rsidRPr="00113298">
        <w:rPr>
          <w:rFonts w:ascii="Times New Roman" w:hAnsi="Times New Roman" w:cs="Times New Roman"/>
          <w:sz w:val="28"/>
          <w:szCs w:val="28"/>
        </w:rPr>
        <w:t xml:space="preserve"> en este asunto</w:t>
      </w:r>
      <w:r w:rsidRPr="00113298">
        <w:rPr>
          <w:rFonts w:ascii="Times New Roman" w:hAnsi="Times New Roman" w:cs="Times New Roman"/>
          <w:sz w:val="28"/>
          <w:szCs w:val="28"/>
        </w:rPr>
        <w:t xml:space="preserve"> era la única forma de garantizar que el Estado reconozca que la violencia sexual nunca es un arma legítima y que ninguna persona puede quedar excluida d</w:t>
      </w:r>
      <w:r w:rsidRPr="00113298">
        <w:rPr>
          <w:rFonts w:ascii="Times New Roman" w:hAnsi="Times New Roman" w:cs="Times New Roman"/>
          <w:sz w:val="28"/>
          <w:szCs w:val="28"/>
        </w:rPr>
        <w:t>e protección legal adecuada frente a ella.</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Insisto, </w:t>
      </w:r>
      <w:r w:rsidRPr="00113298">
        <w:rPr>
          <w:rFonts w:ascii="Times New Roman" w:hAnsi="Times New Roman" w:cs="Times New Roman"/>
          <w:sz w:val="28"/>
          <w:szCs w:val="28"/>
        </w:rPr>
        <w:t>el principio de humanidad no tiene excepciones y el horror de la violencia sexual no debe ser tolerado ni silenciado, ni siquiera en las entrañas mismas de la guerra.</w:t>
      </w:r>
    </w:p>
    <w:p w:rsidR="008862E4"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Ese es el principio que la Sentenci</w:t>
      </w:r>
      <w:r w:rsidRPr="00113298">
        <w:rPr>
          <w:rFonts w:ascii="Times New Roman" w:hAnsi="Times New Roman" w:cs="Times New Roman"/>
          <w:sz w:val="28"/>
          <w:szCs w:val="28"/>
        </w:rPr>
        <w:t xml:space="preserve">a C-074 de 2026 eligió no afirmar. No porque la mayoría lo rechazara en abstracto </w:t>
      </w:r>
      <w:r w:rsidRPr="00113298">
        <w:rPr>
          <w:rFonts w:ascii="Times New Roman" w:hAnsi="Times New Roman" w:cs="Times New Roman"/>
          <w:sz w:val="28"/>
          <w:szCs w:val="28"/>
        </w:rPr>
        <w:t>-</w:t>
      </w:r>
      <w:r w:rsidRPr="00113298">
        <w:rPr>
          <w:rFonts w:ascii="Times New Roman" w:hAnsi="Times New Roman" w:cs="Times New Roman"/>
          <w:sz w:val="28"/>
          <w:szCs w:val="28"/>
        </w:rPr>
        <w:t>ningún magistrado podría sostener que la violencia sexual es admisible en alguna circunstancia</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sino porque la mayoría optó por no llegar hasta allí. Prefirió detenerse en e</w:t>
      </w:r>
      <w:r w:rsidRPr="00113298">
        <w:rPr>
          <w:rFonts w:ascii="Times New Roman" w:hAnsi="Times New Roman" w:cs="Times New Roman"/>
          <w:sz w:val="28"/>
          <w:szCs w:val="28"/>
        </w:rPr>
        <w:t>l umbral de la admisibilidad formal y declararse incompetente para responder a la pregunta que el caso planteaba.</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 xml:space="preserve">Como he </w:t>
      </w:r>
      <w:r w:rsidRPr="00113298">
        <w:rPr>
          <w:rFonts w:ascii="Times New Roman" w:hAnsi="Times New Roman" w:cs="Times New Roman"/>
          <w:sz w:val="28"/>
          <w:szCs w:val="28"/>
        </w:rPr>
        <w:t>manifestado</w:t>
      </w:r>
      <w:r w:rsidRPr="00113298">
        <w:rPr>
          <w:rFonts w:ascii="Times New Roman" w:hAnsi="Times New Roman" w:cs="Times New Roman"/>
          <w:sz w:val="28"/>
          <w:szCs w:val="28"/>
        </w:rPr>
        <w:t>, con el mayor respecto por las decisiones de la Sala debo poner de presente que la</w:t>
      </w:r>
      <w:r w:rsidRPr="00113298">
        <w:rPr>
          <w:rFonts w:ascii="Times New Roman" w:hAnsi="Times New Roman" w:cs="Times New Roman"/>
          <w:sz w:val="28"/>
          <w:szCs w:val="28"/>
        </w:rPr>
        <w:t xml:space="preserve"> paradoja</w:t>
      </w:r>
      <w:r w:rsidRPr="00113298">
        <w:rPr>
          <w:rFonts w:ascii="Times New Roman" w:hAnsi="Times New Roman" w:cs="Times New Roman"/>
          <w:sz w:val="28"/>
          <w:szCs w:val="28"/>
        </w:rPr>
        <w:t xml:space="preserve"> en este asunto</w:t>
      </w:r>
      <w:r w:rsidRPr="00113298">
        <w:rPr>
          <w:rFonts w:ascii="Times New Roman" w:hAnsi="Times New Roman" w:cs="Times New Roman"/>
          <w:sz w:val="28"/>
          <w:szCs w:val="28"/>
        </w:rPr>
        <w:t xml:space="preserve"> es evidente. La Corte Constituciona</w:t>
      </w:r>
      <w:r w:rsidRPr="00113298">
        <w:rPr>
          <w:rFonts w:ascii="Times New Roman" w:hAnsi="Times New Roman" w:cs="Times New Roman"/>
          <w:sz w:val="28"/>
          <w:szCs w:val="28"/>
        </w:rPr>
        <w:t>l</w:t>
      </w:r>
      <w:r w:rsidRPr="00113298">
        <w:rPr>
          <w:rFonts w:ascii="Times New Roman" w:hAnsi="Times New Roman" w:cs="Times New Roman"/>
          <w:sz w:val="28"/>
          <w:szCs w:val="28"/>
        </w:rPr>
        <w:t xml:space="preserve"> tiene entre sus funciones la guarda de la integridad y la supremacía de la Constitución. Esa función incluye pronunciarse cuando una norma legal es incompatible con los derechos fundamentales y con </w:t>
      </w:r>
      <w:r w:rsidRPr="00113298">
        <w:rPr>
          <w:rFonts w:ascii="Times New Roman" w:hAnsi="Times New Roman" w:cs="Times New Roman"/>
          <w:sz w:val="28"/>
          <w:szCs w:val="28"/>
        </w:rPr>
        <w:t>otras normas que tam</w:t>
      </w:r>
      <w:r w:rsidRPr="00113298">
        <w:rPr>
          <w:rFonts w:ascii="Times New Roman" w:hAnsi="Times New Roman" w:cs="Times New Roman"/>
          <w:sz w:val="28"/>
          <w:szCs w:val="28"/>
        </w:rPr>
        <w:t>bién hacer parte d</w:t>
      </w:r>
      <w:r w:rsidRPr="00113298">
        <w:rPr>
          <w:rFonts w:ascii="Times New Roman" w:hAnsi="Times New Roman" w:cs="Times New Roman"/>
          <w:sz w:val="28"/>
          <w:szCs w:val="28"/>
        </w:rPr>
        <w:t>el bloque de constitucionalidad. La demanda señalaba con precisión razonable una norma que, al exigir la calidad de "</w:t>
      </w:r>
      <w:r w:rsidRPr="00113298">
        <w:rPr>
          <w:rFonts w:ascii="Times New Roman" w:hAnsi="Times New Roman" w:cs="Times New Roman"/>
          <w:i/>
          <w:iCs/>
          <w:sz w:val="28"/>
          <w:szCs w:val="28"/>
        </w:rPr>
        <w:t>persona protegida</w:t>
      </w:r>
      <w:r w:rsidRPr="00113298">
        <w:rPr>
          <w:rFonts w:ascii="Times New Roman" w:hAnsi="Times New Roman" w:cs="Times New Roman"/>
          <w:sz w:val="28"/>
          <w:szCs w:val="28"/>
        </w:rPr>
        <w:t>" para los tipos penales de violencia sexual en conflicto armado, excluía a combatientes intrafilas de u</w:t>
      </w:r>
      <w:r w:rsidRPr="00113298">
        <w:rPr>
          <w:rFonts w:ascii="Times New Roman" w:hAnsi="Times New Roman" w:cs="Times New Roman"/>
          <w:sz w:val="28"/>
          <w:szCs w:val="28"/>
        </w:rPr>
        <w:t>na protección que el D</w:t>
      </w:r>
      <w:r w:rsidRPr="00113298">
        <w:rPr>
          <w:rFonts w:ascii="Times New Roman" w:hAnsi="Times New Roman" w:cs="Times New Roman"/>
          <w:sz w:val="28"/>
          <w:szCs w:val="28"/>
        </w:rPr>
        <w:t xml:space="preserve">erecho </w:t>
      </w:r>
      <w:r w:rsidRPr="00113298">
        <w:rPr>
          <w:rFonts w:ascii="Times New Roman" w:hAnsi="Times New Roman" w:cs="Times New Roman"/>
          <w:sz w:val="28"/>
          <w:szCs w:val="28"/>
        </w:rPr>
        <w:t>I</w:t>
      </w:r>
      <w:r w:rsidRPr="00113298">
        <w:rPr>
          <w:rFonts w:ascii="Times New Roman" w:hAnsi="Times New Roman" w:cs="Times New Roman"/>
          <w:sz w:val="28"/>
          <w:szCs w:val="28"/>
        </w:rPr>
        <w:t xml:space="preserve">nternacional </w:t>
      </w:r>
      <w:r w:rsidRPr="00113298">
        <w:rPr>
          <w:rFonts w:ascii="Times New Roman" w:hAnsi="Times New Roman" w:cs="Times New Roman"/>
          <w:sz w:val="28"/>
          <w:szCs w:val="28"/>
        </w:rPr>
        <w:t>H</w:t>
      </w:r>
      <w:r w:rsidRPr="00113298">
        <w:rPr>
          <w:rFonts w:ascii="Times New Roman" w:hAnsi="Times New Roman" w:cs="Times New Roman"/>
          <w:sz w:val="28"/>
          <w:szCs w:val="28"/>
        </w:rPr>
        <w:t>umanitario</w:t>
      </w:r>
      <w:r w:rsidRPr="00113298">
        <w:rPr>
          <w:rFonts w:ascii="Times New Roman" w:hAnsi="Times New Roman" w:cs="Times New Roman"/>
          <w:sz w:val="28"/>
          <w:szCs w:val="28"/>
        </w:rPr>
        <w:t xml:space="preserve"> y la Constitución imponen garantizar. La Corte tenía la competencia, tenía los insumos y tenía la obligación de responder.</w:t>
      </w:r>
    </w:p>
    <w:p w:rsidR="00720AC8" w:rsidRPr="00113298" w:rsidRDefault="00113298" w:rsidP="00720AC8">
      <w:pPr>
        <w:rPr>
          <w:rFonts w:ascii="Times New Roman" w:hAnsi="Times New Roman" w:cs="Times New Roman"/>
          <w:sz w:val="28"/>
          <w:szCs w:val="28"/>
        </w:rPr>
      </w:pPr>
    </w:p>
    <w:p w:rsidR="00720AC8" w:rsidRPr="00113298" w:rsidRDefault="00113298" w:rsidP="00720AC8">
      <w:pPr>
        <w:rPr>
          <w:rFonts w:ascii="Times New Roman" w:hAnsi="Times New Roman" w:cs="Times New Roman"/>
          <w:sz w:val="28"/>
          <w:szCs w:val="28"/>
        </w:rPr>
      </w:pPr>
      <w:r w:rsidRPr="00113298">
        <w:rPr>
          <w:rFonts w:ascii="Times New Roman" w:hAnsi="Times New Roman" w:cs="Times New Roman"/>
          <w:sz w:val="28"/>
          <w:szCs w:val="28"/>
        </w:rPr>
        <w:t>No lo hizo. Y la razón no era la falta de aptitud de la demanda, como la sent</w:t>
      </w:r>
      <w:r w:rsidRPr="00113298">
        <w:rPr>
          <w:rFonts w:ascii="Times New Roman" w:hAnsi="Times New Roman" w:cs="Times New Roman"/>
          <w:sz w:val="28"/>
          <w:szCs w:val="28"/>
        </w:rPr>
        <w:t>encia pretende. La razón</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es que la mayoría no encontró consenso sobre la solución de fondo. Algunos magistrados </w:t>
      </w:r>
      <w:r w:rsidRPr="00113298">
        <w:rPr>
          <w:rFonts w:ascii="Times New Roman" w:hAnsi="Times New Roman" w:cs="Times New Roman"/>
          <w:sz w:val="28"/>
          <w:szCs w:val="28"/>
        </w:rPr>
        <w:t xml:space="preserve">inicialmente </w:t>
      </w:r>
      <w:r w:rsidRPr="00113298">
        <w:rPr>
          <w:rFonts w:ascii="Times New Roman" w:hAnsi="Times New Roman" w:cs="Times New Roman"/>
          <w:sz w:val="28"/>
          <w:szCs w:val="28"/>
        </w:rPr>
        <w:t>apoyaban la inexequibilidad. Otros</w:t>
      </w:r>
      <w:r w:rsidRPr="00113298">
        <w:rPr>
          <w:rFonts w:ascii="Times New Roman" w:hAnsi="Times New Roman" w:cs="Times New Roman"/>
          <w:sz w:val="28"/>
          <w:szCs w:val="28"/>
        </w:rPr>
        <w:t xml:space="preserve"> inicialmente</w:t>
      </w:r>
      <w:r w:rsidRPr="00113298">
        <w:rPr>
          <w:rFonts w:ascii="Times New Roman" w:hAnsi="Times New Roman" w:cs="Times New Roman"/>
          <w:sz w:val="28"/>
          <w:szCs w:val="28"/>
        </w:rPr>
        <w:t xml:space="preserve"> preferían la exequibilidad condicionada. Otros </w:t>
      </w:r>
      <w:r w:rsidRPr="00113298">
        <w:rPr>
          <w:rFonts w:ascii="Times New Roman" w:hAnsi="Times New Roman" w:cs="Times New Roman"/>
          <w:sz w:val="28"/>
          <w:szCs w:val="28"/>
        </w:rPr>
        <w:t xml:space="preserve">inicialmente </w:t>
      </w:r>
      <w:r w:rsidRPr="00113298">
        <w:rPr>
          <w:rFonts w:ascii="Times New Roman" w:hAnsi="Times New Roman" w:cs="Times New Roman"/>
          <w:sz w:val="28"/>
          <w:szCs w:val="28"/>
        </w:rPr>
        <w:t>preferían la exequibil</w:t>
      </w:r>
      <w:r w:rsidRPr="00113298">
        <w:rPr>
          <w:rFonts w:ascii="Times New Roman" w:hAnsi="Times New Roman" w:cs="Times New Roman"/>
          <w:sz w:val="28"/>
          <w:szCs w:val="28"/>
        </w:rPr>
        <w:t>idad simple. Ante la falta de mayoría para cualquier alternativa de fondo, la inhibición se convirtió en el mínimo común denominador: la única salida que permitía a la Corte pronunciarse sin pronunciarse.</w:t>
      </w:r>
    </w:p>
    <w:p w:rsidR="00781C56" w:rsidRPr="00113298" w:rsidRDefault="00113298" w:rsidP="00720AC8">
      <w:pPr>
        <w:rPr>
          <w:rFonts w:ascii="Times New Roman" w:hAnsi="Times New Roman" w:cs="Times New Roman"/>
          <w:sz w:val="28"/>
          <w:szCs w:val="28"/>
        </w:rPr>
      </w:pPr>
    </w:p>
    <w:p w:rsidR="00720AC8" w:rsidRPr="00113298" w:rsidRDefault="00113298" w:rsidP="006130F9">
      <w:pPr>
        <w:pStyle w:val="Prrafodelista"/>
        <w:numPr>
          <w:ilvl w:val="0"/>
          <w:numId w:val="6"/>
        </w:numPr>
        <w:rPr>
          <w:b/>
          <w:bCs/>
          <w:i/>
          <w:iCs/>
          <w:sz w:val="28"/>
          <w:szCs w:val="28"/>
        </w:rPr>
      </w:pPr>
      <w:r w:rsidRPr="00113298">
        <w:rPr>
          <w:b/>
          <w:bCs/>
          <w:i/>
          <w:iCs/>
          <w:sz w:val="28"/>
          <w:szCs w:val="28"/>
        </w:rPr>
        <w:t>La tendencia inhibitoria como alarma institucional</w:t>
      </w:r>
    </w:p>
    <w:p w:rsidR="00720AC8" w:rsidRPr="00113298" w:rsidRDefault="00113298" w:rsidP="00720AC8">
      <w:pPr>
        <w:ind w:firstLine="708"/>
        <w:rPr>
          <w:rFonts w:ascii="Times New Roman" w:hAnsi="Times New Roman" w:cs="Times New Roman"/>
          <w:b/>
          <w:bCs/>
          <w:i/>
          <w:iCs/>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Sea esta la oportunidad para precisar que formulo este salvamento de voto no solo en relación con el caso concreto. Debo hacerlo también como una advertencia institucional que, a mi juicio, merece la mayor consideración.</w:t>
      </w:r>
    </w:p>
    <w:p w:rsidR="00695A96"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Como he venido sosteniendo a lo </w:t>
      </w:r>
      <w:r w:rsidRPr="00113298">
        <w:rPr>
          <w:rFonts w:ascii="Times New Roman" w:hAnsi="Times New Roman" w:cs="Times New Roman"/>
          <w:sz w:val="28"/>
          <w:szCs w:val="28"/>
        </w:rPr>
        <w:t>largo de este escrito,</w:t>
      </w:r>
      <w:r w:rsidRPr="00113298">
        <w:rPr>
          <w:rFonts w:ascii="Times New Roman" w:hAnsi="Times New Roman" w:cs="Times New Roman"/>
          <w:sz w:val="28"/>
          <w:szCs w:val="28"/>
        </w:rPr>
        <w:t>-</w:t>
      </w:r>
      <w:r w:rsidRPr="00113298">
        <w:rPr>
          <w:rFonts w:ascii="Times New Roman" w:hAnsi="Times New Roman" w:cs="Times New Roman"/>
          <w:sz w:val="28"/>
          <w:szCs w:val="28"/>
        </w:rPr>
        <w:t>y así lo he expresado en diversos trámites, recientemente en el salvamento de voto frente a la Sentencia C-037 de 2026</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w:t>
      </w:r>
      <w:r w:rsidRPr="00113298">
        <w:rPr>
          <w:rFonts w:ascii="Times New Roman" w:hAnsi="Times New Roman" w:cs="Times New Roman"/>
          <w:sz w:val="28"/>
          <w:szCs w:val="28"/>
        </w:rPr>
        <w:t xml:space="preserve">existe </w:t>
      </w:r>
      <w:r w:rsidRPr="00113298">
        <w:rPr>
          <w:rFonts w:ascii="Times New Roman" w:hAnsi="Times New Roman" w:cs="Times New Roman"/>
          <w:sz w:val="28"/>
          <w:szCs w:val="28"/>
        </w:rPr>
        <w:t xml:space="preserve">una tendencia creciente de la Corte a endurecer el examen de aptitud de las demandas de inconstitucionalidad. </w:t>
      </w:r>
      <w:r w:rsidRPr="00113298">
        <w:rPr>
          <w:rFonts w:ascii="Times New Roman" w:hAnsi="Times New Roman" w:cs="Times New Roman"/>
          <w:sz w:val="28"/>
          <w:szCs w:val="28"/>
        </w:rPr>
        <w:t xml:space="preserve">Esa preocupación ya no responde únicamente a una percepción derivada de la práctica jurisdiccional. </w:t>
      </w:r>
      <w:r w:rsidRPr="00113298">
        <w:rPr>
          <w:rFonts w:ascii="Times New Roman" w:hAnsi="Times New Roman" w:cs="Times New Roman"/>
          <w:sz w:val="28"/>
          <w:szCs w:val="28"/>
        </w:rPr>
        <w:t>Los propios datos institucionales muestran que</w:t>
      </w:r>
      <w:r w:rsidRPr="00113298">
        <w:rPr>
          <w:rFonts w:ascii="Times New Roman" w:hAnsi="Times New Roman" w:cs="Times New Roman"/>
          <w:sz w:val="28"/>
          <w:szCs w:val="28"/>
        </w:rPr>
        <w:t xml:space="preserve"> el porcentaje de admisión de las demandas ha descendido de manera sostenida durante los últimos años. Mientras entre 1995 y 1999 la Corte admitía, en promedio, el 74,1% de las demandas presentadas, entre 2020 y 2024 ese porcentaje descendió al 24,4% y, du</w:t>
      </w:r>
      <w:r w:rsidRPr="00113298">
        <w:rPr>
          <w:rFonts w:ascii="Times New Roman" w:hAnsi="Times New Roman" w:cs="Times New Roman"/>
          <w:sz w:val="28"/>
          <w:szCs w:val="28"/>
        </w:rPr>
        <w:t>rante 2025, alcanzó apenas el 11,5%.</w:t>
      </w:r>
      <w:r w:rsidRPr="00113298">
        <w:rPr>
          <w:rFonts w:ascii="Times New Roman" w:hAnsi="Times New Roman" w:cs="Times New Roman"/>
          <w:sz w:val="28"/>
          <w:szCs w:val="28"/>
        </w:rPr>
        <w:t xml:space="preserve"> </w:t>
      </w: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noProof/>
          <w:sz w:val="28"/>
          <w:lang w:val="en-US"/>
        </w:rPr>
        <w:drawing>
          <wp:inline distT="0" distB="0" distL="0" distR="0" wp14:anchorId="2DABAF57" wp14:editId="00DF6537">
            <wp:extent cx="5793105" cy="2027433"/>
            <wp:effectExtent l="0" t="0" r="10795" b="17780"/>
            <wp:docPr id="2" name="Gráfico 1">
              <a:extLst xmlns:a="http://schemas.openxmlformats.org/drawingml/2006/main">
                <a:ext uri="{FF2B5EF4-FFF2-40B4-BE49-F238E27FC236}">
                  <a16:creationId xmlns:a16="http://schemas.microsoft.com/office/drawing/2014/main" id="{E6BC9582-D211-E62F-DE05-837BFAD6E0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8177B1">
      <w:pPr>
        <w:pStyle w:val="Sinespaciado"/>
        <w:jc w:val="center"/>
        <w:rPr>
          <w:rFonts w:ascii="Times New Roman" w:hAnsi="Times New Roman" w:cs="Times New Roman"/>
          <w:sz w:val="28"/>
          <w:szCs w:val="20"/>
        </w:rPr>
      </w:pPr>
      <w:r w:rsidRPr="00113298">
        <w:rPr>
          <w:rFonts w:ascii="Times New Roman" w:hAnsi="Times New Roman" w:cs="Times New Roman"/>
          <w:sz w:val="28"/>
          <w:szCs w:val="20"/>
        </w:rPr>
        <w:t>Fuente: Documento interno elaborado por la presidencia de la Corte Constitucional actualización de datos a mayo de 2026 p. 6.</w:t>
      </w: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noProof/>
          <w:sz w:val="28"/>
          <w:lang w:val="en-US"/>
        </w:rPr>
        <w:drawing>
          <wp:inline distT="0" distB="0" distL="0" distR="0" wp14:anchorId="00E8E7DF" wp14:editId="65B32C49">
            <wp:extent cx="5793105" cy="2574764"/>
            <wp:effectExtent l="0" t="0" r="10795" b="16510"/>
            <wp:docPr id="3" name="Gráfico 1">
              <a:extLst xmlns:a="http://schemas.openxmlformats.org/drawingml/2006/main">
                <a:ext uri="{FF2B5EF4-FFF2-40B4-BE49-F238E27FC236}">
                  <a16:creationId xmlns:a16="http://schemas.microsoft.com/office/drawing/2014/main" id="{315DC5CC-CB58-41D8-8013-D1A4650EE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95A96" w:rsidRPr="00113298" w:rsidRDefault="00113298" w:rsidP="00695A96">
      <w:pPr>
        <w:pStyle w:val="Sinespaciado"/>
        <w:jc w:val="both"/>
        <w:rPr>
          <w:rFonts w:ascii="Times New Roman" w:hAnsi="Times New Roman" w:cs="Times New Roman"/>
          <w:sz w:val="28"/>
          <w:szCs w:val="28"/>
        </w:rPr>
      </w:pPr>
    </w:p>
    <w:p w:rsidR="008177B1" w:rsidRPr="00113298" w:rsidRDefault="00113298" w:rsidP="008177B1">
      <w:pPr>
        <w:pStyle w:val="Sinespaciado"/>
        <w:jc w:val="center"/>
        <w:rPr>
          <w:rFonts w:ascii="Times New Roman" w:hAnsi="Times New Roman" w:cs="Times New Roman"/>
          <w:sz w:val="28"/>
          <w:szCs w:val="20"/>
        </w:rPr>
      </w:pPr>
      <w:r w:rsidRPr="00113298">
        <w:rPr>
          <w:rFonts w:ascii="Times New Roman" w:hAnsi="Times New Roman" w:cs="Times New Roman"/>
          <w:sz w:val="28"/>
          <w:szCs w:val="20"/>
        </w:rPr>
        <w:t xml:space="preserve">Fuente: Documento interno elaborado por la presidencia de la Corte Constitucional </w:t>
      </w:r>
      <w:r w:rsidRPr="00113298">
        <w:rPr>
          <w:rFonts w:ascii="Times New Roman" w:hAnsi="Times New Roman" w:cs="Times New Roman"/>
          <w:sz w:val="28"/>
          <w:szCs w:val="20"/>
        </w:rPr>
        <w:t>actualización de datos a mayo de 2026 p.5.</w:t>
      </w:r>
    </w:p>
    <w:p w:rsidR="008177B1" w:rsidRPr="00113298" w:rsidRDefault="00113298" w:rsidP="008177B1">
      <w:pPr>
        <w:pStyle w:val="Sinespaciado"/>
        <w:jc w:val="center"/>
        <w:rPr>
          <w:rFonts w:ascii="Times New Roman" w:hAnsi="Times New Roman" w:cs="Times New Roman"/>
          <w:sz w:val="28"/>
          <w:szCs w:val="20"/>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La evolución de esas cifras resulta particularmente significativa porque refleja un cambio progresivo en el estándar de acceso al control abstracto de constitucionalidad. No sostengo, desde luego, que toda inadmi</w:t>
      </w:r>
      <w:r w:rsidRPr="00113298">
        <w:rPr>
          <w:rFonts w:ascii="Times New Roman" w:hAnsi="Times New Roman" w:cs="Times New Roman"/>
          <w:sz w:val="28"/>
          <w:szCs w:val="28"/>
        </w:rPr>
        <w:t>sión o todo rechazo sean improcedentes. Lo preocupante es que el endurecimiento del examen de aptitud termina desplazando el análisis desde la constitucionalidad de las normas hacia la suficiencia técnica de las demandas, con el riesgo de convertir un dere</w:t>
      </w:r>
      <w:r w:rsidRPr="00113298">
        <w:rPr>
          <w:rFonts w:ascii="Times New Roman" w:hAnsi="Times New Roman" w:cs="Times New Roman"/>
          <w:sz w:val="28"/>
          <w:szCs w:val="28"/>
        </w:rPr>
        <w:t>cho político de acceso amplio en un mecanismo reservado únicamente para quienes logren satisfacer exigencias argumentativas cada vez más rigurosas.</w:t>
      </w:r>
    </w:p>
    <w:p w:rsidR="00695A96"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Esa tendencia encuentra además un correlato en el incremento de las decisiones inhibitorias. </w:t>
      </w:r>
      <w:r w:rsidRPr="00113298">
        <w:rPr>
          <w:rFonts w:ascii="Times New Roman" w:hAnsi="Times New Roman" w:cs="Times New Roman"/>
          <w:sz w:val="28"/>
          <w:szCs w:val="28"/>
        </w:rPr>
        <w:t>El mismo infor</w:t>
      </w:r>
      <w:r w:rsidRPr="00113298">
        <w:rPr>
          <w:rFonts w:ascii="Times New Roman" w:hAnsi="Times New Roman" w:cs="Times New Roman"/>
          <w:sz w:val="28"/>
          <w:szCs w:val="28"/>
        </w:rPr>
        <w:t>me estadístico elaborado por la Corte muestra que, históricamente, cerca de una cuarta parte de las sentencias que resuelven acciones públicas contienen decisiones inhibitorias y que, en los últimos años, ese fenómeno se ha intensificado. Particularmente s</w:t>
      </w:r>
      <w:r w:rsidRPr="00113298">
        <w:rPr>
          <w:rFonts w:ascii="Times New Roman" w:hAnsi="Times New Roman" w:cs="Times New Roman"/>
          <w:sz w:val="28"/>
          <w:szCs w:val="28"/>
        </w:rPr>
        <w:t>ignificativo resulta que durante 2025 los denominados "inhibitorios únicos" representaran el 34,1% de las sentencias proferidas en acciones públicas de inconstitucionalidad.</w:t>
      </w:r>
      <w:r w:rsidRPr="00113298">
        <w:rPr>
          <w:rFonts w:ascii="Times New Roman" w:hAnsi="Times New Roman" w:cs="Times New Roman"/>
          <w:sz w:val="28"/>
          <w:szCs w:val="28"/>
        </w:rPr>
        <w:t xml:space="preserve"> </w:t>
      </w: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noProof/>
          <w:sz w:val="28"/>
          <w:lang w:val="en-US"/>
        </w:rPr>
        <w:drawing>
          <wp:inline distT="0" distB="0" distL="0" distR="0" wp14:anchorId="342F2BF6" wp14:editId="229C44E9">
            <wp:extent cx="5793105" cy="2574764"/>
            <wp:effectExtent l="0" t="0" r="10795" b="16510"/>
            <wp:docPr id="4" name="Gráfico 1">
              <a:extLst xmlns:a="http://schemas.openxmlformats.org/drawingml/2006/main">
                <a:ext uri="{FF2B5EF4-FFF2-40B4-BE49-F238E27FC236}">
                  <a16:creationId xmlns:a16="http://schemas.microsoft.com/office/drawing/2014/main" id="{174D3B2A-8027-4050-AFB5-92563886A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77B1" w:rsidRPr="00113298" w:rsidRDefault="00113298" w:rsidP="008177B1">
      <w:pPr>
        <w:pStyle w:val="Sinespaciado"/>
        <w:jc w:val="center"/>
        <w:rPr>
          <w:rFonts w:ascii="Times New Roman" w:hAnsi="Times New Roman" w:cs="Times New Roman"/>
          <w:sz w:val="28"/>
          <w:szCs w:val="20"/>
        </w:rPr>
      </w:pPr>
      <w:r w:rsidRPr="00113298">
        <w:rPr>
          <w:rFonts w:ascii="Times New Roman" w:hAnsi="Times New Roman" w:cs="Times New Roman"/>
          <w:sz w:val="28"/>
          <w:szCs w:val="20"/>
        </w:rPr>
        <w:t>Fuente: Documento interno elaborado por la presidencia de la Corte Constitucio</w:t>
      </w:r>
      <w:r w:rsidRPr="00113298">
        <w:rPr>
          <w:rFonts w:ascii="Times New Roman" w:hAnsi="Times New Roman" w:cs="Times New Roman"/>
          <w:sz w:val="28"/>
          <w:szCs w:val="20"/>
        </w:rPr>
        <w:t>nal actualización de datos a mayo de 2026.</w:t>
      </w:r>
      <w:r w:rsidRPr="00113298">
        <w:rPr>
          <w:rFonts w:ascii="Times New Roman" w:hAnsi="Times New Roman" w:cs="Times New Roman"/>
          <w:sz w:val="28"/>
          <w:szCs w:val="20"/>
        </w:rPr>
        <w:t xml:space="preserve"> P. 8</w:t>
      </w: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695A96">
      <w:pPr>
        <w:pStyle w:val="Sinespaciado"/>
        <w:jc w:val="both"/>
        <w:rPr>
          <w:rFonts w:ascii="Times New Roman" w:hAnsi="Times New Roman" w:cs="Times New Roman"/>
          <w:sz w:val="28"/>
          <w:szCs w:val="28"/>
        </w:rPr>
      </w:pPr>
    </w:p>
    <w:p w:rsidR="008177B1"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noProof/>
          <w:sz w:val="28"/>
          <w:lang w:val="en-US"/>
        </w:rPr>
        <w:drawing>
          <wp:inline distT="0" distB="0" distL="0" distR="0" wp14:anchorId="2A176F97" wp14:editId="787DE5AB">
            <wp:extent cx="5793105" cy="2574764"/>
            <wp:effectExtent l="0" t="0" r="10795" b="16510"/>
            <wp:docPr id="5" name="Gráfico 1">
              <a:extLst xmlns:a="http://schemas.openxmlformats.org/drawingml/2006/main">
                <a:ext uri="{FF2B5EF4-FFF2-40B4-BE49-F238E27FC236}">
                  <a16:creationId xmlns:a16="http://schemas.microsoft.com/office/drawing/2014/main" id="{5A70159D-3283-4D37-94FB-B42A4936F2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177B1" w:rsidRPr="00113298" w:rsidRDefault="00113298" w:rsidP="008177B1">
      <w:pPr>
        <w:pStyle w:val="Sinespaciado"/>
        <w:jc w:val="center"/>
        <w:rPr>
          <w:rFonts w:ascii="Times New Roman" w:hAnsi="Times New Roman" w:cs="Times New Roman"/>
          <w:sz w:val="28"/>
          <w:szCs w:val="20"/>
        </w:rPr>
      </w:pPr>
      <w:r w:rsidRPr="00113298">
        <w:rPr>
          <w:rFonts w:ascii="Times New Roman" w:hAnsi="Times New Roman" w:cs="Times New Roman"/>
          <w:sz w:val="28"/>
          <w:szCs w:val="20"/>
        </w:rPr>
        <w:t>Fuente: Documento interno elaborado por la presidencia de la Corte Constitucional actualización de datos a mayo de 2026.</w:t>
      </w:r>
      <w:r w:rsidRPr="00113298">
        <w:rPr>
          <w:rFonts w:ascii="Times New Roman" w:hAnsi="Times New Roman" w:cs="Times New Roman"/>
          <w:sz w:val="28"/>
          <w:szCs w:val="20"/>
        </w:rPr>
        <w:t xml:space="preserve"> P. 9</w:t>
      </w:r>
    </w:p>
    <w:p w:rsidR="008177B1"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Los datos muestran, entonces, una doble tendencia: cada vez se admiten menos </w:t>
      </w:r>
      <w:r w:rsidRPr="00113298">
        <w:rPr>
          <w:rFonts w:ascii="Times New Roman" w:hAnsi="Times New Roman" w:cs="Times New Roman"/>
          <w:sz w:val="28"/>
          <w:szCs w:val="28"/>
        </w:rPr>
        <w:t>demandas y, una vez superado ese filtro, aumenta la frecuencia de las decisiones inhibitorias. No afirmo que ello obedezca necesariamente a una única causa. Lo que sí considero evidente es que ambos fenómenos, analizados conjuntamente, reducen de manera pr</w:t>
      </w:r>
      <w:r w:rsidRPr="00113298">
        <w:rPr>
          <w:rFonts w:ascii="Times New Roman" w:hAnsi="Times New Roman" w:cs="Times New Roman"/>
          <w:sz w:val="28"/>
          <w:szCs w:val="28"/>
        </w:rPr>
        <w:t>ogresiva el espacio efectivo del control ciudadano de constitucionalidad, precisamente respecto de aquellos asuntos que suelen exigir mayores esfuerzos deliberativos y que involucran problemas constitucionales particularmente complejos.</w:t>
      </w:r>
    </w:p>
    <w:p w:rsidR="00695A96"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El caso de la </w:t>
      </w:r>
      <w:r w:rsidRPr="00113298">
        <w:rPr>
          <w:rFonts w:ascii="Times New Roman" w:hAnsi="Times New Roman" w:cs="Times New Roman"/>
          <w:sz w:val="28"/>
          <w:szCs w:val="28"/>
        </w:rPr>
        <w:t>violencia sexual intrafilas ilustra con especial claridad el costo de esa tendencia, porque se trata de un problema frente al cual el paso del tiempo no es neutral. Mientras la Corte se inhibe, las mujeres, niñas, niños y demás víctimas de violencia sexual</w:t>
      </w:r>
      <w:r w:rsidRPr="00113298">
        <w:rPr>
          <w:rFonts w:ascii="Times New Roman" w:hAnsi="Times New Roman" w:cs="Times New Roman"/>
          <w:sz w:val="28"/>
          <w:szCs w:val="28"/>
        </w:rPr>
        <w:t xml:space="preserve"> cometida al interior de los grupos armados continúan enfrentando barreras para el reconocimiento pleno de sus derechos. Cada día que transcurre sin una decisión de fondo prolonga el limbo normativo que la propia Sentencia SU-599 de 2019 identificó.</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Hay, </w:t>
      </w:r>
      <w:r w:rsidRPr="00113298">
        <w:rPr>
          <w:rFonts w:ascii="Times New Roman" w:hAnsi="Times New Roman" w:cs="Times New Roman"/>
          <w:sz w:val="28"/>
          <w:szCs w:val="28"/>
        </w:rPr>
        <w:t>además, un riesgo institucional más profundo que merece ser advertido. La Corte Constitucional existe precisamente para resolver los problemas constitucionales difíciles. Si el estándar de aptitud termina siendo tan elevado que únicamente permite el examen</w:t>
      </w:r>
      <w:r w:rsidRPr="00113298">
        <w:rPr>
          <w:rFonts w:ascii="Times New Roman" w:hAnsi="Times New Roman" w:cs="Times New Roman"/>
          <w:sz w:val="28"/>
          <w:szCs w:val="28"/>
        </w:rPr>
        <w:t xml:space="preserve"> de aquellos casos cuya solución aparece prácticamente demostrada desde la demanda, el control abstracto pierde buena parte de su razón de ser. Los asuntos más complejos </w:t>
      </w:r>
      <w:r w:rsidRPr="00113298">
        <w:rPr>
          <w:rFonts w:ascii="Times New Roman" w:hAnsi="Times New Roman" w:cs="Times New Roman"/>
          <w:sz w:val="28"/>
          <w:szCs w:val="28"/>
        </w:rPr>
        <w:t>-</w:t>
      </w:r>
      <w:r w:rsidRPr="00113298">
        <w:rPr>
          <w:rFonts w:ascii="Times New Roman" w:hAnsi="Times New Roman" w:cs="Times New Roman"/>
          <w:sz w:val="28"/>
          <w:szCs w:val="28"/>
        </w:rPr>
        <w:t>aquellos en los que confluyen tensiones entre principios, vacíos normativos o profund</w:t>
      </w:r>
      <w:r w:rsidRPr="00113298">
        <w:rPr>
          <w:rFonts w:ascii="Times New Roman" w:hAnsi="Times New Roman" w:cs="Times New Roman"/>
          <w:sz w:val="28"/>
          <w:szCs w:val="28"/>
        </w:rPr>
        <w:t>as consecuencias para los derechos fundamentales</w:t>
      </w:r>
      <w:r w:rsidRPr="00113298">
        <w:rPr>
          <w:rFonts w:ascii="Times New Roman" w:hAnsi="Times New Roman" w:cs="Times New Roman"/>
          <w:sz w:val="28"/>
          <w:szCs w:val="28"/>
        </w:rPr>
        <w:t>-</w:t>
      </w:r>
      <w:r w:rsidRPr="00113298">
        <w:rPr>
          <w:rFonts w:ascii="Times New Roman" w:hAnsi="Times New Roman" w:cs="Times New Roman"/>
          <w:sz w:val="28"/>
          <w:szCs w:val="28"/>
        </w:rPr>
        <w:t xml:space="preserve"> dejarán de ser examinados, no porque carezcan de relevancia constitucional, sino porque nunca lograrán superar el umbral de admisibilidad.</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el caso de la Sentencia C-074 de 2026 ese riesgo se materializó</w:t>
      </w:r>
      <w:r w:rsidRPr="00113298">
        <w:rPr>
          <w:rFonts w:ascii="Times New Roman" w:hAnsi="Times New Roman" w:cs="Times New Roman"/>
          <w:sz w:val="28"/>
          <w:szCs w:val="28"/>
        </w:rPr>
        <w:t>. El problema constitucional era complejo; precisamente por ello la Corte debía enfrentarlo. La inhibición no eliminó esa complejidad. Simplemente trasladó la responsabilidad hacia los jueces penales, la Jurisdicción Especial para la Paz, las autoridades a</w:t>
      </w:r>
      <w:r w:rsidRPr="00113298">
        <w:rPr>
          <w:rFonts w:ascii="Times New Roman" w:hAnsi="Times New Roman" w:cs="Times New Roman"/>
          <w:sz w:val="28"/>
          <w:szCs w:val="28"/>
        </w:rPr>
        <w:t>dministrativas y, sobre todo, hacia las propias víctimas, quienes seguirán enfrentando un panorama normativo cuya incertidumbre la Corte tuvo la oportunidad de despejar.</w:t>
      </w:r>
    </w:p>
    <w:p w:rsidR="009C3F7B" w:rsidRPr="00113298" w:rsidRDefault="00113298" w:rsidP="00695A96">
      <w:pPr>
        <w:pStyle w:val="Sinespaciado"/>
        <w:jc w:val="both"/>
        <w:rPr>
          <w:rFonts w:ascii="Times New Roman" w:hAnsi="Times New Roman" w:cs="Times New Roman"/>
          <w:sz w:val="28"/>
          <w:szCs w:val="28"/>
        </w:rPr>
      </w:pPr>
    </w:p>
    <w:p w:rsidR="009C3F7B" w:rsidRPr="00113298" w:rsidRDefault="00113298" w:rsidP="00695A96">
      <w:pPr>
        <w:pStyle w:val="Sinespaciado"/>
        <w:jc w:val="both"/>
        <w:rPr>
          <w:rFonts w:ascii="Times New Roman" w:hAnsi="Times New Roman" w:cs="Times New Roman"/>
          <w:sz w:val="28"/>
          <w:szCs w:val="28"/>
        </w:rPr>
      </w:pPr>
    </w:p>
    <w:p w:rsidR="009C3F7B" w:rsidRPr="00113298" w:rsidRDefault="00113298" w:rsidP="00695A96">
      <w:pPr>
        <w:pStyle w:val="Sinespaciado"/>
        <w:jc w:val="both"/>
        <w:rPr>
          <w:rFonts w:ascii="Times New Roman" w:hAnsi="Times New Roman" w:cs="Times New Roman"/>
          <w:b/>
          <w:bCs/>
          <w:i/>
          <w:iCs/>
          <w:sz w:val="28"/>
          <w:szCs w:val="28"/>
        </w:rPr>
      </w:pPr>
      <w:r w:rsidRPr="00113298">
        <w:rPr>
          <w:rFonts w:ascii="Times New Roman" w:hAnsi="Times New Roman" w:cs="Times New Roman"/>
          <w:b/>
          <w:bCs/>
          <w:i/>
          <w:iCs/>
          <w:sz w:val="28"/>
          <w:szCs w:val="28"/>
        </w:rPr>
        <w:t>Conclusiones</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C</w:t>
      </w:r>
      <w:r w:rsidRPr="00113298">
        <w:rPr>
          <w:rFonts w:ascii="Times New Roman" w:hAnsi="Times New Roman" w:cs="Times New Roman"/>
          <w:sz w:val="28"/>
          <w:szCs w:val="28"/>
        </w:rPr>
        <w:t xml:space="preserve">onsidero, en primer lugar, que una decisión inhibitoria no </w:t>
      </w:r>
      <w:r w:rsidRPr="00113298">
        <w:rPr>
          <w:rFonts w:ascii="Times New Roman" w:hAnsi="Times New Roman" w:cs="Times New Roman"/>
          <w:sz w:val="28"/>
          <w:szCs w:val="28"/>
        </w:rPr>
        <w:t>constituye, en rigor, una respuesta al problema constitucional planteado. En el contexto de la Sentencia C-074 de 2026, esa ausencia de decisión tiene consecuencias concretas para quienes continúan enfrentando barreras de protección frente a una de las for</w:t>
      </w:r>
      <w:r w:rsidRPr="00113298">
        <w:rPr>
          <w:rFonts w:ascii="Times New Roman" w:hAnsi="Times New Roman" w:cs="Times New Roman"/>
          <w:sz w:val="28"/>
          <w:szCs w:val="28"/>
        </w:rPr>
        <w:t>mas más graves de violencia ocurridas en el conflicto armado colombiano.</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segundo lugar, la demanda cumplía los requisitos de aptitud sustantiva exigidos por la jurisprudencia constitucional. Era clara respecto de la acusación formulada, cierta en relac</w:t>
      </w:r>
      <w:r w:rsidRPr="00113298">
        <w:rPr>
          <w:rFonts w:ascii="Times New Roman" w:hAnsi="Times New Roman" w:cs="Times New Roman"/>
          <w:sz w:val="28"/>
          <w:szCs w:val="28"/>
        </w:rPr>
        <w:t>ión con la proposición normativa cuestionada, pertinente frente a los parámetros constitucionales invocados y suficiente para suscitar una duda razonable sobre la constitucionalidad de las disposiciones acusadas.</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tercer lugar, la mayoría terminó aplica</w:t>
      </w:r>
      <w:r w:rsidRPr="00113298">
        <w:rPr>
          <w:rFonts w:ascii="Times New Roman" w:hAnsi="Times New Roman" w:cs="Times New Roman"/>
          <w:sz w:val="28"/>
          <w:szCs w:val="28"/>
        </w:rPr>
        <w:t xml:space="preserve">ndo un estándar de admisibilidad que, en mi criterio, desborda el diseñado por la propia jurisprudencia constitucional y termina imponiendo cargas incompatibles con la naturaleza de la acción pública de inconstitucionalidad como derecho político de acceso </w:t>
      </w:r>
      <w:r w:rsidRPr="00113298">
        <w:rPr>
          <w:rFonts w:ascii="Times New Roman" w:hAnsi="Times New Roman" w:cs="Times New Roman"/>
          <w:sz w:val="28"/>
          <w:szCs w:val="28"/>
        </w:rPr>
        <w:t>ciudadano.</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cuarto lugar, el problema constitucional sometido a consideración de la Corte era real y se encontraba ampliamente documentado. Había sido advertido por la propia Corte en la Sentencia SU-599 de 2019, desarrollado por la Jurisdicción Especia</w:t>
      </w:r>
      <w:r w:rsidRPr="00113298">
        <w:rPr>
          <w:rFonts w:ascii="Times New Roman" w:hAnsi="Times New Roman" w:cs="Times New Roman"/>
          <w:sz w:val="28"/>
          <w:szCs w:val="28"/>
        </w:rPr>
        <w:t>l para la Paz, respaldado por la Defensoría del Pueblo, el Ministerio Público y diversos expertos, así como por las víctimas que intervinieron durante la audiencia pública.</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quinto lugar, la solución contenida en la ponencia derrotada ofrecía una respue</w:t>
      </w:r>
      <w:r w:rsidRPr="00113298">
        <w:rPr>
          <w:rFonts w:ascii="Times New Roman" w:hAnsi="Times New Roman" w:cs="Times New Roman"/>
          <w:sz w:val="28"/>
          <w:szCs w:val="28"/>
        </w:rPr>
        <w:t>sta constitucionalmente fundada, coherente con el Derecho Internacional Humanitario, el bloque de constitucionalidad, el principio de humanidad y la jurisprudencia internacional aplicable.</w:t>
      </w:r>
    </w:p>
    <w:p w:rsidR="007F750B" w:rsidRPr="00113298" w:rsidRDefault="00113298" w:rsidP="00695A96">
      <w:pPr>
        <w:pStyle w:val="Sinespaciado"/>
        <w:jc w:val="both"/>
        <w:rPr>
          <w:rFonts w:ascii="Times New Roman" w:hAnsi="Times New Roman" w:cs="Times New Roman"/>
          <w:sz w:val="28"/>
          <w:szCs w:val="28"/>
        </w:rPr>
      </w:pPr>
    </w:p>
    <w:p w:rsidR="00695A96"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sexto lugar, el presente caso constituye una manifestación de u</w:t>
      </w:r>
      <w:r w:rsidRPr="00113298">
        <w:rPr>
          <w:rFonts w:ascii="Times New Roman" w:hAnsi="Times New Roman" w:cs="Times New Roman"/>
          <w:sz w:val="28"/>
          <w:szCs w:val="28"/>
        </w:rPr>
        <w:t>na preocupación institucional más amplia: el progresivo endurecimiento del acceso al control abstracto de constitucionalidad y el incremento de las decisiones inhibitorias, fenómenos que ameritan una reflexión profunda sobre el alcance de la acción pública</w:t>
      </w:r>
      <w:r w:rsidRPr="00113298">
        <w:rPr>
          <w:rFonts w:ascii="Times New Roman" w:hAnsi="Times New Roman" w:cs="Times New Roman"/>
          <w:sz w:val="28"/>
          <w:szCs w:val="28"/>
        </w:rPr>
        <w:t xml:space="preserve"> de inconstitucionalidad como instrumento esencial de participación democrática y defensa de la Constitución.</w:t>
      </w:r>
    </w:p>
    <w:p w:rsidR="007F750B" w:rsidRPr="00113298" w:rsidRDefault="00113298" w:rsidP="00695A96">
      <w:pPr>
        <w:pStyle w:val="Sinespaciado"/>
        <w:jc w:val="both"/>
        <w:rPr>
          <w:rFonts w:ascii="Times New Roman" w:hAnsi="Times New Roman" w:cs="Times New Roman"/>
          <w:sz w:val="28"/>
          <w:szCs w:val="28"/>
        </w:rPr>
      </w:pPr>
    </w:p>
    <w:p w:rsidR="00720AC8"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Finalmente, el principio de humanidad no admite excepciones. La violencia sexual jamás puede ser considerada un instrumento legítimo de guerra y </w:t>
      </w:r>
      <w:r w:rsidRPr="00113298">
        <w:rPr>
          <w:rFonts w:ascii="Times New Roman" w:hAnsi="Times New Roman" w:cs="Times New Roman"/>
          <w:sz w:val="28"/>
          <w:szCs w:val="28"/>
        </w:rPr>
        <w:t xml:space="preserve">ninguna persona puede quedar excluida de la protección jurídica frente a ella. Esos mandatos, que derivan de la Constitución, del bloque de constitucionalidad y del </w:t>
      </w:r>
      <w:r w:rsidRPr="00113298">
        <w:rPr>
          <w:rFonts w:ascii="Times New Roman" w:hAnsi="Times New Roman" w:cs="Times New Roman"/>
          <w:i/>
          <w:iCs/>
          <w:sz w:val="28"/>
          <w:szCs w:val="28"/>
        </w:rPr>
        <w:t>ius cogens</w:t>
      </w:r>
      <w:r w:rsidRPr="00113298">
        <w:rPr>
          <w:rFonts w:ascii="Times New Roman" w:hAnsi="Times New Roman" w:cs="Times New Roman"/>
          <w:sz w:val="28"/>
          <w:szCs w:val="28"/>
        </w:rPr>
        <w:t xml:space="preserve"> internacional, merecían una respuesta de fondo. A mi juicio, la Corte tenía la </w:t>
      </w:r>
      <w:r w:rsidRPr="00113298">
        <w:rPr>
          <w:rFonts w:ascii="Times New Roman" w:hAnsi="Times New Roman" w:cs="Times New Roman"/>
          <w:sz w:val="28"/>
          <w:szCs w:val="28"/>
        </w:rPr>
        <w:t>oportunidad de ofrecerla y decidió no hacerlo.</w:t>
      </w:r>
    </w:p>
    <w:p w:rsidR="007F750B" w:rsidRPr="00113298" w:rsidRDefault="00113298" w:rsidP="00695A96">
      <w:pPr>
        <w:pStyle w:val="Sinespaciado"/>
        <w:jc w:val="both"/>
        <w:rPr>
          <w:rFonts w:ascii="Times New Roman" w:hAnsi="Times New Roman" w:cs="Times New Roman"/>
          <w:sz w:val="28"/>
          <w:szCs w:val="28"/>
        </w:rPr>
      </w:pPr>
    </w:p>
    <w:p w:rsidR="00720AC8"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 xml:space="preserve">Confío en que, cuando la Corte vuelva a pronunciarse sobre este asunto </w:t>
      </w:r>
      <w:r w:rsidRPr="00113298">
        <w:rPr>
          <w:rFonts w:ascii="Times New Roman" w:hAnsi="Times New Roman" w:cs="Times New Roman"/>
          <w:sz w:val="28"/>
          <w:szCs w:val="28"/>
        </w:rPr>
        <w:t>-</w:t>
      </w:r>
      <w:r w:rsidRPr="00113298">
        <w:rPr>
          <w:rFonts w:ascii="Times New Roman" w:hAnsi="Times New Roman" w:cs="Times New Roman"/>
          <w:sz w:val="28"/>
          <w:szCs w:val="28"/>
        </w:rPr>
        <w:t>porque el problema constitucional seguirá allí mientras persista el déficit normativo que esta decisión dejó sin resolver</w:t>
      </w:r>
      <w:r w:rsidRPr="00113298">
        <w:rPr>
          <w:rFonts w:ascii="Times New Roman" w:hAnsi="Times New Roman" w:cs="Times New Roman"/>
          <w:sz w:val="28"/>
          <w:szCs w:val="28"/>
        </w:rPr>
        <w:t>-</w:t>
      </w:r>
      <w:r w:rsidRPr="00113298">
        <w:rPr>
          <w:rFonts w:ascii="Times New Roman" w:hAnsi="Times New Roman" w:cs="Times New Roman"/>
          <w:sz w:val="28"/>
          <w:szCs w:val="28"/>
        </w:rPr>
        <w:t>, privilegie l</w:t>
      </w:r>
      <w:r w:rsidRPr="00113298">
        <w:rPr>
          <w:rFonts w:ascii="Times New Roman" w:hAnsi="Times New Roman" w:cs="Times New Roman"/>
          <w:sz w:val="28"/>
          <w:szCs w:val="28"/>
        </w:rPr>
        <w:t xml:space="preserve">a protección efectiva de los derechos fundamentales de las víctimas sobre una comprensión excesivamente rígida de los requisitos de aptitud de la demanda. Cuando las formas procesales terminan impidiendo el ejercicio del derecho de acción y el acceso a la </w:t>
      </w:r>
      <w:r w:rsidRPr="00113298">
        <w:rPr>
          <w:rFonts w:ascii="Times New Roman" w:hAnsi="Times New Roman" w:cs="Times New Roman"/>
          <w:sz w:val="28"/>
          <w:szCs w:val="28"/>
        </w:rPr>
        <w:t>justicia constitucional, dejan de estar al servicio de la Constitución y corren el riesgo de convertirse en instrumentos de perpetuación del olvido de las víctimas</w:t>
      </w:r>
      <w:r w:rsidRPr="00113298">
        <w:rPr>
          <w:rFonts w:ascii="Times New Roman" w:hAnsi="Times New Roman" w:cs="Times New Roman"/>
          <w:sz w:val="28"/>
          <w:szCs w:val="28"/>
        </w:rPr>
        <w:t>.</w:t>
      </w:r>
    </w:p>
    <w:p w:rsidR="00720AC8" w:rsidRPr="00113298" w:rsidRDefault="00113298" w:rsidP="00695A96">
      <w:pPr>
        <w:pStyle w:val="Sinespaciado"/>
        <w:jc w:val="both"/>
        <w:rPr>
          <w:rFonts w:ascii="Times New Roman" w:hAnsi="Times New Roman" w:cs="Times New Roman"/>
          <w:sz w:val="28"/>
          <w:szCs w:val="28"/>
        </w:rPr>
      </w:pPr>
    </w:p>
    <w:p w:rsidR="00A27148" w:rsidRPr="00113298" w:rsidRDefault="00113298" w:rsidP="00695A96">
      <w:pPr>
        <w:pStyle w:val="Sinespaciado"/>
        <w:jc w:val="both"/>
        <w:rPr>
          <w:rFonts w:ascii="Times New Roman" w:hAnsi="Times New Roman" w:cs="Times New Roman"/>
          <w:sz w:val="28"/>
          <w:szCs w:val="28"/>
        </w:rPr>
      </w:pPr>
      <w:r w:rsidRPr="00113298">
        <w:rPr>
          <w:rFonts w:ascii="Times New Roman" w:hAnsi="Times New Roman" w:cs="Times New Roman"/>
          <w:sz w:val="28"/>
          <w:szCs w:val="28"/>
        </w:rPr>
        <w:t>En los anteriores términos, de manera respetuosa, dejo planteado mi disenso respecto de la</w:t>
      </w:r>
      <w:r w:rsidRPr="00113298">
        <w:rPr>
          <w:rFonts w:ascii="Times New Roman" w:hAnsi="Times New Roman" w:cs="Times New Roman"/>
          <w:sz w:val="28"/>
          <w:szCs w:val="28"/>
        </w:rPr>
        <w:t xml:space="preserve"> decisión mayoritaria. </w:t>
      </w:r>
    </w:p>
    <w:p w:rsidR="008661C8" w:rsidRPr="00113298" w:rsidRDefault="00113298" w:rsidP="009E5839">
      <w:pPr>
        <w:rPr>
          <w:rFonts w:ascii="Times New Roman" w:eastAsia="Times New Roman" w:hAnsi="Times New Roman" w:cs="Times New Roman"/>
          <w:sz w:val="28"/>
          <w:szCs w:val="28"/>
          <w:bdr w:val="none" w:sz="0" w:space="0" w:color="auto" w:frame="1"/>
          <w:lang w:val="es-ES" w:eastAsia="es-ES_tradnl"/>
        </w:rPr>
      </w:pPr>
    </w:p>
    <w:p w:rsidR="00C11B53" w:rsidRPr="00113298" w:rsidRDefault="00113298" w:rsidP="00C11B53">
      <w:pPr>
        <w:shd w:val="clear" w:color="auto" w:fill="FFFFFF"/>
        <w:spacing w:line="293" w:lineRule="atLeast"/>
        <w:textAlignment w:val="baseline"/>
        <w:rPr>
          <w:rFonts w:ascii="Times New Roman" w:eastAsia="Times New Roman" w:hAnsi="Times New Roman" w:cs="Times New Roman"/>
          <w:sz w:val="28"/>
          <w:szCs w:val="24"/>
          <w:lang w:val="es-ES" w:eastAsia="es-ES_tradnl"/>
        </w:rPr>
      </w:pPr>
      <w:r w:rsidRPr="00113298">
        <w:rPr>
          <w:rFonts w:ascii="Times New Roman" w:eastAsia="Times New Roman" w:hAnsi="Times New Roman" w:cs="Times New Roman"/>
          <w:sz w:val="28"/>
          <w:szCs w:val="28"/>
          <w:bdr w:val="none" w:sz="0" w:space="0" w:color="auto" w:frame="1"/>
          <w:lang w:val="es-ES" w:eastAsia="es-ES_tradnl"/>
        </w:rPr>
        <w:t>Fecha</w:t>
      </w:r>
      <w:r w:rsidRPr="00113298">
        <w:rPr>
          <w:rFonts w:ascii="Times New Roman" w:eastAsia="Times New Roman" w:hAnsi="Times New Roman" w:cs="Times New Roman"/>
          <w:sz w:val="28"/>
          <w:szCs w:val="28"/>
          <w:bdr w:val="none" w:sz="0" w:space="0" w:color="auto" w:frame="1"/>
          <w:lang w:val="es-ES" w:eastAsia="es-ES_tradnl"/>
        </w:rPr>
        <w:t xml:space="preserve"> </w:t>
      </w:r>
      <w:r w:rsidRPr="00113298">
        <w:rPr>
          <w:rFonts w:ascii="Times New Roman" w:eastAsia="Times New Roman" w:hAnsi="Times New Roman" w:cs="Times New Roman"/>
          <w:i/>
          <w:iCs/>
          <w:sz w:val="28"/>
          <w:szCs w:val="28"/>
          <w:bdr w:val="none" w:sz="0" w:space="0" w:color="auto" w:frame="1"/>
          <w:lang w:val="es-ES" w:eastAsia="es-ES_tradnl"/>
        </w:rPr>
        <w:t>ut supra.</w:t>
      </w:r>
    </w:p>
    <w:p w:rsidR="00E82152" w:rsidRPr="00113298" w:rsidRDefault="00113298" w:rsidP="00F4193C">
      <w:pPr>
        <w:shd w:val="clear" w:color="auto" w:fill="FFFFFF"/>
        <w:spacing w:line="293" w:lineRule="atLeast"/>
        <w:jc w:val="center"/>
        <w:textAlignment w:val="baseline"/>
        <w:rPr>
          <w:rFonts w:ascii="Times New Roman" w:eastAsia="Times New Roman" w:hAnsi="Times New Roman" w:cs="Times New Roman"/>
          <w:sz w:val="28"/>
          <w:szCs w:val="24"/>
          <w:lang w:val="es-ES" w:eastAsia="es-ES_tradnl"/>
        </w:rPr>
      </w:pPr>
    </w:p>
    <w:p w:rsidR="00766230" w:rsidRPr="00113298" w:rsidRDefault="00113298" w:rsidP="00F4193C">
      <w:pPr>
        <w:shd w:val="clear" w:color="auto" w:fill="FFFFFF"/>
        <w:spacing w:line="293" w:lineRule="atLeast"/>
        <w:jc w:val="center"/>
        <w:textAlignment w:val="baseline"/>
        <w:rPr>
          <w:rFonts w:ascii="Times New Roman" w:eastAsia="Times New Roman" w:hAnsi="Times New Roman" w:cs="Times New Roman"/>
          <w:sz w:val="28"/>
          <w:szCs w:val="24"/>
          <w:lang w:val="es-ES" w:eastAsia="es-ES_tradnl"/>
        </w:rPr>
      </w:pPr>
    </w:p>
    <w:p w:rsidR="00766230" w:rsidRPr="00113298" w:rsidRDefault="00113298" w:rsidP="00766230">
      <w:pPr>
        <w:shd w:val="clear" w:color="auto" w:fill="FFFFFF"/>
        <w:spacing w:line="293" w:lineRule="atLeast"/>
        <w:jc w:val="center"/>
        <w:textAlignment w:val="baseline"/>
        <w:rPr>
          <w:rFonts w:ascii="Times New Roman" w:eastAsia="Times New Roman" w:hAnsi="Times New Roman" w:cs="Times New Roman"/>
          <w:b/>
          <w:bCs/>
          <w:sz w:val="28"/>
          <w:szCs w:val="24"/>
          <w:lang w:val="es-ES" w:eastAsia="es-ES_tradnl"/>
        </w:rPr>
      </w:pPr>
      <w:r w:rsidRPr="00113298">
        <w:rPr>
          <w:rFonts w:ascii="Times New Roman" w:eastAsia="Times New Roman" w:hAnsi="Times New Roman" w:cs="Times New Roman"/>
          <w:b/>
          <w:bCs/>
          <w:sz w:val="28"/>
          <w:szCs w:val="24"/>
          <w:lang w:val="es-ES" w:eastAsia="es-ES_tradnl"/>
        </w:rPr>
        <w:t xml:space="preserve">JORGE ENRIQUE IBÁÑEZ NAJAR </w:t>
      </w:r>
    </w:p>
    <w:p w:rsidR="00766230" w:rsidRPr="00113298" w:rsidRDefault="00113298" w:rsidP="00766230">
      <w:pPr>
        <w:shd w:val="clear" w:color="auto" w:fill="FFFFFF"/>
        <w:spacing w:line="293" w:lineRule="atLeast"/>
        <w:jc w:val="center"/>
        <w:textAlignment w:val="baseline"/>
        <w:rPr>
          <w:rFonts w:ascii="Times New Roman" w:eastAsia="Times New Roman" w:hAnsi="Times New Roman" w:cs="Times New Roman"/>
          <w:b/>
          <w:bCs/>
          <w:sz w:val="28"/>
          <w:szCs w:val="24"/>
          <w:lang w:val="es-ES" w:eastAsia="es-ES_tradnl"/>
        </w:rPr>
      </w:pPr>
      <w:r w:rsidRPr="00113298">
        <w:rPr>
          <w:rFonts w:ascii="Times New Roman" w:eastAsia="Times New Roman" w:hAnsi="Times New Roman" w:cs="Times New Roman"/>
          <w:b/>
          <w:bCs/>
          <w:sz w:val="28"/>
          <w:szCs w:val="24"/>
          <w:lang w:val="es-ES" w:eastAsia="es-ES_tradnl"/>
        </w:rPr>
        <w:t>Magistrado</w:t>
      </w:r>
    </w:p>
    <w:p w:rsidR="00766230" w:rsidRPr="00113298" w:rsidRDefault="00113298" w:rsidP="00F4193C">
      <w:pPr>
        <w:shd w:val="clear" w:color="auto" w:fill="FFFFFF"/>
        <w:spacing w:line="293" w:lineRule="atLeast"/>
        <w:jc w:val="center"/>
        <w:textAlignment w:val="baseline"/>
        <w:rPr>
          <w:rFonts w:ascii="Times New Roman" w:eastAsia="Times New Roman" w:hAnsi="Times New Roman" w:cs="Times New Roman"/>
          <w:sz w:val="28"/>
          <w:szCs w:val="24"/>
          <w:lang w:val="es-ES" w:eastAsia="es-ES_tradnl"/>
        </w:rPr>
      </w:pPr>
    </w:p>
    <w:sectPr w:rsidR="00766230" w:rsidRPr="0011329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13298">
      <w:pPr>
        <w:spacing w:after="0" w:line="240" w:lineRule="auto"/>
      </w:pPr>
      <w:r>
        <w:separator/>
      </w:r>
    </w:p>
  </w:endnote>
  <w:endnote w:type="continuationSeparator" w:id="0">
    <w:p w:rsidR="00000000" w:rsidRDefault="0011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13298">
      <w:pPr>
        <w:spacing w:after="0" w:line="240" w:lineRule="auto"/>
      </w:pPr>
      <w:r>
        <w:separator/>
      </w:r>
    </w:p>
  </w:footnote>
  <w:footnote w:type="continuationSeparator" w:id="0">
    <w:p w:rsidR="00000000" w:rsidRDefault="00113298">
      <w:pPr>
        <w:spacing w:after="0" w:line="240" w:lineRule="auto"/>
      </w:pPr>
      <w:r>
        <w:continuationSeparator/>
      </w:r>
    </w:p>
  </w:footnote>
  <w:footnote w:id="1">
    <w:p w:rsidR="00930F15" w:rsidRPr="00254458" w:rsidRDefault="00113298" w:rsidP="00930F15">
      <w:pPr>
        <w:pStyle w:val="Textonotapie"/>
        <w:jc w:val="both"/>
      </w:pPr>
      <w:r>
        <w:rPr>
          <w:rStyle w:val="Refdenotaalpie"/>
        </w:rPr>
        <w:footnoteRef/>
      </w:r>
      <w:r>
        <w:t xml:space="preserve"> Se invitó a la Corte Suprema de Justicia, a la Sala de Casación Penal de la Corte Suprema de Justicia, a la Jurisdicción Especial para la Paz, a la Fiscalía General de la Nación, a la Defensoría del Pueblo, a la Unidad para la Atención y Reparación Integr</w:t>
      </w:r>
      <w:r>
        <w:t>al a las Víctimas, a la Federación Nacional de Colegios de Jueces y Fiscales, al Comité Internacional de la Cruz Roja, a la Academia Colombiana de Jurisprudencia, al Instituto Colombiano de Derecho Procesal, al Colegio de Abogados Penalistas de Colombia, a</w:t>
      </w:r>
      <w:r>
        <w:t>l Centro de Estudios de Derecho, Justicia y Sociedad, a la Corporación Humanas, y a las facultades de derecho de las universidades de: Los Andes, de Antioquia, de Cartagena, Externado de Colombia, Javeriana, Nacional, del Norte, Pontificia Bolivariana, del</w:t>
      </w:r>
      <w:r>
        <w:t xml:space="preserve"> Rosario y Sergio Arboleda.</w:t>
      </w:r>
    </w:p>
  </w:footnote>
  <w:footnote w:id="2">
    <w:p w:rsidR="00930F15" w:rsidRPr="00814DFA" w:rsidRDefault="00113298" w:rsidP="00930F15">
      <w:pPr>
        <w:pStyle w:val="Textonotapie"/>
        <w:jc w:val="both"/>
      </w:pPr>
      <w:r>
        <w:rPr>
          <w:rStyle w:val="Refdenotaalpie"/>
        </w:rPr>
        <w:footnoteRef/>
      </w:r>
      <w:r>
        <w:t xml:space="preserve"> Expediente digital, archivo “</w:t>
      </w:r>
      <w:hyperlink r:id="rId1" w:tgtFrame="blank" w:history="1">
        <w:r w:rsidRPr="00814DFA">
          <w:rPr>
            <w:rStyle w:val="Hipervnculo"/>
          </w:rPr>
          <w:t>D0016296-Peticiones y Otros-(2025-01-17 12-25-21).pdf</w:t>
        </w:r>
      </w:hyperlink>
      <w:r>
        <w:t>”.</w:t>
      </w:r>
    </w:p>
  </w:footnote>
  <w:footnote w:id="3">
    <w:p w:rsidR="00930F15" w:rsidRPr="00814DFA" w:rsidRDefault="00113298" w:rsidP="00930F15">
      <w:pPr>
        <w:pStyle w:val="Textonotapie"/>
        <w:jc w:val="both"/>
      </w:pPr>
      <w:r>
        <w:rPr>
          <w:rStyle w:val="Refdenotaalpie"/>
        </w:rPr>
        <w:footnoteRef/>
      </w:r>
      <w:r>
        <w:t xml:space="preserve"> Ib., p. 2.</w:t>
      </w:r>
    </w:p>
  </w:footnote>
  <w:footnote w:id="4">
    <w:p w:rsidR="00930F15" w:rsidRPr="00814DFA" w:rsidRDefault="00113298" w:rsidP="00930F15">
      <w:pPr>
        <w:pStyle w:val="Textonotapie"/>
        <w:jc w:val="both"/>
      </w:pPr>
      <w:r>
        <w:rPr>
          <w:rStyle w:val="Refdenotaalpie"/>
        </w:rPr>
        <w:footnoteRef/>
      </w:r>
      <w:r>
        <w:t xml:space="preserve"> Expediente digital</w:t>
      </w:r>
      <w:r>
        <w:t>, archivo “</w:t>
      </w:r>
      <w:hyperlink r:id="rId2" w:tgtFrame="blank" w:history="1">
        <w:r w:rsidRPr="00814DFA">
          <w:rPr>
            <w:rStyle w:val="Hipervnculo"/>
          </w:rPr>
          <w:t>D0016296-Peticiones y Otros-(2025-01-16 15-26-57).pdf</w:t>
        </w:r>
      </w:hyperlink>
      <w:r>
        <w:t>”.</w:t>
      </w:r>
    </w:p>
  </w:footnote>
  <w:footnote w:id="5">
    <w:p w:rsidR="00930F15" w:rsidRPr="00DA6154" w:rsidRDefault="00113298" w:rsidP="00930F15">
      <w:pPr>
        <w:pStyle w:val="Textonotapie"/>
        <w:jc w:val="both"/>
      </w:pPr>
      <w:r>
        <w:rPr>
          <w:rStyle w:val="Refdenotaalpie"/>
        </w:rPr>
        <w:footnoteRef/>
      </w:r>
      <w:r>
        <w:t xml:space="preserve"> Expediente digital, archivo “</w:t>
      </w:r>
      <w:hyperlink r:id="rId3" w:tgtFrame="blank" w:history="1">
        <w:r w:rsidRPr="00DA6154">
          <w:rPr>
            <w:rStyle w:val="Hipervnculo"/>
          </w:rPr>
          <w:t>D0016296-Auto Ordena Pruebas-(2025-03-03 06-27-04).pdf</w:t>
        </w:r>
      </w:hyperlink>
      <w:r>
        <w:t>”, p. 4.</w:t>
      </w:r>
    </w:p>
  </w:footnote>
  <w:footnote w:id="6">
    <w:p w:rsidR="00930F15" w:rsidRPr="00582EB0" w:rsidRDefault="00113298" w:rsidP="00930F15">
      <w:pPr>
        <w:pStyle w:val="Textonotapie"/>
        <w:jc w:val="both"/>
        <w:rPr>
          <w:lang w:val="es-ES_tradnl"/>
        </w:rPr>
      </w:pPr>
      <w:r>
        <w:rPr>
          <w:rStyle w:val="Refdenotaalpie"/>
        </w:rPr>
        <w:footnoteRef/>
      </w:r>
      <w:r>
        <w:t xml:space="preserve"> </w:t>
      </w:r>
      <w:r>
        <w:rPr>
          <w:lang w:val="es-ES_tradnl"/>
        </w:rPr>
        <w:t>Expediente digital, archivo “</w:t>
      </w:r>
      <w:hyperlink r:id="rId4" w:tgtFrame="blank" w:history="1">
        <w:r w:rsidRPr="00582EB0">
          <w:rPr>
            <w:rStyle w:val="Hipervnculo"/>
          </w:rPr>
          <w:t>D0016296-Concepto del Procurador General de la Nación-(2025-03-13 17-01-00).pdf</w:t>
        </w:r>
      </w:hyperlink>
      <w:r>
        <w:rPr>
          <w:lang w:val="es-ES_tradnl"/>
        </w:rPr>
        <w:t>”.</w:t>
      </w:r>
    </w:p>
  </w:footnote>
  <w:footnote w:id="7">
    <w:p w:rsidR="00930F15" w:rsidRPr="00582EB0" w:rsidRDefault="00113298" w:rsidP="00930F15">
      <w:pPr>
        <w:pStyle w:val="Textonotapie"/>
        <w:jc w:val="both"/>
        <w:rPr>
          <w:lang w:val="es-ES_tradnl"/>
        </w:rPr>
      </w:pPr>
      <w:r>
        <w:rPr>
          <w:rStyle w:val="Refdenotaalpie"/>
        </w:rPr>
        <w:footnoteRef/>
      </w:r>
      <w:r>
        <w:t xml:space="preserve"> </w:t>
      </w:r>
      <w:r>
        <w:rPr>
          <w:lang w:val="es-ES_tradnl"/>
        </w:rPr>
        <w:t>Expediente digital, archivo “</w:t>
      </w:r>
      <w:hyperlink r:id="rId5" w:tgtFrame="blank" w:history="1">
        <w:r w:rsidRPr="00582EB0">
          <w:rPr>
            <w:rStyle w:val="Hipervnculo"/>
          </w:rPr>
          <w:t>D0016296-Autos Varios-(2025-04-03 06-57-32).pdf</w:t>
        </w:r>
      </w:hyperlink>
      <w:r>
        <w:rPr>
          <w:lang w:val="es-ES_tradnl"/>
        </w:rPr>
        <w:t>”.</w:t>
      </w:r>
    </w:p>
  </w:footnote>
  <w:footnote w:id="8">
    <w:p w:rsidR="00930F15" w:rsidRPr="00520810" w:rsidRDefault="00113298" w:rsidP="00930F15">
      <w:pPr>
        <w:pStyle w:val="Textonotapie"/>
        <w:jc w:val="both"/>
        <w:rPr>
          <w:lang w:val="es-ES"/>
        </w:rPr>
      </w:pPr>
      <w:r>
        <w:rPr>
          <w:rStyle w:val="Refdenotaalpie"/>
        </w:rPr>
        <w:footnoteRef/>
      </w:r>
      <w:r>
        <w:t xml:space="preserve"> </w:t>
      </w:r>
      <w:r>
        <w:rPr>
          <w:lang w:val="es-ES"/>
        </w:rPr>
        <w:t>Expediente digital, archivo “</w:t>
      </w:r>
      <w:hyperlink r:id="rId6" w:tgtFrame="blank" w:history="1">
        <w:r w:rsidRPr="00520810">
          <w:rPr>
            <w:rStyle w:val="Hipervnculo"/>
          </w:rPr>
          <w:t>D0016296-Peticiones y Otros-(2025-07-30 11-34-</w:t>
        </w:r>
        <w:r w:rsidRPr="00520810">
          <w:rPr>
            <w:rStyle w:val="Hipervnculo"/>
          </w:rPr>
          <w:t>06).pdf</w:t>
        </w:r>
      </w:hyperlink>
      <w:r>
        <w:rPr>
          <w:lang w:val="es-ES"/>
        </w:rPr>
        <w:t>”.</w:t>
      </w:r>
    </w:p>
  </w:footnote>
  <w:footnote w:id="9">
    <w:p w:rsidR="00930F15" w:rsidRPr="00E17182" w:rsidRDefault="00113298" w:rsidP="00930F15">
      <w:pPr>
        <w:pStyle w:val="Textonotapie"/>
        <w:jc w:val="both"/>
      </w:pPr>
      <w:r>
        <w:rPr>
          <w:rStyle w:val="Refdenotaalpie"/>
        </w:rPr>
        <w:footnoteRef/>
      </w:r>
      <w:r>
        <w:t xml:space="preserve"> </w:t>
      </w:r>
      <w:r w:rsidRPr="00E17182">
        <w:t>Diario Oficial 44.097 del 24 de julio de 2000.</w:t>
      </w:r>
    </w:p>
  </w:footnote>
  <w:footnote w:id="10">
    <w:p w:rsidR="00930F15" w:rsidRPr="000964D1" w:rsidRDefault="00113298" w:rsidP="00930F15">
      <w:pPr>
        <w:pStyle w:val="Textonotapie"/>
        <w:rPr>
          <w:lang w:val="es-ES"/>
        </w:rPr>
      </w:pPr>
      <w:r>
        <w:rPr>
          <w:rStyle w:val="Refdenotaalpie"/>
        </w:rPr>
        <w:footnoteRef/>
      </w:r>
      <w:r>
        <w:t xml:space="preserve"> </w:t>
      </w:r>
      <w:r>
        <w:rPr>
          <w:lang w:val="es-ES"/>
        </w:rPr>
        <w:t>Expediente digital, archivo “</w:t>
      </w:r>
      <w:r w:rsidRPr="00FE0E3F">
        <w:t>D0016296-Presentación Demanda-(2024-11-12 14-44-29).pdf</w:t>
      </w:r>
      <w:r>
        <w:t>”, p. 2.</w:t>
      </w:r>
    </w:p>
  </w:footnote>
  <w:footnote w:id="11">
    <w:p w:rsidR="00930F15" w:rsidRPr="000964D1" w:rsidRDefault="00113298" w:rsidP="00930F15">
      <w:pPr>
        <w:pStyle w:val="Textonotapie"/>
        <w:rPr>
          <w:lang w:val="es-ES"/>
        </w:rPr>
      </w:pPr>
      <w:r>
        <w:rPr>
          <w:rStyle w:val="Refdenotaalpie"/>
        </w:rPr>
        <w:footnoteRef/>
      </w:r>
      <w:r>
        <w:t xml:space="preserve"> </w:t>
      </w:r>
      <w:r>
        <w:rPr>
          <w:lang w:val="es-ES"/>
        </w:rPr>
        <w:t>Ib., pp. 31 y ss.</w:t>
      </w:r>
    </w:p>
  </w:footnote>
  <w:footnote w:id="12">
    <w:p w:rsidR="00930F15" w:rsidRPr="000964D1" w:rsidRDefault="00113298" w:rsidP="00930F15">
      <w:pPr>
        <w:pStyle w:val="Textonotapie"/>
        <w:rPr>
          <w:lang w:val="es-ES"/>
        </w:rPr>
      </w:pPr>
      <w:r>
        <w:rPr>
          <w:rStyle w:val="Refdenotaalpie"/>
        </w:rPr>
        <w:footnoteRef/>
      </w:r>
      <w:r>
        <w:t xml:space="preserve"> </w:t>
      </w:r>
      <w:r>
        <w:rPr>
          <w:lang w:val="es-ES"/>
        </w:rPr>
        <w:t>Ib., pp. 56 y ss.</w:t>
      </w:r>
    </w:p>
  </w:footnote>
  <w:footnote w:id="13">
    <w:p w:rsidR="00930F15" w:rsidRPr="000964D1" w:rsidRDefault="00113298" w:rsidP="00930F15">
      <w:pPr>
        <w:pStyle w:val="Textonotapie"/>
        <w:rPr>
          <w:lang w:val="es-ES"/>
        </w:rPr>
      </w:pPr>
      <w:r>
        <w:rPr>
          <w:rStyle w:val="Refdenotaalpie"/>
        </w:rPr>
        <w:footnoteRef/>
      </w:r>
      <w:r>
        <w:t xml:space="preserve"> </w:t>
      </w:r>
      <w:r>
        <w:rPr>
          <w:lang w:val="es-ES"/>
        </w:rPr>
        <w:t>Ib., p. 23.</w:t>
      </w:r>
    </w:p>
  </w:footnote>
  <w:footnote w:id="14">
    <w:p w:rsidR="00930F15" w:rsidRPr="000964D1" w:rsidRDefault="00113298" w:rsidP="00930F15">
      <w:pPr>
        <w:pStyle w:val="Textonotapie"/>
        <w:rPr>
          <w:lang w:val="es-ES"/>
        </w:rPr>
      </w:pPr>
      <w:r>
        <w:rPr>
          <w:rStyle w:val="Refdenotaalpie"/>
        </w:rPr>
        <w:footnoteRef/>
      </w:r>
      <w:r>
        <w:t xml:space="preserve"> </w:t>
      </w:r>
      <w:r>
        <w:rPr>
          <w:lang w:val="es-ES"/>
        </w:rPr>
        <w:t xml:space="preserve">Ib., p. 19. </w:t>
      </w:r>
    </w:p>
  </w:footnote>
  <w:footnote w:id="15">
    <w:p w:rsidR="00930F15" w:rsidRPr="00FE0E3F" w:rsidRDefault="00113298" w:rsidP="00930F15">
      <w:pPr>
        <w:pStyle w:val="Textonotapie"/>
        <w:rPr>
          <w:lang w:val="es-ES"/>
        </w:rPr>
      </w:pPr>
      <w:r>
        <w:rPr>
          <w:rStyle w:val="Refdenotaalpie"/>
        </w:rPr>
        <w:footnoteRef/>
      </w:r>
      <w:r>
        <w:t xml:space="preserve"> </w:t>
      </w:r>
      <w:r>
        <w:rPr>
          <w:lang w:val="es-ES"/>
        </w:rPr>
        <w:t>Ib.,</w:t>
      </w:r>
      <w:r>
        <w:t xml:space="preserve"> p. 83. </w:t>
      </w:r>
    </w:p>
  </w:footnote>
  <w:footnote w:id="16">
    <w:p w:rsidR="00930F15" w:rsidRPr="00B15003" w:rsidRDefault="00113298" w:rsidP="00930F15">
      <w:pPr>
        <w:pStyle w:val="Textonotapie"/>
      </w:pPr>
      <w:r>
        <w:rPr>
          <w:rStyle w:val="Refdenotaalpie"/>
        </w:rPr>
        <w:footnoteRef/>
      </w:r>
      <w:r>
        <w:t xml:space="preserve"> Ib., p. 13.</w:t>
      </w:r>
    </w:p>
  </w:footnote>
  <w:footnote w:id="17">
    <w:p w:rsidR="00930F15" w:rsidRPr="005C3DB0" w:rsidRDefault="00113298" w:rsidP="00930F15">
      <w:pPr>
        <w:pStyle w:val="Textonotapie"/>
        <w:jc w:val="both"/>
        <w:rPr>
          <w:rFonts w:cs="Times New Roman"/>
        </w:rPr>
      </w:pPr>
      <w:r w:rsidRPr="005C3DB0">
        <w:rPr>
          <w:rStyle w:val="Refdenotaalpie"/>
          <w:rFonts w:cs="Times New Roman"/>
        </w:rPr>
        <w:footnoteRef/>
      </w:r>
      <w:r w:rsidRPr="005C3DB0">
        <w:rPr>
          <w:rFonts w:cs="Times New Roman"/>
        </w:rPr>
        <w:t xml:space="preserve"> </w:t>
      </w:r>
      <w:r w:rsidRPr="00F65A0F">
        <w:rPr>
          <w:rFonts w:cs="Times New Roman"/>
        </w:rPr>
        <w:t xml:space="preserve">Cinco intervinientes solicitaron a la Corte declarar la exequibilidad de las expresiones demandadas, dos la exequibilidad condicionada, uno la inexequibilidad y otro la exequibilidad de </w:t>
      </w:r>
      <w:r w:rsidRPr="00F65A0F">
        <w:rPr>
          <w:bCs/>
          <w:iCs/>
        </w:rPr>
        <w:t>la expresión “y las demás normas del presente título” y la inexequibil</w:t>
      </w:r>
      <w:r w:rsidRPr="00F65A0F">
        <w:rPr>
          <w:bCs/>
          <w:iCs/>
        </w:rPr>
        <w:t xml:space="preserve">idad de la expresión “persona protegida”. Por su parte el procurador general de la Nación pidió a la Corte </w:t>
      </w:r>
      <w:r w:rsidRPr="00753835">
        <w:rPr>
          <w:bCs/>
          <w:iCs/>
        </w:rPr>
        <w:t xml:space="preserve">la </w:t>
      </w:r>
      <w:r>
        <w:rPr>
          <w:bCs/>
          <w:iCs/>
        </w:rPr>
        <w:t xml:space="preserve">exequibilidad de la </w:t>
      </w:r>
      <w:r w:rsidRPr="00753835">
        <w:rPr>
          <w:bCs/>
          <w:iCs/>
        </w:rPr>
        <w:t>expresión “y las demás normas del presente título” e inexequibilidad de la expresión “persona protegida”</w:t>
      </w:r>
      <w:r>
        <w:rPr>
          <w:bCs/>
          <w:iCs/>
        </w:rPr>
        <w:t>.</w:t>
      </w:r>
    </w:p>
  </w:footnote>
  <w:footnote w:id="18">
    <w:p w:rsidR="00930F15" w:rsidRDefault="00113298" w:rsidP="00930F15">
      <w:pPr>
        <w:pStyle w:val="Textonotapie"/>
        <w:jc w:val="both"/>
      </w:pPr>
      <w:r>
        <w:rPr>
          <w:rStyle w:val="Refdenotaalpie"/>
        </w:rPr>
        <w:footnoteRef/>
      </w:r>
      <w:r>
        <w:t xml:space="preserve"> Instituto Colombia</w:t>
      </w:r>
      <w:r>
        <w:t>no de Derecho Procesal, Ministerio de Justicia y el Derecho, Pontificia Universidad Javeriana, Universidad Libre de Colombia y la Sala Penal de la Corte Suprema de Justicia. Se resalta que la Universidad Libre de Colombia solicitó subsidiariamente la exequ</w:t>
      </w:r>
      <w:r>
        <w:t>ibilidad condicionada de las expresiones demandadas. En este punto se resalta que la Sala de Reconocimiento de Verdad, de Responsabilidad y de Determinación de los Hechos y las Conductas de la Jurisdicción Especial para la Paz solicitó a la Sala Plena decl</w:t>
      </w:r>
      <w:r>
        <w:t>ara exequible la expresión “las demás normas del presente título”, “por cuanto la definición de persona protegida contenida en ese artículo es pertinente y necesaria para entender otros tipos penales listados en los artículos siguientes”. Sin embargo, el f</w:t>
      </w:r>
      <w:r>
        <w:t xml:space="preserve">oco central de su intervención fue la inexequibilidad de la expresión “persona protegida”. Tales argumentos se expondrán en el capítulo de solicitudes de inexequibilidad. </w:t>
      </w:r>
    </w:p>
  </w:footnote>
  <w:footnote w:id="19">
    <w:p w:rsidR="00930F15" w:rsidRPr="004C792A" w:rsidRDefault="00113298" w:rsidP="00930F15">
      <w:pPr>
        <w:pStyle w:val="Textonotapie"/>
        <w:jc w:val="both"/>
      </w:pPr>
      <w:r w:rsidRPr="004C792A">
        <w:rPr>
          <w:rStyle w:val="Refdenotaalpie"/>
        </w:rPr>
        <w:footnoteRef/>
      </w:r>
      <w:r w:rsidRPr="004C792A">
        <w:t xml:space="preserve"> </w:t>
      </w:r>
      <w:r>
        <w:t>La Fundación Jurídica Proyecto Inocencia y la Universidad Pontificia Bolivariana.</w:t>
      </w:r>
      <w:r w:rsidRPr="004C792A">
        <w:t xml:space="preserve"> </w:t>
      </w:r>
    </w:p>
  </w:footnote>
  <w:footnote w:id="20">
    <w:p w:rsidR="00930F15" w:rsidRPr="004C792A" w:rsidRDefault="00113298" w:rsidP="00930F15">
      <w:pPr>
        <w:pStyle w:val="Textonotapie"/>
        <w:jc w:val="both"/>
      </w:pPr>
      <w:r w:rsidRPr="004C792A">
        <w:rPr>
          <w:rStyle w:val="Refdenotaalpie"/>
        </w:rPr>
        <w:footnoteRef/>
      </w:r>
      <w:r w:rsidRPr="004C792A">
        <w:t xml:space="preserve"> </w:t>
      </w:r>
      <w:r>
        <w:t>La Defensoría del Pueblo y la Sala de Reconocimiento de Verdad, de Responsabilidad y de Determinación de los Hechos y las Conductas de la Jurisdicción Especial para la Paz. Al respecto, se precisa que la JEP únicamente solicitó a la Sala Plena, declarar</w:t>
      </w:r>
      <w:r>
        <w:t xml:space="preserve"> la inexequibilidad de la expresión “persona protegida”, pues,</w:t>
      </w:r>
      <w:r>
        <w:t xml:space="preserve"> a</w:t>
      </w:r>
      <w:r>
        <w:t xml:space="preserve">  su juicio, la expresión “y las demás normas del presente título” contenida en el parágrafo 135 del Código Penal, no tienen problemas de constitucionalidad. Sin embargo, el centro de su inter</w:t>
      </w:r>
      <w:r>
        <w:t>vención fue la solicitud de inexequibilidad. De igual forma, la JEP también pidió “[a]</w:t>
      </w:r>
      <w:r w:rsidRPr="00555483">
        <w:t>bordar la discusión propuesta en la demanda alrededor del entendimiento del concepto de persona protegida, aclarando que, en el uso genérico de esa</w:t>
      </w:r>
      <w:r>
        <w:t xml:space="preserve"> </w:t>
      </w:r>
      <w:r w:rsidRPr="00555483">
        <w:t>expresión por el Códig</w:t>
      </w:r>
      <w:r w:rsidRPr="00555483">
        <w:t>o Penal, se debe entender que, en cualquier caso, abarca a las personas que integran un</w:t>
      </w:r>
      <w:r>
        <w:t xml:space="preserve"> </w:t>
      </w:r>
      <w:r w:rsidRPr="00555483">
        <w:t>grupo armado respecto de las violencias provenientes de otros integrantes de las filas</w:t>
      </w:r>
      <w:r>
        <w:t>”. Expediente digital, archivo “</w:t>
      </w:r>
      <w:hyperlink r:id="rId7" w:tgtFrame="blank" w:history="1">
        <w:r w:rsidRPr="00DE321B">
          <w:rPr>
            <w:rStyle w:val="Hipervnculo"/>
          </w:rPr>
          <w:t>D0016296-Conceptos e Intervenciones-(2025-02-06 22-42-26).pdf</w:t>
        </w:r>
      </w:hyperlink>
      <w:r>
        <w:t>”.</w:t>
      </w:r>
    </w:p>
  </w:footnote>
  <w:footnote w:id="21">
    <w:p w:rsidR="00930F15" w:rsidRPr="005A6128" w:rsidRDefault="00113298" w:rsidP="00930F15">
      <w:pPr>
        <w:pStyle w:val="Textonotapie"/>
      </w:pPr>
      <w:r>
        <w:rPr>
          <w:rStyle w:val="Refdenotaalpie"/>
        </w:rPr>
        <w:footnoteRef/>
      </w:r>
      <w:r>
        <w:t xml:space="preserve"> Expediente digital, archivo “</w:t>
      </w:r>
      <w:hyperlink r:id="rId8" w:tgtFrame="blank" w:history="1">
        <w:r w:rsidRPr="005A6128">
          <w:rPr>
            <w:rStyle w:val="Hipervnculo"/>
          </w:rPr>
          <w:t>D0016296-Concepto del Procurador General de la Nación-(2025-05-15 10-43-16).pdf</w:t>
        </w:r>
      </w:hyperlink>
      <w:r>
        <w:t>”, p. 12.</w:t>
      </w:r>
    </w:p>
  </w:footnote>
  <w:footnote w:id="22">
    <w:p w:rsidR="00930F15" w:rsidRPr="005A6128" w:rsidRDefault="00113298" w:rsidP="00930F15">
      <w:pPr>
        <w:pStyle w:val="Textonotapie"/>
      </w:pPr>
      <w:r>
        <w:rPr>
          <w:rStyle w:val="Refdenotaalpie"/>
        </w:rPr>
        <w:footnoteRef/>
      </w:r>
      <w:r>
        <w:t xml:space="preserve"> Ib., p. 16.</w:t>
      </w:r>
    </w:p>
  </w:footnote>
  <w:footnote w:id="23">
    <w:p w:rsidR="00930F15" w:rsidRPr="00655B1A" w:rsidRDefault="00113298" w:rsidP="00930F15">
      <w:pPr>
        <w:pStyle w:val="Textonotapie"/>
      </w:pPr>
      <w:r>
        <w:rPr>
          <w:rStyle w:val="Refdenotaalpie"/>
        </w:rPr>
        <w:footnoteRef/>
      </w:r>
      <w:r>
        <w:t xml:space="preserve"> Ib., p. 16.</w:t>
      </w:r>
    </w:p>
  </w:footnote>
  <w:footnote w:id="24">
    <w:p w:rsidR="00930F15" w:rsidRPr="001E7C6F" w:rsidRDefault="00113298" w:rsidP="00930F15">
      <w:pPr>
        <w:pStyle w:val="Textonotapie"/>
      </w:pPr>
      <w:r>
        <w:rPr>
          <w:rStyle w:val="Refdenotaalpie"/>
        </w:rPr>
        <w:footnoteRef/>
      </w:r>
      <w:r>
        <w:t xml:space="preserve"> Ib., p. 18.</w:t>
      </w:r>
    </w:p>
  </w:footnote>
  <w:footnote w:id="25">
    <w:p w:rsidR="00930F15" w:rsidRPr="000C0364" w:rsidRDefault="00113298" w:rsidP="00930F15">
      <w:pPr>
        <w:pStyle w:val="Textonotapie"/>
      </w:pPr>
      <w:r>
        <w:rPr>
          <w:rStyle w:val="Refdenotaalpie"/>
        </w:rPr>
        <w:footnoteRef/>
      </w:r>
      <w:r>
        <w:t xml:space="preserve"> Las preguntas orientadoras de cada uno de los ejes temáticos pueden consultarse en el Auto 991 de 2025. Expediente digital, archivo “</w:t>
      </w:r>
      <w:hyperlink r:id="rId9" w:tgtFrame="blank" w:history="1">
        <w:r w:rsidRPr="000C0364">
          <w:rPr>
            <w:rStyle w:val="Hipervnculo"/>
          </w:rPr>
          <w:t>D0016296-Auto</w:t>
        </w:r>
        <w:r w:rsidRPr="000C0364">
          <w:rPr>
            <w:rStyle w:val="Hipervnculo"/>
          </w:rPr>
          <w:t>s Varios-(2025-07-30 06-18-37).pdf</w:t>
        </w:r>
      </w:hyperlink>
      <w:r>
        <w:t>”.</w:t>
      </w:r>
    </w:p>
  </w:footnote>
  <w:footnote w:id="26">
    <w:p w:rsidR="00930F15" w:rsidRPr="00A474CB" w:rsidRDefault="00113298" w:rsidP="00930F15">
      <w:pPr>
        <w:pStyle w:val="Textonotapie"/>
        <w:rPr>
          <w:lang w:val="es-MX"/>
        </w:rPr>
      </w:pPr>
      <w:r>
        <w:rPr>
          <w:rStyle w:val="Refdenotaalpie"/>
        </w:rPr>
        <w:footnoteRef/>
      </w:r>
      <w:r>
        <w:t xml:space="preserve"> Expediente digital, archivos: </w:t>
      </w:r>
      <w:hyperlink r:id="rId10" w:history="1">
        <w:r w:rsidRPr="00A474CB">
          <w:rPr>
            <w:rStyle w:val="Hipervnculo"/>
            <w:lang w:val="es-MX"/>
          </w:rPr>
          <w:t>D0016296-Peticiones y Otros-(2025-08-21 11-11-10).pdf</w:t>
        </w:r>
      </w:hyperlink>
      <w:r>
        <w:t xml:space="preserve">, </w:t>
      </w:r>
      <w:hyperlink r:id="rId11" w:history="1">
        <w:r w:rsidRPr="00A474CB">
          <w:rPr>
            <w:rStyle w:val="Hipervnculo"/>
            <w:lang w:val="es-MX"/>
          </w:rPr>
          <w:t>D0016296-Peticiones y Otros-(2025-08-22 15-48-45).pdf</w:t>
        </w:r>
      </w:hyperlink>
      <w:r>
        <w:t xml:space="preserve"> y </w:t>
      </w:r>
      <w:hyperlink r:id="rId12" w:history="1">
        <w:r w:rsidRPr="00A474CB">
          <w:rPr>
            <w:rStyle w:val="Hipervnculo"/>
            <w:lang w:val="es-MX"/>
          </w:rPr>
          <w:t>D0016296-Peticiones y Otros-(2025-08-2</w:t>
        </w:r>
        <w:r w:rsidRPr="00A474CB">
          <w:rPr>
            <w:rStyle w:val="Hipervnculo"/>
            <w:lang w:val="es-MX"/>
          </w:rPr>
          <w:t>8 15-53-32).pdf</w:t>
        </w:r>
      </w:hyperlink>
      <w:r>
        <w:t>.</w:t>
      </w:r>
    </w:p>
  </w:footnote>
  <w:footnote w:id="27">
    <w:p w:rsidR="00930F15" w:rsidRPr="000938F5" w:rsidRDefault="00113298" w:rsidP="00930F15">
      <w:pPr>
        <w:pStyle w:val="Textonotapie"/>
      </w:pPr>
      <w:r>
        <w:rPr>
          <w:rStyle w:val="Refdenotaalpie"/>
        </w:rPr>
        <w:footnoteRef/>
      </w:r>
      <w:r>
        <w:t xml:space="preserve"> La intervención de las víctimas no fue transmitida, en aras a preservar su identidad y por razones de seguridad. </w:t>
      </w:r>
    </w:p>
  </w:footnote>
  <w:footnote w:id="28">
    <w:p w:rsidR="00930F15" w:rsidRPr="000938F5" w:rsidRDefault="00113298" w:rsidP="00930F15">
      <w:pPr>
        <w:pStyle w:val="Textonotapie"/>
        <w:rPr>
          <w:lang w:val="es-ES"/>
        </w:rPr>
      </w:pPr>
      <w:r>
        <w:rPr>
          <w:rStyle w:val="Refdenotaalpie"/>
        </w:rPr>
        <w:footnoteRef/>
      </w:r>
      <w:r>
        <w:t xml:space="preserve"> </w:t>
      </w:r>
      <w:hyperlink r:id="rId13" w:history="1">
        <w:r w:rsidRPr="00C93D6B">
          <w:rPr>
            <w:rStyle w:val="Hipervnculo"/>
          </w:rPr>
          <w:t>https://www.youtube.com/watch?v=EIViDxrea-M&amp;t=13025s</w:t>
        </w:r>
      </w:hyperlink>
    </w:p>
  </w:footnote>
  <w:footnote w:id="29">
    <w:p w:rsidR="00930F15" w:rsidRPr="00CB2282" w:rsidRDefault="00113298" w:rsidP="00930F15">
      <w:pPr>
        <w:pStyle w:val="Textonotapie"/>
        <w:rPr>
          <w:lang w:val="es-ES"/>
        </w:rPr>
      </w:pPr>
      <w:r>
        <w:rPr>
          <w:rStyle w:val="Refdenotaalpie"/>
        </w:rPr>
        <w:footnoteRef/>
      </w:r>
      <w:r>
        <w:t xml:space="preserve"> </w:t>
      </w:r>
      <w:r>
        <w:rPr>
          <w:lang w:val="es-ES"/>
        </w:rPr>
        <w:t>La Línea de Paz y Justicia Transicional de la Clínica Jurídica de Interés Público y Derechos Humanos de la Universidad de la Sabana remitió escrito en el trámite del expediente, en virtud de lo dispuesto en el Auto 991 de 2025. Este documento se puede c</w:t>
      </w:r>
      <w:r>
        <w:rPr>
          <w:lang w:val="es-ES"/>
        </w:rPr>
        <w:t>onsultar en el siguiente enlace: Expediente digital, archivo “</w:t>
      </w:r>
      <w:hyperlink r:id="rId14" w:tgtFrame="blank" w:history="1">
        <w:r w:rsidRPr="00584126">
          <w:rPr>
            <w:rStyle w:val="Hipervnculo"/>
          </w:rPr>
          <w:t>D0016296-Conceptos e Intervenciones-(2025-08-14 21-49-06).pdf</w:t>
        </w:r>
      </w:hyperlink>
      <w:r>
        <w:rPr>
          <w:rStyle w:val="Hipervnculo"/>
        </w:rPr>
        <w:t>”.</w:t>
      </w:r>
    </w:p>
  </w:footnote>
  <w:footnote w:id="30">
    <w:p w:rsidR="00930F15" w:rsidRPr="0089048D" w:rsidRDefault="00113298" w:rsidP="00930F15">
      <w:pPr>
        <w:pStyle w:val="Textonotapie"/>
        <w:jc w:val="both"/>
        <w:rPr>
          <w:lang w:val="es-ES"/>
        </w:rPr>
      </w:pPr>
      <w:r>
        <w:rPr>
          <w:rStyle w:val="Refdenotaalpie"/>
        </w:rPr>
        <w:footnoteRef/>
      </w:r>
      <w:r>
        <w:t xml:space="preserve"> </w:t>
      </w:r>
      <w:r>
        <w:rPr>
          <w:lang w:val="es-ES"/>
        </w:rPr>
        <w:t xml:space="preserve">Corte </w:t>
      </w:r>
      <w:r>
        <w:rPr>
          <w:lang w:val="es-ES"/>
        </w:rPr>
        <w:t>Constitucional, Sentencia C-026 de 2026.</w:t>
      </w:r>
    </w:p>
  </w:footnote>
  <w:footnote w:id="31">
    <w:p w:rsidR="00930F15" w:rsidRPr="004C792A" w:rsidRDefault="00113298" w:rsidP="00930F15">
      <w:pPr>
        <w:pStyle w:val="Textonotapie"/>
        <w:jc w:val="both"/>
        <w:rPr>
          <w:lang w:val="es-ES"/>
        </w:rPr>
      </w:pPr>
      <w:r w:rsidRPr="004C792A">
        <w:rPr>
          <w:rStyle w:val="Refdenotaalpie"/>
        </w:rPr>
        <w:footnoteRef/>
      </w:r>
      <w:r w:rsidRPr="004C792A">
        <w:t xml:space="preserve"> </w:t>
      </w:r>
      <w:r w:rsidRPr="004C792A">
        <w:rPr>
          <w:i/>
          <w:iCs/>
        </w:rPr>
        <w:t>Cfr</w:t>
      </w:r>
      <w:r w:rsidRPr="004C792A">
        <w:t>., Corte Constitucional, Auto 300 de 2008 y Sentencia C-089 de 2020.</w:t>
      </w:r>
    </w:p>
  </w:footnote>
  <w:footnote w:id="32">
    <w:p w:rsidR="00930F15" w:rsidRPr="004C792A" w:rsidRDefault="00113298" w:rsidP="00930F15">
      <w:pPr>
        <w:pStyle w:val="Textonotapie"/>
        <w:jc w:val="both"/>
        <w:rPr>
          <w:lang w:val="es-ES"/>
        </w:rPr>
      </w:pPr>
      <w:r w:rsidRPr="004C792A">
        <w:rPr>
          <w:rStyle w:val="Refdenotaalpie"/>
        </w:rPr>
        <w:footnoteRef/>
      </w:r>
      <w:r w:rsidRPr="004C792A">
        <w:t xml:space="preserve"> Corte Constitucional, Sentencia C-1052 de 2001, reiterada en las sentencias C-247 de 2017, C-002 de 2018, C-087 de 2018 y C-221 de 2019.</w:t>
      </w:r>
    </w:p>
  </w:footnote>
  <w:footnote w:id="33">
    <w:p w:rsidR="00930F15" w:rsidRPr="004C792A" w:rsidRDefault="00113298" w:rsidP="00930F15">
      <w:pPr>
        <w:pStyle w:val="Textonotapie"/>
        <w:jc w:val="both"/>
      </w:pPr>
      <w:r w:rsidRPr="004C792A">
        <w:rPr>
          <w:rStyle w:val="Refdenotaalpie"/>
        </w:rPr>
        <w:footnoteRef/>
      </w:r>
      <w:r w:rsidRPr="004C792A">
        <w:t xml:space="preserve"> </w:t>
      </w:r>
      <w:r w:rsidRPr="004C792A">
        <w:rPr>
          <w:lang w:val="es-ES"/>
        </w:rPr>
        <w:t>Por ejemplo, este requisito se incumple cuando “</w:t>
      </w:r>
      <w:r w:rsidRPr="004C792A">
        <w:t>se indica que un enunciado limita un derecho a pesar de que la disposición únicamente regula un aspecto adjetivo del mismo (C-088 de 2014); […] la acusación se apoya en una inferencia del demandante acerca de</w:t>
      </w:r>
      <w:r w:rsidRPr="004C792A">
        <w:t xml:space="preserve"> los efectos que a lo largo del tiempo ha tenido una disposición (C-087 de 2018); se plantea una interpretación aislada de la expresión acusada que no tiene en cuenta el contexto normativo en el que se inserta (C-231 de 2016); […] se asigna a una expresión</w:t>
      </w:r>
      <w:r w:rsidRPr="004C792A">
        <w:t xml:space="preserve"> indeterminada consecuencias jurídicas que no se siguen de ella, sino que tienen origen en otras disposiciones (C-710 de 2012); […]”. </w:t>
      </w:r>
      <w:r w:rsidRPr="004C792A">
        <w:rPr>
          <w:i/>
          <w:iCs/>
        </w:rPr>
        <w:t xml:space="preserve">Cfr. </w:t>
      </w:r>
      <w:r w:rsidRPr="004C792A">
        <w:t>Corte Constitucional, Sentencia C-292 de 2019.</w:t>
      </w:r>
    </w:p>
  </w:footnote>
  <w:footnote w:id="34">
    <w:p w:rsidR="00930F15" w:rsidRPr="004C792A" w:rsidRDefault="00113298" w:rsidP="00930F15">
      <w:pPr>
        <w:pStyle w:val="Textonotapie"/>
        <w:jc w:val="both"/>
      </w:pPr>
      <w:r w:rsidRPr="004C792A">
        <w:rPr>
          <w:vertAlign w:val="superscript"/>
        </w:rPr>
        <w:footnoteRef/>
      </w:r>
      <w:r w:rsidRPr="004C792A">
        <w:t xml:space="preserve"> Corte Constitucional, Sentencia C-1052 de 2001, reiterada en las sen</w:t>
      </w:r>
      <w:r w:rsidRPr="004C792A">
        <w:t>tencias C-247 de 2017, C-002 de 2018, C-087 de 2018 y C-221 de 2019.</w:t>
      </w:r>
    </w:p>
  </w:footnote>
  <w:footnote w:id="35">
    <w:p w:rsidR="00930F15" w:rsidRPr="004C792A" w:rsidRDefault="00113298" w:rsidP="00930F15">
      <w:pPr>
        <w:pStyle w:val="Textonotapie"/>
        <w:jc w:val="both"/>
      </w:pPr>
      <w:r w:rsidRPr="004C792A">
        <w:rPr>
          <w:vertAlign w:val="superscript"/>
        </w:rPr>
        <w:footnoteRef/>
      </w:r>
      <w:r w:rsidRPr="004C792A">
        <w:t xml:space="preserve"> Ib.</w:t>
      </w:r>
    </w:p>
  </w:footnote>
  <w:footnote w:id="36">
    <w:p w:rsidR="00930F15" w:rsidRPr="004C792A" w:rsidRDefault="00113298" w:rsidP="00930F15">
      <w:pPr>
        <w:pStyle w:val="Textonotapie"/>
        <w:jc w:val="both"/>
      </w:pPr>
      <w:r w:rsidRPr="004C792A">
        <w:rPr>
          <w:rStyle w:val="Refdenotaalpie"/>
        </w:rPr>
        <w:footnoteRef/>
      </w:r>
      <w:r w:rsidRPr="004C792A">
        <w:t xml:space="preserve"> En Sentencia C-292 de 2019, la Corte Constitucional señaló que, por ejemplo, este requisito se incumple cuando “(a) el lenguaje de la demanda es incomprensible por razones semánti</w:t>
      </w:r>
      <w:r w:rsidRPr="004C792A">
        <w:t>cas o sintácticas; (b) los argumentos presentados son circulares o contradictorios; o (c) no es posible identificar exactamente el alcance o el sentido de lo pretendido”.</w:t>
      </w:r>
    </w:p>
  </w:footnote>
  <w:footnote w:id="37">
    <w:p w:rsidR="00930F15" w:rsidRPr="004C792A" w:rsidRDefault="00113298" w:rsidP="00930F15">
      <w:pPr>
        <w:pStyle w:val="Textonotapie"/>
        <w:jc w:val="both"/>
      </w:pPr>
      <w:r w:rsidRPr="004C792A">
        <w:rPr>
          <w:vertAlign w:val="superscript"/>
        </w:rPr>
        <w:footnoteRef/>
      </w:r>
      <w:r w:rsidRPr="004C792A">
        <w:t xml:space="preserve"> Corte Constitucional, Sentencia C-551 de 2019. </w:t>
      </w:r>
    </w:p>
  </w:footnote>
  <w:footnote w:id="38">
    <w:p w:rsidR="00930F15" w:rsidRPr="004C792A" w:rsidRDefault="00113298" w:rsidP="00930F15">
      <w:pPr>
        <w:pStyle w:val="Textonotapie"/>
        <w:jc w:val="both"/>
      </w:pPr>
      <w:r w:rsidRPr="004C792A">
        <w:rPr>
          <w:vertAlign w:val="superscript"/>
        </w:rPr>
        <w:footnoteRef/>
      </w:r>
      <w:r w:rsidRPr="004C792A">
        <w:t xml:space="preserve"> Corte Constitucional, Sentencia C</w:t>
      </w:r>
      <w:r w:rsidRPr="004C792A">
        <w:t>-1052 de 2001.</w:t>
      </w:r>
    </w:p>
  </w:footnote>
  <w:footnote w:id="39">
    <w:p w:rsidR="00930F15" w:rsidRPr="004C792A" w:rsidRDefault="00113298" w:rsidP="00930F15">
      <w:pPr>
        <w:pStyle w:val="Textonotapie"/>
        <w:jc w:val="both"/>
      </w:pPr>
      <w:r w:rsidRPr="004C792A">
        <w:rPr>
          <w:vertAlign w:val="superscript"/>
        </w:rPr>
        <w:footnoteRef/>
      </w:r>
      <w:r w:rsidRPr="004C792A">
        <w:t xml:space="preserve"> Corte Constitucional, Sentencia C-1052 de 2001, reiterada en las sentencias C-247 de 2017, C-002 de 2018, C-087 de 2018 y C-221 de 2019.</w:t>
      </w:r>
    </w:p>
  </w:footnote>
  <w:footnote w:id="40">
    <w:p w:rsidR="00930F15" w:rsidRPr="004C792A" w:rsidRDefault="00113298" w:rsidP="00930F15">
      <w:pPr>
        <w:pStyle w:val="Textonotapie"/>
        <w:jc w:val="both"/>
        <w:rPr>
          <w:lang w:val="es-ES"/>
        </w:rPr>
      </w:pPr>
      <w:r w:rsidRPr="004C792A">
        <w:rPr>
          <w:rStyle w:val="Refdenotaalpie"/>
        </w:rPr>
        <w:footnoteRef/>
      </w:r>
      <w:r w:rsidRPr="004C792A">
        <w:t xml:space="preserve"> </w:t>
      </w:r>
      <w:r w:rsidRPr="004C792A">
        <w:rPr>
          <w:lang w:val="es-ES"/>
        </w:rPr>
        <w:t xml:space="preserve">No cumplen el requisito de especificidad los argumentos </w:t>
      </w:r>
      <w:r w:rsidRPr="004C792A">
        <w:t>“vagos, indeterminados, indirectos, abstract</w:t>
      </w:r>
      <w:r w:rsidRPr="004C792A">
        <w:t xml:space="preserve">os y globales […] que no se relacionan concreta y directamente con las disposiciones que se acusan”. </w:t>
      </w:r>
      <w:r w:rsidRPr="004C792A">
        <w:rPr>
          <w:i/>
          <w:iCs/>
        </w:rPr>
        <w:t xml:space="preserve">Cfr. </w:t>
      </w:r>
      <w:r w:rsidRPr="004C792A">
        <w:t>Corte Constitucional, Sentencia C-1052 de 2001.</w:t>
      </w:r>
    </w:p>
  </w:footnote>
  <w:footnote w:id="41">
    <w:p w:rsidR="00930F15" w:rsidRPr="004C792A" w:rsidRDefault="00113298" w:rsidP="00930F15">
      <w:pPr>
        <w:pStyle w:val="Textonotapie"/>
        <w:jc w:val="both"/>
      </w:pPr>
      <w:r w:rsidRPr="004C792A">
        <w:rPr>
          <w:vertAlign w:val="superscript"/>
        </w:rPr>
        <w:footnoteRef/>
      </w:r>
      <w:r w:rsidRPr="004C792A">
        <w:t xml:space="preserve"> Corte Constitucional, Sentencia C-1052 de 2001, reiterada en las sentencias C-247 de 2017, C-002 de </w:t>
      </w:r>
      <w:r w:rsidRPr="004C792A">
        <w:t>2018, C-087 de 2018 y C-221 de 2019.</w:t>
      </w:r>
    </w:p>
  </w:footnote>
  <w:footnote w:id="42">
    <w:p w:rsidR="00930F15" w:rsidRPr="004C792A" w:rsidRDefault="00113298" w:rsidP="00930F15">
      <w:pPr>
        <w:pStyle w:val="Textonotapie"/>
        <w:jc w:val="both"/>
        <w:rPr>
          <w:lang w:val="es-ES"/>
        </w:rPr>
      </w:pPr>
      <w:r w:rsidRPr="004C792A">
        <w:rPr>
          <w:rStyle w:val="Refdenotaalpie"/>
        </w:rPr>
        <w:footnoteRef/>
      </w:r>
      <w:r w:rsidRPr="004C792A">
        <w:t xml:space="preserve"> De acuerdo con la jurisprudencia constitucional, carecen de pertinencia las “acusaciones que se fundamenten (i) en el provecho o utilidad que una norma puede traer (C-1059 de 2008); (ii) en la oposición de la norma co</w:t>
      </w:r>
      <w:r w:rsidRPr="004C792A">
        <w:t>n disposiciones que no puedan ser parámetro de control (C-1059 de 2008); (iii) en las consecuencias que una medida puede tener en el desfinanciamiento de otras inversiones del Estado (C-1059 de 2008); o (iv) en la aplicación de una norma por parte de una a</w:t>
      </w:r>
      <w:r w:rsidRPr="004C792A">
        <w:t xml:space="preserve">utoridad administrativa a situaciones específicas (C-987 de 2005)”. </w:t>
      </w:r>
      <w:r w:rsidRPr="004C792A">
        <w:rPr>
          <w:i/>
          <w:iCs/>
        </w:rPr>
        <w:t xml:space="preserve">Cfr. </w:t>
      </w:r>
      <w:r w:rsidRPr="004C792A">
        <w:t>Corte Constitucional, Sentencia C-292 de 2019.</w:t>
      </w:r>
    </w:p>
  </w:footnote>
  <w:footnote w:id="43">
    <w:p w:rsidR="00930F15" w:rsidRPr="004C792A" w:rsidRDefault="00113298" w:rsidP="00930F15">
      <w:pPr>
        <w:pStyle w:val="Textonotapie"/>
        <w:jc w:val="both"/>
      </w:pPr>
      <w:r w:rsidRPr="004C792A">
        <w:rPr>
          <w:vertAlign w:val="superscript"/>
        </w:rPr>
        <w:footnoteRef/>
      </w:r>
      <w:r w:rsidRPr="004C792A">
        <w:t xml:space="preserve"> Corte Constitucional, Sentencia C-1052 de 2001, reiterada en las sentencias C-247 de 2017, C-002 de 2018, C-087 de 2018 y C-221 de 201</w:t>
      </w:r>
      <w:r w:rsidRPr="004C792A">
        <w:t>9.</w:t>
      </w:r>
    </w:p>
  </w:footnote>
  <w:footnote w:id="44">
    <w:p w:rsidR="00930F15" w:rsidRPr="004C792A" w:rsidRDefault="00113298" w:rsidP="00930F15">
      <w:pPr>
        <w:pStyle w:val="Textonotapie"/>
        <w:jc w:val="both"/>
      </w:pPr>
      <w:r w:rsidRPr="004C792A">
        <w:rPr>
          <w:vertAlign w:val="superscript"/>
        </w:rPr>
        <w:footnoteRef/>
      </w:r>
      <w:r w:rsidRPr="004C792A">
        <w:t xml:space="preserve"> Corte Constitucional, Sentencia C-049 de 2020. </w:t>
      </w:r>
    </w:p>
  </w:footnote>
  <w:footnote w:id="45">
    <w:p w:rsidR="00930F15" w:rsidRPr="004C792A" w:rsidRDefault="00113298" w:rsidP="00930F15">
      <w:pPr>
        <w:pStyle w:val="Textonotapie"/>
        <w:jc w:val="both"/>
      </w:pPr>
      <w:r w:rsidRPr="004C792A">
        <w:rPr>
          <w:vertAlign w:val="superscript"/>
        </w:rPr>
        <w:footnoteRef/>
      </w:r>
      <w:r w:rsidRPr="004C792A">
        <w:t xml:space="preserve"> Corte Constitucional, Sentencia C-1052 de 2001, reiterada en las sentencias C-247 de 2017, C-002 de 2018, C-087 de 2018 y C-221 de 2019.</w:t>
      </w:r>
    </w:p>
  </w:footnote>
  <w:footnote w:id="46">
    <w:p w:rsidR="00930F15" w:rsidRPr="004C792A" w:rsidRDefault="00113298" w:rsidP="00930F15">
      <w:pPr>
        <w:pStyle w:val="Textonotapie"/>
        <w:jc w:val="both"/>
      </w:pPr>
      <w:r w:rsidRPr="004C792A">
        <w:rPr>
          <w:vertAlign w:val="superscript"/>
        </w:rPr>
        <w:footnoteRef/>
      </w:r>
      <w:r w:rsidRPr="004C792A">
        <w:t xml:space="preserve"> Ib.</w:t>
      </w:r>
    </w:p>
  </w:footnote>
  <w:footnote w:id="47">
    <w:p w:rsidR="00930F15" w:rsidRPr="004C792A" w:rsidRDefault="00113298" w:rsidP="00930F15">
      <w:pPr>
        <w:pStyle w:val="Textonotapie"/>
        <w:jc w:val="both"/>
      </w:pPr>
      <w:r w:rsidRPr="004C792A">
        <w:rPr>
          <w:vertAlign w:val="superscript"/>
        </w:rPr>
        <w:footnoteRef/>
      </w:r>
      <w:r w:rsidRPr="004C792A">
        <w:t xml:space="preserve"> Corte Constitucional, Sentencia C-551 de 2019. </w:t>
      </w:r>
    </w:p>
  </w:footnote>
  <w:footnote w:id="48">
    <w:p w:rsidR="00930F15" w:rsidRPr="001B7504" w:rsidRDefault="00113298" w:rsidP="00930F15">
      <w:pPr>
        <w:pStyle w:val="Textonotapie"/>
      </w:pPr>
      <w:r>
        <w:rPr>
          <w:rStyle w:val="Refdenotaalpie"/>
        </w:rPr>
        <w:footnoteRef/>
      </w:r>
      <w:r>
        <w:t xml:space="preserve"> Corte Constitucional, sentencias C-35</w:t>
      </w:r>
      <w:r>
        <w:t>2</w:t>
      </w:r>
      <w:r>
        <w:t xml:space="preserve"> de 2017, C-163 de 2023, C-258 de 2023 y C-568 de 2023.</w:t>
      </w:r>
    </w:p>
  </w:footnote>
  <w:footnote w:id="49">
    <w:p w:rsidR="00930F15" w:rsidRPr="00604781" w:rsidRDefault="00113298" w:rsidP="00930F15">
      <w:pPr>
        <w:pStyle w:val="Textonotapie"/>
        <w:contextualSpacing/>
        <w:jc w:val="both"/>
      </w:pPr>
      <w:r w:rsidRPr="00604781">
        <w:rPr>
          <w:rStyle w:val="Refdenotaalpie"/>
        </w:rPr>
        <w:footnoteRef/>
      </w:r>
      <w:r w:rsidRPr="00604781">
        <w:t xml:space="preserve"> La Corte ha precisado que el análisis de aptitud de la demanda es pertinente también al momento de resolver el fondo de la cuestión, “a pesar de que la acción </w:t>
      </w:r>
      <w:r w:rsidRPr="00604781">
        <w:t xml:space="preserve">de inconstitucionalidad hubiera sido admitida, toda vez que dicha providencia constituye apenas el estudio inicial de la argumentación expuesta en la demanda, la cual una vez ha cumplido las diferentes etapas procesales como la de intervención ciudadana y </w:t>
      </w:r>
      <w:r w:rsidRPr="00604781">
        <w:t>emitido el concepto del Procurador General de la Nación, permite a la Corte disponer de mayores elementos de juicio, que una vez valorados integralmente podrían llevar a una decisión inhibitoria por ineptitud sustancial de la demanda, la cual no hace tráns</w:t>
      </w:r>
      <w:r w:rsidRPr="00604781">
        <w:t xml:space="preserve">ito a cosa juzgada constitucional”. Sentencia C-542 de 2017. En ese mismo sentido, C-050 de 2021 y C-415 de 2022. </w:t>
      </w:r>
    </w:p>
  </w:footnote>
  <w:footnote w:id="50">
    <w:p w:rsidR="00930F15" w:rsidRPr="004C792A" w:rsidRDefault="00113298" w:rsidP="00930F15">
      <w:pPr>
        <w:pStyle w:val="Textonotapie"/>
        <w:jc w:val="both"/>
        <w:rPr>
          <w:lang w:val="es-ES"/>
        </w:rPr>
      </w:pPr>
      <w:r w:rsidRPr="004C792A">
        <w:rPr>
          <w:rStyle w:val="Refdenotaalpie"/>
        </w:rPr>
        <w:footnoteRef/>
      </w:r>
      <w:r w:rsidRPr="004C792A">
        <w:t xml:space="preserve"> Corte Constitucional, Sentencia C-048 de 2004.</w:t>
      </w:r>
    </w:p>
  </w:footnote>
  <w:footnote w:id="51">
    <w:p w:rsidR="00930F15" w:rsidRPr="004C792A" w:rsidRDefault="00113298" w:rsidP="00930F15">
      <w:pPr>
        <w:pStyle w:val="Textonotapie"/>
        <w:jc w:val="both"/>
        <w:rPr>
          <w:lang w:val="es-ES"/>
        </w:rPr>
      </w:pPr>
      <w:r w:rsidRPr="004C792A">
        <w:rPr>
          <w:rStyle w:val="Refdenotaalpie"/>
        </w:rPr>
        <w:footnoteRef/>
      </w:r>
      <w:r w:rsidRPr="004C792A">
        <w:t xml:space="preserve"> Corte Constitucional, sentencias C-085 de 2018 y C-112 de 2019, entre otras.</w:t>
      </w:r>
    </w:p>
  </w:footnote>
  <w:footnote w:id="52">
    <w:p w:rsidR="00551699" w:rsidRPr="00551699" w:rsidRDefault="00113298">
      <w:pPr>
        <w:pStyle w:val="Textonotapie"/>
        <w:rPr>
          <w:lang w:val="es-ES"/>
        </w:rPr>
      </w:pPr>
      <w:r>
        <w:rPr>
          <w:rStyle w:val="Refdenotaalpie"/>
        </w:rPr>
        <w:footnoteRef/>
      </w:r>
      <w:r>
        <w:t xml:space="preserve"> </w:t>
      </w:r>
      <w:r>
        <w:rPr>
          <w:lang w:val="es-ES"/>
        </w:rPr>
        <w:t xml:space="preserve">Expediente </w:t>
      </w:r>
      <w:r>
        <w:rPr>
          <w:lang w:val="es-ES"/>
        </w:rPr>
        <w:t>digital, archivo “</w:t>
      </w:r>
      <w:r w:rsidRPr="00FE0E3F">
        <w:t>D0016296-Presentación Demanda-(2024-11-12 14-44-29).pdf</w:t>
      </w:r>
      <w:r>
        <w:t>”, p. 30.</w:t>
      </w:r>
    </w:p>
  </w:footnote>
  <w:footnote w:id="53">
    <w:p w:rsidR="006A22C5" w:rsidRPr="006A22C5" w:rsidRDefault="00113298">
      <w:pPr>
        <w:pStyle w:val="Textonotapie"/>
      </w:pPr>
      <w:r>
        <w:rPr>
          <w:rStyle w:val="Refdenotaalpie"/>
        </w:rPr>
        <w:footnoteRef/>
      </w:r>
      <w:r>
        <w:t xml:space="preserve"> Ib., p. 31.</w:t>
      </w:r>
    </w:p>
  </w:footnote>
  <w:footnote w:id="54">
    <w:p w:rsidR="006A22C5" w:rsidRPr="006A22C5" w:rsidRDefault="00113298">
      <w:pPr>
        <w:pStyle w:val="Textonotapie"/>
        <w:rPr>
          <w:lang w:val="es-ES_tradnl"/>
        </w:rPr>
      </w:pPr>
      <w:r>
        <w:rPr>
          <w:rStyle w:val="Refdenotaalpie"/>
        </w:rPr>
        <w:footnoteRef/>
      </w:r>
      <w:r>
        <w:t xml:space="preserve"> </w:t>
      </w:r>
      <w:r>
        <w:rPr>
          <w:lang w:val="es-ES_tradnl"/>
        </w:rPr>
        <w:t>Ib.</w:t>
      </w:r>
    </w:p>
  </w:footnote>
  <w:footnote w:id="55">
    <w:p w:rsidR="006A22C5" w:rsidRPr="006A22C5" w:rsidRDefault="00113298">
      <w:pPr>
        <w:pStyle w:val="Textonotapie"/>
      </w:pPr>
      <w:r>
        <w:rPr>
          <w:rStyle w:val="Refdenotaalpie"/>
        </w:rPr>
        <w:footnoteRef/>
      </w:r>
      <w:r>
        <w:t xml:space="preserve"> Ib., p. 33.</w:t>
      </w:r>
    </w:p>
  </w:footnote>
  <w:footnote w:id="56">
    <w:p w:rsidR="00EF1A51" w:rsidRPr="00EF1A51" w:rsidRDefault="00113298">
      <w:pPr>
        <w:pStyle w:val="Textonotapie"/>
      </w:pPr>
      <w:r>
        <w:rPr>
          <w:rStyle w:val="Refdenotaalpie"/>
        </w:rPr>
        <w:footnoteRef/>
      </w:r>
      <w:r>
        <w:t xml:space="preserve"> Ib., p. 36.</w:t>
      </w:r>
    </w:p>
  </w:footnote>
  <w:footnote w:id="57">
    <w:p w:rsidR="00EF1A51" w:rsidRPr="00EF1A51" w:rsidRDefault="00113298">
      <w:pPr>
        <w:pStyle w:val="Textonotapie"/>
      </w:pPr>
      <w:r>
        <w:rPr>
          <w:rStyle w:val="Refdenotaalpie"/>
        </w:rPr>
        <w:footnoteRef/>
      </w:r>
      <w:r>
        <w:t xml:space="preserve"> Ib., pp. 55 y 56.</w:t>
      </w:r>
    </w:p>
  </w:footnote>
  <w:footnote w:id="58">
    <w:p w:rsidR="0019694F" w:rsidRPr="0019694F" w:rsidRDefault="00113298">
      <w:pPr>
        <w:pStyle w:val="Textonotapie"/>
      </w:pPr>
      <w:r>
        <w:rPr>
          <w:rStyle w:val="Refdenotaalpie"/>
        </w:rPr>
        <w:footnoteRef/>
      </w:r>
      <w:r>
        <w:t xml:space="preserve"> Ib., p</w:t>
      </w:r>
      <w:r>
        <w:t>. 55</w:t>
      </w:r>
    </w:p>
  </w:footnote>
  <w:footnote w:id="59">
    <w:p w:rsidR="00930F15" w:rsidRPr="00693AA8" w:rsidRDefault="00113298" w:rsidP="00930F15">
      <w:pPr>
        <w:pStyle w:val="Textonotapie"/>
        <w:jc w:val="both"/>
      </w:pPr>
      <w:r>
        <w:rPr>
          <w:rStyle w:val="Refdenotaalpie"/>
        </w:rPr>
        <w:footnoteRef/>
      </w:r>
      <w:r>
        <w:t xml:space="preserve"> Artículo 3 común: “</w:t>
      </w:r>
      <w:r w:rsidRPr="00693AA8">
        <w:t xml:space="preserve">En caso de conflicto armado que no sea de índole internacional y que </w:t>
      </w:r>
      <w:r w:rsidRPr="00693AA8">
        <w:t>surja en el territorio de una de las Altas Partes Contratantes cada una de las Partes en conflicto tendrá la obligación de aplicar, como mínimo, las siguientes disposiciones: 1) Las personas que no participen directamente en las hostilidades, incluidos los</w:t>
      </w:r>
      <w:r w:rsidRPr="00693AA8">
        <w:t xml:space="preserve"> miembros de las fuerzas armadas que hayan depuesto las armas y las personas puestas fuera de combate por enfermedad, herida, detención o por cualquier otra causa, serán, en todas las circunstancias, tratadas con humanidad, sin distinción alguna de índole </w:t>
      </w:r>
      <w:r w:rsidRPr="00693AA8">
        <w:t>desfavorable basada en la raza, el color, la religión o la creencia, el sexo, el nacimiento o la fortuna o cualquier otro criterio análogo. A este respecto, se prohíben, en cualquier tiempo y lugar, por lo que atañe a las personas arriba mencionadas: a) lo</w:t>
      </w:r>
      <w:r w:rsidRPr="00693AA8">
        <w:t>s atentados contra la vida y la integridad corporal, especialmente el homicidio en todas sus formas, las mutilaciones, los tratos crueles, la tortura y los suplicios; b) la toma de rehenes; c) los atentados contra la dignidad personal, especialmente los tr</w:t>
      </w:r>
      <w:r w:rsidRPr="00693AA8">
        <w:t>atos humillantes y degradantes; d) las condenas dictadas y las ejecuciones sin previo juicio ante un tribunal legítimamente constituido, con garantías judiciales reconocidas como indispensables por los pueblos civilizados</w:t>
      </w:r>
      <w:r>
        <w:t xml:space="preserve"> […]”.</w:t>
      </w:r>
    </w:p>
  </w:footnote>
  <w:footnote w:id="60">
    <w:p w:rsidR="00930F15" w:rsidRPr="00477BFB" w:rsidRDefault="00113298" w:rsidP="00930F15">
      <w:pPr>
        <w:pStyle w:val="Textonotapie"/>
        <w:rPr>
          <w:lang w:val="es-ES"/>
        </w:rPr>
      </w:pPr>
      <w:r>
        <w:rPr>
          <w:rStyle w:val="Refdenotaalpie"/>
        </w:rPr>
        <w:footnoteRef/>
      </w:r>
      <w:r>
        <w:t xml:space="preserve"> </w:t>
      </w:r>
      <w:r>
        <w:rPr>
          <w:lang w:val="es-ES"/>
        </w:rPr>
        <w:t>Expediente digital, archiv</w:t>
      </w:r>
      <w:r>
        <w:rPr>
          <w:lang w:val="es-ES"/>
        </w:rPr>
        <w:t>o “</w:t>
      </w:r>
      <w:r w:rsidRPr="00FE0E3F">
        <w:t>D0016296-Presentación Demanda-(2024-11-12 14-44-29).pdf</w:t>
      </w:r>
      <w:r>
        <w:t>”, p. 24.</w:t>
      </w:r>
    </w:p>
  </w:footnote>
  <w:footnote w:id="61">
    <w:p w:rsidR="00930F15" w:rsidRPr="005F3D83" w:rsidRDefault="00113298" w:rsidP="00930F15">
      <w:pPr>
        <w:pStyle w:val="Textonotapie"/>
      </w:pPr>
      <w:r>
        <w:rPr>
          <w:rStyle w:val="Refdenotaalpie"/>
        </w:rPr>
        <w:footnoteRef/>
      </w:r>
      <w:r>
        <w:t xml:space="preserve"> Ib., pp. 27-28. </w:t>
      </w:r>
    </w:p>
  </w:footnote>
  <w:footnote w:id="62">
    <w:p w:rsidR="00930F15" w:rsidRPr="009C74DB" w:rsidRDefault="00113298" w:rsidP="00930F15">
      <w:pPr>
        <w:pStyle w:val="Textonotapie"/>
      </w:pPr>
      <w:r>
        <w:rPr>
          <w:rStyle w:val="Refdenotaalpie"/>
        </w:rPr>
        <w:footnoteRef/>
      </w:r>
      <w:r>
        <w:t xml:space="preserve"> Ib., p. 43.</w:t>
      </w:r>
    </w:p>
  </w:footnote>
  <w:footnote w:id="63">
    <w:p w:rsidR="00930F15" w:rsidRPr="00E62144" w:rsidRDefault="00113298" w:rsidP="00930F15">
      <w:pPr>
        <w:pStyle w:val="Textonotapie"/>
        <w:rPr>
          <w:lang w:val="es-ES"/>
        </w:rPr>
      </w:pPr>
      <w:r>
        <w:rPr>
          <w:rStyle w:val="Refdenotaalpie"/>
        </w:rPr>
        <w:footnoteRef/>
      </w:r>
      <w:r>
        <w:t xml:space="preserve"> </w:t>
      </w:r>
      <w:r>
        <w:rPr>
          <w:lang w:val="es-ES"/>
        </w:rPr>
        <w:t>“Por la cual se expide el Código Penal”.</w:t>
      </w:r>
    </w:p>
  </w:footnote>
  <w:footnote w:id="64">
    <w:p w:rsidR="009709A3" w:rsidRPr="008678E3" w:rsidRDefault="00113298" w:rsidP="009709A3">
      <w:pPr>
        <w:pStyle w:val="Textonotapie"/>
        <w:rPr>
          <w:lang w:val="es-ES"/>
        </w:rPr>
      </w:pPr>
      <w:r>
        <w:rPr>
          <w:rStyle w:val="Refdenotaalpie"/>
        </w:rPr>
        <w:footnoteRef/>
      </w:r>
      <w:r>
        <w:t xml:space="preserve"> Corte Constitucional, Sentencia C-030 de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B30B6"/>
    <w:multiLevelType w:val="hybridMultilevel"/>
    <w:tmpl w:val="079892F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79C2064"/>
    <w:multiLevelType w:val="hybridMultilevel"/>
    <w:tmpl w:val="2E643D3A"/>
    <w:lvl w:ilvl="0" w:tplc="2C120D76">
      <w:start w:val="1"/>
      <w:numFmt w:val="decimal"/>
      <w:lvlText w:val="%1."/>
      <w:lvlJc w:val="left"/>
      <w:pPr>
        <w:ind w:left="360" w:hanging="360"/>
      </w:pPr>
      <w:rPr>
        <w:rFonts w:cs="Times New Roman" w:hint="default"/>
        <w:b w:val="0"/>
        <w:bCs/>
        <w:i w:val="0"/>
        <w:iCs/>
        <w:color w:val="000000" w:themeColor="text1"/>
        <w:sz w:val="28"/>
        <w:szCs w:val="28"/>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 w15:restartNumberingAfterBreak="0">
    <w:nsid w:val="4CAF2209"/>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2EB4025"/>
    <w:multiLevelType w:val="hybridMultilevel"/>
    <w:tmpl w:val="221AB89A"/>
    <w:lvl w:ilvl="0" w:tplc="6CC07E24">
      <w:start w:val="1"/>
      <w:numFmt w:val="decimal"/>
      <w:suff w:val="space"/>
      <w:lvlText w:val="%1."/>
      <w:lvlJc w:val="left"/>
      <w:pPr>
        <w:ind w:left="0" w:firstLine="0"/>
      </w:pPr>
      <w:rPr>
        <w:rFonts w:eastAsia="Times New Roman" w:hint="default"/>
        <w:b w:val="0"/>
        <w:i w:val="0"/>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997D52"/>
    <w:multiLevelType w:val="multilevel"/>
    <w:tmpl w:val="2708D8B4"/>
    <w:lvl w:ilvl="0">
      <w:start w:val="1"/>
      <w:numFmt w:val="decimal"/>
      <w:lvlText w:val="%1."/>
      <w:lvlJc w:val="left"/>
      <w:pPr>
        <w:ind w:left="360" w:hanging="360"/>
      </w:pPr>
      <w:rPr>
        <w:rFonts w:cs="Times New Roman" w:hint="default"/>
        <w:b/>
        <w:sz w:val="28"/>
        <w:szCs w:val="28"/>
      </w:rPr>
    </w:lvl>
    <w:lvl w:ilvl="1">
      <w:start w:val="1"/>
      <w:numFmt w:val="decimal"/>
      <w:lvlText w:val="%1.%2."/>
      <w:lvlJc w:val="left"/>
      <w:pPr>
        <w:ind w:left="792" w:hanging="432"/>
      </w:pPr>
      <w:rPr>
        <w:rFonts w:cs="Times New Roman"/>
        <w:b/>
        <w:i w:val="0"/>
        <w:iCs/>
      </w:rPr>
    </w:lvl>
    <w:lvl w:ilvl="2">
      <w:start w:val="1"/>
      <w:numFmt w:val="decimal"/>
      <w:lvlText w:val="%1.%2.%3."/>
      <w:lvlJc w:val="left"/>
      <w:pPr>
        <w:ind w:left="1224" w:hanging="504"/>
      </w:pPr>
      <w:rPr>
        <w:rFonts w:cs="Times New Roman"/>
        <w:b/>
        <w:bCs/>
        <w:i w:val="0"/>
        <w:iCs/>
      </w:rPr>
    </w:lvl>
    <w:lvl w:ilvl="3">
      <w:start w:val="1"/>
      <w:numFmt w:val="decimal"/>
      <w:lvlText w:val="%1.%2.%3.%4."/>
      <w:lvlJc w:val="left"/>
      <w:pPr>
        <w:ind w:left="1728" w:hanging="648"/>
      </w:pPr>
      <w:rPr>
        <w:rFonts w:cs="Times New Roman"/>
        <w:b/>
        <w:sz w:val="28"/>
        <w:szCs w:val="28"/>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7D5F669B"/>
    <w:multiLevelType w:val="hybridMultilevel"/>
    <w:tmpl w:val="74C06022"/>
    <w:lvl w:ilvl="0" w:tplc="EE7EF96E">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BD2B84"/>
    <w:rsid w:val="00113298"/>
    <w:rsid w:val="00BD2B84"/>
    <w:rsid w:val="00C20A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D9B86DE-6BA5-47F4-897D-8A68B8DC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D435A6"/>
    <w:pPr>
      <w:autoSpaceDE w:val="0"/>
      <w:autoSpaceDN w:val="0"/>
      <w:adjustRightInd w:val="0"/>
      <w:ind w:left="40"/>
      <w:outlineLvl w:val="0"/>
    </w:pPr>
    <w:rPr>
      <w:rFonts w:ascii="Times New Roman" w:hAnsi="Times New Roman" w:cs="Times New Roman"/>
      <w:b/>
      <w:bCs/>
      <w:sz w:val="28"/>
      <w:szCs w:val="28"/>
      <w:lang w:val="es-ES_tradnl"/>
    </w:rPr>
  </w:style>
  <w:style w:type="paragraph" w:styleId="Ttulo3">
    <w:name w:val="heading 3"/>
    <w:basedOn w:val="Normal"/>
    <w:next w:val="Normal"/>
    <w:link w:val="Ttulo3Car"/>
    <w:uiPriority w:val="9"/>
    <w:unhideWhenUsed/>
    <w:qFormat/>
    <w:rsid w:val="00C15700"/>
    <w:pPr>
      <w:keepNext/>
      <w:spacing w:before="60"/>
      <w:mirrorIndents/>
      <w:jc w:val="center"/>
      <w:outlineLvl w:val="2"/>
    </w:pPr>
    <w:rPr>
      <w:rFonts w:ascii="Times New Roman" w:eastAsia="Times New Roman" w:hAnsi="Times New Roman" w:cs="Times New Roman"/>
      <w:b/>
      <w:sz w:val="32"/>
      <w:szCs w:val="20"/>
      <w:lang w:val="es-MX"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2B21"/>
    <w:pPr>
      <w:tabs>
        <w:tab w:val="center" w:pos="4252"/>
        <w:tab w:val="right" w:pos="8504"/>
      </w:tabs>
    </w:pPr>
  </w:style>
  <w:style w:type="character" w:customStyle="1" w:styleId="EncabezadoCar">
    <w:name w:val="Encabezado Car"/>
    <w:basedOn w:val="Fuentedeprrafopredeter"/>
    <w:link w:val="Encabezado"/>
    <w:uiPriority w:val="99"/>
    <w:rsid w:val="00482B21"/>
  </w:style>
  <w:style w:type="paragraph" w:styleId="Piedepgina">
    <w:name w:val="footer"/>
    <w:basedOn w:val="Normal"/>
    <w:link w:val="PiedepginaCar"/>
    <w:uiPriority w:val="99"/>
    <w:unhideWhenUsed/>
    <w:rsid w:val="00482B21"/>
    <w:pPr>
      <w:tabs>
        <w:tab w:val="center" w:pos="4252"/>
        <w:tab w:val="right" w:pos="8504"/>
      </w:tabs>
    </w:pPr>
  </w:style>
  <w:style w:type="character" w:customStyle="1" w:styleId="PiedepginaCar">
    <w:name w:val="Pie de página Car"/>
    <w:basedOn w:val="Fuentedeprrafopredeter"/>
    <w:link w:val="Piedepgina"/>
    <w:uiPriority w:val="99"/>
    <w:rsid w:val="00482B21"/>
  </w:style>
  <w:style w:type="paragraph" w:styleId="Sinespaciado">
    <w:name w:val="No Spacing"/>
    <w:uiPriority w:val="1"/>
    <w:qFormat/>
    <w:rsid w:val="00DF78E3"/>
  </w:style>
  <w:style w:type="character" w:customStyle="1" w:styleId="Ttulo1Car">
    <w:name w:val="Título 1 Car"/>
    <w:basedOn w:val="Fuentedeprrafopredeter"/>
    <w:link w:val="Ttulo1"/>
    <w:uiPriority w:val="1"/>
    <w:rsid w:val="00D435A6"/>
    <w:rPr>
      <w:rFonts w:ascii="Times New Roman" w:hAnsi="Times New Roman" w:cs="Times New Roman"/>
      <w:b/>
      <w:bCs/>
      <w:sz w:val="28"/>
      <w:szCs w:val="28"/>
      <w:lang w:val="es-ES_tradnl"/>
    </w:rPr>
  </w:style>
  <w:style w:type="paragraph" w:styleId="Textoindependiente">
    <w:name w:val="Body Text"/>
    <w:basedOn w:val="Normal"/>
    <w:link w:val="TextoindependienteCar"/>
    <w:uiPriority w:val="1"/>
    <w:qFormat/>
    <w:rsid w:val="00D435A6"/>
    <w:pPr>
      <w:autoSpaceDE w:val="0"/>
      <w:autoSpaceDN w:val="0"/>
      <w:adjustRightInd w:val="0"/>
    </w:pPr>
    <w:rPr>
      <w:rFonts w:ascii="Times New Roman" w:hAnsi="Times New Roman" w:cs="Times New Roman"/>
      <w:sz w:val="28"/>
      <w:szCs w:val="28"/>
      <w:lang w:val="es-ES_tradnl"/>
    </w:rPr>
  </w:style>
  <w:style w:type="character" w:customStyle="1" w:styleId="TextoindependienteCar">
    <w:name w:val="Texto independiente Car"/>
    <w:basedOn w:val="Fuentedeprrafopredeter"/>
    <w:link w:val="Textoindependiente"/>
    <w:uiPriority w:val="1"/>
    <w:rsid w:val="00D435A6"/>
    <w:rPr>
      <w:rFonts w:ascii="Times New Roman" w:hAnsi="Times New Roman" w:cs="Times New Roman"/>
      <w:sz w:val="28"/>
      <w:szCs w:val="28"/>
      <w:lang w:val="es-ES_tradnl"/>
    </w:rPr>
  </w:style>
  <w:style w:type="paragraph" w:styleId="Prrafodelista">
    <w:name w:val="List Paragraph"/>
    <w:basedOn w:val="Normal"/>
    <w:link w:val="PrrafodelistaCar"/>
    <w:uiPriority w:val="1"/>
    <w:qFormat/>
    <w:rsid w:val="00D435A6"/>
    <w:pPr>
      <w:autoSpaceDE w:val="0"/>
      <w:autoSpaceDN w:val="0"/>
      <w:adjustRightInd w:val="0"/>
      <w:spacing w:before="1"/>
      <w:ind w:left="39" w:right="103"/>
      <w:jc w:val="both"/>
    </w:pPr>
    <w:rPr>
      <w:rFonts w:ascii="Times New Roman" w:hAnsi="Times New Roman" w:cs="Times New Roman"/>
      <w:lang w:val="es-ES_tradnl"/>
    </w:rPr>
  </w:style>
  <w:style w:type="character" w:styleId="Nmerodepgina">
    <w:name w:val="page number"/>
    <w:basedOn w:val="Fuentedeprrafopredeter"/>
    <w:uiPriority w:val="99"/>
    <w:semiHidden/>
    <w:unhideWhenUsed/>
    <w:rsid w:val="00AB5F3A"/>
  </w:style>
  <w:style w:type="character" w:styleId="Hipervnculo">
    <w:name w:val="Hyperlink"/>
    <w:basedOn w:val="Fuentedeprrafopredeter"/>
    <w:uiPriority w:val="99"/>
    <w:unhideWhenUsed/>
    <w:rsid w:val="004B221B"/>
    <w:rPr>
      <w:color w:val="0563C1" w:themeColor="hyperlink"/>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930F15"/>
    <w:rPr>
      <w:rFonts w:ascii="Times New Roman" w:eastAsiaTheme="minorHAnsi" w:hAnsi="Times New Roman"/>
      <w:sz w:val="20"/>
      <w:szCs w:val="20"/>
      <w:lang w:eastAsia="pt-BR"/>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930F15"/>
    <w:rPr>
      <w:rFonts w:ascii="Times New Roman" w:hAnsi="Times New Roman"/>
      <w:sz w:val="20"/>
      <w:szCs w:val="20"/>
      <w:lang w:eastAsia="pt-BR"/>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930F1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30F15"/>
    <w:pPr>
      <w:jc w:val="both"/>
    </w:pPr>
    <w:rPr>
      <w:rFonts w:eastAsiaTheme="minorHAnsi"/>
      <w:vertAlign w:val="superscript"/>
    </w:rPr>
  </w:style>
  <w:style w:type="table" w:styleId="Tablaconcuadrcula">
    <w:name w:val="Table Grid"/>
    <w:basedOn w:val="Tablanormal"/>
    <w:uiPriority w:val="39"/>
    <w:rsid w:val="00930F1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30F15"/>
    <w:rPr>
      <w:sz w:val="16"/>
      <w:szCs w:val="16"/>
    </w:rPr>
  </w:style>
  <w:style w:type="paragraph" w:styleId="Textocomentario">
    <w:name w:val="annotation text"/>
    <w:basedOn w:val="Normal"/>
    <w:link w:val="TextocomentarioCar"/>
    <w:uiPriority w:val="99"/>
    <w:unhideWhenUsed/>
    <w:rsid w:val="00930F15"/>
    <w:rPr>
      <w:rFonts w:ascii="Times New Roman" w:eastAsiaTheme="minorHAnsi" w:hAnsi="Times New Roman"/>
      <w:sz w:val="20"/>
      <w:szCs w:val="20"/>
    </w:rPr>
  </w:style>
  <w:style w:type="character" w:customStyle="1" w:styleId="TextocomentarioCar">
    <w:name w:val="Texto comentario Car"/>
    <w:basedOn w:val="Fuentedeprrafopredeter"/>
    <w:link w:val="Textocomentario"/>
    <w:uiPriority w:val="99"/>
    <w:rsid w:val="00930F15"/>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733F03"/>
    <w:rPr>
      <w:rFonts w:asciiTheme="minorHAnsi" w:eastAsiaTheme="minorEastAsia" w:hAnsiTheme="minorHAnsi"/>
      <w:b/>
      <w:bCs/>
    </w:rPr>
  </w:style>
  <w:style w:type="character" w:customStyle="1" w:styleId="AsuntodelcomentarioCar">
    <w:name w:val="Asunto del comentario Car"/>
    <w:basedOn w:val="TextocomentarioCar"/>
    <w:link w:val="Asuntodelcomentario"/>
    <w:uiPriority w:val="99"/>
    <w:semiHidden/>
    <w:rsid w:val="00733F03"/>
    <w:rPr>
      <w:rFonts w:ascii="Times New Roman" w:eastAsiaTheme="minorEastAsia" w:hAnsi="Times New Roman"/>
      <w:b/>
      <w:bCs/>
      <w:sz w:val="20"/>
      <w:szCs w:val="20"/>
    </w:rPr>
  </w:style>
  <w:style w:type="paragraph" w:styleId="Revisin">
    <w:name w:val="Revision"/>
    <w:hidden/>
    <w:uiPriority w:val="99"/>
    <w:semiHidden/>
    <w:rsid w:val="00623625"/>
  </w:style>
  <w:style w:type="character" w:customStyle="1" w:styleId="cf01">
    <w:name w:val="cf01"/>
    <w:basedOn w:val="Fuentedeprrafopredeter"/>
    <w:rsid w:val="009F0E1D"/>
    <w:rPr>
      <w:rFonts w:ascii="Segoe UI" w:hAnsi="Segoe UI" w:cs="Segoe UI" w:hint="default"/>
      <w:sz w:val="18"/>
      <w:szCs w:val="18"/>
    </w:rPr>
  </w:style>
  <w:style w:type="character" w:customStyle="1" w:styleId="Ttulo3Car">
    <w:name w:val="Título 3 Car"/>
    <w:basedOn w:val="Fuentedeprrafopredeter"/>
    <w:link w:val="Ttulo3"/>
    <w:uiPriority w:val="9"/>
    <w:rsid w:val="00C15700"/>
    <w:rPr>
      <w:rFonts w:ascii="Times New Roman" w:eastAsia="Times New Roman" w:hAnsi="Times New Roman" w:cs="Times New Roman"/>
      <w:b/>
      <w:sz w:val="32"/>
      <w:szCs w:val="20"/>
      <w:lang w:val="es-MX" w:eastAsia="zh-CN"/>
    </w:rPr>
  </w:style>
  <w:style w:type="paragraph" w:customStyle="1" w:styleId="Piedepagina">
    <w:name w:val="Pie de pagina"/>
    <w:aliases w:val="Ref. de nota al pie2,Nota de pie"/>
    <w:basedOn w:val="Normal"/>
    <w:uiPriority w:val="99"/>
    <w:qFormat/>
    <w:rsid w:val="00C15700"/>
    <w:pPr>
      <w:spacing w:before="60" w:line="240" w:lineRule="exact"/>
      <w:mirrorIndents/>
    </w:pPr>
    <w:rPr>
      <w:vertAlign w:val="superscript"/>
    </w:rPr>
  </w:style>
  <w:style w:type="character" w:customStyle="1" w:styleId="Mencinsinresolver1">
    <w:name w:val="Mención sin resolver1"/>
    <w:basedOn w:val="Fuentedeprrafopredeter"/>
    <w:uiPriority w:val="99"/>
    <w:semiHidden/>
    <w:unhideWhenUsed/>
    <w:rsid w:val="00037532"/>
    <w:rPr>
      <w:color w:val="605E5C"/>
      <w:shd w:val="clear" w:color="auto" w:fill="E1DFDD"/>
    </w:rPr>
  </w:style>
  <w:style w:type="paragraph" w:customStyle="1" w:styleId="Corte">
    <w:name w:val="Corte"/>
    <w:basedOn w:val="Prrafodelista"/>
    <w:link w:val="CorteCar"/>
    <w:qFormat/>
    <w:rsid w:val="00F717E9"/>
    <w:pPr>
      <w:spacing w:before="0"/>
      <w:ind w:left="0"/>
    </w:pPr>
    <w:rPr>
      <w:sz w:val="20"/>
      <w:szCs w:val="18"/>
    </w:rPr>
  </w:style>
  <w:style w:type="character" w:customStyle="1" w:styleId="PrrafodelistaCar">
    <w:name w:val="Párrafo de lista Car"/>
    <w:basedOn w:val="Fuentedeprrafopredeter"/>
    <w:link w:val="Prrafodelista"/>
    <w:uiPriority w:val="34"/>
    <w:qFormat/>
    <w:rsid w:val="00F717E9"/>
    <w:rPr>
      <w:rFonts w:ascii="Times New Roman" w:hAnsi="Times New Roman"/>
      <w:szCs w:val="22"/>
      <w:lang w:val="es-ES_tradnl"/>
    </w:rPr>
  </w:style>
  <w:style w:type="character" w:customStyle="1" w:styleId="CorteCar">
    <w:name w:val="Corte Car"/>
    <w:basedOn w:val="PrrafodelistaCar"/>
    <w:link w:val="Corte"/>
    <w:rsid w:val="00F717E9"/>
    <w:rPr>
      <w:rFonts w:ascii="Times New Roman" w:hAnsi="Times New Roman"/>
      <w:sz w:val="20"/>
      <w:szCs w:val="18"/>
      <w:lang w:val="es-ES_tradnl"/>
    </w:rPr>
  </w:style>
  <w:style w:type="paragraph" w:styleId="NormalWeb">
    <w:name w:val="Normal (Web)"/>
    <w:basedOn w:val="Normal"/>
    <w:uiPriority w:val="99"/>
    <w:semiHidden/>
    <w:unhideWhenUsed/>
    <w:rsid w:val="00A95B1C"/>
    <w:pPr>
      <w:spacing w:before="100" w:beforeAutospacing="1" w:after="100" w:afterAutospacing="1"/>
    </w:pPr>
    <w:rPr>
      <w:rFonts w:ascii="Times New Roman" w:eastAsia="Times New Roman" w:hAnsi="Times New Roman" w:cs="Times New Roman"/>
    </w:rPr>
  </w:style>
  <w:style w:type="paragraph" w:customStyle="1" w:styleId="p1">
    <w:name w:val="p1"/>
    <w:basedOn w:val="Normal"/>
    <w:rsid w:val="006907AE"/>
    <w:rPr>
      <w:rFonts w:ascii="Century Gothic" w:eastAsia="Times New Roman" w:hAnsi="Century Gothic" w:cs="Times New Roman"/>
      <w:color w:val="000000"/>
      <w:sz w:val="18"/>
      <w:szCs w:val="18"/>
      <w:lang w:eastAsia="es-ES_tradnl"/>
    </w:rPr>
  </w:style>
  <w:style w:type="paragraph" w:styleId="Textodeglobo">
    <w:name w:val="Balloon Text"/>
    <w:basedOn w:val="Normal"/>
    <w:link w:val="TextodegloboCar"/>
    <w:uiPriority w:val="99"/>
    <w:semiHidden/>
    <w:unhideWhenUsed/>
    <w:rsid w:val="00AA73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73A9"/>
    <w:rPr>
      <w:rFonts w:ascii="Segoe UI" w:hAnsi="Segoe UI" w:cs="Segoe UI"/>
      <w:sz w:val="18"/>
      <w:szCs w:val="18"/>
    </w:rPr>
  </w:style>
  <w:style w:type="paragraph" w:styleId="Textoindependiente2">
    <w:name w:val="Body Text 2"/>
    <w:basedOn w:val="Normal"/>
    <w:link w:val="Textoindependiente2Car"/>
    <w:uiPriority w:val="99"/>
    <w:rsid w:val="00F91451"/>
    <w:pPr>
      <w:widowControl w:val="0"/>
      <w:autoSpaceDE w:val="0"/>
      <w:autoSpaceDN w:val="0"/>
      <w:spacing w:line="360" w:lineRule="auto"/>
    </w:pPr>
    <w:rPr>
      <w:rFonts w:ascii="Bookman Old Style" w:hAnsi="Bookman Old Style" w:cs="Bookman Old Style"/>
      <w:sz w:val="28"/>
      <w:szCs w:val="28"/>
      <w:lang w:val="es-ES"/>
    </w:rPr>
  </w:style>
  <w:style w:type="character" w:customStyle="1" w:styleId="Textoindependiente2Car">
    <w:name w:val="Texto independiente 2 Car"/>
    <w:basedOn w:val="Fuentedeprrafopredeter"/>
    <w:link w:val="Textoindependiente2"/>
    <w:uiPriority w:val="99"/>
    <w:rsid w:val="00F91451"/>
    <w:rPr>
      <w:rFonts w:ascii="Bookman Old Style" w:eastAsiaTheme="minorEastAsia" w:hAnsi="Bookman Old Style" w:cs="Bookman Old Style"/>
      <w:sz w:val="28"/>
      <w:szCs w:val="28"/>
      <w:lang w:val="es-ES" w:eastAsia="es-CO"/>
    </w:rPr>
  </w:style>
  <w:style w:type="paragraph" w:customStyle="1" w:styleId="Textoindependiente1">
    <w:name w:val="Texto independiente1"/>
    <w:basedOn w:val="Normal"/>
    <w:next w:val="Textoindependiente"/>
    <w:uiPriority w:val="99"/>
    <w:unhideWhenUsed/>
    <w:rsid w:val="00841D4C"/>
    <w:pPr>
      <w:spacing w:after="120"/>
    </w:pPr>
    <w:rPr>
      <w:lang w:val="de-DE"/>
    </w:rPr>
  </w:style>
  <w:style w:type="character" w:customStyle="1" w:styleId="TextoindependienteCar1">
    <w:name w:val="Texto independiente Car1"/>
    <w:basedOn w:val="Fuentedeprrafopredeter"/>
    <w:uiPriority w:val="99"/>
    <w:semiHidden/>
    <w:rsid w:val="00841D4C"/>
  </w:style>
  <w:style w:type="character" w:customStyle="1" w:styleId="textbolder">
    <w:name w:val="text_bolder"/>
    <w:basedOn w:val="Fuentedeprrafopredeter"/>
    <w:rsid w:val="00D61041"/>
  </w:style>
  <w:style w:type="character" w:styleId="Textoennegrita">
    <w:name w:val="Strong"/>
    <w:basedOn w:val="Fuentedeprrafopredeter"/>
    <w:uiPriority w:val="22"/>
    <w:qFormat/>
    <w:rsid w:val="00D543A4"/>
    <w:rPr>
      <w:b/>
      <w:bCs/>
    </w:rPr>
  </w:style>
  <w:style w:type="character" w:styleId="nfasis">
    <w:name w:val="Emphasis"/>
    <w:basedOn w:val="Fuentedeprrafopredeter"/>
    <w:uiPriority w:val="20"/>
    <w:qFormat/>
    <w:rsid w:val="00D543A4"/>
    <w:rPr>
      <w:i/>
      <w:iCs/>
    </w:rPr>
  </w:style>
  <w:style w:type="paragraph" w:customStyle="1" w:styleId="pdq2pgselectionanchorcontainer">
    <w:name w:val="pdq2pg_selectionanchorcontainer"/>
    <w:basedOn w:val="Normal"/>
    <w:rsid w:val="00BF7B2C"/>
    <w:pPr>
      <w:spacing w:before="100" w:beforeAutospacing="1" w:after="100" w:afterAutospacing="1"/>
    </w:pPr>
    <w:rPr>
      <w:rFonts w:eastAsia="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_rels/footnotes.xml.rels><?xml version="1.0" encoding="UTF-8" standalone="yes"?>
<Relationships xmlns="http://schemas.openxmlformats.org/package/2006/relationships"><Relationship Id="rId8" Type="http://schemas.openxmlformats.org/officeDocument/2006/relationships/hyperlink" Target="https://siicor.corteconstitucional.gov.co/controldeprocesos/archivo.php?id=107818" TargetMode="External"/><Relationship Id="rId13" Type="http://schemas.openxmlformats.org/officeDocument/2006/relationships/hyperlink" Target="https://www.youtube.com/watch?v=EIViDxrea-M&amp;t=13025s" TargetMode="External"/><Relationship Id="rId3" Type="http://schemas.openxmlformats.org/officeDocument/2006/relationships/hyperlink" Target="https://siicor.corteconstitucional.gov.co/controldeprocesos/archivo.php?id=101300" TargetMode="External"/><Relationship Id="rId7" Type="http://schemas.openxmlformats.org/officeDocument/2006/relationships/hyperlink" Target="https://siicor.corteconstitucional.gov.co/controldeprocesos/archivo.php?id=98681" TargetMode="External"/><Relationship Id="rId12" Type="http://schemas.openxmlformats.org/officeDocument/2006/relationships/hyperlink" Target="https://siicor.corteconstitucional.gov.co/controldeprocesos/archivo.php?id=120864" TargetMode="External"/><Relationship Id="rId2" Type="http://schemas.openxmlformats.org/officeDocument/2006/relationships/hyperlink" Target="https://siicor.corteconstitucional.gov.co/controldeprocesos/archivo.php?id=97413" TargetMode="External"/><Relationship Id="rId1" Type="http://schemas.openxmlformats.org/officeDocument/2006/relationships/hyperlink" Target="https://siicor.corteconstitucional.gov.co/controldeprocesos/archivo.php?id=97491" TargetMode="External"/><Relationship Id="rId6" Type="http://schemas.openxmlformats.org/officeDocument/2006/relationships/hyperlink" Target="https://siicor.corteconstitucional.gov.co/controldeprocesos/archivo.php?id=118462" TargetMode="External"/><Relationship Id="rId11" Type="http://schemas.openxmlformats.org/officeDocument/2006/relationships/hyperlink" Target="https://siicor.corteconstitucional.gov.co/controldeprocesos/archivo.php?id=120267" TargetMode="External"/><Relationship Id="rId5" Type="http://schemas.openxmlformats.org/officeDocument/2006/relationships/hyperlink" Target="https://siicor.corteconstitucional.gov.co/controldeprocesos/archivo.php?id=104424" TargetMode="External"/><Relationship Id="rId10" Type="http://schemas.openxmlformats.org/officeDocument/2006/relationships/hyperlink" Target="https://siicor.corteconstitucional.gov.co/controldeprocesos/archivo.php?id=120184" TargetMode="External"/><Relationship Id="rId4" Type="http://schemas.openxmlformats.org/officeDocument/2006/relationships/hyperlink" Target="https://siicor.corteconstitucional.gov.co/controldeprocesos/archivo.php?id=102601" TargetMode="External"/><Relationship Id="rId9" Type="http://schemas.openxmlformats.org/officeDocument/2006/relationships/hyperlink" Target="https://siicor.corteconstitucional.gov.co/controldeprocesos/archivo.php?id=118406" TargetMode="External"/><Relationship Id="rId14" Type="http://schemas.openxmlformats.org/officeDocument/2006/relationships/hyperlink" Target="https://siicor.corteconstitucional.gov.co/controldeprocesos/archivo.php?id=119718"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etbcsj-my.sharepoint.com/personal/datos_estadisticas_corteconstitucional_gov_co/Documents/Nataly%20Fernanda%20Orjuela%20Fuentes/Bases%20de%20datos/Constitucionalidad/demandas_admin_rechazos+acumulado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etbcsj-my.sharepoint.com/personal/datos_estadisticas_corteconstitucional_gov_co/Documents/Nataly%20Fernanda%20Orjuela%20Fuentes/Bases%20de%20datos/Constitucionalidad/demandas_admin_rechazos+acumulado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etbcsj-my.sharepoint.com/personal/datos_estadisticas_corteconstitucional_gov_co/Documents/Nataly%20Fernanda%20Orjuela%20Fuentes/Bases%20de%20datos/Sentencias/tab_base_sentencias_completa_INHIBITORIOS_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etbcsj-my.sharepoint.com/personal/datos_estadisticas_corteconstitucional_gov_co/Documents/Nataly%20Fernanda%20Orjuela%20Fuentes/Bases%20de%20datos/Sentencias/tab_base_sentencias_completa_INHIBITORIOS_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1" i="0" u="none" strike="noStrike" kern="1200" spc="0" baseline="0">
                <a:solidFill>
                  <a:sysClr val="windowText" lastClr="000000"/>
                </a:solidFill>
                <a:latin typeface="Avenir Book" panose="02000503020000020003" pitchFamily="2" charset="0"/>
                <a:ea typeface="+mn-ea"/>
                <a:cs typeface="+mn-cs"/>
              </a:defRPr>
            </a:pPr>
            <a:r>
              <a:rPr lang="en-US" b="1"/>
              <a:t>% admisión por periodo</a:t>
            </a:r>
          </a:p>
          <a:p>
            <a:pPr>
              <a:defRPr sz="960" b="1" i="0" u="none" strike="noStrike" kern="1200" spc="0" baseline="0">
                <a:solidFill>
                  <a:sysClr val="windowText" lastClr="000000"/>
                </a:solidFill>
                <a:latin typeface="Avenir Book" panose="02000503020000020003" pitchFamily="2" charset="0"/>
                <a:ea typeface="+mn-ea"/>
                <a:cs typeface="+mn-cs"/>
              </a:defRPr>
            </a:pPr>
            <a:r>
              <a:rPr lang="es-CO" b="1" i="1">
                <a:solidFill>
                  <a:schemeClr val="tx1">
                    <a:lumMod val="50000"/>
                    <a:lumOff val="50000"/>
                  </a:schemeClr>
                </a:solidFill>
              </a:rPr>
              <a:t>-expedientes individuales-</a:t>
            </a:r>
          </a:p>
        </c:rich>
      </c:tx>
      <c:overlay val="0"/>
      <c:spPr>
        <a:noFill/>
        <a:ln>
          <a:solidFill>
            <a:schemeClr val="bg1">
              <a:lumMod val="95000"/>
            </a:schemeClr>
          </a:solidFill>
        </a:ln>
        <a:effectLst/>
      </c:spPr>
    </c:title>
    <c:autoTitleDeleted val="0"/>
    <c:plotArea>
      <c:layout/>
      <c:barChart>
        <c:barDir val="col"/>
        <c:grouping val="clustered"/>
        <c:varyColors val="0"/>
        <c:ser>
          <c:idx val="2"/>
          <c:order val="2"/>
          <c:tx>
            <c:strRef>
              <c:f>tab_x_año_individuales!$AH$6</c:f>
              <c:strCache>
                <c:ptCount val="1"/>
                <c:pt idx="0">
                  <c:v>% admisión</c:v>
                </c:pt>
              </c:strCache>
            </c:strRef>
          </c:tx>
          <c:spPr>
            <a:solidFill>
              <a:schemeClr val="accent6">
                <a:lumMod val="60000"/>
                <a:lumOff val="40000"/>
              </a:schemeClr>
            </a:solidFill>
            <a:ln>
              <a:noFill/>
            </a:ln>
            <a:effectLst/>
          </c:spPr>
          <c:invertIfNegative val="0"/>
          <c:dPt>
            <c:idx val="8"/>
            <c:invertIfNegative val="0"/>
            <c:bubble3D val="0"/>
            <c:spPr>
              <a:solidFill>
                <a:schemeClr val="bg1">
                  <a:lumMod val="75000"/>
                </a:schemeClr>
              </a:solidFill>
              <a:ln>
                <a:noFill/>
              </a:ln>
              <a:effectLst/>
            </c:spPr>
            <c:extLst>
              <c:ext xmlns:c16="http://schemas.microsoft.com/office/drawing/2014/chart" uri="{C3380CC4-5D6E-409C-BE32-E72D297353CC}">
                <c16:uniqueId val="{00000001-64D5-A146-8E24-D51DC41E37B0}"/>
              </c:ext>
            </c:extLst>
          </c:dPt>
          <c:dLbls>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Avenir Book" panose="02000503020000020003" pitchFamily="2" charset="0"/>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tab_x_año_individuales!$AE$7:$AE$15</c:f>
              <c:strCache>
                <c:ptCount val="9"/>
                <c:pt idx="0">
                  <c:v>1991-1994</c:v>
                </c:pt>
                <c:pt idx="1">
                  <c:v>1995-1999</c:v>
                </c:pt>
                <c:pt idx="2">
                  <c:v>2000-2004</c:v>
                </c:pt>
                <c:pt idx="3">
                  <c:v>2005-2009</c:v>
                </c:pt>
                <c:pt idx="4">
                  <c:v>2010-2014</c:v>
                </c:pt>
                <c:pt idx="5">
                  <c:v>2015-2019</c:v>
                </c:pt>
                <c:pt idx="6">
                  <c:v>2020-2024</c:v>
                </c:pt>
                <c:pt idx="7">
                  <c:v>2025-ahora</c:v>
                </c:pt>
                <c:pt idx="8">
                  <c:v>Promedio histórico</c:v>
                </c:pt>
              </c:strCache>
            </c:strRef>
          </c:cat>
          <c:val>
            <c:numRef>
              <c:f>tab_x_año_individuales!$AH$7:$AH$15</c:f>
              <c:numCache>
                <c:formatCode>0.0%</c:formatCode>
                <c:ptCount val="9"/>
                <c:pt idx="0">
                  <c:v>0.73032407407407407</c:v>
                </c:pt>
                <c:pt idx="1">
                  <c:v>0.74070193818753272</c:v>
                </c:pt>
                <c:pt idx="2">
                  <c:v>0.56546156546156545</c:v>
                </c:pt>
                <c:pt idx="3">
                  <c:v>0.43472750316856779</c:v>
                </c:pt>
                <c:pt idx="4">
                  <c:v>0.35708841463414637</c:v>
                </c:pt>
                <c:pt idx="5">
                  <c:v>0.25082508250825081</c:v>
                </c:pt>
                <c:pt idx="6">
                  <c:v>0.2443871917556128</c:v>
                </c:pt>
                <c:pt idx="7">
                  <c:v>0.14963119072708114</c:v>
                </c:pt>
                <c:pt idx="8">
                  <c:v>0.4152752903113987</c:v>
                </c:pt>
              </c:numCache>
            </c:numRef>
          </c:val>
          <c:extLst>
            <c:ext xmlns:c16="http://schemas.microsoft.com/office/drawing/2014/chart" uri="{C3380CC4-5D6E-409C-BE32-E72D297353CC}">
              <c16:uniqueId val="{00000002-64D5-A146-8E24-D51DC41E37B0}"/>
            </c:ext>
          </c:extLst>
        </c:ser>
        <c:dLbls>
          <c:dLblPos val="outEnd"/>
          <c:showLegendKey val="0"/>
          <c:showVal val="1"/>
          <c:showCatName val="0"/>
          <c:showSerName val="0"/>
          <c:showPercent val="0"/>
          <c:showBubbleSize val="0"/>
        </c:dLbls>
        <c:gapWidth val="50"/>
        <c:axId val="427735264"/>
        <c:axId val="427739584"/>
        <c:extLst>
          <c:ext xmlns:c15="http://schemas.microsoft.com/office/drawing/2012/chart" uri="{02D57815-91ED-43cb-92C2-25804820EDAC}">
            <c15:filteredBarSeries>
              <c15:ser>
                <c:idx val="0"/>
                <c:order val="0"/>
                <c:tx>
                  <c:strRef>
                    <c:extLst>
                      <c:ext uri="{02D57815-91ED-43cb-92C2-25804820EDAC}">
                        <c15:formulaRef>
                          <c15:sqref>tab_x_año_individuales!$AF$6</c15:sqref>
                        </c15:formulaRef>
                      </c:ext>
                    </c:extLst>
                    <c:strCache>
                      <c:ptCount val="1"/>
                      <c:pt idx="0">
                        <c:v>Cantidad de demandas de inconstitucionalidad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tab_x_año_individuales!$AE$7:$AE$15</c15:sqref>
                        </c15:formulaRef>
                      </c:ext>
                    </c:extLst>
                    <c:strCache>
                      <c:ptCount val="9"/>
                      <c:pt idx="0">
                        <c:v>1991-1994</c:v>
                      </c:pt>
                      <c:pt idx="1">
                        <c:v>1995-1999</c:v>
                      </c:pt>
                      <c:pt idx="2">
                        <c:v>2000-2004</c:v>
                      </c:pt>
                      <c:pt idx="3">
                        <c:v>2005-2009</c:v>
                      </c:pt>
                      <c:pt idx="4">
                        <c:v>2010-2014</c:v>
                      </c:pt>
                      <c:pt idx="5">
                        <c:v>2015-2019</c:v>
                      </c:pt>
                      <c:pt idx="6">
                        <c:v>2020-2024</c:v>
                      </c:pt>
                      <c:pt idx="7">
                        <c:v>2025-ahora</c:v>
                      </c:pt>
                      <c:pt idx="8">
                        <c:v>Promedio histórico</c:v>
                      </c:pt>
                    </c:strCache>
                  </c:strRef>
                </c:cat>
                <c:val>
                  <c:numRef>
                    <c:extLst>
                      <c:ext uri="{02D57815-91ED-43cb-92C2-25804820EDAC}">
                        <c15:formulaRef>
                          <c15:sqref>tab_x_año_individuales!$AF$7:$AF$15</c15:sqref>
                        </c15:formulaRef>
                      </c:ext>
                    </c:extLst>
                    <c:numCache>
                      <c:formatCode>#,##0_ ;[Red]\-#,##0\ </c:formatCode>
                      <c:ptCount val="9"/>
                      <c:pt idx="0">
                        <c:v>864</c:v>
                      </c:pt>
                      <c:pt idx="1">
                        <c:v>1909</c:v>
                      </c:pt>
                      <c:pt idx="2">
                        <c:v>2849</c:v>
                      </c:pt>
                      <c:pt idx="3">
                        <c:v>2367</c:v>
                      </c:pt>
                      <c:pt idx="4">
                        <c:v>2624</c:v>
                      </c:pt>
                      <c:pt idx="5">
                        <c:v>3030</c:v>
                      </c:pt>
                      <c:pt idx="6">
                        <c:v>2717</c:v>
                      </c:pt>
                      <c:pt idx="7">
                        <c:v>949</c:v>
                      </c:pt>
                      <c:pt idx="8">
                        <c:v>17309</c:v>
                      </c:pt>
                    </c:numCache>
                  </c:numRef>
                </c:val>
                <c:extLst>
                  <c:ext xmlns:c16="http://schemas.microsoft.com/office/drawing/2014/chart" uri="{C3380CC4-5D6E-409C-BE32-E72D297353CC}">
                    <c16:uniqueId val="{00000003-64D5-A146-8E24-D51DC41E37B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tab_x_año_individuales!$AG$6</c15:sqref>
                        </c15:formulaRef>
                      </c:ext>
                    </c:extLst>
                    <c:strCache>
                      <c:ptCount val="1"/>
                      <c:pt idx="0">
                        <c:v>Admitidas*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tab_x_año_individuales!$AE$7:$AE$15</c15:sqref>
                        </c15:formulaRef>
                      </c:ext>
                    </c:extLst>
                    <c:strCache>
                      <c:ptCount val="9"/>
                      <c:pt idx="0">
                        <c:v>1991-1994</c:v>
                      </c:pt>
                      <c:pt idx="1">
                        <c:v>1995-1999</c:v>
                      </c:pt>
                      <c:pt idx="2">
                        <c:v>2000-2004</c:v>
                      </c:pt>
                      <c:pt idx="3">
                        <c:v>2005-2009</c:v>
                      </c:pt>
                      <c:pt idx="4">
                        <c:v>2010-2014</c:v>
                      </c:pt>
                      <c:pt idx="5">
                        <c:v>2015-2019</c:v>
                      </c:pt>
                      <c:pt idx="6">
                        <c:v>2020-2024</c:v>
                      </c:pt>
                      <c:pt idx="7">
                        <c:v>2025-ahora</c:v>
                      </c:pt>
                      <c:pt idx="8">
                        <c:v>Promedio histórico</c:v>
                      </c:pt>
                    </c:strCache>
                  </c:strRef>
                </c:cat>
                <c:val>
                  <c:numRef>
                    <c:extLst xmlns:c15="http://schemas.microsoft.com/office/drawing/2012/chart">
                      <c:ext xmlns:c15="http://schemas.microsoft.com/office/drawing/2012/chart" uri="{02D57815-91ED-43cb-92C2-25804820EDAC}">
                        <c15:formulaRef>
                          <c15:sqref>tab_x_año_individuales!$AG$7:$AG$15</c15:sqref>
                        </c15:formulaRef>
                      </c:ext>
                    </c:extLst>
                    <c:numCache>
                      <c:formatCode>#,##0_ ;[Red]\-#,##0\ </c:formatCode>
                      <c:ptCount val="9"/>
                      <c:pt idx="0">
                        <c:v>631</c:v>
                      </c:pt>
                      <c:pt idx="1">
                        <c:v>1414</c:v>
                      </c:pt>
                      <c:pt idx="2">
                        <c:v>1611</c:v>
                      </c:pt>
                      <c:pt idx="3">
                        <c:v>1029</c:v>
                      </c:pt>
                      <c:pt idx="4">
                        <c:v>937</c:v>
                      </c:pt>
                      <c:pt idx="5">
                        <c:v>760</c:v>
                      </c:pt>
                      <c:pt idx="6">
                        <c:v>664</c:v>
                      </c:pt>
                      <c:pt idx="7">
                        <c:v>142</c:v>
                      </c:pt>
                      <c:pt idx="8">
                        <c:v>7188</c:v>
                      </c:pt>
                    </c:numCache>
                  </c:numRef>
                </c:val>
                <c:extLst xmlns:c15="http://schemas.microsoft.com/office/drawing/2012/chart">
                  <c:ext xmlns:c16="http://schemas.microsoft.com/office/drawing/2014/chart" uri="{C3380CC4-5D6E-409C-BE32-E72D297353CC}">
                    <c16:uniqueId val="{00000004-64D5-A146-8E24-D51DC41E37B0}"/>
                  </c:ext>
                </c:extLst>
              </c15:ser>
            </c15:filteredBarSeries>
          </c:ext>
        </c:extLst>
      </c:barChart>
      <c:catAx>
        <c:axId val="427735264"/>
        <c:scaling>
          <c:orientation val="minMax"/>
        </c:scaling>
        <c:delete val="0"/>
        <c:axPos val="b"/>
        <c:majorGridlines>
          <c:spPr>
            <a:ln w="9525" cap="flat" cmpd="sng" algn="ctr">
              <a:solidFill>
                <a:schemeClr val="bg1">
                  <a:lumMod val="95000"/>
                </a:schemeClr>
              </a:solidFill>
              <a:round/>
            </a:ln>
            <a:effectLst/>
          </c:spPr>
        </c:majorGridlines>
        <c:title>
          <c:tx>
            <c:rich>
              <a:bodyPr rot="0" spcFirstLastPara="1" vertOverflow="ellipsis" vert="horz" wrap="square" anchor="ctr" anchorCtr="1"/>
              <a:lstStyle/>
              <a:p>
                <a:pPr>
                  <a:defRPr sz="800" b="0" i="1" u="none" strike="noStrike" kern="1200" baseline="0">
                    <a:solidFill>
                      <a:schemeClr val="bg1">
                        <a:lumMod val="65000"/>
                      </a:schemeClr>
                    </a:solidFill>
                    <a:latin typeface="Avenir Book" panose="02000503020000020003" pitchFamily="2" charset="0"/>
                    <a:ea typeface="+mn-ea"/>
                    <a:cs typeface="+mn-cs"/>
                  </a:defRPr>
                </a:pPr>
                <a:r>
                  <a:rPr lang="en-US" i="1">
                    <a:solidFill>
                      <a:schemeClr val="bg1">
                        <a:lumMod val="65000"/>
                      </a:schemeClr>
                    </a:solidFill>
                  </a:rPr>
                  <a:t>Periodo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427739584"/>
        <c:crosses val="autoZero"/>
        <c:auto val="1"/>
        <c:lblAlgn val="ctr"/>
        <c:lblOffset val="100"/>
        <c:noMultiLvlLbl val="0"/>
      </c:catAx>
      <c:valAx>
        <c:axId val="427739584"/>
        <c:scaling>
          <c:orientation val="minMax"/>
        </c:scaling>
        <c:delete val="0"/>
        <c:axPos val="l"/>
        <c:majorGridlines>
          <c:spPr>
            <a:ln w="9525" cap="flat" cmpd="sng" algn="ctr">
              <a:solidFill>
                <a:schemeClr val="bg1">
                  <a:lumMod val="95000"/>
                </a:schemeClr>
              </a:solidFill>
              <a:round/>
            </a:ln>
            <a:effectLst/>
          </c:spPr>
        </c:majorGridlines>
        <c:title>
          <c:tx>
            <c:rich>
              <a:bodyPr rot="-5400000" spcFirstLastPara="1" vertOverflow="ellipsis" vert="horz" wrap="square" anchor="ctr" anchorCtr="1"/>
              <a:lstStyle/>
              <a:p>
                <a:pPr>
                  <a:defRPr sz="800" b="0" i="1" u="none" strike="noStrike" kern="1200" baseline="0">
                    <a:solidFill>
                      <a:schemeClr val="bg1">
                        <a:lumMod val="65000"/>
                      </a:schemeClr>
                    </a:solidFill>
                    <a:latin typeface="Avenir Book" panose="02000503020000020003" pitchFamily="2" charset="0"/>
                    <a:ea typeface="+mn-ea"/>
                    <a:cs typeface="+mn-cs"/>
                  </a:defRPr>
                </a:pPr>
                <a:r>
                  <a:rPr lang="en-US" i="1">
                    <a:solidFill>
                      <a:schemeClr val="bg1">
                        <a:lumMod val="65000"/>
                      </a:schemeClr>
                    </a:solidFill>
                  </a:rPr>
                  <a:t>% admisión</a:t>
                </a:r>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427735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Avenir Book" panose="02000503020000020003" pitchFamily="2" charset="0"/>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ysClr val="windowText" lastClr="000000"/>
                </a:solidFill>
                <a:latin typeface="Avenir Book" panose="02000503020000020003" pitchFamily="2" charset="0"/>
                <a:ea typeface="+mn-ea"/>
                <a:cs typeface="+mn-cs"/>
              </a:defRPr>
            </a:pPr>
            <a:r>
              <a:rPr lang="es-CO" sz="1000" b="1" i="0" u="none" strike="noStrike" kern="1200" spc="0" baseline="0">
                <a:solidFill>
                  <a:sysClr val="windowText" lastClr="000000"/>
                </a:solidFill>
                <a:latin typeface="Avenir Book" panose="02000503020000020003" pitchFamily="2" charset="0"/>
              </a:rPr>
              <a:t>% admisiones por año</a:t>
            </a:r>
          </a:p>
          <a:p>
            <a:pPr>
              <a:defRPr sz="960" b="0" i="0" u="none" strike="noStrike" kern="1200" spc="0" baseline="0">
                <a:solidFill>
                  <a:sysClr val="windowText" lastClr="000000"/>
                </a:solidFill>
                <a:latin typeface="Avenir Book" panose="02000503020000020003" pitchFamily="2" charset="0"/>
                <a:ea typeface="+mn-ea"/>
                <a:cs typeface="+mn-cs"/>
              </a:defRPr>
            </a:pPr>
            <a:r>
              <a:rPr lang="es-CO" sz="1000" b="1" i="1" u="none" strike="noStrike" kern="1200" spc="0" baseline="0">
                <a:solidFill>
                  <a:schemeClr val="tx1">
                    <a:lumMod val="50000"/>
                    <a:lumOff val="50000"/>
                  </a:schemeClr>
                </a:solidFill>
                <a:latin typeface="Avenir Book" panose="02000503020000020003" pitchFamily="2" charset="0"/>
              </a:rPr>
              <a:t>-expedientes individuales-</a:t>
            </a:r>
          </a:p>
        </c:rich>
      </c:tx>
      <c:overlay val="0"/>
      <c:spPr>
        <a:noFill/>
        <a:ln>
          <a:solidFill>
            <a:schemeClr val="bg1">
              <a:lumMod val="95000"/>
            </a:schemeClr>
          </a:solidFill>
        </a:ln>
        <a:effectLst/>
      </c:spPr>
    </c:title>
    <c:autoTitleDeleted val="0"/>
    <c:plotArea>
      <c:layout/>
      <c:barChart>
        <c:barDir val="col"/>
        <c:grouping val="clustered"/>
        <c:varyColors val="0"/>
        <c:ser>
          <c:idx val="0"/>
          <c:order val="0"/>
          <c:tx>
            <c:strRef>
              <c:f>tab_x_año_individuales!$AA$6</c:f>
              <c:strCache>
                <c:ptCount val="1"/>
                <c:pt idx="0">
                  <c:v>Cantidad de demandas de inconstitucionalidad</c:v>
                </c:pt>
              </c:strCache>
            </c:strRef>
          </c:tx>
          <c:spPr>
            <a:solidFill>
              <a:schemeClr val="bg1">
                <a:lumMod val="75000"/>
              </a:schemeClr>
            </a:solidFill>
            <a:ln>
              <a:noFill/>
            </a:ln>
            <a:effectLst/>
          </c:spPr>
          <c:invertIfNegative val="0"/>
          <c:cat>
            <c:numRef>
              <c:f>tab_x_año_individuales!$Z$7:$Z$42</c:f>
              <c:numCache>
                <c:formatCode>General</c:formatCode>
                <c:ptCount val="36"/>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pt idx="30">
                  <c:v>2021</c:v>
                </c:pt>
                <c:pt idx="31">
                  <c:v>2022</c:v>
                </c:pt>
                <c:pt idx="32">
                  <c:v>2023</c:v>
                </c:pt>
                <c:pt idx="33">
                  <c:v>2024</c:v>
                </c:pt>
                <c:pt idx="34">
                  <c:v>2025</c:v>
                </c:pt>
                <c:pt idx="35">
                  <c:v>2026</c:v>
                </c:pt>
              </c:numCache>
            </c:numRef>
          </c:cat>
          <c:val>
            <c:numRef>
              <c:f>tab_x_año_individuales!$AA$7:$AA$42</c:f>
              <c:numCache>
                <c:formatCode>#,##0_ ;[Red]\-#,##0\ </c:formatCode>
                <c:ptCount val="36"/>
                <c:pt idx="0">
                  <c:v>19</c:v>
                </c:pt>
                <c:pt idx="1">
                  <c:v>224</c:v>
                </c:pt>
                <c:pt idx="2">
                  <c:v>266</c:v>
                </c:pt>
                <c:pt idx="3">
                  <c:v>355</c:v>
                </c:pt>
                <c:pt idx="4">
                  <c:v>311</c:v>
                </c:pt>
                <c:pt idx="5">
                  <c:v>371</c:v>
                </c:pt>
                <c:pt idx="6">
                  <c:v>407</c:v>
                </c:pt>
                <c:pt idx="7">
                  <c:v>340</c:v>
                </c:pt>
                <c:pt idx="8">
                  <c:v>480</c:v>
                </c:pt>
                <c:pt idx="9">
                  <c:v>598</c:v>
                </c:pt>
                <c:pt idx="10">
                  <c:v>507</c:v>
                </c:pt>
                <c:pt idx="11">
                  <c:v>543</c:v>
                </c:pt>
                <c:pt idx="12">
                  <c:v>620</c:v>
                </c:pt>
                <c:pt idx="13">
                  <c:v>581</c:v>
                </c:pt>
                <c:pt idx="14">
                  <c:v>533</c:v>
                </c:pt>
                <c:pt idx="15">
                  <c:v>496</c:v>
                </c:pt>
                <c:pt idx="16">
                  <c:v>515</c:v>
                </c:pt>
                <c:pt idx="17">
                  <c:v>434</c:v>
                </c:pt>
                <c:pt idx="18">
                  <c:v>389</c:v>
                </c:pt>
                <c:pt idx="19">
                  <c:v>398</c:v>
                </c:pt>
                <c:pt idx="20">
                  <c:v>547</c:v>
                </c:pt>
                <c:pt idx="21">
                  <c:v>566</c:v>
                </c:pt>
                <c:pt idx="22">
                  <c:v>571</c:v>
                </c:pt>
                <c:pt idx="23">
                  <c:v>542</c:v>
                </c:pt>
                <c:pt idx="24">
                  <c:v>585</c:v>
                </c:pt>
                <c:pt idx="25">
                  <c:v>705</c:v>
                </c:pt>
                <c:pt idx="26">
                  <c:v>643</c:v>
                </c:pt>
                <c:pt idx="27">
                  <c:v>507</c:v>
                </c:pt>
                <c:pt idx="28">
                  <c:v>590</c:v>
                </c:pt>
                <c:pt idx="29">
                  <c:v>451</c:v>
                </c:pt>
                <c:pt idx="30">
                  <c:v>528</c:v>
                </c:pt>
                <c:pt idx="31">
                  <c:v>484</c:v>
                </c:pt>
                <c:pt idx="32">
                  <c:v>571</c:v>
                </c:pt>
                <c:pt idx="33">
                  <c:v>683</c:v>
                </c:pt>
                <c:pt idx="34">
                  <c:v>758</c:v>
                </c:pt>
                <c:pt idx="35">
                  <c:v>191</c:v>
                </c:pt>
              </c:numCache>
            </c:numRef>
          </c:val>
          <c:extLst>
            <c:ext xmlns:c16="http://schemas.microsoft.com/office/drawing/2014/chart" uri="{C3380CC4-5D6E-409C-BE32-E72D297353CC}">
              <c16:uniqueId val="{00000000-7CEA-3249-B028-82D67567EFFD}"/>
            </c:ext>
          </c:extLst>
        </c:ser>
        <c:dLbls>
          <c:showLegendKey val="0"/>
          <c:showVal val="0"/>
          <c:showCatName val="0"/>
          <c:showSerName val="0"/>
          <c:showPercent val="0"/>
          <c:showBubbleSize val="0"/>
        </c:dLbls>
        <c:gapWidth val="50"/>
        <c:axId val="534588896"/>
        <c:axId val="534599456"/>
        <c:extLst>
          <c:ext xmlns:c15="http://schemas.microsoft.com/office/drawing/2012/chart" uri="{02D57815-91ED-43cb-92C2-25804820EDAC}">
            <c15:filteredBarSeries>
              <c15:ser>
                <c:idx val="1"/>
                <c:order val="1"/>
                <c:tx>
                  <c:strRef>
                    <c:extLst>
                      <c:ext uri="{02D57815-91ED-43cb-92C2-25804820EDAC}">
                        <c15:formulaRef>
                          <c15:sqref>tab_x_año_individuales!$AB$6</c15:sqref>
                        </c15:formulaRef>
                      </c:ext>
                    </c:extLst>
                    <c:strCache>
                      <c:ptCount val="1"/>
                      <c:pt idx="0">
                        <c:v>Admitidas*</c:v>
                      </c:pt>
                    </c:strCache>
                  </c:strRef>
                </c:tx>
                <c:spPr>
                  <a:solidFill>
                    <a:schemeClr val="bg1">
                      <a:lumMod val="75000"/>
                    </a:schemeClr>
                  </a:solidFill>
                  <a:ln>
                    <a:noFill/>
                  </a:ln>
                  <a:effectLst/>
                </c:spPr>
                <c:invertIfNegative val="0"/>
                <c:cat>
                  <c:numRef>
                    <c:extLst>
                      <c:ext uri="{02D57815-91ED-43cb-92C2-25804820EDAC}">
                        <c15:formulaRef>
                          <c15:sqref>tab_x_año_individuales!$Z$7:$Z$42</c15:sqref>
                        </c15:formulaRef>
                      </c:ext>
                    </c:extLst>
                    <c:numCache>
                      <c:formatCode>General</c:formatCode>
                      <c:ptCount val="36"/>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pt idx="30">
                        <c:v>2021</c:v>
                      </c:pt>
                      <c:pt idx="31">
                        <c:v>2022</c:v>
                      </c:pt>
                      <c:pt idx="32">
                        <c:v>2023</c:v>
                      </c:pt>
                      <c:pt idx="33">
                        <c:v>2024</c:v>
                      </c:pt>
                      <c:pt idx="34">
                        <c:v>2025</c:v>
                      </c:pt>
                      <c:pt idx="35">
                        <c:v>2026</c:v>
                      </c:pt>
                    </c:numCache>
                  </c:numRef>
                </c:cat>
                <c:val>
                  <c:numRef>
                    <c:extLst>
                      <c:ext uri="{02D57815-91ED-43cb-92C2-25804820EDAC}">
                        <c15:formulaRef>
                          <c15:sqref>tab_x_año_individuales!$AB$7:$AB$42</c15:sqref>
                        </c15:formulaRef>
                      </c:ext>
                    </c:extLst>
                    <c:numCache>
                      <c:formatCode>#,##0_ ;[Red]\-#,##0\ </c:formatCode>
                      <c:ptCount val="36"/>
                      <c:pt idx="0">
                        <c:v>11</c:v>
                      </c:pt>
                      <c:pt idx="1">
                        <c:v>171</c:v>
                      </c:pt>
                      <c:pt idx="2">
                        <c:v>192</c:v>
                      </c:pt>
                      <c:pt idx="3">
                        <c:v>257</c:v>
                      </c:pt>
                      <c:pt idx="4">
                        <c:v>235</c:v>
                      </c:pt>
                      <c:pt idx="5">
                        <c:v>293</c:v>
                      </c:pt>
                      <c:pt idx="6">
                        <c:v>316</c:v>
                      </c:pt>
                      <c:pt idx="7">
                        <c:v>230</c:v>
                      </c:pt>
                      <c:pt idx="8">
                        <c:v>340</c:v>
                      </c:pt>
                      <c:pt idx="9">
                        <c:v>389</c:v>
                      </c:pt>
                      <c:pt idx="10">
                        <c:v>325</c:v>
                      </c:pt>
                      <c:pt idx="11">
                        <c:v>318</c:v>
                      </c:pt>
                      <c:pt idx="12">
                        <c:v>332</c:v>
                      </c:pt>
                      <c:pt idx="13">
                        <c:v>247</c:v>
                      </c:pt>
                      <c:pt idx="14">
                        <c:v>255</c:v>
                      </c:pt>
                      <c:pt idx="15">
                        <c:v>214</c:v>
                      </c:pt>
                      <c:pt idx="16">
                        <c:v>237</c:v>
                      </c:pt>
                      <c:pt idx="17">
                        <c:v>160</c:v>
                      </c:pt>
                      <c:pt idx="18">
                        <c:v>163</c:v>
                      </c:pt>
                      <c:pt idx="19">
                        <c:v>145</c:v>
                      </c:pt>
                      <c:pt idx="20">
                        <c:v>266</c:v>
                      </c:pt>
                      <c:pt idx="21">
                        <c:v>211</c:v>
                      </c:pt>
                      <c:pt idx="22">
                        <c:v>176</c:v>
                      </c:pt>
                      <c:pt idx="23">
                        <c:v>139</c:v>
                      </c:pt>
                      <c:pt idx="24">
                        <c:v>162</c:v>
                      </c:pt>
                      <c:pt idx="25">
                        <c:v>218</c:v>
                      </c:pt>
                      <c:pt idx="26">
                        <c:v>132</c:v>
                      </c:pt>
                      <c:pt idx="27">
                        <c:v>90</c:v>
                      </c:pt>
                      <c:pt idx="28">
                        <c:v>158</c:v>
                      </c:pt>
                      <c:pt idx="29">
                        <c:v>116</c:v>
                      </c:pt>
                      <c:pt idx="30">
                        <c:v>146</c:v>
                      </c:pt>
                      <c:pt idx="31">
                        <c:v>148</c:v>
                      </c:pt>
                      <c:pt idx="32">
                        <c:v>140</c:v>
                      </c:pt>
                      <c:pt idx="33">
                        <c:v>114</c:v>
                      </c:pt>
                      <c:pt idx="34">
                        <c:v>87</c:v>
                      </c:pt>
                      <c:pt idx="35">
                        <c:v>55</c:v>
                      </c:pt>
                    </c:numCache>
                  </c:numRef>
                </c:val>
                <c:extLst>
                  <c:ext xmlns:c16="http://schemas.microsoft.com/office/drawing/2014/chart" uri="{C3380CC4-5D6E-409C-BE32-E72D297353CC}">
                    <c16:uniqueId val="{00000002-7CEA-3249-B028-82D67567EFFD}"/>
                  </c:ext>
                </c:extLst>
              </c15:ser>
            </c15:filteredBarSeries>
          </c:ext>
        </c:extLst>
      </c:barChart>
      <c:lineChart>
        <c:grouping val="standard"/>
        <c:varyColors val="0"/>
        <c:ser>
          <c:idx val="2"/>
          <c:order val="2"/>
          <c:tx>
            <c:strRef>
              <c:f>tab_x_año_individuales!$AC$6</c:f>
              <c:strCache>
                <c:ptCount val="1"/>
                <c:pt idx="0">
                  <c:v>% admisión</c:v>
                </c:pt>
              </c:strCache>
            </c:strRef>
          </c:tx>
          <c:spPr>
            <a:ln w="28575" cap="rnd">
              <a:solidFill>
                <a:srgbClr val="92D050"/>
              </a:solidFill>
              <a:round/>
            </a:ln>
            <a:effectLst/>
          </c:spPr>
          <c:marker>
            <c:symbol val="circle"/>
            <c:size val="5"/>
            <c:spPr>
              <a:solidFill>
                <a:schemeClr val="bg1">
                  <a:lumMod val="95000"/>
                </a:schemeClr>
              </a:solidFill>
              <a:ln w="9525">
                <a:solidFill>
                  <a:srgbClr val="92D050"/>
                </a:solidFill>
              </a:ln>
              <a:effectLst/>
            </c:spPr>
          </c:marker>
          <c:dLbls>
            <c:spPr>
              <a:solidFill>
                <a:schemeClr val="accent6">
                  <a:lumMod val="20000"/>
                  <a:lumOff val="80000"/>
                </a:schemeClr>
              </a:solidFill>
              <a:ln>
                <a:noFill/>
              </a:ln>
              <a:effectLst/>
            </c:spPr>
            <c:txPr>
              <a:bodyPr rot="-5400000" spcFirstLastPara="1" vertOverflow="ellipsis" wrap="square" lIns="38100" tIns="19050" rIns="38100" bIns="19050" anchor="ctr" anchorCtr="1">
                <a:spAutoFit/>
              </a:bodyPr>
              <a:lstStyle/>
              <a:p>
                <a:pPr>
                  <a:defRPr sz="700" b="1" i="0" u="none" strike="noStrike" kern="1200" baseline="0">
                    <a:solidFill>
                      <a:sysClr val="windowText" lastClr="000000"/>
                    </a:solidFill>
                    <a:latin typeface="Avenir Book" panose="02000503020000020003" pitchFamily="2" charset="0"/>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tab_x_año_individuales!$Z$7:$Z$42</c:f>
              <c:numCache>
                <c:formatCode>General</c:formatCode>
                <c:ptCount val="36"/>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pt idx="24">
                  <c:v>2015</c:v>
                </c:pt>
                <c:pt idx="25">
                  <c:v>2016</c:v>
                </c:pt>
                <c:pt idx="26">
                  <c:v>2017</c:v>
                </c:pt>
                <c:pt idx="27">
                  <c:v>2018</c:v>
                </c:pt>
                <c:pt idx="28">
                  <c:v>2019</c:v>
                </c:pt>
                <c:pt idx="29">
                  <c:v>2020</c:v>
                </c:pt>
                <c:pt idx="30">
                  <c:v>2021</c:v>
                </c:pt>
                <c:pt idx="31">
                  <c:v>2022</c:v>
                </c:pt>
                <c:pt idx="32">
                  <c:v>2023</c:v>
                </c:pt>
                <c:pt idx="33">
                  <c:v>2024</c:v>
                </c:pt>
                <c:pt idx="34">
                  <c:v>2025</c:v>
                </c:pt>
                <c:pt idx="35">
                  <c:v>2026</c:v>
                </c:pt>
              </c:numCache>
            </c:numRef>
          </c:cat>
          <c:val>
            <c:numRef>
              <c:f>tab_x_año_individuales!$AC$7:$AC$42</c:f>
              <c:numCache>
                <c:formatCode>0.0%</c:formatCode>
                <c:ptCount val="36"/>
                <c:pt idx="0">
                  <c:v>0.57894736842105265</c:v>
                </c:pt>
                <c:pt idx="1">
                  <c:v>0.7633928571428571</c:v>
                </c:pt>
                <c:pt idx="2">
                  <c:v>0.72180451127819545</c:v>
                </c:pt>
                <c:pt idx="3">
                  <c:v>0.72394366197183102</c:v>
                </c:pt>
                <c:pt idx="4">
                  <c:v>0.75562700964630225</c:v>
                </c:pt>
                <c:pt idx="5">
                  <c:v>0.78975741239892183</c:v>
                </c:pt>
                <c:pt idx="6">
                  <c:v>0.7764127764127764</c:v>
                </c:pt>
                <c:pt idx="7">
                  <c:v>0.67647058823529416</c:v>
                </c:pt>
                <c:pt idx="8">
                  <c:v>0.70833333333333337</c:v>
                </c:pt>
                <c:pt idx="9">
                  <c:v>0.65050167224080269</c:v>
                </c:pt>
                <c:pt idx="10">
                  <c:v>0.64102564102564108</c:v>
                </c:pt>
                <c:pt idx="11">
                  <c:v>0.58563535911602205</c:v>
                </c:pt>
                <c:pt idx="12">
                  <c:v>0.53548387096774197</c:v>
                </c:pt>
                <c:pt idx="13">
                  <c:v>0.42512908777969016</c:v>
                </c:pt>
                <c:pt idx="14">
                  <c:v>0.47842401500938087</c:v>
                </c:pt>
                <c:pt idx="15">
                  <c:v>0.43145161290322581</c:v>
                </c:pt>
                <c:pt idx="16">
                  <c:v>0.46019417475728153</c:v>
                </c:pt>
                <c:pt idx="17">
                  <c:v>0.3686635944700461</c:v>
                </c:pt>
                <c:pt idx="18">
                  <c:v>0.41902313624678661</c:v>
                </c:pt>
                <c:pt idx="19">
                  <c:v>0.36432160804020103</c:v>
                </c:pt>
                <c:pt idx="20">
                  <c:v>0.48628884826325414</c:v>
                </c:pt>
                <c:pt idx="21">
                  <c:v>0.37279151943462896</c:v>
                </c:pt>
                <c:pt idx="22">
                  <c:v>0.30823117338003503</c:v>
                </c:pt>
                <c:pt idx="23">
                  <c:v>0.25645756457564578</c:v>
                </c:pt>
                <c:pt idx="24">
                  <c:v>0.27692307692307694</c:v>
                </c:pt>
                <c:pt idx="25">
                  <c:v>0.30921985815602837</c:v>
                </c:pt>
                <c:pt idx="26">
                  <c:v>0.2052877138413686</c:v>
                </c:pt>
                <c:pt idx="27">
                  <c:v>0.17751479289940827</c:v>
                </c:pt>
                <c:pt idx="28">
                  <c:v>0.26779661016949152</c:v>
                </c:pt>
                <c:pt idx="29">
                  <c:v>0.25720620842572062</c:v>
                </c:pt>
                <c:pt idx="30">
                  <c:v>0.27651515151515149</c:v>
                </c:pt>
                <c:pt idx="31">
                  <c:v>0.30578512396694213</c:v>
                </c:pt>
                <c:pt idx="32">
                  <c:v>0.24518388791593695</c:v>
                </c:pt>
                <c:pt idx="33">
                  <c:v>0.16691068814055637</c:v>
                </c:pt>
                <c:pt idx="34">
                  <c:v>0.11477572559366754</c:v>
                </c:pt>
                <c:pt idx="35">
                  <c:v>0.2879581151832461</c:v>
                </c:pt>
              </c:numCache>
            </c:numRef>
          </c:val>
          <c:smooth val="0"/>
          <c:extLst>
            <c:ext xmlns:c16="http://schemas.microsoft.com/office/drawing/2014/chart" uri="{C3380CC4-5D6E-409C-BE32-E72D297353CC}">
              <c16:uniqueId val="{00000001-7CEA-3249-B028-82D67567EFFD}"/>
            </c:ext>
          </c:extLst>
        </c:ser>
        <c:dLbls>
          <c:showLegendKey val="0"/>
          <c:showVal val="0"/>
          <c:showCatName val="0"/>
          <c:showSerName val="0"/>
          <c:showPercent val="0"/>
          <c:showBubbleSize val="0"/>
        </c:dLbls>
        <c:marker val="1"/>
        <c:smooth val="0"/>
        <c:axId val="579510576"/>
        <c:axId val="579514416"/>
      </c:lineChart>
      <c:catAx>
        <c:axId val="534588896"/>
        <c:scaling>
          <c:orientation val="minMax"/>
        </c:scaling>
        <c:delete val="0"/>
        <c:axPos val="b"/>
        <c:majorGridlines>
          <c:spPr>
            <a:ln w="9525" cap="flat" cmpd="sng" algn="ctr">
              <a:solidFill>
                <a:schemeClr val="bg1">
                  <a:lumMod val="95000"/>
                </a:schemeClr>
              </a:solidFill>
              <a:round/>
            </a:ln>
            <a:effectLst/>
          </c:spPr>
        </c:majorGridlines>
        <c:title>
          <c:tx>
            <c:rich>
              <a:bodyPr rot="0" spcFirstLastPara="1" vertOverflow="ellipsis" vert="horz" wrap="square" anchor="ctr" anchorCtr="1"/>
              <a:lstStyle/>
              <a:p>
                <a:pPr>
                  <a:defRPr sz="800" b="0" i="1"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Despacho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99456"/>
        <c:crosses val="autoZero"/>
        <c:auto val="1"/>
        <c:lblAlgn val="ctr"/>
        <c:lblOffset val="100"/>
        <c:noMultiLvlLbl val="0"/>
      </c:catAx>
      <c:valAx>
        <c:axId val="534599456"/>
        <c:scaling>
          <c:orientation val="minMax"/>
        </c:scaling>
        <c:delete val="0"/>
        <c:axPos val="l"/>
        <c:majorGridlines>
          <c:spPr>
            <a:ln w="9525" cap="flat" cmpd="sng" algn="ctr">
              <a:solidFill>
                <a:schemeClr val="bg1">
                  <a:lumMod val="9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Cantidad de demandas</a:t>
                </a:r>
              </a:p>
            </c:rich>
          </c:tx>
          <c:overlay val="0"/>
          <c:spPr>
            <a:noFill/>
            <a:ln>
              <a:noFill/>
            </a:ln>
            <a:effectLst/>
          </c:spPr>
        </c:title>
        <c:numFmt formatCode="#,##0_ ;[Red]\-#,##0\ "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88896"/>
        <c:crosses val="autoZero"/>
        <c:crossBetween val="between"/>
      </c:valAx>
      <c:valAx>
        <c:axId val="579514416"/>
        <c:scaling>
          <c:orientation val="minMax"/>
        </c:scaling>
        <c:delete val="0"/>
        <c:axPos val="r"/>
        <c:title>
          <c:tx>
            <c:rich>
              <a:bodyPr rot="-54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r>
                  <a:rPr lang="en-US" i="1">
                    <a:solidFill>
                      <a:schemeClr val="bg1">
                        <a:lumMod val="65000"/>
                      </a:schemeClr>
                    </a:solidFill>
                  </a:rPr>
                  <a:t>% admisión</a:t>
                </a:r>
              </a:p>
            </c:rich>
          </c:tx>
          <c:overlay val="0"/>
          <c:spPr>
            <a:noFill/>
            <a:ln>
              <a:noFill/>
            </a:ln>
            <a:effectLst/>
          </c:sp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79510576"/>
        <c:crosses val="max"/>
        <c:crossBetween val="between"/>
      </c:valAx>
      <c:catAx>
        <c:axId val="579510576"/>
        <c:scaling>
          <c:orientation val="minMax"/>
        </c:scaling>
        <c:delete val="1"/>
        <c:axPos val="b"/>
        <c:numFmt formatCode="General" sourceLinked="1"/>
        <c:majorTickMark val="out"/>
        <c:minorTickMark val="none"/>
        <c:tickLblPos val="nextTo"/>
        <c:crossAx val="579514416"/>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legend>
    <c:plotVisOnly val="1"/>
    <c:dispBlanksAs val="gap"/>
    <c:showDLblsOverMax val="0"/>
  </c:chart>
  <c:spPr>
    <a:solidFill>
      <a:schemeClr val="bg1"/>
    </a:solidFill>
    <a:ln w="9525" cap="flat" cmpd="sng" algn="ctr">
      <a:solidFill>
        <a:schemeClr val="bg1">
          <a:lumMod val="95000"/>
        </a:schemeClr>
      </a:solidFill>
      <a:round/>
    </a:ln>
    <a:effectLst/>
  </c:spPr>
  <c:txPr>
    <a:bodyPr/>
    <a:lstStyle/>
    <a:p>
      <a:pPr>
        <a:defRPr sz="800">
          <a:solidFill>
            <a:sysClr val="windowText" lastClr="000000"/>
          </a:solidFill>
          <a:latin typeface="Avenir Book" panose="02000503020000020003" pitchFamily="2" charset="0"/>
        </a:defRPr>
      </a:pPr>
      <a:endParaRPr lang="es-C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ysClr val="windowText" lastClr="000000"/>
                </a:solidFill>
                <a:latin typeface="Avenir Book" panose="02000503020000020003" pitchFamily="2" charset="0"/>
                <a:ea typeface="+mn-ea"/>
                <a:cs typeface="+mn-cs"/>
              </a:defRPr>
            </a:pPr>
            <a:r>
              <a:rPr lang="es-CO" b="1"/>
              <a:t>% sentencias de constuitucionalidad con inhibitorios</a:t>
            </a:r>
          </a:p>
          <a:p>
            <a:pPr>
              <a:defRPr sz="960" b="0" i="0" u="none" strike="noStrike" kern="1200" spc="0" baseline="0">
                <a:solidFill>
                  <a:sysClr val="windowText" lastClr="000000"/>
                </a:solidFill>
                <a:latin typeface="Avenir Book" panose="02000503020000020003" pitchFamily="2" charset="0"/>
                <a:ea typeface="+mn-ea"/>
                <a:cs typeface="+mn-cs"/>
              </a:defRPr>
            </a:pPr>
            <a:r>
              <a:rPr lang="es-CO" b="1">
                <a:solidFill>
                  <a:schemeClr val="tx1">
                    <a:lumMod val="50000"/>
                    <a:lumOff val="50000"/>
                  </a:schemeClr>
                </a:solidFill>
              </a:rPr>
              <a:t>-demandas</a:t>
            </a:r>
            <a:r>
              <a:rPr lang="es-CO" b="1" baseline="0">
                <a:solidFill>
                  <a:schemeClr val="tx1">
                    <a:lumMod val="50000"/>
                    <a:lumOff val="50000"/>
                  </a:schemeClr>
                </a:solidFill>
              </a:rPr>
              <a:t> de incosntitucionalidad-</a:t>
            </a:r>
            <a:endParaRPr lang="es-CO" b="1">
              <a:solidFill>
                <a:schemeClr val="tx1">
                  <a:lumMod val="50000"/>
                  <a:lumOff val="50000"/>
                </a:schemeClr>
              </a:solidFill>
            </a:endParaRPr>
          </a:p>
        </c:rich>
      </c:tx>
      <c:overlay val="0"/>
      <c:spPr>
        <a:noFill/>
        <a:ln>
          <a:solidFill>
            <a:schemeClr val="bg1">
              <a:lumMod val="95000"/>
            </a:schemeClr>
          </a:solidFill>
        </a:ln>
        <a:effectLst/>
      </c:spPr>
    </c:title>
    <c:autoTitleDeleted val="0"/>
    <c:plotArea>
      <c:layout/>
      <c:barChart>
        <c:barDir val="col"/>
        <c:grouping val="clustered"/>
        <c:varyColors val="0"/>
        <c:ser>
          <c:idx val="0"/>
          <c:order val="0"/>
          <c:tx>
            <c:strRef>
              <c:f>tab_inhibitorio_resuelve_DEMAND!$L$6</c:f>
              <c:strCache>
                <c:ptCount val="1"/>
                <c:pt idx="0">
                  <c:v>Cantidad de sentencias de constitucionalidad proferidas</c:v>
                </c:pt>
              </c:strCache>
            </c:strRef>
          </c:tx>
          <c:spPr>
            <a:solidFill>
              <a:schemeClr val="bg1">
                <a:lumMod val="75000"/>
              </a:schemeClr>
            </a:solidFill>
            <a:ln>
              <a:noFill/>
            </a:ln>
            <a:effectLst/>
          </c:spPr>
          <c:invertIfNegative val="0"/>
          <c:cat>
            <c:numRef>
              <c:f>tab_inhibitorio_resuelve_DEMAND!$K$7:$K$41</c:f>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f>tab_inhibitorio_resuelve_DEMAND!$L$7:$L$41</c:f>
              <c:numCache>
                <c:formatCode>#,##0</c:formatCode>
                <c:ptCount val="35"/>
                <c:pt idx="0">
                  <c:v>38</c:v>
                </c:pt>
                <c:pt idx="1">
                  <c:v>141</c:v>
                </c:pt>
                <c:pt idx="2">
                  <c:v>190</c:v>
                </c:pt>
                <c:pt idx="3">
                  <c:v>195</c:v>
                </c:pt>
                <c:pt idx="4">
                  <c:v>297</c:v>
                </c:pt>
                <c:pt idx="5">
                  <c:v>252</c:v>
                </c:pt>
                <c:pt idx="6">
                  <c:v>218</c:v>
                </c:pt>
                <c:pt idx="7">
                  <c:v>242</c:v>
                </c:pt>
                <c:pt idx="8">
                  <c:v>346</c:v>
                </c:pt>
                <c:pt idx="9">
                  <c:v>318</c:v>
                </c:pt>
                <c:pt idx="10">
                  <c:v>298</c:v>
                </c:pt>
                <c:pt idx="11">
                  <c:v>304</c:v>
                </c:pt>
                <c:pt idx="12">
                  <c:v>287</c:v>
                </c:pt>
                <c:pt idx="13">
                  <c:v>240</c:v>
                </c:pt>
                <c:pt idx="14">
                  <c:v>224</c:v>
                </c:pt>
                <c:pt idx="15">
                  <c:v>185</c:v>
                </c:pt>
                <c:pt idx="16">
                  <c:v>224</c:v>
                </c:pt>
                <c:pt idx="17">
                  <c:v>152</c:v>
                </c:pt>
                <c:pt idx="18">
                  <c:v>134</c:v>
                </c:pt>
                <c:pt idx="19">
                  <c:v>146</c:v>
                </c:pt>
                <c:pt idx="20">
                  <c:v>190</c:v>
                </c:pt>
                <c:pt idx="21">
                  <c:v>172</c:v>
                </c:pt>
                <c:pt idx="22">
                  <c:v>163</c:v>
                </c:pt>
                <c:pt idx="23">
                  <c:v>129</c:v>
                </c:pt>
                <c:pt idx="24">
                  <c:v>172</c:v>
                </c:pt>
                <c:pt idx="25">
                  <c:v>109</c:v>
                </c:pt>
                <c:pt idx="26">
                  <c:v>85</c:v>
                </c:pt>
                <c:pt idx="27">
                  <c:v>196</c:v>
                </c:pt>
                <c:pt idx="28">
                  <c:v>93</c:v>
                </c:pt>
                <c:pt idx="29">
                  <c:v>137</c:v>
                </c:pt>
                <c:pt idx="30">
                  <c:v>104</c:v>
                </c:pt>
                <c:pt idx="31">
                  <c:v>132</c:v>
                </c:pt>
                <c:pt idx="32">
                  <c:v>86</c:v>
                </c:pt>
                <c:pt idx="33">
                  <c:v>85</c:v>
                </c:pt>
                <c:pt idx="34">
                  <c:v>36</c:v>
                </c:pt>
              </c:numCache>
            </c:numRef>
          </c:val>
          <c:extLst>
            <c:ext xmlns:c16="http://schemas.microsoft.com/office/drawing/2014/chart" uri="{C3380CC4-5D6E-409C-BE32-E72D297353CC}">
              <c16:uniqueId val="{00000000-662F-124D-8C8B-76155EAE1780}"/>
            </c:ext>
          </c:extLst>
        </c:ser>
        <c:dLbls>
          <c:showLegendKey val="0"/>
          <c:showVal val="0"/>
          <c:showCatName val="0"/>
          <c:showSerName val="0"/>
          <c:showPercent val="0"/>
          <c:showBubbleSize val="0"/>
        </c:dLbls>
        <c:gapWidth val="50"/>
        <c:axId val="534588896"/>
        <c:axId val="534599456"/>
        <c:extLst>
          <c:ext xmlns:c15="http://schemas.microsoft.com/office/drawing/2012/chart" uri="{02D57815-91ED-43cb-92C2-25804820EDAC}">
            <c15:filteredBarSeries>
              <c15:ser>
                <c:idx val="1"/>
                <c:order val="1"/>
                <c:tx>
                  <c:strRef>
                    <c:extLst>
                      <c:ext uri="{02D57815-91ED-43cb-92C2-25804820EDAC}">
                        <c15:formulaRef>
                          <c15:sqref>tab_inhibitorio_resuelve_DEMAND!$M$6</c15:sqref>
                        </c15:formulaRef>
                      </c:ext>
                    </c:extLst>
                    <c:strCache>
                      <c:ptCount val="1"/>
                      <c:pt idx="0">
                        <c:v>Sentencias con inhibitorios</c:v>
                      </c:pt>
                    </c:strCache>
                  </c:strRef>
                </c:tx>
                <c:spPr>
                  <a:solidFill>
                    <a:schemeClr val="accent2"/>
                  </a:solidFill>
                  <a:ln>
                    <a:noFill/>
                  </a:ln>
                  <a:effectLst/>
                </c:spPr>
                <c:invertIfNegative val="0"/>
                <c:cat>
                  <c:numRef>
                    <c:extLst>
                      <c:ext uri="{02D57815-91ED-43cb-92C2-25804820EDAC}">
                        <c15:formulaRef>
                          <c15:sqref>tab_inhibitorio_resuelve_DEMAND!$K$7:$K$41</c15:sqref>
                        </c15:formulaRef>
                      </c:ext>
                    </c:extLst>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extLst>
                      <c:ext uri="{02D57815-91ED-43cb-92C2-25804820EDAC}">
                        <c15:formulaRef>
                          <c15:sqref>tab_inhibitorio_resuelve_DEMAND!$M$7:$M$41</c15:sqref>
                        </c15:formulaRef>
                      </c:ext>
                    </c:extLst>
                    <c:numCache>
                      <c:formatCode>#,##0</c:formatCode>
                      <c:ptCount val="35"/>
                      <c:pt idx="0">
                        <c:v>3</c:v>
                      </c:pt>
                      <c:pt idx="1">
                        <c:v>11</c:v>
                      </c:pt>
                      <c:pt idx="2">
                        <c:v>23</c:v>
                      </c:pt>
                      <c:pt idx="3">
                        <c:v>17</c:v>
                      </c:pt>
                      <c:pt idx="4">
                        <c:v>33</c:v>
                      </c:pt>
                      <c:pt idx="5">
                        <c:v>22</c:v>
                      </c:pt>
                      <c:pt idx="6">
                        <c:v>31</c:v>
                      </c:pt>
                      <c:pt idx="7">
                        <c:v>38</c:v>
                      </c:pt>
                      <c:pt idx="8">
                        <c:v>59</c:v>
                      </c:pt>
                      <c:pt idx="9">
                        <c:v>76</c:v>
                      </c:pt>
                      <c:pt idx="10">
                        <c:v>74</c:v>
                      </c:pt>
                      <c:pt idx="11">
                        <c:v>64</c:v>
                      </c:pt>
                      <c:pt idx="12">
                        <c:v>67</c:v>
                      </c:pt>
                      <c:pt idx="13">
                        <c:v>75</c:v>
                      </c:pt>
                      <c:pt idx="14">
                        <c:v>77</c:v>
                      </c:pt>
                      <c:pt idx="15">
                        <c:v>58</c:v>
                      </c:pt>
                      <c:pt idx="16">
                        <c:v>97</c:v>
                      </c:pt>
                      <c:pt idx="17">
                        <c:v>50</c:v>
                      </c:pt>
                      <c:pt idx="18">
                        <c:v>50</c:v>
                      </c:pt>
                      <c:pt idx="19">
                        <c:v>48</c:v>
                      </c:pt>
                      <c:pt idx="20">
                        <c:v>49</c:v>
                      </c:pt>
                      <c:pt idx="21">
                        <c:v>57</c:v>
                      </c:pt>
                      <c:pt idx="22">
                        <c:v>48</c:v>
                      </c:pt>
                      <c:pt idx="23">
                        <c:v>37</c:v>
                      </c:pt>
                      <c:pt idx="24">
                        <c:v>43</c:v>
                      </c:pt>
                      <c:pt idx="25">
                        <c:v>40</c:v>
                      </c:pt>
                      <c:pt idx="26">
                        <c:v>29</c:v>
                      </c:pt>
                      <c:pt idx="27">
                        <c:v>83</c:v>
                      </c:pt>
                      <c:pt idx="28">
                        <c:v>41</c:v>
                      </c:pt>
                      <c:pt idx="29">
                        <c:v>41</c:v>
                      </c:pt>
                      <c:pt idx="30">
                        <c:v>24</c:v>
                      </c:pt>
                      <c:pt idx="31">
                        <c:v>36</c:v>
                      </c:pt>
                      <c:pt idx="32">
                        <c:v>21</c:v>
                      </c:pt>
                      <c:pt idx="33">
                        <c:v>35</c:v>
                      </c:pt>
                      <c:pt idx="34">
                        <c:v>11</c:v>
                      </c:pt>
                    </c:numCache>
                  </c:numRef>
                </c:val>
                <c:extLst>
                  <c:ext xmlns:c16="http://schemas.microsoft.com/office/drawing/2014/chart" uri="{C3380CC4-5D6E-409C-BE32-E72D297353CC}">
                    <c16:uniqueId val="{00000002-662F-124D-8C8B-76155EAE1780}"/>
                  </c:ext>
                </c:extLst>
              </c15:ser>
            </c15:filteredBarSeries>
          </c:ext>
        </c:extLst>
      </c:barChart>
      <c:lineChart>
        <c:grouping val="standard"/>
        <c:varyColors val="0"/>
        <c:ser>
          <c:idx val="2"/>
          <c:order val="2"/>
          <c:tx>
            <c:strRef>
              <c:f>tab_inhibitorio_resuelve_DEMAND!$N$6</c:f>
              <c:strCache>
                <c:ptCount val="1"/>
                <c:pt idx="0">
                  <c:v>% sentencias con inhibitorios</c:v>
                </c:pt>
              </c:strCache>
            </c:strRef>
          </c:tx>
          <c:spPr>
            <a:ln w="28575" cap="rnd">
              <a:solidFill>
                <a:srgbClr val="92D050"/>
              </a:solidFill>
              <a:round/>
            </a:ln>
            <a:effectLst/>
          </c:spPr>
          <c:marker>
            <c:symbol val="circle"/>
            <c:size val="5"/>
            <c:spPr>
              <a:solidFill>
                <a:schemeClr val="bg1">
                  <a:lumMod val="95000"/>
                </a:schemeClr>
              </a:solidFill>
              <a:ln w="9525">
                <a:solidFill>
                  <a:srgbClr val="92D050"/>
                </a:solidFill>
              </a:ln>
              <a:effectLst/>
            </c:spPr>
          </c:marker>
          <c:dLbls>
            <c:spPr>
              <a:solidFill>
                <a:schemeClr val="accent6">
                  <a:lumMod val="20000"/>
                  <a:lumOff val="80000"/>
                </a:schemeClr>
              </a:solidFill>
              <a:ln>
                <a:noFill/>
              </a:ln>
              <a:effectLst/>
            </c:spPr>
            <c:txPr>
              <a:bodyPr rot="-5400000" spcFirstLastPara="1" vertOverflow="ellipsis" wrap="square" lIns="38100" tIns="19050" rIns="38100" bIns="19050" anchor="ctr" anchorCtr="1">
                <a:spAutoFit/>
              </a:bodyPr>
              <a:lstStyle/>
              <a:p>
                <a:pPr>
                  <a:defRPr sz="800" b="1" i="0" u="none" strike="noStrike" kern="1200" baseline="0">
                    <a:solidFill>
                      <a:sysClr val="windowText" lastClr="000000"/>
                    </a:solidFill>
                    <a:latin typeface="Avenir Book" panose="02000503020000020003" pitchFamily="2" charset="0"/>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tab_inhibitorio_resuelve_DEMAND!$K$7:$K$41</c:f>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f>tab_inhibitorio_resuelve_DEMAND!$N$7:$N$41</c:f>
              <c:numCache>
                <c:formatCode>0.0%</c:formatCode>
                <c:ptCount val="35"/>
                <c:pt idx="0">
                  <c:v>7.8947368421052627E-2</c:v>
                </c:pt>
                <c:pt idx="1">
                  <c:v>7.8014184397163122E-2</c:v>
                </c:pt>
                <c:pt idx="2">
                  <c:v>0.12105263157894737</c:v>
                </c:pt>
                <c:pt idx="3">
                  <c:v>8.7179487179487175E-2</c:v>
                </c:pt>
                <c:pt idx="4">
                  <c:v>0.1111111111111111</c:v>
                </c:pt>
                <c:pt idx="5">
                  <c:v>8.7301587301587297E-2</c:v>
                </c:pt>
                <c:pt idx="6">
                  <c:v>0.14220183486238533</c:v>
                </c:pt>
                <c:pt idx="7">
                  <c:v>0.15702479338842976</c:v>
                </c:pt>
                <c:pt idx="8">
                  <c:v>0.17052023121387283</c:v>
                </c:pt>
                <c:pt idx="9">
                  <c:v>0.2389937106918239</c:v>
                </c:pt>
                <c:pt idx="10">
                  <c:v>0.24832214765100671</c:v>
                </c:pt>
                <c:pt idx="11">
                  <c:v>0.21052631578947367</c:v>
                </c:pt>
                <c:pt idx="12">
                  <c:v>0.23344947735191637</c:v>
                </c:pt>
                <c:pt idx="13">
                  <c:v>0.3125</c:v>
                </c:pt>
                <c:pt idx="14">
                  <c:v>0.34375</c:v>
                </c:pt>
                <c:pt idx="15">
                  <c:v>0.31351351351351353</c:v>
                </c:pt>
                <c:pt idx="16">
                  <c:v>0.4330357142857143</c:v>
                </c:pt>
                <c:pt idx="17">
                  <c:v>0.32894736842105265</c:v>
                </c:pt>
                <c:pt idx="18">
                  <c:v>0.37313432835820898</c:v>
                </c:pt>
                <c:pt idx="19">
                  <c:v>0.32876712328767121</c:v>
                </c:pt>
                <c:pt idx="20">
                  <c:v>0.25789473684210529</c:v>
                </c:pt>
                <c:pt idx="21">
                  <c:v>0.33139534883720928</c:v>
                </c:pt>
                <c:pt idx="22">
                  <c:v>0.29447852760736198</c:v>
                </c:pt>
                <c:pt idx="23">
                  <c:v>0.2868217054263566</c:v>
                </c:pt>
                <c:pt idx="24">
                  <c:v>0.25</c:v>
                </c:pt>
                <c:pt idx="25">
                  <c:v>0.3669724770642202</c:v>
                </c:pt>
                <c:pt idx="26">
                  <c:v>0.3411764705882353</c:v>
                </c:pt>
                <c:pt idx="27">
                  <c:v>0.42346938775510207</c:v>
                </c:pt>
                <c:pt idx="28">
                  <c:v>0.44086021505376344</c:v>
                </c:pt>
                <c:pt idx="29">
                  <c:v>0.29927007299270075</c:v>
                </c:pt>
                <c:pt idx="30">
                  <c:v>0.23076923076923078</c:v>
                </c:pt>
                <c:pt idx="31">
                  <c:v>0.27272727272727271</c:v>
                </c:pt>
                <c:pt idx="32">
                  <c:v>0.2441860465116279</c:v>
                </c:pt>
                <c:pt idx="33">
                  <c:v>0.41176470588235292</c:v>
                </c:pt>
                <c:pt idx="34">
                  <c:v>0.30555555555555558</c:v>
                </c:pt>
              </c:numCache>
            </c:numRef>
          </c:val>
          <c:smooth val="0"/>
          <c:extLst>
            <c:ext xmlns:c16="http://schemas.microsoft.com/office/drawing/2014/chart" uri="{C3380CC4-5D6E-409C-BE32-E72D297353CC}">
              <c16:uniqueId val="{00000001-662F-124D-8C8B-76155EAE1780}"/>
            </c:ext>
          </c:extLst>
        </c:ser>
        <c:dLbls>
          <c:showLegendKey val="0"/>
          <c:showVal val="0"/>
          <c:showCatName val="0"/>
          <c:showSerName val="0"/>
          <c:showPercent val="0"/>
          <c:showBubbleSize val="0"/>
        </c:dLbls>
        <c:marker val="1"/>
        <c:smooth val="0"/>
        <c:axId val="2081385775"/>
        <c:axId val="2081380015"/>
      </c:lineChart>
      <c:catAx>
        <c:axId val="534588896"/>
        <c:scaling>
          <c:orientation val="minMax"/>
        </c:scaling>
        <c:delete val="0"/>
        <c:axPos val="b"/>
        <c:majorGridlines>
          <c:spPr>
            <a:ln w="9525" cap="flat" cmpd="sng" algn="ctr">
              <a:solidFill>
                <a:schemeClr val="bg1">
                  <a:lumMod val="95000"/>
                </a:schemeClr>
              </a:solidFill>
              <a:round/>
            </a:ln>
            <a:effectLst/>
          </c:spPr>
        </c:majorGridlines>
        <c:title>
          <c:tx>
            <c:rich>
              <a:bodyPr rot="0" spcFirstLastPara="1" vertOverflow="ellipsis" vert="horz" wrap="square" anchor="ctr" anchorCtr="1"/>
              <a:lstStyle/>
              <a:p>
                <a:pPr>
                  <a:defRPr sz="800" b="0" i="1"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Fecha sentencia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99456"/>
        <c:crosses val="autoZero"/>
        <c:auto val="1"/>
        <c:lblAlgn val="ctr"/>
        <c:lblOffset val="100"/>
        <c:noMultiLvlLbl val="0"/>
      </c:catAx>
      <c:valAx>
        <c:axId val="534599456"/>
        <c:scaling>
          <c:orientation val="minMax"/>
        </c:scaling>
        <c:delete val="0"/>
        <c:axPos val="l"/>
        <c:majorGridlines>
          <c:spPr>
            <a:ln w="9525" cap="flat" cmpd="sng" algn="ctr">
              <a:solidFill>
                <a:schemeClr val="bg1">
                  <a:lumMod val="9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Cantidad</a:t>
                </a:r>
                <a:r>
                  <a:rPr lang="es-CO" i="1" baseline="0">
                    <a:solidFill>
                      <a:schemeClr val="bg1">
                        <a:lumMod val="65000"/>
                      </a:schemeClr>
                    </a:solidFill>
                  </a:rPr>
                  <a:t> de sentencias</a:t>
                </a:r>
                <a:endParaRPr lang="es-CO" i="1">
                  <a:solidFill>
                    <a:schemeClr val="bg1">
                      <a:lumMod val="65000"/>
                    </a:schemeClr>
                  </a:solidFill>
                </a:endParaRP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88896"/>
        <c:crosses val="autoZero"/>
        <c:crossBetween val="between"/>
      </c:valAx>
      <c:valAx>
        <c:axId val="2081380015"/>
        <c:scaling>
          <c:orientation val="minMax"/>
        </c:scaling>
        <c:delete val="0"/>
        <c:axPos val="r"/>
        <c:title>
          <c:tx>
            <c:rich>
              <a:bodyPr rot="-5400000" spcFirstLastPara="1" vertOverflow="ellipsis" vert="horz" wrap="square" anchor="ctr" anchorCtr="1"/>
              <a:lstStyle/>
              <a:p>
                <a:pPr>
                  <a:defRPr sz="800" b="0" i="1" u="none" strike="noStrike" kern="1200" baseline="0">
                    <a:solidFill>
                      <a:schemeClr val="bg1">
                        <a:lumMod val="65000"/>
                      </a:schemeClr>
                    </a:solidFill>
                    <a:latin typeface="Avenir Book" panose="02000503020000020003" pitchFamily="2" charset="0"/>
                    <a:ea typeface="+mn-ea"/>
                    <a:cs typeface="+mn-cs"/>
                  </a:defRPr>
                </a:pPr>
                <a:r>
                  <a:rPr lang="es-CO" i="1">
                    <a:solidFill>
                      <a:schemeClr val="bg1">
                        <a:lumMod val="65000"/>
                      </a:schemeClr>
                    </a:solidFill>
                  </a:rPr>
                  <a:t>% sentencias</a:t>
                </a:r>
                <a:r>
                  <a:rPr lang="es-CO" i="1" baseline="0">
                    <a:solidFill>
                      <a:schemeClr val="bg1">
                        <a:lumMod val="65000"/>
                      </a:schemeClr>
                    </a:solidFill>
                  </a:rPr>
                  <a:t> con inhibitorios</a:t>
                </a:r>
                <a:endParaRPr lang="es-CO" i="1">
                  <a:solidFill>
                    <a:schemeClr val="bg1">
                      <a:lumMod val="65000"/>
                    </a:schemeClr>
                  </a:solidFill>
                </a:endParaRPr>
              </a:p>
            </c:rich>
          </c:tx>
          <c:overlay val="0"/>
          <c:spPr>
            <a:noFill/>
            <a:ln>
              <a:noFill/>
            </a:ln>
            <a:effectLst/>
          </c:sp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2081385775"/>
        <c:crosses val="max"/>
        <c:crossBetween val="between"/>
      </c:valAx>
      <c:catAx>
        <c:axId val="2081385775"/>
        <c:scaling>
          <c:orientation val="minMax"/>
        </c:scaling>
        <c:delete val="1"/>
        <c:axPos val="b"/>
        <c:numFmt formatCode="General" sourceLinked="1"/>
        <c:majorTickMark val="out"/>
        <c:minorTickMark val="none"/>
        <c:tickLblPos val="nextTo"/>
        <c:crossAx val="2081380015"/>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legend>
    <c:plotVisOnly val="1"/>
    <c:dispBlanksAs val="gap"/>
    <c:showDLblsOverMax val="0"/>
  </c:chart>
  <c:spPr>
    <a:solidFill>
      <a:schemeClr val="bg1"/>
    </a:solidFill>
    <a:ln w="9525" cap="flat" cmpd="sng" algn="ctr">
      <a:solidFill>
        <a:schemeClr val="bg1">
          <a:lumMod val="95000"/>
        </a:schemeClr>
      </a:solidFill>
      <a:round/>
    </a:ln>
    <a:effectLst/>
  </c:spPr>
  <c:txPr>
    <a:bodyPr/>
    <a:lstStyle/>
    <a:p>
      <a:pPr>
        <a:defRPr sz="800">
          <a:solidFill>
            <a:sysClr val="windowText" lastClr="000000"/>
          </a:solidFill>
          <a:latin typeface="Avenir Book" panose="02000503020000020003" pitchFamily="2" charset="0"/>
        </a:defRPr>
      </a:pPr>
      <a:endParaRPr lang="es-CO"/>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ysClr val="windowText" lastClr="000000"/>
                </a:solidFill>
                <a:latin typeface="Avenir Book" panose="02000503020000020003" pitchFamily="2" charset="0"/>
                <a:ea typeface="+mn-ea"/>
                <a:cs typeface="+mn-cs"/>
              </a:defRPr>
            </a:pPr>
            <a:r>
              <a:rPr lang="es-CO" b="1"/>
              <a:t>% sentencias de constuitucionalidad con inhibitorios únicos</a:t>
            </a:r>
          </a:p>
          <a:p>
            <a:pPr>
              <a:defRPr sz="960" b="0" i="0" u="none" strike="noStrike" kern="1200" spc="0" baseline="0">
                <a:solidFill>
                  <a:sysClr val="windowText" lastClr="000000"/>
                </a:solidFill>
                <a:latin typeface="Avenir Book" panose="02000503020000020003" pitchFamily="2" charset="0"/>
                <a:ea typeface="+mn-ea"/>
                <a:cs typeface="+mn-cs"/>
              </a:defRPr>
            </a:pPr>
            <a:r>
              <a:rPr lang="es-CO" b="1">
                <a:solidFill>
                  <a:schemeClr val="tx1">
                    <a:lumMod val="50000"/>
                    <a:lumOff val="50000"/>
                  </a:schemeClr>
                </a:solidFill>
              </a:rPr>
              <a:t>-demandas de incostitucionalidad-</a:t>
            </a:r>
          </a:p>
        </c:rich>
      </c:tx>
      <c:overlay val="0"/>
      <c:spPr>
        <a:noFill/>
        <a:ln>
          <a:solidFill>
            <a:schemeClr val="bg1">
              <a:lumMod val="95000"/>
            </a:schemeClr>
          </a:solidFill>
        </a:ln>
        <a:effectLst/>
      </c:spPr>
    </c:title>
    <c:autoTitleDeleted val="0"/>
    <c:plotArea>
      <c:layout/>
      <c:barChart>
        <c:barDir val="col"/>
        <c:grouping val="clustered"/>
        <c:varyColors val="0"/>
        <c:ser>
          <c:idx val="0"/>
          <c:order val="0"/>
          <c:tx>
            <c:strRef>
              <c:f>tab_inhibitorio_resuelve_DEMAND!$Q$6</c:f>
              <c:strCache>
                <c:ptCount val="1"/>
                <c:pt idx="0">
                  <c:v>Cantidad de sentencias de constitucionalidad proferidas</c:v>
                </c:pt>
              </c:strCache>
            </c:strRef>
          </c:tx>
          <c:spPr>
            <a:solidFill>
              <a:schemeClr val="bg1">
                <a:lumMod val="75000"/>
              </a:schemeClr>
            </a:solidFill>
            <a:ln>
              <a:noFill/>
            </a:ln>
            <a:effectLst/>
          </c:spPr>
          <c:invertIfNegative val="0"/>
          <c:cat>
            <c:numRef>
              <c:f>tab_inhibitorio_resuelve_DEMAND!$K$7:$K$41</c:f>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f>tab_inhibitorio_resuelve_DEMAND!$Q$7:$Q$41</c:f>
              <c:numCache>
                <c:formatCode>#,##0</c:formatCode>
                <c:ptCount val="35"/>
                <c:pt idx="0">
                  <c:v>38</c:v>
                </c:pt>
                <c:pt idx="1">
                  <c:v>141</c:v>
                </c:pt>
                <c:pt idx="2">
                  <c:v>190</c:v>
                </c:pt>
                <c:pt idx="3">
                  <c:v>195</c:v>
                </c:pt>
                <c:pt idx="4">
                  <c:v>297</c:v>
                </c:pt>
                <c:pt idx="5">
                  <c:v>252</c:v>
                </c:pt>
                <c:pt idx="6">
                  <c:v>218</c:v>
                </c:pt>
                <c:pt idx="7">
                  <c:v>242</c:v>
                </c:pt>
                <c:pt idx="8">
                  <c:v>346</c:v>
                </c:pt>
                <c:pt idx="9">
                  <c:v>318</c:v>
                </c:pt>
                <c:pt idx="10">
                  <c:v>298</c:v>
                </c:pt>
                <c:pt idx="11">
                  <c:v>304</c:v>
                </c:pt>
                <c:pt idx="12">
                  <c:v>287</c:v>
                </c:pt>
                <c:pt idx="13">
                  <c:v>240</c:v>
                </c:pt>
                <c:pt idx="14">
                  <c:v>224</c:v>
                </c:pt>
                <c:pt idx="15">
                  <c:v>185</c:v>
                </c:pt>
                <c:pt idx="16">
                  <c:v>224</c:v>
                </c:pt>
                <c:pt idx="17">
                  <c:v>152</c:v>
                </c:pt>
                <c:pt idx="18">
                  <c:v>134</c:v>
                </c:pt>
                <c:pt idx="19">
                  <c:v>146</c:v>
                </c:pt>
                <c:pt idx="20">
                  <c:v>190</c:v>
                </c:pt>
                <c:pt idx="21">
                  <c:v>172</c:v>
                </c:pt>
                <c:pt idx="22">
                  <c:v>163</c:v>
                </c:pt>
                <c:pt idx="23">
                  <c:v>129</c:v>
                </c:pt>
                <c:pt idx="24">
                  <c:v>172</c:v>
                </c:pt>
                <c:pt idx="25">
                  <c:v>109</c:v>
                </c:pt>
                <c:pt idx="26">
                  <c:v>85</c:v>
                </c:pt>
                <c:pt idx="27">
                  <c:v>196</c:v>
                </c:pt>
                <c:pt idx="28">
                  <c:v>93</c:v>
                </c:pt>
                <c:pt idx="29">
                  <c:v>137</c:v>
                </c:pt>
                <c:pt idx="30">
                  <c:v>104</c:v>
                </c:pt>
                <c:pt idx="31">
                  <c:v>132</c:v>
                </c:pt>
                <c:pt idx="32">
                  <c:v>86</c:v>
                </c:pt>
                <c:pt idx="33">
                  <c:v>85</c:v>
                </c:pt>
                <c:pt idx="34">
                  <c:v>36</c:v>
                </c:pt>
              </c:numCache>
            </c:numRef>
          </c:val>
          <c:extLst>
            <c:ext xmlns:c16="http://schemas.microsoft.com/office/drawing/2014/chart" uri="{C3380CC4-5D6E-409C-BE32-E72D297353CC}">
              <c16:uniqueId val="{00000000-E891-454F-89CA-816353688FE9}"/>
            </c:ext>
          </c:extLst>
        </c:ser>
        <c:dLbls>
          <c:showLegendKey val="0"/>
          <c:showVal val="0"/>
          <c:showCatName val="0"/>
          <c:showSerName val="0"/>
          <c:showPercent val="0"/>
          <c:showBubbleSize val="0"/>
        </c:dLbls>
        <c:gapWidth val="50"/>
        <c:axId val="534588896"/>
        <c:axId val="534599456"/>
        <c:extLst>
          <c:ext xmlns:c15="http://schemas.microsoft.com/office/drawing/2012/chart" uri="{02D57815-91ED-43cb-92C2-25804820EDAC}">
            <c15:filteredBarSeries>
              <c15:ser>
                <c:idx val="1"/>
                <c:order val="1"/>
                <c:tx>
                  <c:strRef>
                    <c:extLst>
                      <c:ext uri="{02D57815-91ED-43cb-92C2-25804820EDAC}">
                        <c15:formulaRef>
                          <c15:sqref>tab_inhibitorio_resuelve_DEMAND!$R$6</c15:sqref>
                        </c15:formulaRef>
                      </c:ext>
                    </c:extLst>
                    <c:strCache>
                      <c:ptCount val="1"/>
                      <c:pt idx="0">
                        <c:v>Sentencias con inhibitorios únicos</c:v>
                      </c:pt>
                    </c:strCache>
                  </c:strRef>
                </c:tx>
                <c:spPr>
                  <a:solidFill>
                    <a:schemeClr val="accent2"/>
                  </a:solidFill>
                  <a:ln>
                    <a:noFill/>
                  </a:ln>
                  <a:effectLst/>
                </c:spPr>
                <c:invertIfNegative val="0"/>
                <c:cat>
                  <c:numRef>
                    <c:extLst>
                      <c:ext uri="{02D57815-91ED-43cb-92C2-25804820EDAC}">
                        <c15:formulaRef>
                          <c15:sqref>tab_inhibitorio_resuelve_DEMAND!$K$7:$K$41</c15:sqref>
                        </c15:formulaRef>
                      </c:ext>
                    </c:extLst>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extLst>
                      <c:ext uri="{02D57815-91ED-43cb-92C2-25804820EDAC}">
                        <c15:formulaRef>
                          <c15:sqref>tab_inhibitorio_resuelve_DEMAND!$R$7:$R$41</c15:sqref>
                        </c15:formulaRef>
                      </c:ext>
                    </c:extLst>
                    <c:numCache>
                      <c:formatCode>#,##0</c:formatCode>
                      <c:ptCount val="35"/>
                      <c:pt idx="0">
                        <c:v>2</c:v>
                      </c:pt>
                      <c:pt idx="1">
                        <c:v>5</c:v>
                      </c:pt>
                      <c:pt idx="2">
                        <c:v>9</c:v>
                      </c:pt>
                      <c:pt idx="3">
                        <c:v>7</c:v>
                      </c:pt>
                      <c:pt idx="4">
                        <c:v>8</c:v>
                      </c:pt>
                      <c:pt idx="5">
                        <c:v>11</c:v>
                      </c:pt>
                      <c:pt idx="6">
                        <c:v>11</c:v>
                      </c:pt>
                      <c:pt idx="7">
                        <c:v>24</c:v>
                      </c:pt>
                      <c:pt idx="8">
                        <c:v>25</c:v>
                      </c:pt>
                      <c:pt idx="9">
                        <c:v>28</c:v>
                      </c:pt>
                      <c:pt idx="10">
                        <c:v>29</c:v>
                      </c:pt>
                      <c:pt idx="11">
                        <c:v>22</c:v>
                      </c:pt>
                      <c:pt idx="12">
                        <c:v>30</c:v>
                      </c:pt>
                      <c:pt idx="13">
                        <c:v>39</c:v>
                      </c:pt>
                      <c:pt idx="14">
                        <c:v>44</c:v>
                      </c:pt>
                      <c:pt idx="15">
                        <c:v>35</c:v>
                      </c:pt>
                      <c:pt idx="16">
                        <c:v>49</c:v>
                      </c:pt>
                      <c:pt idx="17">
                        <c:v>39</c:v>
                      </c:pt>
                      <c:pt idx="18">
                        <c:v>26</c:v>
                      </c:pt>
                      <c:pt idx="19">
                        <c:v>29</c:v>
                      </c:pt>
                      <c:pt idx="20">
                        <c:v>27</c:v>
                      </c:pt>
                      <c:pt idx="21">
                        <c:v>36</c:v>
                      </c:pt>
                      <c:pt idx="22">
                        <c:v>27</c:v>
                      </c:pt>
                      <c:pt idx="23">
                        <c:v>27</c:v>
                      </c:pt>
                      <c:pt idx="24">
                        <c:v>33</c:v>
                      </c:pt>
                      <c:pt idx="25">
                        <c:v>32</c:v>
                      </c:pt>
                      <c:pt idx="26">
                        <c:v>20</c:v>
                      </c:pt>
                      <c:pt idx="27">
                        <c:v>51</c:v>
                      </c:pt>
                      <c:pt idx="28">
                        <c:v>29</c:v>
                      </c:pt>
                      <c:pt idx="29">
                        <c:v>33</c:v>
                      </c:pt>
                      <c:pt idx="30">
                        <c:v>17</c:v>
                      </c:pt>
                      <c:pt idx="31">
                        <c:v>27</c:v>
                      </c:pt>
                      <c:pt idx="32">
                        <c:v>16</c:v>
                      </c:pt>
                      <c:pt idx="33">
                        <c:v>29</c:v>
                      </c:pt>
                      <c:pt idx="34">
                        <c:v>7</c:v>
                      </c:pt>
                    </c:numCache>
                  </c:numRef>
                </c:val>
                <c:extLst>
                  <c:ext xmlns:c16="http://schemas.microsoft.com/office/drawing/2014/chart" uri="{C3380CC4-5D6E-409C-BE32-E72D297353CC}">
                    <c16:uniqueId val="{00000002-E891-454F-89CA-816353688FE9}"/>
                  </c:ext>
                </c:extLst>
              </c15:ser>
            </c15:filteredBarSeries>
          </c:ext>
        </c:extLst>
      </c:barChart>
      <c:lineChart>
        <c:grouping val="standard"/>
        <c:varyColors val="0"/>
        <c:ser>
          <c:idx val="2"/>
          <c:order val="2"/>
          <c:tx>
            <c:strRef>
              <c:f>tab_inhibitorio_resuelve_DEMAND!$S$6</c:f>
              <c:strCache>
                <c:ptCount val="1"/>
                <c:pt idx="0">
                  <c:v>% sentencias con inhibitorios únicos</c:v>
                </c:pt>
              </c:strCache>
            </c:strRef>
          </c:tx>
          <c:spPr>
            <a:ln w="28575" cap="rnd">
              <a:solidFill>
                <a:srgbClr val="0070C0"/>
              </a:solidFill>
              <a:round/>
            </a:ln>
            <a:effectLst/>
          </c:spPr>
          <c:marker>
            <c:symbol val="circle"/>
            <c:size val="5"/>
            <c:spPr>
              <a:solidFill>
                <a:schemeClr val="bg1">
                  <a:lumMod val="95000"/>
                </a:schemeClr>
              </a:solidFill>
              <a:ln w="9525">
                <a:solidFill>
                  <a:srgbClr val="0070C0"/>
                </a:solidFill>
              </a:ln>
              <a:effectLst/>
            </c:spPr>
          </c:marker>
          <c:dLbls>
            <c:spPr>
              <a:solidFill>
                <a:schemeClr val="accent5">
                  <a:lumMod val="20000"/>
                  <a:lumOff val="80000"/>
                </a:schemeClr>
              </a:solidFill>
              <a:ln>
                <a:noFill/>
              </a:ln>
              <a:effectLst/>
            </c:spPr>
            <c:txPr>
              <a:bodyPr rot="-5400000" spcFirstLastPara="1" vertOverflow="ellipsis" wrap="square" lIns="38100" tIns="19050" rIns="38100" bIns="19050" anchor="ctr" anchorCtr="1">
                <a:spAutoFit/>
              </a:bodyPr>
              <a:lstStyle/>
              <a:p>
                <a:pPr>
                  <a:defRPr sz="700" b="1" i="0" u="none" strike="noStrike" kern="1200" baseline="0">
                    <a:solidFill>
                      <a:schemeClr val="tx1"/>
                    </a:solidFill>
                    <a:latin typeface="Avenir Book" panose="02000503020000020003" pitchFamily="2" charset="0"/>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tab_inhibitorio_resuelve_DEMAND!$K$7:$K$41</c:f>
              <c:numCache>
                <c:formatCode>General</c:formatCode>
                <c:ptCount val="35"/>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pt idx="27">
                  <c:v>2019</c:v>
                </c:pt>
                <c:pt idx="28">
                  <c:v>2020</c:v>
                </c:pt>
                <c:pt idx="29">
                  <c:v>2021</c:v>
                </c:pt>
                <c:pt idx="30">
                  <c:v>2022</c:v>
                </c:pt>
                <c:pt idx="31">
                  <c:v>2023</c:v>
                </c:pt>
                <c:pt idx="32">
                  <c:v>2024</c:v>
                </c:pt>
                <c:pt idx="33">
                  <c:v>2025</c:v>
                </c:pt>
                <c:pt idx="34">
                  <c:v>2026</c:v>
                </c:pt>
              </c:numCache>
            </c:numRef>
          </c:cat>
          <c:val>
            <c:numRef>
              <c:f>tab_inhibitorio_resuelve_DEMAND!$S$7:$S$41</c:f>
              <c:numCache>
                <c:formatCode>0.0%</c:formatCode>
                <c:ptCount val="35"/>
                <c:pt idx="0">
                  <c:v>5.2631578947368418E-2</c:v>
                </c:pt>
                <c:pt idx="1">
                  <c:v>3.5460992907801421E-2</c:v>
                </c:pt>
                <c:pt idx="2">
                  <c:v>4.736842105263158E-2</c:v>
                </c:pt>
                <c:pt idx="3">
                  <c:v>3.5897435897435895E-2</c:v>
                </c:pt>
                <c:pt idx="4">
                  <c:v>2.6936026936026935E-2</c:v>
                </c:pt>
                <c:pt idx="5">
                  <c:v>4.3650793650793648E-2</c:v>
                </c:pt>
                <c:pt idx="6">
                  <c:v>5.0458715596330278E-2</c:v>
                </c:pt>
                <c:pt idx="7">
                  <c:v>9.9173553719008267E-2</c:v>
                </c:pt>
                <c:pt idx="8">
                  <c:v>7.2254335260115612E-2</c:v>
                </c:pt>
                <c:pt idx="9">
                  <c:v>8.8050314465408799E-2</c:v>
                </c:pt>
                <c:pt idx="10">
                  <c:v>9.7315436241610737E-2</c:v>
                </c:pt>
                <c:pt idx="11">
                  <c:v>7.2368421052631582E-2</c:v>
                </c:pt>
                <c:pt idx="12">
                  <c:v>0.10452961672473868</c:v>
                </c:pt>
                <c:pt idx="13">
                  <c:v>0.16250000000000001</c:v>
                </c:pt>
                <c:pt idx="14">
                  <c:v>0.19642857142857142</c:v>
                </c:pt>
                <c:pt idx="15">
                  <c:v>0.1891891891891892</c:v>
                </c:pt>
                <c:pt idx="16">
                  <c:v>0.21875</c:v>
                </c:pt>
                <c:pt idx="17">
                  <c:v>0.25657894736842107</c:v>
                </c:pt>
                <c:pt idx="18">
                  <c:v>0.19402985074626866</c:v>
                </c:pt>
                <c:pt idx="19">
                  <c:v>0.19863013698630136</c:v>
                </c:pt>
                <c:pt idx="20">
                  <c:v>0.14210526315789473</c:v>
                </c:pt>
                <c:pt idx="21">
                  <c:v>0.20930232558139536</c:v>
                </c:pt>
                <c:pt idx="22">
                  <c:v>0.16564417177914109</c:v>
                </c:pt>
                <c:pt idx="23">
                  <c:v>0.20930232558139536</c:v>
                </c:pt>
                <c:pt idx="24">
                  <c:v>0.19186046511627908</c:v>
                </c:pt>
                <c:pt idx="25">
                  <c:v>0.29357798165137616</c:v>
                </c:pt>
                <c:pt idx="26">
                  <c:v>0.23529411764705882</c:v>
                </c:pt>
                <c:pt idx="27">
                  <c:v>0.26020408163265307</c:v>
                </c:pt>
                <c:pt idx="28">
                  <c:v>0.31182795698924731</c:v>
                </c:pt>
                <c:pt idx="29">
                  <c:v>0.24087591240875914</c:v>
                </c:pt>
                <c:pt idx="30">
                  <c:v>0.16346153846153846</c:v>
                </c:pt>
                <c:pt idx="31">
                  <c:v>0.20454545454545456</c:v>
                </c:pt>
                <c:pt idx="32">
                  <c:v>0.18604651162790697</c:v>
                </c:pt>
                <c:pt idx="33">
                  <c:v>0.3411764705882353</c:v>
                </c:pt>
                <c:pt idx="34">
                  <c:v>0.19444444444444445</c:v>
                </c:pt>
              </c:numCache>
            </c:numRef>
          </c:val>
          <c:smooth val="0"/>
          <c:extLst>
            <c:ext xmlns:c16="http://schemas.microsoft.com/office/drawing/2014/chart" uri="{C3380CC4-5D6E-409C-BE32-E72D297353CC}">
              <c16:uniqueId val="{00000001-E891-454F-89CA-816353688FE9}"/>
            </c:ext>
          </c:extLst>
        </c:ser>
        <c:dLbls>
          <c:showLegendKey val="0"/>
          <c:showVal val="0"/>
          <c:showCatName val="0"/>
          <c:showSerName val="0"/>
          <c:showPercent val="0"/>
          <c:showBubbleSize val="0"/>
        </c:dLbls>
        <c:marker val="1"/>
        <c:smooth val="0"/>
        <c:axId val="2081385775"/>
        <c:axId val="2081380015"/>
      </c:lineChart>
      <c:catAx>
        <c:axId val="534588896"/>
        <c:scaling>
          <c:orientation val="minMax"/>
        </c:scaling>
        <c:delete val="0"/>
        <c:axPos val="b"/>
        <c:majorGridlines>
          <c:spPr>
            <a:ln w="9525" cap="flat" cmpd="sng" algn="ctr">
              <a:solidFill>
                <a:schemeClr val="bg1">
                  <a:lumMod val="95000"/>
                </a:schemeClr>
              </a:solidFill>
              <a:round/>
            </a:ln>
            <a:effectLst/>
          </c:spPr>
        </c:majorGridlines>
        <c:title>
          <c:tx>
            <c:rich>
              <a:bodyPr rot="0" spcFirstLastPara="1" vertOverflow="ellipsis" vert="horz" wrap="square" anchor="ctr" anchorCtr="1"/>
              <a:lstStyle/>
              <a:p>
                <a:pPr>
                  <a:defRPr sz="800" b="0" i="1"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Fecha sentencia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99456"/>
        <c:crosses val="autoZero"/>
        <c:auto val="1"/>
        <c:lblAlgn val="ctr"/>
        <c:lblOffset val="100"/>
        <c:noMultiLvlLbl val="0"/>
      </c:catAx>
      <c:valAx>
        <c:axId val="534599456"/>
        <c:scaling>
          <c:orientation val="minMax"/>
        </c:scaling>
        <c:delete val="0"/>
        <c:axPos val="l"/>
        <c:majorGridlines>
          <c:spPr>
            <a:ln w="9525" cap="flat" cmpd="sng" algn="ctr">
              <a:solidFill>
                <a:schemeClr val="bg1">
                  <a:lumMod val="9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r>
                  <a:rPr lang="es-CO" i="1">
                    <a:solidFill>
                      <a:schemeClr val="bg1">
                        <a:lumMod val="65000"/>
                      </a:schemeClr>
                    </a:solidFill>
                  </a:rPr>
                  <a:t>Cantidad</a:t>
                </a:r>
                <a:r>
                  <a:rPr lang="es-CO" i="1" baseline="0">
                    <a:solidFill>
                      <a:schemeClr val="bg1">
                        <a:lumMod val="65000"/>
                      </a:schemeClr>
                    </a:solidFill>
                  </a:rPr>
                  <a:t> de sentencias</a:t>
                </a:r>
                <a:endParaRPr lang="es-CO" i="1">
                  <a:solidFill>
                    <a:schemeClr val="bg1">
                      <a:lumMod val="65000"/>
                    </a:schemeClr>
                  </a:solidFill>
                </a:endParaRP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534588896"/>
        <c:crosses val="autoZero"/>
        <c:crossBetween val="between"/>
      </c:valAx>
      <c:valAx>
        <c:axId val="2081380015"/>
        <c:scaling>
          <c:orientation val="minMax"/>
        </c:scaling>
        <c:delete val="0"/>
        <c:axPos val="r"/>
        <c:title>
          <c:tx>
            <c:rich>
              <a:bodyPr rot="-5400000" spcFirstLastPara="1" vertOverflow="ellipsis" vert="horz" wrap="square" anchor="ctr" anchorCtr="1"/>
              <a:lstStyle/>
              <a:p>
                <a:pPr>
                  <a:defRPr sz="800" b="0" i="1" u="none" strike="noStrike" kern="1200" baseline="0">
                    <a:solidFill>
                      <a:schemeClr val="bg1">
                        <a:lumMod val="65000"/>
                      </a:schemeClr>
                    </a:solidFill>
                    <a:latin typeface="Avenir Book" panose="02000503020000020003" pitchFamily="2" charset="0"/>
                    <a:ea typeface="+mn-ea"/>
                    <a:cs typeface="+mn-cs"/>
                  </a:defRPr>
                </a:pPr>
                <a:r>
                  <a:rPr lang="es-CO" i="1">
                    <a:solidFill>
                      <a:schemeClr val="bg1">
                        <a:lumMod val="65000"/>
                      </a:schemeClr>
                    </a:solidFill>
                  </a:rPr>
                  <a:t>% sentencias</a:t>
                </a:r>
                <a:r>
                  <a:rPr lang="es-CO" i="1" baseline="0">
                    <a:solidFill>
                      <a:schemeClr val="bg1">
                        <a:lumMod val="65000"/>
                      </a:schemeClr>
                    </a:solidFill>
                  </a:rPr>
                  <a:t> con inhibitorios</a:t>
                </a:r>
                <a:endParaRPr lang="es-CO" i="1">
                  <a:solidFill>
                    <a:schemeClr val="bg1">
                      <a:lumMod val="65000"/>
                    </a:schemeClr>
                  </a:solidFill>
                </a:endParaRPr>
              </a:p>
            </c:rich>
          </c:tx>
          <c:overlay val="0"/>
          <c:spPr>
            <a:noFill/>
            <a:ln>
              <a:noFill/>
            </a:ln>
            <a:effectLst/>
          </c:sp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crossAx val="2081385775"/>
        <c:crosses val="max"/>
        <c:crossBetween val="between"/>
      </c:valAx>
      <c:catAx>
        <c:axId val="2081385775"/>
        <c:scaling>
          <c:orientation val="minMax"/>
        </c:scaling>
        <c:delete val="1"/>
        <c:axPos val="b"/>
        <c:numFmt formatCode="General" sourceLinked="1"/>
        <c:majorTickMark val="out"/>
        <c:minorTickMark val="none"/>
        <c:tickLblPos val="nextTo"/>
        <c:crossAx val="2081380015"/>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venir Book" panose="02000503020000020003" pitchFamily="2" charset="0"/>
              <a:ea typeface="+mn-ea"/>
              <a:cs typeface="+mn-cs"/>
            </a:defRPr>
          </a:pPr>
          <a:endParaRPr lang="es-CO"/>
        </a:p>
      </c:txPr>
    </c:legend>
    <c:plotVisOnly val="1"/>
    <c:dispBlanksAs val="gap"/>
    <c:showDLblsOverMax val="0"/>
  </c:chart>
  <c:spPr>
    <a:solidFill>
      <a:schemeClr val="bg1"/>
    </a:solidFill>
    <a:ln w="9525" cap="flat" cmpd="sng" algn="ctr">
      <a:solidFill>
        <a:schemeClr val="bg1">
          <a:lumMod val="95000"/>
        </a:schemeClr>
      </a:solidFill>
      <a:round/>
    </a:ln>
    <a:effectLst/>
  </c:spPr>
  <c:txPr>
    <a:bodyPr/>
    <a:lstStyle/>
    <a:p>
      <a:pPr>
        <a:defRPr sz="800">
          <a:solidFill>
            <a:sysClr val="windowText" lastClr="000000"/>
          </a:solidFill>
          <a:latin typeface="Avenir Book" panose="02000503020000020003" pitchFamily="2" charset="0"/>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18895</Words>
  <Characters>103928</Characters>
  <Application>Microsoft Office Word</Application>
  <DocSecurity>0</DocSecurity>
  <Lines>866</Lines>
  <Paragraphs>245</Paragraphs>
  <ScaleCrop>false</ScaleCrop>
  <Company/>
  <LinksUpToDate>false</LinksUpToDate>
  <CharactersWithSpaces>122578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2026-08-20T15:33:00Z</dcterms:created>
  <dcterms:modified xsi:type="dcterms:W3CDTF">2026-08-20T15:33:00Z</dcterms:modified>
</cp:coreProperties>
</file>