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3998F" w14:textId="55D079C8" w:rsidR="002343E4" w:rsidRPr="00C04588" w:rsidRDefault="0060246C" w:rsidP="00E11BC1">
      <w:pPr>
        <w:pBdr>
          <w:top w:val="nil"/>
          <w:left w:val="nil"/>
          <w:bottom w:val="nil"/>
          <w:right w:val="nil"/>
          <w:between w:val="nil"/>
        </w:pBdr>
        <w:tabs>
          <w:tab w:val="center" w:pos="4678"/>
          <w:tab w:val="right" w:pos="8789"/>
        </w:tabs>
        <w:jc w:val="center"/>
        <w:rPr>
          <w:b/>
          <w:sz w:val="28"/>
          <w:szCs w:val="28"/>
        </w:rPr>
      </w:pPr>
      <w:bookmarkStart w:id="0" w:name="_GoBack"/>
      <w:bookmarkEnd w:id="0"/>
      <w:r w:rsidRPr="00C04588">
        <w:rPr>
          <w:b/>
          <w:sz w:val="28"/>
          <w:szCs w:val="28"/>
        </w:rPr>
        <w:t>REPÚBLICA DE COLOMBIA</w:t>
      </w:r>
    </w:p>
    <w:p w14:paraId="425184FD" w14:textId="77777777" w:rsidR="00E11BC1" w:rsidRPr="00C04588" w:rsidRDefault="00E11BC1">
      <w:pPr>
        <w:pBdr>
          <w:top w:val="nil"/>
          <w:left w:val="nil"/>
          <w:bottom w:val="nil"/>
          <w:right w:val="nil"/>
          <w:between w:val="nil"/>
        </w:pBdr>
        <w:tabs>
          <w:tab w:val="center" w:pos="4252"/>
          <w:tab w:val="right" w:pos="8504"/>
        </w:tabs>
        <w:jc w:val="center"/>
        <w:rPr>
          <w:b/>
          <w:sz w:val="28"/>
          <w:szCs w:val="28"/>
        </w:rPr>
      </w:pPr>
    </w:p>
    <w:p w14:paraId="28439990" w14:textId="476C9085" w:rsidR="002343E4" w:rsidRPr="00C04588" w:rsidRDefault="00E11BC1">
      <w:pPr>
        <w:pBdr>
          <w:top w:val="nil"/>
          <w:left w:val="nil"/>
          <w:bottom w:val="nil"/>
          <w:right w:val="nil"/>
          <w:between w:val="nil"/>
        </w:pBdr>
        <w:tabs>
          <w:tab w:val="center" w:pos="4252"/>
          <w:tab w:val="right" w:pos="8504"/>
        </w:tabs>
        <w:jc w:val="center"/>
        <w:rPr>
          <w:b/>
          <w:sz w:val="28"/>
          <w:szCs w:val="28"/>
        </w:rPr>
      </w:pPr>
      <w:r w:rsidRPr="00C04588">
        <w:rPr>
          <w:b/>
          <w:noProof/>
          <w:sz w:val="28"/>
          <w:szCs w:val="28"/>
          <w:lang w:val="en-US"/>
        </w:rPr>
        <w:drawing>
          <wp:inline distT="0" distB="0" distL="0" distR="0" wp14:anchorId="2AF10A72" wp14:editId="12ED234D">
            <wp:extent cx="828000" cy="828000"/>
            <wp:effectExtent l="0" t="0" r="0" b="0"/>
            <wp:docPr id="7"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8"/>
                    <a:srcRect/>
                    <a:stretch>
                      <a:fillRect/>
                    </a:stretch>
                  </pic:blipFill>
                  <pic:spPr>
                    <a:xfrm>
                      <a:off x="0" y="0"/>
                      <a:ext cx="828000" cy="828000"/>
                    </a:xfrm>
                    <a:prstGeom prst="rect">
                      <a:avLst/>
                    </a:prstGeom>
                    <a:ln/>
                  </pic:spPr>
                </pic:pic>
              </a:graphicData>
            </a:graphic>
          </wp:inline>
        </w:drawing>
      </w:r>
    </w:p>
    <w:p w14:paraId="08A0A3E4" w14:textId="77777777" w:rsidR="002343E4" w:rsidRPr="00C04588" w:rsidRDefault="002343E4">
      <w:pPr>
        <w:pBdr>
          <w:top w:val="nil"/>
          <w:left w:val="nil"/>
          <w:bottom w:val="nil"/>
          <w:right w:val="nil"/>
          <w:between w:val="nil"/>
        </w:pBdr>
        <w:tabs>
          <w:tab w:val="center" w:pos="4252"/>
          <w:tab w:val="right" w:pos="8504"/>
        </w:tabs>
        <w:jc w:val="center"/>
        <w:rPr>
          <w:b/>
          <w:sz w:val="28"/>
          <w:szCs w:val="28"/>
        </w:rPr>
      </w:pPr>
    </w:p>
    <w:p w14:paraId="69D6DE96" w14:textId="77777777" w:rsidR="002343E4" w:rsidRPr="00C04588" w:rsidRDefault="0060246C" w:rsidP="00E11BC1">
      <w:pPr>
        <w:pBdr>
          <w:top w:val="nil"/>
          <w:left w:val="nil"/>
          <w:bottom w:val="nil"/>
          <w:right w:val="nil"/>
          <w:between w:val="nil"/>
        </w:pBdr>
        <w:tabs>
          <w:tab w:val="center" w:pos="4252"/>
          <w:tab w:val="right" w:pos="9214"/>
        </w:tabs>
        <w:jc w:val="center"/>
        <w:rPr>
          <w:b/>
          <w:sz w:val="28"/>
          <w:szCs w:val="28"/>
        </w:rPr>
      </w:pPr>
      <w:r w:rsidRPr="00C04588">
        <w:rPr>
          <w:b/>
          <w:sz w:val="28"/>
          <w:szCs w:val="28"/>
        </w:rPr>
        <w:t>CORTE CONSTITUCIONAL</w:t>
      </w:r>
    </w:p>
    <w:p w14:paraId="2ABACCB7" w14:textId="3042A074" w:rsidR="002E1792" w:rsidRPr="00C04588" w:rsidRDefault="0060246C" w:rsidP="00091642">
      <w:pPr>
        <w:pBdr>
          <w:top w:val="nil"/>
          <w:left w:val="nil"/>
          <w:bottom w:val="nil"/>
          <w:right w:val="nil"/>
          <w:between w:val="nil"/>
        </w:pBdr>
        <w:tabs>
          <w:tab w:val="center" w:pos="4252"/>
          <w:tab w:val="right" w:pos="9214"/>
        </w:tabs>
        <w:jc w:val="center"/>
        <w:rPr>
          <w:b/>
          <w:sz w:val="28"/>
          <w:szCs w:val="28"/>
        </w:rPr>
      </w:pPr>
      <w:r w:rsidRPr="00C04588">
        <w:rPr>
          <w:b/>
          <w:sz w:val="28"/>
          <w:szCs w:val="28"/>
        </w:rPr>
        <w:t>Sala Plena</w:t>
      </w:r>
    </w:p>
    <w:p w14:paraId="07123D6A" w14:textId="77777777" w:rsidR="00091642" w:rsidRPr="00C04588" w:rsidRDefault="00091642" w:rsidP="00091642">
      <w:pPr>
        <w:pBdr>
          <w:top w:val="nil"/>
          <w:left w:val="nil"/>
          <w:bottom w:val="nil"/>
          <w:right w:val="nil"/>
          <w:between w:val="nil"/>
        </w:pBdr>
        <w:tabs>
          <w:tab w:val="center" w:pos="4252"/>
          <w:tab w:val="right" w:pos="9214"/>
        </w:tabs>
        <w:jc w:val="center"/>
        <w:rPr>
          <w:b/>
          <w:sz w:val="28"/>
          <w:szCs w:val="28"/>
        </w:rPr>
      </w:pPr>
    </w:p>
    <w:p w14:paraId="28439997" w14:textId="091A2990" w:rsidR="002343E4" w:rsidRPr="00C04588" w:rsidRDefault="0060246C" w:rsidP="0008653E">
      <w:pPr>
        <w:jc w:val="center"/>
        <w:rPr>
          <w:b/>
          <w:sz w:val="28"/>
          <w:szCs w:val="28"/>
        </w:rPr>
      </w:pPr>
      <w:r w:rsidRPr="00C04588">
        <w:rPr>
          <w:b/>
          <w:sz w:val="28"/>
          <w:szCs w:val="28"/>
        </w:rPr>
        <w:t>SENTENCIA C-</w:t>
      </w:r>
      <w:r w:rsidR="003D5B15">
        <w:rPr>
          <w:b/>
          <w:sz w:val="28"/>
          <w:szCs w:val="28"/>
        </w:rPr>
        <w:t>079</w:t>
      </w:r>
      <w:r w:rsidRPr="00C04588">
        <w:rPr>
          <w:b/>
          <w:sz w:val="28"/>
          <w:szCs w:val="28"/>
        </w:rPr>
        <w:t xml:space="preserve"> DE 202</w:t>
      </w:r>
      <w:r w:rsidR="004F64EB" w:rsidRPr="00C04588">
        <w:rPr>
          <w:b/>
          <w:sz w:val="28"/>
          <w:szCs w:val="28"/>
        </w:rPr>
        <w:t>6</w:t>
      </w:r>
    </w:p>
    <w:p w14:paraId="18C72A9C" w14:textId="77777777" w:rsidR="002E1792" w:rsidRPr="00C04588" w:rsidRDefault="002E1792" w:rsidP="004F64EB">
      <w:pPr>
        <w:rPr>
          <w:b/>
          <w:sz w:val="28"/>
          <w:szCs w:val="28"/>
        </w:rPr>
      </w:pPr>
      <w:bookmarkStart w:id="1" w:name="_gjdgxs" w:colFirst="0" w:colLast="0"/>
      <w:bookmarkEnd w:id="1"/>
    </w:p>
    <w:p w14:paraId="28439998" w14:textId="1EEE64F1" w:rsidR="002343E4" w:rsidRPr="00C04588" w:rsidRDefault="0060246C">
      <w:pPr>
        <w:ind w:left="3969"/>
        <w:jc w:val="both"/>
        <w:rPr>
          <w:b/>
          <w:sz w:val="28"/>
          <w:szCs w:val="28"/>
        </w:rPr>
      </w:pPr>
      <w:r w:rsidRPr="00C04588">
        <w:rPr>
          <w:b/>
          <w:sz w:val="28"/>
          <w:szCs w:val="28"/>
        </w:rPr>
        <w:t xml:space="preserve">Referencia: </w:t>
      </w:r>
      <w:r w:rsidRPr="00C04588">
        <w:rPr>
          <w:sz w:val="28"/>
          <w:szCs w:val="28"/>
        </w:rPr>
        <w:t>expediente RE-3</w:t>
      </w:r>
      <w:r w:rsidR="004669DA" w:rsidRPr="00C04588">
        <w:rPr>
          <w:sz w:val="28"/>
          <w:szCs w:val="28"/>
        </w:rPr>
        <w:t>88</w:t>
      </w:r>
    </w:p>
    <w:p w14:paraId="28439999" w14:textId="77777777" w:rsidR="002343E4" w:rsidRPr="00C04588" w:rsidRDefault="002343E4">
      <w:pPr>
        <w:ind w:left="3969"/>
        <w:jc w:val="both"/>
        <w:rPr>
          <w:b/>
          <w:sz w:val="28"/>
          <w:szCs w:val="28"/>
        </w:rPr>
      </w:pPr>
    </w:p>
    <w:p w14:paraId="2843999A" w14:textId="6E0F24DE" w:rsidR="002343E4" w:rsidRPr="00C04588" w:rsidRDefault="0060246C">
      <w:pPr>
        <w:ind w:left="3969"/>
        <w:jc w:val="both"/>
        <w:rPr>
          <w:sz w:val="28"/>
          <w:szCs w:val="28"/>
        </w:rPr>
      </w:pPr>
      <w:r w:rsidRPr="00C04588">
        <w:rPr>
          <w:b/>
          <w:sz w:val="28"/>
          <w:szCs w:val="28"/>
        </w:rPr>
        <w:t xml:space="preserve">Asunto: </w:t>
      </w:r>
      <w:r w:rsidRPr="00C04588">
        <w:rPr>
          <w:sz w:val="28"/>
          <w:szCs w:val="28"/>
        </w:rPr>
        <w:t xml:space="preserve">control </w:t>
      </w:r>
      <w:r w:rsidR="001F1D34" w:rsidRPr="00C04588">
        <w:rPr>
          <w:sz w:val="28"/>
          <w:szCs w:val="28"/>
        </w:rPr>
        <w:t xml:space="preserve">automático </w:t>
      </w:r>
      <w:r w:rsidRPr="00C04588">
        <w:rPr>
          <w:sz w:val="28"/>
          <w:szCs w:val="28"/>
        </w:rPr>
        <w:t xml:space="preserve">de constitucionalidad </w:t>
      </w:r>
      <w:r w:rsidR="00200457">
        <w:rPr>
          <w:sz w:val="28"/>
          <w:szCs w:val="28"/>
        </w:rPr>
        <w:t xml:space="preserve">sobre </w:t>
      </w:r>
      <w:r w:rsidR="00200457" w:rsidRPr="00C04588">
        <w:rPr>
          <w:sz w:val="28"/>
          <w:szCs w:val="28"/>
        </w:rPr>
        <w:t xml:space="preserve">el </w:t>
      </w:r>
      <w:r w:rsidRPr="00C04588">
        <w:rPr>
          <w:sz w:val="28"/>
          <w:szCs w:val="28"/>
        </w:rPr>
        <w:t xml:space="preserve">Decreto Legislativo </w:t>
      </w:r>
      <w:r w:rsidR="004F64EB" w:rsidRPr="00C04588">
        <w:rPr>
          <w:sz w:val="28"/>
          <w:szCs w:val="28"/>
        </w:rPr>
        <w:t>1474 del 29 de diciembre de 2025</w:t>
      </w:r>
      <w:r w:rsidR="004F64EB" w:rsidRPr="00C04588">
        <w:rPr>
          <w:rStyle w:val="Refdenotaalpie"/>
          <w:sz w:val="28"/>
          <w:szCs w:val="28"/>
        </w:rPr>
        <w:footnoteReference w:id="2"/>
      </w:r>
    </w:p>
    <w:p w14:paraId="2843999B" w14:textId="77777777" w:rsidR="002343E4" w:rsidRPr="00C04588" w:rsidRDefault="002343E4" w:rsidP="001F1D34">
      <w:pPr>
        <w:jc w:val="both"/>
        <w:rPr>
          <w:sz w:val="28"/>
          <w:szCs w:val="28"/>
        </w:rPr>
      </w:pPr>
    </w:p>
    <w:p w14:paraId="2843999C" w14:textId="77777777" w:rsidR="002343E4" w:rsidRPr="00C04588" w:rsidRDefault="0060246C">
      <w:pPr>
        <w:ind w:left="3969"/>
        <w:jc w:val="both"/>
        <w:rPr>
          <w:b/>
          <w:sz w:val="28"/>
          <w:szCs w:val="28"/>
        </w:rPr>
      </w:pPr>
      <w:r w:rsidRPr="00C04588">
        <w:rPr>
          <w:b/>
          <w:sz w:val="28"/>
          <w:szCs w:val="28"/>
        </w:rPr>
        <w:t xml:space="preserve">Magistrado ponente: </w:t>
      </w:r>
    </w:p>
    <w:p w14:paraId="2843999D" w14:textId="77777777" w:rsidR="002343E4" w:rsidRPr="00C04588" w:rsidRDefault="0060246C">
      <w:pPr>
        <w:ind w:left="3969"/>
        <w:jc w:val="both"/>
        <w:rPr>
          <w:sz w:val="28"/>
          <w:szCs w:val="28"/>
        </w:rPr>
      </w:pPr>
      <w:r w:rsidRPr="00C04588">
        <w:rPr>
          <w:sz w:val="28"/>
          <w:szCs w:val="28"/>
        </w:rPr>
        <w:t>Juan Carlos Cortés González</w:t>
      </w:r>
    </w:p>
    <w:p w14:paraId="482E0616" w14:textId="28AC42F9" w:rsidR="002E1792" w:rsidRPr="00C04588" w:rsidRDefault="002E1792">
      <w:pPr>
        <w:jc w:val="both"/>
        <w:rPr>
          <w:b/>
          <w:sz w:val="28"/>
          <w:szCs w:val="28"/>
        </w:rPr>
      </w:pPr>
    </w:p>
    <w:p w14:paraId="2843999F" w14:textId="207A2759" w:rsidR="002343E4" w:rsidRPr="00C04588" w:rsidRDefault="0060246C">
      <w:pPr>
        <w:jc w:val="both"/>
        <w:rPr>
          <w:sz w:val="28"/>
          <w:szCs w:val="28"/>
        </w:rPr>
      </w:pPr>
      <w:r w:rsidRPr="00C04588">
        <w:rPr>
          <w:sz w:val="28"/>
          <w:szCs w:val="28"/>
        </w:rPr>
        <w:t>Bogotá, D.</w:t>
      </w:r>
      <w:r w:rsidR="00CD2BFE" w:rsidRPr="00C04588">
        <w:rPr>
          <w:sz w:val="28"/>
          <w:szCs w:val="28"/>
        </w:rPr>
        <w:t xml:space="preserve"> </w:t>
      </w:r>
      <w:r w:rsidRPr="00C04588">
        <w:rPr>
          <w:sz w:val="28"/>
          <w:szCs w:val="28"/>
        </w:rPr>
        <w:t xml:space="preserve">C., </w:t>
      </w:r>
      <w:r w:rsidR="003D5B15">
        <w:rPr>
          <w:sz w:val="28"/>
          <w:szCs w:val="28"/>
        </w:rPr>
        <w:t>quince</w:t>
      </w:r>
      <w:r w:rsidRPr="00C04588">
        <w:rPr>
          <w:sz w:val="28"/>
          <w:szCs w:val="28"/>
        </w:rPr>
        <w:t xml:space="preserve"> (</w:t>
      </w:r>
      <w:r w:rsidR="003D5B15">
        <w:rPr>
          <w:sz w:val="28"/>
          <w:szCs w:val="28"/>
        </w:rPr>
        <w:t>15</w:t>
      </w:r>
      <w:r w:rsidRPr="00C04588">
        <w:rPr>
          <w:sz w:val="28"/>
          <w:szCs w:val="28"/>
        </w:rPr>
        <w:t xml:space="preserve">) de </w:t>
      </w:r>
      <w:r w:rsidR="003D5B15">
        <w:rPr>
          <w:sz w:val="28"/>
          <w:szCs w:val="28"/>
        </w:rPr>
        <w:t>abril</w:t>
      </w:r>
      <w:r w:rsidRPr="00C04588">
        <w:rPr>
          <w:sz w:val="28"/>
          <w:szCs w:val="28"/>
        </w:rPr>
        <w:t xml:space="preserve"> de dos mil veinti</w:t>
      </w:r>
      <w:r w:rsidR="004F64EB" w:rsidRPr="00C04588">
        <w:rPr>
          <w:sz w:val="28"/>
          <w:szCs w:val="28"/>
        </w:rPr>
        <w:t>séis</w:t>
      </w:r>
      <w:r w:rsidRPr="00C04588">
        <w:rPr>
          <w:sz w:val="28"/>
          <w:szCs w:val="28"/>
        </w:rPr>
        <w:t xml:space="preserve"> (202</w:t>
      </w:r>
      <w:r w:rsidR="004F64EB" w:rsidRPr="00C04588">
        <w:rPr>
          <w:sz w:val="28"/>
          <w:szCs w:val="28"/>
        </w:rPr>
        <w:t>6</w:t>
      </w:r>
      <w:r w:rsidRPr="00C04588">
        <w:rPr>
          <w:sz w:val="28"/>
          <w:szCs w:val="28"/>
        </w:rPr>
        <w:t>)</w:t>
      </w:r>
    </w:p>
    <w:p w14:paraId="284399A2" w14:textId="77777777" w:rsidR="002343E4" w:rsidRPr="00C04588" w:rsidRDefault="002343E4">
      <w:pPr>
        <w:pBdr>
          <w:top w:val="nil"/>
          <w:left w:val="nil"/>
          <w:bottom w:val="nil"/>
          <w:right w:val="nil"/>
          <w:between w:val="nil"/>
        </w:pBdr>
        <w:tabs>
          <w:tab w:val="left" w:pos="284"/>
        </w:tabs>
        <w:jc w:val="both"/>
        <w:rPr>
          <w:sz w:val="28"/>
          <w:szCs w:val="28"/>
        </w:rPr>
      </w:pPr>
    </w:p>
    <w:p w14:paraId="64DC2BD1" w14:textId="24F69A12" w:rsidR="00CE50B5" w:rsidRPr="00C04588" w:rsidRDefault="0060246C">
      <w:pPr>
        <w:jc w:val="both"/>
        <w:rPr>
          <w:sz w:val="28"/>
          <w:szCs w:val="28"/>
        </w:rPr>
      </w:pPr>
      <w:r w:rsidRPr="00C04588">
        <w:rPr>
          <w:sz w:val="28"/>
          <w:szCs w:val="28"/>
        </w:rPr>
        <w:t>La Sala Plena de la Corte Constitucional,</w:t>
      </w:r>
      <w:r w:rsidR="004D5F5E" w:rsidRPr="00C04588">
        <w:rPr>
          <w:sz w:val="28"/>
          <w:szCs w:val="28"/>
        </w:rPr>
        <w:t xml:space="preserve"> </w:t>
      </w:r>
      <w:r w:rsidRPr="00C04588">
        <w:rPr>
          <w:sz w:val="28"/>
          <w:szCs w:val="28"/>
        </w:rPr>
        <w:t xml:space="preserve">cumplidos todos los trámites y requisitos contemplados en el Decreto 2067 de 1991, </w:t>
      </w:r>
      <w:r w:rsidR="00CE50B5" w:rsidRPr="00C04588">
        <w:rPr>
          <w:sz w:val="28"/>
          <w:szCs w:val="28"/>
        </w:rPr>
        <w:t>ha proferido</w:t>
      </w:r>
      <w:r w:rsidRPr="00C04588">
        <w:rPr>
          <w:sz w:val="28"/>
          <w:szCs w:val="28"/>
        </w:rPr>
        <w:t xml:space="preserve"> la </w:t>
      </w:r>
      <w:r w:rsidR="0059753F" w:rsidRPr="00C04588">
        <w:rPr>
          <w:sz w:val="28"/>
          <w:szCs w:val="28"/>
        </w:rPr>
        <w:t xml:space="preserve">presente </w:t>
      </w:r>
    </w:p>
    <w:p w14:paraId="5E1A05FF" w14:textId="77777777" w:rsidR="00CE50B5" w:rsidRPr="00C04588" w:rsidRDefault="00CE50B5">
      <w:pPr>
        <w:jc w:val="both"/>
        <w:rPr>
          <w:sz w:val="28"/>
          <w:szCs w:val="28"/>
        </w:rPr>
      </w:pPr>
    </w:p>
    <w:p w14:paraId="284399A3" w14:textId="3B861067" w:rsidR="002343E4" w:rsidRPr="00C04588" w:rsidRDefault="00CE50B5" w:rsidP="009B5C94">
      <w:pPr>
        <w:jc w:val="center"/>
        <w:rPr>
          <w:b/>
          <w:sz w:val="28"/>
          <w:szCs w:val="28"/>
        </w:rPr>
      </w:pPr>
      <w:r w:rsidRPr="00C04588">
        <w:rPr>
          <w:b/>
          <w:sz w:val="28"/>
          <w:szCs w:val="28"/>
        </w:rPr>
        <w:t>SENTENCIA</w:t>
      </w:r>
    </w:p>
    <w:p w14:paraId="213009AD" w14:textId="4AEFE58C" w:rsidR="00CE50B5" w:rsidRPr="00C04588" w:rsidRDefault="00CE50B5" w:rsidP="00826CD9">
      <w:pPr>
        <w:jc w:val="center"/>
        <w:rPr>
          <w:b/>
          <w:sz w:val="28"/>
          <w:szCs w:val="28"/>
        </w:rPr>
      </w:pPr>
    </w:p>
    <w:p w14:paraId="3BD3DAA8" w14:textId="77777777" w:rsidR="00CE50B5" w:rsidRPr="00C04588" w:rsidRDefault="00CE50B5" w:rsidP="00826CD9">
      <w:pPr>
        <w:tabs>
          <w:tab w:val="left" w:pos="284"/>
        </w:tabs>
        <w:jc w:val="both"/>
        <w:rPr>
          <w:b/>
          <w:sz w:val="28"/>
          <w:szCs w:val="28"/>
        </w:rPr>
      </w:pPr>
      <w:r w:rsidRPr="00C04588">
        <w:rPr>
          <w:b/>
          <w:sz w:val="28"/>
          <w:szCs w:val="28"/>
        </w:rPr>
        <w:t>Síntesis de la decisión</w:t>
      </w:r>
    </w:p>
    <w:p w14:paraId="49782431" w14:textId="77777777" w:rsidR="00CE50B5" w:rsidRPr="00C04588" w:rsidRDefault="00CE50B5" w:rsidP="00CE50B5">
      <w:pPr>
        <w:tabs>
          <w:tab w:val="left" w:pos="284"/>
        </w:tabs>
        <w:jc w:val="both"/>
        <w:rPr>
          <w:b/>
          <w:sz w:val="28"/>
          <w:szCs w:val="28"/>
        </w:rPr>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3"/>
        <w:gridCol w:w="7689"/>
      </w:tblGrid>
      <w:tr w:rsidR="00C04588" w:rsidRPr="00C04588" w14:paraId="485443EA" w14:textId="77777777" w:rsidTr="004669DA">
        <w:trPr>
          <w:trHeight w:val="300"/>
          <w:jc w:val="center"/>
        </w:trPr>
        <w:tc>
          <w:tcPr>
            <w:tcW w:w="642" w:type="pct"/>
            <w:tcBorders>
              <w:top w:val="single" w:sz="6" w:space="0" w:color="auto"/>
              <w:left w:val="single" w:sz="6" w:space="0" w:color="auto"/>
              <w:bottom w:val="single" w:sz="6" w:space="0" w:color="auto"/>
              <w:right w:val="single" w:sz="6" w:space="0" w:color="auto"/>
            </w:tcBorders>
            <w:shd w:val="clear" w:color="auto" w:fill="B8CCE4" w:themeFill="accent1" w:themeFillTint="66"/>
            <w:vAlign w:val="center"/>
            <w:hideMark/>
          </w:tcPr>
          <w:p w14:paraId="21113861" w14:textId="77777777" w:rsidR="00CE50B5" w:rsidRPr="00C04588" w:rsidRDefault="00CE50B5" w:rsidP="00201168">
            <w:pPr>
              <w:pStyle w:val="paragraph"/>
              <w:spacing w:before="0" w:beforeAutospacing="0" w:after="0" w:afterAutospacing="0"/>
              <w:ind w:left="113" w:right="113"/>
              <w:jc w:val="center"/>
              <w:textAlignment w:val="baseline"/>
              <w:rPr>
                <w:sz w:val="20"/>
                <w:szCs w:val="20"/>
              </w:rPr>
            </w:pPr>
            <w:r w:rsidRPr="00C04588">
              <w:rPr>
                <w:rStyle w:val="normaltextrun"/>
                <w:b/>
                <w:bCs/>
                <w:sz w:val="20"/>
                <w:szCs w:val="20"/>
              </w:rPr>
              <w:t>¿Qué estudió la Corte?</w:t>
            </w:r>
            <w:r w:rsidRPr="00C04588">
              <w:rPr>
                <w:rStyle w:val="eop"/>
                <w:sz w:val="20"/>
                <w:szCs w:val="20"/>
              </w:rPr>
              <w:t> </w:t>
            </w:r>
          </w:p>
        </w:tc>
        <w:tc>
          <w:tcPr>
            <w:tcW w:w="4358" w:type="pct"/>
            <w:tcBorders>
              <w:top w:val="single" w:sz="6" w:space="0" w:color="auto"/>
              <w:left w:val="single" w:sz="6" w:space="0" w:color="auto"/>
              <w:bottom w:val="single" w:sz="6" w:space="0" w:color="auto"/>
              <w:right w:val="single" w:sz="6" w:space="0" w:color="auto"/>
            </w:tcBorders>
            <w:vAlign w:val="center"/>
            <w:hideMark/>
          </w:tcPr>
          <w:p w14:paraId="777B17FD" w14:textId="3FC1F382" w:rsidR="008C5EC3" w:rsidRPr="00C04588" w:rsidRDefault="00C21EE3" w:rsidP="00AC4F77">
            <w:pPr>
              <w:pStyle w:val="paragraph"/>
              <w:spacing w:before="0" w:beforeAutospacing="0" w:after="0" w:afterAutospacing="0"/>
              <w:ind w:left="57" w:right="57"/>
              <w:jc w:val="both"/>
              <w:textAlignment w:val="baseline"/>
              <w:rPr>
                <w:sz w:val="20"/>
                <w:szCs w:val="20"/>
              </w:rPr>
            </w:pPr>
            <w:r w:rsidRPr="00C04588">
              <w:rPr>
                <w:rStyle w:val="normaltextrun"/>
                <w:sz w:val="20"/>
                <w:szCs w:val="20"/>
                <w:lang w:val="es-ES"/>
              </w:rPr>
              <w:t xml:space="preserve">La Sala Plena de la Corte Constitucional realizó el control automático e integral de constitucionalidad </w:t>
            </w:r>
            <w:r w:rsidR="00DD2395" w:rsidRPr="00C04588">
              <w:rPr>
                <w:rStyle w:val="normaltextrun"/>
                <w:sz w:val="20"/>
                <w:szCs w:val="20"/>
                <w:lang w:val="es-ES"/>
              </w:rPr>
              <w:t>s</w:t>
            </w:r>
            <w:r w:rsidR="00DD2395" w:rsidRPr="00C04588">
              <w:rPr>
                <w:rStyle w:val="normaltextrun"/>
                <w:sz w:val="20"/>
                <w:szCs w:val="20"/>
              </w:rPr>
              <w:t xml:space="preserve">obre </w:t>
            </w:r>
            <w:r w:rsidR="00DD2395" w:rsidRPr="00C04588">
              <w:rPr>
                <w:rStyle w:val="normaltextrun"/>
                <w:sz w:val="20"/>
                <w:szCs w:val="20"/>
                <w:lang w:val="es-ES"/>
              </w:rPr>
              <w:t xml:space="preserve">el </w:t>
            </w:r>
            <w:r w:rsidRPr="00C04588">
              <w:rPr>
                <w:rStyle w:val="normaltextrun"/>
                <w:sz w:val="20"/>
                <w:szCs w:val="20"/>
                <w:lang w:val="es-ES"/>
              </w:rPr>
              <w:t xml:space="preserve">Decreto Legislativo 1474 del 29 de diciembre de 2025, </w:t>
            </w:r>
            <w:r w:rsidRPr="00C04588">
              <w:rPr>
                <w:sz w:val="20"/>
                <w:szCs w:val="20"/>
              </w:rPr>
              <w:t>“Por el cual se adoptan medidas tributarias destinadas a atender los gastos del Presupuesto General de la Nación necesarios para hacer frente al Estado de Emergencia declarado por el Decreto 1390 de 2025”.</w:t>
            </w:r>
          </w:p>
        </w:tc>
      </w:tr>
      <w:tr w:rsidR="00C04588" w:rsidRPr="00C04588" w14:paraId="2239A3D1" w14:textId="77777777" w:rsidTr="004669DA">
        <w:trPr>
          <w:trHeight w:val="300"/>
          <w:jc w:val="center"/>
        </w:trPr>
        <w:tc>
          <w:tcPr>
            <w:tcW w:w="642" w:type="pct"/>
            <w:tcBorders>
              <w:top w:val="single" w:sz="6" w:space="0" w:color="auto"/>
              <w:left w:val="single" w:sz="6" w:space="0" w:color="auto"/>
              <w:bottom w:val="single" w:sz="6" w:space="0" w:color="auto"/>
              <w:right w:val="single" w:sz="6" w:space="0" w:color="auto"/>
            </w:tcBorders>
            <w:shd w:val="clear" w:color="auto" w:fill="B8CCE4" w:themeFill="accent1" w:themeFillTint="66"/>
            <w:vAlign w:val="center"/>
            <w:hideMark/>
          </w:tcPr>
          <w:p w14:paraId="63BE3D59" w14:textId="77777777" w:rsidR="00CE50B5" w:rsidRPr="00C04588" w:rsidRDefault="00CE50B5" w:rsidP="00201168">
            <w:pPr>
              <w:pStyle w:val="paragraph"/>
              <w:spacing w:before="0" w:beforeAutospacing="0" w:after="0" w:afterAutospacing="0"/>
              <w:ind w:left="113" w:right="113"/>
              <w:jc w:val="center"/>
              <w:textAlignment w:val="baseline"/>
              <w:rPr>
                <w:sz w:val="20"/>
                <w:szCs w:val="20"/>
              </w:rPr>
            </w:pPr>
            <w:r w:rsidRPr="00C04588">
              <w:rPr>
                <w:rStyle w:val="normaltextrun"/>
                <w:b/>
                <w:bCs/>
                <w:sz w:val="20"/>
                <w:szCs w:val="20"/>
              </w:rPr>
              <w:t>¿Qué consideró la Corte?</w:t>
            </w:r>
            <w:r w:rsidRPr="00C04588">
              <w:rPr>
                <w:rStyle w:val="eop"/>
                <w:sz w:val="20"/>
                <w:szCs w:val="20"/>
              </w:rPr>
              <w:t> </w:t>
            </w:r>
          </w:p>
        </w:tc>
        <w:tc>
          <w:tcPr>
            <w:tcW w:w="4358" w:type="pct"/>
            <w:tcBorders>
              <w:top w:val="single" w:sz="6" w:space="0" w:color="auto"/>
              <w:left w:val="single" w:sz="6" w:space="0" w:color="auto"/>
              <w:bottom w:val="single" w:sz="6" w:space="0" w:color="auto"/>
              <w:right w:val="single" w:sz="6" w:space="0" w:color="auto"/>
            </w:tcBorders>
            <w:vAlign w:val="center"/>
            <w:hideMark/>
          </w:tcPr>
          <w:p w14:paraId="704F7C50" w14:textId="2D9A85EA" w:rsidR="00660C8F" w:rsidRPr="00C8397B" w:rsidRDefault="00C21EE3" w:rsidP="00AC4F77">
            <w:pPr>
              <w:shd w:val="clear" w:color="auto" w:fill="FFFFFF"/>
              <w:ind w:left="57" w:right="57"/>
              <w:jc w:val="both"/>
              <w:textAlignment w:val="baseline"/>
              <w:rPr>
                <w:sz w:val="20"/>
                <w:szCs w:val="20"/>
                <w:lang w:val="es-ES_tradnl"/>
              </w:rPr>
            </w:pPr>
            <w:r w:rsidRPr="00C8397B">
              <w:rPr>
                <w:sz w:val="20"/>
                <w:szCs w:val="20"/>
              </w:rPr>
              <w:t>La Sala advirtió que mediante Sentencia C-</w:t>
            </w:r>
            <w:r w:rsidR="00F15A62" w:rsidRPr="00C8397B">
              <w:rPr>
                <w:sz w:val="20"/>
                <w:szCs w:val="20"/>
              </w:rPr>
              <w:t>075</w:t>
            </w:r>
            <w:r w:rsidRPr="00C8397B">
              <w:rPr>
                <w:sz w:val="20"/>
                <w:szCs w:val="20"/>
              </w:rPr>
              <w:t xml:space="preserve"> de 2026, la Corte Constitucional declaró la inexequibilidad del Decreto Legislativo 1390 del 22 de diciembre de 2025, que declaró el estado de emergencia económica</w:t>
            </w:r>
            <w:r w:rsidR="001F7721" w:rsidRPr="00C8397B">
              <w:rPr>
                <w:sz w:val="20"/>
                <w:szCs w:val="20"/>
              </w:rPr>
              <w:t xml:space="preserve"> y social</w:t>
            </w:r>
            <w:r w:rsidRPr="00C8397B">
              <w:rPr>
                <w:sz w:val="20"/>
                <w:szCs w:val="20"/>
              </w:rPr>
              <w:t xml:space="preserve"> al amparo del cual se expidió el decreto legislativo objeto de estudio</w:t>
            </w:r>
            <w:r w:rsidRPr="00C8397B">
              <w:rPr>
                <w:sz w:val="20"/>
                <w:szCs w:val="20"/>
                <w:lang w:val="es-ES_tradnl"/>
              </w:rPr>
              <w:t>.</w:t>
            </w:r>
          </w:p>
          <w:p w14:paraId="5E7074E8" w14:textId="7D6A136A" w:rsidR="008C5EC3" w:rsidRPr="00C8397B" w:rsidRDefault="00C21EE3" w:rsidP="00AC4F77">
            <w:pPr>
              <w:shd w:val="clear" w:color="auto" w:fill="FFFFFF"/>
              <w:ind w:left="57" w:right="57"/>
              <w:jc w:val="both"/>
              <w:textAlignment w:val="baseline"/>
              <w:rPr>
                <w:sz w:val="20"/>
                <w:szCs w:val="20"/>
                <w:lang w:val="es-ES_tradnl"/>
              </w:rPr>
            </w:pPr>
            <w:r w:rsidRPr="00C8397B">
              <w:rPr>
                <w:sz w:val="20"/>
                <w:szCs w:val="20"/>
                <w:lang w:val="es-ES_tradnl"/>
              </w:rPr>
              <w:t xml:space="preserve">Por lo anterior, la Sala </w:t>
            </w:r>
            <w:r w:rsidR="00B651B8" w:rsidRPr="00C8397B">
              <w:rPr>
                <w:sz w:val="20"/>
                <w:szCs w:val="20"/>
                <w:lang w:val="es-ES_tradnl"/>
              </w:rPr>
              <w:t xml:space="preserve">verificó </w:t>
            </w:r>
            <w:r w:rsidRPr="00426720">
              <w:rPr>
                <w:sz w:val="20"/>
                <w:szCs w:val="20"/>
                <w:shd w:val="clear" w:color="auto" w:fill="FFFFFF"/>
              </w:rPr>
              <w:t>s</w:t>
            </w:r>
            <w:r w:rsidR="00426720" w:rsidRPr="00426720">
              <w:rPr>
                <w:sz w:val="20"/>
                <w:szCs w:val="20"/>
                <w:shd w:val="clear" w:color="auto" w:fill="FFFFFF"/>
              </w:rPr>
              <w:t>i</w:t>
            </w:r>
            <w:r w:rsidRPr="00C8397B">
              <w:rPr>
                <w:sz w:val="20"/>
                <w:szCs w:val="20"/>
                <w:shd w:val="clear" w:color="auto" w:fill="FFFFFF"/>
              </w:rPr>
              <w:t xml:space="preserve"> en el presente asunto operó la inconstitucionalidad por consecuencia. Para tal efecto, reiteró jurisprudencia sobre la materia y, luego, analizó s</w:t>
            </w:r>
            <w:r w:rsidR="00426720">
              <w:rPr>
                <w:sz w:val="20"/>
                <w:szCs w:val="20"/>
                <w:shd w:val="clear" w:color="auto" w:fill="FFFFFF"/>
              </w:rPr>
              <w:t>i</w:t>
            </w:r>
            <w:r w:rsidRPr="00C8397B">
              <w:rPr>
                <w:sz w:val="20"/>
                <w:szCs w:val="20"/>
                <w:shd w:val="clear" w:color="auto" w:fill="FFFFFF"/>
              </w:rPr>
              <w:t xml:space="preserve"> respecto del decreto estudiado se configuró dicho fenómeno jurídico. </w:t>
            </w:r>
          </w:p>
          <w:p w14:paraId="14447B44" w14:textId="1F89CDAF" w:rsidR="008C5EC3" w:rsidRPr="00C8397B" w:rsidRDefault="008C5EC3" w:rsidP="00AA4523">
            <w:pPr>
              <w:shd w:val="clear" w:color="auto" w:fill="FFFFFF"/>
              <w:spacing w:line="0" w:lineRule="atLeast"/>
              <w:ind w:left="113" w:right="113"/>
              <w:jc w:val="both"/>
              <w:textAlignment w:val="baseline"/>
              <w:rPr>
                <w:sz w:val="20"/>
                <w:szCs w:val="20"/>
                <w:shd w:val="clear" w:color="auto" w:fill="FFFFFF"/>
              </w:rPr>
            </w:pPr>
          </w:p>
        </w:tc>
      </w:tr>
      <w:tr w:rsidR="00C04588" w:rsidRPr="008F14A4" w14:paraId="47C7BD2B" w14:textId="77777777" w:rsidTr="004A6F93">
        <w:trPr>
          <w:trHeight w:val="411"/>
          <w:jc w:val="center"/>
        </w:trPr>
        <w:tc>
          <w:tcPr>
            <w:tcW w:w="642" w:type="pct"/>
            <w:tcBorders>
              <w:top w:val="single" w:sz="6" w:space="0" w:color="auto"/>
              <w:left w:val="single" w:sz="6" w:space="0" w:color="auto"/>
              <w:bottom w:val="single" w:sz="6" w:space="0" w:color="auto"/>
              <w:right w:val="single" w:sz="6" w:space="0" w:color="auto"/>
            </w:tcBorders>
            <w:shd w:val="clear" w:color="auto" w:fill="B8CCE4" w:themeFill="accent1" w:themeFillTint="66"/>
            <w:vAlign w:val="center"/>
            <w:hideMark/>
          </w:tcPr>
          <w:p w14:paraId="184E40AD" w14:textId="77777777" w:rsidR="00CE50B5" w:rsidRPr="008F14A4" w:rsidRDefault="00CE50B5" w:rsidP="00201168">
            <w:pPr>
              <w:pStyle w:val="paragraph"/>
              <w:spacing w:before="0" w:beforeAutospacing="0" w:after="0" w:afterAutospacing="0"/>
              <w:ind w:left="113" w:right="113"/>
              <w:jc w:val="center"/>
              <w:textAlignment w:val="baseline"/>
              <w:rPr>
                <w:sz w:val="20"/>
                <w:szCs w:val="20"/>
              </w:rPr>
            </w:pPr>
            <w:r w:rsidRPr="008F14A4">
              <w:rPr>
                <w:rStyle w:val="normaltextrun"/>
                <w:b/>
                <w:bCs/>
                <w:sz w:val="20"/>
                <w:szCs w:val="20"/>
              </w:rPr>
              <w:t>¿Qué decidió la Corte?</w:t>
            </w:r>
            <w:r w:rsidRPr="008F14A4">
              <w:rPr>
                <w:rStyle w:val="eop"/>
                <w:sz w:val="20"/>
                <w:szCs w:val="20"/>
              </w:rPr>
              <w:t> </w:t>
            </w:r>
          </w:p>
        </w:tc>
        <w:tc>
          <w:tcPr>
            <w:tcW w:w="4358" w:type="pct"/>
            <w:tcBorders>
              <w:top w:val="single" w:sz="6" w:space="0" w:color="auto"/>
              <w:left w:val="single" w:sz="6" w:space="0" w:color="auto"/>
              <w:bottom w:val="single" w:sz="6" w:space="0" w:color="auto"/>
              <w:right w:val="single" w:sz="6" w:space="0" w:color="auto"/>
            </w:tcBorders>
            <w:vAlign w:val="center"/>
            <w:hideMark/>
          </w:tcPr>
          <w:p w14:paraId="611B4E48" w14:textId="080FD72D" w:rsidR="00B651B8" w:rsidRPr="008F14A4" w:rsidRDefault="00F34BED" w:rsidP="00AC4F77">
            <w:pPr>
              <w:pBdr>
                <w:top w:val="nil"/>
                <w:left w:val="nil"/>
                <w:bottom w:val="nil"/>
                <w:right w:val="nil"/>
                <w:between w:val="nil"/>
              </w:pBdr>
              <w:shd w:val="clear" w:color="auto" w:fill="FFFFFF"/>
              <w:ind w:left="57" w:right="57"/>
              <w:jc w:val="both"/>
              <w:textAlignment w:val="baseline"/>
              <w:rPr>
                <w:sz w:val="20"/>
                <w:szCs w:val="20"/>
              </w:rPr>
            </w:pPr>
            <w:r w:rsidRPr="008F14A4">
              <w:rPr>
                <w:sz w:val="20"/>
                <w:szCs w:val="20"/>
              </w:rPr>
              <w:t>La</w:t>
            </w:r>
            <w:r w:rsidR="001F7721" w:rsidRPr="008F14A4">
              <w:rPr>
                <w:sz w:val="20"/>
                <w:szCs w:val="20"/>
              </w:rPr>
              <w:t xml:space="preserve"> </w:t>
            </w:r>
            <w:r w:rsidR="00660C8F" w:rsidRPr="008F14A4">
              <w:rPr>
                <w:sz w:val="20"/>
                <w:szCs w:val="20"/>
                <w:lang w:val="es-ES_tradnl"/>
              </w:rPr>
              <w:t>Sala encontró que operaba la inconstitucionalidad por consecuencia respecto del Decreto Legislativo 1474 de 2025.</w:t>
            </w:r>
            <w:r w:rsidR="00660C8F" w:rsidRPr="008F14A4">
              <w:rPr>
                <w:sz w:val="20"/>
                <w:szCs w:val="20"/>
              </w:rPr>
              <w:t xml:space="preserve"> Lo anterior, por las razones que se exponen a continuación. </w:t>
            </w:r>
          </w:p>
          <w:p w14:paraId="79780910" w14:textId="37F48992" w:rsidR="00B651B8" w:rsidRPr="008F14A4" w:rsidRDefault="00660C8F" w:rsidP="00AC4F77">
            <w:pPr>
              <w:pBdr>
                <w:top w:val="nil"/>
                <w:left w:val="nil"/>
                <w:bottom w:val="nil"/>
                <w:right w:val="nil"/>
                <w:between w:val="nil"/>
              </w:pBdr>
              <w:shd w:val="clear" w:color="auto" w:fill="FFFFFF"/>
              <w:ind w:left="57" w:right="57"/>
              <w:jc w:val="both"/>
              <w:textAlignment w:val="baseline"/>
              <w:rPr>
                <w:sz w:val="20"/>
                <w:szCs w:val="20"/>
              </w:rPr>
            </w:pPr>
            <w:r w:rsidRPr="008F14A4">
              <w:rPr>
                <w:sz w:val="20"/>
                <w:szCs w:val="20"/>
              </w:rPr>
              <w:t>(i) Mediante Sentencia C-</w:t>
            </w:r>
            <w:r w:rsidR="00F15A62" w:rsidRPr="008F14A4">
              <w:rPr>
                <w:sz w:val="20"/>
                <w:szCs w:val="20"/>
              </w:rPr>
              <w:t>075</w:t>
            </w:r>
            <w:r w:rsidRPr="008F14A4">
              <w:rPr>
                <w:sz w:val="20"/>
                <w:szCs w:val="20"/>
              </w:rPr>
              <w:t xml:space="preserve"> de 2026, la Corte Constitucional declaró la inexequibilidad total del Decreto Legislativo 1390 del 22 de diciembre de 2025, por medio del cual se declaró el estado de emergencia económica y social en todo el territorio nacional. </w:t>
            </w:r>
          </w:p>
          <w:p w14:paraId="0B8772E9" w14:textId="77777777" w:rsidR="00B651B8" w:rsidRPr="008F14A4" w:rsidRDefault="00B651B8" w:rsidP="00AC4F77">
            <w:pPr>
              <w:widowControl w:val="0"/>
              <w:pBdr>
                <w:top w:val="nil"/>
                <w:left w:val="nil"/>
                <w:bottom w:val="nil"/>
                <w:right w:val="nil"/>
                <w:between w:val="nil"/>
              </w:pBdr>
              <w:shd w:val="clear" w:color="auto" w:fill="FFFFFF"/>
              <w:ind w:left="57" w:right="57"/>
              <w:jc w:val="both"/>
              <w:textAlignment w:val="baseline"/>
              <w:rPr>
                <w:sz w:val="20"/>
                <w:szCs w:val="20"/>
              </w:rPr>
            </w:pPr>
            <w:r w:rsidRPr="008F14A4">
              <w:rPr>
                <w:sz w:val="20"/>
                <w:szCs w:val="20"/>
              </w:rPr>
              <w:t>(ii) La norma bajo examen</w:t>
            </w:r>
            <w:r w:rsidR="00660C8F" w:rsidRPr="008F14A4">
              <w:rPr>
                <w:sz w:val="20"/>
                <w:szCs w:val="20"/>
              </w:rPr>
              <w:t xml:space="preserve"> fue expedid</w:t>
            </w:r>
            <w:r w:rsidRPr="008F14A4">
              <w:rPr>
                <w:sz w:val="20"/>
                <w:szCs w:val="20"/>
              </w:rPr>
              <w:t>a</w:t>
            </w:r>
            <w:r w:rsidR="00660C8F" w:rsidRPr="008F14A4">
              <w:rPr>
                <w:sz w:val="20"/>
                <w:szCs w:val="20"/>
              </w:rPr>
              <w:t xml:space="preserve"> al amparo del estado de emergencia económica y social declarado por medio del </w:t>
            </w:r>
            <w:r w:rsidRPr="008F14A4">
              <w:rPr>
                <w:sz w:val="20"/>
                <w:szCs w:val="20"/>
              </w:rPr>
              <w:t>Decreto Legislativo 1390 de 2025</w:t>
            </w:r>
            <w:r w:rsidR="00660C8F" w:rsidRPr="008F14A4">
              <w:rPr>
                <w:sz w:val="20"/>
                <w:szCs w:val="20"/>
              </w:rPr>
              <w:t xml:space="preserve">. </w:t>
            </w:r>
          </w:p>
          <w:p w14:paraId="238F19FB" w14:textId="233D07E1" w:rsidR="00B651B8" w:rsidRPr="008F14A4" w:rsidRDefault="00B651B8" w:rsidP="00AC4F77">
            <w:pPr>
              <w:widowControl w:val="0"/>
              <w:pBdr>
                <w:top w:val="nil"/>
                <w:left w:val="nil"/>
                <w:bottom w:val="nil"/>
                <w:right w:val="nil"/>
                <w:between w:val="nil"/>
              </w:pBdr>
              <w:shd w:val="clear" w:color="auto" w:fill="FFFFFF"/>
              <w:ind w:left="57" w:right="57"/>
              <w:jc w:val="both"/>
              <w:textAlignment w:val="baseline"/>
              <w:rPr>
                <w:sz w:val="20"/>
                <w:szCs w:val="20"/>
              </w:rPr>
            </w:pPr>
            <w:r w:rsidRPr="008F14A4">
              <w:rPr>
                <w:sz w:val="20"/>
                <w:szCs w:val="20"/>
              </w:rPr>
              <w:t>(iii) E</w:t>
            </w:r>
            <w:r w:rsidR="00660C8F" w:rsidRPr="008F14A4">
              <w:rPr>
                <w:sz w:val="20"/>
                <w:szCs w:val="20"/>
              </w:rPr>
              <w:t xml:space="preserve">l </w:t>
            </w:r>
            <w:r w:rsidRPr="008F14A4">
              <w:rPr>
                <w:sz w:val="20"/>
                <w:szCs w:val="20"/>
              </w:rPr>
              <w:t>Decreto Legislativo 1474 de 2025</w:t>
            </w:r>
            <w:r w:rsidR="00660C8F" w:rsidRPr="008F14A4">
              <w:rPr>
                <w:sz w:val="20"/>
                <w:szCs w:val="20"/>
              </w:rPr>
              <w:t xml:space="preserve"> debe ser declarado inexequible p</w:t>
            </w:r>
            <w:r w:rsidR="00426720" w:rsidRPr="008F14A4">
              <w:rPr>
                <w:sz w:val="20"/>
                <w:szCs w:val="20"/>
              </w:rPr>
              <w:t xml:space="preserve">or cuanto el cuerpo normativo habilitante en virtud del cual se expidió, fue expulsado del ordenamiento jurídico. </w:t>
            </w:r>
          </w:p>
          <w:p w14:paraId="5D3685E2" w14:textId="77777777" w:rsidR="00AC4F77" w:rsidRPr="008F14A4" w:rsidRDefault="00A60583" w:rsidP="00AC4F77">
            <w:pPr>
              <w:widowControl w:val="0"/>
              <w:pBdr>
                <w:top w:val="nil"/>
                <w:left w:val="nil"/>
                <w:bottom w:val="nil"/>
                <w:right w:val="nil"/>
                <w:between w:val="nil"/>
              </w:pBdr>
              <w:shd w:val="clear" w:color="auto" w:fill="FFFFFF"/>
              <w:ind w:left="57" w:right="57"/>
              <w:jc w:val="both"/>
              <w:textAlignment w:val="baseline"/>
              <w:rPr>
                <w:sz w:val="20"/>
                <w:szCs w:val="20"/>
              </w:rPr>
            </w:pPr>
            <w:r w:rsidRPr="008F14A4">
              <w:rPr>
                <w:sz w:val="20"/>
                <w:szCs w:val="20"/>
              </w:rPr>
              <w:t>(iv) La inexequibilidad del DL1390 fue total y en la Sentencia C-</w:t>
            </w:r>
            <w:r w:rsidR="00F15A62" w:rsidRPr="008F14A4">
              <w:rPr>
                <w:sz w:val="20"/>
                <w:szCs w:val="20"/>
              </w:rPr>
              <w:t>075</w:t>
            </w:r>
            <w:r w:rsidRPr="008F14A4">
              <w:rPr>
                <w:sz w:val="20"/>
                <w:szCs w:val="20"/>
              </w:rPr>
              <w:t xml:space="preserve"> de 2026 esta corporación no adoptó ninguna modulación sobre los efectos de la decisión. </w:t>
            </w:r>
          </w:p>
          <w:p w14:paraId="4F609883" w14:textId="305DFDDA" w:rsidR="00AC4F77" w:rsidRPr="008F14A4" w:rsidRDefault="00626928" w:rsidP="00AC4F77">
            <w:pPr>
              <w:widowControl w:val="0"/>
              <w:pBdr>
                <w:top w:val="nil"/>
                <w:left w:val="nil"/>
                <w:bottom w:val="nil"/>
                <w:right w:val="nil"/>
                <w:between w:val="nil"/>
              </w:pBdr>
              <w:shd w:val="clear" w:color="auto" w:fill="FFFFFF"/>
              <w:ind w:left="57" w:right="57"/>
              <w:jc w:val="both"/>
              <w:textAlignment w:val="baseline"/>
              <w:rPr>
                <w:sz w:val="20"/>
                <w:szCs w:val="20"/>
              </w:rPr>
            </w:pPr>
            <w:r w:rsidRPr="008F14A4">
              <w:rPr>
                <w:sz w:val="20"/>
                <w:szCs w:val="20"/>
              </w:rPr>
              <w:t xml:space="preserve">Finalmente, </w:t>
            </w:r>
            <w:r w:rsidR="00D428DC" w:rsidRPr="008F14A4">
              <w:rPr>
                <w:sz w:val="20"/>
                <w:szCs w:val="20"/>
              </w:rPr>
              <w:t xml:space="preserve">evidenció </w:t>
            </w:r>
            <w:r w:rsidRPr="008F14A4">
              <w:rPr>
                <w:sz w:val="20"/>
                <w:szCs w:val="20"/>
              </w:rPr>
              <w:t xml:space="preserve">que en el presente asunto </w:t>
            </w:r>
            <w:r w:rsidR="00AC4F77" w:rsidRPr="008F14A4">
              <w:rPr>
                <w:sz w:val="20"/>
                <w:szCs w:val="20"/>
              </w:rPr>
              <w:t xml:space="preserve">era necesario modular los efectos de la declaratoria de inexequibilidad por consecuencia con el fin de: (i) asegurar que los impuestos directos contenidos en el DL1474 no sean objeto de declaración o liquidación ni pueda pretenderse cobro alguno de los mismos. Adicionalmente, ordenar la devolución de aquellas sumas que por dichos conceptos se hubieren pagado anticipadamente por los contribuyentes; (ii) garantizar </w:t>
            </w:r>
            <w:r w:rsidR="00AC4F77" w:rsidRPr="008F14A4">
              <w:rPr>
                <w:bCs/>
                <w:color w:val="000000" w:themeColor="text1"/>
                <w:sz w:val="20"/>
                <w:szCs w:val="20"/>
              </w:rPr>
              <w:t>la devolución por la DIAN de los recursos recaudados con ocasión de los impuestos indirectos a los sujetos pasivos o responsables de hecho que acrediten el pago material de los mismos y (iii) mantener la validez de las situaciones jurídicas consolidadas en favor de los contribuyentes que acreditaron las condiciones para acceder a los beneficios tributarios contenidos en el DL1474, mientras aquel produjo efectos.</w:t>
            </w:r>
          </w:p>
        </w:tc>
      </w:tr>
      <w:tr w:rsidR="00CE50B5" w:rsidRPr="008F14A4" w14:paraId="79AC671B" w14:textId="77777777" w:rsidTr="004669DA">
        <w:trPr>
          <w:trHeight w:val="300"/>
          <w:jc w:val="center"/>
        </w:trPr>
        <w:tc>
          <w:tcPr>
            <w:tcW w:w="642" w:type="pct"/>
            <w:tcBorders>
              <w:top w:val="single" w:sz="6" w:space="0" w:color="auto"/>
              <w:left w:val="single" w:sz="6" w:space="0" w:color="auto"/>
              <w:bottom w:val="single" w:sz="6" w:space="0" w:color="auto"/>
              <w:right w:val="single" w:sz="6" w:space="0" w:color="auto"/>
            </w:tcBorders>
            <w:shd w:val="clear" w:color="auto" w:fill="B8CCE4" w:themeFill="accent1" w:themeFillTint="66"/>
            <w:vAlign w:val="center"/>
            <w:hideMark/>
          </w:tcPr>
          <w:p w14:paraId="54B103D2" w14:textId="77777777" w:rsidR="00CE50B5" w:rsidRPr="008F14A4" w:rsidRDefault="00CE50B5" w:rsidP="00201168">
            <w:pPr>
              <w:pStyle w:val="paragraph"/>
              <w:spacing w:before="0" w:beforeAutospacing="0" w:after="0" w:afterAutospacing="0"/>
              <w:ind w:left="113" w:right="113"/>
              <w:jc w:val="center"/>
              <w:textAlignment w:val="baseline"/>
              <w:rPr>
                <w:sz w:val="20"/>
                <w:szCs w:val="20"/>
              </w:rPr>
            </w:pPr>
            <w:r w:rsidRPr="008F14A4">
              <w:rPr>
                <w:rStyle w:val="normaltextrun"/>
                <w:b/>
                <w:bCs/>
                <w:sz w:val="20"/>
                <w:szCs w:val="20"/>
              </w:rPr>
              <w:t>¿Qué resolvió la Corte?</w:t>
            </w:r>
            <w:r w:rsidRPr="008F14A4">
              <w:rPr>
                <w:rStyle w:val="eop"/>
                <w:sz w:val="20"/>
                <w:szCs w:val="20"/>
              </w:rPr>
              <w:t> </w:t>
            </w:r>
          </w:p>
        </w:tc>
        <w:tc>
          <w:tcPr>
            <w:tcW w:w="4358" w:type="pct"/>
            <w:tcBorders>
              <w:top w:val="single" w:sz="6" w:space="0" w:color="auto"/>
              <w:left w:val="single" w:sz="6" w:space="0" w:color="auto"/>
              <w:bottom w:val="single" w:sz="6" w:space="0" w:color="auto"/>
              <w:right w:val="single" w:sz="6" w:space="0" w:color="auto"/>
            </w:tcBorders>
            <w:vAlign w:val="center"/>
            <w:hideMark/>
          </w:tcPr>
          <w:p w14:paraId="178F09A3" w14:textId="7B9403D8" w:rsidR="00CA025C" w:rsidRPr="008F14A4" w:rsidRDefault="00CA025C" w:rsidP="00CA025C">
            <w:pPr>
              <w:ind w:left="57" w:right="57"/>
              <w:jc w:val="both"/>
              <w:rPr>
                <w:sz w:val="20"/>
                <w:szCs w:val="20"/>
              </w:rPr>
            </w:pPr>
            <w:r w:rsidRPr="008F14A4">
              <w:rPr>
                <w:b/>
                <w:sz w:val="20"/>
                <w:szCs w:val="20"/>
              </w:rPr>
              <w:t>PRIMERO.</w:t>
            </w:r>
            <w:r w:rsidRPr="008F14A4">
              <w:rPr>
                <w:sz w:val="20"/>
                <w:szCs w:val="20"/>
              </w:rPr>
              <w:t xml:space="preserve"> Declarar </w:t>
            </w:r>
            <w:r w:rsidRPr="008F14A4">
              <w:rPr>
                <w:b/>
                <w:sz w:val="20"/>
                <w:szCs w:val="20"/>
              </w:rPr>
              <w:t>INEXEQUIBLE,</w:t>
            </w:r>
            <w:r w:rsidRPr="008F14A4">
              <w:rPr>
                <w:sz w:val="20"/>
                <w:szCs w:val="20"/>
              </w:rPr>
              <w:t xml:space="preserve"> por consecuencia, el Decreto Legislativo 1474 del 29 de diciembre de 2025, “Por el cual se adoptan medidas tributarias destinadas a atender los gastos del Presupuesto General de la Nación necesarios para hacer frente al Estado de Emergencia declarado por el Decreto 1390 de 2025”. </w:t>
            </w:r>
          </w:p>
          <w:p w14:paraId="25EC6A07" w14:textId="4EC955C2" w:rsidR="008C5EC3" w:rsidRPr="008F14A4" w:rsidRDefault="00CA025C" w:rsidP="00CA025C">
            <w:pPr>
              <w:ind w:left="57" w:right="57"/>
              <w:jc w:val="both"/>
              <w:rPr>
                <w:sz w:val="28"/>
                <w:szCs w:val="28"/>
              </w:rPr>
            </w:pPr>
            <w:r w:rsidRPr="008F14A4">
              <w:rPr>
                <w:b/>
                <w:sz w:val="20"/>
                <w:szCs w:val="20"/>
              </w:rPr>
              <w:t>SEGUNDO.</w:t>
            </w:r>
            <w:r w:rsidRPr="008F14A4">
              <w:rPr>
                <w:sz w:val="20"/>
                <w:szCs w:val="20"/>
              </w:rPr>
              <w:t xml:space="preserve"> Modular los efectos de esta decisión en el sentido de </w:t>
            </w:r>
            <w:r w:rsidRPr="008F14A4">
              <w:rPr>
                <w:b/>
                <w:sz w:val="20"/>
                <w:szCs w:val="20"/>
              </w:rPr>
              <w:t xml:space="preserve">ORDENAR </w:t>
            </w:r>
            <w:r w:rsidRPr="008F14A4">
              <w:rPr>
                <w:sz w:val="20"/>
                <w:szCs w:val="20"/>
              </w:rPr>
              <w:t>que: i) los impuestos directos que fueron modificados o se hayan causado mientras el Decreto Legislativo 1474 de 2025 produjo efectos no sean objeto de declaración, liquidación o cobro por parte de la DIAN, y que se devuelvan los que se hayan pagado anticipadamente; ii) los impuestos indirectos pagados mientras el Decreto Legislativo 1474 de 2025 produjo efectos sean devueltos a los sujetos pasivos que materialmente hayan realizado el pago y así lo acrediten, para lo cual la DIAN aplicará, dentro de los treinta (30) días siguientes a la notificación de esta sentencia, los mecanismos legales existentes o dispondrá la adopción de uno específico para ese efecto, si fuere necesario; y iii) se mantienen incólumes las situaciones jurídicas consolidadas respecto de los contribuyentes que acreditaron las condiciones exigidas para acceder a los beneficios tributarios previstos en el Decreto Legislativo 1474 de 2025 mientras este produjo efectos, todo ello en los términos de esta sentencia.</w:t>
            </w:r>
            <w:r w:rsidRPr="008F14A4">
              <w:rPr>
                <w:sz w:val="28"/>
                <w:szCs w:val="28"/>
              </w:rPr>
              <w:t xml:space="preserve"> </w:t>
            </w:r>
          </w:p>
        </w:tc>
      </w:tr>
    </w:tbl>
    <w:p w14:paraId="5F53F6AF" w14:textId="77777777" w:rsidR="00125EFE" w:rsidRPr="008F14A4" w:rsidRDefault="00125EFE">
      <w:pPr>
        <w:tabs>
          <w:tab w:val="left" w:pos="284"/>
        </w:tabs>
        <w:jc w:val="both"/>
        <w:rPr>
          <w:sz w:val="28"/>
          <w:szCs w:val="28"/>
        </w:rPr>
      </w:pPr>
    </w:p>
    <w:p w14:paraId="284399A5" w14:textId="01C72FD4" w:rsidR="002343E4" w:rsidRPr="008F14A4" w:rsidRDefault="0060246C" w:rsidP="00C515C3">
      <w:pPr>
        <w:keepNext/>
        <w:keepLines/>
        <w:widowControl w:val="0"/>
        <w:tabs>
          <w:tab w:val="left" w:pos="284"/>
        </w:tabs>
        <w:jc w:val="both"/>
        <w:rPr>
          <w:sz w:val="28"/>
          <w:szCs w:val="28"/>
        </w:rPr>
      </w:pPr>
      <w:r w:rsidRPr="008F14A4">
        <w:rPr>
          <w:b/>
          <w:sz w:val="28"/>
          <w:szCs w:val="28"/>
        </w:rPr>
        <w:t>I. ANTECEDENTES</w:t>
      </w:r>
    </w:p>
    <w:p w14:paraId="284399A6" w14:textId="77777777" w:rsidR="002343E4" w:rsidRPr="008F14A4" w:rsidRDefault="002343E4" w:rsidP="00C515C3">
      <w:pPr>
        <w:keepNext/>
        <w:keepLines/>
        <w:widowControl w:val="0"/>
        <w:pBdr>
          <w:top w:val="nil"/>
          <w:left w:val="nil"/>
          <w:bottom w:val="nil"/>
          <w:right w:val="nil"/>
          <w:between w:val="nil"/>
        </w:pBdr>
        <w:tabs>
          <w:tab w:val="left" w:pos="284"/>
          <w:tab w:val="left" w:pos="426"/>
        </w:tabs>
        <w:jc w:val="both"/>
        <w:rPr>
          <w:sz w:val="28"/>
          <w:szCs w:val="28"/>
        </w:rPr>
      </w:pPr>
    </w:p>
    <w:p w14:paraId="4D86BEF2" w14:textId="2B00678A" w:rsidR="008C5EC3" w:rsidRPr="008F14A4" w:rsidRDefault="008C5EC3" w:rsidP="00C515C3">
      <w:pPr>
        <w:keepNext/>
        <w:keepLines/>
        <w:widowControl w:val="0"/>
        <w:numPr>
          <w:ilvl w:val="0"/>
          <w:numId w:val="9"/>
        </w:numPr>
        <w:pBdr>
          <w:top w:val="nil"/>
          <w:left w:val="nil"/>
          <w:bottom w:val="nil"/>
          <w:right w:val="nil"/>
          <w:between w:val="nil"/>
        </w:pBdr>
        <w:tabs>
          <w:tab w:val="left" w:pos="284"/>
        </w:tabs>
        <w:ind w:left="0" w:firstLine="0"/>
        <w:jc w:val="both"/>
        <w:rPr>
          <w:sz w:val="28"/>
          <w:szCs w:val="28"/>
        </w:rPr>
      </w:pPr>
      <w:r w:rsidRPr="008F14A4">
        <w:rPr>
          <w:bCs/>
          <w:iCs/>
          <w:sz w:val="28"/>
          <w:szCs w:val="28"/>
          <w:lang w:eastAsia="es-ES"/>
        </w:rPr>
        <w:t xml:space="preserve">El 29 de diciembre de 2025, el presidente de la República profirió el Decreto Legislativo 1474 de 2025 mediante </w:t>
      </w:r>
      <w:r w:rsidRPr="008F14A4">
        <w:rPr>
          <w:sz w:val="28"/>
          <w:szCs w:val="28"/>
        </w:rPr>
        <w:t>el</w:t>
      </w:r>
      <w:r w:rsidRPr="008F14A4">
        <w:rPr>
          <w:bCs/>
          <w:iCs/>
          <w:sz w:val="28"/>
          <w:szCs w:val="28"/>
          <w:lang w:eastAsia="es-ES"/>
        </w:rPr>
        <w:t xml:space="preserve"> cual “</w:t>
      </w:r>
      <w:r w:rsidRPr="008F14A4">
        <w:rPr>
          <w:sz w:val="28"/>
          <w:szCs w:val="28"/>
        </w:rPr>
        <w:t>se adoptan medidas tributarias destinadas a atender los gastos del Presupuesto General de la Nación necesarios para hacer frente al Estado de Emergencia declarado por el Decreto 1390 de 2025</w:t>
      </w:r>
      <w:r w:rsidR="0026350A" w:rsidRPr="008F14A4">
        <w:rPr>
          <w:sz w:val="28"/>
          <w:szCs w:val="28"/>
        </w:rPr>
        <w:t>[en adelante, DL1390]</w:t>
      </w:r>
      <w:r w:rsidRPr="008F14A4">
        <w:rPr>
          <w:sz w:val="28"/>
          <w:szCs w:val="28"/>
        </w:rPr>
        <w:t xml:space="preserve">”. </w:t>
      </w:r>
      <w:r w:rsidR="006672D4" w:rsidRPr="008F14A4">
        <w:rPr>
          <w:sz w:val="28"/>
          <w:szCs w:val="28"/>
        </w:rPr>
        <w:t>Aquel fue publicado en el Diario Oficial n.° 53.352 del 30 de diciembre de 2025 y, de conformidad con su artículo 33</w:t>
      </w:r>
      <w:r w:rsidR="00D428DC" w:rsidRPr="008F14A4">
        <w:rPr>
          <w:sz w:val="28"/>
          <w:szCs w:val="28"/>
        </w:rPr>
        <w:t>,</w:t>
      </w:r>
      <w:r w:rsidR="006672D4" w:rsidRPr="008F14A4">
        <w:rPr>
          <w:sz w:val="28"/>
          <w:szCs w:val="28"/>
        </w:rPr>
        <w:t xml:space="preserve"> ese día entró en vigencia.</w:t>
      </w:r>
    </w:p>
    <w:p w14:paraId="4558343D" w14:textId="77777777" w:rsidR="008C5EC3" w:rsidRPr="008F14A4" w:rsidRDefault="008C5EC3" w:rsidP="008C5EC3">
      <w:pPr>
        <w:pStyle w:val="Prrafodelista"/>
        <w:tabs>
          <w:tab w:val="left" w:pos="567"/>
        </w:tabs>
        <w:ind w:left="0"/>
        <w:rPr>
          <w:sz w:val="28"/>
          <w:szCs w:val="28"/>
        </w:rPr>
      </w:pPr>
    </w:p>
    <w:p w14:paraId="63D8D855" w14:textId="77777777" w:rsidR="008C5EC3" w:rsidRPr="008F14A4" w:rsidRDefault="008C5EC3" w:rsidP="008C5EC3">
      <w:pPr>
        <w:numPr>
          <w:ilvl w:val="0"/>
          <w:numId w:val="9"/>
        </w:numPr>
        <w:pBdr>
          <w:top w:val="nil"/>
          <w:left w:val="nil"/>
          <w:bottom w:val="nil"/>
          <w:right w:val="nil"/>
          <w:between w:val="nil"/>
        </w:pBdr>
        <w:tabs>
          <w:tab w:val="left" w:pos="284"/>
        </w:tabs>
        <w:ind w:left="0" w:firstLine="0"/>
        <w:jc w:val="both"/>
        <w:rPr>
          <w:sz w:val="28"/>
          <w:szCs w:val="28"/>
        </w:rPr>
      </w:pPr>
      <w:r w:rsidRPr="008F14A4">
        <w:rPr>
          <w:sz w:val="28"/>
          <w:szCs w:val="28"/>
        </w:rPr>
        <w:t xml:space="preserve"> El 30 de diciembre de 2025, en cumplimiento de lo previsto por el artículo 214.6 de la Carta Política, la Secretaría Jurídica de la Presidencia de la República remitió a la Corte Constitucional copia auténtica del Decreto Legislativo 1474 de 2025</w:t>
      </w:r>
      <w:r w:rsidRPr="008F14A4">
        <w:rPr>
          <w:rStyle w:val="Refdenotaalpie"/>
          <w:sz w:val="28"/>
          <w:szCs w:val="28"/>
        </w:rPr>
        <w:footnoteReference w:id="3"/>
      </w:r>
      <w:r w:rsidRPr="008F14A4">
        <w:rPr>
          <w:sz w:val="28"/>
          <w:szCs w:val="28"/>
        </w:rPr>
        <w:t xml:space="preserve">. El citado documento se dio por recibido en esta corporación el 13 de enero de 2026, primer día hábil siguiente a la vacancia judicial que transcurrió entre el 20 de diciembre de 2025 y el 10 de enero de 2026. </w:t>
      </w:r>
    </w:p>
    <w:p w14:paraId="10F01C5C" w14:textId="77777777" w:rsidR="008C5EC3" w:rsidRPr="008F14A4" w:rsidRDefault="008C5EC3" w:rsidP="008C5EC3">
      <w:pPr>
        <w:pStyle w:val="Prrafodelista"/>
        <w:rPr>
          <w:sz w:val="28"/>
          <w:szCs w:val="28"/>
        </w:rPr>
      </w:pPr>
    </w:p>
    <w:p w14:paraId="4E0100B4" w14:textId="77777777" w:rsidR="006672D4" w:rsidRPr="008F14A4" w:rsidRDefault="008C5EC3" w:rsidP="006672D4">
      <w:pPr>
        <w:numPr>
          <w:ilvl w:val="0"/>
          <w:numId w:val="9"/>
        </w:numPr>
        <w:pBdr>
          <w:top w:val="nil"/>
          <w:left w:val="nil"/>
          <w:bottom w:val="nil"/>
          <w:right w:val="nil"/>
          <w:between w:val="nil"/>
        </w:pBdr>
        <w:tabs>
          <w:tab w:val="left" w:pos="284"/>
        </w:tabs>
        <w:ind w:left="0" w:firstLine="0"/>
        <w:jc w:val="both"/>
        <w:rPr>
          <w:sz w:val="28"/>
          <w:szCs w:val="28"/>
        </w:rPr>
      </w:pPr>
      <w:r w:rsidRPr="008F14A4">
        <w:rPr>
          <w:sz w:val="28"/>
          <w:szCs w:val="28"/>
        </w:rPr>
        <w:t xml:space="preserve"> El expediente fue repartido al despacho del magistrado Juan Carlos Cortés González en Sala Plena del 13 de enero de 2026 y, ese mismo día, la Secretaría General de la Corte Constitucional lo remitió </w:t>
      </w:r>
      <w:r w:rsidRPr="008F14A4">
        <w:rPr>
          <w:sz w:val="28"/>
          <w:szCs w:val="28"/>
          <w:lang w:val="es-ES"/>
        </w:rPr>
        <w:t>para trámite</w:t>
      </w:r>
      <w:r w:rsidRPr="008F14A4">
        <w:rPr>
          <w:rStyle w:val="Refdenotaalpie"/>
          <w:sz w:val="28"/>
          <w:szCs w:val="28"/>
          <w:lang w:val="es-ES"/>
        </w:rPr>
        <w:footnoteReference w:id="4"/>
      </w:r>
      <w:r w:rsidRPr="008F14A4">
        <w:rPr>
          <w:sz w:val="28"/>
          <w:szCs w:val="28"/>
          <w:lang w:val="es-ES"/>
        </w:rPr>
        <w:t xml:space="preserve">. </w:t>
      </w:r>
    </w:p>
    <w:p w14:paraId="56853B71" w14:textId="77777777" w:rsidR="008C5EC3" w:rsidRPr="008F14A4" w:rsidRDefault="008C5EC3" w:rsidP="006672D4">
      <w:pPr>
        <w:pBdr>
          <w:top w:val="nil"/>
          <w:left w:val="nil"/>
          <w:bottom w:val="nil"/>
          <w:right w:val="nil"/>
          <w:between w:val="nil"/>
        </w:pBdr>
        <w:tabs>
          <w:tab w:val="left" w:pos="284"/>
        </w:tabs>
        <w:jc w:val="both"/>
        <w:rPr>
          <w:sz w:val="28"/>
          <w:szCs w:val="28"/>
        </w:rPr>
      </w:pPr>
    </w:p>
    <w:p w14:paraId="0C417BF1" w14:textId="76EF04F8" w:rsidR="00414935" w:rsidRPr="008F14A4" w:rsidRDefault="008C5EC3" w:rsidP="00414935">
      <w:pPr>
        <w:numPr>
          <w:ilvl w:val="0"/>
          <w:numId w:val="9"/>
        </w:numPr>
        <w:pBdr>
          <w:top w:val="nil"/>
          <w:left w:val="nil"/>
          <w:bottom w:val="nil"/>
          <w:right w:val="nil"/>
          <w:between w:val="nil"/>
        </w:pBdr>
        <w:tabs>
          <w:tab w:val="left" w:pos="284"/>
        </w:tabs>
        <w:ind w:left="0" w:firstLine="0"/>
        <w:jc w:val="both"/>
        <w:rPr>
          <w:sz w:val="28"/>
          <w:szCs w:val="28"/>
        </w:rPr>
      </w:pPr>
      <w:r w:rsidRPr="008F14A4">
        <w:rPr>
          <w:sz w:val="28"/>
          <w:szCs w:val="28"/>
        </w:rPr>
        <w:t xml:space="preserve"> Mediante Auto del 15 de enero de 2026 se avocó conocimiento de la revisión de constitucionalidad del Decreto Legislativo 1474 del 29 de diciembre de 2025</w:t>
      </w:r>
      <w:r w:rsidR="00DD2386" w:rsidRPr="008F14A4">
        <w:rPr>
          <w:sz w:val="28"/>
          <w:szCs w:val="28"/>
        </w:rPr>
        <w:t xml:space="preserve"> – en adelante, DL1474 –</w:t>
      </w:r>
      <w:r w:rsidRPr="008F14A4">
        <w:rPr>
          <w:sz w:val="28"/>
          <w:szCs w:val="28"/>
        </w:rPr>
        <w:t>. En esa providencia también se decretaron pruebas</w:t>
      </w:r>
      <w:r w:rsidR="004D1D41" w:rsidRPr="008F14A4">
        <w:rPr>
          <w:sz w:val="28"/>
          <w:szCs w:val="28"/>
        </w:rPr>
        <w:t xml:space="preserve">. </w:t>
      </w:r>
      <w:r w:rsidRPr="008F14A4">
        <w:rPr>
          <w:sz w:val="28"/>
          <w:szCs w:val="28"/>
        </w:rPr>
        <w:t xml:space="preserve">Dicho auto fue notificado </w:t>
      </w:r>
      <w:r w:rsidR="00DD2395" w:rsidRPr="008F14A4">
        <w:rPr>
          <w:sz w:val="28"/>
          <w:szCs w:val="28"/>
        </w:rPr>
        <w:t xml:space="preserve">por medio del </w:t>
      </w:r>
      <w:r w:rsidRPr="008F14A4">
        <w:rPr>
          <w:sz w:val="28"/>
          <w:szCs w:val="28"/>
        </w:rPr>
        <w:t>estado n.° 005 del 19 de enero de 2026, de acuerdo a la constancia expedida por la Secretaría General de la Corte Constitucional el 20 de enero de 2026</w:t>
      </w:r>
      <w:r w:rsidRPr="008F14A4">
        <w:rPr>
          <w:rStyle w:val="Refdenotaalpie"/>
          <w:sz w:val="28"/>
          <w:szCs w:val="28"/>
        </w:rPr>
        <w:footnoteReference w:id="5"/>
      </w:r>
      <w:r w:rsidRPr="008F14A4">
        <w:rPr>
          <w:sz w:val="28"/>
          <w:szCs w:val="28"/>
        </w:rPr>
        <w:t xml:space="preserve">. </w:t>
      </w:r>
    </w:p>
    <w:p w14:paraId="473C94C8" w14:textId="72EE60E5" w:rsidR="00414935" w:rsidRPr="008F14A4" w:rsidRDefault="00414935" w:rsidP="006672D4">
      <w:pPr>
        <w:rPr>
          <w:sz w:val="28"/>
          <w:szCs w:val="28"/>
        </w:rPr>
      </w:pPr>
    </w:p>
    <w:p w14:paraId="4500D3D6" w14:textId="77777777" w:rsidR="006672D4" w:rsidRPr="008F14A4" w:rsidRDefault="006672D4" w:rsidP="006672D4">
      <w:pPr>
        <w:numPr>
          <w:ilvl w:val="0"/>
          <w:numId w:val="9"/>
        </w:numPr>
        <w:pBdr>
          <w:top w:val="nil"/>
          <w:left w:val="nil"/>
          <w:bottom w:val="nil"/>
          <w:right w:val="nil"/>
          <w:between w:val="nil"/>
        </w:pBdr>
        <w:tabs>
          <w:tab w:val="left" w:pos="284"/>
        </w:tabs>
        <w:ind w:left="0" w:firstLine="0"/>
        <w:jc w:val="both"/>
        <w:rPr>
          <w:sz w:val="28"/>
          <w:szCs w:val="28"/>
        </w:rPr>
      </w:pPr>
      <w:r w:rsidRPr="008F14A4">
        <w:rPr>
          <w:sz w:val="28"/>
          <w:szCs w:val="28"/>
        </w:rPr>
        <w:t>Entre el 13 y el 29 de enero de 2026, la Secretaría General de la Corte Constitucional recibió, por medio de correo electrónico, solicitudes de suspensión provisional del Decreto Legislativo 1474 de 2025 presentadas individualmente por Juan Alberto Londoño Martínez</w:t>
      </w:r>
      <w:r w:rsidRPr="008F14A4">
        <w:rPr>
          <w:rStyle w:val="Refdenotaalpie"/>
          <w:sz w:val="28"/>
          <w:szCs w:val="28"/>
        </w:rPr>
        <w:footnoteReference w:id="6"/>
      </w:r>
      <w:r w:rsidRPr="008F14A4">
        <w:rPr>
          <w:sz w:val="28"/>
          <w:szCs w:val="28"/>
        </w:rPr>
        <w:t>, la Asociación Colombiana de Ciudades Capitales</w:t>
      </w:r>
      <w:r w:rsidRPr="008F14A4">
        <w:rPr>
          <w:rStyle w:val="Refdenotaalpie"/>
          <w:sz w:val="28"/>
          <w:szCs w:val="28"/>
        </w:rPr>
        <w:footnoteReference w:id="7"/>
      </w:r>
      <w:r w:rsidRPr="008F14A4">
        <w:rPr>
          <w:sz w:val="28"/>
          <w:szCs w:val="28"/>
        </w:rPr>
        <w:t>, Catalina Hoyos Jiménez</w:t>
      </w:r>
      <w:r w:rsidRPr="008F14A4">
        <w:rPr>
          <w:rStyle w:val="Refdenotaalpie"/>
          <w:sz w:val="28"/>
          <w:szCs w:val="28"/>
        </w:rPr>
        <w:footnoteReference w:id="8"/>
      </w:r>
      <w:r w:rsidRPr="008F14A4">
        <w:rPr>
          <w:sz w:val="28"/>
          <w:szCs w:val="28"/>
        </w:rPr>
        <w:t>, José David Riveros Namen</w:t>
      </w:r>
      <w:r w:rsidRPr="008F14A4">
        <w:rPr>
          <w:rStyle w:val="Refdenotaalpie"/>
          <w:sz w:val="28"/>
          <w:szCs w:val="28"/>
        </w:rPr>
        <w:footnoteReference w:id="9"/>
      </w:r>
      <w:r w:rsidRPr="008F14A4">
        <w:rPr>
          <w:sz w:val="28"/>
          <w:szCs w:val="28"/>
        </w:rPr>
        <w:t xml:space="preserve"> y la Federación Nacional de Productores de Carbón</w:t>
      </w:r>
      <w:r w:rsidRPr="008F14A4">
        <w:rPr>
          <w:rStyle w:val="Refdenotaalpie"/>
          <w:sz w:val="28"/>
          <w:szCs w:val="28"/>
        </w:rPr>
        <w:footnoteReference w:id="10"/>
      </w:r>
      <w:r w:rsidRPr="008F14A4">
        <w:rPr>
          <w:sz w:val="28"/>
          <w:szCs w:val="28"/>
        </w:rPr>
        <w:t>. Asimismo, el 21 de enero de 2026, se recibieron las solicitudes de suspensión provisional de la norma bajo examen presentadas por Luz María González de Bedout, Juan Alberto Castro Florez y Catalina Lasso Ruales</w:t>
      </w:r>
      <w:r w:rsidRPr="008F14A4">
        <w:rPr>
          <w:rStyle w:val="Refdenotaalpie"/>
          <w:sz w:val="28"/>
          <w:szCs w:val="28"/>
        </w:rPr>
        <w:footnoteReference w:id="11"/>
      </w:r>
      <w:r w:rsidRPr="008F14A4">
        <w:rPr>
          <w:sz w:val="28"/>
          <w:szCs w:val="28"/>
        </w:rPr>
        <w:t xml:space="preserve"> y por Jorge Enrique Robledo y Andrés Pachón</w:t>
      </w:r>
      <w:r w:rsidRPr="008F14A4">
        <w:rPr>
          <w:rStyle w:val="Refdenotaalpie"/>
          <w:sz w:val="28"/>
          <w:szCs w:val="28"/>
        </w:rPr>
        <w:footnoteReference w:id="12"/>
      </w:r>
      <w:r w:rsidRPr="008F14A4">
        <w:rPr>
          <w:sz w:val="28"/>
          <w:szCs w:val="28"/>
        </w:rPr>
        <w:t xml:space="preserve">. </w:t>
      </w:r>
    </w:p>
    <w:p w14:paraId="178ADB04" w14:textId="77777777" w:rsidR="006672D4" w:rsidRPr="006672D4" w:rsidRDefault="006672D4" w:rsidP="006672D4">
      <w:pPr>
        <w:rPr>
          <w:sz w:val="28"/>
          <w:szCs w:val="28"/>
        </w:rPr>
      </w:pPr>
    </w:p>
    <w:p w14:paraId="54BAEA87" w14:textId="77777777" w:rsidR="00BD1B2D" w:rsidRDefault="00414935" w:rsidP="00AF31E6">
      <w:pPr>
        <w:numPr>
          <w:ilvl w:val="0"/>
          <w:numId w:val="9"/>
        </w:numPr>
        <w:pBdr>
          <w:top w:val="nil"/>
          <w:left w:val="nil"/>
          <w:bottom w:val="nil"/>
          <w:right w:val="nil"/>
          <w:between w:val="nil"/>
        </w:pBdr>
        <w:tabs>
          <w:tab w:val="left" w:pos="284"/>
        </w:tabs>
        <w:ind w:left="0" w:firstLine="0"/>
        <w:jc w:val="both"/>
        <w:rPr>
          <w:sz w:val="28"/>
          <w:szCs w:val="28"/>
        </w:rPr>
      </w:pPr>
      <w:r w:rsidRPr="00C04588">
        <w:rPr>
          <w:sz w:val="28"/>
          <w:szCs w:val="28"/>
        </w:rPr>
        <w:t>Adicionalmente, el secretario jurídico de la Presidencia de la República el 23 de enero de 2026 presentó recusación en contra del magistrado Jorge Enrique Ibáñez Najar</w:t>
      </w:r>
      <w:r w:rsidRPr="00C04588">
        <w:rPr>
          <w:rStyle w:val="Refdenotaalpie"/>
          <w:sz w:val="28"/>
          <w:szCs w:val="28"/>
        </w:rPr>
        <w:footnoteReference w:id="13"/>
      </w:r>
      <w:r w:rsidRPr="00C04588">
        <w:rPr>
          <w:sz w:val="28"/>
          <w:szCs w:val="28"/>
        </w:rPr>
        <w:t xml:space="preserve"> dentro del expediente RE-388. Por su parte, el 23 de enero de 2026, el mencionado magistrado </w:t>
      </w:r>
      <w:r w:rsidR="00DD2395" w:rsidRPr="00C04588">
        <w:rPr>
          <w:sz w:val="28"/>
          <w:szCs w:val="28"/>
        </w:rPr>
        <w:t xml:space="preserve">formuló </w:t>
      </w:r>
      <w:r w:rsidRPr="00C04588">
        <w:rPr>
          <w:sz w:val="28"/>
          <w:szCs w:val="28"/>
        </w:rPr>
        <w:t xml:space="preserve">manifestación de impedimento. Mediante Auto 076 del 28 de enero de 2026 la Sala Plena declaró fundado el impedimento </w:t>
      </w:r>
      <w:r w:rsidR="00DD2395" w:rsidRPr="00C04588">
        <w:rPr>
          <w:sz w:val="28"/>
          <w:szCs w:val="28"/>
        </w:rPr>
        <w:t>del</w:t>
      </w:r>
      <w:r w:rsidRPr="00C04588">
        <w:rPr>
          <w:sz w:val="28"/>
          <w:szCs w:val="28"/>
        </w:rPr>
        <w:t xml:space="preserve"> magistrado Jorge Enrique Ibáñez Najar</w:t>
      </w:r>
      <w:r w:rsidRPr="00C04588">
        <w:rPr>
          <w:rStyle w:val="Refdenotaalpie"/>
          <w:sz w:val="28"/>
          <w:szCs w:val="28"/>
        </w:rPr>
        <w:footnoteReference w:id="14"/>
      </w:r>
      <w:r w:rsidRPr="00C04588">
        <w:rPr>
          <w:sz w:val="28"/>
          <w:szCs w:val="28"/>
        </w:rPr>
        <w:t xml:space="preserve"> y rechazó la recusación presentada por la Presidencia de la República por carencia actual de objeto.</w:t>
      </w:r>
    </w:p>
    <w:p w14:paraId="69B8FC0D" w14:textId="530A7F1A" w:rsidR="00414935" w:rsidRPr="00AF31E6" w:rsidRDefault="00414935" w:rsidP="00BD41B9">
      <w:pPr>
        <w:pBdr>
          <w:top w:val="nil"/>
          <w:left w:val="nil"/>
          <w:bottom w:val="nil"/>
          <w:right w:val="nil"/>
          <w:between w:val="nil"/>
        </w:pBdr>
        <w:tabs>
          <w:tab w:val="left" w:pos="284"/>
        </w:tabs>
        <w:jc w:val="both"/>
        <w:rPr>
          <w:sz w:val="28"/>
          <w:szCs w:val="28"/>
        </w:rPr>
      </w:pPr>
      <w:r w:rsidRPr="00C04588">
        <w:rPr>
          <w:sz w:val="28"/>
          <w:szCs w:val="28"/>
        </w:rPr>
        <w:t xml:space="preserve"> </w:t>
      </w:r>
    </w:p>
    <w:p w14:paraId="2EF064DA" w14:textId="72F4DE43" w:rsidR="00414935" w:rsidRPr="008F14A4" w:rsidRDefault="00414935" w:rsidP="00414935">
      <w:pPr>
        <w:numPr>
          <w:ilvl w:val="0"/>
          <w:numId w:val="9"/>
        </w:numPr>
        <w:pBdr>
          <w:top w:val="nil"/>
          <w:left w:val="nil"/>
          <w:bottom w:val="nil"/>
          <w:right w:val="nil"/>
          <w:between w:val="nil"/>
        </w:pBdr>
        <w:tabs>
          <w:tab w:val="left" w:pos="284"/>
        </w:tabs>
        <w:ind w:left="0" w:firstLine="0"/>
        <w:jc w:val="both"/>
        <w:rPr>
          <w:sz w:val="28"/>
          <w:szCs w:val="28"/>
        </w:rPr>
      </w:pPr>
      <w:r w:rsidRPr="00C04588">
        <w:rPr>
          <w:sz w:val="28"/>
          <w:szCs w:val="28"/>
        </w:rPr>
        <w:t xml:space="preserve">De otro lado, el 28 de enero de 2026, la magistrada Paola Andrea Meneses Mosquera </w:t>
      </w:r>
      <w:r w:rsidR="00DD2395" w:rsidRPr="00C04588">
        <w:rPr>
          <w:sz w:val="28"/>
          <w:szCs w:val="28"/>
        </w:rPr>
        <w:t>manifestó</w:t>
      </w:r>
      <w:r w:rsidRPr="00C04588">
        <w:rPr>
          <w:sz w:val="28"/>
          <w:szCs w:val="28"/>
        </w:rPr>
        <w:t xml:space="preserve"> impedimento pa</w:t>
      </w:r>
      <w:r w:rsidRPr="008F14A4">
        <w:rPr>
          <w:sz w:val="28"/>
          <w:szCs w:val="28"/>
        </w:rPr>
        <w:t xml:space="preserve">ra conocer y decidir el expediente de la referencia. El </w:t>
      </w:r>
      <w:r w:rsidR="00DD2395" w:rsidRPr="008F14A4">
        <w:rPr>
          <w:sz w:val="28"/>
          <w:szCs w:val="28"/>
        </w:rPr>
        <w:t xml:space="preserve">mismo </w:t>
      </w:r>
      <w:r w:rsidRPr="008F14A4">
        <w:rPr>
          <w:sz w:val="28"/>
          <w:szCs w:val="28"/>
        </w:rPr>
        <w:t>fue declarado infundado en sesión de Sala Plena del 29 de enero de 2026, de acuerdo a la constancia expedida por la Secretaría General de la Corte Constitucional el 2 de febrero de 2026</w:t>
      </w:r>
      <w:r w:rsidRPr="008F14A4">
        <w:rPr>
          <w:rStyle w:val="Refdenotaalpie"/>
          <w:sz w:val="28"/>
          <w:szCs w:val="28"/>
        </w:rPr>
        <w:footnoteReference w:id="15"/>
      </w:r>
      <w:r w:rsidRPr="008F14A4">
        <w:rPr>
          <w:sz w:val="28"/>
          <w:szCs w:val="28"/>
        </w:rPr>
        <w:t xml:space="preserve">. </w:t>
      </w:r>
    </w:p>
    <w:p w14:paraId="5759DD4E" w14:textId="77777777" w:rsidR="00414935" w:rsidRPr="008F14A4" w:rsidRDefault="00414935" w:rsidP="00414935">
      <w:pPr>
        <w:pStyle w:val="Prrafodelista"/>
        <w:rPr>
          <w:sz w:val="28"/>
          <w:szCs w:val="28"/>
        </w:rPr>
      </w:pPr>
    </w:p>
    <w:p w14:paraId="082C4653" w14:textId="6A73EFC8" w:rsidR="008C5EC3" w:rsidRPr="008F14A4" w:rsidRDefault="008C5EC3" w:rsidP="008C5EC3">
      <w:pPr>
        <w:numPr>
          <w:ilvl w:val="0"/>
          <w:numId w:val="9"/>
        </w:numPr>
        <w:pBdr>
          <w:top w:val="nil"/>
          <w:left w:val="nil"/>
          <w:bottom w:val="nil"/>
          <w:right w:val="nil"/>
          <w:between w:val="nil"/>
        </w:pBdr>
        <w:tabs>
          <w:tab w:val="left" w:pos="284"/>
        </w:tabs>
        <w:ind w:left="0" w:firstLine="0"/>
        <w:jc w:val="both"/>
        <w:rPr>
          <w:sz w:val="28"/>
          <w:szCs w:val="28"/>
        </w:rPr>
      </w:pPr>
      <w:r w:rsidRPr="008F14A4">
        <w:rPr>
          <w:sz w:val="28"/>
          <w:szCs w:val="28"/>
        </w:rPr>
        <w:t>Por Auto 084 del 29 de enero de 2026, la Sala Plena de la Corte Constitucional dispuso que</w:t>
      </w:r>
      <w:r w:rsidR="003C0E8D">
        <w:rPr>
          <w:rStyle w:val="Refdenotaalpie"/>
          <w:sz w:val="28"/>
          <w:szCs w:val="28"/>
        </w:rPr>
        <w:footnoteReference w:id="16"/>
      </w:r>
      <w:r w:rsidRPr="008F14A4">
        <w:rPr>
          <w:sz w:val="28"/>
          <w:szCs w:val="28"/>
        </w:rPr>
        <w:t>:</w:t>
      </w:r>
    </w:p>
    <w:p w14:paraId="25929454" w14:textId="77777777" w:rsidR="008C5EC3" w:rsidRPr="008F14A4" w:rsidRDefault="008C5EC3" w:rsidP="008C5EC3">
      <w:pPr>
        <w:pStyle w:val="Prrafodelista"/>
        <w:rPr>
          <w:sz w:val="28"/>
          <w:szCs w:val="28"/>
        </w:rPr>
      </w:pPr>
    </w:p>
    <w:p w14:paraId="03511A82" w14:textId="15BE1421" w:rsidR="008C5EC3" w:rsidRPr="00C04588" w:rsidRDefault="008C5EC3" w:rsidP="00C515C3">
      <w:pPr>
        <w:pStyle w:val="Prrafodelista"/>
        <w:tabs>
          <w:tab w:val="left" w:pos="567"/>
        </w:tabs>
        <w:ind w:left="284" w:right="284"/>
        <w:jc w:val="both"/>
        <w:rPr>
          <w:sz w:val="22"/>
          <w:szCs w:val="22"/>
        </w:rPr>
      </w:pPr>
      <w:r w:rsidRPr="008F14A4">
        <w:rPr>
          <w:sz w:val="22"/>
          <w:szCs w:val="22"/>
        </w:rPr>
        <w:t>“</w:t>
      </w:r>
      <w:r w:rsidR="00641A97" w:rsidRPr="008F14A4">
        <w:rPr>
          <w:sz w:val="22"/>
          <w:szCs w:val="22"/>
        </w:rPr>
        <w:t>C</w:t>
      </w:r>
      <w:r w:rsidRPr="008F14A4">
        <w:rPr>
          <w:sz w:val="22"/>
          <w:szCs w:val="22"/>
        </w:rPr>
        <w:t>omo consecuencia de lo decidido en Auto 082 del 29 de enero de 2026</w:t>
      </w:r>
      <w:r w:rsidRPr="008F14A4">
        <w:rPr>
          <w:rStyle w:val="Refdenotaalpie"/>
          <w:sz w:val="22"/>
          <w:szCs w:val="22"/>
        </w:rPr>
        <w:footnoteReference w:id="17"/>
      </w:r>
      <w:r w:rsidRPr="008F14A4">
        <w:rPr>
          <w:sz w:val="22"/>
          <w:szCs w:val="22"/>
        </w:rPr>
        <w:t xml:space="preserve">, </w:t>
      </w:r>
      <w:r w:rsidRPr="008F14A4">
        <w:rPr>
          <w:b/>
          <w:sz w:val="22"/>
          <w:szCs w:val="22"/>
        </w:rPr>
        <w:t>NO PRODUCIRÁ EFECTOS</w:t>
      </w:r>
      <w:r w:rsidRPr="008F14A4">
        <w:rPr>
          <w:sz w:val="22"/>
          <w:szCs w:val="22"/>
        </w:rPr>
        <w:t>, a partir de la fecha, el Decreto</w:t>
      </w:r>
      <w:r w:rsidRPr="00C04588">
        <w:rPr>
          <w:sz w:val="22"/>
          <w:szCs w:val="22"/>
        </w:rPr>
        <w:t xml:space="preserve"> Legislativo 1474 de 2025 “[p]or el cual se adoptan medidas tributarias destinadas a atender los gastos del Presupuesto General de la Nación necesarios para hacer frente al Estado de Emergencia declarado por el Decreto 1390 de 2025”, hasta que la Sala Plena de esta Corte profiera una decisión definitiva respecto de la constitucionalidad del mencionado decreto”</w:t>
      </w:r>
      <w:r w:rsidRPr="00C04588">
        <w:rPr>
          <w:rStyle w:val="Refdenotaalpie"/>
          <w:sz w:val="22"/>
          <w:szCs w:val="22"/>
        </w:rPr>
        <w:footnoteReference w:id="18"/>
      </w:r>
      <w:r w:rsidRPr="00C04588">
        <w:rPr>
          <w:sz w:val="22"/>
          <w:szCs w:val="22"/>
        </w:rPr>
        <w:t>.</w:t>
      </w:r>
    </w:p>
    <w:p w14:paraId="49D52CAC" w14:textId="77777777" w:rsidR="004669DA" w:rsidRPr="00C04588" w:rsidRDefault="004669DA" w:rsidP="008C5EC3">
      <w:pPr>
        <w:pBdr>
          <w:top w:val="nil"/>
          <w:left w:val="nil"/>
          <w:bottom w:val="nil"/>
          <w:right w:val="nil"/>
          <w:between w:val="nil"/>
        </w:pBdr>
        <w:tabs>
          <w:tab w:val="left" w:pos="284"/>
        </w:tabs>
        <w:jc w:val="both"/>
        <w:rPr>
          <w:sz w:val="28"/>
          <w:szCs w:val="28"/>
        </w:rPr>
      </w:pPr>
    </w:p>
    <w:p w14:paraId="6A94ADFD" w14:textId="58BED8E4" w:rsidR="00E64EDE" w:rsidRPr="00C04588" w:rsidRDefault="00414935" w:rsidP="00414935">
      <w:pPr>
        <w:numPr>
          <w:ilvl w:val="0"/>
          <w:numId w:val="9"/>
        </w:numPr>
        <w:pBdr>
          <w:top w:val="nil"/>
          <w:left w:val="nil"/>
          <w:bottom w:val="nil"/>
          <w:right w:val="nil"/>
          <w:between w:val="nil"/>
        </w:pBdr>
        <w:tabs>
          <w:tab w:val="left" w:pos="284"/>
        </w:tabs>
        <w:ind w:left="0" w:firstLine="0"/>
        <w:jc w:val="both"/>
        <w:rPr>
          <w:sz w:val="28"/>
          <w:szCs w:val="28"/>
        </w:rPr>
      </w:pPr>
      <w:r w:rsidRPr="00C04588">
        <w:rPr>
          <w:sz w:val="28"/>
          <w:szCs w:val="28"/>
          <w:shd w:val="clear" w:color="auto" w:fill="FFFFFF"/>
        </w:rPr>
        <w:t>E</w:t>
      </w:r>
      <w:r w:rsidR="00E64EDE" w:rsidRPr="00C04588">
        <w:rPr>
          <w:sz w:val="28"/>
          <w:szCs w:val="28"/>
          <w:shd w:val="clear" w:color="auto" w:fill="FFFFFF"/>
        </w:rPr>
        <w:t xml:space="preserve">n respuesta al Auto del 15 de enero de 2026, </w:t>
      </w:r>
      <w:r w:rsidR="00200457">
        <w:rPr>
          <w:sz w:val="28"/>
          <w:szCs w:val="28"/>
          <w:shd w:val="clear" w:color="auto" w:fill="FFFFFF"/>
        </w:rPr>
        <w:t>se recibieron</w:t>
      </w:r>
      <w:r w:rsidR="00E64EDE" w:rsidRPr="00C04588">
        <w:rPr>
          <w:sz w:val="28"/>
          <w:szCs w:val="28"/>
          <w:shd w:val="clear" w:color="auto" w:fill="FFFFFF"/>
        </w:rPr>
        <w:t xml:space="preserve"> los informes que se identifican a continuación: </w:t>
      </w:r>
    </w:p>
    <w:p w14:paraId="1122BCD0" w14:textId="15643868" w:rsidR="00E64EDE" w:rsidRPr="00C04588" w:rsidRDefault="00E64EDE" w:rsidP="00E64EDE">
      <w:pPr>
        <w:pBdr>
          <w:top w:val="nil"/>
          <w:left w:val="nil"/>
          <w:bottom w:val="nil"/>
          <w:right w:val="nil"/>
          <w:between w:val="nil"/>
        </w:pBdr>
        <w:tabs>
          <w:tab w:val="left" w:pos="284"/>
        </w:tabs>
        <w:jc w:val="both"/>
        <w:rPr>
          <w:sz w:val="28"/>
          <w:szCs w:val="28"/>
        </w:rPr>
      </w:pPr>
    </w:p>
    <w:p w14:paraId="40D4A9F3" w14:textId="07FC4AA1" w:rsidR="00E64EDE" w:rsidRPr="00C04588" w:rsidRDefault="00E64EDE" w:rsidP="00E64EDE">
      <w:pPr>
        <w:pBdr>
          <w:top w:val="nil"/>
          <w:left w:val="nil"/>
          <w:bottom w:val="nil"/>
          <w:right w:val="nil"/>
          <w:between w:val="nil"/>
        </w:pBdr>
        <w:tabs>
          <w:tab w:val="left" w:pos="284"/>
        </w:tabs>
        <w:jc w:val="center"/>
        <w:rPr>
          <w:i/>
          <w:sz w:val="20"/>
          <w:szCs w:val="20"/>
        </w:rPr>
      </w:pPr>
      <w:r w:rsidRPr="00C04588">
        <w:rPr>
          <w:sz w:val="20"/>
          <w:szCs w:val="20"/>
        </w:rPr>
        <w:t xml:space="preserve">Tabla </w:t>
      </w:r>
      <w:r w:rsidR="00713B5E" w:rsidRPr="00C04588">
        <w:rPr>
          <w:sz w:val="20"/>
          <w:szCs w:val="20"/>
        </w:rPr>
        <w:t>1</w:t>
      </w:r>
      <w:r w:rsidRPr="00C04588">
        <w:rPr>
          <w:sz w:val="20"/>
          <w:szCs w:val="20"/>
        </w:rPr>
        <w:t xml:space="preserve">. </w:t>
      </w:r>
      <w:r w:rsidRPr="00C04588">
        <w:rPr>
          <w:i/>
          <w:sz w:val="20"/>
          <w:szCs w:val="20"/>
        </w:rPr>
        <w:t>Material probatorio recaudado</w:t>
      </w:r>
    </w:p>
    <w:tbl>
      <w:tblPr>
        <w:tblStyle w:val="Tablaconcuadrcula"/>
        <w:tblW w:w="5000" w:type="pct"/>
        <w:jc w:val="center"/>
        <w:tblLook w:val="0400" w:firstRow="0" w:lastRow="0" w:firstColumn="0" w:lastColumn="0" w:noHBand="0" w:noVBand="1"/>
      </w:tblPr>
      <w:tblGrid>
        <w:gridCol w:w="777"/>
        <w:gridCol w:w="8051"/>
      </w:tblGrid>
      <w:tr w:rsidR="00C04588" w:rsidRPr="00C04588" w14:paraId="30539F4D" w14:textId="77777777" w:rsidTr="00CE4609">
        <w:trPr>
          <w:jc w:val="center"/>
        </w:trPr>
        <w:tc>
          <w:tcPr>
            <w:tcW w:w="440" w:type="pct"/>
            <w:shd w:val="clear" w:color="auto" w:fill="B8CCE4" w:themeFill="accent1" w:themeFillTint="66"/>
          </w:tcPr>
          <w:p w14:paraId="2A7F94F3" w14:textId="77777777" w:rsidR="00CE4609" w:rsidRPr="00C04588" w:rsidRDefault="00CE4609" w:rsidP="00E64EDE">
            <w:pPr>
              <w:widowControl w:val="0"/>
              <w:pBdr>
                <w:top w:val="nil"/>
                <w:left w:val="nil"/>
                <w:bottom w:val="nil"/>
                <w:right w:val="nil"/>
                <w:between w:val="nil"/>
              </w:pBdr>
              <w:tabs>
                <w:tab w:val="left" w:pos="284"/>
              </w:tabs>
              <w:jc w:val="center"/>
              <w:rPr>
                <w:b/>
                <w:sz w:val="20"/>
                <w:szCs w:val="20"/>
              </w:rPr>
            </w:pPr>
          </w:p>
        </w:tc>
        <w:tc>
          <w:tcPr>
            <w:tcW w:w="4560" w:type="pct"/>
            <w:shd w:val="clear" w:color="auto" w:fill="B8CCE4" w:themeFill="accent1" w:themeFillTint="66"/>
          </w:tcPr>
          <w:p w14:paraId="7B8208F0" w14:textId="783AB99C" w:rsidR="00CE4609" w:rsidRPr="00C04588" w:rsidRDefault="00CE4609" w:rsidP="00E64EDE">
            <w:pPr>
              <w:widowControl w:val="0"/>
              <w:pBdr>
                <w:top w:val="nil"/>
                <w:left w:val="nil"/>
                <w:bottom w:val="nil"/>
                <w:right w:val="nil"/>
                <w:between w:val="nil"/>
              </w:pBdr>
              <w:tabs>
                <w:tab w:val="left" w:pos="284"/>
              </w:tabs>
              <w:jc w:val="center"/>
              <w:rPr>
                <w:b/>
                <w:sz w:val="20"/>
                <w:szCs w:val="20"/>
              </w:rPr>
            </w:pPr>
            <w:r w:rsidRPr="00C04588">
              <w:rPr>
                <w:b/>
                <w:sz w:val="20"/>
                <w:szCs w:val="20"/>
              </w:rPr>
              <w:t>Entidad</w:t>
            </w:r>
          </w:p>
        </w:tc>
      </w:tr>
      <w:tr w:rsidR="00C04588" w:rsidRPr="00C04588" w14:paraId="52394C3E" w14:textId="77777777" w:rsidTr="00CE4609">
        <w:trPr>
          <w:jc w:val="center"/>
        </w:trPr>
        <w:tc>
          <w:tcPr>
            <w:tcW w:w="440" w:type="pct"/>
            <w:shd w:val="clear" w:color="auto" w:fill="B8CCE4" w:themeFill="accent1" w:themeFillTint="66"/>
          </w:tcPr>
          <w:p w14:paraId="1313264A" w14:textId="77777777" w:rsidR="00CE4609" w:rsidRPr="00C04588" w:rsidRDefault="00CE4609" w:rsidP="00E64EDE">
            <w:pPr>
              <w:widowControl w:val="0"/>
              <w:pBdr>
                <w:top w:val="nil"/>
                <w:left w:val="nil"/>
                <w:bottom w:val="nil"/>
                <w:right w:val="nil"/>
                <w:between w:val="nil"/>
              </w:pBdr>
              <w:tabs>
                <w:tab w:val="left" w:pos="284"/>
              </w:tabs>
              <w:jc w:val="center"/>
              <w:rPr>
                <w:sz w:val="20"/>
                <w:szCs w:val="20"/>
              </w:rPr>
            </w:pPr>
            <w:r w:rsidRPr="00C04588">
              <w:rPr>
                <w:sz w:val="20"/>
                <w:szCs w:val="20"/>
              </w:rPr>
              <w:t>1.</w:t>
            </w:r>
          </w:p>
        </w:tc>
        <w:tc>
          <w:tcPr>
            <w:tcW w:w="4560" w:type="pct"/>
          </w:tcPr>
          <w:p w14:paraId="60B0AC23" w14:textId="5EB7FB64" w:rsidR="00CE4609" w:rsidRPr="00C04588" w:rsidRDefault="00CE4609" w:rsidP="00E64EDE">
            <w:pPr>
              <w:widowControl w:val="0"/>
              <w:pBdr>
                <w:top w:val="nil"/>
                <w:left w:val="nil"/>
                <w:bottom w:val="nil"/>
                <w:right w:val="nil"/>
                <w:between w:val="nil"/>
              </w:pBdr>
              <w:tabs>
                <w:tab w:val="left" w:pos="284"/>
              </w:tabs>
              <w:jc w:val="center"/>
              <w:rPr>
                <w:sz w:val="20"/>
                <w:szCs w:val="20"/>
              </w:rPr>
            </w:pPr>
            <w:r w:rsidRPr="00C04588">
              <w:rPr>
                <w:sz w:val="20"/>
                <w:szCs w:val="20"/>
                <w:shd w:val="clear" w:color="auto" w:fill="FFFFFF"/>
              </w:rPr>
              <w:t>Secretaría General de la Cámara de Representantes</w:t>
            </w:r>
            <w:r w:rsidRPr="00C04588">
              <w:rPr>
                <w:rStyle w:val="Refdenotaalpie"/>
                <w:sz w:val="20"/>
                <w:szCs w:val="20"/>
                <w:shd w:val="clear" w:color="auto" w:fill="FFFFFF"/>
              </w:rPr>
              <w:footnoteReference w:id="19"/>
            </w:r>
          </w:p>
        </w:tc>
      </w:tr>
      <w:tr w:rsidR="00C04588" w:rsidRPr="00C04588" w14:paraId="015B2237" w14:textId="77777777" w:rsidTr="00CE4609">
        <w:trPr>
          <w:jc w:val="center"/>
        </w:trPr>
        <w:tc>
          <w:tcPr>
            <w:tcW w:w="440" w:type="pct"/>
            <w:shd w:val="clear" w:color="auto" w:fill="B8CCE4" w:themeFill="accent1" w:themeFillTint="66"/>
          </w:tcPr>
          <w:p w14:paraId="7B2ECB00" w14:textId="77777777" w:rsidR="00CE4609" w:rsidRPr="00C04588" w:rsidRDefault="00CE4609" w:rsidP="00E64EDE">
            <w:pPr>
              <w:pBdr>
                <w:top w:val="nil"/>
                <w:left w:val="nil"/>
                <w:bottom w:val="nil"/>
                <w:right w:val="nil"/>
                <w:between w:val="nil"/>
              </w:pBdr>
              <w:tabs>
                <w:tab w:val="left" w:pos="284"/>
              </w:tabs>
              <w:jc w:val="center"/>
              <w:rPr>
                <w:sz w:val="20"/>
                <w:szCs w:val="20"/>
                <w:lang w:val="es-ES_tradnl"/>
              </w:rPr>
            </w:pPr>
            <w:r w:rsidRPr="00C04588">
              <w:rPr>
                <w:sz w:val="20"/>
                <w:szCs w:val="20"/>
                <w:lang w:val="es-ES_tradnl"/>
              </w:rPr>
              <w:t>2.</w:t>
            </w:r>
          </w:p>
        </w:tc>
        <w:tc>
          <w:tcPr>
            <w:tcW w:w="4560" w:type="pct"/>
          </w:tcPr>
          <w:p w14:paraId="4D2EAF18" w14:textId="2F44DBD8" w:rsidR="00CE4609" w:rsidRPr="00C04588" w:rsidRDefault="00CE4609" w:rsidP="00E64EDE">
            <w:pPr>
              <w:pBdr>
                <w:top w:val="nil"/>
                <w:left w:val="nil"/>
                <w:bottom w:val="nil"/>
                <w:right w:val="nil"/>
                <w:between w:val="nil"/>
              </w:pBdr>
              <w:tabs>
                <w:tab w:val="left" w:pos="284"/>
              </w:tabs>
              <w:jc w:val="center"/>
              <w:rPr>
                <w:sz w:val="20"/>
                <w:szCs w:val="20"/>
                <w:lang w:val="es-ES_tradnl"/>
              </w:rPr>
            </w:pPr>
            <w:r w:rsidRPr="00C04588">
              <w:rPr>
                <w:sz w:val="20"/>
                <w:szCs w:val="20"/>
                <w:lang w:val="es-ES_tradnl"/>
              </w:rPr>
              <w:t>Comité Autónomo de la Regla Fiscal – CARF</w:t>
            </w:r>
            <w:r w:rsidRPr="00C04588">
              <w:rPr>
                <w:rStyle w:val="Refdenotaalpie"/>
                <w:sz w:val="20"/>
                <w:szCs w:val="20"/>
                <w:lang w:val="es-ES_tradnl"/>
              </w:rPr>
              <w:footnoteReference w:id="20"/>
            </w:r>
          </w:p>
        </w:tc>
      </w:tr>
      <w:tr w:rsidR="00C04588" w:rsidRPr="00C04588" w14:paraId="1A0DCF4E" w14:textId="77777777" w:rsidTr="00CE4609">
        <w:trPr>
          <w:jc w:val="center"/>
        </w:trPr>
        <w:tc>
          <w:tcPr>
            <w:tcW w:w="440" w:type="pct"/>
            <w:shd w:val="clear" w:color="auto" w:fill="B8CCE4" w:themeFill="accent1" w:themeFillTint="66"/>
          </w:tcPr>
          <w:p w14:paraId="203C3C06" w14:textId="77777777"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3.</w:t>
            </w:r>
          </w:p>
        </w:tc>
        <w:tc>
          <w:tcPr>
            <w:tcW w:w="4560" w:type="pct"/>
          </w:tcPr>
          <w:p w14:paraId="41D773D1" w14:textId="6DF67308"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Ministerio de Transporte</w:t>
            </w:r>
            <w:r w:rsidRPr="00C04588">
              <w:rPr>
                <w:rStyle w:val="Refdenotaalpie"/>
                <w:sz w:val="20"/>
                <w:szCs w:val="20"/>
              </w:rPr>
              <w:footnoteReference w:id="21"/>
            </w:r>
          </w:p>
        </w:tc>
      </w:tr>
      <w:tr w:rsidR="00C04588" w:rsidRPr="00C04588" w14:paraId="36E85AE3" w14:textId="77777777" w:rsidTr="00CE4609">
        <w:trPr>
          <w:jc w:val="center"/>
        </w:trPr>
        <w:tc>
          <w:tcPr>
            <w:tcW w:w="440" w:type="pct"/>
            <w:shd w:val="clear" w:color="auto" w:fill="B8CCE4" w:themeFill="accent1" w:themeFillTint="66"/>
          </w:tcPr>
          <w:p w14:paraId="1ED69C5C" w14:textId="77777777"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4.</w:t>
            </w:r>
          </w:p>
        </w:tc>
        <w:tc>
          <w:tcPr>
            <w:tcW w:w="4560" w:type="pct"/>
          </w:tcPr>
          <w:p w14:paraId="2A393D2B" w14:textId="0E1D08B5"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Ministerio de Hacienda y Crédito Público</w:t>
            </w:r>
            <w:r w:rsidRPr="00C04588">
              <w:rPr>
                <w:rStyle w:val="Refdenotaalpie"/>
                <w:sz w:val="20"/>
                <w:szCs w:val="20"/>
              </w:rPr>
              <w:footnoteReference w:id="22"/>
            </w:r>
          </w:p>
        </w:tc>
      </w:tr>
      <w:tr w:rsidR="00C04588" w:rsidRPr="00C04588" w14:paraId="13341897" w14:textId="77777777" w:rsidTr="00CE4609">
        <w:trPr>
          <w:jc w:val="center"/>
        </w:trPr>
        <w:tc>
          <w:tcPr>
            <w:tcW w:w="440" w:type="pct"/>
            <w:shd w:val="clear" w:color="auto" w:fill="B8CCE4" w:themeFill="accent1" w:themeFillTint="66"/>
          </w:tcPr>
          <w:p w14:paraId="0AF376FB" w14:textId="77777777"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5.</w:t>
            </w:r>
          </w:p>
        </w:tc>
        <w:tc>
          <w:tcPr>
            <w:tcW w:w="4560" w:type="pct"/>
          </w:tcPr>
          <w:p w14:paraId="39283DB8" w14:textId="4E24CE7A" w:rsidR="00CE4609" w:rsidRPr="00C04588" w:rsidRDefault="00CE4609" w:rsidP="0021062A">
            <w:pPr>
              <w:widowControl w:val="0"/>
              <w:pBdr>
                <w:top w:val="nil"/>
                <w:left w:val="nil"/>
                <w:bottom w:val="nil"/>
                <w:right w:val="nil"/>
                <w:between w:val="nil"/>
              </w:pBdr>
              <w:tabs>
                <w:tab w:val="left" w:pos="284"/>
              </w:tabs>
              <w:jc w:val="center"/>
              <w:rPr>
                <w:sz w:val="20"/>
                <w:szCs w:val="20"/>
              </w:rPr>
            </w:pPr>
            <w:r w:rsidRPr="00C04588">
              <w:rPr>
                <w:sz w:val="20"/>
                <w:szCs w:val="20"/>
              </w:rPr>
              <w:t>Dirección de Impuestos y Aduanas Nacionales – DIAN</w:t>
            </w:r>
            <w:r w:rsidRPr="00C04588">
              <w:rPr>
                <w:rStyle w:val="Refdenotaalpie"/>
                <w:sz w:val="20"/>
                <w:szCs w:val="20"/>
              </w:rPr>
              <w:footnoteReference w:id="23"/>
            </w:r>
            <w:r w:rsidRPr="00C04588">
              <w:rPr>
                <w:sz w:val="20"/>
                <w:szCs w:val="20"/>
              </w:rPr>
              <w:t xml:space="preserve"> </w:t>
            </w:r>
          </w:p>
        </w:tc>
      </w:tr>
      <w:tr w:rsidR="00C04588" w:rsidRPr="00C04588" w14:paraId="73C0C5CB" w14:textId="77777777" w:rsidTr="0021062A">
        <w:tblPrEx>
          <w:jc w:val="left"/>
          <w:tblLook w:val="04A0" w:firstRow="1" w:lastRow="0" w:firstColumn="1" w:lastColumn="0" w:noHBand="0" w:noVBand="1"/>
        </w:tblPrEx>
        <w:trPr>
          <w:trHeight w:val="91"/>
        </w:trPr>
        <w:tc>
          <w:tcPr>
            <w:tcW w:w="440" w:type="pct"/>
            <w:shd w:val="clear" w:color="auto" w:fill="B8CCE4" w:themeFill="accent1" w:themeFillTint="66"/>
          </w:tcPr>
          <w:p w14:paraId="50A025A8" w14:textId="77777777"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6.</w:t>
            </w:r>
          </w:p>
        </w:tc>
        <w:tc>
          <w:tcPr>
            <w:tcW w:w="4560" w:type="pct"/>
          </w:tcPr>
          <w:p w14:paraId="2AD17ED7" w14:textId="2A618719" w:rsidR="00CE4609" w:rsidRPr="00C04588" w:rsidRDefault="00CE4609" w:rsidP="0021062A">
            <w:pPr>
              <w:widowControl w:val="0"/>
              <w:pBdr>
                <w:top w:val="nil"/>
                <w:left w:val="nil"/>
                <w:bottom w:val="nil"/>
                <w:right w:val="nil"/>
                <w:between w:val="nil"/>
              </w:pBdr>
              <w:tabs>
                <w:tab w:val="left" w:pos="284"/>
              </w:tabs>
              <w:jc w:val="center"/>
              <w:rPr>
                <w:sz w:val="20"/>
                <w:szCs w:val="20"/>
              </w:rPr>
            </w:pPr>
            <w:r w:rsidRPr="00C04588">
              <w:rPr>
                <w:sz w:val="20"/>
                <w:szCs w:val="20"/>
              </w:rPr>
              <w:t>Departamento Nacional de Planeación – DNP</w:t>
            </w:r>
            <w:r w:rsidRPr="00C04588">
              <w:rPr>
                <w:rStyle w:val="Refdenotaalpie"/>
                <w:sz w:val="20"/>
                <w:szCs w:val="20"/>
              </w:rPr>
              <w:footnoteReference w:id="24"/>
            </w:r>
            <w:r w:rsidRPr="00C04588">
              <w:rPr>
                <w:sz w:val="20"/>
                <w:szCs w:val="20"/>
              </w:rPr>
              <w:t xml:space="preserve"> </w:t>
            </w:r>
          </w:p>
        </w:tc>
      </w:tr>
      <w:tr w:rsidR="00C04588" w:rsidRPr="00C04588" w14:paraId="2B582548" w14:textId="77777777" w:rsidTr="00CE4609">
        <w:tblPrEx>
          <w:jc w:val="left"/>
          <w:tblLook w:val="04A0" w:firstRow="1" w:lastRow="0" w:firstColumn="1" w:lastColumn="0" w:noHBand="0" w:noVBand="1"/>
        </w:tblPrEx>
        <w:tc>
          <w:tcPr>
            <w:tcW w:w="440" w:type="pct"/>
            <w:shd w:val="clear" w:color="auto" w:fill="B8CCE4" w:themeFill="accent1" w:themeFillTint="66"/>
          </w:tcPr>
          <w:p w14:paraId="4570EDD0" w14:textId="77777777"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7.</w:t>
            </w:r>
          </w:p>
        </w:tc>
        <w:tc>
          <w:tcPr>
            <w:tcW w:w="4560" w:type="pct"/>
          </w:tcPr>
          <w:p w14:paraId="18602227" w14:textId="601B9A59"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Contraloría General de la República</w:t>
            </w:r>
            <w:r w:rsidRPr="00C04588">
              <w:rPr>
                <w:rStyle w:val="Refdenotaalpie"/>
                <w:sz w:val="20"/>
                <w:szCs w:val="20"/>
              </w:rPr>
              <w:footnoteReference w:id="25"/>
            </w:r>
          </w:p>
        </w:tc>
      </w:tr>
      <w:tr w:rsidR="00C04588" w:rsidRPr="00C04588" w14:paraId="0F7D17E7" w14:textId="77777777" w:rsidTr="0021062A">
        <w:tblPrEx>
          <w:jc w:val="left"/>
          <w:tblLook w:val="04A0" w:firstRow="1" w:lastRow="0" w:firstColumn="1" w:lastColumn="0" w:noHBand="0" w:noVBand="1"/>
        </w:tblPrEx>
        <w:trPr>
          <w:trHeight w:val="91"/>
        </w:trPr>
        <w:tc>
          <w:tcPr>
            <w:tcW w:w="440" w:type="pct"/>
            <w:shd w:val="clear" w:color="auto" w:fill="B8CCE4" w:themeFill="accent1" w:themeFillTint="66"/>
          </w:tcPr>
          <w:p w14:paraId="6F9AF5BF" w14:textId="77777777"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8.</w:t>
            </w:r>
          </w:p>
        </w:tc>
        <w:tc>
          <w:tcPr>
            <w:tcW w:w="4560" w:type="pct"/>
          </w:tcPr>
          <w:p w14:paraId="26D2A23D" w14:textId="1A50715C"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Secretaría Jurídica de la Presidencia de la República</w:t>
            </w:r>
            <w:r w:rsidRPr="00C04588">
              <w:rPr>
                <w:rStyle w:val="Refdenotaalpie"/>
                <w:sz w:val="20"/>
                <w:szCs w:val="20"/>
              </w:rPr>
              <w:footnoteReference w:id="26"/>
            </w:r>
          </w:p>
        </w:tc>
      </w:tr>
      <w:tr w:rsidR="00C04588" w:rsidRPr="00C04588" w14:paraId="37812D4C" w14:textId="77777777" w:rsidTr="00CE4609">
        <w:tblPrEx>
          <w:jc w:val="left"/>
          <w:tblLook w:val="04A0" w:firstRow="1" w:lastRow="0" w:firstColumn="1" w:lastColumn="0" w:noHBand="0" w:noVBand="1"/>
        </w:tblPrEx>
        <w:tc>
          <w:tcPr>
            <w:tcW w:w="440" w:type="pct"/>
            <w:shd w:val="clear" w:color="auto" w:fill="B8CCE4" w:themeFill="accent1" w:themeFillTint="66"/>
          </w:tcPr>
          <w:p w14:paraId="4D0AA4E7" w14:textId="77777777" w:rsidR="00CE4609" w:rsidRPr="00C04588" w:rsidRDefault="00CE4609" w:rsidP="00E64EDE">
            <w:pPr>
              <w:pBdr>
                <w:top w:val="nil"/>
                <w:left w:val="nil"/>
                <w:bottom w:val="nil"/>
                <w:right w:val="nil"/>
                <w:between w:val="nil"/>
              </w:pBdr>
              <w:tabs>
                <w:tab w:val="left" w:pos="284"/>
              </w:tabs>
              <w:jc w:val="center"/>
              <w:rPr>
                <w:sz w:val="20"/>
                <w:szCs w:val="20"/>
              </w:rPr>
            </w:pPr>
            <w:r w:rsidRPr="00C04588">
              <w:rPr>
                <w:sz w:val="20"/>
                <w:szCs w:val="20"/>
              </w:rPr>
              <w:t>9.</w:t>
            </w:r>
          </w:p>
        </w:tc>
        <w:tc>
          <w:tcPr>
            <w:tcW w:w="4560" w:type="pct"/>
          </w:tcPr>
          <w:p w14:paraId="2C64FD4C" w14:textId="5A9EA2FC" w:rsidR="00CE4609" w:rsidRPr="00C04588" w:rsidRDefault="00CE4609" w:rsidP="00163BC4">
            <w:pPr>
              <w:pBdr>
                <w:top w:val="nil"/>
                <w:left w:val="nil"/>
                <w:bottom w:val="nil"/>
                <w:right w:val="nil"/>
                <w:between w:val="nil"/>
              </w:pBdr>
              <w:tabs>
                <w:tab w:val="left" w:pos="284"/>
              </w:tabs>
              <w:jc w:val="center"/>
              <w:rPr>
                <w:sz w:val="20"/>
                <w:szCs w:val="20"/>
              </w:rPr>
            </w:pPr>
            <w:r w:rsidRPr="00C04588">
              <w:rPr>
                <w:sz w:val="20"/>
                <w:szCs w:val="20"/>
              </w:rPr>
              <w:t>Ministerio de Relaciones Exteriores</w:t>
            </w:r>
            <w:r w:rsidRPr="00C04588">
              <w:rPr>
                <w:rStyle w:val="Refdenotaalpie"/>
                <w:sz w:val="20"/>
                <w:szCs w:val="20"/>
              </w:rPr>
              <w:footnoteReference w:id="27"/>
            </w:r>
          </w:p>
        </w:tc>
      </w:tr>
      <w:tr w:rsidR="00C04588" w:rsidRPr="00C04588" w14:paraId="75950EB2" w14:textId="77777777" w:rsidTr="00CE4609">
        <w:tblPrEx>
          <w:jc w:val="left"/>
          <w:tblLook w:val="04A0" w:firstRow="1" w:lastRow="0" w:firstColumn="1" w:lastColumn="0" w:noHBand="0" w:noVBand="1"/>
        </w:tblPrEx>
        <w:tc>
          <w:tcPr>
            <w:tcW w:w="440" w:type="pct"/>
            <w:shd w:val="clear" w:color="auto" w:fill="B8CCE4" w:themeFill="accent1" w:themeFillTint="66"/>
          </w:tcPr>
          <w:p w14:paraId="559265B6" w14:textId="5AB2E483" w:rsidR="00CE4609" w:rsidRPr="00C04588" w:rsidRDefault="00CE4609" w:rsidP="002567E0">
            <w:pPr>
              <w:pBdr>
                <w:top w:val="nil"/>
                <w:left w:val="nil"/>
                <w:bottom w:val="nil"/>
                <w:right w:val="nil"/>
                <w:between w:val="nil"/>
              </w:pBdr>
              <w:tabs>
                <w:tab w:val="left" w:pos="284"/>
              </w:tabs>
              <w:jc w:val="center"/>
              <w:rPr>
                <w:sz w:val="20"/>
                <w:szCs w:val="20"/>
              </w:rPr>
            </w:pPr>
            <w:r w:rsidRPr="00C04588">
              <w:rPr>
                <w:sz w:val="20"/>
                <w:szCs w:val="20"/>
              </w:rPr>
              <w:t>10.</w:t>
            </w:r>
          </w:p>
        </w:tc>
        <w:tc>
          <w:tcPr>
            <w:tcW w:w="4560" w:type="pct"/>
          </w:tcPr>
          <w:p w14:paraId="6C54CB42" w14:textId="171EF8F6" w:rsidR="00CE4609" w:rsidRPr="00C04588" w:rsidRDefault="00CE4609" w:rsidP="002567E0">
            <w:pPr>
              <w:pBdr>
                <w:top w:val="nil"/>
                <w:left w:val="nil"/>
                <w:bottom w:val="nil"/>
                <w:right w:val="nil"/>
                <w:between w:val="nil"/>
              </w:pBdr>
              <w:tabs>
                <w:tab w:val="left" w:pos="284"/>
              </w:tabs>
              <w:jc w:val="center"/>
              <w:rPr>
                <w:sz w:val="20"/>
                <w:szCs w:val="20"/>
              </w:rPr>
            </w:pPr>
            <w:r w:rsidRPr="00C04588">
              <w:rPr>
                <w:sz w:val="20"/>
                <w:szCs w:val="20"/>
              </w:rPr>
              <w:t>Agencia Nacional de Defensa Jurídica del Estado</w:t>
            </w:r>
            <w:r w:rsidRPr="00C04588">
              <w:rPr>
                <w:rStyle w:val="Refdenotaalpie"/>
                <w:sz w:val="20"/>
                <w:szCs w:val="20"/>
              </w:rPr>
              <w:footnoteReference w:id="28"/>
            </w:r>
          </w:p>
        </w:tc>
      </w:tr>
      <w:tr w:rsidR="00C04588" w:rsidRPr="00C04588" w14:paraId="54D3D6D2" w14:textId="77777777" w:rsidTr="00CE4609">
        <w:tblPrEx>
          <w:jc w:val="left"/>
          <w:tblLook w:val="04A0" w:firstRow="1" w:lastRow="0" w:firstColumn="1" w:lastColumn="0" w:noHBand="0" w:noVBand="1"/>
        </w:tblPrEx>
        <w:tc>
          <w:tcPr>
            <w:tcW w:w="440" w:type="pct"/>
            <w:shd w:val="clear" w:color="auto" w:fill="B8CCE4" w:themeFill="accent1" w:themeFillTint="66"/>
          </w:tcPr>
          <w:p w14:paraId="7261A8B7" w14:textId="770FBE6F" w:rsidR="00CE4609" w:rsidRPr="00C04588" w:rsidRDefault="00CE4609" w:rsidP="002567E0">
            <w:pPr>
              <w:pBdr>
                <w:top w:val="nil"/>
                <w:left w:val="nil"/>
                <w:bottom w:val="nil"/>
                <w:right w:val="nil"/>
                <w:between w:val="nil"/>
              </w:pBdr>
              <w:tabs>
                <w:tab w:val="left" w:pos="284"/>
              </w:tabs>
              <w:jc w:val="center"/>
              <w:rPr>
                <w:sz w:val="20"/>
                <w:szCs w:val="20"/>
              </w:rPr>
            </w:pPr>
            <w:r w:rsidRPr="00C04588">
              <w:rPr>
                <w:sz w:val="20"/>
                <w:szCs w:val="20"/>
              </w:rPr>
              <w:t>11.</w:t>
            </w:r>
          </w:p>
        </w:tc>
        <w:tc>
          <w:tcPr>
            <w:tcW w:w="4560" w:type="pct"/>
          </w:tcPr>
          <w:p w14:paraId="27925D9B" w14:textId="5DCA22BA" w:rsidR="00CE4609" w:rsidRPr="00C04588" w:rsidRDefault="00CE4609" w:rsidP="002567E0">
            <w:pPr>
              <w:pBdr>
                <w:top w:val="nil"/>
                <w:left w:val="nil"/>
                <w:bottom w:val="nil"/>
                <w:right w:val="nil"/>
                <w:between w:val="nil"/>
              </w:pBdr>
              <w:tabs>
                <w:tab w:val="left" w:pos="284"/>
              </w:tabs>
              <w:jc w:val="center"/>
              <w:rPr>
                <w:sz w:val="20"/>
                <w:szCs w:val="20"/>
              </w:rPr>
            </w:pPr>
            <w:r w:rsidRPr="00C04588">
              <w:rPr>
                <w:sz w:val="20"/>
                <w:szCs w:val="20"/>
              </w:rPr>
              <w:t>Secretaría General del Senado de la República</w:t>
            </w:r>
            <w:r w:rsidRPr="00C04588">
              <w:rPr>
                <w:rStyle w:val="Refdenotaalpie"/>
                <w:sz w:val="20"/>
                <w:szCs w:val="20"/>
              </w:rPr>
              <w:footnoteReference w:id="29"/>
            </w:r>
          </w:p>
        </w:tc>
      </w:tr>
      <w:tr w:rsidR="00C04588" w:rsidRPr="00C04588" w14:paraId="4E48B0AB" w14:textId="77777777" w:rsidTr="00CE4609">
        <w:tblPrEx>
          <w:jc w:val="left"/>
          <w:tblLook w:val="04A0" w:firstRow="1" w:lastRow="0" w:firstColumn="1" w:lastColumn="0" w:noHBand="0" w:noVBand="1"/>
        </w:tblPrEx>
        <w:tc>
          <w:tcPr>
            <w:tcW w:w="440" w:type="pct"/>
            <w:shd w:val="clear" w:color="auto" w:fill="B8CCE4" w:themeFill="accent1" w:themeFillTint="66"/>
          </w:tcPr>
          <w:p w14:paraId="5DE52675" w14:textId="0ED4F3C4" w:rsidR="00CE4609" w:rsidRPr="00C04588" w:rsidRDefault="00CE4609" w:rsidP="002567E0">
            <w:pPr>
              <w:pBdr>
                <w:top w:val="nil"/>
                <w:left w:val="nil"/>
                <w:bottom w:val="nil"/>
                <w:right w:val="nil"/>
                <w:between w:val="nil"/>
              </w:pBdr>
              <w:tabs>
                <w:tab w:val="left" w:pos="284"/>
              </w:tabs>
              <w:jc w:val="center"/>
              <w:rPr>
                <w:sz w:val="20"/>
                <w:szCs w:val="20"/>
              </w:rPr>
            </w:pPr>
            <w:r w:rsidRPr="00C04588">
              <w:rPr>
                <w:sz w:val="20"/>
                <w:szCs w:val="20"/>
              </w:rPr>
              <w:t>12.</w:t>
            </w:r>
          </w:p>
        </w:tc>
        <w:tc>
          <w:tcPr>
            <w:tcW w:w="4560" w:type="pct"/>
          </w:tcPr>
          <w:p w14:paraId="3B012D1F" w14:textId="23B3CDB0" w:rsidR="00CE4609" w:rsidRPr="00C04588" w:rsidRDefault="00CE4609" w:rsidP="002567E0">
            <w:pPr>
              <w:pBdr>
                <w:top w:val="nil"/>
                <w:left w:val="nil"/>
                <w:bottom w:val="nil"/>
                <w:right w:val="nil"/>
                <w:between w:val="nil"/>
              </w:pBdr>
              <w:tabs>
                <w:tab w:val="left" w:pos="284"/>
              </w:tabs>
              <w:jc w:val="center"/>
              <w:rPr>
                <w:sz w:val="20"/>
                <w:szCs w:val="20"/>
              </w:rPr>
            </w:pPr>
            <w:r w:rsidRPr="00C04588">
              <w:rPr>
                <w:sz w:val="20"/>
                <w:szCs w:val="20"/>
              </w:rPr>
              <w:t>Comisión Tercera Constitucional Permanente de la Cámara de Representantes</w:t>
            </w:r>
            <w:r w:rsidRPr="00C04588">
              <w:rPr>
                <w:rStyle w:val="Refdenotaalpie"/>
                <w:sz w:val="20"/>
                <w:szCs w:val="20"/>
              </w:rPr>
              <w:footnoteReference w:id="30"/>
            </w:r>
          </w:p>
        </w:tc>
      </w:tr>
      <w:tr w:rsidR="00CE4609" w:rsidRPr="00C04588" w14:paraId="7773FA32" w14:textId="77777777" w:rsidTr="00CE4609">
        <w:tblPrEx>
          <w:jc w:val="left"/>
          <w:tblLook w:val="04A0" w:firstRow="1" w:lastRow="0" w:firstColumn="1" w:lastColumn="0" w:noHBand="0" w:noVBand="1"/>
        </w:tblPrEx>
        <w:tc>
          <w:tcPr>
            <w:tcW w:w="440" w:type="pct"/>
            <w:shd w:val="clear" w:color="auto" w:fill="B8CCE4" w:themeFill="accent1" w:themeFillTint="66"/>
          </w:tcPr>
          <w:p w14:paraId="55AE7499" w14:textId="633860E4" w:rsidR="00CE4609" w:rsidRPr="00C04588" w:rsidRDefault="00CE4609" w:rsidP="002567E0">
            <w:pPr>
              <w:pBdr>
                <w:top w:val="nil"/>
                <w:left w:val="nil"/>
                <w:bottom w:val="nil"/>
                <w:right w:val="nil"/>
                <w:between w:val="nil"/>
              </w:pBdr>
              <w:tabs>
                <w:tab w:val="left" w:pos="284"/>
              </w:tabs>
              <w:jc w:val="center"/>
              <w:rPr>
                <w:sz w:val="20"/>
                <w:szCs w:val="20"/>
              </w:rPr>
            </w:pPr>
            <w:r w:rsidRPr="00C04588">
              <w:rPr>
                <w:sz w:val="20"/>
                <w:szCs w:val="20"/>
              </w:rPr>
              <w:t>13.</w:t>
            </w:r>
          </w:p>
        </w:tc>
        <w:tc>
          <w:tcPr>
            <w:tcW w:w="4560" w:type="pct"/>
          </w:tcPr>
          <w:p w14:paraId="20BC01AD" w14:textId="03851E37" w:rsidR="00CE4609" w:rsidRPr="00C04588" w:rsidRDefault="00CE4609" w:rsidP="002567E0">
            <w:pPr>
              <w:pBdr>
                <w:top w:val="nil"/>
                <w:left w:val="nil"/>
                <w:bottom w:val="nil"/>
                <w:right w:val="nil"/>
                <w:between w:val="nil"/>
              </w:pBdr>
              <w:tabs>
                <w:tab w:val="left" w:pos="284"/>
              </w:tabs>
              <w:jc w:val="center"/>
              <w:rPr>
                <w:sz w:val="20"/>
                <w:szCs w:val="20"/>
              </w:rPr>
            </w:pPr>
            <w:r w:rsidRPr="00C04588">
              <w:rPr>
                <w:sz w:val="20"/>
                <w:szCs w:val="20"/>
              </w:rPr>
              <w:t>Banco de la República</w:t>
            </w:r>
            <w:r w:rsidRPr="00C04588">
              <w:rPr>
                <w:rStyle w:val="Refdenotaalpie"/>
                <w:sz w:val="20"/>
                <w:szCs w:val="20"/>
              </w:rPr>
              <w:footnoteReference w:id="31"/>
            </w:r>
          </w:p>
        </w:tc>
      </w:tr>
    </w:tbl>
    <w:p w14:paraId="149F26AB" w14:textId="77777777" w:rsidR="006672D4" w:rsidRPr="006672D4" w:rsidRDefault="006672D4" w:rsidP="006672D4">
      <w:pPr>
        <w:pBdr>
          <w:top w:val="nil"/>
          <w:left w:val="nil"/>
          <w:bottom w:val="nil"/>
          <w:right w:val="nil"/>
          <w:between w:val="nil"/>
        </w:pBdr>
        <w:tabs>
          <w:tab w:val="left" w:pos="284"/>
        </w:tabs>
        <w:jc w:val="both"/>
        <w:rPr>
          <w:sz w:val="28"/>
          <w:szCs w:val="28"/>
        </w:rPr>
      </w:pPr>
    </w:p>
    <w:p w14:paraId="256D1CBA" w14:textId="11895C0A" w:rsidR="00414935" w:rsidRPr="008B061B" w:rsidRDefault="00E64EDE" w:rsidP="00414935">
      <w:pPr>
        <w:numPr>
          <w:ilvl w:val="0"/>
          <w:numId w:val="9"/>
        </w:numPr>
        <w:pBdr>
          <w:top w:val="nil"/>
          <w:left w:val="nil"/>
          <w:bottom w:val="nil"/>
          <w:right w:val="nil"/>
          <w:between w:val="nil"/>
        </w:pBdr>
        <w:tabs>
          <w:tab w:val="left" w:pos="284"/>
        </w:tabs>
        <w:ind w:left="0" w:firstLine="0"/>
        <w:jc w:val="both"/>
        <w:rPr>
          <w:sz w:val="28"/>
          <w:szCs w:val="28"/>
        </w:rPr>
      </w:pPr>
      <w:r w:rsidRPr="00C04588">
        <w:rPr>
          <w:sz w:val="28"/>
          <w:szCs w:val="28"/>
          <w:shd w:val="clear" w:color="auto" w:fill="FFFFFF"/>
        </w:rPr>
        <w:t xml:space="preserve">El </w:t>
      </w:r>
      <w:r w:rsidR="00414935" w:rsidRPr="00C04588">
        <w:rPr>
          <w:sz w:val="28"/>
          <w:szCs w:val="28"/>
          <w:shd w:val="clear" w:color="auto" w:fill="FFFFFF"/>
        </w:rPr>
        <w:t>10 de febrero de 2026</w:t>
      </w:r>
      <w:r w:rsidR="004F64EB" w:rsidRPr="00C04588">
        <w:rPr>
          <w:sz w:val="28"/>
          <w:szCs w:val="28"/>
          <w:shd w:val="clear" w:color="auto" w:fill="FFFFFF"/>
        </w:rPr>
        <w:t xml:space="preserve">, luego de </w:t>
      </w:r>
      <w:r w:rsidR="00C8108B">
        <w:rPr>
          <w:sz w:val="28"/>
          <w:szCs w:val="28"/>
          <w:shd w:val="clear" w:color="auto" w:fill="FFFFFF"/>
        </w:rPr>
        <w:t>recaudar</w:t>
      </w:r>
      <w:r w:rsidR="00C8108B" w:rsidRPr="00C04588">
        <w:rPr>
          <w:sz w:val="28"/>
          <w:szCs w:val="28"/>
          <w:shd w:val="clear" w:color="auto" w:fill="FFFFFF"/>
        </w:rPr>
        <w:t xml:space="preserve"> </w:t>
      </w:r>
      <w:r w:rsidR="004F64EB" w:rsidRPr="00C04588">
        <w:rPr>
          <w:sz w:val="28"/>
          <w:szCs w:val="28"/>
          <w:shd w:val="clear" w:color="auto" w:fill="FFFFFF"/>
        </w:rPr>
        <w:t>las pruebas decretadas</w:t>
      </w:r>
      <w:r w:rsidRPr="00C04588">
        <w:rPr>
          <w:sz w:val="28"/>
          <w:szCs w:val="28"/>
          <w:shd w:val="clear" w:color="auto" w:fill="FFFFFF"/>
        </w:rPr>
        <w:t>,</w:t>
      </w:r>
      <w:r w:rsidR="004F64EB" w:rsidRPr="00C04588">
        <w:rPr>
          <w:sz w:val="28"/>
          <w:szCs w:val="28"/>
          <w:shd w:val="clear" w:color="auto" w:fill="FFFFFF"/>
        </w:rPr>
        <w:t xml:space="preserve"> </w:t>
      </w:r>
      <w:r w:rsidR="00C8108B">
        <w:rPr>
          <w:sz w:val="28"/>
          <w:szCs w:val="28"/>
          <w:shd w:val="clear" w:color="auto" w:fill="FFFFFF"/>
        </w:rPr>
        <w:t>el</w:t>
      </w:r>
      <w:r w:rsidR="00C8108B" w:rsidRPr="00C04588">
        <w:rPr>
          <w:sz w:val="28"/>
          <w:szCs w:val="28"/>
          <w:shd w:val="clear" w:color="auto" w:fill="FFFFFF"/>
        </w:rPr>
        <w:t xml:space="preserve"> </w:t>
      </w:r>
      <w:r w:rsidR="004F64EB" w:rsidRPr="00C04588">
        <w:rPr>
          <w:sz w:val="28"/>
          <w:szCs w:val="28"/>
          <w:shd w:val="clear" w:color="auto" w:fill="FFFFFF"/>
        </w:rPr>
        <w:t>despacho</w:t>
      </w:r>
      <w:r w:rsidR="00C8108B">
        <w:rPr>
          <w:sz w:val="28"/>
          <w:szCs w:val="28"/>
          <w:shd w:val="clear" w:color="auto" w:fill="FFFFFF"/>
        </w:rPr>
        <w:t xml:space="preserve"> ponente</w:t>
      </w:r>
      <w:r w:rsidR="004F64EB" w:rsidRPr="00C04588">
        <w:rPr>
          <w:sz w:val="28"/>
          <w:szCs w:val="28"/>
          <w:shd w:val="clear" w:color="auto" w:fill="FFFFFF"/>
        </w:rPr>
        <w:t>, mediante auto, ordenó continuar con el trámite del proceso de constitucionalidad.</w:t>
      </w:r>
    </w:p>
    <w:p w14:paraId="5D9C9D3C" w14:textId="77777777" w:rsidR="008B061B" w:rsidRPr="00C04588" w:rsidRDefault="008B061B" w:rsidP="008B061B">
      <w:pPr>
        <w:pBdr>
          <w:top w:val="nil"/>
          <w:left w:val="nil"/>
          <w:bottom w:val="nil"/>
          <w:right w:val="nil"/>
          <w:between w:val="nil"/>
        </w:pBdr>
        <w:tabs>
          <w:tab w:val="left" w:pos="284"/>
        </w:tabs>
        <w:jc w:val="both"/>
        <w:rPr>
          <w:sz w:val="28"/>
          <w:szCs w:val="28"/>
        </w:rPr>
      </w:pPr>
    </w:p>
    <w:p w14:paraId="1642310D" w14:textId="10817FBC" w:rsidR="00591F93" w:rsidRPr="00AF31E6" w:rsidRDefault="00DD2395" w:rsidP="00414935">
      <w:pPr>
        <w:numPr>
          <w:ilvl w:val="0"/>
          <w:numId w:val="9"/>
        </w:numPr>
        <w:pBdr>
          <w:top w:val="nil"/>
          <w:left w:val="nil"/>
          <w:bottom w:val="nil"/>
          <w:right w:val="nil"/>
          <w:between w:val="nil"/>
        </w:pBdr>
        <w:tabs>
          <w:tab w:val="left" w:pos="284"/>
        </w:tabs>
        <w:ind w:left="0" w:firstLine="0"/>
        <w:jc w:val="both"/>
        <w:rPr>
          <w:sz w:val="28"/>
          <w:szCs w:val="28"/>
        </w:rPr>
      </w:pPr>
      <w:r w:rsidRPr="00C04588">
        <w:rPr>
          <w:sz w:val="28"/>
          <w:szCs w:val="28"/>
        </w:rPr>
        <w:t xml:space="preserve">A través de </w:t>
      </w:r>
      <w:r w:rsidR="00414935" w:rsidRPr="00C04588">
        <w:rPr>
          <w:sz w:val="28"/>
          <w:szCs w:val="28"/>
        </w:rPr>
        <w:t xml:space="preserve">Auto 247 del 25 de febrero de 2026, la Sala Plena de la Corte Constitucional rechazó por falta de pertinencia la recusación presentada </w:t>
      </w:r>
      <w:r w:rsidR="001F7721" w:rsidRPr="00C04588">
        <w:rPr>
          <w:sz w:val="28"/>
          <w:szCs w:val="28"/>
        </w:rPr>
        <w:t xml:space="preserve">dentro del presente expediente </w:t>
      </w:r>
      <w:r w:rsidR="00414935" w:rsidRPr="00C04588">
        <w:rPr>
          <w:sz w:val="28"/>
          <w:szCs w:val="28"/>
        </w:rPr>
        <w:t xml:space="preserve">por el Secretario Jurídico de la Presidencia de la República en contra de las magistradas </w:t>
      </w:r>
      <w:r w:rsidR="00414935" w:rsidRPr="00C04588">
        <w:rPr>
          <w:rFonts w:ascii="Times" w:hAnsi="Times" w:cs="Times"/>
          <w:sz w:val="27"/>
          <w:szCs w:val="27"/>
        </w:rPr>
        <w:t xml:space="preserve">Lina Marcela Escobar Martínez, Paola Andrea Meneses Mosquera y Natalia Ángel Cabo y los magistrados Héctor Alfonso Carvajal Londoño, Miguel Polo Rosero, Carlos Camargo Assis y Vladimir Fernández Andrade, </w:t>
      </w:r>
      <w:r w:rsidRPr="00C04588">
        <w:rPr>
          <w:rFonts w:ascii="Times" w:hAnsi="Times" w:cs="Times"/>
          <w:sz w:val="27"/>
          <w:szCs w:val="27"/>
        </w:rPr>
        <w:t>por</w:t>
      </w:r>
      <w:r w:rsidR="00414935" w:rsidRPr="00C04588">
        <w:rPr>
          <w:rFonts w:ascii="Times" w:hAnsi="Times" w:cs="Times"/>
          <w:sz w:val="27"/>
          <w:szCs w:val="27"/>
        </w:rPr>
        <w:t xml:space="preserve"> </w:t>
      </w:r>
      <w:r w:rsidR="00414935" w:rsidRPr="00AF31E6">
        <w:rPr>
          <w:rFonts w:ascii="Times" w:hAnsi="Times" w:cs="Times"/>
          <w:sz w:val="27"/>
          <w:szCs w:val="27"/>
        </w:rPr>
        <w:t>incumplimiento del requisito de oportunidad.</w:t>
      </w:r>
      <w:r w:rsidR="00414935" w:rsidRPr="00AF31E6">
        <w:rPr>
          <w:sz w:val="28"/>
          <w:szCs w:val="28"/>
        </w:rPr>
        <w:t xml:space="preserve"> </w:t>
      </w:r>
    </w:p>
    <w:p w14:paraId="0460864F" w14:textId="77777777" w:rsidR="00591F93" w:rsidRPr="00AF31E6" w:rsidRDefault="00591F93" w:rsidP="00591F93">
      <w:pPr>
        <w:pStyle w:val="Prrafodelista"/>
        <w:rPr>
          <w:sz w:val="28"/>
          <w:szCs w:val="28"/>
        </w:rPr>
      </w:pPr>
    </w:p>
    <w:p w14:paraId="7F83D4A9" w14:textId="671DD87B" w:rsidR="00414935" w:rsidRPr="00C04588" w:rsidRDefault="00414935" w:rsidP="00591F93">
      <w:pPr>
        <w:pStyle w:val="Prrafodelista"/>
        <w:widowControl w:val="0"/>
        <w:numPr>
          <w:ilvl w:val="0"/>
          <w:numId w:val="9"/>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AF31E6">
        <w:rPr>
          <w:sz w:val="28"/>
          <w:szCs w:val="28"/>
        </w:rPr>
        <w:t xml:space="preserve">Asimismo, por medio de </w:t>
      </w:r>
      <w:r w:rsidR="00384AB7" w:rsidRPr="00AF31E6">
        <w:rPr>
          <w:sz w:val="28"/>
          <w:szCs w:val="28"/>
        </w:rPr>
        <w:t>Auto 427</w:t>
      </w:r>
      <w:r w:rsidR="006E3025" w:rsidRPr="00AF31E6">
        <w:rPr>
          <w:sz w:val="28"/>
          <w:szCs w:val="28"/>
        </w:rPr>
        <w:t xml:space="preserve"> del </w:t>
      </w:r>
      <w:r w:rsidR="00287163" w:rsidRPr="00AF31E6">
        <w:rPr>
          <w:sz w:val="28"/>
          <w:szCs w:val="28"/>
        </w:rPr>
        <w:t>9 de abril</w:t>
      </w:r>
      <w:r w:rsidR="00384AB7" w:rsidRPr="00AF31E6">
        <w:rPr>
          <w:sz w:val="28"/>
          <w:szCs w:val="28"/>
        </w:rPr>
        <w:t xml:space="preserve"> </w:t>
      </w:r>
      <w:r w:rsidRPr="00AF31E6">
        <w:rPr>
          <w:sz w:val="28"/>
          <w:szCs w:val="28"/>
        </w:rPr>
        <w:t xml:space="preserve">de 2026, rechazó </w:t>
      </w:r>
      <w:r w:rsidR="00591F93" w:rsidRPr="00AF31E6">
        <w:rPr>
          <w:sz w:val="28"/>
          <w:szCs w:val="28"/>
        </w:rPr>
        <w:t xml:space="preserve">por impertinente </w:t>
      </w:r>
      <w:r w:rsidRPr="00AF31E6">
        <w:rPr>
          <w:sz w:val="28"/>
          <w:szCs w:val="28"/>
        </w:rPr>
        <w:t>la recusación presentada por Carlos Augusto Chacón Monsalve, en representación del Instituto de Ciencia Política</w:t>
      </w:r>
      <w:r w:rsidRPr="00C04588">
        <w:rPr>
          <w:sz w:val="28"/>
          <w:szCs w:val="28"/>
        </w:rPr>
        <w:t xml:space="preserve"> Hernán Echavarría Olózaga, contra el magistrado Vladimir Fernández Andrade</w:t>
      </w:r>
      <w:r w:rsidR="00591F93" w:rsidRPr="00C04588">
        <w:rPr>
          <w:sz w:val="28"/>
          <w:szCs w:val="28"/>
        </w:rPr>
        <w:t xml:space="preserve">. Lo anterior, </w:t>
      </w:r>
      <w:r w:rsidR="00DD2395" w:rsidRPr="00C04588">
        <w:rPr>
          <w:sz w:val="28"/>
          <w:szCs w:val="28"/>
        </w:rPr>
        <w:t xml:space="preserve">por </w:t>
      </w:r>
      <w:r w:rsidR="00591F93" w:rsidRPr="00C04588">
        <w:rPr>
          <w:sz w:val="28"/>
          <w:szCs w:val="28"/>
        </w:rPr>
        <w:t xml:space="preserve">el incumplimiento del requisito de carga argumentativa. </w:t>
      </w:r>
    </w:p>
    <w:p w14:paraId="0629C0D2" w14:textId="77777777" w:rsidR="00591F93" w:rsidRPr="00C04588" w:rsidRDefault="00591F93" w:rsidP="00591F93">
      <w:pPr>
        <w:pStyle w:val="Prrafodelista"/>
        <w:rPr>
          <w:sz w:val="28"/>
          <w:szCs w:val="28"/>
        </w:rPr>
      </w:pPr>
    </w:p>
    <w:p w14:paraId="0E199304" w14:textId="3FA0780B" w:rsidR="00591F93" w:rsidRPr="008F14A4" w:rsidRDefault="00591F93" w:rsidP="00CC4D16">
      <w:pPr>
        <w:pStyle w:val="Prrafodelista"/>
        <w:widowControl w:val="0"/>
        <w:numPr>
          <w:ilvl w:val="0"/>
          <w:numId w:val="9"/>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C04588">
        <w:rPr>
          <w:sz w:val="28"/>
          <w:szCs w:val="28"/>
        </w:rPr>
        <w:t>Finalmente,</w:t>
      </w:r>
      <w:r w:rsidR="00364315" w:rsidRPr="00C04588">
        <w:rPr>
          <w:sz w:val="28"/>
          <w:szCs w:val="28"/>
        </w:rPr>
        <w:t xml:space="preserve"> </w:t>
      </w:r>
      <w:r w:rsidR="00CC4D16" w:rsidRPr="00C04588">
        <w:rPr>
          <w:sz w:val="28"/>
          <w:szCs w:val="28"/>
        </w:rPr>
        <w:t>el</w:t>
      </w:r>
      <w:r w:rsidRPr="00C04588">
        <w:rPr>
          <w:sz w:val="28"/>
          <w:szCs w:val="28"/>
        </w:rPr>
        <w:t xml:space="preserve"> Secretario Jurídico de la Presidencia de la República y</w:t>
      </w:r>
      <w:r w:rsidR="00CC4D16" w:rsidRPr="00C04588">
        <w:rPr>
          <w:sz w:val="28"/>
          <w:szCs w:val="28"/>
        </w:rPr>
        <w:t xml:space="preserve"> el</w:t>
      </w:r>
      <w:r w:rsidR="00AD2CF0" w:rsidRPr="00C04588">
        <w:rPr>
          <w:sz w:val="28"/>
          <w:szCs w:val="28"/>
        </w:rPr>
        <w:t xml:space="preserve"> ciudadano</w:t>
      </w:r>
      <w:r w:rsidR="00CC4D16" w:rsidRPr="00C04588">
        <w:rPr>
          <w:sz w:val="28"/>
          <w:szCs w:val="28"/>
        </w:rPr>
        <w:t xml:space="preserve"> </w:t>
      </w:r>
      <w:r w:rsidR="004C5F4B" w:rsidRPr="00C04588">
        <w:rPr>
          <w:sz w:val="28"/>
          <w:szCs w:val="28"/>
        </w:rPr>
        <w:t>É</w:t>
      </w:r>
      <w:r w:rsidRPr="00C04588">
        <w:rPr>
          <w:sz w:val="28"/>
          <w:szCs w:val="28"/>
        </w:rPr>
        <w:t xml:space="preserve">dgar Alan Olaya Díaz </w:t>
      </w:r>
      <w:r w:rsidR="00364315" w:rsidRPr="00C04588">
        <w:rPr>
          <w:sz w:val="28"/>
          <w:szCs w:val="28"/>
        </w:rPr>
        <w:t>presentaron</w:t>
      </w:r>
      <w:r w:rsidR="00CC4D16" w:rsidRPr="00C04588">
        <w:rPr>
          <w:sz w:val="28"/>
          <w:szCs w:val="28"/>
        </w:rPr>
        <w:t>, el 4 de febrero de 2026 y el 26 de febrero de 2026, respectivamente,</w:t>
      </w:r>
      <w:r w:rsidR="00364315" w:rsidRPr="00C04588">
        <w:rPr>
          <w:sz w:val="28"/>
          <w:szCs w:val="28"/>
        </w:rPr>
        <w:t xml:space="preserve"> solicitudes de nulidad </w:t>
      </w:r>
      <w:r w:rsidRPr="00C04588">
        <w:rPr>
          <w:sz w:val="28"/>
          <w:szCs w:val="28"/>
        </w:rPr>
        <w:t xml:space="preserve">en contra del Auto 084 de 2026. </w:t>
      </w:r>
      <w:r w:rsidR="00DD2395" w:rsidRPr="00C04588">
        <w:rPr>
          <w:sz w:val="28"/>
          <w:szCs w:val="28"/>
        </w:rPr>
        <w:t>Con posterioridad</w:t>
      </w:r>
      <w:r w:rsidR="00CC4D16" w:rsidRPr="00C04588">
        <w:rPr>
          <w:sz w:val="28"/>
          <w:szCs w:val="28"/>
        </w:rPr>
        <w:t>, el 19 de marzo de 2026</w:t>
      </w:r>
      <w:r w:rsidR="00DD2395" w:rsidRPr="00C04588">
        <w:rPr>
          <w:sz w:val="28"/>
          <w:szCs w:val="28"/>
        </w:rPr>
        <w:t>,</w:t>
      </w:r>
      <w:r w:rsidR="00CC4D16" w:rsidRPr="00C04588">
        <w:rPr>
          <w:sz w:val="28"/>
          <w:szCs w:val="28"/>
        </w:rPr>
        <w:t xml:space="preserve"> </w:t>
      </w:r>
      <w:r w:rsidR="00613F3A" w:rsidRPr="00C04588">
        <w:rPr>
          <w:sz w:val="28"/>
          <w:szCs w:val="28"/>
        </w:rPr>
        <w:t>el secretario jurídico de</w:t>
      </w:r>
      <w:r w:rsidR="00677BC5" w:rsidRPr="00C04588">
        <w:rPr>
          <w:sz w:val="28"/>
          <w:szCs w:val="28"/>
        </w:rPr>
        <w:t xml:space="preserve"> la Presidencia de la República</w:t>
      </w:r>
      <w:r w:rsidR="00613F3A" w:rsidRPr="00C04588">
        <w:rPr>
          <w:sz w:val="28"/>
          <w:szCs w:val="28"/>
        </w:rPr>
        <w:t xml:space="preserve"> y los jefes de las oficinas jurídicas de distintos ministerios</w:t>
      </w:r>
      <w:r w:rsidR="00613F3A" w:rsidRPr="00C04588">
        <w:rPr>
          <w:rStyle w:val="Refdenotaalpie"/>
          <w:sz w:val="28"/>
          <w:szCs w:val="28"/>
        </w:rPr>
        <w:footnoteReference w:id="32"/>
      </w:r>
      <w:r w:rsidR="00677BC5" w:rsidRPr="00C04588">
        <w:rPr>
          <w:sz w:val="28"/>
          <w:szCs w:val="28"/>
        </w:rPr>
        <w:t xml:space="preserve"> p</w:t>
      </w:r>
      <w:r w:rsidR="00613F3A" w:rsidRPr="00C04588">
        <w:rPr>
          <w:sz w:val="28"/>
          <w:szCs w:val="28"/>
        </w:rPr>
        <w:t>resentaron</w:t>
      </w:r>
      <w:r w:rsidR="00CC4D16" w:rsidRPr="00C04588">
        <w:rPr>
          <w:sz w:val="28"/>
          <w:szCs w:val="28"/>
        </w:rPr>
        <w:t xml:space="preserve"> solicitud de nulidad en contra del Auto 082 de 2026 y, por consecuencia, </w:t>
      </w:r>
      <w:r w:rsidR="00CC4D16" w:rsidRPr="008F14A4">
        <w:rPr>
          <w:sz w:val="28"/>
          <w:szCs w:val="28"/>
        </w:rPr>
        <w:t>solicit</w:t>
      </w:r>
      <w:r w:rsidR="00677BC5" w:rsidRPr="008F14A4">
        <w:rPr>
          <w:sz w:val="28"/>
          <w:szCs w:val="28"/>
        </w:rPr>
        <w:t>aron</w:t>
      </w:r>
      <w:r w:rsidR="00CC4D16" w:rsidRPr="008F14A4">
        <w:rPr>
          <w:sz w:val="28"/>
          <w:szCs w:val="28"/>
        </w:rPr>
        <w:t xml:space="preserve"> la nulidad del Auto 084</w:t>
      </w:r>
      <w:r w:rsidR="00613F3A" w:rsidRPr="008F14A4">
        <w:rPr>
          <w:sz w:val="28"/>
          <w:szCs w:val="28"/>
        </w:rPr>
        <w:t xml:space="preserve"> de 2026. Por</w:t>
      </w:r>
      <w:r w:rsidR="00CC4D16" w:rsidRPr="008F14A4">
        <w:rPr>
          <w:sz w:val="28"/>
          <w:szCs w:val="28"/>
        </w:rPr>
        <w:t xml:space="preserve"> último, el 4 de febrero de 2026, </w:t>
      </w:r>
      <w:r w:rsidRPr="008F14A4">
        <w:rPr>
          <w:sz w:val="28"/>
          <w:szCs w:val="28"/>
        </w:rPr>
        <w:t>Jhonatan Ferney Colorado Mora</w:t>
      </w:r>
      <w:r w:rsidR="00CA2A4B" w:rsidRPr="008F14A4">
        <w:rPr>
          <w:sz w:val="28"/>
          <w:szCs w:val="28"/>
        </w:rPr>
        <w:t xml:space="preserve"> </w:t>
      </w:r>
      <w:r w:rsidR="00DD2395" w:rsidRPr="008F14A4">
        <w:rPr>
          <w:sz w:val="28"/>
          <w:szCs w:val="28"/>
        </w:rPr>
        <w:t xml:space="preserve">formuló </w:t>
      </w:r>
      <w:r w:rsidR="00CA2A4B" w:rsidRPr="008F14A4">
        <w:rPr>
          <w:sz w:val="28"/>
          <w:szCs w:val="28"/>
        </w:rPr>
        <w:t>solicitud de aclaración respecto de</w:t>
      </w:r>
      <w:r w:rsidR="00CC4D16" w:rsidRPr="008F14A4">
        <w:rPr>
          <w:sz w:val="28"/>
          <w:szCs w:val="28"/>
        </w:rPr>
        <w:t>l Auto 084 de 2026</w:t>
      </w:r>
      <w:r w:rsidR="003B41DE" w:rsidRPr="008F14A4">
        <w:rPr>
          <w:rStyle w:val="Refdenotaalpie"/>
          <w:sz w:val="28"/>
          <w:szCs w:val="28"/>
        </w:rPr>
        <w:footnoteReference w:id="33"/>
      </w:r>
      <w:r w:rsidRPr="008F14A4">
        <w:rPr>
          <w:sz w:val="28"/>
          <w:szCs w:val="28"/>
        </w:rPr>
        <w:t>.</w:t>
      </w:r>
      <w:r w:rsidR="006C190B" w:rsidRPr="008F14A4">
        <w:rPr>
          <w:sz w:val="28"/>
          <w:szCs w:val="28"/>
        </w:rPr>
        <w:t xml:space="preserve"> </w:t>
      </w:r>
    </w:p>
    <w:p w14:paraId="73772A16" w14:textId="77777777" w:rsidR="002A13E9" w:rsidRPr="008F14A4" w:rsidRDefault="002A13E9" w:rsidP="002A13E9">
      <w:pPr>
        <w:pStyle w:val="Prrafodelista"/>
        <w:rPr>
          <w:sz w:val="28"/>
          <w:szCs w:val="28"/>
        </w:rPr>
      </w:pPr>
    </w:p>
    <w:p w14:paraId="124487D4" w14:textId="20E07395" w:rsidR="002A13E9" w:rsidRPr="00C04588" w:rsidRDefault="002A13E9" w:rsidP="00CC4D16">
      <w:pPr>
        <w:pStyle w:val="Prrafodelista"/>
        <w:widowControl w:val="0"/>
        <w:numPr>
          <w:ilvl w:val="0"/>
          <w:numId w:val="9"/>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8F14A4">
        <w:rPr>
          <w:sz w:val="28"/>
          <w:szCs w:val="28"/>
        </w:rPr>
        <w:t xml:space="preserve">Mediante Auto </w:t>
      </w:r>
      <w:r w:rsidR="00426720" w:rsidRPr="008F14A4">
        <w:rPr>
          <w:sz w:val="28"/>
          <w:szCs w:val="28"/>
        </w:rPr>
        <w:t>474</w:t>
      </w:r>
      <w:r w:rsidRPr="008F14A4">
        <w:rPr>
          <w:sz w:val="28"/>
          <w:szCs w:val="28"/>
        </w:rPr>
        <w:t xml:space="preserve"> de 2026 la Sala Plena de la Corte Constitucional rechazó las solicitudes de nulidad mencionadas por no cumplirse con la carga argumentativa exigida conforme la jurisprudencia constitucional. Por otro lado, rechazó la </w:t>
      </w:r>
      <w:r w:rsidR="00DD2395" w:rsidRPr="008F14A4">
        <w:rPr>
          <w:sz w:val="28"/>
          <w:szCs w:val="28"/>
        </w:rPr>
        <w:t xml:space="preserve">referida </w:t>
      </w:r>
      <w:r w:rsidRPr="008F14A4">
        <w:rPr>
          <w:sz w:val="28"/>
          <w:szCs w:val="28"/>
        </w:rPr>
        <w:t>solicitud</w:t>
      </w:r>
      <w:r w:rsidRPr="00C04588">
        <w:rPr>
          <w:sz w:val="28"/>
          <w:szCs w:val="28"/>
        </w:rPr>
        <w:t xml:space="preserve"> de aclaración por no acreditarse el presupuesto de legitimación. </w:t>
      </w:r>
    </w:p>
    <w:p w14:paraId="284399AE" w14:textId="4D3B175A" w:rsidR="002343E4" w:rsidRPr="00C04588" w:rsidRDefault="002343E4" w:rsidP="008D5320">
      <w:pPr>
        <w:pBdr>
          <w:top w:val="nil"/>
          <w:left w:val="nil"/>
          <w:bottom w:val="nil"/>
          <w:right w:val="nil"/>
          <w:between w:val="nil"/>
        </w:pBdr>
        <w:tabs>
          <w:tab w:val="left" w:pos="284"/>
        </w:tabs>
        <w:jc w:val="both"/>
        <w:rPr>
          <w:sz w:val="28"/>
          <w:szCs w:val="28"/>
        </w:rPr>
      </w:pPr>
    </w:p>
    <w:p w14:paraId="0AF8F8D9" w14:textId="0C8D42C6" w:rsidR="002343E4" w:rsidRPr="00C04588" w:rsidRDefault="0060246C" w:rsidP="00591F93">
      <w:pPr>
        <w:pStyle w:val="Prrafodelista"/>
        <w:widowControl w:val="0"/>
        <w:numPr>
          <w:ilvl w:val="0"/>
          <w:numId w:val="9"/>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C04588">
        <w:rPr>
          <w:sz w:val="28"/>
          <w:szCs w:val="28"/>
        </w:rPr>
        <w:t xml:space="preserve">Cumplidos los trámites constitucionales y legales propios de esta clase de juicios y previo concepto del </w:t>
      </w:r>
      <w:r w:rsidR="005C0587" w:rsidRPr="00C04588">
        <w:rPr>
          <w:sz w:val="28"/>
          <w:szCs w:val="28"/>
        </w:rPr>
        <w:t>p</w:t>
      </w:r>
      <w:r w:rsidRPr="00C04588">
        <w:rPr>
          <w:sz w:val="28"/>
          <w:szCs w:val="28"/>
        </w:rPr>
        <w:t xml:space="preserve">rocurador </w:t>
      </w:r>
      <w:r w:rsidR="005C0587" w:rsidRPr="00C04588">
        <w:rPr>
          <w:sz w:val="28"/>
          <w:szCs w:val="28"/>
        </w:rPr>
        <w:t>g</w:t>
      </w:r>
      <w:r w:rsidRPr="00C04588">
        <w:rPr>
          <w:sz w:val="28"/>
          <w:szCs w:val="28"/>
        </w:rPr>
        <w:t xml:space="preserve">eneral de la Nación, la Corte </w:t>
      </w:r>
      <w:r w:rsidR="00235454" w:rsidRPr="00C04588">
        <w:rPr>
          <w:sz w:val="28"/>
          <w:szCs w:val="28"/>
        </w:rPr>
        <w:t xml:space="preserve">Constitucional </w:t>
      </w:r>
      <w:r w:rsidRPr="00C04588">
        <w:rPr>
          <w:sz w:val="28"/>
          <w:szCs w:val="28"/>
        </w:rPr>
        <w:t>procede a decidir sobre el decreto de la referencia.</w:t>
      </w:r>
    </w:p>
    <w:p w14:paraId="284399B0" w14:textId="77777777" w:rsidR="002343E4" w:rsidRPr="00C04588" w:rsidRDefault="002343E4" w:rsidP="00971EBC">
      <w:pPr>
        <w:pBdr>
          <w:top w:val="nil"/>
          <w:left w:val="nil"/>
          <w:bottom w:val="nil"/>
          <w:right w:val="nil"/>
          <w:between w:val="nil"/>
        </w:pBdr>
        <w:tabs>
          <w:tab w:val="left" w:pos="284"/>
        </w:tabs>
        <w:jc w:val="both"/>
        <w:rPr>
          <w:sz w:val="28"/>
          <w:szCs w:val="28"/>
        </w:rPr>
      </w:pPr>
    </w:p>
    <w:p w14:paraId="284399B1" w14:textId="648E861F" w:rsidR="002343E4" w:rsidRPr="00C04588" w:rsidRDefault="00264BF1" w:rsidP="00971EBC">
      <w:pPr>
        <w:pBdr>
          <w:top w:val="nil"/>
          <w:left w:val="nil"/>
          <w:bottom w:val="nil"/>
          <w:right w:val="nil"/>
          <w:between w:val="nil"/>
        </w:pBdr>
        <w:tabs>
          <w:tab w:val="left" w:pos="284"/>
        </w:tabs>
        <w:jc w:val="both"/>
        <w:rPr>
          <w:sz w:val="28"/>
          <w:szCs w:val="28"/>
        </w:rPr>
      </w:pPr>
      <w:r w:rsidRPr="00C04588">
        <w:rPr>
          <w:b/>
          <w:sz w:val="28"/>
          <w:szCs w:val="28"/>
        </w:rPr>
        <w:t xml:space="preserve">II. </w:t>
      </w:r>
      <w:r w:rsidR="0008653E" w:rsidRPr="00C04588">
        <w:rPr>
          <w:b/>
          <w:sz w:val="28"/>
          <w:szCs w:val="28"/>
        </w:rPr>
        <w:t>LA NORMA BAJO EXAMEN</w:t>
      </w:r>
    </w:p>
    <w:p w14:paraId="284399B2" w14:textId="77777777" w:rsidR="002343E4" w:rsidRPr="00C04588" w:rsidRDefault="002343E4" w:rsidP="00971EBC">
      <w:pPr>
        <w:pBdr>
          <w:top w:val="nil"/>
          <w:left w:val="nil"/>
          <w:bottom w:val="nil"/>
          <w:right w:val="nil"/>
          <w:between w:val="nil"/>
        </w:pBdr>
        <w:tabs>
          <w:tab w:val="left" w:pos="426"/>
        </w:tabs>
        <w:jc w:val="both"/>
        <w:rPr>
          <w:sz w:val="28"/>
          <w:szCs w:val="28"/>
        </w:rPr>
      </w:pPr>
    </w:p>
    <w:p w14:paraId="3860AED1" w14:textId="457A56B5" w:rsidR="00824322" w:rsidRPr="00C04588" w:rsidRDefault="00012DEB" w:rsidP="0021062A">
      <w:pPr>
        <w:pStyle w:val="Prrafodelista"/>
        <w:widowControl w:val="0"/>
        <w:numPr>
          <w:ilvl w:val="0"/>
          <w:numId w:val="9"/>
        </w:numPr>
        <w:pBdr>
          <w:top w:val="nil"/>
          <w:left w:val="nil"/>
          <w:bottom w:val="nil"/>
          <w:right w:val="nil"/>
          <w:between w:val="nil"/>
        </w:pBdr>
        <w:tabs>
          <w:tab w:val="left" w:pos="426"/>
        </w:tabs>
        <w:autoSpaceDE w:val="0"/>
        <w:autoSpaceDN w:val="0"/>
        <w:adjustRightInd w:val="0"/>
        <w:ind w:left="0" w:firstLine="0"/>
        <w:contextualSpacing w:val="0"/>
        <w:jc w:val="both"/>
        <w:rPr>
          <w:sz w:val="28"/>
          <w:szCs w:val="28"/>
        </w:rPr>
      </w:pPr>
      <w:r w:rsidRPr="00C04588">
        <w:rPr>
          <w:sz w:val="28"/>
          <w:szCs w:val="28"/>
        </w:rPr>
        <w:t xml:space="preserve">Por la extensión de la norma </w:t>
      </w:r>
      <w:r w:rsidR="00DD2395" w:rsidRPr="00C04588">
        <w:rPr>
          <w:sz w:val="28"/>
          <w:szCs w:val="28"/>
        </w:rPr>
        <w:t>revisada</w:t>
      </w:r>
      <w:r w:rsidRPr="00C04588">
        <w:rPr>
          <w:sz w:val="28"/>
          <w:szCs w:val="28"/>
        </w:rPr>
        <w:t xml:space="preserve"> no se transcribirá su contenido. No obstante, e</w:t>
      </w:r>
      <w:r w:rsidR="00B6292E" w:rsidRPr="00C04588">
        <w:rPr>
          <w:sz w:val="28"/>
          <w:szCs w:val="28"/>
        </w:rPr>
        <w:t>l texto completo de la misma puede</w:t>
      </w:r>
      <w:r w:rsidRPr="00C04588">
        <w:rPr>
          <w:sz w:val="28"/>
          <w:szCs w:val="28"/>
        </w:rPr>
        <w:t xml:space="preserve"> ser consultad</w:t>
      </w:r>
      <w:r w:rsidR="00B6292E" w:rsidRPr="00C04588">
        <w:rPr>
          <w:sz w:val="28"/>
          <w:szCs w:val="28"/>
        </w:rPr>
        <w:t>o</w:t>
      </w:r>
      <w:r w:rsidRPr="00C04588">
        <w:rPr>
          <w:sz w:val="28"/>
          <w:szCs w:val="28"/>
        </w:rPr>
        <w:t xml:space="preserve"> en el siguiente enlace</w:t>
      </w:r>
      <w:r w:rsidR="00B6292E" w:rsidRPr="00C04588">
        <w:rPr>
          <w:rStyle w:val="Refdenotaalpie"/>
          <w:sz w:val="28"/>
          <w:szCs w:val="28"/>
        </w:rPr>
        <w:footnoteReference w:id="34"/>
      </w:r>
      <w:r w:rsidRPr="00C04588">
        <w:rPr>
          <w:sz w:val="28"/>
          <w:szCs w:val="28"/>
        </w:rPr>
        <w:t>:</w:t>
      </w:r>
      <w:hyperlink r:id="rId9" w:history="1">
        <w:r w:rsidR="00B6292E" w:rsidRPr="00C04588">
          <w:rPr>
            <w:rStyle w:val="Hipervnculo"/>
            <w:color w:val="auto"/>
            <w:sz w:val="28"/>
            <w:szCs w:val="28"/>
          </w:rPr>
          <w:t>https://dapre.presidencia.gov.co/normativa/normativa/DECRETO%201474%20DEL%2029%20DE%20DICIEMBRE%20DE%202025.pdf</w:t>
        </w:r>
      </w:hyperlink>
      <w:r w:rsidR="00B6292E" w:rsidRPr="00C04588">
        <w:rPr>
          <w:sz w:val="28"/>
          <w:szCs w:val="28"/>
        </w:rPr>
        <w:t>.</w:t>
      </w:r>
    </w:p>
    <w:p w14:paraId="46A1861E" w14:textId="3D5D1E50" w:rsidR="0021062A" w:rsidRPr="00C04588" w:rsidRDefault="0021062A" w:rsidP="0021062A">
      <w:pPr>
        <w:widowControl w:val="0"/>
        <w:pBdr>
          <w:top w:val="nil"/>
          <w:left w:val="nil"/>
          <w:bottom w:val="nil"/>
          <w:right w:val="nil"/>
          <w:between w:val="nil"/>
        </w:pBdr>
        <w:tabs>
          <w:tab w:val="left" w:pos="426"/>
        </w:tabs>
        <w:autoSpaceDE w:val="0"/>
        <w:autoSpaceDN w:val="0"/>
        <w:adjustRightInd w:val="0"/>
        <w:jc w:val="both"/>
        <w:rPr>
          <w:sz w:val="28"/>
          <w:szCs w:val="28"/>
        </w:rPr>
        <w:sectPr w:rsidR="0021062A" w:rsidRPr="00C04588" w:rsidSect="00711CFF">
          <w:headerReference w:type="even" r:id="rId10"/>
          <w:headerReference w:type="default" r:id="rId11"/>
          <w:footerReference w:type="even" r:id="rId12"/>
          <w:footerReference w:type="default" r:id="rId13"/>
          <w:headerReference w:type="first" r:id="rId14"/>
          <w:footerReference w:type="first" r:id="rId15"/>
          <w:pgSz w:w="12240" w:h="18720"/>
          <w:pgMar w:top="1276" w:right="1701" w:bottom="1701" w:left="1701" w:header="340" w:footer="680" w:gutter="0"/>
          <w:pgNumType w:start="1"/>
          <w:cols w:space="720"/>
          <w:docGrid w:linePitch="326"/>
        </w:sectPr>
      </w:pPr>
    </w:p>
    <w:p w14:paraId="3157BD11" w14:textId="3407A9AD" w:rsidR="00824322" w:rsidRPr="00C04588" w:rsidRDefault="00824322" w:rsidP="0021062A">
      <w:pPr>
        <w:pStyle w:val="s3"/>
        <w:widowControl w:val="0"/>
        <w:shd w:val="clear" w:color="auto" w:fill="FFFFFF"/>
        <w:spacing w:before="0" w:beforeAutospacing="0" w:after="0" w:afterAutospacing="0"/>
        <w:jc w:val="both"/>
        <w:sectPr w:rsidR="00824322" w:rsidRPr="00C04588" w:rsidSect="00276ADD">
          <w:headerReference w:type="default" r:id="rId16"/>
          <w:footerReference w:type="default" r:id="rId17"/>
          <w:type w:val="continuous"/>
          <w:pgSz w:w="12240" w:h="18720"/>
          <w:pgMar w:top="1276" w:right="1701" w:bottom="1701" w:left="1701" w:header="340" w:footer="680" w:gutter="0"/>
          <w:cols w:num="2" w:space="720"/>
          <w:titlePg/>
          <w:docGrid w:linePitch="326"/>
        </w:sectPr>
      </w:pPr>
    </w:p>
    <w:p w14:paraId="284399C4" w14:textId="491008DD" w:rsidR="002343E4" w:rsidRPr="00C04588" w:rsidRDefault="009B5F14" w:rsidP="0021062A">
      <w:pPr>
        <w:widowControl w:val="0"/>
        <w:pBdr>
          <w:top w:val="nil"/>
          <w:left w:val="nil"/>
          <w:bottom w:val="nil"/>
          <w:right w:val="nil"/>
          <w:between w:val="nil"/>
        </w:pBdr>
        <w:tabs>
          <w:tab w:val="left" w:pos="284"/>
        </w:tabs>
        <w:jc w:val="both"/>
        <w:rPr>
          <w:sz w:val="28"/>
          <w:szCs w:val="28"/>
        </w:rPr>
      </w:pPr>
      <w:r w:rsidRPr="00C04588">
        <w:rPr>
          <w:b/>
          <w:sz w:val="28"/>
          <w:szCs w:val="28"/>
        </w:rPr>
        <w:t xml:space="preserve">III. </w:t>
      </w:r>
      <w:r w:rsidR="001A5CEC" w:rsidRPr="00C04588">
        <w:rPr>
          <w:b/>
          <w:sz w:val="28"/>
          <w:szCs w:val="28"/>
        </w:rPr>
        <w:t>INTERVINIENTES</w:t>
      </w:r>
      <w:r w:rsidRPr="00C04588">
        <w:rPr>
          <w:b/>
          <w:sz w:val="28"/>
          <w:szCs w:val="28"/>
        </w:rPr>
        <w:t xml:space="preserve"> E INVITADOS </w:t>
      </w:r>
    </w:p>
    <w:p w14:paraId="2CC2B566" w14:textId="77777777" w:rsidR="009B5F14" w:rsidRPr="00C04588" w:rsidRDefault="009B5F14" w:rsidP="00AA62CE">
      <w:pPr>
        <w:widowControl w:val="0"/>
        <w:pBdr>
          <w:top w:val="nil"/>
          <w:left w:val="nil"/>
          <w:bottom w:val="nil"/>
          <w:right w:val="nil"/>
          <w:between w:val="nil"/>
        </w:pBdr>
        <w:tabs>
          <w:tab w:val="left" w:pos="284"/>
        </w:tabs>
        <w:jc w:val="both"/>
        <w:rPr>
          <w:b/>
          <w:sz w:val="28"/>
          <w:szCs w:val="28"/>
        </w:rPr>
      </w:pPr>
    </w:p>
    <w:p w14:paraId="53999AAF" w14:textId="3B4B1270" w:rsidR="00AA62CE" w:rsidRPr="00C04588" w:rsidRDefault="00AA62CE" w:rsidP="00AE13F1">
      <w:pPr>
        <w:pStyle w:val="Prrafodelista"/>
        <w:widowControl w:val="0"/>
        <w:numPr>
          <w:ilvl w:val="0"/>
          <w:numId w:val="9"/>
        </w:numPr>
        <w:pBdr>
          <w:top w:val="nil"/>
          <w:left w:val="nil"/>
          <w:bottom w:val="nil"/>
          <w:right w:val="nil"/>
          <w:between w:val="nil"/>
        </w:pBdr>
        <w:tabs>
          <w:tab w:val="left" w:pos="426"/>
        </w:tabs>
        <w:autoSpaceDE w:val="0"/>
        <w:autoSpaceDN w:val="0"/>
        <w:adjustRightInd w:val="0"/>
        <w:ind w:left="0" w:firstLine="0"/>
        <w:contextualSpacing w:val="0"/>
        <w:jc w:val="both"/>
        <w:rPr>
          <w:sz w:val="28"/>
          <w:szCs w:val="28"/>
        </w:rPr>
      </w:pPr>
      <w:r w:rsidRPr="00C04588">
        <w:rPr>
          <w:sz w:val="28"/>
          <w:szCs w:val="28"/>
        </w:rPr>
        <w:t>En el trámite constitucional se reci</w:t>
      </w:r>
      <w:r w:rsidR="00CD44F7" w:rsidRPr="00C04588">
        <w:rPr>
          <w:sz w:val="28"/>
          <w:szCs w:val="28"/>
        </w:rPr>
        <w:t>bi</w:t>
      </w:r>
      <w:r w:rsidRPr="00C04588">
        <w:rPr>
          <w:sz w:val="28"/>
          <w:szCs w:val="28"/>
        </w:rPr>
        <w:t>eron conceptos de</w:t>
      </w:r>
      <w:r w:rsidR="004F64EB" w:rsidRPr="00C04588">
        <w:rPr>
          <w:sz w:val="28"/>
          <w:szCs w:val="28"/>
        </w:rPr>
        <w:t xml:space="preserve"> </w:t>
      </w:r>
      <w:r w:rsidR="001E737D" w:rsidRPr="00C04588">
        <w:rPr>
          <w:sz w:val="28"/>
          <w:szCs w:val="28"/>
        </w:rPr>
        <w:t>Luis Fernando Mejía Alzate</w:t>
      </w:r>
      <w:r w:rsidR="001E737D" w:rsidRPr="00C04588">
        <w:rPr>
          <w:rStyle w:val="Refdenotaalpie"/>
          <w:sz w:val="28"/>
          <w:szCs w:val="28"/>
        </w:rPr>
        <w:footnoteReference w:id="35"/>
      </w:r>
      <w:r w:rsidR="001E737D" w:rsidRPr="00C04588">
        <w:rPr>
          <w:sz w:val="28"/>
          <w:szCs w:val="28"/>
        </w:rPr>
        <w:t xml:space="preserve">, de </w:t>
      </w:r>
      <w:r w:rsidR="0032507D" w:rsidRPr="00C04588">
        <w:rPr>
          <w:sz w:val="28"/>
          <w:szCs w:val="28"/>
        </w:rPr>
        <w:t>la Academia Colombiana de Jurisprudencia</w:t>
      </w:r>
      <w:r w:rsidR="00E4268F" w:rsidRPr="00C04588">
        <w:rPr>
          <w:rStyle w:val="Refdenotaalpie"/>
          <w:sz w:val="28"/>
          <w:szCs w:val="28"/>
        </w:rPr>
        <w:footnoteReference w:id="36"/>
      </w:r>
      <w:r w:rsidR="00F071FD" w:rsidRPr="00C04588">
        <w:rPr>
          <w:sz w:val="28"/>
          <w:szCs w:val="28"/>
        </w:rPr>
        <w:t>, del Instituto Colombiano de Derecho Tributario y Aduanero – ICDT</w:t>
      </w:r>
      <w:r w:rsidR="00F071FD" w:rsidRPr="00C04588">
        <w:rPr>
          <w:rStyle w:val="Refdenotaalpie"/>
          <w:sz w:val="28"/>
          <w:szCs w:val="28"/>
        </w:rPr>
        <w:footnoteReference w:id="37"/>
      </w:r>
      <w:r w:rsidR="00F071FD" w:rsidRPr="00C04588">
        <w:rPr>
          <w:sz w:val="28"/>
          <w:szCs w:val="28"/>
        </w:rPr>
        <w:t xml:space="preserve"> </w:t>
      </w:r>
      <w:r w:rsidR="0032507D" w:rsidRPr="00C04588">
        <w:rPr>
          <w:sz w:val="28"/>
          <w:szCs w:val="28"/>
        </w:rPr>
        <w:t>y de la Defensoría del Pueblo</w:t>
      </w:r>
      <w:r w:rsidR="00E4268F" w:rsidRPr="00C04588">
        <w:rPr>
          <w:rStyle w:val="Refdenotaalpie"/>
          <w:sz w:val="28"/>
          <w:szCs w:val="28"/>
        </w:rPr>
        <w:footnoteReference w:id="38"/>
      </w:r>
      <w:r w:rsidRPr="00C04588">
        <w:rPr>
          <w:sz w:val="28"/>
          <w:szCs w:val="28"/>
        </w:rPr>
        <w:t xml:space="preserve">. </w:t>
      </w:r>
    </w:p>
    <w:p w14:paraId="4A0F2688" w14:textId="77777777" w:rsidR="00B05C8B" w:rsidRPr="00C04588" w:rsidRDefault="00B05C8B" w:rsidP="00B05C8B">
      <w:pPr>
        <w:pStyle w:val="Prrafodelista"/>
        <w:widowControl w:val="0"/>
        <w:pBdr>
          <w:top w:val="nil"/>
          <w:left w:val="nil"/>
          <w:bottom w:val="nil"/>
          <w:right w:val="nil"/>
          <w:between w:val="nil"/>
        </w:pBdr>
        <w:tabs>
          <w:tab w:val="left" w:pos="426"/>
        </w:tabs>
        <w:autoSpaceDE w:val="0"/>
        <w:autoSpaceDN w:val="0"/>
        <w:adjustRightInd w:val="0"/>
        <w:ind w:left="0"/>
        <w:contextualSpacing w:val="0"/>
        <w:jc w:val="both"/>
        <w:rPr>
          <w:sz w:val="28"/>
          <w:szCs w:val="28"/>
        </w:rPr>
      </w:pPr>
    </w:p>
    <w:p w14:paraId="29A1BF7E" w14:textId="2158B939" w:rsidR="00817F87" w:rsidRPr="00C04588" w:rsidRDefault="00CD44F7" w:rsidP="005D1E63">
      <w:pPr>
        <w:pStyle w:val="Prrafodelista"/>
        <w:widowControl w:val="0"/>
        <w:numPr>
          <w:ilvl w:val="0"/>
          <w:numId w:val="9"/>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C04588">
        <w:rPr>
          <w:sz w:val="28"/>
          <w:szCs w:val="28"/>
        </w:rPr>
        <w:t>De otra parte</w:t>
      </w:r>
      <w:r w:rsidR="00817F87" w:rsidRPr="00C04588">
        <w:rPr>
          <w:sz w:val="28"/>
          <w:szCs w:val="28"/>
        </w:rPr>
        <w:t xml:space="preserve">, </w:t>
      </w:r>
      <w:r w:rsidR="00C60120" w:rsidRPr="00C04588">
        <w:rPr>
          <w:sz w:val="28"/>
          <w:szCs w:val="28"/>
        </w:rPr>
        <w:t xml:space="preserve">previo a la </w:t>
      </w:r>
      <w:r w:rsidR="00817F87" w:rsidRPr="00C04588">
        <w:rPr>
          <w:sz w:val="28"/>
          <w:szCs w:val="28"/>
        </w:rPr>
        <w:t xml:space="preserve">fijación en lista </w:t>
      </w:r>
      <w:r w:rsidR="00C60120" w:rsidRPr="00C04588">
        <w:rPr>
          <w:sz w:val="28"/>
          <w:szCs w:val="28"/>
        </w:rPr>
        <w:t xml:space="preserve">y durante el término de la misma </w:t>
      </w:r>
      <w:r w:rsidR="00817F87" w:rsidRPr="00C04588">
        <w:rPr>
          <w:sz w:val="28"/>
          <w:szCs w:val="28"/>
        </w:rPr>
        <w:t xml:space="preserve">se recibieron las intervenciones que se </w:t>
      </w:r>
      <w:r w:rsidR="00A55E65" w:rsidRPr="00C04588">
        <w:rPr>
          <w:sz w:val="28"/>
          <w:szCs w:val="28"/>
        </w:rPr>
        <w:t xml:space="preserve">identifican </w:t>
      </w:r>
      <w:r w:rsidR="00817F87" w:rsidRPr="00C04588">
        <w:rPr>
          <w:sz w:val="28"/>
          <w:szCs w:val="28"/>
        </w:rPr>
        <w:t>en la</w:t>
      </w:r>
      <w:r w:rsidR="005E37ED" w:rsidRPr="00C04588">
        <w:rPr>
          <w:sz w:val="28"/>
          <w:szCs w:val="28"/>
        </w:rPr>
        <w:t>s</w:t>
      </w:r>
      <w:r w:rsidR="00817F87" w:rsidRPr="00C04588">
        <w:rPr>
          <w:sz w:val="28"/>
          <w:szCs w:val="28"/>
        </w:rPr>
        <w:t xml:space="preserve"> siguiente</w:t>
      </w:r>
      <w:r w:rsidR="005E37ED" w:rsidRPr="00C04588">
        <w:rPr>
          <w:sz w:val="28"/>
          <w:szCs w:val="28"/>
        </w:rPr>
        <w:t>s</w:t>
      </w:r>
      <w:r w:rsidR="00817F87" w:rsidRPr="00C04588">
        <w:rPr>
          <w:sz w:val="28"/>
          <w:szCs w:val="28"/>
        </w:rPr>
        <w:t xml:space="preserve"> tabla</w:t>
      </w:r>
      <w:r w:rsidR="005E37ED" w:rsidRPr="00C04588">
        <w:rPr>
          <w:sz w:val="28"/>
          <w:szCs w:val="28"/>
        </w:rPr>
        <w:t>s</w:t>
      </w:r>
      <w:r w:rsidR="00A12AFF" w:rsidRPr="00C04588">
        <w:rPr>
          <w:rStyle w:val="Refdenotaalpie"/>
          <w:sz w:val="28"/>
          <w:szCs w:val="28"/>
        </w:rPr>
        <w:footnoteReference w:id="39"/>
      </w:r>
      <w:r w:rsidR="00A55E65" w:rsidRPr="00C04588">
        <w:rPr>
          <w:sz w:val="28"/>
          <w:szCs w:val="28"/>
        </w:rPr>
        <w:t xml:space="preserve">. </w:t>
      </w:r>
      <w:r w:rsidR="00817F87" w:rsidRPr="00C04588">
        <w:rPr>
          <w:sz w:val="28"/>
          <w:szCs w:val="28"/>
        </w:rPr>
        <w:t xml:space="preserve"> </w:t>
      </w:r>
    </w:p>
    <w:p w14:paraId="3FFFDD9C" w14:textId="77777777" w:rsidR="00CB0172" w:rsidRPr="00C04588" w:rsidRDefault="00CB0172" w:rsidP="002F014B">
      <w:pPr>
        <w:rPr>
          <w:sz w:val="28"/>
          <w:szCs w:val="28"/>
        </w:rPr>
      </w:pPr>
    </w:p>
    <w:p w14:paraId="1D6DA8D4" w14:textId="2EBEBDD5" w:rsidR="00A55E65" w:rsidRPr="00C04588" w:rsidRDefault="00A55E65" w:rsidP="00CC4D16">
      <w:pPr>
        <w:pStyle w:val="Prrafodelista"/>
        <w:keepNext/>
        <w:keepLines/>
        <w:widowControl w:val="0"/>
        <w:jc w:val="center"/>
        <w:rPr>
          <w:i/>
          <w:sz w:val="20"/>
          <w:szCs w:val="20"/>
        </w:rPr>
      </w:pPr>
      <w:r w:rsidRPr="00C04588">
        <w:rPr>
          <w:sz w:val="20"/>
          <w:szCs w:val="20"/>
        </w:rPr>
        <w:t xml:space="preserve">Tabla </w:t>
      </w:r>
      <w:r w:rsidR="00713B5E" w:rsidRPr="00C04588">
        <w:rPr>
          <w:sz w:val="20"/>
          <w:szCs w:val="20"/>
        </w:rPr>
        <w:t>2</w:t>
      </w:r>
      <w:r w:rsidRPr="00C04588">
        <w:rPr>
          <w:sz w:val="20"/>
          <w:szCs w:val="20"/>
        </w:rPr>
        <w:t xml:space="preserve">. </w:t>
      </w:r>
      <w:r w:rsidR="005E37ED" w:rsidRPr="00C04588">
        <w:rPr>
          <w:i/>
          <w:sz w:val="20"/>
          <w:szCs w:val="20"/>
        </w:rPr>
        <w:t>Intervenciones ciudadanas</w:t>
      </w:r>
    </w:p>
    <w:tbl>
      <w:tblPr>
        <w:tblStyle w:val="Tablaconcuadrcula"/>
        <w:tblW w:w="5000" w:type="pct"/>
        <w:jc w:val="center"/>
        <w:tblLayout w:type="fixed"/>
        <w:tblLook w:val="0400" w:firstRow="0" w:lastRow="0" w:firstColumn="0" w:lastColumn="0" w:noHBand="0" w:noVBand="1"/>
      </w:tblPr>
      <w:tblGrid>
        <w:gridCol w:w="561"/>
        <w:gridCol w:w="1561"/>
        <w:gridCol w:w="1559"/>
        <w:gridCol w:w="5147"/>
      </w:tblGrid>
      <w:tr w:rsidR="00C04588" w:rsidRPr="00C04588" w14:paraId="0F0EC3C9" w14:textId="3CDBC537" w:rsidTr="009D2CD4">
        <w:trPr>
          <w:jc w:val="center"/>
        </w:trPr>
        <w:tc>
          <w:tcPr>
            <w:tcW w:w="318" w:type="pct"/>
            <w:shd w:val="clear" w:color="auto" w:fill="B8CCE4" w:themeFill="accent1" w:themeFillTint="66"/>
          </w:tcPr>
          <w:p w14:paraId="235C97F3" w14:textId="77777777" w:rsidR="00CE4609" w:rsidRPr="00C04588" w:rsidRDefault="00CE4609" w:rsidP="00CC4D16">
            <w:pPr>
              <w:keepNext/>
              <w:keepLines/>
              <w:widowControl w:val="0"/>
              <w:pBdr>
                <w:top w:val="nil"/>
                <w:left w:val="nil"/>
                <w:bottom w:val="nil"/>
                <w:right w:val="nil"/>
                <w:between w:val="nil"/>
              </w:pBdr>
              <w:tabs>
                <w:tab w:val="left" w:pos="284"/>
              </w:tabs>
              <w:jc w:val="center"/>
              <w:rPr>
                <w:b/>
                <w:sz w:val="20"/>
                <w:szCs w:val="20"/>
              </w:rPr>
            </w:pPr>
          </w:p>
        </w:tc>
        <w:tc>
          <w:tcPr>
            <w:tcW w:w="884" w:type="pct"/>
            <w:shd w:val="clear" w:color="auto" w:fill="B8CCE4" w:themeFill="accent1" w:themeFillTint="66"/>
          </w:tcPr>
          <w:p w14:paraId="1CCE31AB" w14:textId="560BF255" w:rsidR="00CE4609" w:rsidRPr="00C04588" w:rsidRDefault="00CE4609" w:rsidP="00CC4D16">
            <w:pPr>
              <w:keepNext/>
              <w:keepLines/>
              <w:widowControl w:val="0"/>
              <w:pBdr>
                <w:top w:val="nil"/>
                <w:left w:val="nil"/>
                <w:bottom w:val="nil"/>
                <w:right w:val="nil"/>
                <w:between w:val="nil"/>
              </w:pBdr>
              <w:tabs>
                <w:tab w:val="left" w:pos="284"/>
              </w:tabs>
              <w:jc w:val="center"/>
              <w:rPr>
                <w:b/>
                <w:sz w:val="20"/>
                <w:szCs w:val="20"/>
              </w:rPr>
            </w:pPr>
            <w:r w:rsidRPr="00C04588">
              <w:rPr>
                <w:b/>
                <w:sz w:val="20"/>
                <w:szCs w:val="20"/>
              </w:rPr>
              <w:t>Interviniente</w:t>
            </w:r>
          </w:p>
        </w:tc>
        <w:tc>
          <w:tcPr>
            <w:tcW w:w="883" w:type="pct"/>
            <w:shd w:val="clear" w:color="auto" w:fill="B8CCE4" w:themeFill="accent1" w:themeFillTint="66"/>
          </w:tcPr>
          <w:p w14:paraId="2D541DFA" w14:textId="77777777" w:rsidR="00CE4609" w:rsidRPr="00C04588" w:rsidRDefault="00CE4609" w:rsidP="00CC4D16">
            <w:pPr>
              <w:keepNext/>
              <w:keepLines/>
              <w:widowControl w:val="0"/>
              <w:pBdr>
                <w:top w:val="nil"/>
                <w:left w:val="nil"/>
                <w:bottom w:val="nil"/>
                <w:right w:val="nil"/>
                <w:between w:val="nil"/>
              </w:pBdr>
              <w:tabs>
                <w:tab w:val="left" w:pos="284"/>
                <w:tab w:val="left" w:pos="1380"/>
              </w:tabs>
              <w:jc w:val="center"/>
              <w:rPr>
                <w:b/>
                <w:sz w:val="20"/>
                <w:szCs w:val="20"/>
              </w:rPr>
            </w:pPr>
            <w:r w:rsidRPr="00C04588">
              <w:rPr>
                <w:b/>
                <w:sz w:val="20"/>
                <w:szCs w:val="20"/>
              </w:rPr>
              <w:t>Solicitud</w:t>
            </w:r>
          </w:p>
        </w:tc>
        <w:tc>
          <w:tcPr>
            <w:tcW w:w="2915" w:type="pct"/>
            <w:shd w:val="clear" w:color="auto" w:fill="B8CCE4" w:themeFill="accent1" w:themeFillTint="66"/>
          </w:tcPr>
          <w:p w14:paraId="56299543" w14:textId="728BC96D" w:rsidR="00CE4609" w:rsidRPr="00C04588" w:rsidRDefault="00CE4609" w:rsidP="00CC4D16">
            <w:pPr>
              <w:keepNext/>
              <w:keepLines/>
              <w:widowControl w:val="0"/>
              <w:pBdr>
                <w:top w:val="nil"/>
                <w:left w:val="nil"/>
                <w:bottom w:val="nil"/>
                <w:right w:val="nil"/>
                <w:between w:val="nil"/>
              </w:pBdr>
              <w:tabs>
                <w:tab w:val="left" w:pos="284"/>
                <w:tab w:val="left" w:pos="1380"/>
              </w:tabs>
              <w:jc w:val="center"/>
              <w:rPr>
                <w:b/>
                <w:sz w:val="20"/>
                <w:szCs w:val="20"/>
              </w:rPr>
            </w:pPr>
            <w:r w:rsidRPr="00C04588">
              <w:rPr>
                <w:b/>
                <w:sz w:val="20"/>
                <w:szCs w:val="20"/>
              </w:rPr>
              <w:t>Argumentación</w:t>
            </w:r>
          </w:p>
        </w:tc>
      </w:tr>
      <w:tr w:rsidR="00C04588" w:rsidRPr="00C04588" w14:paraId="4AC308B1" w14:textId="145013B8" w:rsidTr="009D2CD4">
        <w:trPr>
          <w:jc w:val="center"/>
        </w:trPr>
        <w:tc>
          <w:tcPr>
            <w:tcW w:w="318" w:type="pct"/>
            <w:shd w:val="clear" w:color="auto" w:fill="B8CCE4" w:themeFill="accent1" w:themeFillTint="66"/>
          </w:tcPr>
          <w:p w14:paraId="0F09AF74" w14:textId="2F6119A3" w:rsidR="00CE4609" w:rsidRPr="00C04588" w:rsidRDefault="00CE4609" w:rsidP="00513322">
            <w:pPr>
              <w:widowControl w:val="0"/>
              <w:pBdr>
                <w:top w:val="nil"/>
                <w:left w:val="nil"/>
                <w:bottom w:val="nil"/>
                <w:right w:val="nil"/>
                <w:between w:val="nil"/>
              </w:pBdr>
              <w:tabs>
                <w:tab w:val="left" w:pos="284"/>
              </w:tabs>
              <w:jc w:val="center"/>
              <w:rPr>
                <w:sz w:val="20"/>
                <w:szCs w:val="20"/>
              </w:rPr>
            </w:pPr>
            <w:r w:rsidRPr="00C04588">
              <w:rPr>
                <w:sz w:val="20"/>
                <w:szCs w:val="20"/>
              </w:rPr>
              <w:t>1.</w:t>
            </w:r>
          </w:p>
        </w:tc>
        <w:tc>
          <w:tcPr>
            <w:tcW w:w="884" w:type="pct"/>
          </w:tcPr>
          <w:p w14:paraId="44799FD4" w14:textId="323DFC6D" w:rsidR="00CE4609" w:rsidRPr="00C04588" w:rsidRDefault="00CE4609" w:rsidP="00513322">
            <w:pPr>
              <w:widowControl w:val="0"/>
              <w:pBdr>
                <w:top w:val="nil"/>
                <w:left w:val="nil"/>
                <w:bottom w:val="nil"/>
                <w:right w:val="nil"/>
                <w:between w:val="nil"/>
              </w:pBdr>
              <w:tabs>
                <w:tab w:val="left" w:pos="284"/>
              </w:tabs>
              <w:jc w:val="center"/>
              <w:rPr>
                <w:sz w:val="20"/>
                <w:szCs w:val="20"/>
              </w:rPr>
            </w:pPr>
            <w:r w:rsidRPr="00C04588">
              <w:rPr>
                <w:sz w:val="20"/>
                <w:szCs w:val="20"/>
              </w:rPr>
              <w:t>Daniel Francisco Méndez</w:t>
            </w:r>
            <w:r w:rsidRPr="00C04588">
              <w:rPr>
                <w:rStyle w:val="Refdenotaalpie"/>
                <w:sz w:val="20"/>
                <w:szCs w:val="20"/>
              </w:rPr>
              <w:footnoteReference w:id="40"/>
            </w:r>
          </w:p>
        </w:tc>
        <w:tc>
          <w:tcPr>
            <w:tcW w:w="883" w:type="pct"/>
          </w:tcPr>
          <w:p w14:paraId="08F56F7F" w14:textId="7A35242D" w:rsidR="00CE4609" w:rsidRPr="00C04588" w:rsidRDefault="00CE4609" w:rsidP="00B276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Inexequib</w:t>
            </w:r>
            <w:r w:rsidR="003765D8" w:rsidRPr="00C04588">
              <w:rPr>
                <w:sz w:val="20"/>
                <w:szCs w:val="20"/>
                <w:lang w:val="es-ES"/>
              </w:rPr>
              <w:t>le</w:t>
            </w:r>
          </w:p>
        </w:tc>
        <w:tc>
          <w:tcPr>
            <w:tcW w:w="2915" w:type="pct"/>
          </w:tcPr>
          <w:p w14:paraId="5F112E4B" w14:textId="66CCA56F" w:rsidR="00CE4609" w:rsidRPr="00C04588" w:rsidRDefault="00CE4609" w:rsidP="009D5122">
            <w:pPr>
              <w:pStyle w:val="paragraph"/>
              <w:spacing w:before="0" w:beforeAutospacing="0" w:after="0" w:afterAutospacing="0"/>
              <w:jc w:val="both"/>
              <w:textAlignment w:val="baseline"/>
              <w:rPr>
                <w:sz w:val="20"/>
                <w:szCs w:val="20"/>
              </w:rPr>
            </w:pPr>
            <w:r w:rsidRPr="00C04588">
              <w:rPr>
                <w:rStyle w:val="normaltextrun"/>
                <w:sz w:val="20"/>
                <w:szCs w:val="20"/>
              </w:rPr>
              <w:t>Señaló que la emergencia económica era inexistente</w:t>
            </w:r>
            <w:r w:rsidR="003765D8" w:rsidRPr="00C04588">
              <w:rPr>
                <w:rStyle w:val="normaltextrun"/>
                <w:sz w:val="20"/>
                <w:szCs w:val="20"/>
              </w:rPr>
              <w:t xml:space="preserve"> porque </w:t>
            </w:r>
            <w:r w:rsidRPr="00C04588">
              <w:rPr>
                <w:rStyle w:val="normaltextrun"/>
                <w:sz w:val="20"/>
                <w:szCs w:val="20"/>
              </w:rPr>
              <w:t>las dificultades fiscales eran ordinarias y previsibles. </w:t>
            </w:r>
          </w:p>
        </w:tc>
      </w:tr>
      <w:tr w:rsidR="00C04588" w:rsidRPr="00C04588" w14:paraId="12416CA7" w14:textId="3129D2C8" w:rsidTr="009D2CD4">
        <w:trPr>
          <w:jc w:val="center"/>
        </w:trPr>
        <w:tc>
          <w:tcPr>
            <w:tcW w:w="318" w:type="pct"/>
            <w:shd w:val="clear" w:color="auto" w:fill="B8CCE4" w:themeFill="accent1" w:themeFillTint="66"/>
          </w:tcPr>
          <w:p w14:paraId="7068394D" w14:textId="0A1773C9" w:rsidR="00CE4609" w:rsidRPr="00C04588" w:rsidRDefault="00CE4609" w:rsidP="00F45FDF">
            <w:pPr>
              <w:pBdr>
                <w:top w:val="nil"/>
                <w:left w:val="nil"/>
                <w:bottom w:val="nil"/>
                <w:right w:val="nil"/>
                <w:between w:val="nil"/>
              </w:pBdr>
              <w:tabs>
                <w:tab w:val="left" w:pos="284"/>
              </w:tabs>
              <w:jc w:val="center"/>
              <w:rPr>
                <w:sz w:val="20"/>
                <w:szCs w:val="20"/>
                <w:lang w:val="es-ES_tradnl"/>
              </w:rPr>
            </w:pPr>
            <w:r w:rsidRPr="00C04588">
              <w:rPr>
                <w:sz w:val="20"/>
                <w:szCs w:val="20"/>
                <w:lang w:val="es-ES_tradnl"/>
              </w:rPr>
              <w:t>2.</w:t>
            </w:r>
          </w:p>
        </w:tc>
        <w:tc>
          <w:tcPr>
            <w:tcW w:w="884" w:type="pct"/>
          </w:tcPr>
          <w:p w14:paraId="373158ED" w14:textId="019C9E0E" w:rsidR="00CE4609" w:rsidRPr="00C04588" w:rsidRDefault="00CE4609" w:rsidP="00F45FDF">
            <w:pPr>
              <w:pBdr>
                <w:top w:val="nil"/>
                <w:left w:val="nil"/>
                <w:bottom w:val="nil"/>
                <w:right w:val="nil"/>
                <w:between w:val="nil"/>
              </w:pBdr>
              <w:tabs>
                <w:tab w:val="left" w:pos="284"/>
              </w:tabs>
              <w:jc w:val="center"/>
              <w:rPr>
                <w:sz w:val="20"/>
                <w:szCs w:val="20"/>
                <w:lang w:val="es-ES_tradnl"/>
              </w:rPr>
            </w:pPr>
            <w:r w:rsidRPr="00C04588">
              <w:rPr>
                <w:sz w:val="20"/>
                <w:szCs w:val="20"/>
                <w:lang w:val="es-ES_tradnl"/>
              </w:rPr>
              <w:t>Didiam Arturo Ramírez Cárdenas</w:t>
            </w:r>
            <w:r w:rsidRPr="00C04588">
              <w:rPr>
                <w:rStyle w:val="Refdenotaalpie"/>
                <w:sz w:val="20"/>
                <w:szCs w:val="20"/>
                <w:lang w:val="es-ES_tradnl"/>
              </w:rPr>
              <w:footnoteReference w:id="41"/>
            </w:r>
          </w:p>
        </w:tc>
        <w:tc>
          <w:tcPr>
            <w:tcW w:w="883" w:type="pct"/>
          </w:tcPr>
          <w:p w14:paraId="7B2D41C7" w14:textId="30440ACE"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Inexequi</w:t>
            </w:r>
            <w:r w:rsidR="003765D8" w:rsidRPr="00C04588">
              <w:rPr>
                <w:sz w:val="20"/>
                <w:szCs w:val="20"/>
                <w:lang w:val="es-ES"/>
              </w:rPr>
              <w:t>ble</w:t>
            </w:r>
          </w:p>
        </w:tc>
        <w:tc>
          <w:tcPr>
            <w:tcW w:w="2915" w:type="pct"/>
          </w:tcPr>
          <w:p w14:paraId="2C880CD6" w14:textId="2B48B029" w:rsidR="00CE4609" w:rsidRPr="00C04588" w:rsidRDefault="009D5122" w:rsidP="009D5122">
            <w:pPr>
              <w:jc w:val="both"/>
              <w:rPr>
                <w:sz w:val="20"/>
                <w:szCs w:val="20"/>
              </w:rPr>
            </w:pPr>
            <w:r w:rsidRPr="00C04588">
              <w:rPr>
                <w:rStyle w:val="normaltextrun"/>
                <w:sz w:val="20"/>
                <w:szCs w:val="20"/>
                <w:shd w:val="clear" w:color="auto" w:fill="FFFFFF"/>
              </w:rPr>
              <w:t xml:space="preserve">Indicó que el DL1474 no pretende evitar una crisis concreta sino corregir de manera permanente deficiencias estructurales de planeación fiscal, lo que genera impactos económicos que trascienden la vigencia de la emergencia. </w:t>
            </w:r>
          </w:p>
        </w:tc>
      </w:tr>
      <w:tr w:rsidR="00C04588" w:rsidRPr="00C04588" w14:paraId="1B2F2345" w14:textId="7A6140D6" w:rsidTr="009D2CD4">
        <w:trPr>
          <w:jc w:val="center"/>
        </w:trPr>
        <w:tc>
          <w:tcPr>
            <w:tcW w:w="318" w:type="pct"/>
            <w:shd w:val="clear" w:color="auto" w:fill="B8CCE4" w:themeFill="accent1" w:themeFillTint="66"/>
          </w:tcPr>
          <w:p w14:paraId="5329D5A2" w14:textId="61242C89" w:rsidR="00CE4609" w:rsidRPr="00C04588" w:rsidRDefault="00CE4609" w:rsidP="00F45FDF">
            <w:pPr>
              <w:pBdr>
                <w:top w:val="nil"/>
                <w:left w:val="nil"/>
                <w:bottom w:val="nil"/>
                <w:right w:val="nil"/>
                <w:between w:val="nil"/>
              </w:pBdr>
              <w:tabs>
                <w:tab w:val="left" w:pos="284"/>
              </w:tabs>
              <w:jc w:val="center"/>
              <w:rPr>
                <w:sz w:val="20"/>
                <w:szCs w:val="20"/>
              </w:rPr>
            </w:pPr>
            <w:r w:rsidRPr="00C04588">
              <w:rPr>
                <w:sz w:val="20"/>
                <w:szCs w:val="20"/>
              </w:rPr>
              <w:t>3.</w:t>
            </w:r>
          </w:p>
        </w:tc>
        <w:tc>
          <w:tcPr>
            <w:tcW w:w="884" w:type="pct"/>
          </w:tcPr>
          <w:p w14:paraId="72F1F1CC" w14:textId="29ADFE23" w:rsidR="00CE4609" w:rsidRPr="00C04588" w:rsidRDefault="00CE4609" w:rsidP="00F45FDF">
            <w:pPr>
              <w:pBdr>
                <w:top w:val="nil"/>
                <w:left w:val="nil"/>
                <w:bottom w:val="nil"/>
                <w:right w:val="nil"/>
                <w:between w:val="nil"/>
              </w:pBdr>
              <w:tabs>
                <w:tab w:val="left" w:pos="284"/>
              </w:tabs>
              <w:jc w:val="center"/>
              <w:rPr>
                <w:sz w:val="20"/>
                <w:szCs w:val="20"/>
              </w:rPr>
            </w:pPr>
            <w:r w:rsidRPr="00C04588">
              <w:rPr>
                <w:sz w:val="20"/>
                <w:szCs w:val="20"/>
              </w:rPr>
              <w:t xml:space="preserve">Gina Paola Vásquez </w:t>
            </w:r>
            <w:r w:rsidRPr="00C04588">
              <w:rPr>
                <w:rStyle w:val="Refdenotaalpie"/>
                <w:sz w:val="20"/>
                <w:szCs w:val="20"/>
              </w:rPr>
              <w:footnoteReference w:id="42"/>
            </w:r>
          </w:p>
        </w:tc>
        <w:tc>
          <w:tcPr>
            <w:tcW w:w="883" w:type="pct"/>
          </w:tcPr>
          <w:p w14:paraId="46D6029D" w14:textId="6346CB4C"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No precisó</w:t>
            </w:r>
          </w:p>
        </w:tc>
        <w:tc>
          <w:tcPr>
            <w:tcW w:w="2915" w:type="pct"/>
          </w:tcPr>
          <w:p w14:paraId="00013C72" w14:textId="07BE7A2F" w:rsidR="00CE4609" w:rsidRPr="00C04588" w:rsidRDefault="00231874" w:rsidP="00F45F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Expresó que el DL1474 afecta de manera directa su actividad económica de comercialización de sabajón</w:t>
            </w:r>
            <w:r w:rsidR="002C7645" w:rsidRPr="00C04588">
              <w:rPr>
                <w:sz w:val="20"/>
                <w:szCs w:val="20"/>
              </w:rPr>
              <w:t xml:space="preserve">. </w:t>
            </w:r>
          </w:p>
        </w:tc>
      </w:tr>
      <w:tr w:rsidR="00C04588" w:rsidRPr="00C04588" w14:paraId="431AD8C3" w14:textId="4A7887B4" w:rsidTr="009D2CD4">
        <w:trPr>
          <w:jc w:val="center"/>
        </w:trPr>
        <w:tc>
          <w:tcPr>
            <w:tcW w:w="318" w:type="pct"/>
            <w:shd w:val="clear" w:color="auto" w:fill="B8CCE4" w:themeFill="accent1" w:themeFillTint="66"/>
          </w:tcPr>
          <w:p w14:paraId="16A4F0A3" w14:textId="3B8C78D0"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4.</w:t>
            </w:r>
          </w:p>
        </w:tc>
        <w:tc>
          <w:tcPr>
            <w:tcW w:w="884" w:type="pct"/>
          </w:tcPr>
          <w:p w14:paraId="7A68C68F" w14:textId="06F596C0" w:rsidR="00CE4609" w:rsidRPr="00C04588" w:rsidRDefault="00CE4609" w:rsidP="00B05C8B">
            <w:pPr>
              <w:widowControl w:val="0"/>
              <w:pBdr>
                <w:top w:val="nil"/>
                <w:left w:val="nil"/>
                <w:bottom w:val="nil"/>
                <w:right w:val="nil"/>
                <w:between w:val="nil"/>
              </w:pBdr>
              <w:tabs>
                <w:tab w:val="left" w:pos="284"/>
              </w:tabs>
              <w:jc w:val="center"/>
              <w:rPr>
                <w:sz w:val="20"/>
                <w:szCs w:val="20"/>
              </w:rPr>
            </w:pPr>
            <w:r w:rsidRPr="00C04588">
              <w:rPr>
                <w:sz w:val="20"/>
                <w:szCs w:val="20"/>
              </w:rPr>
              <w:t>Jaime Antonio Garcés Quijano</w:t>
            </w:r>
            <w:r w:rsidRPr="00C04588">
              <w:rPr>
                <w:rStyle w:val="Refdenotaalpie"/>
                <w:sz w:val="20"/>
                <w:szCs w:val="20"/>
              </w:rPr>
              <w:footnoteReference w:id="43"/>
            </w:r>
          </w:p>
        </w:tc>
        <w:tc>
          <w:tcPr>
            <w:tcW w:w="883" w:type="pct"/>
          </w:tcPr>
          <w:p w14:paraId="20965A81" w14:textId="28C51CEE" w:rsidR="00CE4609" w:rsidRPr="00C04588" w:rsidRDefault="00CE4609" w:rsidP="00B05C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w:t>
            </w:r>
            <w:r w:rsidR="003765D8" w:rsidRPr="00C04588">
              <w:rPr>
                <w:sz w:val="20"/>
                <w:szCs w:val="20"/>
                <w:lang w:val="es-ES"/>
              </w:rPr>
              <w:t>ble</w:t>
            </w:r>
          </w:p>
        </w:tc>
        <w:tc>
          <w:tcPr>
            <w:tcW w:w="2915" w:type="pct"/>
          </w:tcPr>
          <w:p w14:paraId="0CFAD744" w14:textId="1E9AE5BF" w:rsidR="00CE4609" w:rsidRPr="00C04588" w:rsidRDefault="00231874" w:rsidP="00B05C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Indicó que las medidas tributarias tienen el fin de resolver un déficit fiscal previsible </w:t>
            </w:r>
            <w:r w:rsidR="001F7721" w:rsidRPr="00C04588">
              <w:rPr>
                <w:sz w:val="20"/>
                <w:szCs w:val="20"/>
              </w:rPr>
              <w:t xml:space="preserve">para </w:t>
            </w:r>
            <w:r w:rsidRPr="00C04588">
              <w:rPr>
                <w:sz w:val="20"/>
                <w:szCs w:val="20"/>
              </w:rPr>
              <w:t xml:space="preserve">el </w:t>
            </w:r>
            <w:r w:rsidR="003765D8" w:rsidRPr="00C04588">
              <w:rPr>
                <w:sz w:val="20"/>
                <w:szCs w:val="20"/>
              </w:rPr>
              <w:t>g</w:t>
            </w:r>
            <w:r w:rsidRPr="00C04588">
              <w:rPr>
                <w:sz w:val="20"/>
                <w:szCs w:val="20"/>
              </w:rPr>
              <w:t>obierno nacional</w:t>
            </w:r>
            <w:r w:rsidR="002C7645" w:rsidRPr="00C04588">
              <w:rPr>
                <w:sz w:val="20"/>
                <w:szCs w:val="20"/>
              </w:rPr>
              <w:t xml:space="preserve">. </w:t>
            </w:r>
            <w:r w:rsidRPr="00C04588">
              <w:rPr>
                <w:sz w:val="20"/>
                <w:szCs w:val="20"/>
              </w:rPr>
              <w:t>Adicionalmente, señaló que el DL1474 tiene vocación de permanencia lo que desconoce el carácter temporal del estado de emergencia</w:t>
            </w:r>
            <w:r w:rsidR="002C7645" w:rsidRPr="00C04588">
              <w:rPr>
                <w:sz w:val="20"/>
                <w:szCs w:val="20"/>
              </w:rPr>
              <w:t>.</w:t>
            </w:r>
          </w:p>
        </w:tc>
      </w:tr>
      <w:tr w:rsidR="00C04588" w:rsidRPr="00C04588" w14:paraId="6C0309B2" w14:textId="0E2108FF" w:rsidTr="009D2CD4">
        <w:trPr>
          <w:jc w:val="center"/>
        </w:trPr>
        <w:tc>
          <w:tcPr>
            <w:tcW w:w="318" w:type="pct"/>
            <w:shd w:val="clear" w:color="auto" w:fill="B8CCE4" w:themeFill="accent1" w:themeFillTint="66"/>
          </w:tcPr>
          <w:p w14:paraId="15F2150A" w14:textId="027D95CA"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5.</w:t>
            </w:r>
          </w:p>
        </w:tc>
        <w:tc>
          <w:tcPr>
            <w:tcW w:w="884" w:type="pct"/>
          </w:tcPr>
          <w:p w14:paraId="77FA78C5" w14:textId="50B0491F"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Julio Alejandro Molano Kishel</w:t>
            </w:r>
            <w:r w:rsidRPr="00C04588">
              <w:rPr>
                <w:rStyle w:val="Refdenotaalpie"/>
                <w:sz w:val="20"/>
                <w:szCs w:val="20"/>
              </w:rPr>
              <w:footnoteReference w:id="44"/>
            </w:r>
          </w:p>
        </w:tc>
        <w:tc>
          <w:tcPr>
            <w:tcW w:w="883" w:type="pct"/>
          </w:tcPr>
          <w:p w14:paraId="5EF805CA" w14:textId="50C9A835" w:rsidR="00CE4609" w:rsidRPr="00C04588" w:rsidRDefault="00CE4609" w:rsidP="002106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Inexequibilidad de los artículos 1° y 15 del DL1474</w:t>
            </w:r>
          </w:p>
        </w:tc>
        <w:tc>
          <w:tcPr>
            <w:tcW w:w="2915" w:type="pct"/>
          </w:tcPr>
          <w:p w14:paraId="2462E871" w14:textId="2F7389A4" w:rsidR="00CE4609" w:rsidRPr="00C04588" w:rsidRDefault="00231874" w:rsidP="002106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Estimó que </w:t>
            </w:r>
            <w:r w:rsidR="002C7645" w:rsidRPr="00C04588">
              <w:rPr>
                <w:sz w:val="20"/>
                <w:szCs w:val="20"/>
              </w:rPr>
              <w:t xml:space="preserve">los artículos 1° y 15 imponen cargas tributarias desproporcionadas, encarece los licores y </w:t>
            </w:r>
            <w:r w:rsidRPr="00C04588">
              <w:rPr>
                <w:sz w:val="20"/>
                <w:szCs w:val="20"/>
              </w:rPr>
              <w:t>disminuye el recaudo departamental por este concepto.</w:t>
            </w:r>
          </w:p>
        </w:tc>
      </w:tr>
      <w:tr w:rsidR="00C04588" w:rsidRPr="00C04588" w14:paraId="7734E85F" w14:textId="017C0DAC" w:rsidTr="009D2CD4">
        <w:tblPrEx>
          <w:jc w:val="left"/>
          <w:tblLook w:val="04A0" w:firstRow="1" w:lastRow="0" w:firstColumn="1" w:lastColumn="0" w:noHBand="0" w:noVBand="1"/>
        </w:tblPrEx>
        <w:tc>
          <w:tcPr>
            <w:tcW w:w="318" w:type="pct"/>
            <w:shd w:val="clear" w:color="auto" w:fill="B8CCE4" w:themeFill="accent1" w:themeFillTint="66"/>
          </w:tcPr>
          <w:p w14:paraId="29707294" w14:textId="31E9F673"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6.</w:t>
            </w:r>
          </w:p>
        </w:tc>
        <w:tc>
          <w:tcPr>
            <w:tcW w:w="884" w:type="pct"/>
          </w:tcPr>
          <w:p w14:paraId="5E579284" w14:textId="031DCDE5" w:rsidR="00CE4609" w:rsidRPr="00C04588" w:rsidRDefault="00CE4609" w:rsidP="00AF31E6">
            <w:pPr>
              <w:widowControl w:val="0"/>
              <w:pBdr>
                <w:top w:val="nil"/>
                <w:left w:val="nil"/>
                <w:bottom w:val="nil"/>
                <w:right w:val="nil"/>
                <w:between w:val="nil"/>
              </w:pBdr>
              <w:tabs>
                <w:tab w:val="left" w:pos="284"/>
              </w:tabs>
              <w:jc w:val="center"/>
              <w:rPr>
                <w:sz w:val="20"/>
                <w:szCs w:val="20"/>
              </w:rPr>
            </w:pPr>
            <w:r w:rsidRPr="00C04588">
              <w:rPr>
                <w:sz w:val="20"/>
                <w:szCs w:val="20"/>
              </w:rPr>
              <w:t>Demian Felipe Gamboa Soler</w:t>
            </w:r>
            <w:r w:rsidRPr="00C04588">
              <w:rPr>
                <w:rStyle w:val="Refdenotaalpie"/>
                <w:sz w:val="20"/>
                <w:szCs w:val="20"/>
              </w:rPr>
              <w:footnoteReference w:id="45"/>
            </w:r>
          </w:p>
        </w:tc>
        <w:tc>
          <w:tcPr>
            <w:tcW w:w="883" w:type="pct"/>
          </w:tcPr>
          <w:p w14:paraId="609CB768" w14:textId="76485AA0" w:rsidR="00CE4609" w:rsidRPr="00C04588" w:rsidRDefault="00CE4609" w:rsidP="00AF31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Inexequibilidad del artículo 3° del DL1474</w:t>
            </w:r>
          </w:p>
        </w:tc>
        <w:tc>
          <w:tcPr>
            <w:tcW w:w="2915" w:type="pct"/>
          </w:tcPr>
          <w:p w14:paraId="0F253210" w14:textId="17BD19D1" w:rsidR="00231874" w:rsidRPr="00C04588" w:rsidRDefault="00231874" w:rsidP="00AF31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Consideró que la medida no fomentaba el crecimiento económico y se convertía en una barrera de acceso comercial</w:t>
            </w:r>
            <w:r w:rsidR="002C7645" w:rsidRPr="00C04588">
              <w:rPr>
                <w:sz w:val="20"/>
                <w:szCs w:val="20"/>
              </w:rPr>
              <w:t xml:space="preserve">. </w:t>
            </w:r>
          </w:p>
        </w:tc>
      </w:tr>
      <w:tr w:rsidR="00C04588" w:rsidRPr="00C04588" w14:paraId="739DA29F" w14:textId="20FE5A98" w:rsidTr="009D2CD4">
        <w:tblPrEx>
          <w:jc w:val="left"/>
          <w:tblLook w:val="04A0" w:firstRow="1" w:lastRow="0" w:firstColumn="1" w:lastColumn="0" w:noHBand="0" w:noVBand="1"/>
        </w:tblPrEx>
        <w:tc>
          <w:tcPr>
            <w:tcW w:w="318" w:type="pct"/>
            <w:shd w:val="clear" w:color="auto" w:fill="B8CCE4" w:themeFill="accent1" w:themeFillTint="66"/>
          </w:tcPr>
          <w:p w14:paraId="44CE5652" w14:textId="6077D1F7"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7.</w:t>
            </w:r>
          </w:p>
        </w:tc>
        <w:tc>
          <w:tcPr>
            <w:tcW w:w="884" w:type="pct"/>
          </w:tcPr>
          <w:p w14:paraId="43C36B50" w14:textId="59E86DEF" w:rsidR="00CE4609" w:rsidRPr="00C04588" w:rsidRDefault="00CE4609" w:rsidP="00AF31E6">
            <w:pPr>
              <w:widowControl w:val="0"/>
              <w:pBdr>
                <w:top w:val="nil"/>
                <w:left w:val="nil"/>
                <w:bottom w:val="nil"/>
                <w:right w:val="nil"/>
                <w:between w:val="nil"/>
              </w:pBdr>
              <w:tabs>
                <w:tab w:val="left" w:pos="284"/>
              </w:tabs>
              <w:jc w:val="center"/>
              <w:rPr>
                <w:sz w:val="20"/>
                <w:szCs w:val="20"/>
              </w:rPr>
            </w:pPr>
            <w:r w:rsidRPr="00C04588">
              <w:rPr>
                <w:sz w:val="20"/>
                <w:szCs w:val="20"/>
              </w:rPr>
              <w:t>Elkin Darío Meriño</w:t>
            </w:r>
            <w:r w:rsidRPr="00C04588">
              <w:rPr>
                <w:rStyle w:val="Refdenotaalpie"/>
                <w:sz w:val="20"/>
                <w:szCs w:val="20"/>
              </w:rPr>
              <w:footnoteReference w:id="46"/>
            </w:r>
          </w:p>
        </w:tc>
        <w:tc>
          <w:tcPr>
            <w:tcW w:w="883" w:type="pct"/>
          </w:tcPr>
          <w:p w14:paraId="3AF8BDFF" w14:textId="6AB6FCB7" w:rsidR="00CE4609" w:rsidRPr="00C04588" w:rsidRDefault="00CE4609" w:rsidP="00AF31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3765D8" w:rsidRPr="00C04588">
              <w:rPr>
                <w:sz w:val="20"/>
                <w:szCs w:val="20"/>
              </w:rPr>
              <w:t>le</w:t>
            </w:r>
          </w:p>
        </w:tc>
        <w:tc>
          <w:tcPr>
            <w:tcW w:w="2915" w:type="pct"/>
          </w:tcPr>
          <w:p w14:paraId="58E642D6" w14:textId="53061E83" w:rsidR="00CE4609" w:rsidRPr="00C04588" w:rsidRDefault="00C5338A" w:rsidP="00AF31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0"/>
                <w:szCs w:val="20"/>
              </w:rPr>
            </w:pPr>
            <w:r w:rsidRPr="00C04588">
              <w:rPr>
                <w:sz w:val="20"/>
                <w:szCs w:val="20"/>
              </w:rPr>
              <w:t>Indicó que las medidas adoptadas no guardan un vínculo directo e inmediato con los hechos que originaron la declaratoria del estado de emergencia</w:t>
            </w:r>
            <w:r w:rsidR="002C7645" w:rsidRPr="00C04588">
              <w:rPr>
                <w:sz w:val="20"/>
                <w:szCs w:val="20"/>
              </w:rPr>
              <w:t xml:space="preserve">. </w:t>
            </w:r>
            <w:r w:rsidRPr="00C04588">
              <w:rPr>
                <w:sz w:val="20"/>
                <w:szCs w:val="20"/>
              </w:rPr>
              <w:t xml:space="preserve">Asimismo, señaló que se imponen cargas tributarias excesivamente gravosas para ciertos sectores económicos y contribuyentes que, incluso, resultan confiscatorias. </w:t>
            </w:r>
          </w:p>
        </w:tc>
      </w:tr>
      <w:tr w:rsidR="00C04588" w:rsidRPr="00C04588" w14:paraId="7ACE7D02" w14:textId="149EE420" w:rsidTr="009D2CD4">
        <w:tblPrEx>
          <w:jc w:val="left"/>
          <w:tblLook w:val="04A0" w:firstRow="1" w:lastRow="0" w:firstColumn="1" w:lastColumn="0" w:noHBand="0" w:noVBand="1"/>
        </w:tblPrEx>
        <w:tc>
          <w:tcPr>
            <w:tcW w:w="318" w:type="pct"/>
            <w:shd w:val="clear" w:color="auto" w:fill="B8CCE4" w:themeFill="accent1" w:themeFillTint="66"/>
          </w:tcPr>
          <w:p w14:paraId="340F2E20" w14:textId="0A75DAC7"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8.</w:t>
            </w:r>
          </w:p>
        </w:tc>
        <w:tc>
          <w:tcPr>
            <w:tcW w:w="884" w:type="pct"/>
          </w:tcPr>
          <w:p w14:paraId="01749671" w14:textId="3AD2623A"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Andrés Leonardo Pineda Rodríguez</w:t>
            </w:r>
            <w:r w:rsidRPr="00C04588">
              <w:rPr>
                <w:rStyle w:val="Refdenotaalpie"/>
                <w:sz w:val="20"/>
                <w:szCs w:val="20"/>
              </w:rPr>
              <w:footnoteReference w:id="47"/>
            </w:r>
          </w:p>
        </w:tc>
        <w:tc>
          <w:tcPr>
            <w:tcW w:w="883" w:type="pct"/>
          </w:tcPr>
          <w:p w14:paraId="70BC1715" w14:textId="488375BB"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 xml:space="preserve">Inexequibilidad de los artículos 1° y 3° </w:t>
            </w:r>
            <w:r w:rsidRPr="00C04588">
              <w:rPr>
                <w:sz w:val="20"/>
                <w:szCs w:val="20"/>
              </w:rPr>
              <w:t>del DL1474</w:t>
            </w:r>
          </w:p>
        </w:tc>
        <w:tc>
          <w:tcPr>
            <w:tcW w:w="2915" w:type="pct"/>
          </w:tcPr>
          <w:p w14:paraId="2EA24949" w14:textId="0909E1D5" w:rsidR="00CE4609" w:rsidRPr="00C04588" w:rsidRDefault="002C7645" w:rsidP="00C533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A</w:t>
            </w:r>
            <w:r w:rsidR="00C5338A" w:rsidRPr="00C04588">
              <w:rPr>
                <w:sz w:val="20"/>
                <w:szCs w:val="20"/>
              </w:rPr>
              <w:t xml:space="preserve">firmó que el </w:t>
            </w:r>
            <w:r w:rsidR="003765D8" w:rsidRPr="00C04588">
              <w:rPr>
                <w:sz w:val="20"/>
                <w:szCs w:val="20"/>
              </w:rPr>
              <w:t>g</w:t>
            </w:r>
            <w:r w:rsidR="00C5338A" w:rsidRPr="00C04588">
              <w:rPr>
                <w:sz w:val="20"/>
                <w:szCs w:val="20"/>
              </w:rPr>
              <w:t>obierno nacional excedió su competencia al establecer cargas tributarias que no guardan relación con las causas que motivaron la declaratoria del estado de emergencia económica y social.</w:t>
            </w:r>
          </w:p>
        </w:tc>
      </w:tr>
      <w:tr w:rsidR="00C04588" w:rsidRPr="00C04588" w14:paraId="6A95C073" w14:textId="22E24F10" w:rsidTr="009D2CD4">
        <w:tblPrEx>
          <w:jc w:val="left"/>
          <w:tblLook w:val="04A0" w:firstRow="1" w:lastRow="0" w:firstColumn="1" w:lastColumn="0" w:noHBand="0" w:noVBand="1"/>
        </w:tblPrEx>
        <w:tc>
          <w:tcPr>
            <w:tcW w:w="318" w:type="pct"/>
            <w:shd w:val="clear" w:color="auto" w:fill="B8CCE4" w:themeFill="accent1" w:themeFillTint="66"/>
          </w:tcPr>
          <w:p w14:paraId="76A46D5D" w14:textId="27115B09"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9.</w:t>
            </w:r>
          </w:p>
        </w:tc>
        <w:tc>
          <w:tcPr>
            <w:tcW w:w="884" w:type="pct"/>
          </w:tcPr>
          <w:p w14:paraId="5E9EAF2F" w14:textId="45696069"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Francisco Alfredo Arango Vergara y Daniel Camilo Arango Calixto</w:t>
            </w:r>
            <w:r w:rsidRPr="00C04588">
              <w:rPr>
                <w:rStyle w:val="Refdenotaalpie"/>
                <w:sz w:val="20"/>
                <w:szCs w:val="20"/>
              </w:rPr>
              <w:footnoteReference w:id="48"/>
            </w:r>
          </w:p>
        </w:tc>
        <w:tc>
          <w:tcPr>
            <w:tcW w:w="883" w:type="pct"/>
          </w:tcPr>
          <w:p w14:paraId="08B388DA" w14:textId="0BE76E69"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Exequibilidad del artículo 14 del DL1474</w:t>
            </w:r>
          </w:p>
        </w:tc>
        <w:tc>
          <w:tcPr>
            <w:tcW w:w="2915" w:type="pct"/>
          </w:tcPr>
          <w:p w14:paraId="5EFFCE9C" w14:textId="5B296AB0" w:rsidR="00CE4609" w:rsidRPr="00C04588" w:rsidRDefault="00371901" w:rsidP="003719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_tradnl" w:eastAsia="es-CO"/>
              </w:rPr>
            </w:pPr>
            <w:r w:rsidRPr="00C04588">
              <w:rPr>
                <w:sz w:val="20"/>
                <w:szCs w:val="20"/>
              </w:rPr>
              <w:t xml:space="preserve">Señalaron que el artículo 14 respeta el </w:t>
            </w:r>
            <w:r w:rsidRPr="00C04588">
              <w:rPr>
                <w:sz w:val="20"/>
                <w:szCs w:val="20"/>
                <w:lang w:val="es-ES_tradnl" w:eastAsia="es-CO"/>
              </w:rPr>
              <w:t>régimen constitucional de propiedad estatal del subsuelo y de los recursos naturales no renovables. Asimismo, restablece la integridad material del sistema constitucional de regalías</w:t>
            </w:r>
            <w:r w:rsidR="007470DD" w:rsidRPr="00C04588">
              <w:rPr>
                <w:sz w:val="20"/>
                <w:szCs w:val="20"/>
                <w:lang w:val="es-ES_tradnl" w:eastAsia="es-CO"/>
              </w:rPr>
              <w:t xml:space="preserve"> y protege la </w:t>
            </w:r>
            <w:r w:rsidRPr="00C04588">
              <w:rPr>
                <w:sz w:val="20"/>
                <w:szCs w:val="20"/>
                <w:lang w:val="es-ES_tradnl" w:eastAsia="es-CO"/>
              </w:rPr>
              <w:t>soberanía</w:t>
            </w:r>
            <w:r w:rsidR="007470DD" w:rsidRPr="00C04588">
              <w:rPr>
                <w:sz w:val="20"/>
                <w:szCs w:val="20"/>
                <w:lang w:val="es-ES_tradnl" w:eastAsia="es-CO"/>
              </w:rPr>
              <w:t xml:space="preserve"> y </w:t>
            </w:r>
            <w:r w:rsidRPr="00C04588">
              <w:rPr>
                <w:sz w:val="20"/>
                <w:szCs w:val="20"/>
                <w:lang w:val="es-ES_tradnl" w:eastAsia="es-CO"/>
              </w:rPr>
              <w:t>las riquezas</w:t>
            </w:r>
            <w:r w:rsidR="007470DD" w:rsidRPr="00C04588">
              <w:rPr>
                <w:sz w:val="20"/>
                <w:szCs w:val="20"/>
                <w:lang w:val="es-ES_tradnl" w:eastAsia="es-CO"/>
              </w:rPr>
              <w:t xml:space="preserve"> </w:t>
            </w:r>
            <w:r w:rsidRPr="00C04588">
              <w:rPr>
                <w:sz w:val="20"/>
                <w:szCs w:val="20"/>
                <w:lang w:val="es-ES_tradnl" w:eastAsia="es-CO"/>
              </w:rPr>
              <w:t>naturales</w:t>
            </w:r>
            <w:r w:rsidR="007470DD" w:rsidRPr="00C04588">
              <w:rPr>
                <w:sz w:val="20"/>
                <w:szCs w:val="20"/>
                <w:lang w:val="es-ES_tradnl" w:eastAsia="es-CO"/>
              </w:rPr>
              <w:t xml:space="preserve"> del Estado. </w:t>
            </w:r>
          </w:p>
        </w:tc>
      </w:tr>
      <w:tr w:rsidR="00C04588" w:rsidRPr="00C04588" w14:paraId="2C567C22" w14:textId="16A6208C" w:rsidTr="009D2CD4">
        <w:tblPrEx>
          <w:jc w:val="left"/>
          <w:tblLook w:val="04A0" w:firstRow="1" w:lastRow="0" w:firstColumn="1" w:lastColumn="0" w:noHBand="0" w:noVBand="1"/>
        </w:tblPrEx>
        <w:tc>
          <w:tcPr>
            <w:tcW w:w="318" w:type="pct"/>
            <w:shd w:val="clear" w:color="auto" w:fill="B8CCE4" w:themeFill="accent1" w:themeFillTint="66"/>
          </w:tcPr>
          <w:p w14:paraId="5172AA62" w14:textId="21776471"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10.</w:t>
            </w:r>
          </w:p>
        </w:tc>
        <w:tc>
          <w:tcPr>
            <w:tcW w:w="884" w:type="pct"/>
          </w:tcPr>
          <w:p w14:paraId="0E04F0E5" w14:textId="1D048518"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Pedro Yoajim Salazar Pinto</w:t>
            </w:r>
            <w:r w:rsidRPr="00C04588">
              <w:rPr>
                <w:rStyle w:val="Refdenotaalpie"/>
                <w:sz w:val="20"/>
                <w:szCs w:val="20"/>
              </w:rPr>
              <w:footnoteReference w:id="49"/>
            </w:r>
          </w:p>
        </w:tc>
        <w:tc>
          <w:tcPr>
            <w:tcW w:w="883" w:type="pct"/>
          </w:tcPr>
          <w:p w14:paraId="6E9A30FE" w14:textId="0BF9412E"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w:t>
            </w:r>
            <w:r w:rsidR="003765D8" w:rsidRPr="00C04588">
              <w:rPr>
                <w:sz w:val="20"/>
                <w:szCs w:val="20"/>
              </w:rPr>
              <w:t>ble</w:t>
            </w:r>
          </w:p>
        </w:tc>
        <w:tc>
          <w:tcPr>
            <w:tcW w:w="2915" w:type="pct"/>
          </w:tcPr>
          <w:p w14:paraId="7E3B6795" w14:textId="65B0340A" w:rsidR="00CE4609" w:rsidRPr="00C04588" w:rsidRDefault="00C5338A" w:rsidP="00C533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Indicó que </w:t>
            </w:r>
            <w:r w:rsidR="002C7645" w:rsidRPr="00C04588">
              <w:rPr>
                <w:sz w:val="20"/>
                <w:szCs w:val="20"/>
              </w:rPr>
              <w:t xml:space="preserve">se </w:t>
            </w:r>
            <w:r w:rsidRPr="00C04588">
              <w:rPr>
                <w:sz w:val="20"/>
                <w:szCs w:val="20"/>
              </w:rPr>
              <w:t>introducen regulaciones</w:t>
            </w:r>
            <w:r w:rsidR="002C7645" w:rsidRPr="00C04588">
              <w:rPr>
                <w:sz w:val="20"/>
                <w:szCs w:val="20"/>
              </w:rPr>
              <w:t xml:space="preserve"> tributarias</w:t>
            </w:r>
            <w:r w:rsidRPr="00C04588">
              <w:rPr>
                <w:sz w:val="20"/>
                <w:szCs w:val="20"/>
              </w:rPr>
              <w:t xml:space="preserve"> autónomas, completas y estructurales, propias de la legislación ordinaria</w:t>
            </w:r>
            <w:r w:rsidR="002C7645" w:rsidRPr="00C04588">
              <w:rPr>
                <w:sz w:val="20"/>
                <w:szCs w:val="20"/>
              </w:rPr>
              <w:t xml:space="preserve">. </w:t>
            </w:r>
          </w:p>
        </w:tc>
      </w:tr>
      <w:tr w:rsidR="00C04588" w:rsidRPr="00C04588" w14:paraId="13C74C1E" w14:textId="4801BF55" w:rsidTr="009D2CD4">
        <w:tblPrEx>
          <w:jc w:val="left"/>
          <w:tblLook w:val="04A0" w:firstRow="1" w:lastRow="0" w:firstColumn="1" w:lastColumn="0" w:noHBand="0" w:noVBand="1"/>
        </w:tblPrEx>
        <w:tc>
          <w:tcPr>
            <w:tcW w:w="318" w:type="pct"/>
            <w:shd w:val="clear" w:color="auto" w:fill="B8CCE4" w:themeFill="accent1" w:themeFillTint="66"/>
          </w:tcPr>
          <w:p w14:paraId="7996AFE3" w14:textId="01191CE0"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11.</w:t>
            </w:r>
          </w:p>
        </w:tc>
        <w:tc>
          <w:tcPr>
            <w:tcW w:w="884" w:type="pct"/>
          </w:tcPr>
          <w:p w14:paraId="0CE4E192" w14:textId="36FF4213"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Óscar Fernando Cardona Ruiz</w:t>
            </w:r>
            <w:r w:rsidRPr="00C04588">
              <w:rPr>
                <w:rStyle w:val="Refdenotaalpie"/>
                <w:sz w:val="20"/>
                <w:szCs w:val="20"/>
              </w:rPr>
              <w:footnoteReference w:id="50"/>
            </w:r>
          </w:p>
        </w:tc>
        <w:tc>
          <w:tcPr>
            <w:tcW w:w="883" w:type="pct"/>
          </w:tcPr>
          <w:p w14:paraId="43AE60E0" w14:textId="56886E2B"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No precisó</w:t>
            </w:r>
            <w:r w:rsidR="005E5D7A" w:rsidRPr="00C04588">
              <w:rPr>
                <w:sz w:val="20"/>
                <w:szCs w:val="20"/>
              </w:rPr>
              <w:t xml:space="preserve">, </w:t>
            </w:r>
            <w:r w:rsidRPr="00C04588">
              <w:rPr>
                <w:sz w:val="20"/>
                <w:szCs w:val="20"/>
              </w:rPr>
              <w:t>pero pidió que la decisión que se adopte module sus efectos temporales</w:t>
            </w:r>
          </w:p>
        </w:tc>
        <w:tc>
          <w:tcPr>
            <w:tcW w:w="2915" w:type="pct"/>
          </w:tcPr>
          <w:p w14:paraId="0615F1A1" w14:textId="37FAE255" w:rsidR="00CE4609" w:rsidRPr="00C04588" w:rsidRDefault="007470DD" w:rsidP="00713D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Solicitó que se ampare la confianza legítima de los contribuyentes que pretendieron acogerse a las normas previstas en el DL1474 sobre reducción de sanciones, conciliación y normalización, pero no les fue posible por fallas estructurales a institucionales. </w:t>
            </w:r>
          </w:p>
        </w:tc>
      </w:tr>
      <w:tr w:rsidR="00C04588" w:rsidRPr="00C04588" w14:paraId="25BD6E1C" w14:textId="12E3677C" w:rsidTr="009D2CD4">
        <w:tblPrEx>
          <w:jc w:val="left"/>
          <w:tblLook w:val="04A0" w:firstRow="1" w:lastRow="0" w:firstColumn="1" w:lastColumn="0" w:noHBand="0" w:noVBand="1"/>
        </w:tblPrEx>
        <w:tc>
          <w:tcPr>
            <w:tcW w:w="318" w:type="pct"/>
            <w:shd w:val="clear" w:color="auto" w:fill="B8CCE4" w:themeFill="accent1" w:themeFillTint="66"/>
          </w:tcPr>
          <w:p w14:paraId="39F9D376" w14:textId="304560E3"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12.</w:t>
            </w:r>
          </w:p>
        </w:tc>
        <w:tc>
          <w:tcPr>
            <w:tcW w:w="884" w:type="pct"/>
          </w:tcPr>
          <w:p w14:paraId="5FBFCD19" w14:textId="24E68144"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Juan Manuel Charry Urueña</w:t>
            </w:r>
            <w:r w:rsidRPr="00C04588">
              <w:rPr>
                <w:rStyle w:val="Refdenotaalpie"/>
                <w:sz w:val="20"/>
                <w:szCs w:val="20"/>
              </w:rPr>
              <w:footnoteReference w:id="51"/>
            </w:r>
          </w:p>
        </w:tc>
        <w:tc>
          <w:tcPr>
            <w:tcW w:w="883" w:type="pct"/>
          </w:tcPr>
          <w:p w14:paraId="5C2C2CBE" w14:textId="4AF74A3A"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3765D8" w:rsidRPr="00C04588">
              <w:rPr>
                <w:sz w:val="20"/>
                <w:szCs w:val="20"/>
                <w:lang w:val="es-ES"/>
              </w:rPr>
              <w:t>le</w:t>
            </w:r>
            <w:r w:rsidRPr="00C04588">
              <w:rPr>
                <w:sz w:val="20"/>
                <w:szCs w:val="20"/>
                <w:lang w:val="es-ES"/>
              </w:rPr>
              <w:t xml:space="preserve"> con efectos retroactivos a partir de la fecha de su expedición</w:t>
            </w:r>
          </w:p>
        </w:tc>
        <w:tc>
          <w:tcPr>
            <w:tcW w:w="2915" w:type="pct"/>
          </w:tcPr>
          <w:p w14:paraId="3905CA27" w14:textId="3BAD265D" w:rsidR="00CE4609" w:rsidRPr="00C04588" w:rsidRDefault="007470DD" w:rsidP="007470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_tradnl" w:eastAsia="es-CO"/>
              </w:rPr>
            </w:pPr>
            <w:r w:rsidRPr="00C04588">
              <w:rPr>
                <w:sz w:val="20"/>
                <w:szCs w:val="20"/>
                <w:lang w:val="es-ES"/>
              </w:rPr>
              <w:t xml:space="preserve">Señaló que el DL1474 vulnera </w:t>
            </w:r>
            <w:r w:rsidRPr="00C04588">
              <w:rPr>
                <w:sz w:val="20"/>
                <w:szCs w:val="20"/>
                <w:lang w:val="es-ES_tradnl" w:eastAsia="es-CO"/>
              </w:rPr>
              <w:t xml:space="preserve">la autonomía territorial, la legalidad tributaria y los límites a la potestad impositiva en estados de excepción. Adicionalmente, introduce medidas que afectan de manera estructural y permanente el sistema tributario colombiano, especialmente sobre bienes de consumo masivo. </w:t>
            </w:r>
          </w:p>
        </w:tc>
      </w:tr>
      <w:tr w:rsidR="00C04588" w:rsidRPr="00C04588" w14:paraId="33F2129F" w14:textId="2E29064C" w:rsidTr="009D2CD4">
        <w:tblPrEx>
          <w:jc w:val="left"/>
          <w:tblLook w:val="04A0" w:firstRow="1" w:lastRow="0" w:firstColumn="1" w:lastColumn="0" w:noHBand="0" w:noVBand="1"/>
        </w:tblPrEx>
        <w:tc>
          <w:tcPr>
            <w:tcW w:w="318" w:type="pct"/>
            <w:shd w:val="clear" w:color="auto" w:fill="B8CCE4" w:themeFill="accent1" w:themeFillTint="66"/>
          </w:tcPr>
          <w:p w14:paraId="60FB1D50" w14:textId="3739E7CD"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13.</w:t>
            </w:r>
          </w:p>
        </w:tc>
        <w:tc>
          <w:tcPr>
            <w:tcW w:w="884" w:type="pct"/>
          </w:tcPr>
          <w:p w14:paraId="6F35F007" w14:textId="403233D4"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Julio César Ruiz Muñoz</w:t>
            </w:r>
            <w:r w:rsidRPr="00C04588">
              <w:rPr>
                <w:rStyle w:val="Refdenotaalpie"/>
                <w:sz w:val="20"/>
                <w:szCs w:val="20"/>
              </w:rPr>
              <w:footnoteReference w:id="52"/>
            </w:r>
          </w:p>
        </w:tc>
        <w:tc>
          <w:tcPr>
            <w:tcW w:w="883" w:type="pct"/>
          </w:tcPr>
          <w:p w14:paraId="03461DCE" w14:textId="1C556F17" w:rsidR="00CE4609" w:rsidRPr="00C04588" w:rsidRDefault="00AE13F1"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E</w:t>
            </w:r>
            <w:r w:rsidR="00CE4609" w:rsidRPr="00C04588">
              <w:rPr>
                <w:sz w:val="20"/>
                <w:szCs w:val="20"/>
                <w:lang w:val="es-ES"/>
              </w:rPr>
              <w:t>xequib</w:t>
            </w:r>
            <w:r w:rsidR="003765D8" w:rsidRPr="00C04588">
              <w:rPr>
                <w:sz w:val="20"/>
                <w:szCs w:val="20"/>
                <w:lang w:val="es-ES"/>
              </w:rPr>
              <w:t>le</w:t>
            </w:r>
          </w:p>
        </w:tc>
        <w:tc>
          <w:tcPr>
            <w:tcW w:w="2915" w:type="pct"/>
          </w:tcPr>
          <w:p w14:paraId="76E35A10" w14:textId="376C837D" w:rsidR="00CE4609" w:rsidRPr="00C04588" w:rsidRDefault="00AE13F1" w:rsidP="00713D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El DL1390 y el DL1474 cumplen los presupuestos formales y materiales para su expedición. </w:t>
            </w:r>
            <w:r w:rsidR="001F7721" w:rsidRPr="00C04588">
              <w:rPr>
                <w:sz w:val="20"/>
                <w:szCs w:val="20"/>
                <w:lang w:val="es-ES"/>
              </w:rPr>
              <w:t xml:space="preserve">Ello, teniendo </w:t>
            </w:r>
            <w:r w:rsidRPr="00C04588">
              <w:rPr>
                <w:sz w:val="20"/>
                <w:szCs w:val="20"/>
                <w:lang w:val="es-ES"/>
              </w:rPr>
              <w:t xml:space="preserve">en cuenta la inactividad del legislativo y la necesidad de medidas extraordinarias para atender la crisis. </w:t>
            </w:r>
          </w:p>
        </w:tc>
      </w:tr>
      <w:tr w:rsidR="00C04588" w:rsidRPr="00C04588" w14:paraId="470C64F0" w14:textId="0B030A75" w:rsidTr="009D2CD4">
        <w:tblPrEx>
          <w:jc w:val="left"/>
          <w:tblLook w:val="04A0" w:firstRow="1" w:lastRow="0" w:firstColumn="1" w:lastColumn="0" w:noHBand="0" w:noVBand="1"/>
        </w:tblPrEx>
        <w:tc>
          <w:tcPr>
            <w:tcW w:w="318" w:type="pct"/>
            <w:shd w:val="clear" w:color="auto" w:fill="B8CCE4" w:themeFill="accent1" w:themeFillTint="66"/>
          </w:tcPr>
          <w:p w14:paraId="5001CD49" w14:textId="7CE91B81"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14.</w:t>
            </w:r>
          </w:p>
        </w:tc>
        <w:tc>
          <w:tcPr>
            <w:tcW w:w="884" w:type="pct"/>
          </w:tcPr>
          <w:p w14:paraId="68C12CBC" w14:textId="1CA062FA"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Diego Muñoz Tamayo</w:t>
            </w:r>
            <w:r w:rsidRPr="00C04588">
              <w:rPr>
                <w:rStyle w:val="Refdenotaalpie"/>
                <w:sz w:val="20"/>
                <w:szCs w:val="20"/>
              </w:rPr>
              <w:footnoteReference w:id="53"/>
            </w:r>
          </w:p>
        </w:tc>
        <w:tc>
          <w:tcPr>
            <w:tcW w:w="883" w:type="pct"/>
          </w:tcPr>
          <w:p w14:paraId="55DE2A5F" w14:textId="411AEE13"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3765D8" w:rsidRPr="00C04588">
              <w:rPr>
                <w:sz w:val="20"/>
                <w:szCs w:val="20"/>
              </w:rPr>
              <w:t>le</w:t>
            </w:r>
          </w:p>
        </w:tc>
        <w:tc>
          <w:tcPr>
            <w:tcW w:w="2915" w:type="pct"/>
          </w:tcPr>
          <w:p w14:paraId="0EB4DAB0" w14:textId="799F9F82" w:rsidR="00CE4609" w:rsidRPr="00C04588" w:rsidRDefault="00AE13F1" w:rsidP="00713D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El DL1474 vulnera el principio democrático en materia tributaria, la libre configuración legislativa y la separación de poderes. </w:t>
            </w:r>
          </w:p>
        </w:tc>
      </w:tr>
      <w:tr w:rsidR="00C04588" w:rsidRPr="00C04588" w14:paraId="12B3E76D" w14:textId="4B363D8C" w:rsidTr="009D2CD4">
        <w:tblPrEx>
          <w:jc w:val="left"/>
          <w:tblLook w:val="04A0" w:firstRow="1" w:lastRow="0" w:firstColumn="1" w:lastColumn="0" w:noHBand="0" w:noVBand="1"/>
        </w:tblPrEx>
        <w:tc>
          <w:tcPr>
            <w:tcW w:w="318" w:type="pct"/>
            <w:shd w:val="clear" w:color="auto" w:fill="B8CCE4" w:themeFill="accent1" w:themeFillTint="66"/>
          </w:tcPr>
          <w:p w14:paraId="16D96B6E" w14:textId="0732442E"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15.</w:t>
            </w:r>
          </w:p>
        </w:tc>
        <w:tc>
          <w:tcPr>
            <w:tcW w:w="884" w:type="pct"/>
          </w:tcPr>
          <w:p w14:paraId="418930A4" w14:textId="702D59C2"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Harold Sua Montaña</w:t>
            </w:r>
            <w:r w:rsidRPr="00C04588">
              <w:rPr>
                <w:rStyle w:val="Refdenotaalpie"/>
                <w:sz w:val="20"/>
                <w:szCs w:val="20"/>
              </w:rPr>
              <w:footnoteReference w:id="54"/>
            </w:r>
          </w:p>
        </w:tc>
        <w:tc>
          <w:tcPr>
            <w:tcW w:w="883" w:type="pct"/>
          </w:tcPr>
          <w:p w14:paraId="471BDB2B" w14:textId="1744AFDA"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w:t>
            </w:r>
            <w:r w:rsidR="003765D8" w:rsidRPr="00C04588">
              <w:rPr>
                <w:sz w:val="20"/>
                <w:szCs w:val="20"/>
                <w:lang w:val="es-ES"/>
              </w:rPr>
              <w:t>ble</w:t>
            </w:r>
          </w:p>
        </w:tc>
        <w:tc>
          <w:tcPr>
            <w:tcW w:w="2915" w:type="pct"/>
          </w:tcPr>
          <w:p w14:paraId="7AE3F2C1" w14:textId="25D909F7" w:rsidR="00CE4609" w:rsidRPr="00C04588" w:rsidRDefault="00AE13F1" w:rsidP="00713D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El DL1474 no satisface los presupuestos formales y materiales para su expedición. </w:t>
            </w:r>
          </w:p>
        </w:tc>
      </w:tr>
      <w:tr w:rsidR="00C04588" w:rsidRPr="00C04588" w14:paraId="0830E2FD" w14:textId="15E4E095" w:rsidTr="009D2CD4">
        <w:tblPrEx>
          <w:jc w:val="left"/>
          <w:tblLook w:val="04A0" w:firstRow="1" w:lastRow="0" w:firstColumn="1" w:lastColumn="0" w:noHBand="0" w:noVBand="1"/>
        </w:tblPrEx>
        <w:tc>
          <w:tcPr>
            <w:tcW w:w="318" w:type="pct"/>
            <w:shd w:val="clear" w:color="auto" w:fill="B8CCE4" w:themeFill="accent1" w:themeFillTint="66"/>
          </w:tcPr>
          <w:p w14:paraId="12A7F8E6" w14:textId="47642700"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16.</w:t>
            </w:r>
          </w:p>
        </w:tc>
        <w:tc>
          <w:tcPr>
            <w:tcW w:w="884" w:type="pct"/>
          </w:tcPr>
          <w:p w14:paraId="1AC1FC2B" w14:textId="2DFB097E"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Gustavo Andrés Díaz Torres</w:t>
            </w:r>
            <w:r w:rsidRPr="00C04588">
              <w:rPr>
                <w:rStyle w:val="Refdenotaalpie"/>
                <w:sz w:val="20"/>
                <w:szCs w:val="20"/>
              </w:rPr>
              <w:footnoteReference w:id="55"/>
            </w:r>
          </w:p>
        </w:tc>
        <w:tc>
          <w:tcPr>
            <w:tcW w:w="883" w:type="pct"/>
          </w:tcPr>
          <w:p w14:paraId="1EF3C09C" w14:textId="72A78816"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Exequibilidad del artículo 20 del DL1474.</w:t>
            </w:r>
          </w:p>
        </w:tc>
        <w:tc>
          <w:tcPr>
            <w:tcW w:w="2915" w:type="pct"/>
          </w:tcPr>
          <w:p w14:paraId="08888162" w14:textId="75A32D6C" w:rsidR="00CE4609" w:rsidRPr="00C04588" w:rsidRDefault="00C5338A" w:rsidP="00C533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Indicó que el artículo 20 del DL1474 supera el juicio de necesidad por cuanto constituye una medida indispensable para garantizar el recaudo efectivo de obligaciones tributarias en mora</w:t>
            </w:r>
            <w:r w:rsidR="002C7645" w:rsidRPr="00C04588">
              <w:rPr>
                <w:sz w:val="20"/>
                <w:szCs w:val="20"/>
              </w:rPr>
              <w:t xml:space="preserve">. </w:t>
            </w:r>
          </w:p>
        </w:tc>
      </w:tr>
      <w:tr w:rsidR="00C04588" w:rsidRPr="00C04588" w14:paraId="0B931091" w14:textId="77D84A7D" w:rsidTr="009D2CD4">
        <w:tblPrEx>
          <w:jc w:val="left"/>
          <w:tblLook w:val="04A0" w:firstRow="1" w:lastRow="0" w:firstColumn="1" w:lastColumn="0" w:noHBand="0" w:noVBand="1"/>
        </w:tblPrEx>
        <w:tc>
          <w:tcPr>
            <w:tcW w:w="318" w:type="pct"/>
            <w:shd w:val="clear" w:color="auto" w:fill="B8CCE4" w:themeFill="accent1" w:themeFillTint="66"/>
          </w:tcPr>
          <w:p w14:paraId="2BFF5668" w14:textId="3072B1D1"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17.</w:t>
            </w:r>
          </w:p>
        </w:tc>
        <w:tc>
          <w:tcPr>
            <w:tcW w:w="884" w:type="pct"/>
          </w:tcPr>
          <w:p w14:paraId="2C8B3A34" w14:textId="51044607" w:rsidR="00CE4609" w:rsidRPr="00C04588" w:rsidRDefault="00CE4609" w:rsidP="00713D9C">
            <w:pPr>
              <w:pBdr>
                <w:top w:val="nil"/>
                <w:left w:val="nil"/>
                <w:bottom w:val="nil"/>
                <w:right w:val="nil"/>
                <w:between w:val="nil"/>
              </w:pBdr>
              <w:tabs>
                <w:tab w:val="left" w:pos="284"/>
              </w:tabs>
              <w:jc w:val="center"/>
              <w:rPr>
                <w:sz w:val="20"/>
                <w:szCs w:val="20"/>
              </w:rPr>
            </w:pPr>
            <w:r w:rsidRPr="00C04588">
              <w:rPr>
                <w:sz w:val="20"/>
                <w:szCs w:val="20"/>
              </w:rPr>
              <w:t>Camilo Alberto Gómez Alzate y Luis Jaime Salgar Vegalara</w:t>
            </w:r>
            <w:r w:rsidRPr="00C04588">
              <w:rPr>
                <w:rStyle w:val="Refdenotaalpie"/>
                <w:sz w:val="20"/>
                <w:szCs w:val="20"/>
              </w:rPr>
              <w:footnoteReference w:id="56"/>
            </w:r>
          </w:p>
        </w:tc>
        <w:tc>
          <w:tcPr>
            <w:tcW w:w="883" w:type="pct"/>
          </w:tcPr>
          <w:p w14:paraId="7444B9A6" w14:textId="656C739F"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Inexequibilidad del artículo 6° del DL1474.</w:t>
            </w:r>
          </w:p>
        </w:tc>
        <w:tc>
          <w:tcPr>
            <w:tcW w:w="2915" w:type="pct"/>
          </w:tcPr>
          <w:p w14:paraId="3FAE9EF6" w14:textId="58FD279A" w:rsidR="00CE4609" w:rsidRPr="00C04588" w:rsidRDefault="00A472E3" w:rsidP="00713D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Señalaron que la adopción del artículo 6° del DL1474 no está suficientemente motivada, las razones propuestas por el </w:t>
            </w:r>
            <w:r w:rsidR="001F7721" w:rsidRPr="00C04588">
              <w:rPr>
                <w:sz w:val="20"/>
                <w:szCs w:val="20"/>
              </w:rPr>
              <w:t xml:space="preserve">gobierno </w:t>
            </w:r>
            <w:r w:rsidRPr="00C04588">
              <w:rPr>
                <w:sz w:val="20"/>
                <w:szCs w:val="20"/>
              </w:rPr>
              <w:t xml:space="preserve">nacional no son veraces ni verificables y la medida exacerba las asimetrías entre sectores económicos. </w:t>
            </w:r>
          </w:p>
        </w:tc>
      </w:tr>
      <w:tr w:rsidR="00C04588" w:rsidRPr="00C04588" w14:paraId="1B994AB8" w14:textId="29151F75" w:rsidTr="009D2CD4">
        <w:tblPrEx>
          <w:jc w:val="left"/>
          <w:tblLook w:val="04A0" w:firstRow="1" w:lastRow="0" w:firstColumn="1" w:lastColumn="0" w:noHBand="0" w:noVBand="1"/>
        </w:tblPrEx>
        <w:tc>
          <w:tcPr>
            <w:tcW w:w="318" w:type="pct"/>
            <w:shd w:val="clear" w:color="auto" w:fill="B8CCE4" w:themeFill="accent1" w:themeFillTint="66"/>
          </w:tcPr>
          <w:p w14:paraId="632552DD" w14:textId="797A6B33"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18.</w:t>
            </w:r>
          </w:p>
        </w:tc>
        <w:tc>
          <w:tcPr>
            <w:tcW w:w="884" w:type="pct"/>
          </w:tcPr>
          <w:p w14:paraId="771C9ABC" w14:textId="7DA2A1C7"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Duverney Ardila Germán de Ribón</w:t>
            </w:r>
            <w:r w:rsidRPr="00C04588">
              <w:rPr>
                <w:rStyle w:val="Refdenotaalpie"/>
                <w:sz w:val="20"/>
                <w:szCs w:val="20"/>
              </w:rPr>
              <w:footnoteReference w:id="57"/>
            </w:r>
          </w:p>
        </w:tc>
        <w:tc>
          <w:tcPr>
            <w:tcW w:w="883" w:type="pct"/>
          </w:tcPr>
          <w:p w14:paraId="1F69095F" w14:textId="3C95FE17"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3765D8" w:rsidRPr="00C04588">
              <w:rPr>
                <w:sz w:val="20"/>
                <w:szCs w:val="20"/>
                <w:lang w:val="es-ES"/>
              </w:rPr>
              <w:t>le</w:t>
            </w:r>
          </w:p>
        </w:tc>
        <w:tc>
          <w:tcPr>
            <w:tcW w:w="2915" w:type="pct"/>
          </w:tcPr>
          <w:p w14:paraId="2A64880C" w14:textId="614185FB" w:rsidR="00CE4609" w:rsidRPr="00C04588" w:rsidRDefault="00D171C8" w:rsidP="00D171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_tradnl" w:eastAsia="es-CO"/>
              </w:rPr>
              <w:t xml:space="preserve">Indicó que el </w:t>
            </w:r>
            <w:r w:rsidR="003765D8" w:rsidRPr="00C04588">
              <w:rPr>
                <w:sz w:val="20"/>
                <w:szCs w:val="20"/>
                <w:lang w:val="es-ES_tradnl" w:eastAsia="es-CO"/>
              </w:rPr>
              <w:t>g</w:t>
            </w:r>
            <w:r w:rsidRPr="00C04588">
              <w:rPr>
                <w:sz w:val="20"/>
                <w:szCs w:val="20"/>
                <w:lang w:val="es-ES_tradnl" w:eastAsia="es-CO"/>
              </w:rPr>
              <w:t xml:space="preserve">obierno nacional se extralimitó al legislar sobre materias que corresponden exclusivamente al Congreso de la República. Lo anterior, con el fin de eludir el debate democrático. </w:t>
            </w:r>
          </w:p>
        </w:tc>
      </w:tr>
      <w:tr w:rsidR="00C04588" w:rsidRPr="00C04588" w14:paraId="568AC758" w14:textId="6DC40534" w:rsidTr="009D2CD4">
        <w:tblPrEx>
          <w:jc w:val="left"/>
          <w:tblLook w:val="04A0" w:firstRow="1" w:lastRow="0" w:firstColumn="1" w:lastColumn="0" w:noHBand="0" w:noVBand="1"/>
        </w:tblPrEx>
        <w:tc>
          <w:tcPr>
            <w:tcW w:w="318" w:type="pct"/>
            <w:shd w:val="clear" w:color="auto" w:fill="B8CCE4" w:themeFill="accent1" w:themeFillTint="66"/>
          </w:tcPr>
          <w:p w14:paraId="66F257AB" w14:textId="3706A6D5"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19.</w:t>
            </w:r>
          </w:p>
        </w:tc>
        <w:tc>
          <w:tcPr>
            <w:tcW w:w="884" w:type="pct"/>
          </w:tcPr>
          <w:p w14:paraId="62D43A13" w14:textId="29E8E6FE"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José David Riveros Namen</w:t>
            </w:r>
            <w:r w:rsidRPr="00C04588">
              <w:rPr>
                <w:rStyle w:val="Refdenotaalpie"/>
                <w:sz w:val="20"/>
                <w:szCs w:val="20"/>
              </w:rPr>
              <w:footnoteReference w:id="58"/>
            </w:r>
          </w:p>
        </w:tc>
        <w:tc>
          <w:tcPr>
            <w:tcW w:w="883" w:type="pct"/>
          </w:tcPr>
          <w:p w14:paraId="02C4E4D1" w14:textId="71B7D3F3"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3765D8" w:rsidRPr="00C04588">
              <w:rPr>
                <w:sz w:val="20"/>
                <w:szCs w:val="20"/>
              </w:rPr>
              <w:t>le</w:t>
            </w:r>
          </w:p>
        </w:tc>
        <w:tc>
          <w:tcPr>
            <w:tcW w:w="2915" w:type="pct"/>
          </w:tcPr>
          <w:p w14:paraId="14089BB9" w14:textId="1D097882" w:rsidR="00CE4609" w:rsidRPr="00C04588" w:rsidRDefault="00443367" w:rsidP="00E842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Indicó que el DL1474 vulnera el principio democrático y la separación de poderes. </w:t>
            </w:r>
            <w:r w:rsidR="00D82A8A" w:rsidRPr="00C04588">
              <w:rPr>
                <w:sz w:val="20"/>
                <w:szCs w:val="20"/>
                <w:lang w:val="es-ES"/>
              </w:rPr>
              <w:t xml:space="preserve">Lo anterior, en la medida en que el </w:t>
            </w:r>
            <w:r w:rsidR="003765D8" w:rsidRPr="00C04588">
              <w:rPr>
                <w:sz w:val="20"/>
                <w:szCs w:val="20"/>
                <w:lang w:val="es-ES"/>
              </w:rPr>
              <w:t>g</w:t>
            </w:r>
            <w:r w:rsidR="00D82A8A" w:rsidRPr="00C04588">
              <w:rPr>
                <w:sz w:val="20"/>
                <w:szCs w:val="20"/>
                <w:lang w:val="es-ES"/>
              </w:rPr>
              <w:t xml:space="preserve">obierno nacional acudió al estado de emergencia económica para implementar las medidas tributarias que habían sido negadas por el legislativo. </w:t>
            </w:r>
          </w:p>
        </w:tc>
      </w:tr>
      <w:tr w:rsidR="00C04588" w:rsidRPr="00C04588" w14:paraId="6D3BEA0A" w14:textId="294AB730" w:rsidTr="009D2CD4">
        <w:tblPrEx>
          <w:jc w:val="left"/>
          <w:tblLook w:val="04A0" w:firstRow="1" w:lastRow="0" w:firstColumn="1" w:lastColumn="0" w:noHBand="0" w:noVBand="1"/>
        </w:tblPrEx>
        <w:tc>
          <w:tcPr>
            <w:tcW w:w="318" w:type="pct"/>
            <w:shd w:val="clear" w:color="auto" w:fill="B8CCE4" w:themeFill="accent1" w:themeFillTint="66"/>
          </w:tcPr>
          <w:p w14:paraId="566C29FC" w14:textId="7788807F"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20.</w:t>
            </w:r>
          </w:p>
        </w:tc>
        <w:tc>
          <w:tcPr>
            <w:tcW w:w="884" w:type="pct"/>
          </w:tcPr>
          <w:p w14:paraId="250E5543" w14:textId="7A1A1A34"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Humberto Antonio Sierra Porto</w:t>
            </w:r>
            <w:r w:rsidRPr="00C04588">
              <w:rPr>
                <w:rStyle w:val="Refdenotaalpie"/>
                <w:sz w:val="20"/>
                <w:szCs w:val="20"/>
              </w:rPr>
              <w:footnoteReference w:id="59"/>
            </w:r>
          </w:p>
        </w:tc>
        <w:tc>
          <w:tcPr>
            <w:tcW w:w="883" w:type="pct"/>
          </w:tcPr>
          <w:p w14:paraId="31E9B119" w14:textId="3F85A672"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3765D8" w:rsidRPr="00C04588">
              <w:rPr>
                <w:sz w:val="20"/>
                <w:szCs w:val="20"/>
                <w:lang w:val="es-ES"/>
              </w:rPr>
              <w:t>le</w:t>
            </w:r>
            <w:r w:rsidRPr="00C04588">
              <w:rPr>
                <w:sz w:val="20"/>
                <w:szCs w:val="20"/>
                <w:lang w:val="es-ES"/>
              </w:rPr>
              <w:t xml:space="preserve"> con efectos retroactivos a partir de la fecha de su expedición.</w:t>
            </w:r>
          </w:p>
        </w:tc>
        <w:tc>
          <w:tcPr>
            <w:tcW w:w="2915" w:type="pct"/>
          </w:tcPr>
          <w:p w14:paraId="32628202" w14:textId="2DB1EDF2" w:rsidR="00CE4609" w:rsidRPr="00C04588" w:rsidRDefault="00D82A8A" w:rsidP="00E842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Señaló que el DL1474 no cumple con el requisito de suscripción; carece de motivación suficiente; vulnera la autonomía territorial y desconoce la especial protección de las rentas derivadas del monopolio de licores y su destinación específica. </w:t>
            </w:r>
          </w:p>
        </w:tc>
      </w:tr>
      <w:tr w:rsidR="00C04588" w:rsidRPr="00C04588" w14:paraId="1D5391D8" w14:textId="08224AD7" w:rsidTr="009D2CD4">
        <w:tblPrEx>
          <w:jc w:val="left"/>
          <w:tblLook w:val="04A0" w:firstRow="1" w:lastRow="0" w:firstColumn="1" w:lastColumn="0" w:noHBand="0" w:noVBand="1"/>
        </w:tblPrEx>
        <w:tc>
          <w:tcPr>
            <w:tcW w:w="318" w:type="pct"/>
            <w:shd w:val="clear" w:color="auto" w:fill="B8CCE4" w:themeFill="accent1" w:themeFillTint="66"/>
          </w:tcPr>
          <w:p w14:paraId="4EAFC299" w14:textId="7CDA0E26"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21.</w:t>
            </w:r>
          </w:p>
        </w:tc>
        <w:tc>
          <w:tcPr>
            <w:tcW w:w="884" w:type="pct"/>
          </w:tcPr>
          <w:p w14:paraId="0D31F42D" w14:textId="0E93945F"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Juan Alberto Londoño Martínez</w:t>
            </w:r>
            <w:r w:rsidRPr="00C04588">
              <w:rPr>
                <w:rStyle w:val="Refdenotaalpie"/>
                <w:sz w:val="20"/>
                <w:szCs w:val="20"/>
              </w:rPr>
              <w:footnoteReference w:id="60"/>
            </w:r>
          </w:p>
        </w:tc>
        <w:tc>
          <w:tcPr>
            <w:tcW w:w="883" w:type="pct"/>
          </w:tcPr>
          <w:p w14:paraId="50711586" w14:textId="4E0CFFD8"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w:t>
            </w:r>
            <w:r w:rsidR="003765D8" w:rsidRPr="00C04588">
              <w:rPr>
                <w:sz w:val="20"/>
                <w:szCs w:val="20"/>
              </w:rPr>
              <w:t>ble</w:t>
            </w:r>
          </w:p>
        </w:tc>
        <w:tc>
          <w:tcPr>
            <w:tcW w:w="2915" w:type="pct"/>
          </w:tcPr>
          <w:p w14:paraId="269DD1DB" w14:textId="565C32EE" w:rsidR="00CE4609" w:rsidRPr="00C04588" w:rsidRDefault="00D82A8A" w:rsidP="00E842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Afirmó que el DL1474 no cumple con el requisito de suscripción; fue indebidamente publicado; carece de motivación suficiente; su artículo 14 desconoce la cosa juzgada constitucional y viola los principios de equidad tributaria y no confiscatoriedad. </w:t>
            </w:r>
          </w:p>
        </w:tc>
      </w:tr>
      <w:tr w:rsidR="00C04588" w:rsidRPr="00C04588" w14:paraId="1DCBA77C" w14:textId="0F88776F" w:rsidTr="009D2CD4">
        <w:tblPrEx>
          <w:jc w:val="left"/>
          <w:tblLook w:val="04A0" w:firstRow="1" w:lastRow="0" w:firstColumn="1" w:lastColumn="0" w:noHBand="0" w:noVBand="1"/>
        </w:tblPrEx>
        <w:tc>
          <w:tcPr>
            <w:tcW w:w="318" w:type="pct"/>
            <w:shd w:val="clear" w:color="auto" w:fill="B8CCE4" w:themeFill="accent1" w:themeFillTint="66"/>
          </w:tcPr>
          <w:p w14:paraId="10105033" w14:textId="11F84678"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22.</w:t>
            </w:r>
          </w:p>
        </w:tc>
        <w:tc>
          <w:tcPr>
            <w:tcW w:w="884" w:type="pct"/>
          </w:tcPr>
          <w:p w14:paraId="2A0ECEFB" w14:textId="47C9495D" w:rsidR="00CE4609" w:rsidRPr="00C04588" w:rsidRDefault="00CE4609" w:rsidP="008C5EC3">
            <w:pPr>
              <w:widowControl w:val="0"/>
              <w:pBdr>
                <w:top w:val="nil"/>
                <w:left w:val="nil"/>
                <w:bottom w:val="nil"/>
                <w:right w:val="nil"/>
                <w:between w:val="nil"/>
              </w:pBdr>
              <w:tabs>
                <w:tab w:val="left" w:pos="284"/>
              </w:tabs>
              <w:jc w:val="center"/>
              <w:rPr>
                <w:sz w:val="20"/>
                <w:szCs w:val="20"/>
              </w:rPr>
            </w:pPr>
            <w:r w:rsidRPr="00C04588">
              <w:rPr>
                <w:sz w:val="20"/>
                <w:szCs w:val="20"/>
              </w:rPr>
              <w:t>Óscar Andrés Álvarez Torres</w:t>
            </w:r>
            <w:r w:rsidRPr="00C04588">
              <w:rPr>
                <w:rStyle w:val="Refdenotaalpie"/>
                <w:sz w:val="20"/>
                <w:szCs w:val="20"/>
              </w:rPr>
              <w:footnoteReference w:id="61"/>
            </w:r>
          </w:p>
        </w:tc>
        <w:tc>
          <w:tcPr>
            <w:tcW w:w="883" w:type="pct"/>
          </w:tcPr>
          <w:p w14:paraId="15273FEA" w14:textId="507E6C31"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3765D8" w:rsidRPr="00C04588">
              <w:rPr>
                <w:sz w:val="20"/>
                <w:szCs w:val="20"/>
              </w:rPr>
              <w:t>le</w:t>
            </w:r>
          </w:p>
        </w:tc>
        <w:tc>
          <w:tcPr>
            <w:tcW w:w="2915" w:type="pct"/>
          </w:tcPr>
          <w:p w14:paraId="015A8BA2" w14:textId="70AA0199" w:rsidR="00CE4609" w:rsidRPr="00C04588" w:rsidRDefault="009C2F80" w:rsidP="00E842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Indicó que el DL1474 no supera los juicios </w:t>
            </w:r>
            <w:r w:rsidR="003007C6" w:rsidRPr="00C04588">
              <w:rPr>
                <w:sz w:val="20"/>
                <w:szCs w:val="20"/>
                <w:lang w:val="es-ES"/>
              </w:rPr>
              <w:t xml:space="preserve">de conexidad material, no contradicción específica, motivación suficiente, proporcionalidad y necesidad. </w:t>
            </w:r>
          </w:p>
        </w:tc>
      </w:tr>
      <w:tr w:rsidR="00C04588" w:rsidRPr="00C04588" w14:paraId="61346105" w14:textId="09AB8312" w:rsidTr="009D2CD4">
        <w:tblPrEx>
          <w:jc w:val="left"/>
          <w:tblLook w:val="04A0" w:firstRow="1" w:lastRow="0" w:firstColumn="1" w:lastColumn="0" w:noHBand="0" w:noVBand="1"/>
        </w:tblPrEx>
        <w:tc>
          <w:tcPr>
            <w:tcW w:w="318" w:type="pct"/>
            <w:shd w:val="clear" w:color="auto" w:fill="B8CCE4" w:themeFill="accent1" w:themeFillTint="66"/>
          </w:tcPr>
          <w:p w14:paraId="51D51834" w14:textId="5EBD0BE8"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23.</w:t>
            </w:r>
          </w:p>
        </w:tc>
        <w:tc>
          <w:tcPr>
            <w:tcW w:w="884" w:type="pct"/>
          </w:tcPr>
          <w:p w14:paraId="28E511B8" w14:textId="5CE17F14" w:rsidR="00CE4609" w:rsidRPr="00C04588" w:rsidRDefault="00CE4609" w:rsidP="008C5EC3">
            <w:pPr>
              <w:widowControl w:val="0"/>
              <w:pBdr>
                <w:top w:val="nil"/>
                <w:left w:val="nil"/>
                <w:bottom w:val="nil"/>
                <w:right w:val="nil"/>
                <w:between w:val="nil"/>
              </w:pBdr>
              <w:tabs>
                <w:tab w:val="left" w:pos="284"/>
              </w:tabs>
              <w:jc w:val="center"/>
              <w:rPr>
                <w:sz w:val="20"/>
                <w:szCs w:val="20"/>
              </w:rPr>
            </w:pPr>
            <w:r w:rsidRPr="00C04588">
              <w:rPr>
                <w:sz w:val="20"/>
                <w:szCs w:val="20"/>
              </w:rPr>
              <w:t>Carlos Edward Osorio Aguiar</w:t>
            </w:r>
            <w:r w:rsidRPr="00C04588">
              <w:rPr>
                <w:rStyle w:val="Refdenotaalpie"/>
                <w:sz w:val="20"/>
                <w:szCs w:val="20"/>
              </w:rPr>
              <w:footnoteReference w:id="62"/>
            </w:r>
          </w:p>
        </w:tc>
        <w:tc>
          <w:tcPr>
            <w:tcW w:w="883" w:type="pct"/>
          </w:tcPr>
          <w:p w14:paraId="76E5993B" w14:textId="1A90564B"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 xml:space="preserve">Estarse a lo resuelto en la Sentencia C-489 de 2023 y, </w:t>
            </w:r>
            <w:r w:rsidR="003007C6" w:rsidRPr="00C04588">
              <w:rPr>
                <w:sz w:val="20"/>
                <w:szCs w:val="20"/>
                <w:lang w:val="es-ES"/>
              </w:rPr>
              <w:t xml:space="preserve">por ende, </w:t>
            </w:r>
            <w:r w:rsidRPr="00C04588">
              <w:rPr>
                <w:sz w:val="20"/>
                <w:szCs w:val="20"/>
                <w:lang w:val="es-ES"/>
              </w:rPr>
              <w:t xml:space="preserve">declarar la inexequibilidad </w:t>
            </w:r>
            <w:r w:rsidRPr="00C04588">
              <w:rPr>
                <w:sz w:val="20"/>
                <w:szCs w:val="20"/>
              </w:rPr>
              <w:t>del artículo 14 del DL1474.</w:t>
            </w:r>
          </w:p>
        </w:tc>
        <w:tc>
          <w:tcPr>
            <w:tcW w:w="2915" w:type="pct"/>
          </w:tcPr>
          <w:p w14:paraId="13D00C61" w14:textId="2D83CA2B" w:rsidR="00CE4609" w:rsidRPr="00C04588" w:rsidRDefault="003007C6" w:rsidP="00E842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rPr>
              <w:t>Afirmó</w:t>
            </w:r>
            <w:r w:rsidRPr="00C04588">
              <w:rPr>
                <w:sz w:val="20"/>
                <w:szCs w:val="20"/>
                <w:lang w:val="es-ES"/>
              </w:rPr>
              <w:t xml:space="preserve"> que el artículo 14 del DL1474 reproduce el parágrafo 1° del artículo 19 de la Ley 2277 de 2022 que fue declarado inexequible por la Corte Constitucional mediante Sentencia C-489 de 2023. En ese sentido, la norma acusada desconoce la cosa juzgada constitucional.</w:t>
            </w:r>
          </w:p>
        </w:tc>
      </w:tr>
      <w:tr w:rsidR="00C04588" w:rsidRPr="00C04588" w14:paraId="6037235A" w14:textId="2F77A51E" w:rsidTr="009D2CD4">
        <w:tblPrEx>
          <w:jc w:val="left"/>
          <w:tblLook w:val="04A0" w:firstRow="1" w:lastRow="0" w:firstColumn="1" w:lastColumn="0" w:noHBand="0" w:noVBand="1"/>
        </w:tblPrEx>
        <w:tc>
          <w:tcPr>
            <w:tcW w:w="318" w:type="pct"/>
            <w:shd w:val="clear" w:color="auto" w:fill="B8CCE4" w:themeFill="accent1" w:themeFillTint="66"/>
          </w:tcPr>
          <w:p w14:paraId="7C788A12" w14:textId="69E48892"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24.</w:t>
            </w:r>
          </w:p>
        </w:tc>
        <w:tc>
          <w:tcPr>
            <w:tcW w:w="884" w:type="pct"/>
          </w:tcPr>
          <w:p w14:paraId="317AEEEF" w14:textId="770E58FB" w:rsidR="00CE4609" w:rsidRPr="00C04588" w:rsidRDefault="00CE4609" w:rsidP="00E84218">
            <w:pPr>
              <w:pBdr>
                <w:top w:val="nil"/>
                <w:left w:val="nil"/>
                <w:bottom w:val="nil"/>
                <w:right w:val="nil"/>
                <w:between w:val="nil"/>
              </w:pBdr>
              <w:tabs>
                <w:tab w:val="left" w:pos="284"/>
              </w:tabs>
              <w:jc w:val="center"/>
              <w:rPr>
                <w:sz w:val="20"/>
                <w:szCs w:val="20"/>
              </w:rPr>
            </w:pPr>
            <w:r w:rsidRPr="00C04588">
              <w:rPr>
                <w:sz w:val="20"/>
                <w:szCs w:val="20"/>
              </w:rPr>
              <w:t>Ricardo Andrés Sabogal Guevara, Juliana Martín Saldarriaga y David Santiago Hoyos Daza</w:t>
            </w:r>
            <w:r w:rsidRPr="00C04588">
              <w:rPr>
                <w:rStyle w:val="Refdenotaalpie"/>
                <w:sz w:val="20"/>
                <w:szCs w:val="20"/>
              </w:rPr>
              <w:footnoteReference w:id="63"/>
            </w:r>
          </w:p>
        </w:tc>
        <w:tc>
          <w:tcPr>
            <w:tcW w:w="883" w:type="pct"/>
          </w:tcPr>
          <w:p w14:paraId="542D12CD" w14:textId="0F6BB0CA"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3765D8" w:rsidRPr="00C04588">
              <w:rPr>
                <w:sz w:val="20"/>
                <w:szCs w:val="20"/>
              </w:rPr>
              <w:t>le</w:t>
            </w:r>
          </w:p>
        </w:tc>
        <w:tc>
          <w:tcPr>
            <w:tcW w:w="2915" w:type="pct"/>
          </w:tcPr>
          <w:p w14:paraId="1C0630C0" w14:textId="2262384E" w:rsidR="00CE4609" w:rsidRPr="00C04588" w:rsidRDefault="003007C6" w:rsidP="00E842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rPr>
              <w:t xml:space="preserve">Solicitó que se amparen la confianza legítima y los derechos adquiridos de los contribuyentes que pretendieron acogerse a las normas previstas en el DL1474 sobre reducción de sanciones, conciliación y normalización. </w:t>
            </w:r>
          </w:p>
        </w:tc>
      </w:tr>
      <w:tr w:rsidR="00C04588" w:rsidRPr="00C04588" w14:paraId="1154BC3A" w14:textId="34890477" w:rsidTr="009D2CD4">
        <w:tblPrEx>
          <w:jc w:val="left"/>
          <w:tblLook w:val="04A0" w:firstRow="1" w:lastRow="0" w:firstColumn="1" w:lastColumn="0" w:noHBand="0" w:noVBand="1"/>
        </w:tblPrEx>
        <w:tc>
          <w:tcPr>
            <w:tcW w:w="318" w:type="pct"/>
            <w:shd w:val="clear" w:color="auto" w:fill="B8CCE4" w:themeFill="accent1" w:themeFillTint="66"/>
          </w:tcPr>
          <w:p w14:paraId="6F207930" w14:textId="0C521034" w:rsidR="00CE4609" w:rsidRPr="00C04588" w:rsidRDefault="00CE4609" w:rsidP="00A37147">
            <w:pPr>
              <w:pBdr>
                <w:top w:val="nil"/>
                <w:left w:val="nil"/>
                <w:bottom w:val="nil"/>
                <w:right w:val="nil"/>
                <w:between w:val="nil"/>
              </w:pBdr>
              <w:tabs>
                <w:tab w:val="left" w:pos="284"/>
              </w:tabs>
              <w:jc w:val="center"/>
              <w:rPr>
                <w:sz w:val="20"/>
                <w:szCs w:val="20"/>
              </w:rPr>
            </w:pPr>
            <w:r w:rsidRPr="00C04588">
              <w:rPr>
                <w:sz w:val="20"/>
                <w:szCs w:val="20"/>
              </w:rPr>
              <w:t>25.</w:t>
            </w:r>
          </w:p>
        </w:tc>
        <w:tc>
          <w:tcPr>
            <w:tcW w:w="884" w:type="pct"/>
          </w:tcPr>
          <w:p w14:paraId="3E542E94" w14:textId="3755BC2A" w:rsidR="00CE4609" w:rsidRPr="00C04588" w:rsidRDefault="00CE4609" w:rsidP="00A37147">
            <w:pPr>
              <w:pBdr>
                <w:top w:val="nil"/>
                <w:left w:val="nil"/>
                <w:bottom w:val="nil"/>
                <w:right w:val="nil"/>
                <w:between w:val="nil"/>
              </w:pBdr>
              <w:tabs>
                <w:tab w:val="left" w:pos="284"/>
              </w:tabs>
              <w:jc w:val="center"/>
              <w:rPr>
                <w:sz w:val="20"/>
                <w:szCs w:val="20"/>
              </w:rPr>
            </w:pPr>
            <w:r w:rsidRPr="00C04588">
              <w:rPr>
                <w:sz w:val="20"/>
                <w:szCs w:val="20"/>
              </w:rPr>
              <w:t>Ana María Barbosa Rodríguez, Andrés Felipe Parra Ramírez y Alejandro Herrera Carvajal</w:t>
            </w:r>
            <w:r w:rsidRPr="00C04588">
              <w:rPr>
                <w:rStyle w:val="Refdenotaalpie"/>
                <w:sz w:val="20"/>
                <w:szCs w:val="20"/>
              </w:rPr>
              <w:footnoteReference w:id="64"/>
            </w:r>
          </w:p>
        </w:tc>
        <w:tc>
          <w:tcPr>
            <w:tcW w:w="883" w:type="pct"/>
          </w:tcPr>
          <w:p w14:paraId="3E8BB969" w14:textId="47BDCA18"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616F65" w:rsidRPr="00C04588">
              <w:rPr>
                <w:sz w:val="20"/>
                <w:szCs w:val="20"/>
                <w:lang w:val="es-ES"/>
              </w:rPr>
              <w:t xml:space="preserve">le </w:t>
            </w:r>
            <w:r w:rsidRPr="00C04588">
              <w:rPr>
                <w:sz w:val="20"/>
                <w:szCs w:val="20"/>
                <w:lang w:val="es-ES"/>
              </w:rPr>
              <w:t>con efectos retroactivos a partir de la fecha de su expedición.</w:t>
            </w:r>
          </w:p>
        </w:tc>
        <w:tc>
          <w:tcPr>
            <w:tcW w:w="2915" w:type="pct"/>
          </w:tcPr>
          <w:p w14:paraId="077D08BC" w14:textId="54D0B8F6" w:rsidR="00CE4609" w:rsidRPr="00C04588" w:rsidRDefault="000D6EBD" w:rsidP="00A371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Señalaron </w:t>
            </w:r>
            <w:r w:rsidR="00DE469E" w:rsidRPr="00C04588">
              <w:rPr>
                <w:sz w:val="20"/>
                <w:szCs w:val="20"/>
                <w:lang w:val="es-ES"/>
              </w:rPr>
              <w:t>que el DL1390 debe ser declarado inexequible y, por ende, el DL1474 resulta inconstitucional por consecuencia.</w:t>
            </w:r>
            <w:r w:rsidR="005C4C77" w:rsidRPr="00C04588">
              <w:rPr>
                <w:sz w:val="20"/>
                <w:szCs w:val="20"/>
                <w:lang w:val="es-ES"/>
              </w:rPr>
              <w:t xml:space="preserve"> Adicionalmente, indicaron que la norma bajo revisión no cumple con el requisito de suscripción y que su artículo 14 desconoce la cosa juzgada constitucional. </w:t>
            </w:r>
          </w:p>
        </w:tc>
      </w:tr>
      <w:tr w:rsidR="00C04588" w:rsidRPr="00C04588" w14:paraId="7F645A93" w14:textId="62C4D8AB" w:rsidTr="009D2CD4">
        <w:tblPrEx>
          <w:jc w:val="left"/>
          <w:tblLook w:val="04A0" w:firstRow="1" w:lastRow="0" w:firstColumn="1" w:lastColumn="0" w:noHBand="0" w:noVBand="1"/>
        </w:tblPrEx>
        <w:tc>
          <w:tcPr>
            <w:tcW w:w="318" w:type="pct"/>
            <w:shd w:val="clear" w:color="auto" w:fill="B8CCE4" w:themeFill="accent1" w:themeFillTint="66"/>
          </w:tcPr>
          <w:p w14:paraId="6E287AD7" w14:textId="5A81C233" w:rsidR="00CE4609" w:rsidRPr="00C04588" w:rsidRDefault="00CE4609" w:rsidP="00A37147">
            <w:pPr>
              <w:pBdr>
                <w:top w:val="nil"/>
                <w:left w:val="nil"/>
                <w:bottom w:val="nil"/>
                <w:right w:val="nil"/>
                <w:between w:val="nil"/>
              </w:pBdr>
              <w:tabs>
                <w:tab w:val="left" w:pos="284"/>
              </w:tabs>
              <w:jc w:val="center"/>
              <w:rPr>
                <w:sz w:val="20"/>
                <w:szCs w:val="20"/>
              </w:rPr>
            </w:pPr>
            <w:r w:rsidRPr="00C04588">
              <w:rPr>
                <w:sz w:val="20"/>
                <w:szCs w:val="20"/>
              </w:rPr>
              <w:t>26.</w:t>
            </w:r>
          </w:p>
        </w:tc>
        <w:tc>
          <w:tcPr>
            <w:tcW w:w="884" w:type="pct"/>
          </w:tcPr>
          <w:p w14:paraId="7AC5B0B1" w14:textId="4BD60FC9" w:rsidR="00CE4609" w:rsidRPr="00C04588" w:rsidRDefault="00CE4609" w:rsidP="00A37147">
            <w:pPr>
              <w:pBdr>
                <w:top w:val="nil"/>
                <w:left w:val="nil"/>
                <w:bottom w:val="nil"/>
                <w:right w:val="nil"/>
                <w:between w:val="nil"/>
              </w:pBdr>
              <w:tabs>
                <w:tab w:val="left" w:pos="284"/>
              </w:tabs>
              <w:jc w:val="center"/>
              <w:rPr>
                <w:sz w:val="20"/>
                <w:szCs w:val="20"/>
              </w:rPr>
            </w:pPr>
            <w:r w:rsidRPr="00C04588">
              <w:rPr>
                <w:sz w:val="20"/>
                <w:szCs w:val="20"/>
              </w:rPr>
              <w:t>Catalina Hoyos Jiménez</w:t>
            </w:r>
            <w:r w:rsidRPr="00C04588">
              <w:rPr>
                <w:rStyle w:val="Refdenotaalpie"/>
                <w:sz w:val="20"/>
                <w:szCs w:val="20"/>
              </w:rPr>
              <w:footnoteReference w:id="65"/>
            </w:r>
          </w:p>
        </w:tc>
        <w:tc>
          <w:tcPr>
            <w:tcW w:w="883" w:type="pct"/>
          </w:tcPr>
          <w:p w14:paraId="0D187C47" w14:textId="3E6CB9B6"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616F65" w:rsidRPr="00C04588">
              <w:rPr>
                <w:sz w:val="20"/>
                <w:szCs w:val="20"/>
                <w:lang w:val="es-ES"/>
              </w:rPr>
              <w:t>le</w:t>
            </w:r>
          </w:p>
        </w:tc>
        <w:tc>
          <w:tcPr>
            <w:tcW w:w="2915" w:type="pct"/>
          </w:tcPr>
          <w:p w14:paraId="34B8FB71" w14:textId="7F64E0ED" w:rsidR="00CE4609" w:rsidRPr="00C04588" w:rsidRDefault="00231874" w:rsidP="00231874">
            <w:pPr>
              <w:pStyle w:val="Textocomentario"/>
              <w:jc w:val="both"/>
            </w:pPr>
            <w:r w:rsidRPr="00C04588">
              <w:t>Aseguró que</w:t>
            </w:r>
            <w:r w:rsidR="002C7645" w:rsidRPr="00C04588">
              <w:t xml:space="preserve"> el DL1474 no cumple con el requisito de suscripción</w:t>
            </w:r>
            <w:r w:rsidR="0083027B" w:rsidRPr="00C04588">
              <w:t xml:space="preserve"> y tampoco</w:t>
            </w:r>
            <w:r w:rsidRPr="00C04588">
              <w:t xml:space="preserve"> supera los juicios de finalidad, conexidad material, motivación suficiente, ausencia de arbitrariedad, intangibilidad, no contradicción específica, incompatibilidad, necesidad, proporcionalidad y no discriminación. </w:t>
            </w:r>
          </w:p>
        </w:tc>
      </w:tr>
      <w:tr w:rsidR="00C04588" w:rsidRPr="00C04588" w14:paraId="376D9C38" w14:textId="3792DBA5" w:rsidTr="009D2CD4">
        <w:tblPrEx>
          <w:jc w:val="left"/>
          <w:tblLook w:val="04A0" w:firstRow="1" w:lastRow="0" w:firstColumn="1" w:lastColumn="0" w:noHBand="0" w:noVBand="1"/>
        </w:tblPrEx>
        <w:tc>
          <w:tcPr>
            <w:tcW w:w="318" w:type="pct"/>
            <w:shd w:val="clear" w:color="auto" w:fill="B8CCE4" w:themeFill="accent1" w:themeFillTint="66"/>
          </w:tcPr>
          <w:p w14:paraId="2F78E406" w14:textId="26A67699" w:rsidR="00CE4609" w:rsidRPr="00C04588" w:rsidRDefault="00CE4609" w:rsidP="001E737D">
            <w:pPr>
              <w:pBdr>
                <w:top w:val="nil"/>
                <w:left w:val="nil"/>
                <w:bottom w:val="nil"/>
                <w:right w:val="nil"/>
                <w:between w:val="nil"/>
              </w:pBdr>
              <w:tabs>
                <w:tab w:val="left" w:pos="284"/>
              </w:tabs>
              <w:jc w:val="center"/>
              <w:rPr>
                <w:sz w:val="20"/>
                <w:szCs w:val="20"/>
              </w:rPr>
            </w:pPr>
            <w:r w:rsidRPr="00C04588">
              <w:rPr>
                <w:sz w:val="20"/>
                <w:szCs w:val="20"/>
              </w:rPr>
              <w:t>27.</w:t>
            </w:r>
          </w:p>
        </w:tc>
        <w:tc>
          <w:tcPr>
            <w:tcW w:w="884" w:type="pct"/>
          </w:tcPr>
          <w:p w14:paraId="4BD08E40" w14:textId="6361052A" w:rsidR="00CE4609" w:rsidRPr="00C04588" w:rsidRDefault="00CE4609" w:rsidP="001E737D">
            <w:pPr>
              <w:pBdr>
                <w:top w:val="nil"/>
                <w:left w:val="nil"/>
                <w:bottom w:val="nil"/>
                <w:right w:val="nil"/>
                <w:between w:val="nil"/>
              </w:pBdr>
              <w:tabs>
                <w:tab w:val="left" w:pos="284"/>
              </w:tabs>
              <w:jc w:val="center"/>
              <w:rPr>
                <w:sz w:val="20"/>
                <w:szCs w:val="20"/>
              </w:rPr>
            </w:pPr>
            <w:r w:rsidRPr="00C04588">
              <w:rPr>
                <w:sz w:val="20"/>
                <w:szCs w:val="20"/>
              </w:rPr>
              <w:t>Jaime Alberto Vargas Cifuentes y Juan Sebastián Bustillo Martínez</w:t>
            </w:r>
            <w:r w:rsidRPr="00C04588">
              <w:rPr>
                <w:rStyle w:val="Refdenotaalpie"/>
                <w:sz w:val="20"/>
                <w:szCs w:val="20"/>
              </w:rPr>
              <w:footnoteReference w:id="66"/>
            </w:r>
            <w:r w:rsidRPr="00C04588">
              <w:rPr>
                <w:sz w:val="20"/>
                <w:szCs w:val="20"/>
              </w:rPr>
              <w:t xml:space="preserve"> </w:t>
            </w:r>
          </w:p>
        </w:tc>
        <w:tc>
          <w:tcPr>
            <w:tcW w:w="883" w:type="pct"/>
          </w:tcPr>
          <w:p w14:paraId="1AEDFF73" w14:textId="42095911" w:rsidR="00CE4609" w:rsidRPr="00C04588" w:rsidRDefault="00CE4609"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616F65" w:rsidRPr="00C04588">
              <w:rPr>
                <w:sz w:val="20"/>
                <w:szCs w:val="20"/>
                <w:lang w:val="es-ES"/>
              </w:rPr>
              <w:t>le</w:t>
            </w:r>
          </w:p>
        </w:tc>
        <w:tc>
          <w:tcPr>
            <w:tcW w:w="2915" w:type="pct"/>
          </w:tcPr>
          <w:p w14:paraId="18010842" w14:textId="0611BD73" w:rsidR="00CE4609" w:rsidRPr="00C04588" w:rsidRDefault="00D7530A" w:rsidP="00D753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Señalaron que el déficit fiscal y financiero que motivó el estado de emergencia económica y social respondía a problemas de caja y de programación presupuestal que eran previsibles</w:t>
            </w:r>
            <w:r w:rsidR="00B05C8B" w:rsidRPr="00C04588">
              <w:rPr>
                <w:sz w:val="20"/>
                <w:szCs w:val="20"/>
              </w:rPr>
              <w:t xml:space="preserve">. </w:t>
            </w:r>
            <w:r w:rsidRPr="00C04588">
              <w:rPr>
                <w:sz w:val="20"/>
                <w:szCs w:val="20"/>
              </w:rPr>
              <w:t xml:space="preserve">Adicionalmente, advirtieron </w:t>
            </w:r>
            <w:r w:rsidR="0083027B" w:rsidRPr="00C04588">
              <w:rPr>
                <w:sz w:val="20"/>
                <w:szCs w:val="20"/>
              </w:rPr>
              <w:t xml:space="preserve">que </w:t>
            </w:r>
            <w:r w:rsidRPr="00C04588">
              <w:rPr>
                <w:sz w:val="20"/>
                <w:szCs w:val="20"/>
              </w:rPr>
              <w:t xml:space="preserve">el DL1474 </w:t>
            </w:r>
            <w:r w:rsidR="0083027B" w:rsidRPr="00C04588">
              <w:rPr>
                <w:sz w:val="20"/>
                <w:szCs w:val="20"/>
              </w:rPr>
              <w:t xml:space="preserve">desconoce la </w:t>
            </w:r>
            <w:r w:rsidRPr="00C04588">
              <w:rPr>
                <w:sz w:val="20"/>
                <w:szCs w:val="20"/>
              </w:rPr>
              <w:t xml:space="preserve">autonomía de los departamentos. </w:t>
            </w:r>
          </w:p>
        </w:tc>
      </w:tr>
      <w:tr w:rsidR="00670661" w:rsidRPr="00C04588" w14:paraId="4ED03005" w14:textId="77777777" w:rsidTr="009D2CD4">
        <w:tblPrEx>
          <w:jc w:val="left"/>
          <w:tblLook w:val="04A0" w:firstRow="1" w:lastRow="0" w:firstColumn="1" w:lastColumn="0" w:noHBand="0" w:noVBand="1"/>
        </w:tblPrEx>
        <w:tc>
          <w:tcPr>
            <w:tcW w:w="318" w:type="pct"/>
            <w:shd w:val="clear" w:color="auto" w:fill="B8CCE4" w:themeFill="accent1" w:themeFillTint="66"/>
          </w:tcPr>
          <w:p w14:paraId="7D8BBFC5" w14:textId="31D255F2" w:rsidR="00670661" w:rsidRPr="00C04588" w:rsidRDefault="00670661" w:rsidP="001E737D">
            <w:pPr>
              <w:pBdr>
                <w:top w:val="nil"/>
                <w:left w:val="nil"/>
                <w:bottom w:val="nil"/>
                <w:right w:val="nil"/>
                <w:between w:val="nil"/>
              </w:pBdr>
              <w:tabs>
                <w:tab w:val="left" w:pos="284"/>
              </w:tabs>
              <w:jc w:val="center"/>
              <w:rPr>
                <w:sz w:val="20"/>
                <w:szCs w:val="20"/>
              </w:rPr>
            </w:pPr>
            <w:r w:rsidRPr="00C04588">
              <w:rPr>
                <w:sz w:val="20"/>
                <w:szCs w:val="20"/>
              </w:rPr>
              <w:t>28.</w:t>
            </w:r>
          </w:p>
        </w:tc>
        <w:tc>
          <w:tcPr>
            <w:tcW w:w="884" w:type="pct"/>
          </w:tcPr>
          <w:p w14:paraId="7548DBCE" w14:textId="2EF50ACA" w:rsidR="00670661" w:rsidRPr="00C04588" w:rsidRDefault="00670661" w:rsidP="001E737D">
            <w:pPr>
              <w:pBdr>
                <w:top w:val="nil"/>
                <w:left w:val="nil"/>
                <w:bottom w:val="nil"/>
                <w:right w:val="nil"/>
                <w:between w:val="nil"/>
              </w:pBdr>
              <w:tabs>
                <w:tab w:val="left" w:pos="284"/>
              </w:tabs>
              <w:jc w:val="center"/>
              <w:rPr>
                <w:sz w:val="20"/>
                <w:szCs w:val="20"/>
              </w:rPr>
            </w:pPr>
            <w:r w:rsidRPr="00C04588">
              <w:rPr>
                <w:sz w:val="20"/>
                <w:szCs w:val="20"/>
              </w:rPr>
              <w:t>Blanca Stella de García</w:t>
            </w:r>
            <w:r w:rsidRPr="00C04588">
              <w:rPr>
                <w:rStyle w:val="Refdenotaalpie"/>
                <w:sz w:val="20"/>
                <w:szCs w:val="20"/>
              </w:rPr>
              <w:footnoteReference w:id="67"/>
            </w:r>
          </w:p>
        </w:tc>
        <w:tc>
          <w:tcPr>
            <w:tcW w:w="883" w:type="pct"/>
          </w:tcPr>
          <w:p w14:paraId="072555C4" w14:textId="76B08BC7" w:rsidR="00670661" w:rsidRPr="00C04588" w:rsidRDefault="00670661"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No precisó</w:t>
            </w:r>
          </w:p>
        </w:tc>
        <w:tc>
          <w:tcPr>
            <w:tcW w:w="2915" w:type="pct"/>
          </w:tcPr>
          <w:p w14:paraId="3E57F148" w14:textId="0BE01793" w:rsidR="00670661" w:rsidRPr="00C04588" w:rsidRDefault="00670661" w:rsidP="00D753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Señaló que las normas sobre reducciones a sanciones e intereses resultaban beneficiosas para la ciudadanía.</w:t>
            </w:r>
          </w:p>
        </w:tc>
      </w:tr>
    </w:tbl>
    <w:p w14:paraId="3D3D0D79" w14:textId="42C764ED" w:rsidR="009127A7" w:rsidRPr="00C04588" w:rsidRDefault="009127A7" w:rsidP="008E61BF">
      <w:pPr>
        <w:widowControl w:val="0"/>
        <w:pBdr>
          <w:top w:val="nil"/>
          <w:left w:val="nil"/>
          <w:bottom w:val="nil"/>
          <w:right w:val="nil"/>
          <w:between w:val="nil"/>
        </w:pBdr>
        <w:tabs>
          <w:tab w:val="left" w:pos="426"/>
        </w:tabs>
        <w:jc w:val="both"/>
        <w:rPr>
          <w:sz w:val="28"/>
          <w:szCs w:val="28"/>
        </w:rPr>
      </w:pPr>
    </w:p>
    <w:p w14:paraId="7677BB86" w14:textId="257547F4" w:rsidR="005E37ED" w:rsidRPr="00C04588" w:rsidRDefault="005E37ED" w:rsidP="005E37ED">
      <w:pPr>
        <w:widowControl w:val="0"/>
        <w:pBdr>
          <w:top w:val="nil"/>
          <w:left w:val="nil"/>
          <w:bottom w:val="nil"/>
          <w:right w:val="nil"/>
          <w:between w:val="nil"/>
        </w:pBdr>
        <w:tabs>
          <w:tab w:val="left" w:pos="426"/>
        </w:tabs>
        <w:jc w:val="center"/>
        <w:rPr>
          <w:sz w:val="20"/>
          <w:szCs w:val="20"/>
        </w:rPr>
      </w:pPr>
      <w:r w:rsidRPr="00C04588">
        <w:rPr>
          <w:sz w:val="20"/>
          <w:szCs w:val="20"/>
        </w:rPr>
        <w:t xml:space="preserve">Tabla </w:t>
      </w:r>
      <w:r w:rsidR="00713B5E" w:rsidRPr="00C04588">
        <w:rPr>
          <w:sz w:val="20"/>
          <w:szCs w:val="20"/>
        </w:rPr>
        <w:t>3</w:t>
      </w:r>
      <w:r w:rsidRPr="00C04588">
        <w:rPr>
          <w:sz w:val="20"/>
          <w:szCs w:val="20"/>
        </w:rPr>
        <w:t>. Intervenciones de entidades</w:t>
      </w:r>
      <w:r w:rsidR="005D6B6A" w:rsidRPr="00C04588">
        <w:rPr>
          <w:sz w:val="20"/>
          <w:szCs w:val="20"/>
        </w:rPr>
        <w:t>,</w:t>
      </w:r>
      <w:r w:rsidRPr="00C04588">
        <w:rPr>
          <w:sz w:val="20"/>
          <w:szCs w:val="20"/>
        </w:rPr>
        <w:t xml:space="preserve"> organizaciones</w:t>
      </w:r>
      <w:r w:rsidR="005D6B6A" w:rsidRPr="00C04588">
        <w:rPr>
          <w:sz w:val="20"/>
          <w:szCs w:val="20"/>
        </w:rPr>
        <w:t xml:space="preserve"> y universidades</w:t>
      </w:r>
    </w:p>
    <w:tbl>
      <w:tblPr>
        <w:tblStyle w:val="Tablaconcuadrcula"/>
        <w:tblW w:w="5000" w:type="pct"/>
        <w:tblLayout w:type="fixed"/>
        <w:tblLook w:val="04A0" w:firstRow="1" w:lastRow="0" w:firstColumn="1" w:lastColumn="0" w:noHBand="0" w:noVBand="1"/>
      </w:tblPr>
      <w:tblGrid>
        <w:gridCol w:w="561"/>
        <w:gridCol w:w="1561"/>
        <w:gridCol w:w="1559"/>
        <w:gridCol w:w="5147"/>
      </w:tblGrid>
      <w:tr w:rsidR="00C04588" w:rsidRPr="00C04588" w14:paraId="44F01E73" w14:textId="750E5CDC" w:rsidTr="009D2CD4">
        <w:tc>
          <w:tcPr>
            <w:tcW w:w="318" w:type="pct"/>
            <w:shd w:val="clear" w:color="auto" w:fill="B8CCE4" w:themeFill="accent1" w:themeFillTint="66"/>
          </w:tcPr>
          <w:p w14:paraId="22194134" w14:textId="77777777" w:rsidR="002567E0" w:rsidRPr="00C04588" w:rsidRDefault="002567E0" w:rsidP="00746106">
            <w:pPr>
              <w:pBdr>
                <w:top w:val="nil"/>
                <w:left w:val="nil"/>
                <w:bottom w:val="nil"/>
                <w:right w:val="nil"/>
                <w:between w:val="nil"/>
              </w:pBdr>
              <w:tabs>
                <w:tab w:val="left" w:pos="284"/>
              </w:tabs>
              <w:jc w:val="center"/>
              <w:rPr>
                <w:b/>
                <w:sz w:val="20"/>
                <w:szCs w:val="20"/>
              </w:rPr>
            </w:pPr>
          </w:p>
        </w:tc>
        <w:tc>
          <w:tcPr>
            <w:tcW w:w="884" w:type="pct"/>
            <w:shd w:val="clear" w:color="auto" w:fill="B8CCE4" w:themeFill="accent1" w:themeFillTint="66"/>
          </w:tcPr>
          <w:p w14:paraId="6B54B251" w14:textId="716746EF" w:rsidR="002567E0" w:rsidRPr="00C04588" w:rsidRDefault="002567E0" w:rsidP="00746106">
            <w:pPr>
              <w:pBdr>
                <w:top w:val="nil"/>
                <w:left w:val="nil"/>
                <w:bottom w:val="nil"/>
                <w:right w:val="nil"/>
                <w:between w:val="nil"/>
              </w:pBdr>
              <w:tabs>
                <w:tab w:val="left" w:pos="284"/>
              </w:tabs>
              <w:jc w:val="center"/>
              <w:rPr>
                <w:b/>
                <w:sz w:val="20"/>
                <w:szCs w:val="20"/>
              </w:rPr>
            </w:pPr>
            <w:r w:rsidRPr="00C04588">
              <w:rPr>
                <w:b/>
                <w:sz w:val="20"/>
                <w:szCs w:val="20"/>
              </w:rPr>
              <w:t>Interviniente</w:t>
            </w:r>
          </w:p>
        </w:tc>
        <w:tc>
          <w:tcPr>
            <w:tcW w:w="883" w:type="pct"/>
            <w:shd w:val="clear" w:color="auto" w:fill="B8CCE4" w:themeFill="accent1" w:themeFillTint="66"/>
          </w:tcPr>
          <w:p w14:paraId="2B49AFF5" w14:textId="0C85E6E2" w:rsidR="002567E0" w:rsidRPr="00C04588" w:rsidRDefault="002567E0" w:rsidP="005E37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0"/>
                <w:szCs w:val="20"/>
              </w:rPr>
            </w:pPr>
            <w:r w:rsidRPr="00C04588">
              <w:rPr>
                <w:b/>
                <w:sz w:val="20"/>
                <w:szCs w:val="20"/>
              </w:rPr>
              <w:t>Solicitud</w:t>
            </w:r>
          </w:p>
        </w:tc>
        <w:tc>
          <w:tcPr>
            <w:tcW w:w="2915" w:type="pct"/>
            <w:shd w:val="clear" w:color="auto" w:fill="B8CCE4" w:themeFill="accent1" w:themeFillTint="66"/>
          </w:tcPr>
          <w:p w14:paraId="430D6134" w14:textId="228CC520" w:rsidR="002567E0" w:rsidRPr="00C04588" w:rsidRDefault="002567E0" w:rsidP="005E37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0"/>
                <w:szCs w:val="20"/>
              </w:rPr>
            </w:pPr>
            <w:r w:rsidRPr="00C04588">
              <w:rPr>
                <w:b/>
                <w:sz w:val="20"/>
                <w:szCs w:val="20"/>
              </w:rPr>
              <w:t>Argumentación</w:t>
            </w:r>
          </w:p>
        </w:tc>
      </w:tr>
      <w:tr w:rsidR="00C04588" w:rsidRPr="00C04588" w14:paraId="4F4723C9" w14:textId="7356D656" w:rsidTr="009D2CD4">
        <w:tc>
          <w:tcPr>
            <w:tcW w:w="318" w:type="pct"/>
            <w:shd w:val="clear" w:color="auto" w:fill="B8CCE4" w:themeFill="accent1" w:themeFillTint="66"/>
          </w:tcPr>
          <w:p w14:paraId="66623332" w14:textId="3F0F63DA"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1.</w:t>
            </w:r>
          </w:p>
        </w:tc>
        <w:tc>
          <w:tcPr>
            <w:tcW w:w="884" w:type="pct"/>
          </w:tcPr>
          <w:p w14:paraId="1E8D6591" w14:textId="7BAAC6ED" w:rsidR="002567E0" w:rsidRPr="00C04588" w:rsidRDefault="00616F65" w:rsidP="00746106">
            <w:pPr>
              <w:pBdr>
                <w:top w:val="nil"/>
                <w:left w:val="nil"/>
                <w:bottom w:val="nil"/>
                <w:right w:val="nil"/>
                <w:between w:val="nil"/>
              </w:pBdr>
              <w:tabs>
                <w:tab w:val="left" w:pos="284"/>
              </w:tabs>
              <w:jc w:val="center"/>
              <w:rPr>
                <w:sz w:val="20"/>
                <w:szCs w:val="20"/>
              </w:rPr>
            </w:pPr>
            <w:r w:rsidRPr="00C04588">
              <w:rPr>
                <w:sz w:val="20"/>
                <w:szCs w:val="20"/>
              </w:rPr>
              <w:t>G</w:t>
            </w:r>
            <w:r w:rsidR="00DC0C97" w:rsidRPr="00C04588">
              <w:rPr>
                <w:sz w:val="20"/>
                <w:szCs w:val="20"/>
              </w:rPr>
              <w:t>obierno nacional</w:t>
            </w:r>
            <w:r w:rsidR="002567E0" w:rsidRPr="00C04588">
              <w:rPr>
                <w:rStyle w:val="Refdenotaalpie"/>
                <w:sz w:val="20"/>
                <w:szCs w:val="20"/>
              </w:rPr>
              <w:footnoteReference w:id="68"/>
            </w:r>
          </w:p>
        </w:tc>
        <w:tc>
          <w:tcPr>
            <w:tcW w:w="883" w:type="pct"/>
          </w:tcPr>
          <w:p w14:paraId="317E2466" w14:textId="619E658F"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Exequi</w:t>
            </w:r>
            <w:r w:rsidR="00616F65" w:rsidRPr="00C04588">
              <w:rPr>
                <w:sz w:val="20"/>
                <w:szCs w:val="20"/>
              </w:rPr>
              <w:t>ble</w:t>
            </w:r>
          </w:p>
        </w:tc>
        <w:tc>
          <w:tcPr>
            <w:tcW w:w="2915" w:type="pct"/>
          </w:tcPr>
          <w:p w14:paraId="6569A843" w14:textId="1E11F02E" w:rsidR="002567E0" w:rsidRPr="00C04588" w:rsidRDefault="00CF6E3F"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Señaló que el DL1474 cumple con los requisitos formales y materiales para su expedición. </w:t>
            </w:r>
            <w:r w:rsidR="00CD52C5" w:rsidRPr="00C04588">
              <w:rPr>
                <w:sz w:val="20"/>
                <w:szCs w:val="20"/>
              </w:rPr>
              <w:t xml:space="preserve">Adicionalmente, </w:t>
            </w:r>
            <w:r w:rsidRPr="00C04588">
              <w:rPr>
                <w:sz w:val="20"/>
                <w:szCs w:val="20"/>
              </w:rPr>
              <w:t xml:space="preserve">cuenta con motivación suficiente y supera los juicios de finalidad, conexidad, necesidad, ausencia de arbitrariedad, intangibilidad, no contradicción específica, incompatibilidad, proporcionalidad y no discriminación. </w:t>
            </w:r>
          </w:p>
        </w:tc>
      </w:tr>
      <w:tr w:rsidR="00C04588" w:rsidRPr="00C04588" w14:paraId="0BB204A0" w14:textId="2168F878" w:rsidTr="009D2CD4">
        <w:tc>
          <w:tcPr>
            <w:tcW w:w="318" w:type="pct"/>
            <w:shd w:val="clear" w:color="auto" w:fill="B8CCE4" w:themeFill="accent1" w:themeFillTint="66"/>
          </w:tcPr>
          <w:p w14:paraId="6BE4FA1C" w14:textId="7989AB0A"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2.</w:t>
            </w:r>
          </w:p>
        </w:tc>
        <w:tc>
          <w:tcPr>
            <w:tcW w:w="884" w:type="pct"/>
          </w:tcPr>
          <w:p w14:paraId="38850EFC" w14:textId="6053049E"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Ministerio de Transporte</w:t>
            </w:r>
            <w:r w:rsidRPr="00C04588">
              <w:rPr>
                <w:rStyle w:val="Refdenotaalpie"/>
                <w:sz w:val="20"/>
                <w:szCs w:val="20"/>
              </w:rPr>
              <w:footnoteReference w:id="69"/>
            </w:r>
          </w:p>
        </w:tc>
        <w:tc>
          <w:tcPr>
            <w:tcW w:w="883" w:type="pct"/>
          </w:tcPr>
          <w:p w14:paraId="639CA6A5" w14:textId="14AB1BB5"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Exequib</w:t>
            </w:r>
            <w:r w:rsidR="00616F65" w:rsidRPr="00C04588">
              <w:rPr>
                <w:sz w:val="20"/>
                <w:szCs w:val="20"/>
              </w:rPr>
              <w:t>le</w:t>
            </w:r>
          </w:p>
        </w:tc>
        <w:tc>
          <w:tcPr>
            <w:tcW w:w="2915" w:type="pct"/>
          </w:tcPr>
          <w:p w14:paraId="5310DD2C" w14:textId="02E52CF2" w:rsidR="002567E0" w:rsidRPr="00C04588" w:rsidRDefault="00A04D02"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Indicó que la norma objeto de revisión se dirige directa y específicamente a obtener los recursos necesarios para atender las causas que justificaron el estado de emergencia económica y social. Lo anterior, </w:t>
            </w:r>
            <w:r w:rsidR="002D67FE" w:rsidRPr="00C04588">
              <w:rPr>
                <w:sz w:val="20"/>
                <w:szCs w:val="20"/>
              </w:rPr>
              <w:t xml:space="preserve">porque </w:t>
            </w:r>
            <w:r w:rsidRPr="00C04588">
              <w:rPr>
                <w:sz w:val="20"/>
                <w:szCs w:val="20"/>
              </w:rPr>
              <w:t xml:space="preserve">se </w:t>
            </w:r>
            <w:r w:rsidR="00A07B41" w:rsidRPr="00C04588">
              <w:rPr>
                <w:sz w:val="20"/>
                <w:szCs w:val="20"/>
              </w:rPr>
              <w:t xml:space="preserve">orienta </w:t>
            </w:r>
            <w:r w:rsidRPr="00C04588">
              <w:rPr>
                <w:sz w:val="20"/>
                <w:szCs w:val="20"/>
              </w:rPr>
              <w:t xml:space="preserve">a aliviar la presión fiscal extraordinaria y asegurar la sostenibilidad financiera. </w:t>
            </w:r>
          </w:p>
        </w:tc>
      </w:tr>
      <w:tr w:rsidR="00C04588" w:rsidRPr="00C04588" w14:paraId="62C3507B" w14:textId="4901C90F" w:rsidTr="009D2CD4">
        <w:tc>
          <w:tcPr>
            <w:tcW w:w="318" w:type="pct"/>
            <w:shd w:val="clear" w:color="auto" w:fill="B8CCE4" w:themeFill="accent1" w:themeFillTint="66"/>
          </w:tcPr>
          <w:p w14:paraId="477CA47C" w14:textId="3C3C8282"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3.</w:t>
            </w:r>
          </w:p>
        </w:tc>
        <w:tc>
          <w:tcPr>
            <w:tcW w:w="884" w:type="pct"/>
          </w:tcPr>
          <w:p w14:paraId="3B94DA63" w14:textId="4A5C06C6"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Ministerio de Educación Nacional</w:t>
            </w:r>
            <w:r w:rsidRPr="00C04588">
              <w:rPr>
                <w:rStyle w:val="Refdenotaalpie"/>
                <w:sz w:val="20"/>
                <w:szCs w:val="20"/>
              </w:rPr>
              <w:footnoteReference w:id="70"/>
            </w:r>
          </w:p>
        </w:tc>
        <w:tc>
          <w:tcPr>
            <w:tcW w:w="883" w:type="pct"/>
          </w:tcPr>
          <w:p w14:paraId="588AE014" w14:textId="0352B2CB"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Exequib</w:t>
            </w:r>
            <w:r w:rsidR="00616F65" w:rsidRPr="00C04588">
              <w:rPr>
                <w:sz w:val="20"/>
                <w:szCs w:val="20"/>
              </w:rPr>
              <w:t>le</w:t>
            </w:r>
          </w:p>
        </w:tc>
        <w:tc>
          <w:tcPr>
            <w:tcW w:w="2915" w:type="pct"/>
          </w:tcPr>
          <w:p w14:paraId="648B29C0" w14:textId="40EADAA7" w:rsidR="002567E0" w:rsidRPr="00C04588" w:rsidRDefault="00A04D02"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Señaló que el DL1474 cumple con los requisitos formales y materiales para su expedición. </w:t>
            </w:r>
          </w:p>
        </w:tc>
      </w:tr>
      <w:tr w:rsidR="00C04588" w:rsidRPr="00C04588" w14:paraId="7E8092CA" w14:textId="49CD9AC4" w:rsidTr="009D2CD4">
        <w:tc>
          <w:tcPr>
            <w:tcW w:w="318" w:type="pct"/>
            <w:shd w:val="clear" w:color="auto" w:fill="B8CCE4" w:themeFill="accent1" w:themeFillTint="66"/>
          </w:tcPr>
          <w:p w14:paraId="2054C1DB" w14:textId="3447DA9F"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4.</w:t>
            </w:r>
          </w:p>
        </w:tc>
        <w:tc>
          <w:tcPr>
            <w:tcW w:w="884" w:type="pct"/>
          </w:tcPr>
          <w:p w14:paraId="47682B31" w14:textId="13BEF8A0"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Instituto de Ciencia Política Hernán Echavarría Olózaga</w:t>
            </w:r>
            <w:r w:rsidRPr="00C04588">
              <w:rPr>
                <w:rStyle w:val="Refdenotaalpie"/>
                <w:sz w:val="20"/>
                <w:szCs w:val="20"/>
              </w:rPr>
              <w:footnoteReference w:id="71"/>
            </w:r>
          </w:p>
        </w:tc>
        <w:tc>
          <w:tcPr>
            <w:tcW w:w="883" w:type="pct"/>
          </w:tcPr>
          <w:p w14:paraId="024DD211" w14:textId="1DF62338"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 xml:space="preserve">Estarse a lo resuelto en la Sentencia C-489 de 2023 y, </w:t>
            </w:r>
            <w:r w:rsidR="00A04D02" w:rsidRPr="00C04588">
              <w:rPr>
                <w:sz w:val="20"/>
                <w:szCs w:val="20"/>
                <w:lang w:val="es-ES"/>
              </w:rPr>
              <w:t>por ende</w:t>
            </w:r>
            <w:r w:rsidRPr="00C04588">
              <w:rPr>
                <w:sz w:val="20"/>
                <w:szCs w:val="20"/>
                <w:lang w:val="es-ES"/>
              </w:rPr>
              <w:t xml:space="preserve">, declarar la inexequibilidad </w:t>
            </w:r>
            <w:r w:rsidRPr="00C04588">
              <w:rPr>
                <w:sz w:val="20"/>
                <w:szCs w:val="20"/>
              </w:rPr>
              <w:t>del artículo 14 del DL1474</w:t>
            </w:r>
          </w:p>
        </w:tc>
        <w:tc>
          <w:tcPr>
            <w:tcW w:w="2915" w:type="pct"/>
          </w:tcPr>
          <w:p w14:paraId="6FB7403F" w14:textId="635C9AE8" w:rsidR="002567E0" w:rsidRPr="00C04588" w:rsidRDefault="00F1142A"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rPr>
              <w:t>Afirmó</w:t>
            </w:r>
            <w:r w:rsidR="00A04D02" w:rsidRPr="00C04588">
              <w:rPr>
                <w:sz w:val="20"/>
                <w:szCs w:val="20"/>
                <w:lang w:val="es-ES"/>
              </w:rPr>
              <w:t xml:space="preserve"> que el artículo 14 del DL1474 reproduce el parágrafo 1° del artículo 19 de la Ley 2277 de 2022 que fue declarado inexequible por la Corte Constitucional mediante Sentencia C-489 de 2023. En ese sentido, la norma acusada desconoce la cosa juzgada </w:t>
            </w:r>
            <w:r w:rsidRPr="00C04588">
              <w:rPr>
                <w:sz w:val="20"/>
                <w:szCs w:val="20"/>
                <w:lang w:val="es-ES"/>
              </w:rPr>
              <w:t>constituciona</w:t>
            </w:r>
            <w:r w:rsidR="002D67FE" w:rsidRPr="00C04588">
              <w:rPr>
                <w:sz w:val="20"/>
                <w:szCs w:val="20"/>
                <w:lang w:val="es-ES"/>
              </w:rPr>
              <w:t xml:space="preserve">l. </w:t>
            </w:r>
          </w:p>
        </w:tc>
      </w:tr>
      <w:tr w:rsidR="00C04588" w:rsidRPr="00C04588" w14:paraId="5E1DC8AF" w14:textId="64289211" w:rsidTr="009D2CD4">
        <w:tc>
          <w:tcPr>
            <w:tcW w:w="318" w:type="pct"/>
            <w:shd w:val="clear" w:color="auto" w:fill="B8CCE4" w:themeFill="accent1" w:themeFillTint="66"/>
          </w:tcPr>
          <w:p w14:paraId="346BB641" w14:textId="25B4FD50"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5.</w:t>
            </w:r>
          </w:p>
        </w:tc>
        <w:tc>
          <w:tcPr>
            <w:tcW w:w="884" w:type="pct"/>
          </w:tcPr>
          <w:p w14:paraId="17D30D0E" w14:textId="6E9DBD15"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Colegio Colombiano de Abogados Administrativistas</w:t>
            </w:r>
            <w:r w:rsidRPr="00C04588">
              <w:rPr>
                <w:rStyle w:val="Refdenotaalpie"/>
                <w:sz w:val="20"/>
                <w:szCs w:val="20"/>
              </w:rPr>
              <w:footnoteReference w:id="72"/>
            </w:r>
          </w:p>
        </w:tc>
        <w:tc>
          <w:tcPr>
            <w:tcW w:w="883" w:type="pct"/>
          </w:tcPr>
          <w:p w14:paraId="16A8A064" w14:textId="5749E609"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616F65" w:rsidRPr="00C04588">
              <w:rPr>
                <w:sz w:val="20"/>
                <w:szCs w:val="20"/>
                <w:lang w:val="es-ES"/>
              </w:rPr>
              <w:t>le</w:t>
            </w:r>
          </w:p>
        </w:tc>
        <w:tc>
          <w:tcPr>
            <w:tcW w:w="2915" w:type="pct"/>
          </w:tcPr>
          <w:p w14:paraId="037886A6" w14:textId="490AD291" w:rsidR="002567E0" w:rsidRPr="00C04588" w:rsidRDefault="00F1142A"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Indicó </w:t>
            </w:r>
            <w:r w:rsidR="00F23193" w:rsidRPr="00C04588">
              <w:rPr>
                <w:sz w:val="20"/>
                <w:szCs w:val="20"/>
                <w:lang w:val="es-ES"/>
              </w:rPr>
              <w:t>que las causas que justifican la declaratoria del estado de emergencia económica y social y la expedición del DL1474 no son sobrevinientes</w:t>
            </w:r>
            <w:r w:rsidR="00B276D5" w:rsidRPr="00C04588">
              <w:rPr>
                <w:sz w:val="20"/>
                <w:szCs w:val="20"/>
                <w:lang w:val="es-ES"/>
              </w:rPr>
              <w:t xml:space="preserve">, extraordinarias </w:t>
            </w:r>
            <w:r w:rsidR="00F23193" w:rsidRPr="00C04588">
              <w:rPr>
                <w:sz w:val="20"/>
                <w:szCs w:val="20"/>
                <w:lang w:val="es-ES"/>
              </w:rPr>
              <w:t xml:space="preserve">ni imprevisibles. </w:t>
            </w:r>
            <w:r w:rsidR="00B276D5" w:rsidRPr="00C04588">
              <w:rPr>
                <w:sz w:val="20"/>
                <w:szCs w:val="20"/>
                <w:lang w:val="es-ES"/>
              </w:rPr>
              <w:t xml:space="preserve">Además, señaló que el </w:t>
            </w:r>
            <w:r w:rsidR="00616F65" w:rsidRPr="00C04588">
              <w:rPr>
                <w:sz w:val="20"/>
                <w:szCs w:val="20"/>
                <w:lang w:val="es-ES"/>
              </w:rPr>
              <w:t>g</w:t>
            </w:r>
            <w:r w:rsidR="00B276D5" w:rsidRPr="00C04588">
              <w:rPr>
                <w:sz w:val="20"/>
                <w:szCs w:val="20"/>
                <w:lang w:val="es-ES"/>
              </w:rPr>
              <w:t>obierno nacional tenía a su disposición mecanismos ordinarios suficientes</w:t>
            </w:r>
            <w:r w:rsidR="002D67FE" w:rsidRPr="00C04588">
              <w:rPr>
                <w:sz w:val="20"/>
                <w:szCs w:val="20"/>
                <w:lang w:val="es-ES"/>
              </w:rPr>
              <w:t xml:space="preserve">. </w:t>
            </w:r>
          </w:p>
        </w:tc>
      </w:tr>
      <w:tr w:rsidR="00C04588" w:rsidRPr="00C04588" w14:paraId="18B2F4C5" w14:textId="41D23412" w:rsidTr="009D2CD4">
        <w:tc>
          <w:tcPr>
            <w:tcW w:w="318" w:type="pct"/>
            <w:shd w:val="clear" w:color="auto" w:fill="B8CCE4" w:themeFill="accent1" w:themeFillTint="66"/>
          </w:tcPr>
          <w:p w14:paraId="45E366D8" w14:textId="1B1FC92B"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6.</w:t>
            </w:r>
          </w:p>
        </w:tc>
        <w:tc>
          <w:tcPr>
            <w:tcW w:w="884" w:type="pct"/>
          </w:tcPr>
          <w:p w14:paraId="258C4D91" w14:textId="233BBD8C"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Federación Nacional de Departamentos</w:t>
            </w:r>
            <w:r w:rsidRPr="00C04588">
              <w:rPr>
                <w:rStyle w:val="Refdenotaalpie"/>
                <w:sz w:val="20"/>
                <w:szCs w:val="20"/>
              </w:rPr>
              <w:footnoteReference w:id="73"/>
            </w:r>
          </w:p>
        </w:tc>
        <w:tc>
          <w:tcPr>
            <w:tcW w:w="883" w:type="pct"/>
          </w:tcPr>
          <w:p w14:paraId="128879BD" w14:textId="1DD23863" w:rsidR="002567E0" w:rsidRPr="00C04588" w:rsidRDefault="002567E0" w:rsidP="00B276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616F65" w:rsidRPr="00C04588">
              <w:rPr>
                <w:sz w:val="20"/>
                <w:szCs w:val="20"/>
              </w:rPr>
              <w:t>le</w:t>
            </w:r>
          </w:p>
        </w:tc>
        <w:tc>
          <w:tcPr>
            <w:tcW w:w="2915" w:type="pct"/>
          </w:tcPr>
          <w:p w14:paraId="38245EFF" w14:textId="6B7CBB2D" w:rsidR="002567E0" w:rsidRPr="00C04588" w:rsidRDefault="00632042" w:rsidP="00632042">
            <w:pPr>
              <w:pStyle w:val="NormalWeb"/>
              <w:jc w:val="both"/>
              <w:rPr>
                <w:sz w:val="20"/>
                <w:szCs w:val="20"/>
              </w:rPr>
            </w:pPr>
            <w:r w:rsidRPr="00C04588">
              <w:rPr>
                <w:sz w:val="20"/>
                <w:szCs w:val="20"/>
                <w:lang w:val="es-ES"/>
              </w:rPr>
              <w:t xml:space="preserve">Señaló que el DL1474 </w:t>
            </w:r>
            <w:r w:rsidRPr="00C04588">
              <w:rPr>
                <w:sz w:val="20"/>
                <w:szCs w:val="20"/>
              </w:rPr>
              <w:t>instrumentaliza el estado de emergencia para introducir una reconfiguración del sistema de rentas territoriales, con efectos materialmente recentralizadores y con impacto directo sobre la autonomía fiscal departamental</w:t>
            </w:r>
            <w:r w:rsidR="002D67FE" w:rsidRPr="00C04588">
              <w:rPr>
                <w:sz w:val="20"/>
                <w:szCs w:val="20"/>
              </w:rPr>
              <w:t xml:space="preserve">. </w:t>
            </w:r>
            <w:r w:rsidRPr="00C04588">
              <w:rPr>
                <w:sz w:val="20"/>
                <w:szCs w:val="20"/>
              </w:rPr>
              <w:t xml:space="preserve"> </w:t>
            </w:r>
          </w:p>
        </w:tc>
      </w:tr>
      <w:tr w:rsidR="00C04588" w:rsidRPr="00C04588" w14:paraId="2F61DA0D" w14:textId="665D28E9" w:rsidTr="009D2CD4">
        <w:tc>
          <w:tcPr>
            <w:tcW w:w="318" w:type="pct"/>
            <w:shd w:val="clear" w:color="auto" w:fill="B8CCE4" w:themeFill="accent1" w:themeFillTint="66"/>
          </w:tcPr>
          <w:p w14:paraId="0EE83CC5" w14:textId="04B43D8C"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7.</w:t>
            </w:r>
          </w:p>
        </w:tc>
        <w:tc>
          <w:tcPr>
            <w:tcW w:w="884" w:type="pct"/>
          </w:tcPr>
          <w:p w14:paraId="2464EA62" w14:textId="3FED5525"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Asociación de Fiduciarias - Asofiduciarias</w:t>
            </w:r>
            <w:r w:rsidRPr="00C04588">
              <w:rPr>
                <w:rStyle w:val="Refdenotaalpie"/>
                <w:sz w:val="20"/>
                <w:szCs w:val="20"/>
              </w:rPr>
              <w:footnoteReference w:id="74"/>
            </w:r>
          </w:p>
        </w:tc>
        <w:tc>
          <w:tcPr>
            <w:tcW w:w="883" w:type="pct"/>
          </w:tcPr>
          <w:p w14:paraId="4E8069A6" w14:textId="146A1844"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Inexequibilidad del artículo 6° del DL1474</w:t>
            </w:r>
          </w:p>
        </w:tc>
        <w:tc>
          <w:tcPr>
            <w:tcW w:w="2915" w:type="pct"/>
          </w:tcPr>
          <w:p w14:paraId="1EF76F67" w14:textId="24C9E065" w:rsidR="002567E0" w:rsidRPr="00C04588" w:rsidRDefault="004C2F3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Señaló que el artículo 6° del DL1474 no está suficientemente motivado y vulnera los principios de igualdad y equidad. Asimismo, aseguró que el </w:t>
            </w:r>
            <w:r w:rsidR="00616F65" w:rsidRPr="00C04588">
              <w:rPr>
                <w:sz w:val="20"/>
                <w:szCs w:val="20"/>
              </w:rPr>
              <w:t>g</w:t>
            </w:r>
            <w:r w:rsidRPr="00C04588">
              <w:rPr>
                <w:sz w:val="20"/>
                <w:szCs w:val="20"/>
              </w:rPr>
              <w:t xml:space="preserve">obierno nacional desconoció la reserva de ley en materia tributaria </w:t>
            </w:r>
            <w:r w:rsidR="004B2A4A" w:rsidRPr="00C04588">
              <w:rPr>
                <w:sz w:val="20"/>
                <w:szCs w:val="20"/>
              </w:rPr>
              <w:t xml:space="preserve">y sustituyó de forma indebida y arbitraria </w:t>
            </w:r>
            <w:r w:rsidR="002D67FE" w:rsidRPr="00C04588">
              <w:rPr>
                <w:sz w:val="20"/>
                <w:szCs w:val="20"/>
              </w:rPr>
              <w:t xml:space="preserve">al </w:t>
            </w:r>
            <w:r w:rsidR="004B2A4A" w:rsidRPr="00C04588">
              <w:rPr>
                <w:sz w:val="20"/>
                <w:szCs w:val="20"/>
              </w:rPr>
              <w:t xml:space="preserve">Congreso de la República. </w:t>
            </w:r>
          </w:p>
        </w:tc>
      </w:tr>
      <w:tr w:rsidR="00C04588" w:rsidRPr="00C04588" w14:paraId="00A5318A" w14:textId="15798675" w:rsidTr="009D2CD4">
        <w:tc>
          <w:tcPr>
            <w:tcW w:w="318" w:type="pct"/>
            <w:shd w:val="clear" w:color="auto" w:fill="B8CCE4" w:themeFill="accent1" w:themeFillTint="66"/>
          </w:tcPr>
          <w:p w14:paraId="28E05B4B" w14:textId="3DD8F758"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8.</w:t>
            </w:r>
          </w:p>
        </w:tc>
        <w:tc>
          <w:tcPr>
            <w:tcW w:w="884" w:type="pct"/>
          </w:tcPr>
          <w:p w14:paraId="57F6E8E8" w14:textId="7E6FFA40"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Corporación Colombiana de Padres y Madres – RED PAPAZ</w:t>
            </w:r>
            <w:r w:rsidRPr="00C04588">
              <w:rPr>
                <w:rStyle w:val="Refdenotaalpie"/>
                <w:sz w:val="20"/>
                <w:szCs w:val="20"/>
              </w:rPr>
              <w:footnoteReference w:id="75"/>
            </w:r>
          </w:p>
        </w:tc>
        <w:tc>
          <w:tcPr>
            <w:tcW w:w="883" w:type="pct"/>
          </w:tcPr>
          <w:p w14:paraId="3651F15C" w14:textId="19636017"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No precisó</w:t>
            </w:r>
          </w:p>
        </w:tc>
        <w:tc>
          <w:tcPr>
            <w:tcW w:w="2915" w:type="pct"/>
          </w:tcPr>
          <w:p w14:paraId="7227E748" w14:textId="65D9B92C" w:rsidR="002567E0" w:rsidRPr="00C04588" w:rsidRDefault="004B2A4A"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Aportó datos técnicos sobre la afectación de la salud por el consumo de sustancias nocivas como las bebidas alcohólicas, el cigarrillo y el tabaco. Finalmente, indicó que medidas tributarias dirigidas a desincentivar el consumo de este tipo de sustancias son efectivas para prevenir y combatir afectaciones a la salud. </w:t>
            </w:r>
          </w:p>
        </w:tc>
      </w:tr>
      <w:tr w:rsidR="00C04588" w:rsidRPr="00C04588" w14:paraId="34AF8221" w14:textId="7FE09882" w:rsidTr="009D2CD4">
        <w:tc>
          <w:tcPr>
            <w:tcW w:w="318" w:type="pct"/>
            <w:shd w:val="clear" w:color="auto" w:fill="B8CCE4" w:themeFill="accent1" w:themeFillTint="66"/>
          </w:tcPr>
          <w:p w14:paraId="23778F5C" w14:textId="553F26CE"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9.</w:t>
            </w:r>
          </w:p>
        </w:tc>
        <w:tc>
          <w:tcPr>
            <w:tcW w:w="884" w:type="pct"/>
          </w:tcPr>
          <w:p w14:paraId="67DAB002" w14:textId="421B1168" w:rsidR="002567E0" w:rsidRPr="00C04588" w:rsidRDefault="002567E0" w:rsidP="004B2A4A">
            <w:pPr>
              <w:widowControl w:val="0"/>
              <w:pBdr>
                <w:top w:val="nil"/>
                <w:left w:val="nil"/>
                <w:bottom w:val="nil"/>
                <w:right w:val="nil"/>
                <w:between w:val="nil"/>
              </w:pBdr>
              <w:tabs>
                <w:tab w:val="left" w:pos="284"/>
              </w:tabs>
              <w:jc w:val="center"/>
              <w:rPr>
                <w:sz w:val="20"/>
                <w:szCs w:val="20"/>
              </w:rPr>
            </w:pPr>
            <w:r w:rsidRPr="00C04588">
              <w:rPr>
                <w:sz w:val="20"/>
                <w:szCs w:val="20"/>
              </w:rPr>
              <w:t>Asociación de Bares y Restaurantes de Colombia - ASOBARES</w:t>
            </w:r>
            <w:r w:rsidRPr="00C04588">
              <w:rPr>
                <w:rStyle w:val="Refdenotaalpie"/>
                <w:sz w:val="20"/>
                <w:szCs w:val="20"/>
              </w:rPr>
              <w:footnoteReference w:id="76"/>
            </w:r>
          </w:p>
        </w:tc>
        <w:tc>
          <w:tcPr>
            <w:tcW w:w="883" w:type="pct"/>
          </w:tcPr>
          <w:p w14:paraId="4B9F2DDE" w14:textId="243C3121"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616F65" w:rsidRPr="00C04588">
              <w:rPr>
                <w:sz w:val="20"/>
                <w:szCs w:val="20"/>
              </w:rPr>
              <w:t>le</w:t>
            </w:r>
          </w:p>
        </w:tc>
        <w:tc>
          <w:tcPr>
            <w:tcW w:w="2915" w:type="pct"/>
          </w:tcPr>
          <w:p w14:paraId="6647AE08" w14:textId="35A9FC86" w:rsidR="002567E0" w:rsidRPr="00C04588" w:rsidRDefault="004B2A4A"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Aseguró que</w:t>
            </w:r>
            <w:r w:rsidR="002D67FE" w:rsidRPr="00C04588">
              <w:rPr>
                <w:sz w:val="20"/>
                <w:szCs w:val="20"/>
                <w:lang w:val="es-ES"/>
              </w:rPr>
              <w:t xml:space="preserve"> el DL1474 no guarda </w:t>
            </w:r>
            <w:r w:rsidRPr="00C04588">
              <w:rPr>
                <w:sz w:val="20"/>
                <w:szCs w:val="20"/>
                <w:lang w:val="es-ES"/>
              </w:rPr>
              <w:t xml:space="preserve">una conexidad material directa con las causas de la crisis invocada; genera una carga impositiva desproporcional respecto de sectores económicos específicos; pretende que el estado de emergencia sea un mecanismo de corrección fiscal estructural y </w:t>
            </w:r>
            <w:r w:rsidR="002D67FE" w:rsidRPr="00C04588">
              <w:rPr>
                <w:sz w:val="20"/>
                <w:szCs w:val="20"/>
                <w:lang w:val="es-ES"/>
              </w:rPr>
              <w:t>tiene</w:t>
            </w:r>
            <w:r w:rsidRPr="00C04588">
              <w:rPr>
                <w:sz w:val="20"/>
                <w:szCs w:val="20"/>
                <w:lang w:val="es-ES"/>
              </w:rPr>
              <w:t xml:space="preserve"> vocación de permanencia. </w:t>
            </w:r>
          </w:p>
        </w:tc>
      </w:tr>
      <w:tr w:rsidR="00C04588" w:rsidRPr="00C04588" w14:paraId="1F4FB5D6" w14:textId="66EC5E04" w:rsidTr="009D2CD4">
        <w:tc>
          <w:tcPr>
            <w:tcW w:w="318" w:type="pct"/>
            <w:shd w:val="clear" w:color="auto" w:fill="B8CCE4" w:themeFill="accent1" w:themeFillTint="66"/>
          </w:tcPr>
          <w:p w14:paraId="3451B211" w14:textId="25738CFE"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10.</w:t>
            </w:r>
          </w:p>
        </w:tc>
        <w:tc>
          <w:tcPr>
            <w:tcW w:w="884" w:type="pct"/>
          </w:tcPr>
          <w:p w14:paraId="4C1FF5B8" w14:textId="3CC38853"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Asociación Nacional de Empresarios de Colombia – ANDI</w:t>
            </w:r>
            <w:r w:rsidRPr="00C04588">
              <w:rPr>
                <w:rStyle w:val="Refdenotaalpie"/>
                <w:sz w:val="20"/>
                <w:szCs w:val="20"/>
              </w:rPr>
              <w:footnoteReference w:id="77"/>
            </w:r>
          </w:p>
        </w:tc>
        <w:tc>
          <w:tcPr>
            <w:tcW w:w="883" w:type="pct"/>
          </w:tcPr>
          <w:p w14:paraId="0122637F" w14:textId="3AA432BB"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616F65" w:rsidRPr="00C04588">
              <w:rPr>
                <w:sz w:val="20"/>
                <w:szCs w:val="20"/>
                <w:lang w:val="es-ES"/>
              </w:rPr>
              <w:t xml:space="preserve">le </w:t>
            </w:r>
            <w:r w:rsidRPr="00C04588">
              <w:rPr>
                <w:sz w:val="20"/>
                <w:szCs w:val="20"/>
                <w:lang w:val="es-ES"/>
              </w:rPr>
              <w:t>con efectos retroactivos a partir de la fecha de su expedición</w:t>
            </w:r>
          </w:p>
        </w:tc>
        <w:tc>
          <w:tcPr>
            <w:tcW w:w="2915" w:type="pct"/>
          </w:tcPr>
          <w:p w14:paraId="14DFBBFD" w14:textId="17AD2E22" w:rsidR="002567E0" w:rsidRPr="00C04588" w:rsidRDefault="004B2A4A" w:rsidP="004B2A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_tradnl" w:eastAsia="es-CO"/>
              </w:rPr>
            </w:pPr>
            <w:r w:rsidRPr="00C04588">
              <w:rPr>
                <w:sz w:val="20"/>
                <w:szCs w:val="20"/>
                <w:lang w:val="es-ES_tradnl" w:eastAsia="es-CO"/>
              </w:rPr>
              <w:t xml:space="preserve">Señaló que “el </w:t>
            </w:r>
            <w:r w:rsidR="0061277A" w:rsidRPr="00C04588">
              <w:rPr>
                <w:sz w:val="20"/>
                <w:szCs w:val="20"/>
                <w:lang w:val="es-ES_tradnl" w:eastAsia="es-CO"/>
              </w:rPr>
              <w:t>[g]</w:t>
            </w:r>
            <w:r w:rsidRPr="00C04588">
              <w:rPr>
                <w:sz w:val="20"/>
                <w:szCs w:val="20"/>
                <w:lang w:val="es-ES_tradnl" w:eastAsia="es-CO"/>
              </w:rPr>
              <w:t>obierno estructura la excepcionalidad alrededor de hechos propios y de un resultado adverso, pero ordinario, dentro de la deliberación democrática</w:t>
            </w:r>
            <w:r w:rsidR="002D67FE" w:rsidRPr="00C04588">
              <w:rPr>
                <w:sz w:val="20"/>
                <w:szCs w:val="20"/>
                <w:lang w:val="es-ES_tradnl" w:eastAsia="es-CO"/>
              </w:rPr>
              <w:t xml:space="preserve">”. </w:t>
            </w:r>
            <w:r w:rsidRPr="00C04588">
              <w:rPr>
                <w:sz w:val="20"/>
                <w:szCs w:val="20"/>
                <w:lang w:val="es-ES_tradnl" w:eastAsia="es-CO"/>
              </w:rPr>
              <w:t xml:space="preserve">Finalmente, indicó que el DL1474 no supera los juicios de </w:t>
            </w:r>
            <w:r w:rsidR="00864F9A" w:rsidRPr="00C04588">
              <w:rPr>
                <w:sz w:val="20"/>
                <w:szCs w:val="20"/>
                <w:lang w:val="es-ES_tradnl" w:eastAsia="es-CO"/>
              </w:rPr>
              <w:t xml:space="preserve">finalidad, conexidad material, motivación suficiente, necesidad y proporcionalidad. </w:t>
            </w:r>
          </w:p>
        </w:tc>
      </w:tr>
      <w:tr w:rsidR="00C04588" w:rsidRPr="00C04588" w14:paraId="5938157F" w14:textId="663B880A" w:rsidTr="009D2CD4">
        <w:tc>
          <w:tcPr>
            <w:tcW w:w="318" w:type="pct"/>
            <w:shd w:val="clear" w:color="auto" w:fill="B8CCE4" w:themeFill="accent1" w:themeFillTint="66"/>
          </w:tcPr>
          <w:p w14:paraId="6B2A3D31" w14:textId="2A3B4BFF"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11.</w:t>
            </w:r>
          </w:p>
        </w:tc>
        <w:tc>
          <w:tcPr>
            <w:tcW w:w="884" w:type="pct"/>
          </w:tcPr>
          <w:p w14:paraId="4FFF9D26" w14:textId="3D290ED1"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Asociación Colombiana de Petróleo y Gas</w:t>
            </w:r>
            <w:r w:rsidRPr="00C04588">
              <w:rPr>
                <w:rStyle w:val="Refdenotaalpie"/>
                <w:sz w:val="20"/>
                <w:szCs w:val="20"/>
              </w:rPr>
              <w:footnoteReference w:id="78"/>
            </w:r>
          </w:p>
        </w:tc>
        <w:tc>
          <w:tcPr>
            <w:tcW w:w="883" w:type="pct"/>
          </w:tcPr>
          <w:p w14:paraId="1C3C87F2" w14:textId="744FF62E"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616F65" w:rsidRPr="00C04588">
              <w:rPr>
                <w:sz w:val="20"/>
                <w:szCs w:val="20"/>
                <w:lang w:val="es-ES"/>
              </w:rPr>
              <w:t>le</w:t>
            </w:r>
            <w:r w:rsidRPr="00C04588">
              <w:rPr>
                <w:sz w:val="20"/>
                <w:szCs w:val="20"/>
                <w:lang w:val="es-ES"/>
              </w:rPr>
              <w:t xml:space="preserve"> con efectos retroactivos a partir de la fecha de su expedición</w:t>
            </w:r>
          </w:p>
        </w:tc>
        <w:tc>
          <w:tcPr>
            <w:tcW w:w="2915" w:type="pct"/>
          </w:tcPr>
          <w:p w14:paraId="14DECB24" w14:textId="2CF9E5E7" w:rsidR="002567E0" w:rsidRPr="00C04588" w:rsidRDefault="00400DCF"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Argumentó qu</w:t>
            </w:r>
            <w:r w:rsidR="002D67FE" w:rsidRPr="00C04588">
              <w:rPr>
                <w:sz w:val="20"/>
                <w:szCs w:val="20"/>
                <w:lang w:val="es-ES"/>
              </w:rPr>
              <w:t>e</w:t>
            </w:r>
            <w:r w:rsidRPr="00C04588">
              <w:rPr>
                <w:sz w:val="20"/>
                <w:szCs w:val="20"/>
                <w:lang w:val="es-ES"/>
              </w:rPr>
              <w:t xml:space="preserve"> ninguna de las causas invocadas por el </w:t>
            </w:r>
            <w:r w:rsidR="00616F65" w:rsidRPr="00C04588">
              <w:rPr>
                <w:sz w:val="20"/>
                <w:szCs w:val="20"/>
                <w:lang w:val="es-ES"/>
              </w:rPr>
              <w:t>g</w:t>
            </w:r>
            <w:r w:rsidRPr="00C04588">
              <w:rPr>
                <w:sz w:val="20"/>
                <w:szCs w:val="20"/>
                <w:lang w:val="es-ES"/>
              </w:rPr>
              <w:t>obierno nacional es sobreviniente</w:t>
            </w:r>
            <w:r w:rsidR="00A07B41" w:rsidRPr="00C04588">
              <w:rPr>
                <w:sz w:val="20"/>
                <w:szCs w:val="20"/>
                <w:lang w:val="es-ES"/>
              </w:rPr>
              <w:t>;</w:t>
            </w:r>
            <w:r w:rsidRPr="00C04588">
              <w:rPr>
                <w:sz w:val="20"/>
                <w:szCs w:val="20"/>
                <w:lang w:val="es-ES"/>
              </w:rPr>
              <w:t xml:space="preserve"> aquellas responden a problemáticas estructurales y crónicas. </w:t>
            </w:r>
            <w:r w:rsidR="002D67FE" w:rsidRPr="00C04588">
              <w:rPr>
                <w:sz w:val="20"/>
                <w:szCs w:val="20"/>
                <w:lang w:val="es-ES"/>
              </w:rPr>
              <w:t>Además, s</w:t>
            </w:r>
            <w:r w:rsidRPr="00C04588">
              <w:rPr>
                <w:sz w:val="20"/>
                <w:szCs w:val="20"/>
                <w:lang w:val="es-ES"/>
              </w:rPr>
              <w:t xml:space="preserve">e contaba con mecanismos ordinarios viables para conjurar </w:t>
            </w:r>
            <w:r w:rsidR="002D67FE" w:rsidRPr="00C04588">
              <w:rPr>
                <w:sz w:val="20"/>
                <w:szCs w:val="20"/>
                <w:lang w:val="es-ES"/>
              </w:rPr>
              <w:t xml:space="preserve">la crisis y </w:t>
            </w:r>
            <w:r w:rsidRPr="00C04588">
              <w:rPr>
                <w:sz w:val="20"/>
                <w:szCs w:val="20"/>
                <w:lang w:val="es-ES"/>
              </w:rPr>
              <w:t>las medidas tributarias adoptadas desconocen la transitoriedad del estado de excepción</w:t>
            </w:r>
            <w:r w:rsidR="002D67FE" w:rsidRPr="00C04588">
              <w:rPr>
                <w:sz w:val="20"/>
                <w:szCs w:val="20"/>
                <w:lang w:val="es-ES"/>
              </w:rPr>
              <w:t xml:space="preserve">. Finalmente, </w:t>
            </w:r>
            <w:r w:rsidRPr="00C04588">
              <w:rPr>
                <w:sz w:val="20"/>
                <w:szCs w:val="20"/>
                <w:lang w:val="es-ES"/>
              </w:rPr>
              <w:t>el artículo 14 del DL1474 vulnera la cosa juzgada constitucional</w:t>
            </w:r>
            <w:r w:rsidR="002D67FE" w:rsidRPr="00C04588">
              <w:rPr>
                <w:sz w:val="20"/>
                <w:szCs w:val="20"/>
                <w:lang w:val="es-ES"/>
              </w:rPr>
              <w:t xml:space="preserve">. </w:t>
            </w:r>
          </w:p>
        </w:tc>
      </w:tr>
      <w:tr w:rsidR="00C04588" w:rsidRPr="00C04588" w14:paraId="47934B42" w14:textId="4223DFF2" w:rsidTr="009D2CD4">
        <w:tc>
          <w:tcPr>
            <w:tcW w:w="318" w:type="pct"/>
            <w:shd w:val="clear" w:color="auto" w:fill="B8CCE4" w:themeFill="accent1" w:themeFillTint="66"/>
          </w:tcPr>
          <w:p w14:paraId="4B04A882" w14:textId="2376676A"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12.</w:t>
            </w:r>
          </w:p>
        </w:tc>
        <w:tc>
          <w:tcPr>
            <w:tcW w:w="884" w:type="pct"/>
          </w:tcPr>
          <w:p w14:paraId="579D8705" w14:textId="4E7A75C3" w:rsidR="002567E0" w:rsidRPr="00C04588" w:rsidRDefault="002567E0" w:rsidP="00746106">
            <w:pPr>
              <w:pBdr>
                <w:top w:val="nil"/>
                <w:left w:val="nil"/>
                <w:bottom w:val="nil"/>
                <w:right w:val="nil"/>
                <w:between w:val="nil"/>
              </w:pBdr>
              <w:tabs>
                <w:tab w:val="left" w:pos="284"/>
              </w:tabs>
              <w:jc w:val="center"/>
              <w:rPr>
                <w:sz w:val="20"/>
                <w:szCs w:val="20"/>
              </w:rPr>
            </w:pPr>
            <w:r w:rsidRPr="00C04588">
              <w:rPr>
                <w:sz w:val="20"/>
                <w:szCs w:val="20"/>
              </w:rPr>
              <w:t>Asociación Colombiana de Administradoras de Fondos de Pensiones y Cesantías - ASOFONDOS</w:t>
            </w:r>
            <w:r w:rsidRPr="00C04588">
              <w:rPr>
                <w:rStyle w:val="Refdenotaalpie"/>
                <w:sz w:val="20"/>
                <w:szCs w:val="20"/>
              </w:rPr>
              <w:footnoteReference w:id="79"/>
            </w:r>
          </w:p>
        </w:tc>
        <w:tc>
          <w:tcPr>
            <w:tcW w:w="883" w:type="pct"/>
          </w:tcPr>
          <w:p w14:paraId="5151BB82" w14:textId="78587366" w:rsidR="002567E0" w:rsidRPr="00C04588" w:rsidRDefault="002567E0"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CA606B" w:rsidRPr="00C04588">
              <w:rPr>
                <w:sz w:val="20"/>
                <w:szCs w:val="20"/>
                <w:lang w:val="es-ES"/>
              </w:rPr>
              <w:t>le</w:t>
            </w:r>
            <w:r w:rsidRPr="00C04588">
              <w:rPr>
                <w:sz w:val="20"/>
                <w:szCs w:val="20"/>
                <w:lang w:val="es-ES"/>
              </w:rPr>
              <w:t xml:space="preserve"> con efectos retroactivos a partir de la fecha de su expedición</w:t>
            </w:r>
          </w:p>
        </w:tc>
        <w:tc>
          <w:tcPr>
            <w:tcW w:w="2915" w:type="pct"/>
          </w:tcPr>
          <w:p w14:paraId="755325C5" w14:textId="4266D1EB" w:rsidR="002567E0" w:rsidRPr="00C04588" w:rsidRDefault="00400DCF" w:rsidP="007461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Señaló que el DL1474 resulta inconstitucional</w:t>
            </w:r>
            <w:r w:rsidR="002D67FE" w:rsidRPr="00C04588">
              <w:rPr>
                <w:sz w:val="20"/>
                <w:szCs w:val="20"/>
                <w:lang w:val="es-ES"/>
              </w:rPr>
              <w:t xml:space="preserve"> por consecuencia</w:t>
            </w:r>
            <w:r w:rsidRPr="00C04588">
              <w:rPr>
                <w:sz w:val="20"/>
                <w:szCs w:val="20"/>
                <w:lang w:val="es-ES"/>
              </w:rPr>
              <w:t>. Adicionalmente, indicó que el DL1474 no cumple con los requisitos materiales establecidos por la jurisprudencia constitucional. Por último, indicó que se debe modular los efectos de la sentencia que se profiera (retroactivos), pues de lo contrario se legitimaría la imposición de cargas tributarias arbitrarias</w:t>
            </w:r>
            <w:r w:rsidR="005D64D9" w:rsidRPr="00C04588">
              <w:rPr>
                <w:sz w:val="20"/>
                <w:szCs w:val="20"/>
                <w:lang w:val="es-ES"/>
              </w:rPr>
              <w:t xml:space="preserve">. </w:t>
            </w:r>
          </w:p>
        </w:tc>
      </w:tr>
      <w:tr w:rsidR="00C04588" w:rsidRPr="00C04588" w14:paraId="616AD5C6" w14:textId="11DCF520" w:rsidTr="009D2CD4">
        <w:tc>
          <w:tcPr>
            <w:tcW w:w="318" w:type="pct"/>
            <w:shd w:val="clear" w:color="auto" w:fill="B8CCE4" w:themeFill="accent1" w:themeFillTint="66"/>
          </w:tcPr>
          <w:p w14:paraId="72BCF418" w14:textId="64445C56"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13.</w:t>
            </w:r>
          </w:p>
        </w:tc>
        <w:tc>
          <w:tcPr>
            <w:tcW w:w="884" w:type="pct"/>
          </w:tcPr>
          <w:p w14:paraId="75D086CD" w14:textId="0CC167EF"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Federación de Aseguradores Colombianos - FASECOLDA</w:t>
            </w:r>
            <w:r w:rsidRPr="00C04588">
              <w:rPr>
                <w:rStyle w:val="Refdenotaalpie"/>
                <w:sz w:val="20"/>
                <w:szCs w:val="20"/>
              </w:rPr>
              <w:footnoteReference w:id="80"/>
            </w:r>
          </w:p>
        </w:tc>
        <w:tc>
          <w:tcPr>
            <w:tcW w:w="883" w:type="pct"/>
          </w:tcPr>
          <w:p w14:paraId="5BD04EC5" w14:textId="605357B4"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Inexequibildad del artículo 6° del DL1474</w:t>
            </w:r>
          </w:p>
        </w:tc>
        <w:tc>
          <w:tcPr>
            <w:tcW w:w="2915" w:type="pct"/>
          </w:tcPr>
          <w:p w14:paraId="64B47828" w14:textId="759685BE" w:rsidR="002567E0" w:rsidRPr="00C04588" w:rsidRDefault="00ED68EC"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Indicó que </w:t>
            </w:r>
            <w:r w:rsidR="00141A63" w:rsidRPr="00C04588">
              <w:rPr>
                <w:sz w:val="20"/>
                <w:szCs w:val="20"/>
              </w:rPr>
              <w:t xml:space="preserve">se vulneran los principios de igualdad y equidad tributaria, porque </w:t>
            </w:r>
            <w:r w:rsidRPr="00C04588">
              <w:rPr>
                <w:sz w:val="20"/>
                <w:szCs w:val="20"/>
              </w:rPr>
              <w:t xml:space="preserve">no existe fundamento constitucional </w:t>
            </w:r>
            <w:r w:rsidR="00141A63" w:rsidRPr="00C04588">
              <w:rPr>
                <w:sz w:val="20"/>
                <w:szCs w:val="20"/>
              </w:rPr>
              <w:t xml:space="preserve">para tratar de forma similar a las entidades bancarias y financieras, por un lado, y a las aseguradoras y reaseguradoras, por el otro. </w:t>
            </w:r>
          </w:p>
        </w:tc>
      </w:tr>
      <w:tr w:rsidR="00C04588" w:rsidRPr="00C04588" w14:paraId="36AD2E51" w14:textId="7A7284D3" w:rsidTr="009D2CD4">
        <w:tc>
          <w:tcPr>
            <w:tcW w:w="318" w:type="pct"/>
            <w:shd w:val="clear" w:color="auto" w:fill="B8CCE4" w:themeFill="accent1" w:themeFillTint="66"/>
          </w:tcPr>
          <w:p w14:paraId="05E5C27D" w14:textId="2E8C964B"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14.</w:t>
            </w:r>
          </w:p>
        </w:tc>
        <w:tc>
          <w:tcPr>
            <w:tcW w:w="884" w:type="pct"/>
          </w:tcPr>
          <w:p w14:paraId="0C4F3162" w14:textId="55ED265E"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Consejo Gremial Nacional</w:t>
            </w:r>
            <w:r w:rsidRPr="00C04588">
              <w:rPr>
                <w:rStyle w:val="Refdenotaalpie"/>
                <w:sz w:val="20"/>
                <w:szCs w:val="20"/>
              </w:rPr>
              <w:footnoteReference w:id="81"/>
            </w:r>
          </w:p>
        </w:tc>
        <w:tc>
          <w:tcPr>
            <w:tcW w:w="883" w:type="pct"/>
          </w:tcPr>
          <w:p w14:paraId="55263ADE" w14:textId="6931EDE5"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 xml:space="preserve">Inexequibilidad </w:t>
            </w:r>
            <w:r w:rsidRPr="00C04588">
              <w:rPr>
                <w:sz w:val="20"/>
                <w:szCs w:val="20"/>
              </w:rPr>
              <w:t>del DL1474</w:t>
            </w:r>
            <w:r w:rsidR="00141A63" w:rsidRPr="00C04588">
              <w:rPr>
                <w:sz w:val="20"/>
                <w:szCs w:val="20"/>
              </w:rPr>
              <w:t xml:space="preserve"> y especialmente de los artículos 4° y 5°</w:t>
            </w:r>
          </w:p>
        </w:tc>
        <w:tc>
          <w:tcPr>
            <w:tcW w:w="2915" w:type="pct"/>
          </w:tcPr>
          <w:p w14:paraId="165E7AE1" w14:textId="5B8F833F" w:rsidR="002567E0" w:rsidRPr="00C04588" w:rsidRDefault="00141A63"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Señaló que el DL1474 no satisface </w:t>
            </w:r>
            <w:r w:rsidR="002D67FE" w:rsidRPr="00C04588">
              <w:rPr>
                <w:sz w:val="20"/>
                <w:szCs w:val="20"/>
                <w:lang w:val="es-ES"/>
              </w:rPr>
              <w:t>el</w:t>
            </w:r>
            <w:r w:rsidRPr="00C04588">
              <w:rPr>
                <w:sz w:val="20"/>
                <w:szCs w:val="20"/>
                <w:lang w:val="es-ES"/>
              </w:rPr>
              <w:t xml:space="preserve"> requisito</w:t>
            </w:r>
            <w:r w:rsidR="002D67FE" w:rsidRPr="00C04588">
              <w:rPr>
                <w:sz w:val="20"/>
                <w:szCs w:val="20"/>
                <w:lang w:val="es-ES"/>
              </w:rPr>
              <w:t xml:space="preserve"> de suscripción </w:t>
            </w:r>
            <w:r w:rsidRPr="00C04588">
              <w:rPr>
                <w:sz w:val="20"/>
                <w:szCs w:val="20"/>
                <w:lang w:val="es-ES"/>
              </w:rPr>
              <w:t xml:space="preserve">porque el encargo de la ministra </w:t>
            </w:r>
            <w:r w:rsidR="002D67FE" w:rsidRPr="00C04588">
              <w:rPr>
                <w:sz w:val="20"/>
                <w:szCs w:val="20"/>
                <w:lang w:val="es-ES"/>
              </w:rPr>
              <w:t xml:space="preserve">Irene Vélez </w:t>
            </w:r>
            <w:r w:rsidRPr="00C04588">
              <w:rPr>
                <w:sz w:val="20"/>
                <w:szCs w:val="20"/>
                <w:lang w:val="es-ES"/>
              </w:rPr>
              <w:t xml:space="preserve">no estaba vigente. Ahora bien, sobre los requisitos materiales, indicó que las medidas contenidas en los artículos 4° y 5° del DL1474 no superan los juicios de no contradicción específica, proporcionalidad y necesidad. </w:t>
            </w:r>
          </w:p>
        </w:tc>
      </w:tr>
      <w:tr w:rsidR="00C04588" w:rsidRPr="00C04588" w14:paraId="28D2C02A" w14:textId="419CD6B1" w:rsidTr="009D2CD4">
        <w:tc>
          <w:tcPr>
            <w:tcW w:w="318" w:type="pct"/>
            <w:shd w:val="clear" w:color="auto" w:fill="B8CCE4" w:themeFill="accent1" w:themeFillTint="66"/>
          </w:tcPr>
          <w:p w14:paraId="1DBE52F6" w14:textId="02078EB6"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15.</w:t>
            </w:r>
          </w:p>
        </w:tc>
        <w:tc>
          <w:tcPr>
            <w:tcW w:w="884" w:type="pct"/>
          </w:tcPr>
          <w:p w14:paraId="2CD6A0D5" w14:textId="5A62DCD2"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Asociación Bancaria y de Entidades Financieras de Colombia – ASOBANCARIA</w:t>
            </w:r>
            <w:r w:rsidRPr="00C04588">
              <w:rPr>
                <w:rStyle w:val="Refdenotaalpie"/>
                <w:sz w:val="20"/>
                <w:szCs w:val="20"/>
              </w:rPr>
              <w:footnoteReference w:id="82"/>
            </w:r>
          </w:p>
        </w:tc>
        <w:tc>
          <w:tcPr>
            <w:tcW w:w="883" w:type="pct"/>
          </w:tcPr>
          <w:p w14:paraId="40E4E930" w14:textId="5A09D301" w:rsidR="002567E0" w:rsidRPr="00C04588" w:rsidRDefault="009D2CD4"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Inexequible</w:t>
            </w:r>
          </w:p>
        </w:tc>
        <w:tc>
          <w:tcPr>
            <w:tcW w:w="2915" w:type="pct"/>
          </w:tcPr>
          <w:p w14:paraId="38E50CAF" w14:textId="55EBBAFB" w:rsidR="002567E0" w:rsidRPr="00C04588" w:rsidRDefault="00A11E07"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Señaló que el DL1474 pretende atender problemáticas generadas por un déficit fiscal estructural y recurrente en las finanzas públicas. Asimismo, la crisis invocada podía ser atendida por medio de mecanismos ordinarios y el déficit corresponde principalmente a sobrestimaciones en el cálculo de ingresos. </w:t>
            </w:r>
          </w:p>
        </w:tc>
      </w:tr>
      <w:tr w:rsidR="00C04588" w:rsidRPr="00C04588" w14:paraId="4A95CBA8" w14:textId="46245AE2" w:rsidTr="009D2CD4">
        <w:tc>
          <w:tcPr>
            <w:tcW w:w="318" w:type="pct"/>
            <w:shd w:val="clear" w:color="auto" w:fill="B8CCE4" w:themeFill="accent1" w:themeFillTint="66"/>
          </w:tcPr>
          <w:p w14:paraId="22D3DB68" w14:textId="4CB1EAE3"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16.</w:t>
            </w:r>
          </w:p>
        </w:tc>
        <w:tc>
          <w:tcPr>
            <w:tcW w:w="884" w:type="pct"/>
          </w:tcPr>
          <w:p w14:paraId="3494E96B" w14:textId="7E0B8FEB"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Asociación de Comisionistas de Bolsa de Colombia – ASOBOLSA</w:t>
            </w:r>
            <w:r w:rsidRPr="00C04588">
              <w:rPr>
                <w:rStyle w:val="Refdenotaalpie"/>
                <w:sz w:val="20"/>
                <w:szCs w:val="20"/>
              </w:rPr>
              <w:footnoteReference w:id="83"/>
            </w:r>
          </w:p>
        </w:tc>
        <w:tc>
          <w:tcPr>
            <w:tcW w:w="883" w:type="pct"/>
          </w:tcPr>
          <w:p w14:paraId="4FCB7008" w14:textId="6084C3AB"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CA606B" w:rsidRPr="00C04588">
              <w:rPr>
                <w:sz w:val="20"/>
                <w:szCs w:val="20"/>
                <w:lang w:val="es-ES"/>
              </w:rPr>
              <w:t>le</w:t>
            </w:r>
            <w:r w:rsidRPr="00C04588">
              <w:rPr>
                <w:sz w:val="20"/>
                <w:szCs w:val="20"/>
                <w:lang w:val="es-ES"/>
              </w:rPr>
              <w:t xml:space="preserve"> con efectos retroactivos a partir de la fecha de su expedición</w:t>
            </w:r>
          </w:p>
        </w:tc>
        <w:tc>
          <w:tcPr>
            <w:tcW w:w="2915" w:type="pct"/>
          </w:tcPr>
          <w:p w14:paraId="7BBF6A9D" w14:textId="4F71160F" w:rsidR="002567E0" w:rsidRPr="00C04588" w:rsidRDefault="00A11E07"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Indicó que el DL1474 impone cargas tributarias desproporcionadas y que no guardan una relación de conexidad directa con las causas que dieron origen al estado de emergencia económica y social. </w:t>
            </w:r>
          </w:p>
        </w:tc>
      </w:tr>
      <w:tr w:rsidR="00C04588" w:rsidRPr="00C04588" w14:paraId="15B98FFA" w14:textId="7969F30E" w:rsidTr="009D2CD4">
        <w:tc>
          <w:tcPr>
            <w:tcW w:w="318" w:type="pct"/>
            <w:shd w:val="clear" w:color="auto" w:fill="B8CCE4" w:themeFill="accent1" w:themeFillTint="66"/>
          </w:tcPr>
          <w:p w14:paraId="6427AF63" w14:textId="625DC69D"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17.</w:t>
            </w:r>
          </w:p>
        </w:tc>
        <w:tc>
          <w:tcPr>
            <w:tcW w:w="884" w:type="pct"/>
          </w:tcPr>
          <w:p w14:paraId="3822CA0C" w14:textId="298165B6"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Asociación Colombiana de Minería</w:t>
            </w:r>
            <w:r w:rsidRPr="00C04588">
              <w:rPr>
                <w:rStyle w:val="Refdenotaalpie"/>
                <w:sz w:val="20"/>
                <w:szCs w:val="20"/>
              </w:rPr>
              <w:footnoteReference w:id="84"/>
            </w:r>
          </w:p>
        </w:tc>
        <w:tc>
          <w:tcPr>
            <w:tcW w:w="883" w:type="pct"/>
          </w:tcPr>
          <w:p w14:paraId="29AE1071" w14:textId="28EB09D0"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CA606B" w:rsidRPr="00C04588">
              <w:rPr>
                <w:sz w:val="20"/>
                <w:szCs w:val="20"/>
                <w:lang w:val="es-ES"/>
              </w:rPr>
              <w:t>le</w:t>
            </w:r>
          </w:p>
        </w:tc>
        <w:tc>
          <w:tcPr>
            <w:tcW w:w="2915" w:type="pct"/>
          </w:tcPr>
          <w:p w14:paraId="709E612F" w14:textId="4EF0F369" w:rsidR="002567E0" w:rsidRPr="00C04588" w:rsidRDefault="00A11E07"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Indicó que el artículo 14 del DL1474 desconoce la cosa juzgada constitucional fijada en la Sentencia C-489 de 2023</w:t>
            </w:r>
            <w:r w:rsidR="002D67FE" w:rsidRPr="00C04588">
              <w:rPr>
                <w:sz w:val="20"/>
                <w:szCs w:val="20"/>
                <w:lang w:val="es-ES"/>
              </w:rPr>
              <w:t xml:space="preserve">. </w:t>
            </w:r>
            <w:r w:rsidRPr="00C04588">
              <w:rPr>
                <w:sz w:val="20"/>
                <w:szCs w:val="20"/>
                <w:lang w:val="es-ES"/>
              </w:rPr>
              <w:t xml:space="preserve">Además, </w:t>
            </w:r>
            <w:r w:rsidR="00962003" w:rsidRPr="00C04588">
              <w:rPr>
                <w:sz w:val="20"/>
                <w:szCs w:val="20"/>
                <w:lang w:val="es-ES"/>
              </w:rPr>
              <w:t>la norma bajo examen, en su totalidad, no satisface los juicios de motivación suficiente, conexidad material, finalidad y no contradicción específica. Finalmente, aseguró que también incumple el requisito de suscripción</w:t>
            </w:r>
            <w:r w:rsidR="002D67FE" w:rsidRPr="00C04588">
              <w:rPr>
                <w:sz w:val="20"/>
                <w:szCs w:val="20"/>
                <w:lang w:val="es-ES"/>
              </w:rPr>
              <w:t xml:space="preserve">. </w:t>
            </w:r>
          </w:p>
        </w:tc>
      </w:tr>
      <w:tr w:rsidR="00C04588" w:rsidRPr="00C04588" w14:paraId="6DB20FEC" w14:textId="07034715" w:rsidTr="009D2CD4">
        <w:tc>
          <w:tcPr>
            <w:tcW w:w="318" w:type="pct"/>
            <w:shd w:val="clear" w:color="auto" w:fill="B8CCE4" w:themeFill="accent1" w:themeFillTint="66"/>
          </w:tcPr>
          <w:p w14:paraId="12EE2F39" w14:textId="132DE29B"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18.</w:t>
            </w:r>
          </w:p>
        </w:tc>
        <w:tc>
          <w:tcPr>
            <w:tcW w:w="884" w:type="pct"/>
          </w:tcPr>
          <w:p w14:paraId="0AD523E5" w14:textId="6180529D"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Federación Nacional de Productores de Carbón - FENALCARBON</w:t>
            </w:r>
            <w:r w:rsidRPr="00C04588">
              <w:rPr>
                <w:rStyle w:val="Refdenotaalpie"/>
                <w:sz w:val="20"/>
                <w:szCs w:val="20"/>
              </w:rPr>
              <w:footnoteReference w:id="85"/>
            </w:r>
          </w:p>
        </w:tc>
        <w:tc>
          <w:tcPr>
            <w:tcW w:w="883" w:type="pct"/>
          </w:tcPr>
          <w:p w14:paraId="2DCEB2E7" w14:textId="527508A7"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CA606B" w:rsidRPr="00C04588">
              <w:rPr>
                <w:sz w:val="20"/>
                <w:szCs w:val="20"/>
                <w:lang w:val="es-ES"/>
              </w:rPr>
              <w:t>le</w:t>
            </w:r>
          </w:p>
        </w:tc>
        <w:tc>
          <w:tcPr>
            <w:tcW w:w="2915" w:type="pct"/>
          </w:tcPr>
          <w:p w14:paraId="23CA9F9C" w14:textId="02305D35" w:rsidR="002567E0" w:rsidRPr="00C04588" w:rsidRDefault="00C90462"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Señaló que la emergencia económica y social no cumple con los presupuestos de excepcionalidad y sobreviniencia. Tampoco se demostró que los mecanismos ordinarios fueran insuficientes y, finalmente, indicó que </w:t>
            </w:r>
            <w:r w:rsidR="002D67FE" w:rsidRPr="00C04588">
              <w:rPr>
                <w:sz w:val="20"/>
                <w:szCs w:val="20"/>
                <w:lang w:val="es-ES"/>
              </w:rPr>
              <w:t xml:space="preserve">se </w:t>
            </w:r>
            <w:r w:rsidRPr="00C04588">
              <w:rPr>
                <w:sz w:val="20"/>
                <w:szCs w:val="20"/>
                <w:lang w:val="es-ES"/>
              </w:rPr>
              <w:t xml:space="preserve">desconoce el principio democrático en materia tributaria. </w:t>
            </w:r>
          </w:p>
        </w:tc>
      </w:tr>
      <w:tr w:rsidR="00C04588" w:rsidRPr="00C04588" w14:paraId="58832E13" w14:textId="2F59F93E" w:rsidTr="009D2CD4">
        <w:tc>
          <w:tcPr>
            <w:tcW w:w="318" w:type="pct"/>
            <w:shd w:val="clear" w:color="auto" w:fill="B8CCE4" w:themeFill="accent1" w:themeFillTint="66"/>
          </w:tcPr>
          <w:p w14:paraId="618F9468" w14:textId="57EAAB57"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19.</w:t>
            </w:r>
          </w:p>
        </w:tc>
        <w:tc>
          <w:tcPr>
            <w:tcW w:w="884" w:type="pct"/>
          </w:tcPr>
          <w:p w14:paraId="1EEE0D0D" w14:textId="6169FAC1"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ASOVINOS; PROLICORES y Asociación Colombiana de Empresas Licoreras – ACIL</w:t>
            </w:r>
            <w:r w:rsidRPr="00C04588">
              <w:rPr>
                <w:rStyle w:val="Refdenotaalpie"/>
                <w:sz w:val="20"/>
                <w:szCs w:val="20"/>
              </w:rPr>
              <w:footnoteReference w:id="86"/>
            </w:r>
          </w:p>
        </w:tc>
        <w:tc>
          <w:tcPr>
            <w:tcW w:w="883" w:type="pct"/>
          </w:tcPr>
          <w:p w14:paraId="2D7765A5" w14:textId="34B16C1B"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CA606B" w:rsidRPr="00C04588">
              <w:rPr>
                <w:sz w:val="20"/>
                <w:szCs w:val="20"/>
                <w:lang w:val="es-ES"/>
              </w:rPr>
              <w:t xml:space="preserve">le </w:t>
            </w:r>
            <w:r w:rsidRPr="00C04588">
              <w:rPr>
                <w:sz w:val="20"/>
                <w:szCs w:val="20"/>
                <w:lang w:val="es-ES"/>
              </w:rPr>
              <w:t>por consecuencia</w:t>
            </w:r>
          </w:p>
        </w:tc>
        <w:tc>
          <w:tcPr>
            <w:tcW w:w="2915" w:type="pct"/>
          </w:tcPr>
          <w:p w14:paraId="29BB83A3" w14:textId="76FF6772" w:rsidR="002567E0" w:rsidRPr="00C04588" w:rsidRDefault="00665565"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Afirmaron que la declaratoria de emergencia económica y social es inexequible por no corresponder a hechos sobrevinientes y excepcionales</w:t>
            </w:r>
            <w:r w:rsidR="002D67FE" w:rsidRPr="00C04588">
              <w:rPr>
                <w:sz w:val="20"/>
                <w:szCs w:val="20"/>
                <w:lang w:val="es-ES"/>
              </w:rPr>
              <w:t xml:space="preserve">. </w:t>
            </w:r>
            <w:r w:rsidRPr="00C04588">
              <w:rPr>
                <w:sz w:val="20"/>
                <w:szCs w:val="20"/>
                <w:lang w:val="es-ES"/>
              </w:rPr>
              <w:t xml:space="preserve">Adicionalmente, afirmaron que </w:t>
            </w:r>
            <w:r w:rsidR="002D67FE" w:rsidRPr="00C04588">
              <w:rPr>
                <w:sz w:val="20"/>
                <w:szCs w:val="20"/>
                <w:lang w:val="es-ES"/>
              </w:rPr>
              <w:t xml:space="preserve">el DL1474 </w:t>
            </w:r>
            <w:r w:rsidRPr="00C04588">
              <w:rPr>
                <w:sz w:val="20"/>
                <w:szCs w:val="20"/>
                <w:lang w:val="es-ES"/>
              </w:rPr>
              <w:t xml:space="preserve">desconoce el principio democrático en materia tributaria, altera el equilibrio constitucional e impone cargas impositivas excesivas a ciertos sectores económicos. </w:t>
            </w:r>
          </w:p>
        </w:tc>
      </w:tr>
      <w:tr w:rsidR="00C04588" w:rsidRPr="00C04588" w14:paraId="455889E3" w14:textId="19B5BBF7" w:rsidTr="009D2CD4">
        <w:tc>
          <w:tcPr>
            <w:tcW w:w="318" w:type="pct"/>
            <w:shd w:val="clear" w:color="auto" w:fill="B8CCE4" w:themeFill="accent1" w:themeFillTint="66"/>
          </w:tcPr>
          <w:p w14:paraId="34763AFA" w14:textId="60A22668"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20.</w:t>
            </w:r>
          </w:p>
        </w:tc>
        <w:tc>
          <w:tcPr>
            <w:tcW w:w="884" w:type="pct"/>
          </w:tcPr>
          <w:p w14:paraId="7F6F66C9" w14:textId="5C3D3DBC"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Fábrica de Licores y Alcoholes de Antioquia</w:t>
            </w:r>
            <w:r w:rsidRPr="00C04588">
              <w:rPr>
                <w:rStyle w:val="Refdenotaalpie"/>
                <w:sz w:val="20"/>
                <w:szCs w:val="20"/>
              </w:rPr>
              <w:footnoteReference w:id="87"/>
            </w:r>
          </w:p>
        </w:tc>
        <w:tc>
          <w:tcPr>
            <w:tcW w:w="883" w:type="pct"/>
          </w:tcPr>
          <w:p w14:paraId="6FC72161" w14:textId="158D15A9"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 xml:space="preserve">Inexequibilidad </w:t>
            </w:r>
            <w:r w:rsidR="00993EF7" w:rsidRPr="00C04588">
              <w:rPr>
                <w:sz w:val="20"/>
                <w:szCs w:val="20"/>
                <w:lang w:val="es-ES"/>
              </w:rPr>
              <w:t xml:space="preserve">de los artículos 1° y 15 </w:t>
            </w:r>
            <w:r w:rsidRPr="00C04588">
              <w:rPr>
                <w:sz w:val="20"/>
                <w:szCs w:val="20"/>
              </w:rPr>
              <w:t>del DL1474</w:t>
            </w:r>
          </w:p>
        </w:tc>
        <w:tc>
          <w:tcPr>
            <w:tcW w:w="2915" w:type="pct"/>
          </w:tcPr>
          <w:p w14:paraId="6BF8AB99" w14:textId="2D791B69" w:rsidR="002567E0" w:rsidRPr="00C04588" w:rsidRDefault="00993EF7"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rPr>
              <w:t xml:space="preserve">El DL1474 </w:t>
            </w:r>
            <w:r w:rsidR="002D10F5" w:rsidRPr="00C04588">
              <w:rPr>
                <w:sz w:val="20"/>
                <w:szCs w:val="20"/>
              </w:rPr>
              <w:t>vul</w:t>
            </w:r>
            <w:r w:rsidR="002D67FE" w:rsidRPr="00C04588">
              <w:rPr>
                <w:sz w:val="20"/>
                <w:szCs w:val="20"/>
              </w:rPr>
              <w:t>ne</w:t>
            </w:r>
            <w:r w:rsidR="002D10F5" w:rsidRPr="00C04588">
              <w:rPr>
                <w:sz w:val="20"/>
                <w:szCs w:val="20"/>
              </w:rPr>
              <w:t xml:space="preserve">ra </w:t>
            </w:r>
            <w:r w:rsidRPr="00C04588">
              <w:rPr>
                <w:sz w:val="20"/>
                <w:szCs w:val="20"/>
              </w:rPr>
              <w:t xml:space="preserve">la autonomía territorial </w:t>
            </w:r>
            <w:r w:rsidR="002D10F5" w:rsidRPr="00C04588">
              <w:rPr>
                <w:sz w:val="20"/>
                <w:szCs w:val="20"/>
              </w:rPr>
              <w:t xml:space="preserve">y desconoce la propiedad exclusiva de los departamentos sobre las rentas producto de monopolios. </w:t>
            </w:r>
          </w:p>
        </w:tc>
      </w:tr>
      <w:tr w:rsidR="00C04588" w:rsidRPr="00C04588" w14:paraId="642FD5E6" w14:textId="3DDC079D" w:rsidTr="009D2CD4">
        <w:tc>
          <w:tcPr>
            <w:tcW w:w="318" w:type="pct"/>
            <w:shd w:val="clear" w:color="auto" w:fill="B8CCE4" w:themeFill="accent1" w:themeFillTint="66"/>
          </w:tcPr>
          <w:p w14:paraId="30FEC115" w14:textId="1DE61C33"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21.</w:t>
            </w:r>
          </w:p>
        </w:tc>
        <w:tc>
          <w:tcPr>
            <w:tcW w:w="884" w:type="pct"/>
          </w:tcPr>
          <w:p w14:paraId="40914F06" w14:textId="36C14EF4"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Universidad Santo Tomás – Facultad de Derecho</w:t>
            </w:r>
            <w:r w:rsidRPr="00C04588">
              <w:rPr>
                <w:rStyle w:val="Refdenotaalpie"/>
                <w:sz w:val="20"/>
                <w:szCs w:val="20"/>
              </w:rPr>
              <w:footnoteReference w:id="88"/>
            </w:r>
          </w:p>
        </w:tc>
        <w:tc>
          <w:tcPr>
            <w:tcW w:w="883" w:type="pct"/>
          </w:tcPr>
          <w:p w14:paraId="21917485" w14:textId="6EEAB95D"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CA606B" w:rsidRPr="00C04588">
              <w:rPr>
                <w:sz w:val="20"/>
                <w:szCs w:val="20"/>
                <w:lang w:val="es-ES"/>
              </w:rPr>
              <w:t>le</w:t>
            </w:r>
          </w:p>
        </w:tc>
        <w:tc>
          <w:tcPr>
            <w:tcW w:w="2915" w:type="pct"/>
          </w:tcPr>
          <w:p w14:paraId="3D1CF5C4" w14:textId="3DD6122E" w:rsidR="002567E0" w:rsidRPr="00C04588" w:rsidRDefault="002D67FE" w:rsidP="00B86C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_tradnl" w:eastAsia="es-CO"/>
              </w:rPr>
            </w:pPr>
            <w:r w:rsidRPr="00C04588">
              <w:rPr>
                <w:sz w:val="20"/>
                <w:szCs w:val="20"/>
                <w:lang w:val="es-ES"/>
              </w:rPr>
              <w:t xml:space="preserve">Indicó que </w:t>
            </w:r>
            <w:r w:rsidR="00B86C86" w:rsidRPr="00C04588">
              <w:rPr>
                <w:sz w:val="20"/>
                <w:szCs w:val="20"/>
                <w:lang w:val="es-ES"/>
              </w:rPr>
              <w:t xml:space="preserve">el DL1474 se sustenta </w:t>
            </w:r>
            <w:r w:rsidR="00B86C86" w:rsidRPr="00C04588">
              <w:rPr>
                <w:sz w:val="20"/>
                <w:szCs w:val="20"/>
                <w:lang w:val="es-ES_tradnl" w:eastAsia="es-CO"/>
              </w:rPr>
              <w:t>en causas estructurales y previsibles que no constituyen hechos sobrevinientes, carece de conexión material, específica y temporal con la emergencia declarada</w:t>
            </w:r>
            <w:r w:rsidR="00CA606B" w:rsidRPr="00C04588">
              <w:rPr>
                <w:sz w:val="20"/>
                <w:szCs w:val="20"/>
                <w:lang w:val="es-ES_tradnl" w:eastAsia="es-CO"/>
              </w:rPr>
              <w:t xml:space="preserve"> </w:t>
            </w:r>
            <w:r w:rsidR="00B86C86" w:rsidRPr="00C04588">
              <w:rPr>
                <w:sz w:val="20"/>
                <w:szCs w:val="20"/>
                <w:lang w:val="es-ES_tradnl" w:eastAsia="es-CO"/>
              </w:rPr>
              <w:t>y desborda el juicio de subsidiariedad al implementar una reforma tributaria ordinaria mediante vías excepcionales.</w:t>
            </w:r>
          </w:p>
        </w:tc>
      </w:tr>
      <w:tr w:rsidR="00C04588" w:rsidRPr="00C04588" w14:paraId="38AEA8F8" w14:textId="1B0D30FA" w:rsidTr="009D2CD4">
        <w:tc>
          <w:tcPr>
            <w:tcW w:w="318" w:type="pct"/>
            <w:shd w:val="clear" w:color="auto" w:fill="B8CCE4" w:themeFill="accent1" w:themeFillTint="66"/>
          </w:tcPr>
          <w:p w14:paraId="56ECCB93" w14:textId="3BAFD44C"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22.</w:t>
            </w:r>
          </w:p>
        </w:tc>
        <w:tc>
          <w:tcPr>
            <w:tcW w:w="884" w:type="pct"/>
          </w:tcPr>
          <w:p w14:paraId="1E3169EF" w14:textId="3841FF52"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Universidad Sergio Arboleda</w:t>
            </w:r>
            <w:r w:rsidRPr="00C04588">
              <w:rPr>
                <w:rStyle w:val="Refdenotaalpie"/>
                <w:sz w:val="20"/>
                <w:szCs w:val="20"/>
              </w:rPr>
              <w:footnoteReference w:id="89"/>
            </w:r>
          </w:p>
        </w:tc>
        <w:tc>
          <w:tcPr>
            <w:tcW w:w="883" w:type="pct"/>
          </w:tcPr>
          <w:p w14:paraId="68B9BDAE" w14:textId="66FF8DF6"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w:t>
            </w:r>
            <w:r w:rsidR="00CA606B" w:rsidRPr="00C04588">
              <w:rPr>
                <w:sz w:val="20"/>
                <w:szCs w:val="20"/>
              </w:rPr>
              <w:t>ble</w:t>
            </w:r>
          </w:p>
        </w:tc>
        <w:tc>
          <w:tcPr>
            <w:tcW w:w="2915" w:type="pct"/>
          </w:tcPr>
          <w:p w14:paraId="641CB951" w14:textId="70EE5745" w:rsidR="002567E0" w:rsidRPr="00C04588" w:rsidRDefault="00B86C86"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El DL1474 </w:t>
            </w:r>
            <w:r w:rsidR="00B00A12" w:rsidRPr="00C04588">
              <w:rPr>
                <w:sz w:val="20"/>
                <w:szCs w:val="20"/>
                <w:lang w:val="es-ES"/>
              </w:rPr>
              <w:t>estructura de manera integral un sistema de ingresos para la vigencia de 2026 y ninguna de estas medidas es de carácter transitorio.</w:t>
            </w:r>
            <w:r w:rsidR="00026744" w:rsidRPr="00C04588">
              <w:rPr>
                <w:sz w:val="20"/>
                <w:szCs w:val="20"/>
                <w:lang w:val="es-ES"/>
              </w:rPr>
              <w:t xml:space="preserve"> Tampoco se demostró la insuficiencia de mecanismos ordinarios. </w:t>
            </w:r>
          </w:p>
        </w:tc>
      </w:tr>
      <w:tr w:rsidR="00C04588" w:rsidRPr="00C04588" w14:paraId="6929381B" w14:textId="3CFE31BE" w:rsidTr="009D2CD4">
        <w:tc>
          <w:tcPr>
            <w:tcW w:w="318" w:type="pct"/>
            <w:shd w:val="clear" w:color="auto" w:fill="B8CCE4" w:themeFill="accent1" w:themeFillTint="66"/>
          </w:tcPr>
          <w:p w14:paraId="29A7AB12" w14:textId="62C29F03"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23.</w:t>
            </w:r>
          </w:p>
        </w:tc>
        <w:tc>
          <w:tcPr>
            <w:tcW w:w="884" w:type="pct"/>
          </w:tcPr>
          <w:p w14:paraId="1F9511B4" w14:textId="554A97A0"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Universidad del Rosario – Facultad de Jurisprudencia</w:t>
            </w:r>
            <w:r w:rsidRPr="00C04588">
              <w:rPr>
                <w:rStyle w:val="Refdenotaalpie"/>
                <w:sz w:val="20"/>
                <w:szCs w:val="20"/>
              </w:rPr>
              <w:footnoteReference w:id="90"/>
            </w:r>
          </w:p>
        </w:tc>
        <w:tc>
          <w:tcPr>
            <w:tcW w:w="883" w:type="pct"/>
          </w:tcPr>
          <w:p w14:paraId="34D4F78A" w14:textId="1B7722A2"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CA606B" w:rsidRPr="00C04588">
              <w:rPr>
                <w:sz w:val="20"/>
                <w:szCs w:val="20"/>
                <w:lang w:val="es-ES"/>
              </w:rPr>
              <w:t>le</w:t>
            </w:r>
          </w:p>
        </w:tc>
        <w:tc>
          <w:tcPr>
            <w:tcW w:w="2915" w:type="pct"/>
          </w:tcPr>
          <w:p w14:paraId="7EC70D47" w14:textId="5F8BCAC9" w:rsidR="002567E0" w:rsidRPr="00C04588" w:rsidRDefault="00026744"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El DL1474 se sustenta en una premisa inconstitucional según la cual la acumulación de presiones fiscales </w:t>
            </w:r>
            <w:r w:rsidR="00F13FBE" w:rsidRPr="00C04588">
              <w:rPr>
                <w:sz w:val="20"/>
                <w:szCs w:val="20"/>
                <w:lang w:val="es-ES"/>
              </w:rPr>
              <w:t xml:space="preserve">estructurales justifica la declaratoria de emergencia económica y, con ello, se permite la implementación de mecanismos fiscales y tributarios permanentes a través de facultades legislativas extraordinarias. </w:t>
            </w:r>
          </w:p>
        </w:tc>
      </w:tr>
      <w:tr w:rsidR="00616F65" w:rsidRPr="00C04588" w14:paraId="005E3E97" w14:textId="35555308" w:rsidTr="009D2CD4">
        <w:tc>
          <w:tcPr>
            <w:tcW w:w="318" w:type="pct"/>
            <w:shd w:val="clear" w:color="auto" w:fill="B8CCE4" w:themeFill="accent1" w:themeFillTint="66"/>
          </w:tcPr>
          <w:p w14:paraId="4DA4C57E" w14:textId="43E38A9B"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24.</w:t>
            </w:r>
          </w:p>
        </w:tc>
        <w:tc>
          <w:tcPr>
            <w:tcW w:w="884" w:type="pct"/>
          </w:tcPr>
          <w:p w14:paraId="2FABF67A" w14:textId="205A9221" w:rsidR="002567E0" w:rsidRPr="00C04588" w:rsidRDefault="002567E0" w:rsidP="00182F6F">
            <w:pPr>
              <w:pBdr>
                <w:top w:val="nil"/>
                <w:left w:val="nil"/>
                <w:bottom w:val="nil"/>
                <w:right w:val="nil"/>
                <w:between w:val="nil"/>
              </w:pBdr>
              <w:tabs>
                <w:tab w:val="left" w:pos="284"/>
              </w:tabs>
              <w:jc w:val="center"/>
              <w:rPr>
                <w:sz w:val="20"/>
                <w:szCs w:val="20"/>
              </w:rPr>
            </w:pPr>
            <w:r w:rsidRPr="00C04588">
              <w:rPr>
                <w:sz w:val="20"/>
                <w:szCs w:val="20"/>
              </w:rPr>
              <w:t>Universidad de los Andes</w:t>
            </w:r>
            <w:r w:rsidRPr="00C04588">
              <w:rPr>
                <w:rStyle w:val="Refdenotaalpie"/>
                <w:sz w:val="20"/>
                <w:szCs w:val="20"/>
              </w:rPr>
              <w:footnoteReference w:id="91"/>
            </w:r>
          </w:p>
        </w:tc>
        <w:tc>
          <w:tcPr>
            <w:tcW w:w="883" w:type="pct"/>
          </w:tcPr>
          <w:p w14:paraId="731B7B83" w14:textId="6D0CBD75" w:rsidR="002567E0" w:rsidRPr="00C04588" w:rsidRDefault="002567E0"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rPr>
            </w:pPr>
            <w:r w:rsidRPr="00C04588">
              <w:rPr>
                <w:sz w:val="20"/>
                <w:szCs w:val="20"/>
                <w:lang w:val="es-ES"/>
              </w:rPr>
              <w:t>Inexequib</w:t>
            </w:r>
            <w:r w:rsidR="00CA606B" w:rsidRPr="00C04588">
              <w:rPr>
                <w:sz w:val="20"/>
                <w:szCs w:val="20"/>
                <w:lang w:val="es-ES"/>
              </w:rPr>
              <w:t>le</w:t>
            </w:r>
            <w:r w:rsidRPr="00C04588">
              <w:rPr>
                <w:sz w:val="20"/>
                <w:szCs w:val="20"/>
                <w:lang w:val="es-ES"/>
              </w:rPr>
              <w:t xml:space="preserve"> con efectos retroactivos a partir de la fecha de su expedición</w:t>
            </w:r>
            <w:r w:rsidR="00F13FBE" w:rsidRPr="00C04588">
              <w:rPr>
                <w:sz w:val="20"/>
                <w:szCs w:val="20"/>
                <w:lang w:val="es-ES"/>
              </w:rPr>
              <w:t xml:space="preserve"> con excepción de los artículos 20, 21, 22 y 23</w:t>
            </w:r>
          </w:p>
        </w:tc>
        <w:tc>
          <w:tcPr>
            <w:tcW w:w="2915" w:type="pct"/>
          </w:tcPr>
          <w:p w14:paraId="255F25A9" w14:textId="59E2CE2F" w:rsidR="002567E0" w:rsidRPr="00C04588" w:rsidRDefault="00F13FBE" w:rsidP="00182F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
              </w:rPr>
            </w:pPr>
            <w:r w:rsidRPr="00C04588">
              <w:rPr>
                <w:sz w:val="20"/>
                <w:szCs w:val="20"/>
                <w:lang w:val="es-ES"/>
              </w:rPr>
              <w:t xml:space="preserve">El DL1474 se fundamenta en hechos estructurales y crónicos y el </w:t>
            </w:r>
            <w:r w:rsidR="0073496D" w:rsidRPr="00C04588">
              <w:rPr>
                <w:sz w:val="20"/>
                <w:szCs w:val="20"/>
                <w:lang w:val="es-ES"/>
              </w:rPr>
              <w:t>g</w:t>
            </w:r>
            <w:r w:rsidRPr="00C04588">
              <w:rPr>
                <w:sz w:val="20"/>
                <w:szCs w:val="20"/>
                <w:lang w:val="es-ES"/>
              </w:rPr>
              <w:t xml:space="preserve">obierno nacional no demostró la insuficiencia de mecanismos ordinarios. Finalmente, solicitó que se declare inexequible con efectos retroactivos con excepción de los artículos 20, 21, 22 y 23. Lo anterior, con el fin de amparar a quienes se acogieron a las medidas de reducción de sanciones y conciliación. </w:t>
            </w:r>
          </w:p>
        </w:tc>
      </w:tr>
    </w:tbl>
    <w:p w14:paraId="4D726477" w14:textId="77777777" w:rsidR="005E37ED" w:rsidRPr="00C04588" w:rsidRDefault="005E37ED" w:rsidP="008E61BF">
      <w:pPr>
        <w:widowControl w:val="0"/>
        <w:pBdr>
          <w:top w:val="nil"/>
          <w:left w:val="nil"/>
          <w:bottom w:val="nil"/>
          <w:right w:val="nil"/>
          <w:between w:val="nil"/>
        </w:pBdr>
        <w:tabs>
          <w:tab w:val="left" w:pos="426"/>
        </w:tabs>
        <w:jc w:val="both"/>
        <w:rPr>
          <w:sz w:val="28"/>
          <w:szCs w:val="28"/>
        </w:rPr>
      </w:pPr>
    </w:p>
    <w:p w14:paraId="284399D7" w14:textId="5A69EDEE" w:rsidR="002343E4" w:rsidRPr="00C04588" w:rsidRDefault="00041B59" w:rsidP="002E1792">
      <w:pPr>
        <w:keepNext/>
        <w:keepLines/>
        <w:pBdr>
          <w:top w:val="nil"/>
          <w:left w:val="nil"/>
          <w:bottom w:val="nil"/>
          <w:right w:val="nil"/>
          <w:between w:val="nil"/>
        </w:pBdr>
        <w:tabs>
          <w:tab w:val="left" w:pos="284"/>
        </w:tabs>
        <w:jc w:val="both"/>
        <w:rPr>
          <w:sz w:val="28"/>
          <w:szCs w:val="28"/>
        </w:rPr>
      </w:pPr>
      <w:r w:rsidRPr="00C04588">
        <w:rPr>
          <w:b/>
          <w:sz w:val="28"/>
          <w:szCs w:val="28"/>
        </w:rPr>
        <w:t>I</w:t>
      </w:r>
      <w:r w:rsidR="0008653E" w:rsidRPr="00C04588">
        <w:rPr>
          <w:b/>
          <w:sz w:val="28"/>
          <w:szCs w:val="28"/>
        </w:rPr>
        <w:t>V. CONCEPTO DEL PROCURADOR GENERAL DE LA NACIÓN</w:t>
      </w:r>
    </w:p>
    <w:p w14:paraId="284399D8" w14:textId="77777777" w:rsidR="002343E4" w:rsidRPr="00C04588" w:rsidRDefault="002343E4" w:rsidP="002E1792">
      <w:pPr>
        <w:keepNext/>
        <w:keepLines/>
        <w:pBdr>
          <w:top w:val="nil"/>
          <w:left w:val="nil"/>
          <w:bottom w:val="nil"/>
          <w:right w:val="nil"/>
          <w:between w:val="nil"/>
        </w:pBdr>
        <w:tabs>
          <w:tab w:val="left" w:pos="284"/>
        </w:tabs>
        <w:jc w:val="both"/>
        <w:rPr>
          <w:b/>
          <w:sz w:val="28"/>
          <w:szCs w:val="28"/>
        </w:rPr>
      </w:pPr>
    </w:p>
    <w:p w14:paraId="1E21A521" w14:textId="1240EEB9" w:rsidR="00063B25" w:rsidRPr="00C04588" w:rsidRDefault="00B052DB" w:rsidP="002E1792">
      <w:pPr>
        <w:pStyle w:val="Prrafodelista"/>
        <w:keepNext/>
        <w:keepLines/>
        <w:numPr>
          <w:ilvl w:val="0"/>
          <w:numId w:val="9"/>
        </w:numPr>
        <w:pBdr>
          <w:top w:val="nil"/>
          <w:left w:val="nil"/>
          <w:bottom w:val="nil"/>
          <w:right w:val="nil"/>
          <w:between w:val="nil"/>
        </w:pBdr>
        <w:tabs>
          <w:tab w:val="left" w:pos="426"/>
        </w:tabs>
        <w:autoSpaceDE w:val="0"/>
        <w:autoSpaceDN w:val="0"/>
        <w:adjustRightInd w:val="0"/>
        <w:spacing w:before="1"/>
        <w:ind w:left="0" w:right="51" w:firstLine="0"/>
        <w:contextualSpacing w:val="0"/>
        <w:jc w:val="both"/>
        <w:rPr>
          <w:sz w:val="28"/>
          <w:szCs w:val="28"/>
        </w:rPr>
      </w:pPr>
      <w:r w:rsidRPr="00C04588">
        <w:rPr>
          <w:sz w:val="28"/>
          <w:szCs w:val="28"/>
          <w:lang w:val="es-ES_tradnl"/>
        </w:rPr>
        <w:t xml:space="preserve">El </w:t>
      </w:r>
      <w:r w:rsidR="00063B25" w:rsidRPr="00C04588">
        <w:rPr>
          <w:sz w:val="28"/>
          <w:szCs w:val="28"/>
          <w:lang w:val="es-ES_tradnl"/>
        </w:rPr>
        <w:t xml:space="preserve">procurador general de la Nación solicitó: (i) declarar la exequibilidad de los artículos 1°, 2°, 3°, 4°, 5°, 6°, 7°, 8°, 9°, 10°, 11, 12, 13, 15 a 31 (parciales), 32 y 33 del DL1474 y (ii) declarar la inexequibilidad del artículo 14 de la norma bajo revisión. </w:t>
      </w:r>
    </w:p>
    <w:p w14:paraId="6012ED79" w14:textId="77777777" w:rsidR="00063B25" w:rsidRPr="00C04588" w:rsidRDefault="00063B25" w:rsidP="00063B25">
      <w:pPr>
        <w:pStyle w:val="Prrafodelista"/>
        <w:widowControl w:val="0"/>
        <w:pBdr>
          <w:top w:val="nil"/>
          <w:left w:val="nil"/>
          <w:bottom w:val="nil"/>
          <w:right w:val="nil"/>
          <w:between w:val="nil"/>
        </w:pBdr>
        <w:tabs>
          <w:tab w:val="left" w:pos="426"/>
        </w:tabs>
        <w:autoSpaceDE w:val="0"/>
        <w:autoSpaceDN w:val="0"/>
        <w:adjustRightInd w:val="0"/>
        <w:spacing w:before="1"/>
        <w:ind w:left="0" w:right="51"/>
        <w:contextualSpacing w:val="0"/>
        <w:jc w:val="both"/>
        <w:rPr>
          <w:sz w:val="28"/>
          <w:szCs w:val="28"/>
        </w:rPr>
      </w:pPr>
    </w:p>
    <w:p w14:paraId="0E23356F" w14:textId="015D40BD" w:rsidR="00F63185" w:rsidRPr="00C04588" w:rsidRDefault="00063B25" w:rsidP="00063B25">
      <w:pPr>
        <w:pStyle w:val="Prrafodelista"/>
        <w:widowControl w:val="0"/>
        <w:numPr>
          <w:ilvl w:val="0"/>
          <w:numId w:val="9"/>
        </w:numPr>
        <w:pBdr>
          <w:top w:val="nil"/>
          <w:left w:val="nil"/>
          <w:bottom w:val="nil"/>
          <w:right w:val="nil"/>
          <w:between w:val="nil"/>
        </w:pBdr>
        <w:tabs>
          <w:tab w:val="left" w:pos="426"/>
        </w:tabs>
        <w:autoSpaceDE w:val="0"/>
        <w:autoSpaceDN w:val="0"/>
        <w:adjustRightInd w:val="0"/>
        <w:spacing w:before="1"/>
        <w:ind w:left="0" w:right="51" w:firstLine="0"/>
        <w:contextualSpacing w:val="0"/>
        <w:jc w:val="both"/>
        <w:rPr>
          <w:sz w:val="28"/>
          <w:szCs w:val="28"/>
        </w:rPr>
      </w:pPr>
      <w:r w:rsidRPr="00C04588">
        <w:rPr>
          <w:sz w:val="28"/>
          <w:szCs w:val="28"/>
        </w:rPr>
        <w:t xml:space="preserve">En primer lugar, </w:t>
      </w:r>
      <w:r w:rsidR="00F63185" w:rsidRPr="00C04588">
        <w:rPr>
          <w:sz w:val="28"/>
          <w:szCs w:val="28"/>
        </w:rPr>
        <w:t xml:space="preserve">afirmó que la postura propuesta debe analizarse teniendo en cuenta el concepto emitido respecto del Decreto Legislativo 1390 de 2025, en el marco del expediente RE-387. En consecuencia, las solicitudes </w:t>
      </w:r>
      <w:r w:rsidR="00DD2395" w:rsidRPr="00C04588">
        <w:rPr>
          <w:sz w:val="28"/>
          <w:szCs w:val="28"/>
        </w:rPr>
        <w:t>frente a</w:t>
      </w:r>
      <w:r w:rsidR="00CB14C5" w:rsidRPr="00C04588">
        <w:rPr>
          <w:sz w:val="28"/>
          <w:szCs w:val="28"/>
        </w:rPr>
        <w:t xml:space="preserve"> la constitucionalidad d</w:t>
      </w:r>
      <w:r w:rsidR="00F63185" w:rsidRPr="00C04588">
        <w:rPr>
          <w:sz w:val="28"/>
          <w:szCs w:val="28"/>
        </w:rPr>
        <w:t>el DL1474 deben leerse de acuerdo al hecho de que, a juicio del procurador general de la Nación, “únicamente el componente relacionado con la financiación del sistema de salud, particularmente en lo concerniente a la suficiencia de la Unidad de Pago por Capitación (UPC) y al aseguramiento, cump</w:t>
      </w:r>
      <w:r w:rsidR="00CB14C5" w:rsidRPr="00C04588">
        <w:rPr>
          <w:sz w:val="28"/>
          <w:szCs w:val="28"/>
        </w:rPr>
        <w:t>l[e] plenamente los presupuestos de sobreviniencia y suficiencia exigidos para la activación del estado de emergencia”. En consecuencia, afirmó que “las medidas tributarias excepcionales solo se sostiene[n] plenamente en la medida en que su destinación esté estrictamente orientada a conjurar […] la crisis de financiación del sistema de salud”</w:t>
      </w:r>
      <w:r w:rsidR="005B5E0D" w:rsidRPr="00C04588">
        <w:rPr>
          <w:rStyle w:val="Refdenotaalpie"/>
          <w:sz w:val="28"/>
          <w:szCs w:val="28"/>
        </w:rPr>
        <w:footnoteReference w:id="92"/>
      </w:r>
      <w:r w:rsidR="00CB14C5" w:rsidRPr="00C04588">
        <w:rPr>
          <w:sz w:val="28"/>
          <w:szCs w:val="28"/>
        </w:rPr>
        <w:t xml:space="preserve">. </w:t>
      </w:r>
    </w:p>
    <w:p w14:paraId="77C59FF0" w14:textId="77777777" w:rsidR="00F63185" w:rsidRPr="00C04588" w:rsidRDefault="00F63185" w:rsidP="00F63185">
      <w:pPr>
        <w:pStyle w:val="Prrafodelista"/>
        <w:rPr>
          <w:sz w:val="28"/>
          <w:szCs w:val="28"/>
        </w:rPr>
      </w:pPr>
    </w:p>
    <w:p w14:paraId="74E86393" w14:textId="3A06E1E1" w:rsidR="00063B25" w:rsidRPr="00C04588" w:rsidRDefault="00F63185" w:rsidP="00063B25">
      <w:pPr>
        <w:pStyle w:val="Prrafodelista"/>
        <w:widowControl w:val="0"/>
        <w:numPr>
          <w:ilvl w:val="0"/>
          <w:numId w:val="9"/>
        </w:numPr>
        <w:pBdr>
          <w:top w:val="nil"/>
          <w:left w:val="nil"/>
          <w:bottom w:val="nil"/>
          <w:right w:val="nil"/>
          <w:between w:val="nil"/>
        </w:pBdr>
        <w:tabs>
          <w:tab w:val="left" w:pos="426"/>
        </w:tabs>
        <w:autoSpaceDE w:val="0"/>
        <w:autoSpaceDN w:val="0"/>
        <w:adjustRightInd w:val="0"/>
        <w:spacing w:before="1"/>
        <w:ind w:left="0" w:right="51" w:firstLine="0"/>
        <w:contextualSpacing w:val="0"/>
        <w:jc w:val="both"/>
        <w:rPr>
          <w:sz w:val="28"/>
          <w:szCs w:val="28"/>
        </w:rPr>
      </w:pPr>
      <w:r w:rsidRPr="00C04588">
        <w:rPr>
          <w:sz w:val="28"/>
          <w:szCs w:val="28"/>
        </w:rPr>
        <w:t>En segundo lugar</w:t>
      </w:r>
      <w:r w:rsidR="00CB14C5" w:rsidRPr="00C04588">
        <w:rPr>
          <w:sz w:val="28"/>
          <w:szCs w:val="28"/>
        </w:rPr>
        <w:t xml:space="preserve"> y teniendo en cuenta lo expuesto, se pronunció sobre la constitucionalidad de las medidas contenidas en el DL1474. Al respecto, </w:t>
      </w:r>
      <w:r w:rsidR="00063B25" w:rsidRPr="00C04588">
        <w:rPr>
          <w:sz w:val="28"/>
          <w:szCs w:val="28"/>
        </w:rPr>
        <w:t>señaló que la ampliación temporal del IVA, el impuesto al patrimonio, la sobretasa al sector financiero, el impuesto especial para la estabilidad fiscal aplicable al sector extractiv</w:t>
      </w:r>
      <w:r w:rsidRPr="00C04588">
        <w:rPr>
          <w:sz w:val="28"/>
          <w:szCs w:val="28"/>
        </w:rPr>
        <w:t>o y el impuesto al consumo son me</w:t>
      </w:r>
      <w:r w:rsidR="00CB14C5" w:rsidRPr="00C04588">
        <w:rPr>
          <w:sz w:val="28"/>
          <w:szCs w:val="28"/>
        </w:rPr>
        <w:t>canismos</w:t>
      </w:r>
      <w:r w:rsidRPr="00C04588">
        <w:rPr>
          <w:sz w:val="28"/>
          <w:szCs w:val="28"/>
        </w:rPr>
        <w:t xml:space="preserve"> tributari</w:t>
      </w:r>
      <w:r w:rsidR="00CB14C5" w:rsidRPr="00C04588">
        <w:rPr>
          <w:sz w:val="28"/>
          <w:szCs w:val="28"/>
        </w:rPr>
        <w:t>o</w:t>
      </w:r>
      <w:r w:rsidRPr="00C04588">
        <w:rPr>
          <w:sz w:val="28"/>
          <w:szCs w:val="28"/>
        </w:rPr>
        <w:t>s extraordinari</w:t>
      </w:r>
      <w:r w:rsidR="00CB14C5" w:rsidRPr="00C04588">
        <w:rPr>
          <w:sz w:val="28"/>
          <w:szCs w:val="28"/>
        </w:rPr>
        <w:t>o</w:t>
      </w:r>
      <w:r w:rsidRPr="00C04588">
        <w:rPr>
          <w:sz w:val="28"/>
          <w:szCs w:val="28"/>
        </w:rPr>
        <w:t>s, temporales y focalizad</w:t>
      </w:r>
      <w:r w:rsidR="00CB14C5" w:rsidRPr="00C04588">
        <w:rPr>
          <w:sz w:val="28"/>
          <w:szCs w:val="28"/>
        </w:rPr>
        <w:t>o</w:t>
      </w:r>
      <w:r w:rsidRPr="00C04588">
        <w:rPr>
          <w:sz w:val="28"/>
          <w:szCs w:val="28"/>
        </w:rPr>
        <w:t xml:space="preserve">s en sujetos con mayor capacidad contributiva o en sectores con alta generación de renta, lo que permite obtener un recaudo inmediato sin alterar el sistema tributario ordinario ni afectar el núcleo esencial de derechos fundamentales. En ese sentido, </w:t>
      </w:r>
      <w:r w:rsidR="00A07B41" w:rsidRPr="00C04588">
        <w:rPr>
          <w:sz w:val="28"/>
          <w:szCs w:val="28"/>
        </w:rPr>
        <w:t xml:space="preserve">las </w:t>
      </w:r>
      <w:r w:rsidR="00DD2395" w:rsidRPr="00C04588">
        <w:rPr>
          <w:sz w:val="28"/>
          <w:szCs w:val="28"/>
        </w:rPr>
        <w:t xml:space="preserve">aludidas </w:t>
      </w:r>
      <w:r w:rsidR="00A07B41" w:rsidRPr="00C04588">
        <w:rPr>
          <w:sz w:val="28"/>
          <w:szCs w:val="28"/>
        </w:rPr>
        <w:t xml:space="preserve">medidas </w:t>
      </w:r>
      <w:r w:rsidRPr="00C04588">
        <w:rPr>
          <w:sz w:val="28"/>
          <w:szCs w:val="28"/>
        </w:rPr>
        <w:t xml:space="preserve">superan los juicios de finalidad, conexidad, necesidad y proporcionalidad. </w:t>
      </w:r>
    </w:p>
    <w:p w14:paraId="6E37E70B" w14:textId="77777777" w:rsidR="00F63185" w:rsidRPr="00C04588" w:rsidRDefault="00F63185" w:rsidP="00F63185">
      <w:pPr>
        <w:pStyle w:val="Prrafodelista"/>
        <w:rPr>
          <w:sz w:val="28"/>
          <w:szCs w:val="28"/>
        </w:rPr>
      </w:pPr>
    </w:p>
    <w:p w14:paraId="5696B202" w14:textId="1CCD3049" w:rsidR="00F63185" w:rsidRPr="00C04588" w:rsidRDefault="00F63185" w:rsidP="00063B25">
      <w:pPr>
        <w:pStyle w:val="Prrafodelista"/>
        <w:widowControl w:val="0"/>
        <w:numPr>
          <w:ilvl w:val="0"/>
          <w:numId w:val="9"/>
        </w:numPr>
        <w:pBdr>
          <w:top w:val="nil"/>
          <w:left w:val="nil"/>
          <w:bottom w:val="nil"/>
          <w:right w:val="nil"/>
          <w:between w:val="nil"/>
        </w:pBdr>
        <w:tabs>
          <w:tab w:val="left" w:pos="426"/>
        </w:tabs>
        <w:autoSpaceDE w:val="0"/>
        <w:autoSpaceDN w:val="0"/>
        <w:adjustRightInd w:val="0"/>
        <w:spacing w:before="1"/>
        <w:ind w:left="0" w:right="51" w:firstLine="0"/>
        <w:contextualSpacing w:val="0"/>
        <w:jc w:val="both"/>
        <w:rPr>
          <w:sz w:val="28"/>
          <w:szCs w:val="28"/>
        </w:rPr>
      </w:pPr>
      <w:r w:rsidRPr="00C04588">
        <w:rPr>
          <w:sz w:val="28"/>
          <w:szCs w:val="28"/>
        </w:rPr>
        <w:t xml:space="preserve">Adicionalmente, las medidas sobre saneamiento tributario, reducción de sanciones y normalización tributaria tienen carácter transitorio y </w:t>
      </w:r>
      <w:r w:rsidR="0073496D" w:rsidRPr="00C04588">
        <w:rPr>
          <w:sz w:val="28"/>
          <w:szCs w:val="28"/>
        </w:rPr>
        <w:t>buscan</w:t>
      </w:r>
      <w:r w:rsidRPr="00C04588">
        <w:rPr>
          <w:sz w:val="28"/>
          <w:szCs w:val="28"/>
        </w:rPr>
        <w:t xml:space="preserve"> incentivar el pago oportuno de obligaciones tributarias, reducir la litigiosidad y generar un recaudo extraordinario en corto plazo. En consecuencia, son compatibles con la finalidad de atender las causas de la emergencia económica y mitigar sus efectos. </w:t>
      </w:r>
    </w:p>
    <w:p w14:paraId="7E2764FF" w14:textId="77777777" w:rsidR="00F63185" w:rsidRPr="00C04588" w:rsidRDefault="00F63185" w:rsidP="00F63185">
      <w:pPr>
        <w:pStyle w:val="Prrafodelista"/>
        <w:rPr>
          <w:sz w:val="28"/>
          <w:szCs w:val="28"/>
        </w:rPr>
      </w:pPr>
    </w:p>
    <w:p w14:paraId="0C6447E9" w14:textId="279873B0" w:rsidR="00F63185" w:rsidRPr="00C04588" w:rsidRDefault="00CB14C5" w:rsidP="00063B25">
      <w:pPr>
        <w:pStyle w:val="Prrafodelista"/>
        <w:widowControl w:val="0"/>
        <w:numPr>
          <w:ilvl w:val="0"/>
          <w:numId w:val="9"/>
        </w:numPr>
        <w:pBdr>
          <w:top w:val="nil"/>
          <w:left w:val="nil"/>
          <w:bottom w:val="nil"/>
          <w:right w:val="nil"/>
          <w:between w:val="nil"/>
        </w:pBdr>
        <w:tabs>
          <w:tab w:val="left" w:pos="426"/>
        </w:tabs>
        <w:autoSpaceDE w:val="0"/>
        <w:autoSpaceDN w:val="0"/>
        <w:adjustRightInd w:val="0"/>
        <w:spacing w:before="1"/>
        <w:ind w:left="0" w:right="51" w:firstLine="0"/>
        <w:contextualSpacing w:val="0"/>
        <w:jc w:val="both"/>
        <w:rPr>
          <w:sz w:val="28"/>
          <w:szCs w:val="28"/>
        </w:rPr>
      </w:pPr>
      <w:r w:rsidRPr="00C04588">
        <w:rPr>
          <w:sz w:val="28"/>
          <w:szCs w:val="28"/>
        </w:rPr>
        <w:t>De otra parte</w:t>
      </w:r>
      <w:r w:rsidR="00F63185" w:rsidRPr="00C04588">
        <w:rPr>
          <w:sz w:val="28"/>
          <w:szCs w:val="28"/>
        </w:rPr>
        <w:t xml:space="preserve">, advirtió </w:t>
      </w:r>
      <w:r w:rsidR="00DD2395" w:rsidRPr="00C04588">
        <w:rPr>
          <w:sz w:val="28"/>
          <w:szCs w:val="28"/>
        </w:rPr>
        <w:t xml:space="preserve">el procurador general de la Nación </w:t>
      </w:r>
      <w:r w:rsidR="00F63185" w:rsidRPr="00C04588">
        <w:rPr>
          <w:sz w:val="28"/>
          <w:szCs w:val="28"/>
        </w:rPr>
        <w:t xml:space="preserve">que el artículo 14 del DL1474 </w:t>
      </w:r>
      <w:r w:rsidR="00DD2395" w:rsidRPr="00C04588">
        <w:rPr>
          <w:sz w:val="28"/>
          <w:szCs w:val="28"/>
        </w:rPr>
        <w:t xml:space="preserve">referido a </w:t>
      </w:r>
      <w:r w:rsidR="00F63185" w:rsidRPr="00C04588">
        <w:rPr>
          <w:sz w:val="28"/>
          <w:szCs w:val="28"/>
        </w:rPr>
        <w:t xml:space="preserve">la regla de no deducibilidad de las regalías del impuesto sobre la renta, no supera los juicios de no contradicción específica e incompatibilidad. Lo anterior, por cuanto: (i) la norma altera estructuralmente la determinación de la renta líquida gravable al desconocer un egreso obligatorio de fuente constitucional y (ii) desconoce la capacidad contributiva real y, de esa manera, vulnera los principios de equidad y justicia tributaria. </w:t>
      </w:r>
    </w:p>
    <w:p w14:paraId="7E76A050" w14:textId="77777777" w:rsidR="00F63185" w:rsidRPr="00C04588" w:rsidRDefault="00F63185" w:rsidP="00F63185">
      <w:pPr>
        <w:pStyle w:val="Prrafodelista"/>
        <w:rPr>
          <w:sz w:val="28"/>
          <w:szCs w:val="28"/>
        </w:rPr>
      </w:pPr>
    </w:p>
    <w:p w14:paraId="643FCBB4" w14:textId="2FB4890F" w:rsidR="00F63185" w:rsidRPr="008F14A4" w:rsidRDefault="00CB14C5" w:rsidP="00063B25">
      <w:pPr>
        <w:pStyle w:val="Prrafodelista"/>
        <w:widowControl w:val="0"/>
        <w:numPr>
          <w:ilvl w:val="0"/>
          <w:numId w:val="9"/>
        </w:numPr>
        <w:pBdr>
          <w:top w:val="nil"/>
          <w:left w:val="nil"/>
          <w:bottom w:val="nil"/>
          <w:right w:val="nil"/>
          <w:between w:val="nil"/>
        </w:pBdr>
        <w:tabs>
          <w:tab w:val="left" w:pos="426"/>
        </w:tabs>
        <w:autoSpaceDE w:val="0"/>
        <w:autoSpaceDN w:val="0"/>
        <w:adjustRightInd w:val="0"/>
        <w:spacing w:before="1"/>
        <w:ind w:left="0" w:right="51" w:firstLine="0"/>
        <w:contextualSpacing w:val="0"/>
        <w:jc w:val="both"/>
        <w:rPr>
          <w:sz w:val="28"/>
          <w:szCs w:val="28"/>
        </w:rPr>
      </w:pPr>
      <w:r w:rsidRPr="00C04588">
        <w:rPr>
          <w:sz w:val="28"/>
          <w:szCs w:val="28"/>
        </w:rPr>
        <w:t xml:space="preserve">Finalmente, señaló que es necesario que el </w:t>
      </w:r>
      <w:r w:rsidR="0088130B" w:rsidRPr="00C04588">
        <w:rPr>
          <w:sz w:val="28"/>
          <w:szCs w:val="28"/>
        </w:rPr>
        <w:t>g</w:t>
      </w:r>
      <w:r w:rsidRPr="00C04588">
        <w:rPr>
          <w:sz w:val="28"/>
          <w:szCs w:val="28"/>
        </w:rPr>
        <w:t xml:space="preserve">obierno nacional, en ejercicio de sus competencias técnicas y presupuestales, determine con claridad el monto cierto y verificable </w:t>
      </w:r>
      <w:r w:rsidR="00A07B41" w:rsidRPr="00C04588">
        <w:rPr>
          <w:sz w:val="28"/>
          <w:szCs w:val="28"/>
        </w:rPr>
        <w:t xml:space="preserve">respecto </w:t>
      </w:r>
      <w:r w:rsidRPr="00C04588">
        <w:rPr>
          <w:sz w:val="28"/>
          <w:szCs w:val="28"/>
        </w:rPr>
        <w:t xml:space="preserve">de la necesidad de financiación del sector salud. Esto, con el objetivo de asegurar que el recaudo derivado de las medidas tributarias adoptadas en el DL1474 no exceda el </w:t>
      </w:r>
      <w:r w:rsidRPr="008F14A4">
        <w:rPr>
          <w:sz w:val="28"/>
          <w:szCs w:val="28"/>
        </w:rPr>
        <w:t xml:space="preserve">monto estrictamente requerido para atender dicha contingencia. </w:t>
      </w:r>
    </w:p>
    <w:p w14:paraId="67E1D2C6" w14:textId="77777777" w:rsidR="004F64EB" w:rsidRPr="008F14A4" w:rsidRDefault="004F64EB" w:rsidP="004F64EB">
      <w:pPr>
        <w:pStyle w:val="Prrafodelista"/>
        <w:widowControl w:val="0"/>
        <w:pBdr>
          <w:top w:val="nil"/>
          <w:left w:val="nil"/>
          <w:bottom w:val="nil"/>
          <w:right w:val="nil"/>
          <w:between w:val="nil"/>
        </w:pBdr>
        <w:tabs>
          <w:tab w:val="left" w:pos="426"/>
        </w:tabs>
        <w:autoSpaceDE w:val="0"/>
        <w:autoSpaceDN w:val="0"/>
        <w:adjustRightInd w:val="0"/>
        <w:spacing w:before="1"/>
        <w:ind w:left="0" w:right="51"/>
        <w:contextualSpacing w:val="0"/>
        <w:jc w:val="both"/>
        <w:rPr>
          <w:sz w:val="28"/>
          <w:szCs w:val="28"/>
        </w:rPr>
      </w:pPr>
    </w:p>
    <w:p w14:paraId="284399DB" w14:textId="6622A7A3" w:rsidR="002343E4" w:rsidRPr="008F14A4" w:rsidRDefault="0008653E">
      <w:pPr>
        <w:tabs>
          <w:tab w:val="left" w:pos="284"/>
        </w:tabs>
        <w:jc w:val="both"/>
        <w:rPr>
          <w:sz w:val="28"/>
          <w:szCs w:val="28"/>
        </w:rPr>
      </w:pPr>
      <w:r w:rsidRPr="008F14A4">
        <w:rPr>
          <w:b/>
          <w:sz w:val="28"/>
          <w:szCs w:val="28"/>
        </w:rPr>
        <w:t>V</w:t>
      </w:r>
      <w:r w:rsidR="0060246C" w:rsidRPr="008F14A4">
        <w:rPr>
          <w:b/>
          <w:sz w:val="28"/>
          <w:szCs w:val="28"/>
        </w:rPr>
        <w:t>. CONSIDERACIONES</w:t>
      </w:r>
    </w:p>
    <w:p w14:paraId="284399DC" w14:textId="77777777" w:rsidR="002343E4" w:rsidRPr="008F14A4" w:rsidRDefault="002343E4">
      <w:pPr>
        <w:pBdr>
          <w:top w:val="nil"/>
          <w:left w:val="nil"/>
          <w:bottom w:val="nil"/>
          <w:right w:val="nil"/>
          <w:between w:val="nil"/>
        </w:pBdr>
        <w:tabs>
          <w:tab w:val="left" w:pos="426"/>
        </w:tabs>
        <w:jc w:val="both"/>
        <w:rPr>
          <w:sz w:val="28"/>
          <w:szCs w:val="28"/>
        </w:rPr>
      </w:pPr>
    </w:p>
    <w:p w14:paraId="284399DD" w14:textId="7726B421" w:rsidR="002343E4" w:rsidRPr="008F14A4" w:rsidRDefault="004F64EB" w:rsidP="004F64EB">
      <w:pPr>
        <w:pBdr>
          <w:top w:val="nil"/>
          <w:left w:val="nil"/>
          <w:bottom w:val="nil"/>
          <w:right w:val="nil"/>
          <w:between w:val="nil"/>
        </w:pBdr>
        <w:tabs>
          <w:tab w:val="left" w:pos="284"/>
        </w:tabs>
        <w:jc w:val="both"/>
        <w:rPr>
          <w:b/>
          <w:sz w:val="28"/>
          <w:szCs w:val="28"/>
        </w:rPr>
      </w:pPr>
      <w:r w:rsidRPr="008F14A4">
        <w:rPr>
          <w:b/>
          <w:sz w:val="28"/>
          <w:szCs w:val="28"/>
        </w:rPr>
        <w:t xml:space="preserve">1. </w:t>
      </w:r>
      <w:r w:rsidR="0060246C" w:rsidRPr="008F14A4">
        <w:rPr>
          <w:b/>
          <w:sz w:val="28"/>
          <w:szCs w:val="28"/>
        </w:rPr>
        <w:t>Competencia</w:t>
      </w:r>
    </w:p>
    <w:p w14:paraId="4F1706A8" w14:textId="77777777" w:rsidR="00C21EE3" w:rsidRPr="008F14A4" w:rsidRDefault="00C21EE3" w:rsidP="009972B5">
      <w:pPr>
        <w:rPr>
          <w:sz w:val="28"/>
          <w:szCs w:val="28"/>
        </w:rPr>
      </w:pPr>
    </w:p>
    <w:p w14:paraId="3A273B91" w14:textId="33A8B725" w:rsidR="00C21EE3" w:rsidRPr="00C04588" w:rsidRDefault="00C21EE3" w:rsidP="00C21EE3">
      <w:pPr>
        <w:pStyle w:val="Prrafodelista"/>
        <w:widowControl w:val="0"/>
        <w:numPr>
          <w:ilvl w:val="0"/>
          <w:numId w:val="9"/>
        </w:numPr>
        <w:pBdr>
          <w:top w:val="nil"/>
          <w:left w:val="nil"/>
          <w:bottom w:val="nil"/>
          <w:right w:val="nil"/>
          <w:between w:val="nil"/>
        </w:pBdr>
        <w:tabs>
          <w:tab w:val="left" w:pos="426"/>
        </w:tabs>
        <w:autoSpaceDE w:val="0"/>
        <w:autoSpaceDN w:val="0"/>
        <w:adjustRightInd w:val="0"/>
        <w:ind w:left="0" w:firstLine="0"/>
        <w:contextualSpacing w:val="0"/>
        <w:jc w:val="both"/>
        <w:rPr>
          <w:sz w:val="28"/>
          <w:szCs w:val="28"/>
          <w:lang w:val="es-ES_tradnl"/>
        </w:rPr>
      </w:pPr>
      <w:r w:rsidRPr="008F14A4">
        <w:rPr>
          <w:sz w:val="28"/>
          <w:szCs w:val="28"/>
        </w:rPr>
        <w:t>En virtud de lo dispuesto en los artículos 2</w:t>
      </w:r>
      <w:r w:rsidR="00277985" w:rsidRPr="008F14A4">
        <w:rPr>
          <w:sz w:val="28"/>
          <w:szCs w:val="28"/>
        </w:rPr>
        <w:t>15</w:t>
      </w:r>
      <w:r w:rsidRPr="008F14A4">
        <w:rPr>
          <w:sz w:val="28"/>
          <w:szCs w:val="28"/>
        </w:rPr>
        <w:t xml:space="preserve"> y 241.7 de la Constitución, en el artículo 55 de la L</w:t>
      </w:r>
      <w:r w:rsidR="00947F86" w:rsidRPr="008F14A4">
        <w:rPr>
          <w:sz w:val="28"/>
          <w:szCs w:val="28"/>
        </w:rPr>
        <w:t xml:space="preserve">ey </w:t>
      </w:r>
      <w:r w:rsidRPr="008F14A4">
        <w:rPr>
          <w:sz w:val="28"/>
          <w:szCs w:val="28"/>
        </w:rPr>
        <w:t>E</w:t>
      </w:r>
      <w:r w:rsidR="00947F86" w:rsidRPr="008F14A4">
        <w:rPr>
          <w:sz w:val="28"/>
          <w:szCs w:val="28"/>
        </w:rPr>
        <w:t xml:space="preserve">statutaria de </w:t>
      </w:r>
      <w:r w:rsidRPr="008F14A4">
        <w:rPr>
          <w:sz w:val="28"/>
          <w:szCs w:val="28"/>
        </w:rPr>
        <w:t>E</w:t>
      </w:r>
      <w:r w:rsidR="00947F86" w:rsidRPr="008F14A4">
        <w:rPr>
          <w:sz w:val="28"/>
          <w:szCs w:val="28"/>
        </w:rPr>
        <w:t xml:space="preserve">stados de </w:t>
      </w:r>
      <w:r w:rsidRPr="008F14A4">
        <w:rPr>
          <w:sz w:val="28"/>
          <w:szCs w:val="28"/>
        </w:rPr>
        <w:t>E</w:t>
      </w:r>
      <w:r w:rsidR="00947F86" w:rsidRPr="008F14A4">
        <w:rPr>
          <w:sz w:val="28"/>
          <w:szCs w:val="28"/>
        </w:rPr>
        <w:t>xcepción</w:t>
      </w:r>
      <w:r w:rsidR="008A129F" w:rsidRPr="008F14A4">
        <w:rPr>
          <w:sz w:val="28"/>
          <w:szCs w:val="28"/>
        </w:rPr>
        <w:t xml:space="preserve"> – </w:t>
      </w:r>
      <w:r w:rsidR="00947F86" w:rsidRPr="008F14A4">
        <w:rPr>
          <w:sz w:val="28"/>
          <w:szCs w:val="28"/>
        </w:rPr>
        <w:t>LEEE</w:t>
      </w:r>
      <w:r w:rsidRPr="008F14A4">
        <w:rPr>
          <w:sz w:val="28"/>
          <w:szCs w:val="28"/>
        </w:rPr>
        <w:t xml:space="preserve"> y en los artículos 36 a 38 del Decreto 2067 de 1991, la Corte Constitucional es competente para ejercer el control automático de constitucionalidad sobre el Decreto Legislativo 1474 del 29 de diciembre de 2025</w:t>
      </w:r>
      <w:r w:rsidRPr="00C04588">
        <w:rPr>
          <w:sz w:val="28"/>
          <w:szCs w:val="28"/>
        </w:rPr>
        <w:t>, dado que fue adoptado al amparo de la declaratoria previa del estado de emergencia económica y social.</w:t>
      </w:r>
    </w:p>
    <w:p w14:paraId="72520ECE" w14:textId="77777777" w:rsidR="00C41056" w:rsidRPr="00C04588" w:rsidRDefault="00C41056" w:rsidP="00C41056">
      <w:pPr>
        <w:pStyle w:val="Prrafodelista"/>
        <w:widowControl w:val="0"/>
        <w:pBdr>
          <w:top w:val="nil"/>
          <w:left w:val="nil"/>
          <w:bottom w:val="nil"/>
          <w:right w:val="nil"/>
          <w:between w:val="nil"/>
        </w:pBdr>
        <w:tabs>
          <w:tab w:val="left" w:pos="426"/>
        </w:tabs>
        <w:autoSpaceDE w:val="0"/>
        <w:autoSpaceDN w:val="0"/>
        <w:adjustRightInd w:val="0"/>
        <w:ind w:left="0"/>
        <w:contextualSpacing w:val="0"/>
        <w:jc w:val="both"/>
        <w:rPr>
          <w:sz w:val="28"/>
          <w:szCs w:val="28"/>
        </w:rPr>
      </w:pPr>
    </w:p>
    <w:p w14:paraId="24119692" w14:textId="52B3D264" w:rsidR="00AC4920" w:rsidRPr="00C04588" w:rsidRDefault="004F64EB" w:rsidP="004F64EB">
      <w:pPr>
        <w:widowControl w:val="0"/>
        <w:pBdr>
          <w:top w:val="nil"/>
          <w:left w:val="nil"/>
          <w:bottom w:val="nil"/>
          <w:right w:val="nil"/>
          <w:between w:val="nil"/>
        </w:pBdr>
        <w:tabs>
          <w:tab w:val="left" w:pos="284"/>
        </w:tabs>
        <w:jc w:val="both"/>
        <w:rPr>
          <w:b/>
          <w:sz w:val="28"/>
          <w:szCs w:val="28"/>
        </w:rPr>
      </w:pPr>
      <w:r w:rsidRPr="00C04588">
        <w:rPr>
          <w:b/>
          <w:sz w:val="28"/>
          <w:szCs w:val="28"/>
        </w:rPr>
        <w:t xml:space="preserve">2. </w:t>
      </w:r>
      <w:r w:rsidR="007719DE" w:rsidRPr="00C04588">
        <w:rPr>
          <w:b/>
          <w:sz w:val="28"/>
          <w:szCs w:val="28"/>
        </w:rPr>
        <w:t>L</w:t>
      </w:r>
      <w:r w:rsidRPr="00C04588">
        <w:rPr>
          <w:b/>
          <w:sz w:val="28"/>
          <w:szCs w:val="28"/>
        </w:rPr>
        <w:t xml:space="preserve">a Sentencia </w:t>
      </w:r>
      <w:r w:rsidRPr="00C8397B">
        <w:rPr>
          <w:b/>
          <w:sz w:val="28"/>
          <w:szCs w:val="28"/>
        </w:rPr>
        <w:t>C</w:t>
      </w:r>
      <w:r w:rsidR="00F15A62" w:rsidRPr="00C8397B">
        <w:rPr>
          <w:b/>
          <w:sz w:val="28"/>
          <w:szCs w:val="28"/>
        </w:rPr>
        <w:t>-075</w:t>
      </w:r>
      <w:r w:rsidRPr="00C8397B">
        <w:rPr>
          <w:b/>
          <w:sz w:val="28"/>
          <w:szCs w:val="28"/>
        </w:rPr>
        <w:t xml:space="preserve"> de 2026</w:t>
      </w:r>
      <w:r w:rsidRPr="00C04588">
        <w:rPr>
          <w:b/>
          <w:sz w:val="28"/>
          <w:szCs w:val="28"/>
        </w:rPr>
        <w:t xml:space="preserve"> </w:t>
      </w:r>
    </w:p>
    <w:p w14:paraId="6752FA17" w14:textId="77777777" w:rsidR="00AC4920" w:rsidRPr="00C04588" w:rsidRDefault="00AC4920" w:rsidP="00C41056">
      <w:pPr>
        <w:widowControl w:val="0"/>
        <w:pBdr>
          <w:top w:val="nil"/>
          <w:left w:val="nil"/>
          <w:bottom w:val="nil"/>
          <w:right w:val="nil"/>
          <w:between w:val="nil"/>
        </w:pBdr>
        <w:tabs>
          <w:tab w:val="left" w:pos="284"/>
        </w:tabs>
        <w:jc w:val="both"/>
        <w:rPr>
          <w:b/>
          <w:sz w:val="28"/>
          <w:szCs w:val="28"/>
        </w:rPr>
      </w:pPr>
    </w:p>
    <w:p w14:paraId="1C3F5D35" w14:textId="711BE439" w:rsidR="00D8463A" w:rsidRPr="00AF31E6" w:rsidRDefault="00F96EDB" w:rsidP="00E92DD1">
      <w:pPr>
        <w:widowControl w:val="0"/>
        <w:numPr>
          <w:ilvl w:val="0"/>
          <w:numId w:val="9"/>
        </w:numPr>
        <w:pBdr>
          <w:top w:val="nil"/>
          <w:left w:val="nil"/>
          <w:bottom w:val="nil"/>
          <w:right w:val="nil"/>
          <w:between w:val="nil"/>
        </w:pBdr>
        <w:tabs>
          <w:tab w:val="left" w:pos="426"/>
        </w:tabs>
        <w:ind w:left="0" w:firstLine="0"/>
        <w:jc w:val="both"/>
        <w:rPr>
          <w:sz w:val="28"/>
          <w:szCs w:val="28"/>
        </w:rPr>
      </w:pPr>
      <w:r w:rsidRPr="00C04588">
        <w:rPr>
          <w:sz w:val="28"/>
          <w:szCs w:val="28"/>
        </w:rPr>
        <w:t>La Sala Plena de la Corte Constitucional, por medio de la Sentencia C-</w:t>
      </w:r>
      <w:r w:rsidR="00F15A62" w:rsidRPr="00C04588">
        <w:rPr>
          <w:sz w:val="28"/>
          <w:szCs w:val="28"/>
        </w:rPr>
        <w:t>075</w:t>
      </w:r>
      <w:r w:rsidRPr="00C04588">
        <w:rPr>
          <w:sz w:val="28"/>
          <w:szCs w:val="28"/>
        </w:rPr>
        <w:t xml:space="preserve"> de </w:t>
      </w:r>
      <w:r w:rsidRPr="00AF31E6">
        <w:rPr>
          <w:sz w:val="28"/>
          <w:szCs w:val="28"/>
        </w:rPr>
        <w:t>2026</w:t>
      </w:r>
      <w:r w:rsidR="00A77986" w:rsidRPr="00AF31E6">
        <w:rPr>
          <w:sz w:val="28"/>
          <w:szCs w:val="28"/>
        </w:rPr>
        <w:t>,</w:t>
      </w:r>
      <w:r w:rsidRPr="00AF31E6">
        <w:rPr>
          <w:sz w:val="28"/>
          <w:szCs w:val="28"/>
        </w:rPr>
        <w:t xml:space="preserve"> declaró la inexequibilidad </w:t>
      </w:r>
      <w:r w:rsidR="00EE0629" w:rsidRPr="00AF31E6">
        <w:rPr>
          <w:sz w:val="28"/>
          <w:szCs w:val="28"/>
        </w:rPr>
        <w:t xml:space="preserve">pura y simple y con efectos a futuro </w:t>
      </w:r>
      <w:r w:rsidRPr="00AF31E6">
        <w:rPr>
          <w:sz w:val="28"/>
          <w:szCs w:val="28"/>
        </w:rPr>
        <w:t>del Decreto Legislativo 1390</w:t>
      </w:r>
      <w:r w:rsidR="0078050D" w:rsidRPr="00AF31E6">
        <w:rPr>
          <w:sz w:val="28"/>
          <w:szCs w:val="28"/>
        </w:rPr>
        <w:t xml:space="preserve"> </w:t>
      </w:r>
      <w:r w:rsidR="00091642" w:rsidRPr="00AF31E6">
        <w:rPr>
          <w:sz w:val="28"/>
          <w:szCs w:val="28"/>
        </w:rPr>
        <w:t xml:space="preserve">– </w:t>
      </w:r>
      <w:r w:rsidR="0078050D" w:rsidRPr="00AF31E6">
        <w:rPr>
          <w:sz w:val="28"/>
          <w:szCs w:val="28"/>
        </w:rPr>
        <w:t>en adelante DL1390</w:t>
      </w:r>
      <w:r w:rsidR="00091642" w:rsidRPr="00AF31E6">
        <w:rPr>
          <w:sz w:val="28"/>
          <w:szCs w:val="28"/>
        </w:rPr>
        <w:t xml:space="preserve"> – </w:t>
      </w:r>
      <w:r w:rsidRPr="00AF31E6">
        <w:rPr>
          <w:sz w:val="28"/>
          <w:szCs w:val="28"/>
        </w:rPr>
        <w:t>del 22 de diciembre de 2025 “[p]or el cual se declara el Estado de Emergencia Económica y Social en todo el territorio nacional”</w:t>
      </w:r>
      <w:r w:rsidR="0078050D" w:rsidRPr="00AF31E6">
        <w:rPr>
          <w:sz w:val="28"/>
          <w:szCs w:val="28"/>
        </w:rPr>
        <w:t xml:space="preserve">. </w:t>
      </w:r>
      <w:r w:rsidR="00DE5208">
        <w:rPr>
          <w:sz w:val="28"/>
          <w:szCs w:val="28"/>
        </w:rPr>
        <w:t>Además, declaró que el DL1474 de 2025 continuaría sin producir efectos hasta tanto la Sala Plena profiera una decision definitiva respecto de su constitucionalidad</w:t>
      </w:r>
      <w:r w:rsidR="00DE5208" w:rsidRPr="00AF31E6">
        <w:rPr>
          <w:rStyle w:val="Refdenotaalpie"/>
          <w:sz w:val="28"/>
          <w:szCs w:val="28"/>
        </w:rPr>
        <w:footnoteReference w:id="93"/>
      </w:r>
      <w:r w:rsidR="00DE5208">
        <w:rPr>
          <w:sz w:val="28"/>
          <w:szCs w:val="28"/>
        </w:rPr>
        <w:t xml:space="preserve">. </w:t>
      </w:r>
    </w:p>
    <w:p w14:paraId="4C7E70C9" w14:textId="77777777" w:rsidR="00D8463A" w:rsidRPr="00AF31E6" w:rsidRDefault="00D8463A" w:rsidP="00D8463A">
      <w:pPr>
        <w:widowControl w:val="0"/>
        <w:pBdr>
          <w:top w:val="nil"/>
          <w:left w:val="nil"/>
          <w:bottom w:val="nil"/>
          <w:right w:val="nil"/>
          <w:between w:val="nil"/>
        </w:pBdr>
        <w:tabs>
          <w:tab w:val="left" w:pos="426"/>
        </w:tabs>
        <w:jc w:val="both"/>
        <w:rPr>
          <w:sz w:val="28"/>
          <w:szCs w:val="28"/>
        </w:rPr>
      </w:pPr>
    </w:p>
    <w:p w14:paraId="54625A5A" w14:textId="03272B2F" w:rsidR="00D8463A" w:rsidRPr="00AF31E6" w:rsidRDefault="00D8463A" w:rsidP="00AF31E6">
      <w:pPr>
        <w:widowControl w:val="0"/>
        <w:numPr>
          <w:ilvl w:val="0"/>
          <w:numId w:val="9"/>
        </w:numPr>
        <w:pBdr>
          <w:top w:val="nil"/>
          <w:left w:val="nil"/>
          <w:bottom w:val="nil"/>
          <w:right w:val="nil"/>
          <w:between w:val="nil"/>
        </w:pBdr>
        <w:tabs>
          <w:tab w:val="left" w:pos="426"/>
        </w:tabs>
        <w:ind w:left="0" w:firstLine="0"/>
        <w:jc w:val="both"/>
        <w:rPr>
          <w:sz w:val="28"/>
          <w:szCs w:val="28"/>
        </w:rPr>
      </w:pPr>
      <w:r w:rsidRPr="00AF31E6">
        <w:rPr>
          <w:sz w:val="28"/>
          <w:szCs w:val="28"/>
        </w:rPr>
        <w:t xml:space="preserve">La Sala Plena concluyó que el decreto </w:t>
      </w:r>
      <w:r w:rsidRPr="00AF31E6">
        <w:rPr>
          <w:bCs/>
          <w:color w:val="000000" w:themeColor="text1"/>
          <w:sz w:val="28"/>
          <w:szCs w:val="28"/>
        </w:rPr>
        <w:t xml:space="preserve">no cumplió con los requisitos exigidos por la Constitución, la Ley Estatutaria de los estados de excepción y la jurisprudencia constitucional para declarar un estado de excepción. </w:t>
      </w:r>
      <w:r w:rsidR="00EE0629" w:rsidRPr="00AF31E6">
        <w:rPr>
          <w:bCs/>
          <w:color w:val="000000" w:themeColor="text1"/>
          <w:sz w:val="28"/>
          <w:szCs w:val="28"/>
        </w:rPr>
        <w:t xml:space="preserve">Al efecto, </w:t>
      </w:r>
      <w:r w:rsidRPr="00AF31E6">
        <w:rPr>
          <w:bCs/>
          <w:color w:val="000000" w:themeColor="text1"/>
          <w:sz w:val="28"/>
          <w:szCs w:val="28"/>
        </w:rPr>
        <w:t>consideró que ante el incumplimiento del presupuesto fáctico</w:t>
      </w:r>
      <w:r w:rsidRPr="00AF31E6">
        <w:rPr>
          <w:color w:val="000000" w:themeColor="text1"/>
          <w:sz w:val="28"/>
          <w:szCs w:val="28"/>
        </w:rPr>
        <w:t xml:space="preserve"> no era pertinente continuar con el análisis de los presupuestos valorativo y de suficiencia.</w:t>
      </w:r>
    </w:p>
    <w:p w14:paraId="4B51093D" w14:textId="77777777" w:rsidR="00D8463A" w:rsidRPr="00AF31E6" w:rsidRDefault="00D8463A" w:rsidP="00D8463A">
      <w:pPr>
        <w:pStyle w:val="Prrafodelista"/>
        <w:rPr>
          <w:sz w:val="28"/>
          <w:szCs w:val="28"/>
        </w:rPr>
      </w:pPr>
    </w:p>
    <w:p w14:paraId="0EC8E049" w14:textId="2C2DFC23" w:rsidR="00D8463A" w:rsidRPr="00AF31E6" w:rsidRDefault="00D8463A" w:rsidP="00AF31E6">
      <w:pPr>
        <w:widowControl w:val="0"/>
        <w:numPr>
          <w:ilvl w:val="0"/>
          <w:numId w:val="9"/>
        </w:numPr>
        <w:pBdr>
          <w:top w:val="nil"/>
          <w:left w:val="nil"/>
          <w:bottom w:val="nil"/>
          <w:right w:val="nil"/>
          <w:between w:val="nil"/>
        </w:pBdr>
        <w:tabs>
          <w:tab w:val="left" w:pos="426"/>
        </w:tabs>
        <w:ind w:left="0" w:firstLine="0"/>
        <w:jc w:val="both"/>
        <w:rPr>
          <w:sz w:val="28"/>
          <w:szCs w:val="28"/>
        </w:rPr>
      </w:pPr>
      <w:r w:rsidRPr="00AF31E6">
        <w:rPr>
          <w:sz w:val="28"/>
          <w:szCs w:val="28"/>
        </w:rPr>
        <w:t>En relación con el presupuesto fáctico, expuso lo siguiente:</w:t>
      </w:r>
    </w:p>
    <w:p w14:paraId="552FE55D" w14:textId="49126A88" w:rsidR="00DE04F6" w:rsidRPr="00AF31E6" w:rsidRDefault="00DE04F6" w:rsidP="00FD7F09">
      <w:pPr>
        <w:widowControl w:val="0"/>
        <w:pBdr>
          <w:top w:val="nil"/>
          <w:left w:val="nil"/>
          <w:bottom w:val="nil"/>
          <w:right w:val="nil"/>
          <w:between w:val="nil"/>
        </w:pBdr>
        <w:tabs>
          <w:tab w:val="left" w:pos="426"/>
        </w:tabs>
        <w:ind w:right="284"/>
        <w:jc w:val="both"/>
        <w:rPr>
          <w:sz w:val="22"/>
          <w:szCs w:val="22"/>
        </w:rPr>
      </w:pPr>
    </w:p>
    <w:p w14:paraId="468B52D9" w14:textId="77777777" w:rsidR="00AC4F77" w:rsidRDefault="00DE04F6" w:rsidP="00AC4F77">
      <w:pPr>
        <w:pStyle w:val="paragraph"/>
        <w:spacing w:before="0" w:beforeAutospacing="0" w:after="0" w:afterAutospacing="0"/>
        <w:ind w:left="284" w:right="284"/>
        <w:jc w:val="both"/>
        <w:textAlignment w:val="baseline"/>
        <w:rPr>
          <w:bCs/>
          <w:color w:val="000000" w:themeColor="text1"/>
          <w:sz w:val="22"/>
          <w:szCs w:val="22"/>
        </w:rPr>
      </w:pPr>
      <w:r w:rsidRPr="00AF31E6">
        <w:rPr>
          <w:bCs/>
          <w:color w:val="000000" w:themeColor="text1"/>
          <w:sz w:val="22"/>
          <w:szCs w:val="22"/>
        </w:rPr>
        <w:t xml:space="preserve">“En relación con el presupuesto fáctico, la Corte encontró que (i) siete de los ocho hechos invocados no acreditaron el carácter sobreviniente, extraordinario e imprevisible que exige la Constitución para habilitar el ejercicio de facultades excepcionales. Por el contrario, a juicio de la Corte, la mayoría de las circunstancias alegadas corresponden a situaciones estructurales, persistentes y previsibles, que deben ser atendidas a través de los mecanismos ordinarios de política pública, fiscal y presupuestal. Adicionalmente, (ii) uno de los hechos no cumplió el juicio de identidad al estar relacionado con otro estado de excepción, como lo es, el estado de conmoción interior. […] </w:t>
      </w:r>
    </w:p>
    <w:p w14:paraId="230A7C98" w14:textId="77777777" w:rsidR="00AC4F77" w:rsidRDefault="00AC4F77" w:rsidP="00AC4F77">
      <w:pPr>
        <w:pStyle w:val="paragraph"/>
        <w:spacing w:before="0" w:beforeAutospacing="0" w:after="0" w:afterAutospacing="0"/>
        <w:ind w:left="284" w:right="284"/>
        <w:jc w:val="both"/>
        <w:textAlignment w:val="baseline"/>
        <w:rPr>
          <w:rFonts w:eastAsiaTheme="minorHAnsi"/>
          <w:bCs/>
          <w:color w:val="000000" w:themeColor="text1"/>
          <w:sz w:val="22"/>
          <w:szCs w:val="22"/>
          <w:lang w:eastAsia="en-US"/>
        </w:rPr>
      </w:pPr>
    </w:p>
    <w:p w14:paraId="6D839E6E" w14:textId="69F62586" w:rsidR="00DE04F6" w:rsidRPr="00AC4F77" w:rsidRDefault="00DE04F6" w:rsidP="00AC4F77">
      <w:pPr>
        <w:pStyle w:val="paragraph"/>
        <w:spacing w:before="0" w:beforeAutospacing="0" w:after="0" w:afterAutospacing="0"/>
        <w:ind w:left="284" w:right="284"/>
        <w:jc w:val="both"/>
        <w:textAlignment w:val="baseline"/>
        <w:rPr>
          <w:bCs/>
          <w:color w:val="000000" w:themeColor="text1"/>
          <w:sz w:val="22"/>
          <w:szCs w:val="22"/>
        </w:rPr>
      </w:pPr>
      <w:r w:rsidRPr="00AF31E6">
        <w:rPr>
          <w:rFonts w:eastAsiaTheme="minorHAnsi"/>
          <w:bCs/>
          <w:color w:val="000000" w:themeColor="text1"/>
          <w:sz w:val="22"/>
          <w:szCs w:val="22"/>
          <w:lang w:eastAsia="en-US"/>
        </w:rPr>
        <w:t>Luego de constatar el incumplimiento evidente de las condiciones exigidas por la Constitución, las normas estatutarias y la jurisprudencia constitucional para declarar un estado de excepción, la Sala Plena declaró que el Decreto 1390 de 2025 es inexequible. El análisis integral demuestra que no se acreditó el presupuesto fáctico requerido para habilitar el ejercicio de facultades excepcionales. […]”</w:t>
      </w:r>
      <w:r w:rsidRPr="00AF31E6">
        <w:rPr>
          <w:rStyle w:val="Refdenotaalpie"/>
          <w:rFonts w:eastAsiaTheme="minorHAnsi"/>
          <w:bCs/>
          <w:color w:val="000000" w:themeColor="text1"/>
          <w:sz w:val="22"/>
          <w:szCs w:val="22"/>
          <w:lang w:eastAsia="en-US"/>
        </w:rPr>
        <w:footnoteReference w:id="94"/>
      </w:r>
      <w:r w:rsidRPr="00AF31E6">
        <w:rPr>
          <w:rFonts w:eastAsiaTheme="minorHAnsi"/>
          <w:bCs/>
          <w:color w:val="000000" w:themeColor="text1"/>
          <w:sz w:val="22"/>
          <w:szCs w:val="22"/>
          <w:lang w:eastAsia="en-US"/>
        </w:rPr>
        <w:t>.  </w:t>
      </w:r>
    </w:p>
    <w:p w14:paraId="11AEDBFD" w14:textId="77777777" w:rsidR="00FD7F09" w:rsidRPr="00AF31E6" w:rsidRDefault="00FD7F09" w:rsidP="00817908">
      <w:pPr>
        <w:widowControl w:val="0"/>
        <w:pBdr>
          <w:top w:val="nil"/>
          <w:left w:val="nil"/>
          <w:bottom w:val="nil"/>
          <w:right w:val="nil"/>
          <w:between w:val="nil"/>
        </w:pBdr>
        <w:tabs>
          <w:tab w:val="left" w:pos="426"/>
        </w:tabs>
        <w:jc w:val="both"/>
        <w:rPr>
          <w:b/>
          <w:sz w:val="28"/>
          <w:szCs w:val="28"/>
        </w:rPr>
      </w:pPr>
    </w:p>
    <w:p w14:paraId="60B3FE61" w14:textId="621C6695" w:rsidR="004F64EB" w:rsidRPr="00AF31E6" w:rsidRDefault="004F64EB" w:rsidP="004F64EB">
      <w:pPr>
        <w:widowControl w:val="0"/>
        <w:pBdr>
          <w:top w:val="nil"/>
          <w:left w:val="nil"/>
          <w:bottom w:val="nil"/>
          <w:right w:val="nil"/>
          <w:between w:val="nil"/>
        </w:pBdr>
        <w:tabs>
          <w:tab w:val="left" w:pos="284"/>
        </w:tabs>
        <w:jc w:val="both"/>
        <w:rPr>
          <w:b/>
          <w:sz w:val="28"/>
          <w:szCs w:val="28"/>
        </w:rPr>
      </w:pPr>
      <w:r w:rsidRPr="00AF31E6">
        <w:rPr>
          <w:b/>
          <w:sz w:val="28"/>
          <w:szCs w:val="28"/>
        </w:rPr>
        <w:t>3. La inconstitucionalidad por consecuencia. Reiteración de jurisprudencia</w:t>
      </w:r>
      <w:r w:rsidRPr="00AF31E6">
        <w:rPr>
          <w:rStyle w:val="Refdenotaalpie"/>
          <w:sz w:val="28"/>
          <w:szCs w:val="28"/>
        </w:rPr>
        <w:footnoteReference w:id="95"/>
      </w:r>
    </w:p>
    <w:p w14:paraId="4B0B4166" w14:textId="77777777" w:rsidR="004F64EB" w:rsidRPr="00AF31E6" w:rsidRDefault="004F64EB" w:rsidP="00DB55B2">
      <w:pPr>
        <w:widowControl w:val="0"/>
        <w:pBdr>
          <w:top w:val="nil"/>
          <w:left w:val="nil"/>
          <w:bottom w:val="nil"/>
          <w:right w:val="nil"/>
          <w:between w:val="nil"/>
        </w:pBdr>
        <w:tabs>
          <w:tab w:val="left" w:pos="284"/>
        </w:tabs>
        <w:jc w:val="both"/>
        <w:rPr>
          <w:b/>
          <w:sz w:val="28"/>
          <w:szCs w:val="28"/>
        </w:rPr>
      </w:pPr>
    </w:p>
    <w:p w14:paraId="32541245" w14:textId="75D14D45" w:rsidR="001452E7" w:rsidRPr="008F14A4" w:rsidRDefault="004F64EB" w:rsidP="001452E7">
      <w:pPr>
        <w:widowControl w:val="0"/>
        <w:numPr>
          <w:ilvl w:val="0"/>
          <w:numId w:val="9"/>
        </w:numPr>
        <w:pBdr>
          <w:top w:val="nil"/>
          <w:left w:val="nil"/>
          <w:bottom w:val="nil"/>
          <w:right w:val="nil"/>
          <w:between w:val="nil"/>
        </w:pBdr>
        <w:tabs>
          <w:tab w:val="left" w:pos="426"/>
        </w:tabs>
        <w:ind w:left="0" w:firstLine="0"/>
        <w:jc w:val="both"/>
        <w:rPr>
          <w:color w:val="000000"/>
          <w:sz w:val="28"/>
          <w:szCs w:val="28"/>
        </w:rPr>
      </w:pPr>
      <w:r w:rsidRPr="008F14A4">
        <w:rPr>
          <w:sz w:val="28"/>
          <w:szCs w:val="28"/>
        </w:rPr>
        <w:t xml:space="preserve">La Corte Constitucional ha establecido que la inconstitucionalidad por consecuencia respecto de los decretos legislativos de desarrollo adoptados en estados de excepción se configura cuando se </w:t>
      </w:r>
      <w:r w:rsidR="00FD7F09" w:rsidRPr="008F14A4">
        <w:rPr>
          <w:sz w:val="28"/>
          <w:szCs w:val="28"/>
        </w:rPr>
        <w:t>declara la inexequibilidad</w:t>
      </w:r>
      <w:r w:rsidRPr="008F14A4">
        <w:rPr>
          <w:sz w:val="28"/>
          <w:szCs w:val="28"/>
        </w:rPr>
        <w:t xml:space="preserve"> </w:t>
      </w:r>
      <w:r w:rsidR="00FD7F09" w:rsidRPr="008F14A4">
        <w:rPr>
          <w:sz w:val="28"/>
          <w:szCs w:val="28"/>
        </w:rPr>
        <w:t>d</w:t>
      </w:r>
      <w:r w:rsidRPr="008F14A4">
        <w:rPr>
          <w:sz w:val="28"/>
          <w:szCs w:val="28"/>
        </w:rPr>
        <w:t>el decreto legislativo declaratorio.</w:t>
      </w:r>
      <w:r w:rsidRPr="008F14A4">
        <w:rPr>
          <w:rStyle w:val="Refdenotaalpie"/>
          <w:sz w:val="28"/>
          <w:szCs w:val="28"/>
        </w:rPr>
        <w:footnoteReference w:id="96"/>
      </w:r>
      <w:r w:rsidR="00FD7F09" w:rsidRPr="008F14A4">
        <w:rPr>
          <w:sz w:val="28"/>
          <w:szCs w:val="28"/>
        </w:rPr>
        <w:t xml:space="preserve"> </w:t>
      </w:r>
      <w:r w:rsidR="00947F86" w:rsidRPr="008F14A4">
        <w:rPr>
          <w:sz w:val="28"/>
          <w:szCs w:val="28"/>
        </w:rPr>
        <w:t xml:space="preserve">Ello </w:t>
      </w:r>
      <w:r w:rsidRPr="008F14A4">
        <w:rPr>
          <w:sz w:val="28"/>
          <w:szCs w:val="28"/>
        </w:rPr>
        <w:t>se debe a que</w:t>
      </w:r>
      <w:r w:rsidR="00C7218D" w:rsidRPr="008F14A4">
        <w:rPr>
          <w:sz w:val="28"/>
          <w:szCs w:val="28"/>
        </w:rPr>
        <w:t xml:space="preserve"> en estos casos</w:t>
      </w:r>
      <w:r w:rsidRPr="008F14A4">
        <w:rPr>
          <w:sz w:val="28"/>
          <w:szCs w:val="28"/>
        </w:rPr>
        <w:t xml:space="preserve"> la incompatibilidad con la Constitución no proviene de cada decreto en particular,</w:t>
      </w:r>
      <w:bookmarkStart w:id="2" w:name="OLE_LINK1"/>
      <w:bookmarkStart w:id="3" w:name="OLE_LINK2"/>
      <w:r w:rsidRPr="008F14A4">
        <w:rPr>
          <w:sz w:val="28"/>
          <w:szCs w:val="28"/>
        </w:rPr>
        <w:t xml:space="preserve"> sino de la ausencia sobrevenida de la competencia para expedirlos</w:t>
      </w:r>
      <w:r w:rsidRPr="008F14A4">
        <w:rPr>
          <w:rStyle w:val="Refdenotaalpie"/>
          <w:sz w:val="28"/>
          <w:szCs w:val="28"/>
        </w:rPr>
        <w:footnoteReference w:id="97"/>
      </w:r>
      <w:bookmarkEnd w:id="2"/>
      <w:bookmarkEnd w:id="3"/>
      <w:r w:rsidRPr="008F14A4">
        <w:rPr>
          <w:sz w:val="28"/>
          <w:szCs w:val="28"/>
        </w:rPr>
        <w:t>.</w:t>
      </w:r>
      <w:r w:rsidR="006E3E10" w:rsidRPr="008F14A4">
        <w:rPr>
          <w:sz w:val="28"/>
          <w:szCs w:val="28"/>
        </w:rPr>
        <w:t xml:space="preserve"> </w:t>
      </w:r>
      <w:r w:rsidR="001452E7" w:rsidRPr="008F14A4">
        <w:rPr>
          <w:sz w:val="28"/>
          <w:szCs w:val="28"/>
          <w:shd w:val="clear" w:color="auto" w:fill="FFFFFF"/>
        </w:rPr>
        <w:t xml:space="preserve">Por ejemplo, en la Sentencia C-521 de 2023 se declaró inexequible por consecuencia el Decreto Legislativo 1272 de 2023 y se precisó lo siguiente: </w:t>
      </w:r>
      <w:r w:rsidR="001452E7" w:rsidRPr="008F14A4">
        <w:rPr>
          <w:sz w:val="28"/>
          <w:szCs w:val="28"/>
        </w:rPr>
        <w:t>“</w:t>
      </w:r>
      <w:r w:rsidR="001452E7" w:rsidRPr="008F14A4">
        <w:rPr>
          <w:sz w:val="28"/>
          <w:szCs w:val="28"/>
          <w:shd w:val="clear" w:color="auto" w:fill="FFFFFF"/>
        </w:rPr>
        <w:t>si el decreto matriz de un estado de excepción es declarado pura y simplemente inexequible, los decretos expedidos para su desarrollo pierden sustento normativo y, por ende, necesariamente deben ser declarados integralmente inexequibles por consecuencia”</w:t>
      </w:r>
      <w:r w:rsidR="001452E7" w:rsidRPr="008F14A4">
        <w:rPr>
          <w:rStyle w:val="Refdenotaalpie"/>
          <w:sz w:val="28"/>
          <w:szCs w:val="28"/>
          <w:shd w:val="clear" w:color="auto" w:fill="FFFFFF"/>
        </w:rPr>
        <w:footnoteReference w:id="98"/>
      </w:r>
      <w:r w:rsidR="001452E7" w:rsidRPr="008F14A4">
        <w:rPr>
          <w:sz w:val="28"/>
          <w:szCs w:val="28"/>
          <w:shd w:val="clear" w:color="auto" w:fill="FFFFFF"/>
        </w:rPr>
        <w:t xml:space="preserve">. </w:t>
      </w:r>
    </w:p>
    <w:p w14:paraId="62B8599D" w14:textId="77777777" w:rsidR="001452E7" w:rsidRPr="008F14A4" w:rsidRDefault="001452E7" w:rsidP="001452E7">
      <w:pPr>
        <w:widowControl w:val="0"/>
        <w:pBdr>
          <w:top w:val="nil"/>
          <w:left w:val="nil"/>
          <w:bottom w:val="nil"/>
          <w:right w:val="nil"/>
          <w:between w:val="nil"/>
        </w:pBdr>
        <w:tabs>
          <w:tab w:val="left" w:pos="426"/>
        </w:tabs>
        <w:jc w:val="both"/>
        <w:rPr>
          <w:color w:val="000000"/>
          <w:sz w:val="28"/>
          <w:szCs w:val="28"/>
        </w:rPr>
      </w:pPr>
    </w:p>
    <w:p w14:paraId="3404A136" w14:textId="7D5932D9" w:rsidR="006E3E10" w:rsidRPr="008F14A4" w:rsidRDefault="00632BD1" w:rsidP="00632BD1">
      <w:pPr>
        <w:widowControl w:val="0"/>
        <w:numPr>
          <w:ilvl w:val="0"/>
          <w:numId w:val="9"/>
        </w:numPr>
        <w:pBdr>
          <w:top w:val="nil"/>
          <w:left w:val="nil"/>
          <w:bottom w:val="nil"/>
          <w:right w:val="nil"/>
          <w:between w:val="nil"/>
        </w:pBdr>
        <w:tabs>
          <w:tab w:val="left" w:pos="426"/>
        </w:tabs>
        <w:ind w:left="0" w:firstLine="0"/>
        <w:jc w:val="both"/>
        <w:rPr>
          <w:color w:val="000000"/>
          <w:sz w:val="28"/>
          <w:szCs w:val="28"/>
        </w:rPr>
      </w:pPr>
      <w:r w:rsidRPr="008F14A4">
        <w:rPr>
          <w:color w:val="000000"/>
          <w:sz w:val="28"/>
          <w:szCs w:val="28"/>
        </w:rPr>
        <w:t>E</w:t>
      </w:r>
      <w:r w:rsidR="006E3E10" w:rsidRPr="008F14A4">
        <w:rPr>
          <w:color w:val="000000"/>
          <w:sz w:val="28"/>
          <w:szCs w:val="28"/>
        </w:rPr>
        <w:t xml:space="preserve">sta </w:t>
      </w:r>
      <w:r w:rsidR="00BD1B2D" w:rsidRPr="008F14A4">
        <w:rPr>
          <w:color w:val="000000"/>
          <w:sz w:val="28"/>
          <w:szCs w:val="28"/>
        </w:rPr>
        <w:t xml:space="preserve">corporación </w:t>
      </w:r>
      <w:r w:rsidR="001452E7" w:rsidRPr="008F14A4">
        <w:rPr>
          <w:color w:val="000000"/>
          <w:sz w:val="28"/>
          <w:szCs w:val="28"/>
        </w:rPr>
        <w:t xml:space="preserve">también </w:t>
      </w:r>
      <w:r w:rsidR="006E3E10" w:rsidRPr="008F14A4">
        <w:rPr>
          <w:color w:val="000000"/>
          <w:sz w:val="28"/>
          <w:szCs w:val="28"/>
        </w:rPr>
        <w:t xml:space="preserve">ha </w:t>
      </w:r>
      <w:r w:rsidR="00D04DC2" w:rsidRPr="008F14A4">
        <w:rPr>
          <w:color w:val="000000"/>
          <w:sz w:val="28"/>
          <w:szCs w:val="28"/>
        </w:rPr>
        <w:t>reconocido</w:t>
      </w:r>
      <w:r w:rsidR="006E3E10" w:rsidRPr="008F14A4">
        <w:rPr>
          <w:color w:val="000000"/>
          <w:sz w:val="28"/>
          <w:szCs w:val="28"/>
        </w:rPr>
        <w:t xml:space="preserve"> que la inconstitucionalidad por consecuencia es aplicable cuando la inexequibilidad del decreto declaratorio del estado de excepción se adopta con una modulación sobre sus efectos</w:t>
      </w:r>
      <w:r w:rsidR="006E3E10" w:rsidRPr="008F14A4">
        <w:rPr>
          <w:rStyle w:val="Refdenotaalpie"/>
          <w:color w:val="000000"/>
          <w:sz w:val="28"/>
          <w:szCs w:val="28"/>
        </w:rPr>
        <w:footnoteReference w:id="99"/>
      </w:r>
      <w:r w:rsidR="006E3E10" w:rsidRPr="008F14A4">
        <w:rPr>
          <w:color w:val="000000"/>
          <w:sz w:val="28"/>
          <w:szCs w:val="28"/>
        </w:rPr>
        <w:t xml:space="preserve"> o es parcial</w:t>
      </w:r>
      <w:r w:rsidR="006E3E10" w:rsidRPr="008F14A4">
        <w:rPr>
          <w:rStyle w:val="Refdenotaalpie"/>
          <w:color w:val="000000"/>
          <w:sz w:val="28"/>
          <w:szCs w:val="28"/>
        </w:rPr>
        <w:footnoteReference w:id="100"/>
      </w:r>
      <w:r w:rsidR="006E3E10" w:rsidRPr="008F14A4">
        <w:rPr>
          <w:color w:val="000000"/>
          <w:sz w:val="28"/>
          <w:szCs w:val="28"/>
        </w:rPr>
        <w:t xml:space="preserve">. </w:t>
      </w:r>
      <w:r w:rsidR="006E3E10" w:rsidRPr="008F14A4">
        <w:rPr>
          <w:sz w:val="28"/>
          <w:szCs w:val="28"/>
        </w:rPr>
        <w:t>Por ejemplo, en la Sentencia C-442 de 2023 se estableció que en los eventos en los que “</w:t>
      </w:r>
      <w:r w:rsidR="006E3E10" w:rsidRPr="008F14A4">
        <w:rPr>
          <w:sz w:val="28"/>
          <w:szCs w:val="28"/>
          <w:shd w:val="clear" w:color="auto" w:fill="FFFFFF"/>
        </w:rPr>
        <w:t>se aplique la inconstitucionalidad con efectos diferidos de un decreto declaratorio del estado de excepción y respecto de una materia particular, […] la procedencia del </w:t>
      </w:r>
      <w:r w:rsidR="006E3E10" w:rsidRPr="008F14A4">
        <w:rPr>
          <w:iCs/>
          <w:sz w:val="28"/>
          <w:szCs w:val="28"/>
          <w:shd w:val="clear" w:color="auto" w:fill="FFFFFF"/>
        </w:rPr>
        <w:t>control formal </w:t>
      </w:r>
      <w:r w:rsidR="006E3E10" w:rsidRPr="008F14A4">
        <w:rPr>
          <w:sz w:val="28"/>
          <w:szCs w:val="28"/>
          <w:shd w:val="clear" w:color="auto" w:fill="FFFFFF"/>
        </w:rPr>
        <w:t>y </w:t>
      </w:r>
      <w:r w:rsidR="006E3E10" w:rsidRPr="008F14A4">
        <w:rPr>
          <w:iCs/>
          <w:sz w:val="28"/>
          <w:szCs w:val="28"/>
          <w:shd w:val="clear" w:color="auto" w:fill="FFFFFF"/>
        </w:rPr>
        <w:t>material</w:t>
      </w:r>
      <w:r w:rsidR="006E3E10" w:rsidRPr="008F14A4">
        <w:rPr>
          <w:sz w:val="28"/>
          <w:szCs w:val="28"/>
          <w:shd w:val="clear" w:color="auto" w:fill="FFFFFF"/>
        </w:rPr>
        <w:t> de los decretos legislativos de desarrollo dependerá de la existencia de un vínculo temático entre la respectiva disposición y la materia objeto de diferimiento, bajo criterios de estricta necesidad y conexidad. En caso de que no se compruebe esa relación se aplicaría, como ya se dijo, la figura de la inconstitucionalidad por consecuencia, con efectos inmediatos o retroactivos dependiendo del caso concreto”</w:t>
      </w:r>
      <w:r w:rsidR="001452E7" w:rsidRPr="008F14A4">
        <w:rPr>
          <w:rStyle w:val="Refdenotaalpie"/>
          <w:sz w:val="28"/>
          <w:szCs w:val="28"/>
        </w:rPr>
        <w:t xml:space="preserve"> </w:t>
      </w:r>
      <w:r w:rsidR="001452E7" w:rsidRPr="008F14A4">
        <w:rPr>
          <w:rStyle w:val="Refdenotaalpie"/>
          <w:sz w:val="28"/>
          <w:szCs w:val="28"/>
        </w:rPr>
        <w:footnoteReference w:id="101"/>
      </w:r>
      <w:r w:rsidR="006E3E10" w:rsidRPr="008F14A4">
        <w:rPr>
          <w:sz w:val="28"/>
          <w:szCs w:val="28"/>
          <w:shd w:val="clear" w:color="auto" w:fill="FFFFFF"/>
        </w:rPr>
        <w:t xml:space="preserve">. </w:t>
      </w:r>
    </w:p>
    <w:p w14:paraId="6BC25887" w14:textId="77777777" w:rsidR="001452E7" w:rsidRPr="008F14A4" w:rsidRDefault="001452E7" w:rsidP="001452E7">
      <w:pPr>
        <w:pStyle w:val="Prrafodelista"/>
        <w:rPr>
          <w:sz w:val="28"/>
          <w:szCs w:val="28"/>
        </w:rPr>
      </w:pPr>
    </w:p>
    <w:p w14:paraId="456B9255" w14:textId="77777777" w:rsidR="001452E7" w:rsidRPr="008F14A4" w:rsidRDefault="001452E7" w:rsidP="001452E7">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sz w:val="28"/>
          <w:szCs w:val="28"/>
        </w:rPr>
        <w:t xml:space="preserve">Asimismo, en los eventos en los que </w:t>
      </w:r>
      <w:r w:rsidR="006E3E10" w:rsidRPr="008F14A4">
        <w:rPr>
          <w:sz w:val="28"/>
          <w:szCs w:val="28"/>
        </w:rPr>
        <w:t>el decreto declaratorio del estado de excepción no es inconstitucional en su totalidad, puede ocurrir que alguna medida específica adoptada a partir de su habilitación parcial no encuentre sustento en las causas que motivaron la declaratoria parcial de exequibilidad</w:t>
      </w:r>
      <w:r w:rsidR="006E3E10" w:rsidRPr="008F14A4">
        <w:rPr>
          <w:rStyle w:val="Refdenotaalpie"/>
          <w:color w:val="000000"/>
          <w:sz w:val="28"/>
          <w:szCs w:val="28"/>
        </w:rPr>
        <w:footnoteReference w:id="102"/>
      </w:r>
      <w:r w:rsidR="006E3E10" w:rsidRPr="008F14A4">
        <w:rPr>
          <w:sz w:val="28"/>
          <w:szCs w:val="28"/>
        </w:rPr>
        <w:t>. En ese escenario, si bien la habilitación extraordinaria persiste formalmente, la Corte Constitucional ha señalado que toda medida que se expida al amparo del estado de excepción debe respetar un estándar estricto de relación temática directa y estrecha</w:t>
      </w:r>
      <w:r w:rsidR="006E3E10" w:rsidRPr="008F14A4">
        <w:rPr>
          <w:rStyle w:val="Refdenotaalpie"/>
          <w:sz w:val="28"/>
          <w:szCs w:val="28"/>
        </w:rPr>
        <w:footnoteReference w:id="103"/>
      </w:r>
      <w:r w:rsidR="006E3E10" w:rsidRPr="008F14A4">
        <w:rPr>
          <w:sz w:val="28"/>
          <w:szCs w:val="28"/>
        </w:rPr>
        <w:t xml:space="preserve"> con la situación excepcional que dio lugar al ejercicio de las facultades extraordinarias y a su habilitación por la Corte Constitucional</w:t>
      </w:r>
      <w:r w:rsidR="006E3E10" w:rsidRPr="008F14A4">
        <w:rPr>
          <w:rStyle w:val="Refdenotaalpie"/>
          <w:sz w:val="28"/>
          <w:szCs w:val="28"/>
        </w:rPr>
        <w:footnoteReference w:id="104"/>
      </w:r>
      <w:r w:rsidR="006E3E10" w:rsidRPr="008F14A4">
        <w:rPr>
          <w:sz w:val="28"/>
          <w:szCs w:val="28"/>
        </w:rPr>
        <w:t xml:space="preserve">. </w:t>
      </w:r>
    </w:p>
    <w:p w14:paraId="4AD99F85" w14:textId="77777777" w:rsidR="001452E7" w:rsidRPr="008F14A4" w:rsidRDefault="001452E7" w:rsidP="001452E7">
      <w:pPr>
        <w:pStyle w:val="Prrafodelista"/>
        <w:rPr>
          <w:sz w:val="28"/>
          <w:szCs w:val="28"/>
        </w:rPr>
      </w:pPr>
    </w:p>
    <w:p w14:paraId="0F93E0C2" w14:textId="2312AC80" w:rsidR="001272E7" w:rsidRPr="008F14A4" w:rsidRDefault="006E3E10" w:rsidP="001452E7">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sz w:val="28"/>
          <w:szCs w:val="28"/>
        </w:rPr>
        <w:t>Dicho aspecto se erige como un parámetro de control de competencia</w:t>
      </w:r>
      <w:r w:rsidRPr="008F14A4">
        <w:rPr>
          <w:rStyle w:val="Refdenotaalpie"/>
          <w:color w:val="000000"/>
          <w:sz w:val="28"/>
          <w:szCs w:val="28"/>
        </w:rPr>
        <w:footnoteReference w:id="105"/>
      </w:r>
      <w:r w:rsidRPr="008F14A4">
        <w:rPr>
          <w:sz w:val="28"/>
          <w:szCs w:val="28"/>
        </w:rPr>
        <w:t xml:space="preserve">. </w:t>
      </w:r>
      <w:r w:rsidR="001540A0" w:rsidRPr="008F14A4">
        <w:rPr>
          <w:sz w:val="28"/>
          <w:szCs w:val="28"/>
        </w:rPr>
        <w:t>De esta manera</w:t>
      </w:r>
      <w:r w:rsidRPr="008F14A4">
        <w:rPr>
          <w:sz w:val="28"/>
          <w:szCs w:val="28"/>
        </w:rPr>
        <w:t xml:space="preserve">, si un decreto legislativo de desarrollo aborda materias ajenas o no cobijadas por las razones que justificaron </w:t>
      </w:r>
      <w:r w:rsidR="001452E7" w:rsidRPr="008F14A4">
        <w:rPr>
          <w:sz w:val="28"/>
          <w:szCs w:val="28"/>
        </w:rPr>
        <w:t xml:space="preserve">la modulación de los efectos o </w:t>
      </w:r>
      <w:r w:rsidRPr="008F14A4">
        <w:rPr>
          <w:sz w:val="28"/>
          <w:szCs w:val="28"/>
        </w:rPr>
        <w:t xml:space="preserve">la </w:t>
      </w:r>
      <w:r w:rsidR="001452E7" w:rsidRPr="008F14A4">
        <w:rPr>
          <w:sz w:val="28"/>
          <w:szCs w:val="28"/>
        </w:rPr>
        <w:t xml:space="preserve">exequibilidad parcial </w:t>
      </w:r>
      <w:r w:rsidRPr="008F14A4">
        <w:rPr>
          <w:sz w:val="28"/>
          <w:szCs w:val="28"/>
        </w:rPr>
        <w:t>del estado de excepción, la consecuencia jurídica es la inexequibilidad de aquel por exceso en el uso de la atribución habilitante</w:t>
      </w:r>
      <w:r w:rsidRPr="008F14A4">
        <w:rPr>
          <w:rStyle w:val="Refdenotaalpie"/>
          <w:color w:val="000000"/>
          <w:sz w:val="28"/>
          <w:szCs w:val="28"/>
        </w:rPr>
        <w:footnoteReference w:id="106"/>
      </w:r>
      <w:r w:rsidRPr="008F14A4">
        <w:rPr>
          <w:sz w:val="28"/>
          <w:szCs w:val="28"/>
        </w:rPr>
        <w:t>, en tanto el Ejecutivo habría actuado por fuera del ámbito material autorizado por la Constitución</w:t>
      </w:r>
      <w:r w:rsidRPr="008F14A4">
        <w:rPr>
          <w:rStyle w:val="Refdenotaalpie"/>
          <w:color w:val="000000"/>
          <w:sz w:val="28"/>
          <w:szCs w:val="28"/>
        </w:rPr>
        <w:footnoteReference w:id="107"/>
      </w:r>
      <w:r w:rsidRPr="008F14A4">
        <w:rPr>
          <w:sz w:val="28"/>
          <w:szCs w:val="28"/>
        </w:rPr>
        <w:t>.</w:t>
      </w:r>
    </w:p>
    <w:p w14:paraId="277E841C" w14:textId="77777777" w:rsidR="00434774" w:rsidRPr="001452E7" w:rsidRDefault="00434774" w:rsidP="001452E7">
      <w:pPr>
        <w:rPr>
          <w:b/>
          <w:sz w:val="28"/>
          <w:szCs w:val="28"/>
        </w:rPr>
      </w:pPr>
    </w:p>
    <w:p w14:paraId="01AFC918" w14:textId="1C2E4C3B" w:rsidR="00E13EA8" w:rsidRPr="00AF31E6" w:rsidRDefault="005A5610" w:rsidP="00434774">
      <w:pPr>
        <w:widowControl w:val="0"/>
        <w:pBdr>
          <w:top w:val="nil"/>
          <w:left w:val="nil"/>
          <w:bottom w:val="nil"/>
          <w:right w:val="nil"/>
          <w:between w:val="nil"/>
        </w:pBdr>
        <w:tabs>
          <w:tab w:val="left" w:pos="426"/>
        </w:tabs>
        <w:jc w:val="both"/>
        <w:rPr>
          <w:b/>
          <w:sz w:val="28"/>
          <w:szCs w:val="28"/>
        </w:rPr>
      </w:pPr>
      <w:r w:rsidRPr="00AF31E6">
        <w:rPr>
          <w:b/>
          <w:sz w:val="28"/>
          <w:szCs w:val="28"/>
        </w:rPr>
        <w:t>4</w:t>
      </w:r>
      <w:r w:rsidR="00C21EE3" w:rsidRPr="00AF31E6">
        <w:rPr>
          <w:b/>
          <w:sz w:val="28"/>
          <w:szCs w:val="28"/>
        </w:rPr>
        <w:t xml:space="preserve">. </w:t>
      </w:r>
      <w:r w:rsidR="004669DA" w:rsidRPr="00AF31E6">
        <w:rPr>
          <w:b/>
          <w:sz w:val="28"/>
          <w:szCs w:val="28"/>
        </w:rPr>
        <w:t xml:space="preserve">La inconstitucionalidad por consecuencia del Decreto Legislativo 1474 de 2025 </w:t>
      </w:r>
    </w:p>
    <w:p w14:paraId="07FFFAAE" w14:textId="77777777" w:rsidR="004669DA" w:rsidRPr="00AF31E6" w:rsidRDefault="004669DA" w:rsidP="00DB55B2">
      <w:pPr>
        <w:widowControl w:val="0"/>
        <w:pBdr>
          <w:top w:val="nil"/>
          <w:left w:val="nil"/>
          <w:bottom w:val="nil"/>
          <w:right w:val="nil"/>
          <w:between w:val="nil"/>
        </w:pBdr>
        <w:tabs>
          <w:tab w:val="left" w:pos="284"/>
        </w:tabs>
        <w:jc w:val="both"/>
        <w:rPr>
          <w:b/>
          <w:sz w:val="28"/>
          <w:szCs w:val="28"/>
        </w:rPr>
      </w:pPr>
    </w:p>
    <w:p w14:paraId="078C6B61" w14:textId="3B422923" w:rsidR="004669DA" w:rsidRPr="008B061B" w:rsidRDefault="00E144AD" w:rsidP="00E144AD">
      <w:pPr>
        <w:widowControl w:val="0"/>
        <w:numPr>
          <w:ilvl w:val="0"/>
          <w:numId w:val="9"/>
        </w:numPr>
        <w:pBdr>
          <w:top w:val="nil"/>
          <w:left w:val="nil"/>
          <w:bottom w:val="nil"/>
          <w:right w:val="nil"/>
          <w:between w:val="nil"/>
        </w:pBdr>
        <w:tabs>
          <w:tab w:val="left" w:pos="426"/>
        </w:tabs>
        <w:ind w:left="0" w:firstLine="0"/>
        <w:jc w:val="both"/>
        <w:rPr>
          <w:sz w:val="28"/>
          <w:szCs w:val="28"/>
        </w:rPr>
      </w:pPr>
      <w:r w:rsidRPr="008B061B">
        <w:rPr>
          <w:sz w:val="28"/>
          <w:szCs w:val="28"/>
        </w:rPr>
        <w:t xml:space="preserve">La Sala </w:t>
      </w:r>
      <w:r w:rsidR="00151E2D" w:rsidRPr="008B061B">
        <w:rPr>
          <w:sz w:val="28"/>
          <w:szCs w:val="28"/>
        </w:rPr>
        <w:t>precisa</w:t>
      </w:r>
      <w:r w:rsidRPr="008B061B">
        <w:rPr>
          <w:sz w:val="28"/>
          <w:szCs w:val="28"/>
        </w:rPr>
        <w:t xml:space="preserve"> que el análisis </w:t>
      </w:r>
      <w:r w:rsidR="00151E2D" w:rsidRPr="008B061B">
        <w:rPr>
          <w:sz w:val="28"/>
          <w:szCs w:val="28"/>
        </w:rPr>
        <w:t xml:space="preserve">que dio lugar a la decision </w:t>
      </w:r>
      <w:r w:rsidRPr="008B061B">
        <w:rPr>
          <w:sz w:val="28"/>
          <w:szCs w:val="28"/>
        </w:rPr>
        <w:t xml:space="preserve">de no producción de efectos del DL1474 </w:t>
      </w:r>
      <w:r w:rsidR="00151E2D" w:rsidRPr="008B061B">
        <w:rPr>
          <w:sz w:val="28"/>
          <w:szCs w:val="28"/>
        </w:rPr>
        <w:t>contenida en</w:t>
      </w:r>
      <w:r w:rsidRPr="008B061B">
        <w:rPr>
          <w:sz w:val="28"/>
          <w:szCs w:val="28"/>
        </w:rPr>
        <w:t xml:space="preserve"> el Auto 084 de 2026</w:t>
      </w:r>
      <w:r w:rsidR="00151E2D" w:rsidRPr="008B061B">
        <w:rPr>
          <w:sz w:val="28"/>
          <w:szCs w:val="28"/>
        </w:rPr>
        <w:t xml:space="preserve">, no constituyó un examen sobre la </w:t>
      </w:r>
      <w:r w:rsidRPr="008B061B">
        <w:rPr>
          <w:sz w:val="28"/>
          <w:szCs w:val="28"/>
        </w:rPr>
        <w:t xml:space="preserve">validez del decreto legislativo objeto de revisión. </w:t>
      </w:r>
      <w:r w:rsidR="00151E2D" w:rsidRPr="008B061B">
        <w:rPr>
          <w:sz w:val="28"/>
          <w:szCs w:val="28"/>
        </w:rPr>
        <w:t xml:space="preserve">Por tal razón, en esta sentencia </w:t>
      </w:r>
      <w:r w:rsidRPr="008B061B">
        <w:rPr>
          <w:sz w:val="28"/>
          <w:szCs w:val="28"/>
        </w:rPr>
        <w:t xml:space="preserve">se </w:t>
      </w:r>
      <w:r w:rsidR="00426E60" w:rsidRPr="008B061B">
        <w:rPr>
          <w:sz w:val="28"/>
          <w:szCs w:val="28"/>
        </w:rPr>
        <w:t xml:space="preserve">advierte que el Decreto </w:t>
      </w:r>
      <w:r w:rsidR="00C7218D" w:rsidRPr="008B061B">
        <w:rPr>
          <w:sz w:val="28"/>
          <w:szCs w:val="28"/>
        </w:rPr>
        <w:t xml:space="preserve">Legislativo </w:t>
      </w:r>
      <w:r w:rsidR="00426E60" w:rsidRPr="008B061B">
        <w:rPr>
          <w:sz w:val="28"/>
          <w:szCs w:val="28"/>
        </w:rPr>
        <w:t xml:space="preserve">1474 del 29 de diciembre de 2025 resulta inconstitucional por consecuencia. Lo anterior, por las razones que se exponen a continuación. </w:t>
      </w:r>
    </w:p>
    <w:p w14:paraId="4EBAA0A5" w14:textId="77777777" w:rsidR="00426E60" w:rsidRPr="00AF31E6" w:rsidRDefault="00426E60" w:rsidP="00426E60">
      <w:pPr>
        <w:widowControl w:val="0"/>
        <w:pBdr>
          <w:top w:val="nil"/>
          <w:left w:val="nil"/>
          <w:bottom w:val="nil"/>
          <w:right w:val="nil"/>
          <w:between w:val="nil"/>
        </w:pBdr>
        <w:tabs>
          <w:tab w:val="left" w:pos="426"/>
        </w:tabs>
        <w:jc w:val="both"/>
        <w:rPr>
          <w:b/>
          <w:sz w:val="28"/>
          <w:szCs w:val="28"/>
        </w:rPr>
      </w:pPr>
    </w:p>
    <w:p w14:paraId="78D095AF" w14:textId="1E25F4B4" w:rsidR="00426E60" w:rsidRPr="00AF31E6" w:rsidRDefault="00C57E95" w:rsidP="00DF4665">
      <w:pPr>
        <w:widowControl w:val="0"/>
        <w:numPr>
          <w:ilvl w:val="0"/>
          <w:numId w:val="9"/>
        </w:numPr>
        <w:pBdr>
          <w:top w:val="nil"/>
          <w:left w:val="nil"/>
          <w:bottom w:val="nil"/>
          <w:right w:val="nil"/>
          <w:between w:val="nil"/>
        </w:pBdr>
        <w:tabs>
          <w:tab w:val="left" w:pos="426"/>
        </w:tabs>
        <w:ind w:left="0" w:firstLine="0"/>
        <w:jc w:val="both"/>
        <w:rPr>
          <w:b/>
          <w:sz w:val="28"/>
          <w:szCs w:val="28"/>
        </w:rPr>
      </w:pPr>
      <w:r w:rsidRPr="00AF31E6">
        <w:rPr>
          <w:sz w:val="28"/>
          <w:szCs w:val="28"/>
        </w:rPr>
        <w:t>Primera</w:t>
      </w:r>
      <w:r w:rsidR="00426E60" w:rsidRPr="00AF31E6">
        <w:rPr>
          <w:sz w:val="28"/>
          <w:szCs w:val="28"/>
        </w:rPr>
        <w:t>. Mediante Sentencia C-</w:t>
      </w:r>
      <w:r w:rsidR="00F15A62" w:rsidRPr="00AF31E6">
        <w:rPr>
          <w:sz w:val="28"/>
          <w:szCs w:val="28"/>
        </w:rPr>
        <w:t xml:space="preserve">075 </w:t>
      </w:r>
      <w:r w:rsidR="00426E60" w:rsidRPr="00AF31E6">
        <w:rPr>
          <w:sz w:val="28"/>
          <w:szCs w:val="28"/>
        </w:rPr>
        <w:t xml:space="preserve">de 2026 la Corte Constitucional declaró la inexequibilidad </w:t>
      </w:r>
      <w:r w:rsidR="008126EB" w:rsidRPr="00AF31E6">
        <w:rPr>
          <w:sz w:val="28"/>
          <w:szCs w:val="28"/>
        </w:rPr>
        <w:t xml:space="preserve">pura y simple </w:t>
      </w:r>
      <w:r w:rsidR="00C7218D" w:rsidRPr="00AF31E6">
        <w:rPr>
          <w:sz w:val="28"/>
          <w:szCs w:val="28"/>
        </w:rPr>
        <w:t xml:space="preserve">y con efectos </w:t>
      </w:r>
      <w:r w:rsidR="00C7218D" w:rsidRPr="00AF31E6">
        <w:rPr>
          <w:i/>
          <w:iCs/>
          <w:sz w:val="28"/>
          <w:szCs w:val="28"/>
        </w:rPr>
        <w:t>ex nunc</w:t>
      </w:r>
      <w:r w:rsidR="00426E60" w:rsidRPr="00AF31E6">
        <w:rPr>
          <w:sz w:val="28"/>
          <w:szCs w:val="28"/>
        </w:rPr>
        <w:t xml:space="preserve"> del Decreto Legislativo 1390 del 22 de diciembre de 2025, por medio del cual se declaró el estado de emergencia económica y social en todo el territorio nacional. Lo anterior, por considerar que</w:t>
      </w:r>
      <w:r w:rsidR="006E3025" w:rsidRPr="00AF31E6">
        <w:rPr>
          <w:sz w:val="28"/>
          <w:szCs w:val="28"/>
        </w:rPr>
        <w:t xml:space="preserve"> la norma objeto de control</w:t>
      </w:r>
      <w:r w:rsidR="00E92DD1" w:rsidRPr="00AF31E6">
        <w:rPr>
          <w:sz w:val="28"/>
          <w:szCs w:val="28"/>
        </w:rPr>
        <w:t xml:space="preserve"> </w:t>
      </w:r>
      <w:r w:rsidR="006E3025" w:rsidRPr="00AF31E6">
        <w:rPr>
          <w:sz w:val="28"/>
          <w:szCs w:val="28"/>
        </w:rPr>
        <w:t xml:space="preserve">no superó el </w:t>
      </w:r>
      <w:r w:rsidR="008126EB" w:rsidRPr="00AF31E6">
        <w:rPr>
          <w:sz w:val="28"/>
          <w:szCs w:val="28"/>
        </w:rPr>
        <w:t>presupuesto</w:t>
      </w:r>
      <w:r w:rsidR="006E3025" w:rsidRPr="00AF31E6">
        <w:rPr>
          <w:sz w:val="28"/>
          <w:szCs w:val="28"/>
        </w:rPr>
        <w:t xml:space="preserve"> fáctico conforme la jurisprudencia constitucional. </w:t>
      </w:r>
    </w:p>
    <w:p w14:paraId="55356E88" w14:textId="77777777" w:rsidR="0045150C" w:rsidRPr="00C04588" w:rsidRDefault="0045150C" w:rsidP="0045150C">
      <w:pPr>
        <w:pStyle w:val="Prrafodelista"/>
        <w:rPr>
          <w:b/>
          <w:sz w:val="28"/>
          <w:szCs w:val="28"/>
        </w:rPr>
      </w:pPr>
    </w:p>
    <w:p w14:paraId="4E34CB8B" w14:textId="100FA2D7" w:rsidR="00660C8F" w:rsidRPr="00C04588" w:rsidRDefault="00C57E95" w:rsidP="00ED5DB1">
      <w:pPr>
        <w:widowControl w:val="0"/>
        <w:numPr>
          <w:ilvl w:val="0"/>
          <w:numId w:val="9"/>
        </w:numPr>
        <w:pBdr>
          <w:top w:val="nil"/>
          <w:left w:val="nil"/>
          <w:bottom w:val="nil"/>
          <w:right w:val="nil"/>
          <w:between w:val="nil"/>
        </w:pBdr>
        <w:tabs>
          <w:tab w:val="left" w:pos="426"/>
        </w:tabs>
        <w:ind w:left="0" w:firstLine="0"/>
        <w:jc w:val="both"/>
        <w:rPr>
          <w:sz w:val="28"/>
          <w:szCs w:val="28"/>
        </w:rPr>
      </w:pPr>
      <w:r w:rsidRPr="00C04588">
        <w:rPr>
          <w:sz w:val="28"/>
          <w:szCs w:val="28"/>
        </w:rPr>
        <w:t>Segunda</w:t>
      </w:r>
      <w:r w:rsidR="0045150C" w:rsidRPr="00C04588">
        <w:rPr>
          <w:sz w:val="28"/>
          <w:szCs w:val="28"/>
        </w:rPr>
        <w:t xml:space="preserve">. El DL1474 fue expedido al amparo del estado de emergencia económica y social declarado por medio del DL1390. Lo anterior, de conformidad con los considerandos 1 a 6 de la norma bajo examen. </w:t>
      </w:r>
    </w:p>
    <w:p w14:paraId="5A717966" w14:textId="77777777" w:rsidR="00660C8F" w:rsidRPr="00C04588" w:rsidRDefault="00660C8F" w:rsidP="00660C8F">
      <w:pPr>
        <w:pStyle w:val="Prrafodelista"/>
        <w:rPr>
          <w:sz w:val="28"/>
          <w:szCs w:val="28"/>
        </w:rPr>
      </w:pPr>
    </w:p>
    <w:p w14:paraId="7CED8C9B" w14:textId="620098C7" w:rsidR="00ED5DB1" w:rsidRPr="008F14A4" w:rsidRDefault="00C57E95" w:rsidP="00ED5DB1">
      <w:pPr>
        <w:widowControl w:val="0"/>
        <w:numPr>
          <w:ilvl w:val="0"/>
          <w:numId w:val="9"/>
        </w:numPr>
        <w:pBdr>
          <w:top w:val="nil"/>
          <w:left w:val="nil"/>
          <w:bottom w:val="nil"/>
          <w:right w:val="nil"/>
          <w:between w:val="nil"/>
        </w:pBdr>
        <w:tabs>
          <w:tab w:val="left" w:pos="426"/>
        </w:tabs>
        <w:ind w:left="0" w:firstLine="0"/>
        <w:jc w:val="both"/>
        <w:rPr>
          <w:sz w:val="28"/>
          <w:szCs w:val="28"/>
        </w:rPr>
      </w:pPr>
      <w:r w:rsidRPr="00C04588">
        <w:rPr>
          <w:sz w:val="28"/>
          <w:szCs w:val="28"/>
        </w:rPr>
        <w:t>Tercera</w:t>
      </w:r>
      <w:r w:rsidR="00660C8F" w:rsidRPr="00C04588">
        <w:rPr>
          <w:sz w:val="28"/>
          <w:szCs w:val="28"/>
        </w:rPr>
        <w:t xml:space="preserve">. </w:t>
      </w:r>
      <w:r w:rsidR="0045150C" w:rsidRPr="008F14A4">
        <w:rPr>
          <w:sz w:val="28"/>
          <w:szCs w:val="28"/>
        </w:rPr>
        <w:t xml:space="preserve">En consecuencia, de </w:t>
      </w:r>
      <w:r w:rsidR="00660C8F" w:rsidRPr="008F14A4">
        <w:rPr>
          <w:sz w:val="28"/>
          <w:szCs w:val="28"/>
        </w:rPr>
        <w:t>acuerdo a</w:t>
      </w:r>
      <w:r w:rsidR="0045150C" w:rsidRPr="008F14A4">
        <w:rPr>
          <w:sz w:val="28"/>
          <w:szCs w:val="28"/>
        </w:rPr>
        <w:t xml:space="preserve"> la jurisprudencia constitucional, el DL1474 debe ser declarado inexequible por cuanto </w:t>
      </w:r>
      <w:r w:rsidR="00426720" w:rsidRPr="008F14A4">
        <w:rPr>
          <w:sz w:val="28"/>
          <w:szCs w:val="28"/>
        </w:rPr>
        <w:t>el cuerpo normativo habilitante, en virtud del cual se expidió, fue expulsado del ordenamiento jurídico</w:t>
      </w:r>
      <w:r w:rsidR="0045150C" w:rsidRPr="008F14A4">
        <w:rPr>
          <w:sz w:val="28"/>
          <w:szCs w:val="28"/>
        </w:rPr>
        <w:t>. En ese sentido, se está ante “la ausencia sobrevenida de la competencia para expedirl[o]”</w:t>
      </w:r>
      <w:r w:rsidR="0045150C" w:rsidRPr="008F14A4">
        <w:rPr>
          <w:rStyle w:val="Refdenotaalpie"/>
          <w:sz w:val="28"/>
          <w:szCs w:val="28"/>
        </w:rPr>
        <w:footnoteReference w:id="108"/>
      </w:r>
      <w:r w:rsidR="0045150C" w:rsidRPr="008F14A4">
        <w:rPr>
          <w:sz w:val="28"/>
          <w:szCs w:val="28"/>
        </w:rPr>
        <w:t>.</w:t>
      </w:r>
    </w:p>
    <w:p w14:paraId="40381337" w14:textId="77777777" w:rsidR="00ED5DB1" w:rsidRPr="008F14A4" w:rsidRDefault="00ED5DB1" w:rsidP="00ED5DB1">
      <w:pPr>
        <w:pStyle w:val="Prrafodelista"/>
        <w:rPr>
          <w:sz w:val="28"/>
          <w:szCs w:val="28"/>
        </w:rPr>
      </w:pPr>
    </w:p>
    <w:p w14:paraId="481C3FAB" w14:textId="5C6A4127" w:rsidR="00D809AF" w:rsidRPr="008F14A4" w:rsidRDefault="00C57E95" w:rsidP="009D2CD4">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sz w:val="28"/>
          <w:szCs w:val="28"/>
        </w:rPr>
        <w:t>Cuarta</w:t>
      </w:r>
      <w:r w:rsidR="0045150C" w:rsidRPr="008F14A4">
        <w:rPr>
          <w:sz w:val="28"/>
          <w:szCs w:val="28"/>
        </w:rPr>
        <w:t>. La inexequibilidad del DL1390 fue total y en la Sentencia C-</w:t>
      </w:r>
      <w:r w:rsidR="00F15A62" w:rsidRPr="008F14A4">
        <w:rPr>
          <w:sz w:val="28"/>
          <w:szCs w:val="28"/>
        </w:rPr>
        <w:t>075</w:t>
      </w:r>
      <w:r w:rsidR="0045150C" w:rsidRPr="008F14A4">
        <w:rPr>
          <w:sz w:val="28"/>
          <w:szCs w:val="28"/>
        </w:rPr>
        <w:t xml:space="preserve"> de 2026 esta corporación no adoptó ninguna modulación sobre los efectos de la decisión. </w:t>
      </w:r>
    </w:p>
    <w:p w14:paraId="77FDA520" w14:textId="77777777" w:rsidR="00ED5DB1" w:rsidRPr="00C04588" w:rsidRDefault="00ED5DB1" w:rsidP="00091642">
      <w:pPr>
        <w:widowControl w:val="0"/>
        <w:pBdr>
          <w:top w:val="nil"/>
          <w:left w:val="nil"/>
          <w:bottom w:val="nil"/>
          <w:right w:val="nil"/>
          <w:between w:val="nil"/>
        </w:pBdr>
        <w:tabs>
          <w:tab w:val="left" w:pos="426"/>
        </w:tabs>
        <w:jc w:val="both"/>
        <w:rPr>
          <w:sz w:val="28"/>
          <w:szCs w:val="28"/>
        </w:rPr>
      </w:pPr>
    </w:p>
    <w:p w14:paraId="11229D6A" w14:textId="308D8FA7" w:rsidR="00ED5DB1" w:rsidRPr="00C04588" w:rsidRDefault="00ED5DB1" w:rsidP="00ED5DB1">
      <w:pPr>
        <w:widowControl w:val="0"/>
        <w:numPr>
          <w:ilvl w:val="0"/>
          <w:numId w:val="9"/>
        </w:numPr>
        <w:pBdr>
          <w:top w:val="nil"/>
          <w:left w:val="nil"/>
          <w:bottom w:val="nil"/>
          <w:right w:val="nil"/>
          <w:between w:val="nil"/>
        </w:pBdr>
        <w:tabs>
          <w:tab w:val="left" w:pos="426"/>
        </w:tabs>
        <w:ind w:left="0" w:firstLine="0"/>
        <w:jc w:val="both"/>
        <w:rPr>
          <w:sz w:val="28"/>
          <w:szCs w:val="28"/>
        </w:rPr>
      </w:pPr>
      <w:r w:rsidRPr="00C04588">
        <w:rPr>
          <w:sz w:val="28"/>
          <w:szCs w:val="28"/>
        </w:rPr>
        <w:t xml:space="preserve">Por lo expuesto, se declarará la inexequibilidad por consecuencia del Decreto Legislativo 1474 del 29 de diciembre de 2025. </w:t>
      </w:r>
    </w:p>
    <w:p w14:paraId="70FD603D" w14:textId="77777777" w:rsidR="00F15A62" w:rsidRPr="00C04588" w:rsidRDefault="00F15A62" w:rsidP="00F15A62">
      <w:pPr>
        <w:pStyle w:val="Prrafodelista"/>
        <w:rPr>
          <w:sz w:val="28"/>
          <w:szCs w:val="28"/>
        </w:rPr>
      </w:pPr>
    </w:p>
    <w:p w14:paraId="51BEE2AC" w14:textId="2B14D6C4" w:rsidR="00F15A62" w:rsidRPr="00C04588" w:rsidRDefault="00F15A62" w:rsidP="00F15A62">
      <w:pPr>
        <w:pStyle w:val="Prrafodelista"/>
        <w:pBdr>
          <w:top w:val="nil"/>
          <w:left w:val="nil"/>
          <w:bottom w:val="nil"/>
          <w:right w:val="nil"/>
          <w:between w:val="nil"/>
        </w:pBdr>
        <w:tabs>
          <w:tab w:val="left" w:pos="142"/>
          <w:tab w:val="left" w:pos="426"/>
        </w:tabs>
        <w:ind w:left="0"/>
        <w:jc w:val="both"/>
        <w:rPr>
          <w:b/>
          <w:bCs/>
          <w:sz w:val="28"/>
          <w:szCs w:val="28"/>
        </w:rPr>
      </w:pPr>
      <w:r w:rsidRPr="00C04588">
        <w:rPr>
          <w:b/>
          <w:bCs/>
          <w:sz w:val="28"/>
          <w:szCs w:val="28"/>
        </w:rPr>
        <w:t>5. Efectos de la declaratoria de inexequibilidad del Decreto Legislativo 1474 del 29 de diciembre de 2025</w:t>
      </w:r>
      <w:r w:rsidR="007E15CE" w:rsidRPr="00AC4F77">
        <w:rPr>
          <w:rStyle w:val="Refdenotaalpie"/>
          <w:bCs/>
          <w:sz w:val="28"/>
          <w:szCs w:val="28"/>
        </w:rPr>
        <w:footnoteReference w:id="109"/>
      </w:r>
    </w:p>
    <w:p w14:paraId="5FE0F6CF" w14:textId="52542A06" w:rsidR="00F15A62" w:rsidRDefault="00F15A62" w:rsidP="00AC4F77">
      <w:pPr>
        <w:rPr>
          <w:sz w:val="28"/>
          <w:szCs w:val="28"/>
        </w:rPr>
      </w:pPr>
    </w:p>
    <w:p w14:paraId="6B6ADC34" w14:textId="1EA38628" w:rsidR="00CE39EB" w:rsidRPr="008F14A4" w:rsidRDefault="00CE39EB" w:rsidP="00916F22">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sz w:val="28"/>
          <w:szCs w:val="28"/>
        </w:rPr>
        <w:t>Finalmente, se advierte que la Corte Constitucional, de conformidad con los artículos 241 de la Constitución y 45 de la Ley 270 de 1996</w:t>
      </w:r>
      <w:r w:rsidR="00BD1B2D" w:rsidRPr="008F14A4">
        <w:rPr>
          <w:sz w:val="28"/>
          <w:szCs w:val="28"/>
        </w:rPr>
        <w:t>,</w:t>
      </w:r>
      <w:r w:rsidRPr="008F14A4">
        <w:rPr>
          <w:sz w:val="28"/>
          <w:szCs w:val="28"/>
        </w:rPr>
        <w:t xml:space="preserve"> puede modular los efectos de sus decisiones</w:t>
      </w:r>
      <w:r w:rsidR="00DF263F" w:rsidRPr="008F14A4">
        <w:rPr>
          <w:rStyle w:val="Refdenotaalpie"/>
          <w:sz w:val="28"/>
          <w:szCs w:val="28"/>
        </w:rPr>
        <w:footnoteReference w:id="110"/>
      </w:r>
      <w:r w:rsidRPr="008F14A4">
        <w:rPr>
          <w:sz w:val="28"/>
          <w:szCs w:val="28"/>
        </w:rPr>
        <w:t xml:space="preserve">. </w:t>
      </w:r>
      <w:r w:rsidR="00BD1B2D" w:rsidRPr="008F14A4">
        <w:rPr>
          <w:sz w:val="28"/>
          <w:szCs w:val="28"/>
        </w:rPr>
        <w:t>En función de ello, la Sala</w:t>
      </w:r>
      <w:r w:rsidRPr="008F14A4">
        <w:rPr>
          <w:sz w:val="28"/>
          <w:szCs w:val="28"/>
        </w:rPr>
        <w:t xml:space="preserve"> evidencia que en el presente caso no existe ninguna restricción respecto de la modulación de los efectos de la inexequibilidad por consecuencia del DL1474, por cuanto no ha habido pronunciamiento sobre sus medidas particulares y se requiere garantizar la supremacía de la Constitución frente a las consecuencias prácticas de la normativa bajo estudio, tal como se resolvió en la Sentencia C-431 de 2025</w:t>
      </w:r>
      <w:r w:rsidR="00FB53B1" w:rsidRPr="008F14A4">
        <w:rPr>
          <w:sz w:val="28"/>
          <w:szCs w:val="28"/>
        </w:rPr>
        <w:t xml:space="preserve">. En concreto, </w:t>
      </w:r>
      <w:r w:rsidR="00015BB8" w:rsidRPr="008F14A4">
        <w:rPr>
          <w:sz w:val="28"/>
          <w:szCs w:val="28"/>
        </w:rPr>
        <w:t xml:space="preserve">la Sala recuerda que </w:t>
      </w:r>
      <w:r w:rsidR="00FB53B1" w:rsidRPr="008F14A4">
        <w:rPr>
          <w:sz w:val="28"/>
          <w:szCs w:val="28"/>
        </w:rPr>
        <w:t>en dicha decisión se estudió la constitucionalidad de un decreto legislativo de desarrollo por medio del cual se adoptaron medidas tributarias excepcionales</w:t>
      </w:r>
      <w:r w:rsidR="002B51AB" w:rsidRPr="008F14A4">
        <w:rPr>
          <w:sz w:val="28"/>
          <w:szCs w:val="28"/>
        </w:rPr>
        <w:t xml:space="preserve"> de carácter indirecto</w:t>
      </w:r>
      <w:r w:rsidR="002B51AB" w:rsidRPr="008F14A4">
        <w:rPr>
          <w:rStyle w:val="Refdenotaalpie"/>
          <w:sz w:val="28"/>
          <w:szCs w:val="28"/>
        </w:rPr>
        <w:footnoteReference w:id="111"/>
      </w:r>
      <w:r w:rsidR="002B51AB" w:rsidRPr="008F14A4">
        <w:rPr>
          <w:sz w:val="28"/>
          <w:szCs w:val="28"/>
        </w:rPr>
        <w:t xml:space="preserve">, </w:t>
      </w:r>
      <w:r w:rsidR="00FB53B1" w:rsidRPr="008F14A4">
        <w:rPr>
          <w:sz w:val="28"/>
          <w:szCs w:val="28"/>
        </w:rPr>
        <w:t>en el marco de un estado de conmoción interior. Esa sentencia, aunque declaró la exequibilidad condicionada o parcial de algunos de los mecanismos</w:t>
      </w:r>
      <w:r w:rsidR="00CA025C" w:rsidRPr="008F14A4">
        <w:rPr>
          <w:sz w:val="28"/>
          <w:szCs w:val="28"/>
        </w:rPr>
        <w:t xml:space="preserve"> analizados</w:t>
      </w:r>
      <w:r w:rsidR="00FB53B1" w:rsidRPr="008F14A4">
        <w:rPr>
          <w:sz w:val="28"/>
          <w:szCs w:val="28"/>
        </w:rPr>
        <w:t xml:space="preserve">, </w:t>
      </w:r>
      <w:r w:rsidR="00015BB8" w:rsidRPr="008F14A4">
        <w:rPr>
          <w:sz w:val="28"/>
          <w:szCs w:val="28"/>
        </w:rPr>
        <w:t>moduló</w:t>
      </w:r>
      <w:r w:rsidR="00FB53B1" w:rsidRPr="008F14A4">
        <w:rPr>
          <w:sz w:val="28"/>
          <w:szCs w:val="28"/>
        </w:rPr>
        <w:t xml:space="preserve"> sus efectos</w:t>
      </w:r>
      <w:r w:rsidR="00015BB8" w:rsidRPr="008F14A4">
        <w:rPr>
          <w:sz w:val="28"/>
          <w:szCs w:val="28"/>
        </w:rPr>
        <w:t xml:space="preserve"> en el sentido de ordenar</w:t>
      </w:r>
      <w:r w:rsidR="00FB53B1" w:rsidRPr="008F14A4">
        <w:rPr>
          <w:sz w:val="28"/>
          <w:szCs w:val="28"/>
        </w:rPr>
        <w:t xml:space="preserve"> a la DIAN efectuar las devoluciones o compensaciones de lo pagado por los contribuyentes y que excediera la adición presupuestal calculada por el Ministerio de Hacienda y Crédito Público para financiar las partidas declaradas exequibles en la Sentencia C-381 de 2025.</w:t>
      </w:r>
    </w:p>
    <w:p w14:paraId="7D8EB7FD" w14:textId="77777777" w:rsidR="00CE39EB" w:rsidRPr="008F14A4" w:rsidRDefault="00CE39EB" w:rsidP="00CE39EB">
      <w:pPr>
        <w:widowControl w:val="0"/>
        <w:pBdr>
          <w:top w:val="nil"/>
          <w:left w:val="nil"/>
          <w:bottom w:val="nil"/>
          <w:right w:val="nil"/>
          <w:between w:val="nil"/>
        </w:pBdr>
        <w:tabs>
          <w:tab w:val="left" w:pos="426"/>
        </w:tabs>
        <w:jc w:val="both"/>
        <w:rPr>
          <w:sz w:val="28"/>
          <w:szCs w:val="28"/>
        </w:rPr>
      </w:pPr>
    </w:p>
    <w:p w14:paraId="673563E9" w14:textId="025E7657" w:rsidR="00CE39EB" w:rsidRPr="008F14A4" w:rsidRDefault="00015BB8" w:rsidP="00CE39EB">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sz w:val="28"/>
          <w:szCs w:val="28"/>
        </w:rPr>
        <w:t>En esa linea argumental</w:t>
      </w:r>
      <w:r w:rsidR="00CA025C" w:rsidRPr="008F14A4">
        <w:rPr>
          <w:sz w:val="28"/>
          <w:szCs w:val="28"/>
        </w:rPr>
        <w:t>, respecto del DL1474</w:t>
      </w:r>
      <w:r w:rsidR="00CE39EB" w:rsidRPr="008F14A4">
        <w:rPr>
          <w:sz w:val="28"/>
          <w:szCs w:val="28"/>
        </w:rPr>
        <w:t xml:space="preserve"> la Sala advierte que durante la vigencia del </w:t>
      </w:r>
      <w:r w:rsidR="008D4C90" w:rsidRPr="008F14A4">
        <w:rPr>
          <w:sz w:val="28"/>
          <w:szCs w:val="28"/>
        </w:rPr>
        <w:t>mismo</w:t>
      </w:r>
      <w:r w:rsidR="00CE39EB" w:rsidRPr="008F14A4">
        <w:rPr>
          <w:sz w:val="28"/>
          <w:szCs w:val="28"/>
        </w:rPr>
        <w:t>, conforme al Auto 084 de 2026, esto es entre el 30 de diciembre de 2025 y el 28 de enero de 2026</w:t>
      </w:r>
      <w:r w:rsidR="00CE39EB" w:rsidRPr="008F14A4">
        <w:rPr>
          <w:rStyle w:val="Refdenotaalpie"/>
          <w:sz w:val="28"/>
          <w:szCs w:val="28"/>
        </w:rPr>
        <w:footnoteReference w:id="112"/>
      </w:r>
      <w:r w:rsidR="00CE39EB" w:rsidRPr="008F14A4">
        <w:rPr>
          <w:sz w:val="28"/>
          <w:szCs w:val="28"/>
        </w:rPr>
        <w:t xml:space="preserve">, pudieron haberse materializado medidas establecidas en dicha normativa. Bajo tal supuesto, se advierte necesario modular los efectos de la decisión de inexequibilidad adoptada en el presente asunto por las siguientes razones: </w:t>
      </w:r>
    </w:p>
    <w:p w14:paraId="0646DD5B" w14:textId="77777777" w:rsidR="00CE39EB" w:rsidRDefault="00CE39EB" w:rsidP="00CE39EB">
      <w:pPr>
        <w:widowControl w:val="0"/>
        <w:pBdr>
          <w:top w:val="nil"/>
          <w:left w:val="nil"/>
          <w:bottom w:val="nil"/>
          <w:right w:val="nil"/>
          <w:between w:val="nil"/>
        </w:pBdr>
        <w:tabs>
          <w:tab w:val="left" w:pos="426"/>
        </w:tabs>
        <w:jc w:val="both"/>
        <w:rPr>
          <w:sz w:val="28"/>
          <w:szCs w:val="28"/>
          <w:highlight w:val="yellow"/>
        </w:rPr>
      </w:pPr>
    </w:p>
    <w:p w14:paraId="67A69B43" w14:textId="6FBFA708" w:rsidR="00CE39EB" w:rsidRPr="008F14A4" w:rsidRDefault="00CE39EB" w:rsidP="00CE39EB">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i/>
          <w:sz w:val="28"/>
          <w:szCs w:val="28"/>
        </w:rPr>
        <w:t>Primera. Los efectos de los impuestos directos</w:t>
      </w:r>
      <w:r w:rsidRPr="008F14A4">
        <w:rPr>
          <w:i/>
          <w:iCs/>
          <w:sz w:val="28"/>
          <w:szCs w:val="28"/>
          <w:vertAlign w:val="superscript"/>
        </w:rPr>
        <w:footnoteReference w:id="113"/>
      </w:r>
      <w:r w:rsidRPr="008F14A4">
        <w:rPr>
          <w:i/>
          <w:sz w:val="28"/>
          <w:szCs w:val="28"/>
        </w:rPr>
        <w:t xml:space="preserve"> contenidos en el DL1474. </w:t>
      </w:r>
      <w:r w:rsidRPr="008F14A4">
        <w:rPr>
          <w:sz w:val="28"/>
          <w:szCs w:val="28"/>
        </w:rPr>
        <w:t xml:space="preserve">Conforme </w:t>
      </w:r>
      <w:r w:rsidR="00D04DC2" w:rsidRPr="008F14A4">
        <w:rPr>
          <w:sz w:val="28"/>
          <w:szCs w:val="28"/>
        </w:rPr>
        <w:t xml:space="preserve">a </w:t>
      </w:r>
      <w:r w:rsidRPr="008F14A4">
        <w:rPr>
          <w:sz w:val="28"/>
          <w:szCs w:val="28"/>
        </w:rPr>
        <w:t>lo establecido en el DL1474 esta clase de tributos tenía previstas fechas de pago para mayo</w:t>
      </w:r>
      <w:r w:rsidRPr="008F14A4">
        <w:rPr>
          <w:rStyle w:val="Refdenotaalpie"/>
          <w:sz w:val="28"/>
          <w:szCs w:val="28"/>
        </w:rPr>
        <w:footnoteReference w:id="114"/>
      </w:r>
      <w:r w:rsidRPr="008F14A4">
        <w:rPr>
          <w:sz w:val="28"/>
          <w:szCs w:val="28"/>
        </w:rPr>
        <w:t xml:space="preserve"> y julio</w:t>
      </w:r>
      <w:r w:rsidRPr="008F14A4">
        <w:rPr>
          <w:rStyle w:val="Refdenotaalpie"/>
          <w:sz w:val="28"/>
          <w:szCs w:val="28"/>
        </w:rPr>
        <w:footnoteReference w:id="115"/>
      </w:r>
      <w:r w:rsidRPr="008F14A4">
        <w:rPr>
          <w:sz w:val="28"/>
          <w:szCs w:val="28"/>
        </w:rPr>
        <w:t xml:space="preserve"> de 2026, conforme al calendario tributario respectivo para el impuesto de renta</w:t>
      </w:r>
      <w:r w:rsidRPr="008F14A4">
        <w:rPr>
          <w:rStyle w:val="Refdenotaalpie"/>
          <w:sz w:val="28"/>
          <w:szCs w:val="28"/>
        </w:rPr>
        <w:footnoteReference w:id="116"/>
      </w:r>
      <w:r w:rsidRPr="008F14A4">
        <w:rPr>
          <w:sz w:val="28"/>
          <w:szCs w:val="28"/>
        </w:rPr>
        <w:t xml:space="preserve">. La Sala encuentra que frente a estas medidas no se generó, en principio, ningún efecto patrimonial o económico, puesto que si bien algunos pudieron haberse causado parcialmente al menos, no fueron objeto de pago, pues el DL1474 no produjo efectos a partir del 29 de enero de 2026, conforme lo ordenado en el Auto 084 de 2026.  </w:t>
      </w:r>
    </w:p>
    <w:p w14:paraId="7D9F43CF" w14:textId="77777777" w:rsidR="00CE39EB" w:rsidRPr="008F14A4" w:rsidRDefault="00CE39EB" w:rsidP="00CE39EB">
      <w:pPr>
        <w:widowControl w:val="0"/>
        <w:pBdr>
          <w:top w:val="nil"/>
          <w:left w:val="nil"/>
          <w:bottom w:val="nil"/>
          <w:right w:val="nil"/>
          <w:between w:val="nil"/>
        </w:pBdr>
        <w:tabs>
          <w:tab w:val="left" w:pos="426"/>
        </w:tabs>
        <w:jc w:val="both"/>
        <w:rPr>
          <w:sz w:val="28"/>
          <w:szCs w:val="28"/>
        </w:rPr>
      </w:pPr>
    </w:p>
    <w:p w14:paraId="61F960AC" w14:textId="6844ABDD" w:rsidR="00CE39EB" w:rsidRPr="008F14A4" w:rsidRDefault="00CE39EB" w:rsidP="00CE39EB">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sz w:val="28"/>
          <w:szCs w:val="28"/>
        </w:rPr>
        <w:t xml:space="preserve">No obstante, la Sala advierte que en algunos casos la obligación tributaria se causó durante el periodo en el que el decreto produjo efectos, como </w:t>
      </w:r>
      <w:r w:rsidR="00BD1B2D" w:rsidRPr="008F14A4">
        <w:rPr>
          <w:sz w:val="28"/>
          <w:szCs w:val="28"/>
        </w:rPr>
        <w:t xml:space="preserve">frente a </w:t>
      </w:r>
      <w:r w:rsidRPr="008F14A4">
        <w:rPr>
          <w:sz w:val="28"/>
          <w:szCs w:val="28"/>
        </w:rPr>
        <w:t>los impuestos al patrimonio y el complementario de normalización tributaria, cuyos hechos generadores operaban a partir del 1</w:t>
      </w:r>
      <w:r w:rsidR="00E61434" w:rsidRPr="008F14A4">
        <w:rPr>
          <w:sz w:val="28"/>
          <w:szCs w:val="28"/>
        </w:rPr>
        <w:t>°</w:t>
      </w:r>
      <w:r w:rsidRPr="008F14A4">
        <w:rPr>
          <w:sz w:val="28"/>
          <w:szCs w:val="28"/>
        </w:rPr>
        <w:t xml:space="preserve"> de enero de 2026. De otro lado, se produjo una modificación del impuesto de renta causado a 31 de diciembre de 2025 y que debe pagarse en 2026, tal y como sucede con el incremento del impuesto sobre la renta para el sector financiero y la no deducibilidad de regalías en el impuesto de renta. </w:t>
      </w:r>
    </w:p>
    <w:p w14:paraId="36FE85B8" w14:textId="77777777" w:rsidR="00CE39EB" w:rsidRPr="008F14A4" w:rsidRDefault="00CE39EB" w:rsidP="00CE39EB">
      <w:pPr>
        <w:pStyle w:val="Prrafodelista"/>
        <w:rPr>
          <w:sz w:val="28"/>
          <w:szCs w:val="28"/>
        </w:rPr>
      </w:pPr>
    </w:p>
    <w:p w14:paraId="5D5CB883" w14:textId="342CC895" w:rsidR="00CE39EB" w:rsidRPr="008F14A4" w:rsidRDefault="00CE39EB" w:rsidP="00CE39EB">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sz w:val="28"/>
          <w:szCs w:val="28"/>
        </w:rPr>
        <w:t xml:space="preserve">Frente a tales escenarios y teniendo en cuenta que en todo caso la inexequibilidad que se declarará deja sin sustento jurídico la efectividad de tales medidas, la Sala considera que resulta necesario garantizar el principio de seguridad jurídica de los contribuyentes, por lo que procede adoptar </w:t>
      </w:r>
      <w:r w:rsidR="00D04DC2" w:rsidRPr="008F14A4">
        <w:rPr>
          <w:sz w:val="28"/>
          <w:szCs w:val="28"/>
        </w:rPr>
        <w:t xml:space="preserve">los remedios constitucionales que se identifican a continuación: (i) </w:t>
      </w:r>
      <w:r w:rsidRPr="008F14A4">
        <w:rPr>
          <w:sz w:val="28"/>
          <w:szCs w:val="28"/>
        </w:rPr>
        <w:t>establecer que no podrá exigirse declaración, liquidación o pretenderse cobro alguno por parte de la DIAN, con base en el Decreto Legislativo 1474 de 2025, respecto del cual se ordenó la no producción de efectos mediante el Auto 084 de 2026 y que se declara inexequible en esta sentencia</w:t>
      </w:r>
      <w:r w:rsidR="00D04DC2" w:rsidRPr="008F14A4">
        <w:rPr>
          <w:sz w:val="28"/>
          <w:szCs w:val="28"/>
        </w:rPr>
        <w:t xml:space="preserve"> y (ii) </w:t>
      </w:r>
      <w:r w:rsidR="00D04DC2" w:rsidRPr="008F14A4">
        <w:rPr>
          <w:bCs/>
          <w:color w:val="000000" w:themeColor="text1"/>
          <w:sz w:val="28"/>
          <w:szCs w:val="28"/>
        </w:rPr>
        <w:t xml:space="preserve">ordenar </w:t>
      </w:r>
      <w:r w:rsidRPr="008F14A4">
        <w:rPr>
          <w:bCs/>
          <w:color w:val="000000" w:themeColor="text1"/>
          <w:sz w:val="28"/>
          <w:szCs w:val="28"/>
        </w:rPr>
        <w:t xml:space="preserve">la devolución de aquellas sumas que por dichos conceptos se hubieren pagado de forma anticipada. </w:t>
      </w:r>
      <w:r w:rsidR="001540A0" w:rsidRPr="008F14A4">
        <w:rPr>
          <w:bCs/>
          <w:color w:val="000000" w:themeColor="text1"/>
          <w:sz w:val="28"/>
          <w:szCs w:val="28"/>
        </w:rPr>
        <w:t xml:space="preserve">Para estos efectos, los contribuyentes deberán acudir a los mecanismos previstos en el Estatuto Tributario para tal fin. </w:t>
      </w:r>
    </w:p>
    <w:p w14:paraId="491F5D2B" w14:textId="77777777" w:rsidR="00CE39EB" w:rsidRPr="008F14A4" w:rsidRDefault="00CE39EB" w:rsidP="00CE39EB">
      <w:pPr>
        <w:pStyle w:val="Prrafodelista"/>
        <w:rPr>
          <w:sz w:val="28"/>
          <w:szCs w:val="28"/>
        </w:rPr>
      </w:pPr>
    </w:p>
    <w:p w14:paraId="534623D2" w14:textId="77777777" w:rsidR="00CE39EB" w:rsidRPr="008F14A4" w:rsidRDefault="00CE39EB" w:rsidP="00CE39EB">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i/>
          <w:sz w:val="28"/>
          <w:szCs w:val="28"/>
        </w:rPr>
        <w:t>Segunda. Los impuestos indirectos</w:t>
      </w:r>
      <w:r w:rsidRPr="008F14A4">
        <w:rPr>
          <w:rStyle w:val="Refdenotaalpie"/>
          <w:i/>
          <w:iCs/>
          <w:sz w:val="28"/>
          <w:szCs w:val="28"/>
        </w:rPr>
        <w:footnoteReference w:id="117"/>
      </w:r>
      <w:r w:rsidRPr="008F14A4">
        <w:rPr>
          <w:i/>
          <w:sz w:val="28"/>
          <w:szCs w:val="28"/>
        </w:rPr>
        <w:t xml:space="preserve"> produjeron efectos durante el tiempo en que el DL1474 tuvo vigencia. </w:t>
      </w:r>
      <w:r w:rsidRPr="008F14A4">
        <w:rPr>
          <w:sz w:val="28"/>
          <w:szCs w:val="28"/>
        </w:rPr>
        <w:t>La Sala Plena evidencia que estas medidas del DL1474 desplegaron sus efectos entre el 30 de diciembre de 2025 y el 28 de enero de 2026 y fueron objeto de pago por parte de los sujetos pasivos o responsables de facto.</w:t>
      </w:r>
    </w:p>
    <w:p w14:paraId="6161A091" w14:textId="77777777" w:rsidR="00015BB8" w:rsidRPr="008F14A4" w:rsidRDefault="00015BB8" w:rsidP="002B51AB">
      <w:pPr>
        <w:pStyle w:val="Prrafodelista"/>
        <w:rPr>
          <w:sz w:val="28"/>
          <w:szCs w:val="28"/>
        </w:rPr>
      </w:pPr>
    </w:p>
    <w:p w14:paraId="52E9B7C7" w14:textId="77777777" w:rsidR="00015BB8" w:rsidRPr="008F14A4" w:rsidRDefault="00015BB8" w:rsidP="00015BB8">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sz w:val="28"/>
          <w:szCs w:val="28"/>
        </w:rPr>
        <w:t>Sobre el denominado Impuesto Especial para la Estabilización Fiscal – IEF, la Sala advierte que aquel coincide en  algunos elementos con el Impuesto Especial para el Catatumbo – IEC. En ambos casos se trata de tributos de carácter temporal, de destinación específica y de causación inmediata, estructurados a partir de hechos generadores similares, lo cual permite el traslado de la carga tributaria al adquirente final mediante el mecanismo de los precios. En la Sentencia C</w:t>
      </w:r>
      <w:r w:rsidRPr="008F14A4">
        <w:rPr>
          <w:sz w:val="28"/>
          <w:szCs w:val="28"/>
        </w:rPr>
        <w:noBreakHyphen/>
        <w:t>431 de 2025, al ejercer el control automático del Decreto Legislativo 175 de 2025, la Corte Constitucional calificó de manera expresa al IEC como un impuesto indirecto, al destacar que la carga económica derivada de la imposición podía ser trasladada a terceros compradores</w:t>
      </w:r>
      <w:r w:rsidRPr="008F14A4">
        <w:rPr>
          <w:rStyle w:val="Refdenotaalpie"/>
          <w:sz w:val="28"/>
          <w:szCs w:val="28"/>
        </w:rPr>
        <w:footnoteReference w:id="118"/>
      </w:r>
      <w:r w:rsidRPr="008F14A4">
        <w:rPr>
          <w:sz w:val="28"/>
          <w:szCs w:val="28"/>
        </w:rPr>
        <w:t>. Tales consideraciones resultan plenamente trasladables al impuesto para la estabilización fiscal, cuya estructura reproduce algunos de los elementos definitorios del IEC</w:t>
      </w:r>
      <w:r w:rsidRPr="008F14A4">
        <w:rPr>
          <w:rStyle w:val="Refdenotaalpie"/>
          <w:sz w:val="28"/>
          <w:szCs w:val="28"/>
        </w:rPr>
        <w:footnoteReference w:id="119"/>
      </w:r>
      <w:r w:rsidRPr="008F14A4">
        <w:rPr>
          <w:sz w:val="28"/>
          <w:szCs w:val="28"/>
        </w:rPr>
        <w:t>.</w:t>
      </w:r>
    </w:p>
    <w:p w14:paraId="44D90A07" w14:textId="77777777" w:rsidR="00CE39EB" w:rsidRPr="008F14A4" w:rsidRDefault="00CE39EB" w:rsidP="00CE39EB">
      <w:pPr>
        <w:pStyle w:val="Prrafodelista"/>
        <w:rPr>
          <w:sz w:val="28"/>
          <w:szCs w:val="28"/>
        </w:rPr>
      </w:pPr>
    </w:p>
    <w:p w14:paraId="5562871B" w14:textId="57C3325A" w:rsidR="00CE39EB" w:rsidRPr="008F14A4" w:rsidRDefault="00015BB8" w:rsidP="00CE39EB">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sz w:val="28"/>
          <w:szCs w:val="28"/>
        </w:rPr>
        <w:t>En este escenario</w:t>
      </w:r>
      <w:r w:rsidR="00CE39EB" w:rsidRPr="008F14A4">
        <w:rPr>
          <w:sz w:val="28"/>
          <w:szCs w:val="28"/>
        </w:rPr>
        <w:t>, la DIAN en el presente trámite indicó lo siguiente:</w:t>
      </w:r>
    </w:p>
    <w:p w14:paraId="3FE60B79" w14:textId="77777777" w:rsidR="00CE39EB" w:rsidRPr="008F14A4" w:rsidRDefault="00CE39EB" w:rsidP="00CE39EB">
      <w:pPr>
        <w:rPr>
          <w:sz w:val="28"/>
          <w:szCs w:val="28"/>
        </w:rPr>
      </w:pPr>
    </w:p>
    <w:p w14:paraId="7752F3AD" w14:textId="77777777" w:rsidR="00CE39EB" w:rsidRPr="008F14A4" w:rsidRDefault="00CE39EB" w:rsidP="00CE39EB">
      <w:pPr>
        <w:ind w:left="284" w:right="284"/>
        <w:jc w:val="both"/>
      </w:pPr>
      <w:r w:rsidRPr="008F14A4">
        <w:t xml:space="preserve">“En los impuestos indirectos, el sujeto pasivo se subdivide en dos categorías: el sujeto pasivo económico y el sujeto pasivo de derecho (o jurídico). El primero corresponde a la persona que adquiere bienes y/o servicios gravados, quien soporta o asume el impuesto. Mientras que el segundo es el responsable del recaudo del impuesto, actúa como recaudador y debe cumplir las obligaciones que le impone el Estado, entre ellas la de declarar y pagar en los plazos previstos en la norma. </w:t>
      </w:r>
    </w:p>
    <w:p w14:paraId="445B2211" w14:textId="77777777" w:rsidR="00CE39EB" w:rsidRPr="004F7433" w:rsidRDefault="00CE39EB" w:rsidP="00CE39EB">
      <w:pPr>
        <w:jc w:val="both"/>
        <w:rPr>
          <w:highlight w:val="yellow"/>
        </w:rPr>
      </w:pPr>
    </w:p>
    <w:p w14:paraId="7736C781" w14:textId="77777777" w:rsidR="00CE39EB" w:rsidRPr="008F14A4" w:rsidRDefault="00CE39EB" w:rsidP="00CE39EB">
      <w:pPr>
        <w:pStyle w:val="Prrafodelista"/>
        <w:spacing w:line="0" w:lineRule="atLeast"/>
        <w:ind w:left="284" w:right="284"/>
        <w:jc w:val="both"/>
      </w:pPr>
      <w:r w:rsidRPr="008F14A4">
        <w:t>Frente a dichos casos, desde la óptica de las consecuencias fácticas, se debe analizar la posibilidad de que el responsable que obtenga la devolución por parte de la Administración traslade las sumas que le sean devueltas al sujeto pasivo económico. Esto en principio es posible, por razón de la información que reposa en las facturas electrónicas emitidas, siempre que el adquirente se hubiere identificado8 . Sin embargo, en aquellos casos en que el adquirente no haya suministrado los datos, la devolución al sujeto pasivo económico tendría dificultades para su realización. Es decir, en el caso de los impuestos indirectos la orden de devolución, aunque recaiga en la administración, requiere que quien la presente sea el responsable del tributo y los recursos no necesariamente van a llegar al sujeto pasivo económico. Por lo tanto, en caso de una declaratoria de inexequibilidad con efectos retroactivos que se refiera a los tributos indirectos, la orden podría ser de imposible cumplimiento para la administración”</w:t>
      </w:r>
      <w:r w:rsidRPr="008F14A4">
        <w:rPr>
          <w:rStyle w:val="Refdenotaalpie"/>
          <w:rFonts w:eastAsiaTheme="minorHAnsi"/>
        </w:rPr>
        <w:footnoteReference w:id="120"/>
      </w:r>
    </w:p>
    <w:p w14:paraId="2D632FB3" w14:textId="77777777" w:rsidR="00CE39EB" w:rsidRPr="008F14A4" w:rsidRDefault="00CE39EB" w:rsidP="00CE39EB">
      <w:pPr>
        <w:widowControl w:val="0"/>
        <w:pBdr>
          <w:top w:val="nil"/>
          <w:left w:val="nil"/>
          <w:bottom w:val="nil"/>
          <w:right w:val="nil"/>
          <w:between w:val="nil"/>
        </w:pBdr>
        <w:tabs>
          <w:tab w:val="left" w:pos="426"/>
        </w:tabs>
        <w:jc w:val="both"/>
        <w:rPr>
          <w:sz w:val="28"/>
          <w:szCs w:val="28"/>
        </w:rPr>
      </w:pPr>
    </w:p>
    <w:p w14:paraId="307BD392" w14:textId="5B43425A" w:rsidR="00A71DAF" w:rsidRPr="008F14A4" w:rsidRDefault="00015BB8" w:rsidP="00A71DAF">
      <w:pPr>
        <w:widowControl w:val="0"/>
        <w:numPr>
          <w:ilvl w:val="0"/>
          <w:numId w:val="9"/>
        </w:numPr>
        <w:pBdr>
          <w:top w:val="nil"/>
          <w:left w:val="nil"/>
          <w:bottom w:val="nil"/>
          <w:right w:val="nil"/>
          <w:between w:val="nil"/>
        </w:pBdr>
        <w:tabs>
          <w:tab w:val="left" w:pos="426"/>
        </w:tabs>
        <w:ind w:left="0" w:firstLine="0"/>
        <w:jc w:val="both"/>
        <w:rPr>
          <w:bCs/>
          <w:color w:val="000000" w:themeColor="text1"/>
          <w:sz w:val="28"/>
          <w:szCs w:val="28"/>
        </w:rPr>
      </w:pPr>
      <w:r w:rsidRPr="008F14A4">
        <w:rPr>
          <w:sz w:val="28"/>
          <w:szCs w:val="28"/>
        </w:rPr>
        <w:t>Al respecto</w:t>
      </w:r>
      <w:r w:rsidR="00E56223" w:rsidRPr="008F14A4">
        <w:rPr>
          <w:sz w:val="28"/>
          <w:szCs w:val="28"/>
        </w:rPr>
        <w:t xml:space="preserve">, </w:t>
      </w:r>
      <w:r w:rsidR="00E052FB" w:rsidRPr="008F14A4">
        <w:rPr>
          <w:sz w:val="28"/>
          <w:szCs w:val="28"/>
        </w:rPr>
        <w:t xml:space="preserve">la </w:t>
      </w:r>
      <w:r w:rsidR="00E052FB" w:rsidRPr="00B25129">
        <w:rPr>
          <w:sz w:val="28"/>
          <w:szCs w:val="28"/>
        </w:rPr>
        <w:t>Sala observa que</w:t>
      </w:r>
      <w:r w:rsidRPr="00B25129">
        <w:rPr>
          <w:sz w:val="28"/>
          <w:szCs w:val="28"/>
        </w:rPr>
        <w:t>, si bien la iden</w:t>
      </w:r>
      <w:r w:rsidR="00260208" w:rsidRPr="00B25129">
        <w:rPr>
          <w:sz w:val="28"/>
          <w:szCs w:val="28"/>
        </w:rPr>
        <w:t>ti</w:t>
      </w:r>
      <w:r w:rsidRPr="00B25129">
        <w:rPr>
          <w:sz w:val="28"/>
          <w:szCs w:val="28"/>
        </w:rPr>
        <w:t>ficación del contribuyente que paga el impuesto puede resultar un proceso complejo, contrario a lo expue</w:t>
      </w:r>
      <w:r w:rsidR="00260208" w:rsidRPr="00B25129">
        <w:rPr>
          <w:sz w:val="28"/>
          <w:szCs w:val="28"/>
        </w:rPr>
        <w:t>s</w:t>
      </w:r>
      <w:r w:rsidRPr="00B25129">
        <w:rPr>
          <w:sz w:val="28"/>
          <w:szCs w:val="28"/>
        </w:rPr>
        <w:t xml:space="preserve">to por la DIAN, tal aspecto no torna imposible la devolución de lo pagado.  En un escenario similar, </w:t>
      </w:r>
      <w:r w:rsidR="00E052FB" w:rsidRPr="00B25129">
        <w:rPr>
          <w:sz w:val="28"/>
          <w:szCs w:val="28"/>
        </w:rPr>
        <w:t>la Sentencia C-431 de 202</w:t>
      </w:r>
      <w:r w:rsidR="00E37D54" w:rsidRPr="00B25129">
        <w:rPr>
          <w:sz w:val="28"/>
          <w:szCs w:val="28"/>
        </w:rPr>
        <w:t>5</w:t>
      </w:r>
      <w:r w:rsidRPr="00B25129">
        <w:rPr>
          <w:sz w:val="28"/>
          <w:szCs w:val="28"/>
        </w:rPr>
        <w:t xml:space="preserve"> estudió</w:t>
      </w:r>
      <w:r w:rsidR="00E052FB" w:rsidRPr="00B25129">
        <w:rPr>
          <w:sz w:val="28"/>
          <w:szCs w:val="28"/>
        </w:rPr>
        <w:t xml:space="preserve"> la constitucionalidad del Decreto </w:t>
      </w:r>
      <w:r w:rsidR="00A71DAF" w:rsidRPr="00B25129">
        <w:rPr>
          <w:sz w:val="28"/>
          <w:szCs w:val="28"/>
        </w:rPr>
        <w:t xml:space="preserve">Legislativo 175 de 2025 </w:t>
      </w:r>
      <w:r w:rsidRPr="00B25129">
        <w:rPr>
          <w:sz w:val="28"/>
          <w:szCs w:val="28"/>
        </w:rPr>
        <w:t xml:space="preserve">y </w:t>
      </w:r>
      <w:r w:rsidR="00E37D54" w:rsidRPr="00B25129">
        <w:rPr>
          <w:sz w:val="28"/>
          <w:szCs w:val="28"/>
        </w:rPr>
        <w:t>ordenó a</w:t>
      </w:r>
      <w:r w:rsidR="00A71DAF" w:rsidRPr="00B25129">
        <w:rPr>
          <w:sz w:val="28"/>
          <w:szCs w:val="28"/>
        </w:rPr>
        <w:t xml:space="preserve"> la DIAN efectuar la devolución o compensación</w:t>
      </w:r>
      <w:r w:rsidR="00A71DAF" w:rsidRPr="008F14A4">
        <w:rPr>
          <w:sz w:val="28"/>
          <w:szCs w:val="28"/>
        </w:rPr>
        <w:t xml:space="preserve"> de lo pagado por los contribuyentes y que excediera la adición presupuestal calculada por el Ministerio de Hacienda y Crédito Público para financiar las partidas declaradas exequibles en la Sentencia C-381 de 2025. Lo anterior, </w:t>
      </w:r>
      <w:r w:rsidRPr="008F14A4">
        <w:rPr>
          <w:sz w:val="28"/>
          <w:szCs w:val="28"/>
        </w:rPr>
        <w:t>i</w:t>
      </w:r>
      <w:r w:rsidR="002B51AB" w:rsidRPr="008F14A4">
        <w:rPr>
          <w:sz w:val="28"/>
          <w:szCs w:val="28"/>
        </w:rPr>
        <w:t>mplicó</w:t>
      </w:r>
      <w:r w:rsidRPr="008F14A4">
        <w:rPr>
          <w:sz w:val="28"/>
          <w:szCs w:val="28"/>
        </w:rPr>
        <w:t xml:space="preserve"> la</w:t>
      </w:r>
      <w:r w:rsidR="00A71DAF" w:rsidRPr="008F14A4">
        <w:rPr>
          <w:sz w:val="28"/>
          <w:szCs w:val="28"/>
        </w:rPr>
        <w:t xml:space="preserve"> devolución </w:t>
      </w:r>
      <w:r w:rsidRPr="008F14A4">
        <w:rPr>
          <w:sz w:val="28"/>
          <w:szCs w:val="28"/>
        </w:rPr>
        <w:t xml:space="preserve">de </w:t>
      </w:r>
      <w:r w:rsidR="00A71DAF" w:rsidRPr="008F14A4">
        <w:rPr>
          <w:sz w:val="28"/>
          <w:szCs w:val="28"/>
        </w:rPr>
        <w:t xml:space="preserve">los recursos pagados por concepto de impuestos indirectos contenidos en el Decreto Legislativo 175 de 2025, </w:t>
      </w:r>
      <w:r w:rsidR="002B51AB" w:rsidRPr="008F14A4">
        <w:rPr>
          <w:sz w:val="28"/>
          <w:szCs w:val="28"/>
        </w:rPr>
        <w:t xml:space="preserve">es decir </w:t>
      </w:r>
      <w:r w:rsidR="00A71DAF" w:rsidRPr="008F14A4">
        <w:rPr>
          <w:sz w:val="28"/>
          <w:szCs w:val="28"/>
        </w:rPr>
        <w:t xml:space="preserve">el IVA sobre los juegos de suerte y azar operados exclusivamente por internet, el impuesto de timbre </w:t>
      </w:r>
      <w:r w:rsidR="002B51AB" w:rsidRPr="008F14A4">
        <w:rPr>
          <w:sz w:val="28"/>
          <w:szCs w:val="28"/>
        </w:rPr>
        <w:t>y</w:t>
      </w:r>
      <w:r w:rsidR="00A71DAF" w:rsidRPr="008F14A4">
        <w:rPr>
          <w:sz w:val="28"/>
          <w:szCs w:val="28"/>
        </w:rPr>
        <w:t xml:space="preserve"> el Impuesto Especial para el Catatumbo. En concreto, en dicha decisión, esta corporación </w:t>
      </w:r>
      <w:r w:rsidR="002B51AB" w:rsidRPr="008F14A4">
        <w:rPr>
          <w:sz w:val="28"/>
          <w:szCs w:val="28"/>
        </w:rPr>
        <w:t>estableció</w:t>
      </w:r>
      <w:r w:rsidR="00A71DAF" w:rsidRPr="008F14A4">
        <w:rPr>
          <w:sz w:val="28"/>
          <w:szCs w:val="28"/>
        </w:rPr>
        <w:t xml:space="preserve"> que: </w:t>
      </w:r>
    </w:p>
    <w:p w14:paraId="19705358" w14:textId="77777777" w:rsidR="00A71DAF" w:rsidRPr="008F14A4" w:rsidRDefault="00A71DAF" w:rsidP="00A71DAF">
      <w:pPr>
        <w:pStyle w:val="Prrafodelista"/>
        <w:rPr>
          <w:color w:val="000000"/>
          <w:sz w:val="28"/>
          <w:szCs w:val="28"/>
        </w:rPr>
      </w:pPr>
    </w:p>
    <w:p w14:paraId="0D762DFC" w14:textId="77777777" w:rsidR="00A71DAF" w:rsidRPr="008F14A4" w:rsidRDefault="00A71DAF" w:rsidP="00A71DAF">
      <w:pPr>
        <w:widowControl w:val="0"/>
        <w:pBdr>
          <w:top w:val="nil"/>
          <w:left w:val="nil"/>
          <w:bottom w:val="nil"/>
          <w:right w:val="nil"/>
          <w:between w:val="nil"/>
        </w:pBdr>
        <w:tabs>
          <w:tab w:val="left" w:pos="426"/>
        </w:tabs>
        <w:ind w:left="284" w:right="284"/>
        <w:jc w:val="both"/>
        <w:rPr>
          <w:bCs/>
          <w:color w:val="000000" w:themeColor="text1"/>
        </w:rPr>
      </w:pPr>
      <w:r w:rsidRPr="008F14A4">
        <w:rPr>
          <w:color w:val="000000"/>
        </w:rPr>
        <w:t>“[…] Por otra parte, la Dirección de Impuestos y Aduanas Nacionales</w:t>
      </w:r>
      <w:bookmarkStart w:id="4" w:name="_ftnref397"/>
      <w:r w:rsidRPr="008F14A4">
        <w:rPr>
          <w:color w:val="000000"/>
          <w:bdr w:val="none" w:sz="0" w:space="0" w:color="auto" w:frame="1"/>
          <w:vertAlign w:val="superscript"/>
        </w:rPr>
        <w:t>[397]</w:t>
      </w:r>
      <w:bookmarkEnd w:id="4"/>
      <w:r w:rsidRPr="008F14A4">
        <w:rPr>
          <w:color w:val="000000"/>
        </w:rPr>
        <w:t> (DIAN) deberá determinar el monto de los recursos recaudados con fundamento en el Decreto 175 de 2025 y, en caso de que el recaudo exceda el valor de la adición presupuestal calculada por el Ministerio de Hacienda y Crédito Público (tercer escenario), es necesario que proceda a efectuar las devoluciones o compensaciones que correspondan, a prorrata, a favor de todos los contribuyentes que hubieren pagado los tributos a que refiere la norma examinada.</w:t>
      </w:r>
    </w:p>
    <w:p w14:paraId="5CDBB5B0" w14:textId="77777777" w:rsidR="00A71DAF" w:rsidRPr="002B51AB" w:rsidRDefault="00A71DAF" w:rsidP="00A71DAF">
      <w:pPr>
        <w:widowControl w:val="0"/>
        <w:pBdr>
          <w:top w:val="nil"/>
          <w:left w:val="nil"/>
          <w:bottom w:val="nil"/>
          <w:right w:val="nil"/>
          <w:between w:val="nil"/>
        </w:pBdr>
        <w:tabs>
          <w:tab w:val="left" w:pos="426"/>
        </w:tabs>
        <w:ind w:left="284" w:right="284"/>
        <w:jc w:val="both"/>
        <w:rPr>
          <w:color w:val="000000"/>
          <w:highlight w:val="yellow"/>
        </w:rPr>
      </w:pPr>
    </w:p>
    <w:p w14:paraId="66523D3B" w14:textId="5DE1564B" w:rsidR="00A71DAF" w:rsidRPr="008F14A4" w:rsidRDefault="00A71DAF" w:rsidP="00A71DAF">
      <w:pPr>
        <w:widowControl w:val="0"/>
        <w:pBdr>
          <w:top w:val="nil"/>
          <w:left w:val="nil"/>
          <w:bottom w:val="nil"/>
          <w:right w:val="nil"/>
          <w:between w:val="nil"/>
        </w:pBdr>
        <w:tabs>
          <w:tab w:val="left" w:pos="426"/>
        </w:tabs>
        <w:ind w:left="284" w:right="284"/>
        <w:jc w:val="both"/>
        <w:rPr>
          <w:bCs/>
          <w:color w:val="000000" w:themeColor="text1"/>
        </w:rPr>
      </w:pPr>
      <w:r w:rsidRPr="008F14A4">
        <w:rPr>
          <w:color w:val="000000"/>
        </w:rPr>
        <w:t>Para lo primero, la DIAN tendrá hasta el último día del mes siguiente en que se deba declarar y pagar el último de los impuestos de que trata el decreto y, para lo segundo, los contribuyentes tendrán un término de cinco (5) años contados a partir de la fecha de expedición del informe dictado por la DIAN […]”</w:t>
      </w:r>
      <w:r w:rsidRPr="008F14A4">
        <w:rPr>
          <w:rStyle w:val="Refdenotaalpie"/>
          <w:color w:val="000000"/>
        </w:rPr>
        <w:footnoteReference w:id="121"/>
      </w:r>
      <w:r w:rsidRPr="008F14A4">
        <w:rPr>
          <w:color w:val="000000"/>
        </w:rPr>
        <w:t xml:space="preserve">. </w:t>
      </w:r>
    </w:p>
    <w:p w14:paraId="379FA8B4" w14:textId="77777777" w:rsidR="00A71DAF" w:rsidRPr="008F14A4" w:rsidRDefault="00A71DAF" w:rsidP="00A71DAF">
      <w:pPr>
        <w:widowControl w:val="0"/>
        <w:pBdr>
          <w:top w:val="nil"/>
          <w:left w:val="nil"/>
          <w:bottom w:val="nil"/>
          <w:right w:val="nil"/>
          <w:between w:val="nil"/>
        </w:pBdr>
        <w:tabs>
          <w:tab w:val="left" w:pos="426"/>
        </w:tabs>
        <w:jc w:val="both"/>
        <w:rPr>
          <w:bCs/>
          <w:color w:val="000000" w:themeColor="text1"/>
          <w:sz w:val="28"/>
          <w:szCs w:val="28"/>
        </w:rPr>
      </w:pPr>
    </w:p>
    <w:p w14:paraId="5129A2A5" w14:textId="5B069187" w:rsidR="00CE39EB" w:rsidRPr="008F14A4" w:rsidRDefault="00CE39EB" w:rsidP="00CE39EB">
      <w:pPr>
        <w:widowControl w:val="0"/>
        <w:numPr>
          <w:ilvl w:val="0"/>
          <w:numId w:val="9"/>
        </w:numPr>
        <w:pBdr>
          <w:top w:val="nil"/>
          <w:left w:val="nil"/>
          <w:bottom w:val="nil"/>
          <w:right w:val="nil"/>
          <w:between w:val="nil"/>
        </w:pBdr>
        <w:tabs>
          <w:tab w:val="left" w:pos="426"/>
        </w:tabs>
        <w:ind w:left="0" w:firstLine="0"/>
        <w:jc w:val="both"/>
        <w:rPr>
          <w:sz w:val="28"/>
          <w:szCs w:val="28"/>
        </w:rPr>
      </w:pPr>
      <w:r w:rsidRPr="008F14A4">
        <w:rPr>
          <w:bCs/>
          <w:color w:val="000000" w:themeColor="text1"/>
          <w:sz w:val="28"/>
          <w:szCs w:val="28"/>
        </w:rPr>
        <w:t xml:space="preserve">Con fundamento en lo expuesto, </w:t>
      </w:r>
      <w:r w:rsidR="008D4C90" w:rsidRPr="008F14A4">
        <w:rPr>
          <w:bCs/>
          <w:color w:val="000000" w:themeColor="text1"/>
          <w:sz w:val="28"/>
          <w:szCs w:val="28"/>
        </w:rPr>
        <w:t>se advierte</w:t>
      </w:r>
      <w:r w:rsidRPr="008F14A4">
        <w:rPr>
          <w:bCs/>
          <w:color w:val="000000" w:themeColor="text1"/>
          <w:sz w:val="28"/>
          <w:szCs w:val="28"/>
        </w:rPr>
        <w:t xml:space="preserve"> </w:t>
      </w:r>
      <w:r w:rsidR="008D4C90" w:rsidRPr="008F14A4">
        <w:rPr>
          <w:bCs/>
          <w:color w:val="000000" w:themeColor="text1"/>
          <w:sz w:val="28"/>
          <w:szCs w:val="28"/>
        </w:rPr>
        <w:t xml:space="preserve">que </w:t>
      </w:r>
      <w:r w:rsidRPr="008F14A4">
        <w:rPr>
          <w:bCs/>
          <w:color w:val="000000" w:themeColor="text1"/>
          <w:sz w:val="28"/>
          <w:szCs w:val="28"/>
        </w:rPr>
        <w:t xml:space="preserve">si bien la DIAN refirió la dificultad de efectuar la devolución de esta clase de tributos, dicha operación no es de imposible cumplimiento si se tiene en cuenta que es factible que quien materialmente hizo el pago acredite dicha condición, por ejemplo, a través del sistema de facturación electrónica, lo mismo que mediante los documentos que acreditan las respectivas operaciones. </w:t>
      </w:r>
      <w:r w:rsidR="00A71DAF" w:rsidRPr="008F14A4">
        <w:rPr>
          <w:bCs/>
          <w:color w:val="000000" w:themeColor="text1"/>
          <w:sz w:val="28"/>
          <w:szCs w:val="28"/>
        </w:rPr>
        <w:t xml:space="preserve">Asimismo, la Corte Constitucional en la Sentencia C-431 de 2025 ordenó la devolución o compensación de los recursos recaudados incluso por las medidas tributarias indirectas contenidas en el Decreto Legislativo 175 de 2025. </w:t>
      </w:r>
      <w:r w:rsidRPr="008F14A4">
        <w:rPr>
          <w:bCs/>
          <w:color w:val="000000" w:themeColor="text1"/>
          <w:sz w:val="28"/>
          <w:szCs w:val="28"/>
        </w:rPr>
        <w:t xml:space="preserve">Por lo anterior, </w:t>
      </w:r>
      <w:r w:rsidR="00A71DAF" w:rsidRPr="008F14A4">
        <w:rPr>
          <w:bCs/>
          <w:color w:val="000000" w:themeColor="text1"/>
          <w:sz w:val="28"/>
          <w:szCs w:val="28"/>
        </w:rPr>
        <w:t xml:space="preserve">la Sala encuentra que, en el presente caso, resulta procedente </w:t>
      </w:r>
      <w:r w:rsidRPr="008F14A4">
        <w:rPr>
          <w:bCs/>
          <w:color w:val="000000" w:themeColor="text1"/>
          <w:sz w:val="28"/>
          <w:szCs w:val="28"/>
        </w:rPr>
        <w:t xml:space="preserve">adoptar un remedio constitucional dirigido a asegurar la devolución por la DIAN de </w:t>
      </w:r>
      <w:r w:rsidR="00A71DAF" w:rsidRPr="008F14A4">
        <w:rPr>
          <w:bCs/>
          <w:color w:val="000000" w:themeColor="text1"/>
          <w:sz w:val="28"/>
          <w:szCs w:val="28"/>
        </w:rPr>
        <w:t>los pagos efectuados con ocasión de las medidas tributarias indirectas contenidas en el DL1474</w:t>
      </w:r>
      <w:r w:rsidRPr="008F14A4">
        <w:rPr>
          <w:bCs/>
          <w:color w:val="000000" w:themeColor="text1"/>
          <w:sz w:val="28"/>
          <w:szCs w:val="28"/>
        </w:rPr>
        <w:t xml:space="preserve">, en relación con los sujetos pasivos o responsables de hecho que acrediten </w:t>
      </w:r>
      <w:r w:rsidR="00A71DAF" w:rsidRPr="008F14A4">
        <w:rPr>
          <w:bCs/>
          <w:color w:val="000000" w:themeColor="text1"/>
          <w:sz w:val="28"/>
          <w:szCs w:val="28"/>
        </w:rPr>
        <w:t xml:space="preserve">el pago </w:t>
      </w:r>
      <w:r w:rsidRPr="008F14A4">
        <w:rPr>
          <w:bCs/>
          <w:color w:val="000000" w:themeColor="text1"/>
          <w:sz w:val="28"/>
          <w:szCs w:val="28"/>
        </w:rPr>
        <w:t xml:space="preserve">ante dicha entidad. </w:t>
      </w:r>
    </w:p>
    <w:p w14:paraId="45516BC2" w14:textId="77777777" w:rsidR="00CE39EB" w:rsidRPr="008F14A4" w:rsidRDefault="00CE39EB" w:rsidP="00CE39EB">
      <w:pPr>
        <w:widowControl w:val="0"/>
        <w:pBdr>
          <w:top w:val="nil"/>
          <w:left w:val="nil"/>
          <w:bottom w:val="nil"/>
          <w:right w:val="nil"/>
          <w:between w:val="nil"/>
        </w:pBdr>
        <w:tabs>
          <w:tab w:val="left" w:pos="426"/>
        </w:tabs>
        <w:jc w:val="both"/>
        <w:rPr>
          <w:sz w:val="28"/>
          <w:szCs w:val="28"/>
        </w:rPr>
      </w:pPr>
    </w:p>
    <w:p w14:paraId="0F4A2E8A" w14:textId="75862A56" w:rsidR="005A0B88" w:rsidRPr="008F14A4" w:rsidRDefault="00CE39EB" w:rsidP="008D4C90">
      <w:pPr>
        <w:widowControl w:val="0"/>
        <w:numPr>
          <w:ilvl w:val="0"/>
          <w:numId w:val="9"/>
        </w:numPr>
        <w:pBdr>
          <w:top w:val="nil"/>
          <w:left w:val="nil"/>
          <w:bottom w:val="nil"/>
          <w:right w:val="nil"/>
          <w:between w:val="nil"/>
        </w:pBdr>
        <w:tabs>
          <w:tab w:val="left" w:pos="426"/>
        </w:tabs>
        <w:ind w:left="0" w:firstLine="0"/>
        <w:jc w:val="both"/>
        <w:rPr>
          <w:i/>
          <w:iCs/>
          <w:sz w:val="28"/>
          <w:szCs w:val="28"/>
        </w:rPr>
      </w:pPr>
      <w:r w:rsidRPr="008F14A4">
        <w:rPr>
          <w:i/>
          <w:sz w:val="28"/>
          <w:szCs w:val="28"/>
        </w:rPr>
        <w:t xml:space="preserve">Tercera. </w:t>
      </w:r>
      <w:r w:rsidRPr="008F14A4">
        <w:rPr>
          <w:i/>
          <w:iCs/>
          <w:sz w:val="28"/>
          <w:szCs w:val="28"/>
        </w:rPr>
        <w:t>La</w:t>
      </w:r>
      <w:r w:rsidR="00DF263F" w:rsidRPr="008F14A4">
        <w:rPr>
          <w:i/>
          <w:iCs/>
          <w:sz w:val="28"/>
          <w:szCs w:val="28"/>
        </w:rPr>
        <w:t>s medidas de</w:t>
      </w:r>
      <w:r w:rsidRPr="008F14A4">
        <w:rPr>
          <w:i/>
          <w:iCs/>
          <w:sz w:val="28"/>
          <w:szCs w:val="28"/>
        </w:rPr>
        <w:t xml:space="preserve"> reducción de sanciones e intereses moratorios y las conciliaciones en materia tributaria</w:t>
      </w:r>
      <w:r w:rsidR="00DF263F" w:rsidRPr="008F14A4">
        <w:rPr>
          <w:i/>
          <w:iCs/>
          <w:sz w:val="28"/>
          <w:szCs w:val="28"/>
        </w:rPr>
        <w:t xml:space="preserve">, previstas en los artículos 20 a 23 del DL1474, </w:t>
      </w:r>
      <w:r w:rsidRPr="008F14A4">
        <w:rPr>
          <w:i/>
          <w:iCs/>
          <w:sz w:val="28"/>
          <w:szCs w:val="28"/>
        </w:rPr>
        <w:t xml:space="preserve">configuran situaciones jurídicas consolidadas en favor de los contribuyentes. </w:t>
      </w:r>
      <w:r w:rsidRPr="008F14A4">
        <w:rPr>
          <w:sz w:val="28"/>
          <w:szCs w:val="28"/>
        </w:rPr>
        <w:t>En efecto, la Sala Plena advierte que la concreción de</w:t>
      </w:r>
      <w:r w:rsidR="006305FB" w:rsidRPr="008F14A4">
        <w:rPr>
          <w:sz w:val="28"/>
          <w:szCs w:val="28"/>
        </w:rPr>
        <w:t xml:space="preserve"> los </w:t>
      </w:r>
      <w:r w:rsidRPr="008F14A4">
        <w:rPr>
          <w:sz w:val="28"/>
          <w:szCs w:val="28"/>
        </w:rPr>
        <w:t xml:space="preserve">instrumentos </w:t>
      </w:r>
      <w:r w:rsidR="006305FB" w:rsidRPr="008F14A4">
        <w:rPr>
          <w:sz w:val="28"/>
          <w:szCs w:val="28"/>
        </w:rPr>
        <w:t xml:space="preserve">previstos en los artículos 20 a 23 del DL1474 </w:t>
      </w:r>
      <w:r w:rsidRPr="008F14A4">
        <w:rPr>
          <w:sz w:val="28"/>
          <w:szCs w:val="28"/>
        </w:rPr>
        <w:t>entre el 30 de diciembre de 2025 y el 28 de enero de 2026 responde a medidas favorables para los contribuyentes q</w:t>
      </w:r>
      <w:r w:rsidRPr="008F14A4">
        <w:rPr>
          <w:bCs/>
          <w:color w:val="000000" w:themeColor="text1"/>
          <w:sz w:val="28"/>
          <w:szCs w:val="28"/>
        </w:rPr>
        <w:t xml:space="preserve">ue acreditaron las condiciones dentro de esas fechas para acceder efectivamente a tales beneficios. </w:t>
      </w:r>
      <w:r w:rsidR="00E37D54" w:rsidRPr="008F14A4">
        <w:rPr>
          <w:iCs/>
          <w:sz w:val="28"/>
          <w:szCs w:val="28"/>
        </w:rPr>
        <w:t>Dichas situaciones deben ser protegidas por la Corte Constitucional con fundamento en los principios de seguridad jurídica</w:t>
      </w:r>
      <w:r w:rsidR="005A0B88" w:rsidRPr="008F14A4">
        <w:rPr>
          <w:iCs/>
          <w:sz w:val="28"/>
          <w:szCs w:val="28"/>
        </w:rPr>
        <w:t>, irretroactividad de la ley tributaria</w:t>
      </w:r>
      <w:r w:rsidR="00E37D54" w:rsidRPr="008F14A4">
        <w:rPr>
          <w:iCs/>
          <w:sz w:val="28"/>
          <w:szCs w:val="28"/>
        </w:rPr>
        <w:t xml:space="preserve"> y favorabilidad</w:t>
      </w:r>
      <w:r w:rsidR="005A0B88" w:rsidRPr="008F14A4">
        <w:rPr>
          <w:iCs/>
          <w:sz w:val="28"/>
          <w:szCs w:val="28"/>
        </w:rPr>
        <w:t>, los cuales están intrínsecamente relacionados como se expone a continuación</w:t>
      </w:r>
      <w:r w:rsidR="00E37D54" w:rsidRPr="008F14A4">
        <w:rPr>
          <w:iCs/>
          <w:sz w:val="28"/>
          <w:szCs w:val="28"/>
        </w:rPr>
        <w:t>.</w:t>
      </w:r>
      <w:r w:rsidR="002B30E0" w:rsidRPr="008F14A4">
        <w:rPr>
          <w:iCs/>
          <w:sz w:val="28"/>
          <w:szCs w:val="28"/>
        </w:rPr>
        <w:t xml:space="preserve"> </w:t>
      </w:r>
    </w:p>
    <w:p w14:paraId="2BE82C11" w14:textId="77777777" w:rsidR="005A0B88" w:rsidRPr="008F14A4" w:rsidRDefault="005A0B88" w:rsidP="005A0B88">
      <w:pPr>
        <w:pStyle w:val="Prrafodelista"/>
        <w:rPr>
          <w:iCs/>
          <w:sz w:val="28"/>
          <w:szCs w:val="28"/>
        </w:rPr>
      </w:pPr>
    </w:p>
    <w:p w14:paraId="55AAF855" w14:textId="2609CBC6" w:rsidR="005A0B88" w:rsidRPr="008F14A4" w:rsidRDefault="002B30E0" w:rsidP="005A0B88">
      <w:pPr>
        <w:widowControl w:val="0"/>
        <w:numPr>
          <w:ilvl w:val="0"/>
          <w:numId w:val="9"/>
        </w:numPr>
        <w:pBdr>
          <w:top w:val="nil"/>
          <w:left w:val="nil"/>
          <w:bottom w:val="nil"/>
          <w:right w:val="nil"/>
          <w:between w:val="nil"/>
        </w:pBdr>
        <w:tabs>
          <w:tab w:val="left" w:pos="426"/>
        </w:tabs>
        <w:ind w:left="0" w:firstLine="0"/>
        <w:jc w:val="both"/>
        <w:rPr>
          <w:i/>
          <w:iCs/>
          <w:sz w:val="28"/>
          <w:szCs w:val="28"/>
        </w:rPr>
      </w:pPr>
      <w:r w:rsidRPr="008F14A4">
        <w:rPr>
          <w:iCs/>
          <w:sz w:val="28"/>
          <w:szCs w:val="28"/>
        </w:rPr>
        <w:t>L</w:t>
      </w:r>
      <w:r w:rsidR="00E37D54" w:rsidRPr="008F14A4">
        <w:rPr>
          <w:iCs/>
          <w:sz w:val="28"/>
          <w:szCs w:val="28"/>
        </w:rPr>
        <w:t xml:space="preserve">a Sala observa </w:t>
      </w:r>
      <w:r w:rsidR="006637E0" w:rsidRPr="008F14A4">
        <w:rPr>
          <w:iCs/>
          <w:sz w:val="28"/>
          <w:szCs w:val="28"/>
        </w:rPr>
        <w:t>que</w:t>
      </w:r>
      <w:r w:rsidR="00015BB8" w:rsidRPr="008F14A4">
        <w:rPr>
          <w:iCs/>
          <w:sz w:val="28"/>
          <w:szCs w:val="28"/>
        </w:rPr>
        <w:t>,</w:t>
      </w:r>
      <w:r w:rsidR="006637E0" w:rsidRPr="008F14A4">
        <w:rPr>
          <w:iCs/>
          <w:sz w:val="28"/>
          <w:szCs w:val="28"/>
        </w:rPr>
        <w:t xml:space="preserve"> </w:t>
      </w:r>
      <w:r w:rsidRPr="008F14A4">
        <w:rPr>
          <w:iCs/>
          <w:sz w:val="28"/>
          <w:szCs w:val="28"/>
        </w:rPr>
        <w:t>de acuerdo con la Sentencia C-878 de 2011</w:t>
      </w:r>
      <w:r w:rsidR="00015BB8" w:rsidRPr="008F14A4">
        <w:rPr>
          <w:iCs/>
          <w:sz w:val="28"/>
          <w:szCs w:val="28"/>
        </w:rPr>
        <w:t>,</w:t>
      </w:r>
      <w:r w:rsidRPr="008F14A4">
        <w:rPr>
          <w:iCs/>
          <w:sz w:val="28"/>
          <w:szCs w:val="28"/>
        </w:rPr>
        <w:t xml:space="preserve"> </w:t>
      </w:r>
      <w:r w:rsidR="004810B1" w:rsidRPr="008F14A4">
        <w:rPr>
          <w:iCs/>
          <w:sz w:val="28"/>
          <w:szCs w:val="28"/>
        </w:rPr>
        <w:t xml:space="preserve">la irretroactividad de la ley tributaria se fundamenta en el principio de seguridad jurídica y </w:t>
      </w:r>
      <w:r w:rsidRPr="008F14A4">
        <w:rPr>
          <w:iCs/>
          <w:sz w:val="28"/>
          <w:szCs w:val="28"/>
        </w:rPr>
        <w:t>tiene el fin de garantizar los derechos de los contribuyentes</w:t>
      </w:r>
      <w:r w:rsidR="004810B1" w:rsidRPr="008F14A4">
        <w:rPr>
          <w:iCs/>
          <w:sz w:val="28"/>
          <w:szCs w:val="28"/>
        </w:rPr>
        <w:t xml:space="preserve">. En consecuencia, </w:t>
      </w:r>
      <w:r w:rsidRPr="008F14A4">
        <w:rPr>
          <w:iCs/>
          <w:sz w:val="28"/>
          <w:szCs w:val="28"/>
        </w:rPr>
        <w:t xml:space="preserve">no puede oponerse a la consolidación de situaciones jurídicas </w:t>
      </w:r>
      <w:r w:rsidR="00E37D54" w:rsidRPr="008F14A4">
        <w:rPr>
          <w:sz w:val="28"/>
          <w:szCs w:val="28"/>
        </w:rPr>
        <w:t xml:space="preserve">favorables </w:t>
      </w:r>
      <w:r w:rsidR="005A0B88" w:rsidRPr="008F14A4">
        <w:rPr>
          <w:sz w:val="28"/>
          <w:szCs w:val="28"/>
        </w:rPr>
        <w:t>a los mismos. Al respecto, se reiter</w:t>
      </w:r>
      <w:r w:rsidR="00015BB8" w:rsidRPr="008F14A4">
        <w:rPr>
          <w:sz w:val="28"/>
          <w:szCs w:val="28"/>
        </w:rPr>
        <w:t xml:space="preserve">a </w:t>
      </w:r>
      <w:r w:rsidR="005A0B88" w:rsidRPr="008F14A4">
        <w:rPr>
          <w:sz w:val="28"/>
          <w:szCs w:val="28"/>
        </w:rPr>
        <w:t xml:space="preserve">que de conformidad con la Sentencia C-952 de 2007, </w:t>
      </w:r>
      <w:r w:rsidR="005A0B88" w:rsidRPr="008F14A4">
        <w:rPr>
          <w:bCs/>
          <w:iCs/>
          <w:sz w:val="28"/>
          <w:szCs w:val="28"/>
        </w:rPr>
        <w:t xml:space="preserve">“[e]n materia tributaria, el concepto de derechos adquiridos está intrínsecamente vinculado con la garantía de protección de situaciones jurídicas consolidadas, lo cual a su vez está relacionado con el principio de irretroactividad de la ley, según el cual los efectos retroactivos </w:t>
      </w:r>
      <w:r w:rsidR="004810B1" w:rsidRPr="008F14A4">
        <w:rPr>
          <w:bCs/>
          <w:iCs/>
          <w:sz w:val="28"/>
          <w:szCs w:val="28"/>
        </w:rPr>
        <w:t xml:space="preserve">[…] </w:t>
      </w:r>
      <w:r w:rsidR="005A0B88" w:rsidRPr="008F14A4">
        <w:rPr>
          <w:bCs/>
          <w:iCs/>
          <w:sz w:val="28"/>
          <w:szCs w:val="28"/>
        </w:rPr>
        <w:t>no pueden afectar situaciones ya reconocidas y cuyos efectos se hayan dado bajo una legislación anterior”</w:t>
      </w:r>
      <w:r w:rsidR="005A0B88" w:rsidRPr="008F14A4">
        <w:rPr>
          <w:rStyle w:val="Refdenotaalpie"/>
          <w:bCs/>
          <w:iCs/>
          <w:sz w:val="28"/>
          <w:szCs w:val="28"/>
        </w:rPr>
        <w:footnoteReference w:id="122"/>
      </w:r>
      <w:r w:rsidR="005A0B88" w:rsidRPr="008F14A4">
        <w:rPr>
          <w:bCs/>
          <w:iCs/>
          <w:sz w:val="28"/>
          <w:szCs w:val="28"/>
        </w:rPr>
        <w:t xml:space="preserve">. </w:t>
      </w:r>
    </w:p>
    <w:p w14:paraId="5A1EE78C" w14:textId="77777777" w:rsidR="002B30E0" w:rsidRPr="008F14A4" w:rsidRDefault="002B30E0" w:rsidP="002B30E0">
      <w:pPr>
        <w:widowControl w:val="0"/>
        <w:pBdr>
          <w:top w:val="nil"/>
          <w:left w:val="nil"/>
          <w:bottom w:val="nil"/>
          <w:right w:val="nil"/>
          <w:between w:val="nil"/>
        </w:pBdr>
        <w:tabs>
          <w:tab w:val="left" w:pos="426"/>
        </w:tabs>
        <w:jc w:val="both"/>
        <w:rPr>
          <w:i/>
          <w:iCs/>
          <w:sz w:val="28"/>
          <w:szCs w:val="28"/>
        </w:rPr>
      </w:pPr>
    </w:p>
    <w:p w14:paraId="19DCD219" w14:textId="60DB3BB3" w:rsidR="00FB53B1" w:rsidRPr="008F14A4" w:rsidRDefault="002B30E0" w:rsidP="00FB53B1">
      <w:pPr>
        <w:widowControl w:val="0"/>
        <w:numPr>
          <w:ilvl w:val="0"/>
          <w:numId w:val="9"/>
        </w:numPr>
        <w:pBdr>
          <w:top w:val="nil"/>
          <w:left w:val="nil"/>
          <w:bottom w:val="nil"/>
          <w:right w:val="nil"/>
          <w:between w:val="nil"/>
        </w:pBdr>
        <w:tabs>
          <w:tab w:val="left" w:pos="426"/>
        </w:tabs>
        <w:ind w:left="0" w:firstLine="0"/>
        <w:jc w:val="both"/>
        <w:rPr>
          <w:iCs/>
          <w:sz w:val="28"/>
          <w:szCs w:val="28"/>
        </w:rPr>
      </w:pPr>
      <w:r w:rsidRPr="008F14A4">
        <w:rPr>
          <w:sz w:val="28"/>
          <w:szCs w:val="28"/>
        </w:rPr>
        <w:t xml:space="preserve">Adicionalmente, </w:t>
      </w:r>
      <w:r w:rsidR="00FB53B1" w:rsidRPr="008F14A4">
        <w:rPr>
          <w:sz w:val="28"/>
          <w:szCs w:val="28"/>
        </w:rPr>
        <w:t xml:space="preserve">respecto del principio de favorabilidad en materia tributaria, la Corte Constitucional ha reconocido que es </w:t>
      </w:r>
      <w:r w:rsidR="00CD46B8" w:rsidRPr="008F14A4">
        <w:rPr>
          <w:sz w:val="28"/>
          <w:szCs w:val="28"/>
        </w:rPr>
        <w:t xml:space="preserve">un </w:t>
      </w:r>
      <w:r w:rsidR="00FB53B1" w:rsidRPr="008F14A4">
        <w:rPr>
          <w:sz w:val="28"/>
          <w:szCs w:val="28"/>
        </w:rPr>
        <w:t xml:space="preserve">componente esencial del derecho al debido proceso, especialmente en las actuaciones administrativas sancionatorias en materia tributaria. </w:t>
      </w:r>
      <w:r w:rsidR="00015BB8" w:rsidRPr="008F14A4">
        <w:rPr>
          <w:sz w:val="28"/>
          <w:szCs w:val="28"/>
        </w:rPr>
        <w:t>De esta manera</w:t>
      </w:r>
      <w:r w:rsidR="00FB53B1" w:rsidRPr="008F14A4">
        <w:rPr>
          <w:sz w:val="28"/>
          <w:szCs w:val="28"/>
        </w:rPr>
        <w:t xml:space="preserve">, en la Sentencia C-514 de 2019 se declaró la exequibilidad de una medida dirigida a la reducción de sanciones y, sobre este postulado, se señaló que: </w:t>
      </w:r>
      <w:r w:rsidR="00FB53B1" w:rsidRPr="008F14A4">
        <w:rPr>
          <w:iCs/>
          <w:sz w:val="28"/>
          <w:szCs w:val="28"/>
        </w:rPr>
        <w:t>“</w:t>
      </w:r>
      <w:r w:rsidR="00FB53B1" w:rsidRPr="008F14A4">
        <w:rPr>
          <w:bCs/>
          <w:iCs/>
          <w:sz w:val="28"/>
          <w:szCs w:val="28"/>
          <w:shd w:val="clear" w:color="auto" w:fill="FFFFFF"/>
        </w:rPr>
        <w:t>el principio de favorabilidad no puede tener un carácter relativo, sino que por el contrario, su contenido es absoluto, es decir, no admite restricciones en su aplicabilidad</w:t>
      </w:r>
      <w:r w:rsidR="00FB53B1" w:rsidRPr="008F14A4">
        <w:rPr>
          <w:iCs/>
          <w:sz w:val="28"/>
          <w:szCs w:val="28"/>
          <w:shd w:val="clear" w:color="auto" w:fill="FFFFFF"/>
        </w:rPr>
        <w:t>, </w:t>
      </w:r>
      <w:r w:rsidR="00FB53B1" w:rsidRPr="008F14A4">
        <w:rPr>
          <w:bCs/>
          <w:iCs/>
          <w:sz w:val="28"/>
          <w:szCs w:val="28"/>
          <w:shd w:val="clear" w:color="auto" w:fill="FFFFFF"/>
        </w:rPr>
        <w:t>como elemento fundamental del debido proceso</w:t>
      </w:r>
      <w:r w:rsidR="00FB53B1" w:rsidRPr="008F14A4">
        <w:rPr>
          <w:iCs/>
          <w:sz w:val="28"/>
          <w:szCs w:val="28"/>
          <w:shd w:val="clear" w:color="auto" w:fill="FFFFFF"/>
        </w:rPr>
        <w:t>”</w:t>
      </w:r>
      <w:r w:rsidR="00FB53B1" w:rsidRPr="008F14A4">
        <w:rPr>
          <w:rStyle w:val="Refdenotaalpie"/>
          <w:iCs/>
          <w:sz w:val="28"/>
          <w:szCs w:val="28"/>
          <w:shd w:val="clear" w:color="auto" w:fill="FFFFFF"/>
        </w:rPr>
        <w:footnoteReference w:id="123"/>
      </w:r>
      <w:r w:rsidR="00FB53B1" w:rsidRPr="008F14A4">
        <w:rPr>
          <w:iCs/>
          <w:sz w:val="28"/>
          <w:szCs w:val="28"/>
          <w:shd w:val="clear" w:color="auto" w:fill="FFFFFF"/>
        </w:rPr>
        <w:t xml:space="preserve">. </w:t>
      </w:r>
    </w:p>
    <w:p w14:paraId="0F1ECEA3" w14:textId="77777777" w:rsidR="00E37D54" w:rsidRPr="008F14A4" w:rsidRDefault="00E37D54" w:rsidP="00FB53B1">
      <w:pPr>
        <w:rPr>
          <w:bCs/>
          <w:color w:val="000000" w:themeColor="text1"/>
          <w:sz w:val="28"/>
          <w:szCs w:val="28"/>
        </w:rPr>
      </w:pPr>
    </w:p>
    <w:p w14:paraId="198468B1" w14:textId="6AF01EFC" w:rsidR="00CE39EB" w:rsidRPr="008F14A4" w:rsidRDefault="006637E0" w:rsidP="006637E0">
      <w:pPr>
        <w:widowControl w:val="0"/>
        <w:numPr>
          <w:ilvl w:val="0"/>
          <w:numId w:val="9"/>
        </w:numPr>
        <w:pBdr>
          <w:top w:val="nil"/>
          <w:left w:val="nil"/>
          <w:bottom w:val="nil"/>
          <w:right w:val="nil"/>
          <w:between w:val="nil"/>
        </w:pBdr>
        <w:tabs>
          <w:tab w:val="left" w:pos="426"/>
        </w:tabs>
        <w:ind w:left="0" w:firstLine="0"/>
        <w:jc w:val="both"/>
        <w:rPr>
          <w:iCs/>
          <w:sz w:val="28"/>
          <w:szCs w:val="28"/>
        </w:rPr>
      </w:pPr>
      <w:r w:rsidRPr="008F14A4">
        <w:rPr>
          <w:bCs/>
          <w:color w:val="000000" w:themeColor="text1"/>
          <w:sz w:val="28"/>
          <w:szCs w:val="28"/>
        </w:rPr>
        <w:t>Con fundamento en lo anterior</w:t>
      </w:r>
      <w:r w:rsidR="00CE39EB" w:rsidRPr="008F14A4">
        <w:rPr>
          <w:bCs/>
          <w:color w:val="000000" w:themeColor="text1"/>
          <w:sz w:val="28"/>
          <w:szCs w:val="28"/>
        </w:rPr>
        <w:t xml:space="preserve">, </w:t>
      </w:r>
      <w:r w:rsidR="00015BB8" w:rsidRPr="008F14A4">
        <w:rPr>
          <w:bCs/>
          <w:color w:val="000000" w:themeColor="text1"/>
          <w:sz w:val="28"/>
          <w:szCs w:val="28"/>
        </w:rPr>
        <w:t>se deben</w:t>
      </w:r>
      <w:r w:rsidR="00CE39EB" w:rsidRPr="008F14A4">
        <w:rPr>
          <w:bCs/>
          <w:color w:val="000000" w:themeColor="text1"/>
          <w:sz w:val="28"/>
          <w:szCs w:val="28"/>
        </w:rPr>
        <w:t xml:space="preserve"> garantizar </w:t>
      </w:r>
      <w:r w:rsidR="00015BB8" w:rsidRPr="008F14A4">
        <w:rPr>
          <w:bCs/>
          <w:color w:val="000000" w:themeColor="text1"/>
          <w:sz w:val="28"/>
          <w:szCs w:val="28"/>
        </w:rPr>
        <w:t xml:space="preserve">los principios de </w:t>
      </w:r>
      <w:r w:rsidR="00CE39EB" w:rsidRPr="008F14A4">
        <w:rPr>
          <w:bCs/>
          <w:color w:val="000000" w:themeColor="text1"/>
          <w:sz w:val="28"/>
          <w:szCs w:val="28"/>
        </w:rPr>
        <w:t>seguridad jurídica</w:t>
      </w:r>
      <w:r w:rsidR="00FB53B1" w:rsidRPr="008F14A4">
        <w:rPr>
          <w:bCs/>
          <w:color w:val="000000" w:themeColor="text1"/>
          <w:sz w:val="28"/>
          <w:szCs w:val="28"/>
        </w:rPr>
        <w:t xml:space="preserve">, irretroactividad </w:t>
      </w:r>
      <w:r w:rsidR="00CE39EB" w:rsidRPr="008F14A4">
        <w:rPr>
          <w:bCs/>
          <w:color w:val="000000" w:themeColor="text1"/>
          <w:sz w:val="28"/>
          <w:szCs w:val="28"/>
        </w:rPr>
        <w:t xml:space="preserve">y favorabilidad tributaria, </w:t>
      </w:r>
      <w:r w:rsidR="00015BB8" w:rsidRPr="008F14A4">
        <w:rPr>
          <w:bCs/>
          <w:color w:val="000000" w:themeColor="text1"/>
          <w:sz w:val="28"/>
          <w:szCs w:val="28"/>
        </w:rPr>
        <w:t>por lo que</w:t>
      </w:r>
      <w:r w:rsidR="00CE39EB" w:rsidRPr="008F14A4">
        <w:rPr>
          <w:iCs/>
          <w:sz w:val="28"/>
          <w:szCs w:val="28"/>
        </w:rPr>
        <w:t xml:space="preserve">, </w:t>
      </w:r>
      <w:r w:rsidR="00CE39EB" w:rsidRPr="008F14A4">
        <w:rPr>
          <w:bCs/>
          <w:color w:val="000000" w:themeColor="text1"/>
          <w:sz w:val="28"/>
          <w:szCs w:val="28"/>
        </w:rPr>
        <w:t xml:space="preserve">la Sala Plena estima necesario adoptar un remedio constitucional dirigido a mantener la validez de las situaciones jurídicas consolidadas en favor de los contribuyentes que acreditaron las condiciones </w:t>
      </w:r>
      <w:r w:rsidR="00015BB8" w:rsidRPr="008F14A4">
        <w:rPr>
          <w:bCs/>
          <w:color w:val="000000" w:themeColor="text1"/>
          <w:sz w:val="28"/>
          <w:szCs w:val="28"/>
        </w:rPr>
        <w:t xml:space="preserve">exigidas para </w:t>
      </w:r>
      <w:r w:rsidR="00CE39EB" w:rsidRPr="008F14A4">
        <w:rPr>
          <w:bCs/>
          <w:color w:val="000000" w:themeColor="text1"/>
          <w:sz w:val="28"/>
          <w:szCs w:val="28"/>
        </w:rPr>
        <w:t xml:space="preserve">acceder a los beneficios tributarios contenidos en </w:t>
      </w:r>
      <w:r w:rsidR="006305FB" w:rsidRPr="008F14A4">
        <w:rPr>
          <w:bCs/>
          <w:color w:val="000000" w:themeColor="text1"/>
          <w:sz w:val="28"/>
          <w:szCs w:val="28"/>
        </w:rPr>
        <w:t>los artículos 20 a 23 d</w:t>
      </w:r>
      <w:r w:rsidR="00CE39EB" w:rsidRPr="008F14A4">
        <w:rPr>
          <w:bCs/>
          <w:color w:val="000000" w:themeColor="text1"/>
          <w:sz w:val="28"/>
          <w:szCs w:val="28"/>
        </w:rPr>
        <w:t>el DL1474, mientras aquel produjo efectos.</w:t>
      </w:r>
    </w:p>
    <w:p w14:paraId="63654B42" w14:textId="77777777" w:rsidR="00015BB8" w:rsidRPr="00C04588" w:rsidRDefault="00015BB8" w:rsidP="0082124C">
      <w:pPr>
        <w:widowControl w:val="0"/>
        <w:pBdr>
          <w:top w:val="nil"/>
          <w:left w:val="nil"/>
          <w:bottom w:val="nil"/>
          <w:right w:val="nil"/>
          <w:between w:val="nil"/>
        </w:pBdr>
        <w:tabs>
          <w:tab w:val="left" w:pos="426"/>
        </w:tabs>
        <w:jc w:val="both"/>
        <w:rPr>
          <w:sz w:val="28"/>
          <w:szCs w:val="28"/>
        </w:rPr>
      </w:pPr>
    </w:p>
    <w:p w14:paraId="28439A0B" w14:textId="09875688" w:rsidR="002343E4" w:rsidRPr="00C04588" w:rsidRDefault="009B5C94">
      <w:pPr>
        <w:tabs>
          <w:tab w:val="left" w:pos="284"/>
        </w:tabs>
        <w:jc w:val="both"/>
        <w:rPr>
          <w:sz w:val="28"/>
          <w:szCs w:val="28"/>
        </w:rPr>
      </w:pPr>
      <w:r w:rsidRPr="00C04588">
        <w:rPr>
          <w:b/>
          <w:sz w:val="28"/>
          <w:szCs w:val="28"/>
        </w:rPr>
        <w:t>VI</w:t>
      </w:r>
      <w:r w:rsidR="0060246C" w:rsidRPr="00C04588">
        <w:rPr>
          <w:b/>
          <w:sz w:val="28"/>
          <w:szCs w:val="28"/>
        </w:rPr>
        <w:t>. DECISIÓN</w:t>
      </w:r>
    </w:p>
    <w:p w14:paraId="28439A0C" w14:textId="77777777" w:rsidR="002343E4" w:rsidRPr="00C04588" w:rsidRDefault="002343E4">
      <w:pPr>
        <w:pBdr>
          <w:top w:val="nil"/>
          <w:left w:val="nil"/>
          <w:bottom w:val="nil"/>
          <w:right w:val="nil"/>
          <w:between w:val="nil"/>
        </w:pBdr>
        <w:tabs>
          <w:tab w:val="left" w:pos="426"/>
          <w:tab w:val="left" w:pos="567"/>
        </w:tabs>
        <w:jc w:val="both"/>
        <w:rPr>
          <w:sz w:val="28"/>
          <w:szCs w:val="28"/>
        </w:rPr>
      </w:pPr>
    </w:p>
    <w:p w14:paraId="6BE43579" w14:textId="4CDD3A55" w:rsidR="00CA025C" w:rsidRDefault="0060246C" w:rsidP="00AF31E6">
      <w:pPr>
        <w:widowControl w:val="0"/>
        <w:pBdr>
          <w:top w:val="nil"/>
          <w:left w:val="nil"/>
          <w:bottom w:val="nil"/>
          <w:right w:val="nil"/>
          <w:between w:val="nil"/>
        </w:pBdr>
        <w:tabs>
          <w:tab w:val="left" w:pos="426"/>
        </w:tabs>
        <w:jc w:val="both"/>
        <w:rPr>
          <w:sz w:val="28"/>
          <w:szCs w:val="28"/>
        </w:rPr>
      </w:pPr>
      <w:r w:rsidRPr="00C04588">
        <w:rPr>
          <w:sz w:val="28"/>
          <w:szCs w:val="28"/>
        </w:rPr>
        <w:t>En mérito de lo expuesto, la Sala Plena de la Corte Constitucional, administrando justicia en nombre del pueblo y por mandato de la Constitución,</w:t>
      </w:r>
    </w:p>
    <w:p w14:paraId="553280BF" w14:textId="77777777" w:rsidR="00015BB8" w:rsidRPr="00C04588" w:rsidRDefault="00015BB8" w:rsidP="00AF31E6">
      <w:pPr>
        <w:widowControl w:val="0"/>
        <w:pBdr>
          <w:top w:val="nil"/>
          <w:left w:val="nil"/>
          <w:bottom w:val="nil"/>
          <w:right w:val="nil"/>
          <w:between w:val="nil"/>
        </w:pBdr>
        <w:tabs>
          <w:tab w:val="left" w:pos="426"/>
        </w:tabs>
        <w:jc w:val="both"/>
        <w:rPr>
          <w:sz w:val="28"/>
          <w:szCs w:val="28"/>
        </w:rPr>
      </w:pPr>
    </w:p>
    <w:p w14:paraId="737546BF" w14:textId="77777777" w:rsidR="00426720" w:rsidRDefault="0060246C" w:rsidP="00426720">
      <w:pPr>
        <w:widowControl w:val="0"/>
        <w:pBdr>
          <w:top w:val="nil"/>
          <w:left w:val="nil"/>
          <w:bottom w:val="nil"/>
          <w:right w:val="nil"/>
          <w:between w:val="nil"/>
        </w:pBdr>
        <w:tabs>
          <w:tab w:val="left" w:pos="426"/>
        </w:tabs>
        <w:jc w:val="center"/>
        <w:rPr>
          <w:b/>
          <w:sz w:val="28"/>
          <w:szCs w:val="28"/>
        </w:rPr>
      </w:pPr>
      <w:r w:rsidRPr="00C04588">
        <w:rPr>
          <w:b/>
          <w:sz w:val="28"/>
          <w:szCs w:val="28"/>
        </w:rPr>
        <w:t>RESUELVE</w:t>
      </w:r>
    </w:p>
    <w:p w14:paraId="1A56A5C8" w14:textId="359AF13B" w:rsidR="00426720" w:rsidRDefault="00426720" w:rsidP="00426720">
      <w:pPr>
        <w:widowControl w:val="0"/>
        <w:pBdr>
          <w:top w:val="nil"/>
          <w:left w:val="nil"/>
          <w:bottom w:val="nil"/>
          <w:right w:val="nil"/>
          <w:between w:val="nil"/>
        </w:pBdr>
        <w:tabs>
          <w:tab w:val="left" w:pos="426"/>
        </w:tabs>
        <w:jc w:val="both"/>
        <w:rPr>
          <w:rFonts w:ascii="Times" w:hAnsi="Times" w:cs="Times"/>
          <w:b/>
          <w:color w:val="000000"/>
          <w:sz w:val="28"/>
          <w:szCs w:val="28"/>
        </w:rPr>
      </w:pPr>
    </w:p>
    <w:p w14:paraId="70C63305" w14:textId="77777777" w:rsidR="00CA025C" w:rsidRPr="008F14A4" w:rsidRDefault="00CA025C" w:rsidP="00CA025C">
      <w:pPr>
        <w:jc w:val="both"/>
        <w:rPr>
          <w:sz w:val="28"/>
          <w:szCs w:val="28"/>
        </w:rPr>
      </w:pPr>
      <w:r w:rsidRPr="008F14A4">
        <w:rPr>
          <w:b/>
          <w:sz w:val="28"/>
          <w:szCs w:val="28"/>
        </w:rPr>
        <w:t>PRIMERO.</w:t>
      </w:r>
      <w:r w:rsidRPr="008F14A4">
        <w:rPr>
          <w:sz w:val="28"/>
          <w:szCs w:val="28"/>
        </w:rPr>
        <w:t xml:space="preserve"> Declarar </w:t>
      </w:r>
      <w:r w:rsidRPr="008F14A4">
        <w:rPr>
          <w:b/>
          <w:sz w:val="28"/>
          <w:szCs w:val="28"/>
        </w:rPr>
        <w:t>INEXEQUIBLE,</w:t>
      </w:r>
      <w:r w:rsidRPr="008F14A4">
        <w:rPr>
          <w:sz w:val="28"/>
          <w:szCs w:val="28"/>
        </w:rPr>
        <w:t xml:space="preserve"> por consecuencia, el Decreto Legislativo 1474 del 29 de diciembre de 2025, “Por el cual se adoptan medidas tributarias destinadas a atender los gastos del Presupuesto General de la Nación necesarios para hacer frente al Estado de Emergencia declarado por el Decreto 1390 de 2025”. </w:t>
      </w:r>
    </w:p>
    <w:p w14:paraId="64250FE8" w14:textId="77777777" w:rsidR="00CA025C" w:rsidRPr="008F14A4" w:rsidRDefault="00CA025C" w:rsidP="00CA025C">
      <w:pPr>
        <w:jc w:val="both"/>
        <w:rPr>
          <w:sz w:val="28"/>
          <w:szCs w:val="28"/>
        </w:rPr>
      </w:pPr>
    </w:p>
    <w:p w14:paraId="7D93E0BA" w14:textId="7EA03BDA" w:rsidR="00CA025C" w:rsidRPr="00CA025C" w:rsidRDefault="00CA025C" w:rsidP="00CA025C">
      <w:pPr>
        <w:jc w:val="both"/>
        <w:rPr>
          <w:sz w:val="28"/>
          <w:szCs w:val="28"/>
        </w:rPr>
      </w:pPr>
      <w:r w:rsidRPr="008F14A4">
        <w:rPr>
          <w:b/>
          <w:sz w:val="28"/>
          <w:szCs w:val="28"/>
        </w:rPr>
        <w:t>SEGUNDO.</w:t>
      </w:r>
      <w:r w:rsidRPr="008F14A4">
        <w:rPr>
          <w:sz w:val="28"/>
          <w:szCs w:val="28"/>
        </w:rPr>
        <w:t xml:space="preserve"> Modular los efectos de esta decisión en el sentido de </w:t>
      </w:r>
      <w:r w:rsidRPr="008F14A4">
        <w:rPr>
          <w:b/>
          <w:sz w:val="28"/>
          <w:szCs w:val="28"/>
        </w:rPr>
        <w:t xml:space="preserve">ORDENAR </w:t>
      </w:r>
      <w:r w:rsidRPr="008F14A4">
        <w:rPr>
          <w:sz w:val="28"/>
          <w:szCs w:val="28"/>
        </w:rPr>
        <w:t>que: i) los impuestos directos que fueron modificados o se hayan causado mientras el Decreto Legislativo 1474 de 2025 produjo efectos no sean objeto de declaración, liquidación o cobro por parte de la DIAN, y que se devuelvan los que se hayan pagado anticipadamente; ii) los impuestos indirectos pagados mientras el Decreto Legislativo 1474 de 2025 produjo efectos sean devueltos a los sujetos pasivos que materialmente hayan realizado el pago y así lo acrediten, para lo cual la DIAN aplicará, dentro de los treinta (30) días siguientes a la notificación de esta sentencia, los mecanismos legales existentes o dispondrá la adopción de uno específico para ese efecto, si fuere necesario; y iii) se mantienen incólumes las situaciones jurídicas consolidadas respecto de los contribuyentes que acreditaron las condiciones exigidas para acceder a los beneficios tributarios previstos en el Decreto Legislativo 1474 de 2025 mientras este produjo efectos, todo ello en los términos de esta sentencia.</w:t>
      </w:r>
      <w:r w:rsidRPr="00CA025C">
        <w:rPr>
          <w:sz w:val="28"/>
          <w:szCs w:val="28"/>
        </w:rPr>
        <w:t xml:space="preserve"> </w:t>
      </w:r>
    </w:p>
    <w:p w14:paraId="14252447" w14:textId="77777777" w:rsidR="00CA025C" w:rsidRDefault="00CA025C" w:rsidP="00426720">
      <w:pPr>
        <w:widowControl w:val="0"/>
        <w:pBdr>
          <w:top w:val="nil"/>
          <w:left w:val="nil"/>
          <w:bottom w:val="nil"/>
          <w:right w:val="nil"/>
          <w:between w:val="nil"/>
        </w:pBdr>
        <w:tabs>
          <w:tab w:val="left" w:pos="426"/>
        </w:tabs>
        <w:jc w:val="both"/>
        <w:rPr>
          <w:rFonts w:ascii="Times" w:hAnsi="Times" w:cs="Times"/>
          <w:b/>
          <w:color w:val="000000"/>
          <w:sz w:val="28"/>
          <w:szCs w:val="28"/>
        </w:rPr>
      </w:pPr>
    </w:p>
    <w:p w14:paraId="7EF8D7F1" w14:textId="486D2CC8" w:rsidR="004669DA" w:rsidRDefault="00572774" w:rsidP="005322E3">
      <w:pPr>
        <w:pBdr>
          <w:top w:val="nil"/>
          <w:left w:val="nil"/>
          <w:bottom w:val="nil"/>
          <w:right w:val="nil"/>
          <w:between w:val="nil"/>
        </w:pBdr>
        <w:tabs>
          <w:tab w:val="left" w:pos="426"/>
        </w:tabs>
        <w:jc w:val="both"/>
        <w:rPr>
          <w:sz w:val="28"/>
          <w:szCs w:val="28"/>
        </w:rPr>
      </w:pPr>
      <w:r w:rsidRPr="00C04588">
        <w:rPr>
          <w:sz w:val="28"/>
          <w:szCs w:val="28"/>
        </w:rPr>
        <w:t>Notifíquese, comuníquese, publíquese y cúmplas</w:t>
      </w:r>
      <w:r w:rsidR="00BA0578" w:rsidRPr="00C04588">
        <w:rPr>
          <w:sz w:val="28"/>
          <w:szCs w:val="28"/>
        </w:rPr>
        <w:t>e</w:t>
      </w:r>
    </w:p>
    <w:p w14:paraId="1F5BCEDF" w14:textId="201C0F2A"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6F7E830A" w14:textId="42E1324D"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PAOLA ANDREA MENESES MOSQUERA</w:t>
      </w:r>
    </w:p>
    <w:p w14:paraId="545392FB" w14:textId="524BFFA4"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Presidenta</w:t>
      </w:r>
    </w:p>
    <w:p w14:paraId="489B1EA7" w14:textId="01F3D1FA"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01CB071E" w14:textId="64DCAC37"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00C7B22A" w14:textId="1CD83BE3"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NATALIA ÁNGEL CABO</w:t>
      </w:r>
    </w:p>
    <w:p w14:paraId="2E7E2375" w14:textId="34A5D12F"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Magistrada</w:t>
      </w:r>
    </w:p>
    <w:p w14:paraId="5856B4EA" w14:textId="116761BB"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461D0BEA" w14:textId="635EE6B3"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4AC540EF" w14:textId="4D0F2C52"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CARLOS CAMARGO ASSIS</w:t>
      </w:r>
    </w:p>
    <w:p w14:paraId="5A24325C" w14:textId="366DA7F3"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Magistrado</w:t>
      </w:r>
    </w:p>
    <w:p w14:paraId="27D0F470" w14:textId="163E3A64"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6C52CFAA" w14:textId="3FF59595"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4B785377" w14:textId="05207709"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HECTOR ALFONSO CARVAJAL LONDOÑO</w:t>
      </w:r>
    </w:p>
    <w:p w14:paraId="4983529C" w14:textId="3242DEFC"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Magistrado</w:t>
      </w:r>
    </w:p>
    <w:p w14:paraId="4A7147BB" w14:textId="19538A44"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Con aclaración de voto</w:t>
      </w:r>
    </w:p>
    <w:p w14:paraId="34EC105F" w14:textId="5F3CD2CB"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3B6F9E1F" w14:textId="4411E613"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7DB4466F" w14:textId="5CD117E4"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JUAN CARLOS CORTÉS GONZÁLEZ</w:t>
      </w:r>
    </w:p>
    <w:p w14:paraId="5C8E7E76" w14:textId="60DFEA32"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Magistrado</w:t>
      </w:r>
    </w:p>
    <w:p w14:paraId="09287548" w14:textId="7027FAF5"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48D384DC" w14:textId="759CCF80"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1BD14AB4" w14:textId="6D372AC4"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LINA MARCELA ESCOBAR MARTÍNEZ</w:t>
      </w:r>
    </w:p>
    <w:p w14:paraId="787095DD" w14:textId="2BAC3C51"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Magistrada</w:t>
      </w:r>
    </w:p>
    <w:p w14:paraId="0992AD2C" w14:textId="5B0A17DF"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2D42AA44" w14:textId="718ACDE3"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75097FD6" w14:textId="539E760A"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VLADIMIR FERNÁNDEZ ANDRADE</w:t>
      </w:r>
    </w:p>
    <w:p w14:paraId="01233DB2" w14:textId="3B8AC4CE"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Magistrado</w:t>
      </w:r>
    </w:p>
    <w:p w14:paraId="55ACE542" w14:textId="162E2688"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Aclaración de voto</w:t>
      </w:r>
    </w:p>
    <w:p w14:paraId="0388FEE9" w14:textId="39A7D968"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774C3D6D" w14:textId="42DD65D9"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42991B5C" w14:textId="60D05DDD"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 xml:space="preserve">JORGE ENRIQUE IBÁÑEZ NAJAR </w:t>
      </w:r>
    </w:p>
    <w:p w14:paraId="34ADC998" w14:textId="5DCA8CA4"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Magistrado</w:t>
      </w:r>
    </w:p>
    <w:p w14:paraId="3E826823" w14:textId="14EEC80F"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Con impedimento aceptado</w:t>
      </w:r>
    </w:p>
    <w:p w14:paraId="277DB5D3" w14:textId="1CB53958"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6F65A8B4" w14:textId="2A05E306"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3EE32ABB" w14:textId="76789ABA"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MIGUEL POLO ROSERO</w:t>
      </w:r>
    </w:p>
    <w:p w14:paraId="0BD4D573" w14:textId="3B00B3FA"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Magistrado</w:t>
      </w:r>
    </w:p>
    <w:p w14:paraId="25055E8E" w14:textId="5A09342B"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2E233382" w14:textId="177BCC8F" w:rsidR="0051270F" w:rsidRDefault="0051270F" w:rsidP="005322E3">
      <w:pPr>
        <w:pBdr>
          <w:top w:val="nil"/>
          <w:left w:val="nil"/>
          <w:bottom w:val="nil"/>
          <w:right w:val="nil"/>
          <w:between w:val="nil"/>
        </w:pBdr>
        <w:tabs>
          <w:tab w:val="left" w:pos="426"/>
        </w:tabs>
        <w:jc w:val="both"/>
        <w:rPr>
          <w:color w:val="000000" w:themeColor="text1"/>
          <w:sz w:val="28"/>
          <w:szCs w:val="28"/>
        </w:rPr>
      </w:pPr>
    </w:p>
    <w:p w14:paraId="0363449F" w14:textId="12D3F5F6"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ANDREA LILIANA ROMERO LOPEZ</w:t>
      </w:r>
    </w:p>
    <w:p w14:paraId="688FAA31" w14:textId="74C6F5EE" w:rsidR="0051270F" w:rsidRDefault="0051270F" w:rsidP="0051270F">
      <w:pPr>
        <w:pBdr>
          <w:top w:val="nil"/>
          <w:left w:val="nil"/>
          <w:bottom w:val="nil"/>
          <w:right w:val="nil"/>
          <w:between w:val="nil"/>
        </w:pBdr>
        <w:tabs>
          <w:tab w:val="left" w:pos="426"/>
        </w:tabs>
        <w:jc w:val="center"/>
        <w:rPr>
          <w:color w:val="000000" w:themeColor="text1"/>
          <w:sz w:val="28"/>
          <w:szCs w:val="28"/>
        </w:rPr>
      </w:pPr>
      <w:r w:rsidRPr="0051270F">
        <w:rPr>
          <w:color w:val="000000" w:themeColor="text1"/>
          <w:sz w:val="28"/>
          <w:szCs w:val="28"/>
        </w:rPr>
        <w:t>Secretaria General</w:t>
      </w:r>
    </w:p>
    <w:p w14:paraId="0FD5A6B9" w14:textId="77777777" w:rsidR="0051270F" w:rsidRPr="00985873" w:rsidRDefault="0051270F" w:rsidP="005322E3">
      <w:pPr>
        <w:pBdr>
          <w:top w:val="nil"/>
          <w:left w:val="nil"/>
          <w:bottom w:val="nil"/>
          <w:right w:val="nil"/>
          <w:between w:val="nil"/>
        </w:pBdr>
        <w:tabs>
          <w:tab w:val="left" w:pos="426"/>
        </w:tabs>
        <w:jc w:val="both"/>
        <w:rPr>
          <w:color w:val="000000" w:themeColor="text1"/>
          <w:sz w:val="28"/>
          <w:szCs w:val="28"/>
        </w:rPr>
      </w:pPr>
    </w:p>
    <w:sectPr w:rsidR="0051270F" w:rsidRPr="00985873" w:rsidSect="002C0806">
      <w:footerReference w:type="default" r:id="rId18"/>
      <w:type w:val="continuous"/>
      <w:pgSz w:w="12240" w:h="18720"/>
      <w:pgMar w:top="1276" w:right="1701" w:bottom="1701" w:left="1701" w:header="340" w:footer="68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84A65" w14:textId="77777777" w:rsidR="00E0166C" w:rsidRDefault="00E0166C">
      <w:r>
        <w:separator/>
      </w:r>
    </w:p>
  </w:endnote>
  <w:endnote w:type="continuationSeparator" w:id="0">
    <w:p w14:paraId="72F83A7F" w14:textId="77777777" w:rsidR="00E0166C" w:rsidRDefault="00E0166C">
      <w:r>
        <w:continuationSeparator/>
      </w:r>
    </w:p>
  </w:endnote>
  <w:endnote w:type="continuationNotice" w:id="1">
    <w:p w14:paraId="059E791C" w14:textId="77777777" w:rsidR="00E0166C" w:rsidRDefault="00E016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497103487"/>
      <w:docPartObj>
        <w:docPartGallery w:val="Page Numbers (Bottom of Page)"/>
        <w:docPartUnique/>
      </w:docPartObj>
    </w:sdtPr>
    <w:sdtEndPr>
      <w:rPr>
        <w:rStyle w:val="Nmerodepgina"/>
      </w:rPr>
    </w:sdtEndPr>
    <w:sdtContent>
      <w:p w14:paraId="68F68DE4" w14:textId="1B241C67" w:rsidR="008F14A4" w:rsidRDefault="008F14A4" w:rsidP="00637127">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8439A1C" w14:textId="77777777" w:rsidR="008F14A4" w:rsidRDefault="008F14A4" w:rsidP="00276ADD">
    <w:pPr>
      <w:pBdr>
        <w:top w:val="nil"/>
        <w:left w:val="nil"/>
        <w:bottom w:val="nil"/>
        <w:right w:val="nil"/>
        <w:between w:val="nil"/>
      </w:pBdr>
      <w:tabs>
        <w:tab w:val="center" w:pos="4419"/>
        <w:tab w:val="right" w:pos="8838"/>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39A1D" w14:textId="049A1FED" w:rsidR="008F14A4" w:rsidRPr="00711CFF" w:rsidRDefault="008F14A4" w:rsidP="00276ADD">
    <w:pPr>
      <w:pBdr>
        <w:top w:val="nil"/>
        <w:left w:val="nil"/>
        <w:bottom w:val="nil"/>
        <w:right w:val="nil"/>
        <w:between w:val="nil"/>
      </w:pBdr>
      <w:tabs>
        <w:tab w:val="center" w:pos="4419"/>
        <w:tab w:val="left" w:pos="7396"/>
        <w:tab w:val="right" w:pos="8838"/>
      </w:tabs>
      <w:rPr>
        <w:color w:val="000000"/>
      </w:rPr>
    </w:pPr>
    <w:r>
      <w:rPr>
        <w:color w:val="000000"/>
      </w:rPr>
      <w:tab/>
    </w:r>
    <w:r>
      <w:rPr>
        <w:color w:val="000000"/>
      </w:rPr>
      <w:tab/>
    </w:r>
    <w:r>
      <w:rPr>
        <w:color w:val="000000"/>
      </w:rPr>
      <w:tab/>
    </w:r>
    <w:r w:rsidRPr="00711CFF">
      <w:rPr>
        <w:color w:val="000000"/>
      </w:rPr>
      <w:fldChar w:fldCharType="begin"/>
    </w:r>
    <w:r w:rsidRPr="00711CFF">
      <w:rPr>
        <w:color w:val="000000"/>
      </w:rPr>
      <w:instrText>PAGE</w:instrText>
    </w:r>
    <w:r w:rsidRPr="00711CFF">
      <w:rPr>
        <w:color w:val="000000"/>
      </w:rPr>
      <w:fldChar w:fldCharType="separate"/>
    </w:r>
    <w:r w:rsidRPr="00711CFF">
      <w:rPr>
        <w:noProof/>
        <w:color w:val="000000"/>
      </w:rPr>
      <w:t>2</w:t>
    </w:r>
    <w:r w:rsidRPr="00711CFF">
      <w:rPr>
        <w:color w:val="000000"/>
      </w:rPr>
      <w:fldChar w:fldCharType="end"/>
    </w:r>
    <w:r w:rsidRPr="00711CFF">
      <w:rPr>
        <w:color w:val="000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39A1F" w14:textId="77777777" w:rsidR="008F14A4" w:rsidRDefault="008F14A4">
    <w:pPr>
      <w:pBdr>
        <w:top w:val="nil"/>
        <w:left w:val="nil"/>
        <w:bottom w:val="nil"/>
        <w:right w:val="nil"/>
        <w:between w:val="nil"/>
      </w:pBdr>
      <w:tabs>
        <w:tab w:val="center" w:pos="4419"/>
        <w:tab w:val="right" w:pos="8838"/>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732659696"/>
      <w:docPartObj>
        <w:docPartGallery w:val="Page Numbers (Bottom of Page)"/>
        <w:docPartUnique/>
      </w:docPartObj>
    </w:sdtPr>
    <w:sdtEndPr>
      <w:rPr>
        <w:rStyle w:val="Nmerodepgina"/>
      </w:rPr>
    </w:sdtEndPr>
    <w:sdtContent>
      <w:p w14:paraId="700E0B54" w14:textId="07F03746" w:rsidR="008F14A4" w:rsidRDefault="008F14A4" w:rsidP="00637127">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sdtContent>
  </w:sdt>
  <w:p w14:paraId="7AA3AF94" w14:textId="3DC49C0A" w:rsidR="008F14A4" w:rsidRPr="00711CFF" w:rsidRDefault="008F14A4" w:rsidP="002C0806">
    <w:pPr>
      <w:pBdr>
        <w:top w:val="nil"/>
        <w:left w:val="nil"/>
        <w:bottom w:val="nil"/>
        <w:right w:val="nil"/>
        <w:between w:val="nil"/>
      </w:pBdr>
      <w:tabs>
        <w:tab w:val="center" w:pos="4419"/>
        <w:tab w:val="left" w:pos="7396"/>
        <w:tab w:val="left" w:pos="8182"/>
        <w:tab w:val="right" w:pos="8838"/>
      </w:tabs>
      <w:ind w:right="360"/>
      <w:rPr>
        <w:color w:val="000000"/>
      </w:rPr>
    </w:pPr>
    <w:r>
      <w:rPr>
        <w:color w:val="000000"/>
      </w:rPr>
      <w:tab/>
    </w:r>
    <w:r>
      <w:rPr>
        <w:color w:val="000000"/>
      </w:rPr>
      <w:tab/>
    </w:r>
    <w:r>
      <w:rPr>
        <w:color w:val="000000"/>
      </w:rPr>
      <w:tab/>
    </w:r>
    <w:r>
      <w:rPr>
        <w:color w:val="000000"/>
      </w:rPr>
      <w:tab/>
    </w:r>
    <w:r w:rsidRPr="00711CFF">
      <w:rPr>
        <w:color w:val="00000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594973387"/>
      <w:docPartObj>
        <w:docPartGallery w:val="Page Numbers (Bottom of Page)"/>
        <w:docPartUnique/>
      </w:docPartObj>
    </w:sdtPr>
    <w:sdtEndPr>
      <w:rPr>
        <w:rStyle w:val="Nmerodepgina"/>
      </w:rPr>
    </w:sdtEndPr>
    <w:sdtContent>
      <w:p w14:paraId="18B49128" w14:textId="77777777" w:rsidR="008F14A4" w:rsidRDefault="008F14A4" w:rsidP="00637127">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sdtContent>
  </w:sdt>
  <w:p w14:paraId="62316440" w14:textId="77777777" w:rsidR="008F14A4" w:rsidRPr="00711CFF" w:rsidRDefault="008F14A4" w:rsidP="002C0806">
    <w:pPr>
      <w:pBdr>
        <w:top w:val="nil"/>
        <w:left w:val="nil"/>
        <w:bottom w:val="nil"/>
        <w:right w:val="nil"/>
        <w:between w:val="nil"/>
      </w:pBdr>
      <w:tabs>
        <w:tab w:val="center" w:pos="4419"/>
        <w:tab w:val="left" w:pos="7396"/>
        <w:tab w:val="left" w:pos="8182"/>
        <w:tab w:val="right" w:pos="8838"/>
      </w:tabs>
      <w:ind w:right="360"/>
      <w:rPr>
        <w:color w:val="000000"/>
      </w:rPr>
    </w:pPr>
    <w:r>
      <w:rPr>
        <w:color w:val="000000"/>
      </w:rPr>
      <w:tab/>
    </w:r>
    <w:r>
      <w:rPr>
        <w:color w:val="000000"/>
      </w:rPr>
      <w:tab/>
    </w:r>
    <w:r>
      <w:rPr>
        <w:color w:val="000000"/>
      </w:rPr>
      <w:tab/>
    </w:r>
    <w:r>
      <w:rPr>
        <w:color w:val="000000"/>
      </w:rPr>
      <w:tab/>
    </w:r>
    <w:r w:rsidRPr="00711CFF">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03793" w14:textId="77777777" w:rsidR="00E0166C" w:rsidRDefault="00E0166C">
      <w:r>
        <w:separator/>
      </w:r>
    </w:p>
  </w:footnote>
  <w:footnote w:type="continuationSeparator" w:id="0">
    <w:p w14:paraId="0EC49FAA" w14:textId="77777777" w:rsidR="00E0166C" w:rsidRDefault="00E0166C">
      <w:r>
        <w:continuationSeparator/>
      </w:r>
    </w:p>
  </w:footnote>
  <w:footnote w:type="continuationNotice" w:id="1">
    <w:p w14:paraId="07ECC260" w14:textId="77777777" w:rsidR="00E0166C" w:rsidRDefault="00E0166C"/>
  </w:footnote>
  <w:footnote w:id="2">
    <w:p w14:paraId="762E67AC" w14:textId="77777777" w:rsidR="008F14A4" w:rsidRPr="00C04588" w:rsidRDefault="008F14A4" w:rsidP="00C04588">
      <w:pPr>
        <w:spacing w:line="0" w:lineRule="atLeast"/>
        <w:jc w:val="both"/>
        <w:rPr>
          <w:sz w:val="20"/>
          <w:szCs w:val="20"/>
        </w:rPr>
      </w:pPr>
      <w:r w:rsidRPr="00C04588">
        <w:rPr>
          <w:rStyle w:val="Refdenotaalpie"/>
          <w:sz w:val="20"/>
          <w:szCs w:val="20"/>
        </w:rPr>
        <w:footnoteRef/>
      </w:r>
      <w:r w:rsidRPr="00C04588">
        <w:rPr>
          <w:sz w:val="20"/>
          <w:szCs w:val="20"/>
        </w:rPr>
        <w:t xml:space="preserve"> “Por el cual se adoptan medidas tributarias destinadas a atender los gastos del Presupuesto General de la Nación necesarios para hacer frente al Estado de Emergencia declarado por el Decreto 1390 de 2025”. </w:t>
      </w:r>
    </w:p>
  </w:footnote>
  <w:footnote w:id="3">
    <w:p w14:paraId="50D35A6D" w14:textId="77777777"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Expediente digital, archivo “RE0000388-Presentación Demanda-(2026-01-13 10-15-56).pdf”. </w:t>
      </w:r>
    </w:p>
  </w:footnote>
  <w:footnote w:id="4">
    <w:p w14:paraId="5740E3FC" w14:textId="77777777"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Expediente digital, archivo “RE0000388-Acta de Reparto-(2026-01-13 12-13-36).pdf”. </w:t>
      </w:r>
    </w:p>
  </w:footnote>
  <w:footnote w:id="5">
    <w:p w14:paraId="6F7712F6" w14:textId="77777777"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Expediente digital, archivo “RE0000388-Peticiones y Otros-(2026-01-19 08-31-21).pdf”. </w:t>
      </w:r>
    </w:p>
  </w:footnote>
  <w:footnote w:id="6">
    <w:p w14:paraId="4BCB9919" w14:textId="77777777" w:rsidR="008F14A4" w:rsidRPr="00B33317" w:rsidRDefault="008F14A4" w:rsidP="006672D4">
      <w:pPr>
        <w:spacing w:line="0" w:lineRule="atLeast"/>
        <w:jc w:val="both"/>
        <w:rPr>
          <w:sz w:val="20"/>
          <w:szCs w:val="20"/>
        </w:rPr>
      </w:pPr>
      <w:r w:rsidRPr="00B33317">
        <w:rPr>
          <w:rStyle w:val="Refdenotaalpie"/>
          <w:sz w:val="20"/>
          <w:szCs w:val="20"/>
        </w:rPr>
        <w:footnoteRef/>
      </w:r>
      <w:r w:rsidRPr="00B33317">
        <w:rPr>
          <w:sz w:val="20"/>
          <w:szCs w:val="20"/>
        </w:rPr>
        <w:t xml:space="preserve"> </w:t>
      </w:r>
      <w:r w:rsidRPr="00B33317">
        <w:rPr>
          <w:sz w:val="20"/>
          <w:szCs w:val="20"/>
          <w:lang w:val="es-ES_tradnl"/>
        </w:rPr>
        <w:t>Expediente digital, archivo “</w:t>
      </w:r>
      <w:r w:rsidRPr="00B33317">
        <w:rPr>
          <w:sz w:val="20"/>
          <w:szCs w:val="20"/>
        </w:rPr>
        <w:t>RE0000388-Peticiones y Otros-(2026-01-13 20-22-07).pdf”</w:t>
      </w:r>
    </w:p>
  </w:footnote>
  <w:footnote w:id="7">
    <w:p w14:paraId="5CBD448C" w14:textId="77777777" w:rsidR="008F14A4" w:rsidRPr="00B33317" w:rsidRDefault="008F14A4" w:rsidP="006672D4">
      <w:pPr>
        <w:spacing w:line="0" w:lineRule="atLeast"/>
        <w:jc w:val="both"/>
        <w:rPr>
          <w:sz w:val="20"/>
          <w:szCs w:val="20"/>
        </w:rPr>
      </w:pPr>
      <w:r w:rsidRPr="00B33317">
        <w:rPr>
          <w:rStyle w:val="Refdenotaalpie"/>
          <w:sz w:val="20"/>
          <w:szCs w:val="20"/>
        </w:rPr>
        <w:footnoteRef/>
      </w:r>
      <w:r w:rsidRPr="00B33317">
        <w:rPr>
          <w:sz w:val="20"/>
          <w:szCs w:val="20"/>
        </w:rPr>
        <w:t xml:space="preserve"> </w:t>
      </w:r>
      <w:r w:rsidRPr="00B33317">
        <w:rPr>
          <w:sz w:val="20"/>
          <w:szCs w:val="20"/>
          <w:lang w:val="es-ES_tradnl"/>
        </w:rPr>
        <w:t>Expediente digital, archivo “</w:t>
      </w:r>
      <w:r w:rsidRPr="00B33317">
        <w:rPr>
          <w:sz w:val="20"/>
          <w:szCs w:val="20"/>
        </w:rPr>
        <w:t>RE0000388-Peticiones y Otros-(2026-01-15 09-52-06).pdf”</w:t>
      </w:r>
    </w:p>
  </w:footnote>
  <w:footnote w:id="8">
    <w:p w14:paraId="63FBA159" w14:textId="77777777" w:rsidR="008F14A4" w:rsidRPr="00B33317" w:rsidRDefault="008F14A4" w:rsidP="006672D4">
      <w:pPr>
        <w:spacing w:line="0" w:lineRule="atLeast"/>
        <w:jc w:val="both"/>
        <w:rPr>
          <w:sz w:val="20"/>
          <w:szCs w:val="20"/>
        </w:rPr>
      </w:pPr>
      <w:r w:rsidRPr="00B33317">
        <w:rPr>
          <w:rStyle w:val="Refdenotaalpie"/>
          <w:sz w:val="20"/>
          <w:szCs w:val="20"/>
        </w:rPr>
        <w:footnoteRef/>
      </w:r>
      <w:r w:rsidRPr="00B33317">
        <w:rPr>
          <w:sz w:val="20"/>
          <w:szCs w:val="20"/>
        </w:rPr>
        <w:t xml:space="preserve"> </w:t>
      </w:r>
      <w:r w:rsidRPr="00B33317">
        <w:rPr>
          <w:sz w:val="20"/>
          <w:szCs w:val="20"/>
          <w:lang w:val="es-ES_tradnl"/>
        </w:rPr>
        <w:t>Expediente digital, archivos “</w:t>
      </w:r>
      <w:r w:rsidRPr="00B33317">
        <w:rPr>
          <w:sz w:val="20"/>
          <w:szCs w:val="20"/>
        </w:rPr>
        <w:t xml:space="preserve">RE0000388-Peticiones y Otros-(2026-01-16 10-17-41).pdf” y “RE0000388-Peticiones y Otros-(2026-01-16 10-26-37).pdf”. </w:t>
      </w:r>
    </w:p>
  </w:footnote>
  <w:footnote w:id="9">
    <w:p w14:paraId="4769C227" w14:textId="77777777" w:rsidR="008F14A4" w:rsidRPr="00B33317" w:rsidRDefault="008F14A4" w:rsidP="006672D4">
      <w:pPr>
        <w:jc w:val="both"/>
        <w:rPr>
          <w:sz w:val="20"/>
          <w:szCs w:val="20"/>
        </w:rPr>
      </w:pPr>
      <w:r w:rsidRPr="00B33317">
        <w:rPr>
          <w:rStyle w:val="Refdenotaalpie"/>
          <w:sz w:val="20"/>
          <w:szCs w:val="20"/>
        </w:rPr>
        <w:footnoteRef/>
      </w:r>
      <w:r w:rsidRPr="00B33317">
        <w:rPr>
          <w:sz w:val="20"/>
          <w:szCs w:val="20"/>
        </w:rPr>
        <w:t xml:space="preserve"> Expediente digital, archivo “RE0000388-Peticiones y Otros-(2026-01-27 10-02-38).pdf”</w:t>
      </w:r>
    </w:p>
  </w:footnote>
  <w:footnote w:id="10">
    <w:p w14:paraId="3F4A1E72" w14:textId="77777777" w:rsidR="008F14A4" w:rsidRPr="00B33317" w:rsidRDefault="008F14A4" w:rsidP="006672D4">
      <w:pPr>
        <w:jc w:val="both"/>
        <w:rPr>
          <w:sz w:val="20"/>
          <w:szCs w:val="20"/>
        </w:rPr>
      </w:pPr>
      <w:r w:rsidRPr="00B33317">
        <w:rPr>
          <w:rStyle w:val="Refdenotaalpie"/>
          <w:sz w:val="20"/>
          <w:szCs w:val="20"/>
        </w:rPr>
        <w:footnoteRef/>
      </w:r>
      <w:r w:rsidRPr="00B33317">
        <w:rPr>
          <w:sz w:val="20"/>
          <w:szCs w:val="20"/>
        </w:rPr>
        <w:t xml:space="preserve"> Expediente digital, archivo “RE0000388-Peticiones y Otros-(2026-01-27 08-17-48).pdf”. </w:t>
      </w:r>
    </w:p>
  </w:footnote>
  <w:footnote w:id="11">
    <w:p w14:paraId="197ED1CF" w14:textId="77777777" w:rsidR="008F14A4" w:rsidRPr="00B33317" w:rsidRDefault="008F14A4" w:rsidP="006672D4">
      <w:pPr>
        <w:spacing w:line="0" w:lineRule="atLeast"/>
        <w:jc w:val="both"/>
        <w:rPr>
          <w:sz w:val="20"/>
          <w:szCs w:val="20"/>
        </w:rPr>
      </w:pPr>
      <w:r w:rsidRPr="00B33317">
        <w:rPr>
          <w:rStyle w:val="Refdenotaalpie"/>
          <w:sz w:val="20"/>
          <w:szCs w:val="20"/>
        </w:rPr>
        <w:footnoteRef/>
      </w:r>
      <w:r w:rsidRPr="00B33317">
        <w:rPr>
          <w:sz w:val="20"/>
          <w:szCs w:val="20"/>
        </w:rPr>
        <w:t xml:space="preserve"> </w:t>
      </w:r>
      <w:r w:rsidRPr="00B33317">
        <w:rPr>
          <w:sz w:val="20"/>
          <w:szCs w:val="20"/>
          <w:lang w:val="es-ES_tradnl"/>
        </w:rPr>
        <w:t>Expediente digital, archivo “</w:t>
      </w:r>
      <w:r w:rsidRPr="00B33317">
        <w:rPr>
          <w:sz w:val="20"/>
          <w:szCs w:val="20"/>
        </w:rPr>
        <w:t xml:space="preserve">RE0000388-Conceptos e Intervenciones-(2026-01-21 18-07-39).pdf”. </w:t>
      </w:r>
    </w:p>
  </w:footnote>
  <w:footnote w:id="12">
    <w:p w14:paraId="3143B63C" w14:textId="77777777" w:rsidR="008F14A4" w:rsidRPr="00B33317" w:rsidRDefault="008F14A4" w:rsidP="006672D4">
      <w:pPr>
        <w:jc w:val="both"/>
        <w:rPr>
          <w:sz w:val="20"/>
          <w:szCs w:val="20"/>
        </w:rPr>
      </w:pPr>
      <w:r w:rsidRPr="00B33317">
        <w:rPr>
          <w:rStyle w:val="Refdenotaalpie"/>
          <w:sz w:val="20"/>
          <w:szCs w:val="20"/>
        </w:rPr>
        <w:footnoteRef/>
      </w:r>
      <w:r w:rsidRPr="00B33317">
        <w:rPr>
          <w:sz w:val="20"/>
          <w:szCs w:val="20"/>
        </w:rPr>
        <w:t xml:space="preserve"> Expediente digital, archivo “RE0000388-Peticiones y Otros-(2026-01-23 08-25-11).pdf”. </w:t>
      </w:r>
    </w:p>
  </w:footnote>
  <w:footnote w:id="13">
    <w:p w14:paraId="69002DB5" w14:textId="77777777"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Expediente digital, archivo “RE0000388-Pruebas del Expediente (Recepción y Paso al Despacho)-(2026-01-22 20-19-17).pdf”. </w:t>
      </w:r>
    </w:p>
  </w:footnote>
  <w:footnote w:id="14">
    <w:p w14:paraId="46E65C55" w14:textId="77777777"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Expediente digital, archivo “RE0000388-Peticiones y Otros-(2026-01-29 12-15-40).pdf”. </w:t>
      </w:r>
    </w:p>
  </w:footnote>
  <w:footnote w:id="15">
    <w:p w14:paraId="5DE88331" w14:textId="29BE79FA" w:rsidR="008F14A4" w:rsidRPr="00C04588" w:rsidRDefault="008F14A4" w:rsidP="00C04588">
      <w:pPr>
        <w:pStyle w:val="Textonotapie"/>
        <w:jc w:val="both"/>
      </w:pPr>
      <w:r w:rsidRPr="00C04588">
        <w:rPr>
          <w:rStyle w:val="Refdenotaalpie"/>
        </w:rPr>
        <w:footnoteRef/>
      </w:r>
      <w:r w:rsidRPr="00C04588">
        <w:t xml:space="preserve"> Expediente digital, archivo “RE0000388-Auto Decide Nulidad o Aclaración-(2026-02-02 08-12-53).pdf”. </w:t>
      </w:r>
    </w:p>
  </w:footnote>
  <w:footnote w:id="16">
    <w:p w14:paraId="7CC2AFAF" w14:textId="0F42D245" w:rsidR="003C0E8D" w:rsidRPr="00E144AD" w:rsidRDefault="003C0E8D" w:rsidP="00E144AD">
      <w:pPr>
        <w:jc w:val="both"/>
        <w:rPr>
          <w:sz w:val="20"/>
          <w:szCs w:val="20"/>
        </w:rPr>
      </w:pPr>
      <w:r w:rsidRPr="008B061B">
        <w:rPr>
          <w:rStyle w:val="Refdenotaalpie"/>
          <w:sz w:val="20"/>
          <w:szCs w:val="20"/>
        </w:rPr>
        <w:footnoteRef/>
      </w:r>
      <w:r w:rsidRPr="008B061B">
        <w:rPr>
          <w:sz w:val="20"/>
          <w:szCs w:val="20"/>
        </w:rPr>
        <w:t xml:space="preserve"> </w:t>
      </w:r>
      <w:r w:rsidR="00E144AD" w:rsidRPr="008B061B">
        <w:rPr>
          <w:sz w:val="20"/>
          <w:szCs w:val="20"/>
        </w:rPr>
        <w:t>De conformidad con el Auto 082 de 2026, esta corporación estableció que: “</w:t>
      </w:r>
      <w:r w:rsidR="00E144AD" w:rsidRPr="008B061B">
        <w:rPr>
          <w:sz w:val="20"/>
          <w:szCs w:val="20"/>
          <w:shd w:val="clear" w:color="auto" w:fill="FFFFFF"/>
        </w:rPr>
        <w:t>En cambio, y sin que ello implique un juicio anticipado sobre su validez material, la suspensión provisional del decreto declaratorio hace posible una intervención temprana, general y </w:t>
      </w:r>
      <w:r w:rsidR="00E144AD" w:rsidRPr="008B061B">
        <w:rPr>
          <w:iCs/>
          <w:sz w:val="20"/>
          <w:szCs w:val="20"/>
          <w:shd w:val="clear" w:color="auto" w:fill="FFFFFF"/>
        </w:rPr>
        <w:t>erga omnes</w:t>
      </w:r>
      <w:r w:rsidR="00E144AD" w:rsidRPr="008B061B">
        <w:rPr>
          <w:sz w:val="20"/>
          <w:szCs w:val="20"/>
          <w:shd w:val="clear" w:color="auto" w:fill="FFFFFF"/>
        </w:rPr>
        <w:t xml:space="preserve">, que evita la consolidación de efectos derivados de un acto que podría alterar de manera sustancial el reparto de competencias entre las ramas del poder público y restringir el espacio deliberativo propio del principio democrático”. </w:t>
      </w:r>
    </w:p>
  </w:footnote>
  <w:footnote w:id="17">
    <w:p w14:paraId="461F4E18" w14:textId="4529FF31" w:rsidR="008F14A4" w:rsidRPr="00C04588" w:rsidRDefault="008F14A4" w:rsidP="00C04588">
      <w:pPr>
        <w:pStyle w:val="Textonotapie"/>
        <w:jc w:val="both"/>
      </w:pPr>
      <w:r w:rsidRPr="00C04588">
        <w:rPr>
          <w:rStyle w:val="Refdenotaalpie"/>
        </w:rPr>
        <w:footnoteRef/>
      </w:r>
      <w:r w:rsidRPr="00C04588">
        <w:t xml:space="preserve"> Por medio del cual se ordenó la suspensión provisional de los efectos del Decreto Legislativo 1390 de 2025 “[p]or el cual se declara el Estado de Emergencia Económica y Social en todo el territorio nacional”. </w:t>
      </w:r>
    </w:p>
  </w:footnote>
  <w:footnote w:id="18">
    <w:p w14:paraId="3A03C9C2" w14:textId="77777777" w:rsidR="008F14A4" w:rsidRPr="00C04588" w:rsidRDefault="008F14A4" w:rsidP="00C04588">
      <w:pPr>
        <w:pStyle w:val="Textonotapie"/>
        <w:jc w:val="both"/>
      </w:pPr>
      <w:r w:rsidRPr="00C04588">
        <w:rPr>
          <w:rStyle w:val="Refdenotaalpie"/>
        </w:rPr>
        <w:footnoteRef/>
      </w:r>
      <w:r w:rsidRPr="00C04588">
        <w:t xml:space="preserve"> Comunicado de prensa n.° 01 del 29 de enero de 2026. Disponible en: </w:t>
      </w:r>
      <w:hyperlink r:id="rId1" w:history="1">
        <w:r w:rsidRPr="00C04588">
          <w:rPr>
            <w:rStyle w:val="Hipervnculo"/>
            <w:color w:val="auto"/>
          </w:rPr>
          <w:t>https://www.corteconstitucional.gov.co/comunicados/Comunicado-01-Enero-29-de-2026</w:t>
        </w:r>
      </w:hyperlink>
      <w:r w:rsidRPr="00C04588">
        <w:t xml:space="preserve">. </w:t>
      </w:r>
    </w:p>
  </w:footnote>
  <w:footnote w:id="19">
    <w:p w14:paraId="53341BB8" w14:textId="06B9B31E"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 los siguientes enlaces: </w:t>
      </w:r>
      <w:hyperlink r:id="rId2" w:history="1">
        <w:r w:rsidRPr="00C04588">
          <w:rPr>
            <w:rStyle w:val="Hipervnculo"/>
            <w:color w:val="auto"/>
          </w:rPr>
          <w:t>https://www.corteconstitucional.gov.co/secretaria/archivo.php?id=135930</w:t>
        </w:r>
      </w:hyperlink>
      <w:r w:rsidRPr="00C04588">
        <w:t>y</w:t>
      </w:r>
      <w:hyperlink r:id="rId3" w:history="1">
        <w:r w:rsidRPr="00C04588">
          <w:rPr>
            <w:rStyle w:val="Hipervnculo"/>
            <w:color w:val="auto"/>
          </w:rPr>
          <w:t>https://www.corteconstitucional.gov.co/secretaria/archivo.php?id=136925</w:t>
        </w:r>
      </w:hyperlink>
      <w:r w:rsidRPr="00C04588">
        <w:t xml:space="preserve">. </w:t>
      </w:r>
    </w:p>
  </w:footnote>
  <w:footnote w:id="20">
    <w:p w14:paraId="7FB2C37C" w14:textId="255EC001"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4" w:history="1">
        <w:r w:rsidRPr="00C04588">
          <w:rPr>
            <w:rStyle w:val="Hipervnculo"/>
            <w:color w:val="auto"/>
          </w:rPr>
          <w:t>https://www.corteconstitucional.gov.co/secretaria/archivo.php?id=136016</w:t>
        </w:r>
      </w:hyperlink>
      <w:r w:rsidRPr="00C04588">
        <w:t xml:space="preserve"> </w:t>
      </w:r>
    </w:p>
  </w:footnote>
  <w:footnote w:id="21">
    <w:p w14:paraId="22A7F0AB" w14:textId="6762A307"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5" w:history="1">
        <w:r w:rsidRPr="00C04588">
          <w:rPr>
            <w:rStyle w:val="Hipervnculo"/>
            <w:color w:val="auto"/>
          </w:rPr>
          <w:t>https://www.corteconstitucional.gov.co/secretaria/archivo.php?id=136259</w:t>
        </w:r>
      </w:hyperlink>
      <w:r w:rsidRPr="00C04588">
        <w:t xml:space="preserve"> </w:t>
      </w:r>
    </w:p>
  </w:footnote>
  <w:footnote w:id="22">
    <w:p w14:paraId="0AE3BF34" w14:textId="41F56C49"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6" w:history="1">
        <w:r w:rsidRPr="00C04588">
          <w:rPr>
            <w:rStyle w:val="Hipervnculo"/>
            <w:color w:val="auto"/>
          </w:rPr>
          <w:t>https://www.corteconstitucional.gov.co/secretaria/archivo.php?id=136273</w:t>
        </w:r>
      </w:hyperlink>
      <w:r w:rsidRPr="00C04588">
        <w:t xml:space="preserve"> </w:t>
      </w:r>
    </w:p>
  </w:footnote>
  <w:footnote w:id="23">
    <w:p w14:paraId="7511F8D5" w14:textId="000BAD4B"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7" w:history="1">
        <w:r w:rsidRPr="00C04588">
          <w:rPr>
            <w:rStyle w:val="Hipervnculo"/>
            <w:color w:val="auto"/>
          </w:rPr>
          <w:t>https://www.corteconstitucional.gov.co/secretaria/archivo.php?id=136274</w:t>
        </w:r>
      </w:hyperlink>
      <w:r w:rsidRPr="00C04588">
        <w:t xml:space="preserve"> </w:t>
      </w:r>
    </w:p>
  </w:footnote>
  <w:footnote w:id="24">
    <w:p w14:paraId="7A888CEA" w14:textId="2E2293CB"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 los siguientes enlaces: </w:t>
      </w:r>
      <w:hyperlink r:id="rId8" w:history="1">
        <w:r w:rsidRPr="00C04588">
          <w:rPr>
            <w:rStyle w:val="Hipervnculo"/>
            <w:color w:val="auto"/>
          </w:rPr>
          <w:t>https://www.corteconstitucional.gov.co/secretaria/archivo.php?id=136276</w:t>
        </w:r>
      </w:hyperlink>
      <w:r w:rsidRPr="00C04588">
        <w:t>;</w:t>
      </w:r>
      <w:hyperlink r:id="rId9" w:history="1">
        <w:r w:rsidRPr="00C04588">
          <w:rPr>
            <w:rStyle w:val="Hipervnculo"/>
            <w:color w:val="auto"/>
          </w:rPr>
          <w:t>https://www.corteconstitucional.gov.co/secretaria/archivo.php?id=136331</w:t>
        </w:r>
      </w:hyperlink>
      <w:r w:rsidRPr="00C04588">
        <w:t>y</w:t>
      </w:r>
      <w:hyperlink r:id="rId10" w:history="1">
        <w:r w:rsidRPr="00C04588">
          <w:rPr>
            <w:rStyle w:val="Hipervnculo"/>
            <w:color w:val="auto"/>
          </w:rPr>
          <w:t>https://www.corteconstitucional.gov.co/secretaria/archivo.php?id=136421</w:t>
        </w:r>
      </w:hyperlink>
    </w:p>
  </w:footnote>
  <w:footnote w:id="25">
    <w:p w14:paraId="1DFD2C83" w14:textId="4A78604C"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11" w:history="1">
        <w:r w:rsidRPr="00C04588">
          <w:rPr>
            <w:rStyle w:val="Hipervnculo"/>
            <w:color w:val="auto"/>
          </w:rPr>
          <w:t>https://www.corteconstitucional.gov.co/secretaria/archivo.php?id=136277</w:t>
        </w:r>
      </w:hyperlink>
      <w:r w:rsidRPr="00C04588">
        <w:t xml:space="preserve"> </w:t>
      </w:r>
    </w:p>
  </w:footnote>
  <w:footnote w:id="26">
    <w:p w14:paraId="1B198F25" w14:textId="77C11B64"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12" w:history="1">
        <w:r w:rsidRPr="00C04588">
          <w:rPr>
            <w:rStyle w:val="Hipervnculo"/>
            <w:color w:val="auto"/>
          </w:rPr>
          <w:t>https://www.corteconstitucional.gov.co/secretaria/archivo.php?id=136278</w:t>
        </w:r>
      </w:hyperlink>
      <w:r w:rsidRPr="00C04588">
        <w:t xml:space="preserve"> </w:t>
      </w:r>
    </w:p>
  </w:footnote>
  <w:footnote w:id="27">
    <w:p w14:paraId="12DF7AD6" w14:textId="67B57BE7"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13" w:history="1">
        <w:r w:rsidRPr="00C04588">
          <w:rPr>
            <w:rStyle w:val="Hipervnculo"/>
            <w:color w:val="auto"/>
          </w:rPr>
          <w:t>https://www.corteconstitucional.gov.co/secretaria/archivo.php?id=136368</w:t>
        </w:r>
      </w:hyperlink>
      <w:r w:rsidRPr="00C04588">
        <w:t xml:space="preserve"> </w:t>
      </w:r>
    </w:p>
  </w:footnote>
  <w:footnote w:id="28">
    <w:p w14:paraId="1A41AF37" w14:textId="11FF1F8F"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14" w:history="1">
        <w:r w:rsidRPr="00C04588">
          <w:rPr>
            <w:rStyle w:val="Hipervnculo"/>
            <w:color w:val="auto"/>
          </w:rPr>
          <w:t>https://www.corteconstitucional.gov.co/secretaria/archivo.php?id=136809</w:t>
        </w:r>
      </w:hyperlink>
      <w:r w:rsidRPr="00C04588">
        <w:t xml:space="preserve"> </w:t>
      </w:r>
    </w:p>
  </w:footnote>
  <w:footnote w:id="29">
    <w:p w14:paraId="2EA31CA0" w14:textId="450F21F8"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15" w:history="1">
        <w:r w:rsidRPr="00C04588">
          <w:rPr>
            <w:rStyle w:val="Hipervnculo"/>
            <w:color w:val="auto"/>
          </w:rPr>
          <w:t>https://www.corteconstitucional.gov.co/secretaria/archivo.php?id=137364</w:t>
        </w:r>
      </w:hyperlink>
      <w:r w:rsidRPr="00C04588">
        <w:t xml:space="preserve"> </w:t>
      </w:r>
    </w:p>
  </w:footnote>
  <w:footnote w:id="30">
    <w:p w14:paraId="43E69568" w14:textId="5FC05A17"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16" w:history="1">
        <w:r w:rsidRPr="00C04588">
          <w:rPr>
            <w:rStyle w:val="Hipervnculo"/>
            <w:color w:val="auto"/>
          </w:rPr>
          <w:t>https://www.corteconstitucional.gov.co/secretaria/archivo.php?id=137428</w:t>
        </w:r>
      </w:hyperlink>
      <w:r w:rsidRPr="00C04588">
        <w:t xml:space="preserve"> </w:t>
      </w:r>
    </w:p>
  </w:footnote>
  <w:footnote w:id="31">
    <w:p w14:paraId="24E4E146" w14:textId="19B10AFA" w:rsidR="008F14A4" w:rsidRPr="00C04588" w:rsidRDefault="008F14A4" w:rsidP="00C04588">
      <w:pPr>
        <w:pStyle w:val="Textonotapie"/>
        <w:jc w:val="both"/>
      </w:pPr>
      <w:r w:rsidRPr="00C04588">
        <w:rPr>
          <w:rStyle w:val="Refdenotaalpie"/>
        </w:rPr>
        <w:footnoteRef/>
      </w:r>
      <w:r w:rsidRPr="00C04588">
        <w:t xml:space="preserve"> Para consultar la totalidad del informe se puede acceder al mismo por medio del siguiente enlace: </w:t>
      </w:r>
      <w:hyperlink r:id="rId17" w:history="1">
        <w:r w:rsidRPr="00C04588">
          <w:rPr>
            <w:rStyle w:val="Hipervnculo"/>
            <w:color w:val="auto"/>
          </w:rPr>
          <w:t>https://www.corteconstitucional.gov.co/secretaria/archivo.php?id=140655</w:t>
        </w:r>
      </w:hyperlink>
      <w:r w:rsidRPr="00C04588">
        <w:t xml:space="preserve"> </w:t>
      </w:r>
    </w:p>
  </w:footnote>
  <w:footnote w:id="32">
    <w:p w14:paraId="7506FAE1" w14:textId="16792D53" w:rsidR="008F14A4" w:rsidRPr="00C04588" w:rsidRDefault="008F14A4" w:rsidP="00C04588">
      <w:pPr>
        <w:pStyle w:val="Textonotapie"/>
        <w:jc w:val="both"/>
        <w:rPr>
          <w:lang w:val="es-ES_tradnl"/>
        </w:rPr>
      </w:pPr>
      <w:r w:rsidRPr="00C04588">
        <w:rPr>
          <w:rStyle w:val="Refdenotaalpie"/>
        </w:rPr>
        <w:footnoteRef/>
      </w:r>
      <w:r w:rsidRPr="00C04588">
        <w:t xml:space="preserve"> Para consultar la totalidad del concepto se puede acceder al mismo por medio del siguiente enlace: </w:t>
      </w:r>
      <w:hyperlink r:id="rId18" w:history="1">
        <w:r w:rsidRPr="00C04588">
          <w:rPr>
            <w:rStyle w:val="Hipervnculo"/>
            <w:color w:val="auto"/>
          </w:rPr>
          <w:t>https://www.corteconstitucional.gov.co/secretaria/archivo.php?id=143785</w:t>
        </w:r>
      </w:hyperlink>
      <w:r w:rsidRPr="00C04588">
        <w:t xml:space="preserve">. La intervención está suscrita por: Augusto Alfonso Ocampo Camacho, secretario jurídico de la Presidencia de la República; Juan Gabriel Durán Sánchez, director técnico de la Dirección Jurídica del Ministerio del Interior; Uberney Marín Villada, jefe de la Oficina Asesora Jurídica Interna del Ministerio de Relaciones Exteriores; Rosa Dory Chaparro Espinosa, jefe de la Oficina Asesora Jurídica del Ministerio de Hacienda y Crédito Público; John Jairo Guzmán Benítez, director técnico de la Dirección de Desarrollo del Derecho y del Ordenamiento Jurídico del Ministerio de Justicia y del Derecho; Daniel González Martínez, director del sector defensa (e) de la Dirección de Asuntos Legales del Ministerio de Defensa; Jorge Enrique Moncaleano Ospina, jefe de la Oficina Asesora Jurídica del Ministerio de Agricultura y Desarrollo Rural; Rodolfo Enrique Salas Figueroa, director técnico de la Dirección Jurídica del Ministerio de Salud y Protección Social; Camila Andrea Bohorquez Rueda, jefe de la Oficina Asesora Jurídica del Ministerio del Trabajo; Daniel Augusto Jorge El Saieh Sánchez, jefe de la Oficina Asesora Jurídica del Ministerio de Minas y Energía; Mónica Fernanda Yajaira Leonel Martínez, jefe de la Oficina Asesora Jurídica del Ministerio de Comercio, Industria y Turismo; William Felipe Hurtado Quintero, jefe de la Oficina Asesora Jurídica del Ministerio de Educación Nacional; Laura Camila Ramos Díaz, jefe de la Oficina Asesora Jurídica del Ministerio de Ambiente y Desarrollo Sostenible; Rodrigo Andrés Bernal Montero, jefe de la Oficina Asesora (e) del Ministerio de Vivienda, Ciudad y Territorio; Ruby Ruth Ramírez Medina, directora técnica de la Dirección Jurídica del Ministerio de Tecnologías de la Información y las Comunicaciones; Óscar Javier Fonseca Gómez, jefe de la Oficina Asesora Jurídica del Ministerio de las Culturas, las Artes y los Saberes; Tibisay Cartagena Revueltas, jefe de la Oficina Asesora Jurídica del Ministerio del Deporte; Andrés Felipe Valencia López, jefe de la Oficina Asesora Jurídica del Ministerio de Ciencia, Tecnología e Innovación; Axcan Duque Gámez, jefe de la Oficina Asesora Jurídica del Ministerio de Igualdad y Equidad y Francisco Julio Taborda Ocampo, jefe de la Oficina Asesora Jurídica del Ministerio de Transporte. </w:t>
      </w:r>
    </w:p>
  </w:footnote>
  <w:footnote w:id="33">
    <w:p w14:paraId="0BEF3250" w14:textId="4E861400" w:rsidR="008F14A4" w:rsidRPr="00C04588" w:rsidRDefault="008F14A4" w:rsidP="00C04588">
      <w:pPr>
        <w:pStyle w:val="Textonotapie"/>
        <w:jc w:val="both"/>
        <w:rPr>
          <w:lang w:val="es-ES_tradnl"/>
        </w:rPr>
      </w:pPr>
      <w:r w:rsidRPr="00C04588">
        <w:rPr>
          <w:rStyle w:val="Refdenotaalpie"/>
        </w:rPr>
        <w:footnoteRef/>
      </w:r>
      <w:r w:rsidRPr="00C04588">
        <w:t xml:space="preserve"> Estas peticiones fueron presentadas antes de la notificación del Auto 084 de 2026. Las solicitudes están disponibles, respectivamente, en los siguientes enlaces: </w:t>
      </w:r>
      <w:hyperlink r:id="rId19" w:history="1">
        <w:r w:rsidRPr="00C04588">
          <w:rPr>
            <w:rStyle w:val="Hipervnculo"/>
            <w:color w:val="auto"/>
          </w:rPr>
          <w:t>https://www.corteconstitucional.gov.co/secretaria/archivo.php?id=137753</w:t>
        </w:r>
      </w:hyperlink>
      <w:r w:rsidRPr="00C04588">
        <w:t>,</w:t>
      </w:r>
      <w:hyperlink r:id="rId20" w:history="1">
        <w:r w:rsidRPr="00C04588">
          <w:rPr>
            <w:rStyle w:val="Hipervnculo"/>
            <w:color w:val="auto"/>
          </w:rPr>
          <w:t>https://www.corteconstitucional.gov.co/secretaria/archivo.php?id=140924</w:t>
        </w:r>
      </w:hyperlink>
      <w:r w:rsidRPr="00C04588">
        <w:t>y</w:t>
      </w:r>
      <w:hyperlink r:id="rId21" w:history="1">
        <w:r w:rsidRPr="00C04588">
          <w:rPr>
            <w:rStyle w:val="Hipervnculo"/>
            <w:color w:val="auto"/>
          </w:rPr>
          <w:t>https://www.corteconstitucional.gov.co/secretaria/archivo.php?id=143785</w:t>
        </w:r>
      </w:hyperlink>
      <w:r w:rsidRPr="00C04588">
        <w:t xml:space="preserve">. </w:t>
      </w:r>
    </w:p>
  </w:footnote>
  <w:footnote w:id="34">
    <w:p w14:paraId="05CF61A0" w14:textId="52974AF2" w:rsidR="008F14A4" w:rsidRPr="00C04588" w:rsidRDefault="008F14A4" w:rsidP="00C04588">
      <w:pPr>
        <w:pStyle w:val="Textonotapie"/>
        <w:jc w:val="both"/>
      </w:pPr>
      <w:r w:rsidRPr="00C04588">
        <w:rPr>
          <w:rStyle w:val="Refdenotaalpie"/>
        </w:rPr>
        <w:footnoteRef/>
      </w:r>
      <w:r w:rsidRPr="00C04588">
        <w:t xml:space="preserve"> También puede consultarse en: </w:t>
      </w:r>
      <w:hyperlink r:id="rId22" w:history="1">
        <w:r w:rsidRPr="00C04588">
          <w:rPr>
            <w:rStyle w:val="Hipervnculo"/>
            <w:color w:val="auto"/>
          </w:rPr>
          <w:t>https://www.corteconstitucional.gov.co/secretaria/archivo.php?id=134270</w:t>
        </w:r>
      </w:hyperlink>
      <w:r w:rsidRPr="00C04588">
        <w:t xml:space="preserve"> </w:t>
      </w:r>
    </w:p>
  </w:footnote>
  <w:footnote w:id="35">
    <w:p w14:paraId="3681F1F5" w14:textId="784ADC96"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w:t>
      </w:r>
      <w:r w:rsidRPr="00C04588">
        <w:rPr>
          <w:rStyle w:val="normaltextrun"/>
          <w:sz w:val="20"/>
          <w:szCs w:val="20"/>
          <w:shd w:val="clear" w:color="auto" w:fill="FFFFFF"/>
        </w:rPr>
        <w:t>Aseguró que, desde la perspectiva económica y de hacienda pública, las causas que justifican la expedición de las medidas tributarias extraordinarias contenidas en el DL1474 son estructurales y previsibles. Lo anterior, en la medida en la que ninguna de las causas invocadas por el gobierno nacional tanto en la norma bajo estudio como en el DL1390 cumplen con los criterios económicos de imprevisibilidad, exogeneidad y materialidad. </w:t>
      </w:r>
      <w:r w:rsidRPr="00C04588">
        <w:rPr>
          <w:rStyle w:val="eop"/>
          <w:sz w:val="20"/>
          <w:szCs w:val="20"/>
          <w:shd w:val="clear" w:color="auto" w:fill="FFFFFF"/>
        </w:rPr>
        <w:t> </w:t>
      </w:r>
      <w:r w:rsidRPr="00C04588">
        <w:rPr>
          <w:sz w:val="20"/>
          <w:szCs w:val="20"/>
        </w:rPr>
        <w:t xml:space="preserve">Para consultar la totalidad del concepto se puede acceder al mismo por medio del siguiente enlace: </w:t>
      </w:r>
      <w:hyperlink r:id="rId23" w:history="1">
        <w:r w:rsidRPr="00C04588">
          <w:rPr>
            <w:rStyle w:val="Hipervnculo"/>
            <w:color w:val="auto"/>
            <w:sz w:val="20"/>
            <w:szCs w:val="20"/>
          </w:rPr>
          <w:t>https://www.corteconstitucional.gov.co/secretaria/archivo.php?id=141593</w:t>
        </w:r>
      </w:hyperlink>
      <w:r w:rsidRPr="00C04588">
        <w:rPr>
          <w:sz w:val="20"/>
          <w:szCs w:val="20"/>
        </w:rPr>
        <w:t xml:space="preserve"> </w:t>
      </w:r>
    </w:p>
  </w:footnote>
  <w:footnote w:id="36">
    <w:p w14:paraId="59CECE62" w14:textId="128B182E"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w:t>
      </w:r>
      <w:r w:rsidRPr="00C04588">
        <w:rPr>
          <w:rStyle w:val="normaltextrun"/>
          <w:sz w:val="20"/>
          <w:szCs w:val="20"/>
          <w:bdr w:val="none" w:sz="0" w:space="0" w:color="auto" w:frame="1"/>
        </w:rPr>
        <w:t xml:space="preserve">Señaló que ninguna de las causas identificadas tanto en el DL1390 como en el DL1474 corresponden a hechos sobrevinientes que justifiquen constitucionalmente la implementación de medidas impositivas por parte del gobierno nacional. Y, en ese sentido, las disposiciones contenidas en el decreto legislativo objeto de examen no cuentan con justificación suficiente y desconocen la reserva de ley en materia tributaria y la facultad legislativa en cabeza del Congreso de la República. </w:t>
      </w:r>
      <w:r w:rsidRPr="00C04588">
        <w:rPr>
          <w:sz w:val="20"/>
          <w:szCs w:val="20"/>
        </w:rPr>
        <w:t xml:space="preserve">Para consultar la totalidad del informe se puede acceder al mismo por medio del siguiente enlace: </w:t>
      </w:r>
      <w:hyperlink r:id="rId24" w:history="1">
        <w:r w:rsidRPr="00C04588">
          <w:rPr>
            <w:rStyle w:val="Hipervnculo"/>
            <w:color w:val="auto"/>
            <w:sz w:val="20"/>
            <w:szCs w:val="20"/>
          </w:rPr>
          <w:t>https://www.corteconstitucional.gov.co/secretaria/archivo.php?id=141016</w:t>
        </w:r>
      </w:hyperlink>
      <w:r w:rsidRPr="00C04588">
        <w:rPr>
          <w:sz w:val="20"/>
          <w:szCs w:val="20"/>
        </w:rPr>
        <w:t xml:space="preserve"> </w:t>
      </w:r>
    </w:p>
  </w:footnote>
  <w:footnote w:id="37">
    <w:p w14:paraId="71007A52" w14:textId="29428794"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Afirmó que el DL1474 no cumple con el requisito formal de suscripción y no supera los juicios de finalidad, conexidad material, ausencia de arbitrariedad, incompatibilidad y motivación suficiente. Para consultar la totalidad del informe se puede acceder al mismo por medio del siguiente enlace: </w:t>
      </w:r>
      <w:hyperlink r:id="rId25" w:history="1">
        <w:r w:rsidRPr="00C04588">
          <w:rPr>
            <w:rStyle w:val="Hipervnculo"/>
            <w:color w:val="auto"/>
            <w:sz w:val="20"/>
            <w:szCs w:val="20"/>
          </w:rPr>
          <w:t>https://www.corteconstitucional.gov.co/secretaria/archivo.php?id=143147</w:t>
        </w:r>
      </w:hyperlink>
      <w:r w:rsidRPr="00C04588">
        <w:rPr>
          <w:sz w:val="20"/>
          <w:szCs w:val="20"/>
        </w:rPr>
        <w:t xml:space="preserve">. Este concepto está suscrito por Fabio Londoño Gutiérrez, fue elaborado por María Eugenia Sánchez Estrada, Daniel Daza Rivera y Diego Cubillos Pedraza y aprobado pro el Consejo Directivo del ICDT en sesión del 10 de marzo de 2026. También, en el escrito, se deja constancia de que en la aprobación del concepto no participaron Catalina Hoyos Jiménez y Juan Guillermo Ruiz Hurtado, miembros del Consejo Directivo, por encontrase impedidos por un posible conflicto de interés. Adicionalmente, cabe destacar que el ICDT en escrito del 26 de febrero de 2026 solicitó la prórroga del plazo inicialmente otorgada para conceptuar en el proceso de la referencia hasta el 13 de marzo de 2026. El despacho sustanciador accedió a dicha solicitud mediante Auto del 3 de marzo de 2026- Expediente digital, archivo “RE0000388-Autos Varios-(2026-03-05 04-12-19).pdf”. </w:t>
      </w:r>
    </w:p>
  </w:footnote>
  <w:footnote w:id="38">
    <w:p w14:paraId="2CE06EEC" w14:textId="64A802A7"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La Defensoría del Pueblo señaló: </w:t>
      </w:r>
      <w:r w:rsidRPr="00C04588">
        <w:rPr>
          <w:rStyle w:val="normaltextrun"/>
          <w:sz w:val="20"/>
          <w:szCs w:val="20"/>
          <w:shd w:val="clear" w:color="auto" w:fill="FFFFFF"/>
          <w:lang w:val="es-ES"/>
        </w:rPr>
        <w:t>“[d]ebido a la grave amenaza financiera que vive el sistema de salud, la Defensoría solicitó </w:t>
      </w:r>
      <w:r w:rsidRPr="00C04588">
        <w:rPr>
          <w:rStyle w:val="normaltextrun"/>
          <w:bCs/>
          <w:sz w:val="20"/>
          <w:szCs w:val="20"/>
          <w:shd w:val="clear" w:color="auto" w:fill="FFFFFF"/>
          <w:lang w:val="es-ES"/>
        </w:rPr>
        <w:t>declarar la inexequibilidad del Decreto 1390, pero diferir los efectos</w:t>
      </w:r>
      <w:r w:rsidRPr="00C04588">
        <w:rPr>
          <w:rStyle w:val="normaltextrun"/>
          <w:sz w:val="20"/>
          <w:szCs w:val="20"/>
          <w:shd w:val="clear" w:color="auto" w:fill="FFFFFF"/>
          <w:lang w:val="es-ES"/>
        </w:rPr>
        <w:t> de la misma con el propósito de </w:t>
      </w:r>
      <w:r w:rsidRPr="00C04588">
        <w:rPr>
          <w:rStyle w:val="normaltextrun"/>
          <w:bCs/>
          <w:sz w:val="20"/>
          <w:szCs w:val="20"/>
          <w:shd w:val="clear" w:color="auto" w:fill="FFFFFF"/>
          <w:lang w:val="es-ES"/>
        </w:rPr>
        <w:t>extender la vigencia de las medidas tributarias adoptadas en el Decreto 1474 de 2025</w:t>
      </w:r>
      <w:r w:rsidRPr="00C04588">
        <w:rPr>
          <w:rStyle w:val="normaltextrun"/>
          <w:sz w:val="20"/>
          <w:szCs w:val="20"/>
          <w:shd w:val="clear" w:color="auto" w:fill="FFFFFF"/>
          <w:lang w:val="es-ES"/>
        </w:rPr>
        <w:t>,</w:t>
      </w:r>
      <w:r w:rsidRPr="00C04588">
        <w:rPr>
          <w:rStyle w:val="normaltextrun"/>
          <w:bCs/>
          <w:sz w:val="20"/>
          <w:szCs w:val="20"/>
          <w:shd w:val="clear" w:color="auto" w:fill="FFFFFF"/>
          <w:lang w:val="es-ES"/>
        </w:rPr>
        <w:t> con el único objeto de conjurar el agravamiento de los problemas estructurales del sistema de salud. </w:t>
      </w:r>
      <w:r w:rsidRPr="00C04588">
        <w:rPr>
          <w:rStyle w:val="normaltextrun"/>
          <w:sz w:val="20"/>
          <w:szCs w:val="20"/>
          <w:shd w:val="clear" w:color="auto" w:fill="FFFFFF"/>
          <w:lang w:val="es-ES"/>
        </w:rPr>
        <w:t>[…]</w:t>
      </w:r>
      <w:r w:rsidRPr="00C04588">
        <w:rPr>
          <w:rStyle w:val="normaltextrun"/>
          <w:bCs/>
          <w:sz w:val="20"/>
          <w:szCs w:val="20"/>
          <w:shd w:val="clear" w:color="auto" w:fill="FFFFFF"/>
          <w:lang w:val="es-ES"/>
        </w:rPr>
        <w:t> </w:t>
      </w:r>
      <w:r w:rsidRPr="00C04588">
        <w:rPr>
          <w:rStyle w:val="normaltextrun"/>
          <w:sz w:val="20"/>
          <w:szCs w:val="20"/>
          <w:shd w:val="clear" w:color="auto" w:fill="FFFFFF"/>
          <w:lang w:val="es-ES"/>
        </w:rPr>
        <w:t xml:space="preserve">estas medidas tributarias solo pueden destinarse a enfrentar la crisis en salud, especialmente financiar la suficiencia de la UPC y el acceso efectivo de medicamentos y servicios con perspectiva de equidad”. </w:t>
      </w:r>
      <w:r w:rsidRPr="00C04588">
        <w:rPr>
          <w:sz w:val="20"/>
          <w:szCs w:val="20"/>
        </w:rPr>
        <w:t xml:space="preserve">Para consultar la totalidad de la intervención se puede acceder al mismo por medio del siguiente enlace: </w:t>
      </w:r>
      <w:hyperlink r:id="rId26" w:history="1">
        <w:r w:rsidRPr="00C04588">
          <w:rPr>
            <w:rStyle w:val="Hipervnculo"/>
            <w:color w:val="auto"/>
            <w:sz w:val="20"/>
            <w:szCs w:val="20"/>
          </w:rPr>
          <w:t>https://www.corteconstitucional.gov.co/secretaria/archivo.php?id=141045</w:t>
        </w:r>
      </w:hyperlink>
      <w:r w:rsidRPr="00C04588">
        <w:rPr>
          <w:sz w:val="20"/>
          <w:szCs w:val="20"/>
        </w:rPr>
        <w:t xml:space="preserve"> </w:t>
      </w:r>
    </w:p>
  </w:footnote>
  <w:footnote w:id="39">
    <w:p w14:paraId="35A461E1" w14:textId="4C0DDDF1" w:rsidR="008F14A4" w:rsidRPr="00C04588" w:rsidRDefault="008F14A4" w:rsidP="00C04588">
      <w:pPr>
        <w:pStyle w:val="Textonotapie"/>
        <w:jc w:val="both"/>
      </w:pPr>
      <w:r w:rsidRPr="00C04588">
        <w:rPr>
          <w:rStyle w:val="Refdenotaalpie"/>
        </w:rPr>
        <w:footnoteRef/>
      </w:r>
      <w:r w:rsidRPr="00C04588">
        <w:t xml:space="preserve"> Se fijó en el lista el expediente de la referencia entre el 20 y el 26 de febrero de 2026. Luego del vencimiento de dicha etapa procesal, se recibieron escritos de intervención de: (i) Federación Colombiana de Municipios – FEDEMUNICIPIOS; (ii) el segundo escrito de la Fábrica de Licores de Antioquia; (iii) Germán Antonio Núñez Nuvan en representación del Consorcio Jornada Única; (iv) el segundo escrito de la Universidad Sergio Arboleda; (v) la Fundación para el Estado de Derecho</w:t>
      </w:r>
      <w:r>
        <w:t>;</w:t>
      </w:r>
      <w:r w:rsidRPr="00C04588">
        <w:t xml:space="preserve"> (vi) Blanca Stella de García</w:t>
      </w:r>
      <w:r>
        <w:t xml:space="preserve"> y (vii) el quinto escrito de Duverney Ardila Germán de Ribón</w:t>
      </w:r>
      <w:r w:rsidRPr="00C04588">
        <w:t>. Dichas intervenciones no serán tenidas en cuenta por ser extemporáneas.</w:t>
      </w:r>
    </w:p>
  </w:footnote>
  <w:footnote w:id="40">
    <w:p w14:paraId="6F8F8F72" w14:textId="7614E41E"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27" w:history="1">
        <w:r w:rsidRPr="00C04588">
          <w:rPr>
            <w:rStyle w:val="Hipervnculo"/>
            <w:color w:val="auto"/>
          </w:rPr>
          <w:t>https://www.corteconstitucional.gov.co/secretaria/archivo.php?id=136396</w:t>
        </w:r>
      </w:hyperlink>
      <w:r w:rsidRPr="00C04588">
        <w:t xml:space="preserve"> </w:t>
      </w:r>
    </w:p>
  </w:footnote>
  <w:footnote w:id="41">
    <w:p w14:paraId="16B36EC0" w14:textId="3C73E8F1"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28" w:history="1">
        <w:r w:rsidRPr="00C04588">
          <w:rPr>
            <w:rStyle w:val="Hipervnculo"/>
            <w:color w:val="auto"/>
          </w:rPr>
          <w:t>https://www.corteconstitucional.gov.co/secretaria/archivo.php?id=134469</w:t>
        </w:r>
      </w:hyperlink>
      <w:r w:rsidRPr="00C04588">
        <w:t xml:space="preserve"> </w:t>
      </w:r>
    </w:p>
  </w:footnote>
  <w:footnote w:id="42">
    <w:p w14:paraId="23AD56ED" w14:textId="223CB087" w:rsidR="008F14A4" w:rsidRPr="00C04588" w:rsidRDefault="008F14A4" w:rsidP="00C04588">
      <w:pPr>
        <w:pStyle w:val="Textonotapie"/>
        <w:jc w:val="both"/>
      </w:pPr>
      <w:r w:rsidRPr="00C04588">
        <w:rPr>
          <w:rStyle w:val="Refdenotaalpie"/>
        </w:rPr>
        <w:footnoteRef/>
      </w:r>
      <w:r w:rsidRPr="00C04588">
        <w:t xml:space="preserve"> En representación de la empresa Sabajón Ciprés. Para consultar la totalidad del concepto se puede acceder al mismo por medio de los siguientes enlaces: </w:t>
      </w:r>
      <w:hyperlink r:id="rId29" w:history="1">
        <w:r w:rsidRPr="00C04588">
          <w:rPr>
            <w:rStyle w:val="Hipervnculo"/>
            <w:color w:val="auto"/>
          </w:rPr>
          <w:t>https://www.corteconstitucional.gov.co/secretaria/archivo.php?id=134471</w:t>
        </w:r>
      </w:hyperlink>
      <w:r w:rsidRPr="00C04588">
        <w:t>y</w:t>
      </w:r>
      <w:hyperlink r:id="rId30" w:history="1">
        <w:r w:rsidRPr="00C04588">
          <w:rPr>
            <w:rStyle w:val="Hipervnculo"/>
            <w:color w:val="auto"/>
          </w:rPr>
          <w:t>https://www.corteconstitucional.gov.co/secretaria/archivo.php?id=136360</w:t>
        </w:r>
      </w:hyperlink>
      <w:r w:rsidRPr="00C04588">
        <w:t xml:space="preserve">  </w:t>
      </w:r>
    </w:p>
  </w:footnote>
  <w:footnote w:id="43">
    <w:p w14:paraId="700DDFD8" w14:textId="75607621"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31" w:history="1">
        <w:r w:rsidRPr="00C04588">
          <w:rPr>
            <w:rStyle w:val="Hipervnculo"/>
            <w:color w:val="auto"/>
          </w:rPr>
          <w:t>https://www.corteconstitucional.gov.co/secretaria/archivo.php?id=135676</w:t>
        </w:r>
      </w:hyperlink>
      <w:r w:rsidRPr="00C04588">
        <w:t xml:space="preserve"> </w:t>
      </w:r>
    </w:p>
  </w:footnote>
  <w:footnote w:id="44">
    <w:p w14:paraId="1E7CCE5D" w14:textId="588FEDD8"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32" w:history="1">
        <w:r w:rsidRPr="00C04588">
          <w:rPr>
            <w:rStyle w:val="Hipervnculo"/>
            <w:color w:val="auto"/>
          </w:rPr>
          <w:t>https://www.corteconstitucional.gov.co/secretaria/archivo.php?id=135678</w:t>
        </w:r>
      </w:hyperlink>
      <w:r w:rsidRPr="00C04588">
        <w:t xml:space="preserve"> </w:t>
      </w:r>
    </w:p>
  </w:footnote>
  <w:footnote w:id="45">
    <w:p w14:paraId="4EA03F00" w14:textId="18140CC8"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33" w:history="1">
        <w:r w:rsidRPr="00C04588">
          <w:rPr>
            <w:rStyle w:val="Hipervnculo"/>
            <w:color w:val="auto"/>
          </w:rPr>
          <w:t>https://www.corteconstitucional.gov.co/secretaria/archivo.php?id=136061</w:t>
        </w:r>
      </w:hyperlink>
      <w:r w:rsidRPr="00C04588">
        <w:t xml:space="preserve"> </w:t>
      </w:r>
    </w:p>
  </w:footnote>
  <w:footnote w:id="46">
    <w:p w14:paraId="4BA3959E" w14:textId="4BF641F9"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34" w:history="1">
        <w:r w:rsidRPr="00C04588">
          <w:rPr>
            <w:rStyle w:val="Hipervnculo"/>
            <w:color w:val="auto"/>
          </w:rPr>
          <w:t>https://www.corteconstitucional.gov.co/secretaria/archivo.php?id=136064</w:t>
        </w:r>
      </w:hyperlink>
      <w:r w:rsidRPr="00C04588">
        <w:t xml:space="preserve"> </w:t>
      </w:r>
    </w:p>
  </w:footnote>
  <w:footnote w:id="47">
    <w:p w14:paraId="29802718" w14:textId="313F6DB7"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35" w:history="1">
        <w:r w:rsidRPr="00C04588">
          <w:rPr>
            <w:rStyle w:val="Hipervnculo"/>
            <w:color w:val="auto"/>
          </w:rPr>
          <w:t>https://www.corteconstitucional.gov.co/secretaria/archivo.php?id=136495</w:t>
        </w:r>
      </w:hyperlink>
      <w:r w:rsidRPr="00C04588">
        <w:t xml:space="preserve"> </w:t>
      </w:r>
    </w:p>
  </w:footnote>
  <w:footnote w:id="48">
    <w:p w14:paraId="73206273" w14:textId="29460019"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36" w:history="1">
        <w:r w:rsidRPr="00C04588">
          <w:rPr>
            <w:rStyle w:val="Hipervnculo"/>
            <w:color w:val="auto"/>
          </w:rPr>
          <w:t>https://www.corteconstitucional.gov.co/secretaria/archivo.php?id=136743</w:t>
        </w:r>
      </w:hyperlink>
      <w:r w:rsidRPr="00C04588">
        <w:t xml:space="preserve"> </w:t>
      </w:r>
    </w:p>
  </w:footnote>
  <w:footnote w:id="49">
    <w:p w14:paraId="3EF8A88F" w14:textId="046E7C3E"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37" w:history="1">
        <w:r w:rsidRPr="00C04588">
          <w:rPr>
            <w:rStyle w:val="Hipervnculo"/>
            <w:color w:val="auto"/>
          </w:rPr>
          <w:t>https://www.corteconstitucional.gov.co/secretaria/archivo.php?id=137937</w:t>
        </w:r>
      </w:hyperlink>
      <w:r w:rsidRPr="00C04588">
        <w:t xml:space="preserve"> </w:t>
      </w:r>
    </w:p>
  </w:footnote>
  <w:footnote w:id="50">
    <w:p w14:paraId="5955DF8E" w14:textId="710A0C49"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38" w:history="1">
        <w:r w:rsidRPr="00C04588">
          <w:rPr>
            <w:rStyle w:val="Hipervnculo"/>
            <w:color w:val="auto"/>
          </w:rPr>
          <w:t>https://www.corteconstitucional.gov.co/secretaria/archivo.php?id=138095</w:t>
        </w:r>
      </w:hyperlink>
      <w:r w:rsidRPr="00C04588">
        <w:t xml:space="preserve"> </w:t>
      </w:r>
    </w:p>
  </w:footnote>
  <w:footnote w:id="51">
    <w:p w14:paraId="0E3D0027" w14:textId="76F8FAF9"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 los siguientes enlaces: </w:t>
      </w:r>
      <w:hyperlink r:id="rId39" w:history="1">
        <w:r w:rsidRPr="00C04588">
          <w:rPr>
            <w:rStyle w:val="Hipervnculo"/>
            <w:color w:val="auto"/>
          </w:rPr>
          <w:t>https://www.corteconstitucional.gov.co/secretaria/archivo.php?id=139445 https://www.corteconstitucional.gov.co/secretaria/archivo.php?id=140651</w:t>
        </w:r>
      </w:hyperlink>
      <w:r w:rsidRPr="00C04588">
        <w:t xml:space="preserve"> </w:t>
      </w:r>
    </w:p>
  </w:footnote>
  <w:footnote w:id="52">
    <w:p w14:paraId="59AF9F46" w14:textId="7060C228"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40" w:history="1">
        <w:r w:rsidRPr="00C04588">
          <w:rPr>
            <w:rStyle w:val="Hipervnculo"/>
            <w:color w:val="auto"/>
          </w:rPr>
          <w:t>https://www.corteconstitucional.gov.co/secretaria/archivo.php?id=139586</w:t>
        </w:r>
      </w:hyperlink>
      <w:r w:rsidRPr="00C04588">
        <w:t xml:space="preserve"> </w:t>
      </w:r>
    </w:p>
  </w:footnote>
  <w:footnote w:id="53">
    <w:p w14:paraId="42D0A486" w14:textId="11414FBA"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41" w:history="1">
        <w:r w:rsidRPr="00C04588">
          <w:rPr>
            <w:rStyle w:val="Hipervnculo"/>
            <w:color w:val="auto"/>
          </w:rPr>
          <w:t>https://www.corteconstitucional.gov.co/secretaria/archivo.php?id=139762</w:t>
        </w:r>
      </w:hyperlink>
      <w:r w:rsidRPr="00C04588">
        <w:t xml:space="preserve"> </w:t>
      </w:r>
    </w:p>
  </w:footnote>
  <w:footnote w:id="54">
    <w:p w14:paraId="6CF28E4D" w14:textId="7EDEDF87"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42" w:history="1">
        <w:r w:rsidRPr="00C04588">
          <w:rPr>
            <w:rStyle w:val="Hipervnculo"/>
            <w:color w:val="auto"/>
          </w:rPr>
          <w:t>https://www.corteconstitucional.gov.co/secretaria/archivo.php?id=140074</w:t>
        </w:r>
      </w:hyperlink>
      <w:r w:rsidRPr="00C04588">
        <w:t xml:space="preserve"> </w:t>
      </w:r>
    </w:p>
  </w:footnote>
  <w:footnote w:id="55">
    <w:p w14:paraId="0403DF33" w14:textId="2BDC0E17"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43" w:history="1">
        <w:r w:rsidRPr="00C04588">
          <w:rPr>
            <w:rStyle w:val="Hipervnculo"/>
            <w:color w:val="auto"/>
          </w:rPr>
          <w:t>https://www.corteconstitucional.gov.co/secretaria/archivo.php?id=140026</w:t>
        </w:r>
      </w:hyperlink>
      <w:r w:rsidRPr="00C04588">
        <w:t xml:space="preserve"> </w:t>
      </w:r>
    </w:p>
  </w:footnote>
  <w:footnote w:id="56">
    <w:p w14:paraId="2B0AFD08" w14:textId="0F52CD13"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44" w:history="1">
        <w:r w:rsidRPr="00C04588">
          <w:rPr>
            <w:rStyle w:val="Hipervnculo"/>
            <w:color w:val="auto"/>
          </w:rPr>
          <w:t>https://www.corteconstitucional.gov.co/secretaria/archivo.php?id=140478</w:t>
        </w:r>
      </w:hyperlink>
      <w:r w:rsidRPr="00C04588">
        <w:t xml:space="preserve"> </w:t>
      </w:r>
    </w:p>
  </w:footnote>
  <w:footnote w:id="57">
    <w:p w14:paraId="1CD8319C" w14:textId="0405F837" w:rsidR="008F14A4" w:rsidRPr="00C04588" w:rsidRDefault="008F14A4" w:rsidP="00C04588">
      <w:pPr>
        <w:pStyle w:val="Textonotapie"/>
        <w:jc w:val="both"/>
        <w:rPr>
          <w:lang w:val="es-ES_tradnl"/>
        </w:rPr>
      </w:pPr>
      <w:r w:rsidRPr="00C04588">
        <w:rPr>
          <w:rStyle w:val="Refdenotaalpie"/>
        </w:rPr>
        <w:footnoteRef/>
      </w:r>
      <w:r w:rsidRPr="00C04588">
        <w:t xml:space="preserve"> Este interviniente presentó múltiples escritos en los que, en general, puso de presente la extralimitación de funciones y el actuar arbitrario del gobierno nacional. De esa manera, se opuso a las solicitudes de nulidad presentadas en contra de los autos 082 y 084 de 2026, a las recusaciones presentadas por el secretario jurídico de la Presidencia de la República y manifestó que tanto el DL1390 como el DL1474 deben ser declarados inexequibles. Para consultar la totalidad del concepto se puede acceder al mismo por medio de los siguientes enlaces:</w:t>
      </w:r>
      <w:hyperlink r:id="rId45" w:history="1">
        <w:r w:rsidRPr="00C04588">
          <w:rPr>
            <w:rStyle w:val="Hipervnculo"/>
            <w:color w:val="auto"/>
          </w:rPr>
          <w:t>https://www.corteconstitucional.gov.co/secretaria/archivo.php?id=137829</w:t>
        </w:r>
      </w:hyperlink>
      <w:r w:rsidRPr="00C04588">
        <w:t xml:space="preserve">;https://www.corteconstitucional.gov.co/secretaria/archivo.php?id=138056;https://www.corteconstitucional.gov.co/secretaria/archivo.php?id=138092y </w:t>
      </w:r>
      <w:hyperlink r:id="rId46" w:history="1">
        <w:r w:rsidRPr="00C04588">
          <w:rPr>
            <w:rStyle w:val="Hipervnculo"/>
            <w:color w:val="auto"/>
          </w:rPr>
          <w:t>https://www.corteconstitucional.gov.co/secretaria/archivo.php?id=138132</w:t>
        </w:r>
      </w:hyperlink>
      <w:r w:rsidRPr="00C04588">
        <w:t xml:space="preserve">. </w:t>
      </w:r>
    </w:p>
  </w:footnote>
  <w:footnote w:id="58">
    <w:p w14:paraId="7E086F02" w14:textId="4C43598E" w:rsidR="008F14A4" w:rsidRPr="00C04588" w:rsidRDefault="008F14A4" w:rsidP="00C04588">
      <w:pPr>
        <w:pStyle w:val="Textonotapie"/>
        <w:jc w:val="both"/>
        <w:rPr>
          <w:lang w:val="es-ES_tradnl"/>
        </w:rPr>
      </w:pPr>
      <w:r w:rsidRPr="00C04588">
        <w:rPr>
          <w:rStyle w:val="Refdenotaalpie"/>
        </w:rPr>
        <w:footnoteRef/>
      </w:r>
      <w:r w:rsidRPr="00C04588">
        <w:t xml:space="preserve"> Para consultar la totalidad del concepto se puede acceder al mismo por medio del siguiente enlace: </w:t>
      </w:r>
      <w:hyperlink r:id="rId47" w:history="1">
        <w:r w:rsidRPr="00C04588">
          <w:rPr>
            <w:rStyle w:val="Hipervnculo"/>
            <w:color w:val="auto"/>
          </w:rPr>
          <w:t>https://www.corteconstitucional.gov.co/secretaria/archivo.php?id=140814</w:t>
        </w:r>
      </w:hyperlink>
      <w:r w:rsidRPr="00C04588">
        <w:t xml:space="preserve"> </w:t>
      </w:r>
    </w:p>
  </w:footnote>
  <w:footnote w:id="59">
    <w:p w14:paraId="77045225" w14:textId="5D270436" w:rsidR="008F14A4" w:rsidRPr="00C04588" w:rsidRDefault="008F14A4" w:rsidP="00C04588">
      <w:pPr>
        <w:pStyle w:val="Textonotapie"/>
        <w:jc w:val="both"/>
        <w:rPr>
          <w:lang w:val="es-ES_tradnl"/>
        </w:rPr>
      </w:pPr>
      <w:r w:rsidRPr="00C04588">
        <w:rPr>
          <w:rStyle w:val="Refdenotaalpie"/>
        </w:rPr>
        <w:footnoteRef/>
      </w:r>
      <w:r w:rsidRPr="00C04588">
        <w:t xml:space="preserve"> Para consultar la totalidad del concepto se puede acceder al mismo por medio del siguiente enlace: </w:t>
      </w:r>
      <w:hyperlink r:id="rId48" w:history="1">
        <w:r w:rsidRPr="00C04588">
          <w:rPr>
            <w:rStyle w:val="Hipervnculo"/>
            <w:color w:val="auto"/>
          </w:rPr>
          <w:t>https://www.corteconstitucional.gov.co/secretaria/archivo.php?id=140920</w:t>
        </w:r>
      </w:hyperlink>
      <w:r w:rsidRPr="00C04588">
        <w:t xml:space="preserve"> </w:t>
      </w:r>
    </w:p>
  </w:footnote>
  <w:footnote w:id="60">
    <w:p w14:paraId="75E9E53E" w14:textId="707E45BC"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49" w:history="1">
        <w:r w:rsidRPr="00C04588">
          <w:rPr>
            <w:rStyle w:val="Hipervnculo"/>
            <w:color w:val="auto"/>
          </w:rPr>
          <w:t>https://www.corteconstitucional.gov.co/secretaria/archivo.php?id=141002</w:t>
        </w:r>
      </w:hyperlink>
      <w:r w:rsidRPr="00C04588">
        <w:t xml:space="preserve"> </w:t>
      </w:r>
    </w:p>
  </w:footnote>
  <w:footnote w:id="61">
    <w:p w14:paraId="6B490CCB" w14:textId="11D7F183"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50" w:history="1">
        <w:r w:rsidRPr="00C04588">
          <w:rPr>
            <w:rStyle w:val="Hipervnculo"/>
            <w:color w:val="auto"/>
          </w:rPr>
          <w:t>https://www.corteconstitucional.gov.co/secretaria/archivo.php?id=141014</w:t>
        </w:r>
      </w:hyperlink>
      <w:r w:rsidRPr="00C04588">
        <w:t xml:space="preserve"> </w:t>
      </w:r>
    </w:p>
  </w:footnote>
  <w:footnote w:id="62">
    <w:p w14:paraId="6FA10BB6" w14:textId="702947C6"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51" w:history="1">
        <w:r w:rsidRPr="00C04588">
          <w:rPr>
            <w:rStyle w:val="Hipervnculo"/>
            <w:color w:val="auto"/>
          </w:rPr>
          <w:t>https://www.corteconstitucional.gov.co/secretaria/archivo.php?id=141020</w:t>
        </w:r>
      </w:hyperlink>
      <w:r w:rsidRPr="00C04588">
        <w:t xml:space="preserve"> </w:t>
      </w:r>
    </w:p>
  </w:footnote>
  <w:footnote w:id="63">
    <w:p w14:paraId="5B698858" w14:textId="0FBEE517"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52" w:history="1">
        <w:r w:rsidRPr="00C04588">
          <w:rPr>
            <w:rStyle w:val="Hipervnculo"/>
            <w:color w:val="auto"/>
          </w:rPr>
          <w:t>https://www.corteconstitucional.gov.co/secretaria/archivo.php?id=141023</w:t>
        </w:r>
      </w:hyperlink>
      <w:r w:rsidRPr="00C04588">
        <w:t xml:space="preserve"> </w:t>
      </w:r>
    </w:p>
  </w:footnote>
  <w:footnote w:id="64">
    <w:p w14:paraId="41205C84" w14:textId="00444E67"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53" w:history="1">
        <w:r w:rsidRPr="00C04588">
          <w:rPr>
            <w:rStyle w:val="Hipervnculo"/>
            <w:color w:val="auto"/>
          </w:rPr>
          <w:t>https://www.corteconstitucional.gov.co/secretaria/archivo.php?id=141043</w:t>
        </w:r>
      </w:hyperlink>
      <w:r w:rsidRPr="00C04588">
        <w:t xml:space="preserve"> </w:t>
      </w:r>
    </w:p>
  </w:footnote>
  <w:footnote w:id="65">
    <w:p w14:paraId="6D1B7881" w14:textId="1C4586C5"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54" w:history="1">
        <w:r w:rsidRPr="00C04588">
          <w:rPr>
            <w:rStyle w:val="Hipervnculo"/>
            <w:color w:val="auto"/>
          </w:rPr>
          <w:t>https://www.corteconstitucional.gov.co/secretaria/archivo.php?id=141046</w:t>
        </w:r>
      </w:hyperlink>
      <w:r w:rsidRPr="00C04588">
        <w:t xml:space="preserve"> </w:t>
      </w:r>
    </w:p>
  </w:footnote>
  <w:footnote w:id="66">
    <w:p w14:paraId="1C101292" w14:textId="674E2717"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55" w:history="1">
        <w:r w:rsidRPr="00C04588">
          <w:rPr>
            <w:rStyle w:val="Hipervnculo"/>
            <w:color w:val="auto"/>
          </w:rPr>
          <w:t>https://www.corteconstitucional.gov.co/secretaria/archivo.php?id=141066</w:t>
        </w:r>
      </w:hyperlink>
      <w:r w:rsidRPr="00C04588">
        <w:t xml:space="preserve"> </w:t>
      </w:r>
    </w:p>
  </w:footnote>
  <w:footnote w:id="67">
    <w:p w14:paraId="09ABBD8E" w14:textId="5219C07D"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56" w:history="1">
        <w:r w:rsidRPr="00C04588">
          <w:rPr>
            <w:rStyle w:val="Hipervnculo"/>
            <w:color w:val="auto"/>
          </w:rPr>
          <w:t>https://www.corteconstitucional.gov.co/secretaria/archivo.php?id=143398</w:t>
        </w:r>
      </w:hyperlink>
      <w:r w:rsidRPr="00C04588">
        <w:t xml:space="preserve"> </w:t>
      </w:r>
    </w:p>
  </w:footnote>
  <w:footnote w:id="68">
    <w:p w14:paraId="0A87E842" w14:textId="0202BF1B" w:rsidR="008F14A4" w:rsidRPr="00C04588" w:rsidRDefault="008F14A4" w:rsidP="00C04588">
      <w:pPr>
        <w:pStyle w:val="Textonotapie"/>
        <w:jc w:val="both"/>
        <w:rPr>
          <w:lang w:val="es-ES_tradnl"/>
        </w:rPr>
      </w:pPr>
      <w:r w:rsidRPr="00C04588">
        <w:rPr>
          <w:rStyle w:val="Refdenotaalpie"/>
        </w:rPr>
        <w:footnoteRef/>
      </w:r>
      <w:r w:rsidRPr="00C04588">
        <w:t xml:space="preserve"> Para consultar la totalidad del concepto se puede acceder al mismo por medio del siguiente enlace: </w:t>
      </w:r>
      <w:hyperlink r:id="rId57" w:history="1">
        <w:r w:rsidRPr="00C04588">
          <w:rPr>
            <w:rStyle w:val="Hipervnculo"/>
            <w:color w:val="auto"/>
          </w:rPr>
          <w:t>https://www.corteconstitucional.gov.co/secretaria/archivo.php?id=140788</w:t>
        </w:r>
      </w:hyperlink>
      <w:r w:rsidRPr="00C04588">
        <w:t xml:space="preserve">. La intervención está suscrita por: Augusto Alfonso Ocampo Camacho, Juan Gabriel Durán Sánchez, Uberney Marín Villada, Rosa Dory Chaparro Espinosa, Diana Astrid Chaparro Manosalva, John Jairo Guzmán Benítez, Daniel González Martínez, Jorge Enrique Moncaleano Ospina, Rodolfo Enrique Salas Figueroa, Camila Andrea Bohorquez Rueda, Daniel Augusto Jorge El Saieh Sánchez, Mónica Fernanda Yajaira Leonel Martínez, William Felipe Hurtado Quintero, Laura Camila Ramos Díaz, Rodrigo Andrés Bernal Montero, Ruby Ruth Ramírez Medina, Óscar Javier Fonseca Gómez, Tibisay Cartagena Revueltas, Andrés Felipe Valencia López, Axcan Duque Gámez, Francisco Julio Taborda Ocampo; en representación de la Secretaría Jurídica de la Presidencia de la República y de los ministerios que conforman el gobierno nacional. </w:t>
      </w:r>
    </w:p>
  </w:footnote>
  <w:footnote w:id="69">
    <w:p w14:paraId="5C6A29D0" w14:textId="3FAB639E"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58" w:history="1">
        <w:r w:rsidRPr="00C04588">
          <w:rPr>
            <w:rStyle w:val="Hipervnculo"/>
            <w:color w:val="auto"/>
          </w:rPr>
          <w:t>https://www.corteconstitucional.gov.co/secretaria/archivo.php?id=140656</w:t>
        </w:r>
      </w:hyperlink>
      <w:r w:rsidRPr="00C04588">
        <w:t xml:space="preserve"> </w:t>
      </w:r>
    </w:p>
  </w:footnote>
  <w:footnote w:id="70">
    <w:p w14:paraId="51AD7EB0" w14:textId="060E83FE"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https://www.corteconstitucional.gov.co/secretaria/archivo.php?id=141056</w:t>
      </w:r>
    </w:p>
  </w:footnote>
  <w:footnote w:id="71">
    <w:p w14:paraId="6FD2F09F" w14:textId="7C1196CF"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https://www.corteconstitucional.gov.co/secretaria/archivo.php?id=137303</w:t>
      </w:r>
    </w:p>
  </w:footnote>
  <w:footnote w:id="72">
    <w:p w14:paraId="1E588DAD" w14:textId="2A17C862" w:rsidR="008F14A4" w:rsidRPr="00C04588" w:rsidRDefault="008F14A4" w:rsidP="00C04588">
      <w:pPr>
        <w:pStyle w:val="Textonotapie"/>
        <w:jc w:val="both"/>
        <w:rPr>
          <w:lang w:val="es-ES_tradnl"/>
        </w:rPr>
      </w:pPr>
      <w:r w:rsidRPr="00C04588">
        <w:rPr>
          <w:rStyle w:val="Refdenotaalpie"/>
        </w:rPr>
        <w:footnoteRef/>
      </w:r>
      <w:r w:rsidRPr="00C04588">
        <w:t xml:space="preserve"> Para consultar la totalidad del concepto se puede acceder al mismo por medio del siguiente enlace: https://www.corteconstitucional.gov.co/secretaria/archivo.php?id=141062</w:t>
      </w:r>
    </w:p>
  </w:footnote>
  <w:footnote w:id="73">
    <w:p w14:paraId="0A65E3D3" w14:textId="3BEB6056"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https://www.corteconstitucional.gov.co/secretaria/archivo.php?id=140293</w:t>
      </w:r>
    </w:p>
  </w:footnote>
  <w:footnote w:id="74">
    <w:p w14:paraId="01E1C409" w14:textId="50B08AE9"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https://www.corteconstitucional.gov.co/secretaria/archivo.php?id=140649</w:t>
      </w:r>
    </w:p>
  </w:footnote>
  <w:footnote w:id="75">
    <w:p w14:paraId="4D2A5174" w14:textId="088F5AB5"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59" w:history="1">
        <w:r w:rsidRPr="00C04588">
          <w:rPr>
            <w:rStyle w:val="Hipervnculo"/>
            <w:color w:val="auto"/>
          </w:rPr>
          <w:t>https://www.corteconstitucional.gov.co/secretaria/archivo.php?id=140654</w:t>
        </w:r>
      </w:hyperlink>
      <w:r w:rsidRPr="00C04588">
        <w:t xml:space="preserve"> </w:t>
      </w:r>
    </w:p>
  </w:footnote>
  <w:footnote w:id="76">
    <w:p w14:paraId="2C808E36" w14:textId="74DE2E1E"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0" w:history="1">
        <w:r w:rsidRPr="00C04588">
          <w:rPr>
            <w:rStyle w:val="Hipervnculo"/>
            <w:color w:val="auto"/>
          </w:rPr>
          <w:t>https://www.corteconstitucional.gov.co/secretaria/archivo.php?id=140784</w:t>
        </w:r>
      </w:hyperlink>
      <w:r w:rsidRPr="00C04588">
        <w:t xml:space="preserve"> </w:t>
      </w:r>
    </w:p>
  </w:footnote>
  <w:footnote w:id="77">
    <w:p w14:paraId="2BC5304B" w14:textId="2E93B3B2"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1" w:history="1">
        <w:r w:rsidRPr="00C04588">
          <w:rPr>
            <w:rStyle w:val="Hipervnculo"/>
            <w:color w:val="auto"/>
          </w:rPr>
          <w:t>https://www.corteconstitucional.gov.co/secretaria/archivo.php?id=140813</w:t>
        </w:r>
      </w:hyperlink>
      <w:r w:rsidRPr="00C04588">
        <w:t xml:space="preserve"> </w:t>
      </w:r>
    </w:p>
  </w:footnote>
  <w:footnote w:id="78">
    <w:p w14:paraId="18484D33" w14:textId="26557B4F"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2" w:history="1">
        <w:r w:rsidRPr="00C04588">
          <w:rPr>
            <w:rStyle w:val="Hipervnculo"/>
            <w:color w:val="auto"/>
          </w:rPr>
          <w:t>https://www.corteconstitucional.gov.co/secretaria/archivo.php?id=140870</w:t>
        </w:r>
      </w:hyperlink>
      <w:r w:rsidRPr="00C04588">
        <w:t xml:space="preserve"> </w:t>
      </w:r>
    </w:p>
  </w:footnote>
  <w:footnote w:id="79">
    <w:p w14:paraId="34BEE08A" w14:textId="31003035"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3" w:history="1">
        <w:r w:rsidRPr="00C04588">
          <w:rPr>
            <w:rStyle w:val="Hipervnculo"/>
            <w:color w:val="auto"/>
          </w:rPr>
          <w:t>https://www.corteconstitucional.gov.co/secretaria/archivo.php?id=140892</w:t>
        </w:r>
      </w:hyperlink>
      <w:r w:rsidRPr="00C04588">
        <w:t xml:space="preserve"> </w:t>
      </w:r>
    </w:p>
  </w:footnote>
  <w:footnote w:id="80">
    <w:p w14:paraId="30418089" w14:textId="623FDF5F"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4" w:history="1">
        <w:r w:rsidRPr="00C04588">
          <w:rPr>
            <w:rStyle w:val="Hipervnculo"/>
            <w:color w:val="auto"/>
          </w:rPr>
          <w:t>https://www.corteconstitucional.gov.co/secretaria/archivo.php?id=141005</w:t>
        </w:r>
      </w:hyperlink>
      <w:r w:rsidRPr="00C04588">
        <w:t xml:space="preserve"> </w:t>
      </w:r>
    </w:p>
  </w:footnote>
  <w:footnote w:id="81">
    <w:p w14:paraId="09D12937" w14:textId="5F127479"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5" w:history="1">
        <w:r w:rsidRPr="00C04588">
          <w:rPr>
            <w:rStyle w:val="Hipervnculo"/>
            <w:color w:val="auto"/>
          </w:rPr>
          <w:t>https://www.corteconstitucional.gov.co/secretaria/archivo.php?id=141009</w:t>
        </w:r>
      </w:hyperlink>
      <w:r w:rsidRPr="00C04588">
        <w:t xml:space="preserve"> </w:t>
      </w:r>
    </w:p>
  </w:footnote>
  <w:footnote w:id="82">
    <w:p w14:paraId="22BA62C7" w14:textId="733B538F"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6" w:history="1">
        <w:r w:rsidRPr="00C04588">
          <w:rPr>
            <w:rStyle w:val="Hipervnculo"/>
            <w:color w:val="auto"/>
          </w:rPr>
          <w:t>https://www.corteconstitucional.gov.co/secretaria/archivo.php?id=141015</w:t>
        </w:r>
      </w:hyperlink>
      <w:r w:rsidRPr="00C04588">
        <w:t xml:space="preserve"> </w:t>
      </w:r>
    </w:p>
  </w:footnote>
  <w:footnote w:id="83">
    <w:p w14:paraId="1C9D258E" w14:textId="0D16D0A6"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7" w:history="1">
        <w:r w:rsidRPr="00C04588">
          <w:rPr>
            <w:rStyle w:val="Hipervnculo"/>
            <w:color w:val="auto"/>
          </w:rPr>
          <w:t>https://www.corteconstitucional.gov.co/secretaria/archivo.php?id=141160</w:t>
        </w:r>
      </w:hyperlink>
      <w:r w:rsidRPr="00C04588">
        <w:t xml:space="preserve"> </w:t>
      </w:r>
    </w:p>
  </w:footnote>
  <w:footnote w:id="84">
    <w:p w14:paraId="67281A86" w14:textId="0720B814"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8" w:history="1">
        <w:r w:rsidRPr="00C04588">
          <w:rPr>
            <w:rStyle w:val="Hipervnculo"/>
            <w:color w:val="auto"/>
          </w:rPr>
          <w:t>https://www.corteconstitucional.gov.co/secretaria/archivo.php?id=141017</w:t>
        </w:r>
      </w:hyperlink>
      <w:r w:rsidRPr="00C04588">
        <w:t xml:space="preserve"> </w:t>
      </w:r>
    </w:p>
  </w:footnote>
  <w:footnote w:id="85">
    <w:p w14:paraId="4A631B7A" w14:textId="6F3D75AD"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69" w:history="1">
        <w:r w:rsidRPr="00C04588">
          <w:rPr>
            <w:rStyle w:val="Hipervnculo"/>
            <w:color w:val="auto"/>
          </w:rPr>
          <w:t>https://www.corteconstitucional.gov.co/secretaria/archivo.php?id=141040</w:t>
        </w:r>
      </w:hyperlink>
      <w:r w:rsidRPr="00C04588">
        <w:t xml:space="preserve"> </w:t>
      </w:r>
    </w:p>
  </w:footnote>
  <w:footnote w:id="86">
    <w:p w14:paraId="413C8C30" w14:textId="73B6DFE5"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70" w:history="1">
        <w:r w:rsidRPr="00C04588">
          <w:rPr>
            <w:rStyle w:val="Hipervnculo"/>
            <w:color w:val="auto"/>
          </w:rPr>
          <w:t>https://www.corteconstitucional.gov.co/secretaria/archivo.php?id=141050</w:t>
        </w:r>
      </w:hyperlink>
      <w:r w:rsidRPr="00C04588">
        <w:t xml:space="preserve"> </w:t>
      </w:r>
    </w:p>
  </w:footnote>
  <w:footnote w:id="87">
    <w:p w14:paraId="77906F6F" w14:textId="6683B17C"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71" w:history="1">
        <w:r w:rsidRPr="00C04588">
          <w:rPr>
            <w:rStyle w:val="Hipervnculo"/>
            <w:color w:val="auto"/>
          </w:rPr>
          <w:t>https://www.corteconstitucional.gov.co/secretaria/archivo.php?id=141058</w:t>
        </w:r>
      </w:hyperlink>
      <w:r w:rsidRPr="00C04588">
        <w:t xml:space="preserve"> </w:t>
      </w:r>
    </w:p>
  </w:footnote>
  <w:footnote w:id="88">
    <w:p w14:paraId="21B533EC" w14:textId="563B871A"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72" w:history="1">
        <w:r w:rsidRPr="00C04588">
          <w:rPr>
            <w:rStyle w:val="Hipervnculo"/>
            <w:color w:val="auto"/>
          </w:rPr>
          <w:t>https://www.corteconstitucional.gov.co/secretaria/archivo.php?id=141004</w:t>
        </w:r>
      </w:hyperlink>
      <w:r w:rsidRPr="00C04588">
        <w:t xml:space="preserve"> </w:t>
      </w:r>
    </w:p>
  </w:footnote>
  <w:footnote w:id="89">
    <w:p w14:paraId="10CFCB8A" w14:textId="2E389EBE"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73" w:history="1">
        <w:r w:rsidRPr="00C04588">
          <w:rPr>
            <w:rStyle w:val="Hipervnculo"/>
            <w:color w:val="auto"/>
          </w:rPr>
          <w:t>https://www.corteconstitucional.gov.co/secretaria/archivo.php?id=141051</w:t>
        </w:r>
      </w:hyperlink>
      <w:r w:rsidRPr="00C04588">
        <w:t xml:space="preserve"> </w:t>
      </w:r>
    </w:p>
  </w:footnote>
  <w:footnote w:id="90">
    <w:p w14:paraId="24148344" w14:textId="405BC9AB" w:rsidR="008F14A4" w:rsidRPr="00C04588" w:rsidRDefault="008F14A4" w:rsidP="00C04588">
      <w:pPr>
        <w:pStyle w:val="Textonotapie"/>
        <w:jc w:val="both"/>
      </w:pPr>
      <w:r w:rsidRPr="00C04588">
        <w:rPr>
          <w:rStyle w:val="Refdenotaalpie"/>
        </w:rPr>
        <w:footnoteRef/>
      </w:r>
      <w:r w:rsidRPr="00C04588">
        <w:t xml:space="preserve"> Para consultar la totalidad del concepto se puede acceder al mismo por medio del siguiente enlace: </w:t>
      </w:r>
      <w:hyperlink r:id="rId74" w:history="1">
        <w:r w:rsidRPr="00C04588">
          <w:rPr>
            <w:rStyle w:val="Hipervnculo"/>
            <w:color w:val="auto"/>
          </w:rPr>
          <w:t>https://www.corteconstitucional.gov.co/secretaria/archivo.php?id=141063</w:t>
        </w:r>
      </w:hyperlink>
      <w:r w:rsidRPr="00C04588">
        <w:t xml:space="preserve"> </w:t>
      </w:r>
    </w:p>
  </w:footnote>
  <w:footnote w:id="91">
    <w:p w14:paraId="2BBF25AD" w14:textId="220C7A04" w:rsidR="008F14A4" w:rsidRPr="00C04588" w:rsidRDefault="008F14A4" w:rsidP="00C04588">
      <w:pPr>
        <w:pStyle w:val="Textonotapie"/>
        <w:jc w:val="both"/>
      </w:pPr>
      <w:r w:rsidRPr="00C04588">
        <w:rPr>
          <w:rStyle w:val="Refdenotaalpie"/>
        </w:rPr>
        <w:footnoteRef/>
      </w:r>
      <w:r w:rsidRPr="00C04588">
        <w:t xml:space="preserve"> Intervención suscrita por César Camilo Cermeño Cristancho y Yuliana Romero Medina. Para consultar la totalidad del concepto se puede acceder al mismo por medio del siguiente enlace: </w:t>
      </w:r>
      <w:hyperlink r:id="rId75" w:history="1">
        <w:r w:rsidRPr="00C04588">
          <w:rPr>
            <w:rStyle w:val="Hipervnculo"/>
            <w:color w:val="auto"/>
          </w:rPr>
          <w:t>https://www.corteconstitucional.gov.co/secretaria/archivo.php?id=141156</w:t>
        </w:r>
      </w:hyperlink>
      <w:r w:rsidRPr="00C04588">
        <w:t xml:space="preserve"> </w:t>
      </w:r>
    </w:p>
  </w:footnote>
  <w:footnote w:id="92">
    <w:p w14:paraId="3AF22E31" w14:textId="6FEBF75D" w:rsidR="008F14A4" w:rsidRPr="00C04588" w:rsidRDefault="008F14A4" w:rsidP="00C04588">
      <w:pPr>
        <w:jc w:val="both"/>
        <w:rPr>
          <w:sz w:val="20"/>
          <w:szCs w:val="20"/>
        </w:rPr>
      </w:pPr>
      <w:r w:rsidRPr="00C04588">
        <w:rPr>
          <w:rStyle w:val="Refdenotaalpie"/>
          <w:sz w:val="20"/>
          <w:szCs w:val="20"/>
        </w:rPr>
        <w:footnoteRef/>
      </w:r>
      <w:r w:rsidRPr="00C04588">
        <w:rPr>
          <w:sz w:val="20"/>
          <w:szCs w:val="20"/>
        </w:rPr>
        <w:t xml:space="preserve"> Expediente digital, archivo “RE0000388-Concepto del Procurador General de la Nación-(2026-03-13 15-24-16).pdf”. </w:t>
      </w:r>
    </w:p>
  </w:footnote>
  <w:footnote w:id="93">
    <w:p w14:paraId="28D72E5F" w14:textId="77777777" w:rsidR="008F14A4" w:rsidRPr="008F14A4" w:rsidRDefault="008F14A4" w:rsidP="00DE5208">
      <w:pPr>
        <w:pStyle w:val="Textonotapie"/>
        <w:jc w:val="both"/>
      </w:pPr>
      <w:r w:rsidRPr="00C8397B">
        <w:rPr>
          <w:rStyle w:val="Refdenotaalpie"/>
        </w:rPr>
        <w:footnoteRef/>
      </w:r>
      <w:r w:rsidRPr="00C8397B">
        <w:t xml:space="preserve"> “</w:t>
      </w:r>
      <w:r w:rsidRPr="00C8397B">
        <w:rPr>
          <w:b/>
        </w:rPr>
        <w:t xml:space="preserve">Primero. </w:t>
      </w:r>
      <w:r w:rsidRPr="00C8397B">
        <w:t xml:space="preserve">Declarar </w:t>
      </w:r>
      <w:r w:rsidRPr="008F14A4">
        <w:rPr>
          <w:b/>
        </w:rPr>
        <w:t xml:space="preserve">INEXEQUIBLE </w:t>
      </w:r>
      <w:r w:rsidRPr="008F14A4">
        <w:t xml:space="preserve">el Decreto Legislativo 1390 del 22 de diciembre de 2025, por medio del cual se declara el Estado de Emergencia Económica, Social y Ecológica en todo el territorio nacional. </w:t>
      </w:r>
    </w:p>
    <w:p w14:paraId="621AB75E" w14:textId="77777777" w:rsidR="008F14A4" w:rsidRPr="00AF31E6" w:rsidRDefault="008F14A4" w:rsidP="00DE5208">
      <w:pPr>
        <w:pStyle w:val="Textonotapie"/>
        <w:jc w:val="both"/>
      </w:pPr>
      <w:r w:rsidRPr="008F14A4">
        <w:rPr>
          <w:b/>
        </w:rPr>
        <w:t xml:space="preserve">Segundo. </w:t>
      </w:r>
      <w:r w:rsidRPr="008F14A4">
        <w:t>Declarar que los Decretos Legislativos 1474 de 2025 y 044 de 2026 continuarán sin producir efectos hasta tanto la Sala Plena de esta Corte profiera una</w:t>
      </w:r>
      <w:r w:rsidRPr="00AF31E6">
        <w:t xml:space="preserve"> decisión definitiva respecto de su constitucionalidad”. </w:t>
      </w:r>
    </w:p>
  </w:footnote>
  <w:footnote w:id="94">
    <w:p w14:paraId="1F21C1F5" w14:textId="6A612D78" w:rsidR="008F14A4" w:rsidRPr="00DE04F6" w:rsidRDefault="008F14A4" w:rsidP="00DE04F6">
      <w:pPr>
        <w:pStyle w:val="Textonotapie"/>
        <w:jc w:val="both"/>
      </w:pPr>
      <w:r w:rsidRPr="008F14A4">
        <w:rPr>
          <w:rStyle w:val="Refdenotaalpie"/>
        </w:rPr>
        <w:footnoteRef/>
      </w:r>
      <w:r w:rsidRPr="008F14A4">
        <w:t xml:space="preserve"> Comunicado de prensa n.° 14 del 9 de abril de 2026. Disponible en: </w:t>
      </w:r>
      <w:hyperlink r:id="rId76" w:history="1">
        <w:r w:rsidRPr="008F14A4">
          <w:rPr>
            <w:rStyle w:val="Hipervnculo"/>
          </w:rPr>
          <w:t>https://www.corteconstitucional.gov.co/comunicados/Comunicado-14-Abril-9-de-2026</w:t>
        </w:r>
      </w:hyperlink>
      <w:r w:rsidRPr="008F14A4">
        <w:t>.</w:t>
      </w:r>
      <w:r>
        <w:t xml:space="preserve"> </w:t>
      </w:r>
    </w:p>
  </w:footnote>
  <w:footnote w:id="95">
    <w:p w14:paraId="7432BE0E" w14:textId="77777777" w:rsidR="008F14A4" w:rsidRPr="00C04588" w:rsidRDefault="008F14A4" w:rsidP="00C04588">
      <w:pPr>
        <w:pStyle w:val="Textonotapie"/>
        <w:jc w:val="both"/>
      </w:pPr>
      <w:r w:rsidRPr="00C04588">
        <w:rPr>
          <w:rStyle w:val="Refdenotaalpie"/>
        </w:rPr>
        <w:footnoteRef/>
      </w:r>
      <w:r w:rsidRPr="00C04588">
        <w:t xml:space="preserve"> Corte Constitucional, sentencias C-122 de 1999, C-136 de 1999, C-383 de 2023, C-439 de 2023, C-442 de 2023 y C-521 de 2023. </w:t>
      </w:r>
    </w:p>
  </w:footnote>
  <w:footnote w:id="96">
    <w:p w14:paraId="23BAAB30" w14:textId="77777777" w:rsidR="008F14A4" w:rsidRPr="00C04588" w:rsidRDefault="008F14A4" w:rsidP="00C04588">
      <w:pPr>
        <w:pStyle w:val="Textonotapie"/>
        <w:spacing w:line="0" w:lineRule="atLeast"/>
        <w:jc w:val="both"/>
      </w:pPr>
      <w:r w:rsidRPr="00C04588">
        <w:rPr>
          <w:rStyle w:val="Refdenotaalpie"/>
        </w:rPr>
        <w:footnoteRef/>
      </w:r>
      <w:r w:rsidRPr="00C04588">
        <w:t xml:space="preserve"> Corte Constitucional, Sentencia C-253 de 2010. Reiterado en Sentencia C-069 de 2024. </w:t>
      </w:r>
    </w:p>
  </w:footnote>
  <w:footnote w:id="97">
    <w:p w14:paraId="4B462601" w14:textId="77777777" w:rsidR="008F14A4" w:rsidRPr="00C04588" w:rsidRDefault="008F14A4" w:rsidP="00C04588">
      <w:pPr>
        <w:pStyle w:val="Textonotapie"/>
        <w:spacing w:line="0" w:lineRule="atLeast"/>
        <w:jc w:val="both"/>
      </w:pPr>
      <w:r w:rsidRPr="00C04588">
        <w:rPr>
          <w:rStyle w:val="Refdenotaalpie"/>
        </w:rPr>
        <w:footnoteRef/>
      </w:r>
      <w:r w:rsidRPr="00C04588">
        <w:t xml:space="preserve"> Corte Constitucional, Sentencia C-488 de 1995, reiterada en las Sentencias C-135 de 1997, C-256 de 2011, entre otras. La inconstitucionalidad por consecuencia, “</w:t>
      </w:r>
      <w:r w:rsidRPr="00C04588">
        <w:rPr>
          <w:iCs/>
        </w:rPr>
        <w:t>no repercute en determinación alguna […] sobre la materialidad de cada uno de los decretos legislativos</w:t>
      </w:r>
      <w:r w:rsidRPr="00C04588">
        <w:t>, pues la invalidez proviene exclusivamente de “</w:t>
      </w:r>
      <w:r w:rsidRPr="00C04588">
        <w:rPr>
          <w:iCs/>
        </w:rPr>
        <w:t>la pérdida de sustento jurídico de la atribución presidencial legislativa, mas no de la oposición objetiva</w:t>
      </w:r>
      <w:r w:rsidRPr="00C04588">
        <w:t xml:space="preserve"> de tales decretos con la Constitución”.</w:t>
      </w:r>
    </w:p>
  </w:footnote>
  <w:footnote w:id="98">
    <w:p w14:paraId="6276D444" w14:textId="77777777" w:rsidR="008F14A4" w:rsidRPr="00434774" w:rsidRDefault="008F14A4" w:rsidP="001452E7">
      <w:pPr>
        <w:pStyle w:val="Textonotapie"/>
      </w:pPr>
      <w:r>
        <w:rPr>
          <w:rStyle w:val="Refdenotaalpie"/>
        </w:rPr>
        <w:footnoteRef/>
      </w:r>
      <w:r>
        <w:t xml:space="preserve"> Corte Constitucional, Sentencia C-521 de 2023. </w:t>
      </w:r>
    </w:p>
  </w:footnote>
  <w:footnote w:id="99">
    <w:p w14:paraId="20D9F9FF" w14:textId="77777777" w:rsidR="008F14A4" w:rsidRPr="00293D47" w:rsidRDefault="008F14A4" w:rsidP="006E3E10">
      <w:pPr>
        <w:pStyle w:val="Textonotapie"/>
        <w:spacing w:line="0" w:lineRule="atLeast"/>
        <w:jc w:val="both"/>
      </w:pPr>
      <w:r w:rsidRPr="00293D47">
        <w:rPr>
          <w:rStyle w:val="Refdenotaalpie"/>
        </w:rPr>
        <w:footnoteRef/>
      </w:r>
      <w:r w:rsidRPr="00293D47">
        <w:t xml:space="preserve"> Corte Constitucional, Sentencia C-442 de 2023. </w:t>
      </w:r>
    </w:p>
  </w:footnote>
  <w:footnote w:id="100">
    <w:p w14:paraId="0D22AC3B" w14:textId="49EF7286" w:rsidR="008F14A4" w:rsidRPr="006E3E10" w:rsidRDefault="008F14A4">
      <w:pPr>
        <w:pStyle w:val="Textonotapie"/>
        <w:rPr>
          <w:lang w:val="es-ES_tradnl"/>
        </w:rPr>
      </w:pPr>
      <w:r>
        <w:rPr>
          <w:rStyle w:val="Refdenotaalpie"/>
        </w:rPr>
        <w:footnoteRef/>
      </w:r>
      <w:r>
        <w:t xml:space="preserve"> Corte Constitucional. Sentecia C-267 de 2025. </w:t>
      </w:r>
    </w:p>
  </w:footnote>
  <w:footnote w:id="101">
    <w:p w14:paraId="424EE401" w14:textId="77777777" w:rsidR="008F14A4" w:rsidRPr="00293D47" w:rsidRDefault="008F14A4" w:rsidP="001452E7">
      <w:pPr>
        <w:pStyle w:val="Textonotapie"/>
        <w:spacing w:line="0" w:lineRule="atLeast"/>
        <w:jc w:val="both"/>
      </w:pPr>
      <w:r w:rsidRPr="00293D47">
        <w:rPr>
          <w:rStyle w:val="Refdenotaalpie"/>
        </w:rPr>
        <w:footnoteRef/>
      </w:r>
      <w:r w:rsidRPr="00293D47">
        <w:t xml:space="preserve"> Corte Constitucional, Sentencia C-442 de 2023. </w:t>
      </w:r>
    </w:p>
  </w:footnote>
  <w:footnote w:id="102">
    <w:p w14:paraId="2105FED7" w14:textId="4FA6DCE9" w:rsidR="008F14A4" w:rsidRPr="00C30F26" w:rsidRDefault="008F14A4" w:rsidP="006E3E10">
      <w:pPr>
        <w:pStyle w:val="Textonotapie"/>
        <w:spacing w:line="0" w:lineRule="atLeast"/>
        <w:jc w:val="both"/>
      </w:pPr>
      <w:r w:rsidRPr="00C30F26">
        <w:rPr>
          <w:rStyle w:val="Refdenotaalpie"/>
        </w:rPr>
        <w:footnoteRef/>
      </w:r>
      <w:r w:rsidRPr="00C30F26">
        <w:t xml:space="preserve"> </w:t>
      </w:r>
      <w:r>
        <w:t>Ibidem.</w:t>
      </w:r>
    </w:p>
  </w:footnote>
  <w:footnote w:id="103">
    <w:p w14:paraId="7E0E4BE1" w14:textId="0084D961" w:rsidR="008F14A4" w:rsidRPr="00C30F26" w:rsidRDefault="008F14A4" w:rsidP="006E3E10">
      <w:pPr>
        <w:pStyle w:val="Textonotapie"/>
        <w:spacing w:line="0" w:lineRule="atLeast"/>
        <w:jc w:val="both"/>
        <w:rPr>
          <w:lang w:val="es-ES_tradnl"/>
        </w:rPr>
      </w:pPr>
      <w:r w:rsidRPr="00C30F26">
        <w:rPr>
          <w:rStyle w:val="Refdenotaalpie"/>
        </w:rPr>
        <w:footnoteRef/>
      </w:r>
      <w:r w:rsidRPr="00C30F26">
        <w:t xml:space="preserve"> </w:t>
      </w:r>
      <w:r>
        <w:rPr>
          <w:lang w:val="es-ES_tradnl"/>
        </w:rPr>
        <w:t xml:space="preserve">Ibidem. </w:t>
      </w:r>
    </w:p>
  </w:footnote>
  <w:footnote w:id="104">
    <w:p w14:paraId="0581E569" w14:textId="77777777" w:rsidR="008F14A4" w:rsidRPr="00C30F26" w:rsidRDefault="008F14A4" w:rsidP="006E3E10">
      <w:pPr>
        <w:pStyle w:val="Textonotapie"/>
        <w:spacing w:line="0" w:lineRule="atLeast"/>
        <w:jc w:val="both"/>
      </w:pPr>
      <w:r w:rsidRPr="00C30F26">
        <w:rPr>
          <w:rStyle w:val="Refdenotaalpie"/>
        </w:rPr>
        <w:footnoteRef/>
      </w:r>
      <w:r w:rsidRPr="00C30F26">
        <w:t xml:space="preserve"> Corte Constitucional, Sentencia C-521 de 2023. </w:t>
      </w:r>
    </w:p>
  </w:footnote>
  <w:footnote w:id="105">
    <w:p w14:paraId="634AAB8F" w14:textId="77777777" w:rsidR="008F14A4" w:rsidRPr="00C30F26" w:rsidRDefault="008F14A4" w:rsidP="006E3E10">
      <w:pPr>
        <w:pStyle w:val="Textonotapie"/>
        <w:spacing w:line="0" w:lineRule="atLeast"/>
        <w:jc w:val="both"/>
      </w:pPr>
      <w:r w:rsidRPr="00C30F26">
        <w:rPr>
          <w:rStyle w:val="Refdenotaalpie"/>
        </w:rPr>
        <w:footnoteRef/>
      </w:r>
      <w:r w:rsidRPr="00C30F26">
        <w:t xml:space="preserve"> Corte Constitucional, sentencias C-122 de 1999 y C-136 de 1999. </w:t>
      </w:r>
    </w:p>
  </w:footnote>
  <w:footnote w:id="106">
    <w:p w14:paraId="42A4728D" w14:textId="77777777" w:rsidR="008F14A4" w:rsidRPr="00C30F26" w:rsidRDefault="008F14A4" w:rsidP="006E3E10">
      <w:pPr>
        <w:pStyle w:val="Textonotapie"/>
        <w:spacing w:line="0" w:lineRule="atLeast"/>
        <w:jc w:val="both"/>
        <w:rPr>
          <w:lang w:val="es-ES_tradnl"/>
        </w:rPr>
      </w:pPr>
      <w:r w:rsidRPr="00C30F26">
        <w:rPr>
          <w:rStyle w:val="Refdenotaalpie"/>
        </w:rPr>
        <w:footnoteRef/>
      </w:r>
      <w:r w:rsidRPr="00C30F26">
        <w:t xml:space="preserve"> </w:t>
      </w:r>
      <w:r w:rsidRPr="00C30F26">
        <w:rPr>
          <w:lang w:val="es-ES_tradnl"/>
        </w:rPr>
        <w:t xml:space="preserve">Ibidem. </w:t>
      </w:r>
    </w:p>
  </w:footnote>
  <w:footnote w:id="107">
    <w:p w14:paraId="39CB70C0" w14:textId="77777777" w:rsidR="008F14A4" w:rsidRPr="00C30F26" w:rsidRDefault="008F14A4" w:rsidP="006E3E10">
      <w:pPr>
        <w:pStyle w:val="Textonotapie"/>
        <w:spacing w:line="0" w:lineRule="atLeast"/>
        <w:jc w:val="both"/>
      </w:pPr>
      <w:r w:rsidRPr="00C30F26">
        <w:rPr>
          <w:rStyle w:val="Refdenotaalpie"/>
        </w:rPr>
        <w:footnoteRef/>
      </w:r>
      <w:r w:rsidRPr="00C30F26">
        <w:t xml:space="preserve"> Corte Constitucional, sentencias C-383 de 2023, C-439 de 2023 y C-521 de 2023. </w:t>
      </w:r>
    </w:p>
  </w:footnote>
  <w:footnote w:id="108">
    <w:p w14:paraId="0587BEAE" w14:textId="77777777" w:rsidR="008F14A4" w:rsidRPr="00C04588" w:rsidRDefault="008F14A4" w:rsidP="00C04588">
      <w:pPr>
        <w:pStyle w:val="Textonotapie"/>
        <w:spacing w:line="0" w:lineRule="atLeast"/>
        <w:jc w:val="both"/>
      </w:pPr>
      <w:r w:rsidRPr="00C04588">
        <w:rPr>
          <w:rStyle w:val="Refdenotaalpie"/>
        </w:rPr>
        <w:footnoteRef/>
      </w:r>
      <w:r w:rsidRPr="00C04588">
        <w:t xml:space="preserve"> Corte Constitucional, Sentencia C-488 de 1995, reiterada en las Sentencias C-135 de 1997, C-256 de 2011, entre otras. La inconstitucionalidad por consecuencia, “</w:t>
      </w:r>
      <w:r w:rsidRPr="00C04588">
        <w:rPr>
          <w:iCs/>
        </w:rPr>
        <w:t>no repercute en determinación alguna […] sobre la materialidad de cada uno de los decretos legislativos</w:t>
      </w:r>
      <w:r w:rsidRPr="00C04588">
        <w:t>, pues la invalidez proviene exclusivamente de “</w:t>
      </w:r>
      <w:r w:rsidRPr="00C04588">
        <w:rPr>
          <w:iCs/>
        </w:rPr>
        <w:t>la pérdida de sustento jurídico de la atribución presidencial legislativa, mas no de la oposición objetiva</w:t>
      </w:r>
      <w:r w:rsidRPr="00C04588">
        <w:t xml:space="preserve"> de tales decretos con la Constitución”.</w:t>
      </w:r>
    </w:p>
  </w:footnote>
  <w:footnote w:id="109">
    <w:p w14:paraId="597FEA14" w14:textId="0344B7D9" w:rsidR="008F14A4" w:rsidRPr="00DF263F" w:rsidRDefault="008F14A4">
      <w:pPr>
        <w:pStyle w:val="Textonotapie"/>
        <w:rPr>
          <w:lang w:val="es-ES_tradnl"/>
        </w:rPr>
      </w:pPr>
      <w:r w:rsidRPr="00DF263F">
        <w:rPr>
          <w:rStyle w:val="Refdenotaalpie"/>
        </w:rPr>
        <w:footnoteRef/>
      </w:r>
      <w:r w:rsidRPr="00DF263F">
        <w:t xml:space="preserve"> </w:t>
      </w:r>
      <w:r w:rsidRPr="00DF263F">
        <w:rPr>
          <w:lang w:val="es-ES_tradnl"/>
        </w:rPr>
        <w:t xml:space="preserve">Al respecto ver las sentencias C-218 de 2015, C-442 de 2023 y C-467 de 2023, entre otras. </w:t>
      </w:r>
    </w:p>
  </w:footnote>
  <w:footnote w:id="110">
    <w:p w14:paraId="4DF250F3" w14:textId="49635CDF" w:rsidR="008F14A4" w:rsidRPr="008F14A4" w:rsidRDefault="008F14A4" w:rsidP="00DF263F">
      <w:pPr>
        <w:jc w:val="both"/>
        <w:rPr>
          <w:color w:val="000000" w:themeColor="text1"/>
          <w:sz w:val="20"/>
          <w:szCs w:val="20"/>
        </w:rPr>
      </w:pPr>
      <w:r w:rsidRPr="008F14A4">
        <w:rPr>
          <w:rStyle w:val="Refdenotaalpie"/>
          <w:sz w:val="20"/>
          <w:szCs w:val="20"/>
        </w:rPr>
        <w:footnoteRef/>
      </w:r>
      <w:r w:rsidRPr="008F14A4">
        <w:rPr>
          <w:sz w:val="20"/>
          <w:szCs w:val="20"/>
        </w:rPr>
        <w:t xml:space="preserve"> Por ejemplo, </w:t>
      </w:r>
      <w:r w:rsidRPr="008F14A4">
        <w:rPr>
          <w:color w:val="000000" w:themeColor="text1"/>
          <w:sz w:val="20"/>
          <w:szCs w:val="20"/>
        </w:rPr>
        <w:t xml:space="preserve">en la Sentencia C-619 de 2003, la Corte sistematizó la facultad de modular los efectos temporales de sus sentencias y fijó la regla de ponderación entre la supremacía constitucional, que aconseja efectos </w:t>
      </w:r>
      <w:r w:rsidRPr="008F14A4">
        <w:rPr>
          <w:i/>
          <w:iCs/>
          <w:color w:val="000000" w:themeColor="text1"/>
          <w:sz w:val="20"/>
          <w:szCs w:val="20"/>
        </w:rPr>
        <w:t>ex tunc</w:t>
      </w:r>
      <w:r w:rsidRPr="008F14A4">
        <w:rPr>
          <w:color w:val="000000" w:themeColor="text1"/>
          <w:sz w:val="20"/>
          <w:szCs w:val="20"/>
        </w:rPr>
        <w:t xml:space="preserve">, y la seguridad jurídica, que sugiere efectos </w:t>
      </w:r>
      <w:r w:rsidRPr="008F14A4">
        <w:rPr>
          <w:i/>
          <w:iCs/>
          <w:color w:val="000000" w:themeColor="text1"/>
          <w:sz w:val="20"/>
          <w:szCs w:val="20"/>
        </w:rPr>
        <w:t>ex nunc</w:t>
      </w:r>
      <w:r w:rsidRPr="008F14A4">
        <w:rPr>
          <w:color w:val="000000" w:themeColor="text1"/>
          <w:sz w:val="20"/>
          <w:szCs w:val="20"/>
        </w:rPr>
        <w:t>. Específicamente, afirmó que “los efectos retroactivos de la sentencia de inexequibilidad encuentran un sólido respaldo en el principio de supremacía constitucional y la realización de otros valores o principios contenidos en ella no menos importantes.  Bajo esta óptica se afirma que por tratarse de un vicio que afectaba la validez de la norma, sus efectos deben ser </w:t>
      </w:r>
      <w:r w:rsidRPr="008F14A4">
        <w:rPr>
          <w:i/>
          <w:iCs/>
          <w:color w:val="000000" w:themeColor="text1"/>
          <w:sz w:val="20"/>
          <w:szCs w:val="20"/>
        </w:rPr>
        <w:t>ex tunc</w:t>
      </w:r>
      <w:r w:rsidRPr="008F14A4">
        <w:rPr>
          <w:color w:val="000000" w:themeColor="text1"/>
          <w:sz w:val="20"/>
          <w:szCs w:val="20"/>
        </w:rPr>
        <w:t> –desde siempre- cual si se tratara de una nulidad, para deshacer las consecuencias derivadas de la aplicación de esa normas espurias siempre y cuando las condiciones fácticas y jurídicas así lo permitan”. Además, la Sentencia C-507 de 2020 decantó los tres escenarios excepcionales en que procede atribuir efectos retroactivos a una declaratoria de inexequibilidad: “(i) en los casos en que, desde la entrada en vigor de la Constitución de 1991, era evidente que la disposición acusada resultaba contraria al texto superior; (ii) en el evento en que los alcances retroactivos del fallo son indispensables para asegurar la protección de derechos constitucionales abiertamente desconocidos; y, (iii) en aquellas circunstancias en las que el efecto retroactivo del fallo es imprescindible para sancionar una violación flagrante y deliberada de la Constitución”. Asimismo, se indicó que “los efectos de una sentencia de inconstitucionalidad dimanan de un ejercicio ponderativo en el que se oponen dos valores sumamente relevantes: la seguridad jurídica y la supremacía constitucional”.</w:t>
      </w:r>
    </w:p>
  </w:footnote>
  <w:footnote w:id="111">
    <w:p w14:paraId="7512F65A" w14:textId="0D4EBF86" w:rsidR="008F14A4" w:rsidRPr="002B51AB" w:rsidRDefault="008F14A4" w:rsidP="002B51AB">
      <w:pPr>
        <w:pStyle w:val="Textonotapie"/>
        <w:jc w:val="both"/>
      </w:pPr>
      <w:r w:rsidRPr="008F14A4">
        <w:rPr>
          <w:rStyle w:val="Refdenotaalpie"/>
        </w:rPr>
        <w:footnoteRef/>
      </w:r>
      <w:r w:rsidRPr="008F14A4">
        <w:t xml:space="preserve"> El IVA sobre los juegos de suerte y azar operados exclusivamente por internet, el impuesto de timbre y el Impuesto Especial para el Catatumbo</w:t>
      </w:r>
    </w:p>
  </w:footnote>
  <w:footnote w:id="112">
    <w:p w14:paraId="07B0FC9C" w14:textId="77777777" w:rsidR="008F14A4" w:rsidRPr="00C04588" w:rsidRDefault="008F14A4" w:rsidP="00CE39EB">
      <w:pPr>
        <w:pStyle w:val="Prrafodelista"/>
        <w:ind w:left="0" w:right="49"/>
        <w:jc w:val="both"/>
        <w:rPr>
          <w:sz w:val="20"/>
          <w:szCs w:val="20"/>
        </w:rPr>
      </w:pPr>
      <w:r w:rsidRPr="00C04588">
        <w:rPr>
          <w:rStyle w:val="Refdenotaalpie"/>
          <w:sz w:val="20"/>
          <w:szCs w:val="20"/>
        </w:rPr>
        <w:footnoteRef/>
      </w:r>
      <w:r w:rsidRPr="00C04588">
        <w:rPr>
          <w:sz w:val="20"/>
          <w:szCs w:val="20"/>
        </w:rPr>
        <w:t xml:space="preserve"> </w:t>
      </w:r>
      <w:r w:rsidRPr="00C04588">
        <w:rPr>
          <w:sz w:val="20"/>
          <w:szCs w:val="20"/>
          <w:lang w:val="es-ES_tradnl"/>
        </w:rPr>
        <w:t>Este rango de tiempo tiene en cuenta lo resuelto en el Auto 084 del 29 de enero de 2026 en el sentido de que “</w:t>
      </w:r>
      <w:r w:rsidRPr="00C04588">
        <w:rPr>
          <w:sz w:val="20"/>
          <w:szCs w:val="20"/>
        </w:rPr>
        <w:t>[c]omo consecuencia de lo decidido en Auto 082 del 29 de enero de 2026</w:t>
      </w:r>
      <w:r w:rsidRPr="00C04588">
        <w:rPr>
          <w:rStyle w:val="Refdenotaalpie"/>
          <w:sz w:val="20"/>
          <w:szCs w:val="20"/>
        </w:rPr>
        <w:footnoteRef/>
      </w:r>
      <w:r w:rsidRPr="00C04588">
        <w:rPr>
          <w:sz w:val="20"/>
          <w:szCs w:val="20"/>
        </w:rPr>
        <w:t xml:space="preserve">, </w:t>
      </w:r>
      <w:r w:rsidRPr="00C04588">
        <w:rPr>
          <w:b/>
          <w:sz w:val="20"/>
          <w:szCs w:val="20"/>
        </w:rPr>
        <w:t>NO PRODUCIRÁ EFECTOS</w:t>
      </w:r>
      <w:r w:rsidRPr="00C04588">
        <w:rPr>
          <w:sz w:val="20"/>
          <w:szCs w:val="20"/>
        </w:rPr>
        <w:t>, a partir de la fecha, el Decreto Legislativo 1474 de 2025 “[p]or el cual se adoptan medidas tributarias destinadas a atender los gastos del Presupuesto General de la Nación necesarios para hacer frente al Estado de Emergencia declarado por el Decreto 1390 de 2025”, hasta que la Sala Plena de esta Corte profiera una decisión definitiva respecto de la constitucionalidad del mencionado decreto”.</w:t>
      </w:r>
    </w:p>
  </w:footnote>
  <w:footnote w:id="113">
    <w:p w14:paraId="2BD7A9E4" w14:textId="77777777" w:rsidR="008F14A4" w:rsidRPr="00C04588" w:rsidRDefault="008F14A4" w:rsidP="00CE39EB">
      <w:pPr>
        <w:pStyle w:val="Textonotapie"/>
        <w:jc w:val="both"/>
        <w:rPr>
          <w:lang w:val="es-ES_tradnl"/>
        </w:rPr>
      </w:pPr>
      <w:r w:rsidRPr="00C04588">
        <w:rPr>
          <w:rStyle w:val="Refdenotaalpie"/>
          <w:rFonts w:eastAsiaTheme="majorEastAsia"/>
        </w:rPr>
        <w:footnoteRef/>
      </w:r>
      <w:r w:rsidRPr="00C04588">
        <w:t xml:space="preserve"> </w:t>
      </w:r>
      <w:r w:rsidRPr="00C04588">
        <w:rPr>
          <w:lang w:val="es-ES_tradnl"/>
        </w:rPr>
        <w:t xml:space="preserve">Al respecto se tienen los artículos 4 y 5 (impuesto al patrimonio), 6 (incremento en el impuesto sobre la renta para el sector financiero), 14 (no deducibilidad de regalías en el impuesto de renta), 24-31 (impuesto complementario de normalización tributaria).  </w:t>
      </w:r>
    </w:p>
  </w:footnote>
  <w:footnote w:id="114">
    <w:p w14:paraId="0B9D52AB" w14:textId="77777777" w:rsidR="008F14A4" w:rsidRPr="00C04588" w:rsidRDefault="008F14A4" w:rsidP="00CE39EB">
      <w:pPr>
        <w:pStyle w:val="Textonotapie"/>
        <w:jc w:val="both"/>
        <w:rPr>
          <w:lang w:val="es-ES_tradnl"/>
        </w:rPr>
      </w:pPr>
      <w:r w:rsidRPr="00C04588">
        <w:rPr>
          <w:rStyle w:val="Refdenotaalpie"/>
          <w:rFonts w:eastAsiaTheme="majorEastAsia"/>
        </w:rPr>
        <w:footnoteRef/>
      </w:r>
      <w:r w:rsidRPr="00C04588">
        <w:t xml:space="preserve"> </w:t>
      </w:r>
      <w:r w:rsidRPr="00C04588">
        <w:rPr>
          <w:lang w:val="es-ES_tradnl"/>
        </w:rPr>
        <w:t xml:space="preserve">Artículo 4, 5 y 6. </w:t>
      </w:r>
    </w:p>
  </w:footnote>
  <w:footnote w:id="115">
    <w:p w14:paraId="2D791E7F" w14:textId="77777777" w:rsidR="008F14A4" w:rsidRPr="00C04588" w:rsidRDefault="008F14A4" w:rsidP="00CE39EB">
      <w:pPr>
        <w:pStyle w:val="Textonotapie"/>
        <w:jc w:val="both"/>
        <w:rPr>
          <w:lang w:val="es-ES_tradnl"/>
        </w:rPr>
      </w:pPr>
      <w:r w:rsidRPr="00C04588">
        <w:rPr>
          <w:rStyle w:val="Refdenotaalpie"/>
          <w:rFonts w:eastAsiaTheme="majorEastAsia"/>
        </w:rPr>
        <w:footnoteRef/>
      </w:r>
      <w:r w:rsidRPr="00C04588">
        <w:t xml:space="preserve"> </w:t>
      </w:r>
      <w:r w:rsidRPr="00C04588">
        <w:rPr>
          <w:lang w:val="es-ES_tradnl"/>
        </w:rPr>
        <w:t>Artículo 31.</w:t>
      </w:r>
    </w:p>
  </w:footnote>
  <w:footnote w:id="116">
    <w:p w14:paraId="1A93C6B4" w14:textId="77777777" w:rsidR="008F14A4" w:rsidRPr="00C04588" w:rsidRDefault="008F14A4" w:rsidP="00CE39EB">
      <w:pPr>
        <w:pStyle w:val="Textonotapie"/>
        <w:jc w:val="both"/>
        <w:rPr>
          <w:lang w:val="es-ES_tradnl"/>
        </w:rPr>
      </w:pPr>
      <w:r w:rsidRPr="00C04588">
        <w:rPr>
          <w:rStyle w:val="Refdenotaalpie"/>
          <w:rFonts w:eastAsiaTheme="majorEastAsia"/>
        </w:rPr>
        <w:footnoteRef/>
      </w:r>
      <w:r w:rsidRPr="00C04588">
        <w:t xml:space="preserve"> </w:t>
      </w:r>
      <w:r w:rsidRPr="00C04588">
        <w:rPr>
          <w:lang w:val="es-ES_tradnl"/>
        </w:rPr>
        <w:t xml:space="preserve">Artículo 14. </w:t>
      </w:r>
    </w:p>
  </w:footnote>
  <w:footnote w:id="117">
    <w:p w14:paraId="323AB5B1" w14:textId="77777777" w:rsidR="008F14A4" w:rsidRPr="00C04588" w:rsidRDefault="008F14A4" w:rsidP="00CE39EB">
      <w:pPr>
        <w:pStyle w:val="Prrafodelista"/>
        <w:spacing w:line="0" w:lineRule="atLeast"/>
        <w:ind w:left="0"/>
        <w:jc w:val="both"/>
        <w:rPr>
          <w:sz w:val="20"/>
          <w:szCs w:val="20"/>
          <w:lang w:val="es-ES"/>
        </w:rPr>
      </w:pPr>
      <w:r w:rsidRPr="00C04588">
        <w:rPr>
          <w:rStyle w:val="Refdenotaalpie"/>
          <w:sz w:val="20"/>
          <w:szCs w:val="20"/>
        </w:rPr>
        <w:footnoteRef/>
      </w:r>
      <w:r w:rsidRPr="00C04588">
        <w:rPr>
          <w:sz w:val="20"/>
          <w:szCs w:val="20"/>
        </w:rPr>
        <w:t xml:space="preserve"> Al respecto se tienen los artículos 1 (</w:t>
      </w:r>
      <w:r w:rsidRPr="00C04588">
        <w:rPr>
          <w:sz w:val="20"/>
          <w:szCs w:val="20"/>
          <w:lang w:val="es-ES"/>
        </w:rPr>
        <w:t xml:space="preserve">IVA a la tarifa del 19% sobre los bienes sujetos al impuesto al consumo de licores, vinos, aperitivos y similares), 2 (IVA en los juegos de suerte y azar operados exclusivamente por internet), 3 (Exclusión del IVA), 7 (IVA para bienes de lujo), 8-13 (Impuesto especial para la estabilización fiscal), 15 (Tarifas del impuesto al consumo de licores, vinos, aperitivos y similares), 16-19 (Impuesto al consumo de cigarrillos y tabaco elaborado). </w:t>
      </w:r>
    </w:p>
  </w:footnote>
  <w:footnote w:id="118">
    <w:p w14:paraId="6B3C32E5" w14:textId="4F86BA1A" w:rsidR="008F14A4" w:rsidRPr="005A5DE6" w:rsidRDefault="008F14A4" w:rsidP="00015BB8">
      <w:pPr>
        <w:pStyle w:val="Textonotapie"/>
        <w:jc w:val="both"/>
      </w:pPr>
      <w:r w:rsidRPr="005A5DE6">
        <w:rPr>
          <w:rStyle w:val="Refdenotaalpie"/>
        </w:rPr>
        <w:footnoteRef/>
      </w:r>
      <w:r w:rsidRPr="005A5DE6">
        <w:t xml:space="preserve"> </w:t>
      </w:r>
      <w:r w:rsidRPr="002B51AB">
        <w:t>Corte Constitucional, sentencia C-431 de 2025: “</w:t>
      </w:r>
      <w:r w:rsidRPr="002B51AB">
        <w:rPr>
          <w:lang w:val="es-ES"/>
        </w:rPr>
        <w:t>[c]</w:t>
      </w:r>
      <w:r w:rsidRPr="002B51AB">
        <w:rPr>
          <w:iCs/>
          <w:lang w:val="es-ES"/>
        </w:rPr>
        <w:t xml:space="preserve">onviene recordar en este punto que el IEC es </w:t>
      </w:r>
      <w:r w:rsidRPr="002B51AB">
        <w:rPr>
          <w:b/>
          <w:bCs/>
          <w:iCs/>
          <w:lang w:val="es-ES"/>
        </w:rPr>
        <w:t>un </w:t>
      </w:r>
      <w:r w:rsidRPr="002B51AB">
        <w:rPr>
          <w:b/>
          <w:bCs/>
          <w:iCs/>
          <w:lang w:val="es-ES_tradnl"/>
        </w:rPr>
        <w:t>impuesto temporal, instantáneo y de destinación específica, a lo que se suma su naturaleza de impuesto indirecto, en tanto la carga económica derivada de la imposición podrá ser trasladada a terceros compradores, mediante el mecanismo de los precios</w:t>
      </w:r>
      <w:r>
        <w:rPr>
          <w:b/>
          <w:bCs/>
          <w:iCs/>
          <w:u w:val="single"/>
          <w:vertAlign w:val="superscript"/>
          <w:lang w:val="es-ES_tradnl"/>
        </w:rPr>
        <w:t xml:space="preserve"> </w:t>
      </w:r>
      <w:r w:rsidRPr="002B51AB">
        <w:rPr>
          <w:b/>
          <w:bCs/>
          <w:iCs/>
          <w:lang w:val="es-ES_tradnl"/>
        </w:rPr>
        <w:t>y de gravamen plurifásico -en tanto permite la causación en más de una instancia de la cadena de valor</w:t>
      </w:r>
      <w:r w:rsidRPr="002B51AB">
        <w:rPr>
          <w:iCs/>
          <w:lang w:val="es-ES_tradnl"/>
        </w:rPr>
        <w:t>-. El elemento fundamental en esta imposición lo constituye la extracción de los recursos naturales, que es utilizada por el legislador extraordinario como indicador de capacidad contributiva y generador de la imposición. En este aspecto, los artículos 2 y 3 del Decreto 175 de 2025 desarrollan y especifican los hechos generadores del IEC destacando, en lo más relevante, que consisten en (i) la primera venta dentro o desde el territorio nacional de hidrocarburos y carbón; y (ii) la presentación y aceptación de la solicitud de autorización de embarque al resto del mundo, de hidrocarburos y carbón, a los que se refiere la norma</w:t>
      </w:r>
      <w:r>
        <w:rPr>
          <w:lang w:val="es-ES_tradnl"/>
        </w:rPr>
        <w:t>” (énfasis añadido).</w:t>
      </w:r>
    </w:p>
  </w:footnote>
  <w:footnote w:id="119">
    <w:p w14:paraId="7F7960B7" w14:textId="77777777" w:rsidR="008F14A4" w:rsidRPr="005A5DE6" w:rsidRDefault="008F14A4" w:rsidP="00015BB8">
      <w:pPr>
        <w:pStyle w:val="Textonotapie"/>
      </w:pPr>
      <w:r w:rsidRPr="005A5DE6">
        <w:rPr>
          <w:rStyle w:val="Refdenotaalpie"/>
        </w:rPr>
        <w:footnoteRef/>
      </w:r>
      <w:r w:rsidRPr="005A5DE6">
        <w:t xml:space="preserve"> </w:t>
      </w:r>
      <w:r>
        <w:t xml:space="preserve">Entre los dos impuestos sólo hubo un cambio y tiene que ver con la inclusión en el IEF de un umbral en los sujetos pasivos. Dicho cambio no afecta ni la naturaleza, ni la lógica jurídica que, por demás, son idénticas para ambos tributos. </w:t>
      </w:r>
    </w:p>
  </w:footnote>
  <w:footnote w:id="120">
    <w:p w14:paraId="11591A06" w14:textId="77777777" w:rsidR="008F14A4" w:rsidRPr="00C04588" w:rsidRDefault="008F14A4" w:rsidP="00CE39EB">
      <w:pPr>
        <w:spacing w:line="0" w:lineRule="atLeast"/>
        <w:jc w:val="both"/>
        <w:rPr>
          <w:sz w:val="20"/>
          <w:szCs w:val="20"/>
        </w:rPr>
      </w:pPr>
      <w:r w:rsidRPr="00C04588">
        <w:rPr>
          <w:rStyle w:val="Refdenotaalpie"/>
          <w:rFonts w:eastAsiaTheme="minorHAnsi"/>
          <w:sz w:val="20"/>
          <w:szCs w:val="20"/>
        </w:rPr>
        <w:footnoteRef/>
      </w:r>
      <w:r w:rsidRPr="00C04588">
        <w:rPr>
          <w:sz w:val="20"/>
          <w:szCs w:val="20"/>
        </w:rPr>
        <w:t xml:space="preserve"> Expediente digital, archivo “RE0000388-Pruebas del Expediente (Recepción y Paso al Despacho)-(2026-01-22 17-42-00).pdf”. </w:t>
      </w:r>
    </w:p>
  </w:footnote>
  <w:footnote w:id="121">
    <w:p w14:paraId="28B8547D" w14:textId="570E28A8" w:rsidR="008F14A4" w:rsidRPr="00A71DAF" w:rsidRDefault="008F14A4">
      <w:pPr>
        <w:pStyle w:val="Textonotapie"/>
        <w:rPr>
          <w:lang w:val="es-ES_tradnl"/>
        </w:rPr>
      </w:pPr>
      <w:r>
        <w:rPr>
          <w:rStyle w:val="Refdenotaalpie"/>
        </w:rPr>
        <w:footnoteRef/>
      </w:r>
      <w:r>
        <w:t xml:space="preserve"> </w:t>
      </w:r>
      <w:r>
        <w:rPr>
          <w:lang w:val="es-ES_tradnl"/>
        </w:rPr>
        <w:t xml:space="preserve">Corte Constitucional, Sentencia C-431 de 2025. </w:t>
      </w:r>
    </w:p>
  </w:footnote>
  <w:footnote w:id="122">
    <w:p w14:paraId="620D47D3" w14:textId="7612C15E" w:rsidR="008F14A4" w:rsidRPr="005A0B88" w:rsidRDefault="008F14A4">
      <w:pPr>
        <w:pStyle w:val="Textonotapie"/>
        <w:rPr>
          <w:lang w:val="es-ES_tradnl"/>
        </w:rPr>
      </w:pPr>
      <w:r>
        <w:rPr>
          <w:rStyle w:val="Refdenotaalpie"/>
        </w:rPr>
        <w:footnoteRef/>
      </w:r>
      <w:r>
        <w:t xml:space="preserve"> </w:t>
      </w:r>
      <w:r>
        <w:rPr>
          <w:lang w:val="es-ES_tradnl"/>
        </w:rPr>
        <w:t xml:space="preserve">Corte Constitucional, sentencia C-878 de 2011 y C-952 de 2007. </w:t>
      </w:r>
    </w:p>
  </w:footnote>
  <w:footnote w:id="123">
    <w:p w14:paraId="1B1004DB" w14:textId="29CD925C" w:rsidR="008F14A4" w:rsidRPr="00FB53B1" w:rsidRDefault="008F14A4">
      <w:pPr>
        <w:pStyle w:val="Textonotapie"/>
        <w:rPr>
          <w:lang w:val="es-ES_tradnl"/>
        </w:rPr>
      </w:pPr>
      <w:r>
        <w:rPr>
          <w:rStyle w:val="Refdenotaalpie"/>
        </w:rPr>
        <w:footnoteRef/>
      </w:r>
      <w:r>
        <w:t xml:space="preserve"> Corte Constitucional, Sentencia C-514 de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39A19" w14:textId="77777777" w:rsidR="008F14A4" w:rsidRDefault="008F14A4">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39A1B" w14:textId="2846E032" w:rsidR="008F14A4" w:rsidRPr="005D157F" w:rsidRDefault="008F14A4" w:rsidP="549C4BF6">
    <w:pPr>
      <w:pBdr>
        <w:top w:val="nil"/>
        <w:left w:val="nil"/>
        <w:bottom w:val="nil"/>
        <w:right w:val="nil"/>
        <w:between w:val="nil"/>
      </w:pBdr>
      <w:tabs>
        <w:tab w:val="center" w:pos="4419"/>
        <w:tab w:val="right" w:pos="8838"/>
        <w:tab w:val="right" w:pos="9214"/>
      </w:tabs>
      <w:rPr>
        <w:color w:val="000000" w:themeColor="text1"/>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39A1E" w14:textId="77777777" w:rsidR="008F14A4" w:rsidRDefault="008F14A4">
    <w:pPr>
      <w:pBdr>
        <w:top w:val="nil"/>
        <w:left w:val="nil"/>
        <w:bottom w:val="nil"/>
        <w:right w:val="nil"/>
        <w:between w:val="nil"/>
      </w:pBdr>
      <w:tabs>
        <w:tab w:val="center" w:pos="4419"/>
        <w:tab w:val="right" w:pos="8838"/>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D21C2" w14:textId="77777777" w:rsidR="008F14A4" w:rsidRPr="005D157F" w:rsidRDefault="008F14A4" w:rsidP="549C4BF6">
    <w:pPr>
      <w:pBdr>
        <w:top w:val="nil"/>
        <w:left w:val="nil"/>
        <w:bottom w:val="nil"/>
        <w:right w:val="nil"/>
        <w:between w:val="nil"/>
      </w:pBdr>
      <w:tabs>
        <w:tab w:val="center" w:pos="4419"/>
        <w:tab w:val="right" w:pos="8838"/>
        <w:tab w:val="right" w:pos="9214"/>
      </w:tabs>
      <w:rPr>
        <w:color w:val="000000" w:themeColor="text1"/>
        <w:sz w:val="20"/>
        <w:szCs w:val="20"/>
      </w:rPr>
    </w:pPr>
  </w:p>
</w:hdr>
</file>

<file path=word/intelligence2.xml><?xml version="1.0" encoding="utf-8"?>
<int2:intelligence xmlns:int2="http://schemas.microsoft.com/office/intelligence/2020/intelligence" xmlns:oel="http://schemas.microsoft.com/office/2019/extlst">
  <int2:observations>
    <int2:textHash int2:hashCode="9ODLzNWP/SrYTG" int2:id="slVJvmD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41485"/>
    <w:multiLevelType w:val="multilevel"/>
    <w:tmpl w:val="D0DE76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E71B0"/>
    <w:multiLevelType w:val="multilevel"/>
    <w:tmpl w:val="8530E4B8"/>
    <w:lvl w:ilvl="0">
      <w:start w:val="1"/>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800" w:hanging="180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2" w15:restartNumberingAfterBreak="0">
    <w:nsid w:val="03354949"/>
    <w:multiLevelType w:val="hybridMultilevel"/>
    <w:tmpl w:val="F9864B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85016C0"/>
    <w:multiLevelType w:val="multilevel"/>
    <w:tmpl w:val="E14A76B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FD79F5"/>
    <w:multiLevelType w:val="hybridMultilevel"/>
    <w:tmpl w:val="F64A3E90"/>
    <w:lvl w:ilvl="0" w:tplc="65EC9782">
      <w:start w:val="1"/>
      <w:numFmt w:val="decimal"/>
      <w:lvlText w:val="%1."/>
      <w:lvlJc w:val="left"/>
      <w:pPr>
        <w:ind w:left="360" w:hanging="360"/>
      </w:pPr>
      <w:rPr>
        <w:rFonts w:hint="default"/>
        <w:b w:val="0"/>
        <w:bCs/>
        <w:i w:val="0"/>
        <w:i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E3F4193"/>
    <w:multiLevelType w:val="multilevel"/>
    <w:tmpl w:val="E0FA68A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572CE"/>
    <w:multiLevelType w:val="multilevel"/>
    <w:tmpl w:val="42123C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EE0DDE"/>
    <w:multiLevelType w:val="multilevel"/>
    <w:tmpl w:val="7BA4A2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C03069"/>
    <w:multiLevelType w:val="multilevel"/>
    <w:tmpl w:val="6542152E"/>
    <w:lvl w:ilvl="0">
      <w:start w:val="1"/>
      <w:numFmt w:val="decimal"/>
      <w:lvlText w:val="%1."/>
      <w:lvlJc w:val="left"/>
      <w:pPr>
        <w:ind w:left="0" w:firstLine="0"/>
      </w:pPr>
      <w:rPr>
        <w:rFonts w:hint="default"/>
        <w:spacing w:val="0"/>
        <w:w w:val="100"/>
        <w14:ligatures w14:val="none"/>
        <w14:numForm w14:val="default"/>
        <w14:numSpacing w14:val="default"/>
        <w14:stylisticSet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CC445A9"/>
    <w:multiLevelType w:val="multilevel"/>
    <w:tmpl w:val="3826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8F7E80"/>
    <w:multiLevelType w:val="hybridMultilevel"/>
    <w:tmpl w:val="99F4D10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32E60A6"/>
    <w:multiLevelType w:val="multilevel"/>
    <w:tmpl w:val="F214969E"/>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25CC2E45"/>
    <w:multiLevelType w:val="multilevel"/>
    <w:tmpl w:val="70002E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1874E0"/>
    <w:multiLevelType w:val="multilevel"/>
    <w:tmpl w:val="2416C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867FC6"/>
    <w:multiLevelType w:val="multilevel"/>
    <w:tmpl w:val="4574FD8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315BEB"/>
    <w:multiLevelType w:val="hybridMultilevel"/>
    <w:tmpl w:val="0A5E095E"/>
    <w:lvl w:ilvl="0" w:tplc="B024CD64">
      <w:start w:val="1"/>
      <w:numFmt w:val="decimal"/>
      <w:lvlText w:val="%1."/>
      <w:lvlJc w:val="left"/>
      <w:pPr>
        <w:ind w:left="644" w:hanging="360"/>
      </w:pPr>
      <w:rPr>
        <w:rFonts w:hint="default"/>
        <w:i w:val="0"/>
        <w:iCs w:val="0"/>
      </w:r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16" w15:restartNumberingAfterBreak="0">
    <w:nsid w:val="32105192"/>
    <w:multiLevelType w:val="hybridMultilevel"/>
    <w:tmpl w:val="DF2E89CA"/>
    <w:lvl w:ilvl="0" w:tplc="D7D6C474">
      <w:start w:val="1"/>
      <w:numFmt w:val="decimal"/>
      <w:suff w:val="space"/>
      <w:lvlText w:val="%1."/>
      <w:lvlJc w:val="left"/>
      <w:pPr>
        <w:ind w:left="0" w:firstLine="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3BB9E0F"/>
    <w:multiLevelType w:val="hybridMultilevel"/>
    <w:tmpl w:val="09F0BBA4"/>
    <w:lvl w:ilvl="0" w:tplc="16588B40">
      <w:start w:val="1"/>
      <w:numFmt w:val="bullet"/>
      <w:lvlText w:val="-"/>
      <w:lvlJc w:val="left"/>
      <w:pPr>
        <w:ind w:left="720" w:hanging="360"/>
      </w:pPr>
      <w:rPr>
        <w:rFonts w:ascii="Aptos" w:hAnsi="Aptos" w:hint="default"/>
      </w:rPr>
    </w:lvl>
    <w:lvl w:ilvl="1" w:tplc="AE0CB8D8">
      <w:start w:val="1"/>
      <w:numFmt w:val="bullet"/>
      <w:lvlText w:val="o"/>
      <w:lvlJc w:val="left"/>
      <w:pPr>
        <w:ind w:left="1440" w:hanging="360"/>
      </w:pPr>
      <w:rPr>
        <w:rFonts w:ascii="Courier New" w:hAnsi="Courier New" w:hint="default"/>
      </w:rPr>
    </w:lvl>
    <w:lvl w:ilvl="2" w:tplc="D8389B64">
      <w:start w:val="1"/>
      <w:numFmt w:val="bullet"/>
      <w:lvlText w:val=""/>
      <w:lvlJc w:val="left"/>
      <w:pPr>
        <w:ind w:left="2160" w:hanging="360"/>
      </w:pPr>
      <w:rPr>
        <w:rFonts w:ascii="Wingdings" w:hAnsi="Wingdings" w:hint="default"/>
      </w:rPr>
    </w:lvl>
    <w:lvl w:ilvl="3" w:tplc="D16A762A">
      <w:start w:val="1"/>
      <w:numFmt w:val="bullet"/>
      <w:lvlText w:val=""/>
      <w:lvlJc w:val="left"/>
      <w:pPr>
        <w:ind w:left="2880" w:hanging="360"/>
      </w:pPr>
      <w:rPr>
        <w:rFonts w:ascii="Symbol" w:hAnsi="Symbol" w:hint="default"/>
      </w:rPr>
    </w:lvl>
    <w:lvl w:ilvl="4" w:tplc="9FDC33F2">
      <w:start w:val="1"/>
      <w:numFmt w:val="bullet"/>
      <w:lvlText w:val="o"/>
      <w:lvlJc w:val="left"/>
      <w:pPr>
        <w:ind w:left="3600" w:hanging="360"/>
      </w:pPr>
      <w:rPr>
        <w:rFonts w:ascii="Courier New" w:hAnsi="Courier New" w:hint="default"/>
      </w:rPr>
    </w:lvl>
    <w:lvl w:ilvl="5" w:tplc="2A72C1AC">
      <w:start w:val="1"/>
      <w:numFmt w:val="bullet"/>
      <w:lvlText w:val=""/>
      <w:lvlJc w:val="left"/>
      <w:pPr>
        <w:ind w:left="4320" w:hanging="360"/>
      </w:pPr>
      <w:rPr>
        <w:rFonts w:ascii="Wingdings" w:hAnsi="Wingdings" w:hint="default"/>
      </w:rPr>
    </w:lvl>
    <w:lvl w:ilvl="6" w:tplc="8B9C5CF8">
      <w:start w:val="1"/>
      <w:numFmt w:val="bullet"/>
      <w:lvlText w:val=""/>
      <w:lvlJc w:val="left"/>
      <w:pPr>
        <w:ind w:left="5040" w:hanging="360"/>
      </w:pPr>
      <w:rPr>
        <w:rFonts w:ascii="Symbol" w:hAnsi="Symbol" w:hint="default"/>
      </w:rPr>
    </w:lvl>
    <w:lvl w:ilvl="7" w:tplc="0E24D83A">
      <w:start w:val="1"/>
      <w:numFmt w:val="bullet"/>
      <w:lvlText w:val="o"/>
      <w:lvlJc w:val="left"/>
      <w:pPr>
        <w:ind w:left="5760" w:hanging="360"/>
      </w:pPr>
      <w:rPr>
        <w:rFonts w:ascii="Courier New" w:hAnsi="Courier New" w:hint="default"/>
      </w:rPr>
    </w:lvl>
    <w:lvl w:ilvl="8" w:tplc="B42A4930">
      <w:start w:val="1"/>
      <w:numFmt w:val="bullet"/>
      <w:lvlText w:val=""/>
      <w:lvlJc w:val="left"/>
      <w:pPr>
        <w:ind w:left="6480" w:hanging="360"/>
      </w:pPr>
      <w:rPr>
        <w:rFonts w:ascii="Wingdings" w:hAnsi="Wingdings" w:hint="default"/>
      </w:rPr>
    </w:lvl>
  </w:abstractNum>
  <w:abstractNum w:abstractNumId="18" w15:restartNumberingAfterBreak="0">
    <w:nsid w:val="352F0CE4"/>
    <w:multiLevelType w:val="hybridMultilevel"/>
    <w:tmpl w:val="B5D4FAC2"/>
    <w:lvl w:ilvl="0" w:tplc="AAF027F2">
      <w:start w:val="7"/>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58A2025"/>
    <w:multiLevelType w:val="multilevel"/>
    <w:tmpl w:val="EC2E44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86AAF9"/>
    <w:multiLevelType w:val="hybridMultilevel"/>
    <w:tmpl w:val="1400B056"/>
    <w:lvl w:ilvl="0" w:tplc="44109770">
      <w:start w:val="1"/>
      <w:numFmt w:val="bullet"/>
      <w:lvlText w:val="-"/>
      <w:lvlJc w:val="left"/>
      <w:pPr>
        <w:ind w:left="720" w:hanging="360"/>
      </w:pPr>
      <w:rPr>
        <w:rFonts w:ascii="Aptos" w:hAnsi="Aptos" w:hint="default"/>
      </w:rPr>
    </w:lvl>
    <w:lvl w:ilvl="1" w:tplc="508C76FA">
      <w:start w:val="1"/>
      <w:numFmt w:val="bullet"/>
      <w:lvlText w:val="o"/>
      <w:lvlJc w:val="left"/>
      <w:pPr>
        <w:ind w:left="1440" w:hanging="360"/>
      </w:pPr>
      <w:rPr>
        <w:rFonts w:ascii="Courier New" w:hAnsi="Courier New" w:hint="default"/>
      </w:rPr>
    </w:lvl>
    <w:lvl w:ilvl="2" w:tplc="F7B0CE6C">
      <w:start w:val="1"/>
      <w:numFmt w:val="bullet"/>
      <w:lvlText w:val=""/>
      <w:lvlJc w:val="left"/>
      <w:pPr>
        <w:ind w:left="2160" w:hanging="360"/>
      </w:pPr>
      <w:rPr>
        <w:rFonts w:ascii="Wingdings" w:hAnsi="Wingdings" w:hint="default"/>
      </w:rPr>
    </w:lvl>
    <w:lvl w:ilvl="3" w:tplc="9086E380">
      <w:start w:val="1"/>
      <w:numFmt w:val="bullet"/>
      <w:lvlText w:val=""/>
      <w:lvlJc w:val="left"/>
      <w:pPr>
        <w:ind w:left="2880" w:hanging="360"/>
      </w:pPr>
      <w:rPr>
        <w:rFonts w:ascii="Symbol" w:hAnsi="Symbol" w:hint="default"/>
      </w:rPr>
    </w:lvl>
    <w:lvl w:ilvl="4" w:tplc="2654AD36">
      <w:start w:val="1"/>
      <w:numFmt w:val="bullet"/>
      <w:lvlText w:val="o"/>
      <w:lvlJc w:val="left"/>
      <w:pPr>
        <w:ind w:left="3600" w:hanging="360"/>
      </w:pPr>
      <w:rPr>
        <w:rFonts w:ascii="Courier New" w:hAnsi="Courier New" w:hint="default"/>
      </w:rPr>
    </w:lvl>
    <w:lvl w:ilvl="5" w:tplc="773CDCCE">
      <w:start w:val="1"/>
      <w:numFmt w:val="bullet"/>
      <w:lvlText w:val=""/>
      <w:lvlJc w:val="left"/>
      <w:pPr>
        <w:ind w:left="4320" w:hanging="360"/>
      </w:pPr>
      <w:rPr>
        <w:rFonts w:ascii="Wingdings" w:hAnsi="Wingdings" w:hint="default"/>
      </w:rPr>
    </w:lvl>
    <w:lvl w:ilvl="6" w:tplc="59C07C06">
      <w:start w:val="1"/>
      <w:numFmt w:val="bullet"/>
      <w:lvlText w:val=""/>
      <w:lvlJc w:val="left"/>
      <w:pPr>
        <w:ind w:left="5040" w:hanging="360"/>
      </w:pPr>
      <w:rPr>
        <w:rFonts w:ascii="Symbol" w:hAnsi="Symbol" w:hint="default"/>
      </w:rPr>
    </w:lvl>
    <w:lvl w:ilvl="7" w:tplc="93D27C76">
      <w:start w:val="1"/>
      <w:numFmt w:val="bullet"/>
      <w:lvlText w:val="o"/>
      <w:lvlJc w:val="left"/>
      <w:pPr>
        <w:ind w:left="5760" w:hanging="360"/>
      </w:pPr>
      <w:rPr>
        <w:rFonts w:ascii="Courier New" w:hAnsi="Courier New" w:hint="default"/>
      </w:rPr>
    </w:lvl>
    <w:lvl w:ilvl="8" w:tplc="1E84F9AE">
      <w:start w:val="1"/>
      <w:numFmt w:val="bullet"/>
      <w:lvlText w:val=""/>
      <w:lvlJc w:val="left"/>
      <w:pPr>
        <w:ind w:left="6480" w:hanging="360"/>
      </w:pPr>
      <w:rPr>
        <w:rFonts w:ascii="Wingdings" w:hAnsi="Wingdings" w:hint="default"/>
      </w:rPr>
    </w:lvl>
  </w:abstractNum>
  <w:abstractNum w:abstractNumId="21" w15:restartNumberingAfterBreak="0">
    <w:nsid w:val="3FFB2F07"/>
    <w:multiLevelType w:val="hybridMultilevel"/>
    <w:tmpl w:val="C72A11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46636D4"/>
    <w:multiLevelType w:val="multilevel"/>
    <w:tmpl w:val="85D85270"/>
    <w:lvl w:ilvl="0">
      <w:start w:val="1"/>
      <w:numFmt w:val="decimal"/>
      <w:lvlText w:val="%1."/>
      <w:lvlJc w:val="left"/>
      <w:pPr>
        <w:ind w:left="2628" w:hanging="360"/>
      </w:pPr>
      <w:rPr>
        <w:b w:val="0"/>
        <w:i w:val="0"/>
        <w:iCs w:val="0"/>
      </w:rPr>
    </w:lvl>
    <w:lvl w:ilvl="1">
      <w:start w:val="1"/>
      <w:numFmt w:val="decimal"/>
      <w:lvlText w:val="%1.%2."/>
      <w:lvlJc w:val="left"/>
      <w:pPr>
        <w:ind w:left="720" w:hanging="720"/>
      </w:pPr>
      <w:rPr>
        <w:b w:val="0"/>
        <w:bCs/>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800" w:hanging="180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23" w15:restartNumberingAfterBreak="0">
    <w:nsid w:val="44A240E9"/>
    <w:multiLevelType w:val="multilevel"/>
    <w:tmpl w:val="B4AEE4F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D155AA"/>
    <w:multiLevelType w:val="multilevel"/>
    <w:tmpl w:val="683A02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6D2026"/>
    <w:multiLevelType w:val="hybridMultilevel"/>
    <w:tmpl w:val="157A61E4"/>
    <w:lvl w:ilvl="0" w:tplc="E7DED38E">
      <w:start w:val="1"/>
      <w:numFmt w:val="decimal"/>
      <w:lvlText w:val="%1."/>
      <w:lvlJc w:val="left"/>
      <w:pPr>
        <w:ind w:left="501" w:hanging="360"/>
      </w:pPr>
      <w:rPr>
        <w:rFonts w:ascii="Times New Roman" w:hAnsi="Times New Roman" w:cs="Times New Roman" w:hint="default"/>
        <w:b/>
        <w:bCs w:val="0"/>
        <w:i w:val="0"/>
        <w:iCs w:val="0"/>
        <w:sz w:val="28"/>
        <w:szCs w:val="28"/>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622541C"/>
    <w:multiLevelType w:val="hybridMultilevel"/>
    <w:tmpl w:val="07BE4A9E"/>
    <w:lvl w:ilvl="0" w:tplc="ABBCCF0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BA254C5"/>
    <w:multiLevelType w:val="multilevel"/>
    <w:tmpl w:val="9E98973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E63D26"/>
    <w:multiLevelType w:val="multilevel"/>
    <w:tmpl w:val="18A24C4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A37F97"/>
    <w:multiLevelType w:val="multilevel"/>
    <w:tmpl w:val="16A0732E"/>
    <w:lvl w:ilvl="0">
      <w:start w:val="1"/>
      <w:numFmt w:val="upperRoman"/>
      <w:lvlText w:val="%1."/>
      <w:lvlJc w:val="left"/>
      <w:pPr>
        <w:ind w:left="759" w:hanging="720"/>
      </w:pPr>
    </w:lvl>
    <w:lvl w:ilvl="1">
      <w:start w:val="1"/>
      <w:numFmt w:val="lowerLetter"/>
      <w:lvlText w:val="%2."/>
      <w:lvlJc w:val="left"/>
      <w:pPr>
        <w:ind w:left="1119" w:hanging="360"/>
      </w:pPr>
    </w:lvl>
    <w:lvl w:ilvl="2">
      <w:start w:val="1"/>
      <w:numFmt w:val="lowerRoman"/>
      <w:lvlText w:val="%3."/>
      <w:lvlJc w:val="right"/>
      <w:pPr>
        <w:ind w:left="1839" w:hanging="180"/>
      </w:pPr>
    </w:lvl>
    <w:lvl w:ilvl="3">
      <w:start w:val="1"/>
      <w:numFmt w:val="decimal"/>
      <w:lvlText w:val="%4."/>
      <w:lvlJc w:val="left"/>
      <w:pPr>
        <w:ind w:left="2559" w:hanging="360"/>
      </w:pPr>
    </w:lvl>
    <w:lvl w:ilvl="4">
      <w:start w:val="1"/>
      <w:numFmt w:val="lowerLetter"/>
      <w:lvlText w:val="%5."/>
      <w:lvlJc w:val="left"/>
      <w:pPr>
        <w:ind w:left="3279" w:hanging="360"/>
      </w:pPr>
    </w:lvl>
    <w:lvl w:ilvl="5">
      <w:start w:val="1"/>
      <w:numFmt w:val="lowerRoman"/>
      <w:lvlText w:val="%6."/>
      <w:lvlJc w:val="right"/>
      <w:pPr>
        <w:ind w:left="3999" w:hanging="180"/>
      </w:pPr>
    </w:lvl>
    <w:lvl w:ilvl="6">
      <w:start w:val="1"/>
      <w:numFmt w:val="decimal"/>
      <w:lvlText w:val="%7."/>
      <w:lvlJc w:val="left"/>
      <w:pPr>
        <w:ind w:left="4719" w:hanging="360"/>
      </w:pPr>
    </w:lvl>
    <w:lvl w:ilvl="7">
      <w:start w:val="1"/>
      <w:numFmt w:val="lowerLetter"/>
      <w:lvlText w:val="%8."/>
      <w:lvlJc w:val="left"/>
      <w:pPr>
        <w:ind w:left="5439" w:hanging="360"/>
      </w:pPr>
    </w:lvl>
    <w:lvl w:ilvl="8">
      <w:start w:val="1"/>
      <w:numFmt w:val="lowerRoman"/>
      <w:lvlText w:val="%9."/>
      <w:lvlJc w:val="right"/>
      <w:pPr>
        <w:ind w:left="6159" w:hanging="180"/>
      </w:pPr>
    </w:lvl>
  </w:abstractNum>
  <w:abstractNum w:abstractNumId="30" w15:restartNumberingAfterBreak="0">
    <w:nsid w:val="51166D9C"/>
    <w:multiLevelType w:val="multilevel"/>
    <w:tmpl w:val="837A5E2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8F0FD6"/>
    <w:multiLevelType w:val="hybridMultilevel"/>
    <w:tmpl w:val="1E2ABA54"/>
    <w:lvl w:ilvl="0" w:tplc="FFFFFFFF">
      <w:start w:val="1"/>
      <w:numFmt w:val="decimal"/>
      <w:suff w:val="space"/>
      <w:lvlText w:val="%1."/>
      <w:lvlJc w:val="left"/>
      <w:pPr>
        <w:ind w:left="360" w:hanging="360"/>
      </w:pPr>
      <w:rPr>
        <w:rFonts w:hint="default"/>
        <w:i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7617054"/>
    <w:multiLevelType w:val="hybridMultilevel"/>
    <w:tmpl w:val="9DA8D3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8C53984"/>
    <w:multiLevelType w:val="multilevel"/>
    <w:tmpl w:val="68E466C4"/>
    <w:lvl w:ilvl="0">
      <w:start w:val="1"/>
      <w:numFmt w:val="decimal"/>
      <w:suff w:val="nothing"/>
      <w:lvlText w:val="%1."/>
      <w:lvlJc w:val="left"/>
      <w:pPr>
        <w:ind w:left="0" w:firstLine="0"/>
      </w:pPr>
      <w:rPr>
        <w:rFonts w:hint="default"/>
        <w:b w:val="0"/>
        <w:i w:val="0"/>
      </w:rPr>
    </w:lvl>
    <w:lvl w:ilvl="1">
      <w:start w:val="1"/>
      <w:numFmt w:val="decimal"/>
      <w:lvlText w:val="%1.%2."/>
      <w:lvlJc w:val="left"/>
      <w:pPr>
        <w:ind w:left="454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8D8715B"/>
    <w:multiLevelType w:val="hybridMultilevel"/>
    <w:tmpl w:val="53CC4AE4"/>
    <w:lvl w:ilvl="0" w:tplc="67E09094">
      <w:start w:val="1"/>
      <w:numFmt w:val="bullet"/>
      <w:lvlText w:val="-"/>
      <w:lvlJc w:val="left"/>
      <w:pPr>
        <w:ind w:left="720" w:hanging="360"/>
      </w:pPr>
      <w:rPr>
        <w:rFonts w:ascii="Aptos" w:hAnsi="Aptos" w:hint="default"/>
      </w:rPr>
    </w:lvl>
    <w:lvl w:ilvl="1" w:tplc="F8125DD8">
      <w:start w:val="1"/>
      <w:numFmt w:val="bullet"/>
      <w:lvlText w:val="o"/>
      <w:lvlJc w:val="left"/>
      <w:pPr>
        <w:ind w:left="1440" w:hanging="360"/>
      </w:pPr>
      <w:rPr>
        <w:rFonts w:ascii="Courier New" w:hAnsi="Courier New" w:hint="default"/>
      </w:rPr>
    </w:lvl>
    <w:lvl w:ilvl="2" w:tplc="A69AFF4E">
      <w:start w:val="1"/>
      <w:numFmt w:val="bullet"/>
      <w:lvlText w:val=""/>
      <w:lvlJc w:val="left"/>
      <w:pPr>
        <w:ind w:left="2160" w:hanging="360"/>
      </w:pPr>
      <w:rPr>
        <w:rFonts w:ascii="Wingdings" w:hAnsi="Wingdings" w:hint="default"/>
      </w:rPr>
    </w:lvl>
    <w:lvl w:ilvl="3" w:tplc="0AC22BAE">
      <w:start w:val="1"/>
      <w:numFmt w:val="bullet"/>
      <w:lvlText w:val=""/>
      <w:lvlJc w:val="left"/>
      <w:pPr>
        <w:ind w:left="2880" w:hanging="360"/>
      </w:pPr>
      <w:rPr>
        <w:rFonts w:ascii="Symbol" w:hAnsi="Symbol" w:hint="default"/>
      </w:rPr>
    </w:lvl>
    <w:lvl w:ilvl="4" w:tplc="0E88C34C">
      <w:start w:val="1"/>
      <w:numFmt w:val="bullet"/>
      <w:lvlText w:val="o"/>
      <w:lvlJc w:val="left"/>
      <w:pPr>
        <w:ind w:left="3600" w:hanging="360"/>
      </w:pPr>
      <w:rPr>
        <w:rFonts w:ascii="Courier New" w:hAnsi="Courier New" w:hint="default"/>
      </w:rPr>
    </w:lvl>
    <w:lvl w:ilvl="5" w:tplc="DE4CA704">
      <w:start w:val="1"/>
      <w:numFmt w:val="bullet"/>
      <w:lvlText w:val=""/>
      <w:lvlJc w:val="left"/>
      <w:pPr>
        <w:ind w:left="4320" w:hanging="360"/>
      </w:pPr>
      <w:rPr>
        <w:rFonts w:ascii="Wingdings" w:hAnsi="Wingdings" w:hint="default"/>
      </w:rPr>
    </w:lvl>
    <w:lvl w:ilvl="6" w:tplc="E43C6018">
      <w:start w:val="1"/>
      <w:numFmt w:val="bullet"/>
      <w:lvlText w:val=""/>
      <w:lvlJc w:val="left"/>
      <w:pPr>
        <w:ind w:left="5040" w:hanging="360"/>
      </w:pPr>
      <w:rPr>
        <w:rFonts w:ascii="Symbol" w:hAnsi="Symbol" w:hint="default"/>
      </w:rPr>
    </w:lvl>
    <w:lvl w:ilvl="7" w:tplc="15A23DB4">
      <w:start w:val="1"/>
      <w:numFmt w:val="bullet"/>
      <w:lvlText w:val="o"/>
      <w:lvlJc w:val="left"/>
      <w:pPr>
        <w:ind w:left="5760" w:hanging="360"/>
      </w:pPr>
      <w:rPr>
        <w:rFonts w:ascii="Courier New" w:hAnsi="Courier New" w:hint="default"/>
      </w:rPr>
    </w:lvl>
    <w:lvl w:ilvl="8" w:tplc="95E054CC">
      <w:start w:val="1"/>
      <w:numFmt w:val="bullet"/>
      <w:lvlText w:val=""/>
      <w:lvlJc w:val="left"/>
      <w:pPr>
        <w:ind w:left="6480" w:hanging="360"/>
      </w:pPr>
      <w:rPr>
        <w:rFonts w:ascii="Wingdings" w:hAnsi="Wingdings" w:hint="default"/>
      </w:rPr>
    </w:lvl>
  </w:abstractNum>
  <w:abstractNum w:abstractNumId="35" w15:restartNumberingAfterBreak="0">
    <w:nsid w:val="5C945A06"/>
    <w:multiLevelType w:val="multilevel"/>
    <w:tmpl w:val="C6149E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352FEA"/>
    <w:multiLevelType w:val="multilevel"/>
    <w:tmpl w:val="2C30A7D6"/>
    <w:lvl w:ilvl="0">
      <w:start w:val="1"/>
      <w:numFmt w:val="decimal"/>
      <w:lvlText w:val="%1."/>
      <w:lvlJc w:val="left"/>
      <w:pPr>
        <w:ind w:left="1170" w:hanging="360"/>
      </w:pPr>
      <w:rPr>
        <w:rFonts w:hint="default"/>
        <w:b/>
        <w:bCs/>
        <w:i w:val="0"/>
        <w:iCs w:val="0"/>
        <w:sz w:val="28"/>
        <w:szCs w:val="28"/>
        <w:lang w:val="es-CO"/>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3C725FF"/>
    <w:multiLevelType w:val="hybridMultilevel"/>
    <w:tmpl w:val="050CEA30"/>
    <w:lvl w:ilvl="0" w:tplc="ACF27200">
      <w:start w:val="1"/>
      <w:numFmt w:val="lowerRoman"/>
      <w:lvlText w:val="(%1)"/>
      <w:lvlJc w:val="left"/>
      <w:pPr>
        <w:ind w:left="833" w:hanging="720"/>
      </w:pPr>
      <w:rPr>
        <w:rFonts w:hint="default"/>
      </w:rPr>
    </w:lvl>
    <w:lvl w:ilvl="1" w:tplc="040A0019" w:tentative="1">
      <w:start w:val="1"/>
      <w:numFmt w:val="lowerLetter"/>
      <w:lvlText w:val="%2."/>
      <w:lvlJc w:val="left"/>
      <w:pPr>
        <w:ind w:left="1193" w:hanging="360"/>
      </w:pPr>
    </w:lvl>
    <w:lvl w:ilvl="2" w:tplc="040A001B" w:tentative="1">
      <w:start w:val="1"/>
      <w:numFmt w:val="lowerRoman"/>
      <w:lvlText w:val="%3."/>
      <w:lvlJc w:val="right"/>
      <w:pPr>
        <w:ind w:left="1913" w:hanging="180"/>
      </w:pPr>
    </w:lvl>
    <w:lvl w:ilvl="3" w:tplc="040A000F" w:tentative="1">
      <w:start w:val="1"/>
      <w:numFmt w:val="decimal"/>
      <w:lvlText w:val="%4."/>
      <w:lvlJc w:val="left"/>
      <w:pPr>
        <w:ind w:left="2633" w:hanging="360"/>
      </w:pPr>
    </w:lvl>
    <w:lvl w:ilvl="4" w:tplc="040A0019" w:tentative="1">
      <w:start w:val="1"/>
      <w:numFmt w:val="lowerLetter"/>
      <w:lvlText w:val="%5."/>
      <w:lvlJc w:val="left"/>
      <w:pPr>
        <w:ind w:left="3353" w:hanging="360"/>
      </w:pPr>
    </w:lvl>
    <w:lvl w:ilvl="5" w:tplc="040A001B" w:tentative="1">
      <w:start w:val="1"/>
      <w:numFmt w:val="lowerRoman"/>
      <w:lvlText w:val="%6."/>
      <w:lvlJc w:val="right"/>
      <w:pPr>
        <w:ind w:left="4073" w:hanging="180"/>
      </w:pPr>
    </w:lvl>
    <w:lvl w:ilvl="6" w:tplc="040A000F" w:tentative="1">
      <w:start w:val="1"/>
      <w:numFmt w:val="decimal"/>
      <w:lvlText w:val="%7."/>
      <w:lvlJc w:val="left"/>
      <w:pPr>
        <w:ind w:left="4793" w:hanging="360"/>
      </w:pPr>
    </w:lvl>
    <w:lvl w:ilvl="7" w:tplc="040A0019" w:tentative="1">
      <w:start w:val="1"/>
      <w:numFmt w:val="lowerLetter"/>
      <w:lvlText w:val="%8."/>
      <w:lvlJc w:val="left"/>
      <w:pPr>
        <w:ind w:left="5513" w:hanging="360"/>
      </w:pPr>
    </w:lvl>
    <w:lvl w:ilvl="8" w:tplc="040A001B" w:tentative="1">
      <w:start w:val="1"/>
      <w:numFmt w:val="lowerRoman"/>
      <w:lvlText w:val="%9."/>
      <w:lvlJc w:val="right"/>
      <w:pPr>
        <w:ind w:left="6233" w:hanging="180"/>
      </w:pPr>
    </w:lvl>
  </w:abstractNum>
  <w:abstractNum w:abstractNumId="38" w15:restartNumberingAfterBreak="0">
    <w:nsid w:val="677E3620"/>
    <w:multiLevelType w:val="hybridMultilevel"/>
    <w:tmpl w:val="AC142BAE"/>
    <w:lvl w:ilvl="0" w:tplc="308AAEC8">
      <w:start w:val="1"/>
      <w:numFmt w:val="bullet"/>
      <w:lvlText w:val=""/>
      <w:lvlJc w:val="left"/>
      <w:pPr>
        <w:ind w:left="360" w:hanging="360"/>
      </w:pPr>
      <w:rPr>
        <w:rFonts w:ascii="Symbol" w:hAnsi="Symbol" w:hint="default"/>
      </w:rPr>
    </w:lvl>
    <w:lvl w:ilvl="1" w:tplc="C496480C">
      <w:start w:val="1"/>
      <w:numFmt w:val="bullet"/>
      <w:lvlText w:val="o"/>
      <w:lvlJc w:val="left"/>
      <w:pPr>
        <w:ind w:left="1080" w:hanging="360"/>
      </w:pPr>
      <w:rPr>
        <w:rFonts w:ascii="Courier New" w:hAnsi="Courier New" w:hint="default"/>
      </w:rPr>
    </w:lvl>
    <w:lvl w:ilvl="2" w:tplc="55F621A6">
      <w:start w:val="1"/>
      <w:numFmt w:val="bullet"/>
      <w:lvlText w:val=""/>
      <w:lvlJc w:val="left"/>
      <w:pPr>
        <w:ind w:left="1800" w:hanging="360"/>
      </w:pPr>
      <w:rPr>
        <w:rFonts w:ascii="Wingdings" w:hAnsi="Wingdings" w:hint="default"/>
      </w:rPr>
    </w:lvl>
    <w:lvl w:ilvl="3" w:tplc="26F0177C">
      <w:start w:val="1"/>
      <w:numFmt w:val="bullet"/>
      <w:lvlText w:val=""/>
      <w:lvlJc w:val="left"/>
      <w:pPr>
        <w:ind w:left="2520" w:hanging="360"/>
      </w:pPr>
      <w:rPr>
        <w:rFonts w:ascii="Symbol" w:hAnsi="Symbol" w:hint="default"/>
      </w:rPr>
    </w:lvl>
    <w:lvl w:ilvl="4" w:tplc="5EF080CC">
      <w:start w:val="1"/>
      <w:numFmt w:val="bullet"/>
      <w:lvlText w:val="o"/>
      <w:lvlJc w:val="left"/>
      <w:pPr>
        <w:ind w:left="3240" w:hanging="360"/>
      </w:pPr>
      <w:rPr>
        <w:rFonts w:ascii="Courier New" w:hAnsi="Courier New" w:hint="default"/>
      </w:rPr>
    </w:lvl>
    <w:lvl w:ilvl="5" w:tplc="87D0D6DC">
      <w:start w:val="1"/>
      <w:numFmt w:val="bullet"/>
      <w:lvlText w:val=""/>
      <w:lvlJc w:val="left"/>
      <w:pPr>
        <w:ind w:left="3960" w:hanging="360"/>
      </w:pPr>
      <w:rPr>
        <w:rFonts w:ascii="Wingdings" w:hAnsi="Wingdings" w:hint="default"/>
      </w:rPr>
    </w:lvl>
    <w:lvl w:ilvl="6" w:tplc="43F0D548">
      <w:start w:val="1"/>
      <w:numFmt w:val="bullet"/>
      <w:lvlText w:val=""/>
      <w:lvlJc w:val="left"/>
      <w:pPr>
        <w:ind w:left="4680" w:hanging="360"/>
      </w:pPr>
      <w:rPr>
        <w:rFonts w:ascii="Symbol" w:hAnsi="Symbol" w:hint="default"/>
      </w:rPr>
    </w:lvl>
    <w:lvl w:ilvl="7" w:tplc="BAB0AB08">
      <w:start w:val="1"/>
      <w:numFmt w:val="bullet"/>
      <w:lvlText w:val="o"/>
      <w:lvlJc w:val="left"/>
      <w:pPr>
        <w:ind w:left="5400" w:hanging="360"/>
      </w:pPr>
      <w:rPr>
        <w:rFonts w:ascii="Courier New" w:hAnsi="Courier New" w:hint="default"/>
      </w:rPr>
    </w:lvl>
    <w:lvl w:ilvl="8" w:tplc="ED78D614">
      <w:start w:val="1"/>
      <w:numFmt w:val="bullet"/>
      <w:lvlText w:val=""/>
      <w:lvlJc w:val="left"/>
      <w:pPr>
        <w:ind w:left="6120" w:hanging="360"/>
      </w:pPr>
      <w:rPr>
        <w:rFonts w:ascii="Wingdings" w:hAnsi="Wingdings" w:hint="default"/>
      </w:rPr>
    </w:lvl>
  </w:abstractNum>
  <w:abstractNum w:abstractNumId="39" w15:restartNumberingAfterBreak="0">
    <w:nsid w:val="6A104007"/>
    <w:multiLevelType w:val="multilevel"/>
    <w:tmpl w:val="14D0B2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E4E27F"/>
    <w:multiLevelType w:val="hybridMultilevel"/>
    <w:tmpl w:val="881E53DC"/>
    <w:lvl w:ilvl="0" w:tplc="9DA42C10">
      <w:start w:val="1"/>
      <w:numFmt w:val="bullet"/>
      <w:lvlText w:val="-"/>
      <w:lvlJc w:val="left"/>
      <w:pPr>
        <w:ind w:left="720" w:hanging="360"/>
      </w:pPr>
      <w:rPr>
        <w:rFonts w:ascii="Aptos" w:hAnsi="Aptos" w:hint="default"/>
      </w:rPr>
    </w:lvl>
    <w:lvl w:ilvl="1" w:tplc="CF94ED08">
      <w:start w:val="1"/>
      <w:numFmt w:val="bullet"/>
      <w:lvlText w:val="o"/>
      <w:lvlJc w:val="left"/>
      <w:pPr>
        <w:ind w:left="1440" w:hanging="360"/>
      </w:pPr>
      <w:rPr>
        <w:rFonts w:ascii="Courier New" w:hAnsi="Courier New" w:hint="default"/>
      </w:rPr>
    </w:lvl>
    <w:lvl w:ilvl="2" w:tplc="CB7C038E">
      <w:start w:val="1"/>
      <w:numFmt w:val="bullet"/>
      <w:lvlText w:val=""/>
      <w:lvlJc w:val="left"/>
      <w:pPr>
        <w:ind w:left="2160" w:hanging="360"/>
      </w:pPr>
      <w:rPr>
        <w:rFonts w:ascii="Wingdings" w:hAnsi="Wingdings" w:hint="default"/>
      </w:rPr>
    </w:lvl>
    <w:lvl w:ilvl="3" w:tplc="C640F73C">
      <w:start w:val="1"/>
      <w:numFmt w:val="bullet"/>
      <w:lvlText w:val=""/>
      <w:lvlJc w:val="left"/>
      <w:pPr>
        <w:ind w:left="2880" w:hanging="360"/>
      </w:pPr>
      <w:rPr>
        <w:rFonts w:ascii="Symbol" w:hAnsi="Symbol" w:hint="default"/>
      </w:rPr>
    </w:lvl>
    <w:lvl w:ilvl="4" w:tplc="5C545DF8">
      <w:start w:val="1"/>
      <w:numFmt w:val="bullet"/>
      <w:lvlText w:val="o"/>
      <w:lvlJc w:val="left"/>
      <w:pPr>
        <w:ind w:left="3600" w:hanging="360"/>
      </w:pPr>
      <w:rPr>
        <w:rFonts w:ascii="Courier New" w:hAnsi="Courier New" w:hint="default"/>
      </w:rPr>
    </w:lvl>
    <w:lvl w:ilvl="5" w:tplc="7668DB28">
      <w:start w:val="1"/>
      <w:numFmt w:val="bullet"/>
      <w:lvlText w:val=""/>
      <w:lvlJc w:val="left"/>
      <w:pPr>
        <w:ind w:left="4320" w:hanging="360"/>
      </w:pPr>
      <w:rPr>
        <w:rFonts w:ascii="Wingdings" w:hAnsi="Wingdings" w:hint="default"/>
      </w:rPr>
    </w:lvl>
    <w:lvl w:ilvl="6" w:tplc="06321CCC">
      <w:start w:val="1"/>
      <w:numFmt w:val="bullet"/>
      <w:lvlText w:val=""/>
      <w:lvlJc w:val="left"/>
      <w:pPr>
        <w:ind w:left="5040" w:hanging="360"/>
      </w:pPr>
      <w:rPr>
        <w:rFonts w:ascii="Symbol" w:hAnsi="Symbol" w:hint="default"/>
      </w:rPr>
    </w:lvl>
    <w:lvl w:ilvl="7" w:tplc="3C725744">
      <w:start w:val="1"/>
      <w:numFmt w:val="bullet"/>
      <w:lvlText w:val="o"/>
      <w:lvlJc w:val="left"/>
      <w:pPr>
        <w:ind w:left="5760" w:hanging="360"/>
      </w:pPr>
      <w:rPr>
        <w:rFonts w:ascii="Courier New" w:hAnsi="Courier New" w:hint="default"/>
      </w:rPr>
    </w:lvl>
    <w:lvl w:ilvl="8" w:tplc="1BF6F7C4">
      <w:start w:val="1"/>
      <w:numFmt w:val="bullet"/>
      <w:lvlText w:val=""/>
      <w:lvlJc w:val="left"/>
      <w:pPr>
        <w:ind w:left="6480" w:hanging="360"/>
      </w:pPr>
      <w:rPr>
        <w:rFonts w:ascii="Wingdings" w:hAnsi="Wingdings" w:hint="default"/>
      </w:rPr>
    </w:lvl>
  </w:abstractNum>
  <w:abstractNum w:abstractNumId="41" w15:restartNumberingAfterBreak="0">
    <w:nsid w:val="6C21F442"/>
    <w:multiLevelType w:val="hybridMultilevel"/>
    <w:tmpl w:val="34AAC6A0"/>
    <w:lvl w:ilvl="0" w:tplc="72C8F448">
      <w:start w:val="1"/>
      <w:numFmt w:val="bullet"/>
      <w:lvlText w:val="-"/>
      <w:lvlJc w:val="left"/>
      <w:pPr>
        <w:ind w:left="720" w:hanging="360"/>
      </w:pPr>
      <w:rPr>
        <w:rFonts w:ascii="Aptos" w:hAnsi="Aptos" w:hint="default"/>
      </w:rPr>
    </w:lvl>
    <w:lvl w:ilvl="1" w:tplc="291A1A94">
      <w:start w:val="1"/>
      <w:numFmt w:val="bullet"/>
      <w:lvlText w:val="o"/>
      <w:lvlJc w:val="left"/>
      <w:pPr>
        <w:ind w:left="1440" w:hanging="360"/>
      </w:pPr>
      <w:rPr>
        <w:rFonts w:ascii="Courier New" w:hAnsi="Courier New" w:hint="default"/>
      </w:rPr>
    </w:lvl>
    <w:lvl w:ilvl="2" w:tplc="0234C296">
      <w:start w:val="1"/>
      <w:numFmt w:val="bullet"/>
      <w:lvlText w:val=""/>
      <w:lvlJc w:val="left"/>
      <w:pPr>
        <w:ind w:left="2160" w:hanging="360"/>
      </w:pPr>
      <w:rPr>
        <w:rFonts w:ascii="Wingdings" w:hAnsi="Wingdings" w:hint="default"/>
      </w:rPr>
    </w:lvl>
    <w:lvl w:ilvl="3" w:tplc="A100289C">
      <w:start w:val="1"/>
      <w:numFmt w:val="bullet"/>
      <w:lvlText w:val=""/>
      <w:lvlJc w:val="left"/>
      <w:pPr>
        <w:ind w:left="2880" w:hanging="360"/>
      </w:pPr>
      <w:rPr>
        <w:rFonts w:ascii="Symbol" w:hAnsi="Symbol" w:hint="default"/>
      </w:rPr>
    </w:lvl>
    <w:lvl w:ilvl="4" w:tplc="54CC7878">
      <w:start w:val="1"/>
      <w:numFmt w:val="bullet"/>
      <w:lvlText w:val="o"/>
      <w:lvlJc w:val="left"/>
      <w:pPr>
        <w:ind w:left="3600" w:hanging="360"/>
      </w:pPr>
      <w:rPr>
        <w:rFonts w:ascii="Courier New" w:hAnsi="Courier New" w:hint="default"/>
      </w:rPr>
    </w:lvl>
    <w:lvl w:ilvl="5" w:tplc="31FE69EA">
      <w:start w:val="1"/>
      <w:numFmt w:val="bullet"/>
      <w:lvlText w:val=""/>
      <w:lvlJc w:val="left"/>
      <w:pPr>
        <w:ind w:left="4320" w:hanging="360"/>
      </w:pPr>
      <w:rPr>
        <w:rFonts w:ascii="Wingdings" w:hAnsi="Wingdings" w:hint="default"/>
      </w:rPr>
    </w:lvl>
    <w:lvl w:ilvl="6" w:tplc="D5DC15F2">
      <w:start w:val="1"/>
      <w:numFmt w:val="bullet"/>
      <w:lvlText w:val=""/>
      <w:lvlJc w:val="left"/>
      <w:pPr>
        <w:ind w:left="5040" w:hanging="360"/>
      </w:pPr>
      <w:rPr>
        <w:rFonts w:ascii="Symbol" w:hAnsi="Symbol" w:hint="default"/>
      </w:rPr>
    </w:lvl>
    <w:lvl w:ilvl="7" w:tplc="681ECEB0">
      <w:start w:val="1"/>
      <w:numFmt w:val="bullet"/>
      <w:lvlText w:val="o"/>
      <w:lvlJc w:val="left"/>
      <w:pPr>
        <w:ind w:left="5760" w:hanging="360"/>
      </w:pPr>
      <w:rPr>
        <w:rFonts w:ascii="Courier New" w:hAnsi="Courier New" w:hint="default"/>
      </w:rPr>
    </w:lvl>
    <w:lvl w:ilvl="8" w:tplc="B32E9EE4">
      <w:start w:val="1"/>
      <w:numFmt w:val="bullet"/>
      <w:lvlText w:val=""/>
      <w:lvlJc w:val="left"/>
      <w:pPr>
        <w:ind w:left="6480" w:hanging="360"/>
      </w:pPr>
      <w:rPr>
        <w:rFonts w:ascii="Wingdings" w:hAnsi="Wingdings" w:hint="default"/>
      </w:rPr>
    </w:lvl>
  </w:abstractNum>
  <w:abstractNum w:abstractNumId="42" w15:restartNumberingAfterBreak="0">
    <w:nsid w:val="70FD6AF0"/>
    <w:multiLevelType w:val="hybridMultilevel"/>
    <w:tmpl w:val="2F10CE62"/>
    <w:lvl w:ilvl="0" w:tplc="1196FA1A">
      <w:start w:val="1"/>
      <w:numFmt w:val="decimal"/>
      <w:lvlText w:val="%1."/>
      <w:lvlJc w:val="left"/>
      <w:pPr>
        <w:ind w:left="644" w:hanging="360"/>
      </w:pPr>
      <w:rPr>
        <w:rFonts w:hint="default"/>
        <w:b/>
        <w:bCs/>
        <w:i w:val="0"/>
        <w:i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7727C47F"/>
    <w:multiLevelType w:val="hybridMultilevel"/>
    <w:tmpl w:val="F7B220A0"/>
    <w:lvl w:ilvl="0" w:tplc="F710C5A0">
      <w:start w:val="1"/>
      <w:numFmt w:val="bullet"/>
      <w:lvlText w:val="-"/>
      <w:lvlJc w:val="left"/>
      <w:pPr>
        <w:ind w:left="720" w:hanging="360"/>
      </w:pPr>
      <w:rPr>
        <w:rFonts w:ascii="Aptos" w:hAnsi="Aptos" w:hint="default"/>
      </w:rPr>
    </w:lvl>
    <w:lvl w:ilvl="1" w:tplc="1D40A9DE">
      <w:start w:val="1"/>
      <w:numFmt w:val="bullet"/>
      <w:lvlText w:val="o"/>
      <w:lvlJc w:val="left"/>
      <w:pPr>
        <w:ind w:left="1440" w:hanging="360"/>
      </w:pPr>
      <w:rPr>
        <w:rFonts w:ascii="Courier New" w:hAnsi="Courier New" w:hint="default"/>
      </w:rPr>
    </w:lvl>
    <w:lvl w:ilvl="2" w:tplc="1828190E">
      <w:start w:val="1"/>
      <w:numFmt w:val="bullet"/>
      <w:lvlText w:val=""/>
      <w:lvlJc w:val="left"/>
      <w:pPr>
        <w:ind w:left="2160" w:hanging="360"/>
      </w:pPr>
      <w:rPr>
        <w:rFonts w:ascii="Wingdings" w:hAnsi="Wingdings" w:hint="default"/>
      </w:rPr>
    </w:lvl>
    <w:lvl w:ilvl="3" w:tplc="71CAE26C">
      <w:start w:val="1"/>
      <w:numFmt w:val="bullet"/>
      <w:lvlText w:val=""/>
      <w:lvlJc w:val="left"/>
      <w:pPr>
        <w:ind w:left="2880" w:hanging="360"/>
      </w:pPr>
      <w:rPr>
        <w:rFonts w:ascii="Symbol" w:hAnsi="Symbol" w:hint="default"/>
      </w:rPr>
    </w:lvl>
    <w:lvl w:ilvl="4" w:tplc="FC82C4A4">
      <w:start w:val="1"/>
      <w:numFmt w:val="bullet"/>
      <w:lvlText w:val="o"/>
      <w:lvlJc w:val="left"/>
      <w:pPr>
        <w:ind w:left="3600" w:hanging="360"/>
      </w:pPr>
      <w:rPr>
        <w:rFonts w:ascii="Courier New" w:hAnsi="Courier New" w:hint="default"/>
      </w:rPr>
    </w:lvl>
    <w:lvl w:ilvl="5" w:tplc="6AC80A82">
      <w:start w:val="1"/>
      <w:numFmt w:val="bullet"/>
      <w:lvlText w:val=""/>
      <w:lvlJc w:val="left"/>
      <w:pPr>
        <w:ind w:left="4320" w:hanging="360"/>
      </w:pPr>
      <w:rPr>
        <w:rFonts w:ascii="Wingdings" w:hAnsi="Wingdings" w:hint="default"/>
      </w:rPr>
    </w:lvl>
    <w:lvl w:ilvl="6" w:tplc="922C3EE0">
      <w:start w:val="1"/>
      <w:numFmt w:val="bullet"/>
      <w:lvlText w:val=""/>
      <w:lvlJc w:val="left"/>
      <w:pPr>
        <w:ind w:left="5040" w:hanging="360"/>
      </w:pPr>
      <w:rPr>
        <w:rFonts w:ascii="Symbol" w:hAnsi="Symbol" w:hint="default"/>
      </w:rPr>
    </w:lvl>
    <w:lvl w:ilvl="7" w:tplc="92125468">
      <w:start w:val="1"/>
      <w:numFmt w:val="bullet"/>
      <w:lvlText w:val="o"/>
      <w:lvlJc w:val="left"/>
      <w:pPr>
        <w:ind w:left="5760" w:hanging="360"/>
      </w:pPr>
      <w:rPr>
        <w:rFonts w:ascii="Courier New" w:hAnsi="Courier New" w:hint="default"/>
      </w:rPr>
    </w:lvl>
    <w:lvl w:ilvl="8" w:tplc="7076C6CC">
      <w:start w:val="1"/>
      <w:numFmt w:val="bullet"/>
      <w:lvlText w:val=""/>
      <w:lvlJc w:val="left"/>
      <w:pPr>
        <w:ind w:left="6480" w:hanging="360"/>
      </w:pPr>
      <w:rPr>
        <w:rFonts w:ascii="Wingdings" w:hAnsi="Wingdings" w:hint="default"/>
      </w:rPr>
    </w:lvl>
  </w:abstractNum>
  <w:abstractNum w:abstractNumId="44" w15:restartNumberingAfterBreak="0">
    <w:nsid w:val="773F6311"/>
    <w:multiLevelType w:val="hybridMultilevel"/>
    <w:tmpl w:val="9D205356"/>
    <w:lvl w:ilvl="0" w:tplc="6810B5E8">
      <w:start w:val="1"/>
      <w:numFmt w:val="bullet"/>
      <w:lvlText w:val="-"/>
      <w:lvlJc w:val="left"/>
      <w:pPr>
        <w:ind w:left="720" w:hanging="360"/>
      </w:pPr>
      <w:rPr>
        <w:rFonts w:ascii="Aptos" w:hAnsi="Aptos" w:hint="default"/>
      </w:rPr>
    </w:lvl>
    <w:lvl w:ilvl="1" w:tplc="16261F74">
      <w:start w:val="1"/>
      <w:numFmt w:val="bullet"/>
      <w:lvlText w:val="o"/>
      <w:lvlJc w:val="left"/>
      <w:pPr>
        <w:ind w:left="1440" w:hanging="360"/>
      </w:pPr>
      <w:rPr>
        <w:rFonts w:ascii="Courier New" w:hAnsi="Courier New" w:hint="default"/>
      </w:rPr>
    </w:lvl>
    <w:lvl w:ilvl="2" w:tplc="1AE40C6E">
      <w:start w:val="1"/>
      <w:numFmt w:val="bullet"/>
      <w:lvlText w:val=""/>
      <w:lvlJc w:val="left"/>
      <w:pPr>
        <w:ind w:left="2160" w:hanging="360"/>
      </w:pPr>
      <w:rPr>
        <w:rFonts w:ascii="Wingdings" w:hAnsi="Wingdings" w:hint="default"/>
      </w:rPr>
    </w:lvl>
    <w:lvl w:ilvl="3" w:tplc="353A4756">
      <w:start w:val="1"/>
      <w:numFmt w:val="bullet"/>
      <w:lvlText w:val=""/>
      <w:lvlJc w:val="left"/>
      <w:pPr>
        <w:ind w:left="2880" w:hanging="360"/>
      </w:pPr>
      <w:rPr>
        <w:rFonts w:ascii="Symbol" w:hAnsi="Symbol" w:hint="default"/>
      </w:rPr>
    </w:lvl>
    <w:lvl w:ilvl="4" w:tplc="3A7031D6">
      <w:start w:val="1"/>
      <w:numFmt w:val="bullet"/>
      <w:lvlText w:val="o"/>
      <w:lvlJc w:val="left"/>
      <w:pPr>
        <w:ind w:left="3600" w:hanging="360"/>
      </w:pPr>
      <w:rPr>
        <w:rFonts w:ascii="Courier New" w:hAnsi="Courier New" w:hint="default"/>
      </w:rPr>
    </w:lvl>
    <w:lvl w:ilvl="5" w:tplc="5060E760">
      <w:start w:val="1"/>
      <w:numFmt w:val="bullet"/>
      <w:lvlText w:val=""/>
      <w:lvlJc w:val="left"/>
      <w:pPr>
        <w:ind w:left="4320" w:hanging="360"/>
      </w:pPr>
      <w:rPr>
        <w:rFonts w:ascii="Wingdings" w:hAnsi="Wingdings" w:hint="default"/>
      </w:rPr>
    </w:lvl>
    <w:lvl w:ilvl="6" w:tplc="E3DAB2EE">
      <w:start w:val="1"/>
      <w:numFmt w:val="bullet"/>
      <w:lvlText w:val=""/>
      <w:lvlJc w:val="left"/>
      <w:pPr>
        <w:ind w:left="5040" w:hanging="360"/>
      </w:pPr>
      <w:rPr>
        <w:rFonts w:ascii="Symbol" w:hAnsi="Symbol" w:hint="default"/>
      </w:rPr>
    </w:lvl>
    <w:lvl w:ilvl="7" w:tplc="D9EA9380">
      <w:start w:val="1"/>
      <w:numFmt w:val="bullet"/>
      <w:lvlText w:val="o"/>
      <w:lvlJc w:val="left"/>
      <w:pPr>
        <w:ind w:left="5760" w:hanging="360"/>
      </w:pPr>
      <w:rPr>
        <w:rFonts w:ascii="Courier New" w:hAnsi="Courier New" w:hint="default"/>
      </w:rPr>
    </w:lvl>
    <w:lvl w:ilvl="8" w:tplc="3E1C14CA">
      <w:start w:val="1"/>
      <w:numFmt w:val="bullet"/>
      <w:lvlText w:val=""/>
      <w:lvlJc w:val="left"/>
      <w:pPr>
        <w:ind w:left="6480" w:hanging="360"/>
      </w:pPr>
      <w:rPr>
        <w:rFonts w:ascii="Wingdings" w:hAnsi="Wingdings" w:hint="default"/>
      </w:rPr>
    </w:lvl>
  </w:abstractNum>
  <w:abstractNum w:abstractNumId="45" w15:restartNumberingAfterBreak="0">
    <w:nsid w:val="78CA32EC"/>
    <w:multiLevelType w:val="hybridMultilevel"/>
    <w:tmpl w:val="19BCA1CA"/>
    <w:lvl w:ilvl="0" w:tplc="71FAE098">
      <w:start w:val="1"/>
      <w:numFmt w:val="lowerRoman"/>
      <w:lvlText w:val="(%1)"/>
      <w:lvlJc w:val="left"/>
      <w:pPr>
        <w:ind w:left="360" w:hanging="360"/>
      </w:pPr>
      <w:rPr>
        <w:rFonts w:ascii="Times New Roman" w:eastAsia="Times New Roman" w:hAnsi="Times New Roman" w:cs="Times New Roman"/>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abstractNumId w:val="38"/>
  </w:num>
  <w:num w:numId="2">
    <w:abstractNumId w:val="41"/>
  </w:num>
  <w:num w:numId="3">
    <w:abstractNumId w:val="43"/>
  </w:num>
  <w:num w:numId="4">
    <w:abstractNumId w:val="17"/>
  </w:num>
  <w:num w:numId="5">
    <w:abstractNumId w:val="20"/>
  </w:num>
  <w:num w:numId="6">
    <w:abstractNumId w:val="34"/>
  </w:num>
  <w:num w:numId="7">
    <w:abstractNumId w:val="40"/>
  </w:num>
  <w:num w:numId="8">
    <w:abstractNumId w:val="44"/>
  </w:num>
  <w:num w:numId="9">
    <w:abstractNumId w:val="22"/>
  </w:num>
  <w:num w:numId="10">
    <w:abstractNumId w:val="11"/>
  </w:num>
  <w:num w:numId="11">
    <w:abstractNumId w:val="1"/>
  </w:num>
  <w:num w:numId="12">
    <w:abstractNumId w:val="16"/>
  </w:num>
  <w:num w:numId="13">
    <w:abstractNumId w:val="21"/>
  </w:num>
  <w:num w:numId="14">
    <w:abstractNumId w:val="18"/>
  </w:num>
  <w:num w:numId="15">
    <w:abstractNumId w:val="2"/>
  </w:num>
  <w:num w:numId="16">
    <w:abstractNumId w:val="32"/>
  </w:num>
  <w:num w:numId="17">
    <w:abstractNumId w:val="42"/>
  </w:num>
  <w:num w:numId="18">
    <w:abstractNumId w:val="8"/>
  </w:num>
  <w:num w:numId="19">
    <w:abstractNumId w:val="25"/>
  </w:num>
  <w:num w:numId="20">
    <w:abstractNumId w:val="45"/>
  </w:num>
  <w:num w:numId="21">
    <w:abstractNumId w:val="36"/>
  </w:num>
  <w:num w:numId="22">
    <w:abstractNumId w:val="9"/>
  </w:num>
  <w:num w:numId="23">
    <w:abstractNumId w:val="10"/>
  </w:num>
  <w:num w:numId="24">
    <w:abstractNumId w:val="29"/>
  </w:num>
  <w:num w:numId="25">
    <w:abstractNumId w:val="26"/>
  </w:num>
  <w:num w:numId="26">
    <w:abstractNumId w:val="13"/>
  </w:num>
  <w:num w:numId="27">
    <w:abstractNumId w:val="7"/>
  </w:num>
  <w:num w:numId="28">
    <w:abstractNumId w:val="0"/>
  </w:num>
  <w:num w:numId="29">
    <w:abstractNumId w:val="24"/>
  </w:num>
  <w:num w:numId="30">
    <w:abstractNumId w:val="12"/>
  </w:num>
  <w:num w:numId="31">
    <w:abstractNumId w:val="39"/>
  </w:num>
  <w:num w:numId="32">
    <w:abstractNumId w:val="14"/>
  </w:num>
  <w:num w:numId="33">
    <w:abstractNumId w:val="19"/>
  </w:num>
  <w:num w:numId="34">
    <w:abstractNumId w:val="6"/>
  </w:num>
  <w:num w:numId="35">
    <w:abstractNumId w:val="27"/>
  </w:num>
  <w:num w:numId="36">
    <w:abstractNumId w:val="23"/>
  </w:num>
  <w:num w:numId="37">
    <w:abstractNumId w:val="28"/>
  </w:num>
  <w:num w:numId="38">
    <w:abstractNumId w:val="30"/>
  </w:num>
  <w:num w:numId="39">
    <w:abstractNumId w:val="35"/>
  </w:num>
  <w:num w:numId="40">
    <w:abstractNumId w:val="3"/>
  </w:num>
  <w:num w:numId="41">
    <w:abstractNumId w:val="5"/>
  </w:num>
  <w:num w:numId="42">
    <w:abstractNumId w:val="37"/>
  </w:num>
  <w:num w:numId="43">
    <w:abstractNumId w:val="33"/>
  </w:num>
  <w:num w:numId="44">
    <w:abstractNumId w:val="4"/>
  </w:num>
  <w:num w:numId="45">
    <w:abstractNumId w:val="31"/>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hideSpellingErrors/>
  <w:hideGrammaticalError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3E4"/>
    <w:rsid w:val="00001048"/>
    <w:rsid w:val="000013E5"/>
    <w:rsid w:val="00001AF7"/>
    <w:rsid w:val="00001E5B"/>
    <w:rsid w:val="00005C24"/>
    <w:rsid w:val="00005C4A"/>
    <w:rsid w:val="00007E00"/>
    <w:rsid w:val="0001026D"/>
    <w:rsid w:val="000105A2"/>
    <w:rsid w:val="000122E1"/>
    <w:rsid w:val="00012B69"/>
    <w:rsid w:val="00012DEB"/>
    <w:rsid w:val="000135BD"/>
    <w:rsid w:val="00015BB8"/>
    <w:rsid w:val="0001632C"/>
    <w:rsid w:val="0001773E"/>
    <w:rsid w:val="00021C29"/>
    <w:rsid w:val="00021E7A"/>
    <w:rsid w:val="000244AC"/>
    <w:rsid w:val="000247E3"/>
    <w:rsid w:val="00024861"/>
    <w:rsid w:val="00026744"/>
    <w:rsid w:val="000267C0"/>
    <w:rsid w:val="00026CB7"/>
    <w:rsid w:val="00027FF2"/>
    <w:rsid w:val="0003081E"/>
    <w:rsid w:val="000315F6"/>
    <w:rsid w:val="00031910"/>
    <w:rsid w:val="00032684"/>
    <w:rsid w:val="00032A91"/>
    <w:rsid w:val="00033774"/>
    <w:rsid w:val="00035235"/>
    <w:rsid w:val="00035B22"/>
    <w:rsid w:val="000369D0"/>
    <w:rsid w:val="00036B56"/>
    <w:rsid w:val="00037862"/>
    <w:rsid w:val="00037E16"/>
    <w:rsid w:val="00037ED9"/>
    <w:rsid w:val="00040A19"/>
    <w:rsid w:val="00041B59"/>
    <w:rsid w:val="00041BCD"/>
    <w:rsid w:val="00041F4A"/>
    <w:rsid w:val="000420A9"/>
    <w:rsid w:val="00042E72"/>
    <w:rsid w:val="0004345D"/>
    <w:rsid w:val="00043820"/>
    <w:rsid w:val="00043B77"/>
    <w:rsid w:val="00044E5E"/>
    <w:rsid w:val="00044F09"/>
    <w:rsid w:val="00045118"/>
    <w:rsid w:val="0004563C"/>
    <w:rsid w:val="00046DF9"/>
    <w:rsid w:val="0005080F"/>
    <w:rsid w:val="00050F30"/>
    <w:rsid w:val="00051156"/>
    <w:rsid w:val="00053CA5"/>
    <w:rsid w:val="0005479A"/>
    <w:rsid w:val="00054F57"/>
    <w:rsid w:val="00055448"/>
    <w:rsid w:val="00055864"/>
    <w:rsid w:val="00060641"/>
    <w:rsid w:val="00060A78"/>
    <w:rsid w:val="00060F75"/>
    <w:rsid w:val="00061181"/>
    <w:rsid w:val="00063B25"/>
    <w:rsid w:val="00063B72"/>
    <w:rsid w:val="00064EE6"/>
    <w:rsid w:val="00066996"/>
    <w:rsid w:val="000676C3"/>
    <w:rsid w:val="00067905"/>
    <w:rsid w:val="00070E74"/>
    <w:rsid w:val="00072E67"/>
    <w:rsid w:val="00073158"/>
    <w:rsid w:val="0007535F"/>
    <w:rsid w:val="00075DA3"/>
    <w:rsid w:val="00076139"/>
    <w:rsid w:val="0007634F"/>
    <w:rsid w:val="00076438"/>
    <w:rsid w:val="00080924"/>
    <w:rsid w:val="00081C34"/>
    <w:rsid w:val="00083EDF"/>
    <w:rsid w:val="000846D0"/>
    <w:rsid w:val="000848E6"/>
    <w:rsid w:val="000853C8"/>
    <w:rsid w:val="000858B2"/>
    <w:rsid w:val="0008653E"/>
    <w:rsid w:val="000870FC"/>
    <w:rsid w:val="00087617"/>
    <w:rsid w:val="00090EF8"/>
    <w:rsid w:val="00091642"/>
    <w:rsid w:val="00091960"/>
    <w:rsid w:val="00092184"/>
    <w:rsid w:val="000928CC"/>
    <w:rsid w:val="000937FE"/>
    <w:rsid w:val="000966E4"/>
    <w:rsid w:val="00096DFA"/>
    <w:rsid w:val="0009756A"/>
    <w:rsid w:val="000A0133"/>
    <w:rsid w:val="000A0A20"/>
    <w:rsid w:val="000A0C5D"/>
    <w:rsid w:val="000A175D"/>
    <w:rsid w:val="000A17E9"/>
    <w:rsid w:val="000A2D71"/>
    <w:rsid w:val="000A32E5"/>
    <w:rsid w:val="000A5893"/>
    <w:rsid w:val="000A5B34"/>
    <w:rsid w:val="000A7237"/>
    <w:rsid w:val="000A7402"/>
    <w:rsid w:val="000A7CC4"/>
    <w:rsid w:val="000A7ED8"/>
    <w:rsid w:val="000B0C2B"/>
    <w:rsid w:val="000B112C"/>
    <w:rsid w:val="000B238E"/>
    <w:rsid w:val="000B298C"/>
    <w:rsid w:val="000B38A8"/>
    <w:rsid w:val="000B7235"/>
    <w:rsid w:val="000B725C"/>
    <w:rsid w:val="000B732C"/>
    <w:rsid w:val="000C055B"/>
    <w:rsid w:val="000C38EA"/>
    <w:rsid w:val="000C3F55"/>
    <w:rsid w:val="000C437F"/>
    <w:rsid w:val="000C6824"/>
    <w:rsid w:val="000C7589"/>
    <w:rsid w:val="000C7667"/>
    <w:rsid w:val="000D02C6"/>
    <w:rsid w:val="000D237C"/>
    <w:rsid w:val="000D25BD"/>
    <w:rsid w:val="000D2E06"/>
    <w:rsid w:val="000D3886"/>
    <w:rsid w:val="000D38C9"/>
    <w:rsid w:val="000D5357"/>
    <w:rsid w:val="000D6EBD"/>
    <w:rsid w:val="000E05D7"/>
    <w:rsid w:val="000E2C13"/>
    <w:rsid w:val="000E48A8"/>
    <w:rsid w:val="000E6148"/>
    <w:rsid w:val="000E6F67"/>
    <w:rsid w:val="000E7C04"/>
    <w:rsid w:val="000F0ED4"/>
    <w:rsid w:val="000F11CD"/>
    <w:rsid w:val="000F37FE"/>
    <w:rsid w:val="000F50EE"/>
    <w:rsid w:val="000F5457"/>
    <w:rsid w:val="00100309"/>
    <w:rsid w:val="00101D4A"/>
    <w:rsid w:val="001027C3"/>
    <w:rsid w:val="00103EA8"/>
    <w:rsid w:val="00104011"/>
    <w:rsid w:val="001047AE"/>
    <w:rsid w:val="00104C67"/>
    <w:rsid w:val="0010650F"/>
    <w:rsid w:val="001067BC"/>
    <w:rsid w:val="00106E64"/>
    <w:rsid w:val="00106EEB"/>
    <w:rsid w:val="001076FB"/>
    <w:rsid w:val="00110BF7"/>
    <w:rsid w:val="0011191F"/>
    <w:rsid w:val="001128A9"/>
    <w:rsid w:val="00114939"/>
    <w:rsid w:val="00115805"/>
    <w:rsid w:val="00116C83"/>
    <w:rsid w:val="001172B2"/>
    <w:rsid w:val="00117E75"/>
    <w:rsid w:val="00120639"/>
    <w:rsid w:val="00120ED0"/>
    <w:rsid w:val="001227B1"/>
    <w:rsid w:val="0012352B"/>
    <w:rsid w:val="00123FE5"/>
    <w:rsid w:val="00124755"/>
    <w:rsid w:val="001247DC"/>
    <w:rsid w:val="00124E19"/>
    <w:rsid w:val="00125032"/>
    <w:rsid w:val="00125811"/>
    <w:rsid w:val="00125EFE"/>
    <w:rsid w:val="00126263"/>
    <w:rsid w:val="001265C7"/>
    <w:rsid w:val="001272E7"/>
    <w:rsid w:val="0013038B"/>
    <w:rsid w:val="00130503"/>
    <w:rsid w:val="001325D9"/>
    <w:rsid w:val="001353EE"/>
    <w:rsid w:val="001375A2"/>
    <w:rsid w:val="00137E25"/>
    <w:rsid w:val="00141A63"/>
    <w:rsid w:val="00141F16"/>
    <w:rsid w:val="0014293B"/>
    <w:rsid w:val="00143094"/>
    <w:rsid w:val="001452E7"/>
    <w:rsid w:val="0014661E"/>
    <w:rsid w:val="001475CD"/>
    <w:rsid w:val="00150D78"/>
    <w:rsid w:val="00150E8C"/>
    <w:rsid w:val="00151216"/>
    <w:rsid w:val="00151E2D"/>
    <w:rsid w:val="00152AD9"/>
    <w:rsid w:val="001540A0"/>
    <w:rsid w:val="00154829"/>
    <w:rsid w:val="00154F48"/>
    <w:rsid w:val="00155FAA"/>
    <w:rsid w:val="00157207"/>
    <w:rsid w:val="001610D6"/>
    <w:rsid w:val="00162161"/>
    <w:rsid w:val="00162FA2"/>
    <w:rsid w:val="00163284"/>
    <w:rsid w:val="00163418"/>
    <w:rsid w:val="00163BC4"/>
    <w:rsid w:val="0016463F"/>
    <w:rsid w:val="001651CD"/>
    <w:rsid w:val="001653DC"/>
    <w:rsid w:val="00166CE4"/>
    <w:rsid w:val="00170919"/>
    <w:rsid w:val="0017234E"/>
    <w:rsid w:val="0017359C"/>
    <w:rsid w:val="00173A68"/>
    <w:rsid w:val="001749D0"/>
    <w:rsid w:val="001768C6"/>
    <w:rsid w:val="0017715F"/>
    <w:rsid w:val="00177197"/>
    <w:rsid w:val="0017738B"/>
    <w:rsid w:val="001804DE"/>
    <w:rsid w:val="00182F6F"/>
    <w:rsid w:val="001844C7"/>
    <w:rsid w:val="001850C4"/>
    <w:rsid w:val="0018788E"/>
    <w:rsid w:val="0019118A"/>
    <w:rsid w:val="00191378"/>
    <w:rsid w:val="00191511"/>
    <w:rsid w:val="001918C6"/>
    <w:rsid w:val="00192635"/>
    <w:rsid w:val="00192E75"/>
    <w:rsid w:val="00193A8C"/>
    <w:rsid w:val="00195D80"/>
    <w:rsid w:val="00197ACE"/>
    <w:rsid w:val="001A09FF"/>
    <w:rsid w:val="001A1020"/>
    <w:rsid w:val="001A1938"/>
    <w:rsid w:val="001A2793"/>
    <w:rsid w:val="001A3399"/>
    <w:rsid w:val="001A3463"/>
    <w:rsid w:val="001A3952"/>
    <w:rsid w:val="001A593B"/>
    <w:rsid w:val="001A5CEC"/>
    <w:rsid w:val="001A63BE"/>
    <w:rsid w:val="001B0238"/>
    <w:rsid w:val="001B02B1"/>
    <w:rsid w:val="001B1B23"/>
    <w:rsid w:val="001B1B9D"/>
    <w:rsid w:val="001B640E"/>
    <w:rsid w:val="001B649E"/>
    <w:rsid w:val="001B6704"/>
    <w:rsid w:val="001C0D76"/>
    <w:rsid w:val="001C0F48"/>
    <w:rsid w:val="001C1F67"/>
    <w:rsid w:val="001C496A"/>
    <w:rsid w:val="001C5C59"/>
    <w:rsid w:val="001C6E57"/>
    <w:rsid w:val="001C7938"/>
    <w:rsid w:val="001D0C24"/>
    <w:rsid w:val="001D0C95"/>
    <w:rsid w:val="001D1462"/>
    <w:rsid w:val="001D1492"/>
    <w:rsid w:val="001D1BB2"/>
    <w:rsid w:val="001D3238"/>
    <w:rsid w:val="001D42A0"/>
    <w:rsid w:val="001D4595"/>
    <w:rsid w:val="001D4AB4"/>
    <w:rsid w:val="001D5378"/>
    <w:rsid w:val="001D7F4D"/>
    <w:rsid w:val="001E1700"/>
    <w:rsid w:val="001E1E36"/>
    <w:rsid w:val="001E36F6"/>
    <w:rsid w:val="001E4110"/>
    <w:rsid w:val="001E496C"/>
    <w:rsid w:val="001E4DB2"/>
    <w:rsid w:val="001E5430"/>
    <w:rsid w:val="001E57F9"/>
    <w:rsid w:val="001E6C87"/>
    <w:rsid w:val="001E728D"/>
    <w:rsid w:val="001E737D"/>
    <w:rsid w:val="001F0852"/>
    <w:rsid w:val="001F0D12"/>
    <w:rsid w:val="001F0FD3"/>
    <w:rsid w:val="001F1D34"/>
    <w:rsid w:val="001F5EF1"/>
    <w:rsid w:val="001F6473"/>
    <w:rsid w:val="001F64FE"/>
    <w:rsid w:val="001F665D"/>
    <w:rsid w:val="001F7721"/>
    <w:rsid w:val="001F7A78"/>
    <w:rsid w:val="00200457"/>
    <w:rsid w:val="00201168"/>
    <w:rsid w:val="002028AE"/>
    <w:rsid w:val="0020527A"/>
    <w:rsid w:val="00207A17"/>
    <w:rsid w:val="0021062A"/>
    <w:rsid w:val="00210792"/>
    <w:rsid w:val="00210F86"/>
    <w:rsid w:val="00211B09"/>
    <w:rsid w:val="00213F00"/>
    <w:rsid w:val="002159EB"/>
    <w:rsid w:val="00216697"/>
    <w:rsid w:val="00217825"/>
    <w:rsid w:val="002226FF"/>
    <w:rsid w:val="00222E69"/>
    <w:rsid w:val="002234BF"/>
    <w:rsid w:val="002235EB"/>
    <w:rsid w:val="0022460B"/>
    <w:rsid w:val="002255DE"/>
    <w:rsid w:val="00225F72"/>
    <w:rsid w:val="00225F81"/>
    <w:rsid w:val="00226143"/>
    <w:rsid w:val="00226892"/>
    <w:rsid w:val="00231477"/>
    <w:rsid w:val="00231874"/>
    <w:rsid w:val="00232106"/>
    <w:rsid w:val="002321EA"/>
    <w:rsid w:val="002324AC"/>
    <w:rsid w:val="002343E4"/>
    <w:rsid w:val="0023451E"/>
    <w:rsid w:val="00234743"/>
    <w:rsid w:val="002352FF"/>
    <w:rsid w:val="002353AD"/>
    <w:rsid w:val="00235454"/>
    <w:rsid w:val="002361F4"/>
    <w:rsid w:val="00237BFC"/>
    <w:rsid w:val="00240282"/>
    <w:rsid w:val="002415A3"/>
    <w:rsid w:val="002424FA"/>
    <w:rsid w:val="00244029"/>
    <w:rsid w:val="00244135"/>
    <w:rsid w:val="002446AC"/>
    <w:rsid w:val="00247CBB"/>
    <w:rsid w:val="00247F2C"/>
    <w:rsid w:val="00250351"/>
    <w:rsid w:val="002506C1"/>
    <w:rsid w:val="00250C94"/>
    <w:rsid w:val="00250D8C"/>
    <w:rsid w:val="00251FF9"/>
    <w:rsid w:val="00253C8D"/>
    <w:rsid w:val="00254144"/>
    <w:rsid w:val="00256698"/>
    <w:rsid w:val="002566D2"/>
    <w:rsid w:val="002567E0"/>
    <w:rsid w:val="00256879"/>
    <w:rsid w:val="00260208"/>
    <w:rsid w:val="002620F8"/>
    <w:rsid w:val="0026350A"/>
    <w:rsid w:val="00263D33"/>
    <w:rsid w:val="00263F62"/>
    <w:rsid w:val="0026424D"/>
    <w:rsid w:val="00264BF1"/>
    <w:rsid w:val="00264D36"/>
    <w:rsid w:val="00264E75"/>
    <w:rsid w:val="00267530"/>
    <w:rsid w:val="00267672"/>
    <w:rsid w:val="00267CD1"/>
    <w:rsid w:val="002700F5"/>
    <w:rsid w:val="00271420"/>
    <w:rsid w:val="002717F9"/>
    <w:rsid w:val="00271A57"/>
    <w:rsid w:val="00273C8B"/>
    <w:rsid w:val="00274096"/>
    <w:rsid w:val="00274299"/>
    <w:rsid w:val="002764A0"/>
    <w:rsid w:val="00276ADD"/>
    <w:rsid w:val="00277985"/>
    <w:rsid w:val="002801FD"/>
    <w:rsid w:val="00280952"/>
    <w:rsid w:val="002816C9"/>
    <w:rsid w:val="00281ADA"/>
    <w:rsid w:val="002826B1"/>
    <w:rsid w:val="00282E65"/>
    <w:rsid w:val="00283B37"/>
    <w:rsid w:val="00284B3A"/>
    <w:rsid w:val="00287163"/>
    <w:rsid w:val="0029156A"/>
    <w:rsid w:val="00291635"/>
    <w:rsid w:val="00292173"/>
    <w:rsid w:val="00292704"/>
    <w:rsid w:val="0029336C"/>
    <w:rsid w:val="002945D8"/>
    <w:rsid w:val="00295D73"/>
    <w:rsid w:val="00297149"/>
    <w:rsid w:val="002975C4"/>
    <w:rsid w:val="00297A6D"/>
    <w:rsid w:val="002A0C26"/>
    <w:rsid w:val="002A13E9"/>
    <w:rsid w:val="002A148A"/>
    <w:rsid w:val="002A2940"/>
    <w:rsid w:val="002A2BA6"/>
    <w:rsid w:val="002A3432"/>
    <w:rsid w:val="002A6913"/>
    <w:rsid w:val="002A70A0"/>
    <w:rsid w:val="002A740B"/>
    <w:rsid w:val="002B08A6"/>
    <w:rsid w:val="002B147D"/>
    <w:rsid w:val="002B1486"/>
    <w:rsid w:val="002B1CF8"/>
    <w:rsid w:val="002B2322"/>
    <w:rsid w:val="002B30E0"/>
    <w:rsid w:val="002B3F70"/>
    <w:rsid w:val="002B51AB"/>
    <w:rsid w:val="002B52CD"/>
    <w:rsid w:val="002B53B2"/>
    <w:rsid w:val="002B54DC"/>
    <w:rsid w:val="002B5530"/>
    <w:rsid w:val="002B5B13"/>
    <w:rsid w:val="002B67DF"/>
    <w:rsid w:val="002B739D"/>
    <w:rsid w:val="002B7AB0"/>
    <w:rsid w:val="002C0806"/>
    <w:rsid w:val="002C1731"/>
    <w:rsid w:val="002C191F"/>
    <w:rsid w:val="002C2C09"/>
    <w:rsid w:val="002C4624"/>
    <w:rsid w:val="002C4738"/>
    <w:rsid w:val="002C4D48"/>
    <w:rsid w:val="002C4EB2"/>
    <w:rsid w:val="002C541E"/>
    <w:rsid w:val="002C5B43"/>
    <w:rsid w:val="002C6639"/>
    <w:rsid w:val="002C7645"/>
    <w:rsid w:val="002C7A9F"/>
    <w:rsid w:val="002D0561"/>
    <w:rsid w:val="002D0BAE"/>
    <w:rsid w:val="002D10F5"/>
    <w:rsid w:val="002D2742"/>
    <w:rsid w:val="002D380F"/>
    <w:rsid w:val="002D38B5"/>
    <w:rsid w:val="002D3913"/>
    <w:rsid w:val="002D437A"/>
    <w:rsid w:val="002D4663"/>
    <w:rsid w:val="002D4ABC"/>
    <w:rsid w:val="002D57FB"/>
    <w:rsid w:val="002D5819"/>
    <w:rsid w:val="002D6601"/>
    <w:rsid w:val="002D67FE"/>
    <w:rsid w:val="002E11E9"/>
    <w:rsid w:val="002E12F9"/>
    <w:rsid w:val="002E1792"/>
    <w:rsid w:val="002E43BC"/>
    <w:rsid w:val="002E69FD"/>
    <w:rsid w:val="002E7182"/>
    <w:rsid w:val="002F014B"/>
    <w:rsid w:val="002F3A9B"/>
    <w:rsid w:val="002F3ECF"/>
    <w:rsid w:val="002F4363"/>
    <w:rsid w:val="002F5B73"/>
    <w:rsid w:val="002F7C3D"/>
    <w:rsid w:val="003007C6"/>
    <w:rsid w:val="00301D49"/>
    <w:rsid w:val="00304A80"/>
    <w:rsid w:val="00305AF1"/>
    <w:rsid w:val="003068DD"/>
    <w:rsid w:val="00306C43"/>
    <w:rsid w:val="00307183"/>
    <w:rsid w:val="00307238"/>
    <w:rsid w:val="00310C14"/>
    <w:rsid w:val="00310EA5"/>
    <w:rsid w:val="0031165A"/>
    <w:rsid w:val="00312D25"/>
    <w:rsid w:val="00312D7C"/>
    <w:rsid w:val="00314504"/>
    <w:rsid w:val="00316278"/>
    <w:rsid w:val="0032140B"/>
    <w:rsid w:val="0032244C"/>
    <w:rsid w:val="00323C35"/>
    <w:rsid w:val="0032507D"/>
    <w:rsid w:val="003266FE"/>
    <w:rsid w:val="00326E4A"/>
    <w:rsid w:val="00327D00"/>
    <w:rsid w:val="003307A5"/>
    <w:rsid w:val="003309C1"/>
    <w:rsid w:val="00330A8B"/>
    <w:rsid w:val="00330ADF"/>
    <w:rsid w:val="00331288"/>
    <w:rsid w:val="003320FB"/>
    <w:rsid w:val="0033218C"/>
    <w:rsid w:val="00333070"/>
    <w:rsid w:val="003346AD"/>
    <w:rsid w:val="00335B7F"/>
    <w:rsid w:val="00336439"/>
    <w:rsid w:val="003378EC"/>
    <w:rsid w:val="00342692"/>
    <w:rsid w:val="00343DC5"/>
    <w:rsid w:val="003477F7"/>
    <w:rsid w:val="00351955"/>
    <w:rsid w:val="00351A7C"/>
    <w:rsid w:val="003539A9"/>
    <w:rsid w:val="003541A9"/>
    <w:rsid w:val="0035503B"/>
    <w:rsid w:val="003557A8"/>
    <w:rsid w:val="00356337"/>
    <w:rsid w:val="00356632"/>
    <w:rsid w:val="00356B28"/>
    <w:rsid w:val="0035701D"/>
    <w:rsid w:val="0035742A"/>
    <w:rsid w:val="00357B27"/>
    <w:rsid w:val="00357E41"/>
    <w:rsid w:val="00362F44"/>
    <w:rsid w:val="00364315"/>
    <w:rsid w:val="003652F2"/>
    <w:rsid w:val="0036704D"/>
    <w:rsid w:val="00371901"/>
    <w:rsid w:val="00371D3E"/>
    <w:rsid w:val="00372048"/>
    <w:rsid w:val="0037245D"/>
    <w:rsid w:val="00372935"/>
    <w:rsid w:val="00372C50"/>
    <w:rsid w:val="00372FAC"/>
    <w:rsid w:val="003736CD"/>
    <w:rsid w:val="00375DC3"/>
    <w:rsid w:val="003765D8"/>
    <w:rsid w:val="0038037B"/>
    <w:rsid w:val="003812E3"/>
    <w:rsid w:val="003833DA"/>
    <w:rsid w:val="00383797"/>
    <w:rsid w:val="00383D5F"/>
    <w:rsid w:val="00384139"/>
    <w:rsid w:val="003849B6"/>
    <w:rsid w:val="00384AB7"/>
    <w:rsid w:val="00385475"/>
    <w:rsid w:val="00385799"/>
    <w:rsid w:val="00386A83"/>
    <w:rsid w:val="00387064"/>
    <w:rsid w:val="00387F7E"/>
    <w:rsid w:val="003900AD"/>
    <w:rsid w:val="003904DC"/>
    <w:rsid w:val="00390F3B"/>
    <w:rsid w:val="003926DC"/>
    <w:rsid w:val="003936D9"/>
    <w:rsid w:val="00396A76"/>
    <w:rsid w:val="00396AAE"/>
    <w:rsid w:val="003974BC"/>
    <w:rsid w:val="00397738"/>
    <w:rsid w:val="00397C31"/>
    <w:rsid w:val="003A08ED"/>
    <w:rsid w:val="003A2455"/>
    <w:rsid w:val="003A2847"/>
    <w:rsid w:val="003A4000"/>
    <w:rsid w:val="003A48B1"/>
    <w:rsid w:val="003A5A96"/>
    <w:rsid w:val="003A75E6"/>
    <w:rsid w:val="003A7F84"/>
    <w:rsid w:val="003B06A5"/>
    <w:rsid w:val="003B071F"/>
    <w:rsid w:val="003B1008"/>
    <w:rsid w:val="003B151C"/>
    <w:rsid w:val="003B26AF"/>
    <w:rsid w:val="003B3155"/>
    <w:rsid w:val="003B41DE"/>
    <w:rsid w:val="003B50D4"/>
    <w:rsid w:val="003B5C30"/>
    <w:rsid w:val="003B615D"/>
    <w:rsid w:val="003B68F6"/>
    <w:rsid w:val="003B72D3"/>
    <w:rsid w:val="003C07F4"/>
    <w:rsid w:val="003C0E8D"/>
    <w:rsid w:val="003C0FC5"/>
    <w:rsid w:val="003C1416"/>
    <w:rsid w:val="003C1F71"/>
    <w:rsid w:val="003C2EBB"/>
    <w:rsid w:val="003C3913"/>
    <w:rsid w:val="003C3A62"/>
    <w:rsid w:val="003C3F8A"/>
    <w:rsid w:val="003C466F"/>
    <w:rsid w:val="003C4912"/>
    <w:rsid w:val="003C5FC4"/>
    <w:rsid w:val="003C69EA"/>
    <w:rsid w:val="003C7E04"/>
    <w:rsid w:val="003D1409"/>
    <w:rsid w:val="003D1933"/>
    <w:rsid w:val="003D27EB"/>
    <w:rsid w:val="003D2AF2"/>
    <w:rsid w:val="003D3BA7"/>
    <w:rsid w:val="003D46A8"/>
    <w:rsid w:val="003D56DB"/>
    <w:rsid w:val="003D5B15"/>
    <w:rsid w:val="003D643B"/>
    <w:rsid w:val="003D6BAE"/>
    <w:rsid w:val="003E03C5"/>
    <w:rsid w:val="003E0B1F"/>
    <w:rsid w:val="003E10DF"/>
    <w:rsid w:val="003E1D03"/>
    <w:rsid w:val="003E2DF4"/>
    <w:rsid w:val="003E2F52"/>
    <w:rsid w:val="003E3D58"/>
    <w:rsid w:val="003E4217"/>
    <w:rsid w:val="003E54F0"/>
    <w:rsid w:val="003E7212"/>
    <w:rsid w:val="003F177F"/>
    <w:rsid w:val="003F1F06"/>
    <w:rsid w:val="003F2146"/>
    <w:rsid w:val="003F45E3"/>
    <w:rsid w:val="003F4C34"/>
    <w:rsid w:val="003F4F16"/>
    <w:rsid w:val="003F611A"/>
    <w:rsid w:val="003F6E61"/>
    <w:rsid w:val="00400671"/>
    <w:rsid w:val="00400968"/>
    <w:rsid w:val="00400DCF"/>
    <w:rsid w:val="00401579"/>
    <w:rsid w:val="00402AC2"/>
    <w:rsid w:val="00402F1B"/>
    <w:rsid w:val="00403038"/>
    <w:rsid w:val="00404296"/>
    <w:rsid w:val="00404473"/>
    <w:rsid w:val="0040545E"/>
    <w:rsid w:val="00410A8C"/>
    <w:rsid w:val="00410B28"/>
    <w:rsid w:val="0041490F"/>
    <w:rsid w:val="00414935"/>
    <w:rsid w:val="00414AE8"/>
    <w:rsid w:val="00415389"/>
    <w:rsid w:val="0041597A"/>
    <w:rsid w:val="00415A47"/>
    <w:rsid w:val="004170AB"/>
    <w:rsid w:val="0041E1FE"/>
    <w:rsid w:val="004225EB"/>
    <w:rsid w:val="00424B2C"/>
    <w:rsid w:val="00426236"/>
    <w:rsid w:val="00426720"/>
    <w:rsid w:val="00426E60"/>
    <w:rsid w:val="0042798C"/>
    <w:rsid w:val="00427A1A"/>
    <w:rsid w:val="0043010A"/>
    <w:rsid w:val="00430364"/>
    <w:rsid w:val="00433D22"/>
    <w:rsid w:val="00433F68"/>
    <w:rsid w:val="00434774"/>
    <w:rsid w:val="00434837"/>
    <w:rsid w:val="00434880"/>
    <w:rsid w:val="00434CAC"/>
    <w:rsid w:val="0043563D"/>
    <w:rsid w:val="004365E8"/>
    <w:rsid w:val="0043672E"/>
    <w:rsid w:val="004406CA"/>
    <w:rsid w:val="004418F2"/>
    <w:rsid w:val="00441B1E"/>
    <w:rsid w:val="00442D63"/>
    <w:rsid w:val="00443367"/>
    <w:rsid w:val="0044433E"/>
    <w:rsid w:val="004445EF"/>
    <w:rsid w:val="00445D15"/>
    <w:rsid w:val="00446310"/>
    <w:rsid w:val="00447735"/>
    <w:rsid w:val="00447E3F"/>
    <w:rsid w:val="00447F35"/>
    <w:rsid w:val="004502E7"/>
    <w:rsid w:val="00450E04"/>
    <w:rsid w:val="0045150C"/>
    <w:rsid w:val="00451AC0"/>
    <w:rsid w:val="004539C5"/>
    <w:rsid w:val="0045483F"/>
    <w:rsid w:val="004548F3"/>
    <w:rsid w:val="00454EEA"/>
    <w:rsid w:val="004552A2"/>
    <w:rsid w:val="00456738"/>
    <w:rsid w:val="00457025"/>
    <w:rsid w:val="00457220"/>
    <w:rsid w:val="00457B07"/>
    <w:rsid w:val="00457FA5"/>
    <w:rsid w:val="004607D5"/>
    <w:rsid w:val="00461728"/>
    <w:rsid w:val="00461B69"/>
    <w:rsid w:val="0046236D"/>
    <w:rsid w:val="00462849"/>
    <w:rsid w:val="00462F2E"/>
    <w:rsid w:val="004640FC"/>
    <w:rsid w:val="004641B0"/>
    <w:rsid w:val="00464300"/>
    <w:rsid w:val="0046646B"/>
    <w:rsid w:val="004669DA"/>
    <w:rsid w:val="00466A9F"/>
    <w:rsid w:val="00466D0F"/>
    <w:rsid w:val="00467B41"/>
    <w:rsid w:val="00470E45"/>
    <w:rsid w:val="00471FEC"/>
    <w:rsid w:val="00473265"/>
    <w:rsid w:val="004737EA"/>
    <w:rsid w:val="00473ADF"/>
    <w:rsid w:val="004746A8"/>
    <w:rsid w:val="00475350"/>
    <w:rsid w:val="004767F6"/>
    <w:rsid w:val="00476E93"/>
    <w:rsid w:val="00480A1E"/>
    <w:rsid w:val="00480A73"/>
    <w:rsid w:val="004810B1"/>
    <w:rsid w:val="004814BC"/>
    <w:rsid w:val="00481C75"/>
    <w:rsid w:val="004829B6"/>
    <w:rsid w:val="00483772"/>
    <w:rsid w:val="00483B10"/>
    <w:rsid w:val="00483D9E"/>
    <w:rsid w:val="00485FD4"/>
    <w:rsid w:val="00486081"/>
    <w:rsid w:val="00486DF4"/>
    <w:rsid w:val="00486F34"/>
    <w:rsid w:val="0048721F"/>
    <w:rsid w:val="00487981"/>
    <w:rsid w:val="00490194"/>
    <w:rsid w:val="004936CF"/>
    <w:rsid w:val="00495005"/>
    <w:rsid w:val="004966C5"/>
    <w:rsid w:val="004971FA"/>
    <w:rsid w:val="00497970"/>
    <w:rsid w:val="00497E1C"/>
    <w:rsid w:val="00497F7E"/>
    <w:rsid w:val="004A013E"/>
    <w:rsid w:val="004A067B"/>
    <w:rsid w:val="004A0BDD"/>
    <w:rsid w:val="004A1BB1"/>
    <w:rsid w:val="004A1D89"/>
    <w:rsid w:val="004A2D50"/>
    <w:rsid w:val="004A40B9"/>
    <w:rsid w:val="004A4380"/>
    <w:rsid w:val="004A519F"/>
    <w:rsid w:val="004A54EE"/>
    <w:rsid w:val="004A5CB3"/>
    <w:rsid w:val="004A689F"/>
    <w:rsid w:val="004A6F93"/>
    <w:rsid w:val="004A7050"/>
    <w:rsid w:val="004B2A4A"/>
    <w:rsid w:val="004B4C29"/>
    <w:rsid w:val="004B524D"/>
    <w:rsid w:val="004B530F"/>
    <w:rsid w:val="004B5997"/>
    <w:rsid w:val="004B6615"/>
    <w:rsid w:val="004B7C32"/>
    <w:rsid w:val="004C0E2D"/>
    <w:rsid w:val="004C2830"/>
    <w:rsid w:val="004C2A9C"/>
    <w:rsid w:val="004C2F30"/>
    <w:rsid w:val="004C34AF"/>
    <w:rsid w:val="004C3D33"/>
    <w:rsid w:val="004C42A7"/>
    <w:rsid w:val="004C4982"/>
    <w:rsid w:val="004C4F32"/>
    <w:rsid w:val="004C548C"/>
    <w:rsid w:val="004C54C2"/>
    <w:rsid w:val="004C5F4B"/>
    <w:rsid w:val="004C6AC4"/>
    <w:rsid w:val="004C6B6F"/>
    <w:rsid w:val="004D1BD3"/>
    <w:rsid w:val="004D1D41"/>
    <w:rsid w:val="004D1F84"/>
    <w:rsid w:val="004D2412"/>
    <w:rsid w:val="004D2D11"/>
    <w:rsid w:val="004D2E38"/>
    <w:rsid w:val="004D42B1"/>
    <w:rsid w:val="004D5599"/>
    <w:rsid w:val="004D5EA2"/>
    <w:rsid w:val="004D5F5E"/>
    <w:rsid w:val="004D6038"/>
    <w:rsid w:val="004D692C"/>
    <w:rsid w:val="004D79FF"/>
    <w:rsid w:val="004E0234"/>
    <w:rsid w:val="004E11EB"/>
    <w:rsid w:val="004E298A"/>
    <w:rsid w:val="004E6923"/>
    <w:rsid w:val="004E6F86"/>
    <w:rsid w:val="004F0723"/>
    <w:rsid w:val="004F25C2"/>
    <w:rsid w:val="004F2F84"/>
    <w:rsid w:val="004F4450"/>
    <w:rsid w:val="004F5167"/>
    <w:rsid w:val="004F58F0"/>
    <w:rsid w:val="004F5915"/>
    <w:rsid w:val="004F64EB"/>
    <w:rsid w:val="004F79BE"/>
    <w:rsid w:val="004FE0AF"/>
    <w:rsid w:val="005031AF"/>
    <w:rsid w:val="00506441"/>
    <w:rsid w:val="0051270F"/>
    <w:rsid w:val="00512EC2"/>
    <w:rsid w:val="00513322"/>
    <w:rsid w:val="00514608"/>
    <w:rsid w:val="00515200"/>
    <w:rsid w:val="00516AED"/>
    <w:rsid w:val="005179DB"/>
    <w:rsid w:val="00517A08"/>
    <w:rsid w:val="00517B51"/>
    <w:rsid w:val="00520BBE"/>
    <w:rsid w:val="00523179"/>
    <w:rsid w:val="00523A0C"/>
    <w:rsid w:val="00524392"/>
    <w:rsid w:val="00524421"/>
    <w:rsid w:val="00525043"/>
    <w:rsid w:val="00525FD7"/>
    <w:rsid w:val="00526F5C"/>
    <w:rsid w:val="0052710A"/>
    <w:rsid w:val="00530182"/>
    <w:rsid w:val="005322E3"/>
    <w:rsid w:val="0053259E"/>
    <w:rsid w:val="00533CCA"/>
    <w:rsid w:val="00534957"/>
    <w:rsid w:val="00534AE9"/>
    <w:rsid w:val="00534D2C"/>
    <w:rsid w:val="00536771"/>
    <w:rsid w:val="00540ED0"/>
    <w:rsid w:val="00541134"/>
    <w:rsid w:val="005421A4"/>
    <w:rsid w:val="00542746"/>
    <w:rsid w:val="00543082"/>
    <w:rsid w:val="0054333C"/>
    <w:rsid w:val="00544D6A"/>
    <w:rsid w:val="00544E52"/>
    <w:rsid w:val="005516C5"/>
    <w:rsid w:val="00553953"/>
    <w:rsid w:val="00561794"/>
    <w:rsid w:val="00561ADF"/>
    <w:rsid w:val="005626F1"/>
    <w:rsid w:val="00562CE9"/>
    <w:rsid w:val="0056312E"/>
    <w:rsid w:val="005637AC"/>
    <w:rsid w:val="005656DC"/>
    <w:rsid w:val="00565F13"/>
    <w:rsid w:val="0057102A"/>
    <w:rsid w:val="00571402"/>
    <w:rsid w:val="00571427"/>
    <w:rsid w:val="00571B61"/>
    <w:rsid w:val="00572774"/>
    <w:rsid w:val="005745D4"/>
    <w:rsid w:val="00574DF9"/>
    <w:rsid w:val="00575109"/>
    <w:rsid w:val="005776AA"/>
    <w:rsid w:val="00580323"/>
    <w:rsid w:val="00580428"/>
    <w:rsid w:val="00580AE8"/>
    <w:rsid w:val="00580E0E"/>
    <w:rsid w:val="00580FCE"/>
    <w:rsid w:val="005814E5"/>
    <w:rsid w:val="005822C2"/>
    <w:rsid w:val="00582EE6"/>
    <w:rsid w:val="005844E1"/>
    <w:rsid w:val="005850F2"/>
    <w:rsid w:val="00586F40"/>
    <w:rsid w:val="005878E9"/>
    <w:rsid w:val="00591788"/>
    <w:rsid w:val="00591F93"/>
    <w:rsid w:val="005920E7"/>
    <w:rsid w:val="00592323"/>
    <w:rsid w:val="005933F4"/>
    <w:rsid w:val="0059342C"/>
    <w:rsid w:val="00594085"/>
    <w:rsid w:val="00594657"/>
    <w:rsid w:val="00595540"/>
    <w:rsid w:val="005966BB"/>
    <w:rsid w:val="0059753F"/>
    <w:rsid w:val="005977D6"/>
    <w:rsid w:val="00597872"/>
    <w:rsid w:val="00597B0E"/>
    <w:rsid w:val="00597E51"/>
    <w:rsid w:val="005A0216"/>
    <w:rsid w:val="005A0B88"/>
    <w:rsid w:val="005A1D9F"/>
    <w:rsid w:val="005A26CE"/>
    <w:rsid w:val="005A333D"/>
    <w:rsid w:val="005A481C"/>
    <w:rsid w:val="005A5610"/>
    <w:rsid w:val="005A5A89"/>
    <w:rsid w:val="005A5D0F"/>
    <w:rsid w:val="005A7079"/>
    <w:rsid w:val="005A79A1"/>
    <w:rsid w:val="005B24FF"/>
    <w:rsid w:val="005B2716"/>
    <w:rsid w:val="005B36D8"/>
    <w:rsid w:val="005B417E"/>
    <w:rsid w:val="005B5E0D"/>
    <w:rsid w:val="005B6E1A"/>
    <w:rsid w:val="005B7503"/>
    <w:rsid w:val="005C0587"/>
    <w:rsid w:val="005C0885"/>
    <w:rsid w:val="005C1EFB"/>
    <w:rsid w:val="005C2254"/>
    <w:rsid w:val="005C24F7"/>
    <w:rsid w:val="005C4C77"/>
    <w:rsid w:val="005C4D8C"/>
    <w:rsid w:val="005C51C5"/>
    <w:rsid w:val="005C5259"/>
    <w:rsid w:val="005C599A"/>
    <w:rsid w:val="005C5E4B"/>
    <w:rsid w:val="005C60DF"/>
    <w:rsid w:val="005C62B0"/>
    <w:rsid w:val="005C6419"/>
    <w:rsid w:val="005D01AD"/>
    <w:rsid w:val="005D0D1B"/>
    <w:rsid w:val="005D157F"/>
    <w:rsid w:val="005D1E63"/>
    <w:rsid w:val="005D22E4"/>
    <w:rsid w:val="005D2E2B"/>
    <w:rsid w:val="005D31AC"/>
    <w:rsid w:val="005D3455"/>
    <w:rsid w:val="005D3572"/>
    <w:rsid w:val="005D35C1"/>
    <w:rsid w:val="005D4686"/>
    <w:rsid w:val="005D4EFF"/>
    <w:rsid w:val="005D5CE7"/>
    <w:rsid w:val="005D64D9"/>
    <w:rsid w:val="005D6B6A"/>
    <w:rsid w:val="005D771D"/>
    <w:rsid w:val="005E0C6B"/>
    <w:rsid w:val="005E37ED"/>
    <w:rsid w:val="005E3E49"/>
    <w:rsid w:val="005E42D5"/>
    <w:rsid w:val="005E585D"/>
    <w:rsid w:val="005E5D7A"/>
    <w:rsid w:val="005E5DF5"/>
    <w:rsid w:val="005E678E"/>
    <w:rsid w:val="005F1309"/>
    <w:rsid w:val="005F1B79"/>
    <w:rsid w:val="005F21AE"/>
    <w:rsid w:val="005F5615"/>
    <w:rsid w:val="005F612D"/>
    <w:rsid w:val="0060168E"/>
    <w:rsid w:val="0060246C"/>
    <w:rsid w:val="00602B10"/>
    <w:rsid w:val="00604B82"/>
    <w:rsid w:val="006052D1"/>
    <w:rsid w:val="006056C4"/>
    <w:rsid w:val="00605A7E"/>
    <w:rsid w:val="00605D47"/>
    <w:rsid w:val="0060720D"/>
    <w:rsid w:val="006101B5"/>
    <w:rsid w:val="00610237"/>
    <w:rsid w:val="00610B71"/>
    <w:rsid w:val="0061277A"/>
    <w:rsid w:val="00612F4B"/>
    <w:rsid w:val="00613F3A"/>
    <w:rsid w:val="00615971"/>
    <w:rsid w:val="00616143"/>
    <w:rsid w:val="00616F65"/>
    <w:rsid w:val="00617938"/>
    <w:rsid w:val="0062016B"/>
    <w:rsid w:val="0062054C"/>
    <w:rsid w:val="00621EC3"/>
    <w:rsid w:val="00623239"/>
    <w:rsid w:val="00623329"/>
    <w:rsid w:val="006233B3"/>
    <w:rsid w:val="00624083"/>
    <w:rsid w:val="00626325"/>
    <w:rsid w:val="00626928"/>
    <w:rsid w:val="00626A28"/>
    <w:rsid w:val="00626B41"/>
    <w:rsid w:val="00627C0F"/>
    <w:rsid w:val="00630395"/>
    <w:rsid w:val="006305FB"/>
    <w:rsid w:val="00632042"/>
    <w:rsid w:val="00632BD1"/>
    <w:rsid w:val="00634B18"/>
    <w:rsid w:val="00634F16"/>
    <w:rsid w:val="00635079"/>
    <w:rsid w:val="00635FFD"/>
    <w:rsid w:val="00636DC5"/>
    <w:rsid w:val="00637127"/>
    <w:rsid w:val="00637CF0"/>
    <w:rsid w:val="0064014C"/>
    <w:rsid w:val="00640962"/>
    <w:rsid w:val="006416CA"/>
    <w:rsid w:val="00641A97"/>
    <w:rsid w:val="0064291A"/>
    <w:rsid w:val="00642A2F"/>
    <w:rsid w:val="00642B39"/>
    <w:rsid w:val="00644D03"/>
    <w:rsid w:val="006451D1"/>
    <w:rsid w:val="00645F13"/>
    <w:rsid w:val="00647012"/>
    <w:rsid w:val="00647A53"/>
    <w:rsid w:val="0065200F"/>
    <w:rsid w:val="00653D23"/>
    <w:rsid w:val="006540F1"/>
    <w:rsid w:val="00654876"/>
    <w:rsid w:val="00655684"/>
    <w:rsid w:val="00656028"/>
    <w:rsid w:val="006564F0"/>
    <w:rsid w:val="00656627"/>
    <w:rsid w:val="0065697D"/>
    <w:rsid w:val="00657B29"/>
    <w:rsid w:val="00657CA0"/>
    <w:rsid w:val="00660031"/>
    <w:rsid w:val="00660C8F"/>
    <w:rsid w:val="0066143F"/>
    <w:rsid w:val="006619BE"/>
    <w:rsid w:val="00661F93"/>
    <w:rsid w:val="006630DE"/>
    <w:rsid w:val="006630F4"/>
    <w:rsid w:val="006633DA"/>
    <w:rsid w:val="006637E0"/>
    <w:rsid w:val="00665565"/>
    <w:rsid w:val="006672D4"/>
    <w:rsid w:val="00670661"/>
    <w:rsid w:val="00670C90"/>
    <w:rsid w:val="00671DC8"/>
    <w:rsid w:val="006726FF"/>
    <w:rsid w:val="00675BE3"/>
    <w:rsid w:val="0067639F"/>
    <w:rsid w:val="00676DBB"/>
    <w:rsid w:val="006776AD"/>
    <w:rsid w:val="00677BC5"/>
    <w:rsid w:val="006806E8"/>
    <w:rsid w:val="0068182C"/>
    <w:rsid w:val="00682B5F"/>
    <w:rsid w:val="00683105"/>
    <w:rsid w:val="00685B16"/>
    <w:rsid w:val="00685EF9"/>
    <w:rsid w:val="006905EE"/>
    <w:rsid w:val="00697C2D"/>
    <w:rsid w:val="006A02E7"/>
    <w:rsid w:val="006A0DC5"/>
    <w:rsid w:val="006A3BDE"/>
    <w:rsid w:val="006A3EAE"/>
    <w:rsid w:val="006A4353"/>
    <w:rsid w:val="006A6ECA"/>
    <w:rsid w:val="006B0B23"/>
    <w:rsid w:val="006B1360"/>
    <w:rsid w:val="006B1ECA"/>
    <w:rsid w:val="006C02EC"/>
    <w:rsid w:val="006C0C8B"/>
    <w:rsid w:val="006C190B"/>
    <w:rsid w:val="006C3112"/>
    <w:rsid w:val="006C4ACA"/>
    <w:rsid w:val="006C5ED8"/>
    <w:rsid w:val="006C6EC8"/>
    <w:rsid w:val="006C7D45"/>
    <w:rsid w:val="006D0CE3"/>
    <w:rsid w:val="006D1D9A"/>
    <w:rsid w:val="006D1F2A"/>
    <w:rsid w:val="006D26A5"/>
    <w:rsid w:val="006D28DC"/>
    <w:rsid w:val="006D31FC"/>
    <w:rsid w:val="006D3BCE"/>
    <w:rsid w:val="006D3DC2"/>
    <w:rsid w:val="006D479A"/>
    <w:rsid w:val="006D5612"/>
    <w:rsid w:val="006D5FAC"/>
    <w:rsid w:val="006E0CDE"/>
    <w:rsid w:val="006E1248"/>
    <w:rsid w:val="006E18B5"/>
    <w:rsid w:val="006E2F9B"/>
    <w:rsid w:val="006E3025"/>
    <w:rsid w:val="006E327F"/>
    <w:rsid w:val="006E3E10"/>
    <w:rsid w:val="006E57A8"/>
    <w:rsid w:val="006E5872"/>
    <w:rsid w:val="006E59BA"/>
    <w:rsid w:val="006E5F08"/>
    <w:rsid w:val="006E647D"/>
    <w:rsid w:val="006E673C"/>
    <w:rsid w:val="006F186B"/>
    <w:rsid w:val="006F2C48"/>
    <w:rsid w:val="006F2C87"/>
    <w:rsid w:val="006F2CB6"/>
    <w:rsid w:val="006F43AE"/>
    <w:rsid w:val="006F446D"/>
    <w:rsid w:val="006F497A"/>
    <w:rsid w:val="006F4AE9"/>
    <w:rsid w:val="006F57A4"/>
    <w:rsid w:val="006F57E4"/>
    <w:rsid w:val="006F719F"/>
    <w:rsid w:val="007000D5"/>
    <w:rsid w:val="00702387"/>
    <w:rsid w:val="00703078"/>
    <w:rsid w:val="0070378E"/>
    <w:rsid w:val="0070435F"/>
    <w:rsid w:val="00705B81"/>
    <w:rsid w:val="00707861"/>
    <w:rsid w:val="007104FE"/>
    <w:rsid w:val="00711CFF"/>
    <w:rsid w:val="00712062"/>
    <w:rsid w:val="00713B5E"/>
    <w:rsid w:val="00713D9C"/>
    <w:rsid w:val="00713DA2"/>
    <w:rsid w:val="00714A8D"/>
    <w:rsid w:val="00714E33"/>
    <w:rsid w:val="00714F39"/>
    <w:rsid w:val="0071546F"/>
    <w:rsid w:val="00715A48"/>
    <w:rsid w:val="007204D1"/>
    <w:rsid w:val="007205BA"/>
    <w:rsid w:val="00722253"/>
    <w:rsid w:val="00722E7E"/>
    <w:rsid w:val="00724092"/>
    <w:rsid w:val="007259CD"/>
    <w:rsid w:val="00725CCF"/>
    <w:rsid w:val="00726484"/>
    <w:rsid w:val="00726CEA"/>
    <w:rsid w:val="00726F3C"/>
    <w:rsid w:val="0073104B"/>
    <w:rsid w:val="007316EF"/>
    <w:rsid w:val="00731FDC"/>
    <w:rsid w:val="00732A0E"/>
    <w:rsid w:val="0073496D"/>
    <w:rsid w:val="00735653"/>
    <w:rsid w:val="0073660D"/>
    <w:rsid w:val="00740268"/>
    <w:rsid w:val="00743217"/>
    <w:rsid w:val="0074323C"/>
    <w:rsid w:val="00744216"/>
    <w:rsid w:val="00744589"/>
    <w:rsid w:val="007445E5"/>
    <w:rsid w:val="007449B3"/>
    <w:rsid w:val="00744BEE"/>
    <w:rsid w:val="00744C47"/>
    <w:rsid w:val="00744ED8"/>
    <w:rsid w:val="00745488"/>
    <w:rsid w:val="007459A9"/>
    <w:rsid w:val="00746106"/>
    <w:rsid w:val="007464C6"/>
    <w:rsid w:val="007470DD"/>
    <w:rsid w:val="00747770"/>
    <w:rsid w:val="00747F38"/>
    <w:rsid w:val="00754D63"/>
    <w:rsid w:val="00755367"/>
    <w:rsid w:val="00760FF4"/>
    <w:rsid w:val="00761134"/>
    <w:rsid w:val="00761EA8"/>
    <w:rsid w:val="00762214"/>
    <w:rsid w:val="00762867"/>
    <w:rsid w:val="007635BF"/>
    <w:rsid w:val="00763C90"/>
    <w:rsid w:val="007646B4"/>
    <w:rsid w:val="007657F4"/>
    <w:rsid w:val="00765A7B"/>
    <w:rsid w:val="00766BA6"/>
    <w:rsid w:val="00767162"/>
    <w:rsid w:val="0076732F"/>
    <w:rsid w:val="00767747"/>
    <w:rsid w:val="00770C6B"/>
    <w:rsid w:val="00771401"/>
    <w:rsid w:val="007719DE"/>
    <w:rsid w:val="00771B0E"/>
    <w:rsid w:val="0077332F"/>
    <w:rsid w:val="00774A1A"/>
    <w:rsid w:val="00774CC6"/>
    <w:rsid w:val="007802A6"/>
    <w:rsid w:val="0078050D"/>
    <w:rsid w:val="00782825"/>
    <w:rsid w:val="007855A4"/>
    <w:rsid w:val="007855B1"/>
    <w:rsid w:val="00786006"/>
    <w:rsid w:val="0078748D"/>
    <w:rsid w:val="00787509"/>
    <w:rsid w:val="0078768C"/>
    <w:rsid w:val="00787B6A"/>
    <w:rsid w:val="00787C20"/>
    <w:rsid w:val="00790164"/>
    <w:rsid w:val="00790B3A"/>
    <w:rsid w:val="00792074"/>
    <w:rsid w:val="007926A8"/>
    <w:rsid w:val="00792BC2"/>
    <w:rsid w:val="007952F7"/>
    <w:rsid w:val="00795370"/>
    <w:rsid w:val="00795E16"/>
    <w:rsid w:val="007964CF"/>
    <w:rsid w:val="00797FB3"/>
    <w:rsid w:val="007A0CD4"/>
    <w:rsid w:val="007A30D0"/>
    <w:rsid w:val="007A36FA"/>
    <w:rsid w:val="007A378F"/>
    <w:rsid w:val="007A3AC4"/>
    <w:rsid w:val="007A439C"/>
    <w:rsid w:val="007A49DB"/>
    <w:rsid w:val="007A4BA7"/>
    <w:rsid w:val="007A5A16"/>
    <w:rsid w:val="007A6E37"/>
    <w:rsid w:val="007B1D5B"/>
    <w:rsid w:val="007B3CAC"/>
    <w:rsid w:val="007B56E0"/>
    <w:rsid w:val="007B6551"/>
    <w:rsid w:val="007B6832"/>
    <w:rsid w:val="007B6915"/>
    <w:rsid w:val="007C088E"/>
    <w:rsid w:val="007C24DF"/>
    <w:rsid w:val="007C2636"/>
    <w:rsid w:val="007C26B9"/>
    <w:rsid w:val="007C5525"/>
    <w:rsid w:val="007C6E17"/>
    <w:rsid w:val="007C7199"/>
    <w:rsid w:val="007D0BD3"/>
    <w:rsid w:val="007D1D06"/>
    <w:rsid w:val="007D281C"/>
    <w:rsid w:val="007D293A"/>
    <w:rsid w:val="007D32BF"/>
    <w:rsid w:val="007D3C15"/>
    <w:rsid w:val="007D57BA"/>
    <w:rsid w:val="007D5A81"/>
    <w:rsid w:val="007D6480"/>
    <w:rsid w:val="007D69A2"/>
    <w:rsid w:val="007D6B68"/>
    <w:rsid w:val="007D6E6D"/>
    <w:rsid w:val="007D72B4"/>
    <w:rsid w:val="007E05EA"/>
    <w:rsid w:val="007E15CE"/>
    <w:rsid w:val="007E1E05"/>
    <w:rsid w:val="007E1EFB"/>
    <w:rsid w:val="007E3643"/>
    <w:rsid w:val="007E5707"/>
    <w:rsid w:val="007E5E21"/>
    <w:rsid w:val="007E660D"/>
    <w:rsid w:val="007E6871"/>
    <w:rsid w:val="007F1251"/>
    <w:rsid w:val="007F126D"/>
    <w:rsid w:val="007F1B1A"/>
    <w:rsid w:val="007F1D5F"/>
    <w:rsid w:val="007F28C8"/>
    <w:rsid w:val="007F462D"/>
    <w:rsid w:val="007F5718"/>
    <w:rsid w:val="007F66AF"/>
    <w:rsid w:val="007F7256"/>
    <w:rsid w:val="00801359"/>
    <w:rsid w:val="00801A7B"/>
    <w:rsid w:val="00801DD5"/>
    <w:rsid w:val="00803A08"/>
    <w:rsid w:val="00803AEF"/>
    <w:rsid w:val="00804469"/>
    <w:rsid w:val="008047BA"/>
    <w:rsid w:val="00806A62"/>
    <w:rsid w:val="008079E0"/>
    <w:rsid w:val="00810316"/>
    <w:rsid w:val="008110F3"/>
    <w:rsid w:val="00811A3C"/>
    <w:rsid w:val="008126EB"/>
    <w:rsid w:val="008127AB"/>
    <w:rsid w:val="00812C8C"/>
    <w:rsid w:val="0081371F"/>
    <w:rsid w:val="008143C2"/>
    <w:rsid w:val="0081497F"/>
    <w:rsid w:val="0081685C"/>
    <w:rsid w:val="008174DF"/>
    <w:rsid w:val="00817908"/>
    <w:rsid w:val="00817C72"/>
    <w:rsid w:val="00817F87"/>
    <w:rsid w:val="0082124C"/>
    <w:rsid w:val="00821E3D"/>
    <w:rsid w:val="0082274E"/>
    <w:rsid w:val="008238A1"/>
    <w:rsid w:val="00823AFB"/>
    <w:rsid w:val="00824322"/>
    <w:rsid w:val="00824683"/>
    <w:rsid w:val="00824E34"/>
    <w:rsid w:val="00825B01"/>
    <w:rsid w:val="00826CD9"/>
    <w:rsid w:val="00826E19"/>
    <w:rsid w:val="00827641"/>
    <w:rsid w:val="00827BE6"/>
    <w:rsid w:val="0083027B"/>
    <w:rsid w:val="00830EA5"/>
    <w:rsid w:val="0083259C"/>
    <w:rsid w:val="00833A75"/>
    <w:rsid w:val="00834647"/>
    <w:rsid w:val="00834FCC"/>
    <w:rsid w:val="0083598E"/>
    <w:rsid w:val="00836002"/>
    <w:rsid w:val="00837E2E"/>
    <w:rsid w:val="008403AF"/>
    <w:rsid w:val="008411C6"/>
    <w:rsid w:val="0084312C"/>
    <w:rsid w:val="00844590"/>
    <w:rsid w:val="00846A10"/>
    <w:rsid w:val="008479BE"/>
    <w:rsid w:val="00847A8A"/>
    <w:rsid w:val="00850040"/>
    <w:rsid w:val="00850D6F"/>
    <w:rsid w:val="00851532"/>
    <w:rsid w:val="0085235F"/>
    <w:rsid w:val="008536C5"/>
    <w:rsid w:val="00853ECF"/>
    <w:rsid w:val="008540A4"/>
    <w:rsid w:val="00854E68"/>
    <w:rsid w:val="0085545D"/>
    <w:rsid w:val="00855770"/>
    <w:rsid w:val="00855B4C"/>
    <w:rsid w:val="00856E21"/>
    <w:rsid w:val="00856FD9"/>
    <w:rsid w:val="00860FFC"/>
    <w:rsid w:val="00861419"/>
    <w:rsid w:val="00861421"/>
    <w:rsid w:val="0086181E"/>
    <w:rsid w:val="008622DC"/>
    <w:rsid w:val="0086231F"/>
    <w:rsid w:val="00863293"/>
    <w:rsid w:val="00863454"/>
    <w:rsid w:val="00863605"/>
    <w:rsid w:val="0086433A"/>
    <w:rsid w:val="008649C7"/>
    <w:rsid w:val="00864F8C"/>
    <w:rsid w:val="00864F9A"/>
    <w:rsid w:val="00866045"/>
    <w:rsid w:val="0086630E"/>
    <w:rsid w:val="008669D6"/>
    <w:rsid w:val="0087008F"/>
    <w:rsid w:val="00870CD3"/>
    <w:rsid w:val="00871C7E"/>
    <w:rsid w:val="00872447"/>
    <w:rsid w:val="00874267"/>
    <w:rsid w:val="00874C22"/>
    <w:rsid w:val="00875136"/>
    <w:rsid w:val="00875EA6"/>
    <w:rsid w:val="00876242"/>
    <w:rsid w:val="008762CD"/>
    <w:rsid w:val="00876EEE"/>
    <w:rsid w:val="008810C5"/>
    <w:rsid w:val="0088130B"/>
    <w:rsid w:val="0088161D"/>
    <w:rsid w:val="00883656"/>
    <w:rsid w:val="008838A4"/>
    <w:rsid w:val="00885703"/>
    <w:rsid w:val="00890334"/>
    <w:rsid w:val="008904B4"/>
    <w:rsid w:val="00890FDF"/>
    <w:rsid w:val="008918C6"/>
    <w:rsid w:val="00891B2F"/>
    <w:rsid w:val="008944C5"/>
    <w:rsid w:val="008961EB"/>
    <w:rsid w:val="0089659D"/>
    <w:rsid w:val="00896B41"/>
    <w:rsid w:val="00897B62"/>
    <w:rsid w:val="00897ECF"/>
    <w:rsid w:val="00897F74"/>
    <w:rsid w:val="008A129F"/>
    <w:rsid w:val="008A19AC"/>
    <w:rsid w:val="008A1B5E"/>
    <w:rsid w:val="008A1F49"/>
    <w:rsid w:val="008A30F1"/>
    <w:rsid w:val="008A3ADD"/>
    <w:rsid w:val="008A3BEA"/>
    <w:rsid w:val="008A45BA"/>
    <w:rsid w:val="008A464D"/>
    <w:rsid w:val="008A5FEC"/>
    <w:rsid w:val="008B0261"/>
    <w:rsid w:val="008B061B"/>
    <w:rsid w:val="008B1744"/>
    <w:rsid w:val="008B1BCB"/>
    <w:rsid w:val="008B21E9"/>
    <w:rsid w:val="008B3558"/>
    <w:rsid w:val="008B43FF"/>
    <w:rsid w:val="008B4CF6"/>
    <w:rsid w:val="008B641E"/>
    <w:rsid w:val="008B710C"/>
    <w:rsid w:val="008B76D9"/>
    <w:rsid w:val="008B779F"/>
    <w:rsid w:val="008B7D07"/>
    <w:rsid w:val="008C1521"/>
    <w:rsid w:val="008C16C4"/>
    <w:rsid w:val="008C2F3F"/>
    <w:rsid w:val="008C358A"/>
    <w:rsid w:val="008C3859"/>
    <w:rsid w:val="008C56EB"/>
    <w:rsid w:val="008C5EC3"/>
    <w:rsid w:val="008C68E6"/>
    <w:rsid w:val="008C7C61"/>
    <w:rsid w:val="008D05F6"/>
    <w:rsid w:val="008D295F"/>
    <w:rsid w:val="008D2E01"/>
    <w:rsid w:val="008D3DEF"/>
    <w:rsid w:val="008D42F8"/>
    <w:rsid w:val="008D4C90"/>
    <w:rsid w:val="008D5320"/>
    <w:rsid w:val="008D7717"/>
    <w:rsid w:val="008D7CCD"/>
    <w:rsid w:val="008E0EB5"/>
    <w:rsid w:val="008E2572"/>
    <w:rsid w:val="008E33D5"/>
    <w:rsid w:val="008E33F3"/>
    <w:rsid w:val="008E36B6"/>
    <w:rsid w:val="008E3E45"/>
    <w:rsid w:val="008E42BE"/>
    <w:rsid w:val="008E4AA4"/>
    <w:rsid w:val="008E4DCD"/>
    <w:rsid w:val="008E61BF"/>
    <w:rsid w:val="008E6730"/>
    <w:rsid w:val="008E78F5"/>
    <w:rsid w:val="008E7BF6"/>
    <w:rsid w:val="008F01EF"/>
    <w:rsid w:val="008F031F"/>
    <w:rsid w:val="008F14A4"/>
    <w:rsid w:val="008F179D"/>
    <w:rsid w:val="008F1E98"/>
    <w:rsid w:val="008F268C"/>
    <w:rsid w:val="008F39CB"/>
    <w:rsid w:val="008F55FC"/>
    <w:rsid w:val="008F77A3"/>
    <w:rsid w:val="008F793E"/>
    <w:rsid w:val="008F7D51"/>
    <w:rsid w:val="00900146"/>
    <w:rsid w:val="00900285"/>
    <w:rsid w:val="00901BEE"/>
    <w:rsid w:val="0090211F"/>
    <w:rsid w:val="00903D23"/>
    <w:rsid w:val="009053F9"/>
    <w:rsid w:val="00906331"/>
    <w:rsid w:val="00911F78"/>
    <w:rsid w:val="009127A7"/>
    <w:rsid w:val="00913652"/>
    <w:rsid w:val="00913FFE"/>
    <w:rsid w:val="00914F03"/>
    <w:rsid w:val="0091624F"/>
    <w:rsid w:val="00916F22"/>
    <w:rsid w:val="00917373"/>
    <w:rsid w:val="00920127"/>
    <w:rsid w:val="00921D10"/>
    <w:rsid w:val="009222B1"/>
    <w:rsid w:val="009238DB"/>
    <w:rsid w:val="0092394A"/>
    <w:rsid w:val="00923CFD"/>
    <w:rsid w:val="00923D14"/>
    <w:rsid w:val="009245FF"/>
    <w:rsid w:val="00925898"/>
    <w:rsid w:val="009262F4"/>
    <w:rsid w:val="00927C94"/>
    <w:rsid w:val="00931239"/>
    <w:rsid w:val="00931969"/>
    <w:rsid w:val="00932685"/>
    <w:rsid w:val="00932ED4"/>
    <w:rsid w:val="00932FF6"/>
    <w:rsid w:val="00933241"/>
    <w:rsid w:val="0093546E"/>
    <w:rsid w:val="009368EA"/>
    <w:rsid w:val="00936DC9"/>
    <w:rsid w:val="0093714B"/>
    <w:rsid w:val="00937B11"/>
    <w:rsid w:val="009409CB"/>
    <w:rsid w:val="009437E6"/>
    <w:rsid w:val="0094586F"/>
    <w:rsid w:val="00945902"/>
    <w:rsid w:val="009465BA"/>
    <w:rsid w:val="00947F86"/>
    <w:rsid w:val="00950068"/>
    <w:rsid w:val="00951421"/>
    <w:rsid w:val="009520C1"/>
    <w:rsid w:val="00952E76"/>
    <w:rsid w:val="00953A10"/>
    <w:rsid w:val="00953A2A"/>
    <w:rsid w:val="0095428E"/>
    <w:rsid w:val="009550D5"/>
    <w:rsid w:val="009552D7"/>
    <w:rsid w:val="009554C5"/>
    <w:rsid w:val="00955801"/>
    <w:rsid w:val="00955A59"/>
    <w:rsid w:val="00955AAA"/>
    <w:rsid w:val="00956CE3"/>
    <w:rsid w:val="00960AB1"/>
    <w:rsid w:val="00961380"/>
    <w:rsid w:val="00962003"/>
    <w:rsid w:val="00963309"/>
    <w:rsid w:val="009649D8"/>
    <w:rsid w:val="00965982"/>
    <w:rsid w:val="00966967"/>
    <w:rsid w:val="00966D4C"/>
    <w:rsid w:val="0096756A"/>
    <w:rsid w:val="00967C33"/>
    <w:rsid w:val="00970656"/>
    <w:rsid w:val="009713A5"/>
    <w:rsid w:val="00971A88"/>
    <w:rsid w:val="00971EBC"/>
    <w:rsid w:val="00972104"/>
    <w:rsid w:val="00974583"/>
    <w:rsid w:val="00977125"/>
    <w:rsid w:val="00977B18"/>
    <w:rsid w:val="00977E3D"/>
    <w:rsid w:val="009801AD"/>
    <w:rsid w:val="00980A28"/>
    <w:rsid w:val="00981B18"/>
    <w:rsid w:val="00981F5D"/>
    <w:rsid w:val="00983080"/>
    <w:rsid w:val="00984F96"/>
    <w:rsid w:val="009857CA"/>
    <w:rsid w:val="00985873"/>
    <w:rsid w:val="00985AF4"/>
    <w:rsid w:val="00986056"/>
    <w:rsid w:val="00986204"/>
    <w:rsid w:val="00986EAC"/>
    <w:rsid w:val="00991BF2"/>
    <w:rsid w:val="00992317"/>
    <w:rsid w:val="00992C7B"/>
    <w:rsid w:val="00993425"/>
    <w:rsid w:val="00993B76"/>
    <w:rsid w:val="00993EF7"/>
    <w:rsid w:val="00997128"/>
    <w:rsid w:val="009972B5"/>
    <w:rsid w:val="009A0D3F"/>
    <w:rsid w:val="009A14A0"/>
    <w:rsid w:val="009A1BFB"/>
    <w:rsid w:val="009A28D1"/>
    <w:rsid w:val="009A2977"/>
    <w:rsid w:val="009A5FB4"/>
    <w:rsid w:val="009A6662"/>
    <w:rsid w:val="009A68F8"/>
    <w:rsid w:val="009A6D6F"/>
    <w:rsid w:val="009A6D77"/>
    <w:rsid w:val="009A719C"/>
    <w:rsid w:val="009A7595"/>
    <w:rsid w:val="009A7B73"/>
    <w:rsid w:val="009B2341"/>
    <w:rsid w:val="009B3EA4"/>
    <w:rsid w:val="009B4C08"/>
    <w:rsid w:val="009B5C94"/>
    <w:rsid w:val="009B5F14"/>
    <w:rsid w:val="009B6DB3"/>
    <w:rsid w:val="009B6F77"/>
    <w:rsid w:val="009C0C95"/>
    <w:rsid w:val="009C11D6"/>
    <w:rsid w:val="009C13D2"/>
    <w:rsid w:val="009C26D4"/>
    <w:rsid w:val="009C2F80"/>
    <w:rsid w:val="009C522E"/>
    <w:rsid w:val="009C5852"/>
    <w:rsid w:val="009C5B1E"/>
    <w:rsid w:val="009C681C"/>
    <w:rsid w:val="009C6A1D"/>
    <w:rsid w:val="009C70E6"/>
    <w:rsid w:val="009C7908"/>
    <w:rsid w:val="009D1D33"/>
    <w:rsid w:val="009D1EA0"/>
    <w:rsid w:val="009D2049"/>
    <w:rsid w:val="009D245F"/>
    <w:rsid w:val="009D2CD4"/>
    <w:rsid w:val="009D43FB"/>
    <w:rsid w:val="009D5122"/>
    <w:rsid w:val="009D520D"/>
    <w:rsid w:val="009D5D0F"/>
    <w:rsid w:val="009D63C1"/>
    <w:rsid w:val="009D6879"/>
    <w:rsid w:val="009D6B43"/>
    <w:rsid w:val="009D714E"/>
    <w:rsid w:val="009D770C"/>
    <w:rsid w:val="009E065A"/>
    <w:rsid w:val="009E22C6"/>
    <w:rsid w:val="009E286F"/>
    <w:rsid w:val="009E63A2"/>
    <w:rsid w:val="009E6902"/>
    <w:rsid w:val="009E7048"/>
    <w:rsid w:val="009E7C54"/>
    <w:rsid w:val="009F1932"/>
    <w:rsid w:val="009F4D74"/>
    <w:rsid w:val="009F5178"/>
    <w:rsid w:val="009F5C4D"/>
    <w:rsid w:val="009F7724"/>
    <w:rsid w:val="00A00B3A"/>
    <w:rsid w:val="00A01961"/>
    <w:rsid w:val="00A04D02"/>
    <w:rsid w:val="00A051BE"/>
    <w:rsid w:val="00A05255"/>
    <w:rsid w:val="00A061A1"/>
    <w:rsid w:val="00A0732F"/>
    <w:rsid w:val="00A07B41"/>
    <w:rsid w:val="00A07CBA"/>
    <w:rsid w:val="00A1061E"/>
    <w:rsid w:val="00A106D5"/>
    <w:rsid w:val="00A108F3"/>
    <w:rsid w:val="00A10A01"/>
    <w:rsid w:val="00A10FF0"/>
    <w:rsid w:val="00A11588"/>
    <w:rsid w:val="00A11810"/>
    <w:rsid w:val="00A119F6"/>
    <w:rsid w:val="00A11E07"/>
    <w:rsid w:val="00A12AFF"/>
    <w:rsid w:val="00A143CA"/>
    <w:rsid w:val="00A14E69"/>
    <w:rsid w:val="00A15993"/>
    <w:rsid w:val="00A16C5D"/>
    <w:rsid w:val="00A17166"/>
    <w:rsid w:val="00A23424"/>
    <w:rsid w:val="00A24BAE"/>
    <w:rsid w:val="00A24F29"/>
    <w:rsid w:val="00A25299"/>
    <w:rsid w:val="00A253E0"/>
    <w:rsid w:val="00A26083"/>
    <w:rsid w:val="00A267C4"/>
    <w:rsid w:val="00A26C66"/>
    <w:rsid w:val="00A27D89"/>
    <w:rsid w:val="00A30C5D"/>
    <w:rsid w:val="00A31026"/>
    <w:rsid w:val="00A32CC7"/>
    <w:rsid w:val="00A32E08"/>
    <w:rsid w:val="00A32F3F"/>
    <w:rsid w:val="00A336CB"/>
    <w:rsid w:val="00A34743"/>
    <w:rsid w:val="00A36521"/>
    <w:rsid w:val="00A36562"/>
    <w:rsid w:val="00A36613"/>
    <w:rsid w:val="00A36CD0"/>
    <w:rsid w:val="00A36D2F"/>
    <w:rsid w:val="00A37147"/>
    <w:rsid w:val="00A42BC7"/>
    <w:rsid w:val="00A42F6B"/>
    <w:rsid w:val="00A43C08"/>
    <w:rsid w:val="00A45621"/>
    <w:rsid w:val="00A4582F"/>
    <w:rsid w:val="00A45BCC"/>
    <w:rsid w:val="00A45D54"/>
    <w:rsid w:val="00A45D83"/>
    <w:rsid w:val="00A4624B"/>
    <w:rsid w:val="00A472E3"/>
    <w:rsid w:val="00A47ED9"/>
    <w:rsid w:val="00A5188E"/>
    <w:rsid w:val="00A51D94"/>
    <w:rsid w:val="00A5498B"/>
    <w:rsid w:val="00A54E37"/>
    <w:rsid w:val="00A55E65"/>
    <w:rsid w:val="00A56A5B"/>
    <w:rsid w:val="00A57AB3"/>
    <w:rsid w:val="00A601C8"/>
    <w:rsid w:val="00A60583"/>
    <w:rsid w:val="00A60C84"/>
    <w:rsid w:val="00A621C2"/>
    <w:rsid w:val="00A62A1F"/>
    <w:rsid w:val="00A62B7D"/>
    <w:rsid w:val="00A64BE9"/>
    <w:rsid w:val="00A6525A"/>
    <w:rsid w:val="00A65B5F"/>
    <w:rsid w:val="00A6601E"/>
    <w:rsid w:val="00A66F29"/>
    <w:rsid w:val="00A671E9"/>
    <w:rsid w:val="00A672A8"/>
    <w:rsid w:val="00A706FF"/>
    <w:rsid w:val="00A71063"/>
    <w:rsid w:val="00A71BF7"/>
    <w:rsid w:val="00A71DAF"/>
    <w:rsid w:val="00A73CB4"/>
    <w:rsid w:val="00A7483F"/>
    <w:rsid w:val="00A75470"/>
    <w:rsid w:val="00A7588C"/>
    <w:rsid w:val="00A75927"/>
    <w:rsid w:val="00A75981"/>
    <w:rsid w:val="00A75D84"/>
    <w:rsid w:val="00A77986"/>
    <w:rsid w:val="00A80072"/>
    <w:rsid w:val="00A80A95"/>
    <w:rsid w:val="00A81A1E"/>
    <w:rsid w:val="00A82664"/>
    <w:rsid w:val="00A826F6"/>
    <w:rsid w:val="00A84A12"/>
    <w:rsid w:val="00A85DF4"/>
    <w:rsid w:val="00A860C3"/>
    <w:rsid w:val="00A86287"/>
    <w:rsid w:val="00A8707B"/>
    <w:rsid w:val="00A872FC"/>
    <w:rsid w:val="00A877E0"/>
    <w:rsid w:val="00A944F1"/>
    <w:rsid w:val="00A94918"/>
    <w:rsid w:val="00A95AC9"/>
    <w:rsid w:val="00A96286"/>
    <w:rsid w:val="00A9693C"/>
    <w:rsid w:val="00A96F99"/>
    <w:rsid w:val="00A97581"/>
    <w:rsid w:val="00AA0B2E"/>
    <w:rsid w:val="00AA1156"/>
    <w:rsid w:val="00AA4523"/>
    <w:rsid w:val="00AA5760"/>
    <w:rsid w:val="00AA60CA"/>
    <w:rsid w:val="00AA61BD"/>
    <w:rsid w:val="00AA62CE"/>
    <w:rsid w:val="00AA7C8B"/>
    <w:rsid w:val="00AB1367"/>
    <w:rsid w:val="00AB1A80"/>
    <w:rsid w:val="00AB2551"/>
    <w:rsid w:val="00AB29DD"/>
    <w:rsid w:val="00AB5116"/>
    <w:rsid w:val="00AB549D"/>
    <w:rsid w:val="00AB5770"/>
    <w:rsid w:val="00AB57FD"/>
    <w:rsid w:val="00AB596F"/>
    <w:rsid w:val="00AB5EDE"/>
    <w:rsid w:val="00AB6E2A"/>
    <w:rsid w:val="00AB6EBD"/>
    <w:rsid w:val="00AB75A3"/>
    <w:rsid w:val="00AC0BC0"/>
    <w:rsid w:val="00AC0D8C"/>
    <w:rsid w:val="00AC134E"/>
    <w:rsid w:val="00AC1A14"/>
    <w:rsid w:val="00AC2435"/>
    <w:rsid w:val="00AC4920"/>
    <w:rsid w:val="00AC4F77"/>
    <w:rsid w:val="00AC5477"/>
    <w:rsid w:val="00AC5B77"/>
    <w:rsid w:val="00AD2CF0"/>
    <w:rsid w:val="00AD2DDC"/>
    <w:rsid w:val="00AD30F0"/>
    <w:rsid w:val="00AD3F8C"/>
    <w:rsid w:val="00AD41CC"/>
    <w:rsid w:val="00AD6C34"/>
    <w:rsid w:val="00AD6FB9"/>
    <w:rsid w:val="00AD770B"/>
    <w:rsid w:val="00AD7DE7"/>
    <w:rsid w:val="00AE10F9"/>
    <w:rsid w:val="00AE13F1"/>
    <w:rsid w:val="00AE2560"/>
    <w:rsid w:val="00AE3537"/>
    <w:rsid w:val="00AE4A3E"/>
    <w:rsid w:val="00AE53E0"/>
    <w:rsid w:val="00AE5832"/>
    <w:rsid w:val="00AE7E4E"/>
    <w:rsid w:val="00AF31E6"/>
    <w:rsid w:val="00AF5576"/>
    <w:rsid w:val="00AF5688"/>
    <w:rsid w:val="00AF665A"/>
    <w:rsid w:val="00AF720F"/>
    <w:rsid w:val="00AF77A5"/>
    <w:rsid w:val="00AF7EA0"/>
    <w:rsid w:val="00B00A12"/>
    <w:rsid w:val="00B02091"/>
    <w:rsid w:val="00B03388"/>
    <w:rsid w:val="00B03564"/>
    <w:rsid w:val="00B041BB"/>
    <w:rsid w:val="00B04376"/>
    <w:rsid w:val="00B052DB"/>
    <w:rsid w:val="00B0532D"/>
    <w:rsid w:val="00B0599A"/>
    <w:rsid w:val="00B05C8B"/>
    <w:rsid w:val="00B05F0A"/>
    <w:rsid w:val="00B060EE"/>
    <w:rsid w:val="00B07D39"/>
    <w:rsid w:val="00B11829"/>
    <w:rsid w:val="00B14771"/>
    <w:rsid w:val="00B1522F"/>
    <w:rsid w:val="00B17548"/>
    <w:rsid w:val="00B219C3"/>
    <w:rsid w:val="00B24B45"/>
    <w:rsid w:val="00B24BCC"/>
    <w:rsid w:val="00B25129"/>
    <w:rsid w:val="00B25F00"/>
    <w:rsid w:val="00B26AD8"/>
    <w:rsid w:val="00B276D5"/>
    <w:rsid w:val="00B27911"/>
    <w:rsid w:val="00B32054"/>
    <w:rsid w:val="00B32478"/>
    <w:rsid w:val="00B33A49"/>
    <w:rsid w:val="00B365D8"/>
    <w:rsid w:val="00B36D6A"/>
    <w:rsid w:val="00B37434"/>
    <w:rsid w:val="00B37AA2"/>
    <w:rsid w:val="00B40893"/>
    <w:rsid w:val="00B41D6E"/>
    <w:rsid w:val="00B42E44"/>
    <w:rsid w:val="00B42F7C"/>
    <w:rsid w:val="00B45032"/>
    <w:rsid w:val="00B46FBC"/>
    <w:rsid w:val="00B506D4"/>
    <w:rsid w:val="00B509C8"/>
    <w:rsid w:val="00B517FF"/>
    <w:rsid w:val="00B52B5D"/>
    <w:rsid w:val="00B53301"/>
    <w:rsid w:val="00B53423"/>
    <w:rsid w:val="00B5400A"/>
    <w:rsid w:val="00B5447C"/>
    <w:rsid w:val="00B548A4"/>
    <w:rsid w:val="00B559CE"/>
    <w:rsid w:val="00B55A2E"/>
    <w:rsid w:val="00B607EE"/>
    <w:rsid w:val="00B60DC0"/>
    <w:rsid w:val="00B61944"/>
    <w:rsid w:val="00B61F2C"/>
    <w:rsid w:val="00B6200D"/>
    <w:rsid w:val="00B62426"/>
    <w:rsid w:val="00B62578"/>
    <w:rsid w:val="00B6292E"/>
    <w:rsid w:val="00B64117"/>
    <w:rsid w:val="00B65111"/>
    <w:rsid w:val="00B651B8"/>
    <w:rsid w:val="00B65BB2"/>
    <w:rsid w:val="00B66183"/>
    <w:rsid w:val="00B6703D"/>
    <w:rsid w:val="00B67ADE"/>
    <w:rsid w:val="00B7517D"/>
    <w:rsid w:val="00B76114"/>
    <w:rsid w:val="00B7676B"/>
    <w:rsid w:val="00B76C81"/>
    <w:rsid w:val="00B773D3"/>
    <w:rsid w:val="00B7770C"/>
    <w:rsid w:val="00B779F7"/>
    <w:rsid w:val="00B819A6"/>
    <w:rsid w:val="00B844C7"/>
    <w:rsid w:val="00B84C5A"/>
    <w:rsid w:val="00B86411"/>
    <w:rsid w:val="00B86C86"/>
    <w:rsid w:val="00B9015E"/>
    <w:rsid w:val="00B904E1"/>
    <w:rsid w:val="00B908C9"/>
    <w:rsid w:val="00B90A71"/>
    <w:rsid w:val="00B90C65"/>
    <w:rsid w:val="00B918BF"/>
    <w:rsid w:val="00B923FD"/>
    <w:rsid w:val="00B92514"/>
    <w:rsid w:val="00B92BDD"/>
    <w:rsid w:val="00B92C5C"/>
    <w:rsid w:val="00B95201"/>
    <w:rsid w:val="00B95312"/>
    <w:rsid w:val="00BA0578"/>
    <w:rsid w:val="00BA06B4"/>
    <w:rsid w:val="00BA2374"/>
    <w:rsid w:val="00BA3DF1"/>
    <w:rsid w:val="00BA42D2"/>
    <w:rsid w:val="00BA4744"/>
    <w:rsid w:val="00BA490C"/>
    <w:rsid w:val="00BA555A"/>
    <w:rsid w:val="00BA5ADA"/>
    <w:rsid w:val="00BA741F"/>
    <w:rsid w:val="00BA769F"/>
    <w:rsid w:val="00BB0845"/>
    <w:rsid w:val="00BB1821"/>
    <w:rsid w:val="00BB2790"/>
    <w:rsid w:val="00BB28BD"/>
    <w:rsid w:val="00BB38FB"/>
    <w:rsid w:val="00BB3CBE"/>
    <w:rsid w:val="00BB7353"/>
    <w:rsid w:val="00BC06C1"/>
    <w:rsid w:val="00BC2507"/>
    <w:rsid w:val="00BC3361"/>
    <w:rsid w:val="00BC59B3"/>
    <w:rsid w:val="00BD0F87"/>
    <w:rsid w:val="00BD1B2D"/>
    <w:rsid w:val="00BD4162"/>
    <w:rsid w:val="00BD41B9"/>
    <w:rsid w:val="00BD6C3B"/>
    <w:rsid w:val="00BD76F5"/>
    <w:rsid w:val="00BE008F"/>
    <w:rsid w:val="00BE0270"/>
    <w:rsid w:val="00BE0C74"/>
    <w:rsid w:val="00BE1F81"/>
    <w:rsid w:val="00BE20CE"/>
    <w:rsid w:val="00BE2717"/>
    <w:rsid w:val="00BE2CB1"/>
    <w:rsid w:val="00BE360B"/>
    <w:rsid w:val="00BE3D81"/>
    <w:rsid w:val="00BE479F"/>
    <w:rsid w:val="00BE51A7"/>
    <w:rsid w:val="00BE68AB"/>
    <w:rsid w:val="00BE6EA0"/>
    <w:rsid w:val="00BF0C86"/>
    <w:rsid w:val="00BF117C"/>
    <w:rsid w:val="00BF17B9"/>
    <w:rsid w:val="00BF244B"/>
    <w:rsid w:val="00BF373E"/>
    <w:rsid w:val="00BF6D45"/>
    <w:rsid w:val="00C000CE"/>
    <w:rsid w:val="00C028CC"/>
    <w:rsid w:val="00C04588"/>
    <w:rsid w:val="00C061A1"/>
    <w:rsid w:val="00C10B34"/>
    <w:rsid w:val="00C11C00"/>
    <w:rsid w:val="00C13E9E"/>
    <w:rsid w:val="00C14393"/>
    <w:rsid w:val="00C14440"/>
    <w:rsid w:val="00C15771"/>
    <w:rsid w:val="00C158D3"/>
    <w:rsid w:val="00C15F2E"/>
    <w:rsid w:val="00C165FF"/>
    <w:rsid w:val="00C1663C"/>
    <w:rsid w:val="00C16CFB"/>
    <w:rsid w:val="00C170DC"/>
    <w:rsid w:val="00C20521"/>
    <w:rsid w:val="00C211B9"/>
    <w:rsid w:val="00C21EE3"/>
    <w:rsid w:val="00C225E1"/>
    <w:rsid w:val="00C23100"/>
    <w:rsid w:val="00C235C6"/>
    <w:rsid w:val="00C243CA"/>
    <w:rsid w:val="00C24704"/>
    <w:rsid w:val="00C267C7"/>
    <w:rsid w:val="00C268E0"/>
    <w:rsid w:val="00C26A0F"/>
    <w:rsid w:val="00C2747D"/>
    <w:rsid w:val="00C2764E"/>
    <w:rsid w:val="00C27C2C"/>
    <w:rsid w:val="00C32DD2"/>
    <w:rsid w:val="00C331D2"/>
    <w:rsid w:val="00C33349"/>
    <w:rsid w:val="00C33568"/>
    <w:rsid w:val="00C34EBA"/>
    <w:rsid w:val="00C35E3C"/>
    <w:rsid w:val="00C36771"/>
    <w:rsid w:val="00C405B8"/>
    <w:rsid w:val="00C41056"/>
    <w:rsid w:val="00C41916"/>
    <w:rsid w:val="00C4396D"/>
    <w:rsid w:val="00C43CA4"/>
    <w:rsid w:val="00C43E5B"/>
    <w:rsid w:val="00C451D0"/>
    <w:rsid w:val="00C469DA"/>
    <w:rsid w:val="00C46D4D"/>
    <w:rsid w:val="00C47C23"/>
    <w:rsid w:val="00C47C7D"/>
    <w:rsid w:val="00C5020B"/>
    <w:rsid w:val="00C515C3"/>
    <w:rsid w:val="00C518BF"/>
    <w:rsid w:val="00C5335E"/>
    <w:rsid w:val="00C5338A"/>
    <w:rsid w:val="00C546F1"/>
    <w:rsid w:val="00C54CA5"/>
    <w:rsid w:val="00C5587E"/>
    <w:rsid w:val="00C56714"/>
    <w:rsid w:val="00C57E95"/>
    <w:rsid w:val="00C60120"/>
    <w:rsid w:val="00C606EE"/>
    <w:rsid w:val="00C60A9C"/>
    <w:rsid w:val="00C60F4B"/>
    <w:rsid w:val="00C6106E"/>
    <w:rsid w:val="00C6136A"/>
    <w:rsid w:val="00C62266"/>
    <w:rsid w:val="00C62D8E"/>
    <w:rsid w:val="00C63647"/>
    <w:rsid w:val="00C63B25"/>
    <w:rsid w:val="00C650FF"/>
    <w:rsid w:val="00C65ABA"/>
    <w:rsid w:val="00C665E0"/>
    <w:rsid w:val="00C67B74"/>
    <w:rsid w:val="00C70677"/>
    <w:rsid w:val="00C7183A"/>
    <w:rsid w:val="00C71F5B"/>
    <w:rsid w:val="00C720D8"/>
    <w:rsid w:val="00C7218D"/>
    <w:rsid w:val="00C72993"/>
    <w:rsid w:val="00C73040"/>
    <w:rsid w:val="00C73991"/>
    <w:rsid w:val="00C7441B"/>
    <w:rsid w:val="00C76AB1"/>
    <w:rsid w:val="00C8108B"/>
    <w:rsid w:val="00C82247"/>
    <w:rsid w:val="00C82A93"/>
    <w:rsid w:val="00C82BB6"/>
    <w:rsid w:val="00C8397B"/>
    <w:rsid w:val="00C9014E"/>
    <w:rsid w:val="00C90462"/>
    <w:rsid w:val="00C91307"/>
    <w:rsid w:val="00C91495"/>
    <w:rsid w:val="00C92BF0"/>
    <w:rsid w:val="00C9360E"/>
    <w:rsid w:val="00C93D62"/>
    <w:rsid w:val="00C94D77"/>
    <w:rsid w:val="00C959E2"/>
    <w:rsid w:val="00C9652C"/>
    <w:rsid w:val="00CA025C"/>
    <w:rsid w:val="00CA0ABC"/>
    <w:rsid w:val="00CA1316"/>
    <w:rsid w:val="00CA21A5"/>
    <w:rsid w:val="00CA2A4B"/>
    <w:rsid w:val="00CA30EE"/>
    <w:rsid w:val="00CA3C2B"/>
    <w:rsid w:val="00CA41F6"/>
    <w:rsid w:val="00CA4EC1"/>
    <w:rsid w:val="00CA4F40"/>
    <w:rsid w:val="00CA524E"/>
    <w:rsid w:val="00CA5BC9"/>
    <w:rsid w:val="00CA606B"/>
    <w:rsid w:val="00CA7AF9"/>
    <w:rsid w:val="00CB0172"/>
    <w:rsid w:val="00CB037E"/>
    <w:rsid w:val="00CB07D0"/>
    <w:rsid w:val="00CB0E8B"/>
    <w:rsid w:val="00CB11C4"/>
    <w:rsid w:val="00CB14C5"/>
    <w:rsid w:val="00CB3ECB"/>
    <w:rsid w:val="00CB48E5"/>
    <w:rsid w:val="00CB5D21"/>
    <w:rsid w:val="00CB62A2"/>
    <w:rsid w:val="00CC040D"/>
    <w:rsid w:val="00CC0884"/>
    <w:rsid w:val="00CC16A9"/>
    <w:rsid w:val="00CC1721"/>
    <w:rsid w:val="00CC184E"/>
    <w:rsid w:val="00CC1FB4"/>
    <w:rsid w:val="00CC1FC7"/>
    <w:rsid w:val="00CC2C35"/>
    <w:rsid w:val="00CC3685"/>
    <w:rsid w:val="00CC3F3A"/>
    <w:rsid w:val="00CC4013"/>
    <w:rsid w:val="00CC4126"/>
    <w:rsid w:val="00CC4424"/>
    <w:rsid w:val="00CC4527"/>
    <w:rsid w:val="00CC4D16"/>
    <w:rsid w:val="00CC4D3E"/>
    <w:rsid w:val="00CC61F7"/>
    <w:rsid w:val="00CC6B94"/>
    <w:rsid w:val="00CC7BE8"/>
    <w:rsid w:val="00CD0D30"/>
    <w:rsid w:val="00CD1AA7"/>
    <w:rsid w:val="00CD1DE1"/>
    <w:rsid w:val="00CD1DEF"/>
    <w:rsid w:val="00CD2605"/>
    <w:rsid w:val="00CD2BB9"/>
    <w:rsid w:val="00CD2BFE"/>
    <w:rsid w:val="00CD44F7"/>
    <w:rsid w:val="00CD46B8"/>
    <w:rsid w:val="00CD52C5"/>
    <w:rsid w:val="00CD5CAE"/>
    <w:rsid w:val="00CD61CB"/>
    <w:rsid w:val="00CD6985"/>
    <w:rsid w:val="00CE21E6"/>
    <w:rsid w:val="00CE2679"/>
    <w:rsid w:val="00CE39EB"/>
    <w:rsid w:val="00CE41F0"/>
    <w:rsid w:val="00CE4609"/>
    <w:rsid w:val="00CE50B5"/>
    <w:rsid w:val="00CE5800"/>
    <w:rsid w:val="00CF2E10"/>
    <w:rsid w:val="00CF44F5"/>
    <w:rsid w:val="00CF51A8"/>
    <w:rsid w:val="00CF5ACB"/>
    <w:rsid w:val="00CF618A"/>
    <w:rsid w:val="00CF6440"/>
    <w:rsid w:val="00CF6E3F"/>
    <w:rsid w:val="00CF6F23"/>
    <w:rsid w:val="00D001AE"/>
    <w:rsid w:val="00D01B2F"/>
    <w:rsid w:val="00D01CB6"/>
    <w:rsid w:val="00D02FB4"/>
    <w:rsid w:val="00D03D85"/>
    <w:rsid w:val="00D04825"/>
    <w:rsid w:val="00D04DC2"/>
    <w:rsid w:val="00D05F58"/>
    <w:rsid w:val="00D07D73"/>
    <w:rsid w:val="00D07DAB"/>
    <w:rsid w:val="00D13581"/>
    <w:rsid w:val="00D140FD"/>
    <w:rsid w:val="00D146E0"/>
    <w:rsid w:val="00D14E1B"/>
    <w:rsid w:val="00D16CC2"/>
    <w:rsid w:val="00D171C8"/>
    <w:rsid w:val="00D17636"/>
    <w:rsid w:val="00D1767A"/>
    <w:rsid w:val="00D2216A"/>
    <w:rsid w:val="00D22913"/>
    <w:rsid w:val="00D229EC"/>
    <w:rsid w:val="00D23B06"/>
    <w:rsid w:val="00D2403F"/>
    <w:rsid w:val="00D2462F"/>
    <w:rsid w:val="00D2479C"/>
    <w:rsid w:val="00D25D39"/>
    <w:rsid w:val="00D2738B"/>
    <w:rsid w:val="00D27F55"/>
    <w:rsid w:val="00D306FD"/>
    <w:rsid w:val="00D33557"/>
    <w:rsid w:val="00D337CD"/>
    <w:rsid w:val="00D33C6D"/>
    <w:rsid w:val="00D40A28"/>
    <w:rsid w:val="00D41785"/>
    <w:rsid w:val="00D41F39"/>
    <w:rsid w:val="00D428DC"/>
    <w:rsid w:val="00D43604"/>
    <w:rsid w:val="00D45676"/>
    <w:rsid w:val="00D458C2"/>
    <w:rsid w:val="00D47233"/>
    <w:rsid w:val="00D47382"/>
    <w:rsid w:val="00D47633"/>
    <w:rsid w:val="00D47CC5"/>
    <w:rsid w:val="00D52966"/>
    <w:rsid w:val="00D538FB"/>
    <w:rsid w:val="00D54DB5"/>
    <w:rsid w:val="00D5501B"/>
    <w:rsid w:val="00D55E09"/>
    <w:rsid w:val="00D56036"/>
    <w:rsid w:val="00D5605E"/>
    <w:rsid w:val="00D569E7"/>
    <w:rsid w:val="00D5728D"/>
    <w:rsid w:val="00D57859"/>
    <w:rsid w:val="00D57BBD"/>
    <w:rsid w:val="00D617CF"/>
    <w:rsid w:val="00D61881"/>
    <w:rsid w:val="00D63706"/>
    <w:rsid w:val="00D639F9"/>
    <w:rsid w:val="00D66A3B"/>
    <w:rsid w:val="00D70300"/>
    <w:rsid w:val="00D70A1D"/>
    <w:rsid w:val="00D719D5"/>
    <w:rsid w:val="00D71CE9"/>
    <w:rsid w:val="00D72AA0"/>
    <w:rsid w:val="00D72B8E"/>
    <w:rsid w:val="00D74986"/>
    <w:rsid w:val="00D74AA4"/>
    <w:rsid w:val="00D7530A"/>
    <w:rsid w:val="00D75ABD"/>
    <w:rsid w:val="00D75F1F"/>
    <w:rsid w:val="00D80466"/>
    <w:rsid w:val="00D8094C"/>
    <w:rsid w:val="00D809AF"/>
    <w:rsid w:val="00D80A85"/>
    <w:rsid w:val="00D82A8A"/>
    <w:rsid w:val="00D838F2"/>
    <w:rsid w:val="00D8432D"/>
    <w:rsid w:val="00D8463A"/>
    <w:rsid w:val="00D8566A"/>
    <w:rsid w:val="00D863B0"/>
    <w:rsid w:val="00D87040"/>
    <w:rsid w:val="00D9066B"/>
    <w:rsid w:val="00D90B17"/>
    <w:rsid w:val="00D913BB"/>
    <w:rsid w:val="00D91503"/>
    <w:rsid w:val="00D9238B"/>
    <w:rsid w:val="00D923E0"/>
    <w:rsid w:val="00D9346C"/>
    <w:rsid w:val="00D935E8"/>
    <w:rsid w:val="00D93FD2"/>
    <w:rsid w:val="00D947E6"/>
    <w:rsid w:val="00D97052"/>
    <w:rsid w:val="00D97891"/>
    <w:rsid w:val="00DA1080"/>
    <w:rsid w:val="00DA2A65"/>
    <w:rsid w:val="00DA4406"/>
    <w:rsid w:val="00DA6244"/>
    <w:rsid w:val="00DA64C3"/>
    <w:rsid w:val="00DA726F"/>
    <w:rsid w:val="00DB05ED"/>
    <w:rsid w:val="00DB11E2"/>
    <w:rsid w:val="00DB1A2E"/>
    <w:rsid w:val="00DB1D05"/>
    <w:rsid w:val="00DB2732"/>
    <w:rsid w:val="00DB2D85"/>
    <w:rsid w:val="00DB2FEF"/>
    <w:rsid w:val="00DB2FFD"/>
    <w:rsid w:val="00DB32F5"/>
    <w:rsid w:val="00DB37A0"/>
    <w:rsid w:val="00DB3D55"/>
    <w:rsid w:val="00DB462C"/>
    <w:rsid w:val="00DB4DEF"/>
    <w:rsid w:val="00DB55B2"/>
    <w:rsid w:val="00DB5769"/>
    <w:rsid w:val="00DB7DA0"/>
    <w:rsid w:val="00DB7FD6"/>
    <w:rsid w:val="00DC0C97"/>
    <w:rsid w:val="00DC0D5D"/>
    <w:rsid w:val="00DC1A54"/>
    <w:rsid w:val="00DC1B79"/>
    <w:rsid w:val="00DC264D"/>
    <w:rsid w:val="00DC2901"/>
    <w:rsid w:val="00DC2AD5"/>
    <w:rsid w:val="00DC2CFF"/>
    <w:rsid w:val="00DC3BDC"/>
    <w:rsid w:val="00DC58DE"/>
    <w:rsid w:val="00DC741B"/>
    <w:rsid w:val="00DC7F52"/>
    <w:rsid w:val="00DD02B9"/>
    <w:rsid w:val="00DD0D50"/>
    <w:rsid w:val="00DD0D72"/>
    <w:rsid w:val="00DD1581"/>
    <w:rsid w:val="00DD20C7"/>
    <w:rsid w:val="00DD2386"/>
    <w:rsid w:val="00DD2395"/>
    <w:rsid w:val="00DD26D3"/>
    <w:rsid w:val="00DD587C"/>
    <w:rsid w:val="00DD6ADB"/>
    <w:rsid w:val="00DD7FF6"/>
    <w:rsid w:val="00DE01FB"/>
    <w:rsid w:val="00DE04F6"/>
    <w:rsid w:val="00DE10C3"/>
    <w:rsid w:val="00DE15B4"/>
    <w:rsid w:val="00DE29E7"/>
    <w:rsid w:val="00DE469E"/>
    <w:rsid w:val="00DE4E6E"/>
    <w:rsid w:val="00DE5208"/>
    <w:rsid w:val="00DE5823"/>
    <w:rsid w:val="00DE6965"/>
    <w:rsid w:val="00DE71D5"/>
    <w:rsid w:val="00DF15CE"/>
    <w:rsid w:val="00DF2176"/>
    <w:rsid w:val="00DF24B1"/>
    <w:rsid w:val="00DF263F"/>
    <w:rsid w:val="00DF4203"/>
    <w:rsid w:val="00DF4665"/>
    <w:rsid w:val="00DF4BA9"/>
    <w:rsid w:val="00DF78DB"/>
    <w:rsid w:val="00DF7CAA"/>
    <w:rsid w:val="00E00D89"/>
    <w:rsid w:val="00E00F44"/>
    <w:rsid w:val="00E0166C"/>
    <w:rsid w:val="00E02341"/>
    <w:rsid w:val="00E02E32"/>
    <w:rsid w:val="00E046AC"/>
    <w:rsid w:val="00E04BC3"/>
    <w:rsid w:val="00E052FB"/>
    <w:rsid w:val="00E05EB3"/>
    <w:rsid w:val="00E07AC0"/>
    <w:rsid w:val="00E08491"/>
    <w:rsid w:val="00E11BC1"/>
    <w:rsid w:val="00E124AF"/>
    <w:rsid w:val="00E13EA8"/>
    <w:rsid w:val="00E144AD"/>
    <w:rsid w:val="00E149C7"/>
    <w:rsid w:val="00E15407"/>
    <w:rsid w:val="00E15957"/>
    <w:rsid w:val="00E15FE1"/>
    <w:rsid w:val="00E16685"/>
    <w:rsid w:val="00E175F7"/>
    <w:rsid w:val="00E17CD6"/>
    <w:rsid w:val="00E20C71"/>
    <w:rsid w:val="00E214F8"/>
    <w:rsid w:val="00E21A5F"/>
    <w:rsid w:val="00E21FAC"/>
    <w:rsid w:val="00E222D5"/>
    <w:rsid w:val="00E23C50"/>
    <w:rsid w:val="00E24378"/>
    <w:rsid w:val="00E2533B"/>
    <w:rsid w:val="00E25626"/>
    <w:rsid w:val="00E266E4"/>
    <w:rsid w:val="00E27603"/>
    <w:rsid w:val="00E318EB"/>
    <w:rsid w:val="00E31A1A"/>
    <w:rsid w:val="00E31DF6"/>
    <w:rsid w:val="00E3383A"/>
    <w:rsid w:val="00E339B9"/>
    <w:rsid w:val="00E3443B"/>
    <w:rsid w:val="00E357D1"/>
    <w:rsid w:val="00E35907"/>
    <w:rsid w:val="00E36C17"/>
    <w:rsid w:val="00E36E10"/>
    <w:rsid w:val="00E37537"/>
    <w:rsid w:val="00E377AA"/>
    <w:rsid w:val="00E37D54"/>
    <w:rsid w:val="00E4268F"/>
    <w:rsid w:val="00E51020"/>
    <w:rsid w:val="00E5171C"/>
    <w:rsid w:val="00E52A8C"/>
    <w:rsid w:val="00E54B7A"/>
    <w:rsid w:val="00E56223"/>
    <w:rsid w:val="00E563AF"/>
    <w:rsid w:val="00E60950"/>
    <w:rsid w:val="00E60A6C"/>
    <w:rsid w:val="00E61301"/>
    <w:rsid w:val="00E61434"/>
    <w:rsid w:val="00E61589"/>
    <w:rsid w:val="00E637D0"/>
    <w:rsid w:val="00E64629"/>
    <w:rsid w:val="00E64B0B"/>
    <w:rsid w:val="00E64EDE"/>
    <w:rsid w:val="00E66FCE"/>
    <w:rsid w:val="00E67E5D"/>
    <w:rsid w:val="00E70FB7"/>
    <w:rsid w:val="00E717F0"/>
    <w:rsid w:val="00E721F7"/>
    <w:rsid w:val="00E72FB7"/>
    <w:rsid w:val="00E7540A"/>
    <w:rsid w:val="00E77E77"/>
    <w:rsid w:val="00E80B5F"/>
    <w:rsid w:val="00E81C50"/>
    <w:rsid w:val="00E84218"/>
    <w:rsid w:val="00E8462A"/>
    <w:rsid w:val="00E849C1"/>
    <w:rsid w:val="00E86D0A"/>
    <w:rsid w:val="00E870DC"/>
    <w:rsid w:val="00E90A5C"/>
    <w:rsid w:val="00E91492"/>
    <w:rsid w:val="00E92858"/>
    <w:rsid w:val="00E92DD1"/>
    <w:rsid w:val="00E942D6"/>
    <w:rsid w:val="00E943E8"/>
    <w:rsid w:val="00E95731"/>
    <w:rsid w:val="00E95FB1"/>
    <w:rsid w:val="00E969B9"/>
    <w:rsid w:val="00E979CD"/>
    <w:rsid w:val="00EA109B"/>
    <w:rsid w:val="00EA1438"/>
    <w:rsid w:val="00EA1688"/>
    <w:rsid w:val="00EA17FE"/>
    <w:rsid w:val="00EA2087"/>
    <w:rsid w:val="00EA278F"/>
    <w:rsid w:val="00EA4151"/>
    <w:rsid w:val="00EA67D6"/>
    <w:rsid w:val="00EA7FA2"/>
    <w:rsid w:val="00EB0518"/>
    <w:rsid w:val="00EB0CBD"/>
    <w:rsid w:val="00EB2FF2"/>
    <w:rsid w:val="00EB40BA"/>
    <w:rsid w:val="00EB4687"/>
    <w:rsid w:val="00EB47BF"/>
    <w:rsid w:val="00EB5117"/>
    <w:rsid w:val="00EB7383"/>
    <w:rsid w:val="00EC0412"/>
    <w:rsid w:val="00EC100B"/>
    <w:rsid w:val="00EC14C7"/>
    <w:rsid w:val="00EC1C8A"/>
    <w:rsid w:val="00EC2481"/>
    <w:rsid w:val="00EC3CEA"/>
    <w:rsid w:val="00EC706D"/>
    <w:rsid w:val="00EC7830"/>
    <w:rsid w:val="00EC7922"/>
    <w:rsid w:val="00ED0323"/>
    <w:rsid w:val="00ED0B45"/>
    <w:rsid w:val="00ED11E2"/>
    <w:rsid w:val="00ED1F0D"/>
    <w:rsid w:val="00ED3216"/>
    <w:rsid w:val="00ED34C2"/>
    <w:rsid w:val="00ED37EC"/>
    <w:rsid w:val="00ED3A8B"/>
    <w:rsid w:val="00ED4F7F"/>
    <w:rsid w:val="00ED5716"/>
    <w:rsid w:val="00ED5DB1"/>
    <w:rsid w:val="00ED68EC"/>
    <w:rsid w:val="00EE0629"/>
    <w:rsid w:val="00EE0FAA"/>
    <w:rsid w:val="00EE17E2"/>
    <w:rsid w:val="00EE1A51"/>
    <w:rsid w:val="00EF04C5"/>
    <w:rsid w:val="00EF2BB6"/>
    <w:rsid w:val="00EF31A1"/>
    <w:rsid w:val="00EF47A6"/>
    <w:rsid w:val="00EF4F92"/>
    <w:rsid w:val="00EF5029"/>
    <w:rsid w:val="00EF50CE"/>
    <w:rsid w:val="00EF58E0"/>
    <w:rsid w:val="00F0036F"/>
    <w:rsid w:val="00F0244C"/>
    <w:rsid w:val="00F04F44"/>
    <w:rsid w:val="00F0576A"/>
    <w:rsid w:val="00F06268"/>
    <w:rsid w:val="00F06801"/>
    <w:rsid w:val="00F071FD"/>
    <w:rsid w:val="00F10BCB"/>
    <w:rsid w:val="00F1142A"/>
    <w:rsid w:val="00F12522"/>
    <w:rsid w:val="00F1364A"/>
    <w:rsid w:val="00F13FBE"/>
    <w:rsid w:val="00F14CAF"/>
    <w:rsid w:val="00F151C3"/>
    <w:rsid w:val="00F15612"/>
    <w:rsid w:val="00F15A62"/>
    <w:rsid w:val="00F177B3"/>
    <w:rsid w:val="00F22681"/>
    <w:rsid w:val="00F22C27"/>
    <w:rsid w:val="00F22E13"/>
    <w:rsid w:val="00F23193"/>
    <w:rsid w:val="00F2325D"/>
    <w:rsid w:val="00F23314"/>
    <w:rsid w:val="00F259BD"/>
    <w:rsid w:val="00F267EB"/>
    <w:rsid w:val="00F26E54"/>
    <w:rsid w:val="00F27C5D"/>
    <w:rsid w:val="00F30207"/>
    <w:rsid w:val="00F3151B"/>
    <w:rsid w:val="00F32729"/>
    <w:rsid w:val="00F32A73"/>
    <w:rsid w:val="00F3338B"/>
    <w:rsid w:val="00F33555"/>
    <w:rsid w:val="00F344D2"/>
    <w:rsid w:val="00F34BED"/>
    <w:rsid w:val="00F35212"/>
    <w:rsid w:val="00F3596A"/>
    <w:rsid w:val="00F42503"/>
    <w:rsid w:val="00F44CF8"/>
    <w:rsid w:val="00F45734"/>
    <w:rsid w:val="00F45D7A"/>
    <w:rsid w:val="00F45DC7"/>
    <w:rsid w:val="00F45FDF"/>
    <w:rsid w:val="00F50656"/>
    <w:rsid w:val="00F50C94"/>
    <w:rsid w:val="00F50E31"/>
    <w:rsid w:val="00F512E2"/>
    <w:rsid w:val="00F52705"/>
    <w:rsid w:val="00F534D2"/>
    <w:rsid w:val="00F545AC"/>
    <w:rsid w:val="00F551CA"/>
    <w:rsid w:val="00F55F9D"/>
    <w:rsid w:val="00F56905"/>
    <w:rsid w:val="00F57898"/>
    <w:rsid w:val="00F60243"/>
    <w:rsid w:val="00F61AF3"/>
    <w:rsid w:val="00F6216D"/>
    <w:rsid w:val="00F63185"/>
    <w:rsid w:val="00F63380"/>
    <w:rsid w:val="00F64016"/>
    <w:rsid w:val="00F72712"/>
    <w:rsid w:val="00F72BC9"/>
    <w:rsid w:val="00F72EF7"/>
    <w:rsid w:val="00F73E20"/>
    <w:rsid w:val="00F74260"/>
    <w:rsid w:val="00F75A45"/>
    <w:rsid w:val="00F75ADF"/>
    <w:rsid w:val="00F76EF0"/>
    <w:rsid w:val="00F82CFF"/>
    <w:rsid w:val="00F83A6B"/>
    <w:rsid w:val="00F855FA"/>
    <w:rsid w:val="00F856A0"/>
    <w:rsid w:val="00F85C75"/>
    <w:rsid w:val="00F8674A"/>
    <w:rsid w:val="00F86769"/>
    <w:rsid w:val="00F868AB"/>
    <w:rsid w:val="00F86DB3"/>
    <w:rsid w:val="00F901BC"/>
    <w:rsid w:val="00F90210"/>
    <w:rsid w:val="00F904AA"/>
    <w:rsid w:val="00F90F86"/>
    <w:rsid w:val="00F91326"/>
    <w:rsid w:val="00F9195A"/>
    <w:rsid w:val="00F925CA"/>
    <w:rsid w:val="00F9273D"/>
    <w:rsid w:val="00F93FFF"/>
    <w:rsid w:val="00F95A60"/>
    <w:rsid w:val="00F96EDB"/>
    <w:rsid w:val="00F97BE5"/>
    <w:rsid w:val="00FA03E6"/>
    <w:rsid w:val="00FA08AB"/>
    <w:rsid w:val="00FA1145"/>
    <w:rsid w:val="00FA30AF"/>
    <w:rsid w:val="00FA4602"/>
    <w:rsid w:val="00FA4EE7"/>
    <w:rsid w:val="00FA5A93"/>
    <w:rsid w:val="00FB1903"/>
    <w:rsid w:val="00FB1A83"/>
    <w:rsid w:val="00FB46BA"/>
    <w:rsid w:val="00FB53B1"/>
    <w:rsid w:val="00FB53D3"/>
    <w:rsid w:val="00FB5770"/>
    <w:rsid w:val="00FB63C7"/>
    <w:rsid w:val="00FB64D2"/>
    <w:rsid w:val="00FB778C"/>
    <w:rsid w:val="00FC0A7A"/>
    <w:rsid w:val="00FC0C70"/>
    <w:rsid w:val="00FC1C22"/>
    <w:rsid w:val="00FC2C25"/>
    <w:rsid w:val="00FC2F5D"/>
    <w:rsid w:val="00FC479A"/>
    <w:rsid w:val="00FC7A54"/>
    <w:rsid w:val="00FD0FBB"/>
    <w:rsid w:val="00FD1AA2"/>
    <w:rsid w:val="00FD3A4F"/>
    <w:rsid w:val="00FD4116"/>
    <w:rsid w:val="00FD45FE"/>
    <w:rsid w:val="00FD4DB3"/>
    <w:rsid w:val="00FD5B75"/>
    <w:rsid w:val="00FD6525"/>
    <w:rsid w:val="00FD7317"/>
    <w:rsid w:val="00FD738F"/>
    <w:rsid w:val="00FD76BD"/>
    <w:rsid w:val="00FD7A16"/>
    <w:rsid w:val="00FD7A5A"/>
    <w:rsid w:val="00FD7F09"/>
    <w:rsid w:val="00FE0DC6"/>
    <w:rsid w:val="00FE19EF"/>
    <w:rsid w:val="00FE1C58"/>
    <w:rsid w:val="00FE6FE2"/>
    <w:rsid w:val="00FF05EB"/>
    <w:rsid w:val="00FF11EB"/>
    <w:rsid w:val="00FF129E"/>
    <w:rsid w:val="00FF23DE"/>
    <w:rsid w:val="00FF2A55"/>
    <w:rsid w:val="00FF2A90"/>
    <w:rsid w:val="00FF3364"/>
    <w:rsid w:val="00FF338A"/>
    <w:rsid w:val="00FF4976"/>
    <w:rsid w:val="00FF52E4"/>
    <w:rsid w:val="00FF6E31"/>
    <w:rsid w:val="01192CFC"/>
    <w:rsid w:val="01457825"/>
    <w:rsid w:val="01743DBA"/>
    <w:rsid w:val="017C808A"/>
    <w:rsid w:val="031001BF"/>
    <w:rsid w:val="03A55023"/>
    <w:rsid w:val="04616679"/>
    <w:rsid w:val="04B215FC"/>
    <w:rsid w:val="05208022"/>
    <w:rsid w:val="05A47E24"/>
    <w:rsid w:val="0609079A"/>
    <w:rsid w:val="0638FCF0"/>
    <w:rsid w:val="06D6B494"/>
    <w:rsid w:val="0703FC79"/>
    <w:rsid w:val="07B227EF"/>
    <w:rsid w:val="08F7AE10"/>
    <w:rsid w:val="094FEBC0"/>
    <w:rsid w:val="09830B51"/>
    <w:rsid w:val="09ACD97B"/>
    <w:rsid w:val="0C3E6EE1"/>
    <w:rsid w:val="0D45D30E"/>
    <w:rsid w:val="0D5E8500"/>
    <w:rsid w:val="0D94D8B4"/>
    <w:rsid w:val="0F6E6197"/>
    <w:rsid w:val="107A73D0"/>
    <w:rsid w:val="108CB9A4"/>
    <w:rsid w:val="10A9A714"/>
    <w:rsid w:val="1129BE9A"/>
    <w:rsid w:val="11601D92"/>
    <w:rsid w:val="12286EB8"/>
    <w:rsid w:val="123FB2F0"/>
    <w:rsid w:val="12631C81"/>
    <w:rsid w:val="128FFB26"/>
    <w:rsid w:val="12969455"/>
    <w:rsid w:val="13B371FD"/>
    <w:rsid w:val="13C16DDC"/>
    <w:rsid w:val="14AFD538"/>
    <w:rsid w:val="14C493A6"/>
    <w:rsid w:val="14D3961D"/>
    <w:rsid w:val="155C65E6"/>
    <w:rsid w:val="171125EF"/>
    <w:rsid w:val="17EBA888"/>
    <w:rsid w:val="18BA2E87"/>
    <w:rsid w:val="19467801"/>
    <w:rsid w:val="1959B241"/>
    <w:rsid w:val="1AC86818"/>
    <w:rsid w:val="1AEB325F"/>
    <w:rsid w:val="1B1B13ED"/>
    <w:rsid w:val="1B66BA41"/>
    <w:rsid w:val="1B7C5868"/>
    <w:rsid w:val="1BC17C9A"/>
    <w:rsid w:val="1C17436D"/>
    <w:rsid w:val="1D0555B4"/>
    <w:rsid w:val="1D3A7D54"/>
    <w:rsid w:val="1EF32DEE"/>
    <w:rsid w:val="217228BB"/>
    <w:rsid w:val="21E81CD5"/>
    <w:rsid w:val="22FFA1AC"/>
    <w:rsid w:val="23DE47A3"/>
    <w:rsid w:val="248D5487"/>
    <w:rsid w:val="24927260"/>
    <w:rsid w:val="24A8D327"/>
    <w:rsid w:val="258EAB3A"/>
    <w:rsid w:val="26868055"/>
    <w:rsid w:val="26FB1B80"/>
    <w:rsid w:val="27770782"/>
    <w:rsid w:val="27FE0165"/>
    <w:rsid w:val="28C21394"/>
    <w:rsid w:val="299E1EE4"/>
    <w:rsid w:val="2A39CA3E"/>
    <w:rsid w:val="2A679834"/>
    <w:rsid w:val="2AB8BFF9"/>
    <w:rsid w:val="2AC736EF"/>
    <w:rsid w:val="2B5A2197"/>
    <w:rsid w:val="2C6D6A14"/>
    <w:rsid w:val="2CE32611"/>
    <w:rsid w:val="2DA42763"/>
    <w:rsid w:val="2F0BEC95"/>
    <w:rsid w:val="2F25B9ED"/>
    <w:rsid w:val="302B7F2D"/>
    <w:rsid w:val="30CC241A"/>
    <w:rsid w:val="313535F9"/>
    <w:rsid w:val="31448614"/>
    <w:rsid w:val="3147B297"/>
    <w:rsid w:val="3350FA17"/>
    <w:rsid w:val="33B52EEC"/>
    <w:rsid w:val="33D7BE25"/>
    <w:rsid w:val="340A69C0"/>
    <w:rsid w:val="3540C7CB"/>
    <w:rsid w:val="35895F34"/>
    <w:rsid w:val="35D5194F"/>
    <w:rsid w:val="374589AD"/>
    <w:rsid w:val="39D07D72"/>
    <w:rsid w:val="3A68C456"/>
    <w:rsid w:val="3A725C0B"/>
    <w:rsid w:val="3B5BFDDF"/>
    <w:rsid w:val="3CB8C586"/>
    <w:rsid w:val="3CCAF1FE"/>
    <w:rsid w:val="3CD63648"/>
    <w:rsid w:val="3CE0E06E"/>
    <w:rsid w:val="3D009CE8"/>
    <w:rsid w:val="3DA79D98"/>
    <w:rsid w:val="3DCA4A63"/>
    <w:rsid w:val="3E44B958"/>
    <w:rsid w:val="4049482E"/>
    <w:rsid w:val="40D7E2FD"/>
    <w:rsid w:val="40EC9103"/>
    <w:rsid w:val="41856CA1"/>
    <w:rsid w:val="444DF10C"/>
    <w:rsid w:val="44DE1116"/>
    <w:rsid w:val="45A34632"/>
    <w:rsid w:val="45CC6025"/>
    <w:rsid w:val="45F84989"/>
    <w:rsid w:val="46623F0F"/>
    <w:rsid w:val="466CA69A"/>
    <w:rsid w:val="470F7F55"/>
    <w:rsid w:val="47A2A62F"/>
    <w:rsid w:val="47CF376F"/>
    <w:rsid w:val="4800D095"/>
    <w:rsid w:val="4844000D"/>
    <w:rsid w:val="487F58D8"/>
    <w:rsid w:val="488660B5"/>
    <w:rsid w:val="48C83054"/>
    <w:rsid w:val="4A94AB75"/>
    <w:rsid w:val="4AE0D5DC"/>
    <w:rsid w:val="4B3B2257"/>
    <w:rsid w:val="4CC44ACD"/>
    <w:rsid w:val="4D6CC066"/>
    <w:rsid w:val="4DC82E68"/>
    <w:rsid w:val="4E0FA268"/>
    <w:rsid w:val="4EAA3670"/>
    <w:rsid w:val="4ECE8C20"/>
    <w:rsid w:val="50752470"/>
    <w:rsid w:val="509E7D00"/>
    <w:rsid w:val="50FA7A31"/>
    <w:rsid w:val="51938678"/>
    <w:rsid w:val="51AEC671"/>
    <w:rsid w:val="522A696A"/>
    <w:rsid w:val="52FBF16B"/>
    <w:rsid w:val="53F0A1AC"/>
    <w:rsid w:val="54897280"/>
    <w:rsid w:val="549C4BF6"/>
    <w:rsid w:val="568457B4"/>
    <w:rsid w:val="56D0A65D"/>
    <w:rsid w:val="5715B0F6"/>
    <w:rsid w:val="5853E2C2"/>
    <w:rsid w:val="58E681F5"/>
    <w:rsid w:val="5986C539"/>
    <w:rsid w:val="59A338CB"/>
    <w:rsid w:val="5A9B2286"/>
    <w:rsid w:val="5ADA6D07"/>
    <w:rsid w:val="5BF71F33"/>
    <w:rsid w:val="5CB020FC"/>
    <w:rsid w:val="5D1FC92D"/>
    <w:rsid w:val="5DD78A18"/>
    <w:rsid w:val="5E0DC361"/>
    <w:rsid w:val="5EB102FB"/>
    <w:rsid w:val="5F9E36C7"/>
    <w:rsid w:val="6024C23F"/>
    <w:rsid w:val="60F8B69B"/>
    <w:rsid w:val="624BA648"/>
    <w:rsid w:val="62555242"/>
    <w:rsid w:val="6273C748"/>
    <w:rsid w:val="645694C9"/>
    <w:rsid w:val="64807AF2"/>
    <w:rsid w:val="6552AE53"/>
    <w:rsid w:val="65F7D112"/>
    <w:rsid w:val="65F8DE05"/>
    <w:rsid w:val="6759313F"/>
    <w:rsid w:val="67BDB339"/>
    <w:rsid w:val="68198912"/>
    <w:rsid w:val="68348EF5"/>
    <w:rsid w:val="6848E971"/>
    <w:rsid w:val="6867D788"/>
    <w:rsid w:val="68AADD91"/>
    <w:rsid w:val="6957B4F5"/>
    <w:rsid w:val="6A114C32"/>
    <w:rsid w:val="6B4F3019"/>
    <w:rsid w:val="6B68898B"/>
    <w:rsid w:val="6B7F9B63"/>
    <w:rsid w:val="6C8BF40B"/>
    <w:rsid w:val="6D6E2141"/>
    <w:rsid w:val="6D815F2F"/>
    <w:rsid w:val="6DBF0184"/>
    <w:rsid w:val="6DE74477"/>
    <w:rsid w:val="6E87F805"/>
    <w:rsid w:val="6EFE6BF0"/>
    <w:rsid w:val="6FBE3B55"/>
    <w:rsid w:val="70A6BCDA"/>
    <w:rsid w:val="718AAC84"/>
    <w:rsid w:val="7192E6B1"/>
    <w:rsid w:val="71F5C08F"/>
    <w:rsid w:val="72E5BED7"/>
    <w:rsid w:val="73C1F149"/>
    <w:rsid w:val="73C7607F"/>
    <w:rsid w:val="76FD389A"/>
    <w:rsid w:val="78574B66"/>
    <w:rsid w:val="78608571"/>
    <w:rsid w:val="793A24C9"/>
    <w:rsid w:val="7A74D672"/>
    <w:rsid w:val="7AA8E289"/>
    <w:rsid w:val="7ABE22D3"/>
    <w:rsid w:val="7B60F59C"/>
    <w:rsid w:val="7C1AB900"/>
    <w:rsid w:val="7CC0D86E"/>
    <w:rsid w:val="7D22211C"/>
    <w:rsid w:val="7D4EFFE1"/>
    <w:rsid w:val="7E97AD4B"/>
    <w:rsid w:val="7F6F62B7"/>
    <w:rsid w:val="7FBCCF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3998F"/>
  <w15:docId w15:val="{A5695D05-5883-495F-8E2E-D14B9F975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025C"/>
    <w:rPr>
      <w:lang w:eastAsia="es-ES_tradnl"/>
    </w:rPr>
  </w:style>
  <w:style w:type="paragraph" w:styleId="Ttulo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F5496"/>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outlineLvl w:val="5"/>
    </w:pPr>
    <w:rPr>
      <w:rFonts w:ascii="Calibri" w:eastAsia="Calibri" w:hAnsi="Calibri" w:cs="Calibri"/>
      <w:i/>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264BF1"/>
    <w:pPr>
      <w:spacing w:before="100" w:beforeAutospacing="1" w:after="100" w:afterAutospacing="1"/>
    </w:p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3">
    <w:name w:val="3"/>
    <w:basedOn w:val="Tablanormal"/>
    <w:tblPr>
      <w:tblStyleRowBandSize w:val="1"/>
      <w:tblStyleColBandSize w:val="1"/>
      <w:tblInd w:w="0" w:type="nil"/>
    </w:tblPr>
  </w:style>
  <w:style w:type="table" w:customStyle="1" w:styleId="2">
    <w:name w:val="2"/>
    <w:basedOn w:val="Tablanormal"/>
    <w:tblPr>
      <w:tblStyleRowBandSize w:val="1"/>
      <w:tblStyleColBandSize w:val="1"/>
      <w:tblInd w:w="0" w:type="nil"/>
    </w:tblPr>
  </w:style>
  <w:style w:type="table" w:customStyle="1" w:styleId="1">
    <w:name w:val="1"/>
    <w:basedOn w:val="Tablanormal"/>
    <w:tblPr>
      <w:tblStyleRowBandSize w:val="1"/>
      <w:tblStyleColBandSize w:val="1"/>
      <w:tblInd w:w="0" w:type="nil"/>
    </w:tbl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5D157F"/>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5D157F"/>
    <w:rPr>
      <w:sz w:val="20"/>
      <w:szCs w:val="20"/>
      <w:lang w:eastAsia="es-ES_tradnl"/>
    </w:rPr>
  </w:style>
  <w:style w:type="character" w:styleId="Refdenotaalpie">
    <w:name w:val="footnote reference"/>
    <w:aliases w:val="Texto de nota al pie,Footnotes refss,Appel note de bas de page,referencia nota al pie,Footnote number,BVI fnr,f,Fago Fußnotenzeichen,Ref. de nota al pie 2,4_G,16 Point,Superscript 6 Point,Footnote symbol,Footnote,Ref,de nota al pie,R"/>
    <w:basedOn w:val="Fuentedeprrafopredeter"/>
    <w:link w:val="Piedepagina"/>
    <w:uiPriority w:val="99"/>
    <w:unhideWhenUsed/>
    <w:qFormat/>
    <w:rsid w:val="005D157F"/>
    <w:rPr>
      <w:vertAlign w:val="superscript"/>
    </w:rPr>
  </w:style>
  <w:style w:type="paragraph" w:customStyle="1" w:styleId="Piedepagina">
    <w:name w:val="Pie de pagina"/>
    <w:aliases w:val="Ref. de nota al pie2"/>
    <w:basedOn w:val="Normal"/>
    <w:link w:val="Refdenotaalpie"/>
    <w:uiPriority w:val="99"/>
    <w:qFormat/>
    <w:rsid w:val="005D157F"/>
    <w:pPr>
      <w:spacing w:line="240" w:lineRule="exact"/>
    </w:pPr>
    <w:rPr>
      <w:vertAlign w:val="superscript"/>
    </w:rPr>
  </w:style>
  <w:style w:type="paragraph" w:styleId="NormalWeb">
    <w:name w:val="Normal (Web)"/>
    <w:basedOn w:val="Normal"/>
    <w:uiPriority w:val="99"/>
    <w:unhideWhenUsed/>
    <w:qFormat/>
    <w:rsid w:val="005D157F"/>
    <w:pPr>
      <w:spacing w:before="100" w:beforeAutospacing="1" w:after="100" w:afterAutospacing="1"/>
    </w:pPr>
  </w:style>
  <w:style w:type="paragraph" w:styleId="Prrafodelista">
    <w:name w:val="List Paragraph"/>
    <w:aliases w:val="Colorful List - Accent 11,Ha,List Paragraph1,lp1,List Paragraph2,Normal1,List1,titulo 3,Párrafo de lista1,Bullets,Párrafo de lista2,Cuadrícula clara - Énfasis 31,Dot pt,F5 List Paragraph,No Spacing1,Fotografía,Bullet List,FooterText,Foo"/>
    <w:basedOn w:val="Normal"/>
    <w:link w:val="PrrafodelistaCar"/>
    <w:uiPriority w:val="34"/>
    <w:qFormat/>
    <w:rsid w:val="005D157F"/>
    <w:pPr>
      <w:ind w:left="720"/>
      <w:contextualSpacing/>
    </w:pPr>
  </w:style>
  <w:style w:type="character" w:styleId="Textoennegrita">
    <w:name w:val="Strong"/>
    <w:basedOn w:val="Fuentedeprrafopredeter"/>
    <w:uiPriority w:val="22"/>
    <w:qFormat/>
    <w:rsid w:val="00A6601E"/>
    <w:rPr>
      <w:b/>
      <w:bCs/>
    </w:rPr>
  </w:style>
  <w:style w:type="character" w:customStyle="1" w:styleId="apple-converted-space">
    <w:name w:val="apple-converted-space"/>
    <w:basedOn w:val="Fuentedeprrafopredeter"/>
    <w:rsid w:val="00A6601E"/>
  </w:style>
  <w:style w:type="character" w:styleId="nfasis">
    <w:name w:val="Emphasis"/>
    <w:basedOn w:val="Fuentedeprrafopredeter"/>
    <w:uiPriority w:val="20"/>
    <w:qFormat/>
    <w:rsid w:val="00A6601E"/>
    <w:rPr>
      <w:i/>
      <w:iCs/>
    </w:rPr>
  </w:style>
  <w:style w:type="character" w:customStyle="1" w:styleId="toctoggle">
    <w:name w:val="toctoggle"/>
    <w:basedOn w:val="Fuentedeprrafopredeter"/>
    <w:rsid w:val="00A6601E"/>
  </w:style>
  <w:style w:type="character" w:styleId="Hipervnculo">
    <w:name w:val="Hyperlink"/>
    <w:basedOn w:val="Fuentedeprrafopredeter"/>
    <w:uiPriority w:val="99"/>
    <w:unhideWhenUsed/>
    <w:rsid w:val="00A6601E"/>
    <w:rPr>
      <w:color w:val="0000FF"/>
      <w:u w:val="single"/>
    </w:rPr>
  </w:style>
  <w:style w:type="character" w:styleId="Refdecomentario">
    <w:name w:val="annotation reference"/>
    <w:basedOn w:val="Fuentedeprrafopredeter"/>
    <w:uiPriority w:val="99"/>
    <w:semiHidden/>
    <w:unhideWhenUsed/>
    <w:rsid w:val="00A6601E"/>
    <w:rPr>
      <w:sz w:val="16"/>
      <w:szCs w:val="16"/>
    </w:rPr>
  </w:style>
  <w:style w:type="paragraph" w:styleId="Textocomentario">
    <w:name w:val="annotation text"/>
    <w:basedOn w:val="Normal"/>
    <w:link w:val="TextocomentarioCar"/>
    <w:uiPriority w:val="99"/>
    <w:unhideWhenUsed/>
    <w:rsid w:val="00A6601E"/>
    <w:rPr>
      <w:sz w:val="20"/>
      <w:szCs w:val="20"/>
    </w:rPr>
  </w:style>
  <w:style w:type="character" w:customStyle="1" w:styleId="TextocomentarioCar">
    <w:name w:val="Texto comentario Car"/>
    <w:basedOn w:val="Fuentedeprrafopredeter"/>
    <w:link w:val="Textocomentario"/>
    <w:uiPriority w:val="99"/>
    <w:rsid w:val="00A6601E"/>
    <w:rPr>
      <w:sz w:val="20"/>
      <w:szCs w:val="20"/>
    </w:rPr>
  </w:style>
  <w:style w:type="paragraph" w:styleId="Asuntodelcomentario">
    <w:name w:val="annotation subject"/>
    <w:basedOn w:val="Textocomentario"/>
    <w:next w:val="Textocomentario"/>
    <w:link w:val="AsuntodelcomentarioCar"/>
    <w:uiPriority w:val="99"/>
    <w:semiHidden/>
    <w:unhideWhenUsed/>
    <w:rsid w:val="00A6601E"/>
    <w:rPr>
      <w:b/>
      <w:bCs/>
    </w:rPr>
  </w:style>
  <w:style w:type="character" w:customStyle="1" w:styleId="AsuntodelcomentarioCar">
    <w:name w:val="Asunto del comentario Car"/>
    <w:basedOn w:val="TextocomentarioCar"/>
    <w:link w:val="Asuntodelcomentario"/>
    <w:uiPriority w:val="99"/>
    <w:semiHidden/>
    <w:rsid w:val="00A6601E"/>
    <w:rPr>
      <w:b/>
      <w:bCs/>
      <w:sz w:val="20"/>
      <w:szCs w:val="20"/>
    </w:rPr>
  </w:style>
  <w:style w:type="paragraph" w:styleId="Textodeglobo">
    <w:name w:val="Balloon Text"/>
    <w:basedOn w:val="Normal"/>
    <w:link w:val="TextodegloboCar"/>
    <w:uiPriority w:val="99"/>
    <w:semiHidden/>
    <w:unhideWhenUsed/>
    <w:rsid w:val="00A6601E"/>
    <w:rPr>
      <w:sz w:val="18"/>
      <w:szCs w:val="18"/>
    </w:rPr>
  </w:style>
  <w:style w:type="character" w:customStyle="1" w:styleId="TextodegloboCar">
    <w:name w:val="Texto de globo Car"/>
    <w:basedOn w:val="Fuentedeprrafopredeter"/>
    <w:link w:val="Textodeglobo"/>
    <w:uiPriority w:val="99"/>
    <w:semiHidden/>
    <w:rsid w:val="00A6601E"/>
    <w:rPr>
      <w:sz w:val="18"/>
      <w:szCs w:val="18"/>
    </w:rPr>
  </w:style>
  <w:style w:type="paragraph" w:styleId="Encabezado">
    <w:name w:val="header"/>
    <w:basedOn w:val="Normal"/>
    <w:link w:val="EncabezadoCar"/>
    <w:uiPriority w:val="99"/>
    <w:unhideWhenUsed/>
    <w:rsid w:val="008174DF"/>
    <w:pPr>
      <w:tabs>
        <w:tab w:val="center" w:pos="4419"/>
        <w:tab w:val="right" w:pos="8838"/>
      </w:tabs>
    </w:pPr>
  </w:style>
  <w:style w:type="character" w:customStyle="1" w:styleId="EncabezadoCar">
    <w:name w:val="Encabezado Car"/>
    <w:basedOn w:val="Fuentedeprrafopredeter"/>
    <w:link w:val="Encabezado"/>
    <w:uiPriority w:val="99"/>
    <w:rsid w:val="008174DF"/>
  </w:style>
  <w:style w:type="paragraph" w:styleId="Piedepgina">
    <w:name w:val="footer"/>
    <w:basedOn w:val="Normal"/>
    <w:link w:val="PiedepginaCar"/>
    <w:uiPriority w:val="99"/>
    <w:unhideWhenUsed/>
    <w:rsid w:val="008174DF"/>
    <w:pPr>
      <w:tabs>
        <w:tab w:val="center" w:pos="4419"/>
        <w:tab w:val="right" w:pos="8838"/>
      </w:tabs>
    </w:pPr>
  </w:style>
  <w:style w:type="character" w:customStyle="1" w:styleId="PiedepginaCar">
    <w:name w:val="Pie de página Car"/>
    <w:basedOn w:val="Fuentedeprrafopredeter"/>
    <w:link w:val="Piedepgina"/>
    <w:uiPriority w:val="99"/>
    <w:rsid w:val="008174DF"/>
  </w:style>
  <w:style w:type="table" w:customStyle="1" w:styleId="TableNormal1">
    <w:name w:val="Table Normal1"/>
    <w:rsid w:val="008174DF"/>
    <w:tblPr>
      <w:tblCellMar>
        <w:top w:w="0" w:type="dxa"/>
        <w:left w:w="0" w:type="dxa"/>
        <w:bottom w:w="0" w:type="dxa"/>
        <w:right w:w="0" w:type="dxa"/>
      </w:tblCellMar>
    </w:tblPr>
  </w:style>
  <w:style w:type="character" w:customStyle="1" w:styleId="normaltextrun">
    <w:name w:val="normaltextrun"/>
    <w:basedOn w:val="Fuentedeprrafopredeter"/>
    <w:rsid w:val="00264BF1"/>
  </w:style>
  <w:style w:type="character" w:customStyle="1" w:styleId="eop">
    <w:name w:val="eop"/>
    <w:basedOn w:val="Fuentedeprrafopredeter"/>
    <w:rsid w:val="00264BF1"/>
  </w:style>
  <w:style w:type="character" w:customStyle="1" w:styleId="PrrafodelistaCar">
    <w:name w:val="Párrafo de lista Car"/>
    <w:aliases w:val="Colorful List - Accent 11 Car,Ha Car,List Paragraph1 Car,lp1 Car,List Paragraph2 Car,Normal1 Car,List1 Car,titulo 3 Car,Párrafo de lista1 Car,Bullets Car,Párrafo de lista2 Car,Cuadrícula clara - Énfasis 31 Car,Dot pt Car,Foo Car"/>
    <w:link w:val="Prrafodelista"/>
    <w:uiPriority w:val="34"/>
    <w:qFormat/>
    <w:locked/>
    <w:rsid w:val="00264BF1"/>
  </w:style>
  <w:style w:type="table" w:styleId="Tablaconcuadrcula">
    <w:name w:val="Table Grid"/>
    <w:basedOn w:val="Tablanormal"/>
    <w:uiPriority w:val="39"/>
    <w:rsid w:val="007B1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7B1D5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5626F1"/>
    <w:rPr>
      <w:color w:val="605E5C"/>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473ADF"/>
    <w:pPr>
      <w:spacing w:after="160" w:line="259" w:lineRule="auto"/>
      <w:jc w:val="both"/>
    </w:pPr>
    <w:rPr>
      <w:rFonts w:asciiTheme="minorHAnsi" w:eastAsiaTheme="minorHAnsi" w:hAnsiTheme="minorHAnsi"/>
      <w:vertAlign w:val="superscript"/>
      <w:lang w:eastAsia="en-US"/>
    </w:rPr>
  </w:style>
  <w:style w:type="character" w:styleId="Hipervnculovisitado">
    <w:name w:val="FollowedHyperlink"/>
    <w:basedOn w:val="Fuentedeprrafopredeter"/>
    <w:uiPriority w:val="99"/>
    <w:semiHidden/>
    <w:unhideWhenUsed/>
    <w:rsid w:val="00755367"/>
    <w:rPr>
      <w:color w:val="800080" w:themeColor="followedHyperlink"/>
      <w:u w:val="single"/>
    </w:rPr>
  </w:style>
  <w:style w:type="paragraph" w:styleId="Revisin">
    <w:name w:val="Revision"/>
    <w:hidden/>
    <w:uiPriority w:val="99"/>
    <w:semiHidden/>
    <w:rsid w:val="00BF0C86"/>
    <w:rPr>
      <w:lang w:eastAsia="es-ES_tradnl"/>
    </w:rPr>
  </w:style>
  <w:style w:type="character" w:styleId="Nmerodepgina">
    <w:name w:val="page number"/>
    <w:basedOn w:val="Fuentedeprrafopredeter"/>
    <w:uiPriority w:val="99"/>
    <w:semiHidden/>
    <w:unhideWhenUsed/>
    <w:rsid w:val="00276ADD"/>
  </w:style>
  <w:style w:type="character" w:customStyle="1" w:styleId="baj">
    <w:name w:val="b_aj"/>
    <w:basedOn w:val="Fuentedeprrafopredeter"/>
    <w:rsid w:val="00BE6EA0"/>
  </w:style>
  <w:style w:type="character" w:customStyle="1" w:styleId="superscript">
    <w:name w:val="superscript"/>
    <w:basedOn w:val="Fuentedeprrafopredeter"/>
    <w:rsid w:val="00A80072"/>
  </w:style>
  <w:style w:type="character" w:customStyle="1" w:styleId="iaj">
    <w:name w:val="i_aj"/>
    <w:basedOn w:val="Fuentedeprrafopredeter"/>
    <w:rsid w:val="00CA4F40"/>
  </w:style>
  <w:style w:type="paragraph" w:customStyle="1" w:styleId="s3">
    <w:name w:val="s3"/>
    <w:basedOn w:val="Normal"/>
    <w:rsid w:val="008D5320"/>
    <w:pPr>
      <w:spacing w:before="100" w:beforeAutospacing="1" w:after="100" w:afterAutospacing="1"/>
    </w:pPr>
  </w:style>
  <w:style w:type="paragraph" w:styleId="Sinespaciado">
    <w:name w:val="No Spacing"/>
    <w:link w:val="SinespaciadoCar"/>
    <w:uiPriority w:val="1"/>
    <w:qFormat/>
    <w:rsid w:val="00426E60"/>
    <w:rPr>
      <w:rFonts w:asciiTheme="minorHAnsi" w:eastAsiaTheme="minorHAnsi" w:hAnsiTheme="minorHAnsi" w:cstheme="minorBidi"/>
      <w:lang w:eastAsia="en-US"/>
    </w:rPr>
  </w:style>
  <w:style w:type="character" w:customStyle="1" w:styleId="SinespaciadoCar">
    <w:name w:val="Sin espaciado Car"/>
    <w:basedOn w:val="Fuentedeprrafopredeter"/>
    <w:link w:val="Sinespaciado"/>
    <w:uiPriority w:val="1"/>
    <w:rsid w:val="00426E60"/>
    <w:rPr>
      <w:rFonts w:asciiTheme="minorHAnsi" w:eastAsiaTheme="minorHAnsi" w:hAnsiTheme="minorHAnsi" w:cstheme="minorBidi"/>
      <w:lang w:eastAsia="en-US"/>
    </w:rPr>
  </w:style>
  <w:style w:type="paragraph" w:customStyle="1" w:styleId="p1">
    <w:name w:val="p1"/>
    <w:basedOn w:val="Normal"/>
    <w:rsid w:val="00A31026"/>
    <w:rPr>
      <w:rFonts w:ascii="Helvetica" w:hAnsi="Helvetica"/>
      <w:color w:val="000000"/>
      <w:sz w:val="17"/>
      <w:szCs w:val="17"/>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614">
      <w:bodyDiv w:val="1"/>
      <w:marLeft w:val="0"/>
      <w:marRight w:val="0"/>
      <w:marTop w:val="0"/>
      <w:marBottom w:val="0"/>
      <w:divBdr>
        <w:top w:val="none" w:sz="0" w:space="0" w:color="auto"/>
        <w:left w:val="none" w:sz="0" w:space="0" w:color="auto"/>
        <w:bottom w:val="none" w:sz="0" w:space="0" w:color="auto"/>
        <w:right w:val="none" w:sz="0" w:space="0" w:color="auto"/>
      </w:divBdr>
    </w:div>
    <w:div w:id="2510971">
      <w:bodyDiv w:val="1"/>
      <w:marLeft w:val="0"/>
      <w:marRight w:val="0"/>
      <w:marTop w:val="0"/>
      <w:marBottom w:val="0"/>
      <w:divBdr>
        <w:top w:val="none" w:sz="0" w:space="0" w:color="auto"/>
        <w:left w:val="none" w:sz="0" w:space="0" w:color="auto"/>
        <w:bottom w:val="none" w:sz="0" w:space="0" w:color="auto"/>
        <w:right w:val="none" w:sz="0" w:space="0" w:color="auto"/>
      </w:divBdr>
      <w:divsChild>
        <w:div w:id="670522334">
          <w:marLeft w:val="0"/>
          <w:marRight w:val="0"/>
          <w:marTop w:val="0"/>
          <w:marBottom w:val="0"/>
          <w:divBdr>
            <w:top w:val="none" w:sz="0" w:space="0" w:color="auto"/>
            <w:left w:val="none" w:sz="0" w:space="0" w:color="auto"/>
            <w:bottom w:val="none" w:sz="0" w:space="0" w:color="auto"/>
            <w:right w:val="none" w:sz="0" w:space="0" w:color="auto"/>
          </w:divBdr>
          <w:divsChild>
            <w:div w:id="1066142959">
              <w:marLeft w:val="0"/>
              <w:marRight w:val="0"/>
              <w:marTop w:val="0"/>
              <w:marBottom w:val="0"/>
              <w:divBdr>
                <w:top w:val="none" w:sz="0" w:space="0" w:color="auto"/>
                <w:left w:val="none" w:sz="0" w:space="0" w:color="auto"/>
                <w:bottom w:val="none" w:sz="0" w:space="0" w:color="auto"/>
                <w:right w:val="none" w:sz="0" w:space="0" w:color="auto"/>
              </w:divBdr>
              <w:divsChild>
                <w:div w:id="2096704927">
                  <w:marLeft w:val="0"/>
                  <w:marRight w:val="0"/>
                  <w:marTop w:val="0"/>
                  <w:marBottom w:val="0"/>
                  <w:divBdr>
                    <w:top w:val="none" w:sz="0" w:space="0" w:color="auto"/>
                    <w:left w:val="none" w:sz="0" w:space="0" w:color="auto"/>
                    <w:bottom w:val="none" w:sz="0" w:space="0" w:color="auto"/>
                    <w:right w:val="none" w:sz="0" w:space="0" w:color="auto"/>
                  </w:divBdr>
                  <w:divsChild>
                    <w:div w:id="69399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5257">
      <w:bodyDiv w:val="1"/>
      <w:marLeft w:val="0"/>
      <w:marRight w:val="0"/>
      <w:marTop w:val="0"/>
      <w:marBottom w:val="0"/>
      <w:divBdr>
        <w:top w:val="none" w:sz="0" w:space="0" w:color="auto"/>
        <w:left w:val="none" w:sz="0" w:space="0" w:color="auto"/>
        <w:bottom w:val="none" w:sz="0" w:space="0" w:color="auto"/>
        <w:right w:val="none" w:sz="0" w:space="0" w:color="auto"/>
      </w:divBdr>
    </w:div>
    <w:div w:id="28578465">
      <w:bodyDiv w:val="1"/>
      <w:marLeft w:val="0"/>
      <w:marRight w:val="0"/>
      <w:marTop w:val="0"/>
      <w:marBottom w:val="0"/>
      <w:divBdr>
        <w:top w:val="none" w:sz="0" w:space="0" w:color="auto"/>
        <w:left w:val="none" w:sz="0" w:space="0" w:color="auto"/>
        <w:bottom w:val="none" w:sz="0" w:space="0" w:color="auto"/>
        <w:right w:val="none" w:sz="0" w:space="0" w:color="auto"/>
      </w:divBdr>
    </w:div>
    <w:div w:id="35014202">
      <w:bodyDiv w:val="1"/>
      <w:marLeft w:val="0"/>
      <w:marRight w:val="0"/>
      <w:marTop w:val="0"/>
      <w:marBottom w:val="0"/>
      <w:divBdr>
        <w:top w:val="none" w:sz="0" w:space="0" w:color="auto"/>
        <w:left w:val="none" w:sz="0" w:space="0" w:color="auto"/>
        <w:bottom w:val="none" w:sz="0" w:space="0" w:color="auto"/>
        <w:right w:val="none" w:sz="0" w:space="0" w:color="auto"/>
      </w:divBdr>
    </w:div>
    <w:div w:id="41491087">
      <w:bodyDiv w:val="1"/>
      <w:marLeft w:val="0"/>
      <w:marRight w:val="0"/>
      <w:marTop w:val="0"/>
      <w:marBottom w:val="0"/>
      <w:divBdr>
        <w:top w:val="none" w:sz="0" w:space="0" w:color="auto"/>
        <w:left w:val="none" w:sz="0" w:space="0" w:color="auto"/>
        <w:bottom w:val="none" w:sz="0" w:space="0" w:color="auto"/>
        <w:right w:val="none" w:sz="0" w:space="0" w:color="auto"/>
      </w:divBdr>
    </w:div>
    <w:div w:id="43717001">
      <w:bodyDiv w:val="1"/>
      <w:marLeft w:val="0"/>
      <w:marRight w:val="0"/>
      <w:marTop w:val="0"/>
      <w:marBottom w:val="0"/>
      <w:divBdr>
        <w:top w:val="none" w:sz="0" w:space="0" w:color="auto"/>
        <w:left w:val="none" w:sz="0" w:space="0" w:color="auto"/>
        <w:bottom w:val="none" w:sz="0" w:space="0" w:color="auto"/>
        <w:right w:val="none" w:sz="0" w:space="0" w:color="auto"/>
      </w:divBdr>
    </w:div>
    <w:div w:id="44718219">
      <w:bodyDiv w:val="1"/>
      <w:marLeft w:val="0"/>
      <w:marRight w:val="0"/>
      <w:marTop w:val="0"/>
      <w:marBottom w:val="0"/>
      <w:divBdr>
        <w:top w:val="none" w:sz="0" w:space="0" w:color="auto"/>
        <w:left w:val="none" w:sz="0" w:space="0" w:color="auto"/>
        <w:bottom w:val="none" w:sz="0" w:space="0" w:color="auto"/>
        <w:right w:val="none" w:sz="0" w:space="0" w:color="auto"/>
      </w:divBdr>
    </w:div>
    <w:div w:id="79064330">
      <w:bodyDiv w:val="1"/>
      <w:marLeft w:val="0"/>
      <w:marRight w:val="0"/>
      <w:marTop w:val="0"/>
      <w:marBottom w:val="0"/>
      <w:divBdr>
        <w:top w:val="none" w:sz="0" w:space="0" w:color="auto"/>
        <w:left w:val="none" w:sz="0" w:space="0" w:color="auto"/>
        <w:bottom w:val="none" w:sz="0" w:space="0" w:color="auto"/>
        <w:right w:val="none" w:sz="0" w:space="0" w:color="auto"/>
      </w:divBdr>
    </w:div>
    <w:div w:id="119416763">
      <w:bodyDiv w:val="1"/>
      <w:marLeft w:val="0"/>
      <w:marRight w:val="0"/>
      <w:marTop w:val="0"/>
      <w:marBottom w:val="0"/>
      <w:divBdr>
        <w:top w:val="none" w:sz="0" w:space="0" w:color="auto"/>
        <w:left w:val="none" w:sz="0" w:space="0" w:color="auto"/>
        <w:bottom w:val="none" w:sz="0" w:space="0" w:color="auto"/>
        <w:right w:val="none" w:sz="0" w:space="0" w:color="auto"/>
      </w:divBdr>
    </w:div>
    <w:div w:id="121965054">
      <w:bodyDiv w:val="1"/>
      <w:marLeft w:val="0"/>
      <w:marRight w:val="0"/>
      <w:marTop w:val="0"/>
      <w:marBottom w:val="0"/>
      <w:divBdr>
        <w:top w:val="none" w:sz="0" w:space="0" w:color="auto"/>
        <w:left w:val="none" w:sz="0" w:space="0" w:color="auto"/>
        <w:bottom w:val="none" w:sz="0" w:space="0" w:color="auto"/>
        <w:right w:val="none" w:sz="0" w:space="0" w:color="auto"/>
      </w:divBdr>
    </w:div>
    <w:div w:id="167647648">
      <w:bodyDiv w:val="1"/>
      <w:marLeft w:val="0"/>
      <w:marRight w:val="0"/>
      <w:marTop w:val="0"/>
      <w:marBottom w:val="0"/>
      <w:divBdr>
        <w:top w:val="none" w:sz="0" w:space="0" w:color="auto"/>
        <w:left w:val="none" w:sz="0" w:space="0" w:color="auto"/>
        <w:bottom w:val="none" w:sz="0" w:space="0" w:color="auto"/>
        <w:right w:val="none" w:sz="0" w:space="0" w:color="auto"/>
      </w:divBdr>
    </w:div>
    <w:div w:id="178663177">
      <w:bodyDiv w:val="1"/>
      <w:marLeft w:val="0"/>
      <w:marRight w:val="0"/>
      <w:marTop w:val="0"/>
      <w:marBottom w:val="0"/>
      <w:divBdr>
        <w:top w:val="none" w:sz="0" w:space="0" w:color="auto"/>
        <w:left w:val="none" w:sz="0" w:space="0" w:color="auto"/>
        <w:bottom w:val="none" w:sz="0" w:space="0" w:color="auto"/>
        <w:right w:val="none" w:sz="0" w:space="0" w:color="auto"/>
      </w:divBdr>
    </w:div>
    <w:div w:id="179318354">
      <w:bodyDiv w:val="1"/>
      <w:marLeft w:val="0"/>
      <w:marRight w:val="0"/>
      <w:marTop w:val="0"/>
      <w:marBottom w:val="0"/>
      <w:divBdr>
        <w:top w:val="none" w:sz="0" w:space="0" w:color="auto"/>
        <w:left w:val="none" w:sz="0" w:space="0" w:color="auto"/>
        <w:bottom w:val="none" w:sz="0" w:space="0" w:color="auto"/>
        <w:right w:val="none" w:sz="0" w:space="0" w:color="auto"/>
      </w:divBdr>
    </w:div>
    <w:div w:id="181237962">
      <w:bodyDiv w:val="1"/>
      <w:marLeft w:val="0"/>
      <w:marRight w:val="0"/>
      <w:marTop w:val="0"/>
      <w:marBottom w:val="0"/>
      <w:divBdr>
        <w:top w:val="none" w:sz="0" w:space="0" w:color="auto"/>
        <w:left w:val="none" w:sz="0" w:space="0" w:color="auto"/>
        <w:bottom w:val="none" w:sz="0" w:space="0" w:color="auto"/>
        <w:right w:val="none" w:sz="0" w:space="0" w:color="auto"/>
      </w:divBdr>
      <w:divsChild>
        <w:div w:id="543836913">
          <w:marLeft w:val="0"/>
          <w:marRight w:val="0"/>
          <w:marTop w:val="0"/>
          <w:marBottom w:val="0"/>
          <w:divBdr>
            <w:top w:val="none" w:sz="0" w:space="0" w:color="auto"/>
            <w:left w:val="none" w:sz="0" w:space="0" w:color="auto"/>
            <w:bottom w:val="none" w:sz="0" w:space="0" w:color="auto"/>
            <w:right w:val="none" w:sz="0" w:space="0" w:color="auto"/>
          </w:divBdr>
          <w:divsChild>
            <w:div w:id="1802386317">
              <w:marLeft w:val="0"/>
              <w:marRight w:val="0"/>
              <w:marTop w:val="0"/>
              <w:marBottom w:val="0"/>
              <w:divBdr>
                <w:top w:val="none" w:sz="0" w:space="0" w:color="auto"/>
                <w:left w:val="none" w:sz="0" w:space="0" w:color="auto"/>
                <w:bottom w:val="none" w:sz="0" w:space="0" w:color="auto"/>
                <w:right w:val="none" w:sz="0" w:space="0" w:color="auto"/>
              </w:divBdr>
              <w:divsChild>
                <w:div w:id="5678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47760">
      <w:bodyDiv w:val="1"/>
      <w:marLeft w:val="0"/>
      <w:marRight w:val="0"/>
      <w:marTop w:val="0"/>
      <w:marBottom w:val="0"/>
      <w:divBdr>
        <w:top w:val="none" w:sz="0" w:space="0" w:color="auto"/>
        <w:left w:val="none" w:sz="0" w:space="0" w:color="auto"/>
        <w:bottom w:val="none" w:sz="0" w:space="0" w:color="auto"/>
        <w:right w:val="none" w:sz="0" w:space="0" w:color="auto"/>
      </w:divBdr>
    </w:div>
    <w:div w:id="221141216">
      <w:bodyDiv w:val="1"/>
      <w:marLeft w:val="0"/>
      <w:marRight w:val="0"/>
      <w:marTop w:val="0"/>
      <w:marBottom w:val="0"/>
      <w:divBdr>
        <w:top w:val="none" w:sz="0" w:space="0" w:color="auto"/>
        <w:left w:val="none" w:sz="0" w:space="0" w:color="auto"/>
        <w:bottom w:val="none" w:sz="0" w:space="0" w:color="auto"/>
        <w:right w:val="none" w:sz="0" w:space="0" w:color="auto"/>
      </w:divBdr>
    </w:div>
    <w:div w:id="232158134">
      <w:bodyDiv w:val="1"/>
      <w:marLeft w:val="0"/>
      <w:marRight w:val="0"/>
      <w:marTop w:val="0"/>
      <w:marBottom w:val="0"/>
      <w:divBdr>
        <w:top w:val="none" w:sz="0" w:space="0" w:color="auto"/>
        <w:left w:val="none" w:sz="0" w:space="0" w:color="auto"/>
        <w:bottom w:val="none" w:sz="0" w:space="0" w:color="auto"/>
        <w:right w:val="none" w:sz="0" w:space="0" w:color="auto"/>
      </w:divBdr>
    </w:div>
    <w:div w:id="244610480">
      <w:bodyDiv w:val="1"/>
      <w:marLeft w:val="0"/>
      <w:marRight w:val="0"/>
      <w:marTop w:val="0"/>
      <w:marBottom w:val="0"/>
      <w:divBdr>
        <w:top w:val="none" w:sz="0" w:space="0" w:color="auto"/>
        <w:left w:val="none" w:sz="0" w:space="0" w:color="auto"/>
        <w:bottom w:val="none" w:sz="0" w:space="0" w:color="auto"/>
        <w:right w:val="none" w:sz="0" w:space="0" w:color="auto"/>
      </w:divBdr>
    </w:div>
    <w:div w:id="246809786">
      <w:bodyDiv w:val="1"/>
      <w:marLeft w:val="0"/>
      <w:marRight w:val="0"/>
      <w:marTop w:val="0"/>
      <w:marBottom w:val="0"/>
      <w:divBdr>
        <w:top w:val="none" w:sz="0" w:space="0" w:color="auto"/>
        <w:left w:val="none" w:sz="0" w:space="0" w:color="auto"/>
        <w:bottom w:val="none" w:sz="0" w:space="0" w:color="auto"/>
        <w:right w:val="none" w:sz="0" w:space="0" w:color="auto"/>
      </w:divBdr>
    </w:div>
    <w:div w:id="264534212">
      <w:bodyDiv w:val="1"/>
      <w:marLeft w:val="0"/>
      <w:marRight w:val="0"/>
      <w:marTop w:val="0"/>
      <w:marBottom w:val="0"/>
      <w:divBdr>
        <w:top w:val="none" w:sz="0" w:space="0" w:color="auto"/>
        <w:left w:val="none" w:sz="0" w:space="0" w:color="auto"/>
        <w:bottom w:val="none" w:sz="0" w:space="0" w:color="auto"/>
        <w:right w:val="none" w:sz="0" w:space="0" w:color="auto"/>
      </w:divBdr>
    </w:div>
    <w:div w:id="299189799">
      <w:bodyDiv w:val="1"/>
      <w:marLeft w:val="0"/>
      <w:marRight w:val="0"/>
      <w:marTop w:val="0"/>
      <w:marBottom w:val="0"/>
      <w:divBdr>
        <w:top w:val="none" w:sz="0" w:space="0" w:color="auto"/>
        <w:left w:val="none" w:sz="0" w:space="0" w:color="auto"/>
        <w:bottom w:val="none" w:sz="0" w:space="0" w:color="auto"/>
        <w:right w:val="none" w:sz="0" w:space="0" w:color="auto"/>
      </w:divBdr>
    </w:div>
    <w:div w:id="308902079">
      <w:bodyDiv w:val="1"/>
      <w:marLeft w:val="0"/>
      <w:marRight w:val="0"/>
      <w:marTop w:val="0"/>
      <w:marBottom w:val="0"/>
      <w:divBdr>
        <w:top w:val="none" w:sz="0" w:space="0" w:color="auto"/>
        <w:left w:val="none" w:sz="0" w:space="0" w:color="auto"/>
        <w:bottom w:val="none" w:sz="0" w:space="0" w:color="auto"/>
        <w:right w:val="none" w:sz="0" w:space="0" w:color="auto"/>
      </w:divBdr>
    </w:div>
    <w:div w:id="330648894">
      <w:bodyDiv w:val="1"/>
      <w:marLeft w:val="0"/>
      <w:marRight w:val="0"/>
      <w:marTop w:val="0"/>
      <w:marBottom w:val="0"/>
      <w:divBdr>
        <w:top w:val="none" w:sz="0" w:space="0" w:color="auto"/>
        <w:left w:val="none" w:sz="0" w:space="0" w:color="auto"/>
        <w:bottom w:val="none" w:sz="0" w:space="0" w:color="auto"/>
        <w:right w:val="none" w:sz="0" w:space="0" w:color="auto"/>
      </w:divBdr>
    </w:div>
    <w:div w:id="332270028">
      <w:bodyDiv w:val="1"/>
      <w:marLeft w:val="0"/>
      <w:marRight w:val="0"/>
      <w:marTop w:val="0"/>
      <w:marBottom w:val="0"/>
      <w:divBdr>
        <w:top w:val="none" w:sz="0" w:space="0" w:color="auto"/>
        <w:left w:val="none" w:sz="0" w:space="0" w:color="auto"/>
        <w:bottom w:val="none" w:sz="0" w:space="0" w:color="auto"/>
        <w:right w:val="none" w:sz="0" w:space="0" w:color="auto"/>
      </w:divBdr>
    </w:div>
    <w:div w:id="337663719">
      <w:bodyDiv w:val="1"/>
      <w:marLeft w:val="0"/>
      <w:marRight w:val="0"/>
      <w:marTop w:val="0"/>
      <w:marBottom w:val="0"/>
      <w:divBdr>
        <w:top w:val="none" w:sz="0" w:space="0" w:color="auto"/>
        <w:left w:val="none" w:sz="0" w:space="0" w:color="auto"/>
        <w:bottom w:val="none" w:sz="0" w:space="0" w:color="auto"/>
        <w:right w:val="none" w:sz="0" w:space="0" w:color="auto"/>
      </w:divBdr>
    </w:div>
    <w:div w:id="380595478">
      <w:bodyDiv w:val="1"/>
      <w:marLeft w:val="0"/>
      <w:marRight w:val="0"/>
      <w:marTop w:val="0"/>
      <w:marBottom w:val="0"/>
      <w:divBdr>
        <w:top w:val="none" w:sz="0" w:space="0" w:color="auto"/>
        <w:left w:val="none" w:sz="0" w:space="0" w:color="auto"/>
        <w:bottom w:val="none" w:sz="0" w:space="0" w:color="auto"/>
        <w:right w:val="none" w:sz="0" w:space="0" w:color="auto"/>
      </w:divBdr>
    </w:div>
    <w:div w:id="390929640">
      <w:bodyDiv w:val="1"/>
      <w:marLeft w:val="0"/>
      <w:marRight w:val="0"/>
      <w:marTop w:val="0"/>
      <w:marBottom w:val="0"/>
      <w:divBdr>
        <w:top w:val="none" w:sz="0" w:space="0" w:color="auto"/>
        <w:left w:val="none" w:sz="0" w:space="0" w:color="auto"/>
        <w:bottom w:val="none" w:sz="0" w:space="0" w:color="auto"/>
        <w:right w:val="none" w:sz="0" w:space="0" w:color="auto"/>
      </w:divBdr>
    </w:div>
    <w:div w:id="407457615">
      <w:bodyDiv w:val="1"/>
      <w:marLeft w:val="0"/>
      <w:marRight w:val="0"/>
      <w:marTop w:val="0"/>
      <w:marBottom w:val="0"/>
      <w:divBdr>
        <w:top w:val="none" w:sz="0" w:space="0" w:color="auto"/>
        <w:left w:val="none" w:sz="0" w:space="0" w:color="auto"/>
        <w:bottom w:val="none" w:sz="0" w:space="0" w:color="auto"/>
        <w:right w:val="none" w:sz="0" w:space="0" w:color="auto"/>
      </w:divBdr>
    </w:div>
    <w:div w:id="408888551">
      <w:bodyDiv w:val="1"/>
      <w:marLeft w:val="0"/>
      <w:marRight w:val="0"/>
      <w:marTop w:val="0"/>
      <w:marBottom w:val="0"/>
      <w:divBdr>
        <w:top w:val="none" w:sz="0" w:space="0" w:color="auto"/>
        <w:left w:val="none" w:sz="0" w:space="0" w:color="auto"/>
        <w:bottom w:val="none" w:sz="0" w:space="0" w:color="auto"/>
        <w:right w:val="none" w:sz="0" w:space="0" w:color="auto"/>
      </w:divBdr>
    </w:div>
    <w:div w:id="420882854">
      <w:bodyDiv w:val="1"/>
      <w:marLeft w:val="0"/>
      <w:marRight w:val="0"/>
      <w:marTop w:val="0"/>
      <w:marBottom w:val="0"/>
      <w:divBdr>
        <w:top w:val="none" w:sz="0" w:space="0" w:color="auto"/>
        <w:left w:val="none" w:sz="0" w:space="0" w:color="auto"/>
        <w:bottom w:val="none" w:sz="0" w:space="0" w:color="auto"/>
        <w:right w:val="none" w:sz="0" w:space="0" w:color="auto"/>
      </w:divBdr>
    </w:div>
    <w:div w:id="423577554">
      <w:bodyDiv w:val="1"/>
      <w:marLeft w:val="0"/>
      <w:marRight w:val="0"/>
      <w:marTop w:val="0"/>
      <w:marBottom w:val="0"/>
      <w:divBdr>
        <w:top w:val="none" w:sz="0" w:space="0" w:color="auto"/>
        <w:left w:val="none" w:sz="0" w:space="0" w:color="auto"/>
        <w:bottom w:val="none" w:sz="0" w:space="0" w:color="auto"/>
        <w:right w:val="none" w:sz="0" w:space="0" w:color="auto"/>
      </w:divBdr>
    </w:div>
    <w:div w:id="440144679">
      <w:bodyDiv w:val="1"/>
      <w:marLeft w:val="0"/>
      <w:marRight w:val="0"/>
      <w:marTop w:val="0"/>
      <w:marBottom w:val="0"/>
      <w:divBdr>
        <w:top w:val="none" w:sz="0" w:space="0" w:color="auto"/>
        <w:left w:val="none" w:sz="0" w:space="0" w:color="auto"/>
        <w:bottom w:val="none" w:sz="0" w:space="0" w:color="auto"/>
        <w:right w:val="none" w:sz="0" w:space="0" w:color="auto"/>
      </w:divBdr>
    </w:div>
    <w:div w:id="465053131">
      <w:bodyDiv w:val="1"/>
      <w:marLeft w:val="0"/>
      <w:marRight w:val="0"/>
      <w:marTop w:val="0"/>
      <w:marBottom w:val="0"/>
      <w:divBdr>
        <w:top w:val="none" w:sz="0" w:space="0" w:color="auto"/>
        <w:left w:val="none" w:sz="0" w:space="0" w:color="auto"/>
        <w:bottom w:val="none" w:sz="0" w:space="0" w:color="auto"/>
        <w:right w:val="none" w:sz="0" w:space="0" w:color="auto"/>
      </w:divBdr>
    </w:div>
    <w:div w:id="470027110">
      <w:bodyDiv w:val="1"/>
      <w:marLeft w:val="0"/>
      <w:marRight w:val="0"/>
      <w:marTop w:val="0"/>
      <w:marBottom w:val="0"/>
      <w:divBdr>
        <w:top w:val="none" w:sz="0" w:space="0" w:color="auto"/>
        <w:left w:val="none" w:sz="0" w:space="0" w:color="auto"/>
        <w:bottom w:val="none" w:sz="0" w:space="0" w:color="auto"/>
        <w:right w:val="none" w:sz="0" w:space="0" w:color="auto"/>
      </w:divBdr>
    </w:div>
    <w:div w:id="476066889">
      <w:bodyDiv w:val="1"/>
      <w:marLeft w:val="0"/>
      <w:marRight w:val="0"/>
      <w:marTop w:val="0"/>
      <w:marBottom w:val="0"/>
      <w:divBdr>
        <w:top w:val="none" w:sz="0" w:space="0" w:color="auto"/>
        <w:left w:val="none" w:sz="0" w:space="0" w:color="auto"/>
        <w:bottom w:val="none" w:sz="0" w:space="0" w:color="auto"/>
        <w:right w:val="none" w:sz="0" w:space="0" w:color="auto"/>
      </w:divBdr>
    </w:div>
    <w:div w:id="502087750">
      <w:bodyDiv w:val="1"/>
      <w:marLeft w:val="0"/>
      <w:marRight w:val="0"/>
      <w:marTop w:val="0"/>
      <w:marBottom w:val="0"/>
      <w:divBdr>
        <w:top w:val="none" w:sz="0" w:space="0" w:color="auto"/>
        <w:left w:val="none" w:sz="0" w:space="0" w:color="auto"/>
        <w:bottom w:val="none" w:sz="0" w:space="0" w:color="auto"/>
        <w:right w:val="none" w:sz="0" w:space="0" w:color="auto"/>
      </w:divBdr>
    </w:div>
    <w:div w:id="502166446">
      <w:bodyDiv w:val="1"/>
      <w:marLeft w:val="0"/>
      <w:marRight w:val="0"/>
      <w:marTop w:val="0"/>
      <w:marBottom w:val="0"/>
      <w:divBdr>
        <w:top w:val="none" w:sz="0" w:space="0" w:color="auto"/>
        <w:left w:val="none" w:sz="0" w:space="0" w:color="auto"/>
        <w:bottom w:val="none" w:sz="0" w:space="0" w:color="auto"/>
        <w:right w:val="none" w:sz="0" w:space="0" w:color="auto"/>
      </w:divBdr>
      <w:divsChild>
        <w:div w:id="153377141">
          <w:marLeft w:val="0"/>
          <w:marRight w:val="0"/>
          <w:marTop w:val="0"/>
          <w:marBottom w:val="0"/>
          <w:divBdr>
            <w:top w:val="none" w:sz="0" w:space="0" w:color="auto"/>
            <w:left w:val="none" w:sz="0" w:space="0" w:color="auto"/>
            <w:bottom w:val="none" w:sz="0" w:space="0" w:color="auto"/>
            <w:right w:val="none" w:sz="0" w:space="0" w:color="auto"/>
          </w:divBdr>
          <w:divsChild>
            <w:div w:id="1307933348">
              <w:marLeft w:val="0"/>
              <w:marRight w:val="0"/>
              <w:marTop w:val="0"/>
              <w:marBottom w:val="0"/>
              <w:divBdr>
                <w:top w:val="none" w:sz="0" w:space="0" w:color="auto"/>
                <w:left w:val="none" w:sz="0" w:space="0" w:color="auto"/>
                <w:bottom w:val="none" w:sz="0" w:space="0" w:color="auto"/>
                <w:right w:val="none" w:sz="0" w:space="0" w:color="auto"/>
              </w:divBdr>
            </w:div>
            <w:div w:id="1801150116">
              <w:marLeft w:val="0"/>
              <w:marRight w:val="0"/>
              <w:marTop w:val="0"/>
              <w:marBottom w:val="0"/>
              <w:divBdr>
                <w:top w:val="none" w:sz="0" w:space="0" w:color="auto"/>
                <w:left w:val="none" w:sz="0" w:space="0" w:color="auto"/>
                <w:bottom w:val="none" w:sz="0" w:space="0" w:color="auto"/>
                <w:right w:val="none" w:sz="0" w:space="0" w:color="auto"/>
              </w:divBdr>
            </w:div>
          </w:divsChild>
        </w:div>
        <w:div w:id="458569346">
          <w:marLeft w:val="0"/>
          <w:marRight w:val="0"/>
          <w:marTop w:val="0"/>
          <w:marBottom w:val="0"/>
          <w:divBdr>
            <w:top w:val="none" w:sz="0" w:space="0" w:color="auto"/>
            <w:left w:val="none" w:sz="0" w:space="0" w:color="auto"/>
            <w:bottom w:val="none" w:sz="0" w:space="0" w:color="auto"/>
            <w:right w:val="none" w:sz="0" w:space="0" w:color="auto"/>
          </w:divBdr>
          <w:divsChild>
            <w:div w:id="1440832332">
              <w:marLeft w:val="0"/>
              <w:marRight w:val="0"/>
              <w:marTop w:val="0"/>
              <w:marBottom w:val="0"/>
              <w:divBdr>
                <w:top w:val="none" w:sz="0" w:space="0" w:color="auto"/>
                <w:left w:val="none" w:sz="0" w:space="0" w:color="auto"/>
                <w:bottom w:val="none" w:sz="0" w:space="0" w:color="auto"/>
                <w:right w:val="none" w:sz="0" w:space="0" w:color="auto"/>
              </w:divBdr>
            </w:div>
          </w:divsChild>
        </w:div>
        <w:div w:id="883373232">
          <w:marLeft w:val="0"/>
          <w:marRight w:val="0"/>
          <w:marTop w:val="0"/>
          <w:marBottom w:val="0"/>
          <w:divBdr>
            <w:top w:val="none" w:sz="0" w:space="0" w:color="auto"/>
            <w:left w:val="none" w:sz="0" w:space="0" w:color="auto"/>
            <w:bottom w:val="none" w:sz="0" w:space="0" w:color="auto"/>
            <w:right w:val="none" w:sz="0" w:space="0" w:color="auto"/>
          </w:divBdr>
          <w:divsChild>
            <w:div w:id="644966228">
              <w:marLeft w:val="0"/>
              <w:marRight w:val="0"/>
              <w:marTop w:val="0"/>
              <w:marBottom w:val="0"/>
              <w:divBdr>
                <w:top w:val="none" w:sz="0" w:space="0" w:color="auto"/>
                <w:left w:val="none" w:sz="0" w:space="0" w:color="auto"/>
                <w:bottom w:val="none" w:sz="0" w:space="0" w:color="auto"/>
                <w:right w:val="none" w:sz="0" w:space="0" w:color="auto"/>
              </w:divBdr>
            </w:div>
            <w:div w:id="1859463475">
              <w:marLeft w:val="0"/>
              <w:marRight w:val="0"/>
              <w:marTop w:val="0"/>
              <w:marBottom w:val="0"/>
              <w:divBdr>
                <w:top w:val="none" w:sz="0" w:space="0" w:color="auto"/>
                <w:left w:val="none" w:sz="0" w:space="0" w:color="auto"/>
                <w:bottom w:val="none" w:sz="0" w:space="0" w:color="auto"/>
                <w:right w:val="none" w:sz="0" w:space="0" w:color="auto"/>
              </w:divBdr>
            </w:div>
          </w:divsChild>
        </w:div>
        <w:div w:id="930627807">
          <w:marLeft w:val="0"/>
          <w:marRight w:val="0"/>
          <w:marTop w:val="0"/>
          <w:marBottom w:val="0"/>
          <w:divBdr>
            <w:top w:val="none" w:sz="0" w:space="0" w:color="auto"/>
            <w:left w:val="none" w:sz="0" w:space="0" w:color="auto"/>
            <w:bottom w:val="none" w:sz="0" w:space="0" w:color="auto"/>
            <w:right w:val="none" w:sz="0" w:space="0" w:color="auto"/>
          </w:divBdr>
          <w:divsChild>
            <w:div w:id="743649031">
              <w:marLeft w:val="0"/>
              <w:marRight w:val="0"/>
              <w:marTop w:val="0"/>
              <w:marBottom w:val="0"/>
              <w:divBdr>
                <w:top w:val="none" w:sz="0" w:space="0" w:color="auto"/>
                <w:left w:val="none" w:sz="0" w:space="0" w:color="auto"/>
                <w:bottom w:val="none" w:sz="0" w:space="0" w:color="auto"/>
                <w:right w:val="none" w:sz="0" w:space="0" w:color="auto"/>
              </w:divBdr>
            </w:div>
          </w:divsChild>
        </w:div>
        <w:div w:id="935021462">
          <w:marLeft w:val="0"/>
          <w:marRight w:val="0"/>
          <w:marTop w:val="0"/>
          <w:marBottom w:val="0"/>
          <w:divBdr>
            <w:top w:val="none" w:sz="0" w:space="0" w:color="auto"/>
            <w:left w:val="none" w:sz="0" w:space="0" w:color="auto"/>
            <w:bottom w:val="none" w:sz="0" w:space="0" w:color="auto"/>
            <w:right w:val="none" w:sz="0" w:space="0" w:color="auto"/>
          </w:divBdr>
          <w:divsChild>
            <w:div w:id="991833059">
              <w:marLeft w:val="0"/>
              <w:marRight w:val="0"/>
              <w:marTop w:val="0"/>
              <w:marBottom w:val="0"/>
              <w:divBdr>
                <w:top w:val="none" w:sz="0" w:space="0" w:color="auto"/>
                <w:left w:val="none" w:sz="0" w:space="0" w:color="auto"/>
                <w:bottom w:val="none" w:sz="0" w:space="0" w:color="auto"/>
                <w:right w:val="none" w:sz="0" w:space="0" w:color="auto"/>
              </w:divBdr>
            </w:div>
          </w:divsChild>
        </w:div>
        <w:div w:id="985935071">
          <w:marLeft w:val="0"/>
          <w:marRight w:val="0"/>
          <w:marTop w:val="0"/>
          <w:marBottom w:val="0"/>
          <w:divBdr>
            <w:top w:val="none" w:sz="0" w:space="0" w:color="auto"/>
            <w:left w:val="none" w:sz="0" w:space="0" w:color="auto"/>
            <w:bottom w:val="none" w:sz="0" w:space="0" w:color="auto"/>
            <w:right w:val="none" w:sz="0" w:space="0" w:color="auto"/>
          </w:divBdr>
          <w:divsChild>
            <w:div w:id="379671032">
              <w:marLeft w:val="0"/>
              <w:marRight w:val="0"/>
              <w:marTop w:val="0"/>
              <w:marBottom w:val="0"/>
              <w:divBdr>
                <w:top w:val="none" w:sz="0" w:space="0" w:color="auto"/>
                <w:left w:val="none" w:sz="0" w:space="0" w:color="auto"/>
                <w:bottom w:val="none" w:sz="0" w:space="0" w:color="auto"/>
                <w:right w:val="none" w:sz="0" w:space="0" w:color="auto"/>
              </w:divBdr>
            </w:div>
          </w:divsChild>
        </w:div>
        <w:div w:id="1587491724">
          <w:marLeft w:val="0"/>
          <w:marRight w:val="0"/>
          <w:marTop w:val="0"/>
          <w:marBottom w:val="0"/>
          <w:divBdr>
            <w:top w:val="none" w:sz="0" w:space="0" w:color="auto"/>
            <w:left w:val="none" w:sz="0" w:space="0" w:color="auto"/>
            <w:bottom w:val="none" w:sz="0" w:space="0" w:color="auto"/>
            <w:right w:val="none" w:sz="0" w:space="0" w:color="auto"/>
          </w:divBdr>
          <w:divsChild>
            <w:div w:id="39087911">
              <w:marLeft w:val="0"/>
              <w:marRight w:val="0"/>
              <w:marTop w:val="0"/>
              <w:marBottom w:val="0"/>
              <w:divBdr>
                <w:top w:val="none" w:sz="0" w:space="0" w:color="auto"/>
                <w:left w:val="none" w:sz="0" w:space="0" w:color="auto"/>
                <w:bottom w:val="none" w:sz="0" w:space="0" w:color="auto"/>
                <w:right w:val="none" w:sz="0" w:space="0" w:color="auto"/>
              </w:divBdr>
            </w:div>
          </w:divsChild>
        </w:div>
        <w:div w:id="1862820273">
          <w:marLeft w:val="0"/>
          <w:marRight w:val="0"/>
          <w:marTop w:val="0"/>
          <w:marBottom w:val="0"/>
          <w:divBdr>
            <w:top w:val="none" w:sz="0" w:space="0" w:color="auto"/>
            <w:left w:val="none" w:sz="0" w:space="0" w:color="auto"/>
            <w:bottom w:val="none" w:sz="0" w:space="0" w:color="auto"/>
            <w:right w:val="none" w:sz="0" w:space="0" w:color="auto"/>
          </w:divBdr>
          <w:divsChild>
            <w:div w:id="15953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26531">
      <w:bodyDiv w:val="1"/>
      <w:marLeft w:val="0"/>
      <w:marRight w:val="0"/>
      <w:marTop w:val="0"/>
      <w:marBottom w:val="0"/>
      <w:divBdr>
        <w:top w:val="none" w:sz="0" w:space="0" w:color="auto"/>
        <w:left w:val="none" w:sz="0" w:space="0" w:color="auto"/>
        <w:bottom w:val="none" w:sz="0" w:space="0" w:color="auto"/>
        <w:right w:val="none" w:sz="0" w:space="0" w:color="auto"/>
      </w:divBdr>
    </w:div>
    <w:div w:id="516433508">
      <w:bodyDiv w:val="1"/>
      <w:marLeft w:val="0"/>
      <w:marRight w:val="0"/>
      <w:marTop w:val="0"/>
      <w:marBottom w:val="0"/>
      <w:divBdr>
        <w:top w:val="none" w:sz="0" w:space="0" w:color="auto"/>
        <w:left w:val="none" w:sz="0" w:space="0" w:color="auto"/>
        <w:bottom w:val="none" w:sz="0" w:space="0" w:color="auto"/>
        <w:right w:val="none" w:sz="0" w:space="0" w:color="auto"/>
      </w:divBdr>
    </w:div>
    <w:div w:id="528371222">
      <w:bodyDiv w:val="1"/>
      <w:marLeft w:val="0"/>
      <w:marRight w:val="0"/>
      <w:marTop w:val="0"/>
      <w:marBottom w:val="0"/>
      <w:divBdr>
        <w:top w:val="none" w:sz="0" w:space="0" w:color="auto"/>
        <w:left w:val="none" w:sz="0" w:space="0" w:color="auto"/>
        <w:bottom w:val="none" w:sz="0" w:space="0" w:color="auto"/>
        <w:right w:val="none" w:sz="0" w:space="0" w:color="auto"/>
      </w:divBdr>
    </w:div>
    <w:div w:id="532153120">
      <w:bodyDiv w:val="1"/>
      <w:marLeft w:val="0"/>
      <w:marRight w:val="0"/>
      <w:marTop w:val="0"/>
      <w:marBottom w:val="0"/>
      <w:divBdr>
        <w:top w:val="none" w:sz="0" w:space="0" w:color="auto"/>
        <w:left w:val="none" w:sz="0" w:space="0" w:color="auto"/>
        <w:bottom w:val="none" w:sz="0" w:space="0" w:color="auto"/>
        <w:right w:val="none" w:sz="0" w:space="0" w:color="auto"/>
      </w:divBdr>
    </w:div>
    <w:div w:id="565183149">
      <w:bodyDiv w:val="1"/>
      <w:marLeft w:val="0"/>
      <w:marRight w:val="0"/>
      <w:marTop w:val="0"/>
      <w:marBottom w:val="0"/>
      <w:divBdr>
        <w:top w:val="none" w:sz="0" w:space="0" w:color="auto"/>
        <w:left w:val="none" w:sz="0" w:space="0" w:color="auto"/>
        <w:bottom w:val="none" w:sz="0" w:space="0" w:color="auto"/>
        <w:right w:val="none" w:sz="0" w:space="0" w:color="auto"/>
      </w:divBdr>
    </w:div>
    <w:div w:id="571156362">
      <w:bodyDiv w:val="1"/>
      <w:marLeft w:val="0"/>
      <w:marRight w:val="0"/>
      <w:marTop w:val="0"/>
      <w:marBottom w:val="0"/>
      <w:divBdr>
        <w:top w:val="none" w:sz="0" w:space="0" w:color="auto"/>
        <w:left w:val="none" w:sz="0" w:space="0" w:color="auto"/>
        <w:bottom w:val="none" w:sz="0" w:space="0" w:color="auto"/>
        <w:right w:val="none" w:sz="0" w:space="0" w:color="auto"/>
      </w:divBdr>
    </w:div>
    <w:div w:id="622542940">
      <w:bodyDiv w:val="1"/>
      <w:marLeft w:val="0"/>
      <w:marRight w:val="0"/>
      <w:marTop w:val="0"/>
      <w:marBottom w:val="0"/>
      <w:divBdr>
        <w:top w:val="none" w:sz="0" w:space="0" w:color="auto"/>
        <w:left w:val="none" w:sz="0" w:space="0" w:color="auto"/>
        <w:bottom w:val="none" w:sz="0" w:space="0" w:color="auto"/>
        <w:right w:val="none" w:sz="0" w:space="0" w:color="auto"/>
      </w:divBdr>
    </w:div>
    <w:div w:id="627397966">
      <w:bodyDiv w:val="1"/>
      <w:marLeft w:val="0"/>
      <w:marRight w:val="0"/>
      <w:marTop w:val="0"/>
      <w:marBottom w:val="0"/>
      <w:divBdr>
        <w:top w:val="none" w:sz="0" w:space="0" w:color="auto"/>
        <w:left w:val="none" w:sz="0" w:space="0" w:color="auto"/>
        <w:bottom w:val="none" w:sz="0" w:space="0" w:color="auto"/>
        <w:right w:val="none" w:sz="0" w:space="0" w:color="auto"/>
      </w:divBdr>
    </w:div>
    <w:div w:id="653997757">
      <w:bodyDiv w:val="1"/>
      <w:marLeft w:val="0"/>
      <w:marRight w:val="0"/>
      <w:marTop w:val="0"/>
      <w:marBottom w:val="0"/>
      <w:divBdr>
        <w:top w:val="none" w:sz="0" w:space="0" w:color="auto"/>
        <w:left w:val="none" w:sz="0" w:space="0" w:color="auto"/>
        <w:bottom w:val="none" w:sz="0" w:space="0" w:color="auto"/>
        <w:right w:val="none" w:sz="0" w:space="0" w:color="auto"/>
      </w:divBdr>
    </w:div>
    <w:div w:id="663818168">
      <w:bodyDiv w:val="1"/>
      <w:marLeft w:val="0"/>
      <w:marRight w:val="0"/>
      <w:marTop w:val="0"/>
      <w:marBottom w:val="0"/>
      <w:divBdr>
        <w:top w:val="none" w:sz="0" w:space="0" w:color="auto"/>
        <w:left w:val="none" w:sz="0" w:space="0" w:color="auto"/>
        <w:bottom w:val="none" w:sz="0" w:space="0" w:color="auto"/>
        <w:right w:val="none" w:sz="0" w:space="0" w:color="auto"/>
      </w:divBdr>
    </w:div>
    <w:div w:id="679700240">
      <w:bodyDiv w:val="1"/>
      <w:marLeft w:val="0"/>
      <w:marRight w:val="0"/>
      <w:marTop w:val="0"/>
      <w:marBottom w:val="0"/>
      <w:divBdr>
        <w:top w:val="none" w:sz="0" w:space="0" w:color="auto"/>
        <w:left w:val="none" w:sz="0" w:space="0" w:color="auto"/>
        <w:bottom w:val="none" w:sz="0" w:space="0" w:color="auto"/>
        <w:right w:val="none" w:sz="0" w:space="0" w:color="auto"/>
      </w:divBdr>
    </w:div>
    <w:div w:id="708066264">
      <w:bodyDiv w:val="1"/>
      <w:marLeft w:val="0"/>
      <w:marRight w:val="0"/>
      <w:marTop w:val="0"/>
      <w:marBottom w:val="0"/>
      <w:divBdr>
        <w:top w:val="none" w:sz="0" w:space="0" w:color="auto"/>
        <w:left w:val="none" w:sz="0" w:space="0" w:color="auto"/>
        <w:bottom w:val="none" w:sz="0" w:space="0" w:color="auto"/>
        <w:right w:val="none" w:sz="0" w:space="0" w:color="auto"/>
      </w:divBdr>
    </w:div>
    <w:div w:id="715858628">
      <w:bodyDiv w:val="1"/>
      <w:marLeft w:val="0"/>
      <w:marRight w:val="0"/>
      <w:marTop w:val="0"/>
      <w:marBottom w:val="0"/>
      <w:divBdr>
        <w:top w:val="none" w:sz="0" w:space="0" w:color="auto"/>
        <w:left w:val="none" w:sz="0" w:space="0" w:color="auto"/>
        <w:bottom w:val="none" w:sz="0" w:space="0" w:color="auto"/>
        <w:right w:val="none" w:sz="0" w:space="0" w:color="auto"/>
      </w:divBdr>
    </w:div>
    <w:div w:id="732433152">
      <w:bodyDiv w:val="1"/>
      <w:marLeft w:val="0"/>
      <w:marRight w:val="0"/>
      <w:marTop w:val="0"/>
      <w:marBottom w:val="0"/>
      <w:divBdr>
        <w:top w:val="none" w:sz="0" w:space="0" w:color="auto"/>
        <w:left w:val="none" w:sz="0" w:space="0" w:color="auto"/>
        <w:bottom w:val="none" w:sz="0" w:space="0" w:color="auto"/>
        <w:right w:val="none" w:sz="0" w:space="0" w:color="auto"/>
      </w:divBdr>
    </w:div>
    <w:div w:id="739060050">
      <w:bodyDiv w:val="1"/>
      <w:marLeft w:val="0"/>
      <w:marRight w:val="0"/>
      <w:marTop w:val="0"/>
      <w:marBottom w:val="0"/>
      <w:divBdr>
        <w:top w:val="none" w:sz="0" w:space="0" w:color="auto"/>
        <w:left w:val="none" w:sz="0" w:space="0" w:color="auto"/>
        <w:bottom w:val="none" w:sz="0" w:space="0" w:color="auto"/>
        <w:right w:val="none" w:sz="0" w:space="0" w:color="auto"/>
      </w:divBdr>
    </w:div>
    <w:div w:id="756949158">
      <w:bodyDiv w:val="1"/>
      <w:marLeft w:val="0"/>
      <w:marRight w:val="0"/>
      <w:marTop w:val="0"/>
      <w:marBottom w:val="0"/>
      <w:divBdr>
        <w:top w:val="none" w:sz="0" w:space="0" w:color="auto"/>
        <w:left w:val="none" w:sz="0" w:space="0" w:color="auto"/>
        <w:bottom w:val="none" w:sz="0" w:space="0" w:color="auto"/>
        <w:right w:val="none" w:sz="0" w:space="0" w:color="auto"/>
      </w:divBdr>
      <w:divsChild>
        <w:div w:id="957184294">
          <w:marLeft w:val="0"/>
          <w:marRight w:val="0"/>
          <w:marTop w:val="0"/>
          <w:marBottom w:val="0"/>
          <w:divBdr>
            <w:top w:val="none" w:sz="0" w:space="0" w:color="auto"/>
            <w:left w:val="none" w:sz="0" w:space="0" w:color="auto"/>
            <w:bottom w:val="none" w:sz="0" w:space="0" w:color="auto"/>
            <w:right w:val="none" w:sz="0" w:space="0" w:color="auto"/>
          </w:divBdr>
        </w:div>
        <w:div w:id="1687441275">
          <w:marLeft w:val="0"/>
          <w:marRight w:val="0"/>
          <w:marTop w:val="0"/>
          <w:marBottom w:val="0"/>
          <w:divBdr>
            <w:top w:val="none" w:sz="0" w:space="0" w:color="auto"/>
            <w:left w:val="none" w:sz="0" w:space="0" w:color="auto"/>
            <w:bottom w:val="none" w:sz="0" w:space="0" w:color="auto"/>
            <w:right w:val="none" w:sz="0" w:space="0" w:color="auto"/>
          </w:divBdr>
        </w:div>
        <w:div w:id="1154950998">
          <w:marLeft w:val="0"/>
          <w:marRight w:val="0"/>
          <w:marTop w:val="0"/>
          <w:marBottom w:val="0"/>
          <w:divBdr>
            <w:top w:val="none" w:sz="0" w:space="0" w:color="auto"/>
            <w:left w:val="none" w:sz="0" w:space="0" w:color="auto"/>
            <w:bottom w:val="none" w:sz="0" w:space="0" w:color="auto"/>
            <w:right w:val="none" w:sz="0" w:space="0" w:color="auto"/>
          </w:divBdr>
        </w:div>
      </w:divsChild>
    </w:div>
    <w:div w:id="784152756">
      <w:bodyDiv w:val="1"/>
      <w:marLeft w:val="0"/>
      <w:marRight w:val="0"/>
      <w:marTop w:val="0"/>
      <w:marBottom w:val="0"/>
      <w:divBdr>
        <w:top w:val="none" w:sz="0" w:space="0" w:color="auto"/>
        <w:left w:val="none" w:sz="0" w:space="0" w:color="auto"/>
        <w:bottom w:val="none" w:sz="0" w:space="0" w:color="auto"/>
        <w:right w:val="none" w:sz="0" w:space="0" w:color="auto"/>
      </w:divBdr>
    </w:div>
    <w:div w:id="788596689">
      <w:bodyDiv w:val="1"/>
      <w:marLeft w:val="0"/>
      <w:marRight w:val="0"/>
      <w:marTop w:val="0"/>
      <w:marBottom w:val="0"/>
      <w:divBdr>
        <w:top w:val="none" w:sz="0" w:space="0" w:color="auto"/>
        <w:left w:val="none" w:sz="0" w:space="0" w:color="auto"/>
        <w:bottom w:val="none" w:sz="0" w:space="0" w:color="auto"/>
        <w:right w:val="none" w:sz="0" w:space="0" w:color="auto"/>
      </w:divBdr>
    </w:div>
    <w:div w:id="789324588">
      <w:bodyDiv w:val="1"/>
      <w:marLeft w:val="0"/>
      <w:marRight w:val="0"/>
      <w:marTop w:val="0"/>
      <w:marBottom w:val="0"/>
      <w:divBdr>
        <w:top w:val="none" w:sz="0" w:space="0" w:color="auto"/>
        <w:left w:val="none" w:sz="0" w:space="0" w:color="auto"/>
        <w:bottom w:val="none" w:sz="0" w:space="0" w:color="auto"/>
        <w:right w:val="none" w:sz="0" w:space="0" w:color="auto"/>
      </w:divBdr>
    </w:div>
    <w:div w:id="791436347">
      <w:bodyDiv w:val="1"/>
      <w:marLeft w:val="0"/>
      <w:marRight w:val="0"/>
      <w:marTop w:val="0"/>
      <w:marBottom w:val="0"/>
      <w:divBdr>
        <w:top w:val="none" w:sz="0" w:space="0" w:color="auto"/>
        <w:left w:val="none" w:sz="0" w:space="0" w:color="auto"/>
        <w:bottom w:val="none" w:sz="0" w:space="0" w:color="auto"/>
        <w:right w:val="none" w:sz="0" w:space="0" w:color="auto"/>
      </w:divBdr>
    </w:div>
    <w:div w:id="793912968">
      <w:bodyDiv w:val="1"/>
      <w:marLeft w:val="0"/>
      <w:marRight w:val="0"/>
      <w:marTop w:val="0"/>
      <w:marBottom w:val="0"/>
      <w:divBdr>
        <w:top w:val="none" w:sz="0" w:space="0" w:color="auto"/>
        <w:left w:val="none" w:sz="0" w:space="0" w:color="auto"/>
        <w:bottom w:val="none" w:sz="0" w:space="0" w:color="auto"/>
        <w:right w:val="none" w:sz="0" w:space="0" w:color="auto"/>
      </w:divBdr>
    </w:div>
    <w:div w:id="801386526">
      <w:bodyDiv w:val="1"/>
      <w:marLeft w:val="0"/>
      <w:marRight w:val="0"/>
      <w:marTop w:val="0"/>
      <w:marBottom w:val="0"/>
      <w:divBdr>
        <w:top w:val="none" w:sz="0" w:space="0" w:color="auto"/>
        <w:left w:val="none" w:sz="0" w:space="0" w:color="auto"/>
        <w:bottom w:val="none" w:sz="0" w:space="0" w:color="auto"/>
        <w:right w:val="none" w:sz="0" w:space="0" w:color="auto"/>
      </w:divBdr>
    </w:div>
    <w:div w:id="809131947">
      <w:bodyDiv w:val="1"/>
      <w:marLeft w:val="0"/>
      <w:marRight w:val="0"/>
      <w:marTop w:val="0"/>
      <w:marBottom w:val="0"/>
      <w:divBdr>
        <w:top w:val="none" w:sz="0" w:space="0" w:color="auto"/>
        <w:left w:val="none" w:sz="0" w:space="0" w:color="auto"/>
        <w:bottom w:val="none" w:sz="0" w:space="0" w:color="auto"/>
        <w:right w:val="none" w:sz="0" w:space="0" w:color="auto"/>
      </w:divBdr>
    </w:div>
    <w:div w:id="822428016">
      <w:bodyDiv w:val="1"/>
      <w:marLeft w:val="0"/>
      <w:marRight w:val="0"/>
      <w:marTop w:val="0"/>
      <w:marBottom w:val="0"/>
      <w:divBdr>
        <w:top w:val="none" w:sz="0" w:space="0" w:color="auto"/>
        <w:left w:val="none" w:sz="0" w:space="0" w:color="auto"/>
        <w:bottom w:val="none" w:sz="0" w:space="0" w:color="auto"/>
        <w:right w:val="none" w:sz="0" w:space="0" w:color="auto"/>
      </w:divBdr>
    </w:div>
    <w:div w:id="830221808">
      <w:bodyDiv w:val="1"/>
      <w:marLeft w:val="0"/>
      <w:marRight w:val="0"/>
      <w:marTop w:val="0"/>
      <w:marBottom w:val="0"/>
      <w:divBdr>
        <w:top w:val="none" w:sz="0" w:space="0" w:color="auto"/>
        <w:left w:val="none" w:sz="0" w:space="0" w:color="auto"/>
        <w:bottom w:val="none" w:sz="0" w:space="0" w:color="auto"/>
        <w:right w:val="none" w:sz="0" w:space="0" w:color="auto"/>
      </w:divBdr>
    </w:div>
    <w:div w:id="836960533">
      <w:bodyDiv w:val="1"/>
      <w:marLeft w:val="0"/>
      <w:marRight w:val="0"/>
      <w:marTop w:val="0"/>
      <w:marBottom w:val="0"/>
      <w:divBdr>
        <w:top w:val="none" w:sz="0" w:space="0" w:color="auto"/>
        <w:left w:val="none" w:sz="0" w:space="0" w:color="auto"/>
        <w:bottom w:val="none" w:sz="0" w:space="0" w:color="auto"/>
        <w:right w:val="none" w:sz="0" w:space="0" w:color="auto"/>
      </w:divBdr>
    </w:div>
    <w:div w:id="875123356">
      <w:bodyDiv w:val="1"/>
      <w:marLeft w:val="0"/>
      <w:marRight w:val="0"/>
      <w:marTop w:val="0"/>
      <w:marBottom w:val="0"/>
      <w:divBdr>
        <w:top w:val="none" w:sz="0" w:space="0" w:color="auto"/>
        <w:left w:val="none" w:sz="0" w:space="0" w:color="auto"/>
        <w:bottom w:val="none" w:sz="0" w:space="0" w:color="auto"/>
        <w:right w:val="none" w:sz="0" w:space="0" w:color="auto"/>
      </w:divBdr>
    </w:div>
    <w:div w:id="893080349">
      <w:bodyDiv w:val="1"/>
      <w:marLeft w:val="0"/>
      <w:marRight w:val="0"/>
      <w:marTop w:val="0"/>
      <w:marBottom w:val="0"/>
      <w:divBdr>
        <w:top w:val="none" w:sz="0" w:space="0" w:color="auto"/>
        <w:left w:val="none" w:sz="0" w:space="0" w:color="auto"/>
        <w:bottom w:val="none" w:sz="0" w:space="0" w:color="auto"/>
        <w:right w:val="none" w:sz="0" w:space="0" w:color="auto"/>
      </w:divBdr>
    </w:div>
    <w:div w:id="907571751">
      <w:bodyDiv w:val="1"/>
      <w:marLeft w:val="0"/>
      <w:marRight w:val="0"/>
      <w:marTop w:val="0"/>
      <w:marBottom w:val="0"/>
      <w:divBdr>
        <w:top w:val="none" w:sz="0" w:space="0" w:color="auto"/>
        <w:left w:val="none" w:sz="0" w:space="0" w:color="auto"/>
        <w:bottom w:val="none" w:sz="0" w:space="0" w:color="auto"/>
        <w:right w:val="none" w:sz="0" w:space="0" w:color="auto"/>
      </w:divBdr>
    </w:div>
    <w:div w:id="910652772">
      <w:bodyDiv w:val="1"/>
      <w:marLeft w:val="0"/>
      <w:marRight w:val="0"/>
      <w:marTop w:val="0"/>
      <w:marBottom w:val="0"/>
      <w:divBdr>
        <w:top w:val="none" w:sz="0" w:space="0" w:color="auto"/>
        <w:left w:val="none" w:sz="0" w:space="0" w:color="auto"/>
        <w:bottom w:val="none" w:sz="0" w:space="0" w:color="auto"/>
        <w:right w:val="none" w:sz="0" w:space="0" w:color="auto"/>
      </w:divBdr>
    </w:div>
    <w:div w:id="917403617">
      <w:bodyDiv w:val="1"/>
      <w:marLeft w:val="0"/>
      <w:marRight w:val="0"/>
      <w:marTop w:val="0"/>
      <w:marBottom w:val="0"/>
      <w:divBdr>
        <w:top w:val="none" w:sz="0" w:space="0" w:color="auto"/>
        <w:left w:val="none" w:sz="0" w:space="0" w:color="auto"/>
        <w:bottom w:val="none" w:sz="0" w:space="0" w:color="auto"/>
        <w:right w:val="none" w:sz="0" w:space="0" w:color="auto"/>
      </w:divBdr>
    </w:div>
    <w:div w:id="932055834">
      <w:bodyDiv w:val="1"/>
      <w:marLeft w:val="0"/>
      <w:marRight w:val="0"/>
      <w:marTop w:val="0"/>
      <w:marBottom w:val="0"/>
      <w:divBdr>
        <w:top w:val="none" w:sz="0" w:space="0" w:color="auto"/>
        <w:left w:val="none" w:sz="0" w:space="0" w:color="auto"/>
        <w:bottom w:val="none" w:sz="0" w:space="0" w:color="auto"/>
        <w:right w:val="none" w:sz="0" w:space="0" w:color="auto"/>
      </w:divBdr>
    </w:div>
    <w:div w:id="943267522">
      <w:bodyDiv w:val="1"/>
      <w:marLeft w:val="0"/>
      <w:marRight w:val="0"/>
      <w:marTop w:val="0"/>
      <w:marBottom w:val="0"/>
      <w:divBdr>
        <w:top w:val="none" w:sz="0" w:space="0" w:color="auto"/>
        <w:left w:val="none" w:sz="0" w:space="0" w:color="auto"/>
        <w:bottom w:val="none" w:sz="0" w:space="0" w:color="auto"/>
        <w:right w:val="none" w:sz="0" w:space="0" w:color="auto"/>
      </w:divBdr>
    </w:div>
    <w:div w:id="944075248">
      <w:bodyDiv w:val="1"/>
      <w:marLeft w:val="0"/>
      <w:marRight w:val="0"/>
      <w:marTop w:val="0"/>
      <w:marBottom w:val="0"/>
      <w:divBdr>
        <w:top w:val="none" w:sz="0" w:space="0" w:color="auto"/>
        <w:left w:val="none" w:sz="0" w:space="0" w:color="auto"/>
        <w:bottom w:val="none" w:sz="0" w:space="0" w:color="auto"/>
        <w:right w:val="none" w:sz="0" w:space="0" w:color="auto"/>
      </w:divBdr>
    </w:div>
    <w:div w:id="944459543">
      <w:bodyDiv w:val="1"/>
      <w:marLeft w:val="0"/>
      <w:marRight w:val="0"/>
      <w:marTop w:val="0"/>
      <w:marBottom w:val="0"/>
      <w:divBdr>
        <w:top w:val="none" w:sz="0" w:space="0" w:color="auto"/>
        <w:left w:val="none" w:sz="0" w:space="0" w:color="auto"/>
        <w:bottom w:val="none" w:sz="0" w:space="0" w:color="auto"/>
        <w:right w:val="none" w:sz="0" w:space="0" w:color="auto"/>
      </w:divBdr>
    </w:div>
    <w:div w:id="949822806">
      <w:bodyDiv w:val="1"/>
      <w:marLeft w:val="0"/>
      <w:marRight w:val="0"/>
      <w:marTop w:val="0"/>
      <w:marBottom w:val="0"/>
      <w:divBdr>
        <w:top w:val="none" w:sz="0" w:space="0" w:color="auto"/>
        <w:left w:val="none" w:sz="0" w:space="0" w:color="auto"/>
        <w:bottom w:val="none" w:sz="0" w:space="0" w:color="auto"/>
        <w:right w:val="none" w:sz="0" w:space="0" w:color="auto"/>
      </w:divBdr>
    </w:div>
    <w:div w:id="986202548">
      <w:bodyDiv w:val="1"/>
      <w:marLeft w:val="0"/>
      <w:marRight w:val="0"/>
      <w:marTop w:val="0"/>
      <w:marBottom w:val="0"/>
      <w:divBdr>
        <w:top w:val="none" w:sz="0" w:space="0" w:color="auto"/>
        <w:left w:val="none" w:sz="0" w:space="0" w:color="auto"/>
        <w:bottom w:val="none" w:sz="0" w:space="0" w:color="auto"/>
        <w:right w:val="none" w:sz="0" w:space="0" w:color="auto"/>
      </w:divBdr>
    </w:div>
    <w:div w:id="1020744788">
      <w:bodyDiv w:val="1"/>
      <w:marLeft w:val="0"/>
      <w:marRight w:val="0"/>
      <w:marTop w:val="0"/>
      <w:marBottom w:val="0"/>
      <w:divBdr>
        <w:top w:val="none" w:sz="0" w:space="0" w:color="auto"/>
        <w:left w:val="none" w:sz="0" w:space="0" w:color="auto"/>
        <w:bottom w:val="none" w:sz="0" w:space="0" w:color="auto"/>
        <w:right w:val="none" w:sz="0" w:space="0" w:color="auto"/>
      </w:divBdr>
    </w:div>
    <w:div w:id="1029649705">
      <w:bodyDiv w:val="1"/>
      <w:marLeft w:val="0"/>
      <w:marRight w:val="0"/>
      <w:marTop w:val="0"/>
      <w:marBottom w:val="0"/>
      <w:divBdr>
        <w:top w:val="none" w:sz="0" w:space="0" w:color="auto"/>
        <w:left w:val="none" w:sz="0" w:space="0" w:color="auto"/>
        <w:bottom w:val="none" w:sz="0" w:space="0" w:color="auto"/>
        <w:right w:val="none" w:sz="0" w:space="0" w:color="auto"/>
      </w:divBdr>
    </w:div>
    <w:div w:id="1041126190">
      <w:bodyDiv w:val="1"/>
      <w:marLeft w:val="0"/>
      <w:marRight w:val="0"/>
      <w:marTop w:val="0"/>
      <w:marBottom w:val="0"/>
      <w:divBdr>
        <w:top w:val="none" w:sz="0" w:space="0" w:color="auto"/>
        <w:left w:val="none" w:sz="0" w:space="0" w:color="auto"/>
        <w:bottom w:val="none" w:sz="0" w:space="0" w:color="auto"/>
        <w:right w:val="none" w:sz="0" w:space="0" w:color="auto"/>
      </w:divBdr>
    </w:div>
    <w:div w:id="1067923954">
      <w:bodyDiv w:val="1"/>
      <w:marLeft w:val="0"/>
      <w:marRight w:val="0"/>
      <w:marTop w:val="0"/>
      <w:marBottom w:val="0"/>
      <w:divBdr>
        <w:top w:val="none" w:sz="0" w:space="0" w:color="auto"/>
        <w:left w:val="none" w:sz="0" w:space="0" w:color="auto"/>
        <w:bottom w:val="none" w:sz="0" w:space="0" w:color="auto"/>
        <w:right w:val="none" w:sz="0" w:space="0" w:color="auto"/>
      </w:divBdr>
    </w:div>
    <w:div w:id="1068958346">
      <w:bodyDiv w:val="1"/>
      <w:marLeft w:val="0"/>
      <w:marRight w:val="0"/>
      <w:marTop w:val="0"/>
      <w:marBottom w:val="0"/>
      <w:divBdr>
        <w:top w:val="none" w:sz="0" w:space="0" w:color="auto"/>
        <w:left w:val="none" w:sz="0" w:space="0" w:color="auto"/>
        <w:bottom w:val="none" w:sz="0" w:space="0" w:color="auto"/>
        <w:right w:val="none" w:sz="0" w:space="0" w:color="auto"/>
      </w:divBdr>
    </w:div>
    <w:div w:id="1085958082">
      <w:bodyDiv w:val="1"/>
      <w:marLeft w:val="0"/>
      <w:marRight w:val="0"/>
      <w:marTop w:val="0"/>
      <w:marBottom w:val="0"/>
      <w:divBdr>
        <w:top w:val="none" w:sz="0" w:space="0" w:color="auto"/>
        <w:left w:val="none" w:sz="0" w:space="0" w:color="auto"/>
        <w:bottom w:val="none" w:sz="0" w:space="0" w:color="auto"/>
        <w:right w:val="none" w:sz="0" w:space="0" w:color="auto"/>
      </w:divBdr>
    </w:div>
    <w:div w:id="1116019831">
      <w:bodyDiv w:val="1"/>
      <w:marLeft w:val="0"/>
      <w:marRight w:val="0"/>
      <w:marTop w:val="0"/>
      <w:marBottom w:val="0"/>
      <w:divBdr>
        <w:top w:val="none" w:sz="0" w:space="0" w:color="auto"/>
        <w:left w:val="none" w:sz="0" w:space="0" w:color="auto"/>
        <w:bottom w:val="none" w:sz="0" w:space="0" w:color="auto"/>
        <w:right w:val="none" w:sz="0" w:space="0" w:color="auto"/>
      </w:divBdr>
    </w:div>
    <w:div w:id="1135026281">
      <w:bodyDiv w:val="1"/>
      <w:marLeft w:val="0"/>
      <w:marRight w:val="0"/>
      <w:marTop w:val="0"/>
      <w:marBottom w:val="0"/>
      <w:divBdr>
        <w:top w:val="none" w:sz="0" w:space="0" w:color="auto"/>
        <w:left w:val="none" w:sz="0" w:space="0" w:color="auto"/>
        <w:bottom w:val="none" w:sz="0" w:space="0" w:color="auto"/>
        <w:right w:val="none" w:sz="0" w:space="0" w:color="auto"/>
      </w:divBdr>
    </w:div>
    <w:div w:id="1143351252">
      <w:bodyDiv w:val="1"/>
      <w:marLeft w:val="0"/>
      <w:marRight w:val="0"/>
      <w:marTop w:val="0"/>
      <w:marBottom w:val="0"/>
      <w:divBdr>
        <w:top w:val="none" w:sz="0" w:space="0" w:color="auto"/>
        <w:left w:val="none" w:sz="0" w:space="0" w:color="auto"/>
        <w:bottom w:val="none" w:sz="0" w:space="0" w:color="auto"/>
        <w:right w:val="none" w:sz="0" w:space="0" w:color="auto"/>
      </w:divBdr>
      <w:divsChild>
        <w:div w:id="1800415810">
          <w:marLeft w:val="0"/>
          <w:marRight w:val="0"/>
          <w:marTop w:val="0"/>
          <w:marBottom w:val="0"/>
          <w:divBdr>
            <w:top w:val="none" w:sz="0" w:space="0" w:color="auto"/>
            <w:left w:val="none" w:sz="0" w:space="0" w:color="auto"/>
            <w:bottom w:val="none" w:sz="0" w:space="0" w:color="auto"/>
            <w:right w:val="none" w:sz="0" w:space="0" w:color="auto"/>
          </w:divBdr>
          <w:divsChild>
            <w:div w:id="1634631298">
              <w:marLeft w:val="0"/>
              <w:marRight w:val="0"/>
              <w:marTop w:val="0"/>
              <w:marBottom w:val="0"/>
              <w:divBdr>
                <w:top w:val="none" w:sz="0" w:space="0" w:color="auto"/>
                <w:left w:val="none" w:sz="0" w:space="0" w:color="auto"/>
                <w:bottom w:val="none" w:sz="0" w:space="0" w:color="auto"/>
                <w:right w:val="none" w:sz="0" w:space="0" w:color="auto"/>
              </w:divBdr>
              <w:divsChild>
                <w:div w:id="130072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936977">
      <w:bodyDiv w:val="1"/>
      <w:marLeft w:val="0"/>
      <w:marRight w:val="0"/>
      <w:marTop w:val="0"/>
      <w:marBottom w:val="0"/>
      <w:divBdr>
        <w:top w:val="none" w:sz="0" w:space="0" w:color="auto"/>
        <w:left w:val="none" w:sz="0" w:space="0" w:color="auto"/>
        <w:bottom w:val="none" w:sz="0" w:space="0" w:color="auto"/>
        <w:right w:val="none" w:sz="0" w:space="0" w:color="auto"/>
      </w:divBdr>
    </w:div>
    <w:div w:id="1184443162">
      <w:bodyDiv w:val="1"/>
      <w:marLeft w:val="0"/>
      <w:marRight w:val="0"/>
      <w:marTop w:val="0"/>
      <w:marBottom w:val="0"/>
      <w:divBdr>
        <w:top w:val="none" w:sz="0" w:space="0" w:color="auto"/>
        <w:left w:val="none" w:sz="0" w:space="0" w:color="auto"/>
        <w:bottom w:val="none" w:sz="0" w:space="0" w:color="auto"/>
        <w:right w:val="none" w:sz="0" w:space="0" w:color="auto"/>
      </w:divBdr>
    </w:div>
    <w:div w:id="1185899124">
      <w:bodyDiv w:val="1"/>
      <w:marLeft w:val="0"/>
      <w:marRight w:val="0"/>
      <w:marTop w:val="0"/>
      <w:marBottom w:val="0"/>
      <w:divBdr>
        <w:top w:val="none" w:sz="0" w:space="0" w:color="auto"/>
        <w:left w:val="none" w:sz="0" w:space="0" w:color="auto"/>
        <w:bottom w:val="none" w:sz="0" w:space="0" w:color="auto"/>
        <w:right w:val="none" w:sz="0" w:space="0" w:color="auto"/>
      </w:divBdr>
    </w:div>
    <w:div w:id="1209222509">
      <w:bodyDiv w:val="1"/>
      <w:marLeft w:val="0"/>
      <w:marRight w:val="0"/>
      <w:marTop w:val="0"/>
      <w:marBottom w:val="0"/>
      <w:divBdr>
        <w:top w:val="none" w:sz="0" w:space="0" w:color="auto"/>
        <w:left w:val="none" w:sz="0" w:space="0" w:color="auto"/>
        <w:bottom w:val="none" w:sz="0" w:space="0" w:color="auto"/>
        <w:right w:val="none" w:sz="0" w:space="0" w:color="auto"/>
      </w:divBdr>
    </w:div>
    <w:div w:id="1223757193">
      <w:bodyDiv w:val="1"/>
      <w:marLeft w:val="0"/>
      <w:marRight w:val="0"/>
      <w:marTop w:val="0"/>
      <w:marBottom w:val="0"/>
      <w:divBdr>
        <w:top w:val="none" w:sz="0" w:space="0" w:color="auto"/>
        <w:left w:val="none" w:sz="0" w:space="0" w:color="auto"/>
        <w:bottom w:val="none" w:sz="0" w:space="0" w:color="auto"/>
        <w:right w:val="none" w:sz="0" w:space="0" w:color="auto"/>
      </w:divBdr>
    </w:div>
    <w:div w:id="1224440747">
      <w:bodyDiv w:val="1"/>
      <w:marLeft w:val="0"/>
      <w:marRight w:val="0"/>
      <w:marTop w:val="0"/>
      <w:marBottom w:val="0"/>
      <w:divBdr>
        <w:top w:val="none" w:sz="0" w:space="0" w:color="auto"/>
        <w:left w:val="none" w:sz="0" w:space="0" w:color="auto"/>
        <w:bottom w:val="none" w:sz="0" w:space="0" w:color="auto"/>
        <w:right w:val="none" w:sz="0" w:space="0" w:color="auto"/>
      </w:divBdr>
    </w:div>
    <w:div w:id="1237862522">
      <w:bodyDiv w:val="1"/>
      <w:marLeft w:val="0"/>
      <w:marRight w:val="0"/>
      <w:marTop w:val="0"/>
      <w:marBottom w:val="0"/>
      <w:divBdr>
        <w:top w:val="none" w:sz="0" w:space="0" w:color="auto"/>
        <w:left w:val="none" w:sz="0" w:space="0" w:color="auto"/>
        <w:bottom w:val="none" w:sz="0" w:space="0" w:color="auto"/>
        <w:right w:val="none" w:sz="0" w:space="0" w:color="auto"/>
      </w:divBdr>
    </w:div>
    <w:div w:id="1238247344">
      <w:bodyDiv w:val="1"/>
      <w:marLeft w:val="0"/>
      <w:marRight w:val="0"/>
      <w:marTop w:val="0"/>
      <w:marBottom w:val="0"/>
      <w:divBdr>
        <w:top w:val="none" w:sz="0" w:space="0" w:color="auto"/>
        <w:left w:val="none" w:sz="0" w:space="0" w:color="auto"/>
        <w:bottom w:val="none" w:sz="0" w:space="0" w:color="auto"/>
        <w:right w:val="none" w:sz="0" w:space="0" w:color="auto"/>
      </w:divBdr>
    </w:div>
    <w:div w:id="1240138780">
      <w:bodyDiv w:val="1"/>
      <w:marLeft w:val="0"/>
      <w:marRight w:val="0"/>
      <w:marTop w:val="0"/>
      <w:marBottom w:val="0"/>
      <w:divBdr>
        <w:top w:val="none" w:sz="0" w:space="0" w:color="auto"/>
        <w:left w:val="none" w:sz="0" w:space="0" w:color="auto"/>
        <w:bottom w:val="none" w:sz="0" w:space="0" w:color="auto"/>
        <w:right w:val="none" w:sz="0" w:space="0" w:color="auto"/>
      </w:divBdr>
    </w:div>
    <w:div w:id="1254821431">
      <w:bodyDiv w:val="1"/>
      <w:marLeft w:val="0"/>
      <w:marRight w:val="0"/>
      <w:marTop w:val="0"/>
      <w:marBottom w:val="0"/>
      <w:divBdr>
        <w:top w:val="none" w:sz="0" w:space="0" w:color="auto"/>
        <w:left w:val="none" w:sz="0" w:space="0" w:color="auto"/>
        <w:bottom w:val="none" w:sz="0" w:space="0" w:color="auto"/>
        <w:right w:val="none" w:sz="0" w:space="0" w:color="auto"/>
      </w:divBdr>
    </w:div>
    <w:div w:id="1295217092">
      <w:bodyDiv w:val="1"/>
      <w:marLeft w:val="0"/>
      <w:marRight w:val="0"/>
      <w:marTop w:val="0"/>
      <w:marBottom w:val="0"/>
      <w:divBdr>
        <w:top w:val="none" w:sz="0" w:space="0" w:color="auto"/>
        <w:left w:val="none" w:sz="0" w:space="0" w:color="auto"/>
        <w:bottom w:val="none" w:sz="0" w:space="0" w:color="auto"/>
        <w:right w:val="none" w:sz="0" w:space="0" w:color="auto"/>
      </w:divBdr>
    </w:div>
    <w:div w:id="1307858647">
      <w:bodyDiv w:val="1"/>
      <w:marLeft w:val="0"/>
      <w:marRight w:val="0"/>
      <w:marTop w:val="0"/>
      <w:marBottom w:val="0"/>
      <w:divBdr>
        <w:top w:val="none" w:sz="0" w:space="0" w:color="auto"/>
        <w:left w:val="none" w:sz="0" w:space="0" w:color="auto"/>
        <w:bottom w:val="none" w:sz="0" w:space="0" w:color="auto"/>
        <w:right w:val="none" w:sz="0" w:space="0" w:color="auto"/>
      </w:divBdr>
    </w:div>
    <w:div w:id="1314022205">
      <w:bodyDiv w:val="1"/>
      <w:marLeft w:val="0"/>
      <w:marRight w:val="0"/>
      <w:marTop w:val="0"/>
      <w:marBottom w:val="0"/>
      <w:divBdr>
        <w:top w:val="none" w:sz="0" w:space="0" w:color="auto"/>
        <w:left w:val="none" w:sz="0" w:space="0" w:color="auto"/>
        <w:bottom w:val="none" w:sz="0" w:space="0" w:color="auto"/>
        <w:right w:val="none" w:sz="0" w:space="0" w:color="auto"/>
      </w:divBdr>
    </w:div>
    <w:div w:id="1321468653">
      <w:bodyDiv w:val="1"/>
      <w:marLeft w:val="0"/>
      <w:marRight w:val="0"/>
      <w:marTop w:val="0"/>
      <w:marBottom w:val="0"/>
      <w:divBdr>
        <w:top w:val="none" w:sz="0" w:space="0" w:color="auto"/>
        <w:left w:val="none" w:sz="0" w:space="0" w:color="auto"/>
        <w:bottom w:val="none" w:sz="0" w:space="0" w:color="auto"/>
        <w:right w:val="none" w:sz="0" w:space="0" w:color="auto"/>
      </w:divBdr>
    </w:div>
    <w:div w:id="1332873632">
      <w:bodyDiv w:val="1"/>
      <w:marLeft w:val="0"/>
      <w:marRight w:val="0"/>
      <w:marTop w:val="0"/>
      <w:marBottom w:val="0"/>
      <w:divBdr>
        <w:top w:val="none" w:sz="0" w:space="0" w:color="auto"/>
        <w:left w:val="none" w:sz="0" w:space="0" w:color="auto"/>
        <w:bottom w:val="none" w:sz="0" w:space="0" w:color="auto"/>
        <w:right w:val="none" w:sz="0" w:space="0" w:color="auto"/>
      </w:divBdr>
    </w:div>
    <w:div w:id="1334644119">
      <w:bodyDiv w:val="1"/>
      <w:marLeft w:val="0"/>
      <w:marRight w:val="0"/>
      <w:marTop w:val="0"/>
      <w:marBottom w:val="0"/>
      <w:divBdr>
        <w:top w:val="none" w:sz="0" w:space="0" w:color="auto"/>
        <w:left w:val="none" w:sz="0" w:space="0" w:color="auto"/>
        <w:bottom w:val="none" w:sz="0" w:space="0" w:color="auto"/>
        <w:right w:val="none" w:sz="0" w:space="0" w:color="auto"/>
      </w:divBdr>
    </w:div>
    <w:div w:id="1337226026">
      <w:bodyDiv w:val="1"/>
      <w:marLeft w:val="0"/>
      <w:marRight w:val="0"/>
      <w:marTop w:val="0"/>
      <w:marBottom w:val="0"/>
      <w:divBdr>
        <w:top w:val="none" w:sz="0" w:space="0" w:color="auto"/>
        <w:left w:val="none" w:sz="0" w:space="0" w:color="auto"/>
        <w:bottom w:val="none" w:sz="0" w:space="0" w:color="auto"/>
        <w:right w:val="none" w:sz="0" w:space="0" w:color="auto"/>
      </w:divBdr>
    </w:div>
    <w:div w:id="1338734137">
      <w:bodyDiv w:val="1"/>
      <w:marLeft w:val="0"/>
      <w:marRight w:val="0"/>
      <w:marTop w:val="0"/>
      <w:marBottom w:val="0"/>
      <w:divBdr>
        <w:top w:val="none" w:sz="0" w:space="0" w:color="auto"/>
        <w:left w:val="none" w:sz="0" w:space="0" w:color="auto"/>
        <w:bottom w:val="none" w:sz="0" w:space="0" w:color="auto"/>
        <w:right w:val="none" w:sz="0" w:space="0" w:color="auto"/>
      </w:divBdr>
    </w:div>
    <w:div w:id="1386879029">
      <w:bodyDiv w:val="1"/>
      <w:marLeft w:val="0"/>
      <w:marRight w:val="0"/>
      <w:marTop w:val="0"/>
      <w:marBottom w:val="0"/>
      <w:divBdr>
        <w:top w:val="none" w:sz="0" w:space="0" w:color="auto"/>
        <w:left w:val="none" w:sz="0" w:space="0" w:color="auto"/>
        <w:bottom w:val="none" w:sz="0" w:space="0" w:color="auto"/>
        <w:right w:val="none" w:sz="0" w:space="0" w:color="auto"/>
      </w:divBdr>
    </w:div>
    <w:div w:id="1397242333">
      <w:bodyDiv w:val="1"/>
      <w:marLeft w:val="0"/>
      <w:marRight w:val="0"/>
      <w:marTop w:val="0"/>
      <w:marBottom w:val="0"/>
      <w:divBdr>
        <w:top w:val="none" w:sz="0" w:space="0" w:color="auto"/>
        <w:left w:val="none" w:sz="0" w:space="0" w:color="auto"/>
        <w:bottom w:val="none" w:sz="0" w:space="0" w:color="auto"/>
        <w:right w:val="none" w:sz="0" w:space="0" w:color="auto"/>
      </w:divBdr>
    </w:div>
    <w:div w:id="1476334222">
      <w:bodyDiv w:val="1"/>
      <w:marLeft w:val="0"/>
      <w:marRight w:val="0"/>
      <w:marTop w:val="0"/>
      <w:marBottom w:val="0"/>
      <w:divBdr>
        <w:top w:val="none" w:sz="0" w:space="0" w:color="auto"/>
        <w:left w:val="none" w:sz="0" w:space="0" w:color="auto"/>
        <w:bottom w:val="none" w:sz="0" w:space="0" w:color="auto"/>
        <w:right w:val="none" w:sz="0" w:space="0" w:color="auto"/>
      </w:divBdr>
    </w:div>
    <w:div w:id="1476528107">
      <w:bodyDiv w:val="1"/>
      <w:marLeft w:val="0"/>
      <w:marRight w:val="0"/>
      <w:marTop w:val="0"/>
      <w:marBottom w:val="0"/>
      <w:divBdr>
        <w:top w:val="none" w:sz="0" w:space="0" w:color="auto"/>
        <w:left w:val="none" w:sz="0" w:space="0" w:color="auto"/>
        <w:bottom w:val="none" w:sz="0" w:space="0" w:color="auto"/>
        <w:right w:val="none" w:sz="0" w:space="0" w:color="auto"/>
      </w:divBdr>
    </w:div>
    <w:div w:id="1507289368">
      <w:bodyDiv w:val="1"/>
      <w:marLeft w:val="0"/>
      <w:marRight w:val="0"/>
      <w:marTop w:val="0"/>
      <w:marBottom w:val="0"/>
      <w:divBdr>
        <w:top w:val="none" w:sz="0" w:space="0" w:color="auto"/>
        <w:left w:val="none" w:sz="0" w:space="0" w:color="auto"/>
        <w:bottom w:val="none" w:sz="0" w:space="0" w:color="auto"/>
        <w:right w:val="none" w:sz="0" w:space="0" w:color="auto"/>
      </w:divBdr>
    </w:div>
    <w:div w:id="1531146016">
      <w:bodyDiv w:val="1"/>
      <w:marLeft w:val="0"/>
      <w:marRight w:val="0"/>
      <w:marTop w:val="0"/>
      <w:marBottom w:val="0"/>
      <w:divBdr>
        <w:top w:val="none" w:sz="0" w:space="0" w:color="auto"/>
        <w:left w:val="none" w:sz="0" w:space="0" w:color="auto"/>
        <w:bottom w:val="none" w:sz="0" w:space="0" w:color="auto"/>
        <w:right w:val="none" w:sz="0" w:space="0" w:color="auto"/>
      </w:divBdr>
    </w:div>
    <w:div w:id="1545562384">
      <w:bodyDiv w:val="1"/>
      <w:marLeft w:val="0"/>
      <w:marRight w:val="0"/>
      <w:marTop w:val="0"/>
      <w:marBottom w:val="0"/>
      <w:divBdr>
        <w:top w:val="none" w:sz="0" w:space="0" w:color="auto"/>
        <w:left w:val="none" w:sz="0" w:space="0" w:color="auto"/>
        <w:bottom w:val="none" w:sz="0" w:space="0" w:color="auto"/>
        <w:right w:val="none" w:sz="0" w:space="0" w:color="auto"/>
      </w:divBdr>
    </w:div>
    <w:div w:id="1556088194">
      <w:bodyDiv w:val="1"/>
      <w:marLeft w:val="0"/>
      <w:marRight w:val="0"/>
      <w:marTop w:val="0"/>
      <w:marBottom w:val="0"/>
      <w:divBdr>
        <w:top w:val="none" w:sz="0" w:space="0" w:color="auto"/>
        <w:left w:val="none" w:sz="0" w:space="0" w:color="auto"/>
        <w:bottom w:val="none" w:sz="0" w:space="0" w:color="auto"/>
        <w:right w:val="none" w:sz="0" w:space="0" w:color="auto"/>
      </w:divBdr>
    </w:div>
    <w:div w:id="1558973763">
      <w:bodyDiv w:val="1"/>
      <w:marLeft w:val="0"/>
      <w:marRight w:val="0"/>
      <w:marTop w:val="0"/>
      <w:marBottom w:val="0"/>
      <w:divBdr>
        <w:top w:val="none" w:sz="0" w:space="0" w:color="auto"/>
        <w:left w:val="none" w:sz="0" w:space="0" w:color="auto"/>
        <w:bottom w:val="none" w:sz="0" w:space="0" w:color="auto"/>
        <w:right w:val="none" w:sz="0" w:space="0" w:color="auto"/>
      </w:divBdr>
    </w:div>
    <w:div w:id="1568110522">
      <w:bodyDiv w:val="1"/>
      <w:marLeft w:val="0"/>
      <w:marRight w:val="0"/>
      <w:marTop w:val="0"/>
      <w:marBottom w:val="0"/>
      <w:divBdr>
        <w:top w:val="none" w:sz="0" w:space="0" w:color="auto"/>
        <w:left w:val="none" w:sz="0" w:space="0" w:color="auto"/>
        <w:bottom w:val="none" w:sz="0" w:space="0" w:color="auto"/>
        <w:right w:val="none" w:sz="0" w:space="0" w:color="auto"/>
      </w:divBdr>
    </w:div>
    <w:div w:id="1572812646">
      <w:bodyDiv w:val="1"/>
      <w:marLeft w:val="0"/>
      <w:marRight w:val="0"/>
      <w:marTop w:val="0"/>
      <w:marBottom w:val="0"/>
      <w:divBdr>
        <w:top w:val="none" w:sz="0" w:space="0" w:color="auto"/>
        <w:left w:val="none" w:sz="0" w:space="0" w:color="auto"/>
        <w:bottom w:val="none" w:sz="0" w:space="0" w:color="auto"/>
        <w:right w:val="none" w:sz="0" w:space="0" w:color="auto"/>
      </w:divBdr>
      <w:divsChild>
        <w:div w:id="128476136">
          <w:marLeft w:val="0"/>
          <w:marRight w:val="0"/>
          <w:marTop w:val="0"/>
          <w:marBottom w:val="0"/>
          <w:divBdr>
            <w:top w:val="none" w:sz="0" w:space="0" w:color="auto"/>
            <w:left w:val="none" w:sz="0" w:space="0" w:color="auto"/>
            <w:bottom w:val="none" w:sz="0" w:space="0" w:color="auto"/>
            <w:right w:val="none" w:sz="0" w:space="0" w:color="auto"/>
          </w:divBdr>
          <w:divsChild>
            <w:div w:id="542641710">
              <w:marLeft w:val="0"/>
              <w:marRight w:val="0"/>
              <w:marTop w:val="0"/>
              <w:marBottom w:val="0"/>
              <w:divBdr>
                <w:top w:val="none" w:sz="0" w:space="0" w:color="auto"/>
                <w:left w:val="none" w:sz="0" w:space="0" w:color="auto"/>
                <w:bottom w:val="none" w:sz="0" w:space="0" w:color="auto"/>
                <w:right w:val="none" w:sz="0" w:space="0" w:color="auto"/>
              </w:divBdr>
            </w:div>
          </w:divsChild>
        </w:div>
        <w:div w:id="565141195">
          <w:marLeft w:val="0"/>
          <w:marRight w:val="0"/>
          <w:marTop w:val="0"/>
          <w:marBottom w:val="0"/>
          <w:divBdr>
            <w:top w:val="none" w:sz="0" w:space="0" w:color="auto"/>
            <w:left w:val="none" w:sz="0" w:space="0" w:color="auto"/>
            <w:bottom w:val="none" w:sz="0" w:space="0" w:color="auto"/>
            <w:right w:val="none" w:sz="0" w:space="0" w:color="auto"/>
          </w:divBdr>
          <w:divsChild>
            <w:div w:id="1806314770">
              <w:marLeft w:val="0"/>
              <w:marRight w:val="0"/>
              <w:marTop w:val="0"/>
              <w:marBottom w:val="0"/>
              <w:divBdr>
                <w:top w:val="none" w:sz="0" w:space="0" w:color="auto"/>
                <w:left w:val="none" w:sz="0" w:space="0" w:color="auto"/>
                <w:bottom w:val="none" w:sz="0" w:space="0" w:color="auto"/>
                <w:right w:val="none" w:sz="0" w:space="0" w:color="auto"/>
              </w:divBdr>
            </w:div>
          </w:divsChild>
        </w:div>
        <w:div w:id="634065450">
          <w:marLeft w:val="0"/>
          <w:marRight w:val="0"/>
          <w:marTop w:val="0"/>
          <w:marBottom w:val="0"/>
          <w:divBdr>
            <w:top w:val="none" w:sz="0" w:space="0" w:color="auto"/>
            <w:left w:val="none" w:sz="0" w:space="0" w:color="auto"/>
            <w:bottom w:val="none" w:sz="0" w:space="0" w:color="auto"/>
            <w:right w:val="none" w:sz="0" w:space="0" w:color="auto"/>
          </w:divBdr>
        </w:div>
        <w:div w:id="1020470811">
          <w:marLeft w:val="0"/>
          <w:marRight w:val="0"/>
          <w:marTop w:val="0"/>
          <w:marBottom w:val="0"/>
          <w:divBdr>
            <w:top w:val="none" w:sz="0" w:space="0" w:color="auto"/>
            <w:left w:val="none" w:sz="0" w:space="0" w:color="auto"/>
            <w:bottom w:val="none" w:sz="0" w:space="0" w:color="auto"/>
            <w:right w:val="none" w:sz="0" w:space="0" w:color="auto"/>
          </w:divBdr>
          <w:divsChild>
            <w:div w:id="668218997">
              <w:marLeft w:val="0"/>
              <w:marRight w:val="0"/>
              <w:marTop w:val="0"/>
              <w:marBottom w:val="0"/>
              <w:divBdr>
                <w:top w:val="none" w:sz="0" w:space="0" w:color="auto"/>
                <w:left w:val="none" w:sz="0" w:space="0" w:color="auto"/>
                <w:bottom w:val="none" w:sz="0" w:space="0" w:color="auto"/>
                <w:right w:val="none" w:sz="0" w:space="0" w:color="auto"/>
              </w:divBdr>
            </w:div>
          </w:divsChild>
        </w:div>
        <w:div w:id="1043211299">
          <w:marLeft w:val="0"/>
          <w:marRight w:val="0"/>
          <w:marTop w:val="0"/>
          <w:marBottom w:val="0"/>
          <w:divBdr>
            <w:top w:val="none" w:sz="0" w:space="0" w:color="auto"/>
            <w:left w:val="none" w:sz="0" w:space="0" w:color="auto"/>
            <w:bottom w:val="none" w:sz="0" w:space="0" w:color="auto"/>
            <w:right w:val="none" w:sz="0" w:space="0" w:color="auto"/>
          </w:divBdr>
          <w:divsChild>
            <w:div w:id="1721829518">
              <w:marLeft w:val="0"/>
              <w:marRight w:val="0"/>
              <w:marTop w:val="0"/>
              <w:marBottom w:val="0"/>
              <w:divBdr>
                <w:top w:val="none" w:sz="0" w:space="0" w:color="auto"/>
                <w:left w:val="none" w:sz="0" w:space="0" w:color="auto"/>
                <w:bottom w:val="none" w:sz="0" w:space="0" w:color="auto"/>
                <w:right w:val="none" w:sz="0" w:space="0" w:color="auto"/>
              </w:divBdr>
            </w:div>
          </w:divsChild>
        </w:div>
        <w:div w:id="1121727636">
          <w:marLeft w:val="0"/>
          <w:marRight w:val="0"/>
          <w:marTop w:val="0"/>
          <w:marBottom w:val="0"/>
          <w:divBdr>
            <w:top w:val="none" w:sz="0" w:space="0" w:color="auto"/>
            <w:left w:val="none" w:sz="0" w:space="0" w:color="auto"/>
            <w:bottom w:val="none" w:sz="0" w:space="0" w:color="auto"/>
            <w:right w:val="none" w:sz="0" w:space="0" w:color="auto"/>
          </w:divBdr>
          <w:divsChild>
            <w:div w:id="18546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68814">
      <w:bodyDiv w:val="1"/>
      <w:marLeft w:val="0"/>
      <w:marRight w:val="0"/>
      <w:marTop w:val="0"/>
      <w:marBottom w:val="0"/>
      <w:divBdr>
        <w:top w:val="none" w:sz="0" w:space="0" w:color="auto"/>
        <w:left w:val="none" w:sz="0" w:space="0" w:color="auto"/>
        <w:bottom w:val="none" w:sz="0" w:space="0" w:color="auto"/>
        <w:right w:val="none" w:sz="0" w:space="0" w:color="auto"/>
      </w:divBdr>
    </w:div>
    <w:div w:id="1605570479">
      <w:bodyDiv w:val="1"/>
      <w:marLeft w:val="0"/>
      <w:marRight w:val="0"/>
      <w:marTop w:val="0"/>
      <w:marBottom w:val="0"/>
      <w:divBdr>
        <w:top w:val="none" w:sz="0" w:space="0" w:color="auto"/>
        <w:left w:val="none" w:sz="0" w:space="0" w:color="auto"/>
        <w:bottom w:val="none" w:sz="0" w:space="0" w:color="auto"/>
        <w:right w:val="none" w:sz="0" w:space="0" w:color="auto"/>
      </w:divBdr>
    </w:div>
    <w:div w:id="1621719746">
      <w:bodyDiv w:val="1"/>
      <w:marLeft w:val="0"/>
      <w:marRight w:val="0"/>
      <w:marTop w:val="0"/>
      <w:marBottom w:val="0"/>
      <w:divBdr>
        <w:top w:val="none" w:sz="0" w:space="0" w:color="auto"/>
        <w:left w:val="none" w:sz="0" w:space="0" w:color="auto"/>
        <w:bottom w:val="none" w:sz="0" w:space="0" w:color="auto"/>
        <w:right w:val="none" w:sz="0" w:space="0" w:color="auto"/>
      </w:divBdr>
    </w:div>
    <w:div w:id="1648851844">
      <w:bodyDiv w:val="1"/>
      <w:marLeft w:val="0"/>
      <w:marRight w:val="0"/>
      <w:marTop w:val="0"/>
      <w:marBottom w:val="0"/>
      <w:divBdr>
        <w:top w:val="none" w:sz="0" w:space="0" w:color="auto"/>
        <w:left w:val="none" w:sz="0" w:space="0" w:color="auto"/>
        <w:bottom w:val="none" w:sz="0" w:space="0" w:color="auto"/>
        <w:right w:val="none" w:sz="0" w:space="0" w:color="auto"/>
      </w:divBdr>
    </w:div>
    <w:div w:id="1652444832">
      <w:bodyDiv w:val="1"/>
      <w:marLeft w:val="0"/>
      <w:marRight w:val="0"/>
      <w:marTop w:val="0"/>
      <w:marBottom w:val="0"/>
      <w:divBdr>
        <w:top w:val="none" w:sz="0" w:space="0" w:color="auto"/>
        <w:left w:val="none" w:sz="0" w:space="0" w:color="auto"/>
        <w:bottom w:val="none" w:sz="0" w:space="0" w:color="auto"/>
        <w:right w:val="none" w:sz="0" w:space="0" w:color="auto"/>
      </w:divBdr>
    </w:div>
    <w:div w:id="1696998555">
      <w:bodyDiv w:val="1"/>
      <w:marLeft w:val="0"/>
      <w:marRight w:val="0"/>
      <w:marTop w:val="0"/>
      <w:marBottom w:val="0"/>
      <w:divBdr>
        <w:top w:val="none" w:sz="0" w:space="0" w:color="auto"/>
        <w:left w:val="none" w:sz="0" w:space="0" w:color="auto"/>
        <w:bottom w:val="none" w:sz="0" w:space="0" w:color="auto"/>
        <w:right w:val="none" w:sz="0" w:space="0" w:color="auto"/>
      </w:divBdr>
    </w:div>
    <w:div w:id="1749305513">
      <w:bodyDiv w:val="1"/>
      <w:marLeft w:val="0"/>
      <w:marRight w:val="0"/>
      <w:marTop w:val="0"/>
      <w:marBottom w:val="0"/>
      <w:divBdr>
        <w:top w:val="none" w:sz="0" w:space="0" w:color="auto"/>
        <w:left w:val="none" w:sz="0" w:space="0" w:color="auto"/>
        <w:bottom w:val="none" w:sz="0" w:space="0" w:color="auto"/>
        <w:right w:val="none" w:sz="0" w:space="0" w:color="auto"/>
      </w:divBdr>
    </w:div>
    <w:div w:id="1752463687">
      <w:bodyDiv w:val="1"/>
      <w:marLeft w:val="0"/>
      <w:marRight w:val="0"/>
      <w:marTop w:val="0"/>
      <w:marBottom w:val="0"/>
      <w:divBdr>
        <w:top w:val="none" w:sz="0" w:space="0" w:color="auto"/>
        <w:left w:val="none" w:sz="0" w:space="0" w:color="auto"/>
        <w:bottom w:val="none" w:sz="0" w:space="0" w:color="auto"/>
        <w:right w:val="none" w:sz="0" w:space="0" w:color="auto"/>
      </w:divBdr>
    </w:div>
    <w:div w:id="1754936054">
      <w:bodyDiv w:val="1"/>
      <w:marLeft w:val="0"/>
      <w:marRight w:val="0"/>
      <w:marTop w:val="0"/>
      <w:marBottom w:val="0"/>
      <w:divBdr>
        <w:top w:val="none" w:sz="0" w:space="0" w:color="auto"/>
        <w:left w:val="none" w:sz="0" w:space="0" w:color="auto"/>
        <w:bottom w:val="none" w:sz="0" w:space="0" w:color="auto"/>
        <w:right w:val="none" w:sz="0" w:space="0" w:color="auto"/>
      </w:divBdr>
    </w:div>
    <w:div w:id="1763986428">
      <w:bodyDiv w:val="1"/>
      <w:marLeft w:val="0"/>
      <w:marRight w:val="0"/>
      <w:marTop w:val="0"/>
      <w:marBottom w:val="0"/>
      <w:divBdr>
        <w:top w:val="none" w:sz="0" w:space="0" w:color="auto"/>
        <w:left w:val="none" w:sz="0" w:space="0" w:color="auto"/>
        <w:bottom w:val="none" w:sz="0" w:space="0" w:color="auto"/>
        <w:right w:val="none" w:sz="0" w:space="0" w:color="auto"/>
      </w:divBdr>
    </w:div>
    <w:div w:id="1788545178">
      <w:bodyDiv w:val="1"/>
      <w:marLeft w:val="0"/>
      <w:marRight w:val="0"/>
      <w:marTop w:val="0"/>
      <w:marBottom w:val="0"/>
      <w:divBdr>
        <w:top w:val="none" w:sz="0" w:space="0" w:color="auto"/>
        <w:left w:val="none" w:sz="0" w:space="0" w:color="auto"/>
        <w:bottom w:val="none" w:sz="0" w:space="0" w:color="auto"/>
        <w:right w:val="none" w:sz="0" w:space="0" w:color="auto"/>
      </w:divBdr>
    </w:div>
    <w:div w:id="1840342310">
      <w:bodyDiv w:val="1"/>
      <w:marLeft w:val="0"/>
      <w:marRight w:val="0"/>
      <w:marTop w:val="0"/>
      <w:marBottom w:val="0"/>
      <w:divBdr>
        <w:top w:val="none" w:sz="0" w:space="0" w:color="auto"/>
        <w:left w:val="none" w:sz="0" w:space="0" w:color="auto"/>
        <w:bottom w:val="none" w:sz="0" w:space="0" w:color="auto"/>
        <w:right w:val="none" w:sz="0" w:space="0" w:color="auto"/>
      </w:divBdr>
    </w:div>
    <w:div w:id="1840581168">
      <w:bodyDiv w:val="1"/>
      <w:marLeft w:val="0"/>
      <w:marRight w:val="0"/>
      <w:marTop w:val="0"/>
      <w:marBottom w:val="0"/>
      <w:divBdr>
        <w:top w:val="none" w:sz="0" w:space="0" w:color="auto"/>
        <w:left w:val="none" w:sz="0" w:space="0" w:color="auto"/>
        <w:bottom w:val="none" w:sz="0" w:space="0" w:color="auto"/>
        <w:right w:val="none" w:sz="0" w:space="0" w:color="auto"/>
      </w:divBdr>
    </w:div>
    <w:div w:id="1856574623">
      <w:bodyDiv w:val="1"/>
      <w:marLeft w:val="0"/>
      <w:marRight w:val="0"/>
      <w:marTop w:val="0"/>
      <w:marBottom w:val="0"/>
      <w:divBdr>
        <w:top w:val="none" w:sz="0" w:space="0" w:color="auto"/>
        <w:left w:val="none" w:sz="0" w:space="0" w:color="auto"/>
        <w:bottom w:val="none" w:sz="0" w:space="0" w:color="auto"/>
        <w:right w:val="none" w:sz="0" w:space="0" w:color="auto"/>
      </w:divBdr>
    </w:div>
    <w:div w:id="1886596331">
      <w:bodyDiv w:val="1"/>
      <w:marLeft w:val="0"/>
      <w:marRight w:val="0"/>
      <w:marTop w:val="0"/>
      <w:marBottom w:val="0"/>
      <w:divBdr>
        <w:top w:val="none" w:sz="0" w:space="0" w:color="auto"/>
        <w:left w:val="none" w:sz="0" w:space="0" w:color="auto"/>
        <w:bottom w:val="none" w:sz="0" w:space="0" w:color="auto"/>
        <w:right w:val="none" w:sz="0" w:space="0" w:color="auto"/>
      </w:divBdr>
    </w:div>
    <w:div w:id="1892695742">
      <w:bodyDiv w:val="1"/>
      <w:marLeft w:val="0"/>
      <w:marRight w:val="0"/>
      <w:marTop w:val="0"/>
      <w:marBottom w:val="0"/>
      <w:divBdr>
        <w:top w:val="none" w:sz="0" w:space="0" w:color="auto"/>
        <w:left w:val="none" w:sz="0" w:space="0" w:color="auto"/>
        <w:bottom w:val="none" w:sz="0" w:space="0" w:color="auto"/>
        <w:right w:val="none" w:sz="0" w:space="0" w:color="auto"/>
      </w:divBdr>
    </w:div>
    <w:div w:id="1904486751">
      <w:bodyDiv w:val="1"/>
      <w:marLeft w:val="0"/>
      <w:marRight w:val="0"/>
      <w:marTop w:val="0"/>
      <w:marBottom w:val="0"/>
      <w:divBdr>
        <w:top w:val="none" w:sz="0" w:space="0" w:color="auto"/>
        <w:left w:val="none" w:sz="0" w:space="0" w:color="auto"/>
        <w:bottom w:val="none" w:sz="0" w:space="0" w:color="auto"/>
        <w:right w:val="none" w:sz="0" w:space="0" w:color="auto"/>
      </w:divBdr>
      <w:divsChild>
        <w:div w:id="1946037998">
          <w:marLeft w:val="0"/>
          <w:marRight w:val="0"/>
          <w:marTop w:val="0"/>
          <w:marBottom w:val="0"/>
          <w:divBdr>
            <w:top w:val="none" w:sz="0" w:space="0" w:color="auto"/>
            <w:left w:val="none" w:sz="0" w:space="0" w:color="auto"/>
            <w:bottom w:val="none" w:sz="0" w:space="0" w:color="auto"/>
            <w:right w:val="none" w:sz="0" w:space="0" w:color="auto"/>
          </w:divBdr>
          <w:divsChild>
            <w:div w:id="1209997256">
              <w:marLeft w:val="0"/>
              <w:marRight w:val="0"/>
              <w:marTop w:val="0"/>
              <w:marBottom w:val="0"/>
              <w:divBdr>
                <w:top w:val="none" w:sz="0" w:space="0" w:color="auto"/>
                <w:left w:val="none" w:sz="0" w:space="0" w:color="auto"/>
                <w:bottom w:val="none" w:sz="0" w:space="0" w:color="auto"/>
                <w:right w:val="none" w:sz="0" w:space="0" w:color="auto"/>
              </w:divBdr>
              <w:divsChild>
                <w:div w:id="179355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774192">
      <w:bodyDiv w:val="1"/>
      <w:marLeft w:val="0"/>
      <w:marRight w:val="0"/>
      <w:marTop w:val="0"/>
      <w:marBottom w:val="0"/>
      <w:divBdr>
        <w:top w:val="none" w:sz="0" w:space="0" w:color="auto"/>
        <w:left w:val="none" w:sz="0" w:space="0" w:color="auto"/>
        <w:bottom w:val="none" w:sz="0" w:space="0" w:color="auto"/>
        <w:right w:val="none" w:sz="0" w:space="0" w:color="auto"/>
      </w:divBdr>
    </w:div>
    <w:div w:id="1914268857">
      <w:bodyDiv w:val="1"/>
      <w:marLeft w:val="0"/>
      <w:marRight w:val="0"/>
      <w:marTop w:val="0"/>
      <w:marBottom w:val="0"/>
      <w:divBdr>
        <w:top w:val="none" w:sz="0" w:space="0" w:color="auto"/>
        <w:left w:val="none" w:sz="0" w:space="0" w:color="auto"/>
        <w:bottom w:val="none" w:sz="0" w:space="0" w:color="auto"/>
        <w:right w:val="none" w:sz="0" w:space="0" w:color="auto"/>
      </w:divBdr>
    </w:div>
    <w:div w:id="1938319896">
      <w:bodyDiv w:val="1"/>
      <w:marLeft w:val="0"/>
      <w:marRight w:val="0"/>
      <w:marTop w:val="0"/>
      <w:marBottom w:val="0"/>
      <w:divBdr>
        <w:top w:val="none" w:sz="0" w:space="0" w:color="auto"/>
        <w:left w:val="none" w:sz="0" w:space="0" w:color="auto"/>
        <w:bottom w:val="none" w:sz="0" w:space="0" w:color="auto"/>
        <w:right w:val="none" w:sz="0" w:space="0" w:color="auto"/>
      </w:divBdr>
    </w:div>
    <w:div w:id="1946305745">
      <w:bodyDiv w:val="1"/>
      <w:marLeft w:val="0"/>
      <w:marRight w:val="0"/>
      <w:marTop w:val="0"/>
      <w:marBottom w:val="0"/>
      <w:divBdr>
        <w:top w:val="none" w:sz="0" w:space="0" w:color="auto"/>
        <w:left w:val="none" w:sz="0" w:space="0" w:color="auto"/>
        <w:bottom w:val="none" w:sz="0" w:space="0" w:color="auto"/>
        <w:right w:val="none" w:sz="0" w:space="0" w:color="auto"/>
      </w:divBdr>
    </w:div>
    <w:div w:id="1951278975">
      <w:bodyDiv w:val="1"/>
      <w:marLeft w:val="0"/>
      <w:marRight w:val="0"/>
      <w:marTop w:val="0"/>
      <w:marBottom w:val="0"/>
      <w:divBdr>
        <w:top w:val="none" w:sz="0" w:space="0" w:color="auto"/>
        <w:left w:val="none" w:sz="0" w:space="0" w:color="auto"/>
        <w:bottom w:val="none" w:sz="0" w:space="0" w:color="auto"/>
        <w:right w:val="none" w:sz="0" w:space="0" w:color="auto"/>
      </w:divBdr>
    </w:div>
    <w:div w:id="1963993319">
      <w:bodyDiv w:val="1"/>
      <w:marLeft w:val="0"/>
      <w:marRight w:val="0"/>
      <w:marTop w:val="0"/>
      <w:marBottom w:val="0"/>
      <w:divBdr>
        <w:top w:val="none" w:sz="0" w:space="0" w:color="auto"/>
        <w:left w:val="none" w:sz="0" w:space="0" w:color="auto"/>
        <w:bottom w:val="none" w:sz="0" w:space="0" w:color="auto"/>
        <w:right w:val="none" w:sz="0" w:space="0" w:color="auto"/>
      </w:divBdr>
    </w:div>
    <w:div w:id="1969503160">
      <w:bodyDiv w:val="1"/>
      <w:marLeft w:val="0"/>
      <w:marRight w:val="0"/>
      <w:marTop w:val="0"/>
      <w:marBottom w:val="0"/>
      <w:divBdr>
        <w:top w:val="none" w:sz="0" w:space="0" w:color="auto"/>
        <w:left w:val="none" w:sz="0" w:space="0" w:color="auto"/>
        <w:bottom w:val="none" w:sz="0" w:space="0" w:color="auto"/>
        <w:right w:val="none" w:sz="0" w:space="0" w:color="auto"/>
      </w:divBdr>
    </w:div>
    <w:div w:id="1974600189">
      <w:bodyDiv w:val="1"/>
      <w:marLeft w:val="0"/>
      <w:marRight w:val="0"/>
      <w:marTop w:val="0"/>
      <w:marBottom w:val="0"/>
      <w:divBdr>
        <w:top w:val="none" w:sz="0" w:space="0" w:color="auto"/>
        <w:left w:val="none" w:sz="0" w:space="0" w:color="auto"/>
        <w:bottom w:val="none" w:sz="0" w:space="0" w:color="auto"/>
        <w:right w:val="none" w:sz="0" w:space="0" w:color="auto"/>
      </w:divBdr>
    </w:div>
    <w:div w:id="1991210153">
      <w:bodyDiv w:val="1"/>
      <w:marLeft w:val="0"/>
      <w:marRight w:val="0"/>
      <w:marTop w:val="0"/>
      <w:marBottom w:val="0"/>
      <w:divBdr>
        <w:top w:val="none" w:sz="0" w:space="0" w:color="auto"/>
        <w:left w:val="none" w:sz="0" w:space="0" w:color="auto"/>
        <w:bottom w:val="none" w:sz="0" w:space="0" w:color="auto"/>
        <w:right w:val="none" w:sz="0" w:space="0" w:color="auto"/>
      </w:divBdr>
      <w:divsChild>
        <w:div w:id="339427092">
          <w:marLeft w:val="0"/>
          <w:marRight w:val="0"/>
          <w:marTop w:val="0"/>
          <w:marBottom w:val="0"/>
          <w:divBdr>
            <w:top w:val="none" w:sz="0" w:space="0" w:color="auto"/>
            <w:left w:val="none" w:sz="0" w:space="0" w:color="auto"/>
            <w:bottom w:val="none" w:sz="0" w:space="0" w:color="auto"/>
            <w:right w:val="none" w:sz="0" w:space="0" w:color="auto"/>
          </w:divBdr>
          <w:divsChild>
            <w:div w:id="840461724">
              <w:marLeft w:val="0"/>
              <w:marRight w:val="0"/>
              <w:marTop w:val="0"/>
              <w:marBottom w:val="0"/>
              <w:divBdr>
                <w:top w:val="none" w:sz="0" w:space="0" w:color="auto"/>
                <w:left w:val="none" w:sz="0" w:space="0" w:color="auto"/>
                <w:bottom w:val="none" w:sz="0" w:space="0" w:color="auto"/>
                <w:right w:val="none" w:sz="0" w:space="0" w:color="auto"/>
              </w:divBdr>
              <w:divsChild>
                <w:div w:id="162380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15629">
      <w:bodyDiv w:val="1"/>
      <w:marLeft w:val="0"/>
      <w:marRight w:val="0"/>
      <w:marTop w:val="0"/>
      <w:marBottom w:val="0"/>
      <w:divBdr>
        <w:top w:val="none" w:sz="0" w:space="0" w:color="auto"/>
        <w:left w:val="none" w:sz="0" w:space="0" w:color="auto"/>
        <w:bottom w:val="none" w:sz="0" w:space="0" w:color="auto"/>
        <w:right w:val="none" w:sz="0" w:space="0" w:color="auto"/>
      </w:divBdr>
    </w:div>
    <w:div w:id="2005888238">
      <w:bodyDiv w:val="1"/>
      <w:marLeft w:val="0"/>
      <w:marRight w:val="0"/>
      <w:marTop w:val="0"/>
      <w:marBottom w:val="0"/>
      <w:divBdr>
        <w:top w:val="none" w:sz="0" w:space="0" w:color="auto"/>
        <w:left w:val="none" w:sz="0" w:space="0" w:color="auto"/>
        <w:bottom w:val="none" w:sz="0" w:space="0" w:color="auto"/>
        <w:right w:val="none" w:sz="0" w:space="0" w:color="auto"/>
      </w:divBdr>
    </w:div>
    <w:div w:id="2027245303">
      <w:bodyDiv w:val="1"/>
      <w:marLeft w:val="0"/>
      <w:marRight w:val="0"/>
      <w:marTop w:val="0"/>
      <w:marBottom w:val="0"/>
      <w:divBdr>
        <w:top w:val="none" w:sz="0" w:space="0" w:color="auto"/>
        <w:left w:val="none" w:sz="0" w:space="0" w:color="auto"/>
        <w:bottom w:val="none" w:sz="0" w:space="0" w:color="auto"/>
        <w:right w:val="none" w:sz="0" w:space="0" w:color="auto"/>
      </w:divBdr>
    </w:div>
    <w:div w:id="2032678440">
      <w:bodyDiv w:val="1"/>
      <w:marLeft w:val="0"/>
      <w:marRight w:val="0"/>
      <w:marTop w:val="0"/>
      <w:marBottom w:val="0"/>
      <w:divBdr>
        <w:top w:val="none" w:sz="0" w:space="0" w:color="auto"/>
        <w:left w:val="none" w:sz="0" w:space="0" w:color="auto"/>
        <w:bottom w:val="none" w:sz="0" w:space="0" w:color="auto"/>
        <w:right w:val="none" w:sz="0" w:space="0" w:color="auto"/>
      </w:divBdr>
    </w:div>
    <w:div w:id="2038462239">
      <w:bodyDiv w:val="1"/>
      <w:marLeft w:val="0"/>
      <w:marRight w:val="0"/>
      <w:marTop w:val="0"/>
      <w:marBottom w:val="0"/>
      <w:divBdr>
        <w:top w:val="none" w:sz="0" w:space="0" w:color="auto"/>
        <w:left w:val="none" w:sz="0" w:space="0" w:color="auto"/>
        <w:bottom w:val="none" w:sz="0" w:space="0" w:color="auto"/>
        <w:right w:val="none" w:sz="0" w:space="0" w:color="auto"/>
      </w:divBdr>
    </w:div>
    <w:div w:id="2076049802">
      <w:bodyDiv w:val="1"/>
      <w:marLeft w:val="0"/>
      <w:marRight w:val="0"/>
      <w:marTop w:val="0"/>
      <w:marBottom w:val="0"/>
      <w:divBdr>
        <w:top w:val="none" w:sz="0" w:space="0" w:color="auto"/>
        <w:left w:val="none" w:sz="0" w:space="0" w:color="auto"/>
        <w:bottom w:val="none" w:sz="0" w:space="0" w:color="auto"/>
        <w:right w:val="none" w:sz="0" w:space="0" w:color="auto"/>
      </w:divBdr>
    </w:div>
    <w:div w:id="2079480087">
      <w:bodyDiv w:val="1"/>
      <w:marLeft w:val="0"/>
      <w:marRight w:val="0"/>
      <w:marTop w:val="0"/>
      <w:marBottom w:val="0"/>
      <w:divBdr>
        <w:top w:val="none" w:sz="0" w:space="0" w:color="auto"/>
        <w:left w:val="none" w:sz="0" w:space="0" w:color="auto"/>
        <w:bottom w:val="none" w:sz="0" w:space="0" w:color="auto"/>
        <w:right w:val="none" w:sz="0" w:space="0" w:color="auto"/>
      </w:divBdr>
    </w:div>
    <w:div w:id="2081518187">
      <w:bodyDiv w:val="1"/>
      <w:marLeft w:val="0"/>
      <w:marRight w:val="0"/>
      <w:marTop w:val="0"/>
      <w:marBottom w:val="0"/>
      <w:divBdr>
        <w:top w:val="none" w:sz="0" w:space="0" w:color="auto"/>
        <w:left w:val="none" w:sz="0" w:space="0" w:color="auto"/>
        <w:bottom w:val="none" w:sz="0" w:space="0" w:color="auto"/>
        <w:right w:val="none" w:sz="0" w:space="0" w:color="auto"/>
      </w:divBdr>
    </w:div>
    <w:div w:id="2083142652">
      <w:bodyDiv w:val="1"/>
      <w:marLeft w:val="0"/>
      <w:marRight w:val="0"/>
      <w:marTop w:val="0"/>
      <w:marBottom w:val="0"/>
      <w:divBdr>
        <w:top w:val="none" w:sz="0" w:space="0" w:color="auto"/>
        <w:left w:val="none" w:sz="0" w:space="0" w:color="auto"/>
        <w:bottom w:val="none" w:sz="0" w:space="0" w:color="auto"/>
        <w:right w:val="none" w:sz="0" w:space="0" w:color="auto"/>
      </w:divBdr>
    </w:div>
    <w:div w:id="2127577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apre.presidencia.gov.co/normativa/normativa/DECRETO%201474%20DEL%2029%20DE%20DICIEMBRE%20DE%202025.pdf"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26" Type="http://schemas.openxmlformats.org/officeDocument/2006/relationships/hyperlink" Target="https://www.corteconstitucional.gov.co/secretaria/archivo.php?id=141045" TargetMode="External"/><Relationship Id="rId21" Type="http://schemas.openxmlformats.org/officeDocument/2006/relationships/hyperlink" Target="https://www.corteconstitucional.gov.co/secretaria/archivo.php?id=143785" TargetMode="External"/><Relationship Id="rId42" Type="http://schemas.openxmlformats.org/officeDocument/2006/relationships/hyperlink" Target="https://www.corteconstitucional.gov.co/secretaria/archivo.php?id=140074" TargetMode="External"/><Relationship Id="rId47" Type="http://schemas.openxmlformats.org/officeDocument/2006/relationships/hyperlink" Target="https://www.corteconstitucional.gov.co/secretaria/archivo.php?id=140814" TargetMode="External"/><Relationship Id="rId63" Type="http://schemas.openxmlformats.org/officeDocument/2006/relationships/hyperlink" Target="https://www.corteconstitucional.gov.co/secretaria/archivo.php?id=140892" TargetMode="External"/><Relationship Id="rId68" Type="http://schemas.openxmlformats.org/officeDocument/2006/relationships/hyperlink" Target="https://www.corteconstitucional.gov.co/secretaria/archivo.php?id=141017" TargetMode="External"/><Relationship Id="rId2" Type="http://schemas.openxmlformats.org/officeDocument/2006/relationships/hyperlink" Target="https://www.corteconstitucional.gov.co/secretaria/archivo.php?id=135930" TargetMode="External"/><Relationship Id="rId16" Type="http://schemas.openxmlformats.org/officeDocument/2006/relationships/hyperlink" Target="https://www.corteconstitucional.gov.co/secretaria/archivo.php?id=137428" TargetMode="External"/><Relationship Id="rId29" Type="http://schemas.openxmlformats.org/officeDocument/2006/relationships/hyperlink" Target="https://www.corteconstitucional.gov.co/secretaria/archivo.php?id=134471" TargetMode="External"/><Relationship Id="rId11" Type="http://schemas.openxmlformats.org/officeDocument/2006/relationships/hyperlink" Target="https://www.corteconstitucional.gov.co/secretaria/archivo.php?id=136277" TargetMode="External"/><Relationship Id="rId24" Type="http://schemas.openxmlformats.org/officeDocument/2006/relationships/hyperlink" Target="https://www.corteconstitucional.gov.co/secretaria/archivo.php?id=141016" TargetMode="External"/><Relationship Id="rId32" Type="http://schemas.openxmlformats.org/officeDocument/2006/relationships/hyperlink" Target="https://www.corteconstitucional.gov.co/secretaria/archivo.php?id=135678" TargetMode="External"/><Relationship Id="rId37" Type="http://schemas.openxmlformats.org/officeDocument/2006/relationships/hyperlink" Target="https://www.corteconstitucional.gov.co/secretaria/archivo.php?id=137937" TargetMode="External"/><Relationship Id="rId40" Type="http://schemas.openxmlformats.org/officeDocument/2006/relationships/hyperlink" Target="https://www.corteconstitucional.gov.co/secretaria/archivo.php?id=139586" TargetMode="External"/><Relationship Id="rId45" Type="http://schemas.openxmlformats.org/officeDocument/2006/relationships/hyperlink" Target="https://www.corteconstitucional.gov.co/secretaria/archivo.php?id=137829" TargetMode="External"/><Relationship Id="rId53" Type="http://schemas.openxmlformats.org/officeDocument/2006/relationships/hyperlink" Target="https://www.corteconstitucional.gov.co/secretaria/archivo.php?id=141043" TargetMode="External"/><Relationship Id="rId58" Type="http://schemas.openxmlformats.org/officeDocument/2006/relationships/hyperlink" Target="https://www.corteconstitucional.gov.co/secretaria/archivo.php?id=140656" TargetMode="External"/><Relationship Id="rId66" Type="http://schemas.openxmlformats.org/officeDocument/2006/relationships/hyperlink" Target="https://www.corteconstitucional.gov.co/secretaria/archivo.php?id=141015" TargetMode="External"/><Relationship Id="rId74" Type="http://schemas.openxmlformats.org/officeDocument/2006/relationships/hyperlink" Target="https://www.corteconstitucional.gov.co/secretaria/archivo.php?id=141063" TargetMode="External"/><Relationship Id="rId5" Type="http://schemas.openxmlformats.org/officeDocument/2006/relationships/hyperlink" Target="https://www.corteconstitucional.gov.co/secretaria/archivo.php?id=136259" TargetMode="External"/><Relationship Id="rId61" Type="http://schemas.openxmlformats.org/officeDocument/2006/relationships/hyperlink" Target="https://www.corteconstitucional.gov.co/secretaria/archivo.php?id=140813" TargetMode="External"/><Relationship Id="rId19" Type="http://schemas.openxmlformats.org/officeDocument/2006/relationships/hyperlink" Target="https://www.corteconstitucional.gov.co/secretaria/archivo.php?id=137753" TargetMode="External"/><Relationship Id="rId14" Type="http://schemas.openxmlformats.org/officeDocument/2006/relationships/hyperlink" Target="https://www.corteconstitucional.gov.co/secretaria/archivo.php?id=136809" TargetMode="External"/><Relationship Id="rId22" Type="http://schemas.openxmlformats.org/officeDocument/2006/relationships/hyperlink" Target="https://www.corteconstitucional.gov.co/secretaria/archivo.php?id=134270" TargetMode="External"/><Relationship Id="rId27" Type="http://schemas.openxmlformats.org/officeDocument/2006/relationships/hyperlink" Target="https://www.corteconstitucional.gov.co/secretaria/archivo.php?id=136396" TargetMode="External"/><Relationship Id="rId30" Type="http://schemas.openxmlformats.org/officeDocument/2006/relationships/hyperlink" Target="https://www.corteconstitucional.gov.co/secretaria/archivo.php?id=136360" TargetMode="External"/><Relationship Id="rId35" Type="http://schemas.openxmlformats.org/officeDocument/2006/relationships/hyperlink" Target="https://www.corteconstitucional.gov.co/secretaria/archivo.php?id=136495" TargetMode="External"/><Relationship Id="rId43" Type="http://schemas.openxmlformats.org/officeDocument/2006/relationships/hyperlink" Target="https://www.corteconstitucional.gov.co/secretaria/archivo.php?id=140026" TargetMode="External"/><Relationship Id="rId48" Type="http://schemas.openxmlformats.org/officeDocument/2006/relationships/hyperlink" Target="https://www.corteconstitucional.gov.co/secretaria/archivo.php?id=140920" TargetMode="External"/><Relationship Id="rId56" Type="http://schemas.openxmlformats.org/officeDocument/2006/relationships/hyperlink" Target="https://www.corteconstitucional.gov.co/secretaria/archivo.php?id=143398" TargetMode="External"/><Relationship Id="rId64" Type="http://schemas.openxmlformats.org/officeDocument/2006/relationships/hyperlink" Target="https://www.corteconstitucional.gov.co/secretaria/archivo.php?id=141005" TargetMode="External"/><Relationship Id="rId69" Type="http://schemas.openxmlformats.org/officeDocument/2006/relationships/hyperlink" Target="https://www.corteconstitucional.gov.co/secretaria/archivo.php?id=141040" TargetMode="External"/><Relationship Id="rId8" Type="http://schemas.openxmlformats.org/officeDocument/2006/relationships/hyperlink" Target="https://www.corteconstitucional.gov.co/secretaria/archivo.php?id=136276" TargetMode="External"/><Relationship Id="rId51" Type="http://schemas.openxmlformats.org/officeDocument/2006/relationships/hyperlink" Target="https://www.corteconstitucional.gov.co/secretaria/archivo.php?id=141020" TargetMode="External"/><Relationship Id="rId72" Type="http://schemas.openxmlformats.org/officeDocument/2006/relationships/hyperlink" Target="https://www.corteconstitucional.gov.co/secretaria/archivo.php?id=141004" TargetMode="External"/><Relationship Id="rId3" Type="http://schemas.openxmlformats.org/officeDocument/2006/relationships/hyperlink" Target="https://www.corteconstitucional.gov.co/secretaria/archivo.php?id=136925" TargetMode="External"/><Relationship Id="rId12" Type="http://schemas.openxmlformats.org/officeDocument/2006/relationships/hyperlink" Target="https://www.corteconstitucional.gov.co/secretaria/archivo.php?id=136278" TargetMode="External"/><Relationship Id="rId17" Type="http://schemas.openxmlformats.org/officeDocument/2006/relationships/hyperlink" Target="https://www.corteconstitucional.gov.co/secretaria/archivo.php?id=140655" TargetMode="External"/><Relationship Id="rId25" Type="http://schemas.openxmlformats.org/officeDocument/2006/relationships/hyperlink" Target="https://www.corteconstitucional.gov.co/secretaria/archivo.php?id=143147" TargetMode="External"/><Relationship Id="rId33" Type="http://schemas.openxmlformats.org/officeDocument/2006/relationships/hyperlink" Target="https://www.corteconstitucional.gov.co/secretaria/archivo.php?id=136061" TargetMode="External"/><Relationship Id="rId38" Type="http://schemas.openxmlformats.org/officeDocument/2006/relationships/hyperlink" Target="https://www.corteconstitucional.gov.co/secretaria/archivo.php?id=138095" TargetMode="External"/><Relationship Id="rId46" Type="http://schemas.openxmlformats.org/officeDocument/2006/relationships/hyperlink" Target="https://www.corteconstitucional.gov.co/secretaria/archivo.php?id=138132" TargetMode="External"/><Relationship Id="rId59" Type="http://schemas.openxmlformats.org/officeDocument/2006/relationships/hyperlink" Target="https://www.corteconstitucional.gov.co/secretaria/archivo.php?id=140654" TargetMode="External"/><Relationship Id="rId67" Type="http://schemas.openxmlformats.org/officeDocument/2006/relationships/hyperlink" Target="https://www.corteconstitucional.gov.co/secretaria/archivo.php?id=141160" TargetMode="External"/><Relationship Id="rId20" Type="http://schemas.openxmlformats.org/officeDocument/2006/relationships/hyperlink" Target="https://www.corteconstitucional.gov.co/secretaria/archivo.php?id=140924" TargetMode="External"/><Relationship Id="rId41" Type="http://schemas.openxmlformats.org/officeDocument/2006/relationships/hyperlink" Target="https://www.corteconstitucional.gov.co/secretaria/archivo.php?id=139762" TargetMode="External"/><Relationship Id="rId54" Type="http://schemas.openxmlformats.org/officeDocument/2006/relationships/hyperlink" Target="https://www.corteconstitucional.gov.co/secretaria/archivo.php?id=141046" TargetMode="External"/><Relationship Id="rId62" Type="http://schemas.openxmlformats.org/officeDocument/2006/relationships/hyperlink" Target="https://www.corteconstitucional.gov.co/secretaria/archivo.php?id=140870" TargetMode="External"/><Relationship Id="rId70" Type="http://schemas.openxmlformats.org/officeDocument/2006/relationships/hyperlink" Target="https://www.corteconstitucional.gov.co/secretaria/archivo.php?id=141050" TargetMode="External"/><Relationship Id="rId75" Type="http://schemas.openxmlformats.org/officeDocument/2006/relationships/hyperlink" Target="https://www.corteconstitucional.gov.co/secretaria/archivo.php?id=141156" TargetMode="External"/><Relationship Id="rId1" Type="http://schemas.openxmlformats.org/officeDocument/2006/relationships/hyperlink" Target="https://www.corteconstitucional.gov.co/comunicados/Comunicado-01-Enero-29-de-2026" TargetMode="External"/><Relationship Id="rId6" Type="http://schemas.openxmlformats.org/officeDocument/2006/relationships/hyperlink" Target="https://www.corteconstitucional.gov.co/secretaria/archivo.php?id=136273" TargetMode="External"/><Relationship Id="rId15" Type="http://schemas.openxmlformats.org/officeDocument/2006/relationships/hyperlink" Target="https://www.corteconstitucional.gov.co/secretaria/archivo.php?id=137364" TargetMode="External"/><Relationship Id="rId23" Type="http://schemas.openxmlformats.org/officeDocument/2006/relationships/hyperlink" Target="https://www.corteconstitucional.gov.co/secretaria/archivo.php?id=141593" TargetMode="External"/><Relationship Id="rId28" Type="http://schemas.openxmlformats.org/officeDocument/2006/relationships/hyperlink" Target="https://www.corteconstitucional.gov.co/secretaria/archivo.php?id=134469" TargetMode="External"/><Relationship Id="rId36" Type="http://schemas.openxmlformats.org/officeDocument/2006/relationships/hyperlink" Target="https://www.corteconstitucional.gov.co/secretaria/archivo.php?id=136743" TargetMode="External"/><Relationship Id="rId49" Type="http://schemas.openxmlformats.org/officeDocument/2006/relationships/hyperlink" Target="https://www.corteconstitucional.gov.co/secretaria/archivo.php?id=141002" TargetMode="External"/><Relationship Id="rId57" Type="http://schemas.openxmlformats.org/officeDocument/2006/relationships/hyperlink" Target="https://www.corteconstitucional.gov.co/secretaria/archivo.php?id=140788" TargetMode="External"/><Relationship Id="rId10" Type="http://schemas.openxmlformats.org/officeDocument/2006/relationships/hyperlink" Target="https://www.corteconstitucional.gov.co/secretaria/archivo.php?id=136421" TargetMode="External"/><Relationship Id="rId31" Type="http://schemas.openxmlformats.org/officeDocument/2006/relationships/hyperlink" Target="https://www.corteconstitucional.gov.co/secretaria/archivo.php?id=135676" TargetMode="External"/><Relationship Id="rId44" Type="http://schemas.openxmlformats.org/officeDocument/2006/relationships/hyperlink" Target="https://www.corteconstitucional.gov.co/secretaria/archivo.php?id=140478" TargetMode="External"/><Relationship Id="rId52" Type="http://schemas.openxmlformats.org/officeDocument/2006/relationships/hyperlink" Target="https://www.corteconstitucional.gov.co/secretaria/archivo.php?id=141023" TargetMode="External"/><Relationship Id="rId60" Type="http://schemas.openxmlformats.org/officeDocument/2006/relationships/hyperlink" Target="https://www.corteconstitucional.gov.co/secretaria/archivo.php?id=140784" TargetMode="External"/><Relationship Id="rId65" Type="http://schemas.openxmlformats.org/officeDocument/2006/relationships/hyperlink" Target="https://www.corteconstitucional.gov.co/secretaria/archivo.php?id=141009" TargetMode="External"/><Relationship Id="rId73" Type="http://schemas.openxmlformats.org/officeDocument/2006/relationships/hyperlink" Target="https://www.corteconstitucional.gov.co/secretaria/archivo.php?id=141051" TargetMode="External"/><Relationship Id="rId4" Type="http://schemas.openxmlformats.org/officeDocument/2006/relationships/hyperlink" Target="https://www.corteconstitucional.gov.co/secretaria/archivo.php?id=136016" TargetMode="External"/><Relationship Id="rId9" Type="http://schemas.openxmlformats.org/officeDocument/2006/relationships/hyperlink" Target="https://www.corteconstitucional.gov.co/secretaria/archivo.php?id=136331" TargetMode="External"/><Relationship Id="rId13" Type="http://schemas.openxmlformats.org/officeDocument/2006/relationships/hyperlink" Target="https://www.corteconstitucional.gov.co/secretaria/archivo.php?id=136368" TargetMode="External"/><Relationship Id="rId18" Type="http://schemas.openxmlformats.org/officeDocument/2006/relationships/hyperlink" Target="https://www.corteconstitucional.gov.co/secretaria/archivo.php?id=143785" TargetMode="External"/><Relationship Id="rId39" Type="http://schemas.openxmlformats.org/officeDocument/2006/relationships/hyperlink" Target="https://www.corteconstitucional.gov.co/secretaria/archivo.php?id=139445%20https://www.corteconstitucional.gov.co/secretaria/archivo.php?id=140651" TargetMode="External"/><Relationship Id="rId34" Type="http://schemas.openxmlformats.org/officeDocument/2006/relationships/hyperlink" Target="https://www.corteconstitucional.gov.co/secretaria/archivo.php?id=136064" TargetMode="External"/><Relationship Id="rId50" Type="http://schemas.openxmlformats.org/officeDocument/2006/relationships/hyperlink" Target="https://www.corteconstitucional.gov.co/secretaria/archivo.php?id=141014" TargetMode="External"/><Relationship Id="rId55" Type="http://schemas.openxmlformats.org/officeDocument/2006/relationships/hyperlink" Target="https://www.corteconstitucional.gov.co/secretaria/archivo.php?id=141066" TargetMode="External"/><Relationship Id="rId76" Type="http://schemas.openxmlformats.org/officeDocument/2006/relationships/hyperlink" Target="https://www.corteconstitucional.gov.co/comunicados/Comunicado-14-Abril-9-de-2026" TargetMode="External"/><Relationship Id="rId7" Type="http://schemas.openxmlformats.org/officeDocument/2006/relationships/hyperlink" Target="https://www.corteconstitucional.gov.co/secretaria/archivo.php?id=136274" TargetMode="External"/><Relationship Id="rId71" Type="http://schemas.openxmlformats.org/officeDocument/2006/relationships/hyperlink" Target="https://www.corteconstitucional.gov.co/secretaria/archivo.php?id=1410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5B3CF-122A-4D68-8DDA-BDB4CC851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8407</Words>
  <Characters>46241</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wilmancc</cp:lastModifiedBy>
  <cp:revision>1</cp:revision>
  <cp:lastPrinted>2025-05-20T16:38:00Z</cp:lastPrinted>
  <dcterms:created xsi:type="dcterms:W3CDTF">2026-04-30T21:04:00Z</dcterms:created>
  <dcterms:modified xsi:type="dcterms:W3CDTF">2026-06-23T15:23:00Z</dcterms:modified>
</cp:coreProperties>
</file>